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758A" w:rsidRPr="004E607A" w:rsidRDefault="001E21A2" w:rsidP="0058758A">
      <w:pPr>
        <w:framePr w:w="4500" w:h="1553" w:hRule="exact" w:hSpace="180" w:wrap="around" w:vAnchor="text" w:hAnchor="page" w:x="1381" w:y="-29"/>
        <w:tabs>
          <w:tab w:val="left" w:pos="6237"/>
        </w:tabs>
        <w:ind w:right="-567"/>
      </w:pPr>
      <w:r>
        <w:t xml:space="preserve">                 </w:t>
      </w:r>
      <w:r>
        <w:rPr>
          <w:noProof/>
        </w:rPr>
        <w:drawing>
          <wp:inline distT="0" distB="0" distL="0" distR="0">
            <wp:extent cx="457200" cy="5143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cstate="print">
                      <a:extLst>
                        <a:ext uri="{28A0092B-C50C-407E-A947-70E740481C1C}">
                          <a14:useLocalDpi xmlns:a14="http://schemas.microsoft.com/office/drawing/2010/main" val="0"/>
                        </a:ext>
                      </a:extLst>
                    </a:blip>
                    <a:srcRect l="32193" t="32320" r="50797" b="33353"/>
                    <a:stretch>
                      <a:fillRect/>
                    </a:stretch>
                  </pic:blipFill>
                  <pic:spPr bwMode="auto">
                    <a:xfrm>
                      <a:off x="0" y="0"/>
                      <a:ext cx="457200" cy="514350"/>
                    </a:xfrm>
                    <a:prstGeom prst="rect">
                      <a:avLst/>
                    </a:prstGeom>
                    <a:noFill/>
                    <a:ln>
                      <a:noFill/>
                    </a:ln>
                  </pic:spPr>
                </pic:pic>
              </a:graphicData>
            </a:graphic>
          </wp:inline>
        </w:drawing>
      </w:r>
      <w:r>
        <w:t xml:space="preserve">                      </w:t>
      </w:r>
      <w:r w:rsidRPr="004E607A">
        <w:t xml:space="preserve">                   </w:t>
      </w:r>
      <w:r>
        <w:t xml:space="preserve">                           </w:t>
      </w:r>
    </w:p>
    <w:p w:rsidR="0058758A" w:rsidRPr="001C7B5F" w:rsidRDefault="001E21A2" w:rsidP="0058758A">
      <w:pPr>
        <w:framePr w:w="4500" w:h="1553" w:hRule="exact" w:hSpace="180" w:wrap="around" w:vAnchor="text" w:hAnchor="page" w:x="1381" w:y="-29"/>
        <w:autoSpaceDE w:val="0"/>
        <w:autoSpaceDN w:val="0"/>
        <w:adjustRightInd w:val="0"/>
        <w:rPr>
          <w:rStyle w:val="Pogrubienie"/>
        </w:rPr>
      </w:pPr>
      <w:r w:rsidRPr="001C7B5F">
        <w:rPr>
          <w:rStyle w:val="Pogrubienie"/>
        </w:rPr>
        <w:t>WOJEWODA MAZOWIECKI</w:t>
      </w:r>
    </w:p>
    <w:p w:rsidR="0058758A" w:rsidRPr="004E65D9" w:rsidRDefault="001E21A2" w:rsidP="0058758A">
      <w:pPr>
        <w:framePr w:w="4500" w:h="1553" w:hRule="exact" w:hSpace="180" w:wrap="around" w:vAnchor="text" w:hAnchor="page" w:x="1381" w:y="-29"/>
        <w:jc w:val="center"/>
        <w:rPr>
          <w:sz w:val="20"/>
          <w:szCs w:val="20"/>
          <w:u w:val="single"/>
        </w:rPr>
      </w:pPr>
    </w:p>
    <w:p w:rsidR="0058758A" w:rsidRPr="00EE75C1" w:rsidRDefault="001E21A2" w:rsidP="0058758A">
      <w:pPr>
        <w:framePr w:w="4500" w:h="1553" w:hRule="exact" w:hSpace="180" w:wrap="around" w:vAnchor="text" w:hAnchor="page" w:x="1381" w:y="-29"/>
        <w:autoSpaceDE w:val="0"/>
        <w:autoSpaceDN w:val="0"/>
        <w:adjustRightInd w:val="0"/>
        <w:rPr>
          <w:b/>
          <w:bCs/>
          <w:color w:val="000000"/>
          <w:sz w:val="20"/>
          <w:szCs w:val="20"/>
        </w:rPr>
      </w:pPr>
    </w:p>
    <w:p w:rsidR="0058758A" w:rsidRPr="00EE75C1" w:rsidRDefault="001E21A2" w:rsidP="0058758A">
      <w:pPr>
        <w:framePr w:w="4500" w:h="1553" w:hRule="exact" w:hSpace="180" w:wrap="around" w:vAnchor="text" w:hAnchor="page" w:x="1381" w:y="-29"/>
        <w:autoSpaceDE w:val="0"/>
        <w:autoSpaceDN w:val="0"/>
        <w:adjustRightInd w:val="0"/>
        <w:jc w:val="center"/>
        <w:rPr>
          <w:b/>
          <w:bCs/>
          <w:color w:val="000000"/>
          <w:sz w:val="20"/>
          <w:szCs w:val="20"/>
        </w:rPr>
      </w:pPr>
    </w:p>
    <w:p w:rsidR="0058758A" w:rsidRPr="00EE75C1" w:rsidRDefault="001E21A2" w:rsidP="0058758A">
      <w:pPr>
        <w:framePr w:w="4500" w:h="1553" w:hRule="exact" w:hSpace="180" w:wrap="around" w:vAnchor="text" w:hAnchor="page" w:x="1381" w:y="-29"/>
        <w:autoSpaceDE w:val="0"/>
        <w:autoSpaceDN w:val="0"/>
        <w:adjustRightInd w:val="0"/>
        <w:jc w:val="center"/>
        <w:rPr>
          <w:b/>
          <w:bCs/>
          <w:color w:val="000000"/>
          <w:sz w:val="20"/>
          <w:szCs w:val="20"/>
        </w:rPr>
      </w:pPr>
    </w:p>
    <w:p w:rsidR="0058758A" w:rsidRDefault="001E21A2" w:rsidP="0058758A">
      <w:pPr>
        <w:tabs>
          <w:tab w:val="left" w:pos="6237"/>
        </w:tabs>
      </w:pPr>
      <w:r>
        <w:t xml:space="preserve">                          Warszawa, </w:t>
      </w:r>
      <w:bookmarkStart w:id="0" w:name="ezdDataPodpisu"/>
      <w:r>
        <w:t>23 lipca 2021 r.</w:t>
      </w:r>
      <w:bookmarkEnd w:id="0"/>
    </w:p>
    <w:p w:rsidR="0058758A" w:rsidRDefault="001E21A2" w:rsidP="0058758A"/>
    <w:p w:rsidR="0058758A" w:rsidRDefault="001E21A2" w:rsidP="0058758A"/>
    <w:p w:rsidR="0058758A" w:rsidRDefault="001E21A2" w:rsidP="0058758A"/>
    <w:p w:rsidR="0058758A" w:rsidRDefault="001E21A2" w:rsidP="0058758A"/>
    <w:p w:rsidR="0058758A" w:rsidRPr="00D85864" w:rsidRDefault="001E21A2" w:rsidP="0058758A">
      <w:pPr>
        <w:spacing w:line="276" w:lineRule="auto"/>
      </w:pPr>
    </w:p>
    <w:p w:rsidR="0058758A" w:rsidRPr="00283966" w:rsidRDefault="001E21A2" w:rsidP="0058758A">
      <w:pPr>
        <w:spacing w:line="276" w:lineRule="auto"/>
        <w:rPr>
          <w:sz w:val="20"/>
        </w:rPr>
      </w:pPr>
      <w:r>
        <w:rPr>
          <w:sz w:val="20"/>
        </w:rPr>
        <w:t xml:space="preserve">          </w:t>
      </w:r>
      <w:bookmarkStart w:id="1" w:name="_GoBack"/>
      <w:r>
        <w:rPr>
          <w:sz w:val="20"/>
        </w:rPr>
        <w:t>WNP-I.4131.158</w:t>
      </w:r>
      <w:r w:rsidRPr="00283966">
        <w:rPr>
          <w:sz w:val="20"/>
        </w:rPr>
        <w:t>.2021</w:t>
      </w:r>
      <w:r>
        <w:rPr>
          <w:sz w:val="20"/>
        </w:rPr>
        <w:t>.KS</w:t>
      </w:r>
    </w:p>
    <w:bookmarkEnd w:id="1"/>
    <w:p w:rsidR="0058758A" w:rsidRPr="00A433E2" w:rsidRDefault="001E21A2" w:rsidP="0058758A">
      <w:pPr>
        <w:spacing w:line="276" w:lineRule="auto"/>
        <w:rPr>
          <w:sz w:val="20"/>
        </w:rPr>
      </w:pPr>
    </w:p>
    <w:p w:rsidR="0058758A" w:rsidRPr="00A433E2" w:rsidRDefault="001E21A2" w:rsidP="0058758A">
      <w:pPr>
        <w:tabs>
          <w:tab w:val="left" w:pos="4095"/>
        </w:tabs>
        <w:spacing w:line="276" w:lineRule="auto"/>
        <w:rPr>
          <w:sz w:val="20"/>
        </w:rPr>
      </w:pPr>
    </w:p>
    <w:p w:rsidR="0058758A" w:rsidRPr="00D114FC" w:rsidRDefault="001E21A2" w:rsidP="0058758A">
      <w:pPr>
        <w:suppressAutoHyphens/>
        <w:ind w:left="4678" w:right="-468"/>
        <w:jc w:val="both"/>
        <w:rPr>
          <w:b/>
          <w:sz w:val="28"/>
          <w:lang w:eastAsia="ar-SA"/>
        </w:rPr>
      </w:pPr>
      <w:r>
        <w:rPr>
          <w:b/>
          <w:sz w:val="28"/>
          <w:lang w:eastAsia="ar-SA"/>
        </w:rPr>
        <w:t>Rada Miejska Góry Kalwarii</w:t>
      </w:r>
    </w:p>
    <w:p w:rsidR="0058758A" w:rsidRDefault="001E21A2" w:rsidP="0058758A">
      <w:pPr>
        <w:suppressAutoHyphens/>
        <w:ind w:left="4678" w:right="-468"/>
        <w:jc w:val="both"/>
        <w:rPr>
          <w:b/>
          <w:sz w:val="28"/>
          <w:lang w:eastAsia="ar-SA"/>
        </w:rPr>
      </w:pPr>
      <w:r>
        <w:rPr>
          <w:b/>
          <w:sz w:val="28"/>
          <w:lang w:eastAsia="ar-SA"/>
        </w:rPr>
        <w:t xml:space="preserve">Rynek im. Biskupa </w:t>
      </w:r>
    </w:p>
    <w:p w:rsidR="0058758A" w:rsidRPr="00D114FC" w:rsidRDefault="001E21A2" w:rsidP="0058758A">
      <w:pPr>
        <w:suppressAutoHyphens/>
        <w:ind w:left="4678" w:right="-468"/>
        <w:jc w:val="both"/>
        <w:rPr>
          <w:b/>
          <w:sz w:val="28"/>
          <w:lang w:eastAsia="ar-SA"/>
        </w:rPr>
      </w:pPr>
      <w:r>
        <w:rPr>
          <w:b/>
          <w:sz w:val="28"/>
          <w:lang w:eastAsia="ar-SA"/>
        </w:rPr>
        <w:t>Stefana Wierzbowskiego 1</w:t>
      </w:r>
    </w:p>
    <w:p w:rsidR="0058758A" w:rsidRPr="00D114FC" w:rsidRDefault="001E21A2" w:rsidP="0058758A">
      <w:pPr>
        <w:spacing w:line="276" w:lineRule="auto"/>
        <w:ind w:left="4678"/>
        <w:jc w:val="both"/>
      </w:pPr>
      <w:r>
        <w:rPr>
          <w:b/>
          <w:sz w:val="28"/>
          <w:lang w:eastAsia="ar-SA"/>
        </w:rPr>
        <w:t>05-530 Góra Kalwaria</w:t>
      </w:r>
    </w:p>
    <w:p w:rsidR="0058758A" w:rsidRDefault="001E21A2" w:rsidP="0058758A">
      <w:pPr>
        <w:spacing w:line="276" w:lineRule="auto"/>
        <w:jc w:val="both"/>
        <w:rPr>
          <w:i/>
        </w:rPr>
      </w:pPr>
    </w:p>
    <w:p w:rsidR="0058758A" w:rsidRDefault="001E21A2" w:rsidP="0058758A">
      <w:pPr>
        <w:spacing w:line="276" w:lineRule="auto"/>
        <w:jc w:val="both"/>
        <w:rPr>
          <w:i/>
        </w:rPr>
      </w:pPr>
    </w:p>
    <w:p w:rsidR="0058758A" w:rsidRPr="00283966" w:rsidRDefault="001E21A2" w:rsidP="00EF10DC">
      <w:pPr>
        <w:spacing w:line="276" w:lineRule="auto"/>
        <w:ind w:left="284" w:right="130"/>
        <w:jc w:val="both"/>
      </w:pPr>
    </w:p>
    <w:p w:rsidR="0058758A" w:rsidRPr="00D114FC" w:rsidRDefault="001E21A2" w:rsidP="00EF10DC">
      <w:pPr>
        <w:spacing w:line="360" w:lineRule="auto"/>
        <w:ind w:left="284" w:right="130"/>
        <w:jc w:val="center"/>
        <w:rPr>
          <w:b/>
        </w:rPr>
      </w:pPr>
      <w:r w:rsidRPr="00D114FC">
        <w:rPr>
          <w:b/>
        </w:rPr>
        <w:t>Rozstrzygnięcie nadzorcze</w:t>
      </w:r>
    </w:p>
    <w:p w:rsidR="0058758A" w:rsidRPr="00D114FC" w:rsidRDefault="001E21A2" w:rsidP="00EF10DC">
      <w:pPr>
        <w:spacing w:line="360" w:lineRule="auto"/>
        <w:ind w:left="284" w:right="130"/>
        <w:jc w:val="both"/>
      </w:pPr>
      <w:r w:rsidRPr="00D114FC">
        <w:t xml:space="preserve">Działając na podstawie art. 91 ust. 1, w związku z art. 86 ustawy z dnia 8 marca 1990 r. </w:t>
      </w:r>
      <w:r>
        <w:br/>
        <w:t xml:space="preserve">o samorządzie gminnym (Dz. U. z 2020 </w:t>
      </w:r>
      <w:r w:rsidRPr="00D114FC">
        <w:t>r. poz. 713, z późn. zm.)</w:t>
      </w:r>
    </w:p>
    <w:p w:rsidR="0058758A" w:rsidRPr="00D114FC" w:rsidRDefault="001E21A2" w:rsidP="00EF10DC">
      <w:pPr>
        <w:spacing w:line="360" w:lineRule="auto"/>
        <w:ind w:left="284" w:right="130"/>
        <w:jc w:val="center"/>
        <w:rPr>
          <w:b/>
        </w:rPr>
      </w:pPr>
      <w:r w:rsidRPr="00D114FC">
        <w:rPr>
          <w:b/>
        </w:rPr>
        <w:t>stwierdzam nieważność</w:t>
      </w:r>
    </w:p>
    <w:p w:rsidR="0058758A" w:rsidRDefault="001E21A2" w:rsidP="00EF10DC">
      <w:pPr>
        <w:spacing w:line="360" w:lineRule="auto"/>
        <w:ind w:left="284" w:right="130"/>
        <w:jc w:val="both"/>
        <w:rPr>
          <w:i/>
        </w:rPr>
      </w:pPr>
      <w:r>
        <w:t>uchwały Rady Miejskiej Góry Kalwarii Nr LIV/</w:t>
      </w:r>
      <w:r>
        <w:t>474/2021 z dnia 23 czerwca</w:t>
      </w:r>
      <w:r>
        <w:t xml:space="preserve"> 2021 r. </w:t>
      </w:r>
      <w:r>
        <w:rPr>
          <w:i/>
        </w:rPr>
        <w:t xml:space="preserve">zmieniająca uchwałę w sprawie przyjęcia regulaminu korzystania z obiektów sportowo-rekreacyjnych zlokalizowanych na terenie Gminy Góra Kalwaria </w:t>
      </w:r>
      <w:r>
        <w:rPr>
          <w:b/>
        </w:rPr>
        <w:t xml:space="preserve">w zakresie </w:t>
      </w:r>
      <w:r w:rsidRPr="004E51B8">
        <w:rPr>
          <w:b/>
        </w:rPr>
        <w:t>ust. 7 lit. a</w:t>
      </w:r>
      <w:r w:rsidRPr="004E51B8">
        <w:rPr>
          <w:b/>
        </w:rPr>
        <w:t>, ust. 10</w:t>
      </w:r>
      <w:r w:rsidRPr="004E51B8">
        <w:rPr>
          <w:b/>
        </w:rPr>
        <w:t xml:space="preserve"> Załącznika </w:t>
      </w:r>
      <w:r w:rsidRPr="004E51B8">
        <w:rPr>
          <w:b/>
        </w:rPr>
        <w:t xml:space="preserve">Nr 1 </w:t>
      </w:r>
      <w:r w:rsidRPr="004E51B8">
        <w:rPr>
          <w:b/>
        </w:rPr>
        <w:t>do uchwały</w:t>
      </w:r>
      <w:r w:rsidRPr="004E51B8">
        <w:rPr>
          <w:b/>
        </w:rPr>
        <w:t xml:space="preserve"> </w:t>
      </w:r>
      <w:r w:rsidRPr="004E51B8">
        <w:rPr>
          <w:b/>
        </w:rPr>
        <w:t xml:space="preserve">pn. </w:t>
      </w:r>
      <w:r w:rsidRPr="004E51B8">
        <w:rPr>
          <w:b/>
          <w:i/>
        </w:rPr>
        <w:t>,,Regulamin korzystania z placów zabaw zlokalizowanych na terenie Gminy Góra Kalwaria”</w:t>
      </w:r>
      <w:r w:rsidRPr="004E51B8">
        <w:rPr>
          <w:b/>
        </w:rPr>
        <w:t xml:space="preserve"> </w:t>
      </w:r>
      <w:r w:rsidRPr="004E51B8">
        <w:rPr>
          <w:b/>
        </w:rPr>
        <w:t>oraz ust. 2, ust. 7, ust. 11</w:t>
      </w:r>
      <w:r w:rsidRPr="004E51B8">
        <w:rPr>
          <w:b/>
        </w:rPr>
        <w:t xml:space="preserve"> lit. </w:t>
      </w:r>
      <w:r w:rsidRPr="004E51B8">
        <w:rPr>
          <w:b/>
        </w:rPr>
        <w:t>b Załącznika Nr 2 do uchwały</w:t>
      </w:r>
      <w:r w:rsidRPr="004E51B8">
        <w:rPr>
          <w:b/>
        </w:rPr>
        <w:t xml:space="preserve"> pn. </w:t>
      </w:r>
      <w:r w:rsidRPr="004E51B8">
        <w:rPr>
          <w:b/>
          <w:i/>
        </w:rPr>
        <w:t xml:space="preserve">,,Regulamin siłowni zewnętrznych zlokalizowanych </w:t>
      </w:r>
      <w:r>
        <w:rPr>
          <w:b/>
          <w:i/>
        </w:rPr>
        <w:br/>
      </w:r>
      <w:r w:rsidRPr="004E51B8">
        <w:rPr>
          <w:b/>
          <w:i/>
        </w:rPr>
        <w:t>na terenie Gminy Gór</w:t>
      </w:r>
      <w:r w:rsidRPr="004E51B8">
        <w:rPr>
          <w:b/>
          <w:i/>
        </w:rPr>
        <w:t>a Kalwaria”</w:t>
      </w:r>
      <w:r w:rsidRPr="004E51B8">
        <w:t>.</w:t>
      </w:r>
    </w:p>
    <w:p w:rsidR="0058758A" w:rsidRDefault="001E21A2" w:rsidP="00EF10DC">
      <w:pPr>
        <w:spacing w:line="360" w:lineRule="auto"/>
        <w:ind w:left="284" w:right="130"/>
        <w:jc w:val="center"/>
        <w:rPr>
          <w:b/>
        </w:rPr>
      </w:pPr>
      <w:r w:rsidRPr="00BF6A9D">
        <w:rPr>
          <w:b/>
        </w:rPr>
        <w:t>Uzasadnienie</w:t>
      </w:r>
    </w:p>
    <w:p w:rsidR="00B417DC" w:rsidRDefault="001E21A2" w:rsidP="00EF10DC">
      <w:pPr>
        <w:suppressAutoHyphens/>
        <w:spacing w:line="360" w:lineRule="auto"/>
        <w:ind w:left="284" w:right="130" w:firstLine="708"/>
        <w:jc w:val="both"/>
        <w:rPr>
          <w:i/>
        </w:rPr>
      </w:pPr>
      <w:r w:rsidRPr="002F3AE6">
        <w:rPr>
          <w:bCs/>
          <w:lang w:eastAsia="ar-SA"/>
        </w:rPr>
        <w:t xml:space="preserve">Na sesji, która </w:t>
      </w:r>
      <w:r>
        <w:rPr>
          <w:bCs/>
          <w:lang w:eastAsia="ar-SA"/>
        </w:rPr>
        <w:t>odbyła się w dniu 2</w:t>
      </w:r>
      <w:r>
        <w:rPr>
          <w:bCs/>
          <w:lang w:eastAsia="ar-SA"/>
        </w:rPr>
        <w:t>3 czerwca</w:t>
      </w:r>
      <w:r>
        <w:rPr>
          <w:bCs/>
          <w:lang w:eastAsia="ar-SA"/>
        </w:rPr>
        <w:t xml:space="preserve"> 2021 </w:t>
      </w:r>
      <w:r w:rsidRPr="002F3AE6">
        <w:rPr>
          <w:bCs/>
          <w:lang w:eastAsia="ar-SA"/>
        </w:rPr>
        <w:t xml:space="preserve">r. Rada Miejska Góry Kalwarii </w:t>
      </w:r>
      <w:r>
        <w:rPr>
          <w:bCs/>
          <w:lang w:eastAsia="ar-SA"/>
        </w:rPr>
        <w:t>podjęła uchwałę Nr LIV/474</w:t>
      </w:r>
      <w:r>
        <w:rPr>
          <w:bCs/>
          <w:lang w:eastAsia="ar-SA"/>
        </w:rPr>
        <w:t>/2021</w:t>
      </w:r>
      <w:r>
        <w:rPr>
          <w:i/>
        </w:rPr>
        <w:t xml:space="preserve"> zmieniająca uchwałę w sprawie przyjęcia regulaminu korzystania z obiektów sportowo-rekreacyjnych zlokalizowanych na terenie Gminy Góra Kalwaria.</w:t>
      </w:r>
    </w:p>
    <w:p w:rsidR="00C37DAF" w:rsidRDefault="001E21A2" w:rsidP="00C37DAF">
      <w:pPr>
        <w:suppressAutoHyphens/>
        <w:spacing w:line="360" w:lineRule="auto"/>
        <w:ind w:left="284" w:right="130" w:firstLine="708"/>
        <w:jc w:val="both"/>
        <w:rPr>
          <w:b/>
          <w:lang w:eastAsia="ar-SA"/>
        </w:rPr>
      </w:pPr>
      <w:r>
        <w:rPr>
          <w:rFonts w:eastAsia="Calibri"/>
          <w:bCs/>
          <w:iCs/>
          <w:lang w:eastAsia="en-US"/>
        </w:rPr>
        <w:t xml:space="preserve">Uchwała została doręczona organowi nadzoru </w:t>
      </w:r>
      <w:r>
        <w:rPr>
          <w:rFonts w:eastAsia="Calibri"/>
          <w:bCs/>
          <w:iCs/>
          <w:lang w:eastAsia="en-US"/>
        </w:rPr>
        <w:t>w dniu 30 czerwca</w:t>
      </w:r>
      <w:r>
        <w:rPr>
          <w:rFonts w:eastAsia="Calibri"/>
          <w:bCs/>
          <w:iCs/>
          <w:lang w:eastAsia="en-US"/>
        </w:rPr>
        <w:t xml:space="preserve"> 2021 r. </w:t>
      </w:r>
    </w:p>
    <w:p w:rsidR="00C37DAF" w:rsidRDefault="001E21A2" w:rsidP="00C37DAF">
      <w:pPr>
        <w:suppressAutoHyphens/>
        <w:spacing w:line="360" w:lineRule="auto"/>
        <w:ind w:left="284" w:right="130" w:firstLine="708"/>
        <w:jc w:val="both"/>
        <w:rPr>
          <w:b/>
          <w:lang w:eastAsia="ar-SA"/>
        </w:rPr>
      </w:pPr>
      <w:r w:rsidRPr="002F3AE6">
        <w:rPr>
          <w:rFonts w:eastAsia="MS Mincho"/>
        </w:rPr>
        <w:t xml:space="preserve">Podstawę prawną skarżonej uchwały stanowi </w:t>
      </w:r>
      <w:r>
        <w:rPr>
          <w:rFonts w:eastAsia="MS Mincho"/>
        </w:rPr>
        <w:t>art. 40</w:t>
      </w:r>
      <w:r w:rsidRPr="002F3AE6">
        <w:rPr>
          <w:rFonts w:eastAsia="MS Mincho"/>
        </w:rPr>
        <w:t xml:space="preserve"> </w:t>
      </w:r>
      <w:r>
        <w:rPr>
          <w:rFonts w:eastAsia="MS Mincho"/>
        </w:rPr>
        <w:t xml:space="preserve">ust. 2 pkt 4 ustawy </w:t>
      </w:r>
      <w:r>
        <w:t>o samorządzie gminnym, zwanej dalej ,,u.s.g”.</w:t>
      </w:r>
      <w:r>
        <w:t xml:space="preserve"> </w:t>
      </w:r>
    </w:p>
    <w:p w:rsidR="006F52E7" w:rsidRPr="00C37DAF" w:rsidRDefault="001E21A2" w:rsidP="00C37DAF">
      <w:pPr>
        <w:suppressAutoHyphens/>
        <w:spacing w:line="360" w:lineRule="auto"/>
        <w:ind w:left="284" w:right="130" w:firstLine="708"/>
        <w:jc w:val="both"/>
        <w:rPr>
          <w:b/>
          <w:lang w:eastAsia="ar-SA"/>
        </w:rPr>
      </w:pPr>
      <w:r>
        <w:t xml:space="preserve">Kwestionowana uchwała zawiera </w:t>
      </w:r>
      <w:r w:rsidRPr="006F52E7">
        <w:t xml:space="preserve">Załącznik Nr 1 pn. </w:t>
      </w:r>
      <w:r w:rsidRPr="006F52E7">
        <w:rPr>
          <w:i/>
        </w:rPr>
        <w:t xml:space="preserve">,,Regulamin korzystania </w:t>
      </w:r>
      <w:r>
        <w:rPr>
          <w:i/>
        </w:rPr>
        <w:br/>
      </w:r>
      <w:r w:rsidRPr="006F52E7">
        <w:rPr>
          <w:i/>
        </w:rPr>
        <w:t>z placów zabaw zlokalizowanych na terenie Gminy Góra Kalwaria”</w:t>
      </w:r>
      <w:r>
        <w:rPr>
          <w:i/>
        </w:rPr>
        <w:t xml:space="preserve">, </w:t>
      </w:r>
      <w:r>
        <w:t>z</w:t>
      </w:r>
      <w:r>
        <w:t>wany</w:t>
      </w:r>
      <w:r w:rsidRPr="006F52E7">
        <w:t xml:space="preserve"> dalej </w:t>
      </w:r>
      <w:r w:rsidRPr="009670FF">
        <w:rPr>
          <w:i/>
        </w:rPr>
        <w:t>,,regulaminem korzystania z placów zabaw”</w:t>
      </w:r>
      <w:r w:rsidRPr="006F52E7">
        <w:t xml:space="preserve"> oraz Załącznik Nr 2 pn. </w:t>
      </w:r>
      <w:r w:rsidRPr="006F52E7">
        <w:rPr>
          <w:i/>
        </w:rPr>
        <w:t xml:space="preserve">,,Regulamin siłowni </w:t>
      </w:r>
      <w:r w:rsidRPr="006F52E7">
        <w:rPr>
          <w:i/>
        </w:rPr>
        <w:lastRenderedPageBreak/>
        <w:t>zewnętrznych zlokalizowanych na terenie Gminy Góra Kalwaria”</w:t>
      </w:r>
      <w:r>
        <w:t>, zwany</w:t>
      </w:r>
      <w:r>
        <w:t xml:space="preserve"> dalej </w:t>
      </w:r>
      <w:r w:rsidRPr="009670FF">
        <w:rPr>
          <w:i/>
        </w:rPr>
        <w:t>,,regulaminem siłowni</w:t>
      </w:r>
      <w:r w:rsidRPr="009670FF">
        <w:rPr>
          <w:i/>
        </w:rPr>
        <w:t xml:space="preserve"> zewnętrznych</w:t>
      </w:r>
      <w:r w:rsidRPr="009670FF">
        <w:rPr>
          <w:i/>
        </w:rPr>
        <w:t>”</w:t>
      </w:r>
      <w:r>
        <w:t>.</w:t>
      </w:r>
      <w:r>
        <w:t xml:space="preserve"> </w:t>
      </w:r>
    </w:p>
    <w:p w:rsidR="003F70F3" w:rsidRPr="00273EED" w:rsidRDefault="001E21A2" w:rsidP="00273EED">
      <w:pPr>
        <w:spacing w:line="360" w:lineRule="auto"/>
        <w:ind w:left="284" w:right="130" w:firstLine="572"/>
        <w:jc w:val="both"/>
        <w:rPr>
          <w:rFonts w:eastAsiaTheme="minorHAnsi"/>
          <w:b/>
          <w:i/>
          <w:lang w:eastAsia="en-US"/>
        </w:rPr>
      </w:pPr>
      <w:r w:rsidRPr="001D10C4">
        <w:t>Należy wskazać, ż</w:t>
      </w:r>
      <w:r>
        <w:t xml:space="preserve">e zgodnie </w:t>
      </w:r>
      <w:r>
        <w:t>art. 7 ust. 1 u.s.g.</w:t>
      </w:r>
      <w:r>
        <w:t xml:space="preserve"> </w:t>
      </w:r>
      <w:r w:rsidRPr="001D10C4">
        <w:t>zaspokajanie zbiorowych potrzeb wspólnoty należy do zadań w</w:t>
      </w:r>
      <w:r>
        <w:t>łasnych gminy. Z</w:t>
      </w:r>
      <w:r w:rsidRPr="001D10C4">
        <w:t xml:space="preserve">adania własne </w:t>
      </w:r>
      <w:r>
        <w:t xml:space="preserve">gminy </w:t>
      </w:r>
      <w:r w:rsidRPr="001D10C4">
        <w:t>obejmują</w:t>
      </w:r>
      <w:r>
        <w:t xml:space="preserve"> między innymi</w:t>
      </w:r>
      <w:r w:rsidRPr="001D10C4">
        <w:t xml:space="preserve"> </w:t>
      </w:r>
      <w:r>
        <w:t>sprawy kultury fizycznej i turystyki, w tym terenów rekreacyjnych i urządzeń sportowych</w:t>
      </w:r>
      <w:r w:rsidRPr="00273EED">
        <w:t xml:space="preserve"> </w:t>
      </w:r>
      <w:r>
        <w:t>(art. 7 ust. 1 pkt 10</w:t>
      </w:r>
      <w:r w:rsidRPr="001D10C4">
        <w:t xml:space="preserve"> u.s.g.</w:t>
      </w:r>
      <w:r>
        <w:t>)</w:t>
      </w:r>
      <w:r w:rsidRPr="001D10C4">
        <w:t>.</w:t>
      </w:r>
      <w:r w:rsidRPr="001D10C4">
        <w:rPr>
          <w:rFonts w:ascii="Calibri" w:hAnsi="Calibri" w:cs="Calibri"/>
        </w:rPr>
        <w:t xml:space="preserve"> </w:t>
      </w:r>
      <w:r w:rsidRPr="001D10C4">
        <w:t xml:space="preserve">Natomiast </w:t>
      </w:r>
      <w:r>
        <w:t>z</w:t>
      </w:r>
      <w:r w:rsidRPr="00B767B5">
        <w:t xml:space="preserve">godnie </w:t>
      </w:r>
      <w:r w:rsidRPr="00B767B5">
        <w:t>z art. 40 us</w:t>
      </w:r>
      <w:r>
        <w:t xml:space="preserve">t. 1 u.s.g. gminie na podstawie </w:t>
      </w:r>
      <w:r w:rsidRPr="00B767B5">
        <w:t>upoważnień ustawowych przysługuje prawo stanowienia aktów prawa miejscowego obowiązujących na obszarze gminy. Z kolei zgodnie z dyspozycją art. 40 ust. 2 pkt 4 u.s.g. na podstawie ww. ustawy organy gminy mogą wyd</w:t>
      </w:r>
      <w:r w:rsidRPr="00B767B5">
        <w:t xml:space="preserve">awać akty prawa miejscowego w zakresie zasad i trybu korzystania z gminnych obiektów i urządzeń użyteczności publicznej. </w:t>
      </w:r>
      <w:r>
        <w:t xml:space="preserve">Niewątpliwie </w:t>
      </w:r>
      <w:r>
        <w:t>place zabaw oraz siłownie zewnętrzne</w:t>
      </w:r>
      <w:r>
        <w:t xml:space="preserve"> należ</w:t>
      </w:r>
      <w:r>
        <w:t>ą</w:t>
      </w:r>
      <w:r w:rsidRPr="00B767B5">
        <w:t xml:space="preserve"> </w:t>
      </w:r>
      <w:r>
        <w:br/>
      </w:r>
      <w:r w:rsidRPr="00B767B5">
        <w:t>d</w:t>
      </w:r>
      <w:r>
        <w:t>o kategorii obiektów użyteczności publicznej, Gmina Góra Kalwaria organi</w:t>
      </w:r>
      <w:r>
        <w:t xml:space="preserve">zując tereny rekreacyjne oraz urządzenia sportowe na swoim terenie </w:t>
      </w:r>
      <w:r>
        <w:t xml:space="preserve">dla mieszkańców, realizuje swe zadania z zakresu użyteczności publicznej. Następnie należy podkreślić, że </w:t>
      </w:r>
      <w:r w:rsidRPr="00B767B5">
        <w:rPr>
          <w:rFonts w:eastAsiaTheme="minorHAnsi"/>
          <w:lang w:eastAsia="en-US"/>
        </w:rPr>
        <w:t xml:space="preserve">użyte przez ustawodawcę pojęcie </w:t>
      </w:r>
      <w:r w:rsidRPr="00B767B5">
        <w:rPr>
          <w:rFonts w:eastAsiaTheme="minorHAnsi"/>
          <w:i/>
          <w:lang w:eastAsia="en-US"/>
        </w:rPr>
        <w:t>,,zasady i tryb korzystania”</w:t>
      </w:r>
      <w:r w:rsidRPr="00B767B5">
        <w:rPr>
          <w:rFonts w:eastAsiaTheme="minorHAnsi"/>
          <w:lang w:eastAsia="en-US"/>
        </w:rPr>
        <w:t xml:space="preserve"> zawiera w sobie kompet</w:t>
      </w:r>
      <w:r w:rsidRPr="00B767B5">
        <w:rPr>
          <w:rFonts w:eastAsiaTheme="minorHAnsi"/>
          <w:lang w:eastAsia="en-US"/>
        </w:rPr>
        <w:t>encję organu stanowiącego gminy do formułowania, w stosunku do obiektów i urządzeń użyteczności publicznej, norm i zasad postępowania. Jednakże należy wskazać, że stanowiąc na podstawie cytowanego przepisu akt prawa miejscowego, organ stanowiący gminy jest</w:t>
      </w:r>
      <w:r w:rsidRPr="00B767B5">
        <w:rPr>
          <w:rFonts w:eastAsiaTheme="minorHAnsi"/>
          <w:lang w:eastAsia="en-US"/>
        </w:rPr>
        <w:t xml:space="preserve"> ograniczony obowiązującym porządkiem prawnym, którego nie może w sposób dowolny naruszać </w:t>
      </w:r>
      <w:r>
        <w:rPr>
          <w:rFonts w:eastAsiaTheme="minorHAnsi"/>
          <w:lang w:eastAsia="en-US"/>
        </w:rPr>
        <w:t>l</w:t>
      </w:r>
      <w:r w:rsidRPr="00B767B5">
        <w:rPr>
          <w:rFonts w:eastAsiaTheme="minorHAnsi"/>
          <w:lang w:eastAsia="en-US"/>
        </w:rPr>
        <w:t xml:space="preserve">ub modyfikować (wyrok </w:t>
      </w:r>
      <w:r>
        <w:rPr>
          <w:rFonts w:eastAsiaTheme="minorHAnsi"/>
          <w:lang w:eastAsia="en-US"/>
        </w:rPr>
        <w:t>WSA</w:t>
      </w:r>
      <w:r w:rsidRPr="00B767B5">
        <w:rPr>
          <w:rFonts w:eastAsiaTheme="minorHAnsi"/>
          <w:lang w:eastAsia="en-US"/>
        </w:rPr>
        <w:t xml:space="preserve"> w Gorzowie Wielkopolskim z dnia 23 listopada 2017 r. sygn. akt </w:t>
      </w:r>
      <w:hyperlink r:id="rId7" w:history="1">
        <w:r w:rsidRPr="00B767B5">
          <w:rPr>
            <w:rFonts w:eastAsiaTheme="minorHAnsi"/>
            <w:lang w:eastAsia="en-US"/>
          </w:rPr>
          <w:t>II SA/Go 932/17</w:t>
        </w:r>
      </w:hyperlink>
      <w:r w:rsidRPr="00B767B5">
        <w:rPr>
          <w:rFonts w:eastAsiaTheme="minorHAnsi"/>
          <w:lang w:eastAsia="en-US"/>
        </w:rPr>
        <w:t xml:space="preserve">). Nadto </w:t>
      </w:r>
      <w:r>
        <w:rPr>
          <w:rFonts w:eastAsiaTheme="minorHAnsi"/>
          <w:lang w:eastAsia="en-US"/>
        </w:rPr>
        <w:t>WSA</w:t>
      </w:r>
      <w:r w:rsidRPr="00B767B5">
        <w:rPr>
          <w:rFonts w:eastAsiaTheme="minorHAnsi"/>
          <w:lang w:eastAsia="en-US"/>
        </w:rPr>
        <w:t xml:space="preserve"> w Gorzowie Wielkopolskim w wyroku z dnia 28 marca 2018 r. sygn. akt </w:t>
      </w:r>
      <w:hyperlink r:id="rId8" w:history="1">
        <w:r w:rsidRPr="00B767B5">
          <w:rPr>
            <w:rFonts w:eastAsiaTheme="minorHAnsi"/>
            <w:lang w:eastAsia="en-US"/>
          </w:rPr>
          <w:t>II SA/Go 97/18</w:t>
        </w:r>
      </w:hyperlink>
      <w:r w:rsidRPr="00B767B5">
        <w:rPr>
          <w:rFonts w:eastAsiaTheme="minorHAnsi"/>
          <w:lang w:eastAsia="en-US"/>
        </w:rPr>
        <w:t xml:space="preserve"> wskazał dodatkowo, że: ,,</w:t>
      </w:r>
      <w:r w:rsidRPr="00B767B5">
        <w:rPr>
          <w:rFonts w:eastAsiaTheme="minorHAnsi"/>
          <w:b/>
          <w:i/>
          <w:lang w:eastAsia="en-US"/>
        </w:rPr>
        <w:t>Regulaminy wyd</w:t>
      </w:r>
      <w:r w:rsidRPr="00B767B5">
        <w:rPr>
          <w:rFonts w:eastAsiaTheme="minorHAnsi"/>
          <w:b/>
          <w:i/>
          <w:lang w:eastAsia="en-US"/>
        </w:rPr>
        <w:t xml:space="preserve">awane na podstawie </w:t>
      </w:r>
      <w:hyperlink r:id="rId9" w:history="1">
        <w:r w:rsidRPr="00B767B5">
          <w:rPr>
            <w:rFonts w:eastAsiaTheme="minorHAnsi"/>
            <w:b/>
            <w:i/>
            <w:lang w:eastAsia="en-US"/>
          </w:rPr>
          <w:t>art. 40 ust. 2 pkt 4</w:t>
        </w:r>
      </w:hyperlink>
      <w:r w:rsidRPr="00B767B5">
        <w:rPr>
          <w:rFonts w:eastAsiaTheme="minorHAnsi"/>
          <w:b/>
          <w:i/>
          <w:lang w:eastAsia="en-US"/>
        </w:rPr>
        <w:t xml:space="preserve"> SamGminU nie mogą być utożsamiane z przepisami porządkowymi</w:t>
      </w:r>
      <w:r w:rsidRPr="00B767B5">
        <w:rPr>
          <w:rFonts w:eastAsiaTheme="minorHAnsi"/>
          <w:i/>
          <w:color w:val="000000"/>
          <w:shd w:val="clear" w:color="auto" w:fill="FFFFFF"/>
          <w:lang w:eastAsia="en-US"/>
        </w:rPr>
        <w:t xml:space="preserve"> (wyrok NSA z dnia 6 października 2009 r., sy</w:t>
      </w:r>
      <w:r w:rsidRPr="00B767B5">
        <w:rPr>
          <w:rFonts w:eastAsiaTheme="minorHAnsi"/>
          <w:i/>
          <w:color w:val="000000"/>
          <w:shd w:val="clear" w:color="auto" w:fill="FFFFFF"/>
          <w:lang w:eastAsia="en-US"/>
        </w:rPr>
        <w:t>gn. akt I OSK 252/09, Ł. Złakowski (w) R. Hauser, Z. Niewiadomski (red), u.s.g. Komentarz, C.H. Beck 2011, s. 438).</w:t>
      </w:r>
      <w:r w:rsidRPr="00B767B5">
        <w:rPr>
          <w:rFonts w:eastAsiaTheme="minorHAnsi"/>
          <w:i/>
          <w:lang w:eastAsia="en-US"/>
        </w:rPr>
        <w:t xml:space="preserve"> Użyte w </w:t>
      </w:r>
      <w:hyperlink r:id="rId10" w:history="1">
        <w:r w:rsidRPr="00B767B5">
          <w:rPr>
            <w:rFonts w:eastAsiaTheme="minorHAnsi"/>
            <w:i/>
            <w:lang w:eastAsia="en-US"/>
          </w:rPr>
          <w:t>art. 40 ust. 2 pkt 4</w:t>
        </w:r>
      </w:hyperlink>
      <w:r w:rsidRPr="00B767B5">
        <w:rPr>
          <w:rFonts w:eastAsiaTheme="minorHAnsi"/>
          <w:i/>
          <w:lang w:eastAsia="en-US"/>
        </w:rPr>
        <w:t xml:space="preserve"> SamGminU pojęcie ,,zasady i tryb korzystania” zawiera w sobie kompetencję organu stanowiącego gminy do formułowania w stosunku do obiektów i urządzeń użyteczności publicznej norm i zasad prawidłowego postępowania, ustalania obowiązujących reguł zachowania</w:t>
      </w:r>
      <w:r w:rsidRPr="00B767B5">
        <w:rPr>
          <w:rFonts w:eastAsiaTheme="minorHAnsi"/>
          <w:i/>
          <w:lang w:eastAsia="en-US"/>
        </w:rPr>
        <w:t xml:space="preserve"> się, określenia ustalonego porządku zachowania się. Oznacza to w konsekwencji uprawnienie rady gminy do wprowadzenia reguł dotyczących obowiązującego sposobu zachowania się podmiotów, które przebywają na terenach lub w obiektach o jakich mowa w </w:t>
      </w:r>
      <w:hyperlink r:id="rId11" w:history="1">
        <w:r w:rsidRPr="00B767B5">
          <w:rPr>
            <w:rFonts w:eastAsiaTheme="minorHAnsi"/>
            <w:i/>
            <w:lang w:eastAsia="en-US"/>
          </w:rPr>
          <w:t>art. 40 ust. 2 pkt 4</w:t>
        </w:r>
      </w:hyperlink>
      <w:r w:rsidRPr="00B767B5">
        <w:rPr>
          <w:rFonts w:eastAsiaTheme="minorHAnsi"/>
          <w:i/>
          <w:lang w:eastAsia="en-US"/>
        </w:rPr>
        <w:t xml:space="preserve"> SamGminU. </w:t>
      </w:r>
      <w:r w:rsidRPr="00B767B5">
        <w:rPr>
          <w:rFonts w:eastAsiaTheme="minorHAnsi"/>
          <w:b/>
          <w:i/>
          <w:lang w:eastAsia="en-US"/>
        </w:rPr>
        <w:t>Normy prawa miejscowego muszą bowiem ściśle mieścić się w granicach ustawowej delegacji, która w tym przypadku nie upoważni</w:t>
      </w:r>
      <w:r w:rsidRPr="00B767B5">
        <w:rPr>
          <w:rFonts w:eastAsiaTheme="minorHAnsi"/>
          <w:b/>
          <w:i/>
          <w:lang w:eastAsia="en-US"/>
        </w:rPr>
        <w:t>a do odstępstw od przepisów ogólnie obowiązujących.</w:t>
      </w:r>
      <w:r w:rsidRPr="00B767B5">
        <w:rPr>
          <w:rFonts w:eastAsiaTheme="minorHAnsi"/>
          <w:i/>
          <w:color w:val="000000"/>
          <w:shd w:val="clear" w:color="auto" w:fill="FFFFFF"/>
          <w:lang w:eastAsia="en-US"/>
        </w:rPr>
        <w:t xml:space="preserve"> </w:t>
      </w:r>
      <w:r w:rsidRPr="00B767B5">
        <w:rPr>
          <w:rFonts w:eastAsiaTheme="minorHAnsi"/>
          <w:i/>
          <w:color w:val="000000"/>
          <w:shd w:val="clear" w:color="auto" w:fill="FFFFFF"/>
          <w:lang w:eastAsia="en-US"/>
        </w:rPr>
        <w:lastRenderedPageBreak/>
        <w:t xml:space="preserve">Regulacje zawarte w akcie prawa miejscowego </w:t>
      </w:r>
      <w:r w:rsidRPr="00B767B5">
        <w:rPr>
          <w:rFonts w:eastAsiaTheme="minorHAnsi"/>
          <w:b/>
          <w:i/>
          <w:color w:val="000000"/>
          <w:shd w:val="clear" w:color="auto" w:fill="FFFFFF"/>
          <w:lang w:eastAsia="en-US"/>
        </w:rPr>
        <w:t xml:space="preserve">mają na celu jedynie uzupełnienie przepisów powszechnie obowiązujących rangi ustawowej, a zatem nie mogą </w:t>
      </w:r>
      <w:r>
        <w:rPr>
          <w:rFonts w:eastAsiaTheme="minorHAnsi"/>
          <w:b/>
          <w:i/>
          <w:color w:val="000000"/>
          <w:shd w:val="clear" w:color="auto" w:fill="FFFFFF"/>
          <w:lang w:eastAsia="en-US"/>
        </w:rPr>
        <w:br/>
      </w:r>
      <w:r w:rsidRPr="00B767B5">
        <w:rPr>
          <w:rFonts w:eastAsiaTheme="minorHAnsi"/>
          <w:b/>
          <w:i/>
          <w:color w:val="000000"/>
          <w:shd w:val="clear" w:color="auto" w:fill="FFFFFF"/>
          <w:lang w:eastAsia="en-US"/>
        </w:rPr>
        <w:t>ich zastępować, tak więc niedopuszczalne jest dokonywa</w:t>
      </w:r>
      <w:r w:rsidRPr="00B767B5">
        <w:rPr>
          <w:rFonts w:eastAsiaTheme="minorHAnsi"/>
          <w:b/>
          <w:i/>
          <w:color w:val="000000"/>
          <w:shd w:val="clear" w:color="auto" w:fill="FFFFFF"/>
          <w:lang w:eastAsia="en-US"/>
        </w:rPr>
        <w:t>nie powtórzeń przepisów zawartych w aktach wyższej rangi i tym bardziej poddaniu ich jakiejkolwiek modyfikacji</w:t>
      </w:r>
      <w:r w:rsidRPr="00B767B5">
        <w:rPr>
          <w:rFonts w:eastAsiaTheme="minorHAnsi"/>
          <w:i/>
          <w:color w:val="000000"/>
          <w:shd w:val="clear" w:color="auto" w:fill="FFFFFF"/>
          <w:lang w:eastAsia="en-US"/>
        </w:rPr>
        <w:t xml:space="preserve"> (por. wyrok</w:t>
      </w:r>
      <w:r>
        <w:rPr>
          <w:rFonts w:eastAsiaTheme="minorHAnsi"/>
          <w:i/>
          <w:color w:val="000000"/>
          <w:shd w:val="clear" w:color="auto" w:fill="FFFFFF"/>
          <w:lang w:eastAsia="en-US"/>
        </w:rPr>
        <w:t xml:space="preserve"> NSA </w:t>
      </w:r>
      <w:r w:rsidRPr="00B767B5">
        <w:rPr>
          <w:rFonts w:eastAsiaTheme="minorHAnsi"/>
          <w:i/>
          <w:color w:val="000000"/>
          <w:shd w:val="clear" w:color="auto" w:fill="FFFFFF"/>
          <w:lang w:eastAsia="en-US"/>
        </w:rPr>
        <w:t>z dnia 8 kwietnia 2008 r., II OSK 370/07)”</w:t>
      </w:r>
      <w:r w:rsidRPr="00B767B5">
        <w:rPr>
          <w:rFonts w:eastAsiaTheme="minorHAnsi"/>
          <w:color w:val="000000"/>
          <w:shd w:val="clear" w:color="auto" w:fill="FFFFFF"/>
          <w:lang w:eastAsia="en-US"/>
        </w:rPr>
        <w:t>.</w:t>
      </w:r>
    </w:p>
    <w:p w:rsidR="0058758A" w:rsidRPr="00B767B5" w:rsidRDefault="001E21A2" w:rsidP="00EF10DC">
      <w:pPr>
        <w:spacing w:line="360" w:lineRule="auto"/>
        <w:ind w:left="284" w:right="130" w:firstLine="709"/>
        <w:jc w:val="both"/>
      </w:pPr>
      <w:r w:rsidRPr="00B767B5">
        <w:t>Przenosząc powyższe na kanwę niniejszej sprawy wskaz</w:t>
      </w:r>
      <w:r>
        <w:t>ać n</w:t>
      </w:r>
      <w:r>
        <w:t xml:space="preserve">ależy na poniżej wymienione </w:t>
      </w:r>
      <w:r>
        <w:t>regulacje regulaminu, które wydane zostały</w:t>
      </w:r>
      <w:r w:rsidRPr="00B767B5">
        <w:t xml:space="preserve"> z istotnym naruszeniem prawa.</w:t>
      </w:r>
    </w:p>
    <w:p w:rsidR="0087222C" w:rsidRPr="009670FF" w:rsidRDefault="001E21A2" w:rsidP="00EF10DC">
      <w:pPr>
        <w:suppressAutoHyphens/>
        <w:spacing w:line="360" w:lineRule="auto"/>
        <w:ind w:left="284" w:right="130" w:firstLine="709"/>
        <w:jc w:val="both"/>
      </w:pPr>
      <w:r>
        <w:t xml:space="preserve">W </w:t>
      </w:r>
      <w:r w:rsidRPr="00A16E4E">
        <w:t>ust. 7 lit. a</w:t>
      </w:r>
      <w:r>
        <w:t xml:space="preserve"> </w:t>
      </w:r>
      <w:r w:rsidRPr="009670FF">
        <w:t>r</w:t>
      </w:r>
      <w:r w:rsidRPr="009670FF">
        <w:t>egulamin</w:t>
      </w:r>
      <w:r w:rsidRPr="009670FF">
        <w:t>u</w:t>
      </w:r>
      <w:r w:rsidRPr="009670FF">
        <w:t xml:space="preserve"> korzystania z placów zabaw</w:t>
      </w:r>
      <w:r w:rsidRPr="00B417DC">
        <w:rPr>
          <w:i/>
        </w:rPr>
        <w:t xml:space="preserve"> </w:t>
      </w:r>
      <w:r>
        <w:t xml:space="preserve">Rada Miejska postanowiła, że </w:t>
      </w:r>
      <w:r w:rsidRPr="00273EED">
        <w:t>z</w:t>
      </w:r>
      <w:r>
        <w:rPr>
          <w:i/>
        </w:rPr>
        <w:t>abrania si</w:t>
      </w:r>
      <w:r>
        <w:rPr>
          <w:i/>
        </w:rPr>
        <w:t>ę</w:t>
      </w:r>
      <w:r>
        <w:rPr>
          <w:i/>
        </w:rPr>
        <w:t xml:space="preserve"> wprowadzania zwierząt, z wyjątkiem psów przewodników osób niewidomych</w:t>
      </w:r>
      <w:r>
        <w:rPr>
          <w:i/>
        </w:rPr>
        <w:t>.</w:t>
      </w:r>
    </w:p>
    <w:p w:rsidR="00396FF7" w:rsidRPr="0087222C" w:rsidRDefault="001E21A2" w:rsidP="00EF10DC">
      <w:pPr>
        <w:suppressAutoHyphens/>
        <w:spacing w:line="360" w:lineRule="auto"/>
        <w:ind w:left="284" w:right="130" w:firstLine="709"/>
        <w:jc w:val="both"/>
        <w:rPr>
          <w:i/>
        </w:rPr>
      </w:pPr>
      <w:r w:rsidRPr="0087222C">
        <w:t xml:space="preserve">Z kolei w </w:t>
      </w:r>
      <w:r w:rsidRPr="0087222C">
        <w:t>ust. 1</w:t>
      </w:r>
      <w:r w:rsidRPr="0087222C">
        <w:t>1 lit</w:t>
      </w:r>
      <w:r>
        <w:t>.</w:t>
      </w:r>
      <w:r w:rsidRPr="0087222C">
        <w:t xml:space="preserve"> </w:t>
      </w:r>
      <w:r>
        <w:t>b</w:t>
      </w:r>
      <w:r w:rsidRPr="0087222C">
        <w:t xml:space="preserve"> </w:t>
      </w:r>
      <w:r>
        <w:t>r</w:t>
      </w:r>
      <w:r>
        <w:t>egulamin</w:t>
      </w:r>
      <w:r>
        <w:t>u</w:t>
      </w:r>
      <w:r>
        <w:t xml:space="preserve"> siłowni zewnętrznych Rada Miejska postanowiła, </w:t>
      </w:r>
      <w:r>
        <w:br/>
      </w:r>
      <w:r>
        <w:t xml:space="preserve">że </w:t>
      </w:r>
      <w:r>
        <w:rPr>
          <w:i/>
        </w:rPr>
        <w:t>na terenie siłowni zewnętrznej</w:t>
      </w:r>
      <w:r w:rsidRPr="000009EA">
        <w:rPr>
          <w:i/>
        </w:rPr>
        <w:t xml:space="preserve"> obowiązuje bezwzględny zakaz </w:t>
      </w:r>
      <w:r w:rsidRPr="000009EA">
        <w:rPr>
          <w:i/>
        </w:rPr>
        <w:t>wprowadzania zwierząt, z wyjątkiem psó</w:t>
      </w:r>
      <w:r>
        <w:rPr>
          <w:i/>
        </w:rPr>
        <w:t>w przewodników osób niewidomych</w:t>
      </w:r>
      <w:r>
        <w:rPr>
          <w:i/>
        </w:rPr>
        <w:t>.</w:t>
      </w:r>
    </w:p>
    <w:p w:rsidR="0058758A" w:rsidRDefault="001E21A2" w:rsidP="00EF10DC">
      <w:pPr>
        <w:spacing w:line="336" w:lineRule="auto"/>
        <w:ind w:left="284" w:right="130" w:firstLine="851"/>
        <w:jc w:val="both"/>
      </w:pPr>
      <w:r w:rsidRPr="005B42FC">
        <w:t>Wobec powyższego uznać należy, że Rada</w:t>
      </w:r>
      <w:r>
        <w:t xml:space="preserve"> Miejska</w:t>
      </w:r>
      <w:r>
        <w:t xml:space="preserve">, </w:t>
      </w:r>
      <w:r>
        <w:t>ustanawiając</w:t>
      </w:r>
      <w:r w:rsidRPr="005B42FC">
        <w:t xml:space="preserve"> </w:t>
      </w:r>
      <w:r>
        <w:rPr>
          <w:rFonts w:eastAsiaTheme="minorHAnsi"/>
          <w:lang w:eastAsia="en-US"/>
        </w:rPr>
        <w:t>zakaz</w:t>
      </w:r>
      <w:r>
        <w:rPr>
          <w:rFonts w:eastAsiaTheme="minorHAnsi"/>
          <w:lang w:eastAsia="en-US"/>
        </w:rPr>
        <w:t>y</w:t>
      </w:r>
      <w:r>
        <w:rPr>
          <w:rFonts w:eastAsiaTheme="minorHAnsi"/>
          <w:lang w:eastAsia="en-US"/>
        </w:rPr>
        <w:t xml:space="preserve"> wprowadzania na teren </w:t>
      </w:r>
      <w:r>
        <w:rPr>
          <w:rFonts w:eastAsiaTheme="minorHAnsi"/>
          <w:lang w:eastAsia="en-US"/>
        </w:rPr>
        <w:t>pl</w:t>
      </w:r>
      <w:r>
        <w:rPr>
          <w:rFonts w:eastAsiaTheme="minorHAnsi"/>
          <w:lang w:eastAsia="en-US"/>
        </w:rPr>
        <w:t>aców</w:t>
      </w:r>
      <w:r>
        <w:rPr>
          <w:rFonts w:eastAsiaTheme="minorHAnsi"/>
          <w:lang w:eastAsia="en-US"/>
        </w:rPr>
        <w:t xml:space="preserve"> zabaw</w:t>
      </w:r>
      <w:r>
        <w:rPr>
          <w:rFonts w:eastAsiaTheme="minorHAnsi"/>
          <w:lang w:eastAsia="en-US"/>
        </w:rPr>
        <w:t xml:space="preserve"> </w:t>
      </w:r>
      <w:r>
        <w:rPr>
          <w:rFonts w:eastAsiaTheme="minorHAnsi"/>
          <w:lang w:eastAsia="en-US"/>
        </w:rPr>
        <w:t>i siłowni zewn</w:t>
      </w:r>
      <w:r>
        <w:rPr>
          <w:rFonts w:eastAsiaTheme="minorHAnsi"/>
          <w:lang w:eastAsia="en-US"/>
        </w:rPr>
        <w:t>ę</w:t>
      </w:r>
      <w:r>
        <w:rPr>
          <w:rFonts w:eastAsiaTheme="minorHAnsi"/>
          <w:lang w:eastAsia="en-US"/>
        </w:rPr>
        <w:t>trz</w:t>
      </w:r>
      <w:r>
        <w:rPr>
          <w:rFonts w:eastAsiaTheme="minorHAnsi"/>
          <w:lang w:eastAsia="en-US"/>
        </w:rPr>
        <w:t>n</w:t>
      </w:r>
      <w:r>
        <w:rPr>
          <w:rFonts w:eastAsiaTheme="minorHAnsi"/>
          <w:lang w:eastAsia="en-US"/>
        </w:rPr>
        <w:t xml:space="preserve">ych </w:t>
      </w:r>
      <w:r>
        <w:rPr>
          <w:rFonts w:eastAsiaTheme="minorHAnsi"/>
          <w:lang w:eastAsia="en-US"/>
        </w:rPr>
        <w:t xml:space="preserve">psów, z wyłączeniem </w:t>
      </w:r>
      <w:r>
        <w:rPr>
          <w:rFonts w:eastAsiaTheme="minorHAnsi"/>
          <w:lang w:eastAsia="en-US"/>
        </w:rPr>
        <w:t>psów przewodników</w:t>
      </w:r>
      <w:r>
        <w:rPr>
          <w:rFonts w:eastAsiaTheme="minorHAnsi"/>
          <w:lang w:eastAsia="en-US"/>
        </w:rPr>
        <w:t xml:space="preserve"> i</w:t>
      </w:r>
      <w:r>
        <w:rPr>
          <w:rFonts w:eastAsiaTheme="minorHAnsi"/>
          <w:lang w:eastAsia="en-US"/>
        </w:rPr>
        <w:t xml:space="preserve"> osób niewidomych</w:t>
      </w:r>
      <w:r>
        <w:t xml:space="preserve">, </w:t>
      </w:r>
      <w:r w:rsidRPr="000009EA">
        <w:t>przekroczyła delegację ustawową</w:t>
      </w:r>
      <w:r w:rsidRPr="005B42FC">
        <w:t xml:space="preserve"> i zmodyfikowała wymogi ustaw szczególnych.</w:t>
      </w:r>
      <w:r>
        <w:t xml:space="preserve"> </w:t>
      </w:r>
    </w:p>
    <w:p w:rsidR="006B5605" w:rsidRDefault="001E21A2" w:rsidP="00EF10DC">
      <w:pPr>
        <w:spacing w:line="360" w:lineRule="auto"/>
        <w:ind w:left="284" w:right="130" w:firstLine="709"/>
        <w:jc w:val="both"/>
        <w:rPr>
          <w:rFonts w:eastAsiaTheme="minorHAnsi"/>
          <w:lang w:eastAsia="en-US"/>
        </w:rPr>
      </w:pPr>
      <w:r>
        <w:rPr>
          <w:rFonts w:eastAsiaTheme="minorHAnsi"/>
          <w:lang w:eastAsia="en-US"/>
        </w:rPr>
        <w:t>Należy wskazać, że kwestie uprawnień osób ko</w:t>
      </w:r>
      <w:r>
        <w:rPr>
          <w:rFonts w:eastAsiaTheme="minorHAnsi"/>
          <w:lang w:eastAsia="en-US"/>
        </w:rPr>
        <w:t>rzystających z pomocy specjalnie wyszkolonych psów reguluje ustawa</w:t>
      </w:r>
      <w:r w:rsidRPr="001829A3">
        <w:rPr>
          <w:rFonts w:eastAsiaTheme="minorHAnsi"/>
          <w:lang w:eastAsia="en-US"/>
        </w:rPr>
        <w:t xml:space="preserve"> </w:t>
      </w:r>
      <w:r>
        <w:rPr>
          <w:rFonts w:eastAsiaTheme="minorHAnsi"/>
          <w:lang w:eastAsia="en-US"/>
        </w:rPr>
        <w:t xml:space="preserve">z dnia 27 sierpnia 1997 r. </w:t>
      </w:r>
      <w:r w:rsidRPr="001829A3">
        <w:rPr>
          <w:rFonts w:eastAsiaTheme="minorHAnsi"/>
          <w:lang w:eastAsia="en-US"/>
        </w:rPr>
        <w:t xml:space="preserve">o rehabilitacji zawodowej </w:t>
      </w:r>
      <w:r>
        <w:rPr>
          <w:rFonts w:eastAsiaTheme="minorHAnsi"/>
          <w:lang w:eastAsia="en-US"/>
        </w:rPr>
        <w:br/>
      </w:r>
      <w:r w:rsidRPr="001829A3">
        <w:rPr>
          <w:rFonts w:eastAsiaTheme="minorHAnsi"/>
          <w:lang w:eastAsia="en-US"/>
        </w:rPr>
        <w:t>i społecznej oraz zatrudnieniu osób niepełnosprawnych (Dz. U. z 2021 r. poz. 573)</w:t>
      </w:r>
      <w:r>
        <w:rPr>
          <w:rFonts w:eastAsiaTheme="minorHAnsi"/>
          <w:lang w:eastAsia="en-US"/>
        </w:rPr>
        <w:t>.</w:t>
      </w:r>
    </w:p>
    <w:p w:rsidR="00AE6126" w:rsidRPr="006B5605" w:rsidRDefault="001E21A2" w:rsidP="00EF10DC">
      <w:pPr>
        <w:spacing w:line="360" w:lineRule="auto"/>
        <w:ind w:left="284" w:right="130" w:firstLine="709"/>
        <w:jc w:val="both"/>
        <w:rPr>
          <w:rFonts w:eastAsiaTheme="minorHAnsi"/>
          <w:lang w:eastAsia="en-US"/>
        </w:rPr>
      </w:pPr>
      <w:r>
        <w:t xml:space="preserve">Zgodnie z </w:t>
      </w:r>
      <w:hyperlink r:id="rId12" w:history="1">
        <w:r>
          <w:t>a</w:t>
        </w:r>
        <w:r w:rsidRPr="001829A3">
          <w:t>rt. 20a ust. 1</w:t>
        </w:r>
      </w:hyperlink>
      <w:r w:rsidRPr="001829A3">
        <w:t xml:space="preserve"> ww. ustawy </w:t>
      </w:r>
      <w:r w:rsidRPr="00AE6126">
        <w:rPr>
          <w:b/>
        </w:rPr>
        <w:t>os</w:t>
      </w:r>
      <w:r>
        <w:rPr>
          <w:b/>
        </w:rPr>
        <w:t>o</w:t>
      </w:r>
      <w:r w:rsidRPr="00AE6126">
        <w:rPr>
          <w:b/>
        </w:rPr>
        <w:t>b</w:t>
      </w:r>
      <w:r>
        <w:rPr>
          <w:b/>
        </w:rPr>
        <w:t>a</w:t>
      </w:r>
      <w:r w:rsidRPr="00AE6126">
        <w:rPr>
          <w:b/>
        </w:rPr>
        <w:t xml:space="preserve"> niepełnosprawn</w:t>
      </w:r>
      <w:r>
        <w:rPr>
          <w:b/>
        </w:rPr>
        <w:t>a</w:t>
      </w:r>
      <w:r w:rsidRPr="00AE6126">
        <w:rPr>
          <w:b/>
        </w:rPr>
        <w:t xml:space="preserve"> </w:t>
      </w:r>
      <w:r>
        <w:rPr>
          <w:b/>
        </w:rPr>
        <w:t xml:space="preserve">wraz z psem asystującym ma prawo wstępu </w:t>
      </w:r>
      <w:r w:rsidRPr="00AE6126">
        <w:rPr>
          <w:b/>
        </w:rPr>
        <w:t>do obiektów użyteczności publicznej</w:t>
      </w:r>
      <w:r>
        <w:t xml:space="preserve">, </w:t>
      </w:r>
      <w:r w:rsidRPr="001829A3">
        <w:rPr>
          <w:iCs/>
          <w:color w:val="222222"/>
        </w:rPr>
        <w:t>t.j</w:t>
      </w:r>
      <w:r w:rsidRPr="001829A3">
        <w:rPr>
          <w:i/>
          <w:iCs/>
          <w:color w:val="222222"/>
        </w:rPr>
        <w:t>.</w:t>
      </w:r>
      <w:r w:rsidRPr="001829A3">
        <w:rPr>
          <w:iCs/>
          <w:color w:val="222222"/>
        </w:rPr>
        <w:t>:</w:t>
      </w:r>
      <w:r w:rsidRPr="001829A3">
        <w:rPr>
          <w:i/>
          <w:iCs/>
          <w:color w:val="222222"/>
        </w:rPr>
        <w:t xml:space="preserve"> </w:t>
      </w:r>
    </w:p>
    <w:p w:rsidR="00AE6126" w:rsidRPr="001829A3" w:rsidRDefault="001E21A2" w:rsidP="00EF10DC">
      <w:pPr>
        <w:shd w:val="clear" w:color="auto" w:fill="FFFFFF"/>
        <w:spacing w:line="360" w:lineRule="auto"/>
        <w:ind w:left="284" w:right="130" w:firstLine="709"/>
        <w:jc w:val="both"/>
        <w:rPr>
          <w:i/>
          <w:iCs/>
        </w:rPr>
      </w:pPr>
      <w:r w:rsidRPr="001829A3">
        <w:rPr>
          <w:i/>
          <w:iCs/>
        </w:rPr>
        <w:t>,,1) do obiektów użyteczności publicznej, w szczególności: budynków i ich otoczenia przeznaczonych na potrzeby administracji publicznej, wymiaru sprawiedliwości, kultury, oświaty, szkolnictwa wyższego, nauki, opieki zdrowotnej, opieki społecznej i socjalne</w:t>
      </w:r>
      <w:r w:rsidRPr="001829A3">
        <w:rPr>
          <w:i/>
          <w:iCs/>
        </w:rPr>
        <w:t xml:space="preserve">j, obsługi bankowej, handlu, gastronomii, usług, turystyki, </w:t>
      </w:r>
      <w:r w:rsidRPr="00AE6126">
        <w:rPr>
          <w:i/>
          <w:iCs/>
        </w:rPr>
        <w:t>sportu</w:t>
      </w:r>
      <w:r w:rsidRPr="001829A3">
        <w:rPr>
          <w:i/>
          <w:iCs/>
        </w:rPr>
        <w:t xml:space="preserve">, obsługi pasażerów </w:t>
      </w:r>
      <w:r>
        <w:rPr>
          <w:i/>
          <w:iCs/>
        </w:rPr>
        <w:br/>
      </w:r>
      <w:r w:rsidRPr="001829A3">
        <w:rPr>
          <w:i/>
          <w:iCs/>
        </w:rPr>
        <w:t xml:space="preserve">w transporcie kolejowym, drogowym, lotniczym, morskim lub wodnym śródlądowym, świadczenia usług pocztowych lub telekomunikacyjnych oraz innych ogólnodostępnych budynków </w:t>
      </w:r>
      <w:r w:rsidRPr="001829A3">
        <w:rPr>
          <w:i/>
          <w:iCs/>
        </w:rPr>
        <w:t>przeznaczonych do wykonywania podobnych funkcji, w tym także budynków biurowych i socjalnych;</w:t>
      </w:r>
    </w:p>
    <w:p w:rsidR="00AE6126" w:rsidRPr="001829A3" w:rsidRDefault="001E21A2" w:rsidP="00EF10DC">
      <w:pPr>
        <w:shd w:val="clear" w:color="auto" w:fill="FFFFFF"/>
        <w:spacing w:line="360" w:lineRule="auto"/>
        <w:ind w:left="284" w:right="130" w:firstLine="709"/>
        <w:jc w:val="both"/>
        <w:rPr>
          <w:i/>
          <w:iCs/>
        </w:rPr>
      </w:pPr>
      <w:r w:rsidRPr="001829A3">
        <w:rPr>
          <w:i/>
          <w:iCs/>
        </w:rPr>
        <w:t>2) do parków narodowych i rezerwatów przyrody;</w:t>
      </w:r>
    </w:p>
    <w:p w:rsidR="00AE6126" w:rsidRDefault="001E21A2" w:rsidP="00EF10DC">
      <w:pPr>
        <w:shd w:val="clear" w:color="auto" w:fill="FFFFFF"/>
        <w:spacing w:line="360" w:lineRule="auto"/>
        <w:ind w:left="284" w:right="130" w:firstLine="709"/>
        <w:jc w:val="both"/>
        <w:rPr>
          <w:i/>
          <w:iCs/>
          <w:color w:val="222222"/>
        </w:rPr>
      </w:pPr>
      <w:r w:rsidRPr="001829A3">
        <w:rPr>
          <w:i/>
          <w:iCs/>
          <w:color w:val="222222"/>
        </w:rPr>
        <w:t>3) na plaże i kąpieliska”.</w:t>
      </w:r>
    </w:p>
    <w:p w:rsidR="001E2BED" w:rsidRDefault="001E21A2" w:rsidP="00EF10DC">
      <w:pPr>
        <w:spacing w:line="360" w:lineRule="auto"/>
        <w:ind w:left="284" w:right="130" w:firstLine="708"/>
        <w:jc w:val="both"/>
        <w:rPr>
          <w:shd w:val="clear" w:color="auto" w:fill="FFFFFF"/>
        </w:rPr>
      </w:pPr>
      <w:r w:rsidRPr="006B5605">
        <w:rPr>
          <w:iCs/>
        </w:rPr>
        <w:t xml:space="preserve">Natomiast zgodnie z art. </w:t>
      </w:r>
      <w:r w:rsidRPr="006B5605">
        <w:rPr>
          <w:iCs/>
        </w:rPr>
        <w:t>2 pkt 10 ustawy o rehabilitacji zawodowej i społecznej oraz zat</w:t>
      </w:r>
      <w:r w:rsidRPr="006B5605">
        <w:rPr>
          <w:iCs/>
        </w:rPr>
        <w:t xml:space="preserve">rudnianiu osób niepełnosprawnych </w:t>
      </w:r>
      <w:r w:rsidRPr="006B5605">
        <w:rPr>
          <w:iCs/>
        </w:rPr>
        <w:t xml:space="preserve">przez </w:t>
      </w:r>
      <w:r w:rsidRPr="006B5605">
        <w:rPr>
          <w:i/>
          <w:iCs/>
        </w:rPr>
        <w:t>,,niepełnosprawność”</w:t>
      </w:r>
      <w:r w:rsidRPr="006B5605">
        <w:rPr>
          <w:shd w:val="clear" w:color="auto" w:fill="FFFFFF"/>
        </w:rPr>
        <w:t xml:space="preserve"> należy rozumieć </w:t>
      </w:r>
      <w:r w:rsidRPr="006B5605">
        <w:rPr>
          <w:shd w:val="clear" w:color="auto" w:fill="FFFFFF"/>
        </w:rPr>
        <w:lastRenderedPageBreak/>
        <w:t xml:space="preserve">trwałą lub okresową niezdolność do wypełniania ról społecznych z powodu stałego </w:t>
      </w:r>
      <w:r>
        <w:rPr>
          <w:shd w:val="clear" w:color="auto" w:fill="FFFFFF"/>
        </w:rPr>
        <w:br/>
      </w:r>
      <w:r w:rsidRPr="006B5605">
        <w:rPr>
          <w:shd w:val="clear" w:color="auto" w:fill="FFFFFF"/>
        </w:rPr>
        <w:t xml:space="preserve">lub długotrwałego naruszenia sprawności organizmu, w szczególności </w:t>
      </w:r>
      <w:r>
        <w:rPr>
          <w:shd w:val="clear" w:color="auto" w:fill="FFFFFF"/>
        </w:rPr>
        <w:t>powodującą niezdolność do pracy</w:t>
      </w:r>
      <w:r w:rsidRPr="006B5605">
        <w:rPr>
          <w:shd w:val="clear" w:color="auto" w:fill="FFFFFF"/>
        </w:rPr>
        <w:t>.</w:t>
      </w:r>
      <w:r w:rsidRPr="006B5605">
        <w:rPr>
          <w:shd w:val="clear" w:color="auto" w:fill="FFFFFF"/>
        </w:rPr>
        <w:t xml:space="preserve"> Zatem użyte przez ustawodawcę w art. 20a ww. ustawy pojęcie</w:t>
      </w:r>
      <w:r w:rsidRPr="006B5605">
        <w:rPr>
          <w:shd w:val="clear" w:color="auto" w:fill="FFFFFF"/>
        </w:rPr>
        <w:t xml:space="preserve"> „osoby niepełnosprawne</w:t>
      </w:r>
      <w:r w:rsidRPr="006B5605">
        <w:rPr>
          <w:shd w:val="clear" w:color="auto" w:fill="FFFFFF"/>
        </w:rPr>
        <w:t>”</w:t>
      </w:r>
      <w:r w:rsidRPr="006B5605">
        <w:rPr>
          <w:shd w:val="clear" w:color="auto" w:fill="FFFFFF"/>
        </w:rPr>
        <w:t xml:space="preserve"> jest  pojęciem szerszym od użytego w treści </w:t>
      </w:r>
      <w:r w:rsidRPr="006B5605">
        <w:rPr>
          <w:shd w:val="clear" w:color="auto" w:fill="FFFFFF"/>
        </w:rPr>
        <w:t xml:space="preserve">ust. 7 </w:t>
      </w:r>
      <w:r>
        <w:rPr>
          <w:shd w:val="clear" w:color="auto" w:fill="FFFFFF"/>
        </w:rPr>
        <w:t xml:space="preserve">lit. </w:t>
      </w:r>
      <w:r w:rsidRPr="006B5605">
        <w:rPr>
          <w:shd w:val="clear" w:color="auto" w:fill="FFFFFF"/>
        </w:rPr>
        <w:t xml:space="preserve">a </w:t>
      </w:r>
      <w:r>
        <w:rPr>
          <w:shd w:val="clear" w:color="auto" w:fill="FFFFFF"/>
        </w:rPr>
        <w:t>regulaminu korzystania z placów zabaw</w:t>
      </w:r>
      <w:r w:rsidRPr="006B5605">
        <w:rPr>
          <w:shd w:val="clear" w:color="auto" w:fill="FFFFFF"/>
        </w:rPr>
        <w:t xml:space="preserve"> </w:t>
      </w:r>
      <w:r>
        <w:rPr>
          <w:shd w:val="clear" w:color="auto" w:fill="FFFFFF"/>
        </w:rPr>
        <w:t xml:space="preserve">oraz ust. 11 lit. b </w:t>
      </w:r>
      <w:r>
        <w:rPr>
          <w:shd w:val="clear" w:color="auto" w:fill="FFFFFF"/>
        </w:rPr>
        <w:t>regulaminu siłowni zewnętrznych</w:t>
      </w:r>
      <w:r w:rsidRPr="006B5605">
        <w:rPr>
          <w:shd w:val="clear" w:color="auto" w:fill="FFFFFF"/>
        </w:rPr>
        <w:t xml:space="preserve"> </w:t>
      </w:r>
      <w:r w:rsidRPr="006B5605">
        <w:rPr>
          <w:shd w:val="clear" w:color="auto" w:fill="FFFFFF"/>
        </w:rPr>
        <w:t>pojęcia</w:t>
      </w:r>
      <w:r w:rsidRPr="006B5605">
        <w:rPr>
          <w:shd w:val="clear" w:color="auto" w:fill="FFFFFF"/>
        </w:rPr>
        <w:t xml:space="preserve"> „osoby niewidome”</w:t>
      </w:r>
      <w:r>
        <w:rPr>
          <w:shd w:val="clear" w:color="auto" w:fill="FFFFFF"/>
        </w:rPr>
        <w:t xml:space="preserve"> (</w:t>
      </w:r>
      <w:r w:rsidRPr="006B5605">
        <w:rPr>
          <w:shd w:val="clear" w:color="auto" w:fill="FFFFFF"/>
        </w:rPr>
        <w:t>które także są osobami niepełnosprawnymi</w:t>
      </w:r>
      <w:r>
        <w:rPr>
          <w:shd w:val="clear" w:color="auto" w:fill="FFFFFF"/>
        </w:rPr>
        <w:t>)</w:t>
      </w:r>
      <w:r w:rsidRPr="006B5605">
        <w:rPr>
          <w:shd w:val="clear" w:color="auto" w:fill="FFFFFF"/>
        </w:rPr>
        <w:t xml:space="preserve">. </w:t>
      </w:r>
    </w:p>
    <w:p w:rsidR="00A00767" w:rsidRDefault="001E21A2" w:rsidP="00EF10DC">
      <w:pPr>
        <w:spacing w:line="360" w:lineRule="auto"/>
        <w:ind w:left="284" w:right="130" w:firstLine="708"/>
        <w:jc w:val="both"/>
        <w:rPr>
          <w:shd w:val="clear" w:color="auto" w:fill="FFFFFF"/>
        </w:rPr>
      </w:pPr>
      <w:r w:rsidRPr="006B5605">
        <w:rPr>
          <w:shd w:val="clear" w:color="auto" w:fill="FFFFFF"/>
        </w:rPr>
        <w:t>Jednocześnie</w:t>
      </w:r>
      <w:r w:rsidRPr="006B5605">
        <w:rPr>
          <w:shd w:val="clear" w:color="auto" w:fill="FFFFFF"/>
        </w:rPr>
        <w:t xml:space="preserve"> należy wskazać, że pojęcie </w:t>
      </w:r>
      <w:r>
        <w:rPr>
          <w:shd w:val="clear" w:color="auto" w:fill="FFFFFF"/>
        </w:rPr>
        <w:t>,,</w:t>
      </w:r>
      <w:r w:rsidRPr="006B5605">
        <w:rPr>
          <w:shd w:val="clear" w:color="auto" w:fill="FFFFFF"/>
        </w:rPr>
        <w:t>psa asystującego</w:t>
      </w:r>
      <w:r>
        <w:rPr>
          <w:shd w:val="clear" w:color="auto" w:fill="FFFFFF"/>
        </w:rPr>
        <w:t>”</w:t>
      </w:r>
      <w:r w:rsidRPr="006B5605">
        <w:rPr>
          <w:shd w:val="clear" w:color="auto" w:fill="FFFFFF"/>
        </w:rPr>
        <w:t xml:space="preserve"> zostało wyjaśnione </w:t>
      </w:r>
      <w:r>
        <w:rPr>
          <w:shd w:val="clear" w:color="auto" w:fill="FFFFFF"/>
        </w:rPr>
        <w:br/>
      </w:r>
      <w:r w:rsidRPr="006B5605">
        <w:rPr>
          <w:shd w:val="clear" w:color="auto" w:fill="FFFFFF"/>
        </w:rPr>
        <w:t>w art. 2 pkt 11 ustawy o rehabilitacji zawodowej i społecznej oraz zatrudnianiu os</w:t>
      </w:r>
      <w:r>
        <w:rPr>
          <w:shd w:val="clear" w:color="auto" w:fill="FFFFFF"/>
        </w:rPr>
        <w:t>ób niepełnosprawnych i oznacza</w:t>
      </w:r>
      <w:r>
        <w:rPr>
          <w:shd w:val="clear" w:color="auto" w:fill="FFFFFF"/>
        </w:rPr>
        <w:t xml:space="preserve"> </w:t>
      </w:r>
      <w:r w:rsidRPr="006B5605">
        <w:rPr>
          <w:shd w:val="clear" w:color="auto" w:fill="FFFFFF"/>
        </w:rPr>
        <w:t xml:space="preserve">odpowiednio wyszkolonego i specjalnie oznaczonego psa, </w:t>
      </w:r>
      <w:r>
        <w:rPr>
          <w:shd w:val="clear" w:color="auto" w:fill="FFFFFF"/>
        </w:rPr>
        <w:br/>
      </w:r>
      <w:r w:rsidRPr="006B5605">
        <w:rPr>
          <w:shd w:val="clear" w:color="auto" w:fill="FFFFFF"/>
        </w:rPr>
        <w:t>w szczególności psa przewodnika osoby niewidomej lub niedowidzącej oraz psa asystenta osoby niepełnosprawnej ruchowo, który ułatwia osobie niepełnosprawnej aktywne uczestnictwo w życiu społecznym</w:t>
      </w:r>
      <w:r w:rsidRPr="006B5605">
        <w:rPr>
          <w:rFonts w:ascii="Arial" w:hAnsi="Arial" w:cs="Arial"/>
          <w:sz w:val="27"/>
          <w:szCs w:val="27"/>
          <w:shd w:val="clear" w:color="auto" w:fill="FFFFFF"/>
        </w:rPr>
        <w:t>.</w:t>
      </w:r>
      <w:r>
        <w:rPr>
          <w:rFonts w:ascii="Arial" w:hAnsi="Arial" w:cs="Arial"/>
          <w:sz w:val="27"/>
          <w:szCs w:val="27"/>
          <w:shd w:val="clear" w:color="auto" w:fill="FFFFFF"/>
        </w:rPr>
        <w:t xml:space="preserve"> </w:t>
      </w:r>
      <w:r w:rsidRPr="006B5605">
        <w:rPr>
          <w:shd w:val="clear" w:color="auto" w:fill="FFFFFF"/>
        </w:rPr>
        <w:t>Za</w:t>
      </w:r>
      <w:r w:rsidRPr="006B5605">
        <w:rPr>
          <w:shd w:val="clear" w:color="auto" w:fill="FFFFFF"/>
        </w:rPr>
        <w:t>tem w rozumieniu ustawy</w:t>
      </w:r>
      <w:r w:rsidRPr="006B5605">
        <w:rPr>
          <w:shd w:val="clear" w:color="auto" w:fill="FFFFFF"/>
        </w:rPr>
        <w:t xml:space="preserve"> </w:t>
      </w:r>
      <w:r w:rsidRPr="006B5605">
        <w:rPr>
          <w:shd w:val="clear" w:color="auto" w:fill="FFFFFF"/>
        </w:rPr>
        <w:t>pies, który ułatwia osobie niepełnosprawnej aktywne uczestnictwo w życiu społecznym to nie tylko, jak to wskazała Rada</w:t>
      </w:r>
      <w:r w:rsidRPr="006B5605">
        <w:rPr>
          <w:shd w:val="clear" w:color="auto" w:fill="FFFFFF"/>
        </w:rPr>
        <w:t xml:space="preserve"> Miejska</w:t>
      </w:r>
      <w:r w:rsidRPr="006B5605">
        <w:rPr>
          <w:shd w:val="clear" w:color="auto" w:fill="FFFFFF"/>
        </w:rPr>
        <w:t>,</w:t>
      </w:r>
      <w:r w:rsidRPr="006B5605">
        <w:rPr>
          <w:shd w:val="clear" w:color="auto" w:fill="FFFFFF"/>
        </w:rPr>
        <w:t xml:space="preserve"> </w:t>
      </w:r>
      <w:r w:rsidRPr="006B5605">
        <w:rPr>
          <w:shd w:val="clear" w:color="auto" w:fill="FFFFFF"/>
        </w:rPr>
        <w:t>pies przewodnik, ale również</w:t>
      </w:r>
      <w:r w:rsidRPr="006B5605">
        <w:rPr>
          <w:shd w:val="clear" w:color="auto" w:fill="FFFFFF"/>
        </w:rPr>
        <w:t xml:space="preserve"> </w:t>
      </w:r>
      <w:r w:rsidRPr="006B5605">
        <w:rPr>
          <w:shd w:val="clear" w:color="auto" w:fill="FFFFFF"/>
        </w:rPr>
        <w:t>pies asystent odpowiednio wyszkolony, specjalnie oznaczony oraz posiadający</w:t>
      </w:r>
      <w:r w:rsidRPr="006B5605">
        <w:rPr>
          <w:shd w:val="clear" w:color="auto" w:fill="FFFFFF"/>
        </w:rPr>
        <w:t xml:space="preserve"> certyfikat wydany zgodnie z</w:t>
      </w:r>
      <w:r w:rsidRPr="006B5605">
        <w:rPr>
          <w:shd w:val="clear" w:color="auto" w:fill="FFFFFF"/>
        </w:rPr>
        <w:t xml:space="preserve"> </w:t>
      </w:r>
      <w:hyperlink r:id="rId13" w:history="1">
        <w:r w:rsidRPr="006B5605">
          <w:rPr>
            <w:rStyle w:val="Hipercze"/>
            <w:color w:val="auto"/>
            <w:u w:val="none"/>
            <w:shd w:val="clear" w:color="auto" w:fill="FFFFFF"/>
          </w:rPr>
          <w:t>art. 20b</w:t>
        </w:r>
      </w:hyperlink>
      <w:r w:rsidRPr="006B5605">
        <w:rPr>
          <w:shd w:val="clear" w:color="auto" w:fill="FFFFFF"/>
        </w:rPr>
        <w:t xml:space="preserve"> </w:t>
      </w:r>
      <w:r w:rsidRPr="006B5605">
        <w:rPr>
          <w:shd w:val="clear" w:color="auto" w:fill="FFFFFF"/>
        </w:rPr>
        <w:t xml:space="preserve">ustawy </w:t>
      </w:r>
      <w:r>
        <w:rPr>
          <w:shd w:val="clear" w:color="auto" w:fill="FFFFFF"/>
        </w:rPr>
        <w:br/>
      </w:r>
      <w:r w:rsidRPr="006B5605">
        <w:rPr>
          <w:shd w:val="clear" w:color="auto" w:fill="FFFFFF"/>
        </w:rPr>
        <w:t>o rehabilitacji zawodowej i społecznej oraz zatrudnianiu osób niepełnosprawnych.</w:t>
      </w:r>
      <w:r w:rsidRPr="006B5605">
        <w:rPr>
          <w:shd w:val="clear" w:color="auto" w:fill="FFFFFF"/>
        </w:rPr>
        <w:t xml:space="preserve"> </w:t>
      </w:r>
      <w:r w:rsidRPr="006B5605">
        <w:rPr>
          <w:shd w:val="clear" w:color="auto" w:fill="FFFFFF"/>
        </w:rPr>
        <w:t xml:space="preserve">Psem przewodnikiem w </w:t>
      </w:r>
      <w:r w:rsidRPr="006B5605">
        <w:rPr>
          <w:shd w:val="clear" w:color="auto" w:fill="FFFFFF"/>
        </w:rPr>
        <w:t>rozumieniu tej ustawy jest</w:t>
      </w:r>
      <w:r w:rsidRPr="006B5605">
        <w:rPr>
          <w:shd w:val="clear" w:color="auto" w:fill="FFFFFF"/>
        </w:rPr>
        <w:t xml:space="preserve"> </w:t>
      </w:r>
      <w:r w:rsidRPr="006B5605">
        <w:rPr>
          <w:shd w:val="clear" w:color="auto" w:fill="FFFFFF"/>
        </w:rPr>
        <w:t>pies tylko osoby niepełnosprawnej niewidomej lub niedowidzącej, natomiast</w:t>
      </w:r>
      <w:r w:rsidRPr="006B5605">
        <w:rPr>
          <w:shd w:val="clear" w:color="auto" w:fill="FFFFFF"/>
        </w:rPr>
        <w:t xml:space="preserve"> </w:t>
      </w:r>
      <w:r>
        <w:rPr>
          <w:shd w:val="clear" w:color="auto" w:fill="FFFFFF"/>
        </w:rPr>
        <w:t>pies ułatwiający</w:t>
      </w:r>
      <w:r w:rsidRPr="006B5605">
        <w:rPr>
          <w:shd w:val="clear" w:color="auto" w:fill="FFFFFF"/>
        </w:rPr>
        <w:t xml:space="preserve"> aktywne uczestnictwo w życiu społecznym </w:t>
      </w:r>
      <w:r>
        <w:rPr>
          <w:shd w:val="clear" w:color="auto" w:fill="FFFFFF"/>
        </w:rPr>
        <w:t xml:space="preserve">jest psem asystentem osób niepełnosprawnych ruchowo. </w:t>
      </w:r>
    </w:p>
    <w:p w:rsidR="001274D4" w:rsidRPr="001E2BED" w:rsidRDefault="001E21A2" w:rsidP="00273EED">
      <w:pPr>
        <w:spacing w:line="360" w:lineRule="auto"/>
        <w:ind w:left="284" w:right="130" w:firstLine="708"/>
        <w:jc w:val="both"/>
        <w:rPr>
          <w:shd w:val="clear" w:color="auto" w:fill="FFFFFF"/>
        </w:rPr>
      </w:pPr>
      <w:r w:rsidRPr="006B5605">
        <w:rPr>
          <w:shd w:val="clear" w:color="auto" w:fill="FFFFFF"/>
        </w:rPr>
        <w:t>Wobec powyższego, należy stwierdzić, że Rada</w:t>
      </w:r>
      <w:r w:rsidRPr="006B5605">
        <w:rPr>
          <w:shd w:val="clear" w:color="auto" w:fill="FFFFFF"/>
        </w:rPr>
        <w:t xml:space="preserve"> Miejska dokonała w tym zakresie modyfikacji przepisu ustawowego, ograniczając krąg podmio</w:t>
      </w:r>
      <w:r>
        <w:rPr>
          <w:shd w:val="clear" w:color="auto" w:fill="FFFFFF"/>
        </w:rPr>
        <w:t>tów mających wstęp na plac</w:t>
      </w:r>
      <w:r>
        <w:rPr>
          <w:shd w:val="clear" w:color="auto" w:fill="FFFFFF"/>
        </w:rPr>
        <w:t>e zabaw oraz siłownie zewnętrzne</w:t>
      </w:r>
      <w:r>
        <w:rPr>
          <w:shd w:val="clear" w:color="auto" w:fill="FFFFFF"/>
        </w:rPr>
        <w:t xml:space="preserve"> wyłącznie do osób niewidomych </w:t>
      </w:r>
      <w:r>
        <w:rPr>
          <w:shd w:val="clear" w:color="auto" w:fill="FFFFFF"/>
        </w:rPr>
        <w:t>z psami przewodnikami</w:t>
      </w:r>
      <w:r>
        <w:rPr>
          <w:shd w:val="clear" w:color="auto" w:fill="FFFFFF"/>
        </w:rPr>
        <w:t>, tym samym uniemożliwiając</w:t>
      </w:r>
      <w:r>
        <w:rPr>
          <w:shd w:val="clear" w:color="auto" w:fill="FFFFFF"/>
        </w:rPr>
        <w:t xml:space="preserve"> dostęp osobom </w:t>
      </w:r>
      <w:r>
        <w:rPr>
          <w:shd w:val="clear" w:color="auto" w:fill="FFFFFF"/>
        </w:rPr>
        <w:t xml:space="preserve">niedowidzącym </w:t>
      </w:r>
      <w:r>
        <w:rPr>
          <w:shd w:val="clear" w:color="auto" w:fill="FFFFFF"/>
        </w:rPr>
        <w:t xml:space="preserve">z psem przewodnikiem oraz osobom niepełnosprawnym ruchowo z psem asystentem. </w:t>
      </w:r>
    </w:p>
    <w:p w:rsidR="001274D4" w:rsidRPr="00926375" w:rsidRDefault="001E21A2" w:rsidP="00EF10DC">
      <w:pPr>
        <w:shd w:val="clear" w:color="auto" w:fill="FFFFFF"/>
        <w:spacing w:line="360" w:lineRule="auto"/>
        <w:ind w:left="284" w:right="130" w:firstLine="709"/>
        <w:jc w:val="both"/>
        <w:rPr>
          <w:iCs/>
        </w:rPr>
      </w:pPr>
      <w:r w:rsidRPr="00926375">
        <w:rPr>
          <w:shd w:val="clear" w:color="auto" w:fill="FFFFFF"/>
        </w:rPr>
        <w:t xml:space="preserve">W związku z powyższym uzasadnione jest stwierdzenie nieważności </w:t>
      </w:r>
      <w:r>
        <w:rPr>
          <w:shd w:val="clear" w:color="auto" w:fill="FFFFFF"/>
        </w:rPr>
        <w:t>ust. 7 lit</w:t>
      </w:r>
      <w:r>
        <w:rPr>
          <w:shd w:val="clear" w:color="auto" w:fill="FFFFFF"/>
        </w:rPr>
        <w:t>.</w:t>
      </w:r>
      <w:r>
        <w:rPr>
          <w:shd w:val="clear" w:color="auto" w:fill="FFFFFF"/>
        </w:rPr>
        <w:t xml:space="preserve"> </w:t>
      </w:r>
      <w:r>
        <w:rPr>
          <w:shd w:val="clear" w:color="auto" w:fill="FFFFFF"/>
        </w:rPr>
        <w:t>a</w:t>
      </w:r>
      <w:r w:rsidRPr="00926375">
        <w:rPr>
          <w:shd w:val="clear" w:color="auto" w:fill="FFFFFF"/>
        </w:rPr>
        <w:t xml:space="preserve"> </w:t>
      </w:r>
      <w:r>
        <w:rPr>
          <w:shd w:val="clear" w:color="auto" w:fill="FFFFFF"/>
        </w:rPr>
        <w:t>regulaminu korzystania z placów</w:t>
      </w:r>
      <w:r>
        <w:rPr>
          <w:shd w:val="clear" w:color="auto" w:fill="FFFFFF"/>
        </w:rPr>
        <w:t xml:space="preserve"> zabaw </w:t>
      </w:r>
      <w:r>
        <w:rPr>
          <w:shd w:val="clear" w:color="auto" w:fill="FFFFFF"/>
        </w:rPr>
        <w:t>oraz</w:t>
      </w:r>
      <w:r>
        <w:rPr>
          <w:shd w:val="clear" w:color="auto" w:fill="FFFFFF"/>
        </w:rPr>
        <w:t xml:space="preserve"> ust. 11 lit. b regulaminu siłowni zewnętrznych</w:t>
      </w:r>
      <w:r w:rsidRPr="00926375">
        <w:rPr>
          <w:shd w:val="clear" w:color="auto" w:fill="FFFFFF"/>
        </w:rPr>
        <w:t xml:space="preserve"> jako podję</w:t>
      </w:r>
      <w:r w:rsidRPr="00926375">
        <w:rPr>
          <w:shd w:val="clear" w:color="auto" w:fill="FFFFFF"/>
        </w:rPr>
        <w:t>tych z istotnym naruszeniem prawa.</w:t>
      </w:r>
    </w:p>
    <w:p w:rsidR="00926375" w:rsidRPr="001829A3" w:rsidRDefault="001E21A2" w:rsidP="00EF10DC">
      <w:pPr>
        <w:spacing w:line="360" w:lineRule="auto"/>
        <w:ind w:left="284" w:right="130" w:firstLine="709"/>
        <w:jc w:val="both"/>
      </w:pPr>
      <w:r w:rsidRPr="001829A3">
        <w:rPr>
          <w:rFonts w:eastAsiaTheme="minorHAnsi"/>
          <w:lang w:eastAsia="en-US"/>
        </w:rPr>
        <w:t xml:space="preserve">Ponadto należy wskazać, że Rada Miejska dokonała nieuprawnionej modyfikacji zapisów ustawowych w ust. </w:t>
      </w:r>
      <w:r>
        <w:rPr>
          <w:rFonts w:eastAsiaTheme="minorHAnsi"/>
          <w:lang w:eastAsia="en-US"/>
        </w:rPr>
        <w:t xml:space="preserve">7 lit. </w:t>
      </w:r>
      <w:r>
        <w:rPr>
          <w:rFonts w:eastAsiaTheme="minorHAnsi"/>
          <w:lang w:eastAsia="en-US"/>
        </w:rPr>
        <w:t xml:space="preserve">a </w:t>
      </w:r>
      <w:r>
        <w:rPr>
          <w:rFonts w:eastAsiaTheme="minorHAnsi"/>
          <w:lang w:eastAsia="en-US"/>
        </w:rPr>
        <w:t>regulaminu korzystania z placów</w:t>
      </w:r>
      <w:r>
        <w:rPr>
          <w:rFonts w:eastAsiaTheme="minorHAnsi"/>
          <w:lang w:eastAsia="en-US"/>
        </w:rPr>
        <w:t xml:space="preserve"> zabaw </w:t>
      </w:r>
      <w:r>
        <w:rPr>
          <w:rFonts w:eastAsiaTheme="minorHAnsi"/>
          <w:lang w:eastAsia="en-US"/>
        </w:rPr>
        <w:t>i ust. 11</w:t>
      </w:r>
      <w:r w:rsidRPr="001829A3">
        <w:rPr>
          <w:rFonts w:eastAsiaTheme="minorHAnsi"/>
          <w:lang w:eastAsia="en-US"/>
        </w:rPr>
        <w:t xml:space="preserve"> </w:t>
      </w:r>
      <w:r>
        <w:rPr>
          <w:rFonts w:eastAsiaTheme="minorHAnsi"/>
          <w:lang w:eastAsia="en-US"/>
        </w:rPr>
        <w:t>lit. b</w:t>
      </w:r>
      <w:r>
        <w:rPr>
          <w:rFonts w:eastAsiaTheme="minorHAnsi"/>
          <w:lang w:eastAsia="en-US"/>
        </w:rPr>
        <w:t xml:space="preserve"> regulaminu siłowni zewnętrznych</w:t>
      </w:r>
      <w:r w:rsidRPr="001829A3">
        <w:rPr>
          <w:rFonts w:eastAsiaTheme="minorHAnsi"/>
          <w:lang w:eastAsia="en-US"/>
        </w:rPr>
        <w:t xml:space="preserve">, w zakresie, w jakim reguluje </w:t>
      </w:r>
      <w:r>
        <w:rPr>
          <w:rFonts w:eastAsiaTheme="minorHAnsi"/>
          <w:lang w:eastAsia="en-US"/>
        </w:rPr>
        <w:t xml:space="preserve">kwestie </w:t>
      </w:r>
      <w:r w:rsidRPr="001829A3">
        <w:rPr>
          <w:rFonts w:eastAsiaTheme="minorHAnsi"/>
          <w:lang w:eastAsia="en-US"/>
        </w:rPr>
        <w:t xml:space="preserve">zakazu </w:t>
      </w:r>
      <w:r>
        <w:rPr>
          <w:rFonts w:eastAsiaTheme="minorHAnsi"/>
          <w:lang w:eastAsia="en-US"/>
        </w:rPr>
        <w:t xml:space="preserve">wprowadzania zwierząt </w:t>
      </w:r>
      <w:r w:rsidRPr="001829A3">
        <w:rPr>
          <w:rFonts w:eastAsiaTheme="minorHAnsi"/>
          <w:lang w:eastAsia="en-US"/>
        </w:rPr>
        <w:t xml:space="preserve">na teren obiektów użyteczności </w:t>
      </w:r>
      <w:r>
        <w:rPr>
          <w:rFonts w:eastAsiaTheme="minorHAnsi"/>
          <w:lang w:eastAsia="en-US"/>
        </w:rPr>
        <w:t xml:space="preserve">publicznej, co jest sprzeczne </w:t>
      </w:r>
      <w:r>
        <w:rPr>
          <w:rFonts w:eastAsiaTheme="minorHAnsi"/>
          <w:lang w:eastAsia="en-US"/>
        </w:rPr>
        <w:br/>
      </w:r>
      <w:r>
        <w:rPr>
          <w:rFonts w:eastAsiaTheme="minorHAnsi"/>
          <w:lang w:eastAsia="en-US"/>
        </w:rPr>
        <w:t xml:space="preserve">z </w:t>
      </w:r>
      <w:hyperlink r:id="rId14" w:anchor="/document/16797931?unitId=art(4)ust(1)&amp;cm=DOCUMENT" w:history="1">
        <w:r w:rsidRPr="001829A3">
          <w:rPr>
            <w:rFonts w:eastAsiaTheme="minorHAnsi"/>
            <w:lang w:eastAsia="en-US"/>
          </w:rPr>
          <w:t>art. 4 ust. 1</w:t>
        </w:r>
      </w:hyperlink>
      <w:r>
        <w:rPr>
          <w:rFonts w:eastAsiaTheme="minorHAnsi"/>
          <w:lang w:eastAsia="en-US"/>
        </w:rPr>
        <w:t xml:space="preserve"> w zw. z </w:t>
      </w:r>
      <w:hyperlink r:id="rId15" w:anchor="/document/16797931?unitId=art(4)ust(2)pkt(6)&amp;cm=DOCUMENT" w:history="1">
        <w:r w:rsidRPr="001829A3">
          <w:rPr>
            <w:rFonts w:eastAsiaTheme="minorHAnsi"/>
            <w:lang w:eastAsia="en-US"/>
          </w:rPr>
          <w:t>art. 4 ust. 2 pkt 6</w:t>
        </w:r>
      </w:hyperlink>
      <w:r>
        <w:rPr>
          <w:rFonts w:eastAsiaTheme="minorHAnsi"/>
          <w:lang w:eastAsia="en-US"/>
        </w:rPr>
        <w:t xml:space="preserve"> </w:t>
      </w:r>
      <w:r w:rsidRPr="001829A3">
        <w:rPr>
          <w:rFonts w:eastAsiaTheme="minorHAnsi"/>
          <w:lang w:eastAsia="en-US"/>
        </w:rPr>
        <w:t xml:space="preserve">ustawy </w:t>
      </w:r>
      <w:r>
        <w:rPr>
          <w:rFonts w:eastAsiaTheme="minorHAnsi"/>
          <w:lang w:eastAsia="en-US"/>
        </w:rPr>
        <w:t xml:space="preserve">z dnia 13 września 1996 r. </w:t>
      </w:r>
      <w:r w:rsidRPr="001829A3">
        <w:rPr>
          <w:rFonts w:eastAsiaTheme="minorHAnsi"/>
          <w:lang w:eastAsia="en-US"/>
        </w:rPr>
        <w:t>o utrzymaniu czystości i porządku w gminach</w:t>
      </w:r>
      <w:r>
        <w:rPr>
          <w:rFonts w:eastAsiaTheme="minorHAnsi"/>
          <w:lang w:eastAsia="en-US"/>
        </w:rPr>
        <w:t xml:space="preserve"> (Dz. U. z 2021 r. poz. 888)</w:t>
      </w:r>
      <w:r w:rsidRPr="001829A3">
        <w:rPr>
          <w:rFonts w:eastAsiaTheme="minorHAnsi"/>
          <w:lang w:eastAsia="en-US"/>
        </w:rPr>
        <w:t>.</w:t>
      </w:r>
      <w:r w:rsidRPr="001829A3">
        <w:rPr>
          <w:rFonts w:eastAsiaTheme="minorHAnsi"/>
          <w:color w:val="333333"/>
          <w:shd w:val="clear" w:color="auto" w:fill="FFFFFF"/>
          <w:lang w:eastAsia="en-US"/>
        </w:rPr>
        <w:t xml:space="preserve"> </w:t>
      </w:r>
      <w:r>
        <w:rPr>
          <w:rFonts w:eastAsiaTheme="minorHAnsi"/>
          <w:lang w:eastAsia="en-US"/>
        </w:rPr>
        <w:t xml:space="preserve">Zgodnie z art. 4 ust. 1 </w:t>
      </w:r>
      <w:r>
        <w:rPr>
          <w:rFonts w:eastAsiaTheme="minorHAnsi"/>
          <w:lang w:eastAsia="en-US"/>
        </w:rPr>
        <w:br/>
      </w:r>
      <w:r>
        <w:rPr>
          <w:rFonts w:eastAsiaTheme="minorHAnsi"/>
          <w:lang w:eastAsia="en-US"/>
        </w:rPr>
        <w:t xml:space="preserve">ww. </w:t>
      </w:r>
      <w:r w:rsidRPr="001829A3">
        <w:rPr>
          <w:rFonts w:eastAsiaTheme="minorHAnsi"/>
          <w:lang w:eastAsia="en-US"/>
        </w:rPr>
        <w:t>ustawy,</w:t>
      </w:r>
      <w:r>
        <w:rPr>
          <w:rFonts w:eastAsiaTheme="minorHAnsi"/>
          <w:lang w:eastAsia="en-US"/>
        </w:rPr>
        <w:t xml:space="preserve"> </w:t>
      </w:r>
      <w:r w:rsidRPr="001829A3">
        <w:rPr>
          <w:rFonts w:eastAsiaTheme="minorHAnsi"/>
          <w:lang w:eastAsia="en-US"/>
        </w:rPr>
        <w:t>rada</w:t>
      </w:r>
      <w:r w:rsidRPr="001829A3">
        <w:rPr>
          <w:rFonts w:eastAsiaTheme="minorHAnsi"/>
          <w:lang w:eastAsia="en-US"/>
        </w:rPr>
        <w:t xml:space="preserve"> gminy, po zasięgnięciu opinii powiatowego </w:t>
      </w:r>
      <w:r>
        <w:rPr>
          <w:rFonts w:eastAsiaTheme="minorHAnsi"/>
          <w:lang w:eastAsia="en-US"/>
        </w:rPr>
        <w:t xml:space="preserve">inspektora sanitarnego, </w:t>
      </w:r>
      <w:r>
        <w:rPr>
          <w:rFonts w:eastAsiaTheme="minorHAnsi"/>
          <w:lang w:eastAsia="en-US"/>
        </w:rPr>
        <w:lastRenderedPageBreak/>
        <w:t xml:space="preserve">uchwala regulamin </w:t>
      </w:r>
      <w:r w:rsidRPr="001829A3">
        <w:rPr>
          <w:rFonts w:eastAsiaTheme="minorHAnsi"/>
          <w:lang w:eastAsia="en-US"/>
        </w:rPr>
        <w:t xml:space="preserve">utrzymania czystości i porządku na terenie gminy, zwany ,,regulaminem” </w:t>
      </w:r>
      <w:r>
        <w:rPr>
          <w:rFonts w:eastAsiaTheme="minorHAnsi"/>
          <w:lang w:eastAsia="en-US"/>
        </w:rPr>
        <w:t xml:space="preserve">będący aktem prawa miejscowego. </w:t>
      </w:r>
      <w:r w:rsidRPr="001829A3">
        <w:rPr>
          <w:rFonts w:eastAsiaTheme="minorHAnsi"/>
          <w:lang w:eastAsia="en-US"/>
        </w:rPr>
        <w:t xml:space="preserve">Z kolei z </w:t>
      </w:r>
      <w:r w:rsidRPr="001829A3">
        <w:t>dyspozycji art. 4 ust. 2 pkt 6 ww. ustawy, wynika jednozna</w:t>
      </w:r>
      <w:r w:rsidRPr="001829A3">
        <w:t>cznie, że przyznaje</w:t>
      </w:r>
      <w:r>
        <w:t xml:space="preserve"> on radzie gminy kompetencję </w:t>
      </w:r>
      <w:r>
        <w:br/>
      </w:r>
      <w:r>
        <w:t xml:space="preserve">do </w:t>
      </w:r>
      <w:r w:rsidRPr="001829A3">
        <w:t xml:space="preserve">szczegółowego określenia wymagań wobec osób utrzymujących zwierzęta domowe </w:t>
      </w:r>
      <w:r>
        <w:br/>
      </w:r>
      <w:r w:rsidRPr="001829A3">
        <w:t>w taki sposób, aby pobyt tych zwierz</w:t>
      </w:r>
      <w:r>
        <w:t xml:space="preserve">ąt na terenach przeznaczonym do </w:t>
      </w:r>
      <w:r w:rsidRPr="001829A3">
        <w:t>wspólnego użytku nie był uciążliwy i nie stanowił zagrożenia</w:t>
      </w:r>
      <w:r w:rsidRPr="001829A3">
        <w:t xml:space="preserve"> dla przebywających tam osób oraz </w:t>
      </w:r>
      <w:r>
        <w:br/>
      </w:r>
      <w:r w:rsidRPr="001829A3">
        <w:t>nie spowodował zanieczyszczenia tych miejsc. Zadaniem legislacji gmi</w:t>
      </w:r>
      <w:r>
        <w:t xml:space="preserve">nnej wynikającej </w:t>
      </w:r>
      <w:r>
        <w:br/>
      </w:r>
      <w:r>
        <w:t xml:space="preserve">z upoważnienia z art. 4 ust. </w:t>
      </w:r>
      <w:r w:rsidRPr="001829A3">
        <w:t>2 pkt 6 ww. ustawy jest określenie obowiązków osób utrzymujących zwierzęta domowe, ale nie zakazów general</w:t>
      </w:r>
      <w:r w:rsidRPr="001829A3">
        <w:t xml:space="preserve">nych. Upoważnienie </w:t>
      </w:r>
      <w:r>
        <w:br/>
      </w:r>
      <w:r w:rsidRPr="001829A3">
        <w:t xml:space="preserve">to nie obejmuje kwestii uregulowanej w </w:t>
      </w:r>
      <w:r w:rsidRPr="001829A3">
        <w:rPr>
          <w:rFonts w:eastAsiaTheme="minorHAnsi"/>
          <w:lang w:eastAsia="en-US"/>
        </w:rPr>
        <w:t xml:space="preserve">ust. </w:t>
      </w:r>
      <w:r>
        <w:rPr>
          <w:rFonts w:eastAsiaTheme="minorHAnsi"/>
          <w:lang w:eastAsia="en-US"/>
        </w:rPr>
        <w:t xml:space="preserve">7 lit. a </w:t>
      </w:r>
      <w:r>
        <w:rPr>
          <w:rFonts w:eastAsiaTheme="minorHAnsi"/>
          <w:lang w:eastAsia="en-US"/>
        </w:rPr>
        <w:t>regulaminu korzystania z placów zabaw</w:t>
      </w:r>
      <w:r>
        <w:rPr>
          <w:rFonts w:eastAsiaTheme="minorHAnsi"/>
          <w:lang w:eastAsia="en-US"/>
        </w:rPr>
        <w:t xml:space="preserve"> i ust. 11</w:t>
      </w:r>
      <w:r w:rsidRPr="001829A3">
        <w:rPr>
          <w:rFonts w:eastAsiaTheme="minorHAnsi"/>
          <w:lang w:eastAsia="en-US"/>
        </w:rPr>
        <w:t xml:space="preserve"> </w:t>
      </w:r>
      <w:r>
        <w:rPr>
          <w:rFonts w:eastAsiaTheme="minorHAnsi"/>
          <w:lang w:eastAsia="en-US"/>
        </w:rPr>
        <w:t xml:space="preserve">lit. b </w:t>
      </w:r>
      <w:r>
        <w:rPr>
          <w:rFonts w:eastAsiaTheme="minorHAnsi"/>
          <w:lang w:eastAsia="en-US"/>
        </w:rPr>
        <w:t>regulaminu siłowni zewnętrznych.</w:t>
      </w:r>
      <w:r w:rsidRPr="001829A3">
        <w:t xml:space="preserve"> </w:t>
      </w:r>
    </w:p>
    <w:p w:rsidR="005B247C" w:rsidRDefault="001E21A2" w:rsidP="005B247C">
      <w:pPr>
        <w:spacing w:line="360" w:lineRule="auto"/>
        <w:ind w:left="284" w:right="130" w:firstLine="709"/>
        <w:jc w:val="both"/>
        <w:rPr>
          <w:rFonts w:eastAsiaTheme="minorHAnsi"/>
          <w:color w:val="333333"/>
          <w:shd w:val="clear" w:color="auto" w:fill="FFFFFF"/>
          <w:lang w:eastAsia="en-US"/>
        </w:rPr>
      </w:pPr>
      <w:r>
        <w:t>Wobec powyższego Rada Miejska</w:t>
      </w:r>
      <w:r w:rsidRPr="001829A3">
        <w:t xml:space="preserve"> nie posiada kompetencji do wprowadzania tego rodzaju zakaz</w:t>
      </w:r>
      <w:r>
        <w:t>ów</w:t>
      </w:r>
      <w:r>
        <w:t xml:space="preserve"> w niniejszych regulaminach</w:t>
      </w:r>
      <w:r w:rsidRPr="001829A3">
        <w:t>.</w:t>
      </w:r>
      <w:r w:rsidRPr="001829A3">
        <w:rPr>
          <w:rFonts w:eastAsiaTheme="minorHAnsi"/>
          <w:color w:val="333333"/>
          <w:shd w:val="clear" w:color="auto" w:fill="FFFFFF"/>
          <w:lang w:eastAsia="en-US"/>
        </w:rPr>
        <w:t xml:space="preserve"> </w:t>
      </w:r>
    </w:p>
    <w:p w:rsidR="005B247C" w:rsidRDefault="001E21A2" w:rsidP="005B247C">
      <w:pPr>
        <w:spacing w:line="360" w:lineRule="auto"/>
        <w:ind w:left="284" w:right="130" w:firstLine="709"/>
        <w:jc w:val="both"/>
        <w:rPr>
          <w:rFonts w:eastAsiaTheme="minorHAnsi"/>
          <w:color w:val="333333"/>
          <w:shd w:val="clear" w:color="auto" w:fill="FFFFFF"/>
          <w:lang w:eastAsia="en-US"/>
        </w:rPr>
      </w:pPr>
      <w:r w:rsidRPr="001829A3">
        <w:rPr>
          <w:rFonts w:eastAsia="Calibri"/>
          <w:color w:val="000000"/>
          <w:lang w:bidi="pl-PL"/>
        </w:rPr>
        <w:t xml:space="preserve">W nawiązaniu do powyższego należy stwierdzić, że w świetle art. 94 Konstytucji RP organy samorządu terytorialnego wydają akty prawa miejscowego obowiązujące </w:t>
      </w:r>
      <w:r>
        <w:rPr>
          <w:rFonts w:eastAsia="Calibri"/>
          <w:color w:val="000000"/>
          <w:lang w:bidi="pl-PL"/>
        </w:rPr>
        <w:br/>
      </w:r>
      <w:r w:rsidRPr="001829A3">
        <w:rPr>
          <w:rFonts w:eastAsia="Calibri"/>
          <w:color w:val="000000"/>
          <w:lang w:bidi="pl-PL"/>
        </w:rPr>
        <w:t>na obszarze działania tych organów, na podstawie i w granicach upowa</w:t>
      </w:r>
      <w:r w:rsidRPr="001829A3">
        <w:rPr>
          <w:rFonts w:eastAsia="Calibri"/>
          <w:color w:val="000000"/>
          <w:lang w:bidi="pl-PL"/>
        </w:rPr>
        <w:t xml:space="preserve">żnień zawartych </w:t>
      </w:r>
      <w:r>
        <w:rPr>
          <w:rFonts w:eastAsia="Calibri"/>
          <w:color w:val="000000"/>
          <w:lang w:bidi="pl-PL"/>
        </w:rPr>
        <w:br/>
      </w:r>
      <w:r w:rsidRPr="001829A3">
        <w:rPr>
          <w:rFonts w:eastAsia="Calibri"/>
          <w:color w:val="000000"/>
          <w:lang w:bidi="pl-PL"/>
        </w:rPr>
        <w:t xml:space="preserve">w ustawie. Oznacza to, że do wydania aktu prawa miejscowego wymagane jest zawarte </w:t>
      </w:r>
      <w:r>
        <w:rPr>
          <w:rFonts w:eastAsia="Calibri"/>
          <w:color w:val="000000"/>
          <w:lang w:bidi="pl-PL"/>
        </w:rPr>
        <w:br/>
      </w:r>
      <w:r w:rsidRPr="001829A3">
        <w:rPr>
          <w:rFonts w:eastAsia="Calibri"/>
          <w:color w:val="000000"/>
          <w:lang w:bidi="pl-PL"/>
        </w:rPr>
        <w:t>w ustawie odrębne upoważnienie konkretnego organu do uregulowania w określonej formie danego zakresu spraw. Jednocześnie konstytucyjna zasada praworządności</w:t>
      </w:r>
      <w:r w:rsidRPr="001829A3">
        <w:rPr>
          <w:rFonts w:eastAsia="Calibri"/>
          <w:color w:val="000000"/>
          <w:lang w:bidi="pl-PL"/>
        </w:rPr>
        <w:t xml:space="preserve"> wyrażona w art. 7 Konstytucji RP wymaga, żeby materia regulowana wydanym aktem normatywnym wynikała z upoważnienia ustawowego i mieściła się w granicach prawa. Wynika to również wprost z przepisów ustawy o samorządzie gminnym, a zwłaszcza </w:t>
      </w:r>
      <w:r>
        <w:rPr>
          <w:rFonts w:eastAsia="Calibri"/>
          <w:color w:val="000000"/>
          <w:lang w:bidi="pl-PL"/>
        </w:rPr>
        <w:br/>
      </w:r>
      <w:r w:rsidRPr="001829A3">
        <w:rPr>
          <w:rFonts w:eastAsia="Calibri"/>
          <w:color w:val="000000"/>
          <w:lang w:bidi="pl-PL"/>
        </w:rPr>
        <w:t>z art. 40 tej u</w:t>
      </w:r>
      <w:r w:rsidRPr="001829A3">
        <w:rPr>
          <w:rFonts w:eastAsia="Calibri"/>
          <w:color w:val="000000"/>
          <w:lang w:bidi="pl-PL"/>
        </w:rPr>
        <w:t>stawy, zgodnie z którym gminie przysługuje prawo stanowienia aktów prawa miejscowego obowiązujących na obszarze gminy na podstawie upoważnień ustawowych. Należy zatem wyraźnie podkreślić, iż wszelkie uchwały podejmowane przez radę gminy muszą nie tylko mie</w:t>
      </w:r>
      <w:r w:rsidRPr="001829A3">
        <w:rPr>
          <w:rFonts w:eastAsia="Calibri"/>
          <w:color w:val="000000"/>
          <w:lang w:bidi="pl-PL"/>
        </w:rPr>
        <w:t xml:space="preserve">ć umocowanie w obowiązujących przepisach prawa, ale też zapisy zawarte w uchwałach nie mogą przepisów tych naruszać. Ustawodawca, formułując określoną delegację do wydania aktu wykonawczego, przekazuje upoważnienie </w:t>
      </w:r>
      <w:r>
        <w:rPr>
          <w:rFonts w:eastAsia="Calibri"/>
          <w:color w:val="000000"/>
          <w:lang w:bidi="pl-PL"/>
        </w:rPr>
        <w:br/>
      </w:r>
      <w:r w:rsidRPr="001829A3">
        <w:rPr>
          <w:rFonts w:eastAsia="Calibri"/>
          <w:color w:val="000000"/>
          <w:lang w:bidi="pl-PL"/>
        </w:rPr>
        <w:t>do uregulowania wyłącznie kwestii wynika</w:t>
      </w:r>
      <w:r w:rsidRPr="001829A3">
        <w:rPr>
          <w:rFonts w:eastAsia="Calibri"/>
          <w:color w:val="000000"/>
          <w:lang w:bidi="pl-PL"/>
        </w:rPr>
        <w:t xml:space="preserve">jących z upoważnienia. Zatem niedopuszczalna jest realizacja upoważnienia ustawowego regulująca kwestie nie przekazane </w:t>
      </w:r>
      <w:r>
        <w:rPr>
          <w:rFonts w:eastAsia="Calibri"/>
          <w:color w:val="000000"/>
          <w:lang w:bidi="pl-PL"/>
        </w:rPr>
        <w:br/>
      </w:r>
      <w:r w:rsidRPr="001829A3">
        <w:rPr>
          <w:rFonts w:eastAsia="Calibri"/>
          <w:color w:val="000000"/>
          <w:lang w:bidi="pl-PL"/>
        </w:rPr>
        <w:t xml:space="preserve">do uregulowania w upoważnieniu. Takie działanie Rady Miejskiej należy rozumieć jako działanie z przekroczeniem upoważnienia ustawowego, </w:t>
      </w:r>
      <w:r w:rsidRPr="001829A3">
        <w:rPr>
          <w:rFonts w:eastAsia="Calibri"/>
          <w:color w:val="000000"/>
          <w:lang w:bidi="pl-PL"/>
        </w:rPr>
        <w:t xml:space="preserve">a w konsekwencji, wobec zawarcia w </w:t>
      </w:r>
      <w:r>
        <w:rPr>
          <w:rFonts w:eastAsia="Calibri"/>
          <w:color w:val="000000"/>
          <w:lang w:bidi="pl-PL"/>
        </w:rPr>
        <w:t xml:space="preserve">skarżonej </w:t>
      </w:r>
      <w:r w:rsidRPr="001829A3">
        <w:rPr>
          <w:rFonts w:eastAsia="Calibri"/>
          <w:color w:val="000000"/>
          <w:lang w:bidi="pl-PL"/>
        </w:rPr>
        <w:t>uchwale przepisów wykraczających poza delegację ustawową, powoduje konieczność przywrócenia stanu zgodnego z prawem.</w:t>
      </w:r>
    </w:p>
    <w:p w:rsidR="008410C3" w:rsidRPr="005B247C" w:rsidRDefault="001E21A2" w:rsidP="005B247C">
      <w:pPr>
        <w:spacing w:line="360" w:lineRule="auto"/>
        <w:ind w:left="284" w:right="130" w:firstLine="709"/>
        <w:jc w:val="both"/>
        <w:rPr>
          <w:rFonts w:eastAsiaTheme="minorHAnsi"/>
          <w:color w:val="333333"/>
          <w:shd w:val="clear" w:color="auto" w:fill="FFFFFF"/>
          <w:lang w:eastAsia="en-US"/>
        </w:rPr>
      </w:pPr>
      <w:r w:rsidRPr="00816684">
        <w:rPr>
          <w:rFonts w:eastAsia="MS Mincho"/>
          <w:color w:val="000000" w:themeColor="text1"/>
        </w:rPr>
        <w:lastRenderedPageBreak/>
        <w:t xml:space="preserve">Zarazem </w:t>
      </w:r>
      <w:r w:rsidRPr="00816684">
        <w:rPr>
          <w:color w:val="000000" w:themeColor="text1"/>
        </w:rPr>
        <w:t>brak upoważnienia ustawowego do stanowienia aktu prawa miejscowego przez organ jednost</w:t>
      </w:r>
      <w:r w:rsidRPr="00816684">
        <w:rPr>
          <w:color w:val="000000" w:themeColor="text1"/>
        </w:rPr>
        <w:t xml:space="preserve">ki samorządu terytorialnego, w zakresie danej materii oznacza, </w:t>
      </w:r>
      <w:r>
        <w:rPr>
          <w:color w:val="000000" w:themeColor="text1"/>
        </w:rPr>
        <w:br/>
      </w:r>
      <w:r w:rsidRPr="00816684">
        <w:rPr>
          <w:color w:val="000000" w:themeColor="text1"/>
        </w:rPr>
        <w:t xml:space="preserve">że nie podlega ona regulacji w tej formie prawnej, niezależnie czy dotyczyłaby uprawnień </w:t>
      </w:r>
      <w:r>
        <w:rPr>
          <w:color w:val="000000" w:themeColor="text1"/>
        </w:rPr>
        <w:br/>
      </w:r>
      <w:r w:rsidRPr="00816684">
        <w:rPr>
          <w:color w:val="000000" w:themeColor="text1"/>
        </w:rPr>
        <w:t>czy nakładania obowiązków (</w:t>
      </w:r>
      <w:r w:rsidRPr="00816684">
        <w:rPr>
          <w:i/>
          <w:color w:val="000000" w:themeColor="text1"/>
        </w:rPr>
        <w:t>vide:</w:t>
      </w:r>
      <w:r w:rsidRPr="00816684">
        <w:rPr>
          <w:color w:val="000000" w:themeColor="text1"/>
        </w:rPr>
        <w:t xml:space="preserve"> wyrok NSA z 3.10.2006 r. sygn. I OSK 1035/06,wyrok WSA we Wrocławiu z 15.03.2007 r. sygn. II SA/Wr 745/06).</w:t>
      </w:r>
    </w:p>
    <w:p w:rsidR="00AE6126" w:rsidRDefault="001E21A2" w:rsidP="00EF10DC">
      <w:pPr>
        <w:spacing w:line="336" w:lineRule="auto"/>
        <w:ind w:left="284" w:right="130" w:firstLine="851"/>
        <w:jc w:val="both"/>
      </w:pPr>
      <w:r>
        <w:t>Następnie w</w:t>
      </w:r>
      <w:r>
        <w:t xml:space="preserve"> ust. 10 </w:t>
      </w:r>
      <w:r>
        <w:t xml:space="preserve">regulaminu korzystania z placów zabaw </w:t>
      </w:r>
      <w:r>
        <w:t>Rada Miejska postanowiła, że: ,,</w:t>
      </w:r>
      <w:r w:rsidRPr="00816684">
        <w:rPr>
          <w:i/>
        </w:rPr>
        <w:t>Wszelkie uszkodzenia, usterki urządzeń zabawowych oraz sk</w:t>
      </w:r>
      <w:r w:rsidRPr="00816684">
        <w:rPr>
          <w:i/>
        </w:rPr>
        <w:t xml:space="preserve">argi </w:t>
      </w:r>
      <w:r>
        <w:rPr>
          <w:i/>
        </w:rPr>
        <w:br/>
      </w:r>
      <w:r w:rsidRPr="00816684">
        <w:rPr>
          <w:i/>
        </w:rPr>
        <w:t>i wnioski dotyczące funkcjonowania i korzystania z placu zabaw należy zgłaszać zarządcy placu zabaw (…)</w:t>
      </w:r>
      <w:r>
        <w:t>”.</w:t>
      </w:r>
    </w:p>
    <w:p w:rsidR="00A52B0A" w:rsidRDefault="001E21A2" w:rsidP="00EF10DC">
      <w:pPr>
        <w:spacing w:line="336" w:lineRule="auto"/>
        <w:ind w:left="284" w:right="130" w:firstLine="851"/>
        <w:jc w:val="both"/>
        <w:rPr>
          <w:i/>
        </w:rPr>
      </w:pPr>
      <w:r>
        <w:t>Z kolei w u</w:t>
      </w:r>
      <w:r>
        <w:t>st. 2 regulaminu siłowni zewnętrznych</w:t>
      </w:r>
      <w:r>
        <w:t xml:space="preserve"> Rada Miejska postanowiła, </w:t>
      </w:r>
      <w:r>
        <w:br/>
      </w:r>
      <w:r>
        <w:t xml:space="preserve">że: </w:t>
      </w:r>
      <w:r w:rsidRPr="00816684">
        <w:rPr>
          <w:i/>
        </w:rPr>
        <w:t xml:space="preserve">,,Przed przystąpieniem do ćwiczeń należy sprawdzić stan </w:t>
      </w:r>
      <w:r w:rsidRPr="00816684">
        <w:rPr>
          <w:i/>
        </w:rPr>
        <w:t>techniczny urządzenia</w:t>
      </w:r>
      <w:r>
        <w:rPr>
          <w:i/>
        </w:rPr>
        <w:t xml:space="preserve"> </w:t>
      </w:r>
      <w:r w:rsidRPr="00816684">
        <w:rPr>
          <w:i/>
        </w:rPr>
        <w:t>- usterki należy zgłaszać bezpośrednio zarządcy siłowni zewnętrznej”</w:t>
      </w:r>
      <w:r>
        <w:rPr>
          <w:i/>
        </w:rPr>
        <w:t>.</w:t>
      </w:r>
    </w:p>
    <w:p w:rsidR="00A52B0A" w:rsidRPr="00A52B0A" w:rsidRDefault="001E21A2" w:rsidP="00EF10DC">
      <w:pPr>
        <w:spacing w:line="336" w:lineRule="auto"/>
        <w:ind w:left="284" w:right="130" w:firstLine="851"/>
        <w:jc w:val="both"/>
        <w:rPr>
          <w:i/>
        </w:rPr>
      </w:pPr>
      <w:r w:rsidRPr="00A52B0A">
        <w:t xml:space="preserve">W ocenie organu nadzoru </w:t>
      </w:r>
      <w:r w:rsidRPr="00A52B0A">
        <w:rPr>
          <w:rFonts w:eastAsia="MS Mincho"/>
        </w:rPr>
        <w:t>regulacje uchwalonych przez Radę Miejską regulaminów, któr</w:t>
      </w:r>
      <w:r>
        <w:rPr>
          <w:rFonts w:eastAsia="MS Mincho"/>
        </w:rPr>
        <w:t>e zobowiązują użytkowników placów</w:t>
      </w:r>
      <w:r w:rsidRPr="00A52B0A">
        <w:rPr>
          <w:rFonts w:eastAsia="MS Mincho"/>
        </w:rPr>
        <w:t xml:space="preserve"> zabaw oraz siłowni zewnę</w:t>
      </w:r>
      <w:r>
        <w:rPr>
          <w:rFonts w:eastAsia="MS Mincho"/>
        </w:rPr>
        <w:t xml:space="preserve">trznych, </w:t>
      </w:r>
      <w:r w:rsidRPr="00A52B0A">
        <w:rPr>
          <w:rFonts w:eastAsia="MS Mincho"/>
        </w:rPr>
        <w:t>do zgłaszania z</w:t>
      </w:r>
      <w:r w:rsidRPr="00A52B0A">
        <w:rPr>
          <w:rFonts w:eastAsia="MS Mincho"/>
        </w:rPr>
        <w:t xml:space="preserve">arządcy wszelkich zauważonych usterek oraz uszkodzeń wykraczają poza zakres delegacji ustawowej. Poza tym wymienione regulacje nie mieszczą się w zasadach określających korzystanie z tych obiektów. Ponadto, obowiązek kontrolowania siłowni zewnętrznych czy </w:t>
      </w:r>
      <w:r w:rsidRPr="00A52B0A">
        <w:rPr>
          <w:rFonts w:eastAsia="MS Mincho"/>
        </w:rPr>
        <w:t xml:space="preserve">placów zabaw, pod kątem zapewnienia w nich bezpieczeństwa </w:t>
      </w:r>
      <w:r>
        <w:rPr>
          <w:rFonts w:eastAsia="MS Mincho"/>
        </w:rPr>
        <w:br/>
      </w:r>
      <w:r w:rsidRPr="00A52B0A">
        <w:rPr>
          <w:rFonts w:eastAsia="MS Mincho"/>
        </w:rPr>
        <w:t>i prawidłowości działania</w:t>
      </w:r>
      <w:r>
        <w:rPr>
          <w:rFonts w:eastAsia="MS Mincho"/>
        </w:rPr>
        <w:t xml:space="preserve"> urządzeń, sprzętu, znajdujących</w:t>
      </w:r>
      <w:r w:rsidRPr="00A52B0A">
        <w:rPr>
          <w:rFonts w:eastAsia="MS Mincho"/>
        </w:rPr>
        <w:t xml:space="preserve"> się na ich terenie, jest zadaniem osób administrujących, zarządzających lub zatrudnionych do ochrony i nadzor</w:t>
      </w:r>
      <w:r>
        <w:rPr>
          <w:rFonts w:eastAsia="MS Mincho"/>
        </w:rPr>
        <w:t>u</w:t>
      </w:r>
      <w:r w:rsidRPr="00A52B0A">
        <w:rPr>
          <w:rFonts w:eastAsia="MS Mincho"/>
        </w:rPr>
        <w:t xml:space="preserve"> tych obiektów, które nie moż</w:t>
      </w:r>
      <w:r w:rsidRPr="00A52B0A">
        <w:rPr>
          <w:rFonts w:eastAsia="MS Mincho"/>
        </w:rPr>
        <w:t>e być cedowane na ich użytkowników.</w:t>
      </w:r>
    </w:p>
    <w:p w:rsidR="00A52B0A" w:rsidRPr="00A52B0A" w:rsidRDefault="001E21A2" w:rsidP="00EF10DC">
      <w:pPr>
        <w:spacing w:line="360" w:lineRule="auto"/>
        <w:ind w:left="284" w:right="130" w:firstLine="708"/>
        <w:jc w:val="both"/>
        <w:rPr>
          <w:rFonts w:eastAsia="MS Mincho"/>
        </w:rPr>
      </w:pPr>
      <w:r w:rsidRPr="00A52B0A">
        <w:rPr>
          <w:rFonts w:eastAsia="MS Mincho"/>
        </w:rPr>
        <w:t xml:space="preserve">Podsumowując powyższe rozważania, użycie w opisanym kontekście, wobec osób korzystających z ww. </w:t>
      </w:r>
      <w:r>
        <w:rPr>
          <w:rFonts w:eastAsia="MS Mincho"/>
        </w:rPr>
        <w:t>terenów rekreacyjnych i urządzeń sportowych na terenie Gminy</w:t>
      </w:r>
      <w:r w:rsidRPr="00A52B0A">
        <w:rPr>
          <w:rFonts w:eastAsia="MS Mincho"/>
        </w:rPr>
        <w:t xml:space="preserve"> Góra Kalwaria, w kwe</w:t>
      </w:r>
      <w:r>
        <w:rPr>
          <w:rFonts w:eastAsia="MS Mincho"/>
        </w:rPr>
        <w:t>stionowanych regulacjach regulaminów</w:t>
      </w:r>
      <w:r w:rsidRPr="00A52B0A">
        <w:rPr>
          <w:rFonts w:eastAsia="MS Mincho"/>
        </w:rPr>
        <w:t>, sform</w:t>
      </w:r>
      <w:r w:rsidRPr="00A52B0A">
        <w:rPr>
          <w:rFonts w:eastAsia="MS Mincho"/>
        </w:rPr>
        <w:t xml:space="preserve">ułowań typu: </w:t>
      </w:r>
      <w:r w:rsidRPr="004C32C6">
        <w:rPr>
          <w:rFonts w:eastAsia="MS Mincho"/>
          <w:i/>
        </w:rPr>
        <w:t>„należy</w:t>
      </w:r>
      <w:r w:rsidRPr="00A52B0A">
        <w:rPr>
          <w:rFonts w:eastAsia="MS Mincho"/>
        </w:rPr>
        <w:t xml:space="preserve">”, stanowi przekroczenie delegacji ustawowej, a więc czyni omawianą regulację niezgodną </w:t>
      </w:r>
      <w:r>
        <w:rPr>
          <w:rFonts w:eastAsia="MS Mincho"/>
        </w:rPr>
        <w:br/>
      </w:r>
      <w:r w:rsidRPr="00A52B0A">
        <w:rPr>
          <w:rFonts w:eastAsia="MS Mincho"/>
        </w:rPr>
        <w:t xml:space="preserve">z przepisem z art. 40 ust. 2 pkt 4 ustawy. </w:t>
      </w:r>
    </w:p>
    <w:p w:rsidR="007930C8" w:rsidRDefault="001E21A2" w:rsidP="00EF10DC">
      <w:pPr>
        <w:spacing w:line="360" w:lineRule="auto"/>
        <w:ind w:left="284" w:right="130" w:firstLine="708"/>
        <w:jc w:val="both"/>
        <w:rPr>
          <w:rFonts w:eastAsia="Calibri"/>
          <w:color w:val="000000"/>
          <w:lang w:bidi="pl-PL"/>
        </w:rPr>
      </w:pPr>
      <w:r w:rsidRPr="00A52B0A">
        <w:rPr>
          <w:rFonts w:eastAsia="MS Mincho"/>
        </w:rPr>
        <w:t>Również regulacja zawarta w u</w:t>
      </w:r>
      <w:r>
        <w:rPr>
          <w:rFonts w:eastAsia="MS Mincho"/>
        </w:rPr>
        <w:t>st. 7 regulaminu siłowni zewnętrznych</w:t>
      </w:r>
      <w:r w:rsidRPr="00A52B0A">
        <w:rPr>
          <w:rFonts w:eastAsia="MS Mincho"/>
        </w:rPr>
        <w:t xml:space="preserve">, w którym Rada Miejska postanowiła, </w:t>
      </w:r>
      <w:r w:rsidRPr="00A52B0A">
        <w:rPr>
          <w:rFonts w:eastAsia="MS Mincho"/>
        </w:rPr>
        <w:t>że</w:t>
      </w:r>
      <w:r>
        <w:rPr>
          <w:rFonts w:eastAsia="MS Mincho"/>
        </w:rPr>
        <w:t xml:space="preserve">: </w:t>
      </w:r>
      <w:r w:rsidRPr="007930C8">
        <w:rPr>
          <w:rFonts w:eastAsia="MS Mincho"/>
          <w:i/>
        </w:rPr>
        <w:t xml:space="preserve">,,Osoby z problemami zdrowotnymi przed przystąpieniem </w:t>
      </w:r>
      <w:r>
        <w:rPr>
          <w:rFonts w:eastAsia="MS Mincho"/>
          <w:i/>
        </w:rPr>
        <w:br/>
      </w:r>
      <w:r w:rsidRPr="007930C8">
        <w:rPr>
          <w:rFonts w:eastAsia="MS Mincho"/>
          <w:i/>
        </w:rPr>
        <w:t>do ćwiczeń powinny skonsultować się z lekarzem”</w:t>
      </w:r>
      <w:r>
        <w:rPr>
          <w:rFonts w:eastAsia="MS Mincho"/>
        </w:rPr>
        <w:t xml:space="preserve">, wykracza poza podstawę prawną kwestionowanej uchwały, bowiem stanowi nałożenie obowiązków na użytkowników siłowni zewnętrznych </w:t>
      </w:r>
      <w:r>
        <w:rPr>
          <w:rFonts w:eastAsia="MS Mincho"/>
        </w:rPr>
        <w:t>(sformułowanie ,,powi</w:t>
      </w:r>
      <w:r>
        <w:rPr>
          <w:rFonts w:eastAsia="MS Mincho"/>
        </w:rPr>
        <w:t xml:space="preserve">nni”) </w:t>
      </w:r>
      <w:r>
        <w:rPr>
          <w:rFonts w:eastAsia="MS Mincho"/>
        </w:rPr>
        <w:t>oraz nie</w:t>
      </w:r>
      <w:r>
        <w:rPr>
          <w:rFonts w:eastAsia="MS Mincho"/>
        </w:rPr>
        <w:t xml:space="preserve"> mieści</w:t>
      </w:r>
      <w:r w:rsidRPr="00A52B0A">
        <w:rPr>
          <w:rFonts w:eastAsia="MS Mincho"/>
        </w:rPr>
        <w:t xml:space="preserve"> się w zasadach określających korzystanie z tych obiektów</w:t>
      </w:r>
      <w:r>
        <w:rPr>
          <w:rFonts w:eastAsia="MS Mincho"/>
        </w:rPr>
        <w:t>.</w:t>
      </w:r>
      <w:r w:rsidRPr="00086821">
        <w:rPr>
          <w:rFonts w:eastAsia="Calibri"/>
          <w:color w:val="000000"/>
          <w:lang w:bidi="pl-PL"/>
        </w:rPr>
        <w:t xml:space="preserve"> </w:t>
      </w:r>
    </w:p>
    <w:p w:rsidR="00F70BD0" w:rsidRDefault="001E21A2" w:rsidP="00EF10DC">
      <w:pPr>
        <w:spacing w:line="360" w:lineRule="auto"/>
        <w:ind w:left="284" w:right="130" w:firstLine="708"/>
        <w:jc w:val="both"/>
        <w:rPr>
          <w:rFonts w:eastAsia="Calibri"/>
          <w:color w:val="000000"/>
          <w:lang w:bidi="pl-PL"/>
        </w:rPr>
      </w:pPr>
    </w:p>
    <w:p w:rsidR="0058758A" w:rsidRPr="00086821" w:rsidRDefault="001E21A2" w:rsidP="00EF10DC">
      <w:pPr>
        <w:widowControl w:val="0"/>
        <w:spacing w:line="360" w:lineRule="auto"/>
        <w:ind w:left="284" w:right="130" w:firstLine="740"/>
        <w:jc w:val="both"/>
        <w:rPr>
          <w:rFonts w:eastAsia="Calibri"/>
          <w:color w:val="000000"/>
          <w:lang w:bidi="pl-PL"/>
        </w:rPr>
      </w:pPr>
      <w:r>
        <w:rPr>
          <w:rFonts w:eastAsia="Calibri"/>
          <w:i/>
          <w:iCs/>
          <w:color w:val="000000"/>
          <w:lang w:bidi="pl-PL"/>
        </w:rPr>
        <w:t>Material</w:t>
      </w:r>
      <w:r w:rsidRPr="00086821">
        <w:rPr>
          <w:rFonts w:eastAsia="Calibri"/>
          <w:i/>
          <w:iCs/>
          <w:color w:val="000000"/>
          <w:lang w:bidi="pl-PL"/>
        </w:rPr>
        <w:t xml:space="preserve">noprawna podstawa do działania rady gminy w zakresie stanowienia aktów prawa miejscowego musi bowiem wynikać wprost z zapisów ustawy (delegacji </w:t>
      </w:r>
      <w:r w:rsidRPr="00086821">
        <w:rPr>
          <w:rFonts w:eastAsia="Calibri"/>
          <w:i/>
          <w:iCs/>
          <w:color w:val="000000"/>
          <w:lang w:bidi="pl-PL"/>
        </w:rPr>
        <w:lastRenderedPageBreak/>
        <w:t xml:space="preserve">ustawowej) i nie może </w:t>
      </w:r>
      <w:r w:rsidRPr="00086821">
        <w:rPr>
          <w:rFonts w:eastAsia="Calibri"/>
          <w:i/>
          <w:iCs/>
          <w:color w:val="000000"/>
          <w:lang w:bidi="pl-PL"/>
        </w:rPr>
        <w:t xml:space="preserve">być oparta na ogólnych przepisach zawartych w ustawach. Zgodnie z zasadą legalności (art. 7 Konstytucji RP), organy władzy publicznej działają </w:t>
      </w:r>
      <w:r>
        <w:rPr>
          <w:rFonts w:eastAsia="Calibri"/>
          <w:i/>
          <w:iCs/>
          <w:color w:val="000000"/>
          <w:lang w:bidi="pl-PL"/>
        </w:rPr>
        <w:br/>
      </w:r>
      <w:r w:rsidRPr="00086821">
        <w:rPr>
          <w:rFonts w:eastAsia="Calibri"/>
          <w:i/>
          <w:iCs/>
          <w:color w:val="000000"/>
          <w:lang w:bidi="pl-PL"/>
        </w:rPr>
        <w:t>na podstawie i w granicach prawa. Rada gminy obowiązana jest; zatem przestrzegać zakresu upoważniania ustawowego</w:t>
      </w:r>
      <w:r w:rsidRPr="00086821">
        <w:rPr>
          <w:rFonts w:eastAsia="Calibri"/>
          <w:i/>
          <w:iCs/>
          <w:color w:val="000000"/>
          <w:lang w:bidi="pl-PL"/>
        </w:rPr>
        <w:t xml:space="preserve"> udzielonego jej przez ustawę w zakresie tworzenia aktów prawa miejscowego, a w ramach udzielonej jej delegacji w tych działaniach </w:t>
      </w:r>
      <w:r w:rsidRPr="00086821">
        <w:rPr>
          <w:rFonts w:eastAsia="Calibri"/>
          <w:i/>
          <w:iCs/>
          <w:color w:val="000000"/>
          <w:u w:val="single"/>
          <w:lang w:bidi="pl-PL"/>
        </w:rPr>
        <w:t>nie może wykraczać w materie uregulowaną ustawą</w:t>
      </w:r>
      <w:r w:rsidRPr="00086821">
        <w:rPr>
          <w:rFonts w:eastAsia="Calibri"/>
          <w:i/>
          <w:iCs/>
          <w:color w:val="000000"/>
          <w:lang w:bidi="pl-PL"/>
        </w:rPr>
        <w:t>. (...)".</w:t>
      </w:r>
      <w:r w:rsidRPr="00086821">
        <w:rPr>
          <w:rFonts w:eastAsia="Calibri"/>
          <w:color w:val="000000"/>
          <w:lang w:bidi="pl-PL"/>
        </w:rPr>
        <w:t xml:space="preserve"> (por. uzasadnienie do Wyroku WSA </w:t>
      </w:r>
      <w:r>
        <w:rPr>
          <w:rFonts w:eastAsia="Calibri"/>
          <w:color w:val="000000"/>
          <w:lang w:bidi="pl-PL"/>
        </w:rPr>
        <w:br/>
      </w:r>
      <w:r w:rsidRPr="00086821">
        <w:rPr>
          <w:rFonts w:eastAsia="Calibri"/>
          <w:color w:val="000000"/>
          <w:lang w:bidi="pl-PL"/>
        </w:rPr>
        <w:t>w Olsztynie z dnia 12 stycznia 201</w:t>
      </w:r>
      <w:r w:rsidRPr="00086821">
        <w:rPr>
          <w:rFonts w:eastAsia="Calibri"/>
          <w:color w:val="000000"/>
          <w:lang w:bidi="pl-PL"/>
        </w:rPr>
        <w:t>6 r. sygn. akt II SA/OI 1269/15).</w:t>
      </w:r>
    </w:p>
    <w:p w:rsidR="0058758A" w:rsidRPr="0063791A" w:rsidRDefault="001E21A2" w:rsidP="00EF10DC">
      <w:pPr>
        <w:spacing w:line="360" w:lineRule="auto"/>
        <w:ind w:left="284" w:right="130" w:firstLine="708"/>
        <w:jc w:val="both"/>
      </w:pPr>
      <w:r w:rsidRPr="0063791A">
        <w:t xml:space="preserve">Mając na uwadze powyższe, stwierdzenie nieważności przedmiotowej </w:t>
      </w:r>
      <w:r w:rsidRPr="0063791A">
        <w:rPr>
          <w:bCs/>
        </w:rPr>
        <w:t xml:space="preserve">uchwały </w:t>
      </w:r>
      <w:r w:rsidRPr="0063791A">
        <w:t xml:space="preserve">Rady </w:t>
      </w:r>
      <w:r>
        <w:t>Miejskiej Góry Kalwarii</w:t>
      </w:r>
      <w:r w:rsidRPr="0063791A">
        <w:t>, we wskazanej w petitum części, jest w pełni uzasadnione.</w:t>
      </w:r>
    </w:p>
    <w:p w:rsidR="0058758A" w:rsidRPr="0063791A" w:rsidRDefault="001E21A2" w:rsidP="00EF10DC">
      <w:pPr>
        <w:spacing w:line="360" w:lineRule="auto"/>
        <w:ind w:left="284" w:right="130" w:firstLine="708"/>
        <w:jc w:val="both"/>
      </w:pPr>
      <w:r w:rsidRPr="0063791A">
        <w:t xml:space="preserve">Na niniejsze rozstrzygnięcie nadzorcze </w:t>
      </w:r>
      <w:r>
        <w:t>Miastu</w:t>
      </w:r>
      <w:r w:rsidRPr="0063791A">
        <w:t xml:space="preserve"> przysługuje skar</w:t>
      </w:r>
      <w:r w:rsidRPr="0063791A">
        <w:t xml:space="preserve">ga </w:t>
      </w:r>
      <w:r>
        <w:br/>
      </w:r>
      <w:r w:rsidRPr="0063791A">
        <w:t>do Wojewódzkiego Sądu Administracyjnego w Warszawie w terminie 30 dni od daty jego doręczenia, wnoszona za pośrednictwem organu, który skarżone orzeczenie wydał</w:t>
      </w:r>
      <w:r>
        <w:t>.</w:t>
      </w:r>
    </w:p>
    <w:p w:rsidR="0058758A" w:rsidRPr="0063791A" w:rsidRDefault="001E21A2" w:rsidP="00EF10DC">
      <w:pPr>
        <w:spacing w:line="360" w:lineRule="auto"/>
        <w:ind w:left="284" w:right="130" w:firstLine="708"/>
        <w:jc w:val="both"/>
      </w:pPr>
      <w:r w:rsidRPr="0063791A">
        <w:t xml:space="preserve">Informuję, że rozstrzygnięcie nadzorcze wstrzymuje wykonanie uchwały z mocy prawa, w </w:t>
      </w:r>
      <w:r w:rsidRPr="0063791A">
        <w:t>części objętej orzeczeniem, z dniem jego doręczenia.</w:t>
      </w:r>
    </w:p>
    <w:p w:rsidR="0058758A" w:rsidRPr="0063791A" w:rsidRDefault="001E21A2" w:rsidP="003F70F3">
      <w:pPr>
        <w:ind w:left="136" w:right="136" w:firstLine="708"/>
        <w:jc w:val="both"/>
      </w:pPr>
    </w:p>
    <w:p w:rsidR="0058758A" w:rsidRDefault="001E21A2" w:rsidP="003F70F3">
      <w:pPr>
        <w:ind w:left="136" w:right="136" w:firstLine="708"/>
        <w:jc w:val="both"/>
      </w:pPr>
    </w:p>
    <w:p w:rsidR="0058758A" w:rsidRDefault="001E21A2" w:rsidP="0058758A">
      <w:pPr>
        <w:spacing w:line="276" w:lineRule="auto"/>
        <w:ind w:firstLine="720"/>
        <w:jc w:val="center"/>
        <w:rPr>
          <w:i/>
        </w:rPr>
      </w:pPr>
    </w:p>
    <w:p w:rsidR="0058758A" w:rsidRDefault="001E21A2" w:rsidP="0058758A">
      <w:pPr>
        <w:spacing w:line="276" w:lineRule="auto"/>
        <w:ind w:firstLine="720"/>
        <w:jc w:val="center"/>
        <w:rPr>
          <w:i/>
        </w:rPr>
      </w:pPr>
      <w:bookmarkStart w:id="2" w:name="ezdPracownikNazwa"/>
      <w:r>
        <w:rPr>
          <w:i/>
        </w:rPr>
        <w:t>Konstanty Radziwiłł</w:t>
      </w:r>
      <w:bookmarkEnd w:id="2"/>
    </w:p>
    <w:p w:rsidR="0058758A" w:rsidRDefault="001E21A2" w:rsidP="0058758A">
      <w:pPr>
        <w:spacing w:line="276" w:lineRule="auto"/>
        <w:ind w:firstLine="720"/>
        <w:jc w:val="center"/>
        <w:rPr>
          <w:i/>
        </w:rPr>
      </w:pPr>
      <w:bookmarkStart w:id="3" w:name="ezdPracownikStanowisko"/>
      <w:r>
        <w:rPr>
          <w:i/>
        </w:rPr>
        <w:t>Wojewoda Mazowiecki</w:t>
      </w:r>
      <w:bookmarkEnd w:id="3"/>
    </w:p>
    <w:p w:rsidR="0058758A" w:rsidRPr="008D53A2" w:rsidRDefault="001E21A2" w:rsidP="0058758A">
      <w:pPr>
        <w:spacing w:line="276" w:lineRule="auto"/>
        <w:rPr>
          <w:i/>
        </w:rPr>
      </w:pPr>
    </w:p>
    <w:p w:rsidR="0058758A" w:rsidRPr="007A371C" w:rsidRDefault="001E21A2" w:rsidP="0058758A">
      <w:pPr>
        <w:spacing w:line="276" w:lineRule="auto"/>
        <w:ind w:left="4963" w:hanging="1561"/>
        <w:jc w:val="center"/>
        <w:rPr>
          <w:sz w:val="20"/>
          <w:szCs w:val="20"/>
        </w:rPr>
      </w:pPr>
      <w:r>
        <w:rPr>
          <w:sz w:val="20"/>
          <w:szCs w:val="20"/>
        </w:rPr>
        <w:t>/</w:t>
      </w:r>
      <w:r w:rsidRPr="007A371C">
        <w:rPr>
          <w:sz w:val="20"/>
          <w:szCs w:val="20"/>
        </w:rPr>
        <w:t>podpisano bezpiecznym podpisem elektronicznym</w:t>
      </w:r>
    </w:p>
    <w:p w:rsidR="0058758A" w:rsidRPr="007A371C" w:rsidRDefault="001E21A2" w:rsidP="0058758A">
      <w:pPr>
        <w:spacing w:line="276" w:lineRule="auto"/>
        <w:ind w:left="4963" w:hanging="1561"/>
        <w:jc w:val="center"/>
        <w:rPr>
          <w:sz w:val="20"/>
          <w:szCs w:val="20"/>
        </w:rPr>
      </w:pPr>
      <w:r w:rsidRPr="007A371C">
        <w:rPr>
          <w:sz w:val="20"/>
          <w:szCs w:val="20"/>
        </w:rPr>
        <w:t>weryfikowanym ważn</w:t>
      </w:r>
      <w:r>
        <w:rPr>
          <w:sz w:val="20"/>
          <w:szCs w:val="20"/>
        </w:rPr>
        <w:t>ym</w:t>
      </w:r>
      <w:r w:rsidRPr="007A371C">
        <w:rPr>
          <w:sz w:val="20"/>
          <w:szCs w:val="20"/>
        </w:rPr>
        <w:t xml:space="preserve"> kwalifikowan</w:t>
      </w:r>
      <w:r>
        <w:rPr>
          <w:sz w:val="20"/>
          <w:szCs w:val="20"/>
        </w:rPr>
        <w:t>ym</w:t>
      </w:r>
      <w:r w:rsidRPr="007A371C">
        <w:rPr>
          <w:sz w:val="20"/>
          <w:szCs w:val="20"/>
        </w:rPr>
        <w:t xml:space="preserve"> certyfikat</w:t>
      </w:r>
      <w:r>
        <w:rPr>
          <w:sz w:val="20"/>
          <w:szCs w:val="20"/>
        </w:rPr>
        <w:t>em</w:t>
      </w:r>
      <w:r w:rsidRPr="007A371C">
        <w:rPr>
          <w:sz w:val="20"/>
          <w:szCs w:val="20"/>
        </w:rPr>
        <w:t>/</w:t>
      </w:r>
    </w:p>
    <w:p w:rsidR="0058758A" w:rsidRDefault="001E21A2" w:rsidP="0058758A"/>
    <w:p w:rsidR="00DB1BD9" w:rsidRDefault="001E21A2"/>
    <w:sectPr w:rsidR="00DB1BD9">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1A2" w:rsidRDefault="001E21A2">
      <w:r>
        <w:separator/>
      </w:r>
    </w:p>
  </w:endnote>
  <w:endnote w:type="continuationSeparator" w:id="0">
    <w:p w:rsidR="001E21A2" w:rsidRDefault="001E2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6046589"/>
      <w:docPartObj>
        <w:docPartGallery w:val="Page Numbers (Bottom of Page)"/>
        <w:docPartUnique/>
      </w:docPartObj>
    </w:sdtPr>
    <w:sdtEndPr/>
    <w:sdtContent>
      <w:p w:rsidR="000009EA" w:rsidRDefault="001E21A2">
        <w:pPr>
          <w:pStyle w:val="Stopka"/>
          <w:jc w:val="center"/>
        </w:pPr>
        <w:r>
          <w:fldChar w:fldCharType="begin"/>
        </w:r>
        <w:r>
          <w:instrText>PAGE   \* MERGEFORMAT</w:instrText>
        </w:r>
        <w:r>
          <w:fldChar w:fldCharType="separate"/>
        </w:r>
        <w:r>
          <w:rPr>
            <w:noProof/>
          </w:rPr>
          <w:t>7</w:t>
        </w:r>
        <w:r>
          <w:fldChar w:fldCharType="end"/>
        </w:r>
      </w:p>
    </w:sdtContent>
  </w:sdt>
  <w:p w:rsidR="000009EA" w:rsidRDefault="001E21A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1A2" w:rsidRDefault="001E21A2">
      <w:r>
        <w:separator/>
      </w:r>
    </w:p>
  </w:footnote>
  <w:footnote w:type="continuationSeparator" w:id="0">
    <w:p w:rsidR="001E21A2" w:rsidRDefault="001E21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4A7"/>
    <w:rsid w:val="001E21A2"/>
    <w:rsid w:val="00B024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5E1C8E-9BDE-451C-A380-8C7F15CEC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58758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aliases w:val="Czarny,Interl...,Normalny + 12 pt,Po:  0 pt,Wyrównany do środka"/>
    <w:qFormat/>
    <w:rsid w:val="0058758A"/>
    <w:rPr>
      <w:b/>
      <w:bCs/>
    </w:rPr>
  </w:style>
  <w:style w:type="paragraph" w:styleId="NormalnyWeb">
    <w:name w:val="Normal (Web)"/>
    <w:basedOn w:val="Normalny"/>
    <w:uiPriority w:val="99"/>
    <w:unhideWhenUsed/>
    <w:rsid w:val="0058758A"/>
    <w:pPr>
      <w:spacing w:before="100" w:beforeAutospacing="1" w:after="100" w:afterAutospacing="1"/>
    </w:pPr>
  </w:style>
  <w:style w:type="character" w:styleId="Uwydatnienie">
    <w:name w:val="Emphasis"/>
    <w:basedOn w:val="Domylnaczcionkaakapitu"/>
    <w:uiPriority w:val="20"/>
    <w:qFormat/>
    <w:rsid w:val="00AE6126"/>
    <w:rPr>
      <w:i/>
      <w:iCs/>
    </w:rPr>
  </w:style>
  <w:style w:type="character" w:styleId="Hipercze">
    <w:name w:val="Hyperlink"/>
    <w:basedOn w:val="Domylnaczcionkaakapitu"/>
    <w:uiPriority w:val="99"/>
    <w:semiHidden/>
    <w:unhideWhenUsed/>
    <w:rsid w:val="000D7BDA"/>
    <w:rPr>
      <w:color w:val="0000FF"/>
      <w:u w:val="single"/>
    </w:rPr>
  </w:style>
  <w:style w:type="character" w:customStyle="1" w:styleId="highlight">
    <w:name w:val="highlight"/>
    <w:basedOn w:val="Domylnaczcionkaakapitu"/>
    <w:rsid w:val="000D7BDA"/>
  </w:style>
  <w:style w:type="paragraph" w:styleId="Nagwek">
    <w:name w:val="header"/>
    <w:basedOn w:val="Normalny"/>
    <w:link w:val="NagwekZnak"/>
    <w:uiPriority w:val="99"/>
    <w:unhideWhenUsed/>
    <w:rsid w:val="000009EA"/>
    <w:pPr>
      <w:tabs>
        <w:tab w:val="center" w:pos="4536"/>
        <w:tab w:val="right" w:pos="9072"/>
      </w:tabs>
    </w:pPr>
  </w:style>
  <w:style w:type="character" w:customStyle="1" w:styleId="NagwekZnak">
    <w:name w:val="Nagłówek Znak"/>
    <w:basedOn w:val="Domylnaczcionkaakapitu"/>
    <w:link w:val="Nagwek"/>
    <w:uiPriority w:val="99"/>
    <w:rsid w:val="000009E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009EA"/>
    <w:pPr>
      <w:tabs>
        <w:tab w:val="center" w:pos="4536"/>
        <w:tab w:val="right" w:pos="9072"/>
      </w:tabs>
    </w:pPr>
  </w:style>
  <w:style w:type="character" w:customStyle="1" w:styleId="StopkaZnak">
    <w:name w:val="Stopka Znak"/>
    <w:basedOn w:val="Domylnaczcionkaakapitu"/>
    <w:link w:val="Stopka"/>
    <w:uiPriority w:val="99"/>
    <w:rsid w:val="000009EA"/>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rswglrtgy3dmobtg4ydg" TargetMode="External"/><Relationship Id="rId13" Type="http://schemas.openxmlformats.org/officeDocument/2006/relationships/hyperlink" Target="https://sip.legalis.pl/document-view.seam?documentId=mfrxilrsguzdcnboobqxalrrgizdimbtgezq"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sip.legalis.pl/document-view.seam?documentId=mrswglrtgy3dmmzrgyydc" TargetMode="External"/><Relationship Id="rId12" Type="http://schemas.openxmlformats.org/officeDocument/2006/relationships/hyperlink" Target="https://sip.legalis.pl/document-view.seam?documentId=mfrxilrtg4ytiobwgu3tkltqmfyc4njtguztgnzvgi"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sip.legalis.pl/document-view.seam?documentId=mfrxilrtg4ytiojzgu2teltqmfyc4njthe4tkmjqgu" TargetMode="External"/><Relationship Id="rId5" Type="http://schemas.openxmlformats.org/officeDocument/2006/relationships/endnotes" Target="endnotes.xml"/><Relationship Id="rId15" Type="http://schemas.openxmlformats.org/officeDocument/2006/relationships/hyperlink" Target="https://sip.lex.pl/" TargetMode="External"/><Relationship Id="rId10" Type="http://schemas.openxmlformats.org/officeDocument/2006/relationships/hyperlink" Target="https://sip.legalis.pl/document-view.seam?documentId=mfrxilrtg4ytiojzgu2teltqmfyc4njthe4tkmjqgu" TargetMode="External"/><Relationship Id="rId4" Type="http://schemas.openxmlformats.org/officeDocument/2006/relationships/footnotes" Target="footnotes.xml"/><Relationship Id="rId9" Type="http://schemas.openxmlformats.org/officeDocument/2006/relationships/hyperlink" Target="https://sip.legalis.pl/document-view.seam?documentId=mfrxilrtg4ytiojzgu2teltqmfyc4njthe4tkmjqgu" TargetMode="External"/><Relationship Id="rId14"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2426</Words>
  <Characters>14558</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
    </vt:vector>
  </TitlesOfParts>
  <Company>Oddział</Company>
  <LinksUpToDate>false</LinksUpToDate>
  <CharactersWithSpaces>16951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Sioch-Suchecka</dc:creator>
  <cp:lastModifiedBy>Beata Darnowska</cp:lastModifiedBy>
  <cp:revision>2</cp:revision>
  <dcterms:created xsi:type="dcterms:W3CDTF">2021-07-23T09:56:00Z</dcterms:created>
  <dcterms:modified xsi:type="dcterms:W3CDTF">2021-07-23T09:56:00Z</dcterms:modified>
</cp:coreProperties>
</file>