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DE0C6" w14:textId="77777777" w:rsidR="00C61EE3" w:rsidRDefault="00C61EE3">
      <w:pPr>
        <w:rPr>
          <w:rFonts w:ascii="Arial" w:hAnsi="Arial" w:cs="Arial"/>
        </w:rPr>
      </w:pPr>
    </w:p>
    <w:p w14:paraId="3F74F115" w14:textId="77777777" w:rsidR="00C61EE3" w:rsidRDefault="00C61EE3">
      <w:pPr>
        <w:rPr>
          <w:rFonts w:ascii="Arial" w:hAnsi="Arial" w:cs="Arial"/>
        </w:rPr>
      </w:pPr>
    </w:p>
    <w:p w14:paraId="045194B7" w14:textId="77777777" w:rsidR="00C61EE3" w:rsidRDefault="00C61EE3">
      <w:pPr>
        <w:rPr>
          <w:rFonts w:ascii="Arial" w:hAnsi="Arial" w:cs="Arial"/>
        </w:rPr>
      </w:pPr>
    </w:p>
    <w:p w14:paraId="48C2DB0A" w14:textId="77777777" w:rsidR="00C61EE3" w:rsidRDefault="00B51A6E">
      <w:pPr>
        <w:rPr>
          <w:rFonts w:ascii="Arial" w:hAnsi="Arial" w:cs="Arial"/>
          <w:b/>
          <w:color w:val="E31837"/>
          <w:sz w:val="40"/>
          <w:szCs w:val="40"/>
        </w:rPr>
      </w:pPr>
      <w:r>
        <w:rPr>
          <w:rFonts w:ascii="Arial" w:hAnsi="Arial" w:cs="Arial"/>
          <w:b/>
          <w:color w:val="E31837"/>
          <w:sz w:val="40"/>
          <w:szCs w:val="40"/>
        </w:rPr>
        <w:t xml:space="preserve">INFORMACJA KWARTALNA O STANIE FINANSÓW PUBLICZNYCH W </w:t>
      </w:r>
      <w:r w:rsidR="002910FD">
        <w:rPr>
          <w:rFonts w:ascii="Arial" w:hAnsi="Arial" w:cs="Arial"/>
          <w:b/>
          <w:color w:val="E31837"/>
          <w:sz w:val="40"/>
          <w:szCs w:val="40"/>
        </w:rPr>
        <w:t>I</w:t>
      </w:r>
      <w:r>
        <w:rPr>
          <w:rFonts w:ascii="Arial" w:hAnsi="Arial" w:cs="Arial"/>
          <w:b/>
          <w:color w:val="E31837"/>
          <w:sz w:val="40"/>
          <w:szCs w:val="40"/>
        </w:rPr>
        <w:t xml:space="preserve">I KWARTALE 2020 r. </w:t>
      </w:r>
    </w:p>
    <w:p w14:paraId="7659EF10" w14:textId="77777777" w:rsidR="00C61EE3" w:rsidRDefault="00B51A6E">
      <w:pPr>
        <w:rPr>
          <w:rFonts w:ascii="Arial" w:hAnsi="Arial" w:cs="Arial"/>
          <w:b/>
          <w:color w:val="A6A6A6"/>
          <w:sz w:val="28"/>
          <w:szCs w:val="28"/>
        </w:rPr>
      </w:pPr>
      <w:r>
        <w:rPr>
          <w:rFonts w:ascii="Arial" w:hAnsi="Arial" w:cs="Arial"/>
          <w:b/>
          <w:color w:val="A6A6A6"/>
          <w:sz w:val="28"/>
          <w:szCs w:val="28"/>
        </w:rPr>
        <w:t xml:space="preserve">Nr </w:t>
      </w:r>
      <w:r w:rsidR="002910FD">
        <w:rPr>
          <w:rFonts w:ascii="Arial" w:hAnsi="Arial" w:cs="Arial"/>
          <w:b/>
          <w:color w:val="A6A6A6"/>
          <w:sz w:val="28"/>
          <w:szCs w:val="28"/>
        </w:rPr>
        <w:t>4</w:t>
      </w:r>
      <w:r>
        <w:rPr>
          <w:rFonts w:ascii="Arial" w:hAnsi="Arial" w:cs="Arial"/>
          <w:b/>
          <w:color w:val="A6A6A6"/>
          <w:sz w:val="28"/>
          <w:szCs w:val="28"/>
        </w:rPr>
        <w:t xml:space="preserve"> / 2020</w:t>
      </w:r>
    </w:p>
    <w:p w14:paraId="7335303F" w14:textId="77777777" w:rsidR="00C61EE3" w:rsidRDefault="00B51A6E">
      <w:pPr>
        <w:spacing w:after="120" w:line="360" w:lineRule="auto"/>
        <w:rPr>
          <w:rFonts w:ascii="Arial" w:hAnsi="Arial" w:cs="Arial"/>
          <w:color w:val="ADAFB2"/>
          <w:sz w:val="24"/>
          <w:szCs w:val="24"/>
          <w:highlight w:val="yellow"/>
        </w:rPr>
      </w:pPr>
      <w:r>
        <w:rPr>
          <w:rFonts w:ascii="Arial" w:hAnsi="Arial" w:cs="Arial"/>
          <w:color w:val="ADAFB2"/>
          <w:sz w:val="40"/>
          <w:szCs w:val="40"/>
          <w:highlight w:val="yellow"/>
        </w:rPr>
        <w:br/>
      </w:r>
    </w:p>
    <w:p w14:paraId="5A88CF68" w14:textId="77777777" w:rsidR="00C61EE3" w:rsidRDefault="00B51A6E">
      <w:pPr>
        <w:spacing w:after="0" w:line="360" w:lineRule="auto"/>
        <w:jc w:val="both"/>
        <w:rPr>
          <w:rFonts w:ascii="Arial" w:hAnsi="Arial" w:cs="Arial"/>
          <w:b/>
          <w:color w:val="ADAFB2"/>
          <w:sz w:val="24"/>
          <w:szCs w:val="24"/>
        </w:rPr>
      </w:pPr>
      <w:r>
        <w:rPr>
          <w:rFonts w:ascii="Arial" w:hAnsi="Arial" w:cs="Arial"/>
          <w:b/>
          <w:color w:val="ADAFB2"/>
          <w:sz w:val="24"/>
          <w:szCs w:val="24"/>
        </w:rPr>
        <w:t xml:space="preserve">Podstawowym celem niniejszej </w:t>
      </w:r>
      <w:r>
        <w:rPr>
          <w:rFonts w:ascii="Arial" w:hAnsi="Arial" w:cs="Arial"/>
          <w:b/>
          <w:i/>
          <w:color w:val="ADAFB2"/>
          <w:sz w:val="24"/>
          <w:szCs w:val="24"/>
        </w:rPr>
        <w:t>Informacji kwartalnej</w:t>
      </w:r>
      <w:r>
        <w:rPr>
          <w:rFonts w:ascii="Arial" w:hAnsi="Arial" w:cs="Arial"/>
          <w:b/>
          <w:color w:val="ADAFB2"/>
          <w:sz w:val="24"/>
          <w:szCs w:val="24"/>
        </w:rPr>
        <w:t xml:space="preserve"> jest zaprezentowanie dostępnych informacji na temat sektora finansów publicznych:</w:t>
      </w:r>
    </w:p>
    <w:p w14:paraId="4D899F9F" w14:textId="77777777" w:rsidR="00C61EE3" w:rsidRDefault="00B51A6E">
      <w:pPr>
        <w:tabs>
          <w:tab w:val="left" w:pos="426"/>
        </w:tabs>
        <w:spacing w:after="0" w:line="360" w:lineRule="auto"/>
        <w:jc w:val="both"/>
        <w:rPr>
          <w:rFonts w:ascii="Arial" w:hAnsi="Arial" w:cs="Arial"/>
          <w:b/>
          <w:color w:val="ADAFB2"/>
          <w:sz w:val="24"/>
          <w:szCs w:val="24"/>
        </w:rPr>
      </w:pPr>
      <w:r>
        <w:rPr>
          <w:rFonts w:ascii="Arial" w:hAnsi="Arial" w:cs="Arial"/>
          <w:b/>
          <w:color w:val="ADAFB2"/>
          <w:sz w:val="24"/>
          <w:szCs w:val="24"/>
        </w:rPr>
        <w:t>•</w:t>
      </w:r>
      <w:r>
        <w:rPr>
          <w:rFonts w:ascii="Arial" w:hAnsi="Arial" w:cs="Arial"/>
          <w:b/>
          <w:color w:val="ADAFB2"/>
          <w:sz w:val="24"/>
          <w:szCs w:val="24"/>
        </w:rPr>
        <w:tab/>
        <w:t>według obowiązującego w Unii Europejskiej standardu ESA2010 (dane kwartalne obejmujące cały sektor instytucji rządowych i samorządowych),</w:t>
      </w:r>
    </w:p>
    <w:p w14:paraId="33BD849C" w14:textId="77777777" w:rsidR="00C61EE3" w:rsidRDefault="00B51A6E">
      <w:pPr>
        <w:tabs>
          <w:tab w:val="left" w:pos="426"/>
        </w:tabs>
        <w:spacing w:after="0" w:line="360" w:lineRule="auto"/>
        <w:jc w:val="both"/>
        <w:rPr>
          <w:rFonts w:ascii="Arial" w:hAnsi="Arial" w:cs="Arial"/>
          <w:b/>
          <w:color w:val="ADAFB2"/>
          <w:sz w:val="24"/>
          <w:szCs w:val="24"/>
        </w:rPr>
      </w:pPr>
      <w:r>
        <w:rPr>
          <w:rFonts w:ascii="Arial" w:hAnsi="Arial" w:cs="Arial"/>
          <w:b/>
          <w:color w:val="ADAFB2"/>
          <w:sz w:val="24"/>
          <w:szCs w:val="24"/>
        </w:rPr>
        <w:t>•</w:t>
      </w:r>
      <w:r>
        <w:rPr>
          <w:rFonts w:ascii="Arial" w:hAnsi="Arial" w:cs="Arial"/>
          <w:b/>
          <w:color w:val="ADAFB2"/>
          <w:sz w:val="24"/>
          <w:szCs w:val="24"/>
        </w:rPr>
        <w:tab/>
        <w:t>według standardu Międzynarodowego Funduszu Walutowego GFSM2001 (dane miesięczne obejmujące szczebel centralny, natomiast dane roczne obejmujące cały sektor instytucji rządowych i samorządowych),</w:t>
      </w:r>
    </w:p>
    <w:p w14:paraId="08951317" w14:textId="77777777" w:rsidR="00C61EE3" w:rsidRDefault="00B51A6E">
      <w:pPr>
        <w:tabs>
          <w:tab w:val="left" w:pos="426"/>
        </w:tabs>
        <w:spacing w:after="280" w:line="360" w:lineRule="auto"/>
        <w:jc w:val="both"/>
        <w:rPr>
          <w:rFonts w:ascii="Arial" w:hAnsi="Arial" w:cs="Arial"/>
          <w:b/>
          <w:color w:val="ADAFB2"/>
          <w:sz w:val="24"/>
          <w:szCs w:val="24"/>
        </w:rPr>
      </w:pPr>
      <w:r>
        <w:rPr>
          <w:rFonts w:ascii="Arial" w:hAnsi="Arial" w:cs="Arial"/>
          <w:b/>
          <w:color w:val="ADAFB2"/>
          <w:sz w:val="24"/>
          <w:szCs w:val="24"/>
        </w:rPr>
        <w:t>•</w:t>
      </w:r>
      <w:r>
        <w:rPr>
          <w:rFonts w:ascii="Arial" w:hAnsi="Arial" w:cs="Arial"/>
          <w:b/>
          <w:color w:val="ADAFB2"/>
          <w:sz w:val="24"/>
          <w:szCs w:val="24"/>
        </w:rPr>
        <w:tab/>
        <w:t>według przepisów krajowych (dane miesięczne o budżecie państwa, Funduszu Ubezpieczeń Społecznych, Funduszu Emerytalno-Rentowym, Funduszu Pracy, Narodowym Funduszu Zdrowia).</w:t>
      </w:r>
    </w:p>
    <w:p w14:paraId="5A0A1898" w14:textId="77777777" w:rsidR="00C61EE3" w:rsidRDefault="00C61EE3">
      <w:pPr>
        <w:spacing w:after="280" w:line="360" w:lineRule="auto"/>
        <w:rPr>
          <w:rFonts w:ascii="Arial" w:hAnsi="Arial" w:cs="Arial"/>
          <w:sz w:val="18"/>
          <w:szCs w:val="18"/>
        </w:rPr>
      </w:pPr>
    </w:p>
    <w:p w14:paraId="505E64BF" w14:textId="77777777" w:rsidR="00C61EE3" w:rsidRDefault="00B51A6E">
      <w:pPr>
        <w:spacing w:after="0" w:line="360" w:lineRule="auto"/>
        <w:jc w:val="center"/>
        <w:rPr>
          <w:rFonts w:ascii="Arial" w:hAnsi="Arial" w:cs="Arial"/>
          <w:b/>
          <w:color w:val="ADAFB2"/>
          <w:sz w:val="24"/>
          <w:szCs w:val="24"/>
        </w:rPr>
      </w:pPr>
      <w:r>
        <w:rPr>
          <w:rFonts w:ascii="Arial" w:hAnsi="Arial" w:cs="Arial"/>
          <w:b/>
          <w:color w:val="ADAFB2"/>
          <w:sz w:val="24"/>
          <w:szCs w:val="24"/>
        </w:rPr>
        <w:t>Departament Polityki Makroekonomicznej</w:t>
      </w:r>
    </w:p>
    <w:p w14:paraId="504BD1F2" w14:textId="77777777" w:rsidR="00C61EE3" w:rsidRDefault="00B51A6E">
      <w:pPr>
        <w:spacing w:after="0" w:line="360" w:lineRule="auto"/>
        <w:jc w:val="center"/>
        <w:rPr>
          <w:rFonts w:ascii="Arial" w:hAnsi="Arial" w:cs="Arial"/>
          <w:b/>
          <w:color w:val="ADAFB2"/>
          <w:sz w:val="24"/>
          <w:szCs w:val="24"/>
          <w:highlight w:val="yellow"/>
        </w:rPr>
        <w:sectPr w:rsidR="00C61EE3">
          <w:footerReference w:type="default" r:id="rId11"/>
          <w:headerReference w:type="first" r:id="rId12"/>
          <w:pgSz w:w="11907" w:h="16839"/>
          <w:pgMar w:top="1418" w:right="992" w:bottom="1134" w:left="3686" w:header="709" w:footer="975" w:gutter="0"/>
          <w:cols w:space="708"/>
          <w:titlePg/>
        </w:sectPr>
      </w:pPr>
      <w:r>
        <w:rPr>
          <w:rFonts w:ascii="Arial" w:hAnsi="Arial" w:cs="Arial"/>
          <w:b/>
          <w:color w:val="ADAFB2"/>
          <w:sz w:val="24"/>
          <w:szCs w:val="24"/>
        </w:rPr>
        <w:t xml:space="preserve">Departament Długu Publicznego </w:t>
      </w:r>
    </w:p>
    <w:p w14:paraId="07C21399" w14:textId="77777777" w:rsidR="00C61EE3" w:rsidRDefault="00B51A6E">
      <w:pPr>
        <w:spacing w:after="120" w:line="360" w:lineRule="auto"/>
        <w:jc w:val="both"/>
        <w:rPr>
          <w:rFonts w:ascii="Arial" w:hAnsi="Arial" w:cs="Arial"/>
          <w:b/>
          <w:color w:val="ADAFB2"/>
          <w:sz w:val="24"/>
          <w:szCs w:val="24"/>
        </w:rPr>
      </w:pPr>
      <w:r>
        <w:rPr>
          <w:rFonts w:ascii="Arial" w:hAnsi="Arial" w:cs="Arial"/>
          <w:b/>
          <w:color w:val="ADAFB2"/>
          <w:sz w:val="24"/>
          <w:szCs w:val="24"/>
        </w:rPr>
        <w:lastRenderedPageBreak/>
        <w:t xml:space="preserve">Mając na uwadze zasadę jawności i przejrzystości finansów publicznych publikujemy Informację kwartalną o stanie finansów publicznych. Niniejszy numer zawiera informacje dotyczące </w:t>
      </w:r>
      <w:r>
        <w:rPr>
          <w:rFonts w:ascii="Arial" w:hAnsi="Arial" w:cs="Arial"/>
          <w:b/>
          <w:color w:val="333333"/>
          <w:sz w:val="24"/>
          <w:szCs w:val="24"/>
        </w:rPr>
        <w:t>I</w:t>
      </w:r>
      <w:r w:rsidR="002910FD">
        <w:rPr>
          <w:rFonts w:ascii="Arial" w:hAnsi="Arial" w:cs="Arial"/>
          <w:b/>
          <w:color w:val="333333"/>
          <w:sz w:val="24"/>
          <w:szCs w:val="24"/>
        </w:rPr>
        <w:t>I</w:t>
      </w:r>
      <w:r>
        <w:rPr>
          <w:rFonts w:ascii="Arial" w:hAnsi="Arial" w:cs="Arial"/>
          <w:b/>
          <w:color w:val="333333"/>
          <w:sz w:val="24"/>
          <w:szCs w:val="24"/>
        </w:rPr>
        <w:t xml:space="preserve"> kwartału 2020 r.</w:t>
      </w:r>
      <w:r>
        <w:rPr>
          <w:rFonts w:ascii="Arial" w:hAnsi="Arial" w:cs="Arial"/>
          <w:b/>
          <w:color w:val="ADAFB2"/>
          <w:sz w:val="24"/>
          <w:szCs w:val="24"/>
        </w:rPr>
        <w:t xml:space="preserve"> </w:t>
      </w:r>
    </w:p>
    <w:p w14:paraId="3B769086" w14:textId="77777777" w:rsidR="00C61EE3" w:rsidRDefault="00C61EE3">
      <w:pPr>
        <w:spacing w:after="280" w:line="360" w:lineRule="auto"/>
        <w:rPr>
          <w:rFonts w:ascii="Arial" w:hAnsi="Arial" w:cs="Arial"/>
          <w:b/>
          <w:color w:val="ADAFB2"/>
          <w:sz w:val="20"/>
          <w:szCs w:val="20"/>
          <w:highlight w:val="yellow"/>
        </w:rPr>
      </w:pPr>
    </w:p>
    <w:p w14:paraId="4E934A82" w14:textId="77777777" w:rsidR="00C61EE3" w:rsidRDefault="00C61EE3">
      <w:pPr>
        <w:spacing w:after="280" w:line="360" w:lineRule="auto"/>
        <w:rPr>
          <w:rFonts w:ascii="Arial" w:hAnsi="Arial" w:cs="Arial"/>
          <w:b/>
          <w:color w:val="ADAFB2"/>
          <w:sz w:val="20"/>
          <w:szCs w:val="20"/>
          <w:highlight w:val="yellow"/>
        </w:rPr>
      </w:pPr>
    </w:p>
    <w:p w14:paraId="039E314D" w14:textId="77777777" w:rsidR="00C61EE3" w:rsidRDefault="00C61EE3">
      <w:pPr>
        <w:spacing w:after="280" w:line="360" w:lineRule="auto"/>
        <w:rPr>
          <w:rFonts w:ascii="Arial" w:hAnsi="Arial" w:cs="Arial"/>
          <w:b/>
          <w:color w:val="ADAFB2"/>
          <w:sz w:val="20"/>
          <w:szCs w:val="20"/>
          <w:highlight w:val="yellow"/>
        </w:rPr>
      </w:pPr>
    </w:p>
    <w:p w14:paraId="66D602CE" w14:textId="77777777" w:rsidR="00C61EE3" w:rsidRDefault="00C61EE3">
      <w:pPr>
        <w:spacing w:after="280" w:line="360" w:lineRule="auto"/>
        <w:rPr>
          <w:rFonts w:ascii="Arial" w:hAnsi="Arial" w:cs="Arial"/>
          <w:b/>
          <w:color w:val="ADAFB2"/>
          <w:sz w:val="20"/>
          <w:szCs w:val="20"/>
          <w:highlight w:val="yellow"/>
        </w:rPr>
      </w:pPr>
    </w:p>
    <w:p w14:paraId="3B367CA4" w14:textId="77777777" w:rsidR="00C61EE3" w:rsidRDefault="00C61EE3">
      <w:pPr>
        <w:spacing w:after="280" w:line="360" w:lineRule="auto"/>
        <w:rPr>
          <w:rFonts w:ascii="Arial" w:hAnsi="Arial" w:cs="Arial"/>
          <w:b/>
          <w:color w:val="ADAFB2"/>
          <w:highlight w:val="yellow"/>
        </w:rPr>
      </w:pPr>
    </w:p>
    <w:p w14:paraId="34587752" w14:textId="77777777" w:rsidR="00C61EE3" w:rsidRDefault="00B51A6E">
      <w:pPr>
        <w:spacing w:after="280" w:line="360" w:lineRule="auto"/>
        <w:rPr>
          <w:rFonts w:ascii="Arial" w:hAnsi="Arial" w:cs="Arial"/>
          <w:b/>
          <w:color w:val="E31837"/>
          <w:sz w:val="28"/>
          <w:szCs w:val="28"/>
        </w:rPr>
      </w:pPr>
      <w:r>
        <w:rPr>
          <w:rFonts w:ascii="Arial" w:hAnsi="Arial" w:cs="Arial"/>
          <w:b/>
          <w:color w:val="E31837"/>
          <w:sz w:val="28"/>
          <w:szCs w:val="28"/>
        </w:rPr>
        <w:t>Podstawowe wskaźniki stanu sektora instytucji rządowych i samorządowych wg ESA2010 w I</w:t>
      </w:r>
      <w:r w:rsidR="002910FD">
        <w:rPr>
          <w:rFonts w:ascii="Arial" w:hAnsi="Arial" w:cs="Arial"/>
          <w:b/>
          <w:color w:val="E31837"/>
          <w:sz w:val="28"/>
          <w:szCs w:val="28"/>
        </w:rPr>
        <w:t>I</w:t>
      </w:r>
      <w:r>
        <w:rPr>
          <w:rFonts w:ascii="Arial" w:hAnsi="Arial" w:cs="Arial"/>
          <w:b/>
          <w:color w:val="E31837"/>
          <w:sz w:val="28"/>
          <w:szCs w:val="28"/>
        </w:rPr>
        <w:t xml:space="preserve"> kw. 2020 r.</w:t>
      </w:r>
    </w:p>
    <w:p w14:paraId="40E6532A" w14:textId="77777777" w:rsidR="00C61EE3" w:rsidRDefault="00B51A6E">
      <w:pPr>
        <w:numPr>
          <w:ilvl w:val="0"/>
          <w:numId w:val="2"/>
        </w:numPr>
        <w:spacing w:after="0" w:line="360" w:lineRule="auto"/>
        <w:jc w:val="both"/>
        <w:rPr>
          <w:rFonts w:ascii="Arial" w:hAnsi="Arial" w:cs="Arial"/>
          <w:b/>
          <w:color w:val="ADAFB2"/>
          <w:sz w:val="24"/>
          <w:szCs w:val="24"/>
        </w:rPr>
      </w:pPr>
      <w:r>
        <w:rPr>
          <w:rFonts w:ascii="Arial" w:hAnsi="Arial" w:cs="Arial"/>
          <w:b/>
          <w:color w:val="ADAFB2"/>
          <w:sz w:val="24"/>
          <w:szCs w:val="24"/>
        </w:rPr>
        <w:t xml:space="preserve">Wynik w </w:t>
      </w:r>
      <w:r w:rsidR="002910FD">
        <w:rPr>
          <w:rFonts w:ascii="Arial" w:hAnsi="Arial" w:cs="Arial"/>
          <w:b/>
          <w:color w:val="ADAFB2"/>
          <w:sz w:val="24"/>
          <w:szCs w:val="24"/>
        </w:rPr>
        <w:t>I</w:t>
      </w:r>
      <w:r>
        <w:rPr>
          <w:rFonts w:ascii="Arial" w:hAnsi="Arial" w:cs="Arial"/>
          <w:b/>
          <w:color w:val="ADAFB2"/>
          <w:sz w:val="24"/>
          <w:szCs w:val="24"/>
        </w:rPr>
        <w:t xml:space="preserve">I kw. wyniósł </w:t>
      </w:r>
      <w:r>
        <w:rPr>
          <w:rFonts w:ascii="Arial" w:hAnsi="Arial" w:cs="Arial"/>
          <w:b/>
          <w:color w:val="E31837"/>
          <w:sz w:val="24"/>
          <w:szCs w:val="24"/>
        </w:rPr>
        <w:t>-</w:t>
      </w:r>
      <w:r w:rsidR="002910FD">
        <w:rPr>
          <w:rFonts w:ascii="Arial" w:hAnsi="Arial" w:cs="Arial"/>
          <w:b/>
          <w:color w:val="E31837"/>
          <w:sz w:val="24"/>
          <w:szCs w:val="24"/>
        </w:rPr>
        <w:t>86,3</w:t>
      </w:r>
      <w:r>
        <w:rPr>
          <w:rFonts w:ascii="Arial" w:hAnsi="Arial" w:cs="Arial"/>
          <w:b/>
          <w:color w:val="E31837"/>
          <w:sz w:val="24"/>
          <w:szCs w:val="24"/>
        </w:rPr>
        <w:t xml:space="preserve"> mld zł (-</w:t>
      </w:r>
      <w:r w:rsidR="000C081C">
        <w:rPr>
          <w:rFonts w:ascii="Arial" w:hAnsi="Arial" w:cs="Arial"/>
          <w:b/>
          <w:color w:val="E31837"/>
          <w:sz w:val="24"/>
          <w:szCs w:val="24"/>
        </w:rPr>
        <w:t>16,</w:t>
      </w:r>
      <w:r w:rsidR="003A5078">
        <w:rPr>
          <w:rFonts w:ascii="Arial" w:hAnsi="Arial" w:cs="Arial"/>
          <w:b/>
          <w:color w:val="E31837"/>
          <w:sz w:val="24"/>
          <w:szCs w:val="24"/>
        </w:rPr>
        <w:t>4</w:t>
      </w:r>
      <w:r>
        <w:rPr>
          <w:rFonts w:ascii="Arial" w:hAnsi="Arial" w:cs="Arial"/>
          <w:b/>
          <w:color w:val="E31837"/>
          <w:sz w:val="24"/>
          <w:szCs w:val="24"/>
        </w:rPr>
        <w:t xml:space="preserve"> % PKB)</w:t>
      </w:r>
    </w:p>
    <w:p w14:paraId="5F114BF2" w14:textId="77777777" w:rsidR="00C61EE3" w:rsidRDefault="00B51A6E" w:rsidP="009B273E">
      <w:pPr>
        <w:numPr>
          <w:ilvl w:val="0"/>
          <w:numId w:val="2"/>
        </w:numPr>
        <w:spacing w:after="0" w:line="360" w:lineRule="auto"/>
        <w:jc w:val="both"/>
        <w:rPr>
          <w:rFonts w:ascii="Arial" w:hAnsi="Arial" w:cs="Arial"/>
          <w:b/>
          <w:color w:val="ADAFB2"/>
          <w:sz w:val="24"/>
          <w:szCs w:val="24"/>
        </w:rPr>
      </w:pPr>
      <w:r>
        <w:rPr>
          <w:rFonts w:ascii="Arial" w:hAnsi="Arial" w:cs="Arial"/>
          <w:b/>
          <w:color w:val="ADAFB2"/>
          <w:sz w:val="24"/>
          <w:szCs w:val="24"/>
        </w:rPr>
        <w:t>Dług EDP na koniec I</w:t>
      </w:r>
      <w:r w:rsidR="002910FD">
        <w:rPr>
          <w:rFonts w:ascii="Arial" w:hAnsi="Arial" w:cs="Arial"/>
          <w:b/>
          <w:color w:val="ADAFB2"/>
          <w:sz w:val="24"/>
          <w:szCs w:val="24"/>
        </w:rPr>
        <w:t>I</w:t>
      </w:r>
      <w:r>
        <w:rPr>
          <w:rFonts w:ascii="Arial" w:hAnsi="Arial" w:cs="Arial"/>
          <w:b/>
          <w:color w:val="ADAFB2"/>
          <w:sz w:val="24"/>
          <w:szCs w:val="24"/>
        </w:rPr>
        <w:t xml:space="preserve"> kw. 2020 r. wyniósł </w:t>
      </w:r>
      <w:r>
        <w:rPr>
          <w:rFonts w:ascii="Arial" w:hAnsi="Arial" w:cs="Arial"/>
          <w:b/>
          <w:color w:val="E31837"/>
          <w:sz w:val="24"/>
          <w:szCs w:val="24"/>
        </w:rPr>
        <w:t xml:space="preserve"> </w:t>
      </w:r>
      <w:r w:rsidR="009B273E" w:rsidRPr="009B273E">
        <w:rPr>
          <w:rFonts w:ascii="Arial" w:hAnsi="Arial" w:cs="Arial"/>
          <w:b/>
          <w:color w:val="E31837"/>
          <w:sz w:val="24"/>
          <w:szCs w:val="24"/>
        </w:rPr>
        <w:t xml:space="preserve">1.256,0 mld zł </w:t>
      </w:r>
    </w:p>
    <w:p w14:paraId="359B6D03" w14:textId="77777777" w:rsidR="00C61EE3" w:rsidRDefault="00C61EE3">
      <w:pPr>
        <w:spacing w:after="280" w:line="360" w:lineRule="auto"/>
        <w:rPr>
          <w:rFonts w:ascii="Arial" w:hAnsi="Arial" w:cs="Arial"/>
          <w:b/>
          <w:color w:val="ADAFB2"/>
        </w:rPr>
      </w:pPr>
    </w:p>
    <w:p w14:paraId="26B1EDB9" w14:textId="77777777" w:rsidR="00C61EE3" w:rsidRDefault="00C61EE3">
      <w:pPr>
        <w:spacing w:after="280" w:line="360" w:lineRule="auto"/>
        <w:rPr>
          <w:rFonts w:ascii="Arial" w:hAnsi="Arial" w:cs="Arial"/>
          <w:b/>
          <w:color w:val="ADAFB2"/>
        </w:rPr>
      </w:pPr>
    </w:p>
    <w:p w14:paraId="12F99FB0" w14:textId="77777777" w:rsidR="00C61EE3" w:rsidRDefault="00B51A6E">
      <w:pPr>
        <w:spacing w:after="280" w:line="360" w:lineRule="auto"/>
        <w:jc w:val="both"/>
        <w:rPr>
          <w:rFonts w:ascii="Arial" w:hAnsi="Arial" w:cs="Arial"/>
          <w:b/>
          <w:color w:val="ADAFB2"/>
          <w:highlight w:val="yellow"/>
        </w:rPr>
        <w:sectPr w:rsidR="00C61EE3">
          <w:footerReference w:type="first" r:id="rId13"/>
          <w:pgSz w:w="11907" w:h="16839"/>
          <w:pgMar w:top="1418" w:right="992" w:bottom="1135" w:left="3686" w:header="709" w:footer="976" w:gutter="0"/>
          <w:cols w:space="708"/>
          <w:titlePg/>
        </w:sectPr>
      </w:pPr>
      <w:r>
        <w:rPr>
          <w:rFonts w:ascii="Arial" w:hAnsi="Arial" w:cs="Arial"/>
          <w:b/>
          <w:color w:val="ADAFB2"/>
          <w:sz w:val="20"/>
          <w:szCs w:val="20"/>
        </w:rPr>
        <w:t xml:space="preserve">Niniejszy materiał został opracowany wyłącznie w celach informacyjnych i nie może być traktowany jako oferta lub rekomendacja do zawierania jakichkolwiek transakcji. Informacje zawarte w materiale pochodzą z dostępnych, wiarygodnych źródeł, jednak  Ministerstwo Finansów nie może zagwarantować ich dokładności i pełności. Ministerstwo Finansów nie ponosi odpowiedzialności za skutki decyzji podjętych na podstawie informacji zawartych w niniejszym materiale. Niniejszy materiał może być wykorzystywany do opracowań własnych pod warunkiem powołania się na źródło. </w:t>
      </w:r>
    </w:p>
    <w:p w14:paraId="0D6FCF60" w14:textId="77777777" w:rsidR="00C61EE3" w:rsidRDefault="00C61EE3">
      <w:pPr>
        <w:spacing w:after="280" w:line="360" w:lineRule="auto"/>
        <w:rPr>
          <w:rFonts w:ascii="Arial" w:hAnsi="Arial" w:cs="Arial"/>
          <w:b/>
          <w:color w:val="ADAFB2"/>
          <w:highlight w:val="yellow"/>
        </w:rPr>
      </w:pPr>
    </w:p>
    <w:p w14:paraId="15733E57" w14:textId="77777777" w:rsidR="00C61EE3" w:rsidRDefault="00C61EE3">
      <w:pPr>
        <w:spacing w:after="280" w:line="360" w:lineRule="auto"/>
        <w:rPr>
          <w:rFonts w:ascii="Arial" w:hAnsi="Arial" w:cs="Arial"/>
          <w:b/>
          <w:color w:val="ADAFB2"/>
          <w:highlight w:val="yellow"/>
        </w:rPr>
      </w:pPr>
    </w:p>
    <w:p w14:paraId="012B4662" w14:textId="77777777" w:rsidR="00C61EE3" w:rsidRDefault="00B51A6E">
      <w:pPr>
        <w:spacing w:after="280" w:line="360" w:lineRule="auto"/>
        <w:rPr>
          <w:rFonts w:ascii="Arial" w:hAnsi="Arial" w:cs="Arial"/>
          <w:b/>
          <w:color w:val="E31837"/>
          <w:sz w:val="28"/>
          <w:szCs w:val="28"/>
        </w:rPr>
      </w:pPr>
      <w:r>
        <w:rPr>
          <w:rFonts w:ascii="Arial" w:hAnsi="Arial" w:cs="Arial"/>
          <w:b/>
          <w:color w:val="E31837"/>
          <w:sz w:val="28"/>
          <w:szCs w:val="28"/>
        </w:rPr>
        <w:t>SPIS TREŚCI</w:t>
      </w:r>
    </w:p>
    <w:p w14:paraId="7437C89C" w14:textId="77777777" w:rsidR="00C61EE3" w:rsidRDefault="00C61EE3">
      <w:pPr>
        <w:pStyle w:val="Spistreci1"/>
        <w:tabs>
          <w:tab w:val="right" w:leader="dot" w:pos="7219"/>
        </w:tabs>
        <w:spacing w:after="120"/>
        <w:rPr>
          <w:rStyle w:val="Hipercze"/>
          <w:rFonts w:ascii="Arial" w:hAnsi="Arial" w:cs="Arial"/>
          <w:b/>
          <w:color w:val="ADAFB2"/>
        </w:rPr>
      </w:pPr>
    </w:p>
    <w:p w14:paraId="61B91956" w14:textId="77777777" w:rsidR="006652AF" w:rsidRPr="006652AF" w:rsidRDefault="00B51A6E" w:rsidP="006652AF">
      <w:pPr>
        <w:pStyle w:val="Spistreci1"/>
        <w:tabs>
          <w:tab w:val="right" w:leader="dot" w:pos="7219"/>
        </w:tabs>
        <w:spacing w:after="120"/>
        <w:rPr>
          <w:rStyle w:val="Hipercze"/>
          <w:rFonts w:ascii="Arial" w:hAnsi="Arial" w:cs="Arial"/>
          <w:b/>
          <w:color w:val="ADAFB2"/>
        </w:rPr>
      </w:pPr>
      <w:r>
        <w:fldChar w:fldCharType="begin"/>
      </w:r>
      <w:r>
        <w:instrText xml:space="preserve"> TOC \o "1-3" \h \z \u </w:instrText>
      </w:r>
      <w:r>
        <w:fldChar w:fldCharType="separate"/>
      </w:r>
      <w:hyperlink w:anchor="_Toc54778906" w:history="1">
        <w:r w:rsidR="006652AF" w:rsidRPr="006652AF">
          <w:rPr>
            <w:rStyle w:val="Hipercze"/>
            <w:rFonts w:ascii="Arial" w:hAnsi="Arial" w:cs="Arial"/>
            <w:b/>
            <w:color w:val="ADAFB2"/>
          </w:rPr>
          <w:t>1. Wynik, dochody oraz wydatki w II kw. 2020 r.</w:t>
        </w:r>
        <w:r w:rsidR="006652AF" w:rsidRPr="006652AF">
          <w:rPr>
            <w:rStyle w:val="Hipercze"/>
            <w:rFonts w:ascii="Arial" w:hAnsi="Arial" w:cs="Arial"/>
            <w:b/>
            <w:webHidden/>
            <w:color w:val="ADAFB2"/>
          </w:rPr>
          <w:tab/>
        </w:r>
        <w:r w:rsidR="006652AF" w:rsidRPr="006652AF">
          <w:rPr>
            <w:rStyle w:val="Hipercze"/>
            <w:rFonts w:ascii="Arial" w:hAnsi="Arial" w:cs="Arial"/>
            <w:b/>
            <w:webHidden/>
            <w:color w:val="ADAFB2"/>
          </w:rPr>
          <w:fldChar w:fldCharType="begin"/>
        </w:r>
        <w:r w:rsidR="006652AF" w:rsidRPr="006652AF">
          <w:rPr>
            <w:rStyle w:val="Hipercze"/>
            <w:rFonts w:ascii="Arial" w:hAnsi="Arial" w:cs="Arial"/>
            <w:b/>
            <w:webHidden/>
            <w:color w:val="ADAFB2"/>
          </w:rPr>
          <w:instrText xml:space="preserve"> PAGEREF _Toc54778906 \h </w:instrText>
        </w:r>
        <w:r w:rsidR="006652AF" w:rsidRPr="006652AF">
          <w:rPr>
            <w:rStyle w:val="Hipercze"/>
            <w:rFonts w:ascii="Arial" w:hAnsi="Arial" w:cs="Arial"/>
            <w:b/>
            <w:webHidden/>
            <w:color w:val="ADAFB2"/>
          </w:rPr>
        </w:r>
        <w:r w:rsidR="006652AF" w:rsidRPr="006652AF">
          <w:rPr>
            <w:rStyle w:val="Hipercze"/>
            <w:rFonts w:ascii="Arial" w:hAnsi="Arial" w:cs="Arial"/>
            <w:b/>
            <w:webHidden/>
            <w:color w:val="ADAFB2"/>
          </w:rPr>
          <w:fldChar w:fldCharType="separate"/>
        </w:r>
        <w:r w:rsidR="004C28BC">
          <w:rPr>
            <w:rStyle w:val="Hipercze"/>
            <w:rFonts w:ascii="Arial" w:hAnsi="Arial" w:cs="Arial"/>
            <w:b/>
            <w:noProof/>
            <w:webHidden/>
            <w:color w:val="ADAFB2"/>
          </w:rPr>
          <w:t>4</w:t>
        </w:r>
        <w:r w:rsidR="006652AF" w:rsidRPr="006652AF">
          <w:rPr>
            <w:rStyle w:val="Hipercze"/>
            <w:rFonts w:ascii="Arial" w:hAnsi="Arial" w:cs="Arial"/>
            <w:b/>
            <w:webHidden/>
            <w:color w:val="ADAFB2"/>
          </w:rPr>
          <w:fldChar w:fldCharType="end"/>
        </w:r>
      </w:hyperlink>
    </w:p>
    <w:p w14:paraId="150DD0E3" w14:textId="77777777" w:rsidR="006652AF" w:rsidRPr="006652AF" w:rsidRDefault="004C28BC" w:rsidP="006652AF">
      <w:pPr>
        <w:pStyle w:val="Spistreci1"/>
        <w:tabs>
          <w:tab w:val="right" w:leader="dot" w:pos="7219"/>
        </w:tabs>
        <w:spacing w:after="120"/>
        <w:rPr>
          <w:rStyle w:val="Hipercze"/>
          <w:rFonts w:ascii="Arial" w:hAnsi="Arial" w:cs="Arial"/>
          <w:b/>
          <w:color w:val="ADAFB2"/>
        </w:rPr>
      </w:pPr>
      <w:hyperlink w:anchor="_Toc54778907" w:history="1">
        <w:r w:rsidR="006652AF" w:rsidRPr="006652AF">
          <w:rPr>
            <w:rStyle w:val="Hipercze"/>
            <w:rFonts w:ascii="Arial" w:hAnsi="Arial" w:cs="Arial"/>
            <w:b/>
            <w:color w:val="ADAFB2"/>
          </w:rPr>
          <w:t>1.1. Wynik</w:t>
        </w:r>
        <w:r w:rsidR="006652AF" w:rsidRPr="006652AF">
          <w:rPr>
            <w:rStyle w:val="Hipercze"/>
            <w:rFonts w:ascii="Arial" w:hAnsi="Arial" w:cs="Arial"/>
            <w:b/>
            <w:webHidden/>
            <w:color w:val="ADAFB2"/>
          </w:rPr>
          <w:tab/>
        </w:r>
        <w:r w:rsidR="006652AF" w:rsidRPr="006652AF">
          <w:rPr>
            <w:rStyle w:val="Hipercze"/>
            <w:rFonts w:ascii="Arial" w:hAnsi="Arial" w:cs="Arial"/>
            <w:b/>
            <w:webHidden/>
            <w:color w:val="ADAFB2"/>
          </w:rPr>
          <w:fldChar w:fldCharType="begin"/>
        </w:r>
        <w:r w:rsidR="006652AF" w:rsidRPr="006652AF">
          <w:rPr>
            <w:rStyle w:val="Hipercze"/>
            <w:rFonts w:ascii="Arial" w:hAnsi="Arial" w:cs="Arial"/>
            <w:b/>
            <w:webHidden/>
            <w:color w:val="ADAFB2"/>
          </w:rPr>
          <w:instrText xml:space="preserve"> PAGEREF _Toc54778907 \h </w:instrText>
        </w:r>
        <w:r w:rsidR="006652AF" w:rsidRPr="006652AF">
          <w:rPr>
            <w:rStyle w:val="Hipercze"/>
            <w:rFonts w:ascii="Arial" w:hAnsi="Arial" w:cs="Arial"/>
            <w:b/>
            <w:webHidden/>
            <w:color w:val="ADAFB2"/>
          </w:rPr>
        </w:r>
        <w:r w:rsidR="006652AF" w:rsidRPr="006652AF">
          <w:rPr>
            <w:rStyle w:val="Hipercze"/>
            <w:rFonts w:ascii="Arial" w:hAnsi="Arial" w:cs="Arial"/>
            <w:b/>
            <w:webHidden/>
            <w:color w:val="ADAFB2"/>
          </w:rPr>
          <w:fldChar w:fldCharType="separate"/>
        </w:r>
        <w:r>
          <w:rPr>
            <w:rStyle w:val="Hipercze"/>
            <w:rFonts w:ascii="Arial" w:hAnsi="Arial" w:cs="Arial"/>
            <w:b/>
            <w:noProof/>
            <w:webHidden/>
            <w:color w:val="ADAFB2"/>
          </w:rPr>
          <w:t>4</w:t>
        </w:r>
        <w:r w:rsidR="006652AF" w:rsidRPr="006652AF">
          <w:rPr>
            <w:rStyle w:val="Hipercze"/>
            <w:rFonts w:ascii="Arial" w:hAnsi="Arial" w:cs="Arial"/>
            <w:b/>
            <w:webHidden/>
            <w:color w:val="ADAFB2"/>
          </w:rPr>
          <w:fldChar w:fldCharType="end"/>
        </w:r>
      </w:hyperlink>
    </w:p>
    <w:p w14:paraId="4E13435F" w14:textId="77777777" w:rsidR="006652AF" w:rsidRPr="006652AF" w:rsidRDefault="004C28BC" w:rsidP="006652AF">
      <w:pPr>
        <w:pStyle w:val="Spistreci1"/>
        <w:tabs>
          <w:tab w:val="right" w:leader="dot" w:pos="7219"/>
        </w:tabs>
        <w:spacing w:after="120"/>
        <w:rPr>
          <w:rStyle w:val="Hipercze"/>
          <w:rFonts w:ascii="Arial" w:hAnsi="Arial" w:cs="Arial"/>
          <w:b/>
          <w:color w:val="ADAFB2"/>
        </w:rPr>
      </w:pPr>
      <w:hyperlink w:anchor="_Toc54778908" w:history="1">
        <w:r w:rsidR="006652AF" w:rsidRPr="006652AF">
          <w:rPr>
            <w:rStyle w:val="Hipercze"/>
            <w:rFonts w:ascii="Arial" w:hAnsi="Arial" w:cs="Arial"/>
            <w:b/>
            <w:color w:val="ADAFB2"/>
          </w:rPr>
          <w:t>1.2. Dochody</w:t>
        </w:r>
        <w:r w:rsidR="006652AF" w:rsidRPr="006652AF">
          <w:rPr>
            <w:rStyle w:val="Hipercze"/>
            <w:rFonts w:ascii="Arial" w:hAnsi="Arial" w:cs="Arial"/>
            <w:b/>
            <w:webHidden/>
            <w:color w:val="ADAFB2"/>
          </w:rPr>
          <w:tab/>
        </w:r>
        <w:r w:rsidR="006652AF" w:rsidRPr="006652AF">
          <w:rPr>
            <w:rStyle w:val="Hipercze"/>
            <w:rFonts w:ascii="Arial" w:hAnsi="Arial" w:cs="Arial"/>
            <w:b/>
            <w:webHidden/>
            <w:color w:val="ADAFB2"/>
          </w:rPr>
          <w:fldChar w:fldCharType="begin"/>
        </w:r>
        <w:r w:rsidR="006652AF" w:rsidRPr="006652AF">
          <w:rPr>
            <w:rStyle w:val="Hipercze"/>
            <w:rFonts w:ascii="Arial" w:hAnsi="Arial" w:cs="Arial"/>
            <w:b/>
            <w:webHidden/>
            <w:color w:val="ADAFB2"/>
          </w:rPr>
          <w:instrText xml:space="preserve"> PAGEREF _Toc54778908 \h </w:instrText>
        </w:r>
        <w:r w:rsidR="006652AF" w:rsidRPr="006652AF">
          <w:rPr>
            <w:rStyle w:val="Hipercze"/>
            <w:rFonts w:ascii="Arial" w:hAnsi="Arial" w:cs="Arial"/>
            <w:b/>
            <w:webHidden/>
            <w:color w:val="ADAFB2"/>
          </w:rPr>
        </w:r>
        <w:r w:rsidR="006652AF" w:rsidRPr="006652AF">
          <w:rPr>
            <w:rStyle w:val="Hipercze"/>
            <w:rFonts w:ascii="Arial" w:hAnsi="Arial" w:cs="Arial"/>
            <w:b/>
            <w:webHidden/>
            <w:color w:val="ADAFB2"/>
          </w:rPr>
          <w:fldChar w:fldCharType="separate"/>
        </w:r>
        <w:r>
          <w:rPr>
            <w:rStyle w:val="Hipercze"/>
            <w:rFonts w:ascii="Arial" w:hAnsi="Arial" w:cs="Arial"/>
            <w:b/>
            <w:noProof/>
            <w:webHidden/>
            <w:color w:val="ADAFB2"/>
          </w:rPr>
          <w:t>4</w:t>
        </w:r>
        <w:r w:rsidR="006652AF" w:rsidRPr="006652AF">
          <w:rPr>
            <w:rStyle w:val="Hipercze"/>
            <w:rFonts w:ascii="Arial" w:hAnsi="Arial" w:cs="Arial"/>
            <w:b/>
            <w:webHidden/>
            <w:color w:val="ADAFB2"/>
          </w:rPr>
          <w:fldChar w:fldCharType="end"/>
        </w:r>
      </w:hyperlink>
    </w:p>
    <w:p w14:paraId="540C621C" w14:textId="77777777" w:rsidR="006652AF" w:rsidRPr="006652AF" w:rsidRDefault="004C28BC" w:rsidP="006652AF">
      <w:pPr>
        <w:pStyle w:val="Spistreci1"/>
        <w:tabs>
          <w:tab w:val="right" w:leader="dot" w:pos="7219"/>
        </w:tabs>
        <w:spacing w:after="120"/>
        <w:rPr>
          <w:rStyle w:val="Hipercze"/>
          <w:rFonts w:ascii="Arial" w:hAnsi="Arial" w:cs="Arial"/>
          <w:b/>
          <w:color w:val="ADAFB2"/>
        </w:rPr>
      </w:pPr>
      <w:hyperlink w:anchor="_Toc54778909" w:history="1">
        <w:r w:rsidR="006652AF" w:rsidRPr="006652AF">
          <w:rPr>
            <w:rStyle w:val="Hipercze"/>
            <w:rFonts w:ascii="Arial" w:hAnsi="Arial" w:cs="Arial"/>
            <w:b/>
            <w:color w:val="ADAFB2"/>
          </w:rPr>
          <w:t>1.3. Wydatki</w:t>
        </w:r>
        <w:r w:rsidR="006652AF" w:rsidRPr="006652AF">
          <w:rPr>
            <w:rStyle w:val="Hipercze"/>
            <w:rFonts w:ascii="Arial" w:hAnsi="Arial" w:cs="Arial"/>
            <w:b/>
            <w:webHidden/>
            <w:color w:val="ADAFB2"/>
          </w:rPr>
          <w:tab/>
        </w:r>
        <w:r w:rsidR="006652AF" w:rsidRPr="006652AF">
          <w:rPr>
            <w:rStyle w:val="Hipercze"/>
            <w:rFonts w:ascii="Arial" w:hAnsi="Arial" w:cs="Arial"/>
            <w:b/>
            <w:webHidden/>
            <w:color w:val="ADAFB2"/>
          </w:rPr>
          <w:fldChar w:fldCharType="begin"/>
        </w:r>
        <w:r w:rsidR="006652AF" w:rsidRPr="006652AF">
          <w:rPr>
            <w:rStyle w:val="Hipercze"/>
            <w:rFonts w:ascii="Arial" w:hAnsi="Arial" w:cs="Arial"/>
            <w:b/>
            <w:webHidden/>
            <w:color w:val="ADAFB2"/>
          </w:rPr>
          <w:instrText xml:space="preserve"> PAGEREF _Toc54778909 \h </w:instrText>
        </w:r>
        <w:r w:rsidR="006652AF" w:rsidRPr="006652AF">
          <w:rPr>
            <w:rStyle w:val="Hipercze"/>
            <w:rFonts w:ascii="Arial" w:hAnsi="Arial" w:cs="Arial"/>
            <w:b/>
            <w:webHidden/>
            <w:color w:val="ADAFB2"/>
          </w:rPr>
        </w:r>
        <w:r w:rsidR="006652AF" w:rsidRPr="006652AF">
          <w:rPr>
            <w:rStyle w:val="Hipercze"/>
            <w:rFonts w:ascii="Arial" w:hAnsi="Arial" w:cs="Arial"/>
            <w:b/>
            <w:webHidden/>
            <w:color w:val="ADAFB2"/>
          </w:rPr>
          <w:fldChar w:fldCharType="separate"/>
        </w:r>
        <w:r>
          <w:rPr>
            <w:rStyle w:val="Hipercze"/>
            <w:rFonts w:ascii="Arial" w:hAnsi="Arial" w:cs="Arial"/>
            <w:b/>
            <w:noProof/>
            <w:webHidden/>
            <w:color w:val="ADAFB2"/>
          </w:rPr>
          <w:t>6</w:t>
        </w:r>
        <w:r w:rsidR="006652AF" w:rsidRPr="006652AF">
          <w:rPr>
            <w:rStyle w:val="Hipercze"/>
            <w:rFonts w:ascii="Arial" w:hAnsi="Arial" w:cs="Arial"/>
            <w:b/>
            <w:webHidden/>
            <w:color w:val="ADAFB2"/>
          </w:rPr>
          <w:fldChar w:fldCharType="end"/>
        </w:r>
      </w:hyperlink>
    </w:p>
    <w:p w14:paraId="7A1CBAC3" w14:textId="77777777" w:rsidR="006652AF" w:rsidRPr="006652AF" w:rsidRDefault="004C28BC" w:rsidP="006652AF">
      <w:pPr>
        <w:pStyle w:val="Spistreci1"/>
        <w:tabs>
          <w:tab w:val="right" w:leader="dot" w:pos="7219"/>
        </w:tabs>
        <w:spacing w:after="120"/>
        <w:rPr>
          <w:rStyle w:val="Hipercze"/>
          <w:rFonts w:ascii="Arial" w:hAnsi="Arial" w:cs="Arial"/>
          <w:b/>
          <w:color w:val="ADAFB2"/>
        </w:rPr>
      </w:pPr>
      <w:hyperlink w:anchor="_Toc54778910" w:history="1">
        <w:r w:rsidR="006652AF" w:rsidRPr="006652AF">
          <w:rPr>
            <w:rStyle w:val="Hipercze"/>
            <w:rFonts w:ascii="Arial" w:hAnsi="Arial" w:cs="Arial"/>
            <w:b/>
            <w:color w:val="ADAFB2"/>
          </w:rPr>
          <w:t>2. Dług publiczny oraz potrzeby pożyczkowe</w:t>
        </w:r>
        <w:r w:rsidR="006652AF" w:rsidRPr="006652AF">
          <w:rPr>
            <w:rStyle w:val="Hipercze"/>
            <w:rFonts w:ascii="Arial" w:hAnsi="Arial" w:cs="Arial"/>
            <w:b/>
            <w:webHidden/>
            <w:color w:val="ADAFB2"/>
          </w:rPr>
          <w:tab/>
        </w:r>
        <w:r w:rsidR="006652AF" w:rsidRPr="006652AF">
          <w:rPr>
            <w:rStyle w:val="Hipercze"/>
            <w:rFonts w:ascii="Arial" w:hAnsi="Arial" w:cs="Arial"/>
            <w:b/>
            <w:webHidden/>
            <w:color w:val="ADAFB2"/>
          </w:rPr>
          <w:fldChar w:fldCharType="begin"/>
        </w:r>
        <w:r w:rsidR="006652AF" w:rsidRPr="006652AF">
          <w:rPr>
            <w:rStyle w:val="Hipercze"/>
            <w:rFonts w:ascii="Arial" w:hAnsi="Arial" w:cs="Arial"/>
            <w:b/>
            <w:webHidden/>
            <w:color w:val="ADAFB2"/>
          </w:rPr>
          <w:instrText xml:space="preserve"> PAGEREF _Toc54778910 \h </w:instrText>
        </w:r>
        <w:r w:rsidR="006652AF" w:rsidRPr="006652AF">
          <w:rPr>
            <w:rStyle w:val="Hipercze"/>
            <w:rFonts w:ascii="Arial" w:hAnsi="Arial" w:cs="Arial"/>
            <w:b/>
            <w:webHidden/>
            <w:color w:val="ADAFB2"/>
          </w:rPr>
        </w:r>
        <w:r w:rsidR="006652AF" w:rsidRPr="006652AF">
          <w:rPr>
            <w:rStyle w:val="Hipercze"/>
            <w:rFonts w:ascii="Arial" w:hAnsi="Arial" w:cs="Arial"/>
            <w:b/>
            <w:webHidden/>
            <w:color w:val="ADAFB2"/>
          </w:rPr>
          <w:fldChar w:fldCharType="separate"/>
        </w:r>
        <w:r>
          <w:rPr>
            <w:rStyle w:val="Hipercze"/>
            <w:rFonts w:ascii="Arial" w:hAnsi="Arial" w:cs="Arial"/>
            <w:b/>
            <w:noProof/>
            <w:webHidden/>
            <w:color w:val="ADAFB2"/>
          </w:rPr>
          <w:t>7</w:t>
        </w:r>
        <w:r w:rsidR="006652AF" w:rsidRPr="006652AF">
          <w:rPr>
            <w:rStyle w:val="Hipercze"/>
            <w:rFonts w:ascii="Arial" w:hAnsi="Arial" w:cs="Arial"/>
            <w:b/>
            <w:webHidden/>
            <w:color w:val="ADAFB2"/>
          </w:rPr>
          <w:fldChar w:fldCharType="end"/>
        </w:r>
      </w:hyperlink>
    </w:p>
    <w:p w14:paraId="3B35CEF0" w14:textId="77777777" w:rsidR="006652AF" w:rsidRPr="006652AF" w:rsidRDefault="004C28BC" w:rsidP="006652AF">
      <w:pPr>
        <w:pStyle w:val="Spistreci1"/>
        <w:tabs>
          <w:tab w:val="right" w:leader="dot" w:pos="7219"/>
        </w:tabs>
        <w:spacing w:after="120"/>
        <w:rPr>
          <w:rStyle w:val="Hipercze"/>
          <w:rFonts w:ascii="Arial" w:hAnsi="Arial" w:cs="Arial"/>
          <w:b/>
          <w:color w:val="ADAFB2"/>
        </w:rPr>
      </w:pPr>
      <w:hyperlink w:anchor="_Toc54778911" w:history="1">
        <w:r w:rsidR="006652AF" w:rsidRPr="006652AF">
          <w:rPr>
            <w:rStyle w:val="Hipercze"/>
            <w:rFonts w:ascii="Arial" w:hAnsi="Arial" w:cs="Arial"/>
            <w:b/>
            <w:color w:val="ADAFB2"/>
          </w:rPr>
          <w:t>2.1. Dług sektora instytucji rządowych i samorządowych (wg definicji UE)</w:t>
        </w:r>
        <w:r w:rsidR="006652AF" w:rsidRPr="006652AF">
          <w:rPr>
            <w:rStyle w:val="Hipercze"/>
            <w:rFonts w:ascii="Arial" w:hAnsi="Arial" w:cs="Arial"/>
            <w:b/>
            <w:webHidden/>
            <w:color w:val="ADAFB2"/>
          </w:rPr>
          <w:tab/>
        </w:r>
        <w:r w:rsidR="006652AF" w:rsidRPr="006652AF">
          <w:rPr>
            <w:rStyle w:val="Hipercze"/>
            <w:rFonts w:ascii="Arial" w:hAnsi="Arial" w:cs="Arial"/>
            <w:b/>
            <w:webHidden/>
            <w:color w:val="ADAFB2"/>
          </w:rPr>
          <w:fldChar w:fldCharType="begin"/>
        </w:r>
        <w:r w:rsidR="006652AF" w:rsidRPr="006652AF">
          <w:rPr>
            <w:rStyle w:val="Hipercze"/>
            <w:rFonts w:ascii="Arial" w:hAnsi="Arial" w:cs="Arial"/>
            <w:b/>
            <w:webHidden/>
            <w:color w:val="ADAFB2"/>
          </w:rPr>
          <w:instrText xml:space="preserve"> PAGEREF _Toc54778911 \h </w:instrText>
        </w:r>
        <w:r w:rsidR="006652AF" w:rsidRPr="006652AF">
          <w:rPr>
            <w:rStyle w:val="Hipercze"/>
            <w:rFonts w:ascii="Arial" w:hAnsi="Arial" w:cs="Arial"/>
            <w:b/>
            <w:webHidden/>
            <w:color w:val="ADAFB2"/>
          </w:rPr>
        </w:r>
        <w:r w:rsidR="006652AF" w:rsidRPr="006652AF">
          <w:rPr>
            <w:rStyle w:val="Hipercze"/>
            <w:rFonts w:ascii="Arial" w:hAnsi="Arial" w:cs="Arial"/>
            <w:b/>
            <w:webHidden/>
            <w:color w:val="ADAFB2"/>
          </w:rPr>
          <w:fldChar w:fldCharType="separate"/>
        </w:r>
        <w:r>
          <w:rPr>
            <w:rStyle w:val="Hipercze"/>
            <w:rFonts w:ascii="Arial" w:hAnsi="Arial" w:cs="Arial"/>
            <w:b/>
            <w:noProof/>
            <w:webHidden/>
            <w:color w:val="ADAFB2"/>
          </w:rPr>
          <w:t>7</w:t>
        </w:r>
        <w:r w:rsidR="006652AF" w:rsidRPr="006652AF">
          <w:rPr>
            <w:rStyle w:val="Hipercze"/>
            <w:rFonts w:ascii="Arial" w:hAnsi="Arial" w:cs="Arial"/>
            <w:b/>
            <w:webHidden/>
            <w:color w:val="ADAFB2"/>
          </w:rPr>
          <w:fldChar w:fldCharType="end"/>
        </w:r>
      </w:hyperlink>
    </w:p>
    <w:p w14:paraId="1A50B005" w14:textId="77777777" w:rsidR="006652AF" w:rsidRPr="006652AF" w:rsidRDefault="004C28BC" w:rsidP="006652AF">
      <w:pPr>
        <w:pStyle w:val="Spistreci1"/>
        <w:tabs>
          <w:tab w:val="right" w:leader="dot" w:pos="7219"/>
        </w:tabs>
        <w:spacing w:after="120"/>
        <w:rPr>
          <w:rStyle w:val="Hipercze"/>
          <w:rFonts w:ascii="Arial" w:hAnsi="Arial" w:cs="Arial"/>
          <w:b/>
          <w:color w:val="ADAFB2"/>
        </w:rPr>
      </w:pPr>
      <w:hyperlink w:anchor="_Toc54778912" w:history="1">
        <w:r w:rsidR="006652AF" w:rsidRPr="006652AF">
          <w:rPr>
            <w:rStyle w:val="Hipercze"/>
            <w:rFonts w:ascii="Arial" w:hAnsi="Arial" w:cs="Arial"/>
            <w:b/>
            <w:color w:val="ADAFB2"/>
          </w:rPr>
          <w:t>NOTA METODYCZNA</w:t>
        </w:r>
        <w:r w:rsidR="006652AF" w:rsidRPr="006652AF">
          <w:rPr>
            <w:rStyle w:val="Hipercze"/>
            <w:rFonts w:ascii="Arial" w:hAnsi="Arial" w:cs="Arial"/>
            <w:b/>
            <w:webHidden/>
            <w:color w:val="ADAFB2"/>
          </w:rPr>
          <w:tab/>
        </w:r>
        <w:r w:rsidR="006652AF" w:rsidRPr="006652AF">
          <w:rPr>
            <w:rStyle w:val="Hipercze"/>
            <w:rFonts w:ascii="Arial" w:hAnsi="Arial" w:cs="Arial"/>
            <w:b/>
            <w:webHidden/>
            <w:color w:val="ADAFB2"/>
          </w:rPr>
          <w:fldChar w:fldCharType="begin"/>
        </w:r>
        <w:r w:rsidR="006652AF" w:rsidRPr="006652AF">
          <w:rPr>
            <w:rStyle w:val="Hipercze"/>
            <w:rFonts w:ascii="Arial" w:hAnsi="Arial" w:cs="Arial"/>
            <w:b/>
            <w:webHidden/>
            <w:color w:val="ADAFB2"/>
          </w:rPr>
          <w:instrText xml:space="preserve"> PAGEREF _Toc54778912 \h </w:instrText>
        </w:r>
        <w:r w:rsidR="006652AF" w:rsidRPr="006652AF">
          <w:rPr>
            <w:rStyle w:val="Hipercze"/>
            <w:rFonts w:ascii="Arial" w:hAnsi="Arial" w:cs="Arial"/>
            <w:b/>
            <w:webHidden/>
            <w:color w:val="ADAFB2"/>
          </w:rPr>
        </w:r>
        <w:r w:rsidR="006652AF" w:rsidRPr="006652AF">
          <w:rPr>
            <w:rStyle w:val="Hipercze"/>
            <w:rFonts w:ascii="Arial" w:hAnsi="Arial" w:cs="Arial"/>
            <w:b/>
            <w:webHidden/>
            <w:color w:val="ADAFB2"/>
          </w:rPr>
          <w:fldChar w:fldCharType="separate"/>
        </w:r>
        <w:r>
          <w:rPr>
            <w:rStyle w:val="Hipercze"/>
            <w:rFonts w:ascii="Arial" w:hAnsi="Arial" w:cs="Arial"/>
            <w:b/>
            <w:noProof/>
            <w:webHidden/>
            <w:color w:val="ADAFB2"/>
          </w:rPr>
          <w:t>9</w:t>
        </w:r>
        <w:r w:rsidR="006652AF" w:rsidRPr="006652AF">
          <w:rPr>
            <w:rStyle w:val="Hipercze"/>
            <w:rFonts w:ascii="Arial" w:hAnsi="Arial" w:cs="Arial"/>
            <w:b/>
            <w:webHidden/>
            <w:color w:val="ADAFB2"/>
          </w:rPr>
          <w:fldChar w:fldCharType="end"/>
        </w:r>
      </w:hyperlink>
    </w:p>
    <w:p w14:paraId="247D79B3" w14:textId="77777777" w:rsidR="006652AF" w:rsidRDefault="004C28BC" w:rsidP="006652AF">
      <w:pPr>
        <w:pStyle w:val="Spistreci1"/>
        <w:tabs>
          <w:tab w:val="right" w:leader="dot" w:pos="7219"/>
        </w:tabs>
        <w:spacing w:after="120"/>
        <w:rPr>
          <w:rFonts w:asciiTheme="minorHAnsi" w:eastAsiaTheme="minorEastAsia" w:hAnsiTheme="minorHAnsi" w:cstheme="minorBidi"/>
          <w:noProof/>
          <w:lang w:eastAsia="pl-PL"/>
        </w:rPr>
      </w:pPr>
      <w:hyperlink w:anchor="_Toc54778913" w:history="1">
        <w:r w:rsidR="006652AF" w:rsidRPr="006652AF">
          <w:rPr>
            <w:rStyle w:val="Hipercze"/>
            <w:rFonts w:ascii="Arial" w:hAnsi="Arial" w:cs="Arial"/>
            <w:b/>
            <w:color w:val="ADAFB2"/>
          </w:rPr>
          <w:t>ANEKS  STATYSTYCZNY</w:t>
        </w:r>
        <w:r w:rsidR="006652AF" w:rsidRPr="006652AF">
          <w:rPr>
            <w:rStyle w:val="Hipercze"/>
            <w:rFonts w:ascii="Arial" w:hAnsi="Arial" w:cs="Arial"/>
            <w:b/>
            <w:webHidden/>
            <w:color w:val="ADAFB2"/>
          </w:rPr>
          <w:tab/>
        </w:r>
        <w:r w:rsidR="006652AF" w:rsidRPr="006652AF">
          <w:rPr>
            <w:rStyle w:val="Hipercze"/>
            <w:rFonts w:ascii="Arial" w:hAnsi="Arial" w:cs="Arial"/>
            <w:b/>
            <w:webHidden/>
            <w:color w:val="ADAFB2"/>
          </w:rPr>
          <w:fldChar w:fldCharType="begin"/>
        </w:r>
        <w:r w:rsidR="006652AF" w:rsidRPr="006652AF">
          <w:rPr>
            <w:rStyle w:val="Hipercze"/>
            <w:rFonts w:ascii="Arial" w:hAnsi="Arial" w:cs="Arial"/>
            <w:b/>
            <w:webHidden/>
            <w:color w:val="ADAFB2"/>
          </w:rPr>
          <w:instrText xml:space="preserve"> PAGEREF _Toc54778913 \h </w:instrText>
        </w:r>
        <w:r w:rsidR="006652AF" w:rsidRPr="006652AF">
          <w:rPr>
            <w:rStyle w:val="Hipercze"/>
            <w:rFonts w:ascii="Arial" w:hAnsi="Arial" w:cs="Arial"/>
            <w:b/>
            <w:webHidden/>
            <w:color w:val="ADAFB2"/>
          </w:rPr>
        </w:r>
        <w:r w:rsidR="006652AF" w:rsidRPr="006652AF">
          <w:rPr>
            <w:rStyle w:val="Hipercze"/>
            <w:rFonts w:ascii="Arial" w:hAnsi="Arial" w:cs="Arial"/>
            <w:b/>
            <w:webHidden/>
            <w:color w:val="ADAFB2"/>
          </w:rPr>
          <w:fldChar w:fldCharType="separate"/>
        </w:r>
        <w:r>
          <w:rPr>
            <w:rStyle w:val="Hipercze"/>
            <w:rFonts w:ascii="Arial" w:hAnsi="Arial" w:cs="Arial"/>
            <w:b/>
            <w:noProof/>
            <w:webHidden/>
            <w:color w:val="ADAFB2"/>
          </w:rPr>
          <w:t>10</w:t>
        </w:r>
        <w:r w:rsidR="006652AF" w:rsidRPr="006652AF">
          <w:rPr>
            <w:rStyle w:val="Hipercze"/>
            <w:rFonts w:ascii="Arial" w:hAnsi="Arial" w:cs="Arial"/>
            <w:b/>
            <w:webHidden/>
            <w:color w:val="ADAFB2"/>
          </w:rPr>
          <w:fldChar w:fldCharType="end"/>
        </w:r>
      </w:hyperlink>
    </w:p>
    <w:p w14:paraId="7FA4429C" w14:textId="77777777" w:rsidR="00C61EE3" w:rsidRDefault="00B51A6E">
      <w:pPr>
        <w:pStyle w:val="Spistreci1"/>
        <w:tabs>
          <w:tab w:val="right" w:leader="dot" w:pos="7219"/>
        </w:tabs>
        <w:spacing w:after="120"/>
        <w:rPr>
          <w:rStyle w:val="Hipercze"/>
          <w:rFonts w:ascii="Arial" w:hAnsi="Arial" w:cs="Arial"/>
          <w:b/>
          <w:color w:val="ADAFB2"/>
          <w:highlight w:val="yellow"/>
        </w:rPr>
      </w:pPr>
      <w:r>
        <w:fldChar w:fldCharType="end"/>
      </w:r>
    </w:p>
    <w:p w14:paraId="5B9C6151" w14:textId="77777777" w:rsidR="00C61EE3" w:rsidRDefault="00C61EE3">
      <w:pPr>
        <w:spacing w:after="280" w:line="360" w:lineRule="auto"/>
        <w:rPr>
          <w:rFonts w:ascii="Arial" w:hAnsi="Arial" w:cs="Arial"/>
          <w:color w:val="BFBFBF"/>
          <w:sz w:val="18"/>
          <w:szCs w:val="18"/>
          <w:highlight w:val="yellow"/>
        </w:rPr>
      </w:pPr>
    </w:p>
    <w:p w14:paraId="194E4A01" w14:textId="77777777" w:rsidR="00C61EE3" w:rsidRDefault="00C61EE3">
      <w:pPr>
        <w:spacing w:after="280" w:line="360" w:lineRule="auto"/>
        <w:rPr>
          <w:rFonts w:ascii="Arial" w:hAnsi="Arial" w:cs="Arial"/>
          <w:color w:val="BFBFBF"/>
          <w:sz w:val="18"/>
          <w:szCs w:val="18"/>
          <w:highlight w:val="yellow"/>
        </w:rPr>
      </w:pPr>
    </w:p>
    <w:p w14:paraId="6B79B937" w14:textId="77777777" w:rsidR="00C61EE3" w:rsidRDefault="00C61EE3">
      <w:pPr>
        <w:spacing w:after="280" w:line="360" w:lineRule="auto"/>
        <w:rPr>
          <w:rFonts w:ascii="Arial" w:hAnsi="Arial" w:cs="Arial"/>
          <w:color w:val="BFBFBF"/>
          <w:sz w:val="18"/>
          <w:szCs w:val="18"/>
          <w:highlight w:val="yellow"/>
        </w:rPr>
      </w:pPr>
    </w:p>
    <w:p w14:paraId="37C35D4E" w14:textId="77777777" w:rsidR="00C61EE3" w:rsidRDefault="00C61EE3">
      <w:pPr>
        <w:spacing w:after="280" w:line="360" w:lineRule="auto"/>
        <w:rPr>
          <w:rFonts w:ascii="Arial" w:hAnsi="Arial" w:cs="Arial"/>
          <w:color w:val="BFBFBF"/>
          <w:sz w:val="18"/>
          <w:szCs w:val="18"/>
          <w:highlight w:val="yellow"/>
        </w:rPr>
      </w:pPr>
    </w:p>
    <w:p w14:paraId="5CDF4995" w14:textId="77777777" w:rsidR="00C61EE3" w:rsidRDefault="00C61EE3">
      <w:pPr>
        <w:spacing w:after="280" w:line="360" w:lineRule="auto"/>
        <w:rPr>
          <w:rFonts w:ascii="Arial" w:hAnsi="Arial" w:cs="Arial"/>
          <w:color w:val="BFBFBF"/>
          <w:sz w:val="18"/>
          <w:szCs w:val="18"/>
          <w:highlight w:val="yellow"/>
        </w:rPr>
      </w:pPr>
    </w:p>
    <w:p w14:paraId="7D16C792" w14:textId="77777777" w:rsidR="00C61EE3" w:rsidRDefault="00C61EE3">
      <w:pPr>
        <w:spacing w:after="280" w:line="360" w:lineRule="auto"/>
        <w:rPr>
          <w:rFonts w:ascii="Arial" w:hAnsi="Arial" w:cs="Arial"/>
          <w:sz w:val="18"/>
          <w:szCs w:val="18"/>
          <w:highlight w:val="yellow"/>
        </w:rPr>
        <w:sectPr w:rsidR="00C61EE3">
          <w:pgSz w:w="11907" w:h="16839"/>
          <w:pgMar w:top="1418" w:right="992" w:bottom="1135" w:left="3686" w:header="709" w:footer="976" w:gutter="0"/>
          <w:cols w:space="708"/>
          <w:titlePg/>
        </w:sectPr>
      </w:pPr>
    </w:p>
    <w:p w14:paraId="6DF32233" w14:textId="77777777" w:rsidR="00C61EE3" w:rsidRPr="00D5510D" w:rsidRDefault="00B51A6E">
      <w:pPr>
        <w:pStyle w:val="Nagwek1"/>
        <w:spacing w:before="120" w:line="288" w:lineRule="auto"/>
        <w:rPr>
          <w:rFonts w:ascii="Arial" w:hAnsi="Arial" w:cs="Arial"/>
          <w:color w:val="ADAFB2"/>
          <w:sz w:val="28"/>
          <w:szCs w:val="28"/>
        </w:rPr>
      </w:pPr>
      <w:bookmarkStart w:id="0" w:name="_Toc54778906"/>
      <w:r w:rsidRPr="00D5510D">
        <w:rPr>
          <w:rFonts w:ascii="Arial" w:hAnsi="Arial" w:cs="Arial"/>
          <w:color w:val="ADAFB2"/>
          <w:sz w:val="28"/>
          <w:szCs w:val="28"/>
        </w:rPr>
        <w:lastRenderedPageBreak/>
        <w:t xml:space="preserve">1. Wynik, dochody </w:t>
      </w:r>
      <w:r w:rsidR="00D5510D" w:rsidRPr="00D5510D">
        <w:rPr>
          <w:rFonts w:ascii="Arial" w:hAnsi="Arial" w:cs="Arial"/>
          <w:color w:val="ADAFB2"/>
          <w:sz w:val="28"/>
          <w:szCs w:val="28"/>
        </w:rPr>
        <w:t>oraz wydatki w II</w:t>
      </w:r>
      <w:r w:rsidRPr="00D5510D">
        <w:rPr>
          <w:rFonts w:ascii="Arial" w:hAnsi="Arial" w:cs="Arial"/>
          <w:color w:val="ADAFB2"/>
          <w:sz w:val="28"/>
          <w:szCs w:val="28"/>
        </w:rPr>
        <w:t xml:space="preserve"> kw. 2020 r.</w:t>
      </w:r>
      <w:bookmarkEnd w:id="0"/>
    </w:p>
    <w:p w14:paraId="2373E99A" w14:textId="77777777" w:rsidR="00C61EE3" w:rsidRPr="00D5510D" w:rsidRDefault="00B51A6E">
      <w:pPr>
        <w:spacing w:before="120" w:after="0" w:line="288" w:lineRule="auto"/>
        <w:jc w:val="both"/>
        <w:rPr>
          <w:rFonts w:ascii="Times New Roman" w:hAnsi="Times New Roman"/>
          <w:bCs/>
          <w:sz w:val="20"/>
          <w:szCs w:val="20"/>
        </w:rPr>
      </w:pPr>
      <w:r w:rsidRPr="00D5510D">
        <w:rPr>
          <w:rFonts w:ascii="Times New Roman" w:hAnsi="Times New Roman"/>
          <w:bCs/>
          <w:sz w:val="20"/>
          <w:szCs w:val="20"/>
        </w:rPr>
        <w:t>Poniżej przedstawione zostały podstawowe informacje na temat sytuacji w finansach publicznych w I</w:t>
      </w:r>
      <w:r w:rsidR="00D5510D" w:rsidRPr="00D5510D">
        <w:rPr>
          <w:rFonts w:ascii="Times New Roman" w:hAnsi="Times New Roman"/>
          <w:bCs/>
          <w:sz w:val="20"/>
          <w:szCs w:val="20"/>
        </w:rPr>
        <w:t>I</w:t>
      </w:r>
      <w:r w:rsidRPr="00D5510D">
        <w:rPr>
          <w:rFonts w:ascii="Times New Roman" w:hAnsi="Times New Roman"/>
          <w:bCs/>
          <w:sz w:val="20"/>
          <w:szCs w:val="20"/>
        </w:rPr>
        <w:t> kw. 2020 r.</w:t>
      </w:r>
    </w:p>
    <w:p w14:paraId="30D58227" w14:textId="77777777" w:rsidR="00C61EE3" w:rsidRPr="007911A8" w:rsidRDefault="00B51A6E">
      <w:pPr>
        <w:pStyle w:val="Nagwek2"/>
        <w:spacing w:before="120" w:line="288" w:lineRule="auto"/>
        <w:rPr>
          <w:rFonts w:ascii="Arial" w:hAnsi="Arial" w:cs="Arial"/>
          <w:i w:val="0"/>
          <w:color w:val="E31837"/>
          <w:sz w:val="20"/>
          <w:szCs w:val="20"/>
        </w:rPr>
      </w:pPr>
      <w:bookmarkStart w:id="1" w:name="_Toc54778907"/>
      <w:r w:rsidRPr="00945BEE">
        <w:rPr>
          <w:rFonts w:ascii="Arial" w:hAnsi="Arial" w:cs="Arial"/>
          <w:i w:val="0"/>
          <w:color w:val="E31837"/>
          <w:sz w:val="20"/>
          <w:szCs w:val="20"/>
        </w:rPr>
        <w:t>1.1. Wynik</w:t>
      </w:r>
      <w:bookmarkEnd w:id="1"/>
      <w:r w:rsidRPr="007911A8">
        <w:rPr>
          <w:rFonts w:ascii="Arial" w:hAnsi="Arial" w:cs="Arial"/>
          <w:i w:val="0"/>
          <w:color w:val="E31837"/>
          <w:sz w:val="20"/>
          <w:szCs w:val="20"/>
        </w:rPr>
        <w:t xml:space="preserve"> </w:t>
      </w:r>
    </w:p>
    <w:p w14:paraId="09EED768" w14:textId="77777777" w:rsidR="00C61EE3" w:rsidRPr="007911A8" w:rsidRDefault="00B51A6E">
      <w:pPr>
        <w:spacing w:before="120" w:after="0" w:line="288" w:lineRule="auto"/>
        <w:jc w:val="both"/>
        <w:rPr>
          <w:rFonts w:ascii="Times New Roman" w:hAnsi="Times New Roman" w:cs="Arial"/>
          <w:sz w:val="20"/>
          <w:szCs w:val="20"/>
        </w:rPr>
      </w:pPr>
      <w:r w:rsidRPr="007911A8">
        <w:rPr>
          <w:rFonts w:ascii="Times New Roman" w:hAnsi="Times New Roman" w:cs="Arial"/>
          <w:sz w:val="20"/>
          <w:szCs w:val="20"/>
        </w:rPr>
        <w:t xml:space="preserve">Według danych GUS </w:t>
      </w:r>
      <w:r w:rsidR="00027B0D">
        <w:rPr>
          <w:rFonts w:ascii="Times New Roman" w:hAnsi="Times New Roman" w:cs="Arial"/>
          <w:sz w:val="20"/>
          <w:szCs w:val="20"/>
        </w:rPr>
        <w:t>deficyt</w:t>
      </w:r>
      <w:r w:rsidRPr="007911A8">
        <w:rPr>
          <w:rFonts w:ascii="Times New Roman" w:hAnsi="Times New Roman" w:cs="Arial"/>
          <w:sz w:val="20"/>
          <w:szCs w:val="20"/>
        </w:rPr>
        <w:t xml:space="preserve"> sektora instytucji rządowych i samorządowych w I</w:t>
      </w:r>
      <w:r w:rsidR="0056060C">
        <w:rPr>
          <w:rFonts w:ascii="Times New Roman" w:hAnsi="Times New Roman" w:cs="Arial"/>
          <w:sz w:val="20"/>
          <w:szCs w:val="20"/>
        </w:rPr>
        <w:t>I</w:t>
      </w:r>
      <w:r w:rsidR="00027B0D">
        <w:rPr>
          <w:rFonts w:ascii="Times New Roman" w:hAnsi="Times New Roman" w:cs="Arial"/>
          <w:sz w:val="20"/>
          <w:szCs w:val="20"/>
        </w:rPr>
        <w:t> </w:t>
      </w:r>
      <w:r w:rsidR="0056060C">
        <w:rPr>
          <w:rFonts w:ascii="Times New Roman" w:hAnsi="Times New Roman" w:cs="Arial"/>
          <w:sz w:val="20"/>
          <w:szCs w:val="20"/>
        </w:rPr>
        <w:t>kw.</w:t>
      </w:r>
      <w:r w:rsidR="00027B0D">
        <w:rPr>
          <w:rFonts w:ascii="Times New Roman" w:hAnsi="Times New Roman" w:cs="Arial"/>
          <w:sz w:val="20"/>
          <w:szCs w:val="20"/>
        </w:rPr>
        <w:t> </w:t>
      </w:r>
      <w:r w:rsidR="0056060C">
        <w:rPr>
          <w:rFonts w:ascii="Times New Roman" w:hAnsi="Times New Roman" w:cs="Arial"/>
          <w:sz w:val="20"/>
          <w:szCs w:val="20"/>
        </w:rPr>
        <w:t>2020</w:t>
      </w:r>
      <w:r w:rsidR="00027B0D">
        <w:rPr>
          <w:rFonts w:ascii="Times New Roman" w:hAnsi="Times New Roman" w:cs="Arial"/>
          <w:sz w:val="20"/>
          <w:szCs w:val="20"/>
        </w:rPr>
        <w:t> </w:t>
      </w:r>
      <w:r w:rsidR="0056060C">
        <w:rPr>
          <w:rFonts w:ascii="Times New Roman" w:hAnsi="Times New Roman" w:cs="Arial"/>
          <w:sz w:val="20"/>
          <w:szCs w:val="20"/>
        </w:rPr>
        <w:t xml:space="preserve">r. wyniósł </w:t>
      </w:r>
      <w:r w:rsidR="007911A8" w:rsidRPr="007911A8">
        <w:rPr>
          <w:rFonts w:ascii="Times New Roman" w:hAnsi="Times New Roman" w:cs="Arial"/>
          <w:sz w:val="20"/>
          <w:szCs w:val="20"/>
        </w:rPr>
        <w:t>86,3</w:t>
      </w:r>
      <w:r w:rsidRPr="007911A8">
        <w:rPr>
          <w:rFonts w:ascii="Times New Roman" w:hAnsi="Times New Roman" w:cs="Arial"/>
          <w:sz w:val="20"/>
          <w:szCs w:val="20"/>
        </w:rPr>
        <w:t xml:space="preserve"> mld</w:t>
      </w:r>
      <w:r w:rsidR="00027B0D">
        <w:rPr>
          <w:rFonts w:ascii="Times New Roman" w:hAnsi="Times New Roman" w:cs="Arial"/>
          <w:sz w:val="20"/>
          <w:szCs w:val="20"/>
        </w:rPr>
        <w:t xml:space="preserve"> zł (tj. </w:t>
      </w:r>
      <w:r w:rsidR="007911A8" w:rsidRPr="007911A8">
        <w:rPr>
          <w:rFonts w:ascii="Times New Roman" w:hAnsi="Times New Roman" w:cs="Arial"/>
          <w:sz w:val="20"/>
          <w:szCs w:val="20"/>
        </w:rPr>
        <w:t>16,4</w:t>
      </w:r>
      <w:r w:rsidRPr="007911A8">
        <w:rPr>
          <w:rFonts w:ascii="Times New Roman" w:hAnsi="Times New Roman" w:cs="Arial"/>
          <w:sz w:val="20"/>
          <w:szCs w:val="20"/>
        </w:rPr>
        <w:t xml:space="preserve"> % PKB) i w stosunku do I</w:t>
      </w:r>
      <w:r w:rsidR="007911A8" w:rsidRPr="007911A8">
        <w:rPr>
          <w:rFonts w:ascii="Times New Roman" w:hAnsi="Times New Roman" w:cs="Arial"/>
          <w:sz w:val="20"/>
          <w:szCs w:val="20"/>
        </w:rPr>
        <w:t>I</w:t>
      </w:r>
      <w:r w:rsidRPr="007911A8">
        <w:rPr>
          <w:rFonts w:ascii="Times New Roman" w:hAnsi="Times New Roman" w:cs="Arial"/>
          <w:sz w:val="20"/>
          <w:szCs w:val="20"/>
        </w:rPr>
        <w:t> kw. roku poprz</w:t>
      </w:r>
      <w:r w:rsidR="007911A8" w:rsidRPr="007911A8">
        <w:rPr>
          <w:rFonts w:ascii="Times New Roman" w:hAnsi="Times New Roman" w:cs="Arial"/>
          <w:sz w:val="20"/>
          <w:szCs w:val="20"/>
        </w:rPr>
        <w:t>edniego pogorszył się o ok.</w:t>
      </w:r>
      <w:r w:rsidR="00027B0D">
        <w:rPr>
          <w:rFonts w:ascii="Times New Roman" w:hAnsi="Times New Roman" w:cs="Arial"/>
          <w:sz w:val="20"/>
          <w:szCs w:val="20"/>
        </w:rPr>
        <w:t> </w:t>
      </w:r>
      <w:r w:rsidR="007911A8" w:rsidRPr="007911A8">
        <w:rPr>
          <w:rFonts w:ascii="Times New Roman" w:hAnsi="Times New Roman" w:cs="Arial"/>
          <w:sz w:val="20"/>
          <w:szCs w:val="20"/>
        </w:rPr>
        <w:t>83,9</w:t>
      </w:r>
      <w:r w:rsidRPr="007911A8">
        <w:rPr>
          <w:rFonts w:ascii="Times New Roman" w:hAnsi="Times New Roman" w:cs="Arial"/>
          <w:sz w:val="20"/>
          <w:szCs w:val="20"/>
        </w:rPr>
        <w:t> m</w:t>
      </w:r>
      <w:r w:rsidR="007911A8" w:rsidRPr="007911A8">
        <w:rPr>
          <w:rFonts w:ascii="Times New Roman" w:hAnsi="Times New Roman" w:cs="Arial"/>
          <w:sz w:val="20"/>
          <w:szCs w:val="20"/>
        </w:rPr>
        <w:t>ld zł (pogorszenie relacji o 16,0</w:t>
      </w:r>
      <w:r w:rsidRPr="007911A8">
        <w:rPr>
          <w:rFonts w:ascii="Times New Roman" w:hAnsi="Times New Roman" w:cs="Arial"/>
          <w:sz w:val="20"/>
          <w:szCs w:val="20"/>
        </w:rPr>
        <w:t xml:space="preserve"> pkt. proc. PKB).</w:t>
      </w:r>
    </w:p>
    <w:tbl>
      <w:tblPr>
        <w:tblW w:w="4680"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680"/>
      </w:tblGrid>
      <w:tr w:rsidR="00C61EE3" w:rsidRPr="00D5510D" w14:paraId="30839483" w14:textId="77777777">
        <w:tc>
          <w:tcPr>
            <w:tcW w:w="4680" w:type="dxa"/>
            <w:tcBorders>
              <w:top w:val="nil"/>
              <w:bottom w:val="single" w:sz="8" w:space="0" w:color="ADAFB2"/>
            </w:tcBorders>
            <w:shd w:val="clear" w:color="auto" w:fill="auto"/>
          </w:tcPr>
          <w:p w14:paraId="2ACA5DF7" w14:textId="77777777" w:rsidR="00C61EE3" w:rsidRPr="00945BEE" w:rsidRDefault="00B51A6E">
            <w:pPr>
              <w:pStyle w:val="A1"/>
              <w:keepNext/>
              <w:spacing w:after="0" w:line="288" w:lineRule="auto"/>
              <w:ind w:firstLine="0"/>
              <w:jc w:val="left"/>
              <w:rPr>
                <w:color w:val="E31837"/>
                <w:sz w:val="20"/>
                <w:szCs w:val="20"/>
              </w:rPr>
            </w:pPr>
            <w:r w:rsidRPr="00945BEE">
              <w:rPr>
                <w:rFonts w:cs="Arial"/>
                <w:bCs/>
                <w:color w:val="999999"/>
                <w:sz w:val="20"/>
                <w:szCs w:val="20"/>
                <w:lang w:eastAsia="en-US"/>
              </w:rPr>
              <w:t>Wyk. 1. Wynik sektora instytucji rządowych i samorządowych ( w % PKB).</w:t>
            </w:r>
          </w:p>
        </w:tc>
      </w:tr>
      <w:tr w:rsidR="00C61EE3" w:rsidRPr="00D5510D" w14:paraId="6FD06FDB" w14:textId="77777777">
        <w:tc>
          <w:tcPr>
            <w:tcW w:w="4680" w:type="dxa"/>
            <w:tcBorders>
              <w:top w:val="single" w:sz="8" w:space="0" w:color="ADAFB2"/>
            </w:tcBorders>
          </w:tcPr>
          <w:p w14:paraId="42E53FE1" w14:textId="297624C4" w:rsidR="00C61EE3" w:rsidRPr="00945BEE" w:rsidRDefault="00945BEE">
            <w:pPr>
              <w:keepNext/>
              <w:spacing w:before="120" w:after="120" w:line="288" w:lineRule="auto"/>
              <w:jc w:val="both"/>
              <w:rPr>
                <w:rFonts w:ascii="Times New Roman" w:hAnsi="Times New Roman"/>
                <w:b/>
                <w:lang w:eastAsia="pl-PL"/>
              </w:rPr>
            </w:pPr>
            <w:r w:rsidRPr="00945BEE">
              <w:rPr>
                <w:rFonts w:ascii="Times New Roman" w:hAnsi="Times New Roman"/>
                <w:b/>
                <w:noProof/>
                <w:lang w:eastAsia="pl-PL"/>
              </w:rPr>
              <w:drawing>
                <wp:inline distT="0" distB="0" distL="0" distR="0" wp14:anchorId="6DFE4078" wp14:editId="37C952DA">
                  <wp:extent cx="2838450" cy="2051685"/>
                  <wp:effectExtent l="0" t="0" r="0" b="5715"/>
                  <wp:docPr id="1" name="Obraz 1" descr="Wykres prezentuje wynik sektora instytucji rządowych i samorządowych w % PKB: wynik, wynik pierwotny i wynik w ujęciu roku płynnego w okresie od III kwartału 2017 do II kwartału 2020 roku." title="Wykr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8450" cy="2051685"/>
                          </a:xfrm>
                          <a:prstGeom prst="rect">
                            <a:avLst/>
                          </a:prstGeom>
                          <a:noFill/>
                          <a:ln>
                            <a:noFill/>
                          </a:ln>
                        </pic:spPr>
                      </pic:pic>
                    </a:graphicData>
                  </a:graphic>
                </wp:inline>
              </w:drawing>
            </w:r>
          </w:p>
        </w:tc>
      </w:tr>
      <w:tr w:rsidR="00C61EE3" w:rsidRPr="00D5510D" w14:paraId="41A94A0A" w14:textId="77777777">
        <w:tc>
          <w:tcPr>
            <w:tcW w:w="4680" w:type="dxa"/>
          </w:tcPr>
          <w:p w14:paraId="2A600B96" w14:textId="77777777" w:rsidR="00C61EE3" w:rsidRPr="00945BEE" w:rsidRDefault="00B51A6E">
            <w:pPr>
              <w:keepNext/>
              <w:spacing w:before="120" w:after="60" w:line="288" w:lineRule="auto"/>
              <w:rPr>
                <w:rFonts w:ascii="Times New Roman" w:hAnsi="Times New Roman"/>
                <w:i/>
                <w:color w:val="E31837"/>
                <w:sz w:val="16"/>
                <w:szCs w:val="16"/>
                <w:lang w:eastAsia="pl-PL"/>
              </w:rPr>
            </w:pPr>
            <w:r w:rsidRPr="00945BEE">
              <w:rPr>
                <w:rFonts w:ascii="Times New Roman" w:hAnsi="Times New Roman" w:cs="Arial"/>
                <w:bCs/>
                <w:color w:val="999999"/>
                <w:sz w:val="20"/>
                <w:szCs w:val="20"/>
              </w:rPr>
              <w:t>Źródło: Dane Eurostat, GUS, obliczenia własne</w:t>
            </w:r>
          </w:p>
        </w:tc>
      </w:tr>
    </w:tbl>
    <w:p w14:paraId="168A4597" w14:textId="77777777" w:rsidR="00C61EE3" w:rsidRPr="00A715D0" w:rsidRDefault="00B51A6E">
      <w:pPr>
        <w:pStyle w:val="Nagwek2"/>
        <w:spacing w:before="120" w:line="288" w:lineRule="auto"/>
        <w:rPr>
          <w:rFonts w:ascii="Arial" w:hAnsi="Arial" w:cs="Arial"/>
          <w:i w:val="0"/>
          <w:color w:val="E31837"/>
          <w:sz w:val="20"/>
          <w:szCs w:val="20"/>
        </w:rPr>
      </w:pPr>
      <w:bookmarkStart w:id="2" w:name="_Toc54778908"/>
      <w:r w:rsidRPr="00A715D0">
        <w:rPr>
          <w:rFonts w:ascii="Arial" w:hAnsi="Arial" w:cs="Arial"/>
          <w:i w:val="0"/>
          <w:color w:val="E31837"/>
          <w:sz w:val="20"/>
          <w:szCs w:val="20"/>
        </w:rPr>
        <w:t>1.2. Dochody</w:t>
      </w:r>
      <w:bookmarkEnd w:id="2"/>
    </w:p>
    <w:p w14:paraId="519C712B" w14:textId="77777777" w:rsidR="00C61EE3" w:rsidRPr="00A715D0" w:rsidRDefault="00B51A6E">
      <w:pPr>
        <w:spacing w:before="120" w:after="120" w:line="288" w:lineRule="auto"/>
        <w:jc w:val="both"/>
        <w:rPr>
          <w:rFonts w:ascii="Times New Roman" w:hAnsi="Times New Roman"/>
          <w:bCs/>
          <w:sz w:val="20"/>
          <w:szCs w:val="20"/>
        </w:rPr>
      </w:pPr>
      <w:r w:rsidRPr="00A715D0">
        <w:rPr>
          <w:rFonts w:ascii="Times New Roman" w:hAnsi="Times New Roman"/>
          <w:bCs/>
          <w:sz w:val="20"/>
          <w:szCs w:val="20"/>
        </w:rPr>
        <w:t>W I</w:t>
      </w:r>
      <w:r w:rsidR="00EB7384" w:rsidRPr="00A715D0">
        <w:rPr>
          <w:rFonts w:ascii="Times New Roman" w:hAnsi="Times New Roman"/>
          <w:bCs/>
          <w:sz w:val="20"/>
          <w:szCs w:val="20"/>
        </w:rPr>
        <w:t>I</w:t>
      </w:r>
      <w:r w:rsidRPr="00A715D0">
        <w:rPr>
          <w:rFonts w:ascii="Times New Roman" w:hAnsi="Times New Roman"/>
          <w:bCs/>
          <w:sz w:val="20"/>
          <w:szCs w:val="20"/>
        </w:rPr>
        <w:t xml:space="preserve"> kw. 2020 r. dochody sektora instytucji rządowych i samorz</w:t>
      </w:r>
      <w:r w:rsidR="00EB7384" w:rsidRPr="00A715D0">
        <w:rPr>
          <w:rFonts w:ascii="Times New Roman" w:hAnsi="Times New Roman"/>
          <w:bCs/>
          <w:sz w:val="20"/>
          <w:szCs w:val="20"/>
        </w:rPr>
        <w:t>ądowych (ESA2010) wyniosły 237,5</w:t>
      </w:r>
      <w:r w:rsidR="00855B0A">
        <w:rPr>
          <w:rFonts w:ascii="Times New Roman" w:hAnsi="Times New Roman"/>
          <w:bCs/>
          <w:sz w:val="20"/>
          <w:szCs w:val="20"/>
        </w:rPr>
        <w:t> </w:t>
      </w:r>
      <w:r w:rsidR="00EB7384" w:rsidRPr="00A715D0">
        <w:rPr>
          <w:rFonts w:ascii="Times New Roman" w:hAnsi="Times New Roman"/>
          <w:bCs/>
          <w:sz w:val="20"/>
          <w:szCs w:val="20"/>
        </w:rPr>
        <w:t>mld</w:t>
      </w:r>
      <w:r w:rsidR="00855B0A">
        <w:rPr>
          <w:rFonts w:ascii="Times New Roman" w:hAnsi="Times New Roman"/>
          <w:bCs/>
          <w:sz w:val="20"/>
          <w:szCs w:val="20"/>
        </w:rPr>
        <w:t> </w:t>
      </w:r>
      <w:r w:rsidR="00EB7384" w:rsidRPr="00A715D0">
        <w:rPr>
          <w:rFonts w:ascii="Times New Roman" w:hAnsi="Times New Roman"/>
          <w:bCs/>
          <w:sz w:val="20"/>
          <w:szCs w:val="20"/>
        </w:rPr>
        <w:t xml:space="preserve">zł i były nominalnie wyższe o 4,4% r/r, odnotowując wzrost </w:t>
      </w:r>
      <w:r w:rsidR="00855B0A">
        <w:rPr>
          <w:rFonts w:ascii="Times New Roman" w:hAnsi="Times New Roman"/>
          <w:bCs/>
          <w:sz w:val="20"/>
          <w:szCs w:val="20"/>
        </w:rPr>
        <w:t xml:space="preserve">r/r </w:t>
      </w:r>
      <w:r w:rsidR="00EB7384" w:rsidRPr="00A715D0">
        <w:rPr>
          <w:rFonts w:ascii="Times New Roman" w:hAnsi="Times New Roman"/>
          <w:bCs/>
          <w:sz w:val="20"/>
          <w:szCs w:val="20"/>
        </w:rPr>
        <w:t>relacji do PKB o 3,7</w:t>
      </w:r>
      <w:r w:rsidRPr="00A715D0">
        <w:rPr>
          <w:rFonts w:ascii="Times New Roman" w:hAnsi="Times New Roman"/>
          <w:bCs/>
          <w:sz w:val="20"/>
          <w:szCs w:val="20"/>
        </w:rPr>
        <w:t xml:space="preserve"> pkt. proc. </w:t>
      </w:r>
      <w:r w:rsidR="00EB7384" w:rsidRPr="00A715D0">
        <w:rPr>
          <w:rFonts w:ascii="Times New Roman" w:hAnsi="Times New Roman"/>
          <w:bCs/>
          <w:sz w:val="20"/>
          <w:szCs w:val="20"/>
        </w:rPr>
        <w:t>Dochody podatkowe (ESA2010), mające największy udział w</w:t>
      </w:r>
      <w:r w:rsidR="00855B0A">
        <w:rPr>
          <w:rFonts w:ascii="Times New Roman" w:hAnsi="Times New Roman"/>
          <w:bCs/>
          <w:sz w:val="20"/>
          <w:szCs w:val="20"/>
        </w:rPr>
        <w:t> </w:t>
      </w:r>
      <w:r w:rsidR="00EB7384" w:rsidRPr="00A715D0">
        <w:rPr>
          <w:rFonts w:ascii="Times New Roman" w:hAnsi="Times New Roman"/>
          <w:bCs/>
          <w:sz w:val="20"/>
          <w:szCs w:val="20"/>
        </w:rPr>
        <w:t>omawianej kategorii, praktycznie nie uległy zmianie (nominalnie wzrosły jedynie o 0,4</w:t>
      </w:r>
      <w:r w:rsidRPr="00A715D0">
        <w:rPr>
          <w:rFonts w:ascii="Times New Roman" w:hAnsi="Times New Roman"/>
          <w:bCs/>
          <w:sz w:val="20"/>
          <w:szCs w:val="20"/>
        </w:rPr>
        <w:t>% r/r</w:t>
      </w:r>
      <w:r w:rsidR="00D27CBA">
        <w:rPr>
          <w:rFonts w:ascii="Times New Roman" w:hAnsi="Times New Roman"/>
          <w:bCs/>
          <w:sz w:val="20"/>
          <w:szCs w:val="20"/>
        </w:rPr>
        <w:t>), ponieważ z </w:t>
      </w:r>
      <w:r w:rsidR="00E77147">
        <w:rPr>
          <w:rFonts w:ascii="Times New Roman" w:hAnsi="Times New Roman"/>
          <w:bCs/>
          <w:sz w:val="20"/>
          <w:szCs w:val="20"/>
        </w:rPr>
        <w:t xml:space="preserve">jednej strony odnotowano </w:t>
      </w:r>
      <w:r w:rsidR="00D27CBA">
        <w:rPr>
          <w:rFonts w:ascii="Times New Roman" w:hAnsi="Times New Roman"/>
          <w:bCs/>
          <w:sz w:val="20"/>
          <w:szCs w:val="20"/>
        </w:rPr>
        <w:t xml:space="preserve">nominalny </w:t>
      </w:r>
      <w:r w:rsidR="00E77147">
        <w:rPr>
          <w:rFonts w:ascii="Times New Roman" w:hAnsi="Times New Roman"/>
          <w:bCs/>
          <w:sz w:val="20"/>
          <w:szCs w:val="20"/>
        </w:rPr>
        <w:t xml:space="preserve">spadek podatków od produkcji i importu o ok. 9,4% r/r, z drugiej zaś </w:t>
      </w:r>
      <w:r w:rsidR="00D27CBA">
        <w:rPr>
          <w:rFonts w:ascii="Times New Roman" w:hAnsi="Times New Roman"/>
          <w:bCs/>
          <w:sz w:val="20"/>
          <w:szCs w:val="20"/>
        </w:rPr>
        <w:t xml:space="preserve">nominalny </w:t>
      </w:r>
      <w:r w:rsidR="00E77147">
        <w:rPr>
          <w:rFonts w:ascii="Times New Roman" w:hAnsi="Times New Roman"/>
          <w:bCs/>
          <w:sz w:val="20"/>
          <w:szCs w:val="20"/>
        </w:rPr>
        <w:t>wzrost podatków od dochodu i majątku o</w:t>
      </w:r>
      <w:r w:rsidR="00D27CBA">
        <w:rPr>
          <w:rFonts w:ascii="Times New Roman" w:hAnsi="Times New Roman"/>
          <w:bCs/>
          <w:sz w:val="20"/>
          <w:szCs w:val="20"/>
        </w:rPr>
        <w:t> 20,5% r/r.</w:t>
      </w:r>
    </w:p>
    <w:p w14:paraId="79AE6B1D" w14:textId="77777777" w:rsidR="00C61EE3" w:rsidRPr="00A715D0" w:rsidRDefault="00B51A6E">
      <w:pPr>
        <w:spacing w:before="120" w:after="0" w:line="288" w:lineRule="auto"/>
        <w:jc w:val="both"/>
        <w:rPr>
          <w:rFonts w:ascii="Times New Roman" w:hAnsi="Times New Roman"/>
          <w:bCs/>
          <w:sz w:val="20"/>
          <w:szCs w:val="20"/>
        </w:rPr>
      </w:pPr>
      <w:r w:rsidRPr="00A715D0">
        <w:rPr>
          <w:rFonts w:ascii="Times New Roman" w:hAnsi="Times New Roman"/>
          <w:bCs/>
          <w:sz w:val="20"/>
          <w:szCs w:val="20"/>
        </w:rPr>
        <w:t>Dochody z tytułu składek na ubezpieczenie społeczne w</w:t>
      </w:r>
      <w:r w:rsidR="00855B0A">
        <w:rPr>
          <w:rFonts w:ascii="Times New Roman" w:hAnsi="Times New Roman"/>
          <w:bCs/>
          <w:sz w:val="20"/>
          <w:szCs w:val="20"/>
        </w:rPr>
        <w:t> </w:t>
      </w:r>
      <w:r w:rsidRPr="00A715D0">
        <w:rPr>
          <w:rFonts w:ascii="Times New Roman" w:hAnsi="Times New Roman"/>
          <w:bCs/>
          <w:sz w:val="20"/>
          <w:szCs w:val="20"/>
        </w:rPr>
        <w:t xml:space="preserve">podsektorze ubezpieczeń społecznych wg zasad ESA2010 w </w:t>
      </w:r>
      <w:r w:rsidR="00A501E6" w:rsidRPr="00A715D0">
        <w:rPr>
          <w:rFonts w:ascii="Times New Roman" w:hAnsi="Times New Roman"/>
          <w:bCs/>
          <w:sz w:val="20"/>
          <w:szCs w:val="20"/>
        </w:rPr>
        <w:t>II kw. 2020 r. były wyższe o 3,4</w:t>
      </w:r>
      <w:r w:rsidRPr="00A715D0">
        <w:rPr>
          <w:rFonts w:ascii="Times New Roman" w:hAnsi="Times New Roman"/>
          <w:bCs/>
          <w:sz w:val="20"/>
          <w:szCs w:val="20"/>
        </w:rPr>
        <w:t xml:space="preserve">% r/r. (wzrost relacji </w:t>
      </w:r>
      <w:r w:rsidR="00A501E6" w:rsidRPr="00A715D0">
        <w:rPr>
          <w:rFonts w:ascii="Times New Roman" w:hAnsi="Times New Roman"/>
          <w:bCs/>
          <w:sz w:val="20"/>
          <w:szCs w:val="20"/>
        </w:rPr>
        <w:t>r/r o 1,1</w:t>
      </w:r>
      <w:r w:rsidRPr="00A715D0">
        <w:rPr>
          <w:rFonts w:ascii="Times New Roman" w:hAnsi="Times New Roman"/>
          <w:bCs/>
          <w:sz w:val="20"/>
          <w:szCs w:val="20"/>
        </w:rPr>
        <w:t xml:space="preserve"> pkt. proc. PKB), </w:t>
      </w:r>
      <w:r w:rsidR="00855B0A">
        <w:rPr>
          <w:rFonts w:ascii="Times New Roman" w:hAnsi="Times New Roman"/>
          <w:bCs/>
          <w:sz w:val="20"/>
          <w:szCs w:val="20"/>
        </w:rPr>
        <w:t>niec</w:t>
      </w:r>
      <w:r w:rsidRPr="00A715D0">
        <w:rPr>
          <w:rFonts w:ascii="Times New Roman" w:hAnsi="Times New Roman"/>
          <w:bCs/>
          <w:sz w:val="20"/>
          <w:szCs w:val="20"/>
        </w:rPr>
        <w:t>o</w:t>
      </w:r>
      <w:r w:rsidR="00855B0A">
        <w:rPr>
          <w:rFonts w:ascii="Times New Roman" w:hAnsi="Times New Roman"/>
          <w:bCs/>
          <w:sz w:val="20"/>
          <w:szCs w:val="20"/>
        </w:rPr>
        <w:t xml:space="preserve"> powyżej tempa</w:t>
      </w:r>
      <w:r w:rsidRPr="00A715D0">
        <w:rPr>
          <w:rFonts w:ascii="Times New Roman" w:hAnsi="Times New Roman"/>
          <w:bCs/>
          <w:sz w:val="20"/>
          <w:szCs w:val="20"/>
        </w:rPr>
        <w:t xml:space="preserve"> wzrostu funduszu wynagrodzeń w gospodarce narodowej (bez tzw. jedno</w:t>
      </w:r>
      <w:r w:rsidR="00A715D0" w:rsidRPr="00A715D0">
        <w:rPr>
          <w:rFonts w:ascii="Times New Roman" w:hAnsi="Times New Roman"/>
          <w:bCs/>
          <w:sz w:val="20"/>
          <w:szCs w:val="20"/>
        </w:rPr>
        <w:t>stek małych), które wyniosło 2,0</w:t>
      </w:r>
      <w:r w:rsidR="001A255B">
        <w:rPr>
          <w:rFonts w:ascii="Times New Roman" w:hAnsi="Times New Roman"/>
          <w:bCs/>
          <w:sz w:val="20"/>
          <w:szCs w:val="20"/>
        </w:rPr>
        <w:t xml:space="preserve">% r/r. </w:t>
      </w:r>
      <w:r w:rsidR="00855B0A">
        <w:rPr>
          <w:rFonts w:ascii="Times New Roman" w:hAnsi="Times New Roman"/>
          <w:bCs/>
          <w:sz w:val="20"/>
          <w:szCs w:val="20"/>
        </w:rPr>
        <w:t xml:space="preserve">Na wzrost składek </w:t>
      </w:r>
      <w:r w:rsidR="00FA5CDC">
        <w:rPr>
          <w:rFonts w:ascii="Times New Roman" w:hAnsi="Times New Roman"/>
          <w:bCs/>
          <w:sz w:val="20"/>
          <w:szCs w:val="20"/>
        </w:rPr>
        <w:t xml:space="preserve">w ujęciu memoriałowym </w:t>
      </w:r>
      <w:r w:rsidR="00855B0A">
        <w:rPr>
          <w:rFonts w:ascii="Times New Roman" w:hAnsi="Times New Roman"/>
          <w:bCs/>
          <w:sz w:val="20"/>
          <w:szCs w:val="20"/>
        </w:rPr>
        <w:t>wpływ</w:t>
      </w:r>
      <w:r w:rsidR="00E77147">
        <w:rPr>
          <w:rFonts w:ascii="Times New Roman" w:hAnsi="Times New Roman"/>
          <w:bCs/>
          <w:sz w:val="20"/>
          <w:szCs w:val="20"/>
        </w:rPr>
        <w:t xml:space="preserve"> </w:t>
      </w:r>
      <w:r w:rsidR="00855B0A">
        <w:rPr>
          <w:rFonts w:ascii="Times New Roman" w:hAnsi="Times New Roman"/>
          <w:bCs/>
          <w:sz w:val="20"/>
          <w:szCs w:val="20"/>
        </w:rPr>
        <w:t>miało</w:t>
      </w:r>
      <w:r w:rsidR="00E77147">
        <w:rPr>
          <w:rFonts w:ascii="Times New Roman" w:hAnsi="Times New Roman"/>
          <w:bCs/>
          <w:sz w:val="20"/>
          <w:szCs w:val="20"/>
        </w:rPr>
        <w:t xml:space="preserve"> </w:t>
      </w:r>
      <w:r w:rsidR="00FA5CDC">
        <w:rPr>
          <w:rFonts w:ascii="Times New Roman" w:hAnsi="Times New Roman"/>
          <w:bCs/>
          <w:sz w:val="20"/>
          <w:szCs w:val="20"/>
        </w:rPr>
        <w:t>także</w:t>
      </w:r>
      <w:r w:rsidR="00E77147">
        <w:rPr>
          <w:rFonts w:ascii="Times New Roman" w:hAnsi="Times New Roman"/>
          <w:bCs/>
          <w:sz w:val="20"/>
          <w:szCs w:val="20"/>
        </w:rPr>
        <w:t xml:space="preserve"> </w:t>
      </w:r>
      <w:r w:rsidR="00855B0A">
        <w:rPr>
          <w:rFonts w:ascii="Times New Roman" w:hAnsi="Times New Roman"/>
          <w:bCs/>
          <w:sz w:val="20"/>
          <w:szCs w:val="20"/>
        </w:rPr>
        <w:t>uwzględnienie</w:t>
      </w:r>
      <w:r w:rsidR="00E77147">
        <w:rPr>
          <w:rFonts w:ascii="Times New Roman" w:hAnsi="Times New Roman"/>
          <w:bCs/>
          <w:sz w:val="20"/>
          <w:szCs w:val="20"/>
        </w:rPr>
        <w:t xml:space="preserve"> </w:t>
      </w:r>
      <w:r w:rsidR="00FA5CDC">
        <w:rPr>
          <w:rFonts w:ascii="Times New Roman" w:hAnsi="Times New Roman"/>
          <w:bCs/>
          <w:sz w:val="20"/>
          <w:szCs w:val="20"/>
        </w:rPr>
        <w:t>zwolnionych</w:t>
      </w:r>
      <w:r w:rsidR="00E77147">
        <w:rPr>
          <w:rFonts w:ascii="Times New Roman" w:hAnsi="Times New Roman"/>
          <w:bCs/>
          <w:sz w:val="20"/>
          <w:szCs w:val="20"/>
        </w:rPr>
        <w:t xml:space="preserve"> z obowiązku opłacania nieopłaconych należności z tytułu </w:t>
      </w:r>
      <w:r w:rsidRPr="00A715D0">
        <w:rPr>
          <w:rFonts w:ascii="Times New Roman" w:hAnsi="Times New Roman"/>
          <w:bCs/>
          <w:sz w:val="20"/>
          <w:szCs w:val="20"/>
        </w:rPr>
        <w:t>skład</w:t>
      </w:r>
      <w:r w:rsidR="00855B0A">
        <w:rPr>
          <w:rFonts w:ascii="Times New Roman" w:hAnsi="Times New Roman"/>
          <w:bCs/>
          <w:sz w:val="20"/>
          <w:szCs w:val="20"/>
        </w:rPr>
        <w:t>e</w:t>
      </w:r>
      <w:r w:rsidRPr="00A715D0">
        <w:rPr>
          <w:rFonts w:ascii="Times New Roman" w:hAnsi="Times New Roman"/>
          <w:bCs/>
          <w:sz w:val="20"/>
          <w:szCs w:val="20"/>
        </w:rPr>
        <w:t>k</w:t>
      </w:r>
      <w:r w:rsidR="00FA5CDC">
        <w:rPr>
          <w:rFonts w:ascii="Times New Roman" w:hAnsi="Times New Roman"/>
          <w:bCs/>
          <w:sz w:val="20"/>
          <w:szCs w:val="20"/>
        </w:rPr>
        <w:t xml:space="preserve"> na ubezpieczenia społeczne</w:t>
      </w:r>
      <w:r w:rsidRPr="00A715D0">
        <w:rPr>
          <w:rStyle w:val="Odwoanieprzypisudolnego"/>
          <w:rFonts w:ascii="Times New Roman" w:hAnsi="Times New Roman"/>
          <w:bCs/>
          <w:sz w:val="20"/>
          <w:szCs w:val="20"/>
        </w:rPr>
        <w:footnoteReference w:id="1"/>
      </w:r>
      <w:r w:rsidR="00FA5CDC">
        <w:rPr>
          <w:rFonts w:ascii="Times New Roman" w:hAnsi="Times New Roman"/>
          <w:bCs/>
          <w:sz w:val="20"/>
          <w:szCs w:val="20"/>
        </w:rPr>
        <w:t>.</w:t>
      </w:r>
    </w:p>
    <w:tbl>
      <w:tblPr>
        <w:tblW w:w="4680"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680"/>
      </w:tblGrid>
      <w:tr w:rsidR="00C61EE3" w:rsidRPr="00D5510D" w14:paraId="278E1E60" w14:textId="77777777">
        <w:tc>
          <w:tcPr>
            <w:tcW w:w="4680" w:type="dxa"/>
            <w:tcBorders>
              <w:top w:val="nil"/>
              <w:bottom w:val="single" w:sz="8" w:space="0" w:color="ADAFB2"/>
            </w:tcBorders>
            <w:shd w:val="clear" w:color="auto" w:fill="auto"/>
          </w:tcPr>
          <w:p w14:paraId="33503857" w14:textId="0CFD37B0" w:rsidR="00C61EE3" w:rsidRPr="00945BEE" w:rsidRDefault="00B51A6E">
            <w:pPr>
              <w:keepNext/>
              <w:spacing w:before="120" w:after="0" w:line="288" w:lineRule="auto"/>
              <w:rPr>
                <w:rFonts w:ascii="Times New Roman" w:hAnsi="Times New Roman"/>
                <w:color w:val="E31837"/>
                <w:sz w:val="20"/>
                <w:szCs w:val="20"/>
                <w:lang w:eastAsia="pl-PL"/>
              </w:rPr>
            </w:pPr>
            <w:r w:rsidRPr="00945BEE">
              <w:rPr>
                <w:rFonts w:ascii="Times New Roman" w:hAnsi="Times New Roman" w:cs="Arial"/>
                <w:bCs/>
                <w:color w:val="999999"/>
                <w:sz w:val="20"/>
                <w:szCs w:val="20"/>
              </w:rPr>
              <w:t>Wyk. 2. Struktura dochodów sektora instytucji rządowych i samorządowych w I</w:t>
            </w:r>
            <w:r w:rsidR="00945BEE" w:rsidRPr="00945BEE">
              <w:rPr>
                <w:rFonts w:ascii="Times New Roman" w:hAnsi="Times New Roman" w:cs="Arial"/>
                <w:bCs/>
                <w:color w:val="999999"/>
                <w:sz w:val="20"/>
                <w:szCs w:val="20"/>
              </w:rPr>
              <w:t>I</w:t>
            </w:r>
            <w:r w:rsidRPr="00945BEE">
              <w:rPr>
                <w:rFonts w:ascii="Times New Roman" w:hAnsi="Times New Roman" w:cs="Arial"/>
                <w:bCs/>
                <w:color w:val="999999"/>
                <w:sz w:val="20"/>
                <w:szCs w:val="20"/>
              </w:rPr>
              <w:t xml:space="preserve"> kw. 2020 r.</w:t>
            </w:r>
          </w:p>
        </w:tc>
      </w:tr>
      <w:tr w:rsidR="00C61EE3" w:rsidRPr="00D5510D" w14:paraId="57B9E5CE" w14:textId="77777777">
        <w:tc>
          <w:tcPr>
            <w:tcW w:w="4680" w:type="dxa"/>
            <w:tcBorders>
              <w:top w:val="single" w:sz="8" w:space="0" w:color="ADAFB2"/>
            </w:tcBorders>
          </w:tcPr>
          <w:p w14:paraId="12300844" w14:textId="22AF62DF" w:rsidR="00C61EE3" w:rsidRPr="00945BEE" w:rsidRDefault="00945BEE">
            <w:pPr>
              <w:keepNext/>
              <w:spacing w:before="120" w:after="120" w:line="288" w:lineRule="auto"/>
              <w:jc w:val="both"/>
              <w:rPr>
                <w:rFonts w:ascii="Times New Roman" w:hAnsi="Times New Roman"/>
                <w:b/>
                <w:lang w:eastAsia="pl-PL"/>
              </w:rPr>
            </w:pPr>
            <w:r w:rsidRPr="00945BEE">
              <w:rPr>
                <w:rFonts w:ascii="Times New Roman" w:hAnsi="Times New Roman"/>
                <w:b/>
                <w:noProof/>
                <w:lang w:eastAsia="pl-PL"/>
              </w:rPr>
              <w:drawing>
                <wp:inline distT="0" distB="0" distL="0" distR="0" wp14:anchorId="7DE42748" wp14:editId="2C35553B">
                  <wp:extent cx="2957830" cy="1804670"/>
                  <wp:effectExtent l="0" t="0" r="0" b="5080"/>
                  <wp:docPr id="2" name="Obraz 2" descr="Wykres przedstawia strukturę dochodów sektora instytucji rządowych i samorządowych w II kwartale 2020 roku w podziale na: składki na ubezpieczenia społeczne 40,3%, VAT 15,7%; pozostałe podatki 17,0%, podatki dochodowe 15,1%, inne 11,9%." title="Wyk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7830" cy="1804670"/>
                          </a:xfrm>
                          <a:prstGeom prst="rect">
                            <a:avLst/>
                          </a:prstGeom>
                          <a:noFill/>
                          <a:ln>
                            <a:noFill/>
                          </a:ln>
                        </pic:spPr>
                      </pic:pic>
                    </a:graphicData>
                  </a:graphic>
                </wp:inline>
              </w:drawing>
            </w:r>
          </w:p>
        </w:tc>
      </w:tr>
      <w:tr w:rsidR="00C61EE3" w:rsidRPr="00D5510D" w14:paraId="70D74998" w14:textId="77777777">
        <w:tc>
          <w:tcPr>
            <w:tcW w:w="4680" w:type="dxa"/>
          </w:tcPr>
          <w:p w14:paraId="11B1E628" w14:textId="77777777" w:rsidR="00C61EE3" w:rsidRPr="00945BEE" w:rsidRDefault="00B51A6E">
            <w:pPr>
              <w:keepNext/>
              <w:spacing w:before="120" w:after="60" w:line="288" w:lineRule="auto"/>
              <w:rPr>
                <w:rFonts w:ascii="Times New Roman" w:hAnsi="Times New Roman"/>
                <w:i/>
                <w:color w:val="E31837"/>
                <w:sz w:val="16"/>
                <w:szCs w:val="16"/>
                <w:lang w:eastAsia="pl-PL"/>
              </w:rPr>
            </w:pPr>
            <w:r w:rsidRPr="00945BEE">
              <w:rPr>
                <w:rFonts w:ascii="Times New Roman" w:hAnsi="Times New Roman" w:cs="Arial"/>
                <w:bCs/>
                <w:color w:val="999999"/>
                <w:sz w:val="20"/>
                <w:szCs w:val="20"/>
              </w:rPr>
              <w:t>Źródło: Dane Eurostat, GUS, obliczenia własne</w:t>
            </w:r>
            <w:r w:rsidRPr="00945BEE">
              <w:rPr>
                <w:rFonts w:ascii="Times New Roman" w:hAnsi="Times New Roman" w:cs="Arial"/>
                <w:bCs/>
                <w:color w:val="808080"/>
                <w:sz w:val="20"/>
                <w:szCs w:val="20"/>
              </w:rPr>
              <w:t xml:space="preserve"> </w:t>
            </w:r>
          </w:p>
        </w:tc>
      </w:tr>
    </w:tbl>
    <w:p w14:paraId="0E2F4DD9" w14:textId="77777777" w:rsidR="00BD09D4" w:rsidRDefault="00BD09D4">
      <w:pPr>
        <w:spacing w:before="120" w:after="0" w:line="288" w:lineRule="auto"/>
        <w:jc w:val="both"/>
        <w:rPr>
          <w:rFonts w:ascii="Times New Roman" w:hAnsi="Times New Roman"/>
          <w:bCs/>
          <w:sz w:val="20"/>
          <w:szCs w:val="20"/>
        </w:rPr>
      </w:pPr>
      <w:r w:rsidRPr="00BD09D4">
        <w:rPr>
          <w:rFonts w:ascii="Times New Roman" w:hAnsi="Times New Roman"/>
          <w:bCs/>
          <w:sz w:val="20"/>
          <w:szCs w:val="20"/>
        </w:rPr>
        <w:t>Dochody sektora instytucji rządowych i samorządowych z PIT (wg zasad ESA2010), w II kw. 2020 r. były nominalnie wyższe o 0,4% r/r. Wpływy były realizowane w kontekście pogorszenia sytuacji gospodarczej w</w:t>
      </w:r>
      <w:r w:rsidR="00FA5CDC">
        <w:rPr>
          <w:rFonts w:ascii="Times New Roman" w:hAnsi="Times New Roman"/>
          <w:bCs/>
          <w:sz w:val="20"/>
          <w:szCs w:val="20"/>
        </w:rPr>
        <w:t> </w:t>
      </w:r>
      <w:r w:rsidRPr="00BD09D4">
        <w:rPr>
          <w:rFonts w:ascii="Times New Roman" w:hAnsi="Times New Roman"/>
          <w:bCs/>
          <w:sz w:val="20"/>
          <w:szCs w:val="20"/>
        </w:rPr>
        <w:t>związku z epidemią COVID-19 (PKB w II kw. 2020 r. spadło o 8,2% r/r). Na dochody z tytułu PIT w II kw. 2020</w:t>
      </w:r>
      <w:r w:rsidR="00E77147">
        <w:rPr>
          <w:rFonts w:ascii="Times New Roman" w:hAnsi="Times New Roman"/>
          <w:bCs/>
          <w:sz w:val="20"/>
          <w:szCs w:val="20"/>
        </w:rPr>
        <w:t> </w:t>
      </w:r>
      <w:r w:rsidRPr="00BD09D4">
        <w:rPr>
          <w:rFonts w:ascii="Times New Roman" w:hAnsi="Times New Roman"/>
          <w:bCs/>
          <w:sz w:val="20"/>
          <w:szCs w:val="20"/>
        </w:rPr>
        <w:t>r. wpłynęło również przesunięcie terminu rozliczenia z 30 kwietnia rocznego na 31 maja 2020 r. Nominalne tempo wzrostu przeciętnego funduszu wynagrodzeń w gospodarce narodowej w II kw. 2020 r. kształtowało się na poziomie 2,0% r/r, tj. mniej o</w:t>
      </w:r>
      <w:r w:rsidR="00E77147">
        <w:rPr>
          <w:rFonts w:ascii="Times New Roman" w:hAnsi="Times New Roman"/>
          <w:bCs/>
          <w:sz w:val="20"/>
          <w:szCs w:val="20"/>
        </w:rPr>
        <w:t> </w:t>
      </w:r>
      <w:r w:rsidRPr="00BD09D4">
        <w:rPr>
          <w:rFonts w:ascii="Times New Roman" w:hAnsi="Times New Roman"/>
          <w:bCs/>
          <w:sz w:val="20"/>
          <w:szCs w:val="20"/>
        </w:rPr>
        <w:t>7,3</w:t>
      </w:r>
      <w:r w:rsidR="00E77147">
        <w:rPr>
          <w:rFonts w:ascii="Times New Roman" w:hAnsi="Times New Roman"/>
          <w:bCs/>
          <w:sz w:val="20"/>
          <w:szCs w:val="20"/>
        </w:rPr>
        <w:t> </w:t>
      </w:r>
      <w:r w:rsidRPr="00BD09D4">
        <w:rPr>
          <w:rFonts w:ascii="Times New Roman" w:hAnsi="Times New Roman"/>
          <w:bCs/>
          <w:sz w:val="20"/>
          <w:szCs w:val="20"/>
        </w:rPr>
        <w:t>p</w:t>
      </w:r>
      <w:r w:rsidR="00E77147">
        <w:rPr>
          <w:rFonts w:ascii="Times New Roman" w:hAnsi="Times New Roman"/>
          <w:bCs/>
          <w:sz w:val="20"/>
          <w:szCs w:val="20"/>
        </w:rPr>
        <w:t>kt</w:t>
      </w:r>
      <w:r w:rsidRPr="00BD09D4">
        <w:rPr>
          <w:rFonts w:ascii="Times New Roman" w:hAnsi="Times New Roman"/>
          <w:bCs/>
          <w:sz w:val="20"/>
          <w:szCs w:val="20"/>
        </w:rPr>
        <w:t>.</w:t>
      </w:r>
      <w:r w:rsidR="00E77147">
        <w:rPr>
          <w:rFonts w:ascii="Times New Roman" w:hAnsi="Times New Roman"/>
          <w:bCs/>
          <w:sz w:val="20"/>
          <w:szCs w:val="20"/>
        </w:rPr>
        <w:t> </w:t>
      </w:r>
      <w:r w:rsidRPr="00BD09D4">
        <w:rPr>
          <w:rFonts w:ascii="Times New Roman" w:hAnsi="Times New Roman"/>
          <w:bCs/>
          <w:sz w:val="20"/>
          <w:szCs w:val="20"/>
        </w:rPr>
        <w:t>proc. niż w analogicznym okresie poprzedniego roku. Dochody podatkowe ze skali podatkowej zmalały o 13,0%. Obok pogorszenia sytuacji gospodarczej wpływ na niskie wykonanie mogły mieć wprowadzone rozwiązania rządowe mające na celu poprawienie sytuacji finansowej przedsiębiorców, takie jak przesunięcie terminów wpłaty miesięcznych zaliczek na podatek od wynagrodzeń dla płatników (za kwiecień oraz za maj), a także zmiany systemowe wprowadzone w</w:t>
      </w:r>
      <w:r w:rsidR="00E77147">
        <w:rPr>
          <w:rFonts w:ascii="Times New Roman" w:hAnsi="Times New Roman"/>
          <w:bCs/>
          <w:sz w:val="20"/>
          <w:szCs w:val="20"/>
        </w:rPr>
        <w:t> </w:t>
      </w:r>
      <w:r w:rsidRPr="00BD09D4">
        <w:rPr>
          <w:rFonts w:ascii="Times New Roman" w:hAnsi="Times New Roman"/>
          <w:bCs/>
          <w:sz w:val="20"/>
          <w:szCs w:val="20"/>
        </w:rPr>
        <w:t>2019 r., dotyczące obniżenia stawki podatkowej, podwyższenia kosztów uzyskania przychodów dla pracowników oraz ulgi dla młodych. Dochody podatkowe od działalności gospodarczej w przypadku podatników rozliczających się stawką liniową 19% wzrosły o 28,4% r/r, na co częściowo mogły mieć wpływ kwoty do zapłaty z salda za poprzedni rok w związku z</w:t>
      </w:r>
      <w:r w:rsidR="00E77147">
        <w:rPr>
          <w:rFonts w:ascii="Times New Roman" w:hAnsi="Times New Roman"/>
          <w:bCs/>
          <w:sz w:val="20"/>
          <w:szCs w:val="20"/>
        </w:rPr>
        <w:t> </w:t>
      </w:r>
      <w:r w:rsidRPr="00BD09D4">
        <w:rPr>
          <w:rFonts w:ascii="Times New Roman" w:hAnsi="Times New Roman"/>
          <w:bCs/>
          <w:sz w:val="20"/>
          <w:szCs w:val="20"/>
        </w:rPr>
        <w:t>przesuniętym terminem rozliczenia rocznego na 31</w:t>
      </w:r>
      <w:r w:rsidR="00E77147">
        <w:rPr>
          <w:rFonts w:ascii="Times New Roman" w:hAnsi="Times New Roman"/>
          <w:bCs/>
          <w:sz w:val="20"/>
          <w:szCs w:val="20"/>
        </w:rPr>
        <w:t> </w:t>
      </w:r>
      <w:r w:rsidRPr="00BD09D4">
        <w:rPr>
          <w:rFonts w:ascii="Times New Roman" w:hAnsi="Times New Roman"/>
          <w:bCs/>
          <w:sz w:val="20"/>
          <w:szCs w:val="20"/>
        </w:rPr>
        <w:t xml:space="preserve">maja. Wpływy z ryczałtu (od przychodów ewidencjonowanych, z odsetek oraz pozostałych) wzrosły o 1,1% r/r. </w:t>
      </w:r>
    </w:p>
    <w:p w14:paraId="47CA3A99" w14:textId="61FD7007" w:rsidR="00D27CBA" w:rsidRDefault="00D27CBA">
      <w:pPr>
        <w:spacing w:before="120" w:after="0" w:line="288" w:lineRule="auto"/>
        <w:jc w:val="both"/>
        <w:rPr>
          <w:rFonts w:ascii="Times New Roman" w:hAnsi="Times New Roman"/>
          <w:bCs/>
          <w:sz w:val="20"/>
          <w:szCs w:val="20"/>
        </w:rPr>
      </w:pPr>
      <w:r w:rsidRPr="00BD09D4">
        <w:rPr>
          <w:rFonts w:ascii="Times New Roman" w:hAnsi="Times New Roman"/>
          <w:bCs/>
          <w:sz w:val="20"/>
          <w:szCs w:val="20"/>
        </w:rPr>
        <w:t xml:space="preserve">Dochody sektora instytucji rządowych i samorządowych z CIT (wg zasad ESA2010) w II kw. 2020 r. były wyższe o 88,6% r/r. Wpływy od banków i pozostałych instytucji finansowych wzrosły o 97,8% r/r, a wpływy od pozostałych przedsiębiorstw wzrosły o 86,1% r/r. Wysokie wpływy z podatku CIT wynikają z rozliczenia rocznego za 2019 r. W związku z epidemią COVID-19 termin rozliczenia rocznego podatku CIT został przesunięty na maj. Ponadto w czerwcu w poprzednich latach kwoty dochodów budżetu państwa były na ogół niskie w związku z przekazywaniem przez urzędy skarbowe nadpłat podatków z rozliczenia rocznego (co oznacza dodatkowo niską bazę do porównania). W II kw. 2020 r. wynik finansowy brutto przedsiębiorstw niefinansowych spadł o 20,3% r/r, a zysk brutto tych podmiotów spadł o 0,6% r/r. </w:t>
      </w:r>
      <w:r w:rsidR="00945BEE" w:rsidRPr="00945BEE">
        <w:rPr>
          <w:rFonts w:ascii="Times New Roman" w:hAnsi="Times New Roman"/>
          <w:bCs/>
          <w:sz w:val="20"/>
          <w:szCs w:val="20"/>
        </w:rPr>
        <w:t>Wynik finansowy brutto banków w II kw. 2020 r. spadł o</w:t>
      </w:r>
      <w:r w:rsidR="00945BEE">
        <w:rPr>
          <w:rFonts w:ascii="Times New Roman" w:hAnsi="Times New Roman"/>
          <w:bCs/>
          <w:sz w:val="20"/>
          <w:szCs w:val="20"/>
        </w:rPr>
        <w:t xml:space="preserve"> </w:t>
      </w:r>
      <w:r w:rsidR="00945BEE" w:rsidRPr="00945BEE">
        <w:rPr>
          <w:rFonts w:ascii="Times New Roman" w:hAnsi="Times New Roman"/>
          <w:bCs/>
          <w:sz w:val="20"/>
          <w:szCs w:val="20"/>
        </w:rPr>
        <w:t>46,0% r/r.</w:t>
      </w:r>
    </w:p>
    <w:tbl>
      <w:tblPr>
        <w:tblW w:w="4788"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108"/>
        <w:gridCol w:w="4572"/>
        <w:gridCol w:w="108"/>
      </w:tblGrid>
      <w:tr w:rsidR="00C61EE3" w:rsidRPr="00D5510D" w14:paraId="3908E158" w14:textId="77777777">
        <w:trPr>
          <w:gridAfter w:val="1"/>
          <w:wAfter w:w="108" w:type="dxa"/>
        </w:trPr>
        <w:tc>
          <w:tcPr>
            <w:tcW w:w="4680" w:type="dxa"/>
            <w:gridSpan w:val="2"/>
            <w:tcBorders>
              <w:top w:val="nil"/>
              <w:bottom w:val="single" w:sz="8" w:space="0" w:color="ADAFB2"/>
            </w:tcBorders>
            <w:shd w:val="clear" w:color="auto" w:fill="auto"/>
          </w:tcPr>
          <w:p w14:paraId="3436E556" w14:textId="77777777" w:rsidR="00C61EE3" w:rsidRPr="00D5510D" w:rsidRDefault="00B51A6E">
            <w:pPr>
              <w:keepNext/>
              <w:spacing w:before="120" w:after="0" w:line="288" w:lineRule="auto"/>
              <w:rPr>
                <w:rFonts w:ascii="Times New Roman" w:hAnsi="Times New Roman"/>
                <w:color w:val="E31837"/>
                <w:sz w:val="20"/>
                <w:szCs w:val="20"/>
                <w:highlight w:val="yellow"/>
                <w:lang w:eastAsia="pl-PL"/>
              </w:rPr>
            </w:pPr>
            <w:r w:rsidRPr="00631761">
              <w:rPr>
                <w:rFonts w:ascii="Times New Roman" w:hAnsi="Times New Roman" w:cs="Arial"/>
                <w:bCs/>
                <w:color w:val="999999"/>
                <w:sz w:val="20"/>
                <w:szCs w:val="20"/>
              </w:rPr>
              <w:t>Wyk. 3. Dynamika memoriałowych wpływów z podatku VAT (r/r).</w:t>
            </w:r>
          </w:p>
        </w:tc>
      </w:tr>
      <w:tr w:rsidR="00C61EE3" w:rsidRPr="00D5510D" w14:paraId="0585AAF4" w14:textId="77777777">
        <w:trPr>
          <w:gridAfter w:val="1"/>
          <w:wAfter w:w="108" w:type="dxa"/>
        </w:trPr>
        <w:tc>
          <w:tcPr>
            <w:tcW w:w="4680" w:type="dxa"/>
            <w:gridSpan w:val="2"/>
            <w:tcBorders>
              <w:top w:val="single" w:sz="8" w:space="0" w:color="ADAFB2"/>
            </w:tcBorders>
          </w:tcPr>
          <w:p w14:paraId="24B9C34A" w14:textId="6947EAB9" w:rsidR="00C61EE3" w:rsidRPr="00D5510D" w:rsidRDefault="008C1902">
            <w:pPr>
              <w:keepNext/>
              <w:spacing w:before="120" w:after="120" w:line="288" w:lineRule="auto"/>
              <w:jc w:val="both"/>
              <w:rPr>
                <w:rFonts w:ascii="Times New Roman" w:hAnsi="Times New Roman"/>
                <w:b/>
                <w:highlight w:val="yellow"/>
                <w:lang w:eastAsia="pl-PL"/>
              </w:rPr>
            </w:pPr>
            <w:r w:rsidRPr="008C1902">
              <w:rPr>
                <w:rFonts w:ascii="Times New Roman" w:hAnsi="Times New Roman"/>
                <w:b/>
                <w:noProof/>
                <w:lang w:eastAsia="pl-PL"/>
              </w:rPr>
              <w:drawing>
                <wp:inline distT="0" distB="0" distL="0" distR="0" wp14:anchorId="1DC500C6" wp14:editId="0BE4F2EB">
                  <wp:extent cx="2847975" cy="2047875"/>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7975" cy="2047875"/>
                          </a:xfrm>
                          <a:prstGeom prst="rect">
                            <a:avLst/>
                          </a:prstGeom>
                          <a:noFill/>
                          <a:ln>
                            <a:noFill/>
                          </a:ln>
                        </pic:spPr>
                      </pic:pic>
                    </a:graphicData>
                  </a:graphic>
                </wp:inline>
              </w:drawing>
            </w:r>
          </w:p>
        </w:tc>
      </w:tr>
      <w:tr w:rsidR="00C61EE3" w:rsidRPr="00D5510D" w14:paraId="26BA1C1D" w14:textId="77777777">
        <w:trPr>
          <w:gridBefore w:val="1"/>
          <w:wBefore w:w="108" w:type="dxa"/>
        </w:trPr>
        <w:tc>
          <w:tcPr>
            <w:tcW w:w="4680" w:type="dxa"/>
            <w:gridSpan w:val="2"/>
          </w:tcPr>
          <w:p w14:paraId="73FC078A" w14:textId="77777777" w:rsidR="00C61EE3" w:rsidRPr="00D5510D" w:rsidRDefault="00B51A6E">
            <w:pPr>
              <w:keepNext/>
              <w:spacing w:before="120" w:after="60" w:line="288" w:lineRule="auto"/>
              <w:rPr>
                <w:rFonts w:ascii="Times New Roman" w:hAnsi="Times New Roman"/>
                <w:i/>
                <w:color w:val="E31837"/>
                <w:sz w:val="16"/>
                <w:szCs w:val="16"/>
                <w:highlight w:val="yellow"/>
                <w:lang w:eastAsia="pl-PL"/>
              </w:rPr>
            </w:pPr>
            <w:r w:rsidRPr="00631761">
              <w:rPr>
                <w:rFonts w:ascii="Times New Roman" w:hAnsi="Times New Roman" w:cs="Arial"/>
                <w:bCs/>
                <w:color w:val="999999"/>
                <w:sz w:val="20"/>
                <w:szCs w:val="20"/>
              </w:rPr>
              <w:t>Źródło: MF</w:t>
            </w:r>
          </w:p>
        </w:tc>
      </w:tr>
    </w:tbl>
    <w:p w14:paraId="4CD55C6D" w14:textId="77777777" w:rsidR="00BD09D4" w:rsidRDefault="00BD09D4" w:rsidP="00BD09D4">
      <w:pPr>
        <w:spacing w:before="120" w:after="0" w:line="288" w:lineRule="auto"/>
        <w:jc w:val="both"/>
        <w:rPr>
          <w:rFonts w:ascii="Times New Roman" w:hAnsi="Times New Roman"/>
          <w:bCs/>
          <w:sz w:val="20"/>
          <w:szCs w:val="20"/>
        </w:rPr>
      </w:pPr>
    </w:p>
    <w:tbl>
      <w:tblPr>
        <w:tblW w:w="4680"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680"/>
      </w:tblGrid>
      <w:tr w:rsidR="00631761" w:rsidRPr="00D5510D" w14:paraId="7B72EE33" w14:textId="77777777" w:rsidTr="00CD5FE7">
        <w:tc>
          <w:tcPr>
            <w:tcW w:w="4680" w:type="dxa"/>
            <w:tcBorders>
              <w:top w:val="nil"/>
              <w:bottom w:val="single" w:sz="8" w:space="0" w:color="ADAFB2"/>
            </w:tcBorders>
            <w:shd w:val="clear" w:color="auto" w:fill="auto"/>
          </w:tcPr>
          <w:p w14:paraId="30479DE9" w14:textId="77777777" w:rsidR="00D27CBA" w:rsidRDefault="00D27CBA" w:rsidP="00D27CBA">
            <w:pPr>
              <w:spacing w:before="120" w:after="0" w:line="288" w:lineRule="auto"/>
              <w:jc w:val="both"/>
              <w:rPr>
                <w:rFonts w:ascii="Times New Roman" w:hAnsi="Times New Roman"/>
                <w:bCs/>
                <w:sz w:val="20"/>
                <w:szCs w:val="20"/>
              </w:rPr>
            </w:pPr>
            <w:r w:rsidRPr="00BD09D4">
              <w:rPr>
                <w:rFonts w:ascii="Times New Roman" w:hAnsi="Times New Roman"/>
                <w:bCs/>
                <w:sz w:val="20"/>
                <w:szCs w:val="20"/>
              </w:rPr>
              <w:t>Według danych GUS dochody z tytułu podatku VAT (wg zasad ESA2010), w II kw. 2020 r. były nominalnie niższe o 11,6% r/r. Niskie wpływy z VAT należy bezpośrednio wiązać ze stanem epidemii i trudną sytuacją podatników VAT w związku z obostrzeniami w zakresie działania wielu branż. W II kw. 2020 r. realny spadek sprzedaży detalicznej wyniósł 10,7% r/r, natomiast produkcja przemysłowa spadła nominalnie o 14,9% r/r.</w:t>
            </w:r>
          </w:p>
          <w:p w14:paraId="4681C517" w14:textId="77777777" w:rsidR="00631761" w:rsidRPr="00D5510D" w:rsidRDefault="00631761" w:rsidP="00CD5FE7">
            <w:pPr>
              <w:keepNext/>
              <w:spacing w:before="120" w:after="0" w:line="288" w:lineRule="auto"/>
              <w:rPr>
                <w:rFonts w:ascii="Times New Roman" w:hAnsi="Times New Roman"/>
                <w:color w:val="E31837"/>
                <w:sz w:val="20"/>
                <w:szCs w:val="20"/>
                <w:highlight w:val="yellow"/>
                <w:lang w:eastAsia="pl-PL"/>
              </w:rPr>
            </w:pPr>
            <w:r w:rsidRPr="00631761">
              <w:rPr>
                <w:rFonts w:ascii="Times New Roman" w:hAnsi="Times New Roman" w:cs="Arial"/>
                <w:bCs/>
                <w:color w:val="999999"/>
                <w:sz w:val="20"/>
                <w:szCs w:val="20"/>
              </w:rPr>
              <w:t>Wyk. 4. Wpływy z podatku VAT (memoriałowe) w relacji do PKB.</w:t>
            </w:r>
          </w:p>
        </w:tc>
        <w:bookmarkStart w:id="3" w:name="_GoBack"/>
        <w:bookmarkEnd w:id="3"/>
      </w:tr>
      <w:tr w:rsidR="00631761" w:rsidRPr="00D5510D" w14:paraId="5B100863" w14:textId="77777777" w:rsidTr="00CD5FE7">
        <w:tc>
          <w:tcPr>
            <w:tcW w:w="4680" w:type="dxa"/>
            <w:tcBorders>
              <w:top w:val="single" w:sz="8" w:space="0" w:color="ADAFB2"/>
            </w:tcBorders>
          </w:tcPr>
          <w:p w14:paraId="03291B7C" w14:textId="30243862" w:rsidR="00631761" w:rsidRPr="00D5510D" w:rsidRDefault="008C1902" w:rsidP="00CD5FE7">
            <w:pPr>
              <w:keepNext/>
              <w:spacing w:before="120" w:after="120" w:line="288" w:lineRule="auto"/>
              <w:jc w:val="both"/>
              <w:rPr>
                <w:rFonts w:ascii="Times New Roman" w:hAnsi="Times New Roman"/>
                <w:b/>
                <w:highlight w:val="yellow"/>
                <w:lang w:eastAsia="pl-PL"/>
              </w:rPr>
            </w:pPr>
            <w:r w:rsidRPr="008C1902">
              <w:rPr>
                <w:rFonts w:ascii="Times New Roman" w:hAnsi="Times New Roman"/>
                <w:b/>
                <w:noProof/>
                <w:lang w:eastAsia="pl-PL"/>
              </w:rPr>
              <w:drawing>
                <wp:inline distT="0" distB="0" distL="0" distR="0" wp14:anchorId="2EA337D9" wp14:editId="6E7596B9">
                  <wp:extent cx="2847975" cy="2047875"/>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7975" cy="2047875"/>
                          </a:xfrm>
                          <a:prstGeom prst="rect">
                            <a:avLst/>
                          </a:prstGeom>
                          <a:noFill/>
                          <a:ln>
                            <a:noFill/>
                          </a:ln>
                        </pic:spPr>
                      </pic:pic>
                    </a:graphicData>
                  </a:graphic>
                </wp:inline>
              </w:drawing>
            </w:r>
          </w:p>
        </w:tc>
      </w:tr>
      <w:tr w:rsidR="00631761" w:rsidRPr="00D5510D" w14:paraId="5E3F7C2C" w14:textId="77777777" w:rsidTr="00CD5FE7">
        <w:tc>
          <w:tcPr>
            <w:tcW w:w="4680" w:type="dxa"/>
          </w:tcPr>
          <w:p w14:paraId="111E9B7B" w14:textId="77777777" w:rsidR="00631761" w:rsidRPr="00D5510D" w:rsidRDefault="00631761" w:rsidP="00631761">
            <w:pPr>
              <w:keepNext/>
              <w:spacing w:before="120" w:after="60" w:line="288" w:lineRule="auto"/>
              <w:rPr>
                <w:rFonts w:ascii="Times New Roman" w:hAnsi="Times New Roman"/>
                <w:i/>
                <w:color w:val="E31837"/>
                <w:sz w:val="16"/>
                <w:szCs w:val="16"/>
                <w:highlight w:val="yellow"/>
                <w:lang w:eastAsia="pl-PL"/>
              </w:rPr>
            </w:pPr>
            <w:r w:rsidRPr="00631761">
              <w:rPr>
                <w:rFonts w:ascii="Times New Roman" w:hAnsi="Times New Roman" w:cs="Arial"/>
                <w:bCs/>
                <w:color w:val="999999"/>
                <w:sz w:val="20"/>
                <w:szCs w:val="20"/>
              </w:rPr>
              <w:t>Źródło: MF</w:t>
            </w:r>
          </w:p>
        </w:tc>
      </w:tr>
    </w:tbl>
    <w:p w14:paraId="448B908E" w14:textId="77777777" w:rsidR="00BD09D4" w:rsidRDefault="00BD09D4" w:rsidP="00BD09D4">
      <w:pPr>
        <w:spacing w:before="120" w:after="0" w:line="288" w:lineRule="auto"/>
        <w:jc w:val="both"/>
        <w:rPr>
          <w:rFonts w:ascii="Times New Roman" w:hAnsi="Times New Roman"/>
          <w:bCs/>
          <w:sz w:val="20"/>
          <w:szCs w:val="20"/>
        </w:rPr>
      </w:pPr>
      <w:r w:rsidRPr="00BD09D4">
        <w:rPr>
          <w:rFonts w:ascii="Times New Roman" w:hAnsi="Times New Roman"/>
          <w:bCs/>
          <w:sz w:val="20"/>
          <w:szCs w:val="20"/>
        </w:rPr>
        <w:t>Dochody z akcyzy (wg zasad ESA2010) w II kw. 2020 r. były niższe o 8,8% r/r. W 2020 r. dochody z podatku akcyzowego z jednej strony są determinowane przez wprowadzone od początku roku podwyżki stawek akcyzy na wyroby alkoholowe i tytoniowe o 10%, a</w:t>
      </w:r>
      <w:r w:rsidR="00D27CBA">
        <w:rPr>
          <w:rFonts w:ascii="Times New Roman" w:hAnsi="Times New Roman"/>
          <w:bCs/>
          <w:sz w:val="20"/>
          <w:szCs w:val="20"/>
        </w:rPr>
        <w:t> </w:t>
      </w:r>
      <w:r w:rsidRPr="00BD09D4">
        <w:rPr>
          <w:rFonts w:ascii="Times New Roman" w:hAnsi="Times New Roman"/>
          <w:bCs/>
          <w:sz w:val="20"/>
          <w:szCs w:val="20"/>
        </w:rPr>
        <w:t>z</w:t>
      </w:r>
      <w:r w:rsidR="00D27CBA">
        <w:rPr>
          <w:rFonts w:ascii="Times New Roman" w:hAnsi="Times New Roman"/>
          <w:bCs/>
          <w:sz w:val="20"/>
          <w:szCs w:val="20"/>
        </w:rPr>
        <w:t> </w:t>
      </w:r>
      <w:r w:rsidRPr="00BD09D4">
        <w:rPr>
          <w:rFonts w:ascii="Times New Roman" w:hAnsi="Times New Roman"/>
          <w:bCs/>
          <w:sz w:val="20"/>
          <w:szCs w:val="20"/>
        </w:rPr>
        <w:t xml:space="preserve">drugiej strony panującą epidemią. W II kw. 2020 r. dochody od paliw silnikowych spadły o 13,1% r/r, od wyrobów alkoholowych wzrosły o 7,5% r/r, od wyrobów tytoniowych spadły o 5,9% r/r, od samochodów osobowych spadły o 43,2% r/r, od energii elektrycznej spadły o 12,8% r/r, od gazu LPG spadły o 18,7% r/r, od piwa wzrosły o 9,4% r/r, od wina wzrosły o 6,8% r/r. </w:t>
      </w:r>
    </w:p>
    <w:p w14:paraId="393578FE" w14:textId="77777777" w:rsidR="00C61EE3" w:rsidRPr="00507B62" w:rsidRDefault="00B51A6E" w:rsidP="00BD09D4">
      <w:pPr>
        <w:spacing w:before="120" w:after="0" w:line="288" w:lineRule="auto"/>
        <w:jc w:val="both"/>
        <w:rPr>
          <w:rFonts w:ascii="Times New Roman" w:hAnsi="Times New Roman"/>
          <w:bCs/>
          <w:sz w:val="20"/>
          <w:szCs w:val="20"/>
        </w:rPr>
      </w:pPr>
      <w:r w:rsidRPr="00507B62">
        <w:rPr>
          <w:rFonts w:ascii="Times New Roman" w:hAnsi="Times New Roman"/>
          <w:bCs/>
          <w:sz w:val="20"/>
          <w:szCs w:val="20"/>
        </w:rPr>
        <w:t>Pozostałe dochody sektora instytucji rządowych i samorządowych w I</w:t>
      </w:r>
      <w:r w:rsidR="008A1B00" w:rsidRPr="00507B62">
        <w:rPr>
          <w:rFonts w:ascii="Times New Roman" w:hAnsi="Times New Roman"/>
          <w:bCs/>
          <w:sz w:val="20"/>
          <w:szCs w:val="20"/>
        </w:rPr>
        <w:t>I</w:t>
      </w:r>
      <w:r w:rsidRPr="00507B62">
        <w:rPr>
          <w:rFonts w:ascii="Times New Roman" w:hAnsi="Times New Roman"/>
          <w:bCs/>
          <w:sz w:val="20"/>
          <w:szCs w:val="20"/>
        </w:rPr>
        <w:t xml:space="preserve"> kw. 2020 r. </w:t>
      </w:r>
      <w:r w:rsidR="00EB156F" w:rsidRPr="00507B62">
        <w:rPr>
          <w:rFonts w:ascii="Times New Roman" w:hAnsi="Times New Roman"/>
          <w:bCs/>
          <w:sz w:val="20"/>
          <w:szCs w:val="20"/>
        </w:rPr>
        <w:t>wzrosły nominalnie o 29,2</w:t>
      </w:r>
      <w:r w:rsidRPr="00507B62">
        <w:rPr>
          <w:rFonts w:ascii="Times New Roman" w:hAnsi="Times New Roman"/>
          <w:bCs/>
          <w:sz w:val="20"/>
          <w:szCs w:val="20"/>
        </w:rPr>
        <w:t xml:space="preserve">% r/r, w tym </w:t>
      </w:r>
      <w:r w:rsidR="00AF6F0F" w:rsidRPr="00507B62">
        <w:rPr>
          <w:rFonts w:ascii="Times New Roman" w:hAnsi="Times New Roman"/>
          <w:bCs/>
          <w:sz w:val="20"/>
          <w:szCs w:val="20"/>
        </w:rPr>
        <w:t>dochody z tytułu własności o 107,1</w:t>
      </w:r>
      <w:r w:rsidRPr="00507B62">
        <w:rPr>
          <w:rFonts w:ascii="Times New Roman" w:hAnsi="Times New Roman"/>
          <w:bCs/>
          <w:sz w:val="20"/>
          <w:szCs w:val="20"/>
        </w:rPr>
        <w:t> % r/</w:t>
      </w:r>
      <w:r w:rsidR="00AF6F0F" w:rsidRPr="00507B62">
        <w:rPr>
          <w:rFonts w:ascii="Times New Roman" w:hAnsi="Times New Roman"/>
          <w:bCs/>
          <w:sz w:val="20"/>
          <w:szCs w:val="20"/>
        </w:rPr>
        <w:t>r, a transfery kapitałowe o 91,9</w:t>
      </w:r>
      <w:r w:rsidRPr="00507B62">
        <w:rPr>
          <w:rFonts w:ascii="Times New Roman" w:hAnsi="Times New Roman"/>
          <w:bCs/>
          <w:sz w:val="20"/>
          <w:szCs w:val="20"/>
        </w:rPr>
        <w:t xml:space="preserve">% r/r. </w:t>
      </w:r>
      <w:r w:rsidR="00AF6F0F" w:rsidRPr="00507B62">
        <w:rPr>
          <w:rFonts w:ascii="Times New Roman" w:hAnsi="Times New Roman"/>
          <w:bCs/>
          <w:sz w:val="20"/>
          <w:szCs w:val="20"/>
        </w:rPr>
        <w:t>W</w:t>
      </w:r>
      <w:r w:rsidR="00D27CBA">
        <w:rPr>
          <w:rFonts w:ascii="Times New Roman" w:hAnsi="Times New Roman"/>
          <w:bCs/>
          <w:sz w:val="20"/>
          <w:szCs w:val="20"/>
        </w:rPr>
        <w:t> </w:t>
      </w:r>
      <w:r w:rsidR="00AF6F0F" w:rsidRPr="00507B62">
        <w:rPr>
          <w:rFonts w:ascii="Times New Roman" w:hAnsi="Times New Roman"/>
          <w:bCs/>
          <w:sz w:val="20"/>
          <w:szCs w:val="20"/>
        </w:rPr>
        <w:t xml:space="preserve">czerwcu </w:t>
      </w:r>
      <w:r w:rsidR="00D27CBA">
        <w:rPr>
          <w:rFonts w:ascii="Times New Roman" w:hAnsi="Times New Roman"/>
          <w:bCs/>
          <w:sz w:val="20"/>
          <w:szCs w:val="20"/>
        </w:rPr>
        <w:t>br. Narodowy Bank Polski wpłacił</w:t>
      </w:r>
      <w:r w:rsidR="00AF6F0F" w:rsidRPr="00507B62">
        <w:rPr>
          <w:rFonts w:ascii="Times New Roman" w:hAnsi="Times New Roman"/>
          <w:bCs/>
          <w:sz w:val="20"/>
          <w:szCs w:val="20"/>
        </w:rPr>
        <w:t xml:space="preserve"> do budżetu 7,4 mld zł</w:t>
      </w:r>
      <w:r w:rsidR="00B91E57" w:rsidRPr="00507B62">
        <w:rPr>
          <w:rFonts w:ascii="Times New Roman" w:hAnsi="Times New Roman"/>
          <w:bCs/>
          <w:sz w:val="20"/>
          <w:szCs w:val="20"/>
        </w:rPr>
        <w:t xml:space="preserve"> (w ramach wypracowanego zysku za</w:t>
      </w:r>
      <w:r w:rsidR="00AF6F0F" w:rsidRPr="00507B62">
        <w:rPr>
          <w:rFonts w:ascii="Times New Roman" w:hAnsi="Times New Roman"/>
          <w:bCs/>
          <w:sz w:val="20"/>
          <w:szCs w:val="20"/>
        </w:rPr>
        <w:t xml:space="preserve"> 2019 r), z czego zgodnie z zasadami ESA2020 jako dochód została zarejestrowana kwota </w:t>
      </w:r>
      <w:r w:rsidR="00D27CBA">
        <w:rPr>
          <w:rFonts w:ascii="Times New Roman" w:hAnsi="Times New Roman"/>
          <w:bCs/>
          <w:sz w:val="20"/>
          <w:szCs w:val="20"/>
        </w:rPr>
        <w:t xml:space="preserve">ok. </w:t>
      </w:r>
      <w:r w:rsidR="00AF6F0F" w:rsidRPr="00507B62">
        <w:rPr>
          <w:rFonts w:ascii="Times New Roman" w:hAnsi="Times New Roman"/>
          <w:bCs/>
          <w:sz w:val="20"/>
          <w:szCs w:val="20"/>
        </w:rPr>
        <w:t>2,2 mld zł.</w:t>
      </w:r>
      <w:r w:rsidR="00AF6F0F" w:rsidRPr="00507B62">
        <w:rPr>
          <w:rStyle w:val="Odwoanieprzypisudolnego"/>
          <w:rFonts w:ascii="Times New Roman" w:hAnsi="Times New Roman"/>
          <w:bCs/>
          <w:sz w:val="20"/>
          <w:szCs w:val="20"/>
        </w:rPr>
        <w:footnoteReference w:id="2"/>
      </w:r>
    </w:p>
    <w:p w14:paraId="536F8735" w14:textId="77777777" w:rsidR="00C61EE3" w:rsidRPr="00A6661D" w:rsidRDefault="00B51A6E">
      <w:pPr>
        <w:pStyle w:val="Nagwek2"/>
        <w:spacing w:before="120" w:line="288" w:lineRule="auto"/>
        <w:rPr>
          <w:rFonts w:ascii="Arial" w:hAnsi="Arial" w:cs="Arial"/>
          <w:i w:val="0"/>
          <w:color w:val="E31837"/>
          <w:sz w:val="20"/>
          <w:szCs w:val="20"/>
        </w:rPr>
      </w:pPr>
      <w:bookmarkStart w:id="4" w:name="_Toc54778909"/>
      <w:r w:rsidRPr="00A6661D">
        <w:rPr>
          <w:rFonts w:ascii="Arial" w:hAnsi="Arial" w:cs="Arial"/>
          <w:i w:val="0"/>
          <w:color w:val="E31837"/>
          <w:sz w:val="20"/>
          <w:szCs w:val="20"/>
        </w:rPr>
        <w:t>1.3. Wydatki</w:t>
      </w:r>
      <w:bookmarkEnd w:id="4"/>
    </w:p>
    <w:p w14:paraId="78A2DB69" w14:textId="77777777" w:rsidR="00C61EE3" w:rsidRPr="00A6661D" w:rsidRDefault="00B51A6E">
      <w:pPr>
        <w:spacing w:before="120" w:after="120" w:line="288" w:lineRule="auto"/>
        <w:jc w:val="both"/>
        <w:rPr>
          <w:rFonts w:ascii="Times New Roman" w:hAnsi="Times New Roman"/>
          <w:bCs/>
          <w:sz w:val="20"/>
          <w:szCs w:val="20"/>
        </w:rPr>
      </w:pPr>
      <w:r w:rsidRPr="00A6661D">
        <w:rPr>
          <w:rFonts w:ascii="Times New Roman" w:hAnsi="Times New Roman"/>
          <w:bCs/>
          <w:sz w:val="20"/>
          <w:szCs w:val="20"/>
        </w:rPr>
        <w:t xml:space="preserve">W </w:t>
      </w:r>
      <w:r w:rsidR="00A6661D" w:rsidRPr="00A6661D">
        <w:rPr>
          <w:rFonts w:ascii="Times New Roman" w:hAnsi="Times New Roman"/>
          <w:bCs/>
          <w:sz w:val="20"/>
          <w:szCs w:val="20"/>
        </w:rPr>
        <w:t>I</w:t>
      </w:r>
      <w:r w:rsidRPr="00A6661D">
        <w:rPr>
          <w:rFonts w:ascii="Times New Roman" w:hAnsi="Times New Roman"/>
          <w:bCs/>
          <w:sz w:val="20"/>
          <w:szCs w:val="20"/>
        </w:rPr>
        <w:t>I kw. 2020 r. wydatki sektora instytucji rządowych i samorz</w:t>
      </w:r>
      <w:r w:rsidR="00A6661D" w:rsidRPr="00A6661D">
        <w:rPr>
          <w:rFonts w:ascii="Times New Roman" w:hAnsi="Times New Roman"/>
          <w:bCs/>
          <w:sz w:val="20"/>
          <w:szCs w:val="20"/>
        </w:rPr>
        <w:t>ądowych (ESA2010) wyniosły 323,9</w:t>
      </w:r>
      <w:r w:rsidRPr="00A6661D">
        <w:rPr>
          <w:rFonts w:ascii="Times New Roman" w:hAnsi="Times New Roman"/>
          <w:bCs/>
          <w:sz w:val="20"/>
          <w:szCs w:val="20"/>
        </w:rPr>
        <w:t> mld zł</w:t>
      </w:r>
      <w:r w:rsidR="0079656D">
        <w:rPr>
          <w:rFonts w:ascii="Times New Roman" w:hAnsi="Times New Roman"/>
          <w:bCs/>
          <w:sz w:val="20"/>
          <w:szCs w:val="20"/>
        </w:rPr>
        <w:t xml:space="preserve"> i były nominalnie wyższe aż o</w:t>
      </w:r>
      <w:r w:rsidR="00A6661D" w:rsidRPr="00A6661D">
        <w:rPr>
          <w:rFonts w:ascii="Times New Roman" w:hAnsi="Times New Roman"/>
          <w:bCs/>
          <w:sz w:val="20"/>
          <w:szCs w:val="20"/>
        </w:rPr>
        <w:t xml:space="preserve"> 40,8% r/r (wzrost relacji r/r o 19,8</w:t>
      </w:r>
      <w:r w:rsidRPr="00A6661D">
        <w:rPr>
          <w:rFonts w:ascii="Times New Roman" w:hAnsi="Times New Roman"/>
          <w:bCs/>
          <w:sz w:val="20"/>
          <w:szCs w:val="20"/>
        </w:rPr>
        <w:t> pkt. proc. PKB)</w:t>
      </w:r>
    </w:p>
    <w:p w14:paraId="1AC83F36" w14:textId="77777777" w:rsidR="00A6661D" w:rsidRDefault="00B51A6E">
      <w:pPr>
        <w:spacing w:before="120" w:after="120" w:line="288" w:lineRule="auto"/>
        <w:jc w:val="both"/>
        <w:rPr>
          <w:rFonts w:ascii="Times New Roman" w:hAnsi="Times New Roman"/>
          <w:bCs/>
          <w:sz w:val="20"/>
          <w:szCs w:val="20"/>
          <w:highlight w:val="yellow"/>
        </w:rPr>
      </w:pPr>
      <w:r w:rsidRPr="00A6661D">
        <w:rPr>
          <w:rFonts w:ascii="Times New Roman" w:hAnsi="Times New Roman"/>
          <w:bCs/>
          <w:sz w:val="20"/>
          <w:szCs w:val="20"/>
        </w:rPr>
        <w:t>Największy udział w</w:t>
      </w:r>
      <w:r w:rsidR="002B4E81">
        <w:rPr>
          <w:rFonts w:ascii="Times New Roman" w:hAnsi="Times New Roman"/>
          <w:bCs/>
          <w:sz w:val="20"/>
          <w:szCs w:val="20"/>
        </w:rPr>
        <w:t>e</w:t>
      </w:r>
      <w:r w:rsidRPr="00A6661D">
        <w:rPr>
          <w:rFonts w:ascii="Times New Roman" w:hAnsi="Times New Roman"/>
          <w:bCs/>
          <w:sz w:val="20"/>
          <w:szCs w:val="20"/>
        </w:rPr>
        <w:t xml:space="preserve"> </w:t>
      </w:r>
      <w:r w:rsidR="00A6661D" w:rsidRPr="00A6661D">
        <w:rPr>
          <w:rFonts w:ascii="Times New Roman" w:hAnsi="Times New Roman"/>
          <w:bCs/>
          <w:sz w:val="20"/>
          <w:szCs w:val="20"/>
        </w:rPr>
        <w:t xml:space="preserve">wzroście wydatków miała kategoria dotacji – wzrost o 3744,3% r/r tj. o </w:t>
      </w:r>
      <w:r w:rsidR="00045DC9">
        <w:rPr>
          <w:rFonts w:ascii="Times New Roman" w:hAnsi="Times New Roman"/>
          <w:bCs/>
          <w:sz w:val="20"/>
          <w:szCs w:val="20"/>
        </w:rPr>
        <w:t>ok. 70 mld </w:t>
      </w:r>
      <w:r w:rsidR="00A6661D" w:rsidRPr="00A6661D">
        <w:rPr>
          <w:rFonts w:ascii="Times New Roman" w:hAnsi="Times New Roman"/>
          <w:bCs/>
          <w:sz w:val="20"/>
          <w:szCs w:val="20"/>
        </w:rPr>
        <w:t xml:space="preserve">zł r/r. </w:t>
      </w:r>
      <w:r w:rsidR="00B36289" w:rsidRPr="00B36289">
        <w:rPr>
          <w:rFonts w:ascii="Times New Roman" w:hAnsi="Times New Roman"/>
          <w:bCs/>
          <w:sz w:val="20"/>
          <w:szCs w:val="20"/>
        </w:rPr>
        <w:t>Tak bezprecedensowy wzrost wydatków na subsydia dla przedsiębiorców związany był z pomocą udzieloną przez państwo w ramach walki z epidemią COVID-19. W pozycji tej uwzględniono, zarówno wydatki związane z wykonaniem programów rządowych realizowanych przez PFR w ramach Tarczy Finansowej jak i znaczącą część wydatków finansowanych z</w:t>
      </w:r>
      <w:r w:rsidR="00D27CBA">
        <w:rPr>
          <w:rFonts w:ascii="Times New Roman" w:hAnsi="Times New Roman"/>
          <w:bCs/>
          <w:sz w:val="20"/>
          <w:szCs w:val="20"/>
        </w:rPr>
        <w:t> </w:t>
      </w:r>
      <w:r w:rsidR="00B36289" w:rsidRPr="00B36289">
        <w:rPr>
          <w:rFonts w:ascii="Times New Roman" w:hAnsi="Times New Roman"/>
          <w:bCs/>
          <w:sz w:val="20"/>
          <w:szCs w:val="20"/>
        </w:rPr>
        <w:t>Funduszu Przeciwdziałania COVID-19 w celu utrzymania stabilnej sytuacji na rynku pracy, w tym w</w:t>
      </w:r>
      <w:r w:rsidR="00D27CBA">
        <w:rPr>
          <w:rFonts w:ascii="Times New Roman" w:hAnsi="Times New Roman"/>
          <w:bCs/>
          <w:sz w:val="20"/>
          <w:szCs w:val="20"/>
        </w:rPr>
        <w:t> </w:t>
      </w:r>
      <w:r w:rsidR="00B36289" w:rsidRPr="00B36289">
        <w:rPr>
          <w:rFonts w:ascii="Times New Roman" w:hAnsi="Times New Roman"/>
          <w:bCs/>
          <w:sz w:val="20"/>
          <w:szCs w:val="20"/>
        </w:rPr>
        <w:t>szcz</w:t>
      </w:r>
      <w:r w:rsidR="00B36289">
        <w:rPr>
          <w:rFonts w:ascii="Times New Roman" w:hAnsi="Times New Roman"/>
          <w:bCs/>
          <w:sz w:val="20"/>
          <w:szCs w:val="20"/>
        </w:rPr>
        <w:t>ególności na finansowanie zadań</w:t>
      </w:r>
      <w:r w:rsidR="00B36289" w:rsidRPr="00B36289">
        <w:rPr>
          <w:rFonts w:ascii="Times New Roman" w:hAnsi="Times New Roman"/>
          <w:bCs/>
          <w:sz w:val="20"/>
          <w:szCs w:val="20"/>
        </w:rPr>
        <w:t xml:space="preserve"> związanych z</w:t>
      </w:r>
      <w:r w:rsidR="00D27CBA">
        <w:rPr>
          <w:rFonts w:ascii="Times New Roman" w:hAnsi="Times New Roman"/>
          <w:bCs/>
          <w:sz w:val="20"/>
          <w:szCs w:val="20"/>
        </w:rPr>
        <w:t> </w:t>
      </w:r>
      <w:r w:rsidR="00B36289" w:rsidRPr="00B36289">
        <w:rPr>
          <w:rFonts w:ascii="Times New Roman" w:hAnsi="Times New Roman"/>
          <w:bCs/>
          <w:sz w:val="20"/>
          <w:szCs w:val="20"/>
        </w:rPr>
        <w:t>dofinansowaniem wynagrodzeń pracowników objętych i nieobjętych przestojem ekonomicznym albo obniżonym wymiarem czasu pracy w związku z COVID-19, finansowaniem świadczeń postojowych czy finansowaniem zwolnionych/umorzonych składek na ubezpieczenia społeczne.</w:t>
      </w:r>
    </w:p>
    <w:p w14:paraId="00EB6133" w14:textId="3970E8BD" w:rsidR="001B5157" w:rsidRPr="001B5157" w:rsidRDefault="00B51A6E" w:rsidP="001B5157">
      <w:pPr>
        <w:spacing w:before="120" w:line="288" w:lineRule="auto"/>
        <w:jc w:val="both"/>
        <w:rPr>
          <w:rFonts w:ascii="Times New Roman" w:hAnsi="Times New Roman"/>
          <w:bCs/>
          <w:sz w:val="20"/>
          <w:szCs w:val="20"/>
        </w:rPr>
      </w:pPr>
      <w:r w:rsidRPr="001B5157">
        <w:rPr>
          <w:rFonts w:ascii="Times New Roman" w:hAnsi="Times New Roman"/>
          <w:bCs/>
          <w:sz w:val="20"/>
          <w:szCs w:val="20"/>
        </w:rPr>
        <w:t>W I</w:t>
      </w:r>
      <w:r w:rsidR="00394083" w:rsidRPr="001B5157">
        <w:rPr>
          <w:rFonts w:ascii="Times New Roman" w:hAnsi="Times New Roman"/>
          <w:bCs/>
          <w:sz w:val="20"/>
          <w:szCs w:val="20"/>
        </w:rPr>
        <w:t>I</w:t>
      </w:r>
      <w:r w:rsidRPr="001B5157">
        <w:rPr>
          <w:rFonts w:ascii="Times New Roman" w:hAnsi="Times New Roman"/>
          <w:bCs/>
          <w:sz w:val="20"/>
          <w:szCs w:val="20"/>
        </w:rPr>
        <w:t xml:space="preserve"> kw. 2020 r. świadczeni</w:t>
      </w:r>
      <w:r w:rsidR="00394083" w:rsidRPr="001B5157">
        <w:rPr>
          <w:rFonts w:ascii="Times New Roman" w:hAnsi="Times New Roman"/>
          <w:bCs/>
          <w:sz w:val="20"/>
          <w:szCs w:val="20"/>
        </w:rPr>
        <w:t>a socjalne wzrosły nominalnie o 12,4</w:t>
      </w:r>
      <w:r w:rsidR="001B5157" w:rsidRPr="001B5157">
        <w:rPr>
          <w:rFonts w:ascii="Times New Roman" w:hAnsi="Times New Roman"/>
          <w:bCs/>
          <w:sz w:val="20"/>
          <w:szCs w:val="20"/>
        </w:rPr>
        <w:t>% r/r. Na ten wzrost wpływ miały zarówno działania programów pomocowych w ramach walki z epidemia COVID – 19 (w tym w szczególności zasiłki opiekuńcze) jak i  działania polegające na wsparciu finansowym osób niepełnosprawnych (świadczenie uzupełniające dla osób niezdolnych do samodzielnej egzystencji) oraz wzrost wysokości jednorazowego trzynastego świadczenia emerytalnego (z 1100 zł do 1200 zł dla każdego emeryta)</w:t>
      </w:r>
    </w:p>
    <w:p w14:paraId="0F2DBC08" w14:textId="77777777" w:rsidR="00C61EE3" w:rsidRPr="00394083" w:rsidRDefault="00C61EE3">
      <w:pPr>
        <w:spacing w:before="120" w:after="0" w:line="288" w:lineRule="auto"/>
        <w:jc w:val="both"/>
        <w:rPr>
          <w:rFonts w:ascii="Times New Roman" w:hAnsi="Times New Roman"/>
          <w:bCs/>
          <w:sz w:val="20"/>
          <w:szCs w:val="20"/>
        </w:rPr>
      </w:pPr>
    </w:p>
    <w:p w14:paraId="68934855" w14:textId="77777777" w:rsidR="00C61EE3" w:rsidRPr="00D5510D" w:rsidRDefault="00C61EE3">
      <w:pPr>
        <w:spacing w:before="120" w:after="0" w:line="288" w:lineRule="auto"/>
        <w:jc w:val="both"/>
        <w:rPr>
          <w:rFonts w:ascii="Times New Roman" w:hAnsi="Times New Roman"/>
          <w:bCs/>
          <w:sz w:val="20"/>
          <w:szCs w:val="20"/>
          <w:highlight w:val="yellow"/>
        </w:rPr>
      </w:pPr>
    </w:p>
    <w:tbl>
      <w:tblPr>
        <w:tblW w:w="4680"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680"/>
      </w:tblGrid>
      <w:tr w:rsidR="00C61EE3" w:rsidRPr="00D5510D" w14:paraId="554EA7C8" w14:textId="77777777">
        <w:tc>
          <w:tcPr>
            <w:tcW w:w="4680" w:type="dxa"/>
            <w:tcBorders>
              <w:top w:val="nil"/>
              <w:bottom w:val="single" w:sz="8" w:space="0" w:color="ADAFB2"/>
            </w:tcBorders>
            <w:shd w:val="clear" w:color="auto" w:fill="auto"/>
          </w:tcPr>
          <w:p w14:paraId="754AE561" w14:textId="6ADD386F" w:rsidR="00C61EE3" w:rsidRPr="00D30AC9" w:rsidRDefault="00B51A6E">
            <w:pPr>
              <w:pStyle w:val="A1"/>
              <w:keepNext/>
              <w:spacing w:after="0" w:line="288" w:lineRule="auto"/>
              <w:ind w:firstLine="0"/>
              <w:jc w:val="left"/>
              <w:rPr>
                <w:color w:val="E31837"/>
                <w:sz w:val="20"/>
                <w:szCs w:val="20"/>
              </w:rPr>
            </w:pPr>
            <w:r w:rsidRPr="00D30AC9">
              <w:rPr>
                <w:rFonts w:cs="Arial"/>
                <w:bCs/>
                <w:color w:val="999999"/>
                <w:sz w:val="20"/>
                <w:szCs w:val="20"/>
                <w:lang w:eastAsia="en-US"/>
              </w:rPr>
              <w:t xml:space="preserve">Wyk. 5. Struktura wydatków sektora instytucji rządowych i samorządowych w </w:t>
            </w:r>
            <w:r w:rsidR="00D30AC9" w:rsidRPr="00D30AC9">
              <w:rPr>
                <w:rFonts w:cs="Arial"/>
                <w:bCs/>
                <w:color w:val="999999"/>
                <w:sz w:val="20"/>
                <w:szCs w:val="20"/>
                <w:lang w:eastAsia="en-US"/>
              </w:rPr>
              <w:t>I</w:t>
            </w:r>
            <w:r w:rsidRPr="00D30AC9">
              <w:rPr>
                <w:rFonts w:cs="Arial"/>
                <w:bCs/>
                <w:color w:val="999999"/>
                <w:sz w:val="20"/>
                <w:szCs w:val="20"/>
                <w:lang w:eastAsia="en-US"/>
              </w:rPr>
              <w:t>I kw. 2020 r.</w:t>
            </w:r>
          </w:p>
        </w:tc>
      </w:tr>
      <w:tr w:rsidR="00C61EE3" w:rsidRPr="00D5510D" w14:paraId="7D221D8F" w14:textId="77777777">
        <w:tc>
          <w:tcPr>
            <w:tcW w:w="4680" w:type="dxa"/>
            <w:tcBorders>
              <w:top w:val="single" w:sz="8" w:space="0" w:color="ADAFB2"/>
            </w:tcBorders>
          </w:tcPr>
          <w:p w14:paraId="45879313" w14:textId="08E06C42" w:rsidR="00C61EE3" w:rsidRPr="00D30AC9" w:rsidRDefault="00D30AC9">
            <w:pPr>
              <w:keepNext/>
              <w:spacing w:before="120" w:after="120" w:line="288" w:lineRule="auto"/>
              <w:jc w:val="both"/>
              <w:rPr>
                <w:rFonts w:ascii="Times New Roman" w:hAnsi="Times New Roman"/>
                <w:b/>
                <w:lang w:eastAsia="pl-PL"/>
              </w:rPr>
            </w:pPr>
            <w:r w:rsidRPr="00D30AC9">
              <w:rPr>
                <w:rFonts w:ascii="Times New Roman" w:hAnsi="Times New Roman"/>
                <w:b/>
                <w:noProof/>
                <w:lang w:eastAsia="pl-PL"/>
              </w:rPr>
              <w:drawing>
                <wp:inline distT="0" distB="0" distL="0" distR="0" wp14:anchorId="6D76AD28" wp14:editId="23429A57">
                  <wp:extent cx="2957830" cy="1820545"/>
                  <wp:effectExtent l="0" t="0" r="0" b="8255"/>
                  <wp:docPr id="3" name="Obraz 3" descr="Wykres przedstawia strukturę wydatków sektora instytucji rządowych i samorządowych w II kwartale 2020 roku w podziale na: świadczenia socjale 46,1%, koszty pracy 24,0%, zużycie pośrednie 12,5%, inwestycje 5,8%, odsetki 3,1% i pozostałe 8,5%." title="Wykr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7830" cy="1820545"/>
                          </a:xfrm>
                          <a:prstGeom prst="rect">
                            <a:avLst/>
                          </a:prstGeom>
                          <a:noFill/>
                          <a:ln>
                            <a:noFill/>
                          </a:ln>
                        </pic:spPr>
                      </pic:pic>
                    </a:graphicData>
                  </a:graphic>
                </wp:inline>
              </w:drawing>
            </w:r>
          </w:p>
        </w:tc>
      </w:tr>
      <w:tr w:rsidR="00C61EE3" w:rsidRPr="00D5510D" w14:paraId="2565218E" w14:textId="77777777">
        <w:tc>
          <w:tcPr>
            <w:tcW w:w="4680" w:type="dxa"/>
          </w:tcPr>
          <w:p w14:paraId="20D4F91A" w14:textId="77777777" w:rsidR="00C61EE3" w:rsidRPr="00D30AC9" w:rsidRDefault="00B51A6E">
            <w:pPr>
              <w:keepNext/>
              <w:spacing w:before="120" w:after="60" w:line="288" w:lineRule="auto"/>
              <w:rPr>
                <w:rFonts w:ascii="Times New Roman" w:hAnsi="Times New Roman"/>
                <w:i/>
                <w:color w:val="E31837"/>
                <w:sz w:val="16"/>
                <w:szCs w:val="16"/>
                <w:lang w:eastAsia="pl-PL"/>
              </w:rPr>
            </w:pPr>
            <w:r w:rsidRPr="00D30AC9">
              <w:rPr>
                <w:rFonts w:ascii="Times New Roman" w:hAnsi="Times New Roman" w:cs="Arial"/>
                <w:bCs/>
                <w:color w:val="808080"/>
                <w:sz w:val="20"/>
                <w:szCs w:val="20"/>
              </w:rPr>
              <w:t xml:space="preserve">Źródło: Dane Eurostat, GUS, obliczenia własne </w:t>
            </w:r>
          </w:p>
        </w:tc>
      </w:tr>
    </w:tbl>
    <w:p w14:paraId="33C50686" w14:textId="77777777" w:rsidR="00C61EE3" w:rsidRPr="00D31A44" w:rsidRDefault="00B51A6E">
      <w:pPr>
        <w:spacing w:before="120" w:after="0" w:line="288" w:lineRule="auto"/>
        <w:jc w:val="both"/>
        <w:rPr>
          <w:rFonts w:ascii="Times New Roman" w:hAnsi="Times New Roman"/>
          <w:bCs/>
          <w:sz w:val="20"/>
          <w:szCs w:val="20"/>
        </w:rPr>
      </w:pPr>
      <w:r w:rsidRPr="00D31A44">
        <w:rPr>
          <w:rFonts w:ascii="Times New Roman" w:hAnsi="Times New Roman"/>
          <w:bCs/>
          <w:sz w:val="20"/>
          <w:szCs w:val="20"/>
        </w:rPr>
        <w:t>W I</w:t>
      </w:r>
      <w:r w:rsidR="00D31A44" w:rsidRPr="00D31A44">
        <w:rPr>
          <w:rFonts w:ascii="Times New Roman" w:hAnsi="Times New Roman"/>
          <w:bCs/>
          <w:sz w:val="20"/>
          <w:szCs w:val="20"/>
        </w:rPr>
        <w:t>I</w:t>
      </w:r>
      <w:r w:rsidRPr="00D31A44">
        <w:rPr>
          <w:rFonts w:ascii="Times New Roman" w:hAnsi="Times New Roman"/>
          <w:bCs/>
          <w:sz w:val="20"/>
          <w:szCs w:val="20"/>
        </w:rPr>
        <w:t xml:space="preserve"> kw. 2020 r. odnotowano wzrost wy</w:t>
      </w:r>
      <w:r w:rsidR="00D31A44" w:rsidRPr="00D31A44">
        <w:rPr>
          <w:rFonts w:ascii="Times New Roman" w:hAnsi="Times New Roman"/>
          <w:bCs/>
          <w:sz w:val="20"/>
          <w:szCs w:val="20"/>
        </w:rPr>
        <w:t>datków na zużycie pośrednie (1,6% r/r) oraz kosztów pracy (7,5</w:t>
      </w:r>
      <w:r w:rsidRPr="00D31A44">
        <w:rPr>
          <w:rFonts w:ascii="Times New Roman" w:hAnsi="Times New Roman"/>
          <w:bCs/>
          <w:sz w:val="20"/>
          <w:szCs w:val="20"/>
        </w:rPr>
        <w:t>% r/r), który przyczynił się do wz</w:t>
      </w:r>
      <w:r w:rsidR="00D31A44" w:rsidRPr="00D31A44">
        <w:rPr>
          <w:rFonts w:ascii="Times New Roman" w:hAnsi="Times New Roman"/>
          <w:bCs/>
          <w:sz w:val="20"/>
          <w:szCs w:val="20"/>
        </w:rPr>
        <w:t>rostu spożycia publicznego o 6,3</w:t>
      </w:r>
      <w:r w:rsidRPr="00D31A44">
        <w:rPr>
          <w:rFonts w:ascii="Times New Roman" w:hAnsi="Times New Roman"/>
          <w:bCs/>
          <w:sz w:val="20"/>
          <w:szCs w:val="20"/>
        </w:rPr>
        <w:t xml:space="preserve">% r/r. </w:t>
      </w:r>
    </w:p>
    <w:p w14:paraId="28981687" w14:textId="77777777" w:rsidR="00C61EE3" w:rsidRPr="00D31A44" w:rsidRDefault="00B51A6E">
      <w:pPr>
        <w:spacing w:before="120" w:after="0" w:line="288" w:lineRule="auto"/>
        <w:jc w:val="both"/>
        <w:rPr>
          <w:rFonts w:ascii="Times New Roman" w:hAnsi="Times New Roman"/>
          <w:bCs/>
          <w:sz w:val="20"/>
          <w:szCs w:val="20"/>
        </w:rPr>
      </w:pPr>
      <w:r w:rsidRPr="00D31A44">
        <w:rPr>
          <w:rFonts w:ascii="Times New Roman" w:hAnsi="Times New Roman"/>
          <w:bCs/>
          <w:sz w:val="20"/>
          <w:szCs w:val="20"/>
        </w:rPr>
        <w:t xml:space="preserve">W </w:t>
      </w:r>
      <w:r w:rsidR="00D31A44" w:rsidRPr="00D31A44">
        <w:rPr>
          <w:rFonts w:ascii="Times New Roman" w:hAnsi="Times New Roman"/>
          <w:bCs/>
          <w:sz w:val="20"/>
          <w:szCs w:val="20"/>
        </w:rPr>
        <w:t>I</w:t>
      </w:r>
      <w:r w:rsidRPr="00D31A44">
        <w:rPr>
          <w:rFonts w:ascii="Times New Roman" w:hAnsi="Times New Roman"/>
          <w:bCs/>
          <w:sz w:val="20"/>
          <w:szCs w:val="20"/>
        </w:rPr>
        <w:t>I kw. br., nastąpił wzrost wydatków inwestycyjnych sektora instytucji rządowych i</w:t>
      </w:r>
      <w:r w:rsidR="00D31A44" w:rsidRPr="00D31A44">
        <w:rPr>
          <w:rFonts w:ascii="Times New Roman" w:hAnsi="Times New Roman"/>
          <w:bCs/>
          <w:sz w:val="20"/>
          <w:szCs w:val="20"/>
        </w:rPr>
        <w:t> samorządowych o</w:t>
      </w:r>
      <w:r w:rsidR="00E2376E">
        <w:rPr>
          <w:rFonts w:ascii="Times New Roman" w:hAnsi="Times New Roman"/>
          <w:bCs/>
          <w:sz w:val="20"/>
          <w:szCs w:val="20"/>
        </w:rPr>
        <w:t> </w:t>
      </w:r>
      <w:r w:rsidR="00D31A44" w:rsidRPr="00D31A44">
        <w:rPr>
          <w:rFonts w:ascii="Times New Roman" w:hAnsi="Times New Roman"/>
          <w:bCs/>
          <w:sz w:val="20"/>
          <w:szCs w:val="20"/>
        </w:rPr>
        <w:t>14,1%</w:t>
      </w:r>
      <w:r w:rsidRPr="00D31A44">
        <w:rPr>
          <w:rFonts w:ascii="Times New Roman" w:hAnsi="Times New Roman"/>
          <w:bCs/>
          <w:sz w:val="20"/>
          <w:szCs w:val="20"/>
        </w:rPr>
        <w:t>r/r</w:t>
      </w:r>
      <w:r w:rsidR="00CB689E">
        <w:rPr>
          <w:rFonts w:ascii="Times New Roman" w:hAnsi="Times New Roman"/>
          <w:bCs/>
          <w:sz w:val="20"/>
          <w:szCs w:val="20"/>
        </w:rPr>
        <w:t xml:space="preserve">, i utrzymał się tym samym dwucyfrowy trend z I kw. (11,5% r/r). Na wzrost wpływ miał </w:t>
      </w:r>
      <w:r w:rsidRPr="00D31A44">
        <w:rPr>
          <w:rFonts w:ascii="Times New Roman" w:hAnsi="Times New Roman"/>
          <w:bCs/>
          <w:sz w:val="20"/>
          <w:szCs w:val="20"/>
        </w:rPr>
        <w:t xml:space="preserve">głównie wzrost wydatków </w:t>
      </w:r>
      <w:r w:rsidR="00D31A44" w:rsidRPr="00D31A44">
        <w:rPr>
          <w:rFonts w:ascii="Times New Roman" w:hAnsi="Times New Roman"/>
          <w:bCs/>
          <w:sz w:val="20"/>
          <w:szCs w:val="20"/>
        </w:rPr>
        <w:t xml:space="preserve">w podsektorze centralnym, w tym </w:t>
      </w:r>
      <w:r w:rsidRPr="00D31A44">
        <w:rPr>
          <w:rFonts w:ascii="Times New Roman" w:hAnsi="Times New Roman"/>
          <w:bCs/>
          <w:sz w:val="20"/>
          <w:szCs w:val="20"/>
        </w:rPr>
        <w:t>inwestycji drogowych realizowanych przez</w:t>
      </w:r>
      <w:r w:rsidR="00CB689E">
        <w:rPr>
          <w:rFonts w:ascii="Times New Roman" w:hAnsi="Times New Roman"/>
          <w:bCs/>
          <w:sz w:val="20"/>
          <w:szCs w:val="20"/>
        </w:rPr>
        <w:t xml:space="preserve"> KFD i kolejowych przez PKP PLK, gdyż w</w:t>
      </w:r>
      <w:r w:rsidR="00D31A44" w:rsidRPr="00D31A44">
        <w:rPr>
          <w:rFonts w:ascii="Times New Roman" w:hAnsi="Times New Roman"/>
          <w:bCs/>
          <w:sz w:val="20"/>
          <w:szCs w:val="20"/>
        </w:rPr>
        <w:t xml:space="preserve">ydatki </w:t>
      </w:r>
      <w:r w:rsidR="00CB689E">
        <w:rPr>
          <w:rFonts w:ascii="Times New Roman" w:hAnsi="Times New Roman"/>
          <w:bCs/>
          <w:sz w:val="20"/>
          <w:szCs w:val="20"/>
        </w:rPr>
        <w:t xml:space="preserve">inwestycyjne w ujęciu kasowym </w:t>
      </w:r>
      <w:r w:rsidR="00D31A44" w:rsidRPr="00D31A44">
        <w:rPr>
          <w:rFonts w:ascii="Times New Roman" w:hAnsi="Times New Roman"/>
          <w:bCs/>
          <w:sz w:val="20"/>
          <w:szCs w:val="20"/>
        </w:rPr>
        <w:t xml:space="preserve">jednostek samorządu terytorialnego spadły </w:t>
      </w:r>
      <w:r w:rsidR="00CB689E">
        <w:rPr>
          <w:rFonts w:ascii="Times New Roman" w:hAnsi="Times New Roman"/>
          <w:bCs/>
          <w:sz w:val="20"/>
          <w:szCs w:val="20"/>
        </w:rPr>
        <w:t xml:space="preserve">nominalnie </w:t>
      </w:r>
      <w:r w:rsidR="00D31A44" w:rsidRPr="00D31A44">
        <w:rPr>
          <w:rFonts w:ascii="Times New Roman" w:hAnsi="Times New Roman"/>
          <w:bCs/>
          <w:sz w:val="20"/>
          <w:szCs w:val="20"/>
        </w:rPr>
        <w:t xml:space="preserve">w II kw. o </w:t>
      </w:r>
      <w:r w:rsidR="00CB689E">
        <w:rPr>
          <w:rFonts w:ascii="Times New Roman" w:hAnsi="Times New Roman"/>
          <w:bCs/>
          <w:sz w:val="20"/>
          <w:szCs w:val="20"/>
        </w:rPr>
        <w:t xml:space="preserve">ok. </w:t>
      </w:r>
      <w:r w:rsidR="00D31A44" w:rsidRPr="00D31A44">
        <w:rPr>
          <w:rFonts w:ascii="Times New Roman" w:hAnsi="Times New Roman"/>
          <w:bCs/>
          <w:sz w:val="20"/>
          <w:szCs w:val="20"/>
        </w:rPr>
        <w:t>10% r/r.</w:t>
      </w:r>
    </w:p>
    <w:p w14:paraId="6DA4F655" w14:textId="77777777" w:rsidR="00C61EE3" w:rsidRPr="00D5510D" w:rsidRDefault="00B51A6E">
      <w:pPr>
        <w:spacing w:after="0" w:line="240" w:lineRule="auto"/>
        <w:rPr>
          <w:rFonts w:ascii="Times New Roman" w:hAnsi="Times New Roman"/>
          <w:bCs/>
          <w:sz w:val="20"/>
          <w:szCs w:val="20"/>
          <w:highlight w:val="yellow"/>
        </w:rPr>
      </w:pPr>
      <w:r w:rsidRPr="00D5510D">
        <w:rPr>
          <w:rFonts w:ascii="Times New Roman" w:hAnsi="Times New Roman"/>
          <w:bCs/>
          <w:sz w:val="20"/>
          <w:szCs w:val="20"/>
          <w:highlight w:val="yellow"/>
        </w:rPr>
        <w:br w:type="page"/>
      </w:r>
    </w:p>
    <w:p w14:paraId="6C8B0B0B" w14:textId="77777777" w:rsidR="00A5676D" w:rsidRPr="00A5676D" w:rsidRDefault="00A5676D" w:rsidP="00A5676D">
      <w:pPr>
        <w:keepNext/>
        <w:spacing w:before="120" w:after="60" w:line="288" w:lineRule="auto"/>
        <w:outlineLvl w:val="0"/>
        <w:rPr>
          <w:rFonts w:ascii="Cambria" w:hAnsi="Cambria"/>
          <w:b/>
          <w:bCs/>
          <w:sz w:val="32"/>
          <w:szCs w:val="32"/>
        </w:rPr>
      </w:pPr>
      <w:bookmarkStart w:id="5" w:name="_Toc378241155"/>
      <w:bookmarkStart w:id="6" w:name="_Toc472594681"/>
      <w:bookmarkStart w:id="7" w:name="_Toc536019015"/>
      <w:bookmarkStart w:id="8" w:name="_Toc54778910"/>
      <w:r w:rsidRPr="00A5676D">
        <w:rPr>
          <w:rFonts w:ascii="Arial" w:hAnsi="Arial" w:cs="Arial"/>
          <w:b/>
          <w:bCs/>
          <w:color w:val="ADAFB2"/>
          <w:sz w:val="28"/>
          <w:szCs w:val="28"/>
        </w:rPr>
        <w:t xml:space="preserve">2. </w:t>
      </w:r>
      <w:bookmarkEnd w:id="5"/>
      <w:r w:rsidRPr="00A5676D">
        <w:rPr>
          <w:rFonts w:ascii="Arial" w:hAnsi="Arial" w:cs="Arial"/>
          <w:b/>
          <w:bCs/>
          <w:color w:val="ADAFB2"/>
          <w:sz w:val="28"/>
          <w:szCs w:val="28"/>
        </w:rPr>
        <w:t>Dług publiczny oraz potrzeby pożyczkowe</w:t>
      </w:r>
      <w:bookmarkEnd w:id="6"/>
      <w:bookmarkEnd w:id="7"/>
      <w:bookmarkEnd w:id="8"/>
    </w:p>
    <w:p w14:paraId="2D33A20E" w14:textId="77777777" w:rsidR="00A5676D" w:rsidRPr="00A5676D" w:rsidRDefault="00A5676D" w:rsidP="00A5676D">
      <w:pPr>
        <w:keepNext/>
        <w:spacing w:before="120" w:after="60" w:line="288" w:lineRule="auto"/>
        <w:outlineLvl w:val="1"/>
        <w:rPr>
          <w:rFonts w:ascii="Arial" w:hAnsi="Arial" w:cs="Arial"/>
          <w:b/>
          <w:bCs/>
          <w:iCs/>
          <w:color w:val="E31837"/>
          <w:sz w:val="20"/>
          <w:szCs w:val="20"/>
        </w:rPr>
      </w:pPr>
      <w:bookmarkStart w:id="9" w:name="_Toc472594682"/>
      <w:bookmarkStart w:id="10" w:name="_Toc536019016"/>
      <w:bookmarkStart w:id="11" w:name="_Toc54778911"/>
      <w:r w:rsidRPr="00A5676D">
        <w:rPr>
          <w:rFonts w:ascii="Arial" w:hAnsi="Arial" w:cs="Arial"/>
          <w:b/>
          <w:bCs/>
          <w:iCs/>
          <w:color w:val="E31837"/>
          <w:sz w:val="20"/>
          <w:szCs w:val="20"/>
        </w:rPr>
        <w:t>2.1. Dług sektora instytucji rządowych i samorządowych (wg definicji UE)</w:t>
      </w:r>
      <w:bookmarkEnd w:id="9"/>
      <w:bookmarkEnd w:id="10"/>
      <w:bookmarkEnd w:id="11"/>
    </w:p>
    <w:p w14:paraId="30DCACB5" w14:textId="77777777" w:rsidR="00A5676D" w:rsidRPr="00A5676D" w:rsidRDefault="00A5676D" w:rsidP="00A5676D">
      <w:pPr>
        <w:spacing w:before="120" w:after="60" w:line="288" w:lineRule="auto"/>
        <w:jc w:val="both"/>
        <w:rPr>
          <w:rFonts w:ascii="Times New Roman" w:hAnsi="Times New Roman" w:cs="Arial"/>
          <w:sz w:val="20"/>
          <w:szCs w:val="20"/>
        </w:rPr>
      </w:pPr>
      <w:r w:rsidRPr="00A5676D">
        <w:rPr>
          <w:rFonts w:ascii="Times New Roman" w:hAnsi="Times New Roman" w:cs="Arial"/>
          <w:sz w:val="20"/>
          <w:szCs w:val="20"/>
        </w:rPr>
        <w:t>Na koniec II kwartału 2020 r. dług sektora instytucji rządowych i samorządowych (dług EDP) stanowiący jeden z elementów kryterium fiskalnego z Maastricht wyniósł 1.256,0 mld zł, co oznaczało wzrost o 152,5 mld zł (+13,8%) w porównaniu z końcem I kwartału 2020 r.</w:t>
      </w:r>
    </w:p>
    <w:tbl>
      <w:tblPr>
        <w:tblW w:w="4680" w:type="dxa"/>
        <w:tblInd w:w="108"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680"/>
      </w:tblGrid>
      <w:tr w:rsidR="00A5676D" w:rsidRPr="00A5676D" w14:paraId="02098EFA" w14:textId="77777777" w:rsidTr="0074106C">
        <w:tc>
          <w:tcPr>
            <w:tcW w:w="4680" w:type="dxa"/>
            <w:tcBorders>
              <w:top w:val="nil"/>
              <w:bottom w:val="single" w:sz="8" w:space="0" w:color="ADAFB2"/>
            </w:tcBorders>
            <w:shd w:val="clear" w:color="auto" w:fill="auto"/>
          </w:tcPr>
          <w:p w14:paraId="1CDA6962" w14:textId="77777777" w:rsidR="00A5676D" w:rsidRPr="00A5676D" w:rsidRDefault="00A5676D" w:rsidP="00A5676D">
            <w:pPr>
              <w:keepNext/>
              <w:spacing w:before="120" w:after="0" w:line="288" w:lineRule="auto"/>
              <w:rPr>
                <w:rFonts w:ascii="Times New Roman" w:hAnsi="Times New Roman"/>
                <w:color w:val="E31837"/>
                <w:sz w:val="20"/>
                <w:szCs w:val="20"/>
                <w:lang w:eastAsia="pl-PL"/>
              </w:rPr>
            </w:pPr>
            <w:r w:rsidRPr="00A5676D">
              <w:rPr>
                <w:rFonts w:ascii="Times New Roman" w:hAnsi="Times New Roman" w:cs="Arial"/>
                <w:bCs/>
                <w:color w:val="999999"/>
                <w:sz w:val="20"/>
                <w:szCs w:val="20"/>
              </w:rPr>
              <w:t>Wyk. 6. Dług EDP</w:t>
            </w:r>
          </w:p>
        </w:tc>
      </w:tr>
      <w:tr w:rsidR="00A5676D" w:rsidRPr="00A5676D" w14:paraId="05013686" w14:textId="77777777" w:rsidTr="0074106C">
        <w:trPr>
          <w:trHeight w:val="3307"/>
        </w:trPr>
        <w:tc>
          <w:tcPr>
            <w:tcW w:w="4680" w:type="dxa"/>
            <w:tcBorders>
              <w:top w:val="single" w:sz="8" w:space="0" w:color="ADAFB2"/>
            </w:tcBorders>
          </w:tcPr>
          <w:p w14:paraId="43BEAD0A" w14:textId="77777777" w:rsidR="00A5676D" w:rsidRPr="00A5676D" w:rsidRDefault="00810AB0" w:rsidP="00A5676D">
            <w:pPr>
              <w:keepNext/>
              <w:spacing w:before="120" w:after="120" w:line="288" w:lineRule="auto"/>
              <w:ind w:left="-108"/>
              <w:jc w:val="both"/>
              <w:rPr>
                <w:rFonts w:ascii="Times New Roman" w:hAnsi="Times New Roman"/>
                <w:b/>
                <w:lang w:eastAsia="pl-PL"/>
              </w:rPr>
            </w:pPr>
            <w:r w:rsidRPr="00810AB0">
              <w:rPr>
                <w:rFonts w:ascii="Times New Roman" w:hAnsi="Times New Roman"/>
                <w:b/>
                <w:noProof/>
                <w:lang w:eastAsia="pl-PL"/>
              </w:rPr>
              <w:drawing>
                <wp:inline distT="0" distB="0" distL="0" distR="0" wp14:anchorId="6E0C2126" wp14:editId="5CD0CB7D">
                  <wp:extent cx="2854325" cy="2051685"/>
                  <wp:effectExtent l="0" t="0" r="3175" b="0"/>
                  <wp:docPr id="6" name="Obraz 6" descr="Wykres prezentuje poziom długu sektora instytucji rządowych i samorządowych EDP w mld zł i w relacji do PKB w latach 2008- 2019 oraz w I-II kwartale 2020 r." title="Wykre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4325" cy="2051685"/>
                          </a:xfrm>
                          <a:prstGeom prst="rect">
                            <a:avLst/>
                          </a:prstGeom>
                          <a:noFill/>
                          <a:ln>
                            <a:noFill/>
                          </a:ln>
                        </pic:spPr>
                      </pic:pic>
                    </a:graphicData>
                  </a:graphic>
                </wp:inline>
              </w:drawing>
            </w:r>
          </w:p>
        </w:tc>
      </w:tr>
      <w:tr w:rsidR="00A5676D" w:rsidRPr="00A5676D" w14:paraId="719C5145" w14:textId="77777777" w:rsidTr="0074106C">
        <w:tc>
          <w:tcPr>
            <w:tcW w:w="4680" w:type="dxa"/>
          </w:tcPr>
          <w:p w14:paraId="1A956DA7" w14:textId="77777777" w:rsidR="00A5676D" w:rsidRPr="00A5676D" w:rsidRDefault="00A5676D" w:rsidP="00A5676D">
            <w:pPr>
              <w:keepNext/>
              <w:spacing w:before="120" w:after="60" w:line="288" w:lineRule="auto"/>
              <w:rPr>
                <w:rFonts w:ascii="Times New Roman" w:hAnsi="Times New Roman"/>
                <w:i/>
                <w:color w:val="E31837"/>
                <w:sz w:val="16"/>
                <w:szCs w:val="16"/>
                <w:lang w:eastAsia="pl-PL"/>
              </w:rPr>
            </w:pPr>
            <w:r w:rsidRPr="00A5676D">
              <w:rPr>
                <w:rFonts w:ascii="Times New Roman" w:hAnsi="Times New Roman" w:cs="Arial"/>
                <w:bCs/>
                <w:color w:val="808080"/>
                <w:sz w:val="20"/>
                <w:szCs w:val="20"/>
              </w:rPr>
              <w:t>Źródło: MF</w:t>
            </w:r>
          </w:p>
        </w:tc>
      </w:tr>
    </w:tbl>
    <w:p w14:paraId="14E6A759" w14:textId="77777777" w:rsidR="00A5676D" w:rsidRPr="00A5676D" w:rsidRDefault="00A5676D" w:rsidP="00A5676D">
      <w:pPr>
        <w:spacing w:before="120" w:after="0" w:line="288" w:lineRule="auto"/>
        <w:jc w:val="both"/>
        <w:rPr>
          <w:rFonts w:ascii="Times New Roman" w:hAnsi="Times New Roman"/>
          <w:sz w:val="20"/>
          <w:szCs w:val="20"/>
        </w:rPr>
      </w:pPr>
      <w:r w:rsidRPr="00A5676D">
        <w:rPr>
          <w:rFonts w:ascii="Times New Roman" w:hAnsi="Times New Roman"/>
          <w:sz w:val="20"/>
          <w:szCs w:val="20"/>
        </w:rPr>
        <w:t>Na dług EDP złożyło się zadłużenie podsektorów:</w:t>
      </w:r>
    </w:p>
    <w:p w14:paraId="6FAECEBB" w14:textId="77777777" w:rsidR="00A5676D" w:rsidRPr="00A5676D" w:rsidRDefault="00A5676D" w:rsidP="00A5676D">
      <w:pPr>
        <w:numPr>
          <w:ilvl w:val="0"/>
          <w:numId w:val="4"/>
        </w:numPr>
        <w:spacing w:after="0" w:line="288" w:lineRule="auto"/>
        <w:jc w:val="both"/>
        <w:rPr>
          <w:rFonts w:ascii="Times New Roman" w:hAnsi="Times New Roman"/>
          <w:sz w:val="20"/>
          <w:szCs w:val="20"/>
        </w:rPr>
      </w:pPr>
      <w:r w:rsidRPr="00A5676D">
        <w:rPr>
          <w:rFonts w:ascii="Times New Roman" w:hAnsi="Times New Roman"/>
          <w:sz w:val="20"/>
          <w:szCs w:val="20"/>
        </w:rPr>
        <w:t>rządowego 1.167,7 mld zł  (wzrost o 151,9 mld zł w II kwartale 2020 r.),</w:t>
      </w:r>
    </w:p>
    <w:p w14:paraId="203DCE20" w14:textId="77777777" w:rsidR="00A5676D" w:rsidRPr="00A5676D" w:rsidRDefault="00A5676D" w:rsidP="00A5676D">
      <w:pPr>
        <w:numPr>
          <w:ilvl w:val="0"/>
          <w:numId w:val="4"/>
        </w:numPr>
        <w:spacing w:after="0" w:line="288" w:lineRule="auto"/>
        <w:jc w:val="both"/>
        <w:rPr>
          <w:rFonts w:ascii="Times New Roman" w:hAnsi="Times New Roman"/>
          <w:sz w:val="20"/>
          <w:szCs w:val="20"/>
        </w:rPr>
      </w:pPr>
      <w:r w:rsidRPr="00A5676D">
        <w:rPr>
          <w:rFonts w:ascii="Times New Roman" w:hAnsi="Times New Roman"/>
          <w:sz w:val="20"/>
          <w:szCs w:val="20"/>
        </w:rPr>
        <w:t>samorządowego 88,3 mld zł, (wzrost o 0,7 mld zł w II kwartale 2020 r.),</w:t>
      </w:r>
    </w:p>
    <w:p w14:paraId="7E197491" w14:textId="77777777" w:rsidR="00A5676D" w:rsidRPr="00A5676D" w:rsidRDefault="00A5676D" w:rsidP="00A5676D">
      <w:pPr>
        <w:numPr>
          <w:ilvl w:val="0"/>
          <w:numId w:val="4"/>
        </w:numPr>
        <w:spacing w:after="0" w:line="288" w:lineRule="auto"/>
        <w:jc w:val="both"/>
        <w:rPr>
          <w:rFonts w:ascii="Times New Roman" w:hAnsi="Times New Roman"/>
          <w:sz w:val="20"/>
          <w:szCs w:val="20"/>
        </w:rPr>
      </w:pPr>
      <w:r w:rsidRPr="00A5676D">
        <w:rPr>
          <w:rFonts w:ascii="Times New Roman" w:hAnsi="Times New Roman"/>
          <w:sz w:val="20"/>
          <w:szCs w:val="20"/>
        </w:rPr>
        <w:t>podsektor funduszy ubezpieczeń nie posiadał zadłużenia.</w:t>
      </w:r>
    </w:p>
    <w:p w14:paraId="3199E1CD" w14:textId="77777777" w:rsidR="00A5676D" w:rsidRPr="00A5676D" w:rsidRDefault="00A5676D" w:rsidP="00A5676D">
      <w:pPr>
        <w:spacing w:before="120" w:after="0" w:line="288" w:lineRule="auto"/>
        <w:jc w:val="both"/>
        <w:rPr>
          <w:rFonts w:ascii="Times New Roman" w:hAnsi="Times New Roman"/>
          <w:sz w:val="20"/>
          <w:szCs w:val="20"/>
        </w:rPr>
      </w:pPr>
      <w:r w:rsidRPr="00A5676D">
        <w:rPr>
          <w:rFonts w:ascii="Times New Roman" w:hAnsi="Times New Roman"/>
          <w:sz w:val="20"/>
          <w:szCs w:val="20"/>
        </w:rPr>
        <w:t>Zmiana długu EDP w II kwartale 2020 r. wynikała głównie ze zmian zadłużenia SP. Ponadto innymi znaczącymi czynnikami były:</w:t>
      </w:r>
    </w:p>
    <w:p w14:paraId="77784A83" w14:textId="77777777" w:rsidR="00A5676D" w:rsidRPr="00A5676D" w:rsidRDefault="00A5676D" w:rsidP="00A5676D">
      <w:pPr>
        <w:numPr>
          <w:ilvl w:val="0"/>
          <w:numId w:val="5"/>
        </w:numPr>
        <w:spacing w:after="0" w:line="288" w:lineRule="auto"/>
        <w:ind w:left="284" w:hanging="284"/>
        <w:jc w:val="both"/>
        <w:rPr>
          <w:rFonts w:ascii="Times New Roman" w:hAnsi="Times New Roman"/>
          <w:sz w:val="20"/>
          <w:szCs w:val="20"/>
        </w:rPr>
      </w:pPr>
      <w:r w:rsidRPr="00A5676D">
        <w:rPr>
          <w:rFonts w:ascii="Times New Roman" w:hAnsi="Times New Roman"/>
          <w:sz w:val="20"/>
          <w:szCs w:val="20"/>
        </w:rPr>
        <w:t>emisje obligacji przez Bank Gospodarstwa Krajowego na rzecz Funduszu Przeciwdziałania COVID-19 (FPC) o wartości 42,6 mld zł,</w:t>
      </w:r>
    </w:p>
    <w:p w14:paraId="5CCF8A03" w14:textId="77777777" w:rsidR="00A5676D" w:rsidRPr="00A5676D" w:rsidRDefault="00A5676D" w:rsidP="00A5676D">
      <w:pPr>
        <w:numPr>
          <w:ilvl w:val="0"/>
          <w:numId w:val="5"/>
        </w:numPr>
        <w:spacing w:after="0" w:line="288" w:lineRule="auto"/>
        <w:ind w:left="284" w:hanging="284"/>
        <w:jc w:val="both"/>
        <w:rPr>
          <w:rFonts w:ascii="Times New Roman" w:hAnsi="Times New Roman"/>
          <w:sz w:val="20"/>
          <w:szCs w:val="20"/>
        </w:rPr>
      </w:pPr>
      <w:r w:rsidRPr="00A5676D">
        <w:rPr>
          <w:rFonts w:ascii="Times New Roman" w:hAnsi="Times New Roman"/>
          <w:sz w:val="20"/>
          <w:szCs w:val="20"/>
        </w:rPr>
        <w:t>emisje obligacji przez Polski Fundusz Rozwoju (PFR) na sfinansowanie Tarczy finansowej o wartości 62,0 mld zł,</w:t>
      </w:r>
    </w:p>
    <w:p w14:paraId="20EE69D6" w14:textId="77777777" w:rsidR="00A5676D" w:rsidRPr="00A5676D" w:rsidRDefault="00A5676D" w:rsidP="00A5676D">
      <w:pPr>
        <w:numPr>
          <w:ilvl w:val="0"/>
          <w:numId w:val="5"/>
        </w:numPr>
        <w:spacing w:after="0" w:line="288" w:lineRule="auto"/>
        <w:ind w:left="284" w:hanging="284"/>
        <w:jc w:val="both"/>
        <w:rPr>
          <w:rFonts w:ascii="Times New Roman" w:hAnsi="Times New Roman"/>
          <w:sz w:val="20"/>
          <w:szCs w:val="20"/>
        </w:rPr>
      </w:pPr>
      <w:r w:rsidRPr="00A5676D">
        <w:rPr>
          <w:rFonts w:ascii="Times New Roman" w:hAnsi="Times New Roman"/>
          <w:sz w:val="20"/>
          <w:szCs w:val="20"/>
        </w:rPr>
        <w:t>wzrost zadłużenia Krajowego Funduszu Drogowego o 0,9 mld zł,</w:t>
      </w:r>
    </w:p>
    <w:p w14:paraId="755EFAED" w14:textId="77777777" w:rsidR="00A5676D" w:rsidRPr="00A5676D" w:rsidRDefault="00A5676D" w:rsidP="00A5676D">
      <w:pPr>
        <w:numPr>
          <w:ilvl w:val="0"/>
          <w:numId w:val="5"/>
        </w:numPr>
        <w:spacing w:after="0" w:line="288" w:lineRule="auto"/>
        <w:ind w:left="284" w:hanging="284"/>
        <w:jc w:val="both"/>
        <w:rPr>
          <w:rFonts w:ascii="Times New Roman" w:hAnsi="Times New Roman"/>
          <w:sz w:val="20"/>
          <w:szCs w:val="20"/>
        </w:rPr>
      </w:pPr>
      <w:r w:rsidRPr="00A5676D">
        <w:rPr>
          <w:rFonts w:ascii="Times New Roman" w:hAnsi="Times New Roman"/>
          <w:sz w:val="20"/>
          <w:szCs w:val="20"/>
        </w:rPr>
        <w:t>wzrost stanu posiadania skarbowych papierów wartościowych (SPW) Bankowego Funduszu Gwarancyjnego wraz z funduszami ochrony środków gwarantowanych (+1.8 mld zł) oraz przedsiębiorstw zaliczonych do sektora instytucji rządowych i samorządowych (+6,0 mld zł), co spowodowało spadek długu EDP w wyniku wzrostu konsolidacji wzajemnych zobowiązań sektora.</w:t>
      </w:r>
    </w:p>
    <w:p w14:paraId="57CD3B2D" w14:textId="77777777" w:rsidR="00A5676D" w:rsidRPr="00A5676D" w:rsidRDefault="00A5676D" w:rsidP="00A5676D">
      <w:pPr>
        <w:spacing w:before="120" w:after="0" w:line="288" w:lineRule="auto"/>
        <w:jc w:val="both"/>
        <w:rPr>
          <w:rFonts w:ascii="Times New Roman" w:hAnsi="Times New Roman"/>
          <w:sz w:val="20"/>
          <w:szCs w:val="20"/>
        </w:rPr>
      </w:pPr>
      <w:r w:rsidRPr="00A5676D">
        <w:rPr>
          <w:rFonts w:ascii="Times New Roman" w:hAnsi="Times New Roman"/>
          <w:sz w:val="20"/>
          <w:szCs w:val="20"/>
        </w:rPr>
        <w:t xml:space="preserve">Największy udział w </w:t>
      </w:r>
      <w:r w:rsidRPr="00A5676D">
        <w:rPr>
          <w:rFonts w:ascii="Times New Roman" w:hAnsi="Times New Roman" w:cs="Arial"/>
          <w:sz w:val="20"/>
          <w:szCs w:val="20"/>
        </w:rPr>
        <w:t xml:space="preserve">długu sektora instytucji rządowych i samorządowych miał </w:t>
      </w:r>
      <w:r w:rsidRPr="00A5676D">
        <w:rPr>
          <w:rFonts w:ascii="Times New Roman" w:hAnsi="Times New Roman"/>
          <w:sz w:val="20"/>
          <w:szCs w:val="20"/>
        </w:rPr>
        <w:t>dług Skarbu Państwa (SP).</w:t>
      </w:r>
    </w:p>
    <w:p w14:paraId="77640888" w14:textId="77777777" w:rsidR="00A5676D" w:rsidRPr="00A5676D" w:rsidRDefault="00A5676D" w:rsidP="00A5676D">
      <w:pPr>
        <w:spacing w:before="120" w:after="0" w:line="288" w:lineRule="auto"/>
        <w:jc w:val="both"/>
        <w:rPr>
          <w:rFonts w:ascii="Times New Roman" w:hAnsi="Times New Roman"/>
          <w:sz w:val="20"/>
          <w:szCs w:val="20"/>
        </w:rPr>
      </w:pPr>
      <w:r w:rsidRPr="00A5676D">
        <w:rPr>
          <w:rFonts w:ascii="Times New Roman" w:hAnsi="Times New Roman"/>
          <w:sz w:val="20"/>
          <w:szCs w:val="20"/>
        </w:rPr>
        <w:t>Na koniec II kw. 2020 r. dług SP wyniósł 1.088,2 mld zł, co oznaczało wzrost o 51,8 mld zł (5,0%) względem poprzedniego kwartału.</w:t>
      </w:r>
    </w:p>
    <w:p w14:paraId="53A84BC8" w14:textId="77777777" w:rsidR="00A5676D" w:rsidRPr="00A5676D" w:rsidRDefault="00A5676D" w:rsidP="00A5676D">
      <w:pPr>
        <w:spacing w:before="120" w:after="0" w:line="288" w:lineRule="auto"/>
        <w:jc w:val="both"/>
        <w:rPr>
          <w:rFonts w:ascii="Times New Roman" w:hAnsi="Times New Roman"/>
          <w:sz w:val="20"/>
          <w:szCs w:val="20"/>
        </w:rPr>
      </w:pPr>
      <w:r w:rsidRPr="00A5676D">
        <w:rPr>
          <w:rFonts w:ascii="Times New Roman" w:hAnsi="Times New Roman"/>
          <w:sz w:val="20"/>
          <w:szCs w:val="20"/>
        </w:rPr>
        <w:t>Wzrost długu SP w II kw. 2020 r. był przede wszystkim wypadkową:</w:t>
      </w:r>
    </w:p>
    <w:p w14:paraId="7A701397" w14:textId="77777777" w:rsidR="00A5676D" w:rsidRPr="00A5676D" w:rsidRDefault="00A5676D" w:rsidP="00A5676D">
      <w:pPr>
        <w:numPr>
          <w:ilvl w:val="0"/>
          <w:numId w:val="3"/>
        </w:numPr>
        <w:spacing w:after="0" w:line="288" w:lineRule="auto"/>
        <w:ind w:left="426" w:hanging="426"/>
        <w:jc w:val="both"/>
        <w:rPr>
          <w:rFonts w:ascii="Times New Roman" w:hAnsi="Times New Roman"/>
          <w:sz w:val="20"/>
          <w:szCs w:val="20"/>
        </w:rPr>
      </w:pPr>
      <w:r w:rsidRPr="00A5676D">
        <w:rPr>
          <w:rFonts w:ascii="Times New Roman" w:hAnsi="Times New Roman"/>
          <w:sz w:val="20"/>
          <w:szCs w:val="20"/>
        </w:rPr>
        <w:t>potrzeb pożyczkowych netto budżetu państwa (15,1 mld zł),</w:t>
      </w:r>
    </w:p>
    <w:p w14:paraId="38AC8330" w14:textId="77777777" w:rsidR="00A5676D" w:rsidRPr="00A5676D" w:rsidRDefault="00A5676D" w:rsidP="00A5676D">
      <w:pPr>
        <w:numPr>
          <w:ilvl w:val="0"/>
          <w:numId w:val="3"/>
        </w:numPr>
        <w:spacing w:after="0" w:line="288" w:lineRule="auto"/>
        <w:ind w:left="426" w:hanging="426"/>
        <w:jc w:val="both"/>
        <w:rPr>
          <w:rFonts w:ascii="Times New Roman" w:hAnsi="Times New Roman"/>
          <w:sz w:val="20"/>
          <w:szCs w:val="20"/>
        </w:rPr>
      </w:pPr>
      <w:r w:rsidRPr="00A5676D">
        <w:rPr>
          <w:rFonts w:ascii="Times New Roman" w:hAnsi="Times New Roman"/>
          <w:sz w:val="20"/>
          <w:szCs w:val="20"/>
        </w:rPr>
        <w:t>zwiększenia stanu środków na rachunkach budżetowych (+30,0 mld zł),</w:t>
      </w:r>
    </w:p>
    <w:p w14:paraId="4D31A1AD" w14:textId="77777777" w:rsidR="00A5676D" w:rsidRPr="00A5676D" w:rsidRDefault="00A5676D" w:rsidP="00A5676D">
      <w:pPr>
        <w:numPr>
          <w:ilvl w:val="0"/>
          <w:numId w:val="3"/>
        </w:numPr>
        <w:spacing w:after="0" w:line="288" w:lineRule="auto"/>
        <w:ind w:left="426" w:hanging="426"/>
        <w:jc w:val="both"/>
        <w:rPr>
          <w:rFonts w:ascii="Times New Roman" w:hAnsi="Times New Roman"/>
          <w:sz w:val="20"/>
          <w:szCs w:val="20"/>
        </w:rPr>
      </w:pPr>
      <w:r w:rsidRPr="00A5676D">
        <w:rPr>
          <w:rFonts w:ascii="Times New Roman" w:hAnsi="Times New Roman"/>
          <w:sz w:val="20"/>
          <w:szCs w:val="20"/>
        </w:rPr>
        <w:t>różnic kursowych (-6,0 mld zł),</w:t>
      </w:r>
    </w:p>
    <w:p w14:paraId="04145081" w14:textId="77777777" w:rsidR="00A5676D" w:rsidRPr="00A5676D" w:rsidRDefault="00A5676D" w:rsidP="00A5676D">
      <w:pPr>
        <w:numPr>
          <w:ilvl w:val="0"/>
          <w:numId w:val="3"/>
        </w:numPr>
        <w:spacing w:after="0" w:line="288" w:lineRule="auto"/>
        <w:ind w:left="426" w:hanging="426"/>
        <w:jc w:val="both"/>
        <w:rPr>
          <w:rFonts w:ascii="Times New Roman" w:hAnsi="Times New Roman"/>
          <w:sz w:val="20"/>
          <w:szCs w:val="20"/>
        </w:rPr>
      </w:pPr>
      <w:r w:rsidRPr="00A5676D">
        <w:rPr>
          <w:rFonts w:ascii="Times New Roman" w:hAnsi="Times New Roman"/>
          <w:sz w:val="20"/>
          <w:szCs w:val="20"/>
        </w:rPr>
        <w:t>obligacji przekazanych na podstawie innych ustaw niż ustawa budżetowa (+14,4 mld zł).</w:t>
      </w:r>
    </w:p>
    <w:p w14:paraId="1A61127F" w14:textId="77777777" w:rsidR="00A5676D" w:rsidRPr="00A5676D" w:rsidRDefault="00A5676D" w:rsidP="00A5676D">
      <w:pPr>
        <w:spacing w:before="120" w:after="0" w:line="288" w:lineRule="auto"/>
        <w:jc w:val="both"/>
        <w:rPr>
          <w:rFonts w:ascii="Times New Roman" w:hAnsi="Times New Roman"/>
          <w:sz w:val="20"/>
          <w:szCs w:val="20"/>
        </w:rPr>
      </w:pPr>
      <w:r w:rsidRPr="00A5676D">
        <w:rPr>
          <w:rFonts w:ascii="Times New Roman" w:hAnsi="Times New Roman"/>
          <w:sz w:val="20"/>
          <w:szCs w:val="20"/>
        </w:rPr>
        <w:t>Na koniec II kw. 2020 r. udział długu w walutach obcych w całym długu SP wyniósł 23,3%, tj. spadł o 4,0 pp. w stosunku do poprzedniego kwartału.</w:t>
      </w:r>
    </w:p>
    <w:p w14:paraId="190F5D5E" w14:textId="77777777" w:rsidR="00A5676D" w:rsidRPr="00A5676D" w:rsidRDefault="00A5676D" w:rsidP="00A5676D">
      <w:pPr>
        <w:spacing w:before="120" w:after="0" w:line="288" w:lineRule="auto"/>
        <w:jc w:val="both"/>
        <w:rPr>
          <w:rFonts w:ascii="Times New Roman" w:hAnsi="Times New Roman"/>
          <w:sz w:val="20"/>
          <w:szCs w:val="20"/>
        </w:rPr>
      </w:pPr>
      <w:r w:rsidRPr="00A5676D">
        <w:rPr>
          <w:rFonts w:ascii="Times New Roman" w:hAnsi="Times New Roman"/>
          <w:sz w:val="20"/>
          <w:szCs w:val="20"/>
        </w:rPr>
        <w:t>Udział długu wobec nierezydentów w długu ogółem na koniec II kw. 2020 r. wyniósł 33,8% wobec 39,3% na</w:t>
      </w:r>
      <w:r w:rsidRPr="00A5676D">
        <w:t xml:space="preserve"> </w:t>
      </w:r>
      <w:r w:rsidRPr="00A5676D">
        <w:rPr>
          <w:rFonts w:ascii="Times New Roman" w:hAnsi="Times New Roman"/>
          <w:sz w:val="20"/>
          <w:szCs w:val="20"/>
        </w:rPr>
        <w:t>koniec poprzedniego kwartału.</w:t>
      </w:r>
    </w:p>
    <w:p w14:paraId="7D7DA0B5" w14:textId="77777777" w:rsidR="00C61EE3" w:rsidRPr="00D5510D" w:rsidRDefault="00C61EE3">
      <w:pPr>
        <w:spacing w:before="120" w:after="0" w:line="288" w:lineRule="auto"/>
        <w:jc w:val="both"/>
        <w:rPr>
          <w:rFonts w:ascii="Times New Roman" w:hAnsi="Times New Roman"/>
          <w:sz w:val="20"/>
          <w:szCs w:val="20"/>
          <w:highlight w:val="yellow"/>
        </w:rPr>
      </w:pPr>
    </w:p>
    <w:p w14:paraId="578B3D7C" w14:textId="77777777" w:rsidR="00A5676D" w:rsidRPr="00FA7074" w:rsidRDefault="00A5676D" w:rsidP="00A5676D">
      <w:pPr>
        <w:widowControl w:val="0"/>
        <w:rPr>
          <w:rFonts w:ascii="Arial" w:hAnsi="Arial" w:cs="Arial"/>
          <w:b/>
          <w:color w:val="E31837"/>
          <w:sz w:val="20"/>
          <w:szCs w:val="20"/>
        </w:rPr>
      </w:pPr>
      <w:r w:rsidRPr="00FA7074">
        <w:rPr>
          <w:rFonts w:ascii="Arial" w:hAnsi="Arial" w:cs="Arial"/>
          <w:b/>
          <w:color w:val="E31837"/>
          <w:sz w:val="20"/>
          <w:szCs w:val="20"/>
        </w:rPr>
        <w:t>2.2. Potrzeby pożyczkowe budżetu państwa</w:t>
      </w:r>
      <w:r w:rsidRPr="00FA7074">
        <w:rPr>
          <w:rFonts w:ascii="Arial" w:hAnsi="Arial" w:cs="Arial"/>
          <w:b/>
          <w:color w:val="E31837"/>
          <w:sz w:val="20"/>
          <w:szCs w:val="20"/>
        </w:rPr>
        <w:br/>
        <w:t>i ich finansowanie w II kwartale 2020 r.</w:t>
      </w:r>
    </w:p>
    <w:p w14:paraId="13C29019" w14:textId="77777777" w:rsidR="00A5676D" w:rsidRPr="00BF285D" w:rsidRDefault="00A5676D" w:rsidP="009B273E">
      <w:pPr>
        <w:widowControl w:val="0"/>
        <w:spacing w:before="120" w:after="0" w:line="288" w:lineRule="auto"/>
        <w:jc w:val="both"/>
        <w:rPr>
          <w:rFonts w:ascii="Times New Roman" w:hAnsi="Times New Roman"/>
          <w:sz w:val="20"/>
          <w:szCs w:val="20"/>
        </w:rPr>
      </w:pPr>
      <w:r>
        <w:rPr>
          <w:rFonts w:ascii="Times New Roman" w:hAnsi="Times New Roman"/>
          <w:sz w:val="20"/>
          <w:szCs w:val="20"/>
        </w:rPr>
        <w:t>P</w:t>
      </w:r>
      <w:r w:rsidRPr="00BF285D">
        <w:rPr>
          <w:rFonts w:ascii="Times New Roman" w:hAnsi="Times New Roman"/>
          <w:sz w:val="20"/>
          <w:szCs w:val="20"/>
        </w:rPr>
        <w:t>otrzeb</w:t>
      </w:r>
      <w:r>
        <w:rPr>
          <w:rFonts w:ascii="Times New Roman" w:hAnsi="Times New Roman"/>
          <w:sz w:val="20"/>
          <w:szCs w:val="20"/>
        </w:rPr>
        <w:t>y pożyczkowe</w:t>
      </w:r>
      <w:r w:rsidRPr="00BF285D">
        <w:rPr>
          <w:rFonts w:ascii="Times New Roman" w:hAnsi="Times New Roman"/>
          <w:sz w:val="20"/>
          <w:szCs w:val="20"/>
        </w:rPr>
        <w:t xml:space="preserve"> netto budżetu państwa </w:t>
      </w:r>
      <w:r>
        <w:rPr>
          <w:rFonts w:ascii="Times New Roman" w:hAnsi="Times New Roman"/>
          <w:sz w:val="20"/>
          <w:szCs w:val="20"/>
        </w:rPr>
        <w:t>ukształtowały się na poziomie 15,1</w:t>
      </w:r>
      <w:r w:rsidRPr="00BF285D">
        <w:rPr>
          <w:rFonts w:ascii="Times New Roman" w:hAnsi="Times New Roman"/>
          <w:sz w:val="20"/>
          <w:szCs w:val="20"/>
        </w:rPr>
        <w:t> mld zł, w tym:</w:t>
      </w:r>
    </w:p>
    <w:p w14:paraId="2A1EBE97" w14:textId="77777777" w:rsidR="00A5676D" w:rsidRDefault="00A5676D" w:rsidP="009B273E">
      <w:pPr>
        <w:widowControl w:val="0"/>
        <w:numPr>
          <w:ilvl w:val="0"/>
          <w:numId w:val="12"/>
        </w:numPr>
        <w:tabs>
          <w:tab w:val="clear" w:pos="360"/>
          <w:tab w:val="num" w:pos="284"/>
        </w:tabs>
        <w:spacing w:after="0" w:line="288" w:lineRule="auto"/>
        <w:ind w:left="284" w:hanging="284"/>
        <w:jc w:val="both"/>
        <w:rPr>
          <w:rFonts w:ascii="Times New Roman" w:hAnsi="Times New Roman"/>
          <w:sz w:val="20"/>
          <w:szCs w:val="20"/>
        </w:rPr>
      </w:pPr>
      <w:r w:rsidRPr="00BF285D">
        <w:rPr>
          <w:rFonts w:ascii="Times New Roman" w:hAnsi="Times New Roman"/>
          <w:sz w:val="20"/>
          <w:szCs w:val="20"/>
        </w:rPr>
        <w:t xml:space="preserve">deficyt budżetu państwa: </w:t>
      </w:r>
      <w:r>
        <w:rPr>
          <w:rFonts w:ascii="Times New Roman" w:hAnsi="Times New Roman"/>
          <w:sz w:val="20"/>
          <w:szCs w:val="20"/>
        </w:rPr>
        <w:t>7,8</w:t>
      </w:r>
      <w:r w:rsidRPr="00BF285D">
        <w:rPr>
          <w:rFonts w:ascii="Times New Roman" w:hAnsi="Times New Roman"/>
          <w:sz w:val="20"/>
          <w:szCs w:val="20"/>
        </w:rPr>
        <w:t xml:space="preserve"> mld zł,</w:t>
      </w:r>
    </w:p>
    <w:p w14:paraId="78826079" w14:textId="77777777" w:rsidR="00A5676D" w:rsidRDefault="00A5676D" w:rsidP="009B273E">
      <w:pPr>
        <w:widowControl w:val="0"/>
        <w:numPr>
          <w:ilvl w:val="0"/>
          <w:numId w:val="12"/>
        </w:numPr>
        <w:tabs>
          <w:tab w:val="clear" w:pos="360"/>
          <w:tab w:val="num" w:pos="284"/>
        </w:tabs>
        <w:spacing w:after="0" w:line="288" w:lineRule="auto"/>
        <w:ind w:left="284" w:hanging="284"/>
        <w:jc w:val="both"/>
        <w:rPr>
          <w:rFonts w:ascii="Times New Roman" w:hAnsi="Times New Roman"/>
          <w:sz w:val="20"/>
          <w:szCs w:val="20"/>
        </w:rPr>
      </w:pPr>
      <w:r>
        <w:rPr>
          <w:rFonts w:ascii="Times New Roman" w:hAnsi="Times New Roman"/>
          <w:sz w:val="20"/>
          <w:szCs w:val="20"/>
        </w:rPr>
        <w:t>zarządzanie płynnością sektora finansów publicznych: 14,5 mld zł,</w:t>
      </w:r>
    </w:p>
    <w:p w14:paraId="3CBBF5F2" w14:textId="77777777" w:rsidR="00A5676D" w:rsidRPr="00BF285D" w:rsidRDefault="00A5676D" w:rsidP="009B273E">
      <w:pPr>
        <w:widowControl w:val="0"/>
        <w:numPr>
          <w:ilvl w:val="0"/>
          <w:numId w:val="12"/>
        </w:numPr>
        <w:tabs>
          <w:tab w:val="clear" w:pos="360"/>
          <w:tab w:val="num" w:pos="284"/>
        </w:tabs>
        <w:spacing w:after="0" w:line="288" w:lineRule="auto"/>
        <w:ind w:left="284" w:hanging="284"/>
        <w:jc w:val="both"/>
        <w:rPr>
          <w:rFonts w:ascii="Times New Roman" w:hAnsi="Times New Roman"/>
          <w:sz w:val="20"/>
          <w:szCs w:val="20"/>
        </w:rPr>
      </w:pPr>
      <w:r>
        <w:rPr>
          <w:rFonts w:ascii="Times New Roman" w:hAnsi="Times New Roman"/>
          <w:sz w:val="20"/>
          <w:szCs w:val="20"/>
        </w:rPr>
        <w:t>kredyty i pożyczki udzielone: 0,1 mld zł,</w:t>
      </w:r>
    </w:p>
    <w:p w14:paraId="11D725A6" w14:textId="77777777" w:rsidR="00A5676D" w:rsidRPr="00BF285D" w:rsidRDefault="00A5676D" w:rsidP="009B273E">
      <w:pPr>
        <w:widowControl w:val="0"/>
        <w:numPr>
          <w:ilvl w:val="0"/>
          <w:numId w:val="12"/>
        </w:numPr>
        <w:tabs>
          <w:tab w:val="clear" w:pos="360"/>
          <w:tab w:val="num" w:pos="284"/>
        </w:tabs>
        <w:spacing w:after="0" w:line="288" w:lineRule="auto"/>
        <w:ind w:left="284" w:hanging="284"/>
        <w:jc w:val="both"/>
        <w:rPr>
          <w:rFonts w:ascii="Times New Roman" w:hAnsi="Times New Roman"/>
          <w:sz w:val="20"/>
          <w:szCs w:val="20"/>
        </w:rPr>
      </w:pPr>
      <w:r w:rsidRPr="00BF285D">
        <w:rPr>
          <w:rFonts w:ascii="Times New Roman" w:hAnsi="Times New Roman"/>
          <w:sz w:val="20"/>
          <w:szCs w:val="20"/>
        </w:rPr>
        <w:t xml:space="preserve">pozostałe pozycje wpływały na pomniejszenie potrzeb w wysokości </w:t>
      </w:r>
      <w:r>
        <w:rPr>
          <w:rFonts w:ascii="Times New Roman" w:hAnsi="Times New Roman"/>
          <w:sz w:val="20"/>
          <w:szCs w:val="20"/>
        </w:rPr>
        <w:t>7,4</w:t>
      </w:r>
      <w:r w:rsidRPr="00BF285D">
        <w:rPr>
          <w:rFonts w:ascii="Times New Roman" w:hAnsi="Times New Roman"/>
          <w:sz w:val="20"/>
          <w:szCs w:val="20"/>
        </w:rPr>
        <w:t xml:space="preserve"> mld zł, z czego </w:t>
      </w:r>
      <w:r>
        <w:rPr>
          <w:rFonts w:ascii="Times New Roman" w:hAnsi="Times New Roman"/>
          <w:sz w:val="20"/>
          <w:szCs w:val="20"/>
        </w:rPr>
        <w:t>5,8</w:t>
      </w:r>
      <w:r w:rsidRPr="00BF285D">
        <w:rPr>
          <w:rFonts w:ascii="Times New Roman" w:hAnsi="Times New Roman"/>
          <w:sz w:val="20"/>
          <w:szCs w:val="20"/>
        </w:rPr>
        <w:t xml:space="preserve"> mld zł z tytułu zar</w:t>
      </w:r>
      <w:r>
        <w:rPr>
          <w:rFonts w:ascii="Times New Roman" w:hAnsi="Times New Roman"/>
          <w:sz w:val="20"/>
          <w:szCs w:val="20"/>
        </w:rPr>
        <w:t>ządzania środkami europejskimi i 1,6 mld zł z </w:t>
      </w:r>
      <w:r w:rsidRPr="00BF285D">
        <w:rPr>
          <w:rFonts w:ascii="Times New Roman" w:hAnsi="Times New Roman"/>
          <w:sz w:val="20"/>
          <w:szCs w:val="20"/>
        </w:rPr>
        <w:t xml:space="preserve">pozostałych przychodów i rozchodów. </w:t>
      </w:r>
    </w:p>
    <w:p w14:paraId="05CC17E4" w14:textId="77777777" w:rsidR="00A5676D" w:rsidRPr="004148D5" w:rsidRDefault="00A5676D" w:rsidP="009B273E">
      <w:pPr>
        <w:widowControl w:val="0"/>
        <w:spacing w:before="120" w:after="0" w:line="288" w:lineRule="auto"/>
        <w:jc w:val="both"/>
        <w:rPr>
          <w:rFonts w:ascii="Times New Roman" w:hAnsi="Times New Roman"/>
          <w:sz w:val="20"/>
          <w:szCs w:val="20"/>
        </w:rPr>
      </w:pPr>
      <w:r w:rsidRPr="007F2615">
        <w:rPr>
          <w:rFonts w:ascii="Times New Roman" w:hAnsi="Times New Roman"/>
          <w:sz w:val="20"/>
          <w:szCs w:val="20"/>
        </w:rPr>
        <w:t xml:space="preserve">Wartość długu przypadającego do wykupu w omawianym okresie wyniosła wg kapitału </w:t>
      </w:r>
      <w:r>
        <w:rPr>
          <w:rFonts w:ascii="Times New Roman" w:hAnsi="Times New Roman"/>
          <w:sz w:val="20"/>
          <w:szCs w:val="20"/>
        </w:rPr>
        <w:t>57,5</w:t>
      </w:r>
      <w:r w:rsidRPr="007F2615">
        <w:rPr>
          <w:rFonts w:ascii="Times New Roman" w:hAnsi="Times New Roman"/>
          <w:sz w:val="20"/>
          <w:szCs w:val="20"/>
        </w:rPr>
        <w:t xml:space="preserve"> mld zł, w tym krajowego </w:t>
      </w:r>
      <w:r>
        <w:rPr>
          <w:rFonts w:ascii="Times New Roman" w:hAnsi="Times New Roman"/>
          <w:sz w:val="20"/>
          <w:szCs w:val="20"/>
        </w:rPr>
        <w:t>32,7</w:t>
      </w:r>
      <w:r w:rsidRPr="007F2615">
        <w:rPr>
          <w:rFonts w:ascii="Times New Roman" w:hAnsi="Times New Roman"/>
          <w:sz w:val="20"/>
          <w:szCs w:val="20"/>
        </w:rPr>
        <w:t> mld </w:t>
      </w:r>
      <w:r w:rsidRPr="00C92755">
        <w:rPr>
          <w:rFonts w:ascii="Times New Roman" w:hAnsi="Times New Roman"/>
          <w:sz w:val="20"/>
          <w:szCs w:val="20"/>
        </w:rPr>
        <w:t xml:space="preserve">zł, a zagranicznego </w:t>
      </w:r>
      <w:r>
        <w:rPr>
          <w:rFonts w:ascii="Times New Roman" w:hAnsi="Times New Roman"/>
          <w:sz w:val="20"/>
          <w:szCs w:val="20"/>
        </w:rPr>
        <w:t>24</w:t>
      </w:r>
      <w:r w:rsidRPr="00C92755">
        <w:rPr>
          <w:rFonts w:ascii="Times New Roman" w:hAnsi="Times New Roman"/>
          <w:sz w:val="20"/>
          <w:szCs w:val="20"/>
        </w:rPr>
        <w:t xml:space="preserve">,8 mld zł. </w:t>
      </w:r>
      <w:r w:rsidRPr="00C92755">
        <w:rPr>
          <w:rFonts w:ascii="Times New Roman" w:hAnsi="Times New Roman"/>
          <w:b/>
          <w:sz w:val="20"/>
          <w:szCs w:val="20"/>
        </w:rPr>
        <w:t>Potrzeby pożyczkowe brutto</w:t>
      </w:r>
      <w:r w:rsidRPr="00C92755">
        <w:rPr>
          <w:rFonts w:ascii="Times New Roman" w:hAnsi="Times New Roman"/>
          <w:sz w:val="20"/>
          <w:szCs w:val="20"/>
        </w:rPr>
        <w:t xml:space="preserve">, tj. suma potrzeb netto i długu przypadającego do wykupu, wyniosły </w:t>
      </w:r>
      <w:r>
        <w:rPr>
          <w:rFonts w:ascii="Times New Roman" w:hAnsi="Times New Roman"/>
          <w:sz w:val="20"/>
          <w:szCs w:val="20"/>
        </w:rPr>
        <w:t>72,6</w:t>
      </w:r>
      <w:r w:rsidRPr="00C92755">
        <w:rPr>
          <w:rFonts w:ascii="Times New Roman" w:hAnsi="Times New Roman"/>
          <w:sz w:val="20"/>
          <w:szCs w:val="20"/>
        </w:rPr>
        <w:t xml:space="preserve"> mld zł. </w:t>
      </w:r>
      <w:r w:rsidRPr="004148D5">
        <w:rPr>
          <w:rFonts w:ascii="Times New Roman" w:hAnsi="Times New Roman"/>
          <w:sz w:val="20"/>
          <w:szCs w:val="20"/>
        </w:rPr>
        <w:t xml:space="preserve">Po uwzględnieniu odkupów, wykup długu wyniósł </w:t>
      </w:r>
      <w:r>
        <w:rPr>
          <w:rFonts w:ascii="Times New Roman" w:hAnsi="Times New Roman"/>
          <w:sz w:val="20"/>
          <w:szCs w:val="20"/>
        </w:rPr>
        <w:t>47,1</w:t>
      </w:r>
      <w:r w:rsidRPr="004148D5">
        <w:rPr>
          <w:rFonts w:ascii="Times New Roman" w:hAnsi="Times New Roman"/>
          <w:sz w:val="20"/>
          <w:szCs w:val="20"/>
        </w:rPr>
        <w:t xml:space="preserve"> mld zł (w tym krajowego </w:t>
      </w:r>
      <w:r>
        <w:rPr>
          <w:rFonts w:ascii="Times New Roman" w:hAnsi="Times New Roman"/>
          <w:sz w:val="20"/>
          <w:szCs w:val="20"/>
        </w:rPr>
        <w:t>22,3</w:t>
      </w:r>
      <w:r w:rsidRPr="004148D5">
        <w:rPr>
          <w:rFonts w:ascii="Times New Roman" w:hAnsi="Times New Roman"/>
          <w:sz w:val="20"/>
          <w:szCs w:val="20"/>
        </w:rPr>
        <w:t xml:space="preserve"> mld zł  i zagranicznego </w:t>
      </w:r>
      <w:r>
        <w:rPr>
          <w:rFonts w:ascii="Times New Roman" w:hAnsi="Times New Roman"/>
          <w:sz w:val="20"/>
          <w:szCs w:val="20"/>
        </w:rPr>
        <w:t>24</w:t>
      </w:r>
      <w:r w:rsidRPr="004148D5">
        <w:rPr>
          <w:rFonts w:ascii="Times New Roman" w:hAnsi="Times New Roman"/>
          <w:sz w:val="20"/>
          <w:szCs w:val="20"/>
        </w:rPr>
        <w:t>,8 mld zł).</w:t>
      </w:r>
    </w:p>
    <w:p w14:paraId="01BD3D5B" w14:textId="77777777" w:rsidR="00A5676D" w:rsidRPr="0006345E" w:rsidRDefault="00A5676D" w:rsidP="009B273E">
      <w:pPr>
        <w:autoSpaceDE w:val="0"/>
        <w:autoSpaceDN w:val="0"/>
        <w:adjustRightInd w:val="0"/>
        <w:spacing w:before="120" w:after="120" w:line="288" w:lineRule="auto"/>
        <w:jc w:val="both"/>
        <w:rPr>
          <w:rFonts w:ascii="Times New Roman" w:hAnsi="Times New Roman"/>
          <w:sz w:val="20"/>
          <w:szCs w:val="20"/>
        </w:rPr>
      </w:pPr>
      <w:r w:rsidRPr="004148D5">
        <w:rPr>
          <w:rFonts w:ascii="Times New Roman" w:hAnsi="Times New Roman"/>
          <w:sz w:val="20"/>
          <w:szCs w:val="20"/>
        </w:rPr>
        <w:t xml:space="preserve">Finansowanie potrzeb pożyczkowych </w:t>
      </w:r>
      <w:r w:rsidRPr="0006345E">
        <w:rPr>
          <w:rFonts w:ascii="Times New Roman" w:hAnsi="Times New Roman"/>
          <w:sz w:val="20"/>
          <w:szCs w:val="20"/>
        </w:rPr>
        <w:t xml:space="preserve">było następujące: </w:t>
      </w:r>
    </w:p>
    <w:p w14:paraId="53E77006" w14:textId="77777777" w:rsidR="00A5676D" w:rsidRPr="004C46C2" w:rsidRDefault="00A5676D" w:rsidP="009B273E">
      <w:pPr>
        <w:pStyle w:val="Akapitzlist"/>
        <w:numPr>
          <w:ilvl w:val="0"/>
          <w:numId w:val="13"/>
        </w:numPr>
        <w:autoSpaceDE w:val="0"/>
        <w:autoSpaceDN w:val="0"/>
        <w:adjustRightInd w:val="0"/>
        <w:spacing w:after="0" w:line="288" w:lineRule="auto"/>
        <w:ind w:left="284" w:hanging="284"/>
        <w:jc w:val="both"/>
        <w:rPr>
          <w:rFonts w:ascii="Times New Roman" w:hAnsi="Times New Roman"/>
          <w:sz w:val="20"/>
          <w:szCs w:val="20"/>
        </w:rPr>
      </w:pPr>
      <w:r w:rsidRPr="0006345E">
        <w:rPr>
          <w:rFonts w:ascii="Times New Roman" w:hAnsi="Times New Roman"/>
          <w:sz w:val="20"/>
          <w:szCs w:val="20"/>
        </w:rPr>
        <w:t xml:space="preserve">na </w:t>
      </w:r>
      <w:r w:rsidRPr="004C46C2">
        <w:rPr>
          <w:rFonts w:ascii="Times New Roman" w:hAnsi="Times New Roman"/>
          <w:sz w:val="20"/>
          <w:szCs w:val="20"/>
        </w:rPr>
        <w:t>rynku krajowym środki pozyskano z emisji:</w:t>
      </w:r>
    </w:p>
    <w:p w14:paraId="70C17736" w14:textId="77777777" w:rsidR="00A5676D" w:rsidRDefault="00A5676D" w:rsidP="009B273E">
      <w:pPr>
        <w:widowControl w:val="0"/>
        <w:numPr>
          <w:ilvl w:val="0"/>
          <w:numId w:val="12"/>
        </w:numPr>
        <w:tabs>
          <w:tab w:val="clear" w:pos="360"/>
        </w:tabs>
        <w:spacing w:after="0" w:line="288" w:lineRule="auto"/>
        <w:ind w:left="567" w:hanging="284"/>
        <w:jc w:val="both"/>
        <w:rPr>
          <w:rFonts w:ascii="Times New Roman" w:hAnsi="Times New Roman"/>
          <w:sz w:val="20"/>
          <w:szCs w:val="20"/>
        </w:rPr>
      </w:pPr>
      <w:r w:rsidRPr="004C46C2">
        <w:rPr>
          <w:rFonts w:ascii="Times New Roman" w:hAnsi="Times New Roman"/>
          <w:sz w:val="20"/>
          <w:szCs w:val="20"/>
        </w:rPr>
        <w:t xml:space="preserve">obligacji hurtowych: </w:t>
      </w:r>
      <w:r>
        <w:rPr>
          <w:rFonts w:ascii="Times New Roman" w:hAnsi="Times New Roman"/>
          <w:sz w:val="20"/>
          <w:szCs w:val="20"/>
        </w:rPr>
        <w:t>67,3</w:t>
      </w:r>
      <w:r w:rsidRPr="004C46C2">
        <w:rPr>
          <w:rFonts w:ascii="Times New Roman" w:hAnsi="Times New Roman"/>
          <w:sz w:val="20"/>
          <w:szCs w:val="20"/>
        </w:rPr>
        <w:t> mld zł,</w:t>
      </w:r>
    </w:p>
    <w:p w14:paraId="49074C13" w14:textId="77777777" w:rsidR="00A5676D" w:rsidRPr="004C46C2" w:rsidRDefault="00A5676D" w:rsidP="009B273E">
      <w:pPr>
        <w:widowControl w:val="0"/>
        <w:numPr>
          <w:ilvl w:val="0"/>
          <w:numId w:val="12"/>
        </w:numPr>
        <w:tabs>
          <w:tab w:val="clear" w:pos="360"/>
        </w:tabs>
        <w:spacing w:after="0" w:line="288" w:lineRule="auto"/>
        <w:ind w:left="567" w:hanging="284"/>
        <w:jc w:val="both"/>
        <w:rPr>
          <w:rFonts w:ascii="Times New Roman" w:hAnsi="Times New Roman"/>
          <w:sz w:val="20"/>
          <w:szCs w:val="20"/>
        </w:rPr>
      </w:pPr>
      <w:r>
        <w:rPr>
          <w:rFonts w:ascii="Times New Roman" w:hAnsi="Times New Roman"/>
          <w:sz w:val="20"/>
          <w:szCs w:val="20"/>
        </w:rPr>
        <w:t>bonów skarbowych: 10,8 mld zł (bez bonów zapadających w 2020 r.),</w:t>
      </w:r>
    </w:p>
    <w:p w14:paraId="37FE5FAD" w14:textId="77777777" w:rsidR="00A5676D" w:rsidRPr="004C46C2" w:rsidRDefault="00A5676D" w:rsidP="009B273E">
      <w:pPr>
        <w:widowControl w:val="0"/>
        <w:numPr>
          <w:ilvl w:val="0"/>
          <w:numId w:val="12"/>
        </w:numPr>
        <w:tabs>
          <w:tab w:val="clear" w:pos="360"/>
        </w:tabs>
        <w:spacing w:after="0" w:line="288" w:lineRule="auto"/>
        <w:ind w:left="567" w:hanging="284"/>
        <w:jc w:val="both"/>
        <w:rPr>
          <w:rFonts w:ascii="Times New Roman" w:hAnsi="Times New Roman"/>
          <w:sz w:val="20"/>
          <w:szCs w:val="20"/>
        </w:rPr>
      </w:pPr>
      <w:r w:rsidRPr="004C46C2">
        <w:rPr>
          <w:rFonts w:ascii="Times New Roman" w:hAnsi="Times New Roman"/>
          <w:sz w:val="20"/>
          <w:szCs w:val="20"/>
        </w:rPr>
        <w:t xml:space="preserve">obligacji detalicznych: </w:t>
      </w:r>
      <w:r>
        <w:rPr>
          <w:rFonts w:ascii="Times New Roman" w:hAnsi="Times New Roman"/>
          <w:sz w:val="20"/>
          <w:szCs w:val="20"/>
        </w:rPr>
        <w:t>5,7</w:t>
      </w:r>
      <w:r w:rsidRPr="004C46C2">
        <w:rPr>
          <w:rFonts w:ascii="Times New Roman" w:hAnsi="Times New Roman"/>
          <w:sz w:val="20"/>
          <w:szCs w:val="20"/>
        </w:rPr>
        <w:t> mld zł (bez obligacji sprzedanych i wykupionych w 2020 r.),</w:t>
      </w:r>
    </w:p>
    <w:p w14:paraId="34A94378" w14:textId="77777777" w:rsidR="00A5676D" w:rsidRPr="000F520E" w:rsidRDefault="00A5676D" w:rsidP="009B273E">
      <w:pPr>
        <w:pStyle w:val="Akapitzlist"/>
        <w:numPr>
          <w:ilvl w:val="0"/>
          <w:numId w:val="13"/>
        </w:numPr>
        <w:autoSpaceDE w:val="0"/>
        <w:autoSpaceDN w:val="0"/>
        <w:adjustRightInd w:val="0"/>
        <w:spacing w:before="120" w:after="0" w:line="288" w:lineRule="auto"/>
        <w:ind w:left="284" w:hanging="284"/>
        <w:jc w:val="both"/>
        <w:rPr>
          <w:rFonts w:ascii="Times New Roman" w:hAnsi="Times New Roman" w:cs="Arial"/>
          <w:sz w:val="20"/>
          <w:szCs w:val="20"/>
        </w:rPr>
      </w:pPr>
      <w:r w:rsidRPr="004C46C2">
        <w:rPr>
          <w:rFonts w:ascii="Times New Roman" w:hAnsi="Times New Roman"/>
          <w:sz w:val="20"/>
          <w:szCs w:val="20"/>
        </w:rPr>
        <w:t>n</w:t>
      </w:r>
      <w:r w:rsidRPr="004C46C2">
        <w:rPr>
          <w:rFonts w:ascii="Times New Roman" w:hAnsi="Times New Roman" w:cs="Arial"/>
          <w:sz w:val="20"/>
          <w:szCs w:val="20"/>
        </w:rPr>
        <w:t xml:space="preserve">a rynkach </w:t>
      </w:r>
      <w:r w:rsidRPr="000F520E">
        <w:rPr>
          <w:rFonts w:ascii="Times New Roman" w:hAnsi="Times New Roman"/>
          <w:sz w:val="20"/>
          <w:szCs w:val="20"/>
        </w:rPr>
        <w:t>zagranicznych</w:t>
      </w:r>
      <w:r w:rsidRPr="000F520E">
        <w:rPr>
          <w:rFonts w:ascii="Times New Roman" w:hAnsi="Times New Roman" w:cs="Arial"/>
          <w:sz w:val="20"/>
          <w:szCs w:val="20"/>
        </w:rPr>
        <w:t xml:space="preserve"> środki pozyskano z:</w:t>
      </w:r>
    </w:p>
    <w:p w14:paraId="5C8E2158" w14:textId="77777777" w:rsidR="00A5676D" w:rsidRPr="0065538A" w:rsidRDefault="00A5676D" w:rsidP="009B273E">
      <w:pPr>
        <w:widowControl w:val="0"/>
        <w:numPr>
          <w:ilvl w:val="0"/>
          <w:numId w:val="12"/>
        </w:numPr>
        <w:tabs>
          <w:tab w:val="clear" w:pos="360"/>
        </w:tabs>
        <w:spacing w:after="0" w:line="288" w:lineRule="auto"/>
        <w:ind w:left="567" w:hanging="284"/>
        <w:rPr>
          <w:rFonts w:ascii="Times New Roman" w:hAnsi="Times New Roman"/>
          <w:sz w:val="20"/>
          <w:szCs w:val="20"/>
        </w:rPr>
      </w:pPr>
      <w:r>
        <w:rPr>
          <w:rFonts w:ascii="Times New Roman" w:hAnsi="Times New Roman"/>
          <w:sz w:val="20"/>
          <w:szCs w:val="20"/>
        </w:rPr>
        <w:t>kredytów w międzynarodowych instytucjach finansowych: 1,5 mld zł (0,3</w:t>
      </w:r>
      <w:r w:rsidRPr="0065538A">
        <w:rPr>
          <w:rFonts w:ascii="Times New Roman" w:hAnsi="Times New Roman"/>
          <w:sz w:val="20"/>
          <w:szCs w:val="20"/>
        </w:rPr>
        <w:t> mld EUR)</w:t>
      </w:r>
      <w:r>
        <w:rPr>
          <w:rFonts w:ascii="Times New Roman" w:hAnsi="Times New Roman"/>
          <w:sz w:val="20"/>
          <w:szCs w:val="20"/>
        </w:rPr>
        <w:t>.</w:t>
      </w:r>
    </w:p>
    <w:p w14:paraId="53A20323" w14:textId="77777777" w:rsidR="00A5676D" w:rsidRPr="007A4ED8" w:rsidRDefault="00A5676D" w:rsidP="009B273E">
      <w:pPr>
        <w:tabs>
          <w:tab w:val="num" w:pos="284"/>
        </w:tabs>
        <w:spacing w:before="120" w:after="0" w:line="288" w:lineRule="auto"/>
        <w:jc w:val="both"/>
        <w:rPr>
          <w:rFonts w:ascii="Times New Roman" w:hAnsi="Times New Roman"/>
          <w:sz w:val="20"/>
          <w:szCs w:val="20"/>
        </w:rPr>
      </w:pPr>
      <w:r w:rsidRPr="007A4ED8">
        <w:rPr>
          <w:rFonts w:ascii="Times New Roman" w:hAnsi="Times New Roman"/>
          <w:sz w:val="20"/>
          <w:szCs w:val="20"/>
        </w:rPr>
        <w:t>W I</w:t>
      </w:r>
      <w:r>
        <w:rPr>
          <w:rFonts w:ascii="Times New Roman" w:hAnsi="Times New Roman"/>
          <w:sz w:val="20"/>
          <w:szCs w:val="20"/>
        </w:rPr>
        <w:t>I</w:t>
      </w:r>
      <w:r w:rsidRPr="007A4ED8">
        <w:rPr>
          <w:rFonts w:ascii="Times New Roman" w:hAnsi="Times New Roman"/>
          <w:sz w:val="20"/>
          <w:szCs w:val="20"/>
        </w:rPr>
        <w:t xml:space="preserve"> kw. 2020 r. nastąpił:</w:t>
      </w:r>
    </w:p>
    <w:p w14:paraId="095F2B36" w14:textId="77777777" w:rsidR="00A5676D" w:rsidRPr="008F416A" w:rsidRDefault="00A5676D" w:rsidP="009B273E">
      <w:pPr>
        <w:pStyle w:val="Akapitzlist"/>
        <w:numPr>
          <w:ilvl w:val="0"/>
          <w:numId w:val="14"/>
        </w:numPr>
        <w:spacing w:before="120" w:after="0" w:line="288" w:lineRule="auto"/>
        <w:ind w:left="284" w:hanging="284"/>
        <w:contextualSpacing w:val="0"/>
        <w:jc w:val="both"/>
        <w:rPr>
          <w:rFonts w:ascii="Times New Roman" w:hAnsi="Times New Roman"/>
          <w:sz w:val="20"/>
          <w:szCs w:val="20"/>
        </w:rPr>
      </w:pPr>
      <w:r w:rsidRPr="007A4ED8">
        <w:rPr>
          <w:rFonts w:ascii="Times New Roman" w:hAnsi="Times New Roman"/>
          <w:sz w:val="20"/>
          <w:szCs w:val="20"/>
        </w:rPr>
        <w:t xml:space="preserve">w zakresie </w:t>
      </w:r>
      <w:r w:rsidRPr="008F416A">
        <w:rPr>
          <w:rFonts w:ascii="Times New Roman" w:hAnsi="Times New Roman"/>
          <w:sz w:val="20"/>
          <w:szCs w:val="20"/>
        </w:rPr>
        <w:t>sytuacji płynnościowej budżetu państwa:</w:t>
      </w:r>
    </w:p>
    <w:p w14:paraId="230973C3" w14:textId="77777777" w:rsidR="00A5676D" w:rsidRPr="008F416A" w:rsidRDefault="00A5676D" w:rsidP="009B273E">
      <w:pPr>
        <w:pStyle w:val="Akapitzlist"/>
        <w:spacing w:before="60" w:after="120" w:line="288" w:lineRule="auto"/>
        <w:ind w:left="284"/>
        <w:contextualSpacing w:val="0"/>
        <w:jc w:val="both"/>
        <w:rPr>
          <w:rFonts w:ascii="Times New Roman" w:hAnsi="Times New Roman"/>
          <w:sz w:val="20"/>
          <w:szCs w:val="20"/>
        </w:rPr>
      </w:pPr>
      <w:r w:rsidRPr="008F416A">
        <w:rPr>
          <w:rFonts w:ascii="Times New Roman" w:hAnsi="Times New Roman"/>
          <w:sz w:val="20"/>
          <w:szCs w:val="20"/>
        </w:rPr>
        <w:t>wzrost środków na rachunkach budżetowych o </w:t>
      </w:r>
      <w:r>
        <w:rPr>
          <w:rFonts w:ascii="Times New Roman" w:hAnsi="Times New Roman"/>
          <w:sz w:val="20"/>
          <w:szCs w:val="20"/>
        </w:rPr>
        <w:t>29,7</w:t>
      </w:r>
      <w:r w:rsidRPr="008F416A">
        <w:rPr>
          <w:rFonts w:ascii="Times New Roman" w:hAnsi="Times New Roman"/>
          <w:sz w:val="20"/>
          <w:szCs w:val="20"/>
        </w:rPr>
        <w:t xml:space="preserve"> mld zł do </w:t>
      </w:r>
      <w:r>
        <w:rPr>
          <w:rFonts w:ascii="Times New Roman" w:hAnsi="Times New Roman"/>
          <w:sz w:val="20"/>
          <w:szCs w:val="20"/>
        </w:rPr>
        <w:t>107,3</w:t>
      </w:r>
      <w:r w:rsidRPr="008F416A">
        <w:rPr>
          <w:rFonts w:ascii="Times New Roman" w:hAnsi="Times New Roman"/>
          <w:sz w:val="20"/>
          <w:szCs w:val="20"/>
        </w:rPr>
        <w:t xml:space="preserve"> mld zł, </w:t>
      </w:r>
    </w:p>
    <w:p w14:paraId="3CAABBB5" w14:textId="77777777" w:rsidR="00A5676D" w:rsidRPr="00A258BE" w:rsidRDefault="00A5676D" w:rsidP="009B273E">
      <w:pPr>
        <w:pStyle w:val="Akapitzlist"/>
        <w:numPr>
          <w:ilvl w:val="0"/>
          <w:numId w:val="14"/>
        </w:numPr>
        <w:spacing w:before="120" w:after="0" w:line="288" w:lineRule="auto"/>
        <w:ind w:left="284" w:hanging="284"/>
        <w:contextualSpacing w:val="0"/>
        <w:jc w:val="both"/>
        <w:rPr>
          <w:rFonts w:ascii="Times New Roman" w:hAnsi="Times New Roman"/>
          <w:sz w:val="20"/>
          <w:szCs w:val="20"/>
        </w:rPr>
      </w:pPr>
      <w:r w:rsidRPr="00A258BE">
        <w:rPr>
          <w:rFonts w:ascii="Times New Roman" w:hAnsi="Times New Roman"/>
          <w:sz w:val="20"/>
          <w:szCs w:val="20"/>
        </w:rPr>
        <w:t>w zakresie struktury podmiotowej zadłużenia na rynku krajowym:</w:t>
      </w:r>
    </w:p>
    <w:p w14:paraId="7CEFED9C" w14:textId="77777777" w:rsidR="00A5676D" w:rsidRPr="00A258BE" w:rsidRDefault="00A5676D" w:rsidP="009B273E">
      <w:pPr>
        <w:pStyle w:val="Akapitzlist"/>
        <w:spacing w:before="60" w:after="120" w:line="288" w:lineRule="auto"/>
        <w:ind w:left="284"/>
        <w:contextualSpacing w:val="0"/>
        <w:jc w:val="both"/>
        <w:rPr>
          <w:rFonts w:ascii="Times New Roman" w:hAnsi="Times New Roman"/>
          <w:sz w:val="20"/>
          <w:szCs w:val="20"/>
        </w:rPr>
      </w:pPr>
      <w:r w:rsidRPr="00A258BE">
        <w:rPr>
          <w:rFonts w:ascii="Times New Roman" w:hAnsi="Times New Roman"/>
          <w:sz w:val="20"/>
          <w:szCs w:val="20"/>
        </w:rPr>
        <w:t>wzrost zadłużenia wobec banków o </w:t>
      </w:r>
      <w:r>
        <w:rPr>
          <w:rFonts w:ascii="Times New Roman" w:hAnsi="Times New Roman"/>
          <w:sz w:val="20"/>
          <w:szCs w:val="20"/>
        </w:rPr>
        <w:t>88,0</w:t>
      </w:r>
      <w:r w:rsidRPr="00A258BE">
        <w:rPr>
          <w:rFonts w:ascii="Times New Roman" w:hAnsi="Times New Roman"/>
          <w:sz w:val="20"/>
          <w:szCs w:val="20"/>
        </w:rPr>
        <w:t xml:space="preserve"> mld zł </w:t>
      </w:r>
      <w:r>
        <w:rPr>
          <w:rFonts w:ascii="Times New Roman" w:hAnsi="Times New Roman"/>
          <w:sz w:val="20"/>
          <w:szCs w:val="20"/>
        </w:rPr>
        <w:t>i </w:t>
      </w:r>
      <w:r w:rsidRPr="00A258BE">
        <w:rPr>
          <w:rFonts w:ascii="Times New Roman" w:hAnsi="Times New Roman"/>
          <w:sz w:val="20"/>
          <w:szCs w:val="20"/>
        </w:rPr>
        <w:t>krajowego sektora pozabankowego o </w:t>
      </w:r>
      <w:r>
        <w:rPr>
          <w:rFonts w:ascii="Times New Roman" w:hAnsi="Times New Roman"/>
          <w:sz w:val="20"/>
          <w:szCs w:val="20"/>
        </w:rPr>
        <w:t>9</w:t>
      </w:r>
      <w:r w:rsidRPr="00A258BE">
        <w:rPr>
          <w:rFonts w:ascii="Times New Roman" w:hAnsi="Times New Roman"/>
          <w:sz w:val="20"/>
          <w:szCs w:val="20"/>
        </w:rPr>
        <w:t>,5 mld zł</w:t>
      </w:r>
      <w:r>
        <w:rPr>
          <w:rFonts w:ascii="Times New Roman" w:hAnsi="Times New Roman"/>
          <w:sz w:val="20"/>
          <w:szCs w:val="20"/>
        </w:rPr>
        <w:t xml:space="preserve"> oraz spadek zadłużenia wobec </w:t>
      </w:r>
      <w:r w:rsidRPr="00A258BE">
        <w:rPr>
          <w:rFonts w:ascii="Times New Roman" w:hAnsi="Times New Roman"/>
          <w:sz w:val="20"/>
          <w:szCs w:val="20"/>
        </w:rPr>
        <w:t>nierezydentów o </w:t>
      </w:r>
      <w:r>
        <w:rPr>
          <w:rFonts w:ascii="Times New Roman" w:hAnsi="Times New Roman"/>
          <w:sz w:val="20"/>
          <w:szCs w:val="20"/>
        </w:rPr>
        <w:t>14,8 </w:t>
      </w:r>
      <w:r w:rsidRPr="00A258BE">
        <w:rPr>
          <w:rFonts w:ascii="Times New Roman" w:hAnsi="Times New Roman"/>
          <w:sz w:val="20"/>
          <w:szCs w:val="20"/>
        </w:rPr>
        <w:t>mld zł,</w:t>
      </w:r>
    </w:p>
    <w:p w14:paraId="1B7B783A" w14:textId="77777777" w:rsidR="00A5676D" w:rsidRPr="00946F17" w:rsidRDefault="00A5676D" w:rsidP="009B273E">
      <w:pPr>
        <w:pStyle w:val="Akapitzlist"/>
        <w:numPr>
          <w:ilvl w:val="0"/>
          <w:numId w:val="14"/>
        </w:numPr>
        <w:spacing w:before="120" w:after="0" w:line="288" w:lineRule="auto"/>
        <w:ind w:left="284" w:hanging="284"/>
        <w:contextualSpacing w:val="0"/>
        <w:jc w:val="both"/>
        <w:rPr>
          <w:rFonts w:ascii="Times New Roman" w:hAnsi="Times New Roman"/>
          <w:sz w:val="20"/>
          <w:szCs w:val="20"/>
        </w:rPr>
      </w:pPr>
      <w:r w:rsidRPr="00946F17">
        <w:rPr>
          <w:rFonts w:ascii="Times New Roman" w:hAnsi="Times New Roman"/>
          <w:sz w:val="20"/>
          <w:szCs w:val="20"/>
        </w:rPr>
        <w:t>na rynku polskich obligacji:</w:t>
      </w:r>
    </w:p>
    <w:p w14:paraId="6AC01AF7" w14:textId="77777777" w:rsidR="00A5676D" w:rsidRPr="00946F17" w:rsidRDefault="00A5676D" w:rsidP="009B273E">
      <w:pPr>
        <w:widowControl w:val="0"/>
        <w:numPr>
          <w:ilvl w:val="0"/>
          <w:numId w:val="12"/>
        </w:numPr>
        <w:tabs>
          <w:tab w:val="clear" w:pos="360"/>
        </w:tabs>
        <w:spacing w:before="60" w:after="120" w:line="288" w:lineRule="auto"/>
        <w:ind w:left="568" w:hanging="284"/>
        <w:jc w:val="both"/>
        <w:rPr>
          <w:rFonts w:ascii="Times New Roman" w:hAnsi="Times New Roman"/>
          <w:sz w:val="20"/>
          <w:szCs w:val="20"/>
        </w:rPr>
      </w:pPr>
      <w:r w:rsidRPr="00946F17">
        <w:rPr>
          <w:rFonts w:ascii="Times New Roman" w:hAnsi="Times New Roman"/>
          <w:sz w:val="20"/>
          <w:szCs w:val="20"/>
        </w:rPr>
        <w:t>na rynku krajowym: spadek r</w:t>
      </w:r>
      <w:r>
        <w:rPr>
          <w:rFonts w:ascii="Times New Roman" w:hAnsi="Times New Roman"/>
          <w:sz w:val="20"/>
          <w:szCs w:val="20"/>
        </w:rPr>
        <w:t>entowności wzdłuż całej krzywej:</w:t>
      </w:r>
      <w:r w:rsidRPr="00946F17">
        <w:rPr>
          <w:rFonts w:ascii="Times New Roman" w:hAnsi="Times New Roman"/>
          <w:sz w:val="20"/>
          <w:szCs w:val="20"/>
        </w:rPr>
        <w:t xml:space="preserve"> na koniec kwartału rentowności</w:t>
      </w:r>
      <w:r w:rsidRPr="00946F17" w:rsidDel="0064738C">
        <w:rPr>
          <w:rFonts w:ascii="Times New Roman" w:hAnsi="Times New Roman"/>
          <w:sz w:val="20"/>
          <w:szCs w:val="20"/>
        </w:rPr>
        <w:t xml:space="preserve"> </w:t>
      </w:r>
      <w:r w:rsidRPr="00946F17">
        <w:rPr>
          <w:rFonts w:ascii="Times New Roman" w:hAnsi="Times New Roman"/>
          <w:sz w:val="20"/>
          <w:szCs w:val="20"/>
        </w:rPr>
        <w:t xml:space="preserve">obligacji 2-, 5- i 10-letnich wyniosły odpowiednio </w:t>
      </w:r>
      <w:r>
        <w:rPr>
          <w:rFonts w:ascii="Times New Roman" w:hAnsi="Times New Roman"/>
          <w:sz w:val="20"/>
          <w:szCs w:val="20"/>
        </w:rPr>
        <w:t>0,1</w:t>
      </w:r>
      <w:r w:rsidRPr="00946F17">
        <w:rPr>
          <w:rFonts w:ascii="Times New Roman" w:hAnsi="Times New Roman"/>
          <w:sz w:val="20"/>
          <w:szCs w:val="20"/>
        </w:rPr>
        <w:t>% (-0,</w:t>
      </w:r>
      <w:r>
        <w:rPr>
          <w:rFonts w:ascii="Times New Roman" w:hAnsi="Times New Roman"/>
          <w:sz w:val="20"/>
          <w:szCs w:val="20"/>
        </w:rPr>
        <w:t>8</w:t>
      </w:r>
      <w:r w:rsidRPr="00946F17">
        <w:rPr>
          <w:rFonts w:ascii="Times New Roman" w:hAnsi="Times New Roman"/>
          <w:sz w:val="20"/>
          <w:szCs w:val="20"/>
        </w:rPr>
        <w:t xml:space="preserve"> p.p.), </w:t>
      </w:r>
      <w:r>
        <w:rPr>
          <w:rFonts w:ascii="Times New Roman" w:hAnsi="Times New Roman"/>
          <w:sz w:val="20"/>
          <w:szCs w:val="20"/>
        </w:rPr>
        <w:t>0</w:t>
      </w:r>
      <w:r w:rsidRPr="00946F17">
        <w:rPr>
          <w:rFonts w:ascii="Times New Roman" w:hAnsi="Times New Roman"/>
          <w:sz w:val="20"/>
          <w:szCs w:val="20"/>
        </w:rPr>
        <w:t>,</w:t>
      </w:r>
      <w:r>
        <w:rPr>
          <w:rFonts w:ascii="Times New Roman" w:hAnsi="Times New Roman"/>
          <w:sz w:val="20"/>
          <w:szCs w:val="20"/>
        </w:rPr>
        <w:t>7</w:t>
      </w:r>
      <w:r w:rsidRPr="00946F17">
        <w:rPr>
          <w:rFonts w:ascii="Times New Roman" w:hAnsi="Times New Roman"/>
          <w:sz w:val="20"/>
          <w:szCs w:val="20"/>
        </w:rPr>
        <w:t>% (-0,</w:t>
      </w:r>
      <w:r>
        <w:rPr>
          <w:rFonts w:ascii="Times New Roman" w:hAnsi="Times New Roman"/>
          <w:sz w:val="20"/>
          <w:szCs w:val="20"/>
        </w:rPr>
        <w:t>6</w:t>
      </w:r>
      <w:r w:rsidRPr="00946F17">
        <w:rPr>
          <w:rFonts w:ascii="Times New Roman" w:hAnsi="Times New Roman"/>
          <w:sz w:val="20"/>
          <w:szCs w:val="20"/>
        </w:rPr>
        <w:t xml:space="preserve"> p.p.) oraz 1</w:t>
      </w:r>
      <w:r>
        <w:rPr>
          <w:rFonts w:ascii="Times New Roman" w:hAnsi="Times New Roman"/>
          <w:sz w:val="20"/>
          <w:szCs w:val="20"/>
        </w:rPr>
        <w:t>,4</w:t>
      </w:r>
      <w:r w:rsidRPr="00946F17">
        <w:rPr>
          <w:rFonts w:ascii="Times New Roman" w:hAnsi="Times New Roman"/>
          <w:sz w:val="20"/>
          <w:szCs w:val="20"/>
        </w:rPr>
        <w:t>% (</w:t>
      </w:r>
      <w:r w:rsidRPr="00946F17">
        <w:rPr>
          <w:rFonts w:ascii="Times New Roman" w:hAnsi="Times New Roman"/>
          <w:sz w:val="20"/>
          <w:szCs w:val="20"/>
        </w:rPr>
        <w:noBreakHyphen/>
        <w:t>0,</w:t>
      </w:r>
      <w:r>
        <w:rPr>
          <w:rFonts w:ascii="Times New Roman" w:hAnsi="Times New Roman"/>
          <w:sz w:val="20"/>
          <w:szCs w:val="20"/>
        </w:rPr>
        <w:t>3</w:t>
      </w:r>
      <w:r w:rsidRPr="00946F17">
        <w:rPr>
          <w:rFonts w:ascii="Times New Roman" w:hAnsi="Times New Roman"/>
          <w:sz w:val="20"/>
          <w:szCs w:val="20"/>
        </w:rPr>
        <w:t> p.p.),</w:t>
      </w:r>
    </w:p>
    <w:p w14:paraId="66D76406" w14:textId="77777777" w:rsidR="00A5676D" w:rsidRPr="004965EE" w:rsidRDefault="00A5676D" w:rsidP="009B273E">
      <w:pPr>
        <w:widowControl w:val="0"/>
        <w:numPr>
          <w:ilvl w:val="0"/>
          <w:numId w:val="12"/>
        </w:numPr>
        <w:tabs>
          <w:tab w:val="clear" w:pos="360"/>
        </w:tabs>
        <w:spacing w:after="0" w:line="288" w:lineRule="auto"/>
        <w:ind w:left="567" w:hanging="284"/>
        <w:jc w:val="both"/>
        <w:rPr>
          <w:rFonts w:ascii="Times New Roman" w:hAnsi="Times New Roman"/>
          <w:sz w:val="20"/>
          <w:szCs w:val="20"/>
        </w:rPr>
      </w:pPr>
      <w:r w:rsidRPr="004965EE">
        <w:rPr>
          <w:rFonts w:ascii="Times New Roman" w:hAnsi="Times New Roman"/>
          <w:sz w:val="20"/>
          <w:szCs w:val="20"/>
        </w:rPr>
        <w:t xml:space="preserve">na rynku obligacji w euro: </w:t>
      </w:r>
      <w:r>
        <w:rPr>
          <w:rFonts w:ascii="Times New Roman" w:hAnsi="Times New Roman"/>
          <w:sz w:val="20"/>
          <w:szCs w:val="20"/>
        </w:rPr>
        <w:t>spadek</w:t>
      </w:r>
      <w:r w:rsidRPr="004965EE">
        <w:rPr>
          <w:rFonts w:ascii="Times New Roman" w:hAnsi="Times New Roman"/>
          <w:sz w:val="20"/>
          <w:szCs w:val="20"/>
        </w:rPr>
        <w:t xml:space="preserve"> rentowności wzdłuż całej krzywej dochodowości: na koniec kwartału rentowności obligacji 2-, 5- i 10-letnich wyniosły odpowie</w:t>
      </w:r>
      <w:r w:rsidRPr="004965EE">
        <w:rPr>
          <w:rFonts w:ascii="Times New Roman" w:hAnsi="Times New Roman"/>
          <w:sz w:val="20"/>
          <w:szCs w:val="20"/>
        </w:rPr>
        <w:softHyphen/>
        <w:t xml:space="preserve">dnio </w:t>
      </w:r>
      <w:r>
        <w:rPr>
          <w:rFonts w:ascii="Times New Roman" w:hAnsi="Times New Roman"/>
          <w:sz w:val="20"/>
          <w:szCs w:val="20"/>
        </w:rPr>
        <w:t>-</w:t>
      </w:r>
      <w:r w:rsidRPr="004965EE">
        <w:rPr>
          <w:rFonts w:ascii="Times New Roman" w:hAnsi="Times New Roman"/>
          <w:sz w:val="20"/>
          <w:szCs w:val="20"/>
        </w:rPr>
        <w:t>0,2% (</w:t>
      </w:r>
      <w:r>
        <w:rPr>
          <w:rFonts w:ascii="Times New Roman" w:hAnsi="Times New Roman"/>
          <w:sz w:val="20"/>
          <w:szCs w:val="20"/>
        </w:rPr>
        <w:t>-</w:t>
      </w:r>
      <w:r w:rsidRPr="004965EE">
        <w:rPr>
          <w:rFonts w:ascii="Times New Roman" w:hAnsi="Times New Roman"/>
          <w:sz w:val="20"/>
          <w:szCs w:val="20"/>
        </w:rPr>
        <w:t>0,4 p.p.), 0,</w:t>
      </w:r>
      <w:r>
        <w:rPr>
          <w:rFonts w:ascii="Times New Roman" w:hAnsi="Times New Roman"/>
          <w:sz w:val="20"/>
          <w:szCs w:val="20"/>
        </w:rPr>
        <w:t>0</w:t>
      </w:r>
      <w:r w:rsidRPr="004965EE">
        <w:rPr>
          <w:rFonts w:ascii="Times New Roman" w:hAnsi="Times New Roman"/>
          <w:sz w:val="20"/>
          <w:szCs w:val="20"/>
        </w:rPr>
        <w:t xml:space="preserve">% </w:t>
      </w:r>
      <w:r w:rsidRPr="004965EE">
        <w:rPr>
          <w:rFonts w:ascii="Times New Roman" w:hAnsi="Times New Roman"/>
          <w:sz w:val="20"/>
          <w:szCs w:val="20"/>
        </w:rPr>
        <w:br/>
        <w:t>(</w:t>
      </w:r>
      <w:r>
        <w:rPr>
          <w:rFonts w:ascii="Times New Roman" w:hAnsi="Times New Roman"/>
          <w:sz w:val="20"/>
          <w:szCs w:val="20"/>
        </w:rPr>
        <w:t>-</w:t>
      </w:r>
      <w:r w:rsidRPr="004965EE">
        <w:rPr>
          <w:rFonts w:ascii="Times New Roman" w:hAnsi="Times New Roman"/>
          <w:sz w:val="20"/>
          <w:szCs w:val="20"/>
        </w:rPr>
        <w:t>0,4 p.p.) oraz 0,</w:t>
      </w:r>
      <w:r>
        <w:rPr>
          <w:rFonts w:ascii="Times New Roman" w:hAnsi="Times New Roman"/>
          <w:sz w:val="20"/>
          <w:szCs w:val="20"/>
        </w:rPr>
        <w:t>2</w:t>
      </w:r>
      <w:r w:rsidRPr="004965EE">
        <w:rPr>
          <w:rFonts w:ascii="Times New Roman" w:hAnsi="Times New Roman"/>
          <w:sz w:val="20"/>
          <w:szCs w:val="20"/>
        </w:rPr>
        <w:t>% (</w:t>
      </w:r>
      <w:r>
        <w:rPr>
          <w:rFonts w:ascii="Times New Roman" w:hAnsi="Times New Roman"/>
          <w:sz w:val="20"/>
          <w:szCs w:val="20"/>
        </w:rPr>
        <w:t>-</w:t>
      </w:r>
      <w:r w:rsidRPr="004965EE">
        <w:rPr>
          <w:rFonts w:ascii="Times New Roman" w:hAnsi="Times New Roman"/>
          <w:sz w:val="20"/>
          <w:szCs w:val="20"/>
        </w:rPr>
        <w:t xml:space="preserve">0,2 p.p.). </w:t>
      </w:r>
    </w:p>
    <w:p w14:paraId="70252267" w14:textId="77777777" w:rsidR="00A5676D" w:rsidRDefault="00A5676D" w:rsidP="00A5676D">
      <w:pPr>
        <w:widowControl w:val="0"/>
        <w:spacing w:after="0" w:line="240" w:lineRule="auto"/>
        <w:jc w:val="both"/>
        <w:rPr>
          <w:rFonts w:ascii="Times New Roman" w:hAnsi="Times New Roman"/>
          <w:sz w:val="20"/>
          <w:szCs w:val="20"/>
        </w:rPr>
      </w:pPr>
    </w:p>
    <w:p w14:paraId="5BA5BCA8" w14:textId="77777777" w:rsidR="00C61EE3" w:rsidRDefault="00C61EE3">
      <w:pPr>
        <w:spacing w:after="0" w:line="288" w:lineRule="auto"/>
        <w:jc w:val="both"/>
        <w:rPr>
          <w:rFonts w:ascii="Times New Roman" w:hAnsi="Times New Roman"/>
          <w:sz w:val="20"/>
          <w:szCs w:val="20"/>
        </w:rPr>
      </w:pPr>
    </w:p>
    <w:tbl>
      <w:tblPr>
        <w:tblpPr w:leftFromText="141" w:rightFromText="141" w:vertAnchor="text" w:horzAnchor="margin" w:tblpY="199"/>
        <w:tblW w:w="4553" w:type="dxa"/>
        <w:tblBorders>
          <w:insideH w:val="single" w:sz="8" w:space="0" w:color="ADAFB2"/>
          <w:insideV w:val="single" w:sz="8" w:space="0" w:color="000080"/>
        </w:tblBorders>
        <w:tblLayout w:type="fixed"/>
        <w:tblCellMar>
          <w:left w:w="10" w:type="dxa"/>
          <w:right w:w="10" w:type="dxa"/>
        </w:tblCellMar>
        <w:tblLook w:val="01E0" w:firstRow="1" w:lastRow="1" w:firstColumn="1" w:lastColumn="1" w:noHBand="0" w:noVBand="0"/>
      </w:tblPr>
      <w:tblGrid>
        <w:gridCol w:w="4515"/>
        <w:gridCol w:w="38"/>
      </w:tblGrid>
      <w:tr w:rsidR="00C61EE3" w14:paraId="33EB6E5F" w14:textId="77777777">
        <w:trPr>
          <w:gridAfter w:val="1"/>
          <w:wAfter w:w="38" w:type="dxa"/>
          <w:trHeight w:val="568"/>
        </w:trPr>
        <w:tc>
          <w:tcPr>
            <w:tcW w:w="4515" w:type="dxa"/>
          </w:tcPr>
          <w:p w14:paraId="004360F6" w14:textId="77777777" w:rsidR="00C61EE3" w:rsidRDefault="00B51A6E">
            <w:pPr>
              <w:keepNext/>
              <w:spacing w:before="120" w:after="0" w:line="288" w:lineRule="auto"/>
              <w:rPr>
                <w:bCs/>
                <w:sz w:val="18"/>
                <w:szCs w:val="18"/>
              </w:rPr>
            </w:pPr>
            <w:r>
              <w:rPr>
                <w:rFonts w:ascii="Times New Roman" w:hAnsi="Times New Roman" w:cs="Arial"/>
                <w:bCs/>
                <w:color w:val="999999"/>
                <w:sz w:val="20"/>
                <w:szCs w:val="20"/>
              </w:rPr>
              <w:t>Wyk.7. Rentowności SPW – rynek wtórny</w:t>
            </w:r>
          </w:p>
        </w:tc>
      </w:tr>
      <w:tr w:rsidR="00C61EE3" w14:paraId="1E140677" w14:textId="77777777">
        <w:trPr>
          <w:trHeight w:val="1736"/>
        </w:trPr>
        <w:tc>
          <w:tcPr>
            <w:tcW w:w="4553" w:type="dxa"/>
            <w:gridSpan w:val="2"/>
          </w:tcPr>
          <w:p w14:paraId="69F60468" w14:textId="77777777" w:rsidR="00C61EE3" w:rsidRDefault="00631761">
            <w:pPr>
              <w:pStyle w:val="A1"/>
              <w:keepNext/>
              <w:spacing w:before="60" w:after="60" w:line="288" w:lineRule="auto"/>
              <w:ind w:left="-108" w:firstLine="0"/>
              <w:jc w:val="center"/>
              <w:rPr>
                <w:b/>
              </w:rPr>
            </w:pPr>
            <w:r>
              <w:rPr>
                <w:noProof/>
              </w:rPr>
              <w:drawing>
                <wp:inline distT="0" distB="0" distL="0" distR="0" wp14:anchorId="2DBD0460" wp14:editId="3F362839">
                  <wp:extent cx="2802255" cy="1979295"/>
                  <wp:effectExtent l="0" t="0" r="0" b="1905"/>
                  <wp:docPr id="7" name="Obraz 4" descr="Wykres przedstawia rentowności skarbowych papierów wartościowych na rynku wtórnym w podziale na 2-letnie, 5-letnie i 10-letnie, w okresie od lipca 2018 do czerwca 2020 roku." title="Wykr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2255" cy="1979295"/>
                          </a:xfrm>
                          <a:prstGeom prst="rect">
                            <a:avLst/>
                          </a:prstGeom>
                          <a:noFill/>
                          <a:extLst/>
                        </pic:spPr>
                      </pic:pic>
                    </a:graphicData>
                  </a:graphic>
                </wp:inline>
              </w:drawing>
            </w:r>
          </w:p>
        </w:tc>
      </w:tr>
      <w:tr w:rsidR="00C61EE3" w14:paraId="5F05FEDF" w14:textId="77777777">
        <w:trPr>
          <w:gridAfter w:val="1"/>
          <w:wAfter w:w="38" w:type="dxa"/>
          <w:trHeight w:val="144"/>
        </w:trPr>
        <w:tc>
          <w:tcPr>
            <w:tcW w:w="4515" w:type="dxa"/>
          </w:tcPr>
          <w:p w14:paraId="0148C04D" w14:textId="77777777" w:rsidR="00C61EE3" w:rsidRDefault="00B51A6E">
            <w:pPr>
              <w:keepNext/>
              <w:spacing w:before="120" w:after="60" w:line="288" w:lineRule="auto"/>
              <w:rPr>
                <w:i/>
                <w:color w:val="E31837"/>
                <w:sz w:val="20"/>
                <w:szCs w:val="20"/>
              </w:rPr>
            </w:pPr>
            <w:r>
              <w:rPr>
                <w:rFonts w:ascii="Times New Roman" w:hAnsi="Times New Roman" w:cs="Arial"/>
                <w:bCs/>
                <w:color w:val="808080"/>
                <w:sz w:val="20"/>
                <w:szCs w:val="20"/>
              </w:rPr>
              <w:t>Źródło: MF</w:t>
            </w:r>
          </w:p>
        </w:tc>
      </w:tr>
    </w:tbl>
    <w:p w14:paraId="040F93FF" w14:textId="77777777" w:rsidR="00C61EE3" w:rsidRDefault="00C61EE3">
      <w:pPr>
        <w:spacing w:after="0" w:line="288" w:lineRule="auto"/>
        <w:jc w:val="both"/>
        <w:rPr>
          <w:rFonts w:ascii="Arial" w:hAnsi="Arial" w:cs="Arial"/>
          <w:sz w:val="18"/>
          <w:szCs w:val="18"/>
          <w:highlight w:val="yellow"/>
        </w:rPr>
        <w:sectPr w:rsidR="00C61EE3">
          <w:headerReference w:type="first" r:id="rId21"/>
          <w:pgSz w:w="11907" w:h="16839"/>
          <w:pgMar w:top="1701" w:right="992" w:bottom="1418" w:left="1134" w:header="709" w:footer="975" w:gutter="0"/>
          <w:cols w:num="2" w:space="709"/>
          <w:titlePg/>
        </w:sectPr>
      </w:pPr>
    </w:p>
    <w:p w14:paraId="64AD5A8D" w14:textId="77777777" w:rsidR="00C61EE3" w:rsidRDefault="00B51A6E">
      <w:pPr>
        <w:pStyle w:val="Nagwek1"/>
        <w:spacing w:after="240"/>
        <w:rPr>
          <w:rFonts w:ascii="Arial" w:hAnsi="Arial" w:cs="Arial"/>
          <w:bCs w:val="0"/>
          <w:color w:val="E31837"/>
          <w:sz w:val="28"/>
          <w:szCs w:val="28"/>
        </w:rPr>
      </w:pPr>
      <w:bookmarkStart w:id="12" w:name="_Toc54778912"/>
      <w:r>
        <w:rPr>
          <w:rFonts w:ascii="Arial" w:hAnsi="Arial" w:cs="Arial"/>
          <w:bCs w:val="0"/>
          <w:color w:val="E31837"/>
          <w:sz w:val="28"/>
          <w:szCs w:val="28"/>
        </w:rPr>
        <w:t>NOTA METODYCZNA</w:t>
      </w:r>
      <w:bookmarkEnd w:id="12"/>
    </w:p>
    <w:p w14:paraId="6977C6E9" w14:textId="77777777" w:rsidR="00C61EE3" w:rsidRDefault="00B51A6E">
      <w:pPr>
        <w:spacing w:before="360" w:after="120" w:line="360" w:lineRule="auto"/>
        <w:jc w:val="both"/>
        <w:rPr>
          <w:rFonts w:ascii="Arial" w:hAnsi="Arial" w:cs="Arial"/>
          <w:b/>
          <w:color w:val="E31837"/>
          <w:sz w:val="24"/>
          <w:szCs w:val="24"/>
        </w:rPr>
      </w:pPr>
      <w:r>
        <w:rPr>
          <w:rFonts w:ascii="Arial" w:hAnsi="Arial" w:cs="Arial"/>
          <w:b/>
          <w:color w:val="E31837"/>
          <w:sz w:val="24"/>
          <w:szCs w:val="24"/>
        </w:rPr>
        <w:t>Budżet państwa</w:t>
      </w:r>
    </w:p>
    <w:p w14:paraId="3316C3DE" w14:textId="77777777" w:rsidR="00C61EE3" w:rsidRDefault="00B51A6E">
      <w:pPr>
        <w:spacing w:after="0" w:line="360" w:lineRule="auto"/>
        <w:jc w:val="both"/>
        <w:rPr>
          <w:rFonts w:ascii="Arial" w:hAnsi="Arial" w:cs="Arial"/>
          <w:b/>
          <w:color w:val="ADAFB2"/>
          <w:sz w:val="20"/>
          <w:szCs w:val="20"/>
        </w:rPr>
      </w:pPr>
      <w:r>
        <w:rPr>
          <w:rFonts w:ascii="Arial" w:hAnsi="Arial" w:cs="Arial"/>
          <w:b/>
          <w:color w:val="ADAFB2"/>
          <w:sz w:val="20"/>
          <w:szCs w:val="20"/>
        </w:rPr>
        <w:t>Dane o budżecie państwa prezentowane są zgodnie z krajową metodologią, tj. w układzie kasowym (z pewnymi wyjątkami) i  zgodnie z definicjami przejętymi w Ustawie z dnia 27 sierpnia 2009 r. o finansach publicznych (tekst jednolity Dz.U. z 2013 poz. 885 z późn. zm.):</w:t>
      </w:r>
    </w:p>
    <w:p w14:paraId="0B64F2B8" w14:textId="77777777" w:rsidR="00C61EE3" w:rsidRDefault="004C28BC">
      <w:pPr>
        <w:spacing w:after="360" w:line="360" w:lineRule="auto"/>
        <w:jc w:val="both"/>
        <w:rPr>
          <w:rFonts w:ascii="Arial" w:hAnsi="Arial" w:cs="Arial"/>
          <w:b/>
          <w:color w:val="ADAFB2"/>
          <w:sz w:val="20"/>
          <w:szCs w:val="20"/>
        </w:rPr>
      </w:pPr>
      <w:hyperlink r:id="rId22" w:history="1">
        <w:r w:rsidR="00B51A6E">
          <w:rPr>
            <w:rStyle w:val="Hipercze"/>
            <w:rFonts w:ascii="Arial" w:hAnsi="Arial" w:cs="Arial"/>
            <w:b/>
            <w:sz w:val="20"/>
            <w:szCs w:val="20"/>
          </w:rPr>
          <w:t>http://isap.sejm.gov.pl/DetailsServlet?id=WDU20091571240</w:t>
        </w:r>
      </w:hyperlink>
    </w:p>
    <w:p w14:paraId="3AC032DE" w14:textId="77777777" w:rsidR="00C61EE3" w:rsidRDefault="00B51A6E">
      <w:pPr>
        <w:spacing w:before="360" w:after="0" w:line="360" w:lineRule="auto"/>
        <w:jc w:val="both"/>
        <w:rPr>
          <w:rFonts w:ascii="Arial" w:hAnsi="Arial" w:cs="Arial"/>
          <w:b/>
          <w:color w:val="E31837"/>
          <w:sz w:val="24"/>
          <w:szCs w:val="24"/>
        </w:rPr>
      </w:pPr>
      <w:r>
        <w:rPr>
          <w:rFonts w:ascii="Arial" w:hAnsi="Arial" w:cs="Arial"/>
          <w:b/>
          <w:color w:val="E31837"/>
          <w:sz w:val="24"/>
          <w:szCs w:val="24"/>
        </w:rPr>
        <w:t xml:space="preserve">Szczebel centralny według metodologii GFSM2001 </w:t>
      </w:r>
    </w:p>
    <w:p w14:paraId="7A6C4710" w14:textId="77777777" w:rsidR="00C61EE3" w:rsidRDefault="00B51A6E">
      <w:pPr>
        <w:spacing w:before="120" w:after="0" w:line="360" w:lineRule="auto"/>
        <w:jc w:val="both"/>
        <w:rPr>
          <w:rFonts w:ascii="Arial" w:hAnsi="Arial" w:cs="Arial"/>
          <w:b/>
          <w:color w:val="ADAFB2"/>
          <w:sz w:val="20"/>
          <w:szCs w:val="20"/>
        </w:rPr>
      </w:pPr>
      <w:r>
        <w:rPr>
          <w:rFonts w:ascii="Arial" w:hAnsi="Arial" w:cs="Arial"/>
          <w:b/>
          <w:color w:val="ADAFB2"/>
          <w:sz w:val="20"/>
          <w:szCs w:val="20"/>
        </w:rPr>
        <w:t xml:space="preserve">Metodologia GFSM2001 została opracowana przez Międzynarodowy Fundusz Walutowy. Szczebel centralny stanowi jeden z dwóch szczebli sektora instytucji rządowych i samorządowych (drugim jest szczebel lokalny). Szczebel centralny obejmuje budżet państwa, jednostki działające poza budżetem państwa oraz fundusze ubezpieczeń społecznych. Dane w niniejszej informacji obejmują niepełny zakres szczebla centralnego (są jednak wystarczające do oceny jego sytuacji finansowej, stanowią ok. 80% jego skonsolidowanych wydatków), tj. budżet państwa, Fundusz Ubezpieczeń Społecznych (FUS), Fundusz Emerytalno-Rentowy (FER), Fundusz Pracy (FP) oraz Narodowy Fundusz Zdrowia (NFZ). Dane o szczeblu centralnym prezentowane są w ujęciu kasowym oraz po eliminacji wewnętrznych przepływów.  </w:t>
      </w:r>
    </w:p>
    <w:p w14:paraId="26EF178B" w14:textId="77777777" w:rsidR="00C61EE3" w:rsidRDefault="00B51A6E">
      <w:pPr>
        <w:spacing w:after="360" w:line="360" w:lineRule="auto"/>
        <w:jc w:val="both"/>
        <w:rPr>
          <w:rFonts w:ascii="Arial" w:hAnsi="Arial" w:cs="Arial"/>
          <w:b/>
          <w:color w:val="ADAFB2"/>
          <w:sz w:val="20"/>
          <w:szCs w:val="20"/>
        </w:rPr>
      </w:pPr>
      <w:r>
        <w:rPr>
          <w:rFonts w:ascii="Arial" w:hAnsi="Arial" w:cs="Arial"/>
          <w:b/>
          <w:color w:val="ADAFB2"/>
          <w:sz w:val="20"/>
          <w:szCs w:val="20"/>
        </w:rPr>
        <w:t xml:space="preserve">Więcej na: </w:t>
      </w:r>
      <w:r>
        <w:rPr>
          <w:rStyle w:val="Hipercze"/>
          <w:rFonts w:ascii="Arial" w:hAnsi="Arial" w:cs="Arial"/>
          <w:b/>
          <w:sz w:val="20"/>
          <w:szCs w:val="20"/>
        </w:rPr>
        <w:t>https://www.gov.pl/web/finanse/dane-fiskalne-na-potrzeby-nadzoru-budzetowego-ue</w:t>
      </w:r>
    </w:p>
    <w:p w14:paraId="3D66E42C" w14:textId="77777777" w:rsidR="00C61EE3" w:rsidRDefault="00B51A6E">
      <w:pPr>
        <w:spacing w:before="360" w:after="120" w:line="360" w:lineRule="auto"/>
        <w:jc w:val="both"/>
        <w:rPr>
          <w:rFonts w:ascii="Arial" w:hAnsi="Arial" w:cs="Arial"/>
          <w:b/>
          <w:color w:val="E31837"/>
          <w:sz w:val="24"/>
          <w:szCs w:val="24"/>
        </w:rPr>
      </w:pPr>
      <w:r>
        <w:rPr>
          <w:rFonts w:ascii="Arial" w:hAnsi="Arial" w:cs="Arial"/>
          <w:b/>
          <w:color w:val="E31837"/>
          <w:sz w:val="24"/>
          <w:szCs w:val="24"/>
        </w:rPr>
        <w:t xml:space="preserve">Sektor instytucji rządowych i samorządowych wg ESA2010 </w:t>
      </w:r>
    </w:p>
    <w:p w14:paraId="2F4C3A10" w14:textId="77777777" w:rsidR="00C61EE3" w:rsidRDefault="00B51A6E">
      <w:pPr>
        <w:spacing w:after="0" w:line="360" w:lineRule="auto"/>
        <w:jc w:val="both"/>
        <w:rPr>
          <w:rFonts w:ascii="Arial" w:hAnsi="Arial" w:cs="Arial"/>
          <w:b/>
          <w:color w:val="ADAFB2"/>
          <w:sz w:val="20"/>
          <w:szCs w:val="20"/>
        </w:rPr>
      </w:pPr>
      <w:r>
        <w:rPr>
          <w:rFonts w:ascii="Arial" w:hAnsi="Arial" w:cs="Arial"/>
          <w:b/>
          <w:color w:val="ADAFB2"/>
          <w:sz w:val="20"/>
          <w:szCs w:val="20"/>
        </w:rPr>
        <w:t>Od września 2014 r. obowiązuje nowy europejski system rachunków narodowych i regionalnych ESA2010, zgodnie z Rozporządzeniem PE i Rady UE nr 549/2013 z dnia 21 maja 2013 r. Zakres sektora instytucji rządowych i samorządowych wg ESA2010 jest tożsamy z zakresem tego sektora wg GFSM2001. Obejmuje on trzy podsektory: dwa z nich: podsektor instytucji rządowych na szczeblu centralnym oraz podsektor funduszy ubezpieczeń społecznych odpowiadają zakresowi szczebla centralnego wg GFSM2001, a pozostałym jest podsektor instytucji samorządowych na szczeblu lokalnym. Dane ESA2010 są prezentowane, podobnie jak w GFSM2001, po eliminacji wewnętrznych przepływów, jednak różnią się od danych GFSM2001 odmienną koncepcją rachunkową (są to dane memoriałowe, z pewnymi dostosowaniami) oraz odmienną klasyfikacją niektórych transakcji. Deficyt sektora instytucji rządowych i samorządowych obliczony według zasad ESA2010 stanowi jeden z elementów kryterium fiskalnego z Maastricht (drugim jest dług tego sektora).</w:t>
      </w:r>
    </w:p>
    <w:p w14:paraId="1A5C35A2" w14:textId="77777777" w:rsidR="00C61EE3" w:rsidRDefault="00B51A6E">
      <w:pPr>
        <w:spacing w:after="0" w:line="360" w:lineRule="auto"/>
        <w:jc w:val="both"/>
        <w:rPr>
          <w:rFonts w:ascii="Arial" w:hAnsi="Arial" w:cs="Arial"/>
          <w:b/>
          <w:color w:val="ADAFB2"/>
          <w:sz w:val="20"/>
          <w:szCs w:val="20"/>
        </w:rPr>
      </w:pPr>
      <w:r>
        <w:rPr>
          <w:rFonts w:ascii="Arial" w:hAnsi="Arial" w:cs="Arial"/>
          <w:b/>
          <w:color w:val="ADAFB2"/>
          <w:sz w:val="20"/>
          <w:szCs w:val="20"/>
        </w:rPr>
        <w:t>Rozporządzenie dostępne</w:t>
      </w:r>
      <w:r>
        <w:rPr>
          <w:rFonts w:ascii="Arial" w:hAnsi="Arial" w:cs="Arial"/>
          <w:b/>
          <w:color w:val="ADAFB2"/>
          <w:sz w:val="24"/>
          <w:szCs w:val="24"/>
        </w:rPr>
        <w:t xml:space="preserve">: </w:t>
      </w:r>
      <w:hyperlink r:id="rId23" w:history="1">
        <w:r>
          <w:rPr>
            <w:rStyle w:val="Hipercze"/>
            <w:rFonts w:ascii="Arial" w:hAnsi="Arial" w:cs="Arial"/>
            <w:b/>
            <w:sz w:val="20"/>
            <w:szCs w:val="20"/>
          </w:rPr>
          <w:t>https://stat.gov.pl/obszary-tematyczne/rachunki-narodowe/europejski-system-rachunkow-narodowych-i-regionalnych-esa-2010/rozporzadzenie-parlamentu-europejskiego-i-rady-ue-nr-5492013-z-dnia-21-maja-2013-r-,1,1.html</w:t>
        </w:r>
      </w:hyperlink>
      <w:r>
        <w:rPr>
          <w:rFonts w:ascii="Arial" w:hAnsi="Arial" w:cs="Arial"/>
          <w:b/>
          <w:color w:val="ADAFB2"/>
          <w:sz w:val="20"/>
          <w:szCs w:val="20"/>
        </w:rPr>
        <w:t xml:space="preserve"> </w:t>
      </w:r>
    </w:p>
    <w:p w14:paraId="5E8235B5" w14:textId="77777777" w:rsidR="00C61EE3" w:rsidRDefault="00C61EE3">
      <w:pPr>
        <w:spacing w:before="240" w:after="280" w:line="360" w:lineRule="auto"/>
        <w:jc w:val="both"/>
        <w:rPr>
          <w:rFonts w:ascii="Arial" w:hAnsi="Arial" w:cs="Arial"/>
          <w:sz w:val="18"/>
          <w:szCs w:val="18"/>
        </w:rPr>
      </w:pPr>
    </w:p>
    <w:p w14:paraId="445340E3" w14:textId="77777777" w:rsidR="00C61EE3" w:rsidRDefault="00C61EE3">
      <w:pPr>
        <w:spacing w:after="280" w:line="360" w:lineRule="auto"/>
        <w:rPr>
          <w:rFonts w:ascii="Arial" w:hAnsi="Arial" w:cs="Arial"/>
          <w:sz w:val="18"/>
          <w:szCs w:val="18"/>
          <w:highlight w:val="yellow"/>
        </w:rPr>
      </w:pPr>
    </w:p>
    <w:p w14:paraId="48ED2007" w14:textId="77777777" w:rsidR="00C61EE3" w:rsidRDefault="00C61EE3">
      <w:pPr>
        <w:spacing w:after="280" w:line="360" w:lineRule="auto"/>
        <w:rPr>
          <w:rFonts w:ascii="Arial" w:hAnsi="Arial" w:cs="Arial"/>
          <w:sz w:val="18"/>
          <w:szCs w:val="18"/>
          <w:highlight w:val="yellow"/>
        </w:rPr>
      </w:pPr>
    </w:p>
    <w:p w14:paraId="4BF28508" w14:textId="77777777" w:rsidR="00C61EE3" w:rsidRDefault="00B51A6E">
      <w:pPr>
        <w:spacing w:after="280" w:line="360" w:lineRule="auto"/>
        <w:rPr>
          <w:rFonts w:ascii="Arial" w:hAnsi="Arial" w:cs="Arial"/>
          <w:sz w:val="18"/>
          <w:szCs w:val="18"/>
          <w:highlight w:val="yellow"/>
        </w:rPr>
      </w:pPr>
      <w:r>
        <w:rPr>
          <w:rFonts w:ascii="Arial" w:hAnsi="Arial" w:cs="Arial"/>
          <w:noProof/>
          <w:sz w:val="18"/>
          <w:szCs w:val="18"/>
          <w:highlight w:val="yellow"/>
          <w:lang w:eastAsia="pl-PL"/>
        </w:rPr>
        <w:drawing>
          <wp:anchor distT="0" distB="0" distL="114300" distR="114300" simplePos="0" relativeHeight="251656704" behindDoc="1" locked="0" layoutInCell="1" allowOverlap="1" wp14:anchorId="6DD5EABB" wp14:editId="429AFDB9">
            <wp:simplePos x="0" y="0"/>
            <wp:positionH relativeFrom="column">
              <wp:posOffset>2724150</wp:posOffset>
            </wp:positionH>
            <wp:positionV relativeFrom="paragraph">
              <wp:posOffset>-457200</wp:posOffset>
            </wp:positionV>
            <wp:extent cx="802640" cy="767715"/>
            <wp:effectExtent l="0" t="0" r="0" b="0"/>
            <wp:wrapNone/>
            <wp:docPr id="3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0"/>
                    <pic:cNvPicPr>
                      <a:picLocks noChangeAspect="1" noChangeArrowheads="1"/>
                    </pic:cNvPicPr>
                  </pic:nvPicPr>
                  <pic:blipFill>
                    <a:blip r:embed="rId24"/>
                    <a:srcRect/>
                    <a:stretch>
                      <a:fillRect/>
                    </a:stretch>
                  </pic:blipFill>
                  <pic:spPr>
                    <a:xfrm>
                      <a:off x="0" y="0"/>
                      <a:ext cx="80264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E6719A" w14:textId="77777777" w:rsidR="00C61EE3" w:rsidRDefault="00C61EE3">
      <w:pPr>
        <w:spacing w:after="280" w:line="360" w:lineRule="auto"/>
        <w:rPr>
          <w:rFonts w:ascii="Arial" w:hAnsi="Arial" w:cs="Arial"/>
          <w:sz w:val="18"/>
          <w:szCs w:val="18"/>
          <w:highlight w:val="yellow"/>
        </w:rPr>
      </w:pPr>
    </w:p>
    <w:p w14:paraId="70A0F7C9" w14:textId="77777777" w:rsidR="00C61EE3" w:rsidRDefault="00C61EE3">
      <w:pPr>
        <w:spacing w:after="280" w:line="360" w:lineRule="auto"/>
        <w:rPr>
          <w:rFonts w:ascii="Arial" w:hAnsi="Arial" w:cs="Arial"/>
          <w:sz w:val="18"/>
          <w:szCs w:val="18"/>
          <w:highlight w:val="yellow"/>
        </w:rPr>
      </w:pPr>
    </w:p>
    <w:p w14:paraId="6A4EC7DD" w14:textId="77777777" w:rsidR="00C61EE3" w:rsidRDefault="00C61EE3">
      <w:pPr>
        <w:spacing w:after="280" w:line="360" w:lineRule="auto"/>
        <w:rPr>
          <w:rFonts w:ascii="Arial" w:hAnsi="Arial" w:cs="Arial"/>
          <w:sz w:val="18"/>
          <w:szCs w:val="18"/>
        </w:rPr>
      </w:pPr>
    </w:p>
    <w:p w14:paraId="6B564E36" w14:textId="77777777" w:rsidR="00C61EE3" w:rsidRDefault="00B51A6E">
      <w:pPr>
        <w:pStyle w:val="Nagwek1"/>
        <w:jc w:val="center"/>
        <w:rPr>
          <w:rFonts w:ascii="Arial" w:hAnsi="Arial" w:cs="Arial"/>
          <w:color w:val="E31837"/>
          <w:sz w:val="40"/>
          <w:szCs w:val="40"/>
        </w:rPr>
      </w:pPr>
      <w:bookmarkStart w:id="13" w:name="_Toc54778913"/>
      <w:r>
        <w:rPr>
          <w:rFonts w:ascii="Arial" w:hAnsi="Arial" w:cs="Arial"/>
          <w:color w:val="E31837"/>
          <w:sz w:val="40"/>
          <w:szCs w:val="40"/>
        </w:rPr>
        <w:t>ANEKS  STATYSTYCZNY</w:t>
      </w:r>
      <w:bookmarkEnd w:id="13"/>
      <w:r>
        <w:rPr>
          <w:rFonts w:ascii="Arial" w:hAnsi="Arial" w:cs="Arial"/>
          <w:color w:val="E31837"/>
          <w:sz w:val="40"/>
          <w:szCs w:val="40"/>
        </w:rPr>
        <w:t xml:space="preserve"> </w:t>
      </w:r>
      <w:r>
        <w:rPr>
          <w:rFonts w:ascii="Arial" w:hAnsi="Arial" w:cs="Arial"/>
          <w:color w:val="E31837"/>
          <w:sz w:val="40"/>
          <w:szCs w:val="40"/>
        </w:rPr>
        <w:br/>
      </w:r>
    </w:p>
    <w:p w14:paraId="69036128" w14:textId="77777777" w:rsidR="00C61EE3" w:rsidRDefault="00C61EE3"/>
    <w:p w14:paraId="41B318F8" w14:textId="77777777" w:rsidR="00C61EE3" w:rsidRDefault="00C61EE3"/>
    <w:p w14:paraId="0ED1A8FB" w14:textId="77777777" w:rsidR="00C61EE3" w:rsidRDefault="00C61EE3"/>
    <w:p w14:paraId="1C4C5238" w14:textId="77777777" w:rsidR="00C61EE3" w:rsidRDefault="00B51A6E">
      <w:pPr>
        <w:spacing w:after="280" w:line="360" w:lineRule="auto"/>
        <w:rPr>
          <w:rFonts w:ascii="Arial" w:hAnsi="Arial" w:cs="Arial"/>
          <w:b/>
          <w:color w:val="E31837"/>
          <w:sz w:val="28"/>
          <w:szCs w:val="28"/>
        </w:rPr>
      </w:pPr>
      <w:r>
        <w:rPr>
          <w:rFonts w:ascii="Arial" w:hAnsi="Arial" w:cs="Arial"/>
          <w:b/>
          <w:color w:val="E31837"/>
          <w:sz w:val="28"/>
          <w:szCs w:val="28"/>
        </w:rPr>
        <w:t>SPIS TABLIC</w:t>
      </w:r>
    </w:p>
    <w:p w14:paraId="36FAE830" w14:textId="77777777" w:rsidR="00C61EE3" w:rsidRDefault="00B51A6E">
      <w:pPr>
        <w:spacing w:after="100" w:line="240" w:lineRule="auto"/>
        <w:rPr>
          <w:rFonts w:ascii="Arial" w:hAnsi="Arial" w:cs="Arial"/>
          <w:b/>
          <w:color w:val="ADAFB2"/>
          <w:sz w:val="20"/>
          <w:szCs w:val="20"/>
        </w:rPr>
      </w:pPr>
      <w:r>
        <w:rPr>
          <w:rFonts w:ascii="Arial" w:hAnsi="Arial" w:cs="Arial"/>
          <w:b/>
          <w:color w:val="ADAFB2"/>
          <w:sz w:val="20"/>
          <w:szCs w:val="20"/>
        </w:rPr>
        <w:t>Tablica 1</w:t>
      </w:r>
      <w:r>
        <w:rPr>
          <w:rFonts w:ascii="Arial" w:hAnsi="Arial" w:cs="Arial"/>
          <w:b/>
          <w:color w:val="ADAFB2"/>
          <w:sz w:val="20"/>
          <w:szCs w:val="20"/>
        </w:rPr>
        <w:tab/>
        <w:t>Podstawowe wskaźniki makroekonomiczne</w:t>
      </w:r>
    </w:p>
    <w:p w14:paraId="52AA5BF8" w14:textId="77777777" w:rsidR="00C61EE3" w:rsidRDefault="00B51A6E">
      <w:pPr>
        <w:spacing w:after="100" w:line="240" w:lineRule="auto"/>
        <w:rPr>
          <w:rFonts w:ascii="Arial" w:hAnsi="Arial" w:cs="Arial"/>
          <w:b/>
          <w:color w:val="ADAFB2"/>
          <w:sz w:val="20"/>
          <w:szCs w:val="20"/>
        </w:rPr>
      </w:pPr>
      <w:r>
        <w:rPr>
          <w:rFonts w:ascii="Arial" w:hAnsi="Arial" w:cs="Arial"/>
          <w:b/>
          <w:color w:val="ADAFB2"/>
          <w:sz w:val="20"/>
          <w:szCs w:val="20"/>
        </w:rPr>
        <w:t>Tablice 2- 5</w:t>
      </w:r>
      <w:r>
        <w:rPr>
          <w:rFonts w:ascii="Arial" w:hAnsi="Arial" w:cs="Arial"/>
          <w:b/>
          <w:color w:val="ADAFB2"/>
          <w:sz w:val="20"/>
          <w:szCs w:val="20"/>
        </w:rPr>
        <w:tab/>
        <w:t>Podstawowe dane z zakresu finansów publicznych (wg. ESA 2010) sektor instytucji rządowych i samorządowych</w:t>
      </w:r>
    </w:p>
    <w:p w14:paraId="6C970D76" w14:textId="77777777" w:rsidR="00C61EE3" w:rsidRDefault="00B51A6E">
      <w:pPr>
        <w:spacing w:after="100" w:line="240" w:lineRule="auto"/>
        <w:rPr>
          <w:rFonts w:ascii="Arial" w:hAnsi="Arial" w:cs="Arial"/>
          <w:b/>
          <w:color w:val="ADAFB2"/>
          <w:sz w:val="20"/>
          <w:szCs w:val="20"/>
        </w:rPr>
      </w:pPr>
      <w:r>
        <w:rPr>
          <w:rFonts w:ascii="Arial" w:hAnsi="Arial" w:cs="Arial"/>
          <w:b/>
          <w:color w:val="ADAFB2"/>
          <w:sz w:val="20"/>
          <w:szCs w:val="20"/>
        </w:rPr>
        <w:t>Tablice 6- 9</w:t>
      </w:r>
      <w:r>
        <w:rPr>
          <w:rFonts w:ascii="Arial" w:hAnsi="Arial" w:cs="Arial"/>
          <w:b/>
          <w:color w:val="ADAFB2"/>
          <w:sz w:val="20"/>
          <w:szCs w:val="20"/>
        </w:rPr>
        <w:tab/>
        <w:t>Podstawowe dane z zakresu finansów publicznych (wg. sprawozdawczości krajowej) budżet państwa</w:t>
      </w:r>
    </w:p>
    <w:p w14:paraId="79EC55EF" w14:textId="77777777" w:rsidR="00C61EE3" w:rsidRDefault="00B51A6E">
      <w:pPr>
        <w:spacing w:after="100" w:line="240" w:lineRule="auto"/>
        <w:rPr>
          <w:rFonts w:ascii="Arial" w:hAnsi="Arial" w:cs="Arial"/>
          <w:b/>
          <w:color w:val="ADAFB2"/>
          <w:sz w:val="20"/>
          <w:szCs w:val="20"/>
        </w:rPr>
      </w:pPr>
      <w:r>
        <w:rPr>
          <w:rFonts w:ascii="Arial" w:hAnsi="Arial" w:cs="Arial"/>
          <w:b/>
          <w:color w:val="ADAFB2"/>
          <w:sz w:val="20"/>
          <w:szCs w:val="20"/>
        </w:rPr>
        <w:t>Tablice 10- 12</w:t>
      </w:r>
      <w:r>
        <w:rPr>
          <w:rFonts w:ascii="Arial" w:hAnsi="Arial" w:cs="Arial"/>
          <w:b/>
          <w:color w:val="ADAFB2"/>
          <w:sz w:val="20"/>
          <w:szCs w:val="20"/>
        </w:rPr>
        <w:tab/>
        <w:t xml:space="preserve">Podstawowe dane z zakresu finansów publicznych – jednostki samorządu terytorialnego </w:t>
      </w:r>
    </w:p>
    <w:p w14:paraId="7AA9AB94" w14:textId="77777777" w:rsidR="00C61EE3" w:rsidRDefault="00B51A6E">
      <w:pPr>
        <w:spacing w:after="100" w:line="240" w:lineRule="auto"/>
        <w:rPr>
          <w:rFonts w:ascii="Arial" w:hAnsi="Arial" w:cs="Arial"/>
          <w:b/>
          <w:color w:val="ADAFB2"/>
          <w:sz w:val="20"/>
          <w:szCs w:val="20"/>
        </w:rPr>
      </w:pPr>
      <w:r>
        <w:rPr>
          <w:rFonts w:ascii="Arial" w:hAnsi="Arial" w:cs="Arial"/>
          <w:b/>
          <w:color w:val="ADAFB2"/>
          <w:sz w:val="20"/>
          <w:szCs w:val="20"/>
        </w:rPr>
        <w:t>Tablice 13- 19</w:t>
      </w:r>
      <w:r>
        <w:rPr>
          <w:rFonts w:ascii="Arial" w:hAnsi="Arial" w:cs="Arial"/>
          <w:b/>
          <w:color w:val="ADAFB2"/>
          <w:sz w:val="20"/>
          <w:szCs w:val="20"/>
        </w:rPr>
        <w:tab/>
        <w:t xml:space="preserve">Podstawowe dane z zakresu finansów publicznych - Państwowe fundusze celowe </w:t>
      </w:r>
    </w:p>
    <w:p w14:paraId="5A285369" w14:textId="77777777" w:rsidR="00C61EE3" w:rsidRDefault="00B51A6E">
      <w:pPr>
        <w:spacing w:after="100" w:line="240" w:lineRule="auto"/>
        <w:rPr>
          <w:rFonts w:ascii="Arial" w:hAnsi="Arial" w:cs="Arial"/>
          <w:b/>
          <w:color w:val="ADAFB2"/>
          <w:sz w:val="20"/>
          <w:szCs w:val="20"/>
        </w:rPr>
      </w:pPr>
      <w:r>
        <w:rPr>
          <w:rFonts w:ascii="Arial" w:hAnsi="Arial" w:cs="Arial"/>
          <w:b/>
          <w:color w:val="ADAFB2"/>
          <w:sz w:val="20"/>
          <w:szCs w:val="20"/>
        </w:rPr>
        <w:t>Tablice 20- 22</w:t>
      </w:r>
      <w:r>
        <w:rPr>
          <w:rFonts w:ascii="Arial" w:hAnsi="Arial" w:cs="Arial"/>
          <w:b/>
          <w:color w:val="ADAFB2"/>
          <w:sz w:val="20"/>
          <w:szCs w:val="20"/>
        </w:rPr>
        <w:tab/>
        <w:t xml:space="preserve">Podstawowe dane z zakresu finansów publicznych (wg. metodologii GFSM2001) </w:t>
      </w:r>
    </w:p>
    <w:p w14:paraId="5814CCB8" w14:textId="77777777" w:rsidR="00C61EE3" w:rsidRDefault="00B51A6E">
      <w:pPr>
        <w:spacing w:after="100" w:line="240" w:lineRule="auto"/>
        <w:rPr>
          <w:rFonts w:ascii="Arial" w:hAnsi="Arial" w:cs="Arial"/>
          <w:b/>
          <w:color w:val="ADAFB2"/>
          <w:sz w:val="20"/>
          <w:szCs w:val="20"/>
        </w:rPr>
      </w:pPr>
      <w:r>
        <w:rPr>
          <w:rFonts w:ascii="Arial" w:hAnsi="Arial" w:cs="Arial"/>
          <w:b/>
          <w:color w:val="ADAFB2"/>
          <w:sz w:val="20"/>
          <w:szCs w:val="20"/>
        </w:rPr>
        <w:t>Tablice 23- 24</w:t>
      </w:r>
      <w:r>
        <w:rPr>
          <w:rFonts w:ascii="Arial" w:hAnsi="Arial" w:cs="Arial"/>
          <w:b/>
          <w:color w:val="ADAFB2"/>
          <w:sz w:val="20"/>
          <w:szCs w:val="20"/>
        </w:rPr>
        <w:tab/>
        <w:t>Zadłużenie sektora instytucji rządowych i samorządowych (wg. ESA 2010)</w:t>
      </w:r>
    </w:p>
    <w:p w14:paraId="30FE8610" w14:textId="77777777" w:rsidR="00C61EE3" w:rsidRDefault="00B51A6E">
      <w:pPr>
        <w:spacing w:after="100" w:line="240" w:lineRule="auto"/>
        <w:rPr>
          <w:rFonts w:ascii="Arial" w:hAnsi="Arial" w:cs="Arial"/>
          <w:b/>
          <w:color w:val="ADAFB2"/>
          <w:sz w:val="20"/>
          <w:szCs w:val="20"/>
        </w:rPr>
      </w:pPr>
      <w:r>
        <w:rPr>
          <w:rFonts w:ascii="Arial" w:hAnsi="Arial" w:cs="Arial"/>
          <w:b/>
          <w:color w:val="ADAFB2"/>
          <w:sz w:val="20"/>
          <w:szCs w:val="20"/>
        </w:rPr>
        <w:t>Tablice 25- 26</w:t>
      </w:r>
      <w:r>
        <w:rPr>
          <w:rFonts w:ascii="Arial" w:hAnsi="Arial" w:cs="Arial"/>
          <w:b/>
          <w:color w:val="ADAFB2"/>
          <w:sz w:val="20"/>
          <w:szCs w:val="20"/>
        </w:rPr>
        <w:tab/>
        <w:t>Zadłużenie sektora finansów publicznych – Państwowy Dług Publiczny</w:t>
      </w:r>
    </w:p>
    <w:p w14:paraId="2F69D7C6" w14:textId="77777777" w:rsidR="00C61EE3" w:rsidRDefault="00B51A6E">
      <w:pPr>
        <w:spacing w:after="100" w:line="240" w:lineRule="auto"/>
        <w:rPr>
          <w:rFonts w:ascii="Arial" w:hAnsi="Arial" w:cs="Arial"/>
          <w:b/>
          <w:color w:val="ADAFB2"/>
          <w:sz w:val="20"/>
          <w:szCs w:val="20"/>
        </w:rPr>
      </w:pPr>
      <w:r>
        <w:rPr>
          <w:rFonts w:ascii="Arial" w:hAnsi="Arial" w:cs="Arial"/>
          <w:b/>
          <w:color w:val="ADAFB2"/>
          <w:sz w:val="20"/>
          <w:szCs w:val="20"/>
        </w:rPr>
        <w:t>Tablice 27- 28</w:t>
      </w:r>
      <w:r>
        <w:rPr>
          <w:rFonts w:ascii="Arial" w:hAnsi="Arial" w:cs="Arial"/>
          <w:b/>
          <w:color w:val="ADAFB2"/>
          <w:sz w:val="20"/>
          <w:szCs w:val="20"/>
        </w:rPr>
        <w:tab/>
        <w:t>Zadłużenie sektora finansów publicznych – Zadłużenie Skarbu Państwa</w:t>
      </w:r>
    </w:p>
    <w:sectPr w:rsidR="00C61EE3">
      <w:pgSz w:w="11907" w:h="16839"/>
      <w:pgMar w:top="1701" w:right="992" w:bottom="1418" w:left="1134" w:header="709" w:footer="975"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3AC8A" w14:textId="77777777" w:rsidR="006A5B73" w:rsidRDefault="006A5B73">
      <w:pPr>
        <w:spacing w:after="0" w:line="240" w:lineRule="auto"/>
      </w:pPr>
      <w:r>
        <w:separator/>
      </w:r>
    </w:p>
  </w:endnote>
  <w:endnote w:type="continuationSeparator" w:id="0">
    <w:p w14:paraId="461B5510" w14:textId="77777777" w:rsidR="006A5B73" w:rsidRDefault="006A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PL">
    <w:altName w:val="Times New Roman"/>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6363D" w14:textId="77777777" w:rsidR="00C61EE3" w:rsidRDefault="00B51A6E">
    <w:pPr>
      <w:pStyle w:val="Stopka"/>
      <w:rPr>
        <w:color w:val="ADAFB2"/>
      </w:rPr>
    </w:pPr>
    <w:r>
      <w:rPr>
        <w:color w:val="ADAFB2"/>
      </w:rPr>
      <w:t xml:space="preserve">Informacja kwartalna </w:t>
    </w:r>
    <w:r>
      <w:rPr>
        <w:color w:val="ADAFB2"/>
      </w:rPr>
      <w:tab/>
    </w:r>
    <w:r>
      <w:rPr>
        <w:color w:val="ADAFB2"/>
      </w:rPr>
      <w:tab/>
    </w:r>
    <w:r>
      <w:fldChar w:fldCharType="begin"/>
    </w:r>
    <w:r>
      <w:instrText xml:space="preserve"> PAGE </w:instrText>
    </w:r>
    <w:r>
      <w:fldChar w:fldCharType="separate"/>
    </w:r>
    <w:r w:rsidR="004C28BC">
      <w:rPr>
        <w:noProof/>
      </w:rPr>
      <w:t>5</w:t>
    </w:r>
    <w:r>
      <w:fldChar w:fldCharType="end"/>
    </w:r>
  </w:p>
  <w:p w14:paraId="158B7B69" w14:textId="77777777" w:rsidR="00C61EE3" w:rsidRDefault="00B51A6E">
    <w:pPr>
      <w:pStyle w:val="Stopka"/>
      <w:rPr>
        <w:color w:val="ADAFB2"/>
      </w:rPr>
    </w:pPr>
    <w:r>
      <w:rPr>
        <w:color w:val="ADAFB2"/>
      </w:rPr>
      <w:t xml:space="preserve">Nr </w:t>
    </w:r>
    <w:r w:rsidR="008911F5">
      <w:rPr>
        <w:color w:val="ADAFB2"/>
      </w:rPr>
      <w:t>4</w:t>
    </w:r>
    <w:r>
      <w:rPr>
        <w:color w:val="ADAFB2"/>
      </w:rPr>
      <w:t xml:space="preserve"> /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4B530" w14:textId="77777777" w:rsidR="00C61EE3" w:rsidRDefault="00C61EE3">
    <w:pPr>
      <w:pStyle w:val="Stopka"/>
      <w:rPr>
        <w:color w:val="ADAFB2"/>
      </w:rPr>
    </w:pPr>
  </w:p>
  <w:p w14:paraId="5867B0B4" w14:textId="77777777" w:rsidR="00C61EE3" w:rsidRDefault="00B51A6E">
    <w:pPr>
      <w:pStyle w:val="Stopka"/>
      <w:rPr>
        <w:color w:val="ADAFB2"/>
      </w:rPr>
    </w:pPr>
    <w:r>
      <w:rPr>
        <w:color w:val="ADAFB2"/>
      </w:rPr>
      <w:t>Informacja kwartalna</w:t>
    </w:r>
    <w:r>
      <w:rPr>
        <w:color w:val="ADAFB2"/>
      </w:rPr>
      <w:tab/>
    </w:r>
    <w:r>
      <w:rPr>
        <w:color w:val="ADAFB2"/>
      </w:rPr>
      <w:tab/>
    </w:r>
    <w:r>
      <w:fldChar w:fldCharType="begin"/>
    </w:r>
    <w:r>
      <w:instrText xml:space="preserve"> PAGE </w:instrText>
    </w:r>
    <w:r>
      <w:fldChar w:fldCharType="separate"/>
    </w:r>
    <w:r w:rsidR="004C28BC">
      <w:rPr>
        <w:noProof/>
      </w:rPr>
      <w:t>4</w:t>
    </w:r>
    <w:r>
      <w:fldChar w:fldCharType="end"/>
    </w:r>
  </w:p>
  <w:p w14:paraId="1CF2C10F" w14:textId="77777777" w:rsidR="00C61EE3" w:rsidRDefault="008911F5">
    <w:pPr>
      <w:pStyle w:val="Stopka"/>
      <w:rPr>
        <w:color w:val="ADAFB2"/>
      </w:rPr>
    </w:pPr>
    <w:r>
      <w:rPr>
        <w:color w:val="ADAFB2"/>
      </w:rPr>
      <w:t>Nr 4</w:t>
    </w:r>
    <w:r w:rsidR="00B51A6E">
      <w:rPr>
        <w:color w:val="ADAFB2"/>
      </w:rPr>
      <w:t xml:space="preserve"> /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749BD" w14:textId="77777777" w:rsidR="006A5B73" w:rsidRDefault="006A5B73">
      <w:pPr>
        <w:spacing w:after="0" w:line="240" w:lineRule="auto"/>
      </w:pPr>
      <w:r>
        <w:separator/>
      </w:r>
    </w:p>
  </w:footnote>
  <w:footnote w:type="continuationSeparator" w:id="0">
    <w:p w14:paraId="1641FA2E" w14:textId="77777777" w:rsidR="006A5B73" w:rsidRDefault="006A5B73">
      <w:pPr>
        <w:spacing w:after="0" w:line="240" w:lineRule="auto"/>
      </w:pPr>
      <w:r>
        <w:continuationSeparator/>
      </w:r>
    </w:p>
  </w:footnote>
  <w:footnote w:id="1">
    <w:p w14:paraId="42C745AD" w14:textId="77777777" w:rsidR="00C61EE3" w:rsidRDefault="00B51A6E">
      <w:pPr>
        <w:pStyle w:val="Tekstprzypisudolnego"/>
      </w:pPr>
      <w:r>
        <w:rPr>
          <w:rStyle w:val="Odwoanieprzypisudolnego"/>
        </w:rPr>
        <w:footnoteRef/>
      </w:r>
      <w:r>
        <w:t xml:space="preserve"> </w:t>
      </w:r>
      <w:r>
        <w:rPr>
          <w:rFonts w:ascii="Times New Roman" w:hAnsi="Times New Roman"/>
          <w:bCs/>
          <w:sz w:val="16"/>
          <w:szCs w:val="16"/>
        </w:rPr>
        <w:t xml:space="preserve">Zgodnie z </w:t>
      </w:r>
      <w:r>
        <w:rPr>
          <w:rFonts w:ascii="Times New Roman" w:hAnsi="Times New Roman"/>
          <w:bCs/>
          <w:i/>
          <w:sz w:val="16"/>
          <w:szCs w:val="16"/>
        </w:rPr>
        <w:t>ustawą o szczególnych rozwiązaniach związanych z zapobieganiem, przeciwdziałaniem i zwalczaniem COVID-19, innych chorób zakaźnych oraz wywołanych nimi sytuacji kryzysowych na</w:t>
      </w:r>
      <w:r>
        <w:rPr>
          <w:rFonts w:ascii="Times New Roman" w:hAnsi="Times New Roman"/>
          <w:bCs/>
          <w:sz w:val="16"/>
          <w:szCs w:val="16"/>
        </w:rPr>
        <w:t xml:space="preserve"> wniosek płatnika składek zwalnia się z obowiązku opłacania nieopłaconych należności z tytułu składek na ubezpieczenia społeczne,( …), należne za okres od dnia 1 marca 2020 r. do dnia 31 maja 2020 r.</w:t>
      </w:r>
    </w:p>
  </w:footnote>
  <w:footnote w:id="2">
    <w:p w14:paraId="71C8E5FF" w14:textId="77777777" w:rsidR="00AF6F0F" w:rsidRDefault="00AF6F0F">
      <w:pPr>
        <w:pStyle w:val="Tekstprzypisudolnego"/>
      </w:pPr>
      <w:r>
        <w:rPr>
          <w:rStyle w:val="Odwoanieprzypisudolnego"/>
        </w:rPr>
        <w:footnoteRef/>
      </w:r>
      <w:r>
        <w:t xml:space="preserve"> </w:t>
      </w:r>
      <w:r w:rsidRPr="00AF6F0F">
        <w:rPr>
          <w:rFonts w:ascii="Times New Roman" w:hAnsi="Times New Roman"/>
          <w:sz w:val="16"/>
          <w:szCs w:val="16"/>
        </w:rPr>
        <w:t>Zgodnie z zasadami ESA zysk NBP</w:t>
      </w:r>
      <w:r>
        <w:rPr>
          <w:rFonts w:ascii="Times New Roman" w:hAnsi="Times New Roman"/>
          <w:sz w:val="16"/>
          <w:szCs w:val="16"/>
        </w:rPr>
        <w:t xml:space="preserve"> z tytułu operacji</w:t>
      </w:r>
      <w:r w:rsidRPr="00AF6F0F">
        <w:rPr>
          <w:rFonts w:ascii="Times New Roman" w:hAnsi="Times New Roman"/>
          <w:sz w:val="16"/>
          <w:szCs w:val="16"/>
        </w:rPr>
        <w:t xml:space="preserve"> finansowych jest traktowany jako transakcja finansowa.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81A6F" w14:textId="77777777" w:rsidR="00C61EE3" w:rsidRDefault="00B51A6E">
    <w:pPr>
      <w:pStyle w:val="Nagwek"/>
    </w:pPr>
    <w:r>
      <w:rPr>
        <w:noProof/>
        <w:lang w:eastAsia="pl-PL"/>
      </w:rPr>
      <mc:AlternateContent>
        <mc:Choice Requires="wps">
          <w:drawing>
            <wp:anchor distT="0" distB="0" distL="114300" distR="114300" simplePos="0" relativeHeight="251656704" behindDoc="0" locked="0" layoutInCell="1" allowOverlap="1" wp14:anchorId="6AFE7256" wp14:editId="3E754487">
              <wp:simplePos x="0" y="0"/>
              <wp:positionH relativeFrom="column">
                <wp:posOffset>-349885</wp:posOffset>
              </wp:positionH>
              <wp:positionV relativeFrom="paragraph">
                <wp:posOffset>46355</wp:posOffset>
              </wp:positionV>
              <wp:extent cx="635" cy="9342755"/>
              <wp:effectExtent l="0" t="0" r="6350" b="0"/>
              <wp:wrapNone/>
              <wp:docPr id="3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35" cy="9342755"/>
                      </a:xfrm>
                      <a:prstGeom prst="straightConnector1">
                        <a:avLst/>
                      </a:prstGeom>
                      <a:noFill/>
                      <a:ln w="6350">
                        <a:solidFill>
                          <a:srgbClr val="7F7F7F"/>
                        </a:solidFill>
                        <a:round/>
                      </a:ln>
                    </wps:spPr>
                    <wps:bodyPr/>
                  </wps:wsp>
                </a:graphicData>
              </a:graphic>
              <wp14:sizeRelH relativeFrom="page">
                <wp14:pctWidth>0</wp14:pctWidth>
              </wp14:sizeRelH>
              <wp14:sizeRelV relativeFrom="page">
                <wp14:pctHeight>0</wp14:pctHeight>
              </wp14:sizeRelV>
            </wp:anchor>
          </w:drawing>
        </mc:Choice>
        <mc:Fallback>
          <w:pict>
            <v:shapetype w14:anchorId="1394BA1A" id="_x0000_t32" coordsize="21600,21600" o:spt="32" o:oned="t" path="m,l21600,21600e" filled="f">
              <v:path arrowok="t" fillok="f" o:connecttype="none"/>
              <o:lock v:ext="edit" shapetype="t"/>
            </v:shapetype>
            <v:shape id="AutoShape 1" o:spid="_x0000_s1026" type="#_x0000_t32" style="position:absolute;margin-left:-27.55pt;margin-top:3.65pt;width:.05pt;height:735.6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" strokecolor="#7f7f7f" strokeweight=".5pt"/>
          </w:pict>
        </mc:Fallback>
      </mc:AlternateContent>
    </w:r>
    <w:r>
      <w:rPr>
        <w:noProof/>
        <w:lang w:eastAsia="pl-PL"/>
      </w:rPr>
      <w:drawing>
        <wp:anchor distT="0" distB="0" distL="114300" distR="114300" simplePos="0" relativeHeight="251658752" behindDoc="1" locked="0" layoutInCell="1" allowOverlap="1" wp14:anchorId="33D2CF7A" wp14:editId="396E4C65">
          <wp:simplePos x="0" y="0"/>
          <wp:positionH relativeFrom="column">
            <wp:posOffset>-1564005</wp:posOffset>
          </wp:positionH>
          <wp:positionV relativeFrom="paragraph">
            <wp:posOffset>66040</wp:posOffset>
          </wp:positionV>
          <wp:extent cx="802640" cy="767715"/>
          <wp:effectExtent l="0" t="0" r="0" b="0"/>
          <wp:wrapNone/>
          <wp:docPr id="36"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pic:cNvPicPr>
                    <a:picLocks noChangeAspect="1" noChangeArrowheads="1"/>
                  </pic:cNvPicPr>
                </pic:nvPicPr>
                <pic:blipFill>
                  <a:blip r:embed="rId1"/>
                  <a:srcRect/>
                  <a:stretch>
                    <a:fillRect/>
                  </a:stretch>
                </pic:blipFill>
                <pic:spPr>
                  <a:xfrm>
                    <a:off x="0" y="0"/>
                    <a:ext cx="80264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7728" behindDoc="1" locked="0" layoutInCell="1" allowOverlap="1" wp14:anchorId="577586B2" wp14:editId="52BD49DB">
              <wp:simplePos x="0" y="0"/>
              <wp:positionH relativeFrom="column">
                <wp:posOffset>-1885950</wp:posOffset>
              </wp:positionH>
              <wp:positionV relativeFrom="paragraph">
                <wp:posOffset>8481060</wp:posOffset>
              </wp:positionV>
              <wp:extent cx="1363980" cy="89916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63980" cy="899160"/>
                      </a:xfrm>
                      <a:prstGeom prst="rect">
                        <a:avLst/>
                      </a:prstGeom>
                      <a:noFill/>
                      <a:ln>
                        <a:noFill/>
                      </a:ln>
                    </wps:spPr>
                    <wps:txbx>
                      <w:txbxContent>
                        <w:p w14:paraId="169BD741" w14:textId="77777777" w:rsidR="00C61EE3" w:rsidRDefault="00B51A6E">
                          <w:pPr>
                            <w:ind w:left="550"/>
                            <w:rPr>
                              <w:rFonts w:ascii="Arial" w:hAnsi="Arial" w:cs="Arial"/>
                              <w:color w:val="ADAFB2"/>
                              <w:sz w:val="15"/>
                              <w:szCs w:val="15"/>
                            </w:rPr>
                          </w:pPr>
                          <w:r>
                            <w:rPr>
                              <w:rFonts w:ascii="Arial" w:hAnsi="Arial" w:cs="Arial"/>
                              <w:color w:val="ADAFB2"/>
                              <w:sz w:val="15"/>
                              <w:szCs w:val="15"/>
                            </w:rPr>
                            <w:t xml:space="preserve">ul. </w:t>
                          </w:r>
                          <w:r>
                            <w:rPr>
                              <w:rFonts w:ascii="Arial" w:eastAsia="+mn-ea" w:hAnsi="Arial" w:cs="Arial"/>
                              <w:color w:val="ADAFB2"/>
                              <w:sz w:val="14"/>
                              <w:szCs w:val="14"/>
                            </w:rPr>
                            <w:t>Ś</w:t>
                          </w:r>
                          <w:r>
                            <w:rPr>
                              <w:rFonts w:ascii="Arial" w:hAnsi="Arial" w:cs="Arial"/>
                              <w:color w:val="ADAFB2"/>
                              <w:sz w:val="15"/>
                              <w:szCs w:val="15"/>
                            </w:rPr>
                            <w:t>więtokrzyska 12</w:t>
                          </w:r>
                          <w:r>
                            <w:rPr>
                              <w:rFonts w:ascii="Arial" w:hAnsi="Arial" w:cs="Arial"/>
                              <w:color w:val="ADAFB2"/>
                              <w:sz w:val="15"/>
                              <w:szCs w:val="15"/>
                            </w:rPr>
                            <w:br/>
                            <w:t>00-916 Warszawa</w:t>
                          </w:r>
                        </w:p>
                        <w:p w14:paraId="739DA8A2" w14:textId="77777777" w:rsidR="00C61EE3" w:rsidRDefault="00B51A6E">
                          <w:pPr>
                            <w:ind w:left="550"/>
                            <w:rPr>
                              <w:rFonts w:ascii="Arial" w:hAnsi="Arial" w:cs="Arial"/>
                              <w:color w:val="ADAFB2"/>
                              <w:sz w:val="15"/>
                              <w:szCs w:val="15"/>
                            </w:rPr>
                          </w:pPr>
                          <w:r>
                            <w:rPr>
                              <w:rFonts w:ascii="Arial" w:hAnsi="Arial" w:cs="Arial"/>
                              <w:color w:val="ADAFB2"/>
                              <w:sz w:val="15"/>
                              <w:szCs w:val="15"/>
                            </w:rPr>
                            <w:t>tel.: +48 22 694 55 55</w:t>
                          </w:r>
                          <w:r>
                            <w:rPr>
                              <w:rFonts w:ascii="Arial" w:hAnsi="Arial" w:cs="Arial"/>
                              <w:color w:val="ADAFB2"/>
                              <w:sz w:val="15"/>
                              <w:szCs w:val="15"/>
                            </w:rPr>
                            <w:br/>
                            <w:t>fax: +48 22 694 36 30</w:t>
                          </w:r>
                        </w:p>
                        <w:p w14:paraId="025B4EC2" w14:textId="77777777" w:rsidR="00C61EE3" w:rsidRDefault="00B51A6E">
                          <w:pPr>
                            <w:ind w:left="550"/>
                            <w:rPr>
                              <w:rFonts w:ascii="Arial" w:hAnsi="Arial" w:cs="Arial"/>
                              <w:color w:val="E31837"/>
                              <w:sz w:val="15"/>
                              <w:szCs w:val="15"/>
                            </w:rPr>
                          </w:pPr>
                          <w:r>
                            <w:rPr>
                              <w:rFonts w:ascii="Arial" w:hAnsi="Arial" w:cs="Arial"/>
                              <w:color w:val="E31837"/>
                              <w:sz w:val="15"/>
                              <w:szCs w:val="15"/>
                            </w:rPr>
                            <w:t>www.mf.gov.pl</w:t>
                          </w:r>
                        </w:p>
                        <w:p w14:paraId="03E91E5B" w14:textId="77777777" w:rsidR="00C61EE3" w:rsidRDefault="00C61EE3">
                          <w:pPr>
                            <w:ind w:left="550"/>
                            <w:rPr>
                              <w:rFonts w:ascii="Arial" w:hAnsi="Arial" w:cs="Arial"/>
                              <w:color w:val="7F7F7F"/>
                              <w:sz w:val="24"/>
                              <w:szCs w:val="24"/>
                            </w:rPr>
                          </w:pPr>
                        </w:p>
                      </w:txbxContent>
                    </wps:txbx>
                    <wps:bodyPr vert="horz"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577586B2" id="_x0000_t202" coordsize="21600,21600" o:spt="202" path="m,l,21600r21600,l21600,xe">
              <v:stroke joinstyle="miter"/>
              <v:path gradientshapeok="t" o:connecttype="rect"/>
            </v:shapetype>
            <v:shape id="Text Box 2" o:spid="_x0000_s1026" type="#_x0000_t202" style="position:absolute;margin-left:-148.5pt;margin-top:667.8pt;width:107.4pt;height:7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" filled="f" stroked="f">
              <v:textbox inset="0,0,0,0">
                <w:txbxContent>
                  <w:p w14:paraId="169BD741" w14:textId="77777777" w:rsidR="00C61EE3" w:rsidRDefault="00B51A6E">
                    <w:pPr>
                      <w:ind w:left="550"/>
                      <w:rPr>
                        <w:rFonts w:ascii="Arial" w:hAnsi="Arial" w:cs="Arial"/>
                        <w:color w:val="ADAFB2"/>
                        <w:sz w:val="15"/>
                        <w:szCs w:val="15"/>
                      </w:rPr>
                    </w:pPr>
                    <w:r>
                      <w:rPr>
                        <w:rFonts w:ascii="Arial" w:hAnsi="Arial" w:cs="Arial"/>
                        <w:color w:val="ADAFB2"/>
                        <w:sz w:val="15"/>
                        <w:szCs w:val="15"/>
                      </w:rPr>
                      <w:t xml:space="preserve">ul. </w:t>
                    </w:r>
                    <w:r>
                      <w:rPr>
                        <w:rFonts w:ascii="Arial" w:eastAsia="+mn-ea" w:hAnsi="Arial" w:cs="Arial"/>
                        <w:color w:val="ADAFB2"/>
                        <w:sz w:val="14"/>
                        <w:szCs w:val="14"/>
                      </w:rPr>
                      <w:t>Ś</w:t>
                    </w:r>
                    <w:r>
                      <w:rPr>
                        <w:rFonts w:ascii="Arial" w:hAnsi="Arial" w:cs="Arial"/>
                        <w:color w:val="ADAFB2"/>
                        <w:sz w:val="15"/>
                        <w:szCs w:val="15"/>
                      </w:rPr>
                      <w:t>więtokrzyska 12</w:t>
                    </w:r>
                    <w:r>
                      <w:rPr>
                        <w:rFonts w:ascii="Arial" w:hAnsi="Arial" w:cs="Arial"/>
                        <w:color w:val="ADAFB2"/>
                        <w:sz w:val="15"/>
                        <w:szCs w:val="15"/>
                      </w:rPr>
                      <w:br/>
                      <w:t>00-916 Warszawa</w:t>
                    </w:r>
                  </w:p>
                  <w:p w14:paraId="739DA8A2" w14:textId="77777777" w:rsidR="00C61EE3" w:rsidRDefault="00B51A6E">
                    <w:pPr>
                      <w:ind w:left="550"/>
                      <w:rPr>
                        <w:rFonts w:ascii="Arial" w:hAnsi="Arial" w:cs="Arial"/>
                        <w:color w:val="ADAFB2"/>
                        <w:sz w:val="15"/>
                        <w:szCs w:val="15"/>
                      </w:rPr>
                    </w:pPr>
                    <w:r>
                      <w:rPr>
                        <w:rFonts w:ascii="Arial" w:hAnsi="Arial" w:cs="Arial"/>
                        <w:color w:val="ADAFB2"/>
                        <w:sz w:val="15"/>
                        <w:szCs w:val="15"/>
                      </w:rPr>
                      <w:t>tel.: +48 22 694 55 55</w:t>
                    </w:r>
                    <w:r>
                      <w:rPr>
                        <w:rFonts w:ascii="Arial" w:hAnsi="Arial" w:cs="Arial"/>
                        <w:color w:val="ADAFB2"/>
                        <w:sz w:val="15"/>
                        <w:szCs w:val="15"/>
                      </w:rPr>
                      <w:br/>
                      <w:t>fax: +48 22 694 36 30</w:t>
                    </w:r>
                  </w:p>
                  <w:p w14:paraId="025B4EC2" w14:textId="77777777" w:rsidR="00C61EE3" w:rsidRDefault="00B51A6E">
                    <w:pPr>
                      <w:ind w:left="550"/>
                      <w:rPr>
                        <w:rFonts w:ascii="Arial" w:hAnsi="Arial" w:cs="Arial"/>
                        <w:color w:val="E31837"/>
                        <w:sz w:val="15"/>
                        <w:szCs w:val="15"/>
                      </w:rPr>
                    </w:pPr>
                    <w:r>
                      <w:rPr>
                        <w:rFonts w:ascii="Arial" w:hAnsi="Arial" w:cs="Arial"/>
                        <w:color w:val="E31837"/>
                        <w:sz w:val="15"/>
                        <w:szCs w:val="15"/>
                      </w:rPr>
                      <w:t>www.mf.gov.pl</w:t>
                    </w:r>
                  </w:p>
                  <w:p w14:paraId="03E91E5B" w14:textId="77777777" w:rsidR="00C61EE3" w:rsidRDefault="00C61EE3">
                    <w:pPr>
                      <w:ind w:left="550"/>
                      <w:rPr>
                        <w:rFonts w:ascii="Arial" w:hAnsi="Arial" w:cs="Arial"/>
                        <w:color w:val="7F7F7F"/>
                        <w:sz w:val="24"/>
                        <w:szCs w:val="24"/>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D665F" w14:textId="77777777" w:rsidR="00C61EE3" w:rsidRDefault="00C61EE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379"/>
    <w:multiLevelType w:val="hybridMultilevel"/>
    <w:tmpl w:val="DD5EF754"/>
    <w:lvl w:ilvl="0" w:tplc="F684E9D0">
      <w:start w:val="1"/>
      <w:numFmt w:val="decimal"/>
      <w:lvlText w:val="%1)"/>
      <w:lvlJc w:val="left"/>
      <w:pPr>
        <w:ind w:left="1440" w:hanging="360"/>
      </w:pPr>
      <w:rPr>
        <w:rFonts w:hint="default"/>
      </w:rPr>
    </w:lvl>
    <w:lvl w:ilvl="1" w:tplc="4D4CACBA" w:tentative="1">
      <w:start w:val="1"/>
      <w:numFmt w:val="lowerLetter"/>
      <w:lvlText w:val="%2."/>
      <w:lvlJc w:val="left"/>
      <w:pPr>
        <w:ind w:left="2160" w:hanging="360"/>
      </w:pPr>
    </w:lvl>
    <w:lvl w:ilvl="2" w:tplc="F5B82D82" w:tentative="1">
      <w:start w:val="1"/>
      <w:numFmt w:val="lowerRoman"/>
      <w:lvlText w:val="%3."/>
      <w:lvlJc w:val="right"/>
      <w:pPr>
        <w:ind w:left="2880" w:hanging="180"/>
      </w:pPr>
    </w:lvl>
    <w:lvl w:ilvl="3" w:tplc="292C0652" w:tentative="1">
      <w:start w:val="1"/>
      <w:numFmt w:val="decimal"/>
      <w:lvlText w:val="%4."/>
      <w:lvlJc w:val="left"/>
      <w:pPr>
        <w:ind w:left="3600" w:hanging="360"/>
      </w:pPr>
    </w:lvl>
    <w:lvl w:ilvl="4" w:tplc="C1E8537C" w:tentative="1">
      <w:start w:val="1"/>
      <w:numFmt w:val="lowerLetter"/>
      <w:lvlText w:val="%5."/>
      <w:lvlJc w:val="left"/>
      <w:pPr>
        <w:ind w:left="4320" w:hanging="360"/>
      </w:pPr>
    </w:lvl>
    <w:lvl w:ilvl="5" w:tplc="2C841B40" w:tentative="1">
      <w:start w:val="1"/>
      <w:numFmt w:val="lowerRoman"/>
      <w:lvlText w:val="%6."/>
      <w:lvlJc w:val="right"/>
      <w:pPr>
        <w:ind w:left="5040" w:hanging="180"/>
      </w:pPr>
    </w:lvl>
    <w:lvl w:ilvl="6" w:tplc="DC0675B4" w:tentative="1">
      <w:start w:val="1"/>
      <w:numFmt w:val="decimal"/>
      <w:lvlText w:val="%7."/>
      <w:lvlJc w:val="left"/>
      <w:pPr>
        <w:ind w:left="5760" w:hanging="360"/>
      </w:pPr>
    </w:lvl>
    <w:lvl w:ilvl="7" w:tplc="F6A49A56" w:tentative="1">
      <w:start w:val="1"/>
      <w:numFmt w:val="lowerLetter"/>
      <w:lvlText w:val="%8."/>
      <w:lvlJc w:val="left"/>
      <w:pPr>
        <w:ind w:left="6480" w:hanging="360"/>
      </w:pPr>
    </w:lvl>
    <w:lvl w:ilvl="8" w:tplc="83E8E358" w:tentative="1">
      <w:start w:val="1"/>
      <w:numFmt w:val="lowerRoman"/>
      <w:lvlText w:val="%9."/>
      <w:lvlJc w:val="right"/>
      <w:pPr>
        <w:ind w:left="7200" w:hanging="180"/>
      </w:pPr>
    </w:lvl>
  </w:abstractNum>
  <w:abstractNum w:abstractNumId="1" w15:restartNumberingAfterBreak="0">
    <w:nsid w:val="0DA40ABB"/>
    <w:multiLevelType w:val="hybridMultilevel"/>
    <w:tmpl w:val="B3E27444"/>
    <w:lvl w:ilvl="0" w:tplc="F8DE25AE">
      <w:start w:val="1"/>
      <w:numFmt w:val="bullet"/>
      <w:lvlText w:val=""/>
      <w:lvlJc w:val="left"/>
      <w:pPr>
        <w:tabs>
          <w:tab w:val="num" w:pos="360"/>
        </w:tabs>
        <w:ind w:left="360" w:hanging="360"/>
      </w:pPr>
      <w:rPr>
        <w:rFonts w:ascii="Symbol" w:hAnsi="Symbol" w:hint="default"/>
      </w:rPr>
    </w:lvl>
    <w:lvl w:ilvl="1" w:tplc="F2BCB9B0">
      <w:start w:val="1"/>
      <w:numFmt w:val="bullet"/>
      <w:lvlText w:val="o"/>
      <w:lvlJc w:val="left"/>
      <w:pPr>
        <w:tabs>
          <w:tab w:val="num" w:pos="1080"/>
        </w:tabs>
        <w:ind w:left="1080" w:hanging="360"/>
      </w:pPr>
      <w:rPr>
        <w:rFonts w:ascii="Courier New" w:hAnsi="Courier New" w:cs="Courier New" w:hint="default"/>
      </w:rPr>
    </w:lvl>
    <w:lvl w:ilvl="2" w:tplc="18FE2786" w:tentative="1">
      <w:start w:val="1"/>
      <w:numFmt w:val="bullet"/>
      <w:lvlText w:val=""/>
      <w:lvlJc w:val="left"/>
      <w:pPr>
        <w:tabs>
          <w:tab w:val="num" w:pos="1800"/>
        </w:tabs>
        <w:ind w:left="1800" w:hanging="360"/>
      </w:pPr>
      <w:rPr>
        <w:rFonts w:ascii="Wingdings" w:hAnsi="Wingdings" w:hint="default"/>
      </w:rPr>
    </w:lvl>
    <w:lvl w:ilvl="3" w:tplc="8594E038">
      <w:start w:val="1"/>
      <w:numFmt w:val="bullet"/>
      <w:lvlText w:val=""/>
      <w:lvlJc w:val="left"/>
      <w:pPr>
        <w:tabs>
          <w:tab w:val="num" w:pos="2520"/>
        </w:tabs>
        <w:ind w:left="2520" w:hanging="360"/>
      </w:pPr>
      <w:rPr>
        <w:rFonts w:ascii="Symbol" w:hAnsi="Symbol" w:hint="default"/>
      </w:rPr>
    </w:lvl>
    <w:lvl w:ilvl="4" w:tplc="416ACFF2" w:tentative="1">
      <w:start w:val="1"/>
      <w:numFmt w:val="bullet"/>
      <w:lvlText w:val="o"/>
      <w:lvlJc w:val="left"/>
      <w:pPr>
        <w:tabs>
          <w:tab w:val="num" w:pos="3240"/>
        </w:tabs>
        <w:ind w:left="3240" w:hanging="360"/>
      </w:pPr>
      <w:rPr>
        <w:rFonts w:ascii="Courier New" w:hAnsi="Courier New" w:cs="Courier New" w:hint="default"/>
      </w:rPr>
    </w:lvl>
    <w:lvl w:ilvl="5" w:tplc="FFCCFE86" w:tentative="1">
      <w:start w:val="1"/>
      <w:numFmt w:val="bullet"/>
      <w:lvlText w:val=""/>
      <w:lvlJc w:val="left"/>
      <w:pPr>
        <w:tabs>
          <w:tab w:val="num" w:pos="3960"/>
        </w:tabs>
        <w:ind w:left="3960" w:hanging="360"/>
      </w:pPr>
      <w:rPr>
        <w:rFonts w:ascii="Wingdings" w:hAnsi="Wingdings" w:hint="default"/>
      </w:rPr>
    </w:lvl>
    <w:lvl w:ilvl="6" w:tplc="19261DBA" w:tentative="1">
      <w:start w:val="1"/>
      <w:numFmt w:val="bullet"/>
      <w:lvlText w:val=""/>
      <w:lvlJc w:val="left"/>
      <w:pPr>
        <w:tabs>
          <w:tab w:val="num" w:pos="4680"/>
        </w:tabs>
        <w:ind w:left="4680" w:hanging="360"/>
      </w:pPr>
      <w:rPr>
        <w:rFonts w:ascii="Symbol" w:hAnsi="Symbol" w:hint="default"/>
      </w:rPr>
    </w:lvl>
    <w:lvl w:ilvl="7" w:tplc="BB8ED0EE" w:tentative="1">
      <w:start w:val="1"/>
      <w:numFmt w:val="bullet"/>
      <w:lvlText w:val="o"/>
      <w:lvlJc w:val="left"/>
      <w:pPr>
        <w:tabs>
          <w:tab w:val="num" w:pos="5400"/>
        </w:tabs>
        <w:ind w:left="5400" w:hanging="360"/>
      </w:pPr>
      <w:rPr>
        <w:rFonts w:ascii="Courier New" w:hAnsi="Courier New" w:cs="Courier New" w:hint="default"/>
      </w:rPr>
    </w:lvl>
    <w:lvl w:ilvl="8" w:tplc="CEC617B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D9095A"/>
    <w:multiLevelType w:val="hybridMultilevel"/>
    <w:tmpl w:val="E0EC790A"/>
    <w:lvl w:ilvl="0" w:tplc="DC0EB0D2">
      <w:start w:val="1"/>
      <w:numFmt w:val="bullet"/>
      <w:lvlText w:val=""/>
      <w:lvlJc w:val="left"/>
      <w:pPr>
        <w:ind w:left="770" w:hanging="360"/>
      </w:pPr>
      <w:rPr>
        <w:rFonts w:ascii="Symbol" w:hAnsi="Symbol" w:hint="default"/>
      </w:rPr>
    </w:lvl>
    <w:lvl w:ilvl="1" w:tplc="12185E76" w:tentative="1">
      <w:start w:val="1"/>
      <w:numFmt w:val="bullet"/>
      <w:lvlText w:val="o"/>
      <w:lvlJc w:val="left"/>
      <w:pPr>
        <w:ind w:left="1490" w:hanging="360"/>
      </w:pPr>
      <w:rPr>
        <w:rFonts w:ascii="Courier New" w:hAnsi="Courier New" w:cs="Courier New" w:hint="default"/>
      </w:rPr>
    </w:lvl>
    <w:lvl w:ilvl="2" w:tplc="57525C38" w:tentative="1">
      <w:start w:val="1"/>
      <w:numFmt w:val="bullet"/>
      <w:lvlText w:val=""/>
      <w:lvlJc w:val="left"/>
      <w:pPr>
        <w:ind w:left="2210" w:hanging="360"/>
      </w:pPr>
      <w:rPr>
        <w:rFonts w:ascii="Wingdings" w:hAnsi="Wingdings" w:hint="default"/>
      </w:rPr>
    </w:lvl>
    <w:lvl w:ilvl="3" w:tplc="65A6F362" w:tentative="1">
      <w:start w:val="1"/>
      <w:numFmt w:val="bullet"/>
      <w:lvlText w:val=""/>
      <w:lvlJc w:val="left"/>
      <w:pPr>
        <w:ind w:left="2930" w:hanging="360"/>
      </w:pPr>
      <w:rPr>
        <w:rFonts w:ascii="Symbol" w:hAnsi="Symbol" w:hint="default"/>
      </w:rPr>
    </w:lvl>
    <w:lvl w:ilvl="4" w:tplc="AADE77FA" w:tentative="1">
      <w:start w:val="1"/>
      <w:numFmt w:val="bullet"/>
      <w:lvlText w:val="o"/>
      <w:lvlJc w:val="left"/>
      <w:pPr>
        <w:ind w:left="3650" w:hanging="360"/>
      </w:pPr>
      <w:rPr>
        <w:rFonts w:ascii="Courier New" w:hAnsi="Courier New" w:cs="Courier New" w:hint="default"/>
      </w:rPr>
    </w:lvl>
    <w:lvl w:ilvl="5" w:tplc="2F74D04E" w:tentative="1">
      <w:start w:val="1"/>
      <w:numFmt w:val="bullet"/>
      <w:lvlText w:val=""/>
      <w:lvlJc w:val="left"/>
      <w:pPr>
        <w:ind w:left="4370" w:hanging="360"/>
      </w:pPr>
      <w:rPr>
        <w:rFonts w:ascii="Wingdings" w:hAnsi="Wingdings" w:hint="default"/>
      </w:rPr>
    </w:lvl>
    <w:lvl w:ilvl="6" w:tplc="E4FACDF8" w:tentative="1">
      <w:start w:val="1"/>
      <w:numFmt w:val="bullet"/>
      <w:lvlText w:val=""/>
      <w:lvlJc w:val="left"/>
      <w:pPr>
        <w:ind w:left="5090" w:hanging="360"/>
      </w:pPr>
      <w:rPr>
        <w:rFonts w:ascii="Symbol" w:hAnsi="Symbol" w:hint="default"/>
      </w:rPr>
    </w:lvl>
    <w:lvl w:ilvl="7" w:tplc="445AC1D6" w:tentative="1">
      <w:start w:val="1"/>
      <w:numFmt w:val="bullet"/>
      <w:lvlText w:val="o"/>
      <w:lvlJc w:val="left"/>
      <w:pPr>
        <w:ind w:left="5810" w:hanging="360"/>
      </w:pPr>
      <w:rPr>
        <w:rFonts w:ascii="Courier New" w:hAnsi="Courier New" w:cs="Courier New" w:hint="default"/>
      </w:rPr>
    </w:lvl>
    <w:lvl w:ilvl="8" w:tplc="B664CD78" w:tentative="1">
      <w:start w:val="1"/>
      <w:numFmt w:val="bullet"/>
      <w:lvlText w:val=""/>
      <w:lvlJc w:val="left"/>
      <w:pPr>
        <w:ind w:left="6530" w:hanging="360"/>
      </w:pPr>
      <w:rPr>
        <w:rFonts w:ascii="Wingdings" w:hAnsi="Wingdings" w:hint="default"/>
      </w:rPr>
    </w:lvl>
  </w:abstractNum>
  <w:abstractNum w:abstractNumId="3" w15:restartNumberingAfterBreak="0">
    <w:nsid w:val="150F2169"/>
    <w:multiLevelType w:val="hybridMultilevel"/>
    <w:tmpl w:val="CC1E2930"/>
    <w:lvl w:ilvl="0" w:tplc="91C486FE">
      <w:start w:val="1"/>
      <w:numFmt w:val="bullet"/>
      <w:lvlText w:val=""/>
      <w:lvlJc w:val="left"/>
      <w:pPr>
        <w:tabs>
          <w:tab w:val="num" w:pos="284"/>
        </w:tabs>
        <w:ind w:left="284" w:hanging="284"/>
      </w:pPr>
      <w:rPr>
        <w:rFonts w:ascii="Symbol" w:hAnsi="Symbol" w:hint="default"/>
      </w:rPr>
    </w:lvl>
    <w:lvl w:ilvl="1" w:tplc="42DE9CBC" w:tentative="1">
      <w:start w:val="1"/>
      <w:numFmt w:val="bullet"/>
      <w:lvlText w:val="o"/>
      <w:lvlJc w:val="left"/>
      <w:pPr>
        <w:tabs>
          <w:tab w:val="num" w:pos="1440"/>
        </w:tabs>
        <w:ind w:left="1440" w:hanging="360"/>
      </w:pPr>
      <w:rPr>
        <w:rFonts w:ascii="Courier New" w:hAnsi="Courier New" w:cs="Courier New" w:hint="default"/>
      </w:rPr>
    </w:lvl>
    <w:lvl w:ilvl="2" w:tplc="78E8DB18" w:tentative="1">
      <w:start w:val="1"/>
      <w:numFmt w:val="bullet"/>
      <w:lvlText w:val=""/>
      <w:lvlJc w:val="left"/>
      <w:pPr>
        <w:tabs>
          <w:tab w:val="num" w:pos="2160"/>
        </w:tabs>
        <w:ind w:left="2160" w:hanging="360"/>
      </w:pPr>
      <w:rPr>
        <w:rFonts w:ascii="Wingdings" w:hAnsi="Wingdings" w:hint="default"/>
      </w:rPr>
    </w:lvl>
    <w:lvl w:ilvl="3" w:tplc="A93AA876" w:tentative="1">
      <w:start w:val="1"/>
      <w:numFmt w:val="bullet"/>
      <w:lvlText w:val=""/>
      <w:lvlJc w:val="left"/>
      <w:pPr>
        <w:tabs>
          <w:tab w:val="num" w:pos="2880"/>
        </w:tabs>
        <w:ind w:left="2880" w:hanging="360"/>
      </w:pPr>
      <w:rPr>
        <w:rFonts w:ascii="Symbol" w:hAnsi="Symbol" w:hint="default"/>
      </w:rPr>
    </w:lvl>
    <w:lvl w:ilvl="4" w:tplc="5E86A0C6" w:tentative="1">
      <w:start w:val="1"/>
      <w:numFmt w:val="bullet"/>
      <w:lvlText w:val="o"/>
      <w:lvlJc w:val="left"/>
      <w:pPr>
        <w:tabs>
          <w:tab w:val="num" w:pos="3600"/>
        </w:tabs>
        <w:ind w:left="3600" w:hanging="360"/>
      </w:pPr>
      <w:rPr>
        <w:rFonts w:ascii="Courier New" w:hAnsi="Courier New" w:cs="Courier New" w:hint="default"/>
      </w:rPr>
    </w:lvl>
    <w:lvl w:ilvl="5" w:tplc="7A30E924" w:tentative="1">
      <w:start w:val="1"/>
      <w:numFmt w:val="bullet"/>
      <w:lvlText w:val=""/>
      <w:lvlJc w:val="left"/>
      <w:pPr>
        <w:tabs>
          <w:tab w:val="num" w:pos="4320"/>
        </w:tabs>
        <w:ind w:left="4320" w:hanging="360"/>
      </w:pPr>
      <w:rPr>
        <w:rFonts w:ascii="Wingdings" w:hAnsi="Wingdings" w:hint="default"/>
      </w:rPr>
    </w:lvl>
    <w:lvl w:ilvl="6" w:tplc="CECAAAE0" w:tentative="1">
      <w:start w:val="1"/>
      <w:numFmt w:val="bullet"/>
      <w:lvlText w:val=""/>
      <w:lvlJc w:val="left"/>
      <w:pPr>
        <w:tabs>
          <w:tab w:val="num" w:pos="5040"/>
        </w:tabs>
        <w:ind w:left="5040" w:hanging="360"/>
      </w:pPr>
      <w:rPr>
        <w:rFonts w:ascii="Symbol" w:hAnsi="Symbol" w:hint="default"/>
      </w:rPr>
    </w:lvl>
    <w:lvl w:ilvl="7" w:tplc="E256BB8A" w:tentative="1">
      <w:start w:val="1"/>
      <w:numFmt w:val="bullet"/>
      <w:lvlText w:val="o"/>
      <w:lvlJc w:val="left"/>
      <w:pPr>
        <w:tabs>
          <w:tab w:val="num" w:pos="5760"/>
        </w:tabs>
        <w:ind w:left="5760" w:hanging="360"/>
      </w:pPr>
      <w:rPr>
        <w:rFonts w:ascii="Courier New" w:hAnsi="Courier New" w:cs="Courier New" w:hint="default"/>
      </w:rPr>
    </w:lvl>
    <w:lvl w:ilvl="8" w:tplc="55E6E6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C0F44"/>
    <w:multiLevelType w:val="hybridMultilevel"/>
    <w:tmpl w:val="4320B6A8"/>
    <w:lvl w:ilvl="0" w:tplc="0E94994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9551110"/>
    <w:multiLevelType w:val="hybridMultilevel"/>
    <w:tmpl w:val="93385A44"/>
    <w:lvl w:ilvl="0" w:tplc="51F6A5C6">
      <w:start w:val="1"/>
      <w:numFmt w:val="bullet"/>
      <w:lvlText w:val=""/>
      <w:lvlJc w:val="left"/>
      <w:pPr>
        <w:tabs>
          <w:tab w:val="num" w:pos="720"/>
        </w:tabs>
        <w:ind w:left="720" w:hanging="360"/>
      </w:pPr>
      <w:rPr>
        <w:rFonts w:ascii="Symbol" w:hAnsi="Symbol" w:hint="default"/>
      </w:rPr>
    </w:lvl>
    <w:lvl w:ilvl="1" w:tplc="210AFDF0" w:tentative="1">
      <w:start w:val="1"/>
      <w:numFmt w:val="bullet"/>
      <w:lvlText w:val="o"/>
      <w:lvlJc w:val="left"/>
      <w:pPr>
        <w:tabs>
          <w:tab w:val="num" w:pos="1440"/>
        </w:tabs>
        <w:ind w:left="1440" w:hanging="360"/>
      </w:pPr>
      <w:rPr>
        <w:rFonts w:ascii="Courier New" w:hAnsi="Courier New" w:cs="Courier New" w:hint="default"/>
      </w:rPr>
    </w:lvl>
    <w:lvl w:ilvl="2" w:tplc="74DEC946" w:tentative="1">
      <w:start w:val="1"/>
      <w:numFmt w:val="bullet"/>
      <w:lvlText w:val=""/>
      <w:lvlJc w:val="left"/>
      <w:pPr>
        <w:tabs>
          <w:tab w:val="num" w:pos="2160"/>
        </w:tabs>
        <w:ind w:left="2160" w:hanging="360"/>
      </w:pPr>
      <w:rPr>
        <w:rFonts w:ascii="Wingdings" w:hAnsi="Wingdings" w:hint="default"/>
      </w:rPr>
    </w:lvl>
    <w:lvl w:ilvl="3" w:tplc="FC3AE60C" w:tentative="1">
      <w:start w:val="1"/>
      <w:numFmt w:val="bullet"/>
      <w:lvlText w:val=""/>
      <w:lvlJc w:val="left"/>
      <w:pPr>
        <w:tabs>
          <w:tab w:val="num" w:pos="2880"/>
        </w:tabs>
        <w:ind w:left="2880" w:hanging="360"/>
      </w:pPr>
      <w:rPr>
        <w:rFonts w:ascii="Symbol" w:hAnsi="Symbol" w:hint="default"/>
      </w:rPr>
    </w:lvl>
    <w:lvl w:ilvl="4" w:tplc="D5D296FE" w:tentative="1">
      <w:start w:val="1"/>
      <w:numFmt w:val="bullet"/>
      <w:lvlText w:val="o"/>
      <w:lvlJc w:val="left"/>
      <w:pPr>
        <w:tabs>
          <w:tab w:val="num" w:pos="3600"/>
        </w:tabs>
        <w:ind w:left="3600" w:hanging="360"/>
      </w:pPr>
      <w:rPr>
        <w:rFonts w:ascii="Courier New" w:hAnsi="Courier New" w:cs="Courier New" w:hint="default"/>
      </w:rPr>
    </w:lvl>
    <w:lvl w:ilvl="5" w:tplc="31CA85F0" w:tentative="1">
      <w:start w:val="1"/>
      <w:numFmt w:val="bullet"/>
      <w:lvlText w:val=""/>
      <w:lvlJc w:val="left"/>
      <w:pPr>
        <w:tabs>
          <w:tab w:val="num" w:pos="4320"/>
        </w:tabs>
        <w:ind w:left="4320" w:hanging="360"/>
      </w:pPr>
      <w:rPr>
        <w:rFonts w:ascii="Wingdings" w:hAnsi="Wingdings" w:hint="default"/>
      </w:rPr>
    </w:lvl>
    <w:lvl w:ilvl="6" w:tplc="C48E0FE4" w:tentative="1">
      <w:start w:val="1"/>
      <w:numFmt w:val="bullet"/>
      <w:lvlText w:val=""/>
      <w:lvlJc w:val="left"/>
      <w:pPr>
        <w:tabs>
          <w:tab w:val="num" w:pos="5040"/>
        </w:tabs>
        <w:ind w:left="5040" w:hanging="360"/>
      </w:pPr>
      <w:rPr>
        <w:rFonts w:ascii="Symbol" w:hAnsi="Symbol" w:hint="default"/>
      </w:rPr>
    </w:lvl>
    <w:lvl w:ilvl="7" w:tplc="18584FBA" w:tentative="1">
      <w:start w:val="1"/>
      <w:numFmt w:val="bullet"/>
      <w:lvlText w:val="o"/>
      <w:lvlJc w:val="left"/>
      <w:pPr>
        <w:tabs>
          <w:tab w:val="num" w:pos="5760"/>
        </w:tabs>
        <w:ind w:left="5760" w:hanging="360"/>
      </w:pPr>
      <w:rPr>
        <w:rFonts w:ascii="Courier New" w:hAnsi="Courier New" w:cs="Courier New" w:hint="default"/>
      </w:rPr>
    </w:lvl>
    <w:lvl w:ilvl="8" w:tplc="FEBC0F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C40F0"/>
    <w:multiLevelType w:val="hybridMultilevel"/>
    <w:tmpl w:val="E9AE3F76"/>
    <w:lvl w:ilvl="0" w:tplc="05060650">
      <w:start w:val="1"/>
      <w:numFmt w:val="bullet"/>
      <w:lvlText w:val=""/>
      <w:lvlJc w:val="left"/>
      <w:pPr>
        <w:ind w:left="720" w:hanging="360"/>
      </w:pPr>
      <w:rPr>
        <w:rFonts w:ascii="Symbol" w:hAnsi="Symbol" w:hint="default"/>
      </w:rPr>
    </w:lvl>
    <w:lvl w:ilvl="1" w:tplc="A5ECD960" w:tentative="1">
      <w:start w:val="1"/>
      <w:numFmt w:val="bullet"/>
      <w:lvlText w:val="o"/>
      <w:lvlJc w:val="left"/>
      <w:pPr>
        <w:ind w:left="1440" w:hanging="360"/>
      </w:pPr>
      <w:rPr>
        <w:rFonts w:ascii="Courier New" w:hAnsi="Courier New" w:cs="Courier New" w:hint="default"/>
      </w:rPr>
    </w:lvl>
    <w:lvl w:ilvl="2" w:tplc="E61EA1C0" w:tentative="1">
      <w:start w:val="1"/>
      <w:numFmt w:val="bullet"/>
      <w:lvlText w:val=""/>
      <w:lvlJc w:val="left"/>
      <w:pPr>
        <w:ind w:left="2160" w:hanging="360"/>
      </w:pPr>
      <w:rPr>
        <w:rFonts w:ascii="Wingdings" w:hAnsi="Wingdings" w:hint="default"/>
      </w:rPr>
    </w:lvl>
    <w:lvl w:ilvl="3" w:tplc="C598DC3A" w:tentative="1">
      <w:start w:val="1"/>
      <w:numFmt w:val="bullet"/>
      <w:lvlText w:val=""/>
      <w:lvlJc w:val="left"/>
      <w:pPr>
        <w:ind w:left="2880" w:hanging="360"/>
      </w:pPr>
      <w:rPr>
        <w:rFonts w:ascii="Symbol" w:hAnsi="Symbol" w:hint="default"/>
      </w:rPr>
    </w:lvl>
    <w:lvl w:ilvl="4" w:tplc="18DAC31C" w:tentative="1">
      <w:start w:val="1"/>
      <w:numFmt w:val="bullet"/>
      <w:lvlText w:val="o"/>
      <w:lvlJc w:val="left"/>
      <w:pPr>
        <w:ind w:left="3600" w:hanging="360"/>
      </w:pPr>
      <w:rPr>
        <w:rFonts w:ascii="Courier New" w:hAnsi="Courier New" w:cs="Courier New" w:hint="default"/>
      </w:rPr>
    </w:lvl>
    <w:lvl w:ilvl="5" w:tplc="7A5EC51A" w:tentative="1">
      <w:start w:val="1"/>
      <w:numFmt w:val="bullet"/>
      <w:lvlText w:val=""/>
      <w:lvlJc w:val="left"/>
      <w:pPr>
        <w:ind w:left="4320" w:hanging="360"/>
      </w:pPr>
      <w:rPr>
        <w:rFonts w:ascii="Wingdings" w:hAnsi="Wingdings" w:hint="default"/>
      </w:rPr>
    </w:lvl>
    <w:lvl w:ilvl="6" w:tplc="2DD493C6" w:tentative="1">
      <w:start w:val="1"/>
      <w:numFmt w:val="bullet"/>
      <w:lvlText w:val=""/>
      <w:lvlJc w:val="left"/>
      <w:pPr>
        <w:ind w:left="5040" w:hanging="360"/>
      </w:pPr>
      <w:rPr>
        <w:rFonts w:ascii="Symbol" w:hAnsi="Symbol" w:hint="default"/>
      </w:rPr>
    </w:lvl>
    <w:lvl w:ilvl="7" w:tplc="BED0A54C" w:tentative="1">
      <w:start w:val="1"/>
      <w:numFmt w:val="bullet"/>
      <w:lvlText w:val="o"/>
      <w:lvlJc w:val="left"/>
      <w:pPr>
        <w:ind w:left="5760" w:hanging="360"/>
      </w:pPr>
      <w:rPr>
        <w:rFonts w:ascii="Courier New" w:hAnsi="Courier New" w:cs="Courier New" w:hint="default"/>
      </w:rPr>
    </w:lvl>
    <w:lvl w:ilvl="8" w:tplc="D71CF7A8" w:tentative="1">
      <w:start w:val="1"/>
      <w:numFmt w:val="bullet"/>
      <w:lvlText w:val=""/>
      <w:lvlJc w:val="left"/>
      <w:pPr>
        <w:ind w:left="6480" w:hanging="360"/>
      </w:pPr>
      <w:rPr>
        <w:rFonts w:ascii="Wingdings" w:hAnsi="Wingdings" w:hint="default"/>
      </w:rPr>
    </w:lvl>
  </w:abstractNum>
  <w:abstractNum w:abstractNumId="7" w15:restartNumberingAfterBreak="0">
    <w:nsid w:val="24F57893"/>
    <w:multiLevelType w:val="hybridMultilevel"/>
    <w:tmpl w:val="B27EF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8A1CA9"/>
    <w:multiLevelType w:val="hybridMultilevel"/>
    <w:tmpl w:val="5A46961E"/>
    <w:lvl w:ilvl="0" w:tplc="9D0AEFA4">
      <w:start w:val="1"/>
      <w:numFmt w:val="bullet"/>
      <w:lvlText w:val=""/>
      <w:lvlJc w:val="left"/>
      <w:pPr>
        <w:tabs>
          <w:tab w:val="num" w:pos="227"/>
        </w:tabs>
        <w:ind w:left="227" w:hanging="227"/>
      </w:pPr>
      <w:rPr>
        <w:rFonts w:ascii="Symbol" w:hAnsi="Symbol" w:hint="default"/>
      </w:rPr>
    </w:lvl>
    <w:lvl w:ilvl="1" w:tplc="EF645D62" w:tentative="1">
      <w:start w:val="1"/>
      <w:numFmt w:val="bullet"/>
      <w:lvlText w:val="o"/>
      <w:lvlJc w:val="left"/>
      <w:pPr>
        <w:ind w:left="1490" w:hanging="360"/>
      </w:pPr>
      <w:rPr>
        <w:rFonts w:ascii="Courier New" w:hAnsi="Courier New" w:cs="Courier New" w:hint="default"/>
      </w:rPr>
    </w:lvl>
    <w:lvl w:ilvl="2" w:tplc="E9EE0DC4" w:tentative="1">
      <w:start w:val="1"/>
      <w:numFmt w:val="bullet"/>
      <w:lvlText w:val=""/>
      <w:lvlJc w:val="left"/>
      <w:pPr>
        <w:ind w:left="2210" w:hanging="360"/>
      </w:pPr>
      <w:rPr>
        <w:rFonts w:ascii="Wingdings" w:hAnsi="Wingdings" w:hint="default"/>
      </w:rPr>
    </w:lvl>
    <w:lvl w:ilvl="3" w:tplc="9D32F3CA" w:tentative="1">
      <w:start w:val="1"/>
      <w:numFmt w:val="bullet"/>
      <w:lvlText w:val=""/>
      <w:lvlJc w:val="left"/>
      <w:pPr>
        <w:ind w:left="2930" w:hanging="360"/>
      </w:pPr>
      <w:rPr>
        <w:rFonts w:ascii="Symbol" w:hAnsi="Symbol" w:hint="default"/>
      </w:rPr>
    </w:lvl>
    <w:lvl w:ilvl="4" w:tplc="251CF01E" w:tentative="1">
      <w:start w:val="1"/>
      <w:numFmt w:val="bullet"/>
      <w:lvlText w:val="o"/>
      <w:lvlJc w:val="left"/>
      <w:pPr>
        <w:ind w:left="3650" w:hanging="360"/>
      </w:pPr>
      <w:rPr>
        <w:rFonts w:ascii="Courier New" w:hAnsi="Courier New" w:cs="Courier New" w:hint="default"/>
      </w:rPr>
    </w:lvl>
    <w:lvl w:ilvl="5" w:tplc="758E3C1C" w:tentative="1">
      <w:start w:val="1"/>
      <w:numFmt w:val="bullet"/>
      <w:lvlText w:val=""/>
      <w:lvlJc w:val="left"/>
      <w:pPr>
        <w:ind w:left="4370" w:hanging="360"/>
      </w:pPr>
      <w:rPr>
        <w:rFonts w:ascii="Wingdings" w:hAnsi="Wingdings" w:hint="default"/>
      </w:rPr>
    </w:lvl>
    <w:lvl w:ilvl="6" w:tplc="821E425A" w:tentative="1">
      <w:start w:val="1"/>
      <w:numFmt w:val="bullet"/>
      <w:lvlText w:val=""/>
      <w:lvlJc w:val="left"/>
      <w:pPr>
        <w:ind w:left="5090" w:hanging="360"/>
      </w:pPr>
      <w:rPr>
        <w:rFonts w:ascii="Symbol" w:hAnsi="Symbol" w:hint="default"/>
      </w:rPr>
    </w:lvl>
    <w:lvl w:ilvl="7" w:tplc="D6A2C352" w:tentative="1">
      <w:start w:val="1"/>
      <w:numFmt w:val="bullet"/>
      <w:lvlText w:val="o"/>
      <w:lvlJc w:val="left"/>
      <w:pPr>
        <w:ind w:left="5810" w:hanging="360"/>
      </w:pPr>
      <w:rPr>
        <w:rFonts w:ascii="Courier New" w:hAnsi="Courier New" w:cs="Courier New" w:hint="default"/>
      </w:rPr>
    </w:lvl>
    <w:lvl w:ilvl="8" w:tplc="B41E53E4" w:tentative="1">
      <w:start w:val="1"/>
      <w:numFmt w:val="bullet"/>
      <w:lvlText w:val=""/>
      <w:lvlJc w:val="left"/>
      <w:pPr>
        <w:ind w:left="6530" w:hanging="360"/>
      </w:pPr>
      <w:rPr>
        <w:rFonts w:ascii="Wingdings" w:hAnsi="Wingdings" w:hint="default"/>
      </w:rPr>
    </w:lvl>
  </w:abstractNum>
  <w:abstractNum w:abstractNumId="9" w15:restartNumberingAfterBreak="0">
    <w:nsid w:val="29F27449"/>
    <w:multiLevelType w:val="hybridMultilevel"/>
    <w:tmpl w:val="BC1C243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B354AA"/>
    <w:multiLevelType w:val="hybridMultilevel"/>
    <w:tmpl w:val="877C07C2"/>
    <w:lvl w:ilvl="0" w:tplc="F6A8214A">
      <w:start w:val="1"/>
      <w:numFmt w:val="decimal"/>
      <w:lvlText w:val="%1)"/>
      <w:lvlJc w:val="left"/>
      <w:pPr>
        <w:ind w:left="720" w:hanging="360"/>
      </w:pPr>
      <w:rPr>
        <w:rFonts w:hint="default"/>
      </w:rPr>
    </w:lvl>
    <w:lvl w:ilvl="1" w:tplc="8BA23C16" w:tentative="1">
      <w:start w:val="1"/>
      <w:numFmt w:val="lowerLetter"/>
      <w:lvlText w:val="%2."/>
      <w:lvlJc w:val="left"/>
      <w:pPr>
        <w:ind w:left="1440" w:hanging="360"/>
      </w:pPr>
    </w:lvl>
    <w:lvl w:ilvl="2" w:tplc="6B5C0F28" w:tentative="1">
      <w:start w:val="1"/>
      <w:numFmt w:val="lowerRoman"/>
      <w:lvlText w:val="%3."/>
      <w:lvlJc w:val="right"/>
      <w:pPr>
        <w:ind w:left="2160" w:hanging="180"/>
      </w:pPr>
    </w:lvl>
    <w:lvl w:ilvl="3" w:tplc="C9685004" w:tentative="1">
      <w:start w:val="1"/>
      <w:numFmt w:val="decimal"/>
      <w:lvlText w:val="%4."/>
      <w:lvlJc w:val="left"/>
      <w:pPr>
        <w:ind w:left="2880" w:hanging="360"/>
      </w:pPr>
    </w:lvl>
    <w:lvl w:ilvl="4" w:tplc="07D842D6" w:tentative="1">
      <w:start w:val="1"/>
      <w:numFmt w:val="lowerLetter"/>
      <w:lvlText w:val="%5."/>
      <w:lvlJc w:val="left"/>
      <w:pPr>
        <w:ind w:left="3600" w:hanging="360"/>
      </w:pPr>
    </w:lvl>
    <w:lvl w:ilvl="5" w:tplc="83F23FA8" w:tentative="1">
      <w:start w:val="1"/>
      <w:numFmt w:val="lowerRoman"/>
      <w:lvlText w:val="%6."/>
      <w:lvlJc w:val="right"/>
      <w:pPr>
        <w:ind w:left="4320" w:hanging="180"/>
      </w:pPr>
    </w:lvl>
    <w:lvl w:ilvl="6" w:tplc="7952A650" w:tentative="1">
      <w:start w:val="1"/>
      <w:numFmt w:val="decimal"/>
      <w:lvlText w:val="%7."/>
      <w:lvlJc w:val="left"/>
      <w:pPr>
        <w:ind w:left="5040" w:hanging="360"/>
      </w:pPr>
    </w:lvl>
    <w:lvl w:ilvl="7" w:tplc="E354D414" w:tentative="1">
      <w:start w:val="1"/>
      <w:numFmt w:val="lowerLetter"/>
      <w:lvlText w:val="%8."/>
      <w:lvlJc w:val="left"/>
      <w:pPr>
        <w:ind w:left="5760" w:hanging="360"/>
      </w:pPr>
    </w:lvl>
    <w:lvl w:ilvl="8" w:tplc="AB0C9874" w:tentative="1">
      <w:start w:val="1"/>
      <w:numFmt w:val="lowerRoman"/>
      <w:lvlText w:val="%9."/>
      <w:lvlJc w:val="right"/>
      <w:pPr>
        <w:ind w:left="6480" w:hanging="180"/>
      </w:pPr>
    </w:lvl>
  </w:abstractNum>
  <w:abstractNum w:abstractNumId="11" w15:restartNumberingAfterBreak="0">
    <w:nsid w:val="54575DDC"/>
    <w:multiLevelType w:val="multilevel"/>
    <w:tmpl w:val="2B3619E0"/>
    <w:lvl w:ilvl="0">
      <w:start w:val="1"/>
      <w:numFmt w:val="bullet"/>
      <w:lvlText w:val="·"/>
      <w:lvlJc w:val="left"/>
      <w:pPr>
        <w:ind w:left="0" w:firstLine="0"/>
      </w:pPr>
      <w:rPr>
        <w:rFonts w:ascii="Symbol" w:eastAsia="Symbol" w:hAnsi="Symbol" w:cs="Symbol"/>
        <w:sz w:val="20"/>
      </w:rPr>
    </w:lvl>
    <w:lvl w:ilvl="1">
      <w:start w:val="1"/>
      <w:numFmt w:val="bullet"/>
      <w:lvlText w:val="o"/>
      <w:lvlJc w:val="left"/>
      <w:pPr>
        <w:ind w:left="0" w:firstLine="0"/>
      </w:pPr>
      <w:rPr>
        <w:rFonts w:ascii="Courier New" w:eastAsia="Courier New" w:hAnsi="Courier New" w:cs="Courier New"/>
        <w:sz w:val="20"/>
      </w:rPr>
    </w:lvl>
    <w:lvl w:ilvl="2">
      <w:start w:val="1"/>
      <w:numFmt w:val="bullet"/>
      <w:lvlText w:val="§"/>
      <w:lvlJc w:val="left"/>
      <w:pPr>
        <w:ind w:left="0" w:firstLine="0"/>
      </w:pPr>
      <w:rPr>
        <w:rFonts w:ascii="Wingdings" w:eastAsia="Wingdings" w:hAnsi="Wingdings" w:cs="Wingdings"/>
        <w:sz w:val="20"/>
      </w:rPr>
    </w:lvl>
    <w:lvl w:ilvl="3">
      <w:start w:val="1"/>
      <w:numFmt w:val="bullet"/>
      <w:lvlText w:val="·"/>
      <w:lvlJc w:val="left"/>
      <w:pPr>
        <w:ind w:left="0" w:firstLine="0"/>
      </w:pPr>
      <w:rPr>
        <w:rFonts w:ascii="Symbol" w:eastAsia="Symbol" w:hAnsi="Symbol" w:cs="Symbol"/>
        <w:sz w:val="20"/>
      </w:rPr>
    </w:lvl>
    <w:lvl w:ilvl="4">
      <w:start w:val="1"/>
      <w:numFmt w:val="bullet"/>
      <w:lvlText w:val="o"/>
      <w:lvlJc w:val="left"/>
      <w:pPr>
        <w:ind w:left="0" w:firstLine="0"/>
      </w:pPr>
      <w:rPr>
        <w:rFonts w:ascii="Courier New" w:eastAsia="Courier New" w:hAnsi="Courier New" w:cs="Courier New"/>
        <w:sz w:val="20"/>
      </w:rPr>
    </w:lvl>
    <w:lvl w:ilvl="5">
      <w:start w:val="1"/>
      <w:numFmt w:val="bullet"/>
      <w:lvlText w:val="§"/>
      <w:lvlJc w:val="left"/>
      <w:pPr>
        <w:ind w:left="0" w:firstLine="0"/>
      </w:pPr>
      <w:rPr>
        <w:rFonts w:ascii="Wingdings" w:eastAsia="Wingdings" w:hAnsi="Wingdings" w:cs="Wingdings"/>
        <w:sz w:val="20"/>
      </w:rPr>
    </w:lvl>
    <w:lvl w:ilvl="6">
      <w:start w:val="1"/>
      <w:numFmt w:val="bullet"/>
      <w:lvlText w:val="·"/>
      <w:lvlJc w:val="left"/>
      <w:pPr>
        <w:ind w:left="0" w:firstLine="0"/>
      </w:pPr>
      <w:rPr>
        <w:rFonts w:ascii="Symbol" w:eastAsia="Symbol" w:hAnsi="Symbol" w:cs="Symbol"/>
        <w:sz w:val="20"/>
      </w:rPr>
    </w:lvl>
    <w:lvl w:ilvl="7">
      <w:start w:val="1"/>
      <w:numFmt w:val="bullet"/>
      <w:lvlText w:val="o"/>
      <w:lvlJc w:val="left"/>
      <w:pPr>
        <w:ind w:left="0" w:firstLine="0"/>
      </w:pPr>
      <w:rPr>
        <w:rFonts w:ascii="Courier New" w:eastAsia="Courier New" w:hAnsi="Courier New" w:cs="Courier New"/>
        <w:sz w:val="20"/>
      </w:rPr>
    </w:lvl>
    <w:lvl w:ilvl="8">
      <w:start w:val="1"/>
      <w:numFmt w:val="bullet"/>
      <w:lvlText w:val="§"/>
      <w:lvlJc w:val="left"/>
      <w:pPr>
        <w:ind w:left="0" w:firstLine="0"/>
      </w:pPr>
      <w:rPr>
        <w:rFonts w:ascii="Wingdings" w:eastAsia="Wingdings" w:hAnsi="Wingdings" w:cs="Wingdings"/>
        <w:sz w:val="20"/>
      </w:rPr>
    </w:lvl>
  </w:abstractNum>
  <w:abstractNum w:abstractNumId="12" w15:restartNumberingAfterBreak="0">
    <w:nsid w:val="69C85E70"/>
    <w:multiLevelType w:val="hybridMultilevel"/>
    <w:tmpl w:val="778E2014"/>
    <w:lvl w:ilvl="0" w:tplc="11BE06E8">
      <w:start w:val="1"/>
      <w:numFmt w:val="bullet"/>
      <w:lvlText w:val=""/>
      <w:lvlJc w:val="left"/>
      <w:pPr>
        <w:ind w:left="774" w:hanging="360"/>
      </w:pPr>
      <w:rPr>
        <w:rFonts w:ascii="Symbol" w:hAnsi="Symbol" w:hint="default"/>
      </w:rPr>
    </w:lvl>
    <w:lvl w:ilvl="1" w:tplc="47BA3F36" w:tentative="1">
      <w:start w:val="1"/>
      <w:numFmt w:val="bullet"/>
      <w:lvlText w:val="o"/>
      <w:lvlJc w:val="left"/>
      <w:pPr>
        <w:ind w:left="1494" w:hanging="360"/>
      </w:pPr>
      <w:rPr>
        <w:rFonts w:ascii="Courier New" w:hAnsi="Courier New" w:cs="Courier New" w:hint="default"/>
      </w:rPr>
    </w:lvl>
    <w:lvl w:ilvl="2" w:tplc="6D8CF7FE" w:tentative="1">
      <w:start w:val="1"/>
      <w:numFmt w:val="bullet"/>
      <w:lvlText w:val=""/>
      <w:lvlJc w:val="left"/>
      <w:pPr>
        <w:ind w:left="2214" w:hanging="360"/>
      </w:pPr>
      <w:rPr>
        <w:rFonts w:ascii="Wingdings" w:hAnsi="Wingdings" w:hint="default"/>
      </w:rPr>
    </w:lvl>
    <w:lvl w:ilvl="3" w:tplc="85EA06BA" w:tentative="1">
      <w:start w:val="1"/>
      <w:numFmt w:val="bullet"/>
      <w:lvlText w:val=""/>
      <w:lvlJc w:val="left"/>
      <w:pPr>
        <w:ind w:left="2934" w:hanging="360"/>
      </w:pPr>
      <w:rPr>
        <w:rFonts w:ascii="Symbol" w:hAnsi="Symbol" w:hint="default"/>
      </w:rPr>
    </w:lvl>
    <w:lvl w:ilvl="4" w:tplc="4C6E9E76" w:tentative="1">
      <w:start w:val="1"/>
      <w:numFmt w:val="bullet"/>
      <w:lvlText w:val="o"/>
      <w:lvlJc w:val="left"/>
      <w:pPr>
        <w:ind w:left="3654" w:hanging="360"/>
      </w:pPr>
      <w:rPr>
        <w:rFonts w:ascii="Courier New" w:hAnsi="Courier New" w:cs="Courier New" w:hint="default"/>
      </w:rPr>
    </w:lvl>
    <w:lvl w:ilvl="5" w:tplc="C4D24E16" w:tentative="1">
      <w:start w:val="1"/>
      <w:numFmt w:val="bullet"/>
      <w:lvlText w:val=""/>
      <w:lvlJc w:val="left"/>
      <w:pPr>
        <w:ind w:left="4374" w:hanging="360"/>
      </w:pPr>
      <w:rPr>
        <w:rFonts w:ascii="Wingdings" w:hAnsi="Wingdings" w:hint="default"/>
      </w:rPr>
    </w:lvl>
    <w:lvl w:ilvl="6" w:tplc="3564CD14" w:tentative="1">
      <w:start w:val="1"/>
      <w:numFmt w:val="bullet"/>
      <w:lvlText w:val=""/>
      <w:lvlJc w:val="left"/>
      <w:pPr>
        <w:ind w:left="5094" w:hanging="360"/>
      </w:pPr>
      <w:rPr>
        <w:rFonts w:ascii="Symbol" w:hAnsi="Symbol" w:hint="default"/>
      </w:rPr>
    </w:lvl>
    <w:lvl w:ilvl="7" w:tplc="F2427A2A" w:tentative="1">
      <w:start w:val="1"/>
      <w:numFmt w:val="bullet"/>
      <w:lvlText w:val="o"/>
      <w:lvlJc w:val="left"/>
      <w:pPr>
        <w:ind w:left="5814" w:hanging="360"/>
      </w:pPr>
      <w:rPr>
        <w:rFonts w:ascii="Courier New" w:hAnsi="Courier New" w:cs="Courier New" w:hint="default"/>
      </w:rPr>
    </w:lvl>
    <w:lvl w:ilvl="8" w:tplc="1ADE19A6" w:tentative="1">
      <w:start w:val="1"/>
      <w:numFmt w:val="bullet"/>
      <w:lvlText w:val=""/>
      <w:lvlJc w:val="left"/>
      <w:pPr>
        <w:ind w:left="6534" w:hanging="360"/>
      </w:pPr>
      <w:rPr>
        <w:rFonts w:ascii="Wingdings" w:hAnsi="Wingdings" w:hint="default"/>
      </w:rPr>
    </w:lvl>
  </w:abstractNum>
  <w:abstractNum w:abstractNumId="13" w15:restartNumberingAfterBreak="0">
    <w:nsid w:val="765E3D1E"/>
    <w:multiLevelType w:val="hybridMultilevel"/>
    <w:tmpl w:val="F5C89ADA"/>
    <w:lvl w:ilvl="0" w:tplc="0AE67960">
      <w:start w:val="1"/>
      <w:numFmt w:val="decimal"/>
      <w:lvlText w:val="%1)"/>
      <w:lvlJc w:val="left"/>
      <w:pPr>
        <w:ind w:left="1440" w:hanging="360"/>
      </w:pPr>
      <w:rPr>
        <w:rFonts w:hint="default"/>
      </w:rPr>
    </w:lvl>
    <w:lvl w:ilvl="1" w:tplc="C8B678B8" w:tentative="1">
      <w:start w:val="1"/>
      <w:numFmt w:val="lowerLetter"/>
      <w:lvlText w:val="%2."/>
      <w:lvlJc w:val="left"/>
      <w:pPr>
        <w:ind w:left="2160" w:hanging="360"/>
      </w:pPr>
    </w:lvl>
    <w:lvl w:ilvl="2" w:tplc="CE949290" w:tentative="1">
      <w:start w:val="1"/>
      <w:numFmt w:val="lowerRoman"/>
      <w:lvlText w:val="%3."/>
      <w:lvlJc w:val="right"/>
      <w:pPr>
        <w:ind w:left="2880" w:hanging="180"/>
      </w:pPr>
    </w:lvl>
    <w:lvl w:ilvl="3" w:tplc="326A612C" w:tentative="1">
      <w:start w:val="1"/>
      <w:numFmt w:val="decimal"/>
      <w:lvlText w:val="%4."/>
      <w:lvlJc w:val="left"/>
      <w:pPr>
        <w:ind w:left="3600" w:hanging="360"/>
      </w:pPr>
    </w:lvl>
    <w:lvl w:ilvl="4" w:tplc="57C6B05A" w:tentative="1">
      <w:start w:val="1"/>
      <w:numFmt w:val="lowerLetter"/>
      <w:lvlText w:val="%5."/>
      <w:lvlJc w:val="left"/>
      <w:pPr>
        <w:ind w:left="4320" w:hanging="360"/>
      </w:pPr>
    </w:lvl>
    <w:lvl w:ilvl="5" w:tplc="F648C1B8" w:tentative="1">
      <w:start w:val="1"/>
      <w:numFmt w:val="lowerRoman"/>
      <w:lvlText w:val="%6."/>
      <w:lvlJc w:val="right"/>
      <w:pPr>
        <w:ind w:left="5040" w:hanging="180"/>
      </w:pPr>
    </w:lvl>
    <w:lvl w:ilvl="6" w:tplc="3D5C454C" w:tentative="1">
      <w:start w:val="1"/>
      <w:numFmt w:val="decimal"/>
      <w:lvlText w:val="%7."/>
      <w:lvlJc w:val="left"/>
      <w:pPr>
        <w:ind w:left="5760" w:hanging="360"/>
      </w:pPr>
    </w:lvl>
    <w:lvl w:ilvl="7" w:tplc="C206FF94" w:tentative="1">
      <w:start w:val="1"/>
      <w:numFmt w:val="lowerLetter"/>
      <w:lvlText w:val="%8."/>
      <w:lvlJc w:val="left"/>
      <w:pPr>
        <w:ind w:left="6480" w:hanging="360"/>
      </w:pPr>
    </w:lvl>
    <w:lvl w:ilvl="8" w:tplc="5D1A1148" w:tentative="1">
      <w:start w:val="1"/>
      <w:numFmt w:val="lowerRoman"/>
      <w:lvlText w:val="%9."/>
      <w:lvlJc w:val="right"/>
      <w:pPr>
        <w:ind w:left="7200" w:hanging="180"/>
      </w:pPr>
    </w:lvl>
  </w:abstractNum>
  <w:num w:numId="1">
    <w:abstractNumId w:val="1"/>
  </w:num>
  <w:num w:numId="2">
    <w:abstractNumId w:val="5"/>
  </w:num>
  <w:num w:numId="3">
    <w:abstractNumId w:val="2"/>
  </w:num>
  <w:num w:numId="4">
    <w:abstractNumId w:val="3"/>
  </w:num>
  <w:num w:numId="5">
    <w:abstractNumId w:val="12"/>
  </w:num>
  <w:num w:numId="6">
    <w:abstractNumId w:val="10"/>
  </w:num>
  <w:num w:numId="7">
    <w:abstractNumId w:val="0"/>
  </w:num>
  <w:num w:numId="8">
    <w:abstractNumId w:val="13"/>
  </w:num>
  <w:num w:numId="9">
    <w:abstractNumId w:val="8"/>
  </w:num>
  <w:num w:numId="10">
    <w:abstractNumId w:val="6"/>
  </w:num>
  <w:num w:numId="11">
    <w:abstractNumId w:val="11"/>
  </w:num>
  <w:num w:numId="12">
    <w:abstractNumId w:val="9"/>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91"/>
    <w:rsid w:val="00000507"/>
    <w:rsid w:val="00000BC6"/>
    <w:rsid w:val="000025B8"/>
    <w:rsid w:val="000034E3"/>
    <w:rsid w:val="00004215"/>
    <w:rsid w:val="000061C6"/>
    <w:rsid w:val="00006E3B"/>
    <w:rsid w:val="00007008"/>
    <w:rsid w:val="000070F3"/>
    <w:rsid w:val="00007AB8"/>
    <w:rsid w:val="000102B5"/>
    <w:rsid w:val="000106DF"/>
    <w:rsid w:val="00010A00"/>
    <w:rsid w:val="00010D4B"/>
    <w:rsid w:val="00013E62"/>
    <w:rsid w:val="00015D57"/>
    <w:rsid w:val="0002058B"/>
    <w:rsid w:val="000210F5"/>
    <w:rsid w:val="00021843"/>
    <w:rsid w:val="00022B96"/>
    <w:rsid w:val="00024596"/>
    <w:rsid w:val="00026C88"/>
    <w:rsid w:val="00027561"/>
    <w:rsid w:val="00027B0D"/>
    <w:rsid w:val="00030A43"/>
    <w:rsid w:val="0003235C"/>
    <w:rsid w:val="000404D4"/>
    <w:rsid w:val="000406B8"/>
    <w:rsid w:val="00041977"/>
    <w:rsid w:val="00042F8F"/>
    <w:rsid w:val="0004308B"/>
    <w:rsid w:val="00044E4A"/>
    <w:rsid w:val="0004545E"/>
    <w:rsid w:val="00045CA7"/>
    <w:rsid w:val="00045DC9"/>
    <w:rsid w:val="00050E88"/>
    <w:rsid w:val="00051473"/>
    <w:rsid w:val="00051F46"/>
    <w:rsid w:val="00052018"/>
    <w:rsid w:val="00054C08"/>
    <w:rsid w:val="00054DD0"/>
    <w:rsid w:val="00057BAA"/>
    <w:rsid w:val="00057D54"/>
    <w:rsid w:val="00057F6B"/>
    <w:rsid w:val="0006107D"/>
    <w:rsid w:val="000642F2"/>
    <w:rsid w:val="00065052"/>
    <w:rsid w:val="00065FD9"/>
    <w:rsid w:val="00066997"/>
    <w:rsid w:val="00066C79"/>
    <w:rsid w:val="00067514"/>
    <w:rsid w:val="000701CD"/>
    <w:rsid w:val="000715CD"/>
    <w:rsid w:val="00072C84"/>
    <w:rsid w:val="00073A5B"/>
    <w:rsid w:val="00073D49"/>
    <w:rsid w:val="00080862"/>
    <w:rsid w:val="000808CE"/>
    <w:rsid w:val="00080F1F"/>
    <w:rsid w:val="000818AF"/>
    <w:rsid w:val="00082590"/>
    <w:rsid w:val="000836F4"/>
    <w:rsid w:val="00083E9F"/>
    <w:rsid w:val="000867E8"/>
    <w:rsid w:val="00092DA3"/>
    <w:rsid w:val="00093E74"/>
    <w:rsid w:val="00094144"/>
    <w:rsid w:val="00094E6A"/>
    <w:rsid w:val="00096169"/>
    <w:rsid w:val="0009641C"/>
    <w:rsid w:val="00096547"/>
    <w:rsid w:val="000974B5"/>
    <w:rsid w:val="00097C76"/>
    <w:rsid w:val="000A18D1"/>
    <w:rsid w:val="000A2615"/>
    <w:rsid w:val="000A27CE"/>
    <w:rsid w:val="000A2FF9"/>
    <w:rsid w:val="000A3996"/>
    <w:rsid w:val="000A57D3"/>
    <w:rsid w:val="000A643B"/>
    <w:rsid w:val="000A6B27"/>
    <w:rsid w:val="000A6CA0"/>
    <w:rsid w:val="000B05F5"/>
    <w:rsid w:val="000B242B"/>
    <w:rsid w:val="000B25E3"/>
    <w:rsid w:val="000B2EB1"/>
    <w:rsid w:val="000B3EAC"/>
    <w:rsid w:val="000B4812"/>
    <w:rsid w:val="000B534A"/>
    <w:rsid w:val="000B570F"/>
    <w:rsid w:val="000C081C"/>
    <w:rsid w:val="000C08CF"/>
    <w:rsid w:val="000C1CCE"/>
    <w:rsid w:val="000C4EF4"/>
    <w:rsid w:val="000C6ADA"/>
    <w:rsid w:val="000C7804"/>
    <w:rsid w:val="000C79AA"/>
    <w:rsid w:val="000D0CB3"/>
    <w:rsid w:val="000D1F2D"/>
    <w:rsid w:val="000D3BDA"/>
    <w:rsid w:val="000D41EB"/>
    <w:rsid w:val="000D4A40"/>
    <w:rsid w:val="000D62FC"/>
    <w:rsid w:val="000D6B6F"/>
    <w:rsid w:val="000E16EF"/>
    <w:rsid w:val="000E2D52"/>
    <w:rsid w:val="000E4111"/>
    <w:rsid w:val="000E691C"/>
    <w:rsid w:val="000E6C86"/>
    <w:rsid w:val="000F07EE"/>
    <w:rsid w:val="000F1059"/>
    <w:rsid w:val="000F1858"/>
    <w:rsid w:val="000F194D"/>
    <w:rsid w:val="000F1AC9"/>
    <w:rsid w:val="000F1B21"/>
    <w:rsid w:val="00100151"/>
    <w:rsid w:val="001003EA"/>
    <w:rsid w:val="00101287"/>
    <w:rsid w:val="00101324"/>
    <w:rsid w:val="00102911"/>
    <w:rsid w:val="00107FC2"/>
    <w:rsid w:val="001125E4"/>
    <w:rsid w:val="00112A5D"/>
    <w:rsid w:val="001170B6"/>
    <w:rsid w:val="001200B9"/>
    <w:rsid w:val="00120B80"/>
    <w:rsid w:val="001219F3"/>
    <w:rsid w:val="001226C8"/>
    <w:rsid w:val="00122865"/>
    <w:rsid w:val="0012290E"/>
    <w:rsid w:val="00125A96"/>
    <w:rsid w:val="00127D06"/>
    <w:rsid w:val="00130371"/>
    <w:rsid w:val="00130D8A"/>
    <w:rsid w:val="00130EB1"/>
    <w:rsid w:val="00131D09"/>
    <w:rsid w:val="0013243B"/>
    <w:rsid w:val="00132CD4"/>
    <w:rsid w:val="00135D04"/>
    <w:rsid w:val="00136E7A"/>
    <w:rsid w:val="001379B8"/>
    <w:rsid w:val="00140651"/>
    <w:rsid w:val="00140996"/>
    <w:rsid w:val="0014184F"/>
    <w:rsid w:val="00142BDE"/>
    <w:rsid w:val="00144B16"/>
    <w:rsid w:val="00147391"/>
    <w:rsid w:val="00147DCE"/>
    <w:rsid w:val="0015152D"/>
    <w:rsid w:val="0015295C"/>
    <w:rsid w:val="0015452B"/>
    <w:rsid w:val="00155BEC"/>
    <w:rsid w:val="00157279"/>
    <w:rsid w:val="00161044"/>
    <w:rsid w:val="00161969"/>
    <w:rsid w:val="00162265"/>
    <w:rsid w:val="00162356"/>
    <w:rsid w:val="00162480"/>
    <w:rsid w:val="001642FC"/>
    <w:rsid w:val="0016502F"/>
    <w:rsid w:val="00165075"/>
    <w:rsid w:val="001676EF"/>
    <w:rsid w:val="00176E8C"/>
    <w:rsid w:val="00184FD0"/>
    <w:rsid w:val="001865F1"/>
    <w:rsid w:val="0018746D"/>
    <w:rsid w:val="00190B87"/>
    <w:rsid w:val="00190BCF"/>
    <w:rsid w:val="00190CD4"/>
    <w:rsid w:val="00191353"/>
    <w:rsid w:val="00191422"/>
    <w:rsid w:val="00192028"/>
    <w:rsid w:val="00193793"/>
    <w:rsid w:val="00193C91"/>
    <w:rsid w:val="00194A51"/>
    <w:rsid w:val="001A0B08"/>
    <w:rsid w:val="001A112E"/>
    <w:rsid w:val="001A255B"/>
    <w:rsid w:val="001A38F9"/>
    <w:rsid w:val="001A4160"/>
    <w:rsid w:val="001A41AF"/>
    <w:rsid w:val="001A422F"/>
    <w:rsid w:val="001A4D91"/>
    <w:rsid w:val="001A4F79"/>
    <w:rsid w:val="001A55F7"/>
    <w:rsid w:val="001B1928"/>
    <w:rsid w:val="001B2886"/>
    <w:rsid w:val="001B31A2"/>
    <w:rsid w:val="001B3346"/>
    <w:rsid w:val="001B37FA"/>
    <w:rsid w:val="001B5157"/>
    <w:rsid w:val="001C0E44"/>
    <w:rsid w:val="001C13AB"/>
    <w:rsid w:val="001C2702"/>
    <w:rsid w:val="001C3478"/>
    <w:rsid w:val="001C3A80"/>
    <w:rsid w:val="001C5091"/>
    <w:rsid w:val="001C6544"/>
    <w:rsid w:val="001C67F4"/>
    <w:rsid w:val="001C7B4E"/>
    <w:rsid w:val="001D146E"/>
    <w:rsid w:val="001D1B9F"/>
    <w:rsid w:val="001D21C2"/>
    <w:rsid w:val="001D285A"/>
    <w:rsid w:val="001D2A3F"/>
    <w:rsid w:val="001D37FD"/>
    <w:rsid w:val="001D4DA9"/>
    <w:rsid w:val="001D71D6"/>
    <w:rsid w:val="001E29EE"/>
    <w:rsid w:val="001E2E27"/>
    <w:rsid w:val="001E45F8"/>
    <w:rsid w:val="001E6DAF"/>
    <w:rsid w:val="001E72B9"/>
    <w:rsid w:val="001F2255"/>
    <w:rsid w:val="001F22AC"/>
    <w:rsid w:val="001F397B"/>
    <w:rsid w:val="001F3A76"/>
    <w:rsid w:val="001F40D6"/>
    <w:rsid w:val="001F7717"/>
    <w:rsid w:val="001F7BFC"/>
    <w:rsid w:val="001F7D49"/>
    <w:rsid w:val="00200E19"/>
    <w:rsid w:val="00201DBD"/>
    <w:rsid w:val="00201F15"/>
    <w:rsid w:val="002048EE"/>
    <w:rsid w:val="0020557E"/>
    <w:rsid w:val="00205A94"/>
    <w:rsid w:val="00206E03"/>
    <w:rsid w:val="00206F11"/>
    <w:rsid w:val="00212874"/>
    <w:rsid w:val="00214199"/>
    <w:rsid w:val="00214A42"/>
    <w:rsid w:val="00216C9E"/>
    <w:rsid w:val="002170A8"/>
    <w:rsid w:val="00217D67"/>
    <w:rsid w:val="00217DDE"/>
    <w:rsid w:val="002209A3"/>
    <w:rsid w:val="00224510"/>
    <w:rsid w:val="00224B34"/>
    <w:rsid w:val="00224FBD"/>
    <w:rsid w:val="0022526B"/>
    <w:rsid w:val="00225E4E"/>
    <w:rsid w:val="00230793"/>
    <w:rsid w:val="00231000"/>
    <w:rsid w:val="002312B6"/>
    <w:rsid w:val="00232120"/>
    <w:rsid w:val="00235554"/>
    <w:rsid w:val="00236D89"/>
    <w:rsid w:val="00241B7D"/>
    <w:rsid w:val="00241D40"/>
    <w:rsid w:val="00241E37"/>
    <w:rsid w:val="00242355"/>
    <w:rsid w:val="0024278D"/>
    <w:rsid w:val="002444E6"/>
    <w:rsid w:val="00244B6B"/>
    <w:rsid w:val="0024526D"/>
    <w:rsid w:val="002460E7"/>
    <w:rsid w:val="00250B4B"/>
    <w:rsid w:val="00250EEB"/>
    <w:rsid w:val="002526AA"/>
    <w:rsid w:val="002529F3"/>
    <w:rsid w:val="00252AE6"/>
    <w:rsid w:val="00254F5B"/>
    <w:rsid w:val="0025554A"/>
    <w:rsid w:val="00261442"/>
    <w:rsid w:val="0026261D"/>
    <w:rsid w:val="00266236"/>
    <w:rsid w:val="00266998"/>
    <w:rsid w:val="00270342"/>
    <w:rsid w:val="00270388"/>
    <w:rsid w:val="00272CC6"/>
    <w:rsid w:val="00276799"/>
    <w:rsid w:val="00280EF7"/>
    <w:rsid w:val="00281853"/>
    <w:rsid w:val="0028194A"/>
    <w:rsid w:val="002826C7"/>
    <w:rsid w:val="002863AE"/>
    <w:rsid w:val="002874B7"/>
    <w:rsid w:val="002903F3"/>
    <w:rsid w:val="002910FD"/>
    <w:rsid w:val="00292DA1"/>
    <w:rsid w:val="00293690"/>
    <w:rsid w:val="00294612"/>
    <w:rsid w:val="002A17A6"/>
    <w:rsid w:val="002A1BD0"/>
    <w:rsid w:val="002A1FE9"/>
    <w:rsid w:val="002A20F0"/>
    <w:rsid w:val="002A414D"/>
    <w:rsid w:val="002A4951"/>
    <w:rsid w:val="002A5133"/>
    <w:rsid w:val="002A5765"/>
    <w:rsid w:val="002B0128"/>
    <w:rsid w:val="002B447C"/>
    <w:rsid w:val="002B4E81"/>
    <w:rsid w:val="002C1E7F"/>
    <w:rsid w:val="002C5142"/>
    <w:rsid w:val="002D0B26"/>
    <w:rsid w:val="002D2C1E"/>
    <w:rsid w:val="002D3ED6"/>
    <w:rsid w:val="002D42B8"/>
    <w:rsid w:val="002D5495"/>
    <w:rsid w:val="002D591E"/>
    <w:rsid w:val="002D6C49"/>
    <w:rsid w:val="002E066A"/>
    <w:rsid w:val="002E22EC"/>
    <w:rsid w:val="002E28B5"/>
    <w:rsid w:val="002E3D92"/>
    <w:rsid w:val="002E4402"/>
    <w:rsid w:val="002E5227"/>
    <w:rsid w:val="002E559D"/>
    <w:rsid w:val="002F0668"/>
    <w:rsid w:val="002F06D1"/>
    <w:rsid w:val="002F2D38"/>
    <w:rsid w:val="002F5252"/>
    <w:rsid w:val="002F699C"/>
    <w:rsid w:val="002F7C5D"/>
    <w:rsid w:val="00300147"/>
    <w:rsid w:val="0030155A"/>
    <w:rsid w:val="00304AEF"/>
    <w:rsid w:val="00305BC7"/>
    <w:rsid w:val="00306D0A"/>
    <w:rsid w:val="00306F00"/>
    <w:rsid w:val="003101BB"/>
    <w:rsid w:val="0031062E"/>
    <w:rsid w:val="00310ED7"/>
    <w:rsid w:val="00311967"/>
    <w:rsid w:val="00311BD1"/>
    <w:rsid w:val="00313D06"/>
    <w:rsid w:val="00314CB3"/>
    <w:rsid w:val="00314F49"/>
    <w:rsid w:val="003154A4"/>
    <w:rsid w:val="00317766"/>
    <w:rsid w:val="00317E50"/>
    <w:rsid w:val="00320C1F"/>
    <w:rsid w:val="003217BB"/>
    <w:rsid w:val="00321E3C"/>
    <w:rsid w:val="00323461"/>
    <w:rsid w:val="003255C0"/>
    <w:rsid w:val="00325BC4"/>
    <w:rsid w:val="003262D7"/>
    <w:rsid w:val="00326306"/>
    <w:rsid w:val="003278BA"/>
    <w:rsid w:val="00327D95"/>
    <w:rsid w:val="003344E6"/>
    <w:rsid w:val="00334B4F"/>
    <w:rsid w:val="00335D57"/>
    <w:rsid w:val="00336117"/>
    <w:rsid w:val="00345BEA"/>
    <w:rsid w:val="003474DF"/>
    <w:rsid w:val="003476B9"/>
    <w:rsid w:val="00353CE8"/>
    <w:rsid w:val="00353D26"/>
    <w:rsid w:val="003552AD"/>
    <w:rsid w:val="00356744"/>
    <w:rsid w:val="00357076"/>
    <w:rsid w:val="00357DD9"/>
    <w:rsid w:val="00362413"/>
    <w:rsid w:val="00363FC9"/>
    <w:rsid w:val="0036475D"/>
    <w:rsid w:val="00365AB5"/>
    <w:rsid w:val="0036667F"/>
    <w:rsid w:val="00371021"/>
    <w:rsid w:val="00371B73"/>
    <w:rsid w:val="00372D38"/>
    <w:rsid w:val="00375108"/>
    <w:rsid w:val="0037555B"/>
    <w:rsid w:val="00376301"/>
    <w:rsid w:val="00381ECF"/>
    <w:rsid w:val="00382FDE"/>
    <w:rsid w:val="003846B1"/>
    <w:rsid w:val="00384F40"/>
    <w:rsid w:val="00386304"/>
    <w:rsid w:val="00390CE0"/>
    <w:rsid w:val="00392D5B"/>
    <w:rsid w:val="0039302F"/>
    <w:rsid w:val="00393A9E"/>
    <w:rsid w:val="0039404A"/>
    <w:rsid w:val="00394083"/>
    <w:rsid w:val="00394091"/>
    <w:rsid w:val="00396DDA"/>
    <w:rsid w:val="003A416F"/>
    <w:rsid w:val="003A4E3C"/>
    <w:rsid w:val="003A5078"/>
    <w:rsid w:val="003A5602"/>
    <w:rsid w:val="003A6FCB"/>
    <w:rsid w:val="003B049F"/>
    <w:rsid w:val="003B07BD"/>
    <w:rsid w:val="003B09B7"/>
    <w:rsid w:val="003B0D6A"/>
    <w:rsid w:val="003B10AA"/>
    <w:rsid w:val="003B22AD"/>
    <w:rsid w:val="003B2E14"/>
    <w:rsid w:val="003B40C9"/>
    <w:rsid w:val="003B51B2"/>
    <w:rsid w:val="003B5764"/>
    <w:rsid w:val="003B6037"/>
    <w:rsid w:val="003B6576"/>
    <w:rsid w:val="003B71F9"/>
    <w:rsid w:val="003C31F6"/>
    <w:rsid w:val="003C4503"/>
    <w:rsid w:val="003C488E"/>
    <w:rsid w:val="003C5485"/>
    <w:rsid w:val="003D5AAE"/>
    <w:rsid w:val="003D73E7"/>
    <w:rsid w:val="003E0424"/>
    <w:rsid w:val="003E06E4"/>
    <w:rsid w:val="003E2F7D"/>
    <w:rsid w:val="003E4579"/>
    <w:rsid w:val="003E49CA"/>
    <w:rsid w:val="003E5C16"/>
    <w:rsid w:val="003E667E"/>
    <w:rsid w:val="003E77B8"/>
    <w:rsid w:val="003E7907"/>
    <w:rsid w:val="003F0628"/>
    <w:rsid w:val="003F2A06"/>
    <w:rsid w:val="003F5300"/>
    <w:rsid w:val="003F653D"/>
    <w:rsid w:val="003F67E7"/>
    <w:rsid w:val="003F6C6C"/>
    <w:rsid w:val="003F70BA"/>
    <w:rsid w:val="003F725B"/>
    <w:rsid w:val="003F7B72"/>
    <w:rsid w:val="004014E6"/>
    <w:rsid w:val="00402A9D"/>
    <w:rsid w:val="004047C7"/>
    <w:rsid w:val="004102FE"/>
    <w:rsid w:val="00410A00"/>
    <w:rsid w:val="00410E10"/>
    <w:rsid w:val="004123BE"/>
    <w:rsid w:val="004133A0"/>
    <w:rsid w:val="004140D1"/>
    <w:rsid w:val="00415A43"/>
    <w:rsid w:val="00416147"/>
    <w:rsid w:val="00416174"/>
    <w:rsid w:val="00417276"/>
    <w:rsid w:val="00421EA8"/>
    <w:rsid w:val="00424B41"/>
    <w:rsid w:val="00424BBE"/>
    <w:rsid w:val="00424C36"/>
    <w:rsid w:val="00424EBB"/>
    <w:rsid w:val="00425741"/>
    <w:rsid w:val="00425D5D"/>
    <w:rsid w:val="004270E2"/>
    <w:rsid w:val="0042725C"/>
    <w:rsid w:val="00427386"/>
    <w:rsid w:val="004300E2"/>
    <w:rsid w:val="00432960"/>
    <w:rsid w:val="00432B4F"/>
    <w:rsid w:val="00433755"/>
    <w:rsid w:val="0043411D"/>
    <w:rsid w:val="0043694A"/>
    <w:rsid w:val="0043791B"/>
    <w:rsid w:val="00437D9D"/>
    <w:rsid w:val="00440FE9"/>
    <w:rsid w:val="0044114E"/>
    <w:rsid w:val="00442FB0"/>
    <w:rsid w:val="00443694"/>
    <w:rsid w:val="004440B1"/>
    <w:rsid w:val="00444EA8"/>
    <w:rsid w:val="0044556D"/>
    <w:rsid w:val="00445E65"/>
    <w:rsid w:val="00447068"/>
    <w:rsid w:val="00450228"/>
    <w:rsid w:val="00450B02"/>
    <w:rsid w:val="0045260F"/>
    <w:rsid w:val="00452ED5"/>
    <w:rsid w:val="00460910"/>
    <w:rsid w:val="00461B8F"/>
    <w:rsid w:val="004623E2"/>
    <w:rsid w:val="00464EB7"/>
    <w:rsid w:val="00466597"/>
    <w:rsid w:val="00466BAD"/>
    <w:rsid w:val="00471E62"/>
    <w:rsid w:val="00471F51"/>
    <w:rsid w:val="004723E5"/>
    <w:rsid w:val="00474D76"/>
    <w:rsid w:val="00475568"/>
    <w:rsid w:val="0047632E"/>
    <w:rsid w:val="00476985"/>
    <w:rsid w:val="00476B67"/>
    <w:rsid w:val="0048073D"/>
    <w:rsid w:val="00482481"/>
    <w:rsid w:val="004876AC"/>
    <w:rsid w:val="00492D38"/>
    <w:rsid w:val="00494650"/>
    <w:rsid w:val="004948E9"/>
    <w:rsid w:val="00494DAC"/>
    <w:rsid w:val="00495B22"/>
    <w:rsid w:val="004A0EC9"/>
    <w:rsid w:val="004A2492"/>
    <w:rsid w:val="004A2D95"/>
    <w:rsid w:val="004A62DC"/>
    <w:rsid w:val="004B0528"/>
    <w:rsid w:val="004B0BE5"/>
    <w:rsid w:val="004B1EE6"/>
    <w:rsid w:val="004B3B5E"/>
    <w:rsid w:val="004B6E66"/>
    <w:rsid w:val="004C0C17"/>
    <w:rsid w:val="004C28BC"/>
    <w:rsid w:val="004C2C8A"/>
    <w:rsid w:val="004C512A"/>
    <w:rsid w:val="004C629D"/>
    <w:rsid w:val="004C66BB"/>
    <w:rsid w:val="004D1C88"/>
    <w:rsid w:val="004D21FA"/>
    <w:rsid w:val="004D2522"/>
    <w:rsid w:val="004D32B7"/>
    <w:rsid w:val="004D7F46"/>
    <w:rsid w:val="004E295E"/>
    <w:rsid w:val="004E489A"/>
    <w:rsid w:val="004E5617"/>
    <w:rsid w:val="004E6583"/>
    <w:rsid w:val="004E691F"/>
    <w:rsid w:val="004E73FD"/>
    <w:rsid w:val="004F0702"/>
    <w:rsid w:val="004F083F"/>
    <w:rsid w:val="004F0998"/>
    <w:rsid w:val="004F2624"/>
    <w:rsid w:val="004F2B88"/>
    <w:rsid w:val="004F39F6"/>
    <w:rsid w:val="004F479F"/>
    <w:rsid w:val="004F731B"/>
    <w:rsid w:val="0050039A"/>
    <w:rsid w:val="005004B1"/>
    <w:rsid w:val="005004E9"/>
    <w:rsid w:val="00500B30"/>
    <w:rsid w:val="00500EB3"/>
    <w:rsid w:val="00500EF4"/>
    <w:rsid w:val="005010AD"/>
    <w:rsid w:val="0050312A"/>
    <w:rsid w:val="00503CFD"/>
    <w:rsid w:val="00506046"/>
    <w:rsid w:val="0050706F"/>
    <w:rsid w:val="0050739B"/>
    <w:rsid w:val="00507ADE"/>
    <w:rsid w:val="00507B62"/>
    <w:rsid w:val="00510B6B"/>
    <w:rsid w:val="0051284B"/>
    <w:rsid w:val="00513A65"/>
    <w:rsid w:val="005155AA"/>
    <w:rsid w:val="00515DB5"/>
    <w:rsid w:val="00517045"/>
    <w:rsid w:val="005173F5"/>
    <w:rsid w:val="005221F8"/>
    <w:rsid w:val="00522FC7"/>
    <w:rsid w:val="00524797"/>
    <w:rsid w:val="005248D7"/>
    <w:rsid w:val="0052514A"/>
    <w:rsid w:val="00527AD2"/>
    <w:rsid w:val="00527C21"/>
    <w:rsid w:val="00530517"/>
    <w:rsid w:val="005309EE"/>
    <w:rsid w:val="005319BC"/>
    <w:rsid w:val="0053320A"/>
    <w:rsid w:val="00534A8B"/>
    <w:rsid w:val="005372DF"/>
    <w:rsid w:val="00540BCC"/>
    <w:rsid w:val="00540CC5"/>
    <w:rsid w:val="00543181"/>
    <w:rsid w:val="005445FF"/>
    <w:rsid w:val="00544F53"/>
    <w:rsid w:val="005454F1"/>
    <w:rsid w:val="00545866"/>
    <w:rsid w:val="005475B8"/>
    <w:rsid w:val="005524C0"/>
    <w:rsid w:val="00552E5D"/>
    <w:rsid w:val="00553638"/>
    <w:rsid w:val="00557D81"/>
    <w:rsid w:val="00560286"/>
    <w:rsid w:val="0056060C"/>
    <w:rsid w:val="00562706"/>
    <w:rsid w:val="00565AAB"/>
    <w:rsid w:val="005725A7"/>
    <w:rsid w:val="00572C60"/>
    <w:rsid w:val="0057379B"/>
    <w:rsid w:val="00574105"/>
    <w:rsid w:val="005744A2"/>
    <w:rsid w:val="005769ED"/>
    <w:rsid w:val="005774A8"/>
    <w:rsid w:val="0058060A"/>
    <w:rsid w:val="00580E73"/>
    <w:rsid w:val="0058169D"/>
    <w:rsid w:val="00582B69"/>
    <w:rsid w:val="005838A1"/>
    <w:rsid w:val="00584641"/>
    <w:rsid w:val="00584C19"/>
    <w:rsid w:val="005873F6"/>
    <w:rsid w:val="00590384"/>
    <w:rsid w:val="00591DFE"/>
    <w:rsid w:val="005923C7"/>
    <w:rsid w:val="00594840"/>
    <w:rsid w:val="005970AA"/>
    <w:rsid w:val="005A14C4"/>
    <w:rsid w:val="005A1C2A"/>
    <w:rsid w:val="005A2021"/>
    <w:rsid w:val="005A3534"/>
    <w:rsid w:val="005A4007"/>
    <w:rsid w:val="005A4800"/>
    <w:rsid w:val="005A4DC9"/>
    <w:rsid w:val="005B1AED"/>
    <w:rsid w:val="005B37ED"/>
    <w:rsid w:val="005B43A4"/>
    <w:rsid w:val="005B557A"/>
    <w:rsid w:val="005B7F4B"/>
    <w:rsid w:val="005C2E14"/>
    <w:rsid w:val="005C3F4C"/>
    <w:rsid w:val="005C5661"/>
    <w:rsid w:val="005C68EB"/>
    <w:rsid w:val="005C6992"/>
    <w:rsid w:val="005C6B6D"/>
    <w:rsid w:val="005D1A4A"/>
    <w:rsid w:val="005D5990"/>
    <w:rsid w:val="005D673D"/>
    <w:rsid w:val="005D67E2"/>
    <w:rsid w:val="005D6EB3"/>
    <w:rsid w:val="005D76FE"/>
    <w:rsid w:val="005D7BD5"/>
    <w:rsid w:val="005E052A"/>
    <w:rsid w:val="005E25FB"/>
    <w:rsid w:val="005E3769"/>
    <w:rsid w:val="005E4EA5"/>
    <w:rsid w:val="005E50F3"/>
    <w:rsid w:val="005F0D8D"/>
    <w:rsid w:val="005F187D"/>
    <w:rsid w:val="005F1D29"/>
    <w:rsid w:val="005F216F"/>
    <w:rsid w:val="005F268B"/>
    <w:rsid w:val="005F3047"/>
    <w:rsid w:val="005F459E"/>
    <w:rsid w:val="005F703C"/>
    <w:rsid w:val="005F7237"/>
    <w:rsid w:val="005F72EE"/>
    <w:rsid w:val="006005ED"/>
    <w:rsid w:val="006011F8"/>
    <w:rsid w:val="006069CE"/>
    <w:rsid w:val="00607060"/>
    <w:rsid w:val="00607B5E"/>
    <w:rsid w:val="00610ECB"/>
    <w:rsid w:val="00612DF6"/>
    <w:rsid w:val="00614E93"/>
    <w:rsid w:val="0061552C"/>
    <w:rsid w:val="00620756"/>
    <w:rsid w:val="0062300C"/>
    <w:rsid w:val="0062692F"/>
    <w:rsid w:val="0062777B"/>
    <w:rsid w:val="00631761"/>
    <w:rsid w:val="00631CD6"/>
    <w:rsid w:val="00631D74"/>
    <w:rsid w:val="00633D6F"/>
    <w:rsid w:val="006361DB"/>
    <w:rsid w:val="00641436"/>
    <w:rsid w:val="00641571"/>
    <w:rsid w:val="00643AF9"/>
    <w:rsid w:val="00644A61"/>
    <w:rsid w:val="006464BC"/>
    <w:rsid w:val="00651167"/>
    <w:rsid w:val="00651D03"/>
    <w:rsid w:val="0065293D"/>
    <w:rsid w:val="00653269"/>
    <w:rsid w:val="00654326"/>
    <w:rsid w:val="006544F1"/>
    <w:rsid w:val="0065494E"/>
    <w:rsid w:val="00654E61"/>
    <w:rsid w:val="00656A63"/>
    <w:rsid w:val="006611F2"/>
    <w:rsid w:val="00662E32"/>
    <w:rsid w:val="00663859"/>
    <w:rsid w:val="006642F6"/>
    <w:rsid w:val="006652AF"/>
    <w:rsid w:val="006652E2"/>
    <w:rsid w:val="00665B00"/>
    <w:rsid w:val="006670F5"/>
    <w:rsid w:val="006678BB"/>
    <w:rsid w:val="006723E1"/>
    <w:rsid w:val="00673265"/>
    <w:rsid w:val="0067387A"/>
    <w:rsid w:val="006759B5"/>
    <w:rsid w:val="00675FFE"/>
    <w:rsid w:val="00677B76"/>
    <w:rsid w:val="00680242"/>
    <w:rsid w:val="00682D29"/>
    <w:rsid w:val="00683539"/>
    <w:rsid w:val="0068356D"/>
    <w:rsid w:val="00683E79"/>
    <w:rsid w:val="00690F9E"/>
    <w:rsid w:val="006931E6"/>
    <w:rsid w:val="00693E86"/>
    <w:rsid w:val="006948E4"/>
    <w:rsid w:val="00695119"/>
    <w:rsid w:val="0069570D"/>
    <w:rsid w:val="006A0964"/>
    <w:rsid w:val="006A1509"/>
    <w:rsid w:val="006A1B95"/>
    <w:rsid w:val="006A1DDA"/>
    <w:rsid w:val="006A5483"/>
    <w:rsid w:val="006A5B73"/>
    <w:rsid w:val="006A6AF0"/>
    <w:rsid w:val="006A71E5"/>
    <w:rsid w:val="006B35CC"/>
    <w:rsid w:val="006B5E18"/>
    <w:rsid w:val="006B7091"/>
    <w:rsid w:val="006B7502"/>
    <w:rsid w:val="006B7B70"/>
    <w:rsid w:val="006C3F06"/>
    <w:rsid w:val="006C434D"/>
    <w:rsid w:val="006C49AC"/>
    <w:rsid w:val="006C5AB3"/>
    <w:rsid w:val="006C6176"/>
    <w:rsid w:val="006C6E18"/>
    <w:rsid w:val="006C7700"/>
    <w:rsid w:val="006C79F7"/>
    <w:rsid w:val="006C7A30"/>
    <w:rsid w:val="006D07C9"/>
    <w:rsid w:val="006D274C"/>
    <w:rsid w:val="006D2F1D"/>
    <w:rsid w:val="006D51BD"/>
    <w:rsid w:val="006D6CAE"/>
    <w:rsid w:val="006D7D89"/>
    <w:rsid w:val="006D7FF1"/>
    <w:rsid w:val="006E2E0C"/>
    <w:rsid w:val="006E543B"/>
    <w:rsid w:val="006E5A35"/>
    <w:rsid w:val="006F06DD"/>
    <w:rsid w:val="006F2B8A"/>
    <w:rsid w:val="006F3898"/>
    <w:rsid w:val="006F4355"/>
    <w:rsid w:val="006F5E5A"/>
    <w:rsid w:val="006F6095"/>
    <w:rsid w:val="006F76DC"/>
    <w:rsid w:val="006F7E12"/>
    <w:rsid w:val="00701739"/>
    <w:rsid w:val="007029B9"/>
    <w:rsid w:val="007030EB"/>
    <w:rsid w:val="00703676"/>
    <w:rsid w:val="00704EEE"/>
    <w:rsid w:val="007051DE"/>
    <w:rsid w:val="00711160"/>
    <w:rsid w:val="00711F88"/>
    <w:rsid w:val="007121EB"/>
    <w:rsid w:val="007140F6"/>
    <w:rsid w:val="007142E6"/>
    <w:rsid w:val="00714640"/>
    <w:rsid w:val="00715294"/>
    <w:rsid w:val="007159A6"/>
    <w:rsid w:val="00716A5D"/>
    <w:rsid w:val="00722913"/>
    <w:rsid w:val="0072464B"/>
    <w:rsid w:val="007260DD"/>
    <w:rsid w:val="00726233"/>
    <w:rsid w:val="007262FB"/>
    <w:rsid w:val="00726EA5"/>
    <w:rsid w:val="00730D3C"/>
    <w:rsid w:val="00732846"/>
    <w:rsid w:val="007332A3"/>
    <w:rsid w:val="00734133"/>
    <w:rsid w:val="00734EC9"/>
    <w:rsid w:val="00736726"/>
    <w:rsid w:val="00737ED4"/>
    <w:rsid w:val="00740A4E"/>
    <w:rsid w:val="007451A1"/>
    <w:rsid w:val="0074640B"/>
    <w:rsid w:val="00747E6D"/>
    <w:rsid w:val="00750FC7"/>
    <w:rsid w:val="0075115D"/>
    <w:rsid w:val="0075285E"/>
    <w:rsid w:val="00753A40"/>
    <w:rsid w:val="007541BF"/>
    <w:rsid w:val="00755FDE"/>
    <w:rsid w:val="007560A0"/>
    <w:rsid w:val="00756139"/>
    <w:rsid w:val="00757169"/>
    <w:rsid w:val="007611F3"/>
    <w:rsid w:val="007629A8"/>
    <w:rsid w:val="00764406"/>
    <w:rsid w:val="00764CCF"/>
    <w:rsid w:val="00764F60"/>
    <w:rsid w:val="007663DE"/>
    <w:rsid w:val="00767277"/>
    <w:rsid w:val="007705EA"/>
    <w:rsid w:val="00771493"/>
    <w:rsid w:val="007732CA"/>
    <w:rsid w:val="007732CE"/>
    <w:rsid w:val="00775296"/>
    <w:rsid w:val="00775A72"/>
    <w:rsid w:val="007767BA"/>
    <w:rsid w:val="00776A04"/>
    <w:rsid w:val="00781699"/>
    <w:rsid w:val="00782638"/>
    <w:rsid w:val="00782658"/>
    <w:rsid w:val="0078375B"/>
    <w:rsid w:val="007837F6"/>
    <w:rsid w:val="0078543D"/>
    <w:rsid w:val="00785584"/>
    <w:rsid w:val="0078558B"/>
    <w:rsid w:val="0078593E"/>
    <w:rsid w:val="00785B37"/>
    <w:rsid w:val="00786DE7"/>
    <w:rsid w:val="007910F9"/>
    <w:rsid w:val="007911A8"/>
    <w:rsid w:val="007941D0"/>
    <w:rsid w:val="00794873"/>
    <w:rsid w:val="007959AC"/>
    <w:rsid w:val="00796336"/>
    <w:rsid w:val="0079656D"/>
    <w:rsid w:val="007A1D9D"/>
    <w:rsid w:val="007A2F53"/>
    <w:rsid w:val="007A50E3"/>
    <w:rsid w:val="007A66FB"/>
    <w:rsid w:val="007A70EC"/>
    <w:rsid w:val="007A713A"/>
    <w:rsid w:val="007A740D"/>
    <w:rsid w:val="007B0E3C"/>
    <w:rsid w:val="007B0F5C"/>
    <w:rsid w:val="007B5713"/>
    <w:rsid w:val="007C023A"/>
    <w:rsid w:val="007C0C6F"/>
    <w:rsid w:val="007C451E"/>
    <w:rsid w:val="007C7FF5"/>
    <w:rsid w:val="007D049D"/>
    <w:rsid w:val="007D1A15"/>
    <w:rsid w:val="007D2ADA"/>
    <w:rsid w:val="007D30EF"/>
    <w:rsid w:val="007D349F"/>
    <w:rsid w:val="007D39CE"/>
    <w:rsid w:val="007D6761"/>
    <w:rsid w:val="007E02D0"/>
    <w:rsid w:val="007E05E7"/>
    <w:rsid w:val="007E1B4D"/>
    <w:rsid w:val="007E294A"/>
    <w:rsid w:val="007E324D"/>
    <w:rsid w:val="007E34C5"/>
    <w:rsid w:val="007E51DF"/>
    <w:rsid w:val="007E52CD"/>
    <w:rsid w:val="007E5D0E"/>
    <w:rsid w:val="007E6779"/>
    <w:rsid w:val="007E7420"/>
    <w:rsid w:val="007F0F58"/>
    <w:rsid w:val="007F1CE6"/>
    <w:rsid w:val="007F3038"/>
    <w:rsid w:val="007F321D"/>
    <w:rsid w:val="007F4A88"/>
    <w:rsid w:val="007F50A4"/>
    <w:rsid w:val="007F6EB0"/>
    <w:rsid w:val="007F78EA"/>
    <w:rsid w:val="00801B07"/>
    <w:rsid w:val="00801E04"/>
    <w:rsid w:val="008047C8"/>
    <w:rsid w:val="00804B52"/>
    <w:rsid w:val="00804DD1"/>
    <w:rsid w:val="00805778"/>
    <w:rsid w:val="008067D3"/>
    <w:rsid w:val="00807122"/>
    <w:rsid w:val="008101FD"/>
    <w:rsid w:val="00810AB0"/>
    <w:rsid w:val="00811495"/>
    <w:rsid w:val="0081215C"/>
    <w:rsid w:val="00813C75"/>
    <w:rsid w:val="008153A3"/>
    <w:rsid w:val="0081572C"/>
    <w:rsid w:val="008158AE"/>
    <w:rsid w:val="00816311"/>
    <w:rsid w:val="0081680F"/>
    <w:rsid w:val="00822E89"/>
    <w:rsid w:val="00824E66"/>
    <w:rsid w:val="00825E9B"/>
    <w:rsid w:val="00826072"/>
    <w:rsid w:val="008302D8"/>
    <w:rsid w:val="008312FC"/>
    <w:rsid w:val="008314C5"/>
    <w:rsid w:val="00831CFA"/>
    <w:rsid w:val="008358C3"/>
    <w:rsid w:val="00836370"/>
    <w:rsid w:val="00843949"/>
    <w:rsid w:val="00843A16"/>
    <w:rsid w:val="00844B6E"/>
    <w:rsid w:val="008458A2"/>
    <w:rsid w:val="00845F88"/>
    <w:rsid w:val="00850195"/>
    <w:rsid w:val="0085121C"/>
    <w:rsid w:val="008534B5"/>
    <w:rsid w:val="00853AF1"/>
    <w:rsid w:val="008549D1"/>
    <w:rsid w:val="00854F51"/>
    <w:rsid w:val="00854FE4"/>
    <w:rsid w:val="00855988"/>
    <w:rsid w:val="00855B0A"/>
    <w:rsid w:val="00855BA9"/>
    <w:rsid w:val="00855D53"/>
    <w:rsid w:val="00855F2C"/>
    <w:rsid w:val="0085795C"/>
    <w:rsid w:val="00860700"/>
    <w:rsid w:val="008617C4"/>
    <w:rsid w:val="00862AC4"/>
    <w:rsid w:val="00863181"/>
    <w:rsid w:val="00863193"/>
    <w:rsid w:val="0086438F"/>
    <w:rsid w:val="008652A0"/>
    <w:rsid w:val="008723B7"/>
    <w:rsid w:val="0087484E"/>
    <w:rsid w:val="00874AD3"/>
    <w:rsid w:val="00875B76"/>
    <w:rsid w:val="00875E12"/>
    <w:rsid w:val="0087602A"/>
    <w:rsid w:val="00876557"/>
    <w:rsid w:val="00876FF3"/>
    <w:rsid w:val="00877306"/>
    <w:rsid w:val="00881FDC"/>
    <w:rsid w:val="00885265"/>
    <w:rsid w:val="008869D0"/>
    <w:rsid w:val="00887427"/>
    <w:rsid w:val="00887A20"/>
    <w:rsid w:val="00890205"/>
    <w:rsid w:val="0089065F"/>
    <w:rsid w:val="008911F5"/>
    <w:rsid w:val="00892A6C"/>
    <w:rsid w:val="00892ABA"/>
    <w:rsid w:val="0089478B"/>
    <w:rsid w:val="00896847"/>
    <w:rsid w:val="008A0C1C"/>
    <w:rsid w:val="008A0FB4"/>
    <w:rsid w:val="008A1B00"/>
    <w:rsid w:val="008A29E8"/>
    <w:rsid w:val="008A58E9"/>
    <w:rsid w:val="008B2226"/>
    <w:rsid w:val="008B32C9"/>
    <w:rsid w:val="008B3B46"/>
    <w:rsid w:val="008B591C"/>
    <w:rsid w:val="008B6A98"/>
    <w:rsid w:val="008B6DA0"/>
    <w:rsid w:val="008C05BF"/>
    <w:rsid w:val="008C1902"/>
    <w:rsid w:val="008C4018"/>
    <w:rsid w:val="008C5034"/>
    <w:rsid w:val="008C59F4"/>
    <w:rsid w:val="008C63BB"/>
    <w:rsid w:val="008C68B0"/>
    <w:rsid w:val="008C6D2E"/>
    <w:rsid w:val="008D3305"/>
    <w:rsid w:val="008D3C3A"/>
    <w:rsid w:val="008D4E78"/>
    <w:rsid w:val="008D766C"/>
    <w:rsid w:val="008E0B97"/>
    <w:rsid w:val="008E5C90"/>
    <w:rsid w:val="008E5DCB"/>
    <w:rsid w:val="008E6E95"/>
    <w:rsid w:val="008E70EE"/>
    <w:rsid w:val="008E7773"/>
    <w:rsid w:val="008F0FE4"/>
    <w:rsid w:val="008F13C4"/>
    <w:rsid w:val="008F1799"/>
    <w:rsid w:val="008F1C47"/>
    <w:rsid w:val="008F4A09"/>
    <w:rsid w:val="008F62F1"/>
    <w:rsid w:val="0090128C"/>
    <w:rsid w:val="0090213F"/>
    <w:rsid w:val="00902FBA"/>
    <w:rsid w:val="00903C82"/>
    <w:rsid w:val="00904F36"/>
    <w:rsid w:val="00907504"/>
    <w:rsid w:val="00911000"/>
    <w:rsid w:val="00912D67"/>
    <w:rsid w:val="009133B7"/>
    <w:rsid w:val="009166CE"/>
    <w:rsid w:val="00921E5F"/>
    <w:rsid w:val="00925C6C"/>
    <w:rsid w:val="00930A3C"/>
    <w:rsid w:val="00932B10"/>
    <w:rsid w:val="00937FFB"/>
    <w:rsid w:val="00944C34"/>
    <w:rsid w:val="00945BEE"/>
    <w:rsid w:val="0094645D"/>
    <w:rsid w:val="0095058D"/>
    <w:rsid w:val="00952DDD"/>
    <w:rsid w:val="0095332B"/>
    <w:rsid w:val="00955E55"/>
    <w:rsid w:val="00956285"/>
    <w:rsid w:val="009567F0"/>
    <w:rsid w:val="00956B31"/>
    <w:rsid w:val="0095724C"/>
    <w:rsid w:val="00957926"/>
    <w:rsid w:val="00957A18"/>
    <w:rsid w:val="009600B6"/>
    <w:rsid w:val="00961DF4"/>
    <w:rsid w:val="00963822"/>
    <w:rsid w:val="00966290"/>
    <w:rsid w:val="0096667F"/>
    <w:rsid w:val="009703BB"/>
    <w:rsid w:val="00972047"/>
    <w:rsid w:val="00972EAF"/>
    <w:rsid w:val="00973D15"/>
    <w:rsid w:val="00974A86"/>
    <w:rsid w:val="00975613"/>
    <w:rsid w:val="00977680"/>
    <w:rsid w:val="00981401"/>
    <w:rsid w:val="009846E2"/>
    <w:rsid w:val="00985984"/>
    <w:rsid w:val="00991E4A"/>
    <w:rsid w:val="009921A2"/>
    <w:rsid w:val="00992378"/>
    <w:rsid w:val="00993608"/>
    <w:rsid w:val="00994606"/>
    <w:rsid w:val="009963D1"/>
    <w:rsid w:val="009969E2"/>
    <w:rsid w:val="00996FFA"/>
    <w:rsid w:val="0099783D"/>
    <w:rsid w:val="009A2407"/>
    <w:rsid w:val="009A4B72"/>
    <w:rsid w:val="009A53CF"/>
    <w:rsid w:val="009A5F05"/>
    <w:rsid w:val="009A6A74"/>
    <w:rsid w:val="009B0357"/>
    <w:rsid w:val="009B1ACF"/>
    <w:rsid w:val="009B273E"/>
    <w:rsid w:val="009B354F"/>
    <w:rsid w:val="009B5309"/>
    <w:rsid w:val="009C1604"/>
    <w:rsid w:val="009C3AFB"/>
    <w:rsid w:val="009C5D91"/>
    <w:rsid w:val="009C7706"/>
    <w:rsid w:val="009C7A74"/>
    <w:rsid w:val="009D0144"/>
    <w:rsid w:val="009D070C"/>
    <w:rsid w:val="009D076A"/>
    <w:rsid w:val="009D0BFE"/>
    <w:rsid w:val="009D1EEB"/>
    <w:rsid w:val="009D282C"/>
    <w:rsid w:val="009D2F37"/>
    <w:rsid w:val="009D3974"/>
    <w:rsid w:val="009D3D43"/>
    <w:rsid w:val="009D4908"/>
    <w:rsid w:val="009D4E91"/>
    <w:rsid w:val="009D57DB"/>
    <w:rsid w:val="009D6445"/>
    <w:rsid w:val="009D6FCC"/>
    <w:rsid w:val="009D7690"/>
    <w:rsid w:val="009D7E4F"/>
    <w:rsid w:val="009E157D"/>
    <w:rsid w:val="009E2726"/>
    <w:rsid w:val="009E3B2E"/>
    <w:rsid w:val="009E637B"/>
    <w:rsid w:val="009E64EF"/>
    <w:rsid w:val="009E7B9A"/>
    <w:rsid w:val="009F13F5"/>
    <w:rsid w:val="009F1CD8"/>
    <w:rsid w:val="009F2D7B"/>
    <w:rsid w:val="009F4165"/>
    <w:rsid w:val="009F5C2E"/>
    <w:rsid w:val="009F5E92"/>
    <w:rsid w:val="00A02458"/>
    <w:rsid w:val="00A03531"/>
    <w:rsid w:val="00A049EB"/>
    <w:rsid w:val="00A05F62"/>
    <w:rsid w:val="00A062FE"/>
    <w:rsid w:val="00A10DA3"/>
    <w:rsid w:val="00A10E9D"/>
    <w:rsid w:val="00A1108C"/>
    <w:rsid w:val="00A12491"/>
    <w:rsid w:val="00A15CEC"/>
    <w:rsid w:val="00A16152"/>
    <w:rsid w:val="00A166C1"/>
    <w:rsid w:val="00A179B0"/>
    <w:rsid w:val="00A17E6B"/>
    <w:rsid w:val="00A20405"/>
    <w:rsid w:val="00A20953"/>
    <w:rsid w:val="00A217A2"/>
    <w:rsid w:val="00A240EA"/>
    <w:rsid w:val="00A2480F"/>
    <w:rsid w:val="00A25459"/>
    <w:rsid w:val="00A25CC8"/>
    <w:rsid w:val="00A3142C"/>
    <w:rsid w:val="00A35169"/>
    <w:rsid w:val="00A3593D"/>
    <w:rsid w:val="00A3676D"/>
    <w:rsid w:val="00A371AB"/>
    <w:rsid w:val="00A37669"/>
    <w:rsid w:val="00A40153"/>
    <w:rsid w:val="00A424A3"/>
    <w:rsid w:val="00A43C11"/>
    <w:rsid w:val="00A45DCC"/>
    <w:rsid w:val="00A46899"/>
    <w:rsid w:val="00A501E6"/>
    <w:rsid w:val="00A5223F"/>
    <w:rsid w:val="00A52E00"/>
    <w:rsid w:val="00A536EE"/>
    <w:rsid w:val="00A5676D"/>
    <w:rsid w:val="00A569F6"/>
    <w:rsid w:val="00A65128"/>
    <w:rsid w:val="00A6661D"/>
    <w:rsid w:val="00A670FA"/>
    <w:rsid w:val="00A67D59"/>
    <w:rsid w:val="00A70075"/>
    <w:rsid w:val="00A700BC"/>
    <w:rsid w:val="00A707CD"/>
    <w:rsid w:val="00A70EE2"/>
    <w:rsid w:val="00A715D0"/>
    <w:rsid w:val="00A7194A"/>
    <w:rsid w:val="00A73257"/>
    <w:rsid w:val="00A74A01"/>
    <w:rsid w:val="00A75E13"/>
    <w:rsid w:val="00A76649"/>
    <w:rsid w:val="00A76F55"/>
    <w:rsid w:val="00A77051"/>
    <w:rsid w:val="00A824B9"/>
    <w:rsid w:val="00A82C2A"/>
    <w:rsid w:val="00A83592"/>
    <w:rsid w:val="00A84924"/>
    <w:rsid w:val="00A8587F"/>
    <w:rsid w:val="00A90534"/>
    <w:rsid w:val="00A90E62"/>
    <w:rsid w:val="00A92EB2"/>
    <w:rsid w:val="00A93CA9"/>
    <w:rsid w:val="00A94AEA"/>
    <w:rsid w:val="00A95B0A"/>
    <w:rsid w:val="00A95EAA"/>
    <w:rsid w:val="00A96468"/>
    <w:rsid w:val="00A966B8"/>
    <w:rsid w:val="00A96E02"/>
    <w:rsid w:val="00A97063"/>
    <w:rsid w:val="00AA0E69"/>
    <w:rsid w:val="00AA1929"/>
    <w:rsid w:val="00AA1F08"/>
    <w:rsid w:val="00AA35B7"/>
    <w:rsid w:val="00AA5530"/>
    <w:rsid w:val="00AA7E76"/>
    <w:rsid w:val="00AB2A1C"/>
    <w:rsid w:val="00AB3077"/>
    <w:rsid w:val="00AB33E4"/>
    <w:rsid w:val="00AB4A35"/>
    <w:rsid w:val="00AB55D9"/>
    <w:rsid w:val="00AB5D84"/>
    <w:rsid w:val="00AB63E9"/>
    <w:rsid w:val="00AC016A"/>
    <w:rsid w:val="00AC374E"/>
    <w:rsid w:val="00AC3C65"/>
    <w:rsid w:val="00AC526E"/>
    <w:rsid w:val="00AC6BC5"/>
    <w:rsid w:val="00AC6BFF"/>
    <w:rsid w:val="00AC70AF"/>
    <w:rsid w:val="00AC7548"/>
    <w:rsid w:val="00AD1EC0"/>
    <w:rsid w:val="00AD1FD7"/>
    <w:rsid w:val="00AD3640"/>
    <w:rsid w:val="00AD411F"/>
    <w:rsid w:val="00AD4143"/>
    <w:rsid w:val="00AD5305"/>
    <w:rsid w:val="00AD6455"/>
    <w:rsid w:val="00AD740C"/>
    <w:rsid w:val="00AE031C"/>
    <w:rsid w:val="00AE24F3"/>
    <w:rsid w:val="00AE30A8"/>
    <w:rsid w:val="00AE3A0E"/>
    <w:rsid w:val="00AE457B"/>
    <w:rsid w:val="00AE56DD"/>
    <w:rsid w:val="00AE5D48"/>
    <w:rsid w:val="00AE6020"/>
    <w:rsid w:val="00AE637C"/>
    <w:rsid w:val="00AF066D"/>
    <w:rsid w:val="00AF4E30"/>
    <w:rsid w:val="00AF5A1C"/>
    <w:rsid w:val="00AF6608"/>
    <w:rsid w:val="00AF6F0F"/>
    <w:rsid w:val="00AF78B3"/>
    <w:rsid w:val="00B0044B"/>
    <w:rsid w:val="00B01B95"/>
    <w:rsid w:val="00B0297B"/>
    <w:rsid w:val="00B0329E"/>
    <w:rsid w:val="00B03A5A"/>
    <w:rsid w:val="00B03B2E"/>
    <w:rsid w:val="00B0737B"/>
    <w:rsid w:val="00B07BA5"/>
    <w:rsid w:val="00B11803"/>
    <w:rsid w:val="00B11EF6"/>
    <w:rsid w:val="00B124AF"/>
    <w:rsid w:val="00B13207"/>
    <w:rsid w:val="00B13264"/>
    <w:rsid w:val="00B15516"/>
    <w:rsid w:val="00B15560"/>
    <w:rsid w:val="00B15E48"/>
    <w:rsid w:val="00B237A1"/>
    <w:rsid w:val="00B2606E"/>
    <w:rsid w:val="00B26F9F"/>
    <w:rsid w:val="00B32381"/>
    <w:rsid w:val="00B3244B"/>
    <w:rsid w:val="00B33F99"/>
    <w:rsid w:val="00B346FD"/>
    <w:rsid w:val="00B3471B"/>
    <w:rsid w:val="00B355FA"/>
    <w:rsid w:val="00B36289"/>
    <w:rsid w:val="00B3757A"/>
    <w:rsid w:val="00B426D0"/>
    <w:rsid w:val="00B43A47"/>
    <w:rsid w:val="00B46E4D"/>
    <w:rsid w:val="00B51A6E"/>
    <w:rsid w:val="00B52806"/>
    <w:rsid w:val="00B53616"/>
    <w:rsid w:val="00B53FB7"/>
    <w:rsid w:val="00B56D8F"/>
    <w:rsid w:val="00B61E9E"/>
    <w:rsid w:val="00B63E77"/>
    <w:rsid w:val="00B646BD"/>
    <w:rsid w:val="00B652B6"/>
    <w:rsid w:val="00B65A41"/>
    <w:rsid w:val="00B6680F"/>
    <w:rsid w:val="00B67867"/>
    <w:rsid w:val="00B70CC9"/>
    <w:rsid w:val="00B74521"/>
    <w:rsid w:val="00B74F34"/>
    <w:rsid w:val="00B7510E"/>
    <w:rsid w:val="00B80E07"/>
    <w:rsid w:val="00B81609"/>
    <w:rsid w:val="00B8175F"/>
    <w:rsid w:val="00B83D13"/>
    <w:rsid w:val="00B84874"/>
    <w:rsid w:val="00B84B57"/>
    <w:rsid w:val="00B84FA1"/>
    <w:rsid w:val="00B877E6"/>
    <w:rsid w:val="00B87801"/>
    <w:rsid w:val="00B87984"/>
    <w:rsid w:val="00B87F47"/>
    <w:rsid w:val="00B91BF1"/>
    <w:rsid w:val="00B91E57"/>
    <w:rsid w:val="00B9273E"/>
    <w:rsid w:val="00B970AD"/>
    <w:rsid w:val="00BA19D4"/>
    <w:rsid w:val="00BA4C3B"/>
    <w:rsid w:val="00BA55EE"/>
    <w:rsid w:val="00BA5B2E"/>
    <w:rsid w:val="00BA66D7"/>
    <w:rsid w:val="00BA6FBD"/>
    <w:rsid w:val="00BB029E"/>
    <w:rsid w:val="00BB17C1"/>
    <w:rsid w:val="00BB1ACD"/>
    <w:rsid w:val="00BB268C"/>
    <w:rsid w:val="00BB5B1E"/>
    <w:rsid w:val="00BB5E71"/>
    <w:rsid w:val="00BB71B8"/>
    <w:rsid w:val="00BC27D4"/>
    <w:rsid w:val="00BC2882"/>
    <w:rsid w:val="00BC3600"/>
    <w:rsid w:val="00BC4CB2"/>
    <w:rsid w:val="00BC5828"/>
    <w:rsid w:val="00BC6594"/>
    <w:rsid w:val="00BD00E4"/>
    <w:rsid w:val="00BD09D4"/>
    <w:rsid w:val="00BD0D82"/>
    <w:rsid w:val="00BD0FEE"/>
    <w:rsid w:val="00BD1ABC"/>
    <w:rsid w:val="00BD3CB9"/>
    <w:rsid w:val="00BD4B23"/>
    <w:rsid w:val="00BD567B"/>
    <w:rsid w:val="00BD7445"/>
    <w:rsid w:val="00BE1DBD"/>
    <w:rsid w:val="00BE2444"/>
    <w:rsid w:val="00BE6EC1"/>
    <w:rsid w:val="00BE7486"/>
    <w:rsid w:val="00BE77B2"/>
    <w:rsid w:val="00BF2A24"/>
    <w:rsid w:val="00BF2C0F"/>
    <w:rsid w:val="00BF2C94"/>
    <w:rsid w:val="00BF3921"/>
    <w:rsid w:val="00BF5EC6"/>
    <w:rsid w:val="00BF6B4A"/>
    <w:rsid w:val="00BF757A"/>
    <w:rsid w:val="00BF763B"/>
    <w:rsid w:val="00BF7773"/>
    <w:rsid w:val="00BF7964"/>
    <w:rsid w:val="00C0186B"/>
    <w:rsid w:val="00C02371"/>
    <w:rsid w:val="00C027FF"/>
    <w:rsid w:val="00C02862"/>
    <w:rsid w:val="00C04952"/>
    <w:rsid w:val="00C04D29"/>
    <w:rsid w:val="00C04D6E"/>
    <w:rsid w:val="00C04FFA"/>
    <w:rsid w:val="00C057D7"/>
    <w:rsid w:val="00C0696A"/>
    <w:rsid w:val="00C102A9"/>
    <w:rsid w:val="00C11498"/>
    <w:rsid w:val="00C1170E"/>
    <w:rsid w:val="00C13281"/>
    <w:rsid w:val="00C13459"/>
    <w:rsid w:val="00C135CF"/>
    <w:rsid w:val="00C13F17"/>
    <w:rsid w:val="00C14905"/>
    <w:rsid w:val="00C1521E"/>
    <w:rsid w:val="00C1541D"/>
    <w:rsid w:val="00C1617A"/>
    <w:rsid w:val="00C169CF"/>
    <w:rsid w:val="00C17DC6"/>
    <w:rsid w:val="00C20AB2"/>
    <w:rsid w:val="00C2261E"/>
    <w:rsid w:val="00C23366"/>
    <w:rsid w:val="00C23751"/>
    <w:rsid w:val="00C2516C"/>
    <w:rsid w:val="00C2517F"/>
    <w:rsid w:val="00C251D0"/>
    <w:rsid w:val="00C254EE"/>
    <w:rsid w:val="00C32080"/>
    <w:rsid w:val="00C3419F"/>
    <w:rsid w:val="00C342F9"/>
    <w:rsid w:val="00C36052"/>
    <w:rsid w:val="00C36B9D"/>
    <w:rsid w:val="00C3704D"/>
    <w:rsid w:val="00C400D6"/>
    <w:rsid w:val="00C40135"/>
    <w:rsid w:val="00C41924"/>
    <w:rsid w:val="00C42F96"/>
    <w:rsid w:val="00C43A87"/>
    <w:rsid w:val="00C44D15"/>
    <w:rsid w:val="00C44D44"/>
    <w:rsid w:val="00C462DF"/>
    <w:rsid w:val="00C47439"/>
    <w:rsid w:val="00C50DB3"/>
    <w:rsid w:val="00C53F72"/>
    <w:rsid w:val="00C54FF3"/>
    <w:rsid w:val="00C56083"/>
    <w:rsid w:val="00C56BD7"/>
    <w:rsid w:val="00C56DD6"/>
    <w:rsid w:val="00C61121"/>
    <w:rsid w:val="00C61B95"/>
    <w:rsid w:val="00C61EE3"/>
    <w:rsid w:val="00C61FAD"/>
    <w:rsid w:val="00C62B0C"/>
    <w:rsid w:val="00C6613C"/>
    <w:rsid w:val="00C66D2A"/>
    <w:rsid w:val="00C67484"/>
    <w:rsid w:val="00C675B8"/>
    <w:rsid w:val="00C67E78"/>
    <w:rsid w:val="00C67F94"/>
    <w:rsid w:val="00C70179"/>
    <w:rsid w:val="00C707E0"/>
    <w:rsid w:val="00C71E04"/>
    <w:rsid w:val="00C7287F"/>
    <w:rsid w:val="00C729F3"/>
    <w:rsid w:val="00C7305E"/>
    <w:rsid w:val="00C73890"/>
    <w:rsid w:val="00C7404B"/>
    <w:rsid w:val="00C77036"/>
    <w:rsid w:val="00C8256B"/>
    <w:rsid w:val="00C83D04"/>
    <w:rsid w:val="00C83F98"/>
    <w:rsid w:val="00C842B8"/>
    <w:rsid w:val="00C87D16"/>
    <w:rsid w:val="00C91F52"/>
    <w:rsid w:val="00C9308B"/>
    <w:rsid w:val="00C93C20"/>
    <w:rsid w:val="00C94AA6"/>
    <w:rsid w:val="00C94F32"/>
    <w:rsid w:val="00C9591D"/>
    <w:rsid w:val="00C97FCF"/>
    <w:rsid w:val="00CA0AEE"/>
    <w:rsid w:val="00CA0DF4"/>
    <w:rsid w:val="00CA1397"/>
    <w:rsid w:val="00CA145E"/>
    <w:rsid w:val="00CA1B2C"/>
    <w:rsid w:val="00CA1F85"/>
    <w:rsid w:val="00CA33F5"/>
    <w:rsid w:val="00CA4029"/>
    <w:rsid w:val="00CA6080"/>
    <w:rsid w:val="00CA659E"/>
    <w:rsid w:val="00CA71EE"/>
    <w:rsid w:val="00CA781A"/>
    <w:rsid w:val="00CB00FD"/>
    <w:rsid w:val="00CB46DF"/>
    <w:rsid w:val="00CB6175"/>
    <w:rsid w:val="00CB689E"/>
    <w:rsid w:val="00CB70EE"/>
    <w:rsid w:val="00CB78F0"/>
    <w:rsid w:val="00CC11D9"/>
    <w:rsid w:val="00CC190C"/>
    <w:rsid w:val="00CC227E"/>
    <w:rsid w:val="00CC355D"/>
    <w:rsid w:val="00CC405C"/>
    <w:rsid w:val="00CC7282"/>
    <w:rsid w:val="00CC7A51"/>
    <w:rsid w:val="00CD0CF4"/>
    <w:rsid w:val="00CD1347"/>
    <w:rsid w:val="00CD357E"/>
    <w:rsid w:val="00CD35F9"/>
    <w:rsid w:val="00CD3B50"/>
    <w:rsid w:val="00CD47A9"/>
    <w:rsid w:val="00CD4C3B"/>
    <w:rsid w:val="00CD4F02"/>
    <w:rsid w:val="00CD61FE"/>
    <w:rsid w:val="00CE0C4C"/>
    <w:rsid w:val="00CE10D4"/>
    <w:rsid w:val="00CE2A87"/>
    <w:rsid w:val="00CE2FE0"/>
    <w:rsid w:val="00CE3E3D"/>
    <w:rsid w:val="00CE4AD9"/>
    <w:rsid w:val="00CE5844"/>
    <w:rsid w:val="00CE5F85"/>
    <w:rsid w:val="00CE6DBA"/>
    <w:rsid w:val="00CF090C"/>
    <w:rsid w:val="00CF0ACB"/>
    <w:rsid w:val="00CF108A"/>
    <w:rsid w:val="00CF3F53"/>
    <w:rsid w:val="00CF4054"/>
    <w:rsid w:val="00CF42C9"/>
    <w:rsid w:val="00CF457B"/>
    <w:rsid w:val="00CF4D23"/>
    <w:rsid w:val="00CF4F13"/>
    <w:rsid w:val="00CF59FE"/>
    <w:rsid w:val="00CF6389"/>
    <w:rsid w:val="00D00E85"/>
    <w:rsid w:val="00D021C4"/>
    <w:rsid w:val="00D023C3"/>
    <w:rsid w:val="00D0426F"/>
    <w:rsid w:val="00D06614"/>
    <w:rsid w:val="00D06F15"/>
    <w:rsid w:val="00D073CB"/>
    <w:rsid w:val="00D07413"/>
    <w:rsid w:val="00D07491"/>
    <w:rsid w:val="00D074C7"/>
    <w:rsid w:val="00D1237C"/>
    <w:rsid w:val="00D12950"/>
    <w:rsid w:val="00D12F0B"/>
    <w:rsid w:val="00D130B1"/>
    <w:rsid w:val="00D145DB"/>
    <w:rsid w:val="00D159EE"/>
    <w:rsid w:val="00D20DC4"/>
    <w:rsid w:val="00D21DB7"/>
    <w:rsid w:val="00D24079"/>
    <w:rsid w:val="00D27499"/>
    <w:rsid w:val="00D277C0"/>
    <w:rsid w:val="00D27CBA"/>
    <w:rsid w:val="00D27E95"/>
    <w:rsid w:val="00D30AC9"/>
    <w:rsid w:val="00D312CA"/>
    <w:rsid w:val="00D31A44"/>
    <w:rsid w:val="00D31A84"/>
    <w:rsid w:val="00D321D9"/>
    <w:rsid w:val="00D32822"/>
    <w:rsid w:val="00D33E09"/>
    <w:rsid w:val="00D37B5A"/>
    <w:rsid w:val="00D400CC"/>
    <w:rsid w:val="00D42C00"/>
    <w:rsid w:val="00D4337F"/>
    <w:rsid w:val="00D43CC5"/>
    <w:rsid w:val="00D44B43"/>
    <w:rsid w:val="00D46960"/>
    <w:rsid w:val="00D474DD"/>
    <w:rsid w:val="00D47819"/>
    <w:rsid w:val="00D52942"/>
    <w:rsid w:val="00D5306A"/>
    <w:rsid w:val="00D5510D"/>
    <w:rsid w:val="00D55ED6"/>
    <w:rsid w:val="00D55FD4"/>
    <w:rsid w:val="00D571A2"/>
    <w:rsid w:val="00D6353D"/>
    <w:rsid w:val="00D65A3D"/>
    <w:rsid w:val="00D6725B"/>
    <w:rsid w:val="00D677F9"/>
    <w:rsid w:val="00D70C31"/>
    <w:rsid w:val="00D719B1"/>
    <w:rsid w:val="00D71F6E"/>
    <w:rsid w:val="00D72BE2"/>
    <w:rsid w:val="00D72DBA"/>
    <w:rsid w:val="00D740F5"/>
    <w:rsid w:val="00D74AD8"/>
    <w:rsid w:val="00D75DF5"/>
    <w:rsid w:val="00D76657"/>
    <w:rsid w:val="00D77324"/>
    <w:rsid w:val="00D77A4A"/>
    <w:rsid w:val="00D80F1C"/>
    <w:rsid w:val="00D8162F"/>
    <w:rsid w:val="00D81996"/>
    <w:rsid w:val="00D8216D"/>
    <w:rsid w:val="00D82E6E"/>
    <w:rsid w:val="00D833B2"/>
    <w:rsid w:val="00D84F5D"/>
    <w:rsid w:val="00D86E1F"/>
    <w:rsid w:val="00D903E7"/>
    <w:rsid w:val="00D90AA3"/>
    <w:rsid w:val="00D91A53"/>
    <w:rsid w:val="00D95ADB"/>
    <w:rsid w:val="00D95E7C"/>
    <w:rsid w:val="00DA017E"/>
    <w:rsid w:val="00DA07F9"/>
    <w:rsid w:val="00DA28B2"/>
    <w:rsid w:val="00DA5168"/>
    <w:rsid w:val="00DA52B8"/>
    <w:rsid w:val="00DA6577"/>
    <w:rsid w:val="00DA6BB2"/>
    <w:rsid w:val="00DB1992"/>
    <w:rsid w:val="00DB2008"/>
    <w:rsid w:val="00DB3193"/>
    <w:rsid w:val="00DB7B31"/>
    <w:rsid w:val="00DC22C5"/>
    <w:rsid w:val="00DC247F"/>
    <w:rsid w:val="00DC346E"/>
    <w:rsid w:val="00DC4030"/>
    <w:rsid w:val="00DC53D0"/>
    <w:rsid w:val="00DC5F86"/>
    <w:rsid w:val="00DC784E"/>
    <w:rsid w:val="00DD0702"/>
    <w:rsid w:val="00DD0F06"/>
    <w:rsid w:val="00DD3215"/>
    <w:rsid w:val="00DD3220"/>
    <w:rsid w:val="00DD3527"/>
    <w:rsid w:val="00DD4693"/>
    <w:rsid w:val="00DD5191"/>
    <w:rsid w:val="00DD6DDE"/>
    <w:rsid w:val="00DD7309"/>
    <w:rsid w:val="00DE1745"/>
    <w:rsid w:val="00DE5957"/>
    <w:rsid w:val="00DE638C"/>
    <w:rsid w:val="00DE6CD1"/>
    <w:rsid w:val="00DE715B"/>
    <w:rsid w:val="00DF0CD2"/>
    <w:rsid w:val="00DF31AE"/>
    <w:rsid w:val="00DF3655"/>
    <w:rsid w:val="00E02682"/>
    <w:rsid w:val="00E0439F"/>
    <w:rsid w:val="00E04D15"/>
    <w:rsid w:val="00E05345"/>
    <w:rsid w:val="00E0691F"/>
    <w:rsid w:val="00E0710D"/>
    <w:rsid w:val="00E07464"/>
    <w:rsid w:val="00E1196E"/>
    <w:rsid w:val="00E11A3C"/>
    <w:rsid w:val="00E120D2"/>
    <w:rsid w:val="00E144C3"/>
    <w:rsid w:val="00E154D7"/>
    <w:rsid w:val="00E16007"/>
    <w:rsid w:val="00E16073"/>
    <w:rsid w:val="00E16C5E"/>
    <w:rsid w:val="00E210E5"/>
    <w:rsid w:val="00E22B5B"/>
    <w:rsid w:val="00E23130"/>
    <w:rsid w:val="00E2376E"/>
    <w:rsid w:val="00E25091"/>
    <w:rsid w:val="00E2609F"/>
    <w:rsid w:val="00E30E0B"/>
    <w:rsid w:val="00E31053"/>
    <w:rsid w:val="00E361C1"/>
    <w:rsid w:val="00E3721F"/>
    <w:rsid w:val="00E3781F"/>
    <w:rsid w:val="00E4081B"/>
    <w:rsid w:val="00E41826"/>
    <w:rsid w:val="00E42F73"/>
    <w:rsid w:val="00E4455D"/>
    <w:rsid w:val="00E449F8"/>
    <w:rsid w:val="00E44C8F"/>
    <w:rsid w:val="00E451E9"/>
    <w:rsid w:val="00E452DB"/>
    <w:rsid w:val="00E45DA5"/>
    <w:rsid w:val="00E54688"/>
    <w:rsid w:val="00E62A46"/>
    <w:rsid w:val="00E64CDB"/>
    <w:rsid w:val="00E64DB9"/>
    <w:rsid w:val="00E65258"/>
    <w:rsid w:val="00E65289"/>
    <w:rsid w:val="00E665C8"/>
    <w:rsid w:val="00E666F8"/>
    <w:rsid w:val="00E66E2D"/>
    <w:rsid w:val="00E66EA7"/>
    <w:rsid w:val="00E70183"/>
    <w:rsid w:val="00E70F8F"/>
    <w:rsid w:val="00E76286"/>
    <w:rsid w:val="00E769C3"/>
    <w:rsid w:val="00E77147"/>
    <w:rsid w:val="00E775B6"/>
    <w:rsid w:val="00E81997"/>
    <w:rsid w:val="00E81E8E"/>
    <w:rsid w:val="00E82C40"/>
    <w:rsid w:val="00E8424E"/>
    <w:rsid w:val="00E846A5"/>
    <w:rsid w:val="00E84D42"/>
    <w:rsid w:val="00E86C32"/>
    <w:rsid w:val="00E873CB"/>
    <w:rsid w:val="00E877D1"/>
    <w:rsid w:val="00E913BC"/>
    <w:rsid w:val="00E92219"/>
    <w:rsid w:val="00E9290A"/>
    <w:rsid w:val="00E92BA8"/>
    <w:rsid w:val="00E943AC"/>
    <w:rsid w:val="00E963D0"/>
    <w:rsid w:val="00E97C94"/>
    <w:rsid w:val="00EA1D0C"/>
    <w:rsid w:val="00EA2403"/>
    <w:rsid w:val="00EA3843"/>
    <w:rsid w:val="00EA410C"/>
    <w:rsid w:val="00EA4129"/>
    <w:rsid w:val="00EA41A0"/>
    <w:rsid w:val="00EA4D74"/>
    <w:rsid w:val="00EA5381"/>
    <w:rsid w:val="00EA6BCB"/>
    <w:rsid w:val="00EB0033"/>
    <w:rsid w:val="00EB04AF"/>
    <w:rsid w:val="00EB05AB"/>
    <w:rsid w:val="00EB0751"/>
    <w:rsid w:val="00EB156F"/>
    <w:rsid w:val="00EB485D"/>
    <w:rsid w:val="00EB54A5"/>
    <w:rsid w:val="00EB6D6D"/>
    <w:rsid w:val="00EB7384"/>
    <w:rsid w:val="00EC0826"/>
    <w:rsid w:val="00EC1BF4"/>
    <w:rsid w:val="00EC3BAA"/>
    <w:rsid w:val="00EC4394"/>
    <w:rsid w:val="00EC4A71"/>
    <w:rsid w:val="00EC7E27"/>
    <w:rsid w:val="00ED0B82"/>
    <w:rsid w:val="00ED152E"/>
    <w:rsid w:val="00EE0F3D"/>
    <w:rsid w:val="00EE2D24"/>
    <w:rsid w:val="00EE2E25"/>
    <w:rsid w:val="00EF223A"/>
    <w:rsid w:val="00EF3946"/>
    <w:rsid w:val="00EF4CFA"/>
    <w:rsid w:val="00EF6620"/>
    <w:rsid w:val="00F0001C"/>
    <w:rsid w:val="00F0195E"/>
    <w:rsid w:val="00F064B4"/>
    <w:rsid w:val="00F06B6B"/>
    <w:rsid w:val="00F07090"/>
    <w:rsid w:val="00F07B35"/>
    <w:rsid w:val="00F12B1F"/>
    <w:rsid w:val="00F142BF"/>
    <w:rsid w:val="00F14CFE"/>
    <w:rsid w:val="00F152CB"/>
    <w:rsid w:val="00F1531E"/>
    <w:rsid w:val="00F15FF6"/>
    <w:rsid w:val="00F16C3C"/>
    <w:rsid w:val="00F16E00"/>
    <w:rsid w:val="00F16E50"/>
    <w:rsid w:val="00F16E90"/>
    <w:rsid w:val="00F2016D"/>
    <w:rsid w:val="00F204EC"/>
    <w:rsid w:val="00F20D8E"/>
    <w:rsid w:val="00F20F64"/>
    <w:rsid w:val="00F2224F"/>
    <w:rsid w:val="00F22D1C"/>
    <w:rsid w:val="00F23F20"/>
    <w:rsid w:val="00F2547F"/>
    <w:rsid w:val="00F26E02"/>
    <w:rsid w:val="00F277BE"/>
    <w:rsid w:val="00F278FC"/>
    <w:rsid w:val="00F30E4D"/>
    <w:rsid w:val="00F31AC4"/>
    <w:rsid w:val="00F32849"/>
    <w:rsid w:val="00F337B3"/>
    <w:rsid w:val="00F35EA0"/>
    <w:rsid w:val="00F37888"/>
    <w:rsid w:val="00F400FA"/>
    <w:rsid w:val="00F41130"/>
    <w:rsid w:val="00F413DD"/>
    <w:rsid w:val="00F43FB5"/>
    <w:rsid w:val="00F4547B"/>
    <w:rsid w:val="00F47859"/>
    <w:rsid w:val="00F51545"/>
    <w:rsid w:val="00F522D2"/>
    <w:rsid w:val="00F54E40"/>
    <w:rsid w:val="00F558B4"/>
    <w:rsid w:val="00F60497"/>
    <w:rsid w:val="00F60B82"/>
    <w:rsid w:val="00F60D96"/>
    <w:rsid w:val="00F62A4E"/>
    <w:rsid w:val="00F652CD"/>
    <w:rsid w:val="00F669BF"/>
    <w:rsid w:val="00F71641"/>
    <w:rsid w:val="00F71803"/>
    <w:rsid w:val="00F719A4"/>
    <w:rsid w:val="00F728FB"/>
    <w:rsid w:val="00F72B93"/>
    <w:rsid w:val="00F7333C"/>
    <w:rsid w:val="00F733B0"/>
    <w:rsid w:val="00F73780"/>
    <w:rsid w:val="00F74AE1"/>
    <w:rsid w:val="00F74E2F"/>
    <w:rsid w:val="00F74FD4"/>
    <w:rsid w:val="00F76424"/>
    <w:rsid w:val="00F772D5"/>
    <w:rsid w:val="00F77622"/>
    <w:rsid w:val="00F811E7"/>
    <w:rsid w:val="00F82DB2"/>
    <w:rsid w:val="00F830B1"/>
    <w:rsid w:val="00F84B6D"/>
    <w:rsid w:val="00F86A5E"/>
    <w:rsid w:val="00F875B7"/>
    <w:rsid w:val="00F930FF"/>
    <w:rsid w:val="00F93774"/>
    <w:rsid w:val="00F956D6"/>
    <w:rsid w:val="00F95D71"/>
    <w:rsid w:val="00F96F48"/>
    <w:rsid w:val="00F97FF8"/>
    <w:rsid w:val="00FA071F"/>
    <w:rsid w:val="00FA202B"/>
    <w:rsid w:val="00FA2435"/>
    <w:rsid w:val="00FA3283"/>
    <w:rsid w:val="00FA516F"/>
    <w:rsid w:val="00FA5CDC"/>
    <w:rsid w:val="00FA7074"/>
    <w:rsid w:val="00FB12E6"/>
    <w:rsid w:val="00FB1768"/>
    <w:rsid w:val="00FB1E1A"/>
    <w:rsid w:val="00FB393F"/>
    <w:rsid w:val="00FB64BA"/>
    <w:rsid w:val="00FB74A2"/>
    <w:rsid w:val="00FC32AF"/>
    <w:rsid w:val="00FC3B1E"/>
    <w:rsid w:val="00FC3C00"/>
    <w:rsid w:val="00FC661E"/>
    <w:rsid w:val="00FC7A92"/>
    <w:rsid w:val="00FD21F5"/>
    <w:rsid w:val="00FD2BB0"/>
    <w:rsid w:val="00FD38D7"/>
    <w:rsid w:val="00FD5526"/>
    <w:rsid w:val="00FD5FE0"/>
    <w:rsid w:val="00FE0E08"/>
    <w:rsid w:val="00FE2512"/>
    <w:rsid w:val="00FE2837"/>
    <w:rsid w:val="00FE3620"/>
    <w:rsid w:val="00FE435B"/>
    <w:rsid w:val="00FE5161"/>
    <w:rsid w:val="00FE55F2"/>
    <w:rsid w:val="00FF103C"/>
    <w:rsid w:val="00FF133B"/>
    <w:rsid w:val="00FF1D27"/>
    <w:rsid w:val="00FF40BB"/>
    <w:rsid w:val="00FF4641"/>
    <w:rsid w:val="00FF50DE"/>
    <w:rsid w:val="00FF559D"/>
    <w:rsid w:val="00FF6EF4"/>
    <w:rsid w:val="00FF7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26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99"/>
    <w:qFormat/>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
    <w:qFormat/>
    <w:pPr>
      <w:keepNext/>
      <w:spacing w:before="240" w:after="60"/>
      <w:outlineLvl w:val="0"/>
    </w:pPr>
    <w:rPr>
      <w:rFonts w:ascii="Cambria" w:hAnsi="Cambria"/>
      <w:b/>
      <w:bCs/>
      <w:sz w:val="32"/>
      <w:szCs w:val="32"/>
    </w:rPr>
  </w:style>
  <w:style w:type="paragraph" w:styleId="Nagwek2">
    <w:name w:val="heading 2"/>
    <w:basedOn w:val="Normalny"/>
    <w:next w:val="Normalny"/>
    <w:link w:val="Nagwek2Znak"/>
    <w:uiPriority w:val="9"/>
    <w:unhideWhenUsed/>
    <w:qFormat/>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pPr>
      <w:tabs>
        <w:tab w:val="center" w:pos="4703"/>
        <w:tab w:val="right" w:pos="9406"/>
      </w:tabs>
      <w:spacing w:after="0" w:line="240" w:lineRule="auto"/>
    </w:pPr>
    <w:rPr>
      <w:rFonts w:eastAsia="Calibri"/>
    </w:r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703"/>
        <w:tab w:val="right" w:pos="9406"/>
      </w:tabs>
      <w:spacing w:after="0" w:line="240" w:lineRule="auto"/>
    </w:pPr>
    <w:rPr>
      <w:rFonts w:eastAsia="Calibri"/>
    </w:rPr>
  </w:style>
  <w:style w:type="character" w:customStyle="1" w:styleId="StopkaZnak">
    <w:name w:val="Stopka Znak"/>
    <w:basedOn w:val="Domylnaczcionkaakapitu"/>
    <w:link w:val="Stopka"/>
    <w:uiPriority w:val="99"/>
  </w:style>
  <w:style w:type="paragraph" w:styleId="Tekstdymka">
    <w:name w:val="Balloon Text"/>
    <w:basedOn w:val="Normalny"/>
    <w:link w:val="TekstdymkaZnak"/>
    <w:uiPriority w:val="99"/>
    <w:semiHidden/>
    <w:unhideWhenUsed/>
    <w:pPr>
      <w:spacing w:after="0" w:line="240" w:lineRule="auto"/>
    </w:pPr>
    <w:rPr>
      <w:rFonts w:ascii="Tahoma" w:eastAsia="Calibri"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customStyle="1" w:styleId="A1">
    <w:name w:val="A1"/>
    <w:basedOn w:val="Normalny"/>
    <w:pPr>
      <w:spacing w:before="120" w:after="120" w:line="240" w:lineRule="auto"/>
      <w:ind w:firstLine="284"/>
      <w:jc w:val="both"/>
    </w:pPr>
    <w:rPr>
      <w:rFonts w:ascii="Times New Roman" w:hAnsi="Times New Roman"/>
      <w:lang w:eastAsia="pl-PL"/>
    </w:rPr>
  </w:style>
  <w:style w:type="character" w:styleId="Numerstrony">
    <w:name w:val="page number"/>
    <w:basedOn w:val="Domylnaczcionkaakapitu"/>
    <w:uiPriority w:val="99"/>
  </w:style>
  <w:style w:type="table" w:styleId="Tabela-Siatka">
    <w:name w:val="Table Grid"/>
    <w:basedOn w:val="Standardowy"/>
    <w:uiPriority w:val="9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uiPriority w:val="99"/>
    <w:rPr>
      <w:vertAlign w:val="superscript"/>
    </w:rPr>
  </w:style>
  <w:style w:type="character" w:styleId="Pogrubienie">
    <w:name w:val="Strong"/>
    <w:uiPriority w:val="22"/>
    <w:qFormat/>
    <w:rPr>
      <w:b/>
      <w:bCs/>
    </w:rPr>
  </w:style>
  <w:style w:type="character" w:customStyle="1" w:styleId="TekstprzypisudolnegoZnak">
    <w:name w:val="Tekst przypisu dolnego Znak"/>
    <w:link w:val="Tekstprzypisudolnego"/>
    <w:uiPriority w:val="99"/>
    <w:semiHidden/>
    <w:rPr>
      <w:rFonts w:ascii="Calibri" w:hAnsi="Calibri"/>
      <w:lang w:val="pl-PL" w:eastAsia="en-US" w:bidi="ar-SA"/>
    </w:rPr>
  </w:style>
  <w:style w:type="paragraph" w:styleId="Tekstpodstawowy">
    <w:name w:val="Body Text"/>
    <w:basedOn w:val="Normalny"/>
    <w:link w:val="TekstpodstawowyZnak"/>
    <w:uiPriority w:val="99"/>
    <w:pPr>
      <w:spacing w:after="120" w:line="360" w:lineRule="auto"/>
      <w:jc w:val="both"/>
    </w:pPr>
    <w:rPr>
      <w:rFonts w:ascii="Arial" w:hAnsi="Arial" w:cs="Arial"/>
      <w:sz w:val="24"/>
      <w:szCs w:val="24"/>
      <w:lang w:eastAsia="pl-PL"/>
    </w:rPr>
  </w:style>
  <w:style w:type="character" w:customStyle="1" w:styleId="TekstpodstawowyZnak">
    <w:name w:val="Tekst podstawowy Znak"/>
    <w:link w:val="Tekstpodstawowy"/>
    <w:uiPriority w:val="99"/>
    <w:rPr>
      <w:rFonts w:ascii="Arial" w:hAnsi="Arial" w:cs="Arial"/>
      <w:sz w:val="24"/>
      <w:szCs w:val="24"/>
      <w:lang w:val="pl-PL" w:eastAsia="pl-PL" w:bidi="ar-SA"/>
    </w:rPr>
  </w:style>
  <w:style w:type="paragraph" w:customStyle="1" w:styleId="Tekstpodstawowy21">
    <w:name w:val="Tekst podstawowy 21"/>
    <w:basedOn w:val="Normalny"/>
    <w:uiPriority w:val="99"/>
    <w:pPr>
      <w:spacing w:after="120" w:line="480" w:lineRule="auto"/>
    </w:pPr>
    <w:rPr>
      <w:rFonts w:ascii="Times New Roman" w:hAnsi="Times New Roman"/>
      <w:sz w:val="24"/>
      <w:szCs w:val="24"/>
      <w:lang w:eastAsia="ar-SA"/>
    </w:rPr>
  </w:style>
  <w:style w:type="paragraph" w:styleId="Tekstpodstawowy2">
    <w:name w:val="Body Text 2"/>
    <w:basedOn w:val="Normalny"/>
    <w:uiPriority w:val="99"/>
    <w:pPr>
      <w:spacing w:after="120" w:line="480" w:lineRule="auto"/>
    </w:pPr>
  </w:style>
  <w:style w:type="paragraph" w:customStyle="1" w:styleId="Akapit">
    <w:name w:val="Akapit"/>
    <w:basedOn w:val="Normalny"/>
    <w:uiPriority w:val="99"/>
    <w:pPr>
      <w:spacing w:after="240" w:line="360" w:lineRule="atLeast"/>
      <w:ind w:firstLine="426"/>
      <w:jc w:val="both"/>
    </w:pPr>
    <w:rPr>
      <w:rFonts w:ascii="Arial PL" w:hAnsi="Arial PL"/>
      <w:sz w:val="26"/>
      <w:szCs w:val="20"/>
      <w:lang w:val="en-US" w:eastAsia="pl-PL"/>
    </w:rPr>
  </w:style>
  <w:style w:type="character" w:customStyle="1" w:styleId="Nagwek1Znak">
    <w:name w:val="Nagłówek 1 Znak"/>
    <w:link w:val="Nagwek1"/>
    <w:uiPriority w:val="9"/>
    <w:rPr>
      <w:rFonts w:ascii="Cambria" w:eastAsia="Times New Roman" w:hAnsi="Cambria" w:cs="Times New Roman"/>
      <w:b/>
      <w:bCs/>
      <w:sz w:val="32"/>
      <w:szCs w:val="32"/>
      <w:lang w:eastAsia="en-US"/>
    </w:rPr>
  </w:style>
  <w:style w:type="character" w:customStyle="1" w:styleId="Nagwek2Znak">
    <w:name w:val="Nagłówek 2 Znak"/>
    <w:link w:val="Nagwek2"/>
    <w:uiPriority w:val="9"/>
    <w:rPr>
      <w:rFonts w:ascii="Cambria" w:eastAsia="Times New Roman" w:hAnsi="Cambria" w:cs="Times New Roman"/>
      <w:b/>
      <w:bCs/>
      <w:i/>
      <w:iCs/>
      <w:sz w:val="28"/>
      <w:szCs w:val="28"/>
      <w:lang w:eastAsia="en-US"/>
    </w:rPr>
  </w:style>
  <w:style w:type="paragraph" w:styleId="Nagwekspisutreci">
    <w:name w:val="TOC Heading"/>
    <w:basedOn w:val="Nagwek1"/>
    <w:next w:val="Normalny"/>
    <w:uiPriority w:val="39"/>
    <w:semiHidden/>
    <w:unhideWhenUsed/>
    <w:qFormat/>
    <w:pPr>
      <w:keepLines/>
      <w:spacing w:before="480" w:after="0"/>
    </w:pPr>
    <w:rPr>
      <w:color w:val="365F91"/>
      <w:sz w:val="28"/>
      <w:szCs w:val="28"/>
      <w:lang w:eastAsia="pl-PL"/>
    </w:rPr>
  </w:style>
  <w:style w:type="paragraph" w:styleId="Spistreci1">
    <w:name w:val="toc 1"/>
    <w:basedOn w:val="Normalny"/>
    <w:next w:val="Normalny"/>
    <w:uiPriority w:val="39"/>
    <w:unhideWhenUsed/>
  </w:style>
  <w:style w:type="paragraph" w:styleId="Spistreci2">
    <w:name w:val="toc 2"/>
    <w:basedOn w:val="Normalny"/>
    <w:next w:val="Normalny"/>
    <w:uiPriority w:val="39"/>
    <w:unhideWhenUsed/>
    <w:pPr>
      <w:ind w:left="220"/>
    </w:pPr>
  </w:style>
  <w:style w:type="character" w:styleId="Hipercze">
    <w:name w:val="Hyperlink"/>
    <w:uiPriority w:val="99"/>
    <w:unhideWhenUsed/>
    <w:rPr>
      <w:color w:val="0000FF"/>
      <w:u w:val="single"/>
    </w:rPr>
  </w:style>
  <w:style w:type="character" w:styleId="UyteHipercze">
    <w:name w:val="FollowedHyperlink"/>
    <w:uiPriority w:val="99"/>
    <w:semiHidden/>
    <w:unhideWhenUsed/>
    <w:rPr>
      <w:color w:val="800080"/>
      <w:u w:val="single"/>
    </w:rPr>
  </w:style>
  <w:style w:type="character" w:customStyle="1" w:styleId="Apple-converted-space">
    <w:name w:val="Apple-converted-space"/>
    <w:uiPriority w:val="99"/>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link w:val="Tekstprzypisukocowego"/>
    <w:uiPriority w:val="99"/>
    <w:semiHidden/>
    <w:rPr>
      <w:rFonts w:eastAsia="Times New Roman"/>
      <w:lang w:eastAsia="en-US"/>
    </w:rPr>
  </w:style>
  <w:style w:type="character" w:styleId="Odwoanieprzypisukocowego">
    <w:name w:val="endnote reference"/>
    <w:uiPriority w:val="99"/>
    <w:semiHidden/>
    <w:unhideWhenUsed/>
    <w:rPr>
      <w:vertAlign w:val="superscript"/>
    </w:rPr>
  </w:style>
  <w:style w:type="paragraph" w:styleId="Akapitzlist">
    <w:name w:val="List Paragraph"/>
    <w:basedOn w:val="Normalny"/>
    <w:uiPriority w:val="34"/>
    <w:qFormat/>
    <w:pPr>
      <w:ind w:left="720"/>
      <w:contextualSpacing/>
    </w:pPr>
  </w:style>
  <w:style w:type="paragraph" w:customStyle="1" w:styleId="CM11">
    <w:name w:val="CM1+1"/>
    <w:basedOn w:val="Normalny"/>
    <w:next w:val="Normalny"/>
    <w:uiPriority w:val="99"/>
    <w:pPr>
      <w:spacing w:after="0" w:line="240" w:lineRule="auto"/>
    </w:pPr>
    <w:rPr>
      <w:rFonts w:ascii="EUAlbertina" w:eastAsia="Calibri" w:hAnsi="EUAlbertina"/>
      <w:sz w:val="24"/>
      <w:szCs w:val="24"/>
      <w:lang w:eastAsia="pl-PL"/>
    </w:rPr>
  </w:style>
  <w:style w:type="paragraph" w:customStyle="1" w:styleId="CM31">
    <w:name w:val="CM3+1"/>
    <w:basedOn w:val="Normalny"/>
    <w:next w:val="Normalny"/>
    <w:uiPriority w:val="99"/>
    <w:pPr>
      <w:spacing w:after="0" w:line="240" w:lineRule="auto"/>
    </w:pPr>
    <w:rPr>
      <w:rFonts w:ascii="EUAlbertina" w:eastAsia="Calibri" w:hAnsi="EUAlbertina"/>
      <w:sz w:val="24"/>
      <w:szCs w:val="24"/>
      <w:lang w:eastAsia="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link w:val="Tekstkomentarza"/>
    <w:uiPriority w:val="99"/>
    <w:semiHidden/>
    <w:rPr>
      <w:rFonts w:eastAsia="Times New Roman"/>
      <w:lang w:eastAsia="en-US"/>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link w:val="Tematkomentarza"/>
    <w:uiPriority w:val="99"/>
    <w:semiHidden/>
    <w:rPr>
      <w:rFonts w:eastAsia="Times New Roman"/>
      <w:b/>
      <w:bCs/>
      <w:lang w:eastAsia="en-US"/>
    </w:rPr>
  </w:style>
  <w:style w:type="paragraph" w:styleId="Bezodstpw">
    <w:name w:val="No Spacing"/>
    <w:uiPriority w:val="1"/>
    <w:qFormat/>
  </w:style>
  <w:style w:type="character" w:customStyle="1" w:styleId="Heading1Char">
    <w:name w:val="Heading 1 Char"/>
    <w:basedOn w:val="Domylnaczcionkaakapitu"/>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omylnaczcionkaakapitu"/>
    <w:uiPriority w:val="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Pr>
      <w:rFonts w:asciiTheme="majorHAnsi" w:eastAsiaTheme="majorEastAsia" w:hAnsiTheme="majorHAnsi" w:cstheme="majorBidi"/>
      <w:i/>
      <w:iCs/>
      <w:color w:val="404040" w:themeColor="text1" w:themeTint="BF"/>
      <w:sz w:val="20"/>
      <w:szCs w:val="20"/>
    </w:rPr>
  </w:style>
  <w:style w:type="paragraph" w:styleId="Tytu">
    <w:name w:val="Title"/>
    <w:basedOn w:val="Normalny"/>
    <w:next w:val="Normalny"/>
    <w:link w:val="TytuZnak"/>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ytuZnak">
    <w:name w:val="Tytuł Znak"/>
    <w:basedOn w:val="Domylnaczcionkaakapitu"/>
    <w:link w:val="Tytu"/>
    <w:uiPriority w:val="10"/>
    <w:rPr>
      <w:rFonts w:asciiTheme="majorHAnsi" w:eastAsiaTheme="majorEastAsia" w:hAnsiTheme="majorHAnsi" w:cstheme="majorBidi"/>
      <w:color w:val="17365D" w:themeColor="text2" w:themeShade="BF"/>
      <w:spacing w:val="5"/>
      <w:sz w:val="52"/>
      <w:szCs w:val="52"/>
    </w:rPr>
  </w:style>
  <w:style w:type="paragraph" w:styleId="Podtytu">
    <w:name w:val="Subtitle"/>
    <w:basedOn w:val="Normalny"/>
    <w:next w:val="Normalny"/>
    <w:link w:val="PodtytuZnak"/>
    <w:uiPriority w:val="11"/>
    <w:qFormat/>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Pr>
      <w:rFonts w:asciiTheme="majorHAnsi" w:eastAsiaTheme="majorEastAsia" w:hAnsiTheme="majorHAnsi" w:cstheme="majorBidi"/>
      <w:i/>
      <w:iCs/>
      <w:color w:val="4F81BD" w:themeColor="accent1"/>
      <w:spacing w:val="15"/>
      <w:sz w:val="24"/>
      <w:szCs w:val="24"/>
    </w:rPr>
  </w:style>
  <w:style w:type="character" w:styleId="Wyrnieniedelikatne">
    <w:name w:val="Subtle Emphasis"/>
    <w:basedOn w:val="Domylnaczcionkaakapitu"/>
    <w:uiPriority w:val="19"/>
    <w:qFormat/>
    <w:rPr>
      <w:i/>
      <w:iCs/>
      <w:color w:val="808080" w:themeColor="text1" w:themeTint="7F"/>
    </w:rPr>
  </w:style>
  <w:style w:type="character" w:styleId="Uwydatnienie">
    <w:name w:val="Emphasis"/>
    <w:basedOn w:val="Domylnaczcionkaakapitu"/>
    <w:uiPriority w:val="20"/>
    <w:qFormat/>
    <w:rPr>
      <w:i/>
      <w:iCs/>
    </w:rPr>
  </w:style>
  <w:style w:type="character" w:styleId="Wyrnienieintensywne">
    <w:name w:val="Intense Emphasis"/>
    <w:basedOn w:val="Domylnaczcionkaakapitu"/>
    <w:uiPriority w:val="21"/>
    <w:qFormat/>
    <w:rPr>
      <w:b/>
      <w:bCs/>
      <w:i/>
      <w:iCs/>
      <w:color w:val="4F81BD" w:themeColor="accent1"/>
    </w:rPr>
  </w:style>
  <w:style w:type="paragraph" w:styleId="Cytat">
    <w:name w:val="Quote"/>
    <w:basedOn w:val="Normalny"/>
    <w:next w:val="Normalny"/>
    <w:link w:val="CytatZnak"/>
    <w:uiPriority w:val="29"/>
    <w:qFormat/>
    <w:rPr>
      <w:i/>
      <w:iCs/>
      <w:color w:val="000000" w:themeColor="text1"/>
    </w:rPr>
  </w:style>
  <w:style w:type="character" w:customStyle="1" w:styleId="CytatZnak">
    <w:name w:val="Cytat Znak"/>
    <w:basedOn w:val="Domylnaczcionkaakapitu"/>
    <w:link w:val="Cytat"/>
    <w:uiPriority w:val="29"/>
    <w:rPr>
      <w:i/>
      <w:iCs/>
      <w:color w:val="000000" w:themeColor="text1"/>
    </w:rPr>
  </w:style>
  <w:style w:type="paragraph" w:styleId="Cytatintensywny">
    <w:name w:val="Intense Quote"/>
    <w:basedOn w:val="Normalny"/>
    <w:next w:val="Normalny"/>
    <w:link w:val="CytatintensywnyZnak"/>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Pr>
      <w:b/>
      <w:bCs/>
      <w:i/>
      <w:iCs/>
      <w:color w:val="4F81BD" w:themeColor="accent1"/>
    </w:rPr>
  </w:style>
  <w:style w:type="character" w:styleId="Odwoaniedelikatne">
    <w:name w:val="Subtle Reference"/>
    <w:basedOn w:val="Domylnaczcionkaakapitu"/>
    <w:uiPriority w:val="31"/>
    <w:qFormat/>
    <w:rPr>
      <w:smallCaps/>
      <w:color w:val="C0504D" w:themeColor="accent2"/>
      <w:u w:val="single"/>
    </w:rPr>
  </w:style>
  <w:style w:type="character" w:styleId="Odwoanieintensywne">
    <w:name w:val="Intense Reference"/>
    <w:basedOn w:val="Domylnaczcionkaakapitu"/>
    <w:uiPriority w:val="32"/>
    <w:qFormat/>
    <w:rPr>
      <w:b/>
      <w:bCs/>
      <w:smallCaps/>
      <w:color w:val="C0504D" w:themeColor="accent2"/>
      <w:spacing w:val="5"/>
      <w:u w:val="single"/>
    </w:rPr>
  </w:style>
  <w:style w:type="character" w:styleId="Tytuksiki">
    <w:name w:val="Book Title"/>
    <w:basedOn w:val="Domylnaczcionkaakapitu"/>
    <w:uiPriority w:val="33"/>
    <w:qFormat/>
    <w:rPr>
      <w:b/>
      <w:bCs/>
      <w:smallCaps/>
      <w:spacing w:val="5"/>
    </w:rPr>
  </w:style>
  <w:style w:type="character" w:customStyle="1" w:styleId="FootnoteTextChar">
    <w:name w:val="Footnote Text Char"/>
    <w:basedOn w:val="Domylnaczcionkaakapitu"/>
    <w:uiPriority w:val="99"/>
    <w:semiHidden/>
    <w:rPr>
      <w:sz w:val="20"/>
      <w:szCs w:val="20"/>
    </w:rPr>
  </w:style>
  <w:style w:type="character" w:customStyle="1" w:styleId="EndnoteTextChar">
    <w:name w:val="Endnote Text Char"/>
    <w:basedOn w:val="Domylnaczcionkaakapitu"/>
    <w:uiPriority w:val="99"/>
    <w:semiHidden/>
    <w:rPr>
      <w:sz w:val="20"/>
      <w:szCs w:val="20"/>
    </w:rPr>
  </w:style>
  <w:style w:type="paragraph" w:styleId="Zwykytekst">
    <w:name w:val="Plain Text"/>
    <w:basedOn w:val="Normalny"/>
    <w:link w:val="ZwykytekstZnak"/>
    <w:uiPriority w:val="99"/>
    <w:semiHidden/>
    <w:unhideWhenUsed/>
    <w:pPr>
      <w:spacing w:after="0" w:line="240" w:lineRule="auto"/>
    </w:pPr>
    <w:rPr>
      <w:rFonts w:ascii="Courier New" w:hAnsi="Courier New" w:cs="Courier New"/>
      <w:sz w:val="21"/>
      <w:szCs w:val="21"/>
    </w:rPr>
  </w:style>
  <w:style w:type="character" w:customStyle="1" w:styleId="ZwykytekstZnak">
    <w:name w:val="Zwykły tekst Znak"/>
    <w:basedOn w:val="Domylnaczcionkaakapitu"/>
    <w:link w:val="Zwykytekst"/>
    <w:uiPriority w:val="99"/>
    <w:rPr>
      <w:rFonts w:ascii="Courier New" w:hAnsi="Courier New" w:cs="Courier New"/>
      <w:sz w:val="21"/>
      <w:szCs w:val="21"/>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72461">
      <w:bodyDiv w:val="1"/>
      <w:marLeft w:val="0"/>
      <w:marRight w:val="0"/>
      <w:marTop w:val="0"/>
      <w:marBottom w:val="0"/>
      <w:divBdr>
        <w:top w:val="none" w:sz="0" w:space="0" w:color="auto"/>
        <w:left w:val="none" w:sz="0" w:space="0" w:color="auto"/>
        <w:bottom w:val="none" w:sz="0" w:space="0" w:color="auto"/>
        <w:right w:val="none" w:sz="0" w:space="0" w:color="auto"/>
      </w:divBdr>
    </w:div>
    <w:div w:id="702099442">
      <w:bodyDiv w:val="1"/>
      <w:marLeft w:val="0"/>
      <w:marRight w:val="0"/>
      <w:marTop w:val="0"/>
      <w:marBottom w:val="0"/>
      <w:divBdr>
        <w:top w:val="none" w:sz="0" w:space="0" w:color="auto"/>
        <w:left w:val="none" w:sz="0" w:space="0" w:color="auto"/>
        <w:bottom w:val="none" w:sz="0" w:space="0" w:color="auto"/>
        <w:right w:val="none" w:sz="0" w:space="0" w:color="auto"/>
      </w:divBdr>
    </w:div>
    <w:div w:id="1038891451">
      <w:bodyDiv w:val="1"/>
      <w:marLeft w:val="0"/>
      <w:marRight w:val="0"/>
      <w:marTop w:val="0"/>
      <w:marBottom w:val="0"/>
      <w:divBdr>
        <w:top w:val="none" w:sz="0" w:space="0" w:color="auto"/>
        <w:left w:val="none" w:sz="0" w:space="0" w:color="auto"/>
        <w:bottom w:val="none" w:sz="0" w:space="0" w:color="auto"/>
        <w:right w:val="none" w:sz="0" w:space="0" w:color="auto"/>
      </w:divBdr>
    </w:div>
    <w:div w:id="1133716448">
      <w:bodyDiv w:val="1"/>
      <w:marLeft w:val="0"/>
      <w:marRight w:val="0"/>
      <w:marTop w:val="0"/>
      <w:marBottom w:val="0"/>
      <w:divBdr>
        <w:top w:val="none" w:sz="0" w:space="0" w:color="auto"/>
        <w:left w:val="none" w:sz="0" w:space="0" w:color="auto"/>
        <w:bottom w:val="none" w:sz="0" w:space="0" w:color="auto"/>
        <w:right w:val="none" w:sz="0" w:space="0" w:color="auto"/>
      </w:divBdr>
    </w:div>
    <w:div w:id="16300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9.jpe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stat.gov.pl/obszary-tematyczne/rachunki-narodowe/europejski-system-rachunkow-narodowych-i-regionalnych-esa-2010/rozporzadzenie-parlamentu-europejskiego-i-rady-ue-nr-5492013-z-dnia-21-maja-2013-r-,1,1.html" TargetMode="Externa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isap.sejm.gov.pl/DetailsServlet?id=WDU200915712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B714EC55F5B845891B483CE414F30B" ma:contentTypeVersion="" ma:contentTypeDescription="Utwórz nowy dokument." ma:contentTypeScope="" ma:versionID="07bd9a868e8a5cbf4cfeda6b485d279d">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D569C-BA95-43FB-8207-557025EAB04B}">
  <ds:schemaRefs>
    <ds:schemaRef ds:uri="http://schemas.microsoft.com/sharepoint/v3/contenttype/forms"/>
  </ds:schemaRefs>
</ds:datastoreItem>
</file>

<file path=customXml/itemProps2.xml><?xml version="1.0" encoding="utf-8"?>
<ds:datastoreItem xmlns:ds="http://schemas.openxmlformats.org/officeDocument/2006/customXml" ds:itemID="{A2345975-755E-42BC-8BCF-8F757D396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67F1D1-AEC9-47C9-B05C-219BBBF8CE73}">
  <ds:schemaRef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F64CDA2-8B8A-46C4-BB29-B27E0372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2663</Words>
  <Characters>15983</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18609</CharactersWithSpaces>
  <SharedDoc>false</SharedDoc>
  <HLinks>
    <vt:vector size="96" baseType="variant">
      <vt:variant>
        <vt:i4>3211323</vt:i4>
      </vt:variant>
      <vt:variant>
        <vt:i4>93</vt:i4>
      </vt:variant>
      <vt:variant>
        <vt:i4>0</vt:i4>
      </vt:variant>
      <vt:variant>
        <vt:i4>5</vt:i4>
      </vt:variant>
      <vt:variant>
        <vt:lpwstr>http://stat.gov.pl/obszary-tematyczne/rachunki-narodowe/europejski-system-rachunkow-narodowych-i-regionalnych-esa-2010/rozporzadzenie-parlamentu-europejskiego-i-rady-ue-nr-5492013-z-dnia-21-maja-2013-r-,1,1.html</vt:lpwstr>
      </vt:variant>
      <vt:variant>
        <vt:lpwstr/>
      </vt:variant>
      <vt:variant>
        <vt:i4>3407929</vt:i4>
      </vt:variant>
      <vt:variant>
        <vt:i4>90</vt:i4>
      </vt:variant>
      <vt:variant>
        <vt:i4>0</vt:i4>
      </vt:variant>
      <vt:variant>
        <vt:i4>5</vt:i4>
      </vt:variant>
      <vt:variant>
        <vt:lpwstr>http://www.mf.gov.pl/documents/764034/1002148/metodologia+wersja+polska2001.pdf</vt:lpwstr>
      </vt:variant>
      <vt:variant>
        <vt:lpwstr/>
      </vt:variant>
      <vt:variant>
        <vt:i4>786444</vt:i4>
      </vt:variant>
      <vt:variant>
        <vt:i4>87</vt:i4>
      </vt:variant>
      <vt:variant>
        <vt:i4>0</vt:i4>
      </vt:variant>
      <vt:variant>
        <vt:i4>5</vt:i4>
      </vt:variant>
      <vt:variant>
        <vt:lpwstr>http://isap.sejm.gov.pl/DetailsServlet?id=WDU20091571240</vt:lpwstr>
      </vt:variant>
      <vt:variant>
        <vt:lpwstr/>
      </vt:variant>
      <vt:variant>
        <vt:i4>1900600</vt:i4>
      </vt:variant>
      <vt:variant>
        <vt:i4>74</vt:i4>
      </vt:variant>
      <vt:variant>
        <vt:i4>0</vt:i4>
      </vt:variant>
      <vt:variant>
        <vt:i4>5</vt:i4>
      </vt:variant>
      <vt:variant>
        <vt:lpwstr/>
      </vt:variant>
      <vt:variant>
        <vt:lpwstr>_Toc484006841</vt:lpwstr>
      </vt:variant>
      <vt:variant>
        <vt:i4>1900600</vt:i4>
      </vt:variant>
      <vt:variant>
        <vt:i4>68</vt:i4>
      </vt:variant>
      <vt:variant>
        <vt:i4>0</vt:i4>
      </vt:variant>
      <vt:variant>
        <vt:i4>5</vt:i4>
      </vt:variant>
      <vt:variant>
        <vt:lpwstr/>
      </vt:variant>
      <vt:variant>
        <vt:lpwstr>_Toc484006840</vt:lpwstr>
      </vt:variant>
      <vt:variant>
        <vt:i4>1703992</vt:i4>
      </vt:variant>
      <vt:variant>
        <vt:i4>62</vt:i4>
      </vt:variant>
      <vt:variant>
        <vt:i4>0</vt:i4>
      </vt:variant>
      <vt:variant>
        <vt:i4>5</vt:i4>
      </vt:variant>
      <vt:variant>
        <vt:lpwstr/>
      </vt:variant>
      <vt:variant>
        <vt:lpwstr>_Toc484006839</vt:lpwstr>
      </vt:variant>
      <vt:variant>
        <vt:i4>1703992</vt:i4>
      </vt:variant>
      <vt:variant>
        <vt:i4>56</vt:i4>
      </vt:variant>
      <vt:variant>
        <vt:i4>0</vt:i4>
      </vt:variant>
      <vt:variant>
        <vt:i4>5</vt:i4>
      </vt:variant>
      <vt:variant>
        <vt:lpwstr/>
      </vt:variant>
      <vt:variant>
        <vt:lpwstr>_Toc484006838</vt:lpwstr>
      </vt:variant>
      <vt:variant>
        <vt:i4>1703992</vt:i4>
      </vt:variant>
      <vt:variant>
        <vt:i4>50</vt:i4>
      </vt:variant>
      <vt:variant>
        <vt:i4>0</vt:i4>
      </vt:variant>
      <vt:variant>
        <vt:i4>5</vt:i4>
      </vt:variant>
      <vt:variant>
        <vt:lpwstr/>
      </vt:variant>
      <vt:variant>
        <vt:lpwstr>_Toc484006837</vt:lpwstr>
      </vt:variant>
      <vt:variant>
        <vt:i4>1703992</vt:i4>
      </vt:variant>
      <vt:variant>
        <vt:i4>44</vt:i4>
      </vt:variant>
      <vt:variant>
        <vt:i4>0</vt:i4>
      </vt:variant>
      <vt:variant>
        <vt:i4>5</vt:i4>
      </vt:variant>
      <vt:variant>
        <vt:lpwstr/>
      </vt:variant>
      <vt:variant>
        <vt:lpwstr>_Toc484006836</vt:lpwstr>
      </vt:variant>
      <vt:variant>
        <vt:i4>1703992</vt:i4>
      </vt:variant>
      <vt:variant>
        <vt:i4>38</vt:i4>
      </vt:variant>
      <vt:variant>
        <vt:i4>0</vt:i4>
      </vt:variant>
      <vt:variant>
        <vt:i4>5</vt:i4>
      </vt:variant>
      <vt:variant>
        <vt:lpwstr/>
      </vt:variant>
      <vt:variant>
        <vt:lpwstr>_Toc484006835</vt:lpwstr>
      </vt:variant>
      <vt:variant>
        <vt:i4>1703992</vt:i4>
      </vt:variant>
      <vt:variant>
        <vt:i4>32</vt:i4>
      </vt:variant>
      <vt:variant>
        <vt:i4>0</vt:i4>
      </vt:variant>
      <vt:variant>
        <vt:i4>5</vt:i4>
      </vt:variant>
      <vt:variant>
        <vt:lpwstr/>
      </vt:variant>
      <vt:variant>
        <vt:lpwstr>_Toc484006834</vt:lpwstr>
      </vt:variant>
      <vt:variant>
        <vt:i4>1703992</vt:i4>
      </vt:variant>
      <vt:variant>
        <vt:i4>26</vt:i4>
      </vt:variant>
      <vt:variant>
        <vt:i4>0</vt:i4>
      </vt:variant>
      <vt:variant>
        <vt:i4>5</vt:i4>
      </vt:variant>
      <vt:variant>
        <vt:lpwstr/>
      </vt:variant>
      <vt:variant>
        <vt:lpwstr>_Toc484006833</vt:lpwstr>
      </vt:variant>
      <vt:variant>
        <vt:i4>1703992</vt:i4>
      </vt:variant>
      <vt:variant>
        <vt:i4>20</vt:i4>
      </vt:variant>
      <vt:variant>
        <vt:i4>0</vt:i4>
      </vt:variant>
      <vt:variant>
        <vt:i4>5</vt:i4>
      </vt:variant>
      <vt:variant>
        <vt:lpwstr/>
      </vt:variant>
      <vt:variant>
        <vt:lpwstr>_Toc484006832</vt:lpwstr>
      </vt:variant>
      <vt:variant>
        <vt:i4>1703992</vt:i4>
      </vt:variant>
      <vt:variant>
        <vt:i4>14</vt:i4>
      </vt:variant>
      <vt:variant>
        <vt:i4>0</vt:i4>
      </vt:variant>
      <vt:variant>
        <vt:i4>5</vt:i4>
      </vt:variant>
      <vt:variant>
        <vt:lpwstr/>
      </vt:variant>
      <vt:variant>
        <vt:lpwstr>_Toc484006831</vt:lpwstr>
      </vt:variant>
      <vt:variant>
        <vt:i4>1703992</vt:i4>
      </vt:variant>
      <vt:variant>
        <vt:i4>8</vt:i4>
      </vt:variant>
      <vt:variant>
        <vt:i4>0</vt:i4>
      </vt:variant>
      <vt:variant>
        <vt:i4>5</vt:i4>
      </vt:variant>
      <vt:variant>
        <vt:lpwstr/>
      </vt:variant>
      <vt:variant>
        <vt:lpwstr>_Toc484006830</vt:lpwstr>
      </vt:variant>
      <vt:variant>
        <vt:i4>1769528</vt:i4>
      </vt:variant>
      <vt:variant>
        <vt:i4>2</vt:i4>
      </vt:variant>
      <vt:variant>
        <vt:i4>0</vt:i4>
      </vt:variant>
      <vt:variant>
        <vt:i4>5</vt:i4>
      </vt:variant>
      <vt:variant>
        <vt:lpwstr/>
      </vt:variant>
      <vt:variant>
        <vt:lpwstr>_Toc484006829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2020-11-09T13:14:00Z</dcterms:created>
  <dcterms:modified xsi:type="dcterms:W3CDTF">2020-11-09T13:14:00Z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0x010100B4B714EC55F5B845891B483CE414F30B</vt:lpwstr>
  </property>
</Properties>
</file>