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622"/>
        <w:gridCol w:w="408"/>
        <w:gridCol w:w="162"/>
        <w:gridCol w:w="559"/>
        <w:gridCol w:w="138"/>
        <w:gridCol w:w="253"/>
        <w:gridCol w:w="230"/>
        <w:gridCol w:w="555"/>
        <w:gridCol w:w="276"/>
        <w:gridCol w:w="131"/>
        <w:gridCol w:w="177"/>
        <w:gridCol w:w="609"/>
        <w:gridCol w:w="52"/>
        <w:gridCol w:w="695"/>
        <w:gridCol w:w="100"/>
        <w:gridCol w:w="70"/>
        <w:gridCol w:w="522"/>
        <w:gridCol w:w="392"/>
        <w:gridCol w:w="300"/>
        <w:gridCol w:w="9"/>
        <w:gridCol w:w="606"/>
        <w:gridCol w:w="77"/>
        <w:gridCol w:w="691"/>
        <w:gridCol w:w="148"/>
        <w:gridCol w:w="544"/>
        <w:gridCol w:w="856"/>
        <w:gridCol w:w="48"/>
      </w:tblGrid>
      <w:tr w:rsidR="006A701A" w:rsidRPr="00E90B9E" w:rsidTr="009B1980">
        <w:trPr>
          <w:trHeight w:val="1611"/>
        </w:trPr>
        <w:tc>
          <w:tcPr>
            <w:tcW w:w="6511" w:type="dxa"/>
            <w:gridSpan w:val="16"/>
          </w:tcPr>
          <w:p w:rsidR="0002273C" w:rsidRPr="00E90B9E" w:rsidRDefault="0002273C" w:rsidP="009964F8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 w:themeColor="text1"/>
              </w:rPr>
            </w:pPr>
            <w:bookmarkStart w:id="0" w:name="t1"/>
            <w:r w:rsidRPr="00E90B9E">
              <w:rPr>
                <w:rFonts w:ascii="Times New Roman" w:hAnsi="Times New Roman"/>
                <w:b/>
                <w:color w:val="000000"/>
              </w:rPr>
              <w:t xml:space="preserve">Nazwa projektu </w:t>
            </w:r>
          </w:p>
          <w:p w:rsidR="0002273C" w:rsidRPr="00E90B9E" w:rsidRDefault="0002273C" w:rsidP="009964F8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0B9E">
              <w:rPr>
                <w:rFonts w:ascii="Times New Roman" w:hAnsi="Times New Roman"/>
                <w:color w:val="000000" w:themeColor="text1"/>
              </w:rPr>
              <w:t>Projekt ustawy o zmianie ustawy o świadczeniach opieki zdrowotnej finansowanych ze środków publicznych oraz niektórych innych ustaw</w:t>
            </w:r>
          </w:p>
          <w:p w:rsidR="0002273C" w:rsidRPr="00E90B9E" w:rsidRDefault="0002273C" w:rsidP="009964F8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02273C" w:rsidRPr="00E90B9E" w:rsidRDefault="0002273C" w:rsidP="009964F8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Ministerstwo Zdrowia</w:t>
            </w:r>
          </w:p>
          <w:p w:rsidR="0002273C" w:rsidRPr="00E90B9E" w:rsidRDefault="0002273C" w:rsidP="009964F8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  <w:p w:rsidR="00E90B9E" w:rsidRDefault="0002273C" w:rsidP="00E90B9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90B9E">
              <w:rPr>
                <w:rFonts w:ascii="Times New Roman" w:hAnsi="Times New Roman"/>
                <w:b/>
              </w:rPr>
              <w:t>Osoba odpowiedzialna za projekt w randze Ministra, Sekretarz</w:t>
            </w:r>
            <w:r w:rsidR="00E90B9E">
              <w:rPr>
                <w:rFonts w:ascii="Times New Roman" w:hAnsi="Times New Roman"/>
                <w:b/>
              </w:rPr>
              <w:t>a Stanu lub Podsekretarza Stanu</w:t>
            </w:r>
          </w:p>
          <w:p w:rsidR="0002273C" w:rsidRPr="00E90B9E" w:rsidRDefault="0002273C" w:rsidP="00E90B9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90B9E">
              <w:rPr>
                <w:rFonts w:ascii="Times New Roman" w:hAnsi="Times New Roman"/>
              </w:rPr>
              <w:t>Janusz Cieszyński  – Podsekretarz Stanu w Ministerstwie Zdrowia</w:t>
            </w:r>
          </w:p>
          <w:p w:rsidR="0002273C" w:rsidRPr="00E90B9E" w:rsidRDefault="0002273C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6A701A" w:rsidRPr="00E90B9E" w:rsidRDefault="0002273C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Krzysztof Krzyżanowski – Dyrektor Departamentu Nadzoru, Kontroli </w:t>
            </w:r>
            <w:r w:rsidRPr="00E90B9E">
              <w:rPr>
                <w:rFonts w:ascii="Times New Roman" w:hAnsi="Times New Roman"/>
                <w:color w:val="000000"/>
              </w:rPr>
              <w:br/>
              <w:t xml:space="preserve">i Skarg, </w:t>
            </w:r>
            <w:r w:rsidR="00C43870" w:rsidRPr="00E90B9E">
              <w:rPr>
                <w:rFonts w:ascii="Times New Roman" w:hAnsi="Times New Roman"/>
                <w:color w:val="000000"/>
              </w:rPr>
              <w:t xml:space="preserve">tel. </w:t>
            </w:r>
            <w:r w:rsidRPr="00E90B9E">
              <w:rPr>
                <w:rFonts w:ascii="Times New Roman" w:hAnsi="Times New Roman"/>
                <w:color w:val="000000"/>
              </w:rPr>
              <w:t>22 530 02 80, k.krzyzanowski@mz.gov.pl</w:t>
            </w:r>
          </w:p>
        </w:tc>
        <w:tc>
          <w:tcPr>
            <w:tcW w:w="4263" w:type="dxa"/>
            <w:gridSpan w:val="12"/>
            <w:shd w:val="clear" w:color="auto" w:fill="FFFFFF"/>
          </w:tcPr>
          <w:p w:rsidR="001B3460" w:rsidRPr="00E90B9E" w:rsidRDefault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90B9E">
              <w:rPr>
                <w:rFonts w:ascii="Times New Roman" w:hAnsi="Times New Roman"/>
                <w:b/>
              </w:rPr>
              <w:t>Data sporządzenia</w:t>
            </w:r>
            <w:r w:rsidRPr="00E90B9E">
              <w:rPr>
                <w:rFonts w:ascii="Times New Roman" w:hAnsi="Times New Roman"/>
                <w:b/>
              </w:rPr>
              <w:br/>
            </w:r>
            <w:r w:rsidR="00735311">
              <w:rPr>
                <w:rFonts w:ascii="Times New Roman" w:hAnsi="Times New Roman"/>
                <w:b/>
              </w:rPr>
              <w:t>11</w:t>
            </w:r>
            <w:r w:rsidR="00D74D94" w:rsidRPr="00E90B9E">
              <w:rPr>
                <w:rFonts w:ascii="Times New Roman" w:hAnsi="Times New Roman"/>
                <w:b/>
              </w:rPr>
              <w:t>.</w:t>
            </w:r>
            <w:r w:rsidR="00845C45" w:rsidRPr="00E90B9E">
              <w:rPr>
                <w:rFonts w:ascii="Times New Roman" w:hAnsi="Times New Roman"/>
                <w:b/>
              </w:rPr>
              <w:t>1</w:t>
            </w:r>
            <w:r w:rsidR="007C17F1" w:rsidRPr="00E90B9E">
              <w:rPr>
                <w:rFonts w:ascii="Times New Roman" w:hAnsi="Times New Roman"/>
                <w:b/>
              </w:rPr>
              <w:t>2</w:t>
            </w:r>
            <w:r w:rsidR="0002273C" w:rsidRPr="00E90B9E">
              <w:rPr>
                <w:rFonts w:ascii="Times New Roman" w:hAnsi="Times New Roman"/>
                <w:b/>
              </w:rPr>
              <w:t>.2018 r.</w:t>
            </w:r>
          </w:p>
          <w:p w:rsidR="00F76884" w:rsidRPr="00E90B9E" w:rsidRDefault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F76884" w:rsidRPr="00E90B9E" w:rsidRDefault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90B9E">
              <w:rPr>
                <w:rFonts w:ascii="Times New Roman" w:hAnsi="Times New Roman"/>
                <w:b/>
              </w:rPr>
              <w:t xml:space="preserve">Źródło: </w:t>
            </w:r>
          </w:p>
          <w:p w:rsidR="00D40F78" w:rsidRPr="00E90B9E" w:rsidRDefault="006F3548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 xml:space="preserve">Inicjatywa własna </w:t>
            </w:r>
          </w:p>
          <w:p w:rsidR="00D40F78" w:rsidRPr="00E90B9E" w:rsidRDefault="00D40F78">
            <w:pPr>
              <w:spacing w:line="240" w:lineRule="auto"/>
              <w:rPr>
                <w:rFonts w:ascii="Times New Roman" w:hAnsi="Times New Roman"/>
              </w:rPr>
            </w:pPr>
          </w:p>
          <w:p w:rsidR="006A701A" w:rsidRPr="00E90B9E" w:rsidRDefault="006A701A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E90B9E">
              <w:rPr>
                <w:rFonts w:ascii="Times New Roman" w:hAnsi="Times New Roman"/>
                <w:b/>
                <w:color w:val="000000"/>
              </w:rPr>
              <w:t>w</w:t>
            </w:r>
            <w:r w:rsidR="006F3548" w:rsidRPr="00E90B9E">
              <w:rPr>
                <w:rFonts w:ascii="Times New Roman" w:hAnsi="Times New Roman"/>
                <w:b/>
                <w:color w:val="000000"/>
              </w:rPr>
              <w:t xml:space="preserve"> W</w:t>
            </w:r>
            <w:r w:rsidRPr="00E90B9E">
              <w:rPr>
                <w:rFonts w:ascii="Times New Roman" w:hAnsi="Times New Roman"/>
                <w:b/>
                <w:color w:val="000000"/>
              </w:rPr>
              <w:t>ykaz</w:t>
            </w:r>
            <w:r w:rsidR="0057668E" w:rsidRPr="00E90B9E">
              <w:rPr>
                <w:rFonts w:ascii="Times New Roman" w:hAnsi="Times New Roman"/>
                <w:b/>
                <w:color w:val="000000"/>
              </w:rPr>
              <w:t>ie</w:t>
            </w:r>
            <w:r w:rsidR="006F3548" w:rsidRPr="00E90B9E">
              <w:rPr>
                <w:rFonts w:ascii="Times New Roman" w:hAnsi="Times New Roman"/>
                <w:b/>
                <w:color w:val="000000"/>
              </w:rPr>
              <w:t xml:space="preserve"> prac Rady Ministrów:</w:t>
            </w:r>
            <w:bookmarkStart w:id="1" w:name="_GoBack"/>
            <w:bookmarkEnd w:id="1"/>
          </w:p>
          <w:p w:rsidR="006F3548" w:rsidRPr="00E90B9E" w:rsidRDefault="00845C45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UD444</w:t>
            </w:r>
          </w:p>
          <w:p w:rsidR="006A701A" w:rsidRPr="00E90B9E" w:rsidRDefault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6A701A" w:rsidRPr="00E90B9E" w:rsidRDefault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6A701A" w:rsidRPr="00E90B9E" w:rsidRDefault="006A701A" w:rsidP="009964F8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E90B9E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6A701A" w:rsidRPr="00E90B9E" w:rsidTr="009B1980">
        <w:trPr>
          <w:trHeight w:val="33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3D12F6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E90B9E">
              <w:rPr>
                <w:rFonts w:ascii="Times New Roman" w:hAnsi="Times New Roman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:rsidR="00F14477" w:rsidRPr="00E90B9E" w:rsidRDefault="00F14477" w:rsidP="009964F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Problemem jest niewystarczająca skuteczność kontroli prowadzonych przez Narodowy Fundusz Zdrowia</w:t>
            </w:r>
            <w:r w:rsidR="00E90B9E" w:rsidRPr="00E90B9E">
              <w:rPr>
                <w:rFonts w:ascii="Times New Roman" w:hAnsi="Times New Roman"/>
                <w:color w:val="000000"/>
              </w:rPr>
              <w:t xml:space="preserve"> (</w:t>
            </w:r>
            <w:r w:rsidR="00C43870" w:rsidRPr="00E90B9E">
              <w:rPr>
                <w:rFonts w:ascii="Times New Roman" w:hAnsi="Times New Roman"/>
                <w:color w:val="000000"/>
              </w:rPr>
              <w:t>Fundusz</w:t>
            </w:r>
            <w:r w:rsidR="00E90B9E" w:rsidRPr="00E90B9E">
              <w:rPr>
                <w:rFonts w:ascii="Times New Roman" w:hAnsi="Times New Roman"/>
                <w:color w:val="000000"/>
              </w:rPr>
              <w:t>)</w:t>
            </w:r>
            <w:r w:rsidR="00C43870" w:rsidRPr="00E90B9E">
              <w:rPr>
                <w:rFonts w:ascii="Times New Roman" w:hAnsi="Times New Roman"/>
                <w:color w:val="000000"/>
              </w:rPr>
              <w:t xml:space="preserve">, </w:t>
            </w:r>
            <w:r w:rsidRPr="00E90B9E">
              <w:rPr>
                <w:rFonts w:ascii="Times New Roman" w:hAnsi="Times New Roman"/>
                <w:color w:val="000000"/>
              </w:rPr>
              <w:t>w zakresie prawidłowości realizacji umów przez świa</w:t>
            </w:r>
            <w:r w:rsidR="006F3548" w:rsidRPr="00E90B9E">
              <w:rPr>
                <w:rFonts w:ascii="Times New Roman" w:hAnsi="Times New Roman"/>
                <w:color w:val="000000"/>
              </w:rPr>
              <w:t xml:space="preserve">dczeniodawców. Biorąc pod uwagę </w:t>
            </w:r>
            <w:r w:rsidRPr="00E90B9E">
              <w:rPr>
                <w:rFonts w:ascii="Times New Roman" w:hAnsi="Times New Roman"/>
                <w:color w:val="000000"/>
              </w:rPr>
              <w:t xml:space="preserve">obecną liczbę umów (35 tys.) oraz liczbę prowadzonych rocznie kontroli (niespełna 2 tys.) należy uznać, że liczba aktualnie prowadzonych kontroli umożliwia skontrolowanie realizacji każdej umowy średnio co 18 lat, a każdego świadczeniodawcy średnio co 16 lat. Oznacza to, że skuteczność kontroli winna zostać zwiększona, biorąc pod uwagę choćby kilkuletni okres obowiązywania kontraktów. </w:t>
            </w:r>
          </w:p>
          <w:p w:rsidR="00AB4F3C" w:rsidRPr="00E90B9E" w:rsidRDefault="00F1447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Poważnym problemem z punktu widzenia sprawności i skuteczności kontroli jest także stabilność zatrudnienia pracowników kontroli oraz fluktuacja kadry kontrolerskiej (w szczególności polegająca na zmianie miejsca zatrudnienia przez osoby z wykształceniem medycznym). Dodatkowym problemem jest długotrwałość i skomplikowanie procedur kontrolnych, co z jednej strony negatywnie wpływa na efektywność kontroli, z drugiej zaś skutkować może jej uciążliwością dla podmiotu kontrolowanego. Ponadto rozproszenie służb kontrolnych i ich umiejscowienie w oddziałach wojewódzkich Funduszu, może skutkować różnymi wzorcami ich organizacji i sposobu działania, a nawet odmienną interpretacją wyników, a w konsekwencji zróżnicowaniem skutków kontroli.</w:t>
            </w:r>
          </w:p>
          <w:p w:rsidR="00B867FF" w:rsidRDefault="006A602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W zakresie kontroli przeprowadzanych przez ministra właściwego do spraw zdrowia problemem jest długotrwałość postępowań kontrolnych związan</w:t>
            </w:r>
            <w:r w:rsidR="004E400A" w:rsidRPr="00E90B9E">
              <w:rPr>
                <w:rFonts w:ascii="Times New Roman" w:hAnsi="Times New Roman"/>
                <w:color w:val="000000"/>
              </w:rPr>
              <w:t>a</w:t>
            </w:r>
            <w:r w:rsidRPr="00E90B9E">
              <w:rPr>
                <w:rFonts w:ascii="Times New Roman" w:hAnsi="Times New Roman"/>
                <w:color w:val="000000"/>
              </w:rPr>
              <w:t xml:space="preserve"> z koniecznością sporządzania protokoł</w:t>
            </w:r>
            <w:r w:rsidR="004E400A" w:rsidRPr="00E90B9E">
              <w:rPr>
                <w:rFonts w:ascii="Times New Roman" w:hAnsi="Times New Roman"/>
                <w:color w:val="000000"/>
              </w:rPr>
              <w:t>u</w:t>
            </w:r>
            <w:r w:rsidRPr="00E90B9E">
              <w:rPr>
                <w:rFonts w:ascii="Times New Roman" w:hAnsi="Times New Roman"/>
                <w:color w:val="000000"/>
              </w:rPr>
              <w:t xml:space="preserve"> kontroli, a następnie obowiązek sporządzenia wystąpienia pokontrolnego. </w:t>
            </w:r>
          </w:p>
          <w:p w:rsidR="00E90B9E" w:rsidRDefault="00E90B9E" w:rsidP="00E90B9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Ponadto brak jest jednolitego trybu kontrolnego dla wszystkich podmiotów kontrolowanych - regulacje ustawy o świadczeniach i ustawy o refundacji w odmienny sposób regulują tryb kontroli realizacji umów o udzielanie świadczeń opieki zdrowotnej oraz kontroli zasadności wyboru leków, środków spożywczych specjalnego przeznaczenia żywieniowego i wyrobów medycznych</w:t>
            </w:r>
            <w:r w:rsidRPr="00E90B9E" w:rsidDel="007819B1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</w:rPr>
              <w:t xml:space="preserve">(tzw. ordynacji lekarskich) i kontroli aptek. </w:t>
            </w:r>
          </w:p>
          <w:p w:rsidR="000C1065" w:rsidRPr="00E90B9E" w:rsidRDefault="000C1065" w:rsidP="000C106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 obecnym stanie prawnym Fundusz nie dysponuje dostępem do informacji o komercyjnych badaniach klinicznych. W konsekwencji Fundusz nie ma możliwości kontrolowania zakresu świadczeń opieki zdrowotnej udzielanych uczestnikom badań, a tym samym możliwego podwójnego finansowania tych świadczeń. Dla uporządkowania sytuacji koniecznym jest rozszerzenie obowiązków informacyjno-sprawozdawczych badacza lub </w:t>
            </w:r>
            <w:r w:rsidR="00266726">
              <w:rPr>
                <w:rFonts w:ascii="Times New Roman" w:hAnsi="Times New Roman"/>
                <w:color w:val="000000"/>
              </w:rPr>
              <w:t>podmiotu leczniczego prowadzącego badania kliniczne.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1130A" w:rsidRPr="00E90B9E" w:rsidRDefault="00E90B9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W zakresie </w:t>
            </w:r>
            <w:r>
              <w:rPr>
                <w:rFonts w:ascii="Times New Roman" w:hAnsi="Times New Roman"/>
                <w:color w:val="000000"/>
              </w:rPr>
              <w:t xml:space="preserve">ustawy </w:t>
            </w:r>
            <w:r w:rsidRPr="00E90B9E">
              <w:rPr>
                <w:rFonts w:ascii="Times New Roman" w:hAnsi="Times New Roman"/>
                <w:color w:val="000000"/>
              </w:rPr>
              <w:t>z dnia 6 marca 2018 r. – Prawa przedsiębiorców</w:t>
            </w:r>
            <w:r>
              <w:rPr>
                <w:rFonts w:ascii="Times New Roman" w:hAnsi="Times New Roman"/>
                <w:color w:val="000000"/>
              </w:rPr>
              <w:t xml:space="preserve"> (Dz. U. poz. 646, z późn. zm.)</w:t>
            </w:r>
            <w:r w:rsidRPr="00E90B9E">
              <w:rPr>
                <w:rFonts w:ascii="Times New Roman" w:hAnsi="Times New Roman"/>
                <w:color w:val="000000"/>
              </w:rPr>
              <w:t xml:space="preserve">, </w:t>
            </w:r>
            <w:r w:rsidRPr="00E90B9E">
              <w:rPr>
                <w:rFonts w:ascii="Times New Roman" w:hAnsi="Times New Roman"/>
              </w:rPr>
              <w:t>biorąc pod uwagę fakt, że umowy o udzielanie świadczeń opieki zdrowotnej oraz ordynacji leków, a także apteki w zakresie refundacji nigdy nie podlegały, na gruncie kolejnych ustaw dotyczących działalności gospodarczej i przedsiębiorców, kontroli działalności gospodarczej, tym bardziej że ok. 30% podmiotów kontrolowanych nie jest przedsiębiorcami, niezbędne jest dostosowanie przepisów Prawa przedsiębiorców.</w:t>
            </w:r>
          </w:p>
          <w:p w:rsidR="00E90B9E" w:rsidRPr="00E90B9E" w:rsidRDefault="00127113" w:rsidP="007C17F1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</w:rPr>
              <w:t>Anal</w:t>
            </w:r>
            <w:r w:rsidR="00E90B9E">
              <w:rPr>
                <w:rFonts w:ascii="Times New Roman" w:hAnsi="Times New Roman"/>
                <w:color w:val="000000"/>
              </w:rPr>
              <w:t xml:space="preserve">iza dotycząca </w:t>
            </w:r>
            <w:r w:rsidRPr="00E90B9E">
              <w:rPr>
                <w:rFonts w:ascii="Times New Roman" w:hAnsi="Times New Roman"/>
                <w:color w:val="000000"/>
              </w:rPr>
              <w:t xml:space="preserve">rocznego funkcjonowania systemu podstawowego szpitalnego zabezpieczenia świadczeń opieki zdrowotnej (PSZ) wykazała potrzebę lepszego dostosowania przepisów regulujących udzielanie świadczeń nocnej i świątecznej opieki zdrowotnej do </w:t>
            </w:r>
            <w:r w:rsidR="008B4B60" w:rsidRPr="00E90B9E">
              <w:rPr>
                <w:rFonts w:ascii="Times New Roman" w:hAnsi="Times New Roman"/>
                <w:color w:val="000000"/>
              </w:rPr>
              <w:t xml:space="preserve">potencjału szpitali </w:t>
            </w:r>
            <w:r w:rsidR="002926EA" w:rsidRPr="00E90B9E">
              <w:rPr>
                <w:rFonts w:ascii="Times New Roman" w:hAnsi="Times New Roman"/>
                <w:color w:val="000000"/>
              </w:rPr>
              <w:t>działających na poszczególnych poziomach PSZ.</w:t>
            </w:r>
          </w:p>
          <w:p w:rsidR="00E90B9E" w:rsidRPr="00E90B9E" w:rsidRDefault="002C762C" w:rsidP="00E90B9E">
            <w:pPr>
              <w:tabs>
                <w:tab w:val="left" w:pos="-79"/>
              </w:tabs>
              <w:spacing w:line="240" w:lineRule="auto"/>
              <w:ind w:left="-79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W systemie opieki zdrowotnej można zidentyfikować zjawisko częściowego dublowania się jednostek organizacyjnych szpitali pod względem zapewnienia gotowości do przyjmowania pacjentów w stanach nagłych, co oznacza utrzymywanie nadmiernej obsady dyżurowej. W związku z istniejącymi już obecnie niedoborami kadrowymi w szpitalach, utrudniającymi w szczególności zapewnienie właściwej obsady dyżurowej, oraz prawdopodobieństwem dalszego pogłębiania się tego zjawiska w przyszłości, istnieje pilna potrzeba umożliwienia bardziej elastycznego i efektywnego wykorzystania kadr medycznych, niezbędnych dla zapewnienia bezpieczeństwa pacjentów w stanach nagłych</w:t>
            </w:r>
            <w:r w:rsidR="00E41AE3" w:rsidRPr="00E90B9E">
              <w:rPr>
                <w:rFonts w:ascii="Times New Roman" w:hAnsi="Times New Roman"/>
              </w:rPr>
              <w:t>.</w:t>
            </w:r>
          </w:p>
          <w:p w:rsidR="00D75FC5" w:rsidRPr="00E90B9E" w:rsidRDefault="002C762C" w:rsidP="00E90B9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Brak jest regulacji systemowych w zakresie prowadzenia segregacji medycznej i ruchu chorych w szpitalnych </w:t>
            </w:r>
            <w:r w:rsidR="000F234E" w:rsidRPr="00E90B9E">
              <w:rPr>
                <w:rFonts w:ascii="Times New Roman" w:hAnsi="Times New Roman"/>
                <w:color w:val="000000"/>
              </w:rPr>
              <w:t xml:space="preserve">    </w:t>
            </w:r>
            <w:r w:rsidRPr="00E90B9E">
              <w:rPr>
                <w:rFonts w:ascii="Times New Roman" w:hAnsi="Times New Roman"/>
                <w:color w:val="000000"/>
              </w:rPr>
              <w:t>oddziałach ratunkowych.</w:t>
            </w:r>
            <w:r w:rsidR="00E41AE3" w:rsidRPr="00E90B9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6A701A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13216E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:rsidR="00F14477" w:rsidRPr="00E90B9E" w:rsidRDefault="00E90B9E" w:rsidP="009964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P</w:t>
            </w:r>
            <w:r w:rsidR="00F14477" w:rsidRPr="00E90B9E">
              <w:rPr>
                <w:rFonts w:ascii="Times New Roman" w:hAnsi="Times New Roman"/>
                <w:color w:val="000000"/>
                <w:spacing w:val="-2"/>
              </w:rPr>
              <w:t>lanuje się koncentrację potencjału służb kontrolnych, obecnie rozproszonych między poszc</w:t>
            </w:r>
            <w:r w:rsidR="00B27910" w:rsidRPr="00E90B9E">
              <w:rPr>
                <w:rFonts w:ascii="Times New Roman" w:hAnsi="Times New Roman"/>
                <w:color w:val="000000"/>
                <w:spacing w:val="-2"/>
              </w:rPr>
              <w:t>zególne oddziały wojewódzkie i c</w:t>
            </w:r>
            <w:r w:rsidR="00F14477" w:rsidRPr="00E90B9E">
              <w:rPr>
                <w:rFonts w:ascii="Times New Roman" w:hAnsi="Times New Roman"/>
                <w:color w:val="000000"/>
                <w:spacing w:val="-2"/>
              </w:rPr>
              <w:t xml:space="preserve">entralę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="00F14477" w:rsidRPr="00E90B9E">
              <w:rPr>
                <w:rFonts w:ascii="Times New Roman" w:hAnsi="Times New Roman"/>
                <w:color w:val="000000"/>
                <w:spacing w:val="-2"/>
              </w:rPr>
              <w:t xml:space="preserve">. Proponowane rozwiązanie zakłada utworzenie korpusu kontrolerskiego na poziomie </w:t>
            </w:r>
            <w:r w:rsidR="00B27910" w:rsidRPr="00E90B9E">
              <w:rPr>
                <w:rFonts w:ascii="Times New Roman" w:hAnsi="Times New Roman"/>
                <w:color w:val="000000"/>
                <w:spacing w:val="-2"/>
              </w:rPr>
              <w:t>c</w:t>
            </w:r>
            <w:r w:rsidR="00F14477" w:rsidRPr="00E90B9E">
              <w:rPr>
                <w:rFonts w:ascii="Times New Roman" w:hAnsi="Times New Roman"/>
                <w:color w:val="000000"/>
                <w:spacing w:val="-2"/>
              </w:rPr>
              <w:t>entrali Funduszu, wyposażonego w kompetencje i narzędzia do prowadzenia sprawnej i skutecznej kontroli.</w:t>
            </w:r>
          </w:p>
          <w:p w:rsidR="00F14477" w:rsidRPr="00E90B9E" w:rsidRDefault="00F1447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Takie umocowanie służb kontrolnych sprzyjać będzie ponadto lepszemu planowan</w:t>
            </w:r>
            <w:r w:rsidR="00C63C5D" w:rsidRPr="00E90B9E">
              <w:rPr>
                <w:rFonts w:ascii="Times New Roman" w:hAnsi="Times New Roman"/>
                <w:color w:val="000000"/>
                <w:spacing w:val="-2"/>
              </w:rPr>
              <w:t>iu kontroli, ukierunkowanych na 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wykrycie i potwierdzenie niewłaściwej realizacji umów, na podstawie których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wypłaca środki publiczne, jak również nieefektywności w tym zakresie wskazanych m.in. przez poprzedzające działania analityczne.</w:t>
            </w:r>
          </w:p>
          <w:p w:rsidR="00AC746C" w:rsidRDefault="00F1447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Ponadto dla zwiększenia sprawności działań kontrolerskich oraz zmniejszenia uciążliwości kontroli dla świadczeniodawców zakłada się uproszczenie procedur kontrolnych i zwiększenie udziału działań </w:t>
            </w:r>
            <w:r w:rsidR="004E01E1" w:rsidRPr="00E90B9E">
              <w:rPr>
                <w:rFonts w:ascii="Times New Roman" w:hAnsi="Times New Roman"/>
                <w:color w:val="000000"/>
                <w:spacing w:val="-2"/>
              </w:rPr>
              <w:t>przed kontrolnych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, polegających na zdalnym (korespondencyjnym) wyjaśnianiu przez świadczeniodawców zdarzeń stanowiących podstawę ich weryfika</w:t>
            </w:r>
            <w:r w:rsidR="00937C41" w:rsidRPr="00E90B9E">
              <w:rPr>
                <w:rFonts w:ascii="Times New Roman" w:hAnsi="Times New Roman"/>
                <w:color w:val="000000"/>
                <w:spacing w:val="-2"/>
              </w:rPr>
              <w:t xml:space="preserve">cji przez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943594" w:rsidRPr="00E90B9E">
              <w:rPr>
                <w:rFonts w:ascii="Times New Roman" w:hAnsi="Times New Roman"/>
                <w:color w:val="000000"/>
                <w:spacing w:val="-2"/>
              </w:rPr>
              <w:t xml:space="preserve"> W zakresie kontroli przeprowadzanych przez ministra właściwego do spraw zdrowia zakłada się ograniczenie dokumentowania ustaleń z kontroli do wystąpienia pokontrolnego wraz z określeniem trybu odwoławczego</w:t>
            </w:r>
            <w:r w:rsidR="006A6026" w:rsidRPr="00E90B9E">
              <w:rPr>
                <w:rFonts w:ascii="Times New Roman" w:hAnsi="Times New Roman"/>
                <w:color w:val="000000"/>
                <w:spacing w:val="-2"/>
              </w:rPr>
              <w:t>. Wprowadzenie jednego dokumentu z kontroli, tj. wystąpienia pokontrolnego, zawierającego ustalenia stanu faktycznego oraz ocenę skontrolowanej działalności oraz ewentualne zalecenia pokontrolne - umożliwi jednoczasowe zapoznanie się jednostki kontrolowanej zarówno z ustaleniami, jak i z oceną skontrolowanej działalności.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 xml:space="preserve"> Wprowadza się jako zasadę komunikację pomiędzy Prezesem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>, kontrolerami a podmiotem kontrolowanym za pomocą środków komunikacji elektronicznej, co powinno uprościć, przyspieszyć oraz obniżyć koszty przeprowadzanej kontroli.</w:t>
            </w:r>
          </w:p>
          <w:p w:rsidR="0031130A" w:rsidRPr="0031130A" w:rsidRDefault="0031130A" w:rsidP="003113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130A">
              <w:rPr>
                <w:rFonts w:ascii="Times New Roman" w:hAnsi="Times New Roman"/>
              </w:rPr>
              <w:t xml:space="preserve">Przedmiotowy projekt ustawy wprowadza zmiany w ustawie z dnia 18 października 2006 r. o ujawnianiu informacji o dokumentach organów bezpieczeństwa państwa z lat 1944-1990 oraz treści tych dokumentów, włączając do katalogu osób obowiązanych do składania oświadczenia, o której mowa w ww. ustawie, kontrolerów. </w:t>
            </w:r>
          </w:p>
          <w:p w:rsidR="0031130A" w:rsidRPr="00E90B9E" w:rsidRDefault="0031130A" w:rsidP="003113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130A">
              <w:rPr>
                <w:rFonts w:ascii="Times New Roman" w:hAnsi="Times New Roman"/>
              </w:rPr>
              <w:t>Zmiana ustawy z dnia 6 marca 2018 r. – Prawo przedsiębiorców ma charakter dostosowujący do zakresu kontroli, który będzie wynikał z nowego Działu IIIA ustawy z dnia 27 sierpnia 2004 r. o świadczeniach opieki zdrowotnej finansowanych ze środków publicznych.</w:t>
            </w:r>
          </w:p>
          <w:p w:rsidR="00E90B9E" w:rsidRPr="00E90B9E" w:rsidRDefault="00E90B9E" w:rsidP="00E90B9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W </w:t>
            </w:r>
            <w:r w:rsidRPr="00E90B9E">
              <w:rPr>
                <w:rFonts w:ascii="Times New Roman" w:hAnsi="Times New Roman"/>
              </w:rPr>
              <w:t xml:space="preserve">konsekwencji powyższych regulacji, konieczne jest wprowadzenie adekwatnych zmian w ustawie z dnia 12 maja 2011 r. o refundacji leków, środków spożywczych specjalnego przeznaczenia żywieniowego oraz wyrobów medycznych. </w:t>
            </w:r>
          </w:p>
          <w:p w:rsidR="0031130A" w:rsidRDefault="00E90B9E" w:rsidP="003113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W zakresie zmiany ustawy z dnia 6 września 2001 r. - </w:t>
            </w:r>
            <w:r w:rsidRPr="00E90B9E">
              <w:rPr>
                <w:rFonts w:ascii="Times New Roman" w:hAnsi="Times New Roman"/>
              </w:rPr>
              <w:t xml:space="preserve">Prawo farmaceutyczne, na badacza lub właściwy podmiot leczniczy badań klinicznych  badań klinicznych nałożony zostanie obowiązek przekazywania informacji do właściwego oddziału wojewódzkiego Funduszu o uczestnikach badania klinicznego. </w:t>
            </w:r>
          </w:p>
          <w:p w:rsidR="000F234E" w:rsidRDefault="000F234E" w:rsidP="007C17F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 xml:space="preserve">Proponuje się zmianę polegającą na dostosowaniu możliwości udzielania świadczeń </w:t>
            </w:r>
            <w:r w:rsidRPr="00E90B9E">
              <w:rPr>
                <w:rFonts w:ascii="Times New Roman" w:hAnsi="Times New Roman"/>
                <w:color w:val="000000"/>
              </w:rPr>
              <w:t>nocnej i świątecznej opieki zdrowotnej</w:t>
            </w:r>
            <w:r w:rsidRPr="00E90B9E">
              <w:rPr>
                <w:rFonts w:ascii="Times New Roman" w:hAnsi="Times New Roman"/>
              </w:rPr>
              <w:t xml:space="preserve"> do profili szpitali. W związku z tym projektowane regulacje znoszą obligatoryjność realizacji omawianego rodzaju świadczeń w odniesieniu do szpitali wąskospecjalistycznych, nie posiadających profilu choroby wewnętrzne. Takim szpitalom pozostawia się możliwość realizacji tych świadczeń w przypadku złożenia odpowiedniego wniosku do dyre</w:t>
            </w:r>
            <w:r w:rsidR="00E90B9E">
              <w:rPr>
                <w:rFonts w:ascii="Times New Roman" w:hAnsi="Times New Roman"/>
              </w:rPr>
              <w:t>ktora oddziału wojewódzkiego Funduszu</w:t>
            </w:r>
            <w:r w:rsidRPr="00E90B9E">
              <w:rPr>
                <w:rFonts w:ascii="Times New Roman" w:hAnsi="Times New Roman"/>
              </w:rPr>
              <w:t>. Podobną regulację wprowadza się w odniesieniu do</w:t>
            </w:r>
            <w:r w:rsidR="00E90B9E">
              <w:rPr>
                <w:rFonts w:ascii="Times New Roman" w:hAnsi="Times New Roman"/>
              </w:rPr>
              <w:t xml:space="preserve"> szpitali ogólnopolskich, jeżeli </w:t>
            </w:r>
            <w:r w:rsidRPr="00E90B9E">
              <w:rPr>
                <w:rFonts w:ascii="Times New Roman" w:hAnsi="Times New Roman"/>
              </w:rPr>
              <w:t xml:space="preserve">udzielają świadczeń w ramach szpitalnej izby przyjęć lub szpitalnego oddziału ratunkowego. Ponadto proponuje się ograniczenie realizacji świadczeń </w:t>
            </w:r>
            <w:r w:rsidR="007723AD" w:rsidRPr="00E90B9E">
              <w:rPr>
                <w:rFonts w:ascii="Times New Roman" w:hAnsi="Times New Roman"/>
                <w:color w:val="000000"/>
              </w:rPr>
              <w:t>nocnej i świątecznej opieki zdrowotnej</w:t>
            </w:r>
            <w:r w:rsidR="007723AD" w:rsidRPr="00E90B9E">
              <w:rPr>
                <w:rFonts w:ascii="Times New Roman" w:hAnsi="Times New Roman"/>
              </w:rPr>
              <w:t xml:space="preserve"> </w:t>
            </w:r>
            <w:r w:rsidRPr="00E90B9E">
              <w:rPr>
                <w:rFonts w:ascii="Times New Roman" w:hAnsi="Times New Roman"/>
              </w:rPr>
              <w:t xml:space="preserve">przez szpitale pediatryczne </w:t>
            </w:r>
            <w:r w:rsidR="007723AD" w:rsidRPr="00E90B9E">
              <w:rPr>
                <w:rFonts w:ascii="Times New Roman" w:hAnsi="Times New Roman"/>
              </w:rPr>
              <w:t>do świadczeń udzielanych dzieciom.</w:t>
            </w:r>
          </w:p>
          <w:p w:rsidR="00AC746C" w:rsidRPr="00E90B9E" w:rsidRDefault="009C4C55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Zmiana ustawy z dnia 8 września 2006 r. o Państwowym Ratownictwie Medycznym </w:t>
            </w:r>
            <w:r w:rsidR="00E90B9E">
              <w:rPr>
                <w:rFonts w:ascii="Times New Roman" w:hAnsi="Times New Roman"/>
                <w:color w:val="000000"/>
                <w:spacing w:val="-2"/>
              </w:rPr>
              <w:t xml:space="preserve">(Dz. U. z poz. , z późn. zm.)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umożliwi racjonalizację wykorzystania zasobów organizacyjnych i kadrowych w jednostkach organizacyjnych szpitali wyspecjalizowanych w zakresie udzielania świadczeń zdrowotnych niezbędnych dla ratownictwa medycznego, przez możliwość ich skoncentrowania wyłącznie u tych świadczeniodawców, którzy w stopniu wystarczającym zapewniają dostępność dla potrzeb systemu ratownictwa medycznego na danym terenie. </w:t>
            </w:r>
            <w:r w:rsidR="007723AD" w:rsidRPr="00E90B9E">
              <w:rPr>
                <w:rFonts w:ascii="Times New Roman" w:hAnsi="Times New Roman"/>
              </w:rPr>
              <w:t xml:space="preserve"> W tym celu proponuje się wprowadzenie możliwości ustalania</w:t>
            </w:r>
            <w:r w:rsidR="00E90B9E">
              <w:rPr>
                <w:rFonts w:ascii="Times New Roman" w:hAnsi="Times New Roman"/>
              </w:rPr>
              <w:t xml:space="preserve"> przez właściwego wojewodę – na </w:t>
            </w:r>
            <w:r w:rsidR="007723AD" w:rsidRPr="00E90B9E">
              <w:rPr>
                <w:rFonts w:ascii="Times New Roman" w:hAnsi="Times New Roman"/>
              </w:rPr>
              <w:t>wniosek świadczeniodawców i w porozumieniu z dyrektorem właśc</w:t>
            </w:r>
            <w:r w:rsidR="00E90B9E">
              <w:rPr>
                <w:rFonts w:ascii="Times New Roman" w:hAnsi="Times New Roman"/>
              </w:rPr>
              <w:t xml:space="preserve">iwego oddziału wojewódzkiego Funduszu – harmonogramu </w:t>
            </w:r>
            <w:r w:rsidR="007723AD" w:rsidRPr="00E90B9E">
              <w:rPr>
                <w:rFonts w:ascii="Times New Roman" w:hAnsi="Times New Roman"/>
              </w:rPr>
              <w:t>realizacji świadczeń w warunkach zwiększonej gotowości, w odniesieniu do jednostek organizacyjnych szpitali wyspecjalizowanych w zakresie udzielania świadczeń zdrowotnych niezbędnych dla ratownictwa medycznego (z wyłączeniem centrów urazowych). W przypadku ustalenia harmonogramu dla danego obszaru zespoły ratownictwa medycznego nie powinny transportować pacjentów do jednostek organizacyjnych szpitali, które w danym dniu nie będą działały w warunkach zwiększonej gotowości.</w:t>
            </w:r>
            <w:r w:rsidR="00827FF7" w:rsidRPr="00E90B9E">
              <w:rPr>
                <w:rFonts w:ascii="Times New Roman" w:hAnsi="Times New Roman"/>
              </w:rPr>
              <w:t xml:space="preserve"> </w:t>
            </w:r>
            <w:r w:rsidR="007723AD" w:rsidRPr="00E90B9E">
              <w:rPr>
                <w:rFonts w:ascii="Times New Roman" w:hAnsi="Times New Roman"/>
              </w:rPr>
              <w:t>Kolejne z</w:t>
            </w:r>
            <w:r w:rsidR="00D077AD" w:rsidRPr="00E90B9E">
              <w:rPr>
                <w:rFonts w:ascii="Times New Roman" w:hAnsi="Times New Roman"/>
              </w:rPr>
              <w:t xml:space="preserve">miany wprowadzone do ustawy </w:t>
            </w:r>
            <w:r w:rsidR="00E90B9E">
              <w:rPr>
                <w:rFonts w:ascii="Times New Roman" w:hAnsi="Times New Roman"/>
              </w:rPr>
              <w:t xml:space="preserve">z dnia 8 września 2006 r. </w:t>
            </w:r>
            <w:r w:rsidR="00D077AD" w:rsidRPr="00E90B9E">
              <w:rPr>
                <w:rFonts w:ascii="Times New Roman" w:hAnsi="Times New Roman"/>
              </w:rPr>
              <w:t>o Państwowym Ratownictwie Medycznym dotyczą utworzenia systemu przetwarzając</w:t>
            </w:r>
            <w:r w:rsidR="00D96FEC" w:rsidRPr="00E90B9E">
              <w:rPr>
                <w:rFonts w:ascii="Times New Roman" w:hAnsi="Times New Roman"/>
              </w:rPr>
              <w:t>ego</w:t>
            </w:r>
            <w:r w:rsidR="00D077AD" w:rsidRPr="00E90B9E">
              <w:rPr>
                <w:rFonts w:ascii="Times New Roman" w:hAnsi="Times New Roman"/>
              </w:rPr>
              <w:t xml:space="preserve"> dane o liczbie osób w stanie nagłego zagrożenia zdrowotnego, kategorii przypisanej im w wyniku segregacji medycznej i czasie oczekiwania w szpitalnym oddziale ratunkowym</w:t>
            </w:r>
            <w:r w:rsidR="00E90B9E" w:rsidRPr="00E90B9E">
              <w:rPr>
                <w:rFonts w:ascii="Times New Roman" w:hAnsi="Times New Roman"/>
              </w:rPr>
              <w:t xml:space="preserve"> (</w:t>
            </w:r>
            <w:r w:rsidR="00950BAA" w:rsidRPr="00E90B9E">
              <w:rPr>
                <w:rFonts w:ascii="Times New Roman" w:hAnsi="Times New Roman"/>
              </w:rPr>
              <w:t>TOPSOR</w:t>
            </w:r>
            <w:r w:rsidR="00E90B9E" w:rsidRPr="00E90B9E">
              <w:rPr>
                <w:rFonts w:ascii="Times New Roman" w:hAnsi="Times New Roman"/>
              </w:rPr>
              <w:t>)</w:t>
            </w:r>
            <w:r w:rsidR="00D077AD" w:rsidRPr="00E90B9E">
              <w:rPr>
                <w:rFonts w:ascii="Times New Roman" w:hAnsi="Times New Roman"/>
              </w:rPr>
              <w:t xml:space="preserve">. Administratorem </w:t>
            </w:r>
            <w:r w:rsidR="006C1020" w:rsidRPr="00E90B9E">
              <w:rPr>
                <w:rFonts w:ascii="Times New Roman" w:hAnsi="Times New Roman"/>
              </w:rPr>
              <w:t xml:space="preserve">danych przetwarzanych w </w:t>
            </w:r>
            <w:r w:rsidR="00950BAA" w:rsidRPr="00E90B9E">
              <w:rPr>
                <w:rFonts w:ascii="Times New Roman" w:hAnsi="Times New Roman"/>
              </w:rPr>
              <w:t>TOPSOR</w:t>
            </w:r>
            <w:r w:rsidR="00D077AD" w:rsidRPr="00E90B9E">
              <w:rPr>
                <w:rFonts w:ascii="Times New Roman" w:hAnsi="Times New Roman"/>
              </w:rPr>
              <w:t xml:space="preserve"> będzie Fundusz, przy czym do </w:t>
            </w:r>
            <w:r w:rsidR="00E90B9E">
              <w:rPr>
                <w:rFonts w:ascii="Times New Roman" w:hAnsi="Times New Roman"/>
              </w:rPr>
              <w:t>dnia</w:t>
            </w:r>
            <w:r w:rsidR="0031130A">
              <w:rPr>
                <w:rFonts w:ascii="Times New Roman" w:hAnsi="Times New Roman"/>
              </w:rPr>
              <w:t xml:space="preserve"> 1 stycznia</w:t>
            </w:r>
            <w:r w:rsidR="00E90B9E">
              <w:rPr>
                <w:rFonts w:ascii="Times New Roman" w:hAnsi="Times New Roman"/>
              </w:rPr>
              <w:t xml:space="preserve"> </w:t>
            </w:r>
            <w:r w:rsidR="00D077AD" w:rsidRPr="00E90B9E">
              <w:rPr>
                <w:rFonts w:ascii="Times New Roman" w:hAnsi="Times New Roman"/>
              </w:rPr>
              <w:t>2027</w:t>
            </w:r>
            <w:r w:rsidR="00F92D04" w:rsidRPr="00E90B9E">
              <w:rPr>
                <w:rFonts w:ascii="Times New Roman" w:hAnsi="Times New Roman"/>
              </w:rPr>
              <w:t xml:space="preserve"> r.</w:t>
            </w:r>
            <w:r w:rsidR="00D077AD" w:rsidRPr="00E90B9E">
              <w:rPr>
                <w:rFonts w:ascii="Times New Roman" w:hAnsi="Times New Roman"/>
              </w:rPr>
              <w:t xml:space="preserve"> zadanie to będzie realizowa</w:t>
            </w:r>
            <w:r w:rsidR="002C439B" w:rsidRPr="00E90B9E">
              <w:rPr>
                <w:rFonts w:ascii="Times New Roman" w:hAnsi="Times New Roman"/>
              </w:rPr>
              <w:t>ne przez</w:t>
            </w:r>
            <w:r w:rsidR="00D077AD" w:rsidRPr="00E90B9E">
              <w:rPr>
                <w:rFonts w:ascii="Times New Roman" w:hAnsi="Times New Roman"/>
              </w:rPr>
              <w:t xml:space="preserve"> Lotnicze Pogotowie Ratunkowe. Rozwiązanie techniczne systemu pozwoli na </w:t>
            </w:r>
            <w:r w:rsidR="00CE5E33" w:rsidRPr="00E90B9E">
              <w:rPr>
                <w:rFonts w:ascii="Times New Roman" w:hAnsi="Times New Roman"/>
              </w:rPr>
              <w:t>zarządzanie</w:t>
            </w:r>
            <w:r w:rsidR="00D077AD" w:rsidRPr="00E90B9E">
              <w:rPr>
                <w:rFonts w:ascii="Times New Roman" w:hAnsi="Times New Roman"/>
              </w:rPr>
              <w:t xml:space="preserve"> </w:t>
            </w:r>
            <w:r w:rsidR="00950BAA" w:rsidRPr="00E90B9E">
              <w:rPr>
                <w:rFonts w:ascii="Times New Roman" w:hAnsi="Times New Roman"/>
              </w:rPr>
              <w:t>tryb</w:t>
            </w:r>
            <w:r w:rsidR="00CE5E33" w:rsidRPr="00E90B9E">
              <w:rPr>
                <w:rFonts w:ascii="Times New Roman" w:hAnsi="Times New Roman"/>
              </w:rPr>
              <w:t>ami</w:t>
            </w:r>
            <w:r w:rsidR="00950BAA" w:rsidRPr="00E90B9E">
              <w:rPr>
                <w:rFonts w:ascii="Times New Roman" w:hAnsi="Times New Roman"/>
              </w:rPr>
              <w:t xml:space="preserve"> obsługi </w:t>
            </w:r>
            <w:r w:rsidR="00D077AD" w:rsidRPr="00E90B9E">
              <w:rPr>
                <w:rFonts w:ascii="Times New Roman" w:hAnsi="Times New Roman"/>
              </w:rPr>
              <w:t xml:space="preserve"> osób oczekujących w SOR oraz przypisanie ich do odpowiedniej kategorii w</w:t>
            </w:r>
            <w:r w:rsidR="00C02E63" w:rsidRPr="00E90B9E">
              <w:rPr>
                <w:rFonts w:ascii="Times New Roman" w:hAnsi="Times New Roman"/>
              </w:rPr>
              <w:t>edłu</w:t>
            </w:r>
            <w:r w:rsidR="00D077AD" w:rsidRPr="00E90B9E">
              <w:rPr>
                <w:rFonts w:ascii="Times New Roman" w:hAnsi="Times New Roman"/>
              </w:rPr>
              <w:t xml:space="preserve">g stopnia pilności udzielenia świadczeń medycznych. Dotyczy to również osób przetransportowanych do SOR przez zespoły ratownictwa medycznego. Wykorzystanie funkcjonalności </w:t>
            </w:r>
            <w:r w:rsidR="00950BAA" w:rsidRPr="00E90B9E">
              <w:rPr>
                <w:rFonts w:ascii="Times New Roman" w:hAnsi="Times New Roman"/>
              </w:rPr>
              <w:t>TOPSOR</w:t>
            </w:r>
            <w:r w:rsidR="00D077AD" w:rsidRPr="00E90B9E">
              <w:rPr>
                <w:rFonts w:ascii="Times New Roman" w:hAnsi="Times New Roman"/>
              </w:rPr>
              <w:t xml:space="preserve"> umożliwi bieżące informowanie pacjentów o przewidywanym czasie oczekiwania na udzielenie im pomocy medycznej przez lekarza SOR. Takie rozwiązanie skutkuje zwiększeniem komfortu osób </w:t>
            </w:r>
            <w:r w:rsidR="00752A62" w:rsidRPr="00E90B9E">
              <w:rPr>
                <w:rFonts w:ascii="Times New Roman" w:hAnsi="Times New Roman"/>
              </w:rPr>
              <w:t xml:space="preserve">oczekujących na udzielenie pomocy. </w:t>
            </w:r>
            <w:r w:rsidR="00D077AD" w:rsidRPr="00E90B9E">
              <w:rPr>
                <w:rFonts w:ascii="Times New Roman" w:hAnsi="Times New Roman"/>
              </w:rPr>
              <w:t>Znacznie ograniczo</w:t>
            </w:r>
            <w:r w:rsidR="00C02E63" w:rsidRPr="00E90B9E">
              <w:rPr>
                <w:rFonts w:ascii="Times New Roman" w:hAnsi="Times New Roman"/>
              </w:rPr>
              <w:t>ne zostanie</w:t>
            </w:r>
            <w:r w:rsidR="00D077AD" w:rsidRPr="00E90B9E">
              <w:rPr>
                <w:rFonts w:ascii="Times New Roman" w:hAnsi="Times New Roman"/>
              </w:rPr>
              <w:t xml:space="preserve"> również nieefektywne wykorzystanie czasu pracy osób zatrudnionych w rejestracji i punktach informacji, który do tej pory przeznaczany był na uzyskiwanie oraz udostępnianie danych dotyczących czasu oczekiwania. Zastosowane rozwiązania mają za zadanie skrócić </w:t>
            </w:r>
            <w:r w:rsidR="00752A62" w:rsidRPr="00E90B9E">
              <w:rPr>
                <w:rFonts w:ascii="Times New Roman" w:hAnsi="Times New Roman"/>
              </w:rPr>
              <w:t xml:space="preserve">okres pobytu </w:t>
            </w:r>
            <w:r w:rsidR="00C02E63" w:rsidRPr="00E90B9E">
              <w:rPr>
                <w:rFonts w:ascii="Times New Roman" w:hAnsi="Times New Roman"/>
              </w:rPr>
              <w:t xml:space="preserve">w poczekalni SOR. </w:t>
            </w:r>
            <w:r w:rsidR="00D077AD" w:rsidRPr="00E90B9E">
              <w:rPr>
                <w:rFonts w:ascii="Times New Roman" w:hAnsi="Times New Roman"/>
              </w:rPr>
              <w:t xml:space="preserve">W projekcie </w:t>
            </w:r>
            <w:r w:rsidR="0031130A">
              <w:rPr>
                <w:rFonts w:ascii="Times New Roman" w:hAnsi="Times New Roman"/>
              </w:rPr>
              <w:t xml:space="preserve">ustawy </w:t>
            </w:r>
            <w:r w:rsidR="00D077AD" w:rsidRPr="00E90B9E">
              <w:rPr>
                <w:rFonts w:ascii="Times New Roman" w:hAnsi="Times New Roman"/>
              </w:rPr>
              <w:t xml:space="preserve">przewiduje się również rozszerzenie upoważnienia ustawowego </w:t>
            </w:r>
            <w:r w:rsidR="0031130A">
              <w:rPr>
                <w:rFonts w:ascii="Times New Roman" w:hAnsi="Times New Roman"/>
              </w:rPr>
              <w:t xml:space="preserve">zawartego w </w:t>
            </w:r>
            <w:r w:rsidR="00E90B9E">
              <w:rPr>
                <w:rFonts w:ascii="Times New Roman" w:hAnsi="Times New Roman"/>
              </w:rPr>
              <w:t>art. 34 ustawy</w:t>
            </w:r>
            <w:r w:rsidR="0031130A" w:rsidRPr="003113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1130A" w:rsidRPr="0031130A">
              <w:rPr>
                <w:rFonts w:ascii="Times New Roman" w:hAnsi="Times New Roman"/>
              </w:rPr>
              <w:t>z dnia 8 września 2006 r. o Państwowym Ratownictwie Medycznym</w:t>
            </w:r>
            <w:r w:rsidR="00E90B9E">
              <w:rPr>
                <w:rFonts w:ascii="Times New Roman" w:hAnsi="Times New Roman"/>
              </w:rPr>
              <w:t xml:space="preserve"> </w:t>
            </w:r>
            <w:r w:rsidR="00D077AD" w:rsidRPr="00E90B9E">
              <w:rPr>
                <w:rFonts w:ascii="Times New Roman" w:hAnsi="Times New Roman"/>
              </w:rPr>
              <w:t>szczegółowy</w:t>
            </w:r>
            <w:r w:rsidR="00C02E63" w:rsidRPr="00E90B9E">
              <w:rPr>
                <w:rFonts w:ascii="Times New Roman" w:hAnsi="Times New Roman"/>
              </w:rPr>
              <w:t xml:space="preserve">ch </w:t>
            </w:r>
            <w:r w:rsidR="0031130A">
              <w:rPr>
                <w:rFonts w:ascii="Times New Roman" w:hAnsi="Times New Roman"/>
              </w:rPr>
              <w:t xml:space="preserve">warunków </w:t>
            </w:r>
            <w:r w:rsidR="00C02E63" w:rsidRPr="00E90B9E">
              <w:rPr>
                <w:rFonts w:ascii="Times New Roman" w:hAnsi="Times New Roman"/>
              </w:rPr>
              <w:t xml:space="preserve">segregacji medycznej. </w:t>
            </w:r>
            <w:r w:rsidR="0045362D" w:rsidRPr="00E90B9E">
              <w:rPr>
                <w:rFonts w:ascii="Times New Roman" w:hAnsi="Times New Roman"/>
                <w:lang w:eastAsia="pl-PL"/>
              </w:rPr>
              <w:t xml:space="preserve">Szacowany koszt utworzenia systemu i wdrożenia we wszystkich SOR wynosi ok. 50 </w:t>
            </w:r>
            <w:r w:rsidR="0045362D" w:rsidRPr="00E90B9E">
              <w:rPr>
                <w:rFonts w:ascii="Times New Roman" w:hAnsi="Times New Roman"/>
                <w:lang w:eastAsia="pl-PL"/>
              </w:rPr>
              <w:lastRenderedPageBreak/>
              <w:t>mln zł. Planowane jest sfinansowanie kosztu ze środków europejskich w ramach Programu Operacyjnego Infrastruktura i  Środowisko 2014-2020 oraz budżetu państwa część 46-Zdrowie (ewentua</w:t>
            </w:r>
            <w:r w:rsidR="0031130A">
              <w:rPr>
                <w:rFonts w:ascii="Times New Roman" w:hAnsi="Times New Roman"/>
                <w:lang w:eastAsia="pl-PL"/>
              </w:rPr>
              <w:t>lne wydatki niekwalifikowalne).</w:t>
            </w:r>
          </w:p>
        </w:tc>
      </w:tr>
      <w:tr w:rsidR="006A701A" w:rsidRPr="00E90B9E" w:rsidTr="009B1980">
        <w:trPr>
          <w:trHeight w:val="307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9E3C4B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E90B9E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E90B9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:rsidR="00F14477" w:rsidRPr="00E90B9E" w:rsidRDefault="00F14477" w:rsidP="009964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Ze względu na różnice w organizacji publicznych systemów ochrony zdrowia w większości krajów trudno jest wskazać jednolity sposób rozwiązywania ww. problemów w innych krajach. Wspólny</w:t>
            </w:r>
            <w:r w:rsidR="0031130A">
              <w:rPr>
                <w:rFonts w:ascii="Times New Roman" w:hAnsi="Times New Roman"/>
                <w:color w:val="000000"/>
                <w:spacing w:val="-2"/>
              </w:rPr>
              <w:t>m dla wielu krajów (m.in. Wielkiej Brytanii, Francji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) jest wyodrębnienie służb kontrolnych w strukturach płatników publicznych, oraz zdecydowanie większa liczba kontrolerów n</w:t>
            </w:r>
            <w:r w:rsidR="00E90B9E" w:rsidRPr="00E90B9E">
              <w:rPr>
                <w:rFonts w:ascii="Times New Roman" w:hAnsi="Times New Roman"/>
                <w:color w:val="000000"/>
                <w:spacing w:val="-2"/>
              </w:rPr>
              <w:t>iż w naszym kraju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. Jednocześnie w kraju o zbliżonym modelu finansowania opieki zdrowotnej – Chorwacji należy dostrzec znacznie wyżs</w:t>
            </w:r>
            <w:r w:rsidR="00F86BC0" w:rsidRPr="00E90B9E">
              <w:rPr>
                <w:rFonts w:ascii="Times New Roman" w:hAnsi="Times New Roman"/>
                <w:color w:val="000000"/>
                <w:spacing w:val="-2"/>
              </w:rPr>
              <w:t>zą aktywność kontrolerską, którą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71024A" w:rsidRPr="00E90B9E">
              <w:rPr>
                <w:rFonts w:ascii="Times New Roman" w:hAnsi="Times New Roman"/>
                <w:color w:val="000000"/>
                <w:spacing w:val="-2"/>
              </w:rPr>
              <w:t xml:space="preserve">są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objęci corocznie praktycznie wszyscy świadczeniodawcy. Podobna sytuacja ma miejsce w Słowenii.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 xml:space="preserve"> We wszystkich krajach również większą rol</w:t>
            </w:r>
            <w:r w:rsidR="00F86BC0" w:rsidRPr="00E90B9E"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="00E90B9E" w:rsidRPr="00E90B9E">
              <w:rPr>
                <w:rFonts w:ascii="Times New Roman" w:hAnsi="Times New Roman"/>
                <w:color w:val="000000"/>
                <w:spacing w:val="-2"/>
              </w:rPr>
              <w:t xml:space="preserve"> niż dotychczas w Rzeczypospolitej Polskiej 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>odgrywa wykorzystanie przez służby kontrolne środków komunikacji elektronicznej, co jest przede wszystkim konsekwencją większej elektronizacji usług w sektorze medycznym.</w:t>
            </w:r>
          </w:p>
        </w:tc>
      </w:tr>
      <w:tr w:rsidR="006A701A" w:rsidRPr="00E90B9E" w:rsidTr="009B1980">
        <w:trPr>
          <w:trHeight w:val="359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6A701A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260F33" w:rsidRPr="00E90B9E" w:rsidRDefault="00260F33" w:rsidP="009964F8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260F33" w:rsidRPr="00E90B9E" w:rsidRDefault="00563199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260F33" w:rsidRPr="00E90B9E" w:rsidRDefault="00260F3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E90B9E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260F33" w:rsidRPr="00E90B9E" w:rsidRDefault="00260F3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260F33" w:rsidRPr="00E90B9E" w:rsidRDefault="00C85E60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t>Świadczeniodawcy posiadający umowę z</w:t>
            </w:r>
            <w:r w:rsidR="00B867FF"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</w:rPr>
              <w:t xml:space="preserve">Funduszem 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260F33" w:rsidRPr="00E90B9E" w:rsidRDefault="00C85E6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31 tysięcy podmiotów (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 xml:space="preserve">dane z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2018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 xml:space="preserve"> r.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260F33" w:rsidRPr="00E90B9E" w:rsidRDefault="00B867F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</w:t>
            </w:r>
            <w:r w:rsidR="008907D4" w:rsidRPr="00E90B9E">
              <w:rPr>
                <w:rFonts w:ascii="Times New Roman" w:hAnsi="Times New Roman"/>
                <w:color w:val="000000"/>
                <w:spacing w:val="-2"/>
              </w:rPr>
              <w:t xml:space="preserve">ystem informatyczny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260F33" w:rsidRPr="00E90B9E" w:rsidRDefault="00C85E6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Podmioty podlegające 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 xml:space="preserve">kontroli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867FF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B867FF" w:rsidRPr="00E90B9E" w:rsidRDefault="00B867FF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Apteki 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B867FF" w:rsidRPr="00E90B9E" w:rsidRDefault="00504382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16 tysięcy podmiotów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B867FF" w:rsidRPr="00E90B9E" w:rsidRDefault="005043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Rejestr Aptek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B867FF" w:rsidRPr="00E90B9E" w:rsidRDefault="00B867F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Podmioty podlegające kontroli Funduszu.</w:t>
            </w:r>
          </w:p>
        </w:tc>
      </w:tr>
      <w:tr w:rsidR="00260F33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260F33" w:rsidRPr="00E90B9E" w:rsidRDefault="00C85E60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Fundusz 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260F33" w:rsidRPr="00E90B9E" w:rsidRDefault="00B867F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c</w:t>
            </w:r>
            <w:r w:rsidR="00390559" w:rsidRPr="00E90B9E">
              <w:rPr>
                <w:rFonts w:ascii="Times New Roman" w:hAnsi="Times New Roman"/>
                <w:color w:val="000000"/>
                <w:spacing w:val="-2"/>
              </w:rPr>
              <w:t>entrala i 16 oddziałów wojew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ódzkich Funduszu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260F33" w:rsidRPr="00E90B9E" w:rsidRDefault="008907D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Ustawa z dnia 27 sierpnia 2004 r. o świadczeniach opieki zdrowotnej finans</w:t>
            </w:r>
            <w:r w:rsidR="00F703D3" w:rsidRPr="00E90B9E">
              <w:rPr>
                <w:rFonts w:ascii="Times New Roman" w:hAnsi="Times New Roman"/>
                <w:color w:val="000000"/>
                <w:spacing w:val="-2"/>
              </w:rPr>
              <w:t>owanych ze środków publicznych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260F33" w:rsidRPr="00E90B9E" w:rsidRDefault="00B867F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1. </w:t>
            </w:r>
            <w:r w:rsidR="00C85E60" w:rsidRPr="00E90B9E">
              <w:rPr>
                <w:rFonts w:ascii="Times New Roman" w:hAnsi="Times New Roman"/>
                <w:color w:val="000000"/>
                <w:spacing w:val="-2"/>
              </w:rPr>
              <w:t>Podmiot kontrolujący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:rsidR="00B867FF" w:rsidRPr="00E90B9E" w:rsidRDefault="00B867F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2. Administrator danych przetwarzanych w TOPSOR o</w:t>
            </w:r>
            <w:r w:rsidR="007C17F1" w:rsidRPr="00E90B9E">
              <w:rPr>
                <w:rFonts w:ascii="Times New Roman" w:hAnsi="Times New Roman"/>
                <w:color w:val="000000"/>
                <w:spacing w:val="-2"/>
              </w:rPr>
              <w:t>d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dnia</w:t>
            </w:r>
            <w:r w:rsidR="00A57B5A">
              <w:rPr>
                <w:rFonts w:ascii="Times New Roman" w:hAnsi="Times New Roman"/>
                <w:color w:val="000000"/>
                <w:spacing w:val="-2"/>
              </w:rPr>
              <w:t xml:space="preserve"> 1</w:t>
            </w:r>
            <w:r w:rsidR="007C17F1" w:rsidRPr="00E90B9E">
              <w:rPr>
                <w:rFonts w:ascii="Times New Roman" w:hAnsi="Times New Roman"/>
                <w:color w:val="000000"/>
                <w:spacing w:val="-2"/>
              </w:rPr>
              <w:t xml:space="preserve"> stycznia 2027 r.</w:t>
            </w:r>
          </w:p>
        </w:tc>
      </w:tr>
      <w:tr w:rsidR="00A63308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A63308" w:rsidRPr="00E90B9E" w:rsidRDefault="00A63308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Lotnicze Pogotowie Ratunkowe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A63308" w:rsidRPr="00E90B9E" w:rsidRDefault="00AF1D4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A63308" w:rsidRPr="00E90B9E" w:rsidRDefault="00AF1D4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Ustawa 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 xml:space="preserve">z dnia 8 września 2006 r.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o Państwowym Ratownictwie Medycznym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A63308" w:rsidRPr="00E90B9E" w:rsidRDefault="00AF1D4D" w:rsidP="00A57B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Administrator </w:t>
            </w:r>
            <w:r w:rsidR="00BA7870" w:rsidRPr="00E90B9E">
              <w:rPr>
                <w:rFonts w:ascii="Times New Roman" w:hAnsi="Times New Roman"/>
                <w:color w:val="000000"/>
                <w:spacing w:val="-2"/>
              </w:rPr>
              <w:t>TOPSOR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do </w:t>
            </w:r>
            <w:r w:rsidR="00B867FF" w:rsidRPr="00E90B9E">
              <w:rPr>
                <w:rFonts w:ascii="Times New Roman" w:hAnsi="Times New Roman"/>
                <w:color w:val="000000"/>
                <w:spacing w:val="-2"/>
              </w:rPr>
              <w:t>dnia</w:t>
            </w:r>
            <w:r w:rsidR="003113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A57B5A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1 </w:t>
            </w:r>
            <w:r w:rsidR="00A57B5A">
              <w:rPr>
                <w:rFonts w:ascii="Times New Roman" w:hAnsi="Times New Roman"/>
                <w:color w:val="000000"/>
                <w:spacing w:val="-2"/>
              </w:rPr>
              <w:t>grudnia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202</w:t>
            </w:r>
            <w:r w:rsidR="00A57B5A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r.</w:t>
            </w:r>
          </w:p>
        </w:tc>
      </w:tr>
      <w:tr w:rsidR="009C4C55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9C4C55" w:rsidRPr="00E90B9E" w:rsidRDefault="009C4C55" w:rsidP="009964F8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Świadczeniobiorcy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 xml:space="preserve">ok. 35, 492 mln 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 xml:space="preserve">Centralny Wykaz Ubezpieczonych 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Potencjalni pacjenci nocnej i świątecznej opieki zdrowotnej</w:t>
            </w:r>
            <w:r w:rsidR="00B867FF" w:rsidRPr="00E90B9E">
              <w:rPr>
                <w:rFonts w:ascii="Times New Roman" w:hAnsi="Times New Roman"/>
              </w:rPr>
              <w:t>. P</w:t>
            </w:r>
            <w:r w:rsidRPr="00E90B9E">
              <w:rPr>
                <w:rFonts w:ascii="Times New Roman" w:hAnsi="Times New Roman"/>
              </w:rPr>
              <w:t>oprawa dostępu oraz jakości świadczeń nocnej i świątecznej opieki zdrowotnej</w:t>
            </w:r>
            <w:r w:rsidR="00B867FF" w:rsidRPr="00E90B9E">
              <w:rPr>
                <w:rFonts w:ascii="Times New Roman" w:hAnsi="Times New Roman"/>
              </w:rPr>
              <w:t>.</w:t>
            </w:r>
          </w:p>
        </w:tc>
      </w:tr>
      <w:tr w:rsidR="009C4C55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9C4C55" w:rsidRPr="00E90B9E" w:rsidRDefault="009C4C55" w:rsidP="009964F8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Szpitale zakwalifikowane do poziomów I-III (monoprofilowe) oraz V i VI PSZ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 xml:space="preserve">ok. 120 szpitali 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Wykazy szpitali zakwalifikowanych do PSZ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31130A" w:rsidRDefault="003113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9C4C55" w:rsidRPr="00E90B9E">
              <w:rPr>
                <w:rFonts w:ascii="Times New Roman" w:hAnsi="Times New Roman"/>
              </w:rPr>
              <w:t>Zwolnienie z obowiązku udzielania świadczeń nocnej i świątecznej opieki zdrowotnej; umożliwienie udzielania ww. świadczeń (szpitale VI po</w:t>
            </w:r>
            <w:r>
              <w:rPr>
                <w:rFonts w:ascii="Times New Roman" w:hAnsi="Times New Roman"/>
              </w:rPr>
              <w:t>ziomu PSZ).</w:t>
            </w:r>
          </w:p>
          <w:p w:rsidR="009C4C55" w:rsidRPr="00E90B9E" w:rsidRDefault="0031130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>2. Z</w:t>
            </w:r>
            <w:r w:rsidR="009C4C55" w:rsidRPr="00E90B9E">
              <w:rPr>
                <w:rFonts w:ascii="Times New Roman" w:hAnsi="Times New Roman"/>
              </w:rPr>
              <w:t>wolnienie z obowiązku udzielania ww. świadczeń dla dorosłych (szpitale V poziomu PSZ)</w:t>
            </w:r>
            <w:r w:rsidR="00B867FF" w:rsidRPr="00E90B9E">
              <w:rPr>
                <w:rFonts w:ascii="Times New Roman" w:hAnsi="Times New Roman"/>
              </w:rPr>
              <w:t>.</w:t>
            </w:r>
          </w:p>
        </w:tc>
      </w:tr>
      <w:tr w:rsidR="009C4C55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9C4C55" w:rsidRPr="00E90B9E" w:rsidRDefault="009C4C55" w:rsidP="009964F8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Szpitale posiadające jednostki organizacyjne wyspecjalizowane w zakresie udzielania świadczeń zdrowotnych niezbędnych dla ratownictwa medycznego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ok. 600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wojewódzkie plany działania systemu państwowego ratownictwa medycznego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9C4C55" w:rsidRPr="00E90B9E" w:rsidRDefault="009C4C5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Umożliwienie uelastycznienia obsady kadrowej, w przypadku włączenia szpitala do systemu dyżurowego, w okresach wskazanych  w harmonogramach dyżurów</w:t>
            </w:r>
            <w:r w:rsidR="00B867FF" w:rsidRPr="00E90B9E">
              <w:rPr>
                <w:rFonts w:ascii="Times New Roman" w:hAnsi="Times New Roman"/>
              </w:rPr>
              <w:t>.</w:t>
            </w:r>
          </w:p>
        </w:tc>
      </w:tr>
      <w:tr w:rsidR="00C02E63" w:rsidRPr="00E90B9E" w:rsidTr="009B1980">
        <w:trPr>
          <w:trHeight w:val="142"/>
        </w:trPr>
        <w:tc>
          <w:tcPr>
            <w:tcW w:w="2574" w:type="dxa"/>
            <w:gridSpan w:val="3"/>
            <w:shd w:val="clear" w:color="auto" w:fill="auto"/>
          </w:tcPr>
          <w:p w:rsidR="00C02E63" w:rsidRPr="00E90B9E" w:rsidRDefault="00B867FF" w:rsidP="009964F8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SOR</w:t>
            </w:r>
          </w:p>
        </w:tc>
        <w:tc>
          <w:tcPr>
            <w:tcW w:w="2304" w:type="dxa"/>
            <w:gridSpan w:val="8"/>
            <w:shd w:val="clear" w:color="auto" w:fill="auto"/>
          </w:tcPr>
          <w:p w:rsidR="00C02E63" w:rsidRPr="00E90B9E" w:rsidRDefault="00A05215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229</w:t>
            </w:r>
          </w:p>
        </w:tc>
        <w:tc>
          <w:tcPr>
            <w:tcW w:w="2926" w:type="dxa"/>
            <w:gridSpan w:val="10"/>
            <w:shd w:val="clear" w:color="auto" w:fill="auto"/>
          </w:tcPr>
          <w:p w:rsidR="00C02E63" w:rsidRPr="00E90B9E" w:rsidRDefault="00A05215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>wojewódzkie plany działania systemu państwowego ratownictwa medycznego</w:t>
            </w:r>
          </w:p>
        </w:tc>
        <w:tc>
          <w:tcPr>
            <w:tcW w:w="2970" w:type="dxa"/>
            <w:gridSpan w:val="7"/>
            <w:shd w:val="clear" w:color="auto" w:fill="auto"/>
          </w:tcPr>
          <w:p w:rsidR="00C02E63" w:rsidRPr="00E90B9E" w:rsidRDefault="00752A62">
            <w:pPr>
              <w:spacing w:line="240" w:lineRule="auto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 xml:space="preserve">Wprowadzenie jednolitych zasad segregacji medycznej, </w:t>
            </w:r>
            <w:r w:rsidRPr="00E90B9E">
              <w:rPr>
                <w:rFonts w:ascii="Times New Roman" w:hAnsi="Times New Roman"/>
              </w:rPr>
              <w:br/>
              <w:t xml:space="preserve">w tym </w:t>
            </w:r>
            <w:r w:rsidR="00357759" w:rsidRPr="00E90B9E">
              <w:rPr>
                <w:rFonts w:ascii="Times New Roman" w:hAnsi="Times New Roman"/>
              </w:rPr>
              <w:t>poprawa komfortu pracy personelu odpowiedzialnego za prawidłową ocenę stanu oraz zaopatrzenie chorych</w:t>
            </w:r>
            <w:r w:rsidR="00B867FF" w:rsidRPr="00E90B9E">
              <w:rPr>
                <w:rFonts w:ascii="Times New Roman" w:hAnsi="Times New Roman"/>
              </w:rPr>
              <w:t>.</w:t>
            </w:r>
          </w:p>
        </w:tc>
      </w:tr>
      <w:tr w:rsidR="006A701A" w:rsidRPr="00E90B9E" w:rsidTr="009B1980">
        <w:trPr>
          <w:trHeight w:val="30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1B3460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Informacje na temat zakresu</w:t>
            </w:r>
            <w:r w:rsidR="0076658F" w:rsidRPr="00E90B9E">
              <w:rPr>
                <w:rFonts w:ascii="Times New Roman" w:hAnsi="Times New Roman"/>
                <w:b/>
                <w:color w:val="000000"/>
              </w:rPr>
              <w:t>,</w:t>
            </w:r>
            <w:r w:rsidRPr="00E90B9E"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 w:rsidRPr="00E90B9E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E90B9E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E90B9E" w:rsidTr="009B1980">
        <w:trPr>
          <w:trHeight w:val="342"/>
        </w:trPr>
        <w:tc>
          <w:tcPr>
            <w:tcW w:w="10774" w:type="dxa"/>
            <w:gridSpan w:val="28"/>
            <w:shd w:val="clear" w:color="auto" w:fill="FFFFFF"/>
          </w:tcPr>
          <w:p w:rsidR="00B27910" w:rsidRPr="00E90B9E" w:rsidRDefault="00B27910" w:rsidP="009964F8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Nie było prowadzonych pre-konsultacji odnośnie projektu ustawy.</w:t>
            </w:r>
          </w:p>
          <w:p w:rsidR="00724679" w:rsidRPr="00E90B9E" w:rsidRDefault="00BB52B1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Projekt zosta</w:t>
            </w:r>
            <w:r w:rsidR="006970A4" w:rsidRPr="00E90B9E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przekazany do opiniowania i konsultacji publicznych </w:t>
            </w:r>
            <w:r w:rsidR="006244BD" w:rsidRPr="00E90B9E">
              <w:rPr>
                <w:rFonts w:ascii="Times New Roman" w:hAnsi="Times New Roman"/>
                <w:color w:val="000000"/>
                <w:spacing w:val="-2"/>
              </w:rPr>
              <w:t xml:space="preserve">na okres 21 dni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do podmiotów takich jak: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Komisja Wspólna Rządu i Samorządu Terytorialnego;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lastRenderedPageBreak/>
              <w:t>Naczelna Rada Lekarska;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Naczelna Rada Pielęgniarek i Położnych;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Naczelna Rada Aptekarska;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Krajowa Rada Diagnostów Laboratoryjnych;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Krajowa Rada Fizjoterapeutów;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Kolegium Lekarzy Rodzinnych;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Kolegium Pielęgniarek i Położnych w Polsce;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Forum Związków Zawodowych;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Sekretariat Ochrony Zdrowia KK NSZZ „</w:t>
            </w:r>
            <w:r w:rsidR="00B27910" w:rsidRPr="00E90B9E">
              <w:rPr>
                <w:rFonts w:ascii="Times New Roman" w:hAnsi="Times New Roman"/>
                <w:color w:val="000000"/>
                <w:spacing w:val="-2"/>
              </w:rPr>
              <w:t>Solidarność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”;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Krajowy Sekretariat Ochrony Zdrowia NSZZ „Solidarność 80”;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Ogólnopolskie Porozumienie Związków Zawodowych;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Zawodowy Pielęgniarek i Położnych;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Lekarzy;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Zawodowy Położnych;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Pracodawcy Rzeczypospolitej Polskiej;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Przedsiębiorców i Pracodawców;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Konfederacja „Lewiatan”;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Rzemiosła Polskiego;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Business Centre Club;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Federacja Związków Pracodawców Ochrony Zdrowia Porozumienie Zielonogórskie;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Porozumienie Pracodawców Ochrony Zdrowia;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Pracodawców Ratownictwa Medycznego Samodzielnych Publicznych Zakładów Opieki Zdrowotnej;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Federacja Związków Pracodawców Zakładów Opieki Zdrowotnej;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Związek Pracodawców Służby Zdrowia Ministerstwa Spraw </w:t>
            </w:r>
            <w:r w:rsidR="00B27910" w:rsidRPr="00E90B9E">
              <w:rPr>
                <w:rFonts w:ascii="Times New Roman" w:hAnsi="Times New Roman"/>
                <w:color w:val="000000"/>
                <w:spacing w:val="-2"/>
              </w:rPr>
              <w:t>Wewnętrznych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Pracodawców Samodzielnych Publicznych Szpitali Klinicznych;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Pracodawców Prywatnej Służby Zdrowia;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Ogólnopolski Związek Pracodawców Opieki Zdrowotnej;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Pracodawców Opieki Psychiatrycznej i Leczenia Uzależnień;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Powiatowych Publicznych Zakładów Opieki Zdrowotnej Województwa Podkarpackiego – Organizacja Pracodawców w Łańcucie;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Pracodawców Służby Zdrowia w Łodzi;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Pracodawcy Pomorza;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Mazowiecki Związek Pracodawców Samodzielnych Publicznych Zakładów Opieki Zdrowotnej;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Wielkopolski Związek Zakładów Opieki Zdrowotnej – Organizacja Pracodawców;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Związek Pracodawców Szpitali Warmii i Mazur;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Stowarzyszanie „Dla Dobra Pacjenta”;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Rzecznik Praw Pacjenta;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Lider ruchu „Obywatele dla Zdrowia”;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Instytut Praw Pacjenta i Edukacji Zdrowotnej;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Federacja Pacjentów Polskich;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Stowarzyszenie Primum Non Nocere;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Izba Lecznictwa Polskiego;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Stowarzyszenie Organizatorów i Promotorów Opieki Długoterminowej „SOPOD” w Toruniu;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Stowarzyszenie Szpitali Małopolskich;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Konsorcjum Szpitali Wrocławskich;</w:t>
            </w:r>
          </w:p>
          <w:p w:rsidR="00724679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Stowarzyszenie Polska Unia Szpitali Klinicznych;</w:t>
            </w:r>
          </w:p>
          <w:p w:rsidR="00B27910" w:rsidRPr="00E90B9E" w:rsidRDefault="00724679">
            <w:pPr>
              <w:numPr>
                <w:ilvl w:val="0"/>
                <w:numId w:val="25"/>
              </w:numPr>
              <w:spacing w:line="240" w:lineRule="auto"/>
              <w:ind w:left="743" w:hanging="425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Wielkopolski Związek Szpitali Powiatowych.</w:t>
            </w:r>
          </w:p>
          <w:p w:rsidR="0088588C" w:rsidRPr="00E90B9E" w:rsidRDefault="008858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 (M.P. z 2016 r. poz. 1006, z późn. zm.) niniejszy projekt zosta</w:t>
            </w:r>
            <w:r w:rsidR="006970A4" w:rsidRPr="00E90B9E">
              <w:rPr>
                <w:rFonts w:ascii="Times New Roman" w:hAnsi="Times New Roman"/>
              </w:rPr>
              <w:t>ł</w:t>
            </w:r>
            <w:r w:rsidRPr="00E90B9E">
              <w:rPr>
                <w:rFonts w:ascii="Times New Roman" w:hAnsi="Times New Roman"/>
              </w:rPr>
              <w:t xml:space="preserve"> opublikowany w Biuletynie Informacji Publicznej Ministerstwa Zdrowia oraz w Biuletynie Informacji Publicznej na stronie podmiotowej Rządowego Centrum Legislacji, w serwisie „Rządowy Proces Legislacyjny”.</w:t>
            </w:r>
          </w:p>
          <w:p w:rsidR="0071024A" w:rsidRPr="00E90B9E" w:rsidRDefault="0071024A" w:rsidP="003113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  <w:shd w:val="clear" w:color="auto" w:fill="FFFFFF"/>
              </w:rPr>
              <w:t>Wyniki konsultacji publicznych i opiniowania zosta</w:t>
            </w:r>
            <w:r w:rsidR="00F92D04" w:rsidRPr="00E90B9E">
              <w:rPr>
                <w:rFonts w:ascii="Times New Roman" w:hAnsi="Times New Roman"/>
                <w:color w:val="000000"/>
                <w:shd w:val="clear" w:color="auto" w:fill="FFFFFF"/>
              </w:rPr>
              <w:t>ły</w:t>
            </w:r>
            <w:r w:rsidRPr="00E90B9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omówione w raporcie</w:t>
            </w:r>
            <w:r w:rsidR="0031130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dołączonym do niniejszej Oceny.</w:t>
            </w:r>
          </w:p>
        </w:tc>
      </w:tr>
      <w:tr w:rsidR="006A701A" w:rsidRPr="00E90B9E" w:rsidTr="009B1980">
        <w:trPr>
          <w:trHeight w:val="36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6A701A" w:rsidRPr="00E90B9E" w:rsidRDefault="006A701A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E90B9E" w:rsidTr="009B1980">
        <w:trPr>
          <w:trHeight w:val="142"/>
        </w:trPr>
        <w:tc>
          <w:tcPr>
            <w:tcW w:w="2736" w:type="dxa"/>
            <w:gridSpan w:val="4"/>
            <w:vMerge w:val="restart"/>
            <w:shd w:val="clear" w:color="auto" w:fill="FFFFFF"/>
          </w:tcPr>
          <w:p w:rsidR="00260F33" w:rsidRPr="00E90B9E" w:rsidRDefault="00821717" w:rsidP="007C17F1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(ceny </w:t>
            </w:r>
            <w:r w:rsidR="00CF5F4F" w:rsidRPr="00E90B9E">
              <w:rPr>
                <w:rFonts w:ascii="Times New Roman" w:hAnsi="Times New Roman"/>
                <w:color w:val="000000"/>
              </w:rPr>
              <w:t>stałe</w:t>
            </w:r>
            <w:r w:rsidRPr="00E90B9E">
              <w:rPr>
                <w:rFonts w:ascii="Times New Roman" w:hAnsi="Times New Roman"/>
                <w:color w:val="000000"/>
              </w:rPr>
              <w:t xml:space="preserve"> z </w:t>
            </w:r>
            <w:r w:rsidR="004B4D5F" w:rsidRPr="00E90B9E">
              <w:rPr>
                <w:rFonts w:ascii="Times New Roman" w:hAnsi="Times New Roman"/>
                <w:color w:val="000000"/>
              </w:rPr>
              <w:t>201</w:t>
            </w:r>
            <w:r w:rsidR="00E2136B" w:rsidRPr="00E90B9E">
              <w:rPr>
                <w:rFonts w:ascii="Times New Roman" w:hAnsi="Times New Roman"/>
                <w:color w:val="000000"/>
              </w:rPr>
              <w:t>8</w:t>
            </w:r>
            <w:r w:rsidR="004B4D5F"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8038" w:type="dxa"/>
            <w:gridSpan w:val="24"/>
            <w:shd w:val="clear" w:color="auto" w:fill="FFFFFF"/>
          </w:tcPr>
          <w:p w:rsidR="00260F33" w:rsidRPr="00E90B9E" w:rsidRDefault="00260F33" w:rsidP="009964F8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t>Skutki w okresie 10 lat od wejścia w życie zmian [</w:t>
            </w:r>
            <w:r w:rsidR="00A056CB" w:rsidRPr="00E90B9E">
              <w:rPr>
                <w:rFonts w:ascii="Times New Roman" w:hAnsi="Times New Roman"/>
                <w:color w:val="000000"/>
              </w:rPr>
              <w:t xml:space="preserve">mln </w:t>
            </w:r>
            <w:r w:rsidRPr="00E90B9E">
              <w:rPr>
                <w:rFonts w:ascii="Times New Roman" w:hAnsi="Times New Roman"/>
                <w:color w:val="000000"/>
              </w:rPr>
              <w:t>zł]</w:t>
            </w:r>
          </w:p>
        </w:tc>
      </w:tr>
      <w:tr w:rsidR="009C4C55" w:rsidRPr="00E90B9E" w:rsidTr="009B1980">
        <w:trPr>
          <w:trHeight w:val="142"/>
        </w:trPr>
        <w:tc>
          <w:tcPr>
            <w:tcW w:w="2736" w:type="dxa"/>
            <w:gridSpan w:val="4"/>
            <w:vMerge/>
            <w:shd w:val="clear" w:color="auto" w:fill="FFFFFF"/>
          </w:tcPr>
          <w:p w:rsidR="0057668E" w:rsidRPr="00E90B9E" w:rsidRDefault="0057668E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57668E" w:rsidRPr="00E90B9E" w:rsidRDefault="0057668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57668E" w:rsidRPr="00E90B9E" w:rsidRDefault="0057668E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="00CF5F4F" w:rsidRPr="00E90B9E">
              <w:rPr>
                <w:rFonts w:ascii="Times New Roman" w:hAnsi="Times New Roman"/>
                <w:i/>
                <w:color w:val="000000"/>
                <w:spacing w:val="-2"/>
              </w:rPr>
              <w:t xml:space="preserve"> (0-10)</w:t>
            </w:r>
          </w:p>
        </w:tc>
      </w:tr>
      <w:tr w:rsidR="00974CB9" w:rsidRPr="00E90B9E" w:rsidTr="009B1980">
        <w:trPr>
          <w:trHeight w:val="321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pl-PL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19,1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36,8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71,8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92,4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824,5</w:t>
            </w:r>
          </w:p>
        </w:tc>
      </w:tr>
      <w:tr w:rsidR="00974CB9" w:rsidRPr="00E90B9E" w:rsidTr="009B1980">
        <w:trPr>
          <w:trHeight w:val="321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0,7</w:t>
            </w:r>
          </w:p>
        </w:tc>
      </w:tr>
      <w:tr w:rsidR="00974CB9" w:rsidRPr="00E90B9E" w:rsidTr="009B1980">
        <w:trPr>
          <w:trHeight w:val="344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lastRenderedPageBreak/>
              <w:t>J</w:t>
            </w:r>
            <w:r w:rsidR="0031130A">
              <w:rPr>
                <w:rFonts w:ascii="Times New Roman" w:hAnsi="Times New Roman"/>
                <w:color w:val="000000"/>
              </w:rPr>
              <w:t>ednostki samorządu terytorialnego (JST)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0,7</w:t>
            </w:r>
          </w:p>
        </w:tc>
      </w:tr>
      <w:tr w:rsidR="00974CB9" w:rsidRPr="00E90B9E" w:rsidTr="009B1980">
        <w:trPr>
          <w:trHeight w:val="344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31130A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Fundusz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18,9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36,6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49,7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71,5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91,8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819,3</w:t>
            </w:r>
          </w:p>
        </w:tc>
      </w:tr>
      <w:tr w:rsidR="00974CB9" w:rsidRPr="00E90B9E" w:rsidTr="009B1980">
        <w:trPr>
          <w:trHeight w:val="344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F</w:t>
            </w:r>
            <w:r w:rsidR="0031130A">
              <w:rPr>
                <w:rFonts w:ascii="Times New Roman" w:hAnsi="Times New Roman"/>
                <w:color w:val="000000"/>
              </w:rPr>
              <w:t xml:space="preserve">undusz </w:t>
            </w:r>
            <w:r w:rsidRPr="00E90B9E">
              <w:rPr>
                <w:rFonts w:ascii="Times New Roman" w:hAnsi="Times New Roman"/>
                <w:color w:val="000000"/>
              </w:rPr>
              <w:t>U</w:t>
            </w:r>
            <w:r w:rsidR="0031130A">
              <w:rPr>
                <w:rFonts w:ascii="Times New Roman" w:hAnsi="Times New Roman"/>
                <w:color w:val="000000"/>
              </w:rPr>
              <w:t xml:space="preserve">bezpieczeń </w:t>
            </w:r>
            <w:r w:rsidRPr="00E90B9E">
              <w:rPr>
                <w:rFonts w:ascii="Times New Roman" w:hAnsi="Times New Roman"/>
                <w:color w:val="000000"/>
              </w:rPr>
              <w:t>S</w:t>
            </w:r>
            <w:r w:rsidR="0031130A">
              <w:rPr>
                <w:rFonts w:ascii="Times New Roman" w:hAnsi="Times New Roman"/>
                <w:color w:val="000000"/>
              </w:rPr>
              <w:t>połecznych (FUS)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3,8</w:t>
            </w:r>
          </w:p>
        </w:tc>
      </w:tr>
      <w:tr w:rsidR="00974CB9" w:rsidRPr="00E90B9E" w:rsidTr="009B1980">
        <w:trPr>
          <w:trHeight w:val="330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5,7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2,4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2,5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2,3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2,5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2,5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2,9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2,8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2,7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31</w:t>
            </w:r>
          </w:p>
        </w:tc>
      </w:tr>
      <w:tr w:rsidR="00974CB9" w:rsidRPr="00E90B9E" w:rsidTr="009B1980">
        <w:trPr>
          <w:trHeight w:val="330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1,4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11,6</w:t>
            </w:r>
          </w:p>
        </w:tc>
      </w:tr>
      <w:tr w:rsidR="00974CB9" w:rsidRPr="00E90B9E" w:rsidTr="009B1980">
        <w:trPr>
          <w:trHeight w:val="351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74CB9" w:rsidRPr="00E90B9E" w:rsidTr="009B1980">
        <w:trPr>
          <w:trHeight w:val="351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31130A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Fundusz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5,7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0,9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1,3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19,4</w:t>
            </w:r>
          </w:p>
        </w:tc>
      </w:tr>
      <w:tr w:rsidR="00974CB9" w:rsidRPr="00E90B9E" w:rsidTr="009B1980">
        <w:trPr>
          <w:trHeight w:val="351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FUS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74CB9" w:rsidRPr="00E90B9E" w:rsidTr="009B1980">
        <w:trPr>
          <w:trHeight w:val="360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pl-PL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13,4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34,4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47,5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69,5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90,1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90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89,9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89,9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89,5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89,6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89,7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bCs/>
                <w:color w:val="000000"/>
              </w:rPr>
              <w:t>793,5</w:t>
            </w:r>
          </w:p>
        </w:tc>
      </w:tr>
      <w:tr w:rsidR="00974CB9" w:rsidRPr="00E90B9E" w:rsidTr="009B1980">
        <w:trPr>
          <w:trHeight w:val="360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-1,5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-1,5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-0,7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-0,8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-0,9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-0,9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-1,3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-1,2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-1,1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-10,9</w:t>
            </w:r>
          </w:p>
        </w:tc>
      </w:tr>
      <w:tr w:rsidR="00974CB9" w:rsidRPr="00E90B9E" w:rsidTr="009B1980">
        <w:trPr>
          <w:trHeight w:val="357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0,7</w:t>
            </w:r>
          </w:p>
        </w:tc>
      </w:tr>
      <w:tr w:rsidR="00974CB9" w:rsidRPr="00E90B9E" w:rsidTr="009B1980">
        <w:trPr>
          <w:trHeight w:val="357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31130A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Fundusz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</w:rPr>
              <w:t>13,2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35,7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48,7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70,2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799,9</w:t>
            </w:r>
          </w:p>
        </w:tc>
      </w:tr>
      <w:tr w:rsidR="00974CB9" w:rsidRPr="00E90B9E" w:rsidTr="009B1980">
        <w:trPr>
          <w:trHeight w:val="357"/>
        </w:trPr>
        <w:tc>
          <w:tcPr>
            <w:tcW w:w="2736" w:type="dxa"/>
            <w:gridSpan w:val="4"/>
            <w:shd w:val="clear" w:color="auto" w:fill="FFFFFF"/>
            <w:vAlign w:val="center"/>
          </w:tcPr>
          <w:p w:rsidR="00974CB9" w:rsidRPr="00E90B9E" w:rsidRDefault="00974CB9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FUS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621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55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584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661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3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692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04" w:type="dxa"/>
            <w:gridSpan w:val="2"/>
            <w:shd w:val="clear" w:color="auto" w:fill="FFFFFF"/>
            <w:vAlign w:val="center"/>
          </w:tcPr>
          <w:p w:rsidR="00974CB9" w:rsidRPr="00E90B9E" w:rsidRDefault="00974CB9" w:rsidP="007C17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color w:val="000000"/>
              </w:rPr>
              <w:t>3,8</w:t>
            </w:r>
          </w:p>
        </w:tc>
      </w:tr>
      <w:tr w:rsidR="0032660B" w:rsidRPr="00E90B9E" w:rsidTr="009B1980">
        <w:trPr>
          <w:trHeight w:val="348"/>
        </w:trPr>
        <w:tc>
          <w:tcPr>
            <w:tcW w:w="2166" w:type="dxa"/>
            <w:gridSpan w:val="2"/>
            <w:shd w:val="clear" w:color="auto" w:fill="FFFFFF"/>
            <w:vAlign w:val="center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08" w:type="dxa"/>
            <w:gridSpan w:val="26"/>
            <w:shd w:val="clear" w:color="auto" w:fill="FFFFFF"/>
            <w:vAlign w:val="center"/>
          </w:tcPr>
          <w:p w:rsidR="00B27910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Plan finansowy Funduszu</w:t>
            </w:r>
            <w:r w:rsidR="006244BD" w:rsidRPr="00E90B9E">
              <w:rPr>
                <w:rFonts w:ascii="Times New Roman" w:hAnsi="Times New Roman"/>
                <w:color w:val="000000"/>
              </w:rPr>
              <w:t>.</w:t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244BD" w:rsidRPr="00E90B9E" w:rsidRDefault="006244B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Projektowana regulacja nie spowoduje dodatkowych kosztów po stronie budżetu państwa. </w:t>
            </w:r>
          </w:p>
        </w:tc>
      </w:tr>
      <w:tr w:rsidR="0032660B" w:rsidRPr="00E90B9E" w:rsidTr="009B1980">
        <w:trPr>
          <w:trHeight w:val="1926"/>
        </w:trPr>
        <w:tc>
          <w:tcPr>
            <w:tcW w:w="2166" w:type="dxa"/>
            <w:gridSpan w:val="2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08" w:type="dxa"/>
            <w:gridSpan w:val="26"/>
            <w:shd w:val="clear" w:color="auto" w:fill="FFFFFF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Dochody</w:t>
            </w:r>
            <w:r w:rsidR="0031130A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W 2017 r. oddziały wojewódzkie Funduszu przeprowadziły łącznie 1 929 kontroli w obszarze świadczeń opieki zdrowotnej, w ramach których skontrolowały 2049 umów. W wyniku prowadzonych postępowań oddziały wojewódzkie Funduszu wskazały w wystąpieniach pokontrolnych wartość nienależnie przekazanych środków finansowych w wysokości 40 213 tys. zł, oraz nałożyły kary umowne na kwotę 13 572 tys. zł, co daje łącznie wartość 53 787 tys.</w:t>
            </w:r>
            <w:r w:rsidR="00B36F38" w:rsidRPr="00E90B9E">
              <w:rPr>
                <w:rFonts w:ascii="Times New Roman" w:hAnsi="Times New Roman"/>
                <w:color w:val="000000"/>
              </w:rPr>
              <w:t xml:space="preserve"> zł</w:t>
            </w:r>
            <w:r w:rsidRPr="00E90B9E">
              <w:rPr>
                <w:rFonts w:ascii="Times New Roman" w:hAnsi="Times New Roman"/>
                <w:color w:val="000000"/>
              </w:rPr>
              <w:t xml:space="preserve">, to jest 26 tys. zł w przeliczeniu na jedną skontrolowaną umowę. Przyjmując taką skuteczność działań kontrolnych docelowe zwiększenie liczby </w:t>
            </w:r>
            <w:r w:rsidR="000E1148">
              <w:rPr>
                <w:rFonts w:ascii="Times New Roman" w:hAnsi="Times New Roman"/>
                <w:color w:val="000000"/>
              </w:rPr>
              <w:t>zweryfikowanych</w:t>
            </w:r>
            <w:r w:rsidR="000E1148"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</w:rPr>
              <w:t>umów (5.5 tys. rocznie) powinno</w:t>
            </w:r>
            <w:r w:rsidR="0071024A"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="0031130A">
              <w:rPr>
                <w:rFonts w:ascii="Times New Roman" w:hAnsi="Times New Roman"/>
                <w:color w:val="000000"/>
              </w:rPr>
              <w:t xml:space="preserve">– w </w:t>
            </w:r>
            <w:r w:rsidRPr="00E90B9E">
              <w:rPr>
                <w:rFonts w:ascii="Times New Roman" w:hAnsi="Times New Roman"/>
                <w:color w:val="000000"/>
              </w:rPr>
              <w:t>zakresie świadczeń</w:t>
            </w:r>
            <w:r w:rsidR="0071024A"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="0031130A">
              <w:rPr>
                <w:rFonts w:ascii="Times New Roman" w:hAnsi="Times New Roman"/>
                <w:color w:val="000000"/>
              </w:rPr>
              <w:t xml:space="preserve">– przynieść </w:t>
            </w:r>
            <w:r w:rsidRPr="00E90B9E">
              <w:rPr>
                <w:rFonts w:ascii="Times New Roman" w:hAnsi="Times New Roman"/>
                <w:color w:val="000000"/>
              </w:rPr>
              <w:t>rocznie łączny skutek w kwocie  91 640 tys. zł.</w:t>
            </w:r>
          </w:p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Założono, że liczba kontroli będzie rosła sukcesywnie, a docelowa sprawność i skuteczność zostaną osiągnięte w piątym roku od wprowadzenia zmiany. </w:t>
            </w:r>
          </w:p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Wydatki:</w:t>
            </w:r>
          </w:p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 xml:space="preserve">W ramach wydatków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Pr="00E90B9E">
              <w:rPr>
                <w:rFonts w:ascii="Times New Roman" w:hAnsi="Times New Roman"/>
              </w:rPr>
              <w:t xml:space="preserve"> przewidziano 5 mln zł na wytworzenie systemu informatycznego pozwalającego na prowadzenie analizy ryzyka nadużyć oraz wspierającego sprawną </w:t>
            </w:r>
            <w:r w:rsidR="00845C45" w:rsidRPr="00E90B9E">
              <w:rPr>
                <w:rFonts w:ascii="Times New Roman" w:hAnsi="Times New Roman"/>
              </w:rPr>
              <w:t xml:space="preserve">koordynację procesu kontrolnego, a także na przygotowanie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="00845C45" w:rsidRPr="00E90B9E">
              <w:rPr>
                <w:rFonts w:ascii="Times New Roman" w:hAnsi="Times New Roman"/>
              </w:rPr>
              <w:t xml:space="preserve"> do przejścia na elektroniczną komunikację z podmiotami kontrolowanymi.</w:t>
            </w:r>
          </w:p>
          <w:p w:rsidR="00EA0B77" w:rsidRPr="00E90B9E" w:rsidRDefault="00EA0B7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</w:rPr>
              <w:t xml:space="preserve">W ramach wydatków Funduszu uwzględniono również koszty finansowania działalności centrali </w:t>
            </w:r>
            <w:r w:rsidR="0031130A">
              <w:rPr>
                <w:rFonts w:ascii="Times New Roman" w:hAnsi="Times New Roman"/>
              </w:rPr>
              <w:t xml:space="preserve">Funduszu </w:t>
            </w:r>
            <w:r w:rsidRPr="00E90B9E">
              <w:rPr>
                <w:rFonts w:ascii="Times New Roman" w:hAnsi="Times New Roman"/>
              </w:rPr>
              <w:t>wynikające ze zwiększenia efektywności wydatkowania środków publicznych pozostających w dyspozycji Funduszu w wysokości nieprzekraczającej 1% wartości środków wynikających z zastosowania przez Prezesa Funduszu wobec podmiotów kontrolowanych sankcji wynikających z umowy lub przepisów prawa, z wyłączeniem kar umownych z tytułu nieprawidłowości, za które nie nałożono obowiązku zwrotu nienależnie przekazanych środków finansowych.</w:t>
            </w:r>
          </w:p>
          <w:p w:rsidR="002854C3" w:rsidRPr="00E90B9E" w:rsidRDefault="002854C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0B9E">
              <w:rPr>
                <w:rFonts w:ascii="Times New Roman" w:hAnsi="Times New Roman"/>
                <w:lang w:eastAsia="pl-PL"/>
              </w:rPr>
              <w:t>Szacunkowy koszt</w:t>
            </w:r>
            <w:r w:rsidR="000D7778" w:rsidRPr="00E90B9E">
              <w:rPr>
                <w:rFonts w:ascii="Times New Roman" w:hAnsi="Times New Roman"/>
                <w:lang w:eastAsia="pl-PL"/>
              </w:rPr>
              <w:t xml:space="preserve"> </w:t>
            </w:r>
            <w:r w:rsidR="00AE1C76" w:rsidRPr="00E90B9E">
              <w:rPr>
                <w:rFonts w:ascii="Times New Roman" w:hAnsi="Times New Roman"/>
                <w:lang w:eastAsia="pl-PL"/>
              </w:rPr>
              <w:t xml:space="preserve">ponoszony ze środków budżetu państwa </w:t>
            </w:r>
            <w:r w:rsidR="0031130A">
              <w:rPr>
                <w:rFonts w:ascii="Times New Roman" w:hAnsi="Times New Roman"/>
                <w:lang w:eastAsia="pl-PL"/>
              </w:rPr>
              <w:t>z części</w:t>
            </w:r>
            <w:r w:rsidR="00AE1C76" w:rsidRPr="00E90B9E">
              <w:rPr>
                <w:rFonts w:ascii="Times New Roman" w:hAnsi="Times New Roman"/>
                <w:lang w:eastAsia="pl-PL"/>
              </w:rPr>
              <w:t xml:space="preserve"> 46-Zdrowie na potrzeby </w:t>
            </w:r>
            <w:r w:rsidR="000D7778" w:rsidRPr="00E90B9E">
              <w:rPr>
                <w:rFonts w:ascii="Times New Roman" w:hAnsi="Times New Roman"/>
                <w:lang w:eastAsia="pl-PL"/>
              </w:rPr>
              <w:t>utworzenia</w:t>
            </w:r>
            <w:r w:rsidR="00AE1C76" w:rsidRPr="00E90B9E">
              <w:rPr>
                <w:rFonts w:ascii="Times New Roman" w:hAnsi="Times New Roman"/>
                <w:lang w:eastAsia="pl-PL"/>
              </w:rPr>
              <w:t xml:space="preserve"> (wydatki niekwalifikowalne w projekcie finansowanym ze środków U</w:t>
            </w:r>
            <w:r w:rsidR="00F92D04" w:rsidRPr="00E90B9E">
              <w:rPr>
                <w:rFonts w:ascii="Times New Roman" w:hAnsi="Times New Roman"/>
                <w:lang w:eastAsia="pl-PL"/>
              </w:rPr>
              <w:t>nii Europejskiej</w:t>
            </w:r>
            <w:r w:rsidR="00AE1C76" w:rsidRPr="00E90B9E">
              <w:rPr>
                <w:rFonts w:ascii="Times New Roman" w:hAnsi="Times New Roman"/>
                <w:lang w:eastAsia="pl-PL"/>
              </w:rPr>
              <w:t>)</w:t>
            </w:r>
            <w:r w:rsidR="000D7778" w:rsidRPr="00E90B9E">
              <w:rPr>
                <w:rFonts w:ascii="Times New Roman" w:hAnsi="Times New Roman"/>
                <w:lang w:eastAsia="pl-PL"/>
              </w:rPr>
              <w:t xml:space="preserve">, </w:t>
            </w:r>
            <w:r w:rsidRPr="00E90B9E">
              <w:rPr>
                <w:rFonts w:ascii="Times New Roman" w:hAnsi="Times New Roman"/>
                <w:lang w:eastAsia="pl-PL"/>
              </w:rPr>
              <w:t xml:space="preserve">utrzymania </w:t>
            </w:r>
            <w:r w:rsidR="00AE1C76" w:rsidRPr="00E90B9E">
              <w:rPr>
                <w:rFonts w:ascii="Times New Roman" w:hAnsi="Times New Roman"/>
                <w:lang w:eastAsia="pl-PL"/>
              </w:rPr>
              <w:t xml:space="preserve">i rozwoju </w:t>
            </w:r>
            <w:r w:rsidRPr="00E90B9E">
              <w:rPr>
                <w:rFonts w:ascii="Times New Roman" w:hAnsi="Times New Roman"/>
                <w:lang w:eastAsia="pl-PL"/>
              </w:rPr>
              <w:t>TOPSOR w okresie 20</w:t>
            </w:r>
            <w:r w:rsidR="000D7778" w:rsidRPr="00E90B9E">
              <w:rPr>
                <w:rFonts w:ascii="Times New Roman" w:hAnsi="Times New Roman"/>
                <w:lang w:eastAsia="pl-PL"/>
              </w:rPr>
              <w:t>18</w:t>
            </w:r>
            <w:r w:rsidRPr="00E90B9E">
              <w:rPr>
                <w:rFonts w:ascii="Times New Roman" w:hAnsi="Times New Roman"/>
                <w:lang w:eastAsia="pl-PL"/>
              </w:rPr>
              <w:t>-20</w:t>
            </w:r>
            <w:r w:rsidR="000D7778" w:rsidRPr="00E90B9E">
              <w:rPr>
                <w:rFonts w:ascii="Times New Roman" w:hAnsi="Times New Roman"/>
                <w:lang w:eastAsia="pl-PL"/>
              </w:rPr>
              <w:t>28</w:t>
            </w:r>
            <w:r w:rsidRPr="00E90B9E">
              <w:rPr>
                <w:rFonts w:ascii="Times New Roman" w:hAnsi="Times New Roman"/>
                <w:lang w:eastAsia="pl-PL"/>
              </w:rPr>
              <w:t xml:space="preserve"> r. będzie wynosił </w:t>
            </w:r>
            <w:r w:rsidR="00AE1C76" w:rsidRPr="00E90B9E">
              <w:rPr>
                <w:rFonts w:ascii="Times New Roman" w:hAnsi="Times New Roman"/>
                <w:lang w:eastAsia="pl-PL"/>
              </w:rPr>
              <w:t>11 460 tys. zł.</w:t>
            </w:r>
          </w:p>
        </w:tc>
      </w:tr>
      <w:tr w:rsidR="0032660B" w:rsidRPr="00E90B9E" w:rsidTr="009B1980">
        <w:trPr>
          <w:trHeight w:val="345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E90B9E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32660B" w:rsidRPr="00E90B9E" w:rsidTr="009B1980">
        <w:trPr>
          <w:trHeight w:val="142"/>
        </w:trPr>
        <w:tc>
          <w:tcPr>
            <w:tcW w:w="3686" w:type="dxa"/>
            <w:gridSpan w:val="7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1061" w:type="dxa"/>
            <w:gridSpan w:val="3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17" w:type="dxa"/>
            <w:gridSpan w:val="3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17" w:type="dxa"/>
            <w:gridSpan w:val="4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14" w:type="dxa"/>
            <w:gridSpan w:val="2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15" w:type="dxa"/>
            <w:gridSpan w:val="3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16" w:type="dxa"/>
            <w:gridSpan w:val="3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48" w:type="dxa"/>
            <w:gridSpan w:val="3"/>
            <w:shd w:val="clear" w:color="auto" w:fill="FFFFFF"/>
          </w:tcPr>
          <w:p w:rsidR="0032660B" w:rsidRPr="00E90B9E" w:rsidRDefault="0032660B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E90B9E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E90B9E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D0235C" w:rsidRPr="00E90B9E" w:rsidTr="008C1CB5">
        <w:trPr>
          <w:trHeight w:val="142"/>
        </w:trPr>
        <w:tc>
          <w:tcPr>
            <w:tcW w:w="1544" w:type="dxa"/>
            <w:vMerge w:val="restart"/>
            <w:shd w:val="clear" w:color="auto" w:fill="FFFFFF"/>
          </w:tcPr>
          <w:p w:rsidR="00D0235C" w:rsidRPr="00E90B9E" w:rsidRDefault="00D0235C" w:rsidP="007C17F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W ujęciu pieniężnym</w:t>
            </w:r>
          </w:p>
          <w:p w:rsidR="00D0235C" w:rsidRPr="00E90B9E" w:rsidRDefault="00D0235C" w:rsidP="007C17F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lastRenderedPageBreak/>
              <w:t xml:space="preserve">(w mln zł, </w:t>
            </w:r>
          </w:p>
          <w:p w:rsidR="00D0235C" w:rsidRPr="00E90B9E" w:rsidRDefault="00D0235C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spacing w:val="-2"/>
              </w:rPr>
              <w:t>ceny stałe z 2018 r.)</w:t>
            </w:r>
          </w:p>
        </w:tc>
        <w:tc>
          <w:tcPr>
            <w:tcW w:w="2142" w:type="dxa"/>
            <w:gridSpan w:val="6"/>
            <w:shd w:val="clear" w:color="auto" w:fill="FFFFFF"/>
          </w:tcPr>
          <w:p w:rsidR="00D0235C" w:rsidRPr="00E90B9E" w:rsidRDefault="00D023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lastRenderedPageBreak/>
              <w:t>duże przedsiębiorstwa</w:t>
            </w:r>
          </w:p>
        </w:tc>
        <w:tc>
          <w:tcPr>
            <w:tcW w:w="1061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17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17" w:type="dxa"/>
            <w:gridSpan w:val="4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14" w:type="dxa"/>
            <w:gridSpan w:val="2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15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16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48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t>1,5</w:t>
            </w:r>
          </w:p>
        </w:tc>
      </w:tr>
      <w:tr w:rsidR="00D0235C" w:rsidRPr="00E90B9E" w:rsidTr="008C1CB5">
        <w:trPr>
          <w:trHeight w:val="142"/>
        </w:trPr>
        <w:tc>
          <w:tcPr>
            <w:tcW w:w="1544" w:type="dxa"/>
            <w:vMerge/>
            <w:shd w:val="clear" w:color="auto" w:fill="FFFFFF"/>
          </w:tcPr>
          <w:p w:rsidR="00D0235C" w:rsidRPr="00E90B9E" w:rsidRDefault="00D023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42" w:type="dxa"/>
            <w:gridSpan w:val="6"/>
            <w:shd w:val="clear" w:color="auto" w:fill="FFFFFF"/>
          </w:tcPr>
          <w:p w:rsidR="00D0235C" w:rsidRPr="00E90B9E" w:rsidRDefault="00D023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sektor mikro-, małych i średnich przedsiębiorstw</w:t>
            </w:r>
          </w:p>
        </w:tc>
        <w:tc>
          <w:tcPr>
            <w:tcW w:w="1061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17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917" w:type="dxa"/>
            <w:gridSpan w:val="4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914" w:type="dxa"/>
            <w:gridSpan w:val="2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15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-0,1</w:t>
            </w:r>
          </w:p>
        </w:tc>
        <w:tc>
          <w:tcPr>
            <w:tcW w:w="916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-0,1</w:t>
            </w:r>
          </w:p>
        </w:tc>
        <w:tc>
          <w:tcPr>
            <w:tcW w:w="1448" w:type="dxa"/>
            <w:gridSpan w:val="3"/>
            <w:shd w:val="clear" w:color="auto" w:fill="FFFFFF"/>
            <w:vAlign w:val="bottom"/>
          </w:tcPr>
          <w:p w:rsidR="00D0235C" w:rsidRPr="00E90B9E" w:rsidRDefault="00D0235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t>2,5</w:t>
            </w:r>
          </w:p>
        </w:tc>
      </w:tr>
      <w:tr w:rsidR="000633CE" w:rsidRPr="00E90B9E" w:rsidTr="009B1980">
        <w:trPr>
          <w:trHeight w:val="142"/>
        </w:trPr>
        <w:tc>
          <w:tcPr>
            <w:tcW w:w="1544" w:type="dxa"/>
            <w:vMerge/>
            <w:shd w:val="clear" w:color="auto" w:fill="FFFFFF"/>
          </w:tcPr>
          <w:p w:rsidR="000633CE" w:rsidRPr="00E90B9E" w:rsidRDefault="000633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42" w:type="dxa"/>
            <w:gridSpan w:val="6"/>
            <w:shd w:val="clear" w:color="auto" w:fill="FFFFFF"/>
          </w:tcPr>
          <w:p w:rsidR="000633CE" w:rsidRPr="00E90B9E" w:rsidRDefault="000633C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1061" w:type="dxa"/>
            <w:gridSpan w:val="3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17" w:type="dxa"/>
            <w:gridSpan w:val="3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17" w:type="dxa"/>
            <w:gridSpan w:val="4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914" w:type="dxa"/>
            <w:gridSpan w:val="2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915" w:type="dxa"/>
            <w:gridSpan w:val="3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916" w:type="dxa"/>
            <w:gridSpan w:val="3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1448" w:type="dxa"/>
            <w:gridSpan w:val="3"/>
            <w:shd w:val="clear" w:color="auto" w:fill="FFFFFF"/>
          </w:tcPr>
          <w:p w:rsidR="000633CE" w:rsidRPr="00E90B9E" w:rsidRDefault="00EA0B7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7,8</w:t>
            </w:r>
          </w:p>
        </w:tc>
      </w:tr>
      <w:tr w:rsidR="0032660B" w:rsidRPr="00E90B9E" w:rsidTr="009B1980">
        <w:trPr>
          <w:trHeight w:val="142"/>
        </w:trPr>
        <w:tc>
          <w:tcPr>
            <w:tcW w:w="1544" w:type="dxa"/>
            <w:vMerge w:val="restart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142" w:type="dxa"/>
            <w:gridSpan w:val="6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88" w:type="dxa"/>
            <w:gridSpan w:val="21"/>
            <w:shd w:val="clear" w:color="auto" w:fill="FFFFFF"/>
          </w:tcPr>
          <w:p w:rsidR="0032660B" w:rsidRPr="00E90B9E" w:rsidRDefault="0026672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Zakłada się docelowe istotne zwiększenie </w:t>
            </w:r>
            <w:r>
              <w:rPr>
                <w:rFonts w:ascii="Times New Roman" w:hAnsi="Times New Roman"/>
                <w:color w:val="000000"/>
                <w:spacing w:val="-2"/>
              </w:rPr>
              <w:t>liczby umów</w:t>
            </w:r>
            <w:r w:rsidR="003F19F5">
              <w:rPr>
                <w:rFonts w:ascii="Times New Roman" w:hAnsi="Times New Roman"/>
                <w:color w:val="000000"/>
                <w:spacing w:val="-2"/>
              </w:rPr>
              <w:t xml:space="preserve"> poddanych weryfikacji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przy jednoczesnym zmniejszeniu liczby kontroli i zwiększeniu roli czynności sprawdzających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32660B" w:rsidRPr="00E90B9E">
              <w:rPr>
                <w:rFonts w:ascii="Times New Roman" w:hAnsi="Times New Roman"/>
                <w:color w:val="000000"/>
                <w:spacing w:val="-2"/>
              </w:rPr>
              <w:t xml:space="preserve"> Jednoczesne uproszczenie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 xml:space="preserve"> i elektronizacja</w:t>
            </w:r>
            <w:r w:rsidR="0032660B" w:rsidRPr="00E90B9E">
              <w:rPr>
                <w:rFonts w:ascii="Times New Roman" w:hAnsi="Times New Roman"/>
                <w:color w:val="000000"/>
                <w:spacing w:val="-2"/>
              </w:rPr>
              <w:t xml:space="preserve"> trybu kontrolnego powinno zmniejszyć uciążliwość kontroli dla podmiotów kontrolowanych.</w:t>
            </w:r>
          </w:p>
        </w:tc>
      </w:tr>
      <w:tr w:rsidR="0032660B" w:rsidRPr="00E90B9E" w:rsidTr="009B1980">
        <w:trPr>
          <w:trHeight w:val="142"/>
        </w:trPr>
        <w:tc>
          <w:tcPr>
            <w:tcW w:w="1544" w:type="dxa"/>
            <w:vMerge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42" w:type="dxa"/>
            <w:gridSpan w:val="6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88" w:type="dxa"/>
            <w:gridSpan w:val="21"/>
            <w:shd w:val="clear" w:color="auto" w:fill="FFFFFF"/>
          </w:tcPr>
          <w:p w:rsidR="0032660B" w:rsidRPr="00E90B9E" w:rsidRDefault="0032660B" w:rsidP="0026672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Zakłada się docelowe istotne zwiększenie </w:t>
            </w:r>
            <w:r w:rsidR="00266726">
              <w:rPr>
                <w:rFonts w:ascii="Times New Roman" w:hAnsi="Times New Roman"/>
                <w:color w:val="000000"/>
                <w:spacing w:val="-2"/>
              </w:rPr>
              <w:t>liczby umów poddanych weryfikacji przy jednoczesnym zmniejszeniu liczby kontroli i zwiększeniu roli czynności sprawdzających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. Jednoczesne uproszczenie</w:t>
            </w:r>
            <w:r w:rsidR="00845C45" w:rsidRPr="00E90B9E">
              <w:rPr>
                <w:rFonts w:ascii="Times New Roman" w:hAnsi="Times New Roman"/>
                <w:color w:val="000000"/>
                <w:spacing w:val="-2"/>
              </w:rPr>
              <w:t xml:space="preserve"> i elektronizacja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 trybu kontrolnego powinno zmniejszyć uciążliwość kontroli dla podmiotów kontrolowanych.</w:t>
            </w:r>
          </w:p>
        </w:tc>
      </w:tr>
      <w:tr w:rsidR="0032660B" w:rsidRPr="00E90B9E" w:rsidTr="009B1980">
        <w:trPr>
          <w:trHeight w:val="596"/>
        </w:trPr>
        <w:tc>
          <w:tcPr>
            <w:tcW w:w="1544" w:type="dxa"/>
            <w:vMerge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42" w:type="dxa"/>
            <w:gridSpan w:val="6"/>
            <w:shd w:val="clear" w:color="auto" w:fill="FFFFFF"/>
          </w:tcPr>
          <w:p w:rsidR="0032660B" w:rsidRPr="00E90B9E" w:rsidRDefault="0032660B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</w:rPr>
              <w:t>rodzina, obywatele oraz gospodarstwa domowe</w:t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88" w:type="dxa"/>
            <w:gridSpan w:val="21"/>
            <w:shd w:val="clear" w:color="auto" w:fill="FFFFFF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Zakłada się poprawę dostępności oraz jakości świadczeń nocnej i świątecznej opieki zdrowotnej</w:t>
            </w:r>
            <w:r w:rsidR="00B27910" w:rsidRPr="00E90B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przez umożliwienie realizacji tych świadczeń przez część szpitali ogólnopolskich, przy jednoczesnym umożliwieniu rezygnacji z ich udzielania przez szpitale monoprofilowe, niemające wystarczającego potencjału w tym zakresie, oraz dzięki umożliwieniu skoncentrowania potencjału szpitali pediatrycznych na udzielaniu ww. świadczeń dzieciom.</w:t>
            </w:r>
          </w:p>
          <w:p w:rsidR="00752A62" w:rsidRPr="00E90B9E" w:rsidRDefault="00752A6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Wykorzystanie funkcjonalności </w:t>
            </w:r>
            <w:r w:rsidR="00BA7870" w:rsidRPr="00E90B9E">
              <w:rPr>
                <w:rFonts w:ascii="Times New Roman" w:hAnsi="Times New Roman"/>
                <w:color w:val="000000"/>
                <w:spacing w:val="-2"/>
              </w:rPr>
              <w:t>TOPSOR</w:t>
            </w:r>
            <w:r w:rsidR="002854C3" w:rsidRPr="00E90B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umożliwi bieżące informowanie pacjentów o przewidywanym czasie oczekiwania na udzielenie im pomocy medycznej przez lekarza SOR. Rozwiązanie to skutkuje zwiększeniem komfortu osób oczekujących na udzielenie pomocy.</w:t>
            </w:r>
          </w:p>
        </w:tc>
      </w:tr>
      <w:tr w:rsidR="0032660B" w:rsidRPr="00E90B9E" w:rsidTr="009B1980">
        <w:trPr>
          <w:trHeight w:val="142"/>
        </w:trPr>
        <w:tc>
          <w:tcPr>
            <w:tcW w:w="1544" w:type="dxa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142" w:type="dxa"/>
            <w:gridSpan w:val="6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Podmioty realizujące umowę z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Funduszem</w:t>
            </w:r>
            <w:r w:rsidRPr="00E90B9E">
              <w:rPr>
                <w:rFonts w:ascii="Times New Roman" w:hAnsi="Times New Roman"/>
                <w:color w:val="000000"/>
              </w:rPr>
              <w:t xml:space="preserve"> na udzielanie świadczeń opieki zdrowotnej.</w:t>
            </w:r>
          </w:p>
        </w:tc>
        <w:tc>
          <w:tcPr>
            <w:tcW w:w="7088" w:type="dxa"/>
            <w:gridSpan w:val="21"/>
            <w:shd w:val="clear" w:color="auto" w:fill="FFFFFF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Zwiększenie liczby </w:t>
            </w:r>
            <w:r w:rsidR="00266726">
              <w:rPr>
                <w:rFonts w:ascii="Times New Roman" w:hAnsi="Times New Roman"/>
                <w:color w:val="000000"/>
                <w:spacing w:val="-2"/>
              </w:rPr>
              <w:t>umów</w:t>
            </w:r>
            <w:r w:rsidR="000F19E5">
              <w:rPr>
                <w:rFonts w:ascii="Times New Roman" w:hAnsi="Times New Roman"/>
                <w:color w:val="000000"/>
                <w:spacing w:val="-2"/>
              </w:rPr>
              <w:t xml:space="preserve"> poddanych weryfikacji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przyczyni się do poprawy konkurencyjności pomiędzy podmiotami udzielającymi świadczeń opieki  w wyniku urealnienia nadzoru i założeniu docelowego skontrolowania wszystkich podmiotów w czasie obowiązywania umów z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Funduszem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9B1980" w:rsidRPr="00E90B9E" w:rsidTr="009B1980">
        <w:trPr>
          <w:gridAfter w:val="1"/>
          <w:wAfter w:w="48" w:type="dxa"/>
          <w:trHeight w:val="1341"/>
        </w:trPr>
        <w:tc>
          <w:tcPr>
            <w:tcW w:w="2166" w:type="dxa"/>
            <w:gridSpan w:val="2"/>
            <w:shd w:val="clear" w:color="auto" w:fill="FFFFFF"/>
          </w:tcPr>
          <w:p w:rsidR="009B1980" w:rsidRPr="00E90B9E" w:rsidRDefault="009B1980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560" w:type="dxa"/>
            <w:gridSpan w:val="25"/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1"/>
              <w:gridCol w:w="519"/>
              <w:gridCol w:w="1190"/>
              <w:gridCol w:w="1191"/>
              <w:gridCol w:w="1191"/>
              <w:gridCol w:w="1191"/>
              <w:gridCol w:w="1191"/>
            </w:tblGrid>
            <w:tr w:rsidR="009B1980" w:rsidRPr="00E90B9E" w:rsidTr="009B1980">
              <w:tc>
                <w:tcPr>
                  <w:tcW w:w="1861" w:type="dxa"/>
                  <w:vAlign w:val="bottom"/>
                </w:tcPr>
                <w:p w:rsidR="009B1980" w:rsidRPr="00E90B9E" w:rsidRDefault="009B1980">
                  <w:pPr>
                    <w:spacing w:line="240" w:lineRule="auto"/>
                    <w:rPr>
                      <w:rFonts w:ascii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519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190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</w:tr>
            <w:tr w:rsidR="009B1980" w:rsidRPr="00E90B9E" w:rsidTr="009B1980">
              <w:tc>
                <w:tcPr>
                  <w:tcW w:w="186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Koszty techniczne kontroli</w:t>
                  </w:r>
                </w:p>
              </w:tc>
              <w:tc>
                <w:tcPr>
                  <w:tcW w:w="519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190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300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240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180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60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60</w:t>
                  </w:r>
                </w:p>
              </w:tc>
            </w:tr>
            <w:tr w:rsidR="009B1980" w:rsidRPr="00E90B9E" w:rsidTr="009B1980">
              <w:tc>
                <w:tcPr>
                  <w:tcW w:w="186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Koszty pracy związane z kontrolą</w:t>
                  </w:r>
                </w:p>
              </w:tc>
              <w:tc>
                <w:tcPr>
                  <w:tcW w:w="519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450</w:t>
                  </w:r>
                </w:p>
              </w:tc>
              <w:tc>
                <w:tcPr>
                  <w:tcW w:w="1190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450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360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270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90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90</w:t>
                  </w:r>
                </w:p>
              </w:tc>
            </w:tr>
            <w:tr w:rsidR="009B1980" w:rsidRPr="00E90B9E" w:rsidTr="009B1980">
              <w:tc>
                <w:tcPr>
                  <w:tcW w:w="186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Łączne koszty kontroli po stronie podmiotu kontrolowanego</w:t>
                  </w:r>
                </w:p>
              </w:tc>
              <w:tc>
                <w:tcPr>
                  <w:tcW w:w="519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750</w:t>
                  </w:r>
                </w:p>
              </w:tc>
              <w:tc>
                <w:tcPr>
                  <w:tcW w:w="1190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750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450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150</w:t>
                  </w:r>
                </w:p>
              </w:tc>
              <w:tc>
                <w:tcPr>
                  <w:tcW w:w="1191" w:type="dxa"/>
                  <w:vAlign w:val="bottom"/>
                </w:tcPr>
                <w:p w:rsidR="009B1980" w:rsidRPr="00E90B9E" w:rsidRDefault="009B1980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150</w:t>
                  </w:r>
                </w:p>
              </w:tc>
            </w:tr>
          </w:tbl>
          <w:p w:rsidR="009B1980" w:rsidRPr="00E90B9E" w:rsidRDefault="009B1980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F92D04" w:rsidRPr="00E90B9E" w:rsidRDefault="009B19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W celu oszacowania wpływu na funkcjonowanie przedsiębiorców przyjęto</w:t>
            </w:r>
            <w:r w:rsidR="000D118B" w:rsidRPr="00E90B9E">
              <w:rPr>
                <w:rFonts w:ascii="Times New Roman" w:hAnsi="Times New Roman"/>
                <w:color w:val="000000"/>
              </w:rPr>
              <w:t xml:space="preserve">, </w:t>
            </w:r>
            <w:r w:rsidR="00F92D04" w:rsidRPr="00E90B9E">
              <w:rPr>
                <w:rFonts w:ascii="Times New Roman" w:hAnsi="Times New Roman"/>
                <w:color w:val="000000"/>
              </w:rPr>
              <w:t>że</w:t>
            </w:r>
            <w:r w:rsidR="00D0235C" w:rsidRPr="00E90B9E">
              <w:rPr>
                <w:rFonts w:ascii="Times New Roman" w:hAnsi="Times New Roman"/>
                <w:color w:val="000000"/>
              </w:rPr>
              <w:t xml:space="preserve">: </w:t>
            </w:r>
          </w:p>
          <w:p w:rsidR="00F92D04" w:rsidRPr="00E90B9E" w:rsidRDefault="00F92D0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1</w:t>
            </w:r>
            <w:r w:rsidR="00D0235C" w:rsidRPr="00E90B9E">
              <w:rPr>
                <w:rFonts w:ascii="Times New Roman" w:hAnsi="Times New Roman"/>
                <w:color w:val="000000"/>
              </w:rPr>
              <w:t>) przedsiębiorcy stanowią ok. 70% podmiotów kontrolowanych</w:t>
            </w:r>
            <w:r w:rsidRPr="00E90B9E">
              <w:rPr>
                <w:rFonts w:ascii="Times New Roman" w:hAnsi="Times New Roman"/>
                <w:color w:val="000000"/>
              </w:rPr>
              <w:t>;</w:t>
            </w:r>
          </w:p>
          <w:p w:rsidR="00F92D04" w:rsidRPr="00E90B9E" w:rsidRDefault="00F92D0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2) </w:t>
            </w:r>
            <w:r w:rsidR="000D118B" w:rsidRPr="00E90B9E">
              <w:rPr>
                <w:rFonts w:ascii="Times New Roman" w:hAnsi="Times New Roman"/>
                <w:color w:val="000000"/>
              </w:rPr>
              <w:t>pojedyncza kontrola wymaga zaangażowania ze strony podmiotu kontrolowane</w:t>
            </w:r>
            <w:r w:rsidR="00D0235C" w:rsidRPr="00E90B9E">
              <w:rPr>
                <w:rFonts w:ascii="Times New Roman" w:hAnsi="Times New Roman"/>
                <w:color w:val="000000"/>
              </w:rPr>
              <w:t>go w wymiarze ok. 2 roboczodni (z czego około 50% zajmuje przygotowanie dokumentów, 20% wykonanie obliczeń i zestawień, 10% udział w oględzinach, 20% składanie wyjaśnień) – dodatkowe koszty osobowe dotyczą jedynie dodatkowych kontroli</w:t>
            </w:r>
            <w:r w:rsidRPr="00E90B9E">
              <w:rPr>
                <w:rFonts w:ascii="Times New Roman" w:hAnsi="Times New Roman"/>
                <w:color w:val="000000"/>
              </w:rPr>
              <w:t>;</w:t>
            </w:r>
          </w:p>
          <w:p w:rsidR="00F92D04" w:rsidRPr="00E90B9E" w:rsidRDefault="00F92D0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3) </w:t>
            </w:r>
            <w:r w:rsidR="00D0235C" w:rsidRPr="00E90B9E">
              <w:rPr>
                <w:rFonts w:ascii="Times New Roman" w:hAnsi="Times New Roman"/>
                <w:color w:val="000000"/>
              </w:rPr>
              <w:t>koszty techniczne związane z kontrolą (m.in. wykonywaniem odwzorowań cyfrowych dokumentacji papierowej) wynoszą ok. 300 zł – koszty te dotyczą wszystkich prowadzonych kontroli</w:t>
            </w:r>
            <w:r w:rsidRPr="00E90B9E">
              <w:rPr>
                <w:rFonts w:ascii="Times New Roman" w:hAnsi="Times New Roman"/>
                <w:color w:val="000000"/>
              </w:rPr>
              <w:t>;</w:t>
            </w:r>
          </w:p>
          <w:p w:rsidR="009B1980" w:rsidRPr="00E90B9E" w:rsidRDefault="00F92D0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4) </w:t>
            </w:r>
            <w:r w:rsidR="00D0235C" w:rsidRPr="00E90B9E">
              <w:rPr>
                <w:rFonts w:ascii="Times New Roman" w:hAnsi="Times New Roman"/>
                <w:color w:val="000000"/>
              </w:rPr>
              <w:t xml:space="preserve"> łączne koszty prowadzenia kontroli ze względu na dopuszczenie znacznej elektronizacji procesu kontroli oraz postępującą digitalizację podmiotów kontrolowanych (m.in. e-recepta, e-skierowanie, elektroniczna dokumentacja medyczna) w ciągu 5 lat spadną o ok. 80%. </w:t>
            </w:r>
          </w:p>
          <w:p w:rsidR="00F92D04" w:rsidRPr="00E90B9E" w:rsidRDefault="00F92D0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B1980" w:rsidRPr="00E90B9E" w:rsidRDefault="00EA0B77" w:rsidP="0031130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 xml:space="preserve">W części dotyczącej wpływu na rodzinę, obywateli oraz gospodarstwa domowe ujęto nagrody </w:t>
            </w:r>
            <w:r w:rsidR="009D368E" w:rsidRPr="00E90B9E">
              <w:rPr>
                <w:rFonts w:ascii="Times New Roman" w:hAnsi="Times New Roman"/>
                <w:color w:val="000000"/>
              </w:rPr>
              <w:t xml:space="preserve">dla kontrolerów oraz inne osoby zaangażowane w przygotowanie i przeprowadzenie czynności kontrolnych, które przyczyniły się do zwiększenia efektywności wydatkowania środków publicznych pozostających w dyspozycji Funduszu w kwotach netto. </w:t>
            </w:r>
          </w:p>
        </w:tc>
      </w:tr>
      <w:tr w:rsidR="0032660B" w:rsidRPr="00E90B9E" w:rsidTr="009B1980">
        <w:trPr>
          <w:trHeight w:val="3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32660B" w:rsidRPr="00E90B9E" w:rsidTr="009B1980">
        <w:trPr>
          <w:trHeight w:val="151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32660B" w:rsidRPr="00E90B9E" w:rsidTr="009B1980">
        <w:trPr>
          <w:trHeight w:val="946"/>
        </w:trPr>
        <w:tc>
          <w:tcPr>
            <w:tcW w:w="5055" w:type="dxa"/>
            <w:gridSpan w:val="12"/>
            <w:shd w:val="clear" w:color="auto" w:fill="FFFFFF"/>
          </w:tcPr>
          <w:p w:rsidR="0032660B" w:rsidRPr="00E90B9E" w:rsidRDefault="0032660B" w:rsidP="007C17F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Wprowadzane są obciążenia poza bezwzględnie wymaganymi przez UE </w:t>
            </w:r>
            <w:r w:rsidRPr="00E90B9E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719" w:type="dxa"/>
            <w:gridSpan w:val="16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32660B" w:rsidRPr="00E90B9E" w:rsidRDefault="003266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lang w:eastAsia="pl-PL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32660B" w:rsidRPr="00E90B9E" w:rsidTr="009B1980">
        <w:trPr>
          <w:trHeight w:val="1245"/>
        </w:trPr>
        <w:tc>
          <w:tcPr>
            <w:tcW w:w="5055" w:type="dxa"/>
            <w:gridSpan w:val="12"/>
            <w:shd w:val="clear" w:color="auto" w:fill="FFFFFF"/>
          </w:tcPr>
          <w:p w:rsidR="0032660B" w:rsidRPr="00E90B9E" w:rsidRDefault="0032660B" w:rsidP="009964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:rsidR="0032660B" w:rsidRPr="00E90B9E" w:rsidRDefault="0032660B" w:rsidP="009964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32660B" w:rsidRPr="00E90B9E" w:rsidRDefault="003266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:rsidR="0032660B" w:rsidRPr="00E90B9E" w:rsidRDefault="0032660B" w:rsidP="007C17F1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719" w:type="dxa"/>
            <w:gridSpan w:val="16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2660B" w:rsidRPr="00E90B9E" w:rsidTr="009B1980">
        <w:trPr>
          <w:trHeight w:val="870"/>
        </w:trPr>
        <w:tc>
          <w:tcPr>
            <w:tcW w:w="5055" w:type="dxa"/>
            <w:gridSpan w:val="12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719" w:type="dxa"/>
            <w:gridSpan w:val="16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32660B" w:rsidRPr="00E90B9E" w:rsidTr="009B1980">
        <w:trPr>
          <w:trHeight w:val="266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Komentarz: Proponuje się uproszczenie procedury kontrolnej m.in. przez rezygnację ze stosowania dwóch dokumentów powstających w trakcie kontroli – protokołu i wystąpienia pokontrolnego</w:t>
            </w:r>
            <w:r w:rsidR="00845C45" w:rsidRPr="00E90B9E">
              <w:rPr>
                <w:rFonts w:ascii="Times New Roman" w:hAnsi="Times New Roman"/>
                <w:color w:val="000000"/>
              </w:rPr>
              <w:t xml:space="preserve"> oraz elektronizację procesu kontroli</w:t>
            </w:r>
            <w:r w:rsidRPr="00E90B9E">
              <w:rPr>
                <w:rFonts w:ascii="Times New Roman" w:hAnsi="Times New Roman"/>
                <w:color w:val="000000"/>
              </w:rPr>
              <w:t>. Zmiana zakłada pozostawienie jedynie wystąpienia pokontrolnego (analogicznie, jak w przypadku procedury N</w:t>
            </w:r>
            <w:r w:rsidR="00F92D04" w:rsidRPr="00E90B9E">
              <w:rPr>
                <w:rFonts w:ascii="Times New Roman" w:hAnsi="Times New Roman"/>
                <w:color w:val="000000"/>
              </w:rPr>
              <w:t xml:space="preserve">ajwyższej </w:t>
            </w:r>
            <w:r w:rsidRPr="00E90B9E">
              <w:rPr>
                <w:rFonts w:ascii="Times New Roman" w:hAnsi="Times New Roman"/>
                <w:color w:val="000000"/>
              </w:rPr>
              <w:t>I</w:t>
            </w:r>
            <w:r w:rsidR="00F92D04" w:rsidRPr="00E90B9E">
              <w:rPr>
                <w:rFonts w:ascii="Times New Roman" w:hAnsi="Times New Roman"/>
                <w:color w:val="000000"/>
              </w:rPr>
              <w:t xml:space="preserve">zby </w:t>
            </w:r>
            <w:r w:rsidRPr="00E90B9E">
              <w:rPr>
                <w:rFonts w:ascii="Times New Roman" w:hAnsi="Times New Roman"/>
                <w:color w:val="000000"/>
              </w:rPr>
              <w:t>K</w:t>
            </w:r>
            <w:r w:rsidR="00F92D04" w:rsidRPr="00E90B9E">
              <w:rPr>
                <w:rFonts w:ascii="Times New Roman" w:hAnsi="Times New Roman"/>
                <w:color w:val="000000"/>
              </w:rPr>
              <w:t>ontroli</w:t>
            </w:r>
            <w:r w:rsidRPr="00E90B9E">
              <w:rPr>
                <w:rFonts w:ascii="Times New Roman" w:hAnsi="Times New Roman"/>
                <w:color w:val="000000"/>
              </w:rPr>
              <w:t>).</w:t>
            </w:r>
            <w:r w:rsidR="00845C45" w:rsidRPr="00E90B9E">
              <w:rPr>
                <w:rFonts w:ascii="Times New Roman" w:hAnsi="Times New Roman"/>
                <w:color w:val="000000"/>
              </w:rPr>
              <w:t xml:space="preserve"> Wprowadza się jako zasadę komunikację elektroniczną w trakcie wykonywania czynności kontrolnych.</w:t>
            </w:r>
            <w:r w:rsidRPr="00E90B9E">
              <w:rPr>
                <w:rFonts w:ascii="Times New Roman" w:hAnsi="Times New Roman"/>
                <w:color w:val="000000"/>
              </w:rPr>
              <w:t xml:space="preserve"> Pozwoli to skrócić czas kontroli oraz zmniejszyć liczbę dok</w:t>
            </w:r>
            <w:r w:rsidR="00845C45" w:rsidRPr="00E90B9E">
              <w:rPr>
                <w:rFonts w:ascii="Times New Roman" w:hAnsi="Times New Roman"/>
                <w:color w:val="000000"/>
              </w:rPr>
              <w:t>umentów i zakres korespondencji oraz zminimalizować papierowy obieg dokumentacji.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:rsidR="0032660B" w:rsidRPr="00E90B9E" w:rsidRDefault="0032660B" w:rsidP="009964F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Zmiana nie będzie miała istotnego wpływu na rynek pracy.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32660B" w:rsidRPr="00E90B9E" w:rsidTr="009B1980">
        <w:trPr>
          <w:trHeight w:val="1031"/>
        </w:trPr>
        <w:tc>
          <w:tcPr>
            <w:tcW w:w="3433" w:type="dxa"/>
            <w:gridSpan w:val="6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</w:p>
        </w:tc>
        <w:tc>
          <w:tcPr>
            <w:tcW w:w="3670" w:type="dxa"/>
            <w:gridSpan w:val="12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671" w:type="dxa"/>
            <w:gridSpan w:val="10"/>
            <w:shd w:val="clear" w:color="auto" w:fill="FFFFFF"/>
          </w:tcPr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32660B" w:rsidRPr="00E90B9E" w:rsidRDefault="0032660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90B9E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D6B25">
              <w:rPr>
                <w:rFonts w:ascii="Times New Roman" w:hAnsi="Times New Roman"/>
                <w:color w:val="000000"/>
              </w:rPr>
            </w:r>
            <w:r w:rsidR="001D6B25">
              <w:rPr>
                <w:rFonts w:ascii="Times New Roman" w:hAnsi="Times New Roman"/>
                <w:color w:val="000000"/>
              </w:rPr>
              <w:fldChar w:fldCharType="separate"/>
            </w:r>
            <w:r w:rsidRPr="00E90B9E">
              <w:rPr>
                <w:rFonts w:ascii="Times New Roman" w:hAnsi="Times New Roman"/>
                <w:color w:val="000000"/>
              </w:rPr>
              <w:fldChar w:fldCharType="end"/>
            </w:r>
            <w:r w:rsidRPr="00E90B9E">
              <w:rPr>
                <w:rFonts w:ascii="Times New Roman" w:hAnsi="Times New Roman"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32660B" w:rsidRPr="00E90B9E" w:rsidTr="009B1980">
        <w:trPr>
          <w:trHeight w:val="712"/>
        </w:trPr>
        <w:tc>
          <w:tcPr>
            <w:tcW w:w="2166" w:type="dxa"/>
            <w:gridSpan w:val="2"/>
            <w:shd w:val="clear" w:color="auto" w:fill="FFFFFF"/>
            <w:vAlign w:val="center"/>
          </w:tcPr>
          <w:p w:rsidR="0032660B" w:rsidRPr="00E90B9E" w:rsidRDefault="0032660B" w:rsidP="009964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0B9E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08" w:type="dxa"/>
            <w:gridSpan w:val="26"/>
            <w:shd w:val="clear" w:color="auto" w:fill="FFFFFF"/>
            <w:vAlign w:val="center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Sprawniejsza i skuteczniejsza kontrola realizacji umów o udzielanie świadczeń opieki zdrowotnej przyczyni się do bardziej efektywnego wydatkowania środków publicznych, a w konsekwencji poprawy dostępności i do świadczeń oraz poprawy ich jakości.</w:t>
            </w:r>
          </w:p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Zakłada się poprawę dostępności oraz jakości świadczeń nocnej i świątecznej opieki zdrowotnej, przez umożliwienie realizacji tych świadczeń przez część szpitali ogólnopolskich, przy jednoczesnym umożliwieniu rezygnacji z ich udzielania przez szpitale monoprofilowe, niemające wystarczającego potencjału w tym zakresie, oraz dzięki umożliwieniu skoncentrowania potencjału szpitali pediatrycznych na udzielaniu ww. świadczeń dzieciom.</w:t>
            </w:r>
          </w:p>
          <w:p w:rsidR="00752A62" w:rsidRPr="00E90B9E" w:rsidRDefault="003577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 xml:space="preserve">Ujednolicenie zasad prowadzenia segregacji medycznej zwiększy bezpieczeństwo pacjentów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br/>
              <w:t>i poprawi komfort pracy personelu odpowiedzialnego za prawidłową ocenę stanu oraz zaopatrzenie chorych.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E90B9E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32660B" w:rsidRPr="00E90B9E" w:rsidTr="009B1980">
        <w:trPr>
          <w:trHeight w:val="1892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 w:rsidP="009964F8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>Wejście w życie przepisów umożliwi podjęcie przez Fundusz niezwłocznych prac w zakresie:</w:t>
            </w:r>
          </w:p>
          <w:p w:rsidR="0032660B" w:rsidRPr="00E90B9E" w:rsidRDefault="0032660B" w:rsidP="007C17F1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 xml:space="preserve">dostosowania struktury organizacyjnej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Pr="00E90B9E">
              <w:rPr>
                <w:rFonts w:ascii="Times New Roman" w:hAnsi="Times New Roman"/>
                <w:spacing w:val="-2"/>
              </w:rPr>
              <w:t xml:space="preserve"> do nowych regulacji w zakresie prowadzenia kontroli;</w:t>
            </w:r>
          </w:p>
          <w:p w:rsidR="0032660B" w:rsidRPr="00E90B9E" w:rsidRDefault="0032660B" w:rsidP="007C17F1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 xml:space="preserve">przeszeregowanie (wynagrodzenia, pracodawca) osób obecnie zatrudnionych w komórkach kontroli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Pr="00E90B9E">
              <w:rPr>
                <w:rFonts w:ascii="Times New Roman" w:hAnsi="Times New Roman"/>
                <w:spacing w:val="-2"/>
              </w:rPr>
              <w:t>;</w:t>
            </w:r>
          </w:p>
          <w:p w:rsidR="0032660B" w:rsidRPr="00E90B9E" w:rsidRDefault="0032660B" w:rsidP="007C17F1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>weryfikację obecnych i przygotowane nowych procedur kontrolnych oraz wzorców kontroli (dokumenty);</w:t>
            </w:r>
          </w:p>
          <w:p w:rsidR="00845C45" w:rsidRPr="00E90B9E" w:rsidRDefault="0032660B" w:rsidP="007C17F1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>przygotowanie i wdrożenie programów szkolenia i ce</w:t>
            </w:r>
            <w:r w:rsidR="00845C45" w:rsidRPr="00E90B9E">
              <w:rPr>
                <w:rFonts w:ascii="Times New Roman" w:hAnsi="Times New Roman"/>
                <w:spacing w:val="-2"/>
              </w:rPr>
              <w:t>rtyfikacji kadry kontrolerskiej;</w:t>
            </w:r>
          </w:p>
          <w:p w:rsidR="00845C45" w:rsidRPr="00E90B9E" w:rsidRDefault="00845C45" w:rsidP="007C17F1">
            <w:pPr>
              <w:pStyle w:val="Akapitzlist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 xml:space="preserve">dostosowanie systemów teleinformatycznych </w:t>
            </w:r>
            <w:r w:rsidR="00C43870" w:rsidRPr="00E90B9E">
              <w:rPr>
                <w:rFonts w:ascii="Times New Roman" w:hAnsi="Times New Roman"/>
                <w:color w:val="000000"/>
                <w:spacing w:val="-2"/>
              </w:rPr>
              <w:t>Funduszu</w:t>
            </w:r>
            <w:r w:rsidRPr="00E90B9E">
              <w:rPr>
                <w:rFonts w:ascii="Times New Roman" w:hAnsi="Times New Roman"/>
                <w:spacing w:val="-2"/>
              </w:rPr>
              <w:t xml:space="preserve"> do elektronizacji procesu kontroli.</w:t>
            </w:r>
          </w:p>
          <w:p w:rsidR="0032660B" w:rsidRPr="00E90B9E" w:rsidRDefault="0032660B" w:rsidP="0031130A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0B9E">
              <w:rPr>
                <w:rFonts w:ascii="Times New Roman" w:hAnsi="Times New Roman"/>
                <w:spacing w:val="-2"/>
              </w:rPr>
              <w:t xml:space="preserve">Zakłada się, że zakończenie realizacji ww. zadań zakończy się w </w:t>
            </w:r>
            <w:r w:rsidR="00F92D04" w:rsidRPr="00E90B9E">
              <w:rPr>
                <w:rFonts w:ascii="Times New Roman" w:hAnsi="Times New Roman"/>
                <w:spacing w:val="-2"/>
              </w:rPr>
              <w:t>okresie</w:t>
            </w:r>
            <w:r w:rsidRPr="00E90B9E">
              <w:rPr>
                <w:rFonts w:ascii="Times New Roman" w:hAnsi="Times New Roman"/>
                <w:spacing w:val="-2"/>
              </w:rPr>
              <w:t xml:space="preserve"> 12 miesięcy od wejścia w życie nowych regulacji.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90B9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90B9E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color w:val="000000"/>
                <w:spacing w:val="-2"/>
              </w:rPr>
              <w:t>Ewaluacja efektów będzie prowadzona sukcesywnie (corocznie) w oparci o następując</w:t>
            </w:r>
            <w:r w:rsidR="00F92D04" w:rsidRPr="00E90B9E">
              <w:rPr>
                <w:rFonts w:ascii="Times New Roman" w:hAnsi="Times New Roman"/>
                <w:color w:val="000000"/>
                <w:spacing w:val="-2"/>
              </w:rPr>
              <w:t xml:space="preserve">y miernik: </w:t>
            </w:r>
            <w:r w:rsidRPr="00E90B9E">
              <w:rPr>
                <w:rFonts w:ascii="Times New Roman" w:hAnsi="Times New Roman"/>
                <w:color w:val="000000"/>
                <w:spacing w:val="-2"/>
              </w:rPr>
              <w:t>liczba kontroli w danym roku w przeliczeniu na 1 etat kontrolerski (docelowy poziom 10 kontroli/1 etat kontrolerski powinien zostać osiągnięty w 4 roku od wprowadzenia zmiany).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:rsidR="0032660B" w:rsidRPr="00E90B9E" w:rsidRDefault="0032660B" w:rsidP="009964F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E90B9E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E90B9E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32660B" w:rsidRPr="00E90B9E" w:rsidTr="009B1980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:rsidR="0032660B" w:rsidRPr="00E90B9E" w:rsidRDefault="0032660B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i/>
                <w:color w:val="000000"/>
                <w:spacing w:val="-2"/>
              </w:rPr>
              <w:t xml:space="preserve">Tabela 1 </w:t>
            </w:r>
            <w:r w:rsidRPr="00E90B9E">
              <w:rPr>
                <w:rFonts w:ascii="Times New Roman" w:eastAsia="Times New Roman" w:hAnsi="Times New Roman"/>
                <w:color w:val="000000"/>
                <w:lang w:eastAsia="pl-PL"/>
              </w:rPr>
              <w:t>Kierunkowe parametry wyliczenia skutków wprowadzenia regulacji w okresie 10 lat od wejścia w życie zmian</w:t>
            </w:r>
          </w:p>
          <w:tbl>
            <w:tblPr>
              <w:tblW w:w="10446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22"/>
              <w:gridCol w:w="663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882"/>
            </w:tblGrid>
            <w:tr w:rsidR="0032660B" w:rsidRPr="00E90B9E" w:rsidTr="002A1837">
              <w:trPr>
                <w:trHeight w:val="300"/>
                <w:jc w:val="center"/>
              </w:trPr>
              <w:tc>
                <w:tcPr>
                  <w:tcW w:w="25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7924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lata</w:t>
                  </w:r>
                </w:p>
              </w:tc>
            </w:tr>
            <w:tr w:rsidR="0032660B" w:rsidRPr="00E90B9E" w:rsidTr="002A1837">
              <w:trPr>
                <w:trHeight w:val="300"/>
                <w:jc w:val="center"/>
              </w:trPr>
              <w:tc>
                <w:tcPr>
                  <w:tcW w:w="25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660B" w:rsidRPr="00E90B9E" w:rsidRDefault="0032660B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10</w:t>
                  </w:r>
                </w:p>
              </w:tc>
            </w:tr>
            <w:tr w:rsidR="0032660B" w:rsidRPr="00E90B9E" w:rsidTr="002A1837">
              <w:trPr>
                <w:trHeight w:val="300"/>
                <w:jc w:val="center"/>
              </w:trPr>
              <w:tc>
                <w:tcPr>
                  <w:tcW w:w="25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 w:rsidP="009964F8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 xml:space="preserve">liczba realizowanych umów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35 000</w:t>
                  </w:r>
                </w:p>
              </w:tc>
            </w:tr>
            <w:tr w:rsidR="000F19E5" w:rsidRPr="00E90B9E" w:rsidTr="000E1148">
              <w:trPr>
                <w:trHeight w:val="300"/>
                <w:jc w:val="center"/>
              </w:trPr>
              <w:tc>
                <w:tcPr>
                  <w:tcW w:w="25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E90B9E" w:rsidRDefault="000F19E5" w:rsidP="000F19E5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 xml:space="preserve">planowana liczba kontroli 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lang w:eastAsia="pl-PL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2049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2008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1967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1926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1844</w:t>
                  </w:r>
                </w:p>
              </w:tc>
            </w:tr>
            <w:tr w:rsidR="000F19E5" w:rsidRPr="00E90B9E" w:rsidTr="000E1148">
              <w:trPr>
                <w:trHeight w:val="300"/>
                <w:jc w:val="center"/>
              </w:trPr>
              <w:tc>
                <w:tcPr>
                  <w:tcW w:w="25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E90B9E" w:rsidRDefault="000F19E5" w:rsidP="000F19E5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lastRenderedPageBreak/>
                    <w:t>planowana liczba przeprowadzonych czynności sprawdzających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721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1 427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1 966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2 838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3 696</w:t>
                  </w:r>
                </w:p>
              </w:tc>
            </w:tr>
            <w:tr w:rsidR="000F19E5" w:rsidRPr="00E90B9E" w:rsidTr="000E1148">
              <w:trPr>
                <w:trHeight w:val="300"/>
                <w:jc w:val="center"/>
              </w:trPr>
              <w:tc>
                <w:tcPr>
                  <w:tcW w:w="25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0F19E5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planowana liczba zweryfikowanych umów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2 770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3 435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3 933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4 764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F19E5" w:rsidRPr="000F19E5" w:rsidRDefault="000F19E5" w:rsidP="000F19E5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0E1148">
                    <w:rPr>
                      <w:rFonts w:ascii="Times New Roman" w:hAnsi="Times New Roman"/>
                      <w:color w:val="000000"/>
                    </w:rPr>
                    <w:t>5 540</w:t>
                  </w:r>
                </w:p>
              </w:tc>
            </w:tr>
            <w:tr w:rsidR="0032660B" w:rsidRPr="00E90B9E" w:rsidTr="0070238A">
              <w:trPr>
                <w:trHeight w:val="353"/>
                <w:jc w:val="center"/>
              </w:trPr>
              <w:tc>
                <w:tcPr>
                  <w:tcW w:w="25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660B" w:rsidRPr="00E90B9E" w:rsidRDefault="0032660B" w:rsidP="009964F8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 xml:space="preserve">wzrost liczby </w:t>
                  </w:r>
                </w:p>
                <w:p w:rsidR="0032660B" w:rsidRPr="00E90B9E" w:rsidRDefault="0032660B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umów</w:t>
                  </w:r>
                  <w:r w:rsidR="003F19F5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 xml:space="preserve"> poddanych weryfikacji</w:t>
                  </w: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 xml:space="preserve"> (w stosunku do 2017)</w:t>
                  </w:r>
                </w:p>
              </w:tc>
              <w:tc>
                <w:tcPr>
                  <w:tcW w:w="6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721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1 386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1 884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2 715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2660B" w:rsidRPr="00E90B9E" w:rsidRDefault="0032660B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3 491</w:t>
                  </w:r>
                </w:p>
              </w:tc>
            </w:tr>
          </w:tbl>
          <w:p w:rsidR="0032660B" w:rsidRPr="00E90B9E" w:rsidRDefault="0032660B" w:rsidP="009964F8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</w:rPr>
            </w:pPr>
          </w:p>
          <w:p w:rsidR="00CF02AA" w:rsidRPr="00E90B9E" w:rsidRDefault="00CF02A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90B9E">
              <w:rPr>
                <w:rFonts w:ascii="Times New Roman" w:hAnsi="Times New Roman"/>
                <w:i/>
                <w:color w:val="000000"/>
                <w:spacing w:val="-2"/>
              </w:rPr>
              <w:t>Tabela 2</w:t>
            </w:r>
            <w:r w:rsidRPr="00E90B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Wyliczenie skutków finansowych w okresie 10 lat od wejścia w życie zmian</w:t>
            </w:r>
          </w:p>
          <w:tbl>
            <w:tblPr>
              <w:tblW w:w="10708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8"/>
              <w:gridCol w:w="1134"/>
              <w:gridCol w:w="1134"/>
              <w:gridCol w:w="1134"/>
              <w:gridCol w:w="1134"/>
              <w:gridCol w:w="1137"/>
              <w:gridCol w:w="1037"/>
            </w:tblGrid>
            <w:tr w:rsidR="00CF02AA" w:rsidRPr="00E90B9E" w:rsidTr="007C17F1">
              <w:trPr>
                <w:trHeight w:val="330"/>
                <w:jc w:val="center"/>
              </w:trPr>
              <w:tc>
                <w:tcPr>
                  <w:tcW w:w="39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67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lata</w:t>
                  </w:r>
                </w:p>
              </w:tc>
            </w:tr>
            <w:tr w:rsidR="00CF02AA" w:rsidRPr="00E90B9E" w:rsidTr="007C17F1">
              <w:trPr>
                <w:trHeight w:val="600"/>
                <w:jc w:val="center"/>
              </w:trPr>
              <w:tc>
                <w:tcPr>
                  <w:tcW w:w="39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2AA" w:rsidRPr="00E90B9E" w:rsidRDefault="00CF02AA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5-10</w:t>
                  </w: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br/>
                    <w:t>(rocznie)</w:t>
                  </w:r>
                </w:p>
              </w:tc>
            </w:tr>
            <w:tr w:rsidR="00974CB9" w:rsidRPr="00E90B9E" w:rsidTr="007C17F1">
              <w:trPr>
                <w:trHeight w:val="585"/>
                <w:jc w:val="center"/>
              </w:trPr>
              <w:tc>
                <w:tcPr>
                  <w:tcW w:w="3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4CB9" w:rsidRPr="00E90B9E" w:rsidRDefault="00974CB9" w:rsidP="009964F8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  <w:r w:rsidRPr="00E90B9E"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  <w:t>dodatkowe koszty wynagrodzeń wynikające ze zwiększenia efektywności wydatkowania środków publicznych pozostających w dyspozycji Funduszu (zł)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727 135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901 700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1 032 427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1 250 567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1 454 270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4CB9" w:rsidRPr="00E90B9E" w:rsidRDefault="00974CB9" w:rsidP="007C17F1">
                  <w:pPr>
                    <w:spacing w:line="240" w:lineRule="auto"/>
                    <w:jc w:val="right"/>
                    <w:rPr>
                      <w:rFonts w:ascii="Times New Roman" w:hAnsi="Times New Roman"/>
                      <w:color w:val="000000"/>
                    </w:rPr>
                  </w:pPr>
                  <w:r w:rsidRPr="00E90B9E">
                    <w:rPr>
                      <w:rFonts w:ascii="Times New Roman" w:hAnsi="Times New Roman"/>
                      <w:color w:val="000000"/>
                    </w:rPr>
                    <w:t>1 454 270</w:t>
                  </w:r>
                </w:p>
              </w:tc>
            </w:tr>
          </w:tbl>
          <w:p w:rsidR="00CF02AA" w:rsidRPr="00E90B9E" w:rsidRDefault="00CF02A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E90B9E" w:rsidRDefault="006176ED" w:rsidP="009964F8">
      <w:pPr>
        <w:pStyle w:val="Nagwek1"/>
        <w:rPr>
          <w:rFonts w:ascii="Times New Roman" w:hAnsi="Times New Roman" w:cs="Times New Roman"/>
          <w:sz w:val="22"/>
          <w:szCs w:val="22"/>
        </w:rPr>
      </w:pPr>
    </w:p>
    <w:sectPr w:rsidR="006176ED" w:rsidRPr="00E90B9E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B25" w:rsidRDefault="001D6B25" w:rsidP="00044739">
      <w:pPr>
        <w:spacing w:line="240" w:lineRule="auto"/>
      </w:pPr>
      <w:r>
        <w:separator/>
      </w:r>
    </w:p>
  </w:endnote>
  <w:endnote w:type="continuationSeparator" w:id="0">
    <w:p w:rsidR="001D6B25" w:rsidRDefault="001D6B2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B25" w:rsidRDefault="001D6B25" w:rsidP="00044739">
      <w:pPr>
        <w:spacing w:line="240" w:lineRule="auto"/>
      </w:pPr>
      <w:r>
        <w:separator/>
      </w:r>
    </w:p>
  </w:footnote>
  <w:footnote w:type="continuationSeparator" w:id="0">
    <w:p w:rsidR="001D6B25" w:rsidRDefault="001D6B25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669"/>
    <w:multiLevelType w:val="hybridMultilevel"/>
    <w:tmpl w:val="C9AA30D2"/>
    <w:lvl w:ilvl="0" w:tplc="07B400B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8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1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3D4C5F36"/>
    <w:multiLevelType w:val="hybridMultilevel"/>
    <w:tmpl w:val="C3BEE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130F5"/>
    <w:multiLevelType w:val="hybridMultilevel"/>
    <w:tmpl w:val="F0E0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6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57F172EB"/>
    <w:multiLevelType w:val="hybridMultilevel"/>
    <w:tmpl w:val="B5840CE2"/>
    <w:lvl w:ilvl="0" w:tplc="063A26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AA5430E"/>
    <w:multiLevelType w:val="hybridMultilevel"/>
    <w:tmpl w:val="63285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CE16BC"/>
    <w:multiLevelType w:val="hybridMultilevel"/>
    <w:tmpl w:val="A4C23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2"/>
  </w:num>
  <w:num w:numId="5">
    <w:abstractNumId w:val="2"/>
  </w:num>
  <w:num w:numId="6">
    <w:abstractNumId w:val="8"/>
  </w:num>
  <w:num w:numId="7">
    <w:abstractNumId w:val="14"/>
  </w:num>
  <w:num w:numId="8">
    <w:abstractNumId w:val="5"/>
  </w:num>
  <w:num w:numId="9">
    <w:abstractNumId w:val="16"/>
  </w:num>
  <w:num w:numId="10">
    <w:abstractNumId w:val="11"/>
  </w:num>
  <w:num w:numId="11">
    <w:abstractNumId w:val="15"/>
  </w:num>
  <w:num w:numId="12">
    <w:abstractNumId w:val="3"/>
  </w:num>
  <w:num w:numId="13">
    <w:abstractNumId w:val="10"/>
  </w:num>
  <w:num w:numId="14">
    <w:abstractNumId w:val="23"/>
  </w:num>
  <w:num w:numId="15">
    <w:abstractNumId w:val="18"/>
  </w:num>
  <w:num w:numId="16">
    <w:abstractNumId w:val="21"/>
  </w:num>
  <w:num w:numId="17">
    <w:abstractNumId w:val="6"/>
  </w:num>
  <w:num w:numId="18">
    <w:abstractNumId w:val="24"/>
  </w:num>
  <w:num w:numId="19">
    <w:abstractNumId w:val="26"/>
  </w:num>
  <w:num w:numId="20">
    <w:abstractNumId w:val="20"/>
  </w:num>
  <w:num w:numId="21">
    <w:abstractNumId w:val="7"/>
  </w:num>
  <w:num w:numId="22">
    <w:abstractNumId w:val="1"/>
  </w:num>
  <w:num w:numId="23">
    <w:abstractNumId w:val="12"/>
  </w:num>
  <w:num w:numId="24">
    <w:abstractNumId w:val="17"/>
  </w:num>
  <w:num w:numId="25">
    <w:abstractNumId w:val="25"/>
  </w:num>
  <w:num w:numId="26">
    <w:abstractNumId w:val="1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2273C"/>
    <w:rsid w:val="00023836"/>
    <w:rsid w:val="000317FF"/>
    <w:rsid w:val="000356A9"/>
    <w:rsid w:val="00044138"/>
    <w:rsid w:val="00044739"/>
    <w:rsid w:val="000470D3"/>
    <w:rsid w:val="00050106"/>
    <w:rsid w:val="00051637"/>
    <w:rsid w:val="00056681"/>
    <w:rsid w:val="00060558"/>
    <w:rsid w:val="000633CE"/>
    <w:rsid w:val="000648A7"/>
    <w:rsid w:val="0006618B"/>
    <w:rsid w:val="000670C0"/>
    <w:rsid w:val="00071B99"/>
    <w:rsid w:val="000756E5"/>
    <w:rsid w:val="00075767"/>
    <w:rsid w:val="0007704E"/>
    <w:rsid w:val="000774D1"/>
    <w:rsid w:val="00080EC8"/>
    <w:rsid w:val="0008756C"/>
    <w:rsid w:val="0009098A"/>
    <w:rsid w:val="000944AC"/>
    <w:rsid w:val="00094CB9"/>
    <w:rsid w:val="000956B2"/>
    <w:rsid w:val="00095F52"/>
    <w:rsid w:val="000969E7"/>
    <w:rsid w:val="000A23DE"/>
    <w:rsid w:val="000A2C0B"/>
    <w:rsid w:val="000A4020"/>
    <w:rsid w:val="000B2CD7"/>
    <w:rsid w:val="000B54FB"/>
    <w:rsid w:val="000B591E"/>
    <w:rsid w:val="000C1065"/>
    <w:rsid w:val="000C29B0"/>
    <w:rsid w:val="000C76FC"/>
    <w:rsid w:val="000D118B"/>
    <w:rsid w:val="000D38FC"/>
    <w:rsid w:val="000D4D90"/>
    <w:rsid w:val="000D7778"/>
    <w:rsid w:val="000E1148"/>
    <w:rsid w:val="000E2D10"/>
    <w:rsid w:val="000F19E5"/>
    <w:rsid w:val="000F234E"/>
    <w:rsid w:val="000F3204"/>
    <w:rsid w:val="000F4BB9"/>
    <w:rsid w:val="001029CC"/>
    <w:rsid w:val="0010548B"/>
    <w:rsid w:val="001072D1"/>
    <w:rsid w:val="00117017"/>
    <w:rsid w:val="00127113"/>
    <w:rsid w:val="0013045F"/>
    <w:rsid w:val="00130E8E"/>
    <w:rsid w:val="0013216E"/>
    <w:rsid w:val="001401B5"/>
    <w:rsid w:val="00141059"/>
    <w:rsid w:val="001422B9"/>
    <w:rsid w:val="001425EC"/>
    <w:rsid w:val="0014665F"/>
    <w:rsid w:val="00153464"/>
    <w:rsid w:val="001541B3"/>
    <w:rsid w:val="00155B15"/>
    <w:rsid w:val="001625BE"/>
    <w:rsid w:val="001643A4"/>
    <w:rsid w:val="00165D4D"/>
    <w:rsid w:val="001676B8"/>
    <w:rsid w:val="001727BB"/>
    <w:rsid w:val="00175817"/>
    <w:rsid w:val="00177FBB"/>
    <w:rsid w:val="00180D25"/>
    <w:rsid w:val="0018318D"/>
    <w:rsid w:val="0018572C"/>
    <w:rsid w:val="00187E79"/>
    <w:rsid w:val="00187F0D"/>
    <w:rsid w:val="00191C0E"/>
    <w:rsid w:val="00192CC5"/>
    <w:rsid w:val="00193A88"/>
    <w:rsid w:val="001955DE"/>
    <w:rsid w:val="001956A7"/>
    <w:rsid w:val="001A118A"/>
    <w:rsid w:val="001A27F4"/>
    <w:rsid w:val="001A2D95"/>
    <w:rsid w:val="001A3502"/>
    <w:rsid w:val="001B3460"/>
    <w:rsid w:val="001B4CA1"/>
    <w:rsid w:val="001B75D8"/>
    <w:rsid w:val="001C1060"/>
    <w:rsid w:val="001C3C63"/>
    <w:rsid w:val="001C4241"/>
    <w:rsid w:val="001D4732"/>
    <w:rsid w:val="001D6A3C"/>
    <w:rsid w:val="001D6B25"/>
    <w:rsid w:val="001D6D51"/>
    <w:rsid w:val="001E3BB0"/>
    <w:rsid w:val="001F1CA0"/>
    <w:rsid w:val="001F653A"/>
    <w:rsid w:val="001F6979"/>
    <w:rsid w:val="00202BC6"/>
    <w:rsid w:val="00205141"/>
    <w:rsid w:val="0020516B"/>
    <w:rsid w:val="00213559"/>
    <w:rsid w:val="00213EFD"/>
    <w:rsid w:val="0021657C"/>
    <w:rsid w:val="002172F1"/>
    <w:rsid w:val="00223C7B"/>
    <w:rsid w:val="00224AB1"/>
    <w:rsid w:val="0022687A"/>
    <w:rsid w:val="00230728"/>
    <w:rsid w:val="00234040"/>
    <w:rsid w:val="00235CD2"/>
    <w:rsid w:val="0025272D"/>
    <w:rsid w:val="00253733"/>
    <w:rsid w:val="00254DED"/>
    <w:rsid w:val="00255619"/>
    <w:rsid w:val="00255DAD"/>
    <w:rsid w:val="00256108"/>
    <w:rsid w:val="002565E6"/>
    <w:rsid w:val="00260F33"/>
    <w:rsid w:val="002613BD"/>
    <w:rsid w:val="002624F1"/>
    <w:rsid w:val="00266726"/>
    <w:rsid w:val="00270C81"/>
    <w:rsid w:val="00271558"/>
    <w:rsid w:val="002720CB"/>
    <w:rsid w:val="00274862"/>
    <w:rsid w:val="00275918"/>
    <w:rsid w:val="00277D64"/>
    <w:rsid w:val="00282D72"/>
    <w:rsid w:val="00283402"/>
    <w:rsid w:val="002854C3"/>
    <w:rsid w:val="00290FD6"/>
    <w:rsid w:val="002926EA"/>
    <w:rsid w:val="00294259"/>
    <w:rsid w:val="002A1837"/>
    <w:rsid w:val="002A2C81"/>
    <w:rsid w:val="002B0AF8"/>
    <w:rsid w:val="002B3D1A"/>
    <w:rsid w:val="002C27D0"/>
    <w:rsid w:val="002C2C9B"/>
    <w:rsid w:val="002C439B"/>
    <w:rsid w:val="002C762C"/>
    <w:rsid w:val="002D17D6"/>
    <w:rsid w:val="002D18D7"/>
    <w:rsid w:val="002D21CE"/>
    <w:rsid w:val="002D5097"/>
    <w:rsid w:val="002E0725"/>
    <w:rsid w:val="002E3DA3"/>
    <w:rsid w:val="002E450F"/>
    <w:rsid w:val="002E6B38"/>
    <w:rsid w:val="002E6D63"/>
    <w:rsid w:val="002E6E2B"/>
    <w:rsid w:val="002F113D"/>
    <w:rsid w:val="002F2FE0"/>
    <w:rsid w:val="002F3468"/>
    <w:rsid w:val="002F500B"/>
    <w:rsid w:val="00300991"/>
    <w:rsid w:val="00301959"/>
    <w:rsid w:val="00305B8A"/>
    <w:rsid w:val="003102C5"/>
    <w:rsid w:val="0031130A"/>
    <w:rsid w:val="0032660B"/>
    <w:rsid w:val="00326F74"/>
    <w:rsid w:val="00331BF9"/>
    <w:rsid w:val="003330F7"/>
    <w:rsid w:val="0033495E"/>
    <w:rsid w:val="00334A79"/>
    <w:rsid w:val="00334D8D"/>
    <w:rsid w:val="00337345"/>
    <w:rsid w:val="00337DD2"/>
    <w:rsid w:val="003404D1"/>
    <w:rsid w:val="003443FF"/>
    <w:rsid w:val="00352474"/>
    <w:rsid w:val="003554E9"/>
    <w:rsid w:val="00355808"/>
    <w:rsid w:val="00357759"/>
    <w:rsid w:val="00362C7E"/>
    <w:rsid w:val="00363309"/>
    <w:rsid w:val="00363601"/>
    <w:rsid w:val="00376AC9"/>
    <w:rsid w:val="00390559"/>
    <w:rsid w:val="00393032"/>
    <w:rsid w:val="00394B69"/>
    <w:rsid w:val="00396888"/>
    <w:rsid w:val="00397078"/>
    <w:rsid w:val="003A2547"/>
    <w:rsid w:val="003A6953"/>
    <w:rsid w:val="003A7385"/>
    <w:rsid w:val="003B0EAD"/>
    <w:rsid w:val="003B6083"/>
    <w:rsid w:val="003C2A91"/>
    <w:rsid w:val="003C3838"/>
    <w:rsid w:val="003C5847"/>
    <w:rsid w:val="003D0681"/>
    <w:rsid w:val="003D12F6"/>
    <w:rsid w:val="003D1426"/>
    <w:rsid w:val="003E0BF0"/>
    <w:rsid w:val="003E2F4E"/>
    <w:rsid w:val="003E720A"/>
    <w:rsid w:val="003F19F5"/>
    <w:rsid w:val="003F310E"/>
    <w:rsid w:val="00403BEB"/>
    <w:rsid w:val="00403E6E"/>
    <w:rsid w:val="0041090D"/>
    <w:rsid w:val="004127EC"/>
    <w:rsid w:val="004129B4"/>
    <w:rsid w:val="00417EF0"/>
    <w:rsid w:val="00422181"/>
    <w:rsid w:val="004244A8"/>
    <w:rsid w:val="00425F72"/>
    <w:rsid w:val="00427736"/>
    <w:rsid w:val="0044163B"/>
    <w:rsid w:val="00441787"/>
    <w:rsid w:val="00442C89"/>
    <w:rsid w:val="00444F2D"/>
    <w:rsid w:val="00451D50"/>
    <w:rsid w:val="00452034"/>
    <w:rsid w:val="0045362D"/>
    <w:rsid w:val="00455FA6"/>
    <w:rsid w:val="00457BF7"/>
    <w:rsid w:val="00466C70"/>
    <w:rsid w:val="004702C9"/>
    <w:rsid w:val="00472E45"/>
    <w:rsid w:val="00473FEA"/>
    <w:rsid w:val="00474E8A"/>
    <w:rsid w:val="0047579D"/>
    <w:rsid w:val="004807A0"/>
    <w:rsid w:val="00483262"/>
    <w:rsid w:val="00484107"/>
    <w:rsid w:val="00485CC5"/>
    <w:rsid w:val="0049343F"/>
    <w:rsid w:val="004964FC"/>
    <w:rsid w:val="004A0301"/>
    <w:rsid w:val="004A145E"/>
    <w:rsid w:val="004A1F15"/>
    <w:rsid w:val="004A2A81"/>
    <w:rsid w:val="004A3C17"/>
    <w:rsid w:val="004A7BD7"/>
    <w:rsid w:val="004B4D5F"/>
    <w:rsid w:val="004C15C2"/>
    <w:rsid w:val="004C36D8"/>
    <w:rsid w:val="004C6A0C"/>
    <w:rsid w:val="004D1248"/>
    <w:rsid w:val="004D1E3C"/>
    <w:rsid w:val="004D4169"/>
    <w:rsid w:val="004D6E14"/>
    <w:rsid w:val="004E01E1"/>
    <w:rsid w:val="004E400A"/>
    <w:rsid w:val="004F4E17"/>
    <w:rsid w:val="0050082F"/>
    <w:rsid w:val="00500C56"/>
    <w:rsid w:val="00501713"/>
    <w:rsid w:val="0050266D"/>
    <w:rsid w:val="00504382"/>
    <w:rsid w:val="00506568"/>
    <w:rsid w:val="0051551B"/>
    <w:rsid w:val="005202C1"/>
    <w:rsid w:val="00520C57"/>
    <w:rsid w:val="00522D94"/>
    <w:rsid w:val="00527A69"/>
    <w:rsid w:val="00533D89"/>
    <w:rsid w:val="00536564"/>
    <w:rsid w:val="00544597"/>
    <w:rsid w:val="00544FFE"/>
    <w:rsid w:val="005473F5"/>
    <w:rsid w:val="005477E7"/>
    <w:rsid w:val="00552794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0269"/>
    <w:rsid w:val="005843AC"/>
    <w:rsid w:val="00595A28"/>
    <w:rsid w:val="00595E83"/>
    <w:rsid w:val="00596530"/>
    <w:rsid w:val="005967F3"/>
    <w:rsid w:val="005A06DF"/>
    <w:rsid w:val="005A3187"/>
    <w:rsid w:val="005A5527"/>
    <w:rsid w:val="005A5AE6"/>
    <w:rsid w:val="005B1206"/>
    <w:rsid w:val="005B37E8"/>
    <w:rsid w:val="005C0056"/>
    <w:rsid w:val="005C4E4E"/>
    <w:rsid w:val="005D0C24"/>
    <w:rsid w:val="005D16C0"/>
    <w:rsid w:val="005D246E"/>
    <w:rsid w:val="005D61D6"/>
    <w:rsid w:val="005E0D13"/>
    <w:rsid w:val="005E1378"/>
    <w:rsid w:val="005E5047"/>
    <w:rsid w:val="005E7205"/>
    <w:rsid w:val="005E7371"/>
    <w:rsid w:val="005E7B2A"/>
    <w:rsid w:val="005F116C"/>
    <w:rsid w:val="005F2131"/>
    <w:rsid w:val="00602293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4BD"/>
    <w:rsid w:val="00624508"/>
    <w:rsid w:val="00627221"/>
    <w:rsid w:val="00627EE8"/>
    <w:rsid w:val="006316FA"/>
    <w:rsid w:val="006370D2"/>
    <w:rsid w:val="0064074F"/>
    <w:rsid w:val="00641F55"/>
    <w:rsid w:val="00642935"/>
    <w:rsid w:val="0064499F"/>
    <w:rsid w:val="00645E4A"/>
    <w:rsid w:val="00653688"/>
    <w:rsid w:val="006548E1"/>
    <w:rsid w:val="0066091B"/>
    <w:rsid w:val="006660E9"/>
    <w:rsid w:val="00667249"/>
    <w:rsid w:val="00667558"/>
    <w:rsid w:val="00671523"/>
    <w:rsid w:val="0067187F"/>
    <w:rsid w:val="006754EF"/>
    <w:rsid w:val="00676C8D"/>
    <w:rsid w:val="00676F1F"/>
    <w:rsid w:val="00677381"/>
    <w:rsid w:val="00677414"/>
    <w:rsid w:val="00677F5B"/>
    <w:rsid w:val="006832CF"/>
    <w:rsid w:val="0068447E"/>
    <w:rsid w:val="0068601E"/>
    <w:rsid w:val="0069486B"/>
    <w:rsid w:val="006970A4"/>
    <w:rsid w:val="006A4904"/>
    <w:rsid w:val="006A548F"/>
    <w:rsid w:val="006A6026"/>
    <w:rsid w:val="006A701A"/>
    <w:rsid w:val="006B07B6"/>
    <w:rsid w:val="006B64DC"/>
    <w:rsid w:val="006B7A91"/>
    <w:rsid w:val="006C1020"/>
    <w:rsid w:val="006D1C8E"/>
    <w:rsid w:val="006D2C83"/>
    <w:rsid w:val="006D4704"/>
    <w:rsid w:val="006D6A2D"/>
    <w:rsid w:val="006E1E18"/>
    <w:rsid w:val="006E31CE"/>
    <w:rsid w:val="006E34D3"/>
    <w:rsid w:val="006F1435"/>
    <w:rsid w:val="006F3548"/>
    <w:rsid w:val="006F503B"/>
    <w:rsid w:val="006F78C4"/>
    <w:rsid w:val="0070238A"/>
    <w:rsid w:val="007024B3"/>
    <w:rsid w:val="007031A0"/>
    <w:rsid w:val="00705A29"/>
    <w:rsid w:val="00707498"/>
    <w:rsid w:val="0071024A"/>
    <w:rsid w:val="00711A65"/>
    <w:rsid w:val="007138FB"/>
    <w:rsid w:val="00714133"/>
    <w:rsid w:val="00714474"/>
    <w:rsid w:val="00714DA4"/>
    <w:rsid w:val="007158B2"/>
    <w:rsid w:val="00716081"/>
    <w:rsid w:val="00722B48"/>
    <w:rsid w:val="00724164"/>
    <w:rsid w:val="00724679"/>
    <w:rsid w:val="00725DE7"/>
    <w:rsid w:val="0072636A"/>
    <w:rsid w:val="00726B44"/>
    <w:rsid w:val="007318DD"/>
    <w:rsid w:val="00733167"/>
    <w:rsid w:val="00735311"/>
    <w:rsid w:val="00740D2C"/>
    <w:rsid w:val="00744BF9"/>
    <w:rsid w:val="0075137A"/>
    <w:rsid w:val="00752623"/>
    <w:rsid w:val="00752951"/>
    <w:rsid w:val="00752A62"/>
    <w:rsid w:val="00760F1F"/>
    <w:rsid w:val="0076423E"/>
    <w:rsid w:val="007646CB"/>
    <w:rsid w:val="0076658F"/>
    <w:rsid w:val="0077040A"/>
    <w:rsid w:val="007723AD"/>
    <w:rsid w:val="00772D64"/>
    <w:rsid w:val="007761B5"/>
    <w:rsid w:val="00785901"/>
    <w:rsid w:val="00785AD2"/>
    <w:rsid w:val="00792609"/>
    <w:rsid w:val="00792887"/>
    <w:rsid w:val="0079356B"/>
    <w:rsid w:val="007943E2"/>
    <w:rsid w:val="00794F2C"/>
    <w:rsid w:val="007979AC"/>
    <w:rsid w:val="007A2DB1"/>
    <w:rsid w:val="007A3BC7"/>
    <w:rsid w:val="007A5AC4"/>
    <w:rsid w:val="007B0FDD"/>
    <w:rsid w:val="007B4802"/>
    <w:rsid w:val="007B6668"/>
    <w:rsid w:val="007B6B33"/>
    <w:rsid w:val="007C17F1"/>
    <w:rsid w:val="007C1D5C"/>
    <w:rsid w:val="007C2701"/>
    <w:rsid w:val="007C4A2B"/>
    <w:rsid w:val="007C5379"/>
    <w:rsid w:val="007D2192"/>
    <w:rsid w:val="007F0021"/>
    <w:rsid w:val="007F2F52"/>
    <w:rsid w:val="007F4877"/>
    <w:rsid w:val="007F5B4D"/>
    <w:rsid w:val="00801F71"/>
    <w:rsid w:val="00805F28"/>
    <w:rsid w:val="0080749F"/>
    <w:rsid w:val="00811D46"/>
    <w:rsid w:val="008125B0"/>
    <w:rsid w:val="008144CB"/>
    <w:rsid w:val="00821717"/>
    <w:rsid w:val="00824210"/>
    <w:rsid w:val="008263C0"/>
    <w:rsid w:val="00827FF7"/>
    <w:rsid w:val="00841422"/>
    <w:rsid w:val="00841D3B"/>
    <w:rsid w:val="0084314C"/>
    <w:rsid w:val="00843171"/>
    <w:rsid w:val="008436C9"/>
    <w:rsid w:val="00845C45"/>
    <w:rsid w:val="00846986"/>
    <w:rsid w:val="008575C3"/>
    <w:rsid w:val="00863D28"/>
    <w:rsid w:val="008648C3"/>
    <w:rsid w:val="00865E9D"/>
    <w:rsid w:val="00880F26"/>
    <w:rsid w:val="0088588C"/>
    <w:rsid w:val="0089014C"/>
    <w:rsid w:val="008907D4"/>
    <w:rsid w:val="00894D4F"/>
    <w:rsid w:val="00896C2E"/>
    <w:rsid w:val="008A34A6"/>
    <w:rsid w:val="008A5095"/>
    <w:rsid w:val="008A608F"/>
    <w:rsid w:val="008B1A9A"/>
    <w:rsid w:val="008B4B60"/>
    <w:rsid w:val="008B4FE6"/>
    <w:rsid w:val="008B6C37"/>
    <w:rsid w:val="008C1CB5"/>
    <w:rsid w:val="008C69BB"/>
    <w:rsid w:val="008D2A50"/>
    <w:rsid w:val="008D35A5"/>
    <w:rsid w:val="008D6410"/>
    <w:rsid w:val="008E18F7"/>
    <w:rsid w:val="008E1E10"/>
    <w:rsid w:val="008E291B"/>
    <w:rsid w:val="008E4F2F"/>
    <w:rsid w:val="008E5CEC"/>
    <w:rsid w:val="008E74B0"/>
    <w:rsid w:val="008F1301"/>
    <w:rsid w:val="008F19BE"/>
    <w:rsid w:val="008F73E2"/>
    <w:rsid w:val="009008A8"/>
    <w:rsid w:val="009063B0"/>
    <w:rsid w:val="00907106"/>
    <w:rsid w:val="009107FD"/>
    <w:rsid w:val="0091137C"/>
    <w:rsid w:val="00911567"/>
    <w:rsid w:val="00917AAE"/>
    <w:rsid w:val="009251A9"/>
    <w:rsid w:val="00930699"/>
    <w:rsid w:val="00931F69"/>
    <w:rsid w:val="00934123"/>
    <w:rsid w:val="00937C41"/>
    <w:rsid w:val="00943594"/>
    <w:rsid w:val="00950BAA"/>
    <w:rsid w:val="00955774"/>
    <w:rsid w:val="009560B5"/>
    <w:rsid w:val="00964328"/>
    <w:rsid w:val="009665DE"/>
    <w:rsid w:val="009703D6"/>
    <w:rsid w:val="0097181B"/>
    <w:rsid w:val="00974CB9"/>
    <w:rsid w:val="00976DC5"/>
    <w:rsid w:val="0098066C"/>
    <w:rsid w:val="009818C7"/>
    <w:rsid w:val="00982DD4"/>
    <w:rsid w:val="009841E5"/>
    <w:rsid w:val="0098479F"/>
    <w:rsid w:val="00984801"/>
    <w:rsid w:val="00984A8A"/>
    <w:rsid w:val="009857B6"/>
    <w:rsid w:val="00985A8D"/>
    <w:rsid w:val="00986610"/>
    <w:rsid w:val="009877DC"/>
    <w:rsid w:val="00991F96"/>
    <w:rsid w:val="009964F8"/>
    <w:rsid w:val="00996F0A"/>
    <w:rsid w:val="009A1D86"/>
    <w:rsid w:val="009A22F3"/>
    <w:rsid w:val="009B049C"/>
    <w:rsid w:val="009B11C8"/>
    <w:rsid w:val="009B1980"/>
    <w:rsid w:val="009B2BCF"/>
    <w:rsid w:val="009B2FF8"/>
    <w:rsid w:val="009B5BA3"/>
    <w:rsid w:val="009C3A19"/>
    <w:rsid w:val="009C4C55"/>
    <w:rsid w:val="009C58FB"/>
    <w:rsid w:val="009D0027"/>
    <w:rsid w:val="009D0655"/>
    <w:rsid w:val="009D368E"/>
    <w:rsid w:val="009E1E98"/>
    <w:rsid w:val="009E3ABE"/>
    <w:rsid w:val="009E3C4B"/>
    <w:rsid w:val="009F0637"/>
    <w:rsid w:val="009F62A6"/>
    <w:rsid w:val="009F674F"/>
    <w:rsid w:val="009F799E"/>
    <w:rsid w:val="00A02020"/>
    <w:rsid w:val="00A05215"/>
    <w:rsid w:val="00A056CB"/>
    <w:rsid w:val="00A076D5"/>
    <w:rsid w:val="00A07A29"/>
    <w:rsid w:val="00A10FF1"/>
    <w:rsid w:val="00A12295"/>
    <w:rsid w:val="00A1506B"/>
    <w:rsid w:val="00A17CB2"/>
    <w:rsid w:val="00A23191"/>
    <w:rsid w:val="00A319C0"/>
    <w:rsid w:val="00A33560"/>
    <w:rsid w:val="00A364E4"/>
    <w:rsid w:val="00A371A5"/>
    <w:rsid w:val="00A4405C"/>
    <w:rsid w:val="00A47BDF"/>
    <w:rsid w:val="00A47E93"/>
    <w:rsid w:val="00A51CD7"/>
    <w:rsid w:val="00A52ADB"/>
    <w:rsid w:val="00A533E8"/>
    <w:rsid w:val="00A542D9"/>
    <w:rsid w:val="00A56E64"/>
    <w:rsid w:val="00A57B5A"/>
    <w:rsid w:val="00A6142E"/>
    <w:rsid w:val="00A624C3"/>
    <w:rsid w:val="00A62E78"/>
    <w:rsid w:val="00A63308"/>
    <w:rsid w:val="00A6641C"/>
    <w:rsid w:val="00A7165E"/>
    <w:rsid w:val="00A767D2"/>
    <w:rsid w:val="00A77616"/>
    <w:rsid w:val="00A805DA"/>
    <w:rsid w:val="00A811B4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B4F3C"/>
    <w:rsid w:val="00AC06E8"/>
    <w:rsid w:val="00AC746C"/>
    <w:rsid w:val="00AD14F9"/>
    <w:rsid w:val="00AD35D6"/>
    <w:rsid w:val="00AD58C5"/>
    <w:rsid w:val="00AD5F39"/>
    <w:rsid w:val="00AE1C76"/>
    <w:rsid w:val="00AE36C4"/>
    <w:rsid w:val="00AE472C"/>
    <w:rsid w:val="00AE5375"/>
    <w:rsid w:val="00AE6CF8"/>
    <w:rsid w:val="00AF1D4D"/>
    <w:rsid w:val="00AF4CAC"/>
    <w:rsid w:val="00B03E0D"/>
    <w:rsid w:val="00B054F8"/>
    <w:rsid w:val="00B111FC"/>
    <w:rsid w:val="00B2219A"/>
    <w:rsid w:val="00B2539F"/>
    <w:rsid w:val="00B27910"/>
    <w:rsid w:val="00B31046"/>
    <w:rsid w:val="00B3581B"/>
    <w:rsid w:val="00B36B81"/>
    <w:rsid w:val="00B36F38"/>
    <w:rsid w:val="00B36FEE"/>
    <w:rsid w:val="00B37C80"/>
    <w:rsid w:val="00B5092B"/>
    <w:rsid w:val="00B510CF"/>
    <w:rsid w:val="00B5194E"/>
    <w:rsid w:val="00B51AF5"/>
    <w:rsid w:val="00B531FC"/>
    <w:rsid w:val="00B55347"/>
    <w:rsid w:val="00B57E5E"/>
    <w:rsid w:val="00B61F37"/>
    <w:rsid w:val="00B765DD"/>
    <w:rsid w:val="00B7730D"/>
    <w:rsid w:val="00B7770F"/>
    <w:rsid w:val="00B77A89"/>
    <w:rsid w:val="00B77B27"/>
    <w:rsid w:val="00B80A73"/>
    <w:rsid w:val="00B8134E"/>
    <w:rsid w:val="00B81B55"/>
    <w:rsid w:val="00B84613"/>
    <w:rsid w:val="00B867FF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A7870"/>
    <w:rsid w:val="00BB0DCA"/>
    <w:rsid w:val="00BB2666"/>
    <w:rsid w:val="00BB52B1"/>
    <w:rsid w:val="00BB6B80"/>
    <w:rsid w:val="00BB7B6E"/>
    <w:rsid w:val="00BC3773"/>
    <w:rsid w:val="00BC381A"/>
    <w:rsid w:val="00BC3A1A"/>
    <w:rsid w:val="00BD0962"/>
    <w:rsid w:val="00BD1EED"/>
    <w:rsid w:val="00BF0DA2"/>
    <w:rsid w:val="00BF109C"/>
    <w:rsid w:val="00BF34FA"/>
    <w:rsid w:val="00C004B6"/>
    <w:rsid w:val="00C02E63"/>
    <w:rsid w:val="00C047A7"/>
    <w:rsid w:val="00C05DE5"/>
    <w:rsid w:val="00C25306"/>
    <w:rsid w:val="00C26ED8"/>
    <w:rsid w:val="00C33027"/>
    <w:rsid w:val="00C365C0"/>
    <w:rsid w:val="00C37667"/>
    <w:rsid w:val="00C41D8B"/>
    <w:rsid w:val="00C435DB"/>
    <w:rsid w:val="00C43870"/>
    <w:rsid w:val="00C44D73"/>
    <w:rsid w:val="00C50B42"/>
    <w:rsid w:val="00C516FF"/>
    <w:rsid w:val="00C52BFA"/>
    <w:rsid w:val="00C53D1D"/>
    <w:rsid w:val="00C53F26"/>
    <w:rsid w:val="00C540BC"/>
    <w:rsid w:val="00C62CE9"/>
    <w:rsid w:val="00C63C5D"/>
    <w:rsid w:val="00C64F7D"/>
    <w:rsid w:val="00C67309"/>
    <w:rsid w:val="00C7614E"/>
    <w:rsid w:val="00C77BF1"/>
    <w:rsid w:val="00C80D60"/>
    <w:rsid w:val="00C82FBD"/>
    <w:rsid w:val="00C84689"/>
    <w:rsid w:val="00C85267"/>
    <w:rsid w:val="00C85E60"/>
    <w:rsid w:val="00C8721B"/>
    <w:rsid w:val="00C9155B"/>
    <w:rsid w:val="00C9372C"/>
    <w:rsid w:val="00C9470E"/>
    <w:rsid w:val="00C95CEB"/>
    <w:rsid w:val="00CA1054"/>
    <w:rsid w:val="00CA63EB"/>
    <w:rsid w:val="00CA69F1"/>
    <w:rsid w:val="00CB2A2F"/>
    <w:rsid w:val="00CB6991"/>
    <w:rsid w:val="00CC6194"/>
    <w:rsid w:val="00CC6305"/>
    <w:rsid w:val="00CC78A5"/>
    <w:rsid w:val="00CD0516"/>
    <w:rsid w:val="00CD1705"/>
    <w:rsid w:val="00CD756B"/>
    <w:rsid w:val="00CE580B"/>
    <w:rsid w:val="00CE5E33"/>
    <w:rsid w:val="00CE734F"/>
    <w:rsid w:val="00CF02AA"/>
    <w:rsid w:val="00CF112E"/>
    <w:rsid w:val="00CF2B50"/>
    <w:rsid w:val="00CF5F4F"/>
    <w:rsid w:val="00CF7BFB"/>
    <w:rsid w:val="00D0235C"/>
    <w:rsid w:val="00D077AD"/>
    <w:rsid w:val="00D07CA7"/>
    <w:rsid w:val="00D10C35"/>
    <w:rsid w:val="00D1513C"/>
    <w:rsid w:val="00D218DC"/>
    <w:rsid w:val="00D24E56"/>
    <w:rsid w:val="00D31643"/>
    <w:rsid w:val="00D31AEB"/>
    <w:rsid w:val="00D32ECD"/>
    <w:rsid w:val="00D361E4"/>
    <w:rsid w:val="00D40F78"/>
    <w:rsid w:val="00D42A8F"/>
    <w:rsid w:val="00D439F6"/>
    <w:rsid w:val="00D459C6"/>
    <w:rsid w:val="00D50729"/>
    <w:rsid w:val="00D50C19"/>
    <w:rsid w:val="00D5379E"/>
    <w:rsid w:val="00D600D8"/>
    <w:rsid w:val="00D62643"/>
    <w:rsid w:val="00D64C0F"/>
    <w:rsid w:val="00D72EFE"/>
    <w:rsid w:val="00D749ED"/>
    <w:rsid w:val="00D74D94"/>
    <w:rsid w:val="00D75FC5"/>
    <w:rsid w:val="00D76227"/>
    <w:rsid w:val="00D77DF1"/>
    <w:rsid w:val="00D86AFF"/>
    <w:rsid w:val="00D93D4C"/>
    <w:rsid w:val="00D94D3D"/>
    <w:rsid w:val="00D95A44"/>
    <w:rsid w:val="00D95D16"/>
    <w:rsid w:val="00D96FEC"/>
    <w:rsid w:val="00D97C76"/>
    <w:rsid w:val="00DA6F19"/>
    <w:rsid w:val="00DB02B4"/>
    <w:rsid w:val="00DB538D"/>
    <w:rsid w:val="00DC1E42"/>
    <w:rsid w:val="00DC275C"/>
    <w:rsid w:val="00DC4B0D"/>
    <w:rsid w:val="00DC7FE1"/>
    <w:rsid w:val="00DD3297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36B"/>
    <w:rsid w:val="00E214F2"/>
    <w:rsid w:val="00E2371E"/>
    <w:rsid w:val="00E24BD7"/>
    <w:rsid w:val="00E26523"/>
    <w:rsid w:val="00E26809"/>
    <w:rsid w:val="00E3412D"/>
    <w:rsid w:val="00E35D1E"/>
    <w:rsid w:val="00E41AE3"/>
    <w:rsid w:val="00E504B1"/>
    <w:rsid w:val="00E57322"/>
    <w:rsid w:val="00E6001E"/>
    <w:rsid w:val="00E60152"/>
    <w:rsid w:val="00E628CB"/>
    <w:rsid w:val="00E62AD9"/>
    <w:rsid w:val="00E638C8"/>
    <w:rsid w:val="00E746A5"/>
    <w:rsid w:val="00E7509B"/>
    <w:rsid w:val="00E82C04"/>
    <w:rsid w:val="00E86590"/>
    <w:rsid w:val="00E907FF"/>
    <w:rsid w:val="00E90B9E"/>
    <w:rsid w:val="00EA0B77"/>
    <w:rsid w:val="00EA1523"/>
    <w:rsid w:val="00EA42D1"/>
    <w:rsid w:val="00EA42EF"/>
    <w:rsid w:val="00EB1C6F"/>
    <w:rsid w:val="00EB2B55"/>
    <w:rsid w:val="00EB2DD1"/>
    <w:rsid w:val="00EB41D4"/>
    <w:rsid w:val="00EB6B37"/>
    <w:rsid w:val="00EC05FB"/>
    <w:rsid w:val="00EC29FE"/>
    <w:rsid w:val="00EC3C70"/>
    <w:rsid w:val="00EC6408"/>
    <w:rsid w:val="00ED19F2"/>
    <w:rsid w:val="00ED3A3D"/>
    <w:rsid w:val="00ED538A"/>
    <w:rsid w:val="00ED6FBC"/>
    <w:rsid w:val="00EE2F16"/>
    <w:rsid w:val="00EE3861"/>
    <w:rsid w:val="00EF0457"/>
    <w:rsid w:val="00EF2E73"/>
    <w:rsid w:val="00EF7683"/>
    <w:rsid w:val="00EF7A2D"/>
    <w:rsid w:val="00F01930"/>
    <w:rsid w:val="00F04F8D"/>
    <w:rsid w:val="00F0721F"/>
    <w:rsid w:val="00F10A5A"/>
    <w:rsid w:val="00F10AD0"/>
    <w:rsid w:val="00F116CC"/>
    <w:rsid w:val="00F12BD1"/>
    <w:rsid w:val="00F14477"/>
    <w:rsid w:val="00F15327"/>
    <w:rsid w:val="00F168CF"/>
    <w:rsid w:val="00F24952"/>
    <w:rsid w:val="00F2549B"/>
    <w:rsid w:val="00F2555C"/>
    <w:rsid w:val="00F267C8"/>
    <w:rsid w:val="00F27DB1"/>
    <w:rsid w:val="00F31DF3"/>
    <w:rsid w:val="00F33AE5"/>
    <w:rsid w:val="00F3597D"/>
    <w:rsid w:val="00F3664A"/>
    <w:rsid w:val="00F435C8"/>
    <w:rsid w:val="00F4376D"/>
    <w:rsid w:val="00F45399"/>
    <w:rsid w:val="00F465EA"/>
    <w:rsid w:val="00F46EDF"/>
    <w:rsid w:val="00F53CDF"/>
    <w:rsid w:val="00F54E7B"/>
    <w:rsid w:val="00F55A88"/>
    <w:rsid w:val="00F613A4"/>
    <w:rsid w:val="00F658B2"/>
    <w:rsid w:val="00F703D3"/>
    <w:rsid w:val="00F74005"/>
    <w:rsid w:val="00F76864"/>
    <w:rsid w:val="00F76884"/>
    <w:rsid w:val="00F83D24"/>
    <w:rsid w:val="00F83DD9"/>
    <w:rsid w:val="00F83F40"/>
    <w:rsid w:val="00F8513D"/>
    <w:rsid w:val="00F86BC0"/>
    <w:rsid w:val="00F92D04"/>
    <w:rsid w:val="00FA117A"/>
    <w:rsid w:val="00FB2722"/>
    <w:rsid w:val="00FB386A"/>
    <w:rsid w:val="00FC0786"/>
    <w:rsid w:val="00FC49EF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F613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4BB5-F079-4A56-97A4-51337138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4202</Words>
  <Characters>25214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29358</CharactersWithSpaces>
  <SharedDoc>false</SharedDoc>
  <HLinks>
    <vt:vector size="12" baseType="variant">
      <vt:variant>
        <vt:i4>1638433</vt:i4>
      </vt:variant>
      <vt:variant>
        <vt:i4>91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88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2018-12-10T15:45:00Z</dcterms:created>
  <dcterms:modified xsi:type="dcterms:W3CDTF">2018-12-12T06:44:00Z</dcterms:modified>
</cp:coreProperties>
</file>