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1CC7" w14:textId="744555C1" w:rsidR="00A2014C" w:rsidRPr="0040777C" w:rsidRDefault="00A64192" w:rsidP="00350486">
      <w:pPr>
        <w:spacing w:before="120" w:after="120" w:line="360" w:lineRule="auto"/>
        <w:rPr>
          <w:rFonts w:cstheme="minorHAnsi"/>
          <w:b/>
          <w:sz w:val="24"/>
          <w:szCs w:val="24"/>
        </w:rPr>
      </w:pPr>
      <w:r>
        <w:rPr>
          <w:rFonts w:cstheme="minorHAnsi"/>
          <w:b/>
          <w:sz w:val="24"/>
          <w:szCs w:val="24"/>
        </w:rPr>
        <w:t>Z</w:t>
      </w:r>
      <w:r w:rsidR="00CE560C" w:rsidRPr="00350486">
        <w:rPr>
          <w:rFonts w:cstheme="minorHAnsi"/>
          <w:b/>
          <w:sz w:val="24"/>
          <w:szCs w:val="24"/>
        </w:rPr>
        <w:t xml:space="preserve">ałącznik </w:t>
      </w:r>
      <w:r w:rsidR="00D76D55" w:rsidRPr="00350486">
        <w:rPr>
          <w:rFonts w:cstheme="minorHAnsi"/>
          <w:b/>
          <w:sz w:val="24"/>
          <w:szCs w:val="24"/>
        </w:rPr>
        <w:t xml:space="preserve">nr </w:t>
      </w:r>
      <w:r w:rsidR="00980C7C">
        <w:rPr>
          <w:rFonts w:cstheme="minorHAnsi"/>
          <w:b/>
          <w:sz w:val="24"/>
          <w:szCs w:val="24"/>
        </w:rPr>
        <w:t>7</w:t>
      </w:r>
      <w:r w:rsidR="00D76D55" w:rsidRPr="00350486">
        <w:rPr>
          <w:rFonts w:cstheme="minorHAnsi"/>
          <w:b/>
          <w:sz w:val="24"/>
          <w:szCs w:val="24"/>
        </w:rPr>
        <w:t xml:space="preserve"> </w:t>
      </w:r>
      <w:r w:rsidR="00CE560C" w:rsidRPr="00350486">
        <w:rPr>
          <w:rFonts w:cstheme="minorHAnsi"/>
          <w:b/>
          <w:sz w:val="24"/>
          <w:szCs w:val="24"/>
        </w:rPr>
        <w:t xml:space="preserve">do </w:t>
      </w:r>
      <w:r>
        <w:rPr>
          <w:rFonts w:cstheme="minorHAnsi"/>
          <w:b/>
          <w:sz w:val="24"/>
          <w:szCs w:val="24"/>
        </w:rPr>
        <w:t>R</w:t>
      </w:r>
      <w:r w:rsidR="00984444" w:rsidRPr="0040777C">
        <w:rPr>
          <w:rFonts w:cstheme="minorHAnsi"/>
          <w:b/>
          <w:sz w:val="24"/>
          <w:szCs w:val="24"/>
        </w:rPr>
        <w:t>egulaminu</w:t>
      </w:r>
    </w:p>
    <w:p w14:paraId="6F1824CA" w14:textId="77777777" w:rsidR="003945F8" w:rsidRPr="0040777C" w:rsidRDefault="003945F8" w:rsidP="00350486">
      <w:pPr>
        <w:spacing w:before="120" w:after="120" w:line="360" w:lineRule="auto"/>
        <w:rPr>
          <w:rFonts w:cstheme="minorHAnsi"/>
          <w:b/>
          <w:sz w:val="24"/>
          <w:szCs w:val="24"/>
        </w:rPr>
      </w:pPr>
    </w:p>
    <w:p w14:paraId="4330F30A" w14:textId="61ED7E6E" w:rsidR="00CE560C" w:rsidRPr="0040777C" w:rsidRDefault="00A60C66" w:rsidP="00350486">
      <w:pPr>
        <w:spacing w:before="120" w:after="120" w:line="360" w:lineRule="auto"/>
        <w:rPr>
          <w:rFonts w:cstheme="minorHAnsi"/>
          <w:b/>
          <w:i/>
          <w:sz w:val="24"/>
          <w:szCs w:val="24"/>
        </w:rPr>
      </w:pPr>
      <w:r w:rsidRPr="0040777C">
        <w:rPr>
          <w:rFonts w:cstheme="minorHAnsi"/>
          <w:b/>
          <w:sz w:val="24"/>
          <w:szCs w:val="24"/>
        </w:rPr>
        <w:t xml:space="preserve">Dodatkowe warunki dotyczące kwalifikowalności w uzupełnieniu do </w:t>
      </w:r>
      <w:r w:rsidRPr="0040777C">
        <w:rPr>
          <w:rFonts w:cstheme="minorHAnsi"/>
          <w:b/>
          <w:i/>
          <w:sz w:val="24"/>
          <w:szCs w:val="24"/>
        </w:rPr>
        <w:t>Wytycznych dotyczących kwalifikowalności wydatków na lata 2021-2027</w:t>
      </w:r>
    </w:p>
    <w:p w14:paraId="5E48D0B6" w14:textId="1B7DBA1A" w:rsidR="0073442D" w:rsidRPr="0040777C" w:rsidRDefault="0073442D" w:rsidP="00350486">
      <w:pPr>
        <w:spacing w:before="120" w:after="120" w:line="360" w:lineRule="auto"/>
        <w:rPr>
          <w:rFonts w:cstheme="minorHAnsi"/>
          <w:b/>
          <w:sz w:val="24"/>
          <w:szCs w:val="24"/>
          <w:u w:val="single"/>
        </w:rPr>
      </w:pPr>
    </w:p>
    <w:p w14:paraId="121CC21A" w14:textId="618BCFE3" w:rsidR="00E21DF7" w:rsidRPr="00562CE8" w:rsidRDefault="002560A8" w:rsidP="00350486">
      <w:pPr>
        <w:spacing w:before="120" w:after="120" w:line="360" w:lineRule="auto"/>
        <w:rPr>
          <w:rFonts w:cstheme="minorHAnsi"/>
          <w:i/>
          <w:sz w:val="24"/>
          <w:szCs w:val="24"/>
        </w:rPr>
      </w:pPr>
      <w:r w:rsidRPr="00562CE8">
        <w:rPr>
          <w:rFonts w:cstheme="minorHAnsi"/>
          <w:b/>
          <w:bCs/>
          <w:sz w:val="24"/>
          <w:szCs w:val="24"/>
        </w:rPr>
        <w:t>A</w:t>
      </w:r>
      <w:r w:rsidR="003678E6" w:rsidRPr="00562CE8">
        <w:rPr>
          <w:rFonts w:cstheme="minorHAnsi"/>
          <w:b/>
          <w:sz w:val="24"/>
          <w:szCs w:val="24"/>
        </w:rPr>
        <w:t>mortyzacja</w:t>
      </w:r>
      <w:r w:rsidR="003678E6" w:rsidRPr="00562CE8">
        <w:rPr>
          <w:rFonts w:cstheme="minorHAnsi"/>
          <w:sz w:val="24"/>
          <w:szCs w:val="24"/>
        </w:rPr>
        <w:t xml:space="preserve"> – </w:t>
      </w:r>
      <w:r w:rsidR="003678E6" w:rsidRPr="00562CE8">
        <w:rPr>
          <w:rFonts w:cstheme="minorHAnsi"/>
          <w:i/>
          <w:sz w:val="24"/>
          <w:szCs w:val="24"/>
        </w:rPr>
        <w:t>kategoria opisana w</w:t>
      </w:r>
      <w:r w:rsidR="000A3B51" w:rsidRPr="00562CE8">
        <w:rPr>
          <w:rFonts w:cstheme="minorHAnsi"/>
          <w:i/>
          <w:sz w:val="24"/>
          <w:szCs w:val="24"/>
        </w:rPr>
        <w:t xml:space="preserve"> </w:t>
      </w:r>
      <w:r w:rsidR="003945F8" w:rsidRPr="00562CE8">
        <w:rPr>
          <w:rFonts w:cstheme="minorHAnsi"/>
          <w:i/>
          <w:sz w:val="24"/>
          <w:szCs w:val="24"/>
        </w:rPr>
        <w:t>P</w:t>
      </w:r>
      <w:r w:rsidR="000A3B51" w:rsidRPr="00562CE8">
        <w:rPr>
          <w:rFonts w:cstheme="minorHAnsi"/>
          <w:i/>
          <w:sz w:val="24"/>
          <w:szCs w:val="24"/>
        </w:rPr>
        <w:t>odrozdziale</w:t>
      </w:r>
      <w:r w:rsidR="003945F8" w:rsidRPr="00562CE8">
        <w:rPr>
          <w:rFonts w:cstheme="minorHAnsi"/>
          <w:i/>
          <w:sz w:val="24"/>
          <w:szCs w:val="24"/>
        </w:rPr>
        <w:t xml:space="preserve"> 3.7. </w:t>
      </w:r>
      <w:r w:rsidR="000A3B51" w:rsidRPr="00562CE8">
        <w:rPr>
          <w:rFonts w:cstheme="minorHAnsi"/>
          <w:i/>
          <w:sz w:val="24"/>
          <w:szCs w:val="24"/>
        </w:rPr>
        <w:t>pkt</w:t>
      </w:r>
      <w:r w:rsidR="003678E6" w:rsidRPr="00562CE8">
        <w:rPr>
          <w:rFonts w:cstheme="minorHAnsi"/>
          <w:i/>
          <w:sz w:val="24"/>
          <w:szCs w:val="24"/>
        </w:rPr>
        <w:t xml:space="preserve"> </w:t>
      </w:r>
      <w:r w:rsidR="003945F8" w:rsidRPr="00562CE8">
        <w:rPr>
          <w:rFonts w:cstheme="minorHAnsi"/>
          <w:i/>
          <w:sz w:val="24"/>
          <w:szCs w:val="24"/>
        </w:rPr>
        <w:t>2)</w:t>
      </w:r>
      <w:r w:rsidR="00660CD3" w:rsidRPr="00562CE8">
        <w:rPr>
          <w:rFonts w:cstheme="minorHAnsi"/>
          <w:i/>
          <w:sz w:val="24"/>
          <w:szCs w:val="24"/>
        </w:rPr>
        <w:t>, 3.1 pkt 7c)</w:t>
      </w:r>
      <w:r w:rsidR="000A3B51" w:rsidRPr="00562CE8">
        <w:rPr>
          <w:rFonts w:cstheme="minorHAnsi"/>
          <w:i/>
          <w:sz w:val="24"/>
          <w:szCs w:val="24"/>
        </w:rPr>
        <w:t xml:space="preserve"> </w:t>
      </w:r>
      <w:r w:rsidR="003678E6" w:rsidRPr="00562CE8">
        <w:rPr>
          <w:rFonts w:cstheme="minorHAnsi"/>
          <w:i/>
          <w:sz w:val="24"/>
          <w:szCs w:val="24"/>
        </w:rPr>
        <w:t>Wytycznych</w:t>
      </w:r>
      <w:r w:rsidR="0055089A" w:rsidRPr="00562CE8">
        <w:rPr>
          <w:rFonts w:cstheme="minorHAnsi"/>
          <w:i/>
          <w:sz w:val="24"/>
          <w:szCs w:val="24"/>
        </w:rPr>
        <w:t xml:space="preserve"> dotyczących kwalifikowalności wydatków na lata 2021-2027</w:t>
      </w:r>
      <w:r w:rsidR="00660CD3" w:rsidRPr="00562CE8">
        <w:rPr>
          <w:rFonts w:cstheme="minorHAnsi"/>
          <w:i/>
          <w:sz w:val="24"/>
          <w:szCs w:val="24"/>
        </w:rPr>
        <w:t xml:space="preserve">, z zastrzeżeniem </w:t>
      </w:r>
      <w:r w:rsidR="003A49B3" w:rsidRPr="00562CE8">
        <w:rPr>
          <w:rFonts w:cstheme="minorHAnsi"/>
          <w:i/>
          <w:sz w:val="24"/>
          <w:szCs w:val="24"/>
        </w:rPr>
        <w:t>w P</w:t>
      </w:r>
      <w:r w:rsidR="00660CD3" w:rsidRPr="00562CE8">
        <w:rPr>
          <w:rFonts w:cstheme="minorHAnsi"/>
          <w:i/>
          <w:sz w:val="24"/>
          <w:szCs w:val="24"/>
        </w:rPr>
        <w:t xml:space="preserve">odrozdziale 2.3. pkt 2c) </w:t>
      </w:r>
    </w:p>
    <w:p w14:paraId="693D94CD" w14:textId="79D34F57" w:rsidR="00D92A20" w:rsidRPr="00562CE8" w:rsidRDefault="00D92A20" w:rsidP="00350486">
      <w:pPr>
        <w:spacing w:before="120" w:after="120" w:line="360" w:lineRule="auto"/>
        <w:rPr>
          <w:rFonts w:cstheme="minorHAnsi"/>
          <w:sz w:val="24"/>
          <w:szCs w:val="24"/>
        </w:rPr>
      </w:pPr>
      <w:r w:rsidRPr="00562CE8">
        <w:rPr>
          <w:rFonts w:cstheme="minorHAnsi"/>
          <w:sz w:val="24"/>
          <w:szCs w:val="24"/>
        </w:rPr>
        <w:t>Z uwzględnieniem warunku dotyczącego punk</w:t>
      </w:r>
      <w:r w:rsidR="000A3B51" w:rsidRPr="00562CE8">
        <w:rPr>
          <w:rFonts w:cstheme="minorHAnsi"/>
          <w:sz w:val="24"/>
          <w:szCs w:val="24"/>
        </w:rPr>
        <w:t>t</w:t>
      </w:r>
      <w:r w:rsidRPr="00562CE8">
        <w:rPr>
          <w:rFonts w:cstheme="minorHAnsi"/>
          <w:sz w:val="24"/>
          <w:szCs w:val="24"/>
        </w:rPr>
        <w:t>u 5) w kategorii</w:t>
      </w:r>
      <w:r w:rsidR="00562CE8">
        <w:rPr>
          <w:rFonts w:cstheme="minorHAnsi"/>
          <w:sz w:val="24"/>
          <w:szCs w:val="24"/>
        </w:rPr>
        <w:t xml:space="preserve"> </w:t>
      </w:r>
      <w:r w:rsidRPr="00562CE8">
        <w:rPr>
          <w:rFonts w:cstheme="minorHAnsi"/>
          <w:sz w:val="24"/>
          <w:szCs w:val="24"/>
        </w:rPr>
        <w:t>Środki trwałe/</w:t>
      </w:r>
      <w:r w:rsidR="00562CE8">
        <w:rPr>
          <w:rFonts w:cstheme="minorHAnsi"/>
          <w:sz w:val="24"/>
          <w:szCs w:val="24"/>
        </w:rPr>
        <w:t xml:space="preserve"> </w:t>
      </w:r>
      <w:r w:rsidRPr="00562CE8">
        <w:rPr>
          <w:rFonts w:cstheme="minorHAnsi"/>
          <w:sz w:val="24"/>
          <w:szCs w:val="24"/>
        </w:rPr>
        <w:t>Dostawy.</w:t>
      </w:r>
    </w:p>
    <w:p w14:paraId="41594692" w14:textId="3861D531" w:rsidR="003678E6" w:rsidRPr="00562CE8" w:rsidRDefault="003678E6" w:rsidP="00350486">
      <w:pPr>
        <w:spacing w:before="120" w:after="120" w:line="360" w:lineRule="auto"/>
        <w:rPr>
          <w:rFonts w:cstheme="minorHAnsi"/>
          <w:b/>
          <w:sz w:val="24"/>
          <w:szCs w:val="24"/>
          <w:u w:val="single"/>
        </w:rPr>
      </w:pPr>
    </w:p>
    <w:p w14:paraId="15B72700" w14:textId="4BB31F17" w:rsidR="00F85F25" w:rsidRPr="00350486" w:rsidRDefault="003678E6" w:rsidP="00350486">
      <w:pPr>
        <w:spacing w:before="120" w:after="120" w:line="360" w:lineRule="auto"/>
        <w:rPr>
          <w:rFonts w:cstheme="minorHAnsi"/>
          <w:i/>
          <w:sz w:val="24"/>
          <w:szCs w:val="24"/>
        </w:rPr>
      </w:pPr>
      <w:r w:rsidRPr="00562CE8">
        <w:rPr>
          <w:rFonts w:cstheme="minorHAnsi"/>
          <w:b/>
          <w:sz w:val="24"/>
          <w:szCs w:val="24"/>
        </w:rPr>
        <w:t>Podatki i opłaty</w:t>
      </w:r>
      <w:r w:rsidR="00F85F25" w:rsidRPr="00562CE8">
        <w:rPr>
          <w:rFonts w:cstheme="minorHAnsi"/>
          <w:sz w:val="24"/>
          <w:szCs w:val="24"/>
        </w:rPr>
        <w:t xml:space="preserve"> - </w:t>
      </w:r>
      <w:r w:rsidR="00F85F25" w:rsidRPr="00350486">
        <w:rPr>
          <w:rFonts w:cstheme="minorHAnsi"/>
          <w:i/>
          <w:sz w:val="24"/>
          <w:szCs w:val="24"/>
        </w:rPr>
        <w:t>kategoria opisana w</w:t>
      </w:r>
      <w:r w:rsidR="000A3B51" w:rsidRPr="00350486">
        <w:rPr>
          <w:rFonts w:cstheme="minorHAnsi"/>
          <w:i/>
          <w:sz w:val="24"/>
          <w:szCs w:val="24"/>
        </w:rPr>
        <w:t xml:space="preserve"> </w:t>
      </w:r>
      <w:bookmarkStart w:id="0" w:name="_Hlk138843046"/>
      <w:r w:rsidR="003945F8" w:rsidRPr="00350486">
        <w:rPr>
          <w:rFonts w:cstheme="minorHAnsi"/>
          <w:i/>
          <w:sz w:val="24"/>
          <w:szCs w:val="24"/>
        </w:rPr>
        <w:t>Podrozdziale 3.6.</w:t>
      </w:r>
      <w:bookmarkEnd w:id="0"/>
      <w:r w:rsidR="003945F8" w:rsidRPr="00350486">
        <w:rPr>
          <w:rFonts w:cstheme="minorHAnsi"/>
          <w:i/>
          <w:sz w:val="24"/>
          <w:szCs w:val="24"/>
        </w:rPr>
        <w:t xml:space="preserve"> </w:t>
      </w:r>
      <w:r w:rsidR="0055089A" w:rsidRPr="00350486">
        <w:rPr>
          <w:rFonts w:cstheme="minorHAnsi"/>
          <w:i/>
          <w:sz w:val="24"/>
          <w:szCs w:val="24"/>
        </w:rPr>
        <w:t>Wytycznych dotyczących kwalifikowalności wydatków na lata 2021-2027</w:t>
      </w:r>
    </w:p>
    <w:p w14:paraId="109FF205" w14:textId="1F5E515E" w:rsidR="003D02EA" w:rsidRPr="00350486" w:rsidRDefault="003D02EA" w:rsidP="00350486">
      <w:pPr>
        <w:spacing w:before="120" w:after="120" w:line="360" w:lineRule="auto"/>
        <w:rPr>
          <w:rFonts w:cstheme="minorHAnsi"/>
          <w:sz w:val="24"/>
          <w:szCs w:val="24"/>
        </w:rPr>
      </w:pPr>
      <w:r w:rsidRPr="00350486">
        <w:rPr>
          <w:rFonts w:cstheme="minorHAnsi"/>
          <w:sz w:val="24"/>
          <w:szCs w:val="24"/>
        </w:rPr>
        <w:t>Zalecamy przyporządkowywanie tego typu wydatków do konkretnych zadań na roboty lub dotyczące opracowania dokumentacji technicznej i uwzględnianie w odpowiednich kategoriach: „roboty budowlane”, „usługi zewnętrzne”.</w:t>
      </w:r>
    </w:p>
    <w:p w14:paraId="2ADDBC16" w14:textId="2E5FD69C" w:rsidR="003678E6" w:rsidRPr="00350486" w:rsidRDefault="003678E6" w:rsidP="00350486">
      <w:pPr>
        <w:spacing w:before="120" w:after="120" w:line="360" w:lineRule="auto"/>
        <w:rPr>
          <w:rFonts w:cstheme="minorHAnsi"/>
          <w:sz w:val="24"/>
          <w:szCs w:val="24"/>
        </w:rPr>
      </w:pPr>
    </w:p>
    <w:p w14:paraId="3A514CF2" w14:textId="31BC9737" w:rsidR="00F85F25" w:rsidRPr="00EE5A6E" w:rsidRDefault="00F85F25" w:rsidP="00350486">
      <w:pPr>
        <w:spacing w:before="120" w:after="120" w:line="360" w:lineRule="auto"/>
        <w:rPr>
          <w:rFonts w:cstheme="minorHAnsi"/>
          <w:sz w:val="24"/>
          <w:szCs w:val="24"/>
        </w:rPr>
      </w:pPr>
      <w:r w:rsidRPr="00350486">
        <w:rPr>
          <w:rFonts w:cstheme="minorHAnsi"/>
          <w:b/>
          <w:sz w:val="24"/>
          <w:szCs w:val="24"/>
        </w:rPr>
        <w:t>Koszty pośrednie</w:t>
      </w:r>
      <w:r w:rsidRPr="00350486">
        <w:rPr>
          <w:rFonts w:cstheme="minorHAnsi"/>
          <w:sz w:val="24"/>
          <w:szCs w:val="24"/>
        </w:rPr>
        <w:t xml:space="preserve"> </w:t>
      </w:r>
      <w:r w:rsidR="00C43576" w:rsidRPr="00350486">
        <w:rPr>
          <w:rFonts w:cstheme="minorHAnsi"/>
          <w:sz w:val="24"/>
          <w:szCs w:val="24"/>
        </w:rPr>
        <w:t>–</w:t>
      </w:r>
      <w:r w:rsidRPr="00350486">
        <w:rPr>
          <w:rFonts w:cstheme="minorHAnsi"/>
          <w:sz w:val="24"/>
          <w:szCs w:val="24"/>
        </w:rPr>
        <w:t xml:space="preserve"> </w:t>
      </w:r>
      <w:r w:rsidRPr="00350486">
        <w:rPr>
          <w:rFonts w:cstheme="minorHAnsi"/>
          <w:i/>
          <w:sz w:val="24"/>
          <w:szCs w:val="24"/>
        </w:rPr>
        <w:t xml:space="preserve">kategoria opisana w </w:t>
      </w:r>
      <w:r w:rsidR="00B23231" w:rsidRPr="00350486">
        <w:rPr>
          <w:rFonts w:cstheme="minorHAnsi"/>
          <w:i/>
          <w:sz w:val="24"/>
          <w:szCs w:val="24"/>
        </w:rPr>
        <w:t xml:space="preserve">Podrozdziale 3.12. </w:t>
      </w:r>
      <w:r w:rsidR="0055089A" w:rsidRPr="00350486">
        <w:rPr>
          <w:rFonts w:cstheme="minorHAnsi"/>
          <w:i/>
          <w:sz w:val="24"/>
          <w:szCs w:val="24"/>
        </w:rPr>
        <w:t>Wytycznych dotyczących kwalifikowalności wydatków na lata 2021-2027</w:t>
      </w:r>
      <w:r w:rsidR="0040183A" w:rsidRPr="00350486">
        <w:rPr>
          <w:rFonts w:cstheme="minorHAnsi"/>
          <w:i/>
          <w:sz w:val="24"/>
          <w:szCs w:val="24"/>
        </w:rPr>
        <w:t xml:space="preserve"> – koszty uwzględnione w</w:t>
      </w:r>
      <w:r w:rsidR="00562CE8">
        <w:rPr>
          <w:rFonts w:cstheme="minorHAnsi"/>
          <w:i/>
          <w:sz w:val="24"/>
          <w:szCs w:val="24"/>
        </w:rPr>
        <w:t> </w:t>
      </w:r>
      <w:r w:rsidR="0040183A" w:rsidRPr="00350486">
        <w:rPr>
          <w:rFonts w:cstheme="minorHAnsi"/>
          <w:i/>
          <w:sz w:val="24"/>
          <w:szCs w:val="24"/>
        </w:rPr>
        <w:t>ramach ryczałtu zgodnie z Katalogiem</w:t>
      </w:r>
      <w:r w:rsidRPr="00350486">
        <w:rPr>
          <w:rFonts w:cstheme="minorHAnsi"/>
          <w:i/>
          <w:sz w:val="24"/>
          <w:szCs w:val="24"/>
        </w:rPr>
        <w:t xml:space="preserve"> kosztów pośrednich (załącznik </w:t>
      </w:r>
      <w:r w:rsidR="003A49B3" w:rsidRPr="00350486">
        <w:rPr>
          <w:rFonts w:cstheme="minorHAnsi"/>
          <w:i/>
          <w:sz w:val="24"/>
          <w:szCs w:val="24"/>
        </w:rPr>
        <w:t xml:space="preserve">nr 7 </w:t>
      </w:r>
      <w:r w:rsidRPr="00350486">
        <w:rPr>
          <w:rFonts w:cstheme="minorHAnsi"/>
          <w:i/>
          <w:sz w:val="24"/>
          <w:szCs w:val="24"/>
        </w:rPr>
        <w:t xml:space="preserve">do </w:t>
      </w:r>
      <w:r w:rsidR="00752320" w:rsidRPr="00350486">
        <w:rPr>
          <w:rFonts w:cstheme="minorHAnsi"/>
          <w:i/>
          <w:sz w:val="24"/>
          <w:szCs w:val="24"/>
        </w:rPr>
        <w:t>RWP</w:t>
      </w:r>
      <w:r w:rsidRPr="00350486">
        <w:rPr>
          <w:rFonts w:cstheme="minorHAnsi"/>
          <w:i/>
          <w:sz w:val="24"/>
          <w:szCs w:val="24"/>
        </w:rPr>
        <w:t>)</w:t>
      </w:r>
      <w:r w:rsidR="00EE5A6E">
        <w:rPr>
          <w:rFonts w:cstheme="minorHAnsi"/>
          <w:sz w:val="24"/>
          <w:szCs w:val="24"/>
        </w:rPr>
        <w:t>.</w:t>
      </w:r>
    </w:p>
    <w:p w14:paraId="2DB8ED93" w14:textId="4A24299B" w:rsidR="00F85F25" w:rsidRPr="00350486" w:rsidRDefault="00F85F25" w:rsidP="00350486">
      <w:pPr>
        <w:spacing w:before="120" w:after="120" w:line="360" w:lineRule="auto"/>
        <w:rPr>
          <w:rFonts w:cstheme="minorHAnsi"/>
          <w:sz w:val="24"/>
          <w:szCs w:val="24"/>
        </w:rPr>
      </w:pPr>
    </w:p>
    <w:p w14:paraId="685CE956" w14:textId="2B01D500" w:rsidR="005355B8" w:rsidRPr="00EE5A6E" w:rsidRDefault="005355B8" w:rsidP="00350486">
      <w:pPr>
        <w:spacing w:before="120" w:after="120" w:line="360" w:lineRule="auto"/>
        <w:rPr>
          <w:rFonts w:cstheme="minorHAnsi"/>
          <w:sz w:val="24"/>
          <w:szCs w:val="24"/>
        </w:rPr>
      </w:pPr>
      <w:r w:rsidRPr="00350486">
        <w:rPr>
          <w:rFonts w:cstheme="minorHAnsi"/>
          <w:b/>
          <w:sz w:val="24"/>
          <w:szCs w:val="24"/>
        </w:rPr>
        <w:t>Nieruchomości</w:t>
      </w:r>
      <w:r w:rsidRPr="00350486">
        <w:rPr>
          <w:rFonts w:cstheme="minorHAnsi"/>
          <w:sz w:val="24"/>
          <w:szCs w:val="24"/>
        </w:rPr>
        <w:t xml:space="preserve"> - </w:t>
      </w:r>
      <w:r w:rsidRPr="00350486">
        <w:rPr>
          <w:rFonts w:cstheme="minorHAnsi"/>
          <w:i/>
          <w:sz w:val="24"/>
          <w:szCs w:val="24"/>
        </w:rPr>
        <w:t xml:space="preserve">kategoria opisana w </w:t>
      </w:r>
      <w:r w:rsidR="00B23231" w:rsidRPr="00350486">
        <w:rPr>
          <w:rFonts w:cstheme="minorHAnsi"/>
          <w:i/>
          <w:sz w:val="24"/>
          <w:szCs w:val="24"/>
        </w:rPr>
        <w:t>Podrozdziale 3.4.</w:t>
      </w:r>
      <w:r w:rsidR="000A3B51" w:rsidRPr="00350486">
        <w:rPr>
          <w:rFonts w:cstheme="minorHAnsi"/>
          <w:i/>
          <w:sz w:val="24"/>
          <w:szCs w:val="24"/>
        </w:rPr>
        <w:t xml:space="preserve"> </w:t>
      </w:r>
      <w:r w:rsidR="0055089A" w:rsidRPr="00350486">
        <w:rPr>
          <w:rFonts w:cstheme="minorHAnsi"/>
          <w:i/>
          <w:sz w:val="24"/>
          <w:szCs w:val="24"/>
        </w:rPr>
        <w:t>Wytycznych dotyczących kwalifikowalności wydatków na lata 2021-2027</w:t>
      </w:r>
      <w:r w:rsidR="00EE5A6E">
        <w:rPr>
          <w:rFonts w:cstheme="minorHAnsi"/>
          <w:sz w:val="24"/>
          <w:szCs w:val="24"/>
        </w:rPr>
        <w:t>.</w:t>
      </w:r>
    </w:p>
    <w:p w14:paraId="7D06C381" w14:textId="24E9CBB0" w:rsidR="005355B8" w:rsidRPr="00350486" w:rsidRDefault="005355B8" w:rsidP="00350486">
      <w:pPr>
        <w:spacing w:before="120" w:after="120" w:line="360" w:lineRule="auto"/>
        <w:rPr>
          <w:rFonts w:cstheme="minorHAnsi"/>
          <w:sz w:val="24"/>
          <w:szCs w:val="24"/>
        </w:rPr>
      </w:pPr>
    </w:p>
    <w:p w14:paraId="3837DFD4" w14:textId="00552770" w:rsidR="005355B8" w:rsidRPr="00562CE8" w:rsidRDefault="005355B8" w:rsidP="00562CE8">
      <w:pPr>
        <w:spacing w:before="120" w:after="120" w:line="360" w:lineRule="auto"/>
        <w:rPr>
          <w:rFonts w:cstheme="minorHAnsi"/>
          <w:b/>
          <w:sz w:val="24"/>
          <w:szCs w:val="24"/>
        </w:rPr>
      </w:pPr>
      <w:r w:rsidRPr="00562CE8">
        <w:rPr>
          <w:rFonts w:cstheme="minorHAnsi"/>
          <w:b/>
          <w:sz w:val="24"/>
          <w:szCs w:val="24"/>
        </w:rPr>
        <w:t xml:space="preserve">Środki trwałe /Dostawy </w:t>
      </w:r>
    </w:p>
    <w:p w14:paraId="78B280BF" w14:textId="6BEA13E3" w:rsidR="00003CE6" w:rsidRPr="00350486" w:rsidRDefault="00003CE6" w:rsidP="00350486">
      <w:pPr>
        <w:numPr>
          <w:ilvl w:val="0"/>
          <w:numId w:val="4"/>
        </w:numPr>
        <w:spacing w:before="120" w:after="120" w:line="360" w:lineRule="auto"/>
        <w:ind w:left="284" w:hanging="284"/>
        <w:rPr>
          <w:rFonts w:cstheme="minorHAnsi"/>
          <w:sz w:val="24"/>
          <w:szCs w:val="24"/>
        </w:rPr>
      </w:pPr>
      <w:r w:rsidRPr="00350486">
        <w:rPr>
          <w:rFonts w:cstheme="minorHAnsi"/>
          <w:sz w:val="24"/>
          <w:szCs w:val="24"/>
        </w:rPr>
        <w:t xml:space="preserve">Środki </w:t>
      </w:r>
      <w:r w:rsidRPr="00350486">
        <w:rPr>
          <w:rFonts w:cstheme="minorHAnsi"/>
          <w:bCs/>
          <w:sz w:val="24"/>
          <w:szCs w:val="24"/>
        </w:rPr>
        <w:t>trwałe</w:t>
      </w:r>
      <w:r w:rsidRPr="00350486">
        <w:rPr>
          <w:rFonts w:cstheme="minorHAnsi"/>
          <w:sz w:val="24"/>
          <w:szCs w:val="24"/>
        </w:rPr>
        <w:t>, ze względu na sposób ich wykorzystania w ramach projektu dzielą się na:</w:t>
      </w:r>
    </w:p>
    <w:p w14:paraId="7302091C" w14:textId="2A97D3D8" w:rsidR="00003CE6" w:rsidRPr="00350486" w:rsidRDefault="00003CE6" w:rsidP="00350486">
      <w:pPr>
        <w:pStyle w:val="Text1"/>
        <w:numPr>
          <w:ilvl w:val="0"/>
          <w:numId w:val="6"/>
        </w:numPr>
        <w:tabs>
          <w:tab w:val="left" w:pos="851"/>
        </w:tabs>
        <w:autoSpaceDE w:val="0"/>
        <w:autoSpaceDN w:val="0"/>
        <w:adjustRightInd w:val="0"/>
        <w:spacing w:line="360" w:lineRule="auto"/>
        <w:ind w:left="567" w:hanging="283"/>
        <w:jc w:val="left"/>
        <w:rPr>
          <w:rFonts w:asciiTheme="minorHAnsi" w:hAnsiTheme="minorHAnsi" w:cstheme="minorHAnsi"/>
        </w:rPr>
      </w:pPr>
      <w:r w:rsidRPr="00350486">
        <w:rPr>
          <w:rFonts w:asciiTheme="minorHAnsi" w:hAnsiTheme="minorHAnsi" w:cstheme="minorHAnsi"/>
        </w:rPr>
        <w:lastRenderedPageBreak/>
        <w:t xml:space="preserve">środki trwałe bezpośrednio </w:t>
      </w:r>
      <w:r w:rsidR="003A49B3" w:rsidRPr="00350486">
        <w:rPr>
          <w:rFonts w:asciiTheme="minorHAnsi" w:hAnsiTheme="minorHAnsi" w:cstheme="minorHAnsi"/>
          <w:lang w:val="pl-PL"/>
        </w:rPr>
        <w:t>z</w:t>
      </w:r>
      <w:r w:rsidRPr="00350486">
        <w:rPr>
          <w:rFonts w:asciiTheme="minorHAnsi" w:hAnsiTheme="minorHAnsi" w:cstheme="minorHAnsi"/>
        </w:rPr>
        <w:t xml:space="preserve">wiązane z przedmiotem projektu (np. </w:t>
      </w:r>
      <w:r w:rsidRPr="00350486">
        <w:rPr>
          <w:rFonts w:asciiTheme="minorHAnsi" w:hAnsiTheme="minorHAnsi" w:cstheme="minorHAnsi"/>
          <w:lang w:val="pl-PL"/>
        </w:rPr>
        <w:t xml:space="preserve">zakup urządzeń na </w:t>
      </w:r>
      <w:r w:rsidR="00F3006F" w:rsidRPr="00350486">
        <w:rPr>
          <w:rFonts w:asciiTheme="minorHAnsi" w:hAnsiTheme="minorHAnsi" w:cstheme="minorHAnsi"/>
          <w:lang w:val="pl-PL"/>
        </w:rPr>
        <w:t>przepompowniach</w:t>
      </w:r>
      <w:r w:rsidR="00DB262E" w:rsidRPr="00350486">
        <w:rPr>
          <w:rFonts w:asciiTheme="minorHAnsi" w:hAnsiTheme="minorHAnsi" w:cstheme="minorHAnsi"/>
          <w:lang w:val="pl-PL"/>
        </w:rPr>
        <w:t>, zakup aparatury</w:t>
      </w:r>
      <w:r w:rsidR="003B6255" w:rsidRPr="00350486">
        <w:rPr>
          <w:rFonts w:asciiTheme="minorHAnsi" w:hAnsiTheme="minorHAnsi" w:cstheme="minorHAnsi"/>
          <w:lang w:val="pl-PL"/>
        </w:rPr>
        <w:t xml:space="preserve"> pomiarowej i</w:t>
      </w:r>
      <w:r w:rsidR="00DB262E" w:rsidRPr="00350486">
        <w:rPr>
          <w:rFonts w:asciiTheme="minorHAnsi" w:hAnsiTheme="minorHAnsi" w:cstheme="minorHAnsi"/>
          <w:lang w:val="pl-PL"/>
        </w:rPr>
        <w:t xml:space="preserve"> sprzętu do monitoringu sieci w ramach budowania systemów zarządzania sieciami </w:t>
      </w:r>
      <w:r w:rsidR="007029A8" w:rsidRPr="00350486">
        <w:rPr>
          <w:rFonts w:asciiTheme="minorHAnsi" w:hAnsiTheme="minorHAnsi" w:cstheme="minorHAnsi"/>
          <w:lang w:val="pl-PL"/>
        </w:rPr>
        <w:t>kanalizacji deszczowej</w:t>
      </w:r>
      <w:r w:rsidRPr="00350486">
        <w:rPr>
          <w:rFonts w:asciiTheme="minorHAnsi" w:hAnsiTheme="minorHAnsi" w:cstheme="minorHAnsi"/>
        </w:rPr>
        <w:t>),</w:t>
      </w:r>
    </w:p>
    <w:p w14:paraId="499458AE" w14:textId="1292A8CA" w:rsidR="00003CE6" w:rsidRPr="00350486" w:rsidRDefault="00003CE6" w:rsidP="00350486">
      <w:pPr>
        <w:pStyle w:val="Text1"/>
        <w:numPr>
          <w:ilvl w:val="0"/>
          <w:numId w:val="6"/>
        </w:numPr>
        <w:autoSpaceDE w:val="0"/>
        <w:autoSpaceDN w:val="0"/>
        <w:adjustRightInd w:val="0"/>
        <w:spacing w:line="360" w:lineRule="auto"/>
        <w:ind w:left="568" w:hanging="284"/>
        <w:jc w:val="left"/>
        <w:rPr>
          <w:rFonts w:asciiTheme="minorHAnsi" w:hAnsiTheme="minorHAnsi" w:cstheme="minorHAnsi"/>
        </w:rPr>
      </w:pPr>
      <w:r w:rsidRPr="00350486">
        <w:rPr>
          <w:rFonts w:asciiTheme="minorHAnsi" w:hAnsiTheme="minorHAnsi" w:cstheme="minorHAnsi"/>
        </w:rPr>
        <w:t xml:space="preserve">środki trwałe wykorzystywane w celu wspomagania procesu wdrażania projektu </w:t>
      </w:r>
      <w:r w:rsidRPr="00350486">
        <w:rPr>
          <w:rFonts w:asciiTheme="minorHAnsi" w:hAnsiTheme="minorHAnsi" w:cstheme="minorHAnsi"/>
        </w:rPr>
        <w:br/>
        <w:t>(np. w</w:t>
      </w:r>
      <w:r w:rsidRPr="00350486">
        <w:rPr>
          <w:rFonts w:asciiTheme="minorHAnsi" w:hAnsiTheme="minorHAnsi" w:cstheme="minorHAnsi"/>
          <w:lang w:val="pl-PL"/>
        </w:rPr>
        <w:t>yposażenie biura Beneficjenta</w:t>
      </w:r>
      <w:r w:rsidRPr="00350486">
        <w:rPr>
          <w:rFonts w:asciiTheme="minorHAnsi" w:hAnsiTheme="minorHAnsi" w:cstheme="minorHAnsi"/>
        </w:rPr>
        <w:t xml:space="preserve">). </w:t>
      </w:r>
    </w:p>
    <w:p w14:paraId="2286AAF0" w14:textId="5DD69D45" w:rsidR="00C738FD" w:rsidRPr="00350486" w:rsidRDefault="00003CE6" w:rsidP="00350486">
      <w:pPr>
        <w:pStyle w:val="Text1"/>
        <w:autoSpaceDE w:val="0"/>
        <w:autoSpaceDN w:val="0"/>
        <w:adjustRightInd w:val="0"/>
        <w:spacing w:line="360" w:lineRule="auto"/>
        <w:ind w:left="284"/>
        <w:jc w:val="left"/>
        <w:rPr>
          <w:rFonts w:asciiTheme="minorHAnsi" w:hAnsiTheme="minorHAnsi" w:cstheme="minorHAnsi"/>
          <w:lang w:val="pl-PL"/>
        </w:rPr>
      </w:pPr>
      <w:r w:rsidRPr="00350486">
        <w:rPr>
          <w:rFonts w:asciiTheme="minorHAnsi" w:hAnsiTheme="minorHAnsi" w:cstheme="minorHAnsi"/>
          <w:lang w:val="pl-PL"/>
        </w:rPr>
        <w:t xml:space="preserve">Pierwszy rodzaj środków </w:t>
      </w:r>
      <w:r w:rsidR="00C738FD" w:rsidRPr="00350486">
        <w:rPr>
          <w:rFonts w:asciiTheme="minorHAnsi" w:hAnsiTheme="minorHAnsi" w:cstheme="minorHAnsi"/>
          <w:lang w:val="pl-PL"/>
        </w:rPr>
        <w:t>trwałych</w:t>
      </w:r>
      <w:r w:rsidR="007E1672">
        <w:rPr>
          <w:rFonts w:asciiTheme="minorHAnsi" w:hAnsiTheme="minorHAnsi" w:cstheme="minorHAnsi"/>
          <w:lang w:val="pl-PL"/>
        </w:rPr>
        <w:t xml:space="preserve"> </w:t>
      </w:r>
      <w:r w:rsidRPr="00350486">
        <w:rPr>
          <w:rFonts w:asciiTheme="minorHAnsi" w:hAnsiTheme="minorHAnsi" w:cstheme="minorHAnsi"/>
          <w:lang w:val="pl-PL"/>
        </w:rPr>
        <w:t>dotyczy kosztów bezpośrednich projektu – zasady kwalifikowania zostały opisane poniżej</w:t>
      </w:r>
      <w:r w:rsidR="00C738FD" w:rsidRPr="00350486">
        <w:rPr>
          <w:rFonts w:asciiTheme="minorHAnsi" w:hAnsiTheme="minorHAnsi" w:cstheme="minorHAnsi"/>
          <w:lang w:val="pl-PL"/>
        </w:rPr>
        <w:t>.</w:t>
      </w:r>
    </w:p>
    <w:p w14:paraId="1F61FFF6" w14:textId="1DA6BCC5" w:rsidR="00003CE6" w:rsidRPr="00350486" w:rsidRDefault="00C738FD" w:rsidP="00350486">
      <w:pPr>
        <w:pStyle w:val="Text1"/>
        <w:autoSpaceDE w:val="0"/>
        <w:autoSpaceDN w:val="0"/>
        <w:adjustRightInd w:val="0"/>
        <w:spacing w:line="360" w:lineRule="auto"/>
        <w:ind w:left="284"/>
        <w:jc w:val="left"/>
        <w:rPr>
          <w:rFonts w:asciiTheme="minorHAnsi" w:hAnsiTheme="minorHAnsi" w:cstheme="minorHAnsi"/>
          <w:lang w:val="pl-PL"/>
        </w:rPr>
      </w:pPr>
      <w:r w:rsidRPr="00350486">
        <w:rPr>
          <w:rFonts w:asciiTheme="minorHAnsi" w:hAnsiTheme="minorHAnsi" w:cstheme="minorHAnsi"/>
          <w:lang w:val="pl-PL"/>
        </w:rPr>
        <w:t>D</w:t>
      </w:r>
      <w:r w:rsidR="00003CE6" w:rsidRPr="00350486">
        <w:rPr>
          <w:rFonts w:asciiTheme="minorHAnsi" w:hAnsiTheme="minorHAnsi" w:cstheme="minorHAnsi"/>
          <w:lang w:val="pl-PL"/>
        </w:rPr>
        <w:t xml:space="preserve">rugi rodzaj środków należy </w:t>
      </w:r>
      <w:r w:rsidR="00442CC6" w:rsidRPr="00350486">
        <w:rPr>
          <w:rFonts w:asciiTheme="minorHAnsi" w:hAnsiTheme="minorHAnsi" w:cstheme="minorHAnsi"/>
          <w:lang w:val="pl-PL"/>
        </w:rPr>
        <w:t xml:space="preserve">do </w:t>
      </w:r>
      <w:r w:rsidR="00003CE6" w:rsidRPr="00350486">
        <w:rPr>
          <w:rFonts w:asciiTheme="minorHAnsi" w:hAnsiTheme="minorHAnsi" w:cstheme="minorHAnsi"/>
          <w:lang w:val="pl-PL"/>
        </w:rPr>
        <w:t xml:space="preserve">kosztów pośrednich i będzie rozliczany w ramach </w:t>
      </w:r>
      <w:r w:rsidR="000A3B51" w:rsidRPr="00350486">
        <w:rPr>
          <w:rFonts w:asciiTheme="minorHAnsi" w:hAnsiTheme="minorHAnsi" w:cstheme="minorHAnsi"/>
          <w:lang w:val="pl-PL"/>
        </w:rPr>
        <w:t xml:space="preserve">limitu </w:t>
      </w:r>
      <w:r w:rsidR="00003CE6" w:rsidRPr="00350486">
        <w:rPr>
          <w:rFonts w:asciiTheme="minorHAnsi" w:hAnsiTheme="minorHAnsi" w:cstheme="minorHAnsi"/>
          <w:lang w:val="pl-PL"/>
        </w:rPr>
        <w:t>ryczałtu przewidzianego na koszty pośrednie.</w:t>
      </w:r>
    </w:p>
    <w:p w14:paraId="18712924" w14:textId="4DF50C49" w:rsidR="00DF3C41" w:rsidRPr="00350486" w:rsidRDefault="00DF3C41" w:rsidP="00350486">
      <w:pPr>
        <w:pStyle w:val="Akapitzlist"/>
        <w:numPr>
          <w:ilvl w:val="0"/>
          <w:numId w:val="4"/>
        </w:numPr>
        <w:spacing w:before="120" w:after="120" w:line="360" w:lineRule="auto"/>
        <w:ind w:left="284" w:hanging="284"/>
        <w:contextualSpacing w:val="0"/>
        <w:rPr>
          <w:rFonts w:cstheme="minorHAnsi"/>
          <w:sz w:val="24"/>
          <w:szCs w:val="24"/>
        </w:rPr>
      </w:pPr>
      <w:r w:rsidRPr="00350486">
        <w:rPr>
          <w:rFonts w:cstheme="minorHAnsi"/>
          <w:sz w:val="24"/>
          <w:szCs w:val="24"/>
        </w:rPr>
        <w:t xml:space="preserve">W kategorii </w:t>
      </w:r>
      <w:r w:rsidR="00C738FD" w:rsidRPr="00350486">
        <w:rPr>
          <w:rFonts w:cstheme="minorHAnsi"/>
          <w:sz w:val="24"/>
          <w:szCs w:val="24"/>
        </w:rPr>
        <w:t>wskazanej w</w:t>
      </w:r>
      <w:r w:rsidR="00261852">
        <w:rPr>
          <w:rFonts w:cstheme="minorHAnsi"/>
          <w:sz w:val="24"/>
          <w:szCs w:val="24"/>
        </w:rPr>
        <w:t xml:space="preserve"> ust. 1</w:t>
      </w:r>
      <w:r w:rsidR="00C738FD" w:rsidRPr="00350486">
        <w:rPr>
          <w:rFonts w:cstheme="minorHAnsi"/>
          <w:sz w:val="24"/>
          <w:szCs w:val="24"/>
        </w:rPr>
        <w:t xml:space="preserve"> pkt 1 </w:t>
      </w:r>
      <w:r w:rsidRPr="00350486">
        <w:rPr>
          <w:rFonts w:cstheme="minorHAnsi"/>
          <w:sz w:val="24"/>
          <w:szCs w:val="24"/>
        </w:rPr>
        <w:t xml:space="preserve">uwzględniamy </w:t>
      </w:r>
      <w:r w:rsidR="00992EC1" w:rsidRPr="00350486">
        <w:rPr>
          <w:rFonts w:cstheme="minorHAnsi"/>
          <w:b/>
          <w:bCs/>
          <w:sz w:val="24"/>
          <w:szCs w:val="24"/>
        </w:rPr>
        <w:t xml:space="preserve">koszty </w:t>
      </w:r>
      <w:r w:rsidR="00C738FD" w:rsidRPr="00350486">
        <w:rPr>
          <w:rFonts w:cstheme="minorHAnsi"/>
          <w:b/>
          <w:bCs/>
          <w:sz w:val="24"/>
          <w:szCs w:val="24"/>
        </w:rPr>
        <w:t xml:space="preserve">zakupu i </w:t>
      </w:r>
      <w:r w:rsidR="00E3659F" w:rsidRPr="00350486">
        <w:rPr>
          <w:rFonts w:cstheme="minorHAnsi"/>
          <w:b/>
          <w:bCs/>
          <w:sz w:val="24"/>
          <w:szCs w:val="24"/>
        </w:rPr>
        <w:t>dostawy</w:t>
      </w:r>
      <w:r w:rsidR="008920FD" w:rsidRPr="00350486">
        <w:rPr>
          <w:rFonts w:cstheme="minorHAnsi"/>
          <w:sz w:val="24"/>
          <w:szCs w:val="24"/>
        </w:rPr>
        <w:t xml:space="preserve"> urządzeń</w:t>
      </w:r>
      <w:r w:rsidR="00E3659F" w:rsidRPr="00350486">
        <w:rPr>
          <w:rFonts w:cstheme="minorHAnsi"/>
          <w:sz w:val="24"/>
          <w:szCs w:val="24"/>
        </w:rPr>
        <w:t xml:space="preserve">, maszyn, sprzętu </w:t>
      </w:r>
      <w:r w:rsidRPr="00350486">
        <w:rPr>
          <w:rFonts w:cstheme="minorHAnsi"/>
          <w:sz w:val="24"/>
          <w:szCs w:val="24"/>
        </w:rPr>
        <w:t xml:space="preserve"> </w:t>
      </w:r>
      <w:r w:rsidR="00D668E6" w:rsidRPr="00350486">
        <w:rPr>
          <w:rFonts w:cstheme="minorHAnsi"/>
          <w:sz w:val="24"/>
          <w:szCs w:val="24"/>
        </w:rPr>
        <w:t>zrealizowane w ramach odrębnego zam</w:t>
      </w:r>
      <w:r w:rsidR="00FC7BBF" w:rsidRPr="00350486">
        <w:rPr>
          <w:rFonts w:cstheme="minorHAnsi"/>
          <w:sz w:val="24"/>
          <w:szCs w:val="24"/>
        </w:rPr>
        <w:t xml:space="preserve">ówienia </w:t>
      </w:r>
      <w:r w:rsidR="00442CC6" w:rsidRPr="00350486">
        <w:rPr>
          <w:rFonts w:cstheme="minorHAnsi"/>
          <w:sz w:val="24"/>
          <w:szCs w:val="24"/>
        </w:rPr>
        <w:t>oraz</w:t>
      </w:r>
      <w:r w:rsidR="00D668E6" w:rsidRPr="00350486">
        <w:rPr>
          <w:rFonts w:cstheme="minorHAnsi"/>
          <w:sz w:val="24"/>
          <w:szCs w:val="24"/>
        </w:rPr>
        <w:t xml:space="preserve"> odrębnej umowy z wykonawcą</w:t>
      </w:r>
      <w:r w:rsidR="00FC7BBF" w:rsidRPr="00350486">
        <w:rPr>
          <w:rFonts w:cstheme="minorHAnsi"/>
          <w:sz w:val="24"/>
          <w:szCs w:val="24"/>
        </w:rPr>
        <w:t>/dostawcą</w:t>
      </w:r>
      <w:r w:rsidR="00D668E6" w:rsidRPr="00350486">
        <w:rPr>
          <w:rFonts w:cstheme="minorHAnsi"/>
          <w:sz w:val="24"/>
          <w:szCs w:val="24"/>
        </w:rPr>
        <w:t>.</w:t>
      </w:r>
      <w:r w:rsidR="008920FD" w:rsidRPr="00350486">
        <w:rPr>
          <w:rFonts w:cstheme="minorHAnsi"/>
          <w:sz w:val="24"/>
          <w:szCs w:val="24"/>
        </w:rPr>
        <w:t xml:space="preserve"> Zakup urządzeń </w:t>
      </w:r>
      <w:r w:rsidR="00992EC1" w:rsidRPr="00350486">
        <w:rPr>
          <w:rFonts w:cstheme="minorHAnsi"/>
          <w:sz w:val="24"/>
          <w:szCs w:val="24"/>
        </w:rPr>
        <w:t>objęty kontraktem</w:t>
      </w:r>
      <w:r w:rsidR="008920FD" w:rsidRPr="00350486">
        <w:rPr>
          <w:rFonts w:cstheme="minorHAnsi"/>
          <w:sz w:val="24"/>
          <w:szCs w:val="24"/>
        </w:rPr>
        <w:t xml:space="preserve"> na roboty należy ujmować w kategorii </w:t>
      </w:r>
      <w:r w:rsidR="000F7E8A" w:rsidRPr="00350486">
        <w:rPr>
          <w:rFonts w:cstheme="minorHAnsi"/>
          <w:sz w:val="24"/>
          <w:szCs w:val="24"/>
        </w:rPr>
        <w:t>„</w:t>
      </w:r>
      <w:r w:rsidR="008920FD" w:rsidRPr="00350486">
        <w:rPr>
          <w:rFonts w:cstheme="minorHAnsi"/>
          <w:sz w:val="24"/>
          <w:szCs w:val="24"/>
        </w:rPr>
        <w:t>roboty budowlane</w:t>
      </w:r>
      <w:r w:rsidR="000F7E8A" w:rsidRPr="00350486">
        <w:rPr>
          <w:rFonts w:cstheme="minorHAnsi"/>
          <w:sz w:val="24"/>
          <w:szCs w:val="24"/>
        </w:rPr>
        <w:t>”</w:t>
      </w:r>
      <w:r w:rsidR="008920FD" w:rsidRPr="00350486">
        <w:rPr>
          <w:rFonts w:cstheme="minorHAnsi"/>
          <w:sz w:val="24"/>
          <w:szCs w:val="24"/>
        </w:rPr>
        <w:t>.</w:t>
      </w:r>
      <w:r w:rsidR="00C87395" w:rsidRPr="00350486">
        <w:rPr>
          <w:rFonts w:cstheme="minorHAnsi"/>
          <w:sz w:val="24"/>
          <w:szCs w:val="24"/>
        </w:rPr>
        <w:t xml:space="preserve"> Wyjątkiem w tym przypadku są ruchome środki trwałe</w:t>
      </w:r>
      <w:r w:rsidR="000F5108" w:rsidRPr="00350486">
        <w:rPr>
          <w:rFonts w:cstheme="minorHAnsi"/>
          <w:sz w:val="24"/>
          <w:szCs w:val="24"/>
        </w:rPr>
        <w:t xml:space="preserve"> np. zakup wózka widłowego, ciągnika</w:t>
      </w:r>
      <w:r w:rsidR="000F7E8A" w:rsidRPr="00350486">
        <w:rPr>
          <w:rFonts w:cstheme="minorHAnsi"/>
          <w:sz w:val="24"/>
          <w:szCs w:val="24"/>
        </w:rPr>
        <w:t>, które należy wykazywać w kategorii „środki trwałe”</w:t>
      </w:r>
      <w:r w:rsidR="00C87395" w:rsidRPr="00350486">
        <w:rPr>
          <w:rFonts w:cstheme="minorHAnsi"/>
          <w:sz w:val="24"/>
          <w:szCs w:val="24"/>
        </w:rPr>
        <w:t>.</w:t>
      </w:r>
    </w:p>
    <w:p w14:paraId="6089001E" w14:textId="77777777" w:rsidR="00226A0D" w:rsidRPr="00350486" w:rsidRDefault="00226A0D" w:rsidP="00350486">
      <w:pPr>
        <w:pStyle w:val="Akapitzlist"/>
        <w:numPr>
          <w:ilvl w:val="0"/>
          <w:numId w:val="4"/>
        </w:numPr>
        <w:spacing w:before="120" w:after="120" w:line="360" w:lineRule="auto"/>
        <w:ind w:left="284" w:hanging="284"/>
        <w:contextualSpacing w:val="0"/>
        <w:rPr>
          <w:rFonts w:cstheme="minorHAnsi"/>
          <w:sz w:val="24"/>
          <w:szCs w:val="24"/>
        </w:rPr>
      </w:pPr>
      <w:r w:rsidRPr="00350486">
        <w:rPr>
          <w:rFonts w:cstheme="minorHAnsi"/>
          <w:bCs/>
          <w:sz w:val="24"/>
          <w:szCs w:val="24"/>
        </w:rPr>
        <w:t>Wydatki</w:t>
      </w:r>
      <w:r w:rsidRPr="00350486">
        <w:rPr>
          <w:rFonts w:eastAsia="MS Mincho" w:cstheme="minorHAnsi"/>
          <w:sz w:val="24"/>
          <w:szCs w:val="24"/>
          <w:lang w:eastAsia="ja-JP"/>
        </w:rPr>
        <w:t xml:space="preserve"> na zakup środków trwałych ruchomych mogą być uznane za kwalifikowane </w:t>
      </w:r>
      <w:r w:rsidRPr="00350486">
        <w:rPr>
          <w:rFonts w:eastAsia="MS Mincho" w:cstheme="minorHAnsi"/>
          <w:b/>
          <w:sz w:val="24"/>
          <w:szCs w:val="24"/>
          <w:u w:val="single"/>
          <w:lang w:eastAsia="ja-JP"/>
        </w:rPr>
        <w:t>pod warunkiem ich bezpośredniego wskazania we wniosku o dofinansowanie wraz z uzasadnieniem.</w:t>
      </w:r>
    </w:p>
    <w:p w14:paraId="43E08E4F" w14:textId="77777777" w:rsidR="00CE19FE" w:rsidRPr="00350486" w:rsidRDefault="00CE19FE" w:rsidP="00350486">
      <w:pPr>
        <w:pStyle w:val="Akapitzlist"/>
        <w:numPr>
          <w:ilvl w:val="0"/>
          <w:numId w:val="4"/>
        </w:numPr>
        <w:spacing w:before="120" w:after="120" w:line="360" w:lineRule="auto"/>
        <w:ind w:left="284" w:hanging="284"/>
        <w:contextualSpacing w:val="0"/>
        <w:rPr>
          <w:rFonts w:cstheme="minorHAnsi"/>
          <w:sz w:val="24"/>
          <w:szCs w:val="24"/>
        </w:rPr>
      </w:pPr>
      <w:r w:rsidRPr="00350486">
        <w:rPr>
          <w:rFonts w:cstheme="minorHAnsi"/>
          <w:bCs/>
          <w:sz w:val="24"/>
          <w:szCs w:val="24"/>
        </w:rPr>
        <w:t>Wydatki</w:t>
      </w:r>
      <w:r w:rsidRPr="00350486">
        <w:rPr>
          <w:rFonts w:cstheme="minorHAnsi"/>
          <w:sz w:val="24"/>
          <w:szCs w:val="24"/>
        </w:rPr>
        <w:t xml:space="preserve"> poniesione na zakup środków trwałych, a także koszty ich dostawy, montażu i uruchomienia, mogą być kwalifikowalne w całości lub części swojej wartości zgodnie ze wskazaniem Beneficjenta opartym o faktyczne wykorzystanie środka trwałego na potrzeby projektu. </w:t>
      </w:r>
    </w:p>
    <w:p w14:paraId="75B5FC0C" w14:textId="77777777" w:rsidR="00226A0D" w:rsidRPr="00350486" w:rsidRDefault="00226A0D" w:rsidP="00350486">
      <w:pPr>
        <w:pStyle w:val="Default"/>
        <w:numPr>
          <w:ilvl w:val="0"/>
          <w:numId w:val="4"/>
        </w:numPr>
        <w:spacing w:before="120" w:after="120" w:line="360" w:lineRule="auto"/>
        <w:ind w:left="284" w:hanging="284"/>
        <w:rPr>
          <w:rFonts w:asciiTheme="minorHAnsi" w:hAnsiTheme="minorHAnsi" w:cstheme="minorHAnsi"/>
        </w:rPr>
      </w:pPr>
      <w:r w:rsidRPr="00350486">
        <w:rPr>
          <w:rFonts w:asciiTheme="minorHAnsi" w:hAnsiTheme="minorHAnsi" w:cstheme="minorHAnsi"/>
        </w:rPr>
        <w:t xml:space="preserve">Wydatki poniesione na zakup używanych środków trwałych są kwalifikowalne, jeśli spełnione są wszystkie wymienione poniżej warunki: </w:t>
      </w:r>
    </w:p>
    <w:p w14:paraId="61934707" w14:textId="4050BE03" w:rsidR="00226A0D" w:rsidRPr="00350486" w:rsidRDefault="00226A0D" w:rsidP="00350486">
      <w:pPr>
        <w:pStyle w:val="Default"/>
        <w:numPr>
          <w:ilvl w:val="3"/>
          <w:numId w:val="14"/>
        </w:numPr>
        <w:spacing w:before="120" w:after="120" w:line="360" w:lineRule="auto"/>
        <w:ind w:left="567" w:hanging="283"/>
        <w:rPr>
          <w:rFonts w:asciiTheme="minorHAnsi" w:hAnsiTheme="minorHAnsi" w:cstheme="minorHAnsi"/>
        </w:rPr>
      </w:pPr>
      <w:r w:rsidRPr="00350486">
        <w:rPr>
          <w:rFonts w:asciiTheme="minorHAnsi" w:hAnsiTheme="minorHAnsi" w:cstheme="minorHAnsi"/>
        </w:rPr>
        <w:t xml:space="preserve">sprzedający środek trwały wystawił deklarację określającą jego pochodzenie, </w:t>
      </w:r>
    </w:p>
    <w:p w14:paraId="6A18BC52" w14:textId="523C7882" w:rsidR="00226A0D" w:rsidRPr="00350486" w:rsidRDefault="00226A0D" w:rsidP="00350486">
      <w:pPr>
        <w:pStyle w:val="Default"/>
        <w:numPr>
          <w:ilvl w:val="3"/>
          <w:numId w:val="14"/>
        </w:numPr>
        <w:spacing w:before="120" w:after="120" w:line="360" w:lineRule="auto"/>
        <w:ind w:left="567" w:hanging="283"/>
        <w:rPr>
          <w:rFonts w:asciiTheme="minorHAnsi" w:hAnsiTheme="minorHAnsi" w:cstheme="minorHAnsi"/>
        </w:rPr>
      </w:pPr>
      <w:r w:rsidRPr="00350486">
        <w:rPr>
          <w:rFonts w:asciiTheme="minorHAnsi" w:hAnsiTheme="minorHAnsi" w:cstheme="minorHAnsi"/>
        </w:rPr>
        <w:t xml:space="preserve">sprzedający środek trwały potwierdził w deklaracji, że dany środek nie był współfinansowany z pomocy UE lub w ramach dotacji z krajowych środków publicznych, </w:t>
      </w:r>
    </w:p>
    <w:p w14:paraId="51FD7B64" w14:textId="7FAF66CF" w:rsidR="00226A0D" w:rsidRPr="00350486" w:rsidRDefault="00226A0D" w:rsidP="00350486">
      <w:pPr>
        <w:pStyle w:val="Default"/>
        <w:numPr>
          <w:ilvl w:val="3"/>
          <w:numId w:val="14"/>
        </w:numPr>
        <w:spacing w:before="120" w:after="120" w:line="360" w:lineRule="auto"/>
        <w:ind w:left="567" w:hanging="283"/>
        <w:rPr>
          <w:rFonts w:asciiTheme="minorHAnsi" w:hAnsiTheme="minorHAnsi" w:cstheme="minorHAnsi"/>
        </w:rPr>
      </w:pPr>
      <w:r w:rsidRPr="00350486">
        <w:rPr>
          <w:rFonts w:asciiTheme="minorHAnsi" w:hAnsiTheme="minorHAnsi" w:cstheme="minorHAnsi"/>
        </w:rPr>
        <w:lastRenderedPageBreak/>
        <w:t>cena zakupu używanego środka trwałego nie przekracza jego wartości rynkowej</w:t>
      </w:r>
      <w:r w:rsidR="005525AA" w:rsidRPr="00350486">
        <w:rPr>
          <w:rFonts w:asciiTheme="minorHAnsi" w:hAnsiTheme="minorHAnsi" w:cstheme="minorHAnsi"/>
        </w:rPr>
        <w:t>.</w:t>
      </w:r>
      <w:r w:rsidRPr="00350486">
        <w:rPr>
          <w:rFonts w:asciiTheme="minorHAnsi" w:hAnsiTheme="minorHAnsi" w:cstheme="minorHAnsi"/>
        </w:rPr>
        <w:t xml:space="preserve"> i jest niższa niż koszt podobnego nowego sprzętu. </w:t>
      </w:r>
    </w:p>
    <w:p w14:paraId="7338B471" w14:textId="4CE5363E" w:rsidR="00DB262E" w:rsidRDefault="00DB262E" w:rsidP="00350486">
      <w:pPr>
        <w:pStyle w:val="Akapitzlist"/>
        <w:numPr>
          <w:ilvl w:val="0"/>
          <w:numId w:val="4"/>
        </w:numPr>
        <w:spacing w:before="120" w:after="120" w:line="360" w:lineRule="auto"/>
        <w:ind w:left="284" w:hanging="284"/>
        <w:contextualSpacing w:val="0"/>
        <w:rPr>
          <w:rFonts w:cstheme="minorHAnsi"/>
          <w:b/>
          <w:sz w:val="24"/>
          <w:szCs w:val="24"/>
          <w:u w:val="single"/>
        </w:rPr>
      </w:pPr>
      <w:r w:rsidRPr="00350486">
        <w:rPr>
          <w:rFonts w:cstheme="minorHAnsi"/>
          <w:sz w:val="24"/>
          <w:szCs w:val="24"/>
        </w:rPr>
        <w:t xml:space="preserve">Ponadto, dopuszcza się pozyskanie środków trwałych w formie </w:t>
      </w:r>
      <w:r w:rsidR="00167BF2" w:rsidRPr="004A78C6">
        <w:rPr>
          <w:rFonts w:cstheme="minorHAnsi"/>
          <w:sz w:val="24"/>
          <w:szCs w:val="24"/>
          <w:u w:val="single"/>
        </w:rPr>
        <w:t xml:space="preserve">odpisów </w:t>
      </w:r>
      <w:r w:rsidRPr="00350486">
        <w:rPr>
          <w:rFonts w:cstheme="minorHAnsi"/>
          <w:sz w:val="24"/>
          <w:szCs w:val="24"/>
          <w:u w:val="single"/>
        </w:rPr>
        <w:t>amortyzac</w:t>
      </w:r>
      <w:r w:rsidR="00167BF2">
        <w:rPr>
          <w:rFonts w:cstheme="minorHAnsi"/>
          <w:sz w:val="24"/>
          <w:szCs w:val="24"/>
          <w:u w:val="single"/>
        </w:rPr>
        <w:t>yjnych,</w:t>
      </w:r>
      <w:r w:rsidRPr="00350486">
        <w:rPr>
          <w:rFonts w:cstheme="minorHAnsi"/>
          <w:sz w:val="24"/>
          <w:szCs w:val="24"/>
        </w:rPr>
        <w:t xml:space="preserve">, </w:t>
      </w:r>
      <w:r w:rsidRPr="00350486">
        <w:rPr>
          <w:rFonts w:cstheme="minorHAnsi"/>
          <w:sz w:val="24"/>
          <w:szCs w:val="24"/>
          <w:u w:val="single"/>
        </w:rPr>
        <w:t>leasingu</w:t>
      </w:r>
      <w:r w:rsidRPr="00350486">
        <w:rPr>
          <w:rFonts w:cstheme="minorHAnsi"/>
          <w:sz w:val="24"/>
          <w:szCs w:val="24"/>
        </w:rPr>
        <w:t xml:space="preserve"> lub w inny sposób. Takie formy </w:t>
      </w:r>
      <w:r w:rsidRPr="00350486">
        <w:rPr>
          <w:rFonts w:cstheme="minorHAnsi"/>
          <w:b/>
          <w:sz w:val="24"/>
          <w:szCs w:val="24"/>
          <w:u w:val="single"/>
        </w:rPr>
        <w:t>wymagają uzasadnienia konieczności pozyskania tych środ</w:t>
      </w:r>
      <w:r w:rsidR="00375A7B" w:rsidRPr="00350486">
        <w:rPr>
          <w:rFonts w:cstheme="minorHAnsi"/>
          <w:b/>
          <w:sz w:val="24"/>
          <w:szCs w:val="24"/>
          <w:u w:val="single"/>
        </w:rPr>
        <w:t>ków we Wniosku o dofinansowanie (Sekcja D – Zadania).</w:t>
      </w:r>
    </w:p>
    <w:p w14:paraId="7C410FDB" w14:textId="105ECDAE" w:rsidR="005355B8" w:rsidRPr="00562CE8" w:rsidRDefault="003C4E6B" w:rsidP="00562CE8">
      <w:pPr>
        <w:spacing w:before="120" w:after="120" w:line="360" w:lineRule="auto"/>
        <w:rPr>
          <w:b/>
          <w:bCs/>
          <w:sz w:val="24"/>
          <w:szCs w:val="24"/>
        </w:rPr>
      </w:pPr>
      <w:r w:rsidRPr="00562CE8">
        <w:rPr>
          <w:b/>
          <w:bCs/>
          <w:sz w:val="24"/>
          <w:szCs w:val="24"/>
        </w:rPr>
        <w:t>Usługi zewnętrzne</w:t>
      </w:r>
    </w:p>
    <w:p w14:paraId="3C284BE6" w14:textId="77777777" w:rsidR="00C17903" w:rsidRPr="00350486" w:rsidRDefault="00C17903" w:rsidP="00350486">
      <w:pPr>
        <w:spacing w:before="120" w:after="120" w:line="360" w:lineRule="auto"/>
        <w:rPr>
          <w:rFonts w:cstheme="minorHAnsi"/>
          <w:sz w:val="24"/>
          <w:szCs w:val="24"/>
        </w:rPr>
      </w:pPr>
      <w:r w:rsidRPr="00350486">
        <w:rPr>
          <w:rFonts w:cstheme="minorHAnsi"/>
          <w:sz w:val="24"/>
          <w:szCs w:val="24"/>
        </w:rPr>
        <w:t>Wydatki poniesione na poniżej wskazane usługi mogą zostać uznane za kwalifikowane:</w:t>
      </w:r>
    </w:p>
    <w:p w14:paraId="362102D4" w14:textId="27AE0E3F" w:rsidR="003C4E6B" w:rsidRPr="00350486" w:rsidRDefault="003C4E6B" w:rsidP="00350486">
      <w:pPr>
        <w:pStyle w:val="Akapitzlist"/>
        <w:numPr>
          <w:ilvl w:val="0"/>
          <w:numId w:val="1"/>
        </w:numPr>
        <w:spacing w:before="120" w:after="120" w:line="360" w:lineRule="auto"/>
        <w:ind w:left="284" w:hanging="284"/>
        <w:contextualSpacing w:val="0"/>
        <w:rPr>
          <w:rFonts w:cstheme="minorHAnsi"/>
          <w:sz w:val="24"/>
          <w:szCs w:val="24"/>
        </w:rPr>
      </w:pPr>
      <w:r w:rsidRPr="00350486">
        <w:rPr>
          <w:rFonts w:cstheme="minorHAnsi"/>
          <w:sz w:val="24"/>
          <w:szCs w:val="24"/>
        </w:rPr>
        <w:t>Opracowanie dokumentacji projektowej i dokumentacji przetar</w:t>
      </w:r>
      <w:r w:rsidR="005B5EA3" w:rsidRPr="00350486">
        <w:rPr>
          <w:rFonts w:cstheme="minorHAnsi"/>
          <w:sz w:val="24"/>
          <w:szCs w:val="24"/>
        </w:rPr>
        <w:t>gowej</w:t>
      </w:r>
      <w:r w:rsidR="00EE5A6E">
        <w:rPr>
          <w:rFonts w:cstheme="minorHAnsi"/>
          <w:sz w:val="24"/>
          <w:szCs w:val="24"/>
        </w:rPr>
        <w:t>:</w:t>
      </w:r>
    </w:p>
    <w:p w14:paraId="2B7659D5" w14:textId="38E37058" w:rsidR="003C4E6B" w:rsidRPr="00350486" w:rsidRDefault="006804B4" w:rsidP="00350486">
      <w:pPr>
        <w:pStyle w:val="Akapit"/>
        <w:keepNext w:val="0"/>
        <w:numPr>
          <w:ilvl w:val="0"/>
          <w:numId w:val="13"/>
        </w:numPr>
        <w:spacing w:before="120" w:after="120"/>
        <w:jc w:val="left"/>
        <w:rPr>
          <w:rFonts w:asciiTheme="minorHAnsi" w:hAnsiTheme="minorHAnsi" w:cstheme="minorHAnsi"/>
        </w:rPr>
      </w:pPr>
      <w:r w:rsidRPr="00350486">
        <w:rPr>
          <w:rFonts w:asciiTheme="minorHAnsi" w:hAnsiTheme="minorHAnsi" w:cstheme="minorHAnsi"/>
        </w:rPr>
        <w:t>koszty</w:t>
      </w:r>
      <w:r w:rsidR="003C4E6B" w:rsidRPr="00350486">
        <w:rPr>
          <w:rFonts w:asciiTheme="minorHAnsi" w:hAnsiTheme="minorHAnsi" w:cstheme="minorHAnsi"/>
        </w:rPr>
        <w:t xml:space="preserve"> poniesione na opracowanie lub aktua</w:t>
      </w:r>
      <w:r w:rsidR="00C17903" w:rsidRPr="00350486">
        <w:rPr>
          <w:rFonts w:asciiTheme="minorHAnsi" w:hAnsiTheme="minorHAnsi" w:cstheme="minorHAnsi"/>
        </w:rPr>
        <w:t>lizację dokumentacji projektowej</w:t>
      </w:r>
      <w:r w:rsidR="00E95B45" w:rsidRPr="00350486">
        <w:rPr>
          <w:rFonts w:asciiTheme="minorHAnsi" w:hAnsiTheme="minorHAnsi" w:cstheme="minorHAnsi"/>
        </w:rPr>
        <w:t xml:space="preserve"> </w:t>
      </w:r>
      <w:r w:rsidR="00987616" w:rsidRPr="00350486">
        <w:rPr>
          <w:rFonts w:asciiTheme="minorHAnsi" w:hAnsiTheme="minorHAnsi" w:cstheme="minorHAnsi"/>
        </w:rPr>
        <w:t xml:space="preserve">(z wyłączeniem wniosku o dofinansowanie) </w:t>
      </w:r>
      <w:r w:rsidRPr="00350486">
        <w:rPr>
          <w:rFonts w:asciiTheme="minorHAnsi" w:hAnsiTheme="minorHAnsi" w:cstheme="minorHAnsi"/>
        </w:rPr>
        <w:t>wraz z kosztami pozyskania niezbędnych opinii i uzgodnień</w:t>
      </w:r>
      <w:r w:rsidR="003C4E6B" w:rsidRPr="00350486">
        <w:rPr>
          <w:rFonts w:asciiTheme="minorHAnsi" w:hAnsiTheme="minorHAnsi" w:cstheme="minorHAnsi"/>
        </w:rPr>
        <w:t>,</w:t>
      </w:r>
    </w:p>
    <w:p w14:paraId="3463A923" w14:textId="54F8E7E4" w:rsidR="00B871BB" w:rsidRPr="00350486" w:rsidRDefault="00FC7930" w:rsidP="00350486">
      <w:pPr>
        <w:pStyle w:val="Akapitzlist"/>
        <w:numPr>
          <w:ilvl w:val="0"/>
          <w:numId w:val="13"/>
        </w:numPr>
        <w:spacing w:before="120" w:after="120" w:line="360" w:lineRule="auto"/>
        <w:rPr>
          <w:rFonts w:cstheme="minorHAnsi"/>
          <w:sz w:val="24"/>
          <w:szCs w:val="24"/>
        </w:rPr>
      </w:pPr>
      <w:r w:rsidRPr="00350486">
        <w:rPr>
          <w:rFonts w:cstheme="minorHAnsi"/>
          <w:sz w:val="24"/>
          <w:szCs w:val="24"/>
        </w:rPr>
        <w:t>koszty</w:t>
      </w:r>
      <w:r w:rsidR="00B871BB" w:rsidRPr="00350486">
        <w:rPr>
          <w:rFonts w:cstheme="minorHAnsi"/>
          <w:sz w:val="24"/>
          <w:szCs w:val="24"/>
        </w:rPr>
        <w:t xml:space="preserve"> </w:t>
      </w:r>
      <w:r w:rsidRPr="00350486">
        <w:rPr>
          <w:rFonts w:cstheme="minorHAnsi"/>
          <w:sz w:val="24"/>
          <w:szCs w:val="24"/>
        </w:rPr>
        <w:t>i opłaty związane</w:t>
      </w:r>
      <w:r w:rsidR="00B871BB" w:rsidRPr="00350486">
        <w:rPr>
          <w:rFonts w:cstheme="minorHAnsi"/>
          <w:sz w:val="24"/>
          <w:szCs w:val="24"/>
        </w:rPr>
        <w:t xml:space="preserve"> z pozyskaniem decyzji administracyjnych niezbędnych dla realizacji inwestycji, w tym decyzji lokalizacyjnych, pozwolenia na budowę</w:t>
      </w:r>
      <w:r w:rsidR="00987616" w:rsidRPr="00350486">
        <w:rPr>
          <w:rFonts w:cstheme="minorHAnsi"/>
          <w:sz w:val="24"/>
          <w:szCs w:val="24"/>
        </w:rPr>
        <w:t>.</w:t>
      </w:r>
      <w:r w:rsidR="00B871BB" w:rsidRPr="00350486">
        <w:rPr>
          <w:rFonts w:cstheme="minorHAnsi"/>
          <w:sz w:val="24"/>
          <w:szCs w:val="24"/>
        </w:rPr>
        <w:t xml:space="preserve"> itp.,</w:t>
      </w:r>
    </w:p>
    <w:p w14:paraId="01526068" w14:textId="7B41132E" w:rsidR="003C4E6B" w:rsidRPr="00350486" w:rsidRDefault="00FC7930" w:rsidP="00350486">
      <w:pPr>
        <w:pStyle w:val="Akapit"/>
        <w:keepNext w:val="0"/>
        <w:numPr>
          <w:ilvl w:val="0"/>
          <w:numId w:val="13"/>
        </w:numPr>
        <w:spacing w:before="120" w:after="120"/>
        <w:jc w:val="left"/>
        <w:rPr>
          <w:rFonts w:asciiTheme="minorHAnsi" w:hAnsiTheme="minorHAnsi" w:cstheme="minorHAnsi"/>
        </w:rPr>
      </w:pPr>
      <w:r w:rsidRPr="00350486">
        <w:rPr>
          <w:rFonts w:asciiTheme="minorHAnsi" w:hAnsiTheme="minorHAnsi" w:cstheme="minorHAnsi"/>
        </w:rPr>
        <w:t>koszty</w:t>
      </w:r>
      <w:r w:rsidR="003C4E6B" w:rsidRPr="00350486">
        <w:rPr>
          <w:rFonts w:asciiTheme="minorHAnsi" w:hAnsiTheme="minorHAnsi" w:cstheme="minorHAnsi"/>
        </w:rPr>
        <w:t xml:space="preserve"> poniesione na nadzór autorski</w:t>
      </w:r>
      <w:r w:rsidR="003A51FE" w:rsidRPr="00350486">
        <w:rPr>
          <w:rFonts w:asciiTheme="minorHAnsi" w:hAnsiTheme="minorHAnsi" w:cstheme="minorHAnsi"/>
        </w:rPr>
        <w:t>,</w:t>
      </w:r>
      <w:r w:rsidR="006B3445" w:rsidRPr="00350486">
        <w:rPr>
          <w:rFonts w:asciiTheme="minorHAnsi" w:hAnsiTheme="minorHAnsi" w:cstheme="minorHAnsi"/>
        </w:rPr>
        <w:t xml:space="preserve"> </w:t>
      </w:r>
      <w:r w:rsidR="000F5108" w:rsidRPr="00350486">
        <w:rPr>
          <w:rFonts w:asciiTheme="minorHAnsi" w:hAnsiTheme="minorHAnsi" w:cstheme="minorHAnsi"/>
        </w:rPr>
        <w:t>ekspertyzy</w:t>
      </w:r>
      <w:r w:rsidR="006B3445" w:rsidRPr="00350486">
        <w:rPr>
          <w:rFonts w:asciiTheme="minorHAnsi" w:hAnsiTheme="minorHAnsi" w:cstheme="minorHAnsi"/>
        </w:rPr>
        <w:t xml:space="preserve"> oraz</w:t>
      </w:r>
      <w:r w:rsidR="003A51FE" w:rsidRPr="00350486">
        <w:rPr>
          <w:rFonts w:asciiTheme="minorHAnsi" w:hAnsiTheme="minorHAnsi" w:cstheme="minorHAnsi"/>
        </w:rPr>
        <w:t xml:space="preserve"> nadzory</w:t>
      </w:r>
      <w:r w:rsidR="006804B4" w:rsidRPr="00350486">
        <w:rPr>
          <w:rFonts w:asciiTheme="minorHAnsi" w:hAnsiTheme="minorHAnsi" w:cstheme="minorHAnsi"/>
        </w:rPr>
        <w:t xml:space="preserve"> specjalistyczne</w:t>
      </w:r>
      <w:r w:rsidR="0080710F" w:rsidRPr="00350486">
        <w:rPr>
          <w:rFonts w:asciiTheme="minorHAnsi" w:hAnsiTheme="minorHAnsi" w:cstheme="minorHAnsi"/>
        </w:rPr>
        <w:t xml:space="preserve"> (</w:t>
      </w:r>
      <w:r w:rsidR="00D37208" w:rsidRPr="00350486">
        <w:rPr>
          <w:rFonts w:asciiTheme="minorHAnsi" w:hAnsiTheme="minorHAnsi" w:cstheme="minorHAnsi"/>
        </w:rPr>
        <w:t xml:space="preserve">np. </w:t>
      </w:r>
      <w:r w:rsidR="006804B4" w:rsidRPr="00350486">
        <w:rPr>
          <w:rFonts w:asciiTheme="minorHAnsi" w:hAnsiTheme="minorHAnsi" w:cstheme="minorHAnsi"/>
        </w:rPr>
        <w:t xml:space="preserve">geotechniczny, </w:t>
      </w:r>
      <w:r w:rsidR="0080710F" w:rsidRPr="00350486">
        <w:rPr>
          <w:rFonts w:asciiTheme="minorHAnsi" w:hAnsiTheme="minorHAnsi" w:cstheme="minorHAnsi"/>
        </w:rPr>
        <w:t>archeologiczny, konserwatorski)</w:t>
      </w:r>
      <w:r w:rsidR="003C4E6B" w:rsidRPr="00350486">
        <w:rPr>
          <w:rFonts w:asciiTheme="minorHAnsi" w:hAnsiTheme="minorHAnsi" w:cstheme="minorHAnsi"/>
        </w:rPr>
        <w:t>,</w:t>
      </w:r>
    </w:p>
    <w:p w14:paraId="504922AA" w14:textId="5622B87B" w:rsidR="003C4E6B" w:rsidRPr="00350486" w:rsidRDefault="003C4E6B" w:rsidP="00350486">
      <w:pPr>
        <w:pStyle w:val="Akapit"/>
        <w:keepNext w:val="0"/>
        <w:numPr>
          <w:ilvl w:val="0"/>
          <w:numId w:val="13"/>
        </w:numPr>
        <w:spacing w:before="120" w:after="120"/>
        <w:jc w:val="left"/>
        <w:rPr>
          <w:rFonts w:asciiTheme="minorHAnsi" w:hAnsiTheme="minorHAnsi" w:cstheme="minorHAnsi"/>
        </w:rPr>
      </w:pPr>
      <w:r w:rsidRPr="00350486">
        <w:rPr>
          <w:rFonts w:asciiTheme="minorHAnsi" w:hAnsiTheme="minorHAnsi" w:cstheme="minorHAnsi"/>
        </w:rPr>
        <w:t>przygoto</w:t>
      </w:r>
      <w:r w:rsidR="006804B4" w:rsidRPr="00350486">
        <w:rPr>
          <w:rFonts w:asciiTheme="minorHAnsi" w:hAnsiTheme="minorHAnsi" w:cstheme="minorHAnsi"/>
        </w:rPr>
        <w:t>wanie dokumentacji przetargowej,</w:t>
      </w:r>
      <w:r w:rsidR="00B871BB" w:rsidRPr="00350486">
        <w:rPr>
          <w:rFonts w:asciiTheme="minorHAnsi" w:hAnsiTheme="minorHAnsi" w:cstheme="minorHAnsi"/>
        </w:rPr>
        <w:t xml:space="preserve"> w tym opracowaniem SIWZ, czy sporządzeniem</w:t>
      </w:r>
      <w:r w:rsidR="000F5108" w:rsidRPr="00350486">
        <w:rPr>
          <w:rFonts w:asciiTheme="minorHAnsi" w:hAnsiTheme="minorHAnsi" w:cstheme="minorHAnsi"/>
        </w:rPr>
        <w:t>/aktualizacją</w:t>
      </w:r>
      <w:r w:rsidR="00B871BB" w:rsidRPr="00350486">
        <w:rPr>
          <w:rFonts w:asciiTheme="minorHAnsi" w:hAnsiTheme="minorHAnsi" w:cstheme="minorHAnsi"/>
        </w:rPr>
        <w:t xml:space="preserve"> kosztorysów inwestorskich</w:t>
      </w:r>
      <w:r w:rsidR="000F7E8A" w:rsidRPr="00350486">
        <w:rPr>
          <w:rFonts w:asciiTheme="minorHAnsi" w:hAnsiTheme="minorHAnsi" w:cstheme="minorHAnsi"/>
        </w:rPr>
        <w:t>,</w:t>
      </w:r>
    </w:p>
    <w:p w14:paraId="43217D6C" w14:textId="7B8FB1A2" w:rsidR="00B871BB" w:rsidRPr="00350486" w:rsidRDefault="00B871BB" w:rsidP="00350486">
      <w:pPr>
        <w:pStyle w:val="Akapitzlist"/>
        <w:numPr>
          <w:ilvl w:val="0"/>
          <w:numId w:val="13"/>
        </w:numPr>
        <w:spacing w:before="120" w:after="120" w:line="360" w:lineRule="auto"/>
        <w:ind w:left="714" w:hanging="357"/>
        <w:contextualSpacing w:val="0"/>
        <w:rPr>
          <w:rFonts w:cstheme="minorHAnsi"/>
          <w:sz w:val="24"/>
          <w:szCs w:val="24"/>
        </w:rPr>
      </w:pPr>
      <w:r w:rsidRPr="00350486">
        <w:rPr>
          <w:rFonts w:cstheme="minorHAnsi"/>
          <w:sz w:val="24"/>
          <w:szCs w:val="24"/>
        </w:rPr>
        <w:t>koszt</w:t>
      </w:r>
      <w:r w:rsidR="00FC7930" w:rsidRPr="00350486">
        <w:rPr>
          <w:rFonts w:cstheme="minorHAnsi"/>
          <w:sz w:val="24"/>
          <w:szCs w:val="24"/>
        </w:rPr>
        <w:t>y</w:t>
      </w:r>
      <w:r w:rsidRPr="00350486">
        <w:rPr>
          <w:rFonts w:cstheme="minorHAnsi"/>
          <w:sz w:val="24"/>
          <w:szCs w:val="24"/>
        </w:rPr>
        <w:t xml:space="preserve"> opracowania dokumentacji służącej ocenie oddziaływania na środowisko planowanej inwestycji.</w:t>
      </w:r>
    </w:p>
    <w:p w14:paraId="0CBDC787" w14:textId="32EDF1D9" w:rsidR="00DB42BD" w:rsidRPr="00350486" w:rsidRDefault="00DB42BD" w:rsidP="00350486">
      <w:pPr>
        <w:spacing w:before="120" w:after="120" w:line="360" w:lineRule="auto"/>
        <w:ind w:left="284"/>
        <w:rPr>
          <w:rFonts w:cstheme="minorHAnsi"/>
          <w:sz w:val="24"/>
          <w:szCs w:val="24"/>
        </w:rPr>
      </w:pPr>
      <w:r w:rsidRPr="00350486">
        <w:rPr>
          <w:rFonts w:cstheme="minorHAnsi"/>
          <w:sz w:val="24"/>
          <w:szCs w:val="24"/>
        </w:rPr>
        <w:t xml:space="preserve">W przypadku zamówień dotyczących opracowania dokumentacji projektowej i przetargowej, w skład których wchodzą opłaty za przygotowanie podkładów mapowych, uzgodnień administracyjnych (pozwolenie na budowę, decyzja </w:t>
      </w:r>
      <w:proofErr w:type="spellStart"/>
      <w:r w:rsidRPr="00350486">
        <w:rPr>
          <w:rFonts w:cstheme="minorHAnsi"/>
          <w:sz w:val="24"/>
          <w:szCs w:val="24"/>
        </w:rPr>
        <w:t>ooś</w:t>
      </w:r>
      <w:proofErr w:type="spellEnd"/>
      <w:r w:rsidRPr="00350486">
        <w:rPr>
          <w:rFonts w:cstheme="minorHAnsi"/>
          <w:sz w:val="24"/>
          <w:szCs w:val="24"/>
        </w:rPr>
        <w:t xml:space="preserve">, decyzja lokalizacyjna) powinny być one ujęte w tej samej kategorii. </w:t>
      </w:r>
      <w:r w:rsidRPr="00350486">
        <w:rPr>
          <w:rFonts w:cstheme="minorHAnsi"/>
          <w:sz w:val="24"/>
          <w:szCs w:val="24"/>
          <w:u w:val="single"/>
        </w:rPr>
        <w:t>Nie zaleca się dzielenia jednego zamówienia na kilka kategorii</w:t>
      </w:r>
      <w:r w:rsidR="00E1620F" w:rsidRPr="00350486">
        <w:rPr>
          <w:rFonts w:cstheme="minorHAnsi"/>
          <w:sz w:val="24"/>
          <w:szCs w:val="24"/>
        </w:rPr>
        <w:t>,</w:t>
      </w:r>
      <w:r w:rsidRPr="00350486">
        <w:rPr>
          <w:rFonts w:cstheme="minorHAnsi"/>
          <w:sz w:val="24"/>
          <w:szCs w:val="24"/>
        </w:rPr>
        <w:t xml:space="preserve"> np. „Usługi zewnętrzne” czy „Podatki i opłaty”.</w:t>
      </w:r>
    </w:p>
    <w:p w14:paraId="692F37A6" w14:textId="0859A7FB" w:rsidR="00552262" w:rsidRPr="00350486" w:rsidRDefault="00552262" w:rsidP="00350486">
      <w:pPr>
        <w:pStyle w:val="Akapitzlist"/>
        <w:numPr>
          <w:ilvl w:val="0"/>
          <w:numId w:val="1"/>
        </w:numPr>
        <w:spacing w:before="120" w:after="120" w:line="360" w:lineRule="auto"/>
        <w:ind w:left="284" w:hanging="284"/>
        <w:contextualSpacing w:val="0"/>
        <w:rPr>
          <w:rFonts w:cstheme="minorHAnsi"/>
          <w:sz w:val="24"/>
          <w:szCs w:val="24"/>
        </w:rPr>
      </w:pPr>
      <w:r w:rsidRPr="00350486">
        <w:rPr>
          <w:rFonts w:cstheme="minorHAnsi"/>
          <w:sz w:val="24"/>
          <w:szCs w:val="24"/>
        </w:rPr>
        <w:t>Działania informacyjne i promocyjne</w:t>
      </w:r>
      <w:r w:rsidR="00EE5A6E">
        <w:rPr>
          <w:rFonts w:cstheme="minorHAnsi"/>
          <w:sz w:val="24"/>
          <w:szCs w:val="24"/>
        </w:rPr>
        <w:t>:</w:t>
      </w:r>
    </w:p>
    <w:p w14:paraId="0DCACA33" w14:textId="00A994E9" w:rsidR="00552262" w:rsidRPr="00350486" w:rsidRDefault="000A0F44" w:rsidP="00350486">
      <w:pPr>
        <w:pStyle w:val="Tekstpodstawowy2"/>
        <w:numPr>
          <w:ilvl w:val="0"/>
          <w:numId w:val="9"/>
        </w:numPr>
        <w:spacing w:before="120" w:after="120" w:line="360" w:lineRule="auto"/>
        <w:ind w:left="709"/>
        <w:jc w:val="left"/>
        <w:rPr>
          <w:rFonts w:asciiTheme="minorHAnsi" w:hAnsiTheme="minorHAnsi" w:cstheme="minorHAnsi"/>
        </w:rPr>
      </w:pPr>
      <w:r w:rsidRPr="00350486">
        <w:rPr>
          <w:rFonts w:asciiTheme="minorHAnsi" w:hAnsiTheme="minorHAnsi" w:cstheme="minorHAnsi"/>
        </w:rPr>
        <w:lastRenderedPageBreak/>
        <w:t>Wydatki</w:t>
      </w:r>
      <w:r w:rsidR="0071513F" w:rsidRPr="00350486">
        <w:rPr>
          <w:rFonts w:asciiTheme="minorHAnsi" w:hAnsiTheme="minorHAnsi" w:cstheme="minorHAnsi"/>
        </w:rPr>
        <w:t>,</w:t>
      </w:r>
      <w:r w:rsidRPr="00350486">
        <w:rPr>
          <w:rFonts w:asciiTheme="minorHAnsi" w:hAnsiTheme="minorHAnsi" w:cstheme="minorHAnsi"/>
        </w:rPr>
        <w:t xml:space="preserve"> do </w:t>
      </w:r>
      <w:r w:rsidR="0071513F" w:rsidRPr="00350486">
        <w:rPr>
          <w:rFonts w:asciiTheme="minorHAnsi" w:hAnsiTheme="minorHAnsi" w:cstheme="minorHAnsi"/>
        </w:rPr>
        <w:t xml:space="preserve">poniesienia </w:t>
      </w:r>
      <w:r w:rsidRPr="00350486">
        <w:rPr>
          <w:rFonts w:asciiTheme="minorHAnsi" w:hAnsiTheme="minorHAnsi" w:cstheme="minorHAnsi"/>
        </w:rPr>
        <w:t xml:space="preserve">których </w:t>
      </w:r>
      <w:r w:rsidR="0071513F" w:rsidRPr="00350486">
        <w:rPr>
          <w:rFonts w:asciiTheme="minorHAnsi" w:hAnsiTheme="minorHAnsi" w:cstheme="minorHAnsi"/>
        </w:rPr>
        <w:t>Beneficjent jest zobowiązany celem</w:t>
      </w:r>
      <w:r w:rsidR="00552262" w:rsidRPr="00350486">
        <w:rPr>
          <w:rFonts w:asciiTheme="minorHAnsi" w:hAnsiTheme="minorHAnsi" w:cstheme="minorHAnsi"/>
        </w:rPr>
        <w:t xml:space="preserve"> wypełniania obowiązków informacyjnych i promocyjnych, w tym informowania społeczeństwa o dofinansowaniu projektu przez Unię Europejską, zgodnie z rozporządzeniem nr 2021/1060 (w szczególności z załącznikiem</w:t>
      </w:r>
      <w:r w:rsidR="002261A8" w:rsidRPr="00350486">
        <w:rPr>
          <w:rFonts w:asciiTheme="minorHAnsi" w:hAnsiTheme="minorHAnsi" w:cstheme="minorHAnsi"/>
        </w:rPr>
        <w:t xml:space="preserve"> IX - Komunikacja i Widoczność</w:t>
      </w:r>
      <w:r w:rsidR="0087079F" w:rsidRPr="00350486">
        <w:rPr>
          <w:rFonts w:asciiTheme="minorHAnsi" w:hAnsiTheme="minorHAnsi" w:cstheme="minorHAnsi"/>
        </w:rPr>
        <w:t>). Wymogi dotyczące prowadzenia przez beneficjentów działań informacyjnych i promocyjnych dotyczących projektów współfinansowanych ze środków Unii Europejskiej zostały określone w</w:t>
      </w:r>
      <w:r w:rsidR="00695637" w:rsidRPr="00350486">
        <w:rPr>
          <w:rFonts w:asciiTheme="minorHAnsi" w:hAnsiTheme="minorHAnsi" w:cstheme="minorHAnsi"/>
        </w:rPr>
        <w:t xml:space="preserve"> „Wytycznych dotyczących informacji i promocji Funduszy Europejskich na lata 2021-2027” oraz w „Wytycznych dotyczących realizacji zasad równościowych w ramach funduszy unijnych na lata 2021-2027”.</w:t>
      </w:r>
    </w:p>
    <w:p w14:paraId="3A6AEC8D" w14:textId="08894B00" w:rsidR="00552262" w:rsidRPr="00350486" w:rsidRDefault="00552262" w:rsidP="00350486">
      <w:pPr>
        <w:numPr>
          <w:ilvl w:val="0"/>
          <w:numId w:val="9"/>
        </w:numPr>
        <w:spacing w:before="120" w:after="120" w:line="360" w:lineRule="auto"/>
        <w:ind w:left="567" w:hanging="283"/>
        <w:rPr>
          <w:rFonts w:cstheme="minorHAnsi"/>
          <w:sz w:val="24"/>
          <w:szCs w:val="24"/>
        </w:rPr>
      </w:pPr>
      <w:r w:rsidRPr="00350486">
        <w:rPr>
          <w:rFonts w:cstheme="minorHAnsi"/>
          <w:sz w:val="24"/>
          <w:szCs w:val="24"/>
        </w:rPr>
        <w:t xml:space="preserve">Wydatki związane z działaniami informacyjno-promocyjnymi </w:t>
      </w:r>
      <w:r w:rsidRPr="00350486">
        <w:rPr>
          <w:rFonts w:eastAsia="MS Mincho" w:cstheme="minorHAnsi"/>
          <w:sz w:val="24"/>
          <w:szCs w:val="24"/>
          <w:lang w:eastAsia="ja-JP"/>
        </w:rPr>
        <w:t xml:space="preserve">mogą być uznane za kwalifikowalne </w:t>
      </w:r>
      <w:r w:rsidRPr="00350486">
        <w:rPr>
          <w:rFonts w:eastAsia="MS Mincho" w:cstheme="minorHAnsi"/>
          <w:b/>
          <w:sz w:val="24"/>
          <w:szCs w:val="24"/>
          <w:u w:val="single"/>
          <w:lang w:eastAsia="ja-JP"/>
        </w:rPr>
        <w:t>pod warunkiem ich bezpośredniego wskazania we wniosku o dofinansowanie – Załącznik 5 do Wniosku o dofinansowanie.</w:t>
      </w:r>
      <w:r w:rsidRPr="00350486">
        <w:rPr>
          <w:rFonts w:cstheme="minorHAnsi"/>
          <w:sz w:val="24"/>
          <w:szCs w:val="24"/>
        </w:rPr>
        <w:t xml:space="preserve"> Koszty działań nie ujęte we wniosku o dofinansowanie lub w umowie o dofinansowanie nie będą uznane za kwalifikowane. Zmiana działań info-</w:t>
      </w:r>
      <w:proofErr w:type="spellStart"/>
      <w:r w:rsidRPr="00350486">
        <w:rPr>
          <w:rFonts w:cstheme="minorHAnsi"/>
          <w:sz w:val="24"/>
          <w:szCs w:val="24"/>
        </w:rPr>
        <w:t>promo</w:t>
      </w:r>
      <w:proofErr w:type="spellEnd"/>
      <w:r w:rsidRPr="00350486">
        <w:rPr>
          <w:rFonts w:cstheme="minorHAnsi"/>
          <w:sz w:val="24"/>
          <w:szCs w:val="24"/>
        </w:rPr>
        <w:t xml:space="preserve"> wymaga każdorazo</w:t>
      </w:r>
      <w:r w:rsidR="002261A8" w:rsidRPr="00350486">
        <w:rPr>
          <w:rFonts w:cstheme="minorHAnsi"/>
          <w:sz w:val="24"/>
          <w:szCs w:val="24"/>
        </w:rPr>
        <w:t>wo zgody Instytucji Wdrażającej,</w:t>
      </w:r>
    </w:p>
    <w:p w14:paraId="3301A3BB" w14:textId="4C9F5EF4" w:rsidR="00552262" w:rsidRPr="00350486" w:rsidRDefault="00552262" w:rsidP="00350486">
      <w:pPr>
        <w:numPr>
          <w:ilvl w:val="0"/>
          <w:numId w:val="9"/>
        </w:numPr>
        <w:spacing w:before="120" w:after="120" w:line="360" w:lineRule="auto"/>
        <w:ind w:left="567" w:hanging="283"/>
        <w:rPr>
          <w:rFonts w:cstheme="minorHAnsi"/>
          <w:sz w:val="24"/>
          <w:szCs w:val="24"/>
        </w:rPr>
      </w:pPr>
      <w:r w:rsidRPr="00350486">
        <w:rPr>
          <w:rFonts w:cstheme="minorHAnsi"/>
          <w:sz w:val="24"/>
          <w:szCs w:val="24"/>
        </w:rPr>
        <w:t>Działania informacyjne i promocyjne powinny odpowiadać wielkości projektu oraz brać pod uwagę jego cel i rodzaj, tzn. uwzględniać jego potrzeby p</w:t>
      </w:r>
      <w:r w:rsidR="002261A8" w:rsidRPr="00350486">
        <w:rPr>
          <w:rFonts w:cstheme="minorHAnsi"/>
          <w:sz w:val="24"/>
          <w:szCs w:val="24"/>
        </w:rPr>
        <w:t>romocyjne, w tym grupy docelowe,</w:t>
      </w:r>
    </w:p>
    <w:p w14:paraId="60F313D9" w14:textId="68AB16E3" w:rsidR="00552262" w:rsidRPr="00350486" w:rsidRDefault="00552262" w:rsidP="00350486">
      <w:pPr>
        <w:numPr>
          <w:ilvl w:val="0"/>
          <w:numId w:val="9"/>
        </w:numPr>
        <w:spacing w:before="120" w:after="120" w:line="360" w:lineRule="auto"/>
        <w:ind w:left="567" w:hanging="283"/>
        <w:rPr>
          <w:rFonts w:cstheme="minorHAnsi"/>
          <w:sz w:val="24"/>
          <w:szCs w:val="24"/>
        </w:rPr>
      </w:pPr>
      <w:r w:rsidRPr="00350486">
        <w:rPr>
          <w:rFonts w:cstheme="minorHAnsi"/>
          <w:sz w:val="24"/>
          <w:szCs w:val="24"/>
        </w:rPr>
        <w:t>Produkcja i dystrybucja przedmiotów promocyjnych typu gadżety nie jest rekomendowanym narzędziem promocji projektu. Wydatki na cele reprezentacyjne, których nie można jednoznacznie uznać za związane z promocją projektu, są niedozwolone. Przedmiotów o charakterze upominkowym nie można stosować w ko</w:t>
      </w:r>
      <w:r w:rsidR="002261A8" w:rsidRPr="00350486">
        <w:rPr>
          <w:rFonts w:cstheme="minorHAnsi"/>
          <w:sz w:val="24"/>
          <w:szCs w:val="24"/>
        </w:rPr>
        <w:t>munikacji Funduszy Europejskich,</w:t>
      </w:r>
    </w:p>
    <w:p w14:paraId="409B6933" w14:textId="5B06F398" w:rsidR="00552262" w:rsidRPr="00350486" w:rsidRDefault="00552262" w:rsidP="00350486">
      <w:pPr>
        <w:numPr>
          <w:ilvl w:val="0"/>
          <w:numId w:val="9"/>
        </w:numPr>
        <w:spacing w:before="120" w:after="120" w:line="360" w:lineRule="auto"/>
        <w:ind w:left="567" w:hanging="283"/>
        <w:rPr>
          <w:rFonts w:cstheme="minorHAnsi"/>
          <w:sz w:val="24"/>
          <w:szCs w:val="24"/>
        </w:rPr>
      </w:pPr>
      <w:r w:rsidRPr="00350486">
        <w:rPr>
          <w:rFonts w:cstheme="minorHAnsi"/>
          <w:sz w:val="24"/>
          <w:szCs w:val="24"/>
        </w:rPr>
        <w:t xml:space="preserve">Działania informacyjne i promocyjne mogą być realizowane wyłącznie w obszarze </w:t>
      </w:r>
      <w:r w:rsidR="00243269" w:rsidRPr="00350486">
        <w:rPr>
          <w:rFonts w:cstheme="minorHAnsi"/>
          <w:sz w:val="24"/>
          <w:szCs w:val="24"/>
        </w:rPr>
        <w:t xml:space="preserve">wykorzystania/przeznaczenia </w:t>
      </w:r>
      <w:r w:rsidRPr="00350486">
        <w:rPr>
          <w:rFonts w:cstheme="minorHAnsi"/>
          <w:sz w:val="24"/>
          <w:szCs w:val="24"/>
        </w:rPr>
        <w:t>Funduszy Europejskich, z wyłączeniem działań mających inny zakres tj. np. kampanii politycznych.</w:t>
      </w:r>
    </w:p>
    <w:p w14:paraId="0521F46C" w14:textId="728DEAA6" w:rsidR="003C4E6B" w:rsidRPr="00562CE8" w:rsidRDefault="00C760F9" w:rsidP="00562CE8">
      <w:pPr>
        <w:rPr>
          <w:b/>
          <w:bCs/>
          <w:sz w:val="24"/>
          <w:szCs w:val="24"/>
        </w:rPr>
      </w:pPr>
      <w:r w:rsidRPr="00562CE8">
        <w:rPr>
          <w:b/>
          <w:bCs/>
          <w:sz w:val="24"/>
          <w:szCs w:val="24"/>
        </w:rPr>
        <w:t>Wartości niematerialne i prawne</w:t>
      </w:r>
    </w:p>
    <w:p w14:paraId="3642C404" w14:textId="389EBC43" w:rsidR="002560A8" w:rsidRPr="00350486" w:rsidRDefault="002560A8" w:rsidP="00350486">
      <w:pPr>
        <w:pStyle w:val="Akapitzlist"/>
        <w:numPr>
          <w:ilvl w:val="0"/>
          <w:numId w:val="15"/>
        </w:numPr>
        <w:autoSpaceDE w:val="0"/>
        <w:autoSpaceDN w:val="0"/>
        <w:adjustRightInd w:val="0"/>
        <w:spacing w:before="120" w:after="120" w:line="360" w:lineRule="auto"/>
        <w:ind w:left="284" w:hanging="284"/>
        <w:contextualSpacing w:val="0"/>
        <w:rPr>
          <w:rFonts w:cstheme="minorHAnsi"/>
          <w:sz w:val="24"/>
          <w:szCs w:val="24"/>
        </w:rPr>
      </w:pPr>
      <w:r w:rsidRPr="00350486">
        <w:rPr>
          <w:rFonts w:cstheme="minorHAnsi"/>
          <w:sz w:val="24"/>
          <w:szCs w:val="24"/>
        </w:rPr>
        <w:t xml:space="preserve">Wartości niematerialne i prawne – o których mowa w art. 3 ust. 1 pkt 14 ustawy z dnia 29 września 1994 r. o rachunkowości </w:t>
      </w:r>
      <w:r w:rsidR="00EE5A6E" w:rsidRPr="00EE5A6E">
        <w:rPr>
          <w:rFonts w:cstheme="minorHAnsi"/>
          <w:sz w:val="24"/>
          <w:szCs w:val="24"/>
        </w:rPr>
        <w:t>(</w:t>
      </w:r>
      <w:proofErr w:type="spellStart"/>
      <w:r w:rsidR="00EE5A6E">
        <w:rPr>
          <w:rFonts w:cstheme="minorHAnsi"/>
          <w:sz w:val="24"/>
          <w:szCs w:val="24"/>
        </w:rPr>
        <w:t>t.j</w:t>
      </w:r>
      <w:proofErr w:type="spellEnd"/>
      <w:r w:rsidR="00EE5A6E">
        <w:rPr>
          <w:rFonts w:cstheme="minorHAnsi"/>
          <w:sz w:val="24"/>
          <w:szCs w:val="24"/>
        </w:rPr>
        <w:t xml:space="preserve">. </w:t>
      </w:r>
      <w:r w:rsidR="00EE5A6E" w:rsidRPr="00EE5A6E">
        <w:rPr>
          <w:rFonts w:cstheme="minorHAnsi"/>
          <w:sz w:val="24"/>
          <w:szCs w:val="24"/>
        </w:rPr>
        <w:t>Dz.U. z 2023 r. poz. 120</w:t>
      </w:r>
      <w:r w:rsidR="00EE5A6E">
        <w:rPr>
          <w:rFonts w:cstheme="minorHAnsi"/>
          <w:sz w:val="24"/>
          <w:szCs w:val="24"/>
        </w:rPr>
        <w:t xml:space="preserve"> z </w:t>
      </w:r>
      <w:proofErr w:type="spellStart"/>
      <w:r w:rsidR="00EE5A6E">
        <w:rPr>
          <w:rFonts w:cstheme="minorHAnsi"/>
          <w:sz w:val="24"/>
          <w:szCs w:val="24"/>
        </w:rPr>
        <w:t>późn</w:t>
      </w:r>
      <w:proofErr w:type="spellEnd"/>
      <w:r w:rsidR="00EE5A6E">
        <w:rPr>
          <w:rFonts w:cstheme="minorHAnsi"/>
          <w:sz w:val="24"/>
          <w:szCs w:val="24"/>
        </w:rPr>
        <w:t>. zm.</w:t>
      </w:r>
      <w:r w:rsidR="00EE5A6E" w:rsidRPr="00EE5A6E">
        <w:rPr>
          <w:rFonts w:cstheme="minorHAnsi"/>
          <w:sz w:val="24"/>
          <w:szCs w:val="24"/>
        </w:rPr>
        <w:t>)</w:t>
      </w:r>
      <w:r w:rsidRPr="00350486">
        <w:rPr>
          <w:rFonts w:cstheme="minorHAnsi"/>
          <w:sz w:val="24"/>
          <w:szCs w:val="24"/>
        </w:rPr>
        <w:t xml:space="preserve">z zastrzeżeniem </w:t>
      </w:r>
      <w:r w:rsidRPr="00350486">
        <w:rPr>
          <w:rFonts w:cstheme="minorHAnsi"/>
          <w:sz w:val="24"/>
          <w:szCs w:val="24"/>
        </w:rPr>
        <w:lastRenderedPageBreak/>
        <w:t>inwestycji, o których mowa w  art. 3 ust. 1 pkt 17 tej ustawy, nabyte przez jednostkę, zaliczane do aktywów trwałych, prawa majątkowe nadające się do gospodarczego wykorzystania, o przewidywanym okresie ekonomicznej użyteczności dłuższym niż rok, przeznaczone do używania na potrzeby jednostki</w:t>
      </w:r>
      <w:r w:rsidRPr="00350486">
        <w:rPr>
          <w:rStyle w:val="Odwoanieprzypisudolnego"/>
          <w:rFonts w:cstheme="minorHAnsi"/>
          <w:sz w:val="24"/>
          <w:szCs w:val="24"/>
        </w:rPr>
        <w:footnoteReference w:id="1"/>
      </w:r>
      <w:r w:rsidR="0040183A" w:rsidRPr="00350486">
        <w:rPr>
          <w:rFonts w:cstheme="minorHAnsi"/>
          <w:sz w:val="24"/>
          <w:szCs w:val="24"/>
        </w:rPr>
        <w:t>.</w:t>
      </w:r>
    </w:p>
    <w:p w14:paraId="1DB82C91" w14:textId="21C8849B" w:rsidR="00292ABC" w:rsidRPr="00350486" w:rsidRDefault="00DC3897" w:rsidP="00350486">
      <w:pPr>
        <w:numPr>
          <w:ilvl w:val="0"/>
          <w:numId w:val="15"/>
        </w:numPr>
        <w:spacing w:before="120" w:after="120" w:line="360" w:lineRule="auto"/>
        <w:ind w:left="284" w:hanging="284"/>
        <w:rPr>
          <w:rFonts w:cstheme="minorHAnsi"/>
          <w:sz w:val="24"/>
          <w:szCs w:val="24"/>
        </w:rPr>
      </w:pPr>
      <w:r w:rsidRPr="00350486">
        <w:rPr>
          <w:rFonts w:cstheme="minorHAnsi"/>
          <w:sz w:val="24"/>
          <w:szCs w:val="24"/>
        </w:rPr>
        <w:t>Zaliczamy do nich w szczególności: autorskie prawa majątkowe, prawa pokrewne, licencje, koncesje, prawa do wynalazków, patentów, znaków towarowych, wzorów użytkowych oraz zdobniczych, know-how.</w:t>
      </w:r>
    </w:p>
    <w:p w14:paraId="6FD39171" w14:textId="29CD2A07" w:rsidR="00DC3897" w:rsidRPr="00B80C1A" w:rsidRDefault="00DC3897" w:rsidP="004A78C6">
      <w:pPr>
        <w:pStyle w:val="mainpub"/>
        <w:spacing w:line="360" w:lineRule="auto"/>
        <w:ind w:left="284"/>
        <w:rPr>
          <w:rFonts w:cstheme="minorHAnsi"/>
          <w:b/>
          <w:u w:val="single"/>
        </w:rPr>
      </w:pPr>
      <w:r w:rsidRPr="00350486">
        <w:rPr>
          <w:rFonts w:asciiTheme="minorHAnsi" w:hAnsiTheme="minorHAnsi" w:cstheme="minorHAnsi"/>
        </w:rPr>
        <w:t>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8440A9" w:rsidRPr="00350486">
        <w:rPr>
          <w:rFonts w:asciiTheme="minorHAnsi" w:hAnsiTheme="minorHAnsi" w:cstheme="minorHAnsi"/>
        </w:rPr>
        <w:t xml:space="preserve"> z dnia 29 września 1994 r. tj. z dnia 4 listopada 2022 r.</w:t>
      </w:r>
    </w:p>
    <w:p w14:paraId="1736C83C" w14:textId="680A57B4" w:rsidR="00442CC6" w:rsidRPr="00350486" w:rsidRDefault="00442CC6" w:rsidP="00350486">
      <w:pPr>
        <w:pStyle w:val="Akapitzlist"/>
        <w:numPr>
          <w:ilvl w:val="0"/>
          <w:numId w:val="15"/>
        </w:numPr>
        <w:spacing w:before="120" w:after="120" w:line="360" w:lineRule="auto"/>
        <w:ind w:left="284" w:hanging="284"/>
        <w:contextualSpacing w:val="0"/>
        <w:rPr>
          <w:rFonts w:cstheme="minorHAnsi"/>
          <w:b/>
          <w:sz w:val="24"/>
          <w:szCs w:val="24"/>
          <w:u w:val="single"/>
        </w:rPr>
      </w:pPr>
      <w:r w:rsidRPr="00350486">
        <w:rPr>
          <w:rFonts w:cstheme="minorHAnsi"/>
          <w:bCs/>
          <w:sz w:val="24"/>
          <w:szCs w:val="24"/>
        </w:rPr>
        <w:t>Koszty</w:t>
      </w:r>
      <w:r w:rsidRPr="00350486">
        <w:rPr>
          <w:rFonts w:cstheme="minorHAnsi"/>
          <w:sz w:val="24"/>
          <w:szCs w:val="24"/>
        </w:rPr>
        <w:t xml:space="preserve"> p</w:t>
      </w:r>
      <w:r w:rsidR="00DB262E" w:rsidRPr="00350486">
        <w:rPr>
          <w:rFonts w:cstheme="minorHAnsi"/>
          <w:sz w:val="24"/>
          <w:szCs w:val="24"/>
        </w:rPr>
        <w:t xml:space="preserve">ozyskania </w:t>
      </w:r>
      <w:r w:rsidRPr="00350486">
        <w:rPr>
          <w:rFonts w:cstheme="minorHAnsi"/>
          <w:sz w:val="24"/>
          <w:szCs w:val="24"/>
        </w:rPr>
        <w:t xml:space="preserve">wartości niematerialnych i prawnych w formie </w:t>
      </w:r>
      <w:r w:rsidRPr="00350486">
        <w:rPr>
          <w:rFonts w:cstheme="minorHAnsi"/>
          <w:sz w:val="24"/>
          <w:szCs w:val="24"/>
          <w:u w:val="single"/>
        </w:rPr>
        <w:t>amortyzacji</w:t>
      </w:r>
      <w:r w:rsidRPr="00350486">
        <w:rPr>
          <w:rFonts w:cstheme="minorHAnsi"/>
          <w:sz w:val="24"/>
          <w:szCs w:val="24"/>
        </w:rPr>
        <w:t xml:space="preserve">, </w:t>
      </w:r>
      <w:r w:rsidRPr="00350486">
        <w:rPr>
          <w:rFonts w:cstheme="minorHAnsi"/>
          <w:sz w:val="24"/>
          <w:szCs w:val="24"/>
          <w:u w:val="single"/>
        </w:rPr>
        <w:t>leasingu</w:t>
      </w:r>
      <w:r w:rsidRPr="00350486">
        <w:rPr>
          <w:rFonts w:cstheme="minorHAnsi"/>
          <w:sz w:val="24"/>
          <w:szCs w:val="24"/>
        </w:rPr>
        <w:t xml:space="preserve"> lub w inny sposób </w:t>
      </w:r>
      <w:r w:rsidRPr="00350486">
        <w:rPr>
          <w:rFonts w:cstheme="minorHAnsi"/>
          <w:b/>
          <w:sz w:val="24"/>
          <w:szCs w:val="24"/>
          <w:u w:val="single"/>
        </w:rPr>
        <w:t>wymaga</w:t>
      </w:r>
      <w:r w:rsidR="00DB262E" w:rsidRPr="00350486">
        <w:rPr>
          <w:rFonts w:cstheme="minorHAnsi"/>
          <w:b/>
          <w:sz w:val="24"/>
          <w:szCs w:val="24"/>
          <w:u w:val="single"/>
        </w:rPr>
        <w:t>ją</w:t>
      </w:r>
      <w:r w:rsidRPr="00350486">
        <w:rPr>
          <w:rFonts w:cstheme="minorHAnsi"/>
          <w:b/>
          <w:sz w:val="24"/>
          <w:szCs w:val="24"/>
          <w:u w:val="single"/>
        </w:rPr>
        <w:t xml:space="preserve"> uzasadnienia konieczno</w:t>
      </w:r>
      <w:r w:rsidR="00DB262E" w:rsidRPr="00350486">
        <w:rPr>
          <w:rFonts w:cstheme="minorHAnsi"/>
          <w:b/>
          <w:sz w:val="24"/>
          <w:szCs w:val="24"/>
          <w:u w:val="single"/>
        </w:rPr>
        <w:t>ści pozyskania tych środków we W</w:t>
      </w:r>
      <w:r w:rsidRPr="00350486">
        <w:rPr>
          <w:rFonts w:cstheme="minorHAnsi"/>
          <w:b/>
          <w:sz w:val="24"/>
          <w:szCs w:val="24"/>
          <w:u w:val="single"/>
        </w:rPr>
        <w:t>niosku o dofinansowanie.</w:t>
      </w:r>
    </w:p>
    <w:p w14:paraId="216700D2" w14:textId="17ABBC1A" w:rsidR="00DC3897" w:rsidRPr="00350486" w:rsidRDefault="00DC3897" w:rsidP="00350486">
      <w:pPr>
        <w:pStyle w:val="Akapitzlist"/>
        <w:numPr>
          <w:ilvl w:val="0"/>
          <w:numId w:val="15"/>
        </w:numPr>
        <w:spacing w:before="120" w:after="120" w:line="360" w:lineRule="auto"/>
        <w:ind w:left="284" w:hanging="284"/>
        <w:rPr>
          <w:rFonts w:cstheme="minorHAnsi"/>
          <w:sz w:val="24"/>
          <w:szCs w:val="24"/>
        </w:rPr>
      </w:pPr>
      <w:r w:rsidRPr="00350486">
        <w:rPr>
          <w:rFonts w:cstheme="minorHAnsi"/>
          <w:sz w:val="24"/>
          <w:szCs w:val="24"/>
        </w:rPr>
        <w:t>W przypadku zamówień dotyczących łącznie dostaw środków trwałych oraz wartości niematerialnych i prawnych koszty w całości powinny być ujęte w kategorii „Środki trwałe/Dostawy”.</w:t>
      </w:r>
    </w:p>
    <w:p w14:paraId="1E22291C" w14:textId="3ED20B03" w:rsidR="00D65ED4" w:rsidRDefault="00C760F9" w:rsidP="00350486">
      <w:pPr>
        <w:spacing w:before="120" w:after="120" w:line="360" w:lineRule="auto"/>
        <w:rPr>
          <w:rFonts w:cstheme="minorHAnsi"/>
          <w:i/>
          <w:sz w:val="24"/>
          <w:szCs w:val="24"/>
        </w:rPr>
      </w:pPr>
      <w:r w:rsidRPr="00350486">
        <w:rPr>
          <w:rFonts w:cstheme="minorHAnsi"/>
          <w:b/>
          <w:sz w:val="24"/>
          <w:szCs w:val="24"/>
        </w:rPr>
        <w:t>Personel</w:t>
      </w:r>
      <w:r w:rsidR="00A95A20" w:rsidRPr="00350486">
        <w:rPr>
          <w:rFonts w:cstheme="minorHAnsi"/>
          <w:b/>
          <w:sz w:val="24"/>
          <w:szCs w:val="24"/>
        </w:rPr>
        <w:t xml:space="preserve"> projektu</w:t>
      </w:r>
      <w:r w:rsidRPr="00350486">
        <w:rPr>
          <w:rFonts w:cstheme="minorHAnsi"/>
          <w:sz w:val="24"/>
          <w:szCs w:val="24"/>
        </w:rPr>
        <w:t xml:space="preserve"> </w:t>
      </w:r>
      <w:r w:rsidR="004430C0" w:rsidRPr="00350486">
        <w:rPr>
          <w:rFonts w:cstheme="minorHAnsi"/>
          <w:sz w:val="24"/>
          <w:szCs w:val="24"/>
        </w:rPr>
        <w:t>–</w:t>
      </w:r>
      <w:r w:rsidRPr="00350486">
        <w:rPr>
          <w:rFonts w:cstheme="minorHAnsi"/>
          <w:sz w:val="24"/>
          <w:szCs w:val="24"/>
        </w:rPr>
        <w:t xml:space="preserve"> </w:t>
      </w:r>
      <w:r w:rsidR="009E0622" w:rsidRPr="00350486">
        <w:rPr>
          <w:rFonts w:cstheme="minorHAnsi"/>
          <w:i/>
          <w:sz w:val="24"/>
          <w:szCs w:val="24"/>
        </w:rPr>
        <w:t>kategoria opisana w</w:t>
      </w:r>
      <w:r w:rsidR="00CB5C89" w:rsidRPr="00350486">
        <w:rPr>
          <w:rFonts w:cstheme="minorHAnsi"/>
          <w:i/>
          <w:sz w:val="24"/>
          <w:szCs w:val="24"/>
        </w:rPr>
        <w:t xml:space="preserve">  </w:t>
      </w:r>
      <w:r w:rsidR="008144D5" w:rsidRPr="00350486">
        <w:rPr>
          <w:rFonts w:cstheme="minorHAnsi"/>
          <w:i/>
          <w:sz w:val="24"/>
          <w:szCs w:val="24"/>
        </w:rPr>
        <w:t>p</w:t>
      </w:r>
      <w:r w:rsidR="00CB5C89" w:rsidRPr="00350486">
        <w:rPr>
          <w:rFonts w:cstheme="minorHAnsi"/>
          <w:i/>
          <w:sz w:val="24"/>
          <w:szCs w:val="24"/>
        </w:rPr>
        <w:t>odrozdziale</w:t>
      </w:r>
      <w:r w:rsidR="008144D5" w:rsidRPr="00350486">
        <w:rPr>
          <w:rFonts w:cstheme="minorHAnsi"/>
          <w:i/>
          <w:sz w:val="24"/>
          <w:szCs w:val="24"/>
        </w:rPr>
        <w:t xml:space="preserve"> 3.8.</w:t>
      </w:r>
      <w:r w:rsidR="009E0622" w:rsidRPr="00350486">
        <w:rPr>
          <w:rFonts w:cstheme="minorHAnsi"/>
          <w:i/>
          <w:sz w:val="24"/>
          <w:szCs w:val="24"/>
        </w:rPr>
        <w:t xml:space="preserve"> </w:t>
      </w:r>
      <w:r w:rsidR="0055089A" w:rsidRPr="00350486">
        <w:rPr>
          <w:rFonts w:cstheme="minorHAnsi"/>
          <w:i/>
          <w:sz w:val="24"/>
          <w:szCs w:val="24"/>
        </w:rPr>
        <w:t>Wytycznych dotyczących kwalifikowalności wydatków na lata 2021-2027</w:t>
      </w:r>
      <w:r w:rsidR="008144D5" w:rsidRPr="00350486">
        <w:rPr>
          <w:rFonts w:cstheme="minorHAnsi"/>
          <w:i/>
          <w:sz w:val="24"/>
          <w:szCs w:val="24"/>
        </w:rPr>
        <w:t>.</w:t>
      </w:r>
      <w:r w:rsidR="009E0622" w:rsidRPr="00350486">
        <w:rPr>
          <w:rFonts w:cstheme="minorHAnsi"/>
          <w:i/>
          <w:sz w:val="24"/>
          <w:szCs w:val="24"/>
        </w:rPr>
        <w:t xml:space="preserve"> </w:t>
      </w:r>
    </w:p>
    <w:p w14:paraId="70C21C49" w14:textId="1AFD3BF9" w:rsidR="00C760F9" w:rsidRPr="00562CE8" w:rsidRDefault="00C760F9" w:rsidP="00562CE8">
      <w:pPr>
        <w:pStyle w:val="Akapitzlist"/>
        <w:spacing w:before="120" w:after="120" w:line="360" w:lineRule="auto"/>
        <w:ind w:left="0"/>
        <w:rPr>
          <w:rFonts w:cstheme="minorHAnsi"/>
          <w:b/>
          <w:sz w:val="24"/>
          <w:szCs w:val="24"/>
        </w:rPr>
      </w:pPr>
      <w:r w:rsidRPr="00562CE8">
        <w:rPr>
          <w:rFonts w:cstheme="minorHAnsi"/>
          <w:b/>
          <w:sz w:val="24"/>
          <w:szCs w:val="24"/>
        </w:rPr>
        <w:t>Roboty budowlane</w:t>
      </w:r>
    </w:p>
    <w:p w14:paraId="34B6EBA9" w14:textId="23FCEE82" w:rsidR="00C760F9" w:rsidRPr="00D344A4" w:rsidRDefault="00C760F9" w:rsidP="00350486">
      <w:pPr>
        <w:numPr>
          <w:ilvl w:val="0"/>
          <w:numId w:val="2"/>
        </w:numPr>
        <w:spacing w:before="120" w:after="120" w:line="360" w:lineRule="auto"/>
        <w:ind w:left="284" w:hanging="284"/>
        <w:rPr>
          <w:rFonts w:cstheme="minorHAnsi"/>
          <w:sz w:val="24"/>
          <w:szCs w:val="24"/>
        </w:rPr>
      </w:pPr>
      <w:r w:rsidRPr="00D344A4">
        <w:rPr>
          <w:rFonts w:cstheme="minorHAnsi"/>
          <w:sz w:val="24"/>
          <w:szCs w:val="24"/>
        </w:rPr>
        <w:t>Wydatki na przygotowanie placu budowy i na roboty budowlane ni</w:t>
      </w:r>
      <w:r w:rsidR="005B120C" w:rsidRPr="00D344A4">
        <w:rPr>
          <w:rFonts w:cstheme="minorHAnsi"/>
          <w:sz w:val="24"/>
          <w:szCs w:val="24"/>
        </w:rPr>
        <w:t>ezbędne dla realizacji projektu</w:t>
      </w:r>
      <w:r w:rsidR="000E387C" w:rsidRPr="00D344A4">
        <w:rPr>
          <w:rFonts w:cstheme="minorHAnsi"/>
          <w:sz w:val="24"/>
          <w:szCs w:val="24"/>
        </w:rPr>
        <w:t xml:space="preserve"> mogą być uznane za kwalifikowane</w:t>
      </w:r>
      <w:r w:rsidR="005B120C" w:rsidRPr="00D344A4">
        <w:rPr>
          <w:rFonts w:cstheme="minorHAnsi"/>
          <w:sz w:val="24"/>
          <w:szCs w:val="24"/>
        </w:rPr>
        <w:t>.</w:t>
      </w:r>
    </w:p>
    <w:p w14:paraId="37D68F1D" w14:textId="77777777" w:rsidR="004C4C1A" w:rsidRPr="00350486" w:rsidRDefault="004C4C1A" w:rsidP="00350486">
      <w:pPr>
        <w:numPr>
          <w:ilvl w:val="0"/>
          <w:numId w:val="2"/>
        </w:numPr>
        <w:spacing w:before="120" w:after="120" w:line="360" w:lineRule="auto"/>
        <w:ind w:left="284" w:hanging="284"/>
        <w:rPr>
          <w:rFonts w:cstheme="minorHAnsi"/>
          <w:sz w:val="24"/>
          <w:szCs w:val="24"/>
        </w:rPr>
      </w:pPr>
      <w:r w:rsidRPr="00D344A4">
        <w:rPr>
          <w:rFonts w:cstheme="minorHAnsi"/>
          <w:sz w:val="24"/>
          <w:szCs w:val="24"/>
        </w:rPr>
        <w:lastRenderedPageBreak/>
        <w:t>W przypadku, gdy beneficjent samodzielnie wykonuje całość lub część prac związanych z przygotowaniem placu budowy lub robotami budowlanymi, związane z tymi pracami wydatki muszą być przypisane poprzez przejrzysty i oddzielny system rozliczania projektu oparty na dokumentach księgowych lub dokumentach o równoważnej wartości dowodowej</w:t>
      </w:r>
      <w:r w:rsidRPr="00350486">
        <w:rPr>
          <w:rFonts w:cstheme="minorHAnsi"/>
          <w:sz w:val="24"/>
          <w:szCs w:val="24"/>
        </w:rPr>
        <w:t xml:space="preserve">. </w:t>
      </w:r>
    </w:p>
    <w:p w14:paraId="3D3D296C" w14:textId="59188354" w:rsidR="004C4C1A" w:rsidRPr="00350486" w:rsidRDefault="004C4C1A" w:rsidP="00350486">
      <w:pPr>
        <w:spacing w:before="120" w:after="120" w:line="360" w:lineRule="auto"/>
        <w:ind w:left="284"/>
        <w:rPr>
          <w:rFonts w:cstheme="minorHAnsi"/>
          <w:sz w:val="24"/>
          <w:szCs w:val="24"/>
        </w:rPr>
      </w:pPr>
      <w:r w:rsidRPr="00350486">
        <w:rPr>
          <w:rFonts w:cstheme="minorHAnsi"/>
          <w:sz w:val="24"/>
          <w:szCs w:val="24"/>
        </w:rPr>
        <w:t>Każdorazowo decyzja dotycząca realizacji prac w ramach projektu siłami własnymi bądź zlecenia realizacji prac wykonawcy zewnętrznemu powinna być poprzedzona analizą dotyczącą najbardziej efektywnego rozwiązania z punktu widzenia realizacji projektu, jak również powinna być rozważona pod kątem stosowania przepisów dotyczących zamówień publicznych</w:t>
      </w:r>
      <w:r w:rsidR="00FE2381" w:rsidRPr="00350486">
        <w:rPr>
          <w:rFonts w:cstheme="minorHAnsi"/>
          <w:sz w:val="24"/>
          <w:szCs w:val="24"/>
        </w:rPr>
        <w:t xml:space="preserve"> lub zasady konkurencyjności</w:t>
      </w:r>
      <w:r w:rsidR="00C916AF" w:rsidRPr="00350486">
        <w:rPr>
          <w:rFonts w:cstheme="minorHAnsi"/>
          <w:sz w:val="24"/>
          <w:szCs w:val="24"/>
        </w:rPr>
        <w:t xml:space="preserve"> – określon</w:t>
      </w:r>
      <w:r w:rsidR="00AF5CE4" w:rsidRPr="00350486">
        <w:rPr>
          <w:rFonts w:cstheme="minorHAnsi"/>
          <w:sz w:val="24"/>
          <w:szCs w:val="24"/>
        </w:rPr>
        <w:t>ej</w:t>
      </w:r>
      <w:r w:rsidR="00C916AF" w:rsidRPr="00350486">
        <w:rPr>
          <w:rFonts w:cstheme="minorHAnsi"/>
          <w:sz w:val="24"/>
          <w:szCs w:val="24"/>
        </w:rPr>
        <w:t xml:space="preserve"> w podrozdziale 3.2. </w:t>
      </w:r>
      <w:r w:rsidR="00C916AF" w:rsidRPr="00350486">
        <w:rPr>
          <w:rFonts w:cstheme="minorHAnsi"/>
          <w:i/>
          <w:iCs/>
          <w:sz w:val="24"/>
          <w:szCs w:val="24"/>
        </w:rPr>
        <w:t>Wytycznych dotyczących kwalifikowalności wydatków na lata 2021-2027</w:t>
      </w:r>
      <w:r w:rsidRPr="00350486">
        <w:rPr>
          <w:rFonts w:cstheme="minorHAnsi"/>
          <w:sz w:val="24"/>
          <w:szCs w:val="24"/>
        </w:rPr>
        <w:t xml:space="preserve">. </w:t>
      </w:r>
    </w:p>
    <w:p w14:paraId="6E6ADE90" w14:textId="48D80826" w:rsidR="004C4C1A" w:rsidRPr="00350486" w:rsidRDefault="004C4C1A" w:rsidP="00350486">
      <w:pPr>
        <w:numPr>
          <w:ilvl w:val="0"/>
          <w:numId w:val="2"/>
        </w:numPr>
        <w:spacing w:before="120" w:after="120" w:line="360" w:lineRule="auto"/>
        <w:ind w:left="284" w:hanging="284"/>
        <w:rPr>
          <w:rFonts w:cstheme="minorHAnsi"/>
          <w:sz w:val="24"/>
          <w:szCs w:val="24"/>
        </w:rPr>
      </w:pPr>
      <w:r w:rsidRPr="00350486">
        <w:rPr>
          <w:rFonts w:cstheme="minorHAnsi"/>
          <w:sz w:val="24"/>
          <w:szCs w:val="24"/>
        </w:rPr>
        <w:t>Z zastrzeżeniem pkt 4)b), w przypadku, gdy w prace są zaangażowani pracownicy zatrudnieni w instytucji beneficjenta, stosuje się odpowiednio postanowienia podrozdziału</w:t>
      </w:r>
      <w:r w:rsidR="00C916AF" w:rsidRPr="00350486">
        <w:rPr>
          <w:rFonts w:cstheme="minorHAnsi"/>
          <w:sz w:val="24"/>
          <w:szCs w:val="24"/>
        </w:rPr>
        <w:t xml:space="preserve"> 3.8</w:t>
      </w:r>
      <w:r w:rsidRPr="00350486">
        <w:rPr>
          <w:rFonts w:cstheme="minorHAnsi"/>
          <w:sz w:val="24"/>
          <w:szCs w:val="24"/>
        </w:rPr>
        <w:t xml:space="preserve"> </w:t>
      </w:r>
      <w:r w:rsidR="00C916AF" w:rsidRPr="00350486">
        <w:rPr>
          <w:rFonts w:cstheme="minorHAnsi"/>
          <w:sz w:val="24"/>
          <w:szCs w:val="24"/>
        </w:rPr>
        <w:t xml:space="preserve">– Personel </w:t>
      </w:r>
      <w:r w:rsidR="00AF5CE4" w:rsidRPr="00350486">
        <w:rPr>
          <w:rFonts w:cstheme="minorHAnsi"/>
          <w:sz w:val="24"/>
          <w:szCs w:val="24"/>
        </w:rPr>
        <w:t xml:space="preserve">projektu, </w:t>
      </w:r>
      <w:r w:rsidR="00C916AF" w:rsidRPr="00350486">
        <w:rPr>
          <w:rFonts w:cstheme="minorHAnsi"/>
          <w:i/>
          <w:iCs/>
          <w:sz w:val="24"/>
          <w:szCs w:val="24"/>
        </w:rPr>
        <w:t>Wytycznych dotyczących kwalifikowalności wydatków na lata 2021-2027</w:t>
      </w:r>
      <w:r w:rsidRPr="0040777C">
        <w:rPr>
          <w:rFonts w:cstheme="minorHAnsi"/>
          <w:sz w:val="24"/>
          <w:szCs w:val="24"/>
        </w:rPr>
        <w:t xml:space="preserve"> - w szczególności należy wskazać, że w takim przypadku beneficjent jest zobowiązany do przedstawienia dokumentów potwierdzających, iż dana osoba wykonywała, w określonym zakresie, </w:t>
      </w:r>
      <w:r w:rsidR="00AF5CE4" w:rsidRPr="0040777C">
        <w:rPr>
          <w:rFonts w:cstheme="minorHAnsi"/>
          <w:sz w:val="24"/>
          <w:szCs w:val="24"/>
        </w:rPr>
        <w:t xml:space="preserve">np. </w:t>
      </w:r>
      <w:r w:rsidRPr="0040777C">
        <w:rPr>
          <w:rFonts w:cstheme="minorHAnsi"/>
          <w:sz w:val="24"/>
          <w:szCs w:val="24"/>
        </w:rPr>
        <w:t>pracę związaną z przygotowaniem placu budowy lub robotami budowlanymi</w:t>
      </w:r>
      <w:r w:rsidRPr="00350486">
        <w:rPr>
          <w:rFonts w:cstheme="minorHAnsi"/>
          <w:sz w:val="24"/>
          <w:szCs w:val="24"/>
        </w:rPr>
        <w:t>.</w:t>
      </w:r>
    </w:p>
    <w:p w14:paraId="14E91B59" w14:textId="77777777" w:rsidR="004C4C1A" w:rsidRPr="00350486" w:rsidRDefault="004C4C1A" w:rsidP="00350486">
      <w:pPr>
        <w:numPr>
          <w:ilvl w:val="0"/>
          <w:numId w:val="2"/>
        </w:numPr>
        <w:spacing w:before="120" w:after="120" w:line="360" w:lineRule="auto"/>
        <w:ind w:left="284" w:hanging="284"/>
        <w:rPr>
          <w:rFonts w:cstheme="minorHAnsi"/>
          <w:sz w:val="24"/>
          <w:szCs w:val="24"/>
        </w:rPr>
      </w:pPr>
      <w:r w:rsidRPr="00350486">
        <w:rPr>
          <w:rFonts w:cstheme="minorHAnsi"/>
          <w:sz w:val="24"/>
          <w:szCs w:val="24"/>
        </w:rPr>
        <w:t>Ze względu na fakt, że wydatki ponoszone na wynagrodzenia pracowników w ramach realizacji przedsięwzięć siłami własnymi są rozliczane tylko na podstawie faktycznie wypracowanych roboczogodzin, w takim przypadku:</w:t>
      </w:r>
    </w:p>
    <w:p w14:paraId="4DCAE180" w14:textId="77777777" w:rsidR="004C4C1A" w:rsidRPr="00350486" w:rsidRDefault="004C4C1A" w:rsidP="00350486">
      <w:pPr>
        <w:numPr>
          <w:ilvl w:val="0"/>
          <w:numId w:val="7"/>
        </w:numPr>
        <w:spacing w:before="120" w:after="120" w:line="360" w:lineRule="auto"/>
        <w:ind w:left="567" w:hanging="283"/>
        <w:rPr>
          <w:rFonts w:cstheme="minorHAnsi"/>
          <w:sz w:val="24"/>
          <w:szCs w:val="24"/>
        </w:rPr>
      </w:pPr>
      <w:r w:rsidRPr="00350486">
        <w:rPr>
          <w:rFonts w:cstheme="minorHAnsi"/>
          <w:sz w:val="24"/>
          <w:szCs w:val="24"/>
        </w:rPr>
        <w:t>jedynym dopuszczalnym sposobem rozliczania kosztów pracy własnych pracowników beneficjenta przy realizacji przedsięwzięcia siłami własnymi jest rozliczanie za pomocą kart czasu pracy,</w:t>
      </w:r>
    </w:p>
    <w:p w14:paraId="7B39BFDE" w14:textId="77777777" w:rsidR="004C4C1A" w:rsidRPr="00350486" w:rsidRDefault="004C4C1A" w:rsidP="00350486">
      <w:pPr>
        <w:numPr>
          <w:ilvl w:val="0"/>
          <w:numId w:val="7"/>
        </w:numPr>
        <w:spacing w:before="120" w:after="120" w:line="360" w:lineRule="auto"/>
        <w:ind w:left="567" w:hanging="283"/>
        <w:rPr>
          <w:rFonts w:cstheme="minorHAnsi"/>
          <w:sz w:val="24"/>
          <w:szCs w:val="24"/>
        </w:rPr>
      </w:pPr>
      <w:r w:rsidRPr="00350486">
        <w:rPr>
          <w:rFonts w:cstheme="minorHAnsi"/>
          <w:sz w:val="24"/>
          <w:szCs w:val="24"/>
        </w:rPr>
        <w:t>wydatki poniesione na dodatkowe wynagrodzenie roczne (np. na tzw. trzynastą pensję), wydatki poniesione na nagrody i premie, a także koszty związane z urlopem pracowników, nie mogą być uznane za kwalifikowalne.</w:t>
      </w:r>
    </w:p>
    <w:p w14:paraId="718295B7" w14:textId="4F8B06FF" w:rsidR="004C4C1A" w:rsidRPr="00350486" w:rsidRDefault="004C4C1A" w:rsidP="00350486">
      <w:pPr>
        <w:numPr>
          <w:ilvl w:val="0"/>
          <w:numId w:val="2"/>
        </w:numPr>
        <w:spacing w:before="120" w:after="120" w:line="360" w:lineRule="auto"/>
        <w:ind w:left="284" w:hanging="284"/>
        <w:rPr>
          <w:rFonts w:cstheme="minorHAnsi"/>
          <w:sz w:val="24"/>
          <w:szCs w:val="24"/>
        </w:rPr>
      </w:pPr>
      <w:r w:rsidRPr="00350486">
        <w:rPr>
          <w:rFonts w:cstheme="minorHAnsi"/>
          <w:sz w:val="24"/>
          <w:szCs w:val="24"/>
        </w:rPr>
        <w:t>Działania kompensacyjne wynikające z raportu o oddział</w:t>
      </w:r>
      <w:r w:rsidR="00A95A20" w:rsidRPr="00350486">
        <w:rPr>
          <w:rFonts w:cstheme="minorHAnsi"/>
          <w:sz w:val="24"/>
          <w:szCs w:val="24"/>
        </w:rPr>
        <w:t>ywaniu na środowisko lub</w:t>
      </w:r>
      <w:r w:rsidRPr="00350486">
        <w:rPr>
          <w:rFonts w:cstheme="minorHAnsi"/>
          <w:sz w:val="24"/>
          <w:szCs w:val="24"/>
        </w:rPr>
        <w:t xml:space="preserve"> z decyzji o środowiskowych uwarunkowaniach zgody na</w:t>
      </w:r>
      <w:r w:rsidR="00A95A20" w:rsidRPr="00350486">
        <w:rPr>
          <w:rFonts w:cstheme="minorHAnsi"/>
          <w:sz w:val="24"/>
          <w:szCs w:val="24"/>
        </w:rPr>
        <w:t xml:space="preserve"> realizację przedsięwzięcia lub</w:t>
      </w:r>
      <w:r w:rsidRPr="00350486">
        <w:rPr>
          <w:rFonts w:cstheme="minorHAnsi"/>
          <w:sz w:val="24"/>
          <w:szCs w:val="24"/>
        </w:rPr>
        <w:t xml:space="preserve"> z </w:t>
      </w:r>
      <w:r w:rsidRPr="00350486">
        <w:rPr>
          <w:rFonts w:cstheme="minorHAnsi"/>
          <w:sz w:val="24"/>
          <w:szCs w:val="24"/>
        </w:rPr>
        <w:lastRenderedPageBreak/>
        <w:t>decyzji administracyjnej, w ramach której przeprowadzono ponowną ocenę oddziaływania na środowisko mogą być uznane za kwalifikowalne.</w:t>
      </w:r>
    </w:p>
    <w:p w14:paraId="39B6873D" w14:textId="6B796AB9" w:rsidR="004C4C1A" w:rsidRPr="0040777C" w:rsidRDefault="004C4C1A" w:rsidP="00350486">
      <w:pPr>
        <w:numPr>
          <w:ilvl w:val="0"/>
          <w:numId w:val="2"/>
        </w:numPr>
        <w:spacing w:before="120" w:after="120" w:line="360" w:lineRule="auto"/>
        <w:ind w:left="284" w:hanging="284"/>
        <w:rPr>
          <w:rFonts w:cstheme="minorHAnsi"/>
          <w:sz w:val="24"/>
          <w:szCs w:val="24"/>
        </w:rPr>
      </w:pPr>
      <w:r w:rsidRPr="00350486">
        <w:rPr>
          <w:rFonts w:cstheme="minorHAnsi"/>
          <w:sz w:val="24"/>
          <w:szCs w:val="24"/>
        </w:rPr>
        <w:t xml:space="preserve">Koszty związane z wykorzystaniem </w:t>
      </w:r>
      <w:r w:rsidR="004D5336" w:rsidRPr="0040777C">
        <w:rPr>
          <w:rFonts w:cstheme="minorHAnsi"/>
          <w:sz w:val="24"/>
          <w:szCs w:val="24"/>
        </w:rPr>
        <w:t xml:space="preserve">ruchomych </w:t>
      </w:r>
      <w:r w:rsidRPr="0040777C">
        <w:rPr>
          <w:rFonts w:cstheme="minorHAnsi"/>
          <w:sz w:val="24"/>
          <w:szCs w:val="24"/>
        </w:rPr>
        <w:t>środków trwałych nie zainstalowanych na stałe w projekcie, będą mogły być uznane za kwalifikowalne pod warunkiem wypełnienia warunków określonych w punkcie</w:t>
      </w:r>
      <w:r w:rsidR="002F7F8B" w:rsidRPr="0040777C">
        <w:rPr>
          <w:rFonts w:cstheme="minorHAnsi"/>
          <w:sz w:val="24"/>
          <w:szCs w:val="24"/>
        </w:rPr>
        <w:t xml:space="preserve"> </w:t>
      </w:r>
      <w:r w:rsidR="004D5336" w:rsidRPr="0040777C">
        <w:rPr>
          <w:rFonts w:cstheme="minorHAnsi"/>
          <w:sz w:val="24"/>
          <w:szCs w:val="24"/>
        </w:rPr>
        <w:t>1</w:t>
      </w:r>
      <w:r w:rsidRPr="0040777C">
        <w:rPr>
          <w:rFonts w:cstheme="minorHAnsi"/>
          <w:sz w:val="24"/>
          <w:szCs w:val="24"/>
        </w:rPr>
        <w:t xml:space="preserve"> </w:t>
      </w:r>
      <w:r w:rsidR="00A95A20" w:rsidRPr="0040777C">
        <w:rPr>
          <w:rFonts w:cstheme="minorHAnsi"/>
          <w:sz w:val="24"/>
          <w:szCs w:val="24"/>
        </w:rPr>
        <w:t>Środki trwałe/Dostawy</w:t>
      </w:r>
      <w:r w:rsidRPr="0040777C">
        <w:rPr>
          <w:rFonts w:cstheme="minorHAnsi"/>
          <w:iCs/>
          <w:sz w:val="24"/>
          <w:szCs w:val="24"/>
        </w:rPr>
        <w:t>.</w:t>
      </w:r>
      <w:r w:rsidR="00665487" w:rsidRPr="0040777C">
        <w:rPr>
          <w:rFonts w:cstheme="minorHAnsi"/>
          <w:iCs/>
          <w:sz w:val="24"/>
          <w:szCs w:val="24"/>
        </w:rPr>
        <w:t xml:space="preserve"> Zakres uwzględniony  w zamówieniu dotyczącym robót budowlanych w całości powinien być ujęty w kategorii roboty budowlane.</w:t>
      </w:r>
    </w:p>
    <w:p w14:paraId="2A6F0F72" w14:textId="77777777" w:rsidR="004C4C1A" w:rsidRPr="0040777C" w:rsidRDefault="004C4C1A" w:rsidP="00350486">
      <w:pPr>
        <w:numPr>
          <w:ilvl w:val="0"/>
          <w:numId w:val="2"/>
        </w:numPr>
        <w:spacing w:before="120" w:after="120" w:line="360" w:lineRule="auto"/>
        <w:ind w:left="284" w:hanging="284"/>
        <w:rPr>
          <w:rFonts w:cstheme="minorHAnsi"/>
          <w:sz w:val="24"/>
          <w:szCs w:val="24"/>
        </w:rPr>
      </w:pPr>
      <w:r w:rsidRPr="0040777C">
        <w:rPr>
          <w:rFonts w:cstheme="minorHAnsi"/>
          <w:sz w:val="24"/>
          <w:szCs w:val="24"/>
        </w:rPr>
        <w:t>Roboty budowlane powinny być prowadzone zgodnie z obowiązującym prawem, w tym w szczególności zgodnie z ustawą Prawo budowlane. Należy zwrócić szczególną uwagę, na zgodność z przepisami w następujących obszarach:</w:t>
      </w:r>
    </w:p>
    <w:p w14:paraId="01B04B8E" w14:textId="77777777" w:rsidR="004C4C1A" w:rsidRPr="0040777C" w:rsidRDefault="004C4C1A" w:rsidP="00350486">
      <w:pPr>
        <w:numPr>
          <w:ilvl w:val="0"/>
          <w:numId w:val="8"/>
        </w:numPr>
        <w:spacing w:before="120" w:after="120" w:line="360" w:lineRule="auto"/>
        <w:ind w:left="567" w:hanging="283"/>
        <w:rPr>
          <w:rFonts w:cstheme="minorHAnsi"/>
          <w:sz w:val="24"/>
          <w:szCs w:val="24"/>
        </w:rPr>
      </w:pPr>
      <w:r w:rsidRPr="0040777C">
        <w:rPr>
          <w:rFonts w:cstheme="minorHAnsi"/>
          <w:sz w:val="24"/>
          <w:szCs w:val="24"/>
        </w:rPr>
        <w:t>rozpoczęcia robót budowlanych na podstawie ostatecznej i ważnej decyzji o pozwoleniu na budowę lub zgłoszenia właściwemu organowi z zastrzeżeniem robót, które nie wymagają takiej decyzji lub zgłoszenia,</w:t>
      </w:r>
    </w:p>
    <w:p w14:paraId="634F3078" w14:textId="77777777" w:rsidR="004C4C1A" w:rsidRPr="0040777C" w:rsidRDefault="004C4C1A" w:rsidP="00350486">
      <w:pPr>
        <w:numPr>
          <w:ilvl w:val="0"/>
          <w:numId w:val="8"/>
        </w:numPr>
        <w:spacing w:before="120" w:after="120" w:line="360" w:lineRule="auto"/>
        <w:ind w:left="567" w:hanging="283"/>
        <w:rPr>
          <w:rFonts w:cstheme="minorHAnsi"/>
          <w:sz w:val="24"/>
          <w:szCs w:val="24"/>
        </w:rPr>
      </w:pPr>
      <w:r w:rsidRPr="0040777C">
        <w:rPr>
          <w:rFonts w:cstheme="minorHAnsi"/>
          <w:sz w:val="24"/>
          <w:szCs w:val="24"/>
        </w:rPr>
        <w:t>wypełnienia wymagań wskazanych w decyzji o pozwoleniu na budowę nałożonych na inwestora,</w:t>
      </w:r>
    </w:p>
    <w:p w14:paraId="70035A0A" w14:textId="77777777" w:rsidR="004C4C1A" w:rsidRPr="0040777C" w:rsidRDefault="004C4C1A" w:rsidP="00350486">
      <w:pPr>
        <w:numPr>
          <w:ilvl w:val="0"/>
          <w:numId w:val="8"/>
        </w:numPr>
        <w:spacing w:before="120" w:after="120" w:line="360" w:lineRule="auto"/>
        <w:ind w:left="567" w:hanging="283"/>
        <w:rPr>
          <w:rFonts w:cstheme="minorHAnsi"/>
          <w:sz w:val="24"/>
          <w:szCs w:val="24"/>
        </w:rPr>
      </w:pPr>
      <w:r w:rsidRPr="0040777C">
        <w:rPr>
          <w:rFonts w:cstheme="minorHAnsi"/>
          <w:sz w:val="24"/>
          <w:szCs w:val="24"/>
        </w:rPr>
        <w:t>zrealizowania zakresu przedsięwzięcia zgodnie z warunkami zawartymi w decyzji o pozwoleniu na budowę, w tym zgodnie z zatwierdzonym projektem budowlanym,</w:t>
      </w:r>
    </w:p>
    <w:p w14:paraId="4BA2186F" w14:textId="77777777" w:rsidR="004C4C1A" w:rsidRPr="0040777C" w:rsidRDefault="004C4C1A" w:rsidP="00350486">
      <w:pPr>
        <w:numPr>
          <w:ilvl w:val="0"/>
          <w:numId w:val="8"/>
        </w:numPr>
        <w:spacing w:before="120" w:after="120" w:line="360" w:lineRule="auto"/>
        <w:ind w:left="567" w:hanging="283"/>
        <w:rPr>
          <w:rFonts w:cstheme="minorHAnsi"/>
          <w:sz w:val="24"/>
          <w:szCs w:val="24"/>
        </w:rPr>
      </w:pPr>
      <w:r w:rsidRPr="0040777C">
        <w:rPr>
          <w:rFonts w:cstheme="minorHAnsi"/>
          <w:sz w:val="24"/>
          <w:szCs w:val="24"/>
        </w:rPr>
        <w:t>prowadzenia poprawnej dokumentacji budowy zgodnie z wymaganiami w tym zakresie,</w:t>
      </w:r>
    </w:p>
    <w:p w14:paraId="24903C42" w14:textId="77777777" w:rsidR="004C4C1A" w:rsidRPr="0040777C" w:rsidRDefault="004C4C1A" w:rsidP="00350486">
      <w:pPr>
        <w:numPr>
          <w:ilvl w:val="0"/>
          <w:numId w:val="8"/>
        </w:numPr>
        <w:spacing w:before="120" w:after="120" w:line="360" w:lineRule="auto"/>
        <w:ind w:left="567" w:hanging="283"/>
        <w:rPr>
          <w:rFonts w:cstheme="minorHAnsi"/>
          <w:sz w:val="24"/>
          <w:szCs w:val="24"/>
        </w:rPr>
      </w:pPr>
      <w:r w:rsidRPr="0040777C">
        <w:rPr>
          <w:rFonts w:cstheme="minorHAnsi"/>
          <w:sz w:val="24"/>
          <w:szCs w:val="24"/>
        </w:rPr>
        <w:t>posiadania prawa do dysponowania nieruchomością na cele budowlane dla realizowanego przedsięwzięcia,</w:t>
      </w:r>
    </w:p>
    <w:p w14:paraId="2D21C65F" w14:textId="5398DC68" w:rsidR="00C760F9" w:rsidRPr="0040777C" w:rsidRDefault="007E1672" w:rsidP="00350486">
      <w:pPr>
        <w:numPr>
          <w:ilvl w:val="0"/>
          <w:numId w:val="8"/>
        </w:numPr>
        <w:spacing w:before="120" w:after="120" w:line="360" w:lineRule="auto"/>
        <w:ind w:left="567" w:hanging="283"/>
        <w:rPr>
          <w:rFonts w:cstheme="minorHAnsi"/>
          <w:sz w:val="24"/>
          <w:szCs w:val="24"/>
        </w:rPr>
      </w:pPr>
      <w:r w:rsidRPr="007E1672">
        <w:rPr>
          <w:rFonts w:cstheme="minorHAnsi"/>
          <w:sz w:val="24"/>
          <w:szCs w:val="24"/>
        </w:rPr>
        <w:t>spełnieniu wymagań art. 54 i 55 ustawy Prawo budowlane (- zawiadomienie organu o zakończeniu budowy lub pozwolenie na użytkowanie, jeśli wymagane).</w:t>
      </w:r>
    </w:p>
    <w:p w14:paraId="03C3F18C" w14:textId="6E2A0F73" w:rsidR="00C760F9" w:rsidRPr="00350486" w:rsidRDefault="00C760F9" w:rsidP="00350486">
      <w:pPr>
        <w:numPr>
          <w:ilvl w:val="0"/>
          <w:numId w:val="2"/>
        </w:numPr>
        <w:spacing w:before="120" w:after="120" w:line="360" w:lineRule="auto"/>
        <w:ind w:left="284" w:hanging="284"/>
        <w:rPr>
          <w:rFonts w:cstheme="minorHAnsi"/>
          <w:sz w:val="24"/>
          <w:szCs w:val="24"/>
        </w:rPr>
      </w:pPr>
      <w:r w:rsidRPr="0040777C">
        <w:rPr>
          <w:rFonts w:cstheme="minorHAnsi"/>
          <w:sz w:val="24"/>
          <w:szCs w:val="24"/>
        </w:rPr>
        <w:t xml:space="preserve">W przypadku, gdy z projektu budowlanego wynika konieczność przebudowy urządzeń obcych i jest ona niezbędna dla realizacji projektu, wydatki związane z ww. pracami mogą być uznane za kwalifikowalne. Powyższe ma zastosowanie jedynie w odniesieniu do prac niezbędnych z punktu widzenia prawidłowej realizacji projektu oraz w </w:t>
      </w:r>
      <w:r w:rsidRPr="00350486">
        <w:rPr>
          <w:rFonts w:cstheme="minorHAnsi"/>
          <w:sz w:val="24"/>
          <w:szCs w:val="24"/>
        </w:rPr>
        <w:t xml:space="preserve">zakresie, w jakim obowiązek poniesienia ww. wydatków wynika z przepisów prawa, w tym z warunków </w:t>
      </w:r>
      <w:r w:rsidRPr="00350486">
        <w:rPr>
          <w:rFonts w:cstheme="minorHAnsi"/>
          <w:sz w:val="24"/>
          <w:szCs w:val="24"/>
        </w:rPr>
        <w:lastRenderedPageBreak/>
        <w:t xml:space="preserve">technicznych usunięcia kolizji, wydanych przez właścicieli urządzeń obcych. W przypadku odsprzedaży gestorowi przebudowanej sieci, należne beneficjentowi wynagrodzenie pomniejsza wartość wydatków </w:t>
      </w:r>
      <w:r w:rsidR="002F7F8B" w:rsidRPr="00350486">
        <w:rPr>
          <w:rFonts w:cstheme="minorHAnsi"/>
          <w:sz w:val="24"/>
          <w:szCs w:val="24"/>
        </w:rPr>
        <w:t xml:space="preserve">kwalifikowalnych </w:t>
      </w:r>
      <w:r w:rsidRPr="00350486">
        <w:rPr>
          <w:rFonts w:cstheme="minorHAnsi"/>
          <w:sz w:val="24"/>
          <w:szCs w:val="24"/>
        </w:rPr>
        <w:t>możliwych do rozliczenia w projekcie za ten zakres robót.</w:t>
      </w:r>
    </w:p>
    <w:p w14:paraId="6AB3AA03" w14:textId="2A4C5D45" w:rsidR="00E56F9A" w:rsidRPr="00350486" w:rsidRDefault="00E56F9A" w:rsidP="00350486">
      <w:pPr>
        <w:numPr>
          <w:ilvl w:val="0"/>
          <w:numId w:val="2"/>
        </w:numPr>
        <w:spacing w:before="120" w:after="120" w:line="360" w:lineRule="auto"/>
        <w:ind w:left="284" w:hanging="284"/>
        <w:rPr>
          <w:rFonts w:cstheme="minorHAnsi"/>
          <w:sz w:val="24"/>
          <w:szCs w:val="24"/>
        </w:rPr>
      </w:pPr>
      <w:r w:rsidRPr="00350486">
        <w:rPr>
          <w:rFonts w:cstheme="minorHAnsi"/>
          <w:sz w:val="24"/>
          <w:szCs w:val="24"/>
        </w:rPr>
        <w:t>Wydatki poniesione na zapew</w:t>
      </w:r>
      <w:r w:rsidR="00A95A20" w:rsidRPr="00350486">
        <w:rPr>
          <w:rFonts w:cstheme="minorHAnsi"/>
          <w:sz w:val="24"/>
          <w:szCs w:val="24"/>
        </w:rPr>
        <w:t>nienie zaplecza zamawiającego (B</w:t>
      </w:r>
      <w:r w:rsidRPr="00350486">
        <w:rPr>
          <w:rFonts w:cstheme="minorHAnsi"/>
          <w:sz w:val="24"/>
          <w:szCs w:val="24"/>
        </w:rPr>
        <w:t>eneficjenta) w kontraktach na roboty budowlane</w:t>
      </w:r>
      <w:r w:rsidR="001651EC">
        <w:rPr>
          <w:rFonts w:cstheme="minorHAnsi"/>
          <w:sz w:val="24"/>
          <w:szCs w:val="24"/>
        </w:rPr>
        <w:t xml:space="preserve"> </w:t>
      </w:r>
      <w:r w:rsidRPr="00350486">
        <w:rPr>
          <w:rFonts w:cstheme="minorHAnsi"/>
          <w:sz w:val="24"/>
          <w:szCs w:val="24"/>
        </w:rPr>
        <w:t>stanowią wydatki niekwalifikowalne.</w:t>
      </w:r>
    </w:p>
    <w:p w14:paraId="5E87ABBC" w14:textId="28A42AD8" w:rsidR="005D25E5" w:rsidRPr="00350486" w:rsidRDefault="005D25E5" w:rsidP="00350486">
      <w:pPr>
        <w:numPr>
          <w:ilvl w:val="0"/>
          <w:numId w:val="2"/>
        </w:numPr>
        <w:spacing w:before="120" w:after="120" w:line="360" w:lineRule="auto"/>
        <w:ind w:left="426" w:hanging="426"/>
        <w:rPr>
          <w:rFonts w:cstheme="minorHAnsi"/>
          <w:sz w:val="24"/>
          <w:szCs w:val="24"/>
        </w:rPr>
      </w:pPr>
      <w:r w:rsidRPr="00350486">
        <w:rPr>
          <w:rFonts w:cstheme="minorHAnsi"/>
          <w:sz w:val="24"/>
          <w:szCs w:val="24"/>
        </w:rPr>
        <w:t xml:space="preserve">Wydatki związane z zapewnieniem przez wykonawcę kontraktu na roboty budowlane </w:t>
      </w:r>
      <w:r w:rsidR="007E1672">
        <w:rPr>
          <w:rFonts w:cstheme="minorHAnsi"/>
          <w:sz w:val="24"/>
          <w:szCs w:val="24"/>
        </w:rPr>
        <w:t>pomieszczeń</w:t>
      </w:r>
      <w:r w:rsidR="007E1672" w:rsidRPr="00350486">
        <w:rPr>
          <w:rFonts w:cstheme="minorHAnsi"/>
          <w:sz w:val="24"/>
          <w:szCs w:val="24"/>
        </w:rPr>
        <w:t xml:space="preserve"> </w:t>
      </w:r>
      <w:r w:rsidRPr="00350486">
        <w:rPr>
          <w:rFonts w:cstheme="minorHAnsi"/>
          <w:sz w:val="24"/>
          <w:szCs w:val="24"/>
        </w:rPr>
        <w:t xml:space="preserve">oraz parkingu dla Inżyniera nadzoru na terenie placu budowy lub zaplecza budowy mogą być uznane za kwalifikowalne, o ile zostaną zachowane pozostałe wymogi obowiązujące w ramach </w:t>
      </w:r>
      <w:r w:rsidR="007029A8" w:rsidRPr="00350486">
        <w:rPr>
          <w:rFonts w:cstheme="minorHAnsi"/>
          <w:sz w:val="24"/>
          <w:szCs w:val="24"/>
        </w:rPr>
        <w:t>Programu FE</w:t>
      </w:r>
      <w:r w:rsidR="00CA60D2">
        <w:rPr>
          <w:rFonts w:cstheme="minorHAnsi"/>
          <w:sz w:val="24"/>
          <w:szCs w:val="24"/>
        </w:rPr>
        <w:t>nIKS</w:t>
      </w:r>
      <w:r w:rsidRPr="00350486">
        <w:rPr>
          <w:rFonts w:cstheme="minorHAnsi"/>
          <w:sz w:val="24"/>
          <w:szCs w:val="24"/>
        </w:rPr>
        <w:t xml:space="preserve">. Wydatki na zapewnienie </w:t>
      </w:r>
      <w:r w:rsidR="007E1672">
        <w:rPr>
          <w:rFonts w:cstheme="minorHAnsi"/>
          <w:sz w:val="24"/>
          <w:szCs w:val="24"/>
        </w:rPr>
        <w:t>pomieszczeń</w:t>
      </w:r>
      <w:r w:rsidR="007E1672" w:rsidRPr="00350486">
        <w:rPr>
          <w:rFonts w:cstheme="minorHAnsi"/>
          <w:sz w:val="24"/>
          <w:szCs w:val="24"/>
        </w:rPr>
        <w:t xml:space="preserve"> </w:t>
      </w:r>
      <w:r w:rsidRPr="00350486">
        <w:rPr>
          <w:rFonts w:cstheme="minorHAnsi"/>
          <w:sz w:val="24"/>
          <w:szCs w:val="24"/>
        </w:rPr>
        <w:t>dla Inżyniera nadzoru nie mogą uwzględniać wydatków na meble, wyposażeni</w:t>
      </w:r>
      <w:r w:rsidR="00B45148">
        <w:rPr>
          <w:rFonts w:cstheme="minorHAnsi"/>
          <w:sz w:val="24"/>
          <w:szCs w:val="24"/>
        </w:rPr>
        <w:t>a</w:t>
      </w:r>
      <w:r w:rsidRPr="00350486">
        <w:rPr>
          <w:rFonts w:cstheme="minorHAnsi"/>
          <w:sz w:val="24"/>
          <w:szCs w:val="24"/>
        </w:rPr>
        <w:t xml:space="preserve"> kuchenne</w:t>
      </w:r>
      <w:r w:rsidR="00B45148">
        <w:rPr>
          <w:rFonts w:cstheme="minorHAnsi"/>
          <w:sz w:val="24"/>
          <w:szCs w:val="24"/>
        </w:rPr>
        <w:t>go</w:t>
      </w:r>
      <w:r w:rsidRPr="00350486">
        <w:rPr>
          <w:rFonts w:cstheme="minorHAnsi"/>
          <w:sz w:val="24"/>
          <w:szCs w:val="24"/>
        </w:rPr>
        <w:t>, komputer</w:t>
      </w:r>
      <w:r w:rsidR="00B45148">
        <w:rPr>
          <w:rFonts w:cstheme="minorHAnsi"/>
          <w:sz w:val="24"/>
          <w:szCs w:val="24"/>
        </w:rPr>
        <w:t>ów</w:t>
      </w:r>
      <w:r w:rsidRPr="00350486">
        <w:rPr>
          <w:rFonts w:cstheme="minorHAnsi"/>
          <w:sz w:val="24"/>
          <w:szCs w:val="24"/>
        </w:rPr>
        <w:t>, telefon</w:t>
      </w:r>
      <w:r w:rsidR="00B45148">
        <w:rPr>
          <w:rFonts w:cstheme="minorHAnsi"/>
          <w:sz w:val="24"/>
          <w:szCs w:val="24"/>
        </w:rPr>
        <w:t>ów</w:t>
      </w:r>
      <w:r w:rsidRPr="00350486">
        <w:rPr>
          <w:rFonts w:cstheme="minorHAnsi"/>
          <w:sz w:val="24"/>
          <w:szCs w:val="24"/>
        </w:rPr>
        <w:t xml:space="preserve"> komórkow</w:t>
      </w:r>
      <w:r w:rsidR="00B45148">
        <w:rPr>
          <w:rFonts w:cstheme="minorHAnsi"/>
          <w:sz w:val="24"/>
          <w:szCs w:val="24"/>
        </w:rPr>
        <w:t>ych</w:t>
      </w:r>
      <w:r w:rsidRPr="00350486">
        <w:rPr>
          <w:rFonts w:cstheme="minorHAnsi"/>
          <w:sz w:val="24"/>
          <w:szCs w:val="24"/>
        </w:rPr>
        <w:t>, samochod</w:t>
      </w:r>
      <w:r w:rsidR="00B45148">
        <w:rPr>
          <w:rFonts w:cstheme="minorHAnsi"/>
          <w:sz w:val="24"/>
          <w:szCs w:val="24"/>
        </w:rPr>
        <w:t>ów</w:t>
      </w:r>
      <w:r w:rsidRPr="00350486">
        <w:rPr>
          <w:rFonts w:cstheme="minorHAnsi"/>
          <w:sz w:val="24"/>
          <w:szCs w:val="24"/>
        </w:rPr>
        <w:t xml:space="preserve"> oraz innego typu wyposażenia i sprzętu dla Inżyniera nadzoru.</w:t>
      </w:r>
    </w:p>
    <w:p w14:paraId="640E96FB" w14:textId="122E9ED4" w:rsidR="00C760F9" w:rsidRPr="00350486" w:rsidRDefault="00C760F9" w:rsidP="00350486">
      <w:pPr>
        <w:pStyle w:val="Akapitzlist"/>
        <w:numPr>
          <w:ilvl w:val="0"/>
          <w:numId w:val="2"/>
        </w:numPr>
        <w:spacing w:before="120" w:after="120" w:line="360" w:lineRule="auto"/>
        <w:ind w:left="426" w:hanging="426"/>
        <w:contextualSpacing w:val="0"/>
        <w:rPr>
          <w:rFonts w:cstheme="minorHAnsi"/>
          <w:sz w:val="24"/>
          <w:szCs w:val="24"/>
        </w:rPr>
      </w:pPr>
      <w:r w:rsidRPr="00350486">
        <w:rPr>
          <w:rFonts w:cstheme="minorHAnsi"/>
          <w:sz w:val="24"/>
          <w:szCs w:val="24"/>
        </w:rPr>
        <w:t>Odtworzenie nawierzchni drogi</w:t>
      </w:r>
    </w:p>
    <w:p w14:paraId="34951289" w14:textId="77777777" w:rsidR="006768FA" w:rsidRPr="00350486" w:rsidRDefault="006768FA" w:rsidP="00350486">
      <w:pPr>
        <w:pStyle w:val="Akapitzlist"/>
        <w:numPr>
          <w:ilvl w:val="0"/>
          <w:numId w:val="18"/>
        </w:numPr>
        <w:spacing w:before="120" w:after="120" w:line="360" w:lineRule="auto"/>
        <w:ind w:left="851" w:hanging="283"/>
        <w:contextualSpacing w:val="0"/>
        <w:rPr>
          <w:rFonts w:cstheme="minorHAnsi"/>
          <w:sz w:val="24"/>
          <w:szCs w:val="24"/>
        </w:rPr>
      </w:pPr>
      <w:r w:rsidRPr="00350486">
        <w:rPr>
          <w:rFonts w:cstheme="minorHAnsi"/>
          <w:sz w:val="24"/>
          <w:szCs w:val="24"/>
        </w:rPr>
        <w:t>Kwalifikowane będą koszty związane z odtworzeniem drogi w pasie prowadzonych robót do stanu pierwotnego, tj. sprzed rozpoczęcia robót w ramach projektu, niezależnie od warunków zezwolenia na zajęcie pasa drogowego.</w:t>
      </w:r>
    </w:p>
    <w:p w14:paraId="55F4F473" w14:textId="77777777" w:rsidR="006768FA" w:rsidRPr="00350486" w:rsidRDefault="006768FA" w:rsidP="00350486">
      <w:pPr>
        <w:pStyle w:val="Akapitzlist"/>
        <w:numPr>
          <w:ilvl w:val="0"/>
          <w:numId w:val="18"/>
        </w:numPr>
        <w:spacing w:before="120" w:after="120" w:line="360" w:lineRule="auto"/>
        <w:ind w:left="851" w:hanging="283"/>
        <w:contextualSpacing w:val="0"/>
        <w:rPr>
          <w:rFonts w:cstheme="minorHAnsi"/>
          <w:sz w:val="24"/>
          <w:szCs w:val="24"/>
        </w:rPr>
      </w:pPr>
      <w:r w:rsidRPr="00350486">
        <w:rPr>
          <w:rFonts w:eastAsia="Times New Roman" w:cstheme="minorHAnsi"/>
          <w:sz w:val="24"/>
          <w:szCs w:val="24"/>
        </w:rPr>
        <w:t>Pas robót należy rozumieć jako tę część pasa drogowego, w której są bezpośrednio</w:t>
      </w:r>
      <w:r w:rsidRPr="00350486">
        <w:rPr>
          <w:rFonts w:eastAsia="Times New Roman" w:cstheme="minorHAnsi"/>
          <w:sz w:val="24"/>
          <w:szCs w:val="24"/>
        </w:rPr>
        <w:br/>
        <w:t xml:space="preserve">prowadzone roboty. </w:t>
      </w:r>
      <w:r w:rsidRPr="00350486">
        <w:rPr>
          <w:rFonts w:cstheme="minorHAnsi"/>
          <w:sz w:val="24"/>
          <w:szCs w:val="24"/>
        </w:rPr>
        <w:t>Oznacza to, że kwalifikowany będzie zakres rozbiórki i odtworzenia drogi na szerokości wykopu wraz z jego umocnieniem i ewentualnym technologicznym zakładem podbudowy i nawierzchni asfaltowej łączącym odtwarzaną konstrukcję drogi z istniejącą.</w:t>
      </w:r>
    </w:p>
    <w:p w14:paraId="3152C216" w14:textId="77777777" w:rsidR="006768FA" w:rsidRPr="00350486" w:rsidRDefault="006768FA" w:rsidP="00350486">
      <w:pPr>
        <w:pStyle w:val="Akapitzlist"/>
        <w:numPr>
          <w:ilvl w:val="0"/>
          <w:numId w:val="18"/>
        </w:numPr>
        <w:spacing w:before="120" w:after="120" w:line="360" w:lineRule="auto"/>
        <w:ind w:left="851" w:hanging="283"/>
        <w:contextualSpacing w:val="0"/>
        <w:rPr>
          <w:rFonts w:cstheme="minorHAnsi"/>
          <w:sz w:val="24"/>
          <w:szCs w:val="24"/>
        </w:rPr>
      </w:pPr>
      <w:r w:rsidRPr="00350486">
        <w:rPr>
          <w:rFonts w:cstheme="minorHAnsi"/>
          <w:sz w:val="24"/>
          <w:szCs w:val="24"/>
        </w:rPr>
        <w:t xml:space="preserve">Koszty robót związanych z odtworzeniem dróg  poza pasem robót wyjątkowo mogą być kwalifikowane, jeżeli wynikają z warunków zezwolenia zarządcy drogi na zajęcie pasa drogowego w przypadkach: </w:t>
      </w:r>
    </w:p>
    <w:p w14:paraId="4EEC8575" w14:textId="77777777" w:rsidR="006768FA" w:rsidRPr="00350486" w:rsidRDefault="006768FA" w:rsidP="00350486">
      <w:pPr>
        <w:pStyle w:val="Akapitzlist"/>
        <w:numPr>
          <w:ilvl w:val="0"/>
          <w:numId w:val="17"/>
        </w:numPr>
        <w:spacing w:before="120" w:after="120" w:line="360" w:lineRule="auto"/>
        <w:ind w:left="1134" w:hanging="284"/>
        <w:contextualSpacing w:val="0"/>
        <w:rPr>
          <w:rFonts w:cstheme="minorHAnsi"/>
          <w:sz w:val="24"/>
          <w:szCs w:val="24"/>
        </w:rPr>
      </w:pPr>
      <w:r w:rsidRPr="00350486">
        <w:rPr>
          <w:rFonts w:cstheme="minorHAnsi"/>
          <w:sz w:val="24"/>
          <w:szCs w:val="24"/>
        </w:rPr>
        <w:t>dróg gruntowych. Przez drogi gruntowe należy rozumieć drogi z nawierzchnią z gruntu rodzimego oraz utrwalone kruszywem, np. żwirem, tłuczniem  itp.</w:t>
      </w:r>
    </w:p>
    <w:p w14:paraId="62C8AD92" w14:textId="77777777" w:rsidR="006768FA" w:rsidRPr="00350486" w:rsidRDefault="006768FA" w:rsidP="00350486">
      <w:pPr>
        <w:pStyle w:val="Akapitzlist"/>
        <w:numPr>
          <w:ilvl w:val="0"/>
          <w:numId w:val="17"/>
        </w:numPr>
        <w:spacing w:before="120" w:after="120" w:line="360" w:lineRule="auto"/>
        <w:ind w:left="1134" w:hanging="284"/>
        <w:contextualSpacing w:val="0"/>
        <w:rPr>
          <w:rFonts w:cstheme="minorHAnsi"/>
          <w:sz w:val="24"/>
          <w:szCs w:val="24"/>
        </w:rPr>
      </w:pPr>
      <w:r w:rsidRPr="00350486">
        <w:rPr>
          <w:rFonts w:cstheme="minorHAnsi"/>
          <w:sz w:val="24"/>
          <w:szCs w:val="24"/>
        </w:rPr>
        <w:lastRenderedPageBreak/>
        <w:t>dróg utwardzonych (asfaltowych, kostka brukowa itp.) wyłącznie odtworzenie wierzchniej warstwy, bez warstw pozostałych związanych z podbudową.</w:t>
      </w:r>
    </w:p>
    <w:p w14:paraId="47B7B299" w14:textId="77777777" w:rsidR="006768FA" w:rsidRPr="00350486" w:rsidRDefault="006768FA" w:rsidP="00350486">
      <w:pPr>
        <w:spacing w:before="120" w:after="120" w:line="360" w:lineRule="auto"/>
        <w:ind w:left="851"/>
        <w:rPr>
          <w:rFonts w:cstheme="minorHAnsi"/>
          <w:sz w:val="24"/>
          <w:szCs w:val="24"/>
        </w:rPr>
      </w:pPr>
      <w:r w:rsidRPr="00350486">
        <w:rPr>
          <w:rFonts w:cstheme="minorHAnsi"/>
          <w:sz w:val="24"/>
          <w:szCs w:val="24"/>
        </w:rPr>
        <w:t>Pozostały zakres robót drogowych poza wymienionym powyżej może stanowić koszty niekwalifikowane projektu i dopuszcza się ich uwzględnienie jedynie w kosztach całkowitych projektu.</w:t>
      </w:r>
    </w:p>
    <w:p w14:paraId="6D4B7B62" w14:textId="0EDE156D" w:rsidR="006768FA" w:rsidRPr="00350486" w:rsidRDefault="006768FA" w:rsidP="004A78C6">
      <w:pPr>
        <w:pStyle w:val="Akapitzlist"/>
        <w:numPr>
          <w:ilvl w:val="0"/>
          <w:numId w:val="18"/>
        </w:numPr>
        <w:spacing w:before="120" w:after="120" w:line="360" w:lineRule="auto"/>
        <w:contextualSpacing w:val="0"/>
        <w:rPr>
          <w:rFonts w:cstheme="minorHAnsi"/>
          <w:sz w:val="24"/>
          <w:szCs w:val="24"/>
        </w:rPr>
      </w:pPr>
      <w:r w:rsidRPr="00350486">
        <w:rPr>
          <w:rFonts w:cstheme="minorHAnsi"/>
          <w:sz w:val="24"/>
          <w:szCs w:val="24"/>
        </w:rPr>
        <w:t xml:space="preserve">Roboty drogowe niemające charakteru odtworzenia, np. prace polegające na podwyższeniu standardu lub kategorii drogi (np. przypadki zmiany nawierzchni gruntowej na utwardzoną lub wykonania kompleksowej przebudowy konstrukcji drogi), stanowią koszt niekwalifikowany projektu i dopuszcza się ich uwzględnienie jedynie w kosztach całkowitych projektu. </w:t>
      </w:r>
    </w:p>
    <w:p w14:paraId="24FDC317" w14:textId="78E8A6EC" w:rsidR="00C760F9" w:rsidRPr="00562CE8" w:rsidRDefault="006C5361" w:rsidP="00562CE8">
      <w:pPr>
        <w:spacing w:before="120" w:after="120" w:line="360" w:lineRule="auto"/>
        <w:rPr>
          <w:rFonts w:cstheme="minorHAnsi"/>
          <w:b/>
          <w:sz w:val="24"/>
          <w:szCs w:val="24"/>
        </w:rPr>
      </w:pPr>
      <w:r w:rsidRPr="00350486">
        <w:rPr>
          <w:rFonts w:cstheme="minorHAnsi"/>
          <w:sz w:val="24"/>
          <w:szCs w:val="24"/>
        </w:rPr>
        <w:t xml:space="preserve">W przypadku zamówień dotyczących projektowania i robót budowlanych, koszty obejmujące opracowanie dokumentacji technicznej wraz pozyskaniem materiałów do projektowania i uzyskaniem uzgodnień, opinii, decyzji administracyjnych itp. powinny być one ujęte w tej samej kategorii.  </w:t>
      </w:r>
      <w:r w:rsidRPr="00350486">
        <w:rPr>
          <w:rFonts w:cstheme="minorHAnsi"/>
          <w:sz w:val="24"/>
          <w:szCs w:val="24"/>
          <w:u w:val="single"/>
        </w:rPr>
        <w:t>Nie zaleca się dzielenia jednego zamówienia na kilka kategorii</w:t>
      </w:r>
      <w:r w:rsidRPr="00350486">
        <w:rPr>
          <w:rFonts w:cstheme="minorHAnsi"/>
          <w:sz w:val="24"/>
          <w:szCs w:val="24"/>
        </w:rPr>
        <w:t xml:space="preserve"> np. „Usługi zewnętrzne” czy „Podatki i opłaty”, lecz uwzględnianie takich wydatków w kategorii „Roboty budowlane”.</w:t>
      </w:r>
    </w:p>
    <w:p w14:paraId="756E9DEC" w14:textId="3D0C75AA" w:rsidR="003D428E" w:rsidRPr="00870574" w:rsidRDefault="00562CE8" w:rsidP="00870574">
      <w:pPr>
        <w:spacing w:before="120" w:after="120" w:line="360" w:lineRule="auto"/>
        <w:rPr>
          <w:rFonts w:cstheme="minorHAnsi"/>
          <w:b/>
          <w:sz w:val="24"/>
          <w:szCs w:val="24"/>
        </w:rPr>
      </w:pPr>
      <w:r w:rsidRPr="00870574">
        <w:rPr>
          <w:rFonts w:cstheme="minorHAnsi"/>
          <w:b/>
          <w:sz w:val="24"/>
          <w:szCs w:val="24"/>
        </w:rPr>
        <w:t>D</w:t>
      </w:r>
      <w:r w:rsidR="003D428E" w:rsidRPr="00870574">
        <w:rPr>
          <w:rFonts w:cstheme="minorHAnsi"/>
          <w:b/>
          <w:sz w:val="24"/>
          <w:szCs w:val="24"/>
        </w:rPr>
        <w:t>odatkow</w:t>
      </w:r>
      <w:r w:rsidRPr="00870574">
        <w:rPr>
          <w:rFonts w:cstheme="minorHAnsi"/>
          <w:b/>
          <w:sz w:val="24"/>
          <w:szCs w:val="24"/>
        </w:rPr>
        <w:t>e</w:t>
      </w:r>
      <w:r w:rsidR="003D428E" w:rsidRPr="00870574">
        <w:rPr>
          <w:rFonts w:cstheme="minorHAnsi"/>
          <w:b/>
          <w:sz w:val="24"/>
          <w:szCs w:val="24"/>
        </w:rPr>
        <w:t xml:space="preserve"> element</w:t>
      </w:r>
      <w:r w:rsidRPr="00870574">
        <w:rPr>
          <w:rFonts w:cstheme="minorHAnsi"/>
          <w:b/>
          <w:sz w:val="24"/>
          <w:szCs w:val="24"/>
        </w:rPr>
        <w:t>y</w:t>
      </w:r>
      <w:r w:rsidR="003D428E" w:rsidRPr="00870574">
        <w:rPr>
          <w:rFonts w:cstheme="minorHAnsi"/>
          <w:b/>
          <w:sz w:val="24"/>
          <w:szCs w:val="24"/>
        </w:rPr>
        <w:t xml:space="preserve"> infrastruktury</w:t>
      </w:r>
    </w:p>
    <w:p w14:paraId="140F89B6" w14:textId="77777777" w:rsidR="00562CE8" w:rsidRDefault="003D428E">
      <w:pPr>
        <w:spacing w:before="120" w:after="120" w:line="360" w:lineRule="auto"/>
        <w:rPr>
          <w:rFonts w:cstheme="minorHAnsi"/>
          <w:sz w:val="24"/>
          <w:szCs w:val="24"/>
        </w:rPr>
      </w:pPr>
      <w:r w:rsidRPr="00870574">
        <w:rPr>
          <w:rFonts w:cstheme="minorHAnsi"/>
          <w:sz w:val="24"/>
          <w:szCs w:val="24"/>
        </w:rPr>
        <w:t>Dopuszczalne jest sfinansowanie elementów dodatkowych infrastruktury dla udostępniania zieleni oraz zielono-niebieskiej i niebieskiej infrastruktury (np. ciągi pieszo-rowerowe, stojaki na rowery, ścieżki, ławeczki, kosze na śmieci, infrastruktura oświetleniowa, toalety publiczne, obiekty małej architektury, place zabaw dla dzieci, siłownie plenerowe</w:t>
      </w:r>
      <w:r>
        <w:rPr>
          <w:rFonts w:cstheme="minorHAnsi"/>
          <w:sz w:val="24"/>
          <w:szCs w:val="24"/>
        </w:rPr>
        <w:t xml:space="preserve"> – </w:t>
      </w:r>
      <w:r w:rsidRPr="0087397B">
        <w:rPr>
          <w:rFonts w:cstheme="minorHAnsi"/>
          <w:sz w:val="24"/>
          <w:szCs w:val="24"/>
        </w:rPr>
        <w:t>katalog nie ma charakteru zamkniętego</w:t>
      </w:r>
      <w:r w:rsidRPr="00870574">
        <w:rPr>
          <w:rFonts w:cstheme="minorHAnsi"/>
          <w:sz w:val="24"/>
          <w:szCs w:val="24"/>
        </w:rPr>
        <w:t xml:space="preserve">) oraz niewielkich działań rekultywacyjnych i </w:t>
      </w:r>
      <w:proofErr w:type="spellStart"/>
      <w:r w:rsidRPr="00870574">
        <w:rPr>
          <w:rFonts w:cstheme="minorHAnsi"/>
          <w:sz w:val="24"/>
          <w:szCs w:val="24"/>
        </w:rPr>
        <w:t>remediacyjnych</w:t>
      </w:r>
      <w:proofErr w:type="spellEnd"/>
      <w:r w:rsidRPr="00870574">
        <w:rPr>
          <w:rFonts w:cstheme="minorHAnsi"/>
          <w:sz w:val="24"/>
          <w:szCs w:val="24"/>
        </w:rPr>
        <w:t xml:space="preserve"> terenu znajdującego się w granicach projektu zieleni lub zielono-niebieskiej i niebieskiej infrastruktury</w:t>
      </w:r>
      <w:r w:rsidR="00562CE8">
        <w:rPr>
          <w:rFonts w:cstheme="minorHAnsi"/>
          <w:sz w:val="24"/>
          <w:szCs w:val="24"/>
        </w:rPr>
        <w:t>.</w:t>
      </w:r>
    </w:p>
    <w:p w14:paraId="555C7209" w14:textId="5E344C2B" w:rsidR="003D428E" w:rsidRPr="00870574" w:rsidRDefault="00562CE8" w:rsidP="00870574">
      <w:pPr>
        <w:spacing w:before="120" w:after="120" w:line="360" w:lineRule="auto"/>
        <w:rPr>
          <w:rFonts w:cstheme="minorHAnsi"/>
          <w:sz w:val="24"/>
          <w:szCs w:val="24"/>
        </w:rPr>
      </w:pPr>
      <w:r>
        <w:rPr>
          <w:rFonts w:cstheme="minorHAnsi"/>
          <w:sz w:val="24"/>
          <w:szCs w:val="24"/>
        </w:rPr>
        <w:t xml:space="preserve">Wartość </w:t>
      </w:r>
      <w:r w:rsidR="003D428E" w:rsidRPr="00870574">
        <w:rPr>
          <w:rFonts w:cstheme="minorHAnsi"/>
          <w:sz w:val="24"/>
          <w:szCs w:val="24"/>
        </w:rPr>
        <w:t xml:space="preserve">ww. </w:t>
      </w:r>
      <w:r>
        <w:rPr>
          <w:rFonts w:cstheme="minorHAnsi"/>
          <w:sz w:val="24"/>
          <w:szCs w:val="24"/>
        </w:rPr>
        <w:t xml:space="preserve">dodatkowych </w:t>
      </w:r>
      <w:r w:rsidR="003D428E" w:rsidRPr="00870574">
        <w:rPr>
          <w:rFonts w:cstheme="minorHAnsi"/>
          <w:sz w:val="24"/>
          <w:szCs w:val="24"/>
        </w:rPr>
        <w:t xml:space="preserve">elementów nie może </w:t>
      </w:r>
      <w:r>
        <w:rPr>
          <w:rFonts w:cstheme="minorHAnsi"/>
          <w:sz w:val="24"/>
          <w:szCs w:val="24"/>
        </w:rPr>
        <w:t xml:space="preserve">przekroczyć </w:t>
      </w:r>
      <w:r w:rsidR="003D428E" w:rsidRPr="00870574">
        <w:rPr>
          <w:rFonts w:cstheme="minorHAnsi"/>
          <w:sz w:val="24"/>
          <w:szCs w:val="24"/>
        </w:rPr>
        <w:t>15 % kosztów kwalifikowanych projektu.</w:t>
      </w:r>
    </w:p>
    <w:p w14:paraId="3B34218A" w14:textId="220AC264" w:rsidR="00C760F9" w:rsidRPr="00870574" w:rsidRDefault="00A2333F" w:rsidP="00870574">
      <w:pPr>
        <w:spacing w:before="120" w:after="120" w:line="360" w:lineRule="auto"/>
        <w:rPr>
          <w:rFonts w:cstheme="minorHAnsi"/>
          <w:b/>
          <w:sz w:val="24"/>
          <w:szCs w:val="24"/>
        </w:rPr>
      </w:pPr>
      <w:r w:rsidRPr="00870574">
        <w:rPr>
          <w:rFonts w:cstheme="minorHAnsi"/>
          <w:b/>
          <w:sz w:val="24"/>
          <w:szCs w:val="24"/>
        </w:rPr>
        <w:t>Nadzór</w:t>
      </w:r>
      <w:r w:rsidR="008F6DE7" w:rsidRPr="00870574">
        <w:rPr>
          <w:rFonts w:cstheme="minorHAnsi"/>
          <w:b/>
          <w:sz w:val="24"/>
          <w:szCs w:val="24"/>
        </w:rPr>
        <w:t>/zarządzanie inwestycją</w:t>
      </w:r>
    </w:p>
    <w:p w14:paraId="5332FEA4" w14:textId="3A1230D7" w:rsidR="00A2333F" w:rsidRPr="00350486" w:rsidRDefault="00A2333F" w:rsidP="00350486">
      <w:pPr>
        <w:numPr>
          <w:ilvl w:val="0"/>
          <w:numId w:val="5"/>
        </w:numPr>
        <w:spacing w:before="120" w:after="120" w:line="360" w:lineRule="auto"/>
        <w:ind w:left="284" w:hanging="284"/>
        <w:rPr>
          <w:rFonts w:cstheme="minorHAnsi"/>
          <w:sz w:val="24"/>
          <w:szCs w:val="24"/>
        </w:rPr>
      </w:pPr>
      <w:r w:rsidRPr="00350486">
        <w:rPr>
          <w:rFonts w:cstheme="minorHAnsi"/>
          <w:sz w:val="24"/>
          <w:szCs w:val="24"/>
        </w:rPr>
        <w:lastRenderedPageBreak/>
        <w:t xml:space="preserve">Wydatki związane z zapewnieniem nadzoru </w:t>
      </w:r>
      <w:r w:rsidR="007B3DCB" w:rsidRPr="00350486">
        <w:rPr>
          <w:rFonts w:cstheme="minorHAnsi"/>
          <w:sz w:val="24"/>
          <w:szCs w:val="24"/>
        </w:rPr>
        <w:t xml:space="preserve">inwestorskiego </w:t>
      </w:r>
      <w:r w:rsidRPr="00350486">
        <w:rPr>
          <w:rFonts w:cstheme="minorHAnsi"/>
          <w:sz w:val="24"/>
          <w:szCs w:val="24"/>
        </w:rPr>
        <w:t>nad prowadzonymi robotami budowlanymi mogą być uznane za kwalifikowalne zarówno w przypadku, gdy zawierany jest odrębny kontrakt na nadzór nad robotami budowlanymi, jak również, gdy nadzór nad robotami budowlanymi jest</w:t>
      </w:r>
      <w:r w:rsidR="006C5361" w:rsidRPr="00350486">
        <w:rPr>
          <w:rFonts w:cstheme="minorHAnsi"/>
          <w:sz w:val="24"/>
          <w:szCs w:val="24"/>
        </w:rPr>
        <w:t xml:space="preserve"> realizowany przez pracowników B</w:t>
      </w:r>
      <w:r w:rsidRPr="00350486">
        <w:rPr>
          <w:rFonts w:cstheme="minorHAnsi"/>
          <w:sz w:val="24"/>
          <w:szCs w:val="24"/>
        </w:rPr>
        <w:t>eneficjenta posiadających odpowiednie kwalifikacje.</w:t>
      </w:r>
      <w:r w:rsidR="006C5361" w:rsidRPr="00350486">
        <w:rPr>
          <w:rFonts w:cstheme="minorHAnsi"/>
          <w:sz w:val="24"/>
          <w:szCs w:val="24"/>
        </w:rPr>
        <w:t xml:space="preserve"> W przypadkach, gdy do projektu włączono zakres niekwalifikowany, koszty nadzoru w tej części pozostaje również w kosztach niekwalifikowanych.</w:t>
      </w:r>
    </w:p>
    <w:p w14:paraId="665FC59F" w14:textId="66200951" w:rsidR="00A2333F" w:rsidRPr="00350486" w:rsidRDefault="00A2333F" w:rsidP="00350486">
      <w:pPr>
        <w:numPr>
          <w:ilvl w:val="0"/>
          <w:numId w:val="5"/>
        </w:numPr>
        <w:spacing w:before="120" w:after="120" w:line="360" w:lineRule="auto"/>
        <w:ind w:left="284" w:hanging="284"/>
        <w:rPr>
          <w:rFonts w:cstheme="minorHAnsi"/>
          <w:sz w:val="24"/>
          <w:szCs w:val="24"/>
        </w:rPr>
      </w:pPr>
      <w:r w:rsidRPr="00350486">
        <w:rPr>
          <w:rFonts w:cstheme="minorHAnsi"/>
          <w:sz w:val="24"/>
          <w:szCs w:val="24"/>
        </w:rPr>
        <w:t>W przypadku, gdy nadzór nad robotami budowlanymi jest</w:t>
      </w:r>
      <w:r w:rsidR="006C5361" w:rsidRPr="00350486">
        <w:rPr>
          <w:rFonts w:cstheme="minorHAnsi"/>
          <w:sz w:val="24"/>
          <w:szCs w:val="24"/>
        </w:rPr>
        <w:t xml:space="preserve"> realizowany przez pracowników B</w:t>
      </w:r>
      <w:r w:rsidRPr="00350486">
        <w:rPr>
          <w:rFonts w:cstheme="minorHAnsi"/>
          <w:sz w:val="24"/>
          <w:szCs w:val="24"/>
        </w:rPr>
        <w:t>eneficjenta posiadających odpowiednie kwalifikacje, wydatki związane z wynagrodzenia</w:t>
      </w:r>
      <w:r w:rsidR="006C5361" w:rsidRPr="00350486">
        <w:rPr>
          <w:rFonts w:cstheme="minorHAnsi"/>
          <w:sz w:val="24"/>
          <w:szCs w:val="24"/>
        </w:rPr>
        <w:t xml:space="preserve">mi dla pracowników </w:t>
      </w:r>
      <w:r w:rsidRPr="00350486">
        <w:rPr>
          <w:rFonts w:cstheme="minorHAnsi"/>
          <w:sz w:val="24"/>
          <w:szCs w:val="24"/>
        </w:rPr>
        <w:t xml:space="preserve">realizujących nadzór nad robotami budowlanymi mogą być uznane za kwalifikowalne na warunkach wskazanych w podrozdziale 3.8 </w:t>
      </w:r>
      <w:r w:rsidR="0055780A" w:rsidRPr="00350486">
        <w:rPr>
          <w:rFonts w:cstheme="minorHAnsi"/>
          <w:sz w:val="24"/>
          <w:szCs w:val="24"/>
        </w:rPr>
        <w:t xml:space="preserve">Wytycznych pn. </w:t>
      </w:r>
      <w:r w:rsidRPr="00350486">
        <w:rPr>
          <w:rFonts w:cstheme="minorHAnsi"/>
          <w:sz w:val="24"/>
          <w:szCs w:val="24"/>
        </w:rPr>
        <w:t xml:space="preserve">Personel projektu. </w:t>
      </w:r>
    </w:p>
    <w:p w14:paraId="65237CF4" w14:textId="33D41079" w:rsidR="00E56F9A" w:rsidRPr="00350486" w:rsidRDefault="00A2333F" w:rsidP="00350486">
      <w:pPr>
        <w:numPr>
          <w:ilvl w:val="0"/>
          <w:numId w:val="5"/>
        </w:numPr>
        <w:spacing w:before="120" w:after="120" w:line="360" w:lineRule="auto"/>
        <w:ind w:left="284" w:hanging="284"/>
        <w:rPr>
          <w:rFonts w:cstheme="minorHAnsi"/>
          <w:sz w:val="24"/>
          <w:szCs w:val="24"/>
        </w:rPr>
      </w:pPr>
      <w:r w:rsidRPr="00350486">
        <w:rPr>
          <w:rFonts w:cstheme="minorHAnsi"/>
          <w:sz w:val="24"/>
          <w:szCs w:val="24"/>
        </w:rPr>
        <w:t>W przypadku, gdy w ramach projektu zostanie zawarty odrębny kontrakt na nadzór nad robotam</w:t>
      </w:r>
      <w:r w:rsidR="006C5361" w:rsidRPr="00350486">
        <w:rPr>
          <w:rFonts w:cstheme="minorHAnsi"/>
          <w:sz w:val="24"/>
          <w:szCs w:val="24"/>
        </w:rPr>
        <w:t xml:space="preserve">i budowlanymi, wydatki związane </w:t>
      </w:r>
      <w:r w:rsidRPr="00350486">
        <w:rPr>
          <w:rFonts w:cstheme="minorHAnsi"/>
          <w:sz w:val="24"/>
          <w:szCs w:val="24"/>
        </w:rPr>
        <w:t>z zapewnieniem zaplecza Inżyniera nadzoru powinny być zamieszczone w kontraktach na nadzór</w:t>
      </w:r>
      <w:r w:rsidR="006C5361" w:rsidRPr="00350486">
        <w:rPr>
          <w:rFonts w:cstheme="minorHAnsi"/>
          <w:sz w:val="24"/>
          <w:szCs w:val="24"/>
        </w:rPr>
        <w:t>,</w:t>
      </w:r>
      <w:r w:rsidRPr="00350486">
        <w:rPr>
          <w:rFonts w:cstheme="minorHAnsi"/>
          <w:sz w:val="24"/>
          <w:szCs w:val="24"/>
        </w:rPr>
        <w:t xml:space="preserve"> a nie w kontraktach na roboty. Inżynier nadzoru powinien samodzielnie zapewniać sprzęt i wyposażenie, konieczne do realizacji jego zadań wynikających z kontraktu. </w:t>
      </w:r>
    </w:p>
    <w:p w14:paraId="742128C6" w14:textId="11D042AF" w:rsidR="00C23E3B" w:rsidRPr="004A78C6" w:rsidRDefault="006C5361" w:rsidP="0040777C">
      <w:pPr>
        <w:pStyle w:val="Text1"/>
        <w:numPr>
          <w:ilvl w:val="0"/>
          <w:numId w:val="5"/>
        </w:numPr>
        <w:autoSpaceDE w:val="0"/>
        <w:autoSpaceDN w:val="0"/>
        <w:adjustRightInd w:val="0"/>
        <w:spacing w:line="360" w:lineRule="auto"/>
        <w:ind w:left="284" w:hanging="426"/>
        <w:jc w:val="left"/>
      </w:pPr>
      <w:r w:rsidRPr="00350486">
        <w:rPr>
          <w:rFonts w:asciiTheme="minorHAnsi" w:hAnsiTheme="minorHAnsi" w:cstheme="minorHAnsi"/>
        </w:rPr>
        <w:t xml:space="preserve">Wydatki poniesione przez </w:t>
      </w:r>
      <w:r w:rsidR="00772757">
        <w:rPr>
          <w:rFonts w:asciiTheme="minorHAnsi" w:hAnsiTheme="minorHAnsi" w:cstheme="minorHAnsi"/>
          <w:lang w:val="pl-PL"/>
        </w:rPr>
        <w:t>B</w:t>
      </w:r>
      <w:proofErr w:type="spellStart"/>
      <w:r w:rsidR="000A0383" w:rsidRPr="00350486">
        <w:rPr>
          <w:rFonts w:asciiTheme="minorHAnsi" w:hAnsiTheme="minorHAnsi" w:cstheme="minorHAnsi"/>
        </w:rPr>
        <w:t>eneficjenta</w:t>
      </w:r>
      <w:proofErr w:type="spellEnd"/>
      <w:r w:rsidR="00CE560C" w:rsidRPr="00350486">
        <w:rPr>
          <w:rFonts w:asciiTheme="minorHAnsi" w:hAnsiTheme="minorHAnsi" w:cstheme="minorHAnsi"/>
        </w:rPr>
        <w:t xml:space="preserve"> (zamawiającego) na nabycie sprzętu i wyposażenia dla Inżyniera nadzoru stanowią wydatki niekwalifikowalne.</w:t>
      </w:r>
    </w:p>
    <w:p w14:paraId="3B95C71D" w14:textId="08C3D1BE" w:rsidR="001651EC" w:rsidRPr="004A78C6" w:rsidRDefault="001651EC" w:rsidP="0040777C">
      <w:pPr>
        <w:pStyle w:val="Text1"/>
        <w:numPr>
          <w:ilvl w:val="0"/>
          <w:numId w:val="5"/>
        </w:numPr>
        <w:autoSpaceDE w:val="0"/>
        <w:autoSpaceDN w:val="0"/>
        <w:adjustRightInd w:val="0"/>
        <w:spacing w:line="360" w:lineRule="auto"/>
        <w:ind w:left="284" w:hanging="426"/>
        <w:jc w:val="left"/>
        <w:rPr>
          <w:rFonts w:asciiTheme="minorHAnsi" w:hAnsiTheme="minorHAnsi" w:cstheme="minorHAnsi"/>
        </w:rPr>
      </w:pPr>
      <w:r w:rsidRPr="004A78C6">
        <w:rPr>
          <w:rFonts w:asciiTheme="minorHAnsi" w:hAnsiTheme="minorHAnsi" w:cstheme="minorHAnsi"/>
        </w:rPr>
        <w:t>Wydatki poniesione na zapewnienie zaplecza zamawiającego (Beneficjenta) w kontraktach na pełnienie nadzoru inwestorskiego (umowa na pełnienie usługi dot. Inżyniera Kontraktu) stanowią wydatki niekwalifikowalne.</w:t>
      </w:r>
    </w:p>
    <w:p w14:paraId="61C7E97E" w14:textId="76E46175" w:rsidR="002F4671" w:rsidRPr="00350486" w:rsidRDefault="00870574" w:rsidP="00870574">
      <w:pPr>
        <w:pStyle w:val="Nagwek2"/>
        <w:numPr>
          <w:ilvl w:val="0"/>
          <w:numId w:val="0"/>
        </w:numPr>
        <w:tabs>
          <w:tab w:val="num" w:pos="720"/>
        </w:tabs>
        <w:jc w:val="left"/>
        <w:rPr>
          <w:rFonts w:asciiTheme="minorHAnsi" w:hAnsiTheme="minorHAnsi" w:cstheme="minorHAnsi"/>
          <w:i w:val="0"/>
          <w:szCs w:val="24"/>
        </w:rPr>
      </w:pPr>
      <w:r>
        <w:rPr>
          <w:rFonts w:asciiTheme="minorHAnsi" w:hAnsiTheme="minorHAnsi" w:cstheme="minorHAnsi"/>
          <w:i w:val="0"/>
          <w:szCs w:val="24"/>
        </w:rPr>
        <w:t xml:space="preserve">XII. </w:t>
      </w:r>
      <w:bookmarkStart w:id="1" w:name="_Toc481068360"/>
      <w:bookmarkStart w:id="2" w:name="_Toc428779485"/>
      <w:r w:rsidR="002F4671" w:rsidRPr="00870574">
        <w:rPr>
          <w:rFonts w:asciiTheme="minorHAnsi" w:hAnsiTheme="minorHAnsi" w:cstheme="minorHAnsi"/>
          <w:i w:val="0"/>
          <w:szCs w:val="24"/>
        </w:rPr>
        <w:t>Wkład niepieniężny</w:t>
      </w:r>
      <w:bookmarkEnd w:id="1"/>
      <w:bookmarkEnd w:id="2"/>
    </w:p>
    <w:p w14:paraId="4D557524" w14:textId="111A134B" w:rsidR="002F4671" w:rsidRPr="00350486" w:rsidRDefault="002F4671" w:rsidP="00350486">
      <w:pPr>
        <w:numPr>
          <w:ilvl w:val="0"/>
          <w:numId w:val="12"/>
        </w:numPr>
        <w:spacing w:before="120" w:after="120" w:line="360" w:lineRule="auto"/>
        <w:ind w:left="284" w:hanging="284"/>
        <w:rPr>
          <w:rFonts w:cstheme="minorHAnsi"/>
          <w:sz w:val="24"/>
          <w:szCs w:val="24"/>
        </w:rPr>
      </w:pPr>
      <w:r w:rsidRPr="00350486">
        <w:rPr>
          <w:rFonts w:cstheme="minorHAnsi"/>
          <w:sz w:val="24"/>
          <w:szCs w:val="24"/>
        </w:rPr>
        <w:t xml:space="preserve">Wkład niepieniężny stanowiący część lub całość wkładu własnego, wniesiony na rzecz projektu, </w:t>
      </w:r>
      <w:r w:rsidR="006A6011" w:rsidRPr="00350486">
        <w:rPr>
          <w:rFonts w:cstheme="minorHAnsi"/>
          <w:sz w:val="24"/>
          <w:szCs w:val="24"/>
        </w:rPr>
        <w:t xml:space="preserve">może </w:t>
      </w:r>
      <w:r w:rsidRPr="00350486">
        <w:rPr>
          <w:rFonts w:cstheme="minorHAnsi"/>
          <w:sz w:val="24"/>
          <w:szCs w:val="24"/>
        </w:rPr>
        <w:t>stanowi</w:t>
      </w:r>
      <w:r w:rsidR="006A6011" w:rsidRPr="00350486">
        <w:rPr>
          <w:rFonts w:cstheme="minorHAnsi"/>
          <w:sz w:val="24"/>
          <w:szCs w:val="24"/>
        </w:rPr>
        <w:t>ć</w:t>
      </w:r>
      <w:r w:rsidRPr="00350486">
        <w:rPr>
          <w:rFonts w:cstheme="minorHAnsi"/>
          <w:sz w:val="24"/>
          <w:szCs w:val="24"/>
        </w:rPr>
        <w:t xml:space="preserve"> wydatek kwalifikowalny</w:t>
      </w:r>
      <w:r w:rsidR="009B094E" w:rsidRPr="00350486">
        <w:rPr>
          <w:rFonts w:cstheme="minorHAnsi"/>
          <w:sz w:val="24"/>
          <w:szCs w:val="24"/>
        </w:rPr>
        <w:t>.</w:t>
      </w:r>
    </w:p>
    <w:p w14:paraId="627BD545" w14:textId="4596FFE2" w:rsidR="002F4671" w:rsidRPr="00350486" w:rsidRDefault="002F4671" w:rsidP="00350486">
      <w:pPr>
        <w:numPr>
          <w:ilvl w:val="0"/>
          <w:numId w:val="12"/>
        </w:numPr>
        <w:spacing w:before="120" w:after="120" w:line="360" w:lineRule="auto"/>
        <w:ind w:left="284" w:hanging="284"/>
        <w:rPr>
          <w:rFonts w:cstheme="minorHAnsi"/>
          <w:sz w:val="24"/>
          <w:szCs w:val="24"/>
          <w:u w:val="single"/>
        </w:rPr>
      </w:pPr>
      <w:r w:rsidRPr="00350486">
        <w:rPr>
          <w:rFonts w:cstheme="minorHAnsi"/>
          <w:sz w:val="24"/>
          <w:szCs w:val="24"/>
        </w:rPr>
        <w:t xml:space="preserve">Wkład niepieniężny powinien być wnoszony przez beneficjenta ze składników jego majątku lub z majątku innych podmiotów, jeżeli możliwość taka wynika z przepisów prawa oraz </w:t>
      </w:r>
      <w:r w:rsidRPr="00350486">
        <w:rPr>
          <w:rFonts w:cstheme="minorHAnsi"/>
          <w:b/>
          <w:sz w:val="24"/>
          <w:szCs w:val="24"/>
          <w:u w:val="single"/>
        </w:rPr>
        <w:t xml:space="preserve">zostanie to ujęte </w:t>
      </w:r>
      <w:r w:rsidR="006A6011" w:rsidRPr="00350486">
        <w:rPr>
          <w:rFonts w:cstheme="minorHAnsi"/>
          <w:b/>
          <w:sz w:val="24"/>
          <w:szCs w:val="24"/>
          <w:u w:val="single"/>
        </w:rPr>
        <w:t>we</w:t>
      </w:r>
      <w:r w:rsidRPr="00350486">
        <w:rPr>
          <w:rFonts w:cstheme="minorHAnsi"/>
          <w:b/>
          <w:sz w:val="24"/>
          <w:szCs w:val="24"/>
          <w:u w:val="single"/>
        </w:rPr>
        <w:t xml:space="preserve"> wniosku o dofinansowanie</w:t>
      </w:r>
      <w:r w:rsidR="006A6011" w:rsidRPr="00350486">
        <w:rPr>
          <w:rFonts w:cstheme="minorHAnsi"/>
          <w:b/>
          <w:sz w:val="24"/>
          <w:szCs w:val="24"/>
          <w:u w:val="single"/>
        </w:rPr>
        <w:t>.</w:t>
      </w:r>
    </w:p>
    <w:p w14:paraId="43B1A72F" w14:textId="2BFA2656" w:rsidR="002F4671" w:rsidRPr="00350486" w:rsidRDefault="002F4671" w:rsidP="00350486">
      <w:pPr>
        <w:numPr>
          <w:ilvl w:val="0"/>
          <w:numId w:val="12"/>
        </w:numPr>
        <w:spacing w:before="120" w:after="120" w:line="360" w:lineRule="auto"/>
        <w:ind w:left="284" w:hanging="284"/>
        <w:rPr>
          <w:rFonts w:cstheme="minorHAnsi"/>
          <w:sz w:val="24"/>
          <w:szCs w:val="24"/>
        </w:rPr>
      </w:pPr>
      <w:r w:rsidRPr="00350486">
        <w:rPr>
          <w:rFonts w:cstheme="minorHAnsi"/>
          <w:sz w:val="24"/>
          <w:szCs w:val="24"/>
        </w:rPr>
        <w:lastRenderedPageBreak/>
        <w:t>Wkład niepieniężny, który był współfinansowany ze środków unijnych lub/oraz dotacji z krajowych środków publicznych, jest niekwalifikowalny (podwójne finansowanie).</w:t>
      </w:r>
    </w:p>
    <w:p w14:paraId="11679E3A" w14:textId="77777777" w:rsidR="002F4671" w:rsidRPr="00350486" w:rsidRDefault="002F4671" w:rsidP="00350486">
      <w:pPr>
        <w:numPr>
          <w:ilvl w:val="0"/>
          <w:numId w:val="12"/>
        </w:numPr>
        <w:spacing w:before="120" w:after="120" w:line="360" w:lineRule="auto"/>
        <w:ind w:left="426" w:hanging="426"/>
        <w:rPr>
          <w:rFonts w:cstheme="minorHAnsi"/>
          <w:sz w:val="24"/>
          <w:szCs w:val="24"/>
        </w:rPr>
      </w:pPr>
      <w:r w:rsidRPr="00350486">
        <w:rPr>
          <w:rFonts w:cstheme="minorHAnsi"/>
          <w:sz w:val="24"/>
          <w:szCs w:val="24"/>
        </w:rPr>
        <w:t>Warunki kwalifikowalności wkładu niepieniężnego są następujące:</w:t>
      </w:r>
    </w:p>
    <w:p w14:paraId="4F2DDCFA" w14:textId="6158959B" w:rsidR="002F4671" w:rsidRPr="00350486" w:rsidRDefault="002F4671" w:rsidP="00350486">
      <w:pPr>
        <w:pStyle w:val="Text1"/>
        <w:numPr>
          <w:ilvl w:val="0"/>
          <w:numId w:val="11"/>
        </w:numPr>
        <w:autoSpaceDE w:val="0"/>
        <w:autoSpaceDN w:val="0"/>
        <w:adjustRightInd w:val="0"/>
        <w:spacing w:line="360" w:lineRule="auto"/>
        <w:ind w:left="567" w:hanging="283"/>
        <w:jc w:val="left"/>
        <w:rPr>
          <w:rFonts w:asciiTheme="minorHAnsi" w:hAnsiTheme="minorHAnsi" w:cstheme="minorHAnsi"/>
        </w:rPr>
      </w:pPr>
      <w:r w:rsidRPr="00350486">
        <w:rPr>
          <w:rFonts w:asciiTheme="minorHAnsi" w:eastAsia="Calibri" w:hAnsiTheme="minorHAnsi" w:cstheme="minorHAnsi"/>
        </w:rPr>
        <w:t>wkład</w:t>
      </w:r>
      <w:r w:rsidRPr="00350486">
        <w:rPr>
          <w:rFonts w:asciiTheme="minorHAnsi" w:hAnsiTheme="minorHAnsi" w:cstheme="minorHAnsi"/>
        </w:rPr>
        <w:t xml:space="preserve"> niepieniężny polega na wniesieniu (wykorzystaniu na rzecz projektu) nieruchomości, urządzeń, materiałów (surowców), wartości niematerialnych i prawnych, ekspertyz</w:t>
      </w:r>
      <w:r w:rsidR="006A6011" w:rsidRPr="00350486">
        <w:rPr>
          <w:rFonts w:asciiTheme="minorHAnsi" w:hAnsiTheme="minorHAnsi" w:cstheme="minorHAnsi"/>
        </w:rPr>
        <w:t>.</w:t>
      </w:r>
      <w:r w:rsidRPr="00350486">
        <w:rPr>
          <w:rFonts w:asciiTheme="minorHAnsi" w:hAnsiTheme="minorHAnsi" w:cstheme="minorHAnsi"/>
        </w:rPr>
        <w:t xml:space="preserve"> </w:t>
      </w:r>
    </w:p>
    <w:p w14:paraId="2D834EB8" w14:textId="014596A6" w:rsidR="002F4671" w:rsidRPr="00350486" w:rsidRDefault="002F4671" w:rsidP="00350486">
      <w:pPr>
        <w:pStyle w:val="Text1"/>
        <w:numPr>
          <w:ilvl w:val="0"/>
          <w:numId w:val="11"/>
        </w:numPr>
        <w:autoSpaceDE w:val="0"/>
        <w:autoSpaceDN w:val="0"/>
        <w:adjustRightInd w:val="0"/>
        <w:spacing w:line="360" w:lineRule="auto"/>
        <w:ind w:left="567" w:hanging="283"/>
        <w:jc w:val="left"/>
        <w:rPr>
          <w:rFonts w:asciiTheme="minorHAnsi" w:hAnsiTheme="minorHAnsi" w:cstheme="minorHAnsi"/>
        </w:rPr>
      </w:pPr>
      <w:r w:rsidRPr="00350486">
        <w:rPr>
          <w:rFonts w:asciiTheme="minorHAnsi" w:hAnsiTheme="minorHAnsi" w:cstheme="minorHAnsi"/>
        </w:rPr>
        <w:t>wartość wkładu niepieniężnego została należycie potwierdzona dokumentami o</w:t>
      </w:r>
      <w:r w:rsidRPr="00350486">
        <w:rPr>
          <w:rFonts w:asciiTheme="minorHAnsi" w:hAnsiTheme="minorHAnsi" w:cstheme="minorHAnsi"/>
          <w:lang w:val="pl-PL"/>
        </w:rPr>
        <w:t> </w:t>
      </w:r>
      <w:r w:rsidRPr="00350486">
        <w:rPr>
          <w:rFonts w:asciiTheme="minorHAnsi" w:hAnsiTheme="minorHAnsi" w:cstheme="minorHAnsi"/>
        </w:rPr>
        <w:t xml:space="preserve">wartości dowodowej równoważnej </w:t>
      </w:r>
      <w:r w:rsidR="009B094E" w:rsidRPr="00350486">
        <w:rPr>
          <w:rFonts w:asciiTheme="minorHAnsi" w:hAnsiTheme="minorHAnsi" w:cstheme="minorHAnsi"/>
        </w:rPr>
        <w:t>fakturom lub innymi dokumentami</w:t>
      </w:r>
      <w:r w:rsidR="009B094E" w:rsidRPr="00350486">
        <w:rPr>
          <w:rFonts w:asciiTheme="minorHAnsi" w:hAnsiTheme="minorHAnsi" w:cstheme="minorHAnsi"/>
          <w:lang w:val="pl-PL"/>
        </w:rPr>
        <w:t>,</w:t>
      </w:r>
    </w:p>
    <w:p w14:paraId="216FB1E7" w14:textId="77777777" w:rsidR="002F4671" w:rsidRPr="00350486" w:rsidRDefault="002F4671" w:rsidP="00350486">
      <w:pPr>
        <w:pStyle w:val="Text1"/>
        <w:numPr>
          <w:ilvl w:val="0"/>
          <w:numId w:val="11"/>
        </w:numPr>
        <w:autoSpaceDE w:val="0"/>
        <w:autoSpaceDN w:val="0"/>
        <w:adjustRightInd w:val="0"/>
        <w:spacing w:line="360" w:lineRule="auto"/>
        <w:ind w:left="567" w:hanging="283"/>
        <w:jc w:val="left"/>
        <w:rPr>
          <w:rFonts w:asciiTheme="minorHAnsi" w:hAnsiTheme="minorHAnsi" w:cstheme="minorHAnsi"/>
        </w:rPr>
      </w:pPr>
      <w:r w:rsidRPr="00350486">
        <w:rPr>
          <w:rFonts w:asciiTheme="minorHAnsi" w:hAnsiTheme="minorHAnsi" w:cstheme="minorHAnsi"/>
        </w:rPr>
        <w:t>wartość przypisana wkładowi niepieniężnemu nie przekracza stawek rynkowych,</w:t>
      </w:r>
    </w:p>
    <w:p w14:paraId="5508A237" w14:textId="77777777" w:rsidR="002F4671" w:rsidRPr="00350486" w:rsidRDefault="002F4671" w:rsidP="00350486">
      <w:pPr>
        <w:pStyle w:val="Text1"/>
        <w:numPr>
          <w:ilvl w:val="0"/>
          <w:numId w:val="11"/>
        </w:numPr>
        <w:autoSpaceDE w:val="0"/>
        <w:autoSpaceDN w:val="0"/>
        <w:adjustRightInd w:val="0"/>
        <w:spacing w:line="360" w:lineRule="auto"/>
        <w:ind w:left="567" w:hanging="283"/>
        <w:jc w:val="left"/>
        <w:rPr>
          <w:rFonts w:asciiTheme="minorHAnsi" w:hAnsiTheme="minorHAnsi" w:cstheme="minorHAnsi"/>
        </w:rPr>
      </w:pPr>
      <w:r w:rsidRPr="00350486">
        <w:rPr>
          <w:rFonts w:asciiTheme="minorHAnsi" w:hAnsiTheme="minorHAnsi" w:cstheme="minorHAnsi"/>
        </w:rPr>
        <w:t>wartość i dostarczenie wkładu niepieniężnego mogą być poddane niezależnej ocenie i weryfikacji,</w:t>
      </w:r>
    </w:p>
    <w:p w14:paraId="4743F3C4" w14:textId="527D346D" w:rsidR="002F4671" w:rsidRPr="00350486" w:rsidRDefault="002F4671" w:rsidP="00350486">
      <w:pPr>
        <w:pStyle w:val="Text1"/>
        <w:numPr>
          <w:ilvl w:val="0"/>
          <w:numId w:val="11"/>
        </w:numPr>
        <w:autoSpaceDE w:val="0"/>
        <w:autoSpaceDN w:val="0"/>
        <w:adjustRightInd w:val="0"/>
        <w:spacing w:line="360" w:lineRule="auto"/>
        <w:ind w:left="567" w:hanging="283"/>
        <w:jc w:val="left"/>
        <w:rPr>
          <w:rFonts w:asciiTheme="minorHAnsi" w:hAnsiTheme="minorHAnsi" w:cstheme="minorHAnsi"/>
        </w:rPr>
      </w:pPr>
      <w:r w:rsidRPr="00350486">
        <w:rPr>
          <w:rFonts w:asciiTheme="minorHAnsi" w:hAnsiTheme="minorHAnsi" w:cstheme="minorHAnsi"/>
        </w:rPr>
        <w:t xml:space="preserve">w </w:t>
      </w:r>
      <w:r w:rsidRPr="00350486">
        <w:rPr>
          <w:rFonts w:asciiTheme="minorHAnsi" w:eastAsia="Calibri" w:hAnsiTheme="minorHAnsi" w:cstheme="minorHAnsi"/>
        </w:rPr>
        <w:t>przypadku</w:t>
      </w:r>
      <w:r w:rsidRPr="00350486">
        <w:rPr>
          <w:rFonts w:asciiTheme="minorHAnsi" w:hAnsiTheme="minorHAnsi" w:cstheme="minorHAnsi"/>
        </w:rPr>
        <w:t xml:space="preserve"> wykorzystania środków trwałych na rzecz projektu, ich wartość określana jest proporcjonalnie do zakresu ich wykorzystania w projekcie</w:t>
      </w:r>
      <w:r w:rsidR="009B094E" w:rsidRPr="00350486">
        <w:rPr>
          <w:rFonts w:asciiTheme="minorHAnsi" w:hAnsiTheme="minorHAnsi" w:cstheme="minorHAnsi"/>
          <w:lang w:val="pl-PL"/>
        </w:rPr>
        <w:t>,</w:t>
      </w:r>
    </w:p>
    <w:p w14:paraId="14EB939A" w14:textId="77777777" w:rsidR="002F4671" w:rsidRPr="00350486" w:rsidRDefault="002F4671" w:rsidP="00350486">
      <w:pPr>
        <w:pStyle w:val="Text1"/>
        <w:numPr>
          <w:ilvl w:val="0"/>
          <w:numId w:val="11"/>
        </w:numPr>
        <w:autoSpaceDE w:val="0"/>
        <w:autoSpaceDN w:val="0"/>
        <w:adjustRightInd w:val="0"/>
        <w:spacing w:line="360" w:lineRule="auto"/>
        <w:ind w:left="567" w:hanging="283"/>
        <w:jc w:val="left"/>
        <w:rPr>
          <w:rFonts w:asciiTheme="minorHAnsi" w:hAnsiTheme="minorHAnsi" w:cstheme="minorHAnsi"/>
        </w:rPr>
      </w:pPr>
      <w:r w:rsidRPr="00350486">
        <w:rPr>
          <w:rFonts w:asciiTheme="minorHAnsi" w:hAnsiTheme="minorHAnsi" w:cstheme="minorHAnsi"/>
        </w:rPr>
        <w:t xml:space="preserve">w </w:t>
      </w:r>
      <w:r w:rsidRPr="00350486">
        <w:rPr>
          <w:rFonts w:asciiTheme="minorHAnsi" w:eastAsia="Calibri" w:hAnsiTheme="minorHAnsi" w:cstheme="minorHAnsi"/>
        </w:rPr>
        <w:t>przypadku</w:t>
      </w:r>
      <w:r w:rsidRPr="00350486">
        <w:rPr>
          <w:rFonts w:asciiTheme="minorHAnsi" w:hAnsiTheme="minorHAnsi" w:cstheme="minorHAnsi"/>
        </w:rPr>
        <w:t xml:space="preserve">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(Dz.</w:t>
      </w:r>
      <w:r w:rsidRPr="00350486">
        <w:rPr>
          <w:rFonts w:asciiTheme="minorHAnsi" w:hAnsiTheme="minorHAnsi" w:cstheme="minorHAnsi"/>
          <w:lang w:val="pl-PL"/>
        </w:rPr>
        <w:t> </w:t>
      </w:r>
      <w:r w:rsidRPr="00350486">
        <w:rPr>
          <w:rFonts w:asciiTheme="minorHAnsi" w:hAnsiTheme="minorHAnsi" w:cstheme="minorHAnsi"/>
        </w:rPr>
        <w:t>U. z 201</w:t>
      </w:r>
      <w:r w:rsidRPr="00350486">
        <w:rPr>
          <w:rFonts w:asciiTheme="minorHAnsi" w:hAnsiTheme="minorHAnsi" w:cstheme="minorHAnsi"/>
          <w:lang w:val="pl-PL"/>
        </w:rPr>
        <w:t>6</w:t>
      </w:r>
      <w:r w:rsidRPr="00350486">
        <w:rPr>
          <w:rFonts w:asciiTheme="minorHAnsi" w:hAnsiTheme="minorHAnsi" w:cstheme="minorHAnsi"/>
        </w:rPr>
        <w:t xml:space="preserve"> r. poz. </w:t>
      </w:r>
      <w:r w:rsidRPr="00350486">
        <w:rPr>
          <w:rFonts w:asciiTheme="minorHAnsi" w:hAnsiTheme="minorHAnsi" w:cstheme="minorHAnsi"/>
          <w:lang w:val="pl-PL"/>
        </w:rPr>
        <w:t>2147</w:t>
      </w:r>
      <w:r w:rsidRPr="00350486">
        <w:rPr>
          <w:rFonts w:asciiTheme="minorHAnsi" w:hAnsiTheme="minorHAnsi" w:cstheme="minorHAnsi"/>
        </w:rPr>
        <w:t xml:space="preserve">, z </w:t>
      </w:r>
      <w:proofErr w:type="spellStart"/>
      <w:r w:rsidRPr="00350486">
        <w:rPr>
          <w:rFonts w:asciiTheme="minorHAnsi" w:hAnsiTheme="minorHAnsi" w:cstheme="minorHAnsi"/>
        </w:rPr>
        <w:t>późn</w:t>
      </w:r>
      <w:proofErr w:type="spellEnd"/>
      <w:r w:rsidRPr="00350486">
        <w:rPr>
          <w:rFonts w:asciiTheme="minorHAnsi" w:hAnsiTheme="minorHAnsi" w:cstheme="minorHAnsi"/>
        </w:rPr>
        <w:t>. zm.) – aktualnym</w:t>
      </w:r>
      <w:r w:rsidRPr="00350486">
        <w:rPr>
          <w:rStyle w:val="Odwoanieprzypisudolnego"/>
          <w:rFonts w:asciiTheme="minorHAnsi" w:hAnsiTheme="minorHAnsi" w:cstheme="minorHAnsi"/>
        </w:rPr>
        <w:footnoteReference w:id="2"/>
      </w:r>
      <w:r w:rsidRPr="00350486">
        <w:rPr>
          <w:rFonts w:asciiTheme="minorHAnsi" w:hAnsiTheme="minorHAnsi" w:cstheme="minorHAnsi"/>
        </w:rPr>
        <w:t xml:space="preserve"> w momencie złożenia rozliczającego go wniosku o płatność beneficjenta, </w:t>
      </w:r>
    </w:p>
    <w:p w14:paraId="2C8A35EA" w14:textId="2D73DDD3" w:rsidR="002F4671" w:rsidRPr="00350486" w:rsidRDefault="002F4671" w:rsidP="00350486">
      <w:pPr>
        <w:pStyle w:val="Text1"/>
        <w:numPr>
          <w:ilvl w:val="0"/>
          <w:numId w:val="11"/>
        </w:numPr>
        <w:autoSpaceDE w:val="0"/>
        <w:autoSpaceDN w:val="0"/>
        <w:adjustRightInd w:val="0"/>
        <w:spacing w:line="360" w:lineRule="auto"/>
        <w:ind w:left="567" w:hanging="283"/>
        <w:jc w:val="left"/>
        <w:rPr>
          <w:rFonts w:asciiTheme="minorHAnsi" w:hAnsiTheme="minorHAnsi" w:cstheme="minorHAnsi"/>
        </w:rPr>
      </w:pPr>
      <w:r w:rsidRPr="00350486">
        <w:rPr>
          <w:rFonts w:asciiTheme="minorHAnsi" w:hAnsiTheme="minorHAnsi" w:cstheme="minorHAnsi"/>
        </w:rPr>
        <w:t>jeżeli</w:t>
      </w:r>
      <w:r w:rsidRPr="00350486">
        <w:rPr>
          <w:rFonts w:asciiTheme="minorHAnsi" w:hAnsiTheme="minorHAnsi" w:cstheme="minorHAnsi"/>
          <w:lang w:val="pl-PL"/>
        </w:rPr>
        <w:t>,</w:t>
      </w:r>
      <w:r w:rsidRPr="00350486">
        <w:rPr>
          <w:rFonts w:asciiTheme="minorHAnsi" w:hAnsiTheme="minorHAnsi" w:cstheme="minorHAnsi"/>
        </w:rPr>
        <w:t xml:space="preserve"> </w:t>
      </w:r>
      <w:r w:rsidRPr="00350486">
        <w:rPr>
          <w:rFonts w:asciiTheme="minorHAnsi" w:hAnsiTheme="minorHAnsi" w:cstheme="minorHAnsi"/>
          <w:lang w:val="pl-PL"/>
        </w:rPr>
        <w:t xml:space="preserve">ze względu na charakter projektu, </w:t>
      </w:r>
      <w:r w:rsidRPr="00350486">
        <w:rPr>
          <w:rFonts w:asciiTheme="minorHAnsi" w:eastAsia="Calibri" w:hAnsiTheme="minorHAnsi" w:cstheme="minorHAnsi"/>
        </w:rPr>
        <w:t>wkładem</w:t>
      </w:r>
      <w:r w:rsidRPr="00350486">
        <w:rPr>
          <w:rFonts w:asciiTheme="minorHAnsi" w:hAnsiTheme="minorHAnsi" w:cstheme="minorHAnsi"/>
        </w:rPr>
        <w:t xml:space="preserve"> </w:t>
      </w:r>
      <w:r w:rsidRPr="00350486">
        <w:rPr>
          <w:rFonts w:asciiTheme="minorHAnsi" w:hAnsiTheme="minorHAnsi" w:cstheme="minorHAnsi"/>
          <w:lang w:val="pl-PL"/>
        </w:rPr>
        <w:t>niepieniężnym do projektu</w:t>
      </w:r>
      <w:r w:rsidRPr="00350486">
        <w:rPr>
          <w:rFonts w:asciiTheme="minorHAnsi" w:hAnsiTheme="minorHAnsi" w:cstheme="minorHAnsi"/>
        </w:rPr>
        <w:t xml:space="preserve"> nie jest cała nieruchomość, a jedynie jej część (na przykład tylko sale), operat szacunkowy nie jest wymagany – w takim przypadku</w:t>
      </w:r>
      <w:r w:rsidRPr="00350486">
        <w:rPr>
          <w:rFonts w:asciiTheme="minorHAnsi" w:hAnsiTheme="minorHAnsi" w:cstheme="minorHAnsi"/>
          <w:lang w:val="pl-PL"/>
        </w:rPr>
        <w:t>, za zgodą instytucji będącej stroną umowy o dofinansowanie,</w:t>
      </w:r>
      <w:r w:rsidRPr="00350486">
        <w:rPr>
          <w:rFonts w:asciiTheme="minorHAnsi" w:hAnsiTheme="minorHAnsi" w:cstheme="minorHAnsi"/>
        </w:rPr>
        <w:t xml:space="preserve"> wartość wkładu </w:t>
      </w:r>
      <w:r w:rsidRPr="00350486">
        <w:rPr>
          <w:rFonts w:asciiTheme="minorHAnsi" w:hAnsiTheme="minorHAnsi" w:cstheme="minorHAnsi"/>
          <w:lang w:val="pl-PL"/>
        </w:rPr>
        <w:t xml:space="preserve">może być </w:t>
      </w:r>
      <w:proofErr w:type="spellStart"/>
      <w:r w:rsidRPr="00350486">
        <w:rPr>
          <w:rFonts w:asciiTheme="minorHAnsi" w:hAnsiTheme="minorHAnsi" w:cstheme="minorHAnsi"/>
        </w:rPr>
        <w:t>wyceni</w:t>
      </w:r>
      <w:r w:rsidRPr="00350486">
        <w:rPr>
          <w:rFonts w:asciiTheme="minorHAnsi" w:hAnsiTheme="minorHAnsi" w:cstheme="minorHAnsi"/>
          <w:lang w:val="pl-PL"/>
        </w:rPr>
        <w:t>on</w:t>
      </w:r>
      <w:proofErr w:type="spellEnd"/>
      <w:r w:rsidRPr="00350486">
        <w:rPr>
          <w:rFonts w:asciiTheme="minorHAnsi" w:hAnsiTheme="minorHAnsi" w:cstheme="minorHAnsi"/>
        </w:rPr>
        <w:t>a jako koszt amortyzacji lub wynajmu (stawkę może określać np.</w:t>
      </w:r>
      <w:r w:rsidRPr="00350486">
        <w:rPr>
          <w:rFonts w:asciiTheme="minorHAnsi" w:hAnsiTheme="minorHAnsi" w:cstheme="minorHAnsi"/>
          <w:lang w:val="pl-PL"/>
        </w:rPr>
        <w:t> </w:t>
      </w:r>
      <w:r w:rsidR="006A6011" w:rsidRPr="00350486">
        <w:rPr>
          <w:rFonts w:asciiTheme="minorHAnsi" w:hAnsiTheme="minorHAnsi" w:cstheme="minorHAnsi"/>
        </w:rPr>
        <w:t>cennik danej instytucji).</w:t>
      </w:r>
    </w:p>
    <w:p w14:paraId="24AE18BD" w14:textId="77777777" w:rsidR="002F4671" w:rsidRPr="00350486" w:rsidRDefault="002F4671" w:rsidP="00350486">
      <w:pPr>
        <w:numPr>
          <w:ilvl w:val="0"/>
          <w:numId w:val="12"/>
        </w:numPr>
        <w:spacing w:before="120" w:after="120" w:line="360" w:lineRule="auto"/>
        <w:ind w:left="284" w:hanging="426"/>
        <w:rPr>
          <w:rFonts w:cstheme="minorHAnsi"/>
          <w:sz w:val="24"/>
          <w:szCs w:val="24"/>
        </w:rPr>
      </w:pPr>
      <w:r w:rsidRPr="00350486">
        <w:rPr>
          <w:rFonts w:cstheme="minorHAnsi"/>
          <w:sz w:val="24"/>
          <w:szCs w:val="24"/>
        </w:rPr>
        <w:t>Wydatki poniesione na wycenę wkładu niepieniężnego są kwalifikowalne.</w:t>
      </w:r>
    </w:p>
    <w:p w14:paraId="54BB9B99" w14:textId="369D6E4F" w:rsidR="00063A8F" w:rsidRPr="008C0070" w:rsidRDefault="002F4671">
      <w:pPr>
        <w:spacing w:before="120" w:after="120" w:line="360" w:lineRule="auto"/>
        <w:rPr>
          <w:rFonts w:cstheme="minorHAnsi"/>
          <w:sz w:val="24"/>
          <w:szCs w:val="24"/>
        </w:rPr>
      </w:pPr>
      <w:r w:rsidRPr="00350486">
        <w:rPr>
          <w:rFonts w:cstheme="minorHAnsi"/>
          <w:sz w:val="24"/>
          <w:szCs w:val="24"/>
        </w:rPr>
        <w:lastRenderedPageBreak/>
        <w:t>W przypadku wniesienia wkładu niepieniężnego w postaci nieruchomości, dodatkowo zastosowanie ma</w:t>
      </w:r>
      <w:r w:rsidR="00DD16F4" w:rsidRPr="00350486">
        <w:rPr>
          <w:rFonts w:cstheme="minorHAnsi"/>
          <w:sz w:val="24"/>
          <w:szCs w:val="24"/>
        </w:rPr>
        <w:t>ją Wytyczne</w:t>
      </w:r>
      <w:r w:rsidRPr="00350486">
        <w:rPr>
          <w:rFonts w:cstheme="minorHAnsi"/>
          <w:sz w:val="24"/>
          <w:szCs w:val="24"/>
        </w:rPr>
        <w:t xml:space="preserve"> podrozdział </w:t>
      </w:r>
      <w:r w:rsidR="00DD16F4" w:rsidRPr="00350486">
        <w:rPr>
          <w:rFonts w:cstheme="minorHAnsi"/>
          <w:sz w:val="24"/>
          <w:szCs w:val="24"/>
        </w:rPr>
        <w:t>3</w:t>
      </w:r>
      <w:r w:rsidRPr="00350486">
        <w:rPr>
          <w:rFonts w:cstheme="minorHAnsi"/>
          <w:sz w:val="24"/>
          <w:szCs w:val="24"/>
        </w:rPr>
        <w:t>.4</w:t>
      </w:r>
      <w:r w:rsidR="00DD16F4" w:rsidRPr="00350486">
        <w:rPr>
          <w:rFonts w:cstheme="minorHAnsi"/>
          <w:sz w:val="24"/>
          <w:szCs w:val="24"/>
        </w:rPr>
        <w:t>. Z kolei zasady dokumentowania wydatków są opisane w Wytycznych podrozdział 3.1 Zasady faktycznego ponoszenia wydatków.</w:t>
      </w:r>
      <w:r w:rsidR="00063A8F">
        <w:rPr>
          <w:rFonts w:cstheme="minorHAnsi"/>
          <w:sz w:val="24"/>
          <w:szCs w:val="24"/>
        </w:rPr>
        <w:t xml:space="preserve"> </w:t>
      </w:r>
    </w:p>
    <w:p w14:paraId="300F9B5C" w14:textId="5D81B9A3" w:rsidR="002F4671" w:rsidRPr="008C0070" w:rsidRDefault="002F4671" w:rsidP="00063A8F">
      <w:pPr>
        <w:spacing w:before="120" w:after="120" w:line="360" w:lineRule="auto"/>
        <w:rPr>
          <w:rFonts w:cstheme="minorHAnsi"/>
          <w:sz w:val="24"/>
          <w:szCs w:val="24"/>
        </w:rPr>
      </w:pPr>
    </w:p>
    <w:sectPr w:rsidR="002F4671" w:rsidRPr="008C0070" w:rsidSect="001F5789">
      <w:head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18A1" w14:textId="77777777" w:rsidR="00214B3C" w:rsidRDefault="00214B3C" w:rsidP="00100AD9">
      <w:pPr>
        <w:spacing w:after="0" w:line="240" w:lineRule="auto"/>
      </w:pPr>
      <w:r>
        <w:separator/>
      </w:r>
    </w:p>
  </w:endnote>
  <w:endnote w:type="continuationSeparator" w:id="0">
    <w:p w14:paraId="05118110" w14:textId="77777777" w:rsidR="00214B3C" w:rsidRDefault="00214B3C" w:rsidP="0010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77B8" w14:textId="77777777" w:rsidR="00214B3C" w:rsidRDefault="00214B3C" w:rsidP="00100AD9">
      <w:pPr>
        <w:spacing w:after="0" w:line="240" w:lineRule="auto"/>
      </w:pPr>
      <w:r>
        <w:separator/>
      </w:r>
    </w:p>
  </w:footnote>
  <w:footnote w:type="continuationSeparator" w:id="0">
    <w:p w14:paraId="2CF014B3" w14:textId="77777777" w:rsidR="00214B3C" w:rsidRDefault="00214B3C" w:rsidP="00100AD9">
      <w:pPr>
        <w:spacing w:after="0" w:line="240" w:lineRule="auto"/>
      </w:pPr>
      <w:r>
        <w:continuationSeparator/>
      </w:r>
    </w:p>
  </w:footnote>
  <w:footnote w:id="1">
    <w:p w14:paraId="3A669E74" w14:textId="77777777" w:rsidR="002560A8" w:rsidRPr="00350486" w:rsidRDefault="002560A8" w:rsidP="00350486">
      <w:pPr>
        <w:pStyle w:val="Tekstprzypisudolnego"/>
        <w:jc w:val="left"/>
        <w:rPr>
          <w:rFonts w:asciiTheme="minorHAnsi" w:hAnsiTheme="minorHAnsi" w:cstheme="minorHAnsi"/>
        </w:rPr>
      </w:pPr>
      <w:r w:rsidRPr="00350486">
        <w:rPr>
          <w:rStyle w:val="Odwoanieprzypisudolnego"/>
          <w:rFonts w:asciiTheme="minorHAnsi" w:hAnsiTheme="minorHAnsi" w:cstheme="minorHAnsi"/>
        </w:rPr>
        <w:footnoteRef/>
      </w:r>
      <w:r w:rsidRPr="00350486">
        <w:rPr>
          <w:rFonts w:asciiTheme="minorHAnsi" w:hAnsiTheme="minorHAnsi" w:cstheme="minorHAnsi"/>
        </w:rPr>
        <w:t xml:space="preserve"> W przypadku wartości niematerialnych i prawnych oddanych do używania na podstawie umowy najmu, dzierżawy lub leasingu, wartości niematerialne i prawne zalicza się do aktywów trwałych jednej ze stron umowy, zgodnie z warunkami określonymi w ust. 4 ustawy z dnia 29 września 1994 r. o rachunkowości. Do wartości niematerialnych i prawnych zalicza się również nabytą wartość firmy oraz koszty zakończonych prac rozwojowych.</w:t>
      </w:r>
    </w:p>
  </w:footnote>
  <w:footnote w:id="2">
    <w:p w14:paraId="2C68E1A1" w14:textId="208755B6" w:rsidR="002F4671" w:rsidRPr="00350486" w:rsidRDefault="002F4671" w:rsidP="00350486">
      <w:pPr>
        <w:pStyle w:val="Tekstprzypisudolnego"/>
        <w:jc w:val="left"/>
        <w:rPr>
          <w:rFonts w:asciiTheme="minorHAnsi" w:hAnsiTheme="minorHAnsi" w:cstheme="minorHAnsi"/>
        </w:rPr>
      </w:pPr>
      <w:r w:rsidRPr="00350486">
        <w:rPr>
          <w:rStyle w:val="Odwoanieprzypisudolnego"/>
          <w:rFonts w:asciiTheme="minorHAnsi" w:hAnsiTheme="minorHAnsi" w:cstheme="minorHAnsi"/>
        </w:rPr>
        <w:footnoteRef/>
      </w:r>
      <w:r w:rsidRPr="00350486">
        <w:rPr>
          <w:rFonts w:asciiTheme="minorHAnsi" w:hAnsiTheme="minorHAnsi" w:cstheme="minorHAnsi"/>
        </w:rPr>
        <w:t xml:space="preserve"> </w:t>
      </w:r>
      <w:r w:rsidRPr="00350486">
        <w:rPr>
          <w:rFonts w:asciiTheme="minorHAnsi" w:hAnsiTheme="minorHAnsi" w:cstheme="minorHAnsi"/>
          <w:lang w:val="pl-PL"/>
        </w:rPr>
        <w:t>T</w:t>
      </w:r>
      <w:r w:rsidR="00A64192" w:rsidRPr="00A64192">
        <w:rPr>
          <w:rFonts w:asciiTheme="minorHAnsi" w:hAnsiTheme="minorHAnsi" w:cstheme="minorHAnsi"/>
        </w:rPr>
        <w:t>termin</w:t>
      </w:r>
      <w:r w:rsidRPr="00350486">
        <w:rPr>
          <w:rFonts w:asciiTheme="minorHAnsi" w:hAnsiTheme="minorHAnsi" w:cstheme="minorHAnsi"/>
        </w:rPr>
        <w:t xml:space="preserve"> ważności sporządzonego dokumentu określa ustawa z dnia 21 sierpnia 1997 r. o gospodarce nieruchomościami.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A4EF" w14:textId="7D9AEA91" w:rsidR="00637A1E" w:rsidRDefault="004A78C6">
    <w:pPr>
      <w:pStyle w:val="Nagwek"/>
    </w:pPr>
    <w:r>
      <w:rPr>
        <w:noProof/>
      </w:rPr>
      <w:drawing>
        <wp:inline distT="0" distB="0" distL="0" distR="0" wp14:anchorId="15CF8E86" wp14:editId="5A4C5645">
          <wp:extent cx="5753100" cy="739140"/>
          <wp:effectExtent l="0" t="0" r="0" b="3810"/>
          <wp:docPr id="1" name="Obraz 1" descr="Obraz zawierający tekst, Czcionka, biały&#10;&#10;Logo: Fundusze Europejskie na Infrastrukturę, Klimat, Środowisko.&#10;Logo: Narodowy Fundusz Ochro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biały&#10;&#10;Logo: Fundusze Europejskie na Infrastrukturę, Klimat, Środowisko.&#10;Logo: Narodowy Fundusz Ochrony Środowiska i Gospodarki Wodnej."/>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C1"/>
    <w:multiLevelType w:val="hybridMultilevel"/>
    <w:tmpl w:val="BD7EFAD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D53E2"/>
    <w:multiLevelType w:val="hybridMultilevel"/>
    <w:tmpl w:val="FFF8958C"/>
    <w:lvl w:ilvl="0" w:tplc="04150011">
      <w:start w:val="1"/>
      <w:numFmt w:val="decimal"/>
      <w:lvlText w:val="%1)"/>
      <w:lvlJc w:val="left"/>
      <w:pPr>
        <w:ind w:left="2743" w:hanging="360"/>
      </w:pPr>
    </w:lvl>
    <w:lvl w:ilvl="1" w:tplc="04150019" w:tentative="1">
      <w:start w:val="1"/>
      <w:numFmt w:val="lowerLetter"/>
      <w:lvlText w:val="%2."/>
      <w:lvlJc w:val="left"/>
      <w:pPr>
        <w:ind w:left="3463" w:hanging="360"/>
      </w:pPr>
    </w:lvl>
    <w:lvl w:ilvl="2" w:tplc="0415001B" w:tentative="1">
      <w:start w:val="1"/>
      <w:numFmt w:val="lowerRoman"/>
      <w:lvlText w:val="%3."/>
      <w:lvlJc w:val="right"/>
      <w:pPr>
        <w:ind w:left="4183" w:hanging="180"/>
      </w:pPr>
    </w:lvl>
    <w:lvl w:ilvl="3" w:tplc="0415000F" w:tentative="1">
      <w:start w:val="1"/>
      <w:numFmt w:val="decimal"/>
      <w:lvlText w:val="%4."/>
      <w:lvlJc w:val="left"/>
      <w:pPr>
        <w:ind w:left="4903" w:hanging="360"/>
      </w:pPr>
    </w:lvl>
    <w:lvl w:ilvl="4" w:tplc="04150019" w:tentative="1">
      <w:start w:val="1"/>
      <w:numFmt w:val="lowerLetter"/>
      <w:lvlText w:val="%5."/>
      <w:lvlJc w:val="left"/>
      <w:pPr>
        <w:ind w:left="5623" w:hanging="360"/>
      </w:pPr>
    </w:lvl>
    <w:lvl w:ilvl="5" w:tplc="0415001B" w:tentative="1">
      <w:start w:val="1"/>
      <w:numFmt w:val="lowerRoman"/>
      <w:lvlText w:val="%6."/>
      <w:lvlJc w:val="right"/>
      <w:pPr>
        <w:ind w:left="6343" w:hanging="180"/>
      </w:pPr>
    </w:lvl>
    <w:lvl w:ilvl="6" w:tplc="0415000F" w:tentative="1">
      <w:start w:val="1"/>
      <w:numFmt w:val="decimal"/>
      <w:lvlText w:val="%7."/>
      <w:lvlJc w:val="left"/>
      <w:pPr>
        <w:ind w:left="7063" w:hanging="360"/>
      </w:pPr>
    </w:lvl>
    <w:lvl w:ilvl="7" w:tplc="04150019" w:tentative="1">
      <w:start w:val="1"/>
      <w:numFmt w:val="lowerLetter"/>
      <w:lvlText w:val="%8."/>
      <w:lvlJc w:val="left"/>
      <w:pPr>
        <w:ind w:left="7783" w:hanging="360"/>
      </w:pPr>
    </w:lvl>
    <w:lvl w:ilvl="8" w:tplc="0415001B" w:tentative="1">
      <w:start w:val="1"/>
      <w:numFmt w:val="lowerRoman"/>
      <w:lvlText w:val="%9."/>
      <w:lvlJc w:val="right"/>
      <w:pPr>
        <w:ind w:left="8503" w:hanging="180"/>
      </w:pPr>
    </w:lvl>
  </w:abstractNum>
  <w:abstractNum w:abstractNumId="2" w15:restartNumberingAfterBreak="0">
    <w:nsid w:val="108333A6"/>
    <w:multiLevelType w:val="hybridMultilevel"/>
    <w:tmpl w:val="B568EEB6"/>
    <w:lvl w:ilvl="0" w:tplc="0415000F">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9C095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145C6"/>
    <w:multiLevelType w:val="hybridMultilevel"/>
    <w:tmpl w:val="EEC23FCA"/>
    <w:lvl w:ilvl="0" w:tplc="72186694">
      <w:start w:val="1"/>
      <w:numFmt w:val="lowerLetter"/>
      <w:lvlText w:val="%1)"/>
      <w:lvlJc w:val="left"/>
      <w:pPr>
        <w:ind w:left="502"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E562D7"/>
    <w:multiLevelType w:val="hybridMultilevel"/>
    <w:tmpl w:val="BD2CB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947202"/>
    <w:multiLevelType w:val="hybridMultilevel"/>
    <w:tmpl w:val="1FA449D0"/>
    <w:lvl w:ilvl="0" w:tplc="9B628F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70155"/>
    <w:multiLevelType w:val="hybridMultilevel"/>
    <w:tmpl w:val="AEA6AF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746DCB"/>
    <w:multiLevelType w:val="hybridMultilevel"/>
    <w:tmpl w:val="83DAC2F8"/>
    <w:lvl w:ilvl="0" w:tplc="979CD72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8D20B66"/>
    <w:multiLevelType w:val="multilevel"/>
    <w:tmpl w:val="164CE026"/>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695"/>
        </w:tabs>
        <w:ind w:left="3695" w:hanging="576"/>
      </w:pPr>
      <w:rPr>
        <w:rFonts w:ascii="Arial" w:hAnsi="Arial" w:cs="Arial" w:hint="default"/>
        <w:sz w:val="24"/>
        <w:szCs w:val="24"/>
      </w:rPr>
    </w:lvl>
    <w:lvl w:ilvl="2">
      <w:start w:val="1"/>
      <w:numFmt w:val="decimal"/>
      <w:pStyle w:val="Nagwek3"/>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tabs>
          <w:tab w:val="num" w:pos="4692"/>
        </w:tabs>
        <w:ind w:left="4692" w:hanging="864"/>
      </w:pPr>
      <w:rPr>
        <w:rFonts w:hint="default"/>
        <w:b w:val="0"/>
        <w:i/>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44552A63"/>
    <w:multiLevelType w:val="hybridMultilevel"/>
    <w:tmpl w:val="8AD82C3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E0D0317"/>
    <w:multiLevelType w:val="hybridMultilevel"/>
    <w:tmpl w:val="6DEEA7AC"/>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EF26C37"/>
    <w:multiLevelType w:val="hybridMultilevel"/>
    <w:tmpl w:val="DE8AF1FA"/>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5F6EAA"/>
    <w:multiLevelType w:val="hybridMultilevel"/>
    <w:tmpl w:val="AF468866"/>
    <w:lvl w:ilvl="0" w:tplc="B284F4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456107"/>
    <w:multiLevelType w:val="hybridMultilevel"/>
    <w:tmpl w:val="3BDE09C6"/>
    <w:lvl w:ilvl="0" w:tplc="04150011">
      <w:start w:val="1"/>
      <w:numFmt w:val="decimal"/>
      <w:lvlText w:val="%1)"/>
      <w:lvlJc w:val="left"/>
      <w:pPr>
        <w:ind w:left="2743" w:hanging="360"/>
      </w:pPr>
    </w:lvl>
    <w:lvl w:ilvl="1" w:tplc="04150019" w:tentative="1">
      <w:start w:val="1"/>
      <w:numFmt w:val="lowerLetter"/>
      <w:lvlText w:val="%2."/>
      <w:lvlJc w:val="left"/>
      <w:pPr>
        <w:ind w:left="3463" w:hanging="360"/>
      </w:pPr>
    </w:lvl>
    <w:lvl w:ilvl="2" w:tplc="0415001B" w:tentative="1">
      <w:start w:val="1"/>
      <w:numFmt w:val="lowerRoman"/>
      <w:lvlText w:val="%3."/>
      <w:lvlJc w:val="right"/>
      <w:pPr>
        <w:ind w:left="4183" w:hanging="180"/>
      </w:pPr>
    </w:lvl>
    <w:lvl w:ilvl="3" w:tplc="0415000F" w:tentative="1">
      <w:start w:val="1"/>
      <w:numFmt w:val="decimal"/>
      <w:lvlText w:val="%4."/>
      <w:lvlJc w:val="left"/>
      <w:pPr>
        <w:ind w:left="4903" w:hanging="360"/>
      </w:pPr>
    </w:lvl>
    <w:lvl w:ilvl="4" w:tplc="04150019" w:tentative="1">
      <w:start w:val="1"/>
      <w:numFmt w:val="lowerLetter"/>
      <w:lvlText w:val="%5."/>
      <w:lvlJc w:val="left"/>
      <w:pPr>
        <w:ind w:left="5623" w:hanging="360"/>
      </w:pPr>
    </w:lvl>
    <w:lvl w:ilvl="5" w:tplc="0415001B" w:tentative="1">
      <w:start w:val="1"/>
      <w:numFmt w:val="lowerRoman"/>
      <w:lvlText w:val="%6."/>
      <w:lvlJc w:val="right"/>
      <w:pPr>
        <w:ind w:left="6343" w:hanging="180"/>
      </w:pPr>
    </w:lvl>
    <w:lvl w:ilvl="6" w:tplc="0415000F" w:tentative="1">
      <w:start w:val="1"/>
      <w:numFmt w:val="decimal"/>
      <w:lvlText w:val="%7."/>
      <w:lvlJc w:val="left"/>
      <w:pPr>
        <w:ind w:left="7063" w:hanging="360"/>
      </w:pPr>
    </w:lvl>
    <w:lvl w:ilvl="7" w:tplc="04150019" w:tentative="1">
      <w:start w:val="1"/>
      <w:numFmt w:val="lowerLetter"/>
      <w:lvlText w:val="%8."/>
      <w:lvlJc w:val="left"/>
      <w:pPr>
        <w:ind w:left="7783" w:hanging="360"/>
      </w:pPr>
    </w:lvl>
    <w:lvl w:ilvl="8" w:tplc="0415001B" w:tentative="1">
      <w:start w:val="1"/>
      <w:numFmt w:val="lowerRoman"/>
      <w:lvlText w:val="%9."/>
      <w:lvlJc w:val="right"/>
      <w:pPr>
        <w:ind w:left="8503" w:hanging="180"/>
      </w:pPr>
    </w:lvl>
  </w:abstractNum>
  <w:abstractNum w:abstractNumId="14" w15:restartNumberingAfterBreak="0">
    <w:nsid w:val="5BE9412A"/>
    <w:multiLevelType w:val="hybridMultilevel"/>
    <w:tmpl w:val="24F8C760"/>
    <w:lvl w:ilvl="0" w:tplc="3978348C">
      <w:start w:val="1"/>
      <w:numFmt w:val="decimal"/>
      <w:lvlText w:val="%1."/>
      <w:lvlJc w:val="left"/>
      <w:pPr>
        <w:ind w:left="720" w:hanging="360"/>
      </w:pPr>
      <w:rPr>
        <w:rFonts w:asciiTheme="minorHAnsi" w:hAnsiTheme="minorHAnsi" w:cstheme="minorBidi"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D27B0F"/>
    <w:multiLevelType w:val="hybridMultilevel"/>
    <w:tmpl w:val="C916FE0C"/>
    <w:lvl w:ilvl="0" w:tplc="04150017">
      <w:start w:val="1"/>
      <w:numFmt w:val="lowerLetter"/>
      <w:lvlText w:val="%1)"/>
      <w:lvlJc w:val="left"/>
      <w:pPr>
        <w:ind w:left="1080" w:hanging="360"/>
      </w:pPr>
    </w:lvl>
    <w:lvl w:ilvl="1" w:tplc="D5ACC2C6">
      <w:start w:val="10"/>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11">
      <w:start w:val="1"/>
      <w:numFmt w:val="decimal"/>
      <w:lvlText w:val="%4)"/>
      <w:lvlJc w:val="left"/>
      <w:pPr>
        <w:ind w:left="2743"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3812B08"/>
    <w:multiLevelType w:val="hybridMultilevel"/>
    <w:tmpl w:val="DEF263A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45B497F"/>
    <w:multiLevelType w:val="hybridMultilevel"/>
    <w:tmpl w:val="849A715A"/>
    <w:lvl w:ilvl="0" w:tplc="0415000F">
      <w:start w:val="1"/>
      <w:numFmt w:val="decimal"/>
      <w:lvlText w:val="%1."/>
      <w:lvlJc w:val="left"/>
      <w:pPr>
        <w:ind w:left="502"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3328FF"/>
    <w:multiLevelType w:val="hybridMultilevel"/>
    <w:tmpl w:val="CFC69704"/>
    <w:lvl w:ilvl="0" w:tplc="721866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0E4999"/>
    <w:multiLevelType w:val="hybridMultilevel"/>
    <w:tmpl w:val="967804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D21A3D"/>
    <w:multiLevelType w:val="hybridMultilevel"/>
    <w:tmpl w:val="333E18C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0215A4"/>
    <w:multiLevelType w:val="hybridMultilevel"/>
    <w:tmpl w:val="F3CEDA78"/>
    <w:lvl w:ilvl="0" w:tplc="0415000F">
      <w:start w:val="1"/>
      <w:numFmt w:val="decimal"/>
      <w:lvlText w:val="%1."/>
      <w:lvlJc w:val="left"/>
      <w:pPr>
        <w:ind w:left="502"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9940317">
    <w:abstractNumId w:val="14"/>
  </w:num>
  <w:num w:numId="2" w16cid:durableId="9382396">
    <w:abstractNumId w:val="21"/>
  </w:num>
  <w:num w:numId="3" w16cid:durableId="185215954">
    <w:abstractNumId w:val="8"/>
  </w:num>
  <w:num w:numId="4" w16cid:durableId="400101630">
    <w:abstractNumId w:val="2"/>
  </w:num>
  <w:num w:numId="5" w16cid:durableId="562107987">
    <w:abstractNumId w:val="17"/>
  </w:num>
  <w:num w:numId="6" w16cid:durableId="655569683">
    <w:abstractNumId w:val="1"/>
  </w:num>
  <w:num w:numId="7" w16cid:durableId="408428366">
    <w:abstractNumId w:val="9"/>
  </w:num>
  <w:num w:numId="8" w16cid:durableId="742028942">
    <w:abstractNumId w:val="16"/>
  </w:num>
  <w:num w:numId="9" w16cid:durableId="609822300">
    <w:abstractNumId w:val="10"/>
  </w:num>
  <w:num w:numId="10" w16cid:durableId="629213598">
    <w:abstractNumId w:val="3"/>
  </w:num>
  <w:num w:numId="11" w16cid:durableId="715661604">
    <w:abstractNumId w:val="13"/>
  </w:num>
  <w:num w:numId="12" w16cid:durableId="760830245">
    <w:abstractNumId w:val="19"/>
  </w:num>
  <w:num w:numId="13" w16cid:durableId="843326283">
    <w:abstractNumId w:val="4"/>
  </w:num>
  <w:num w:numId="14" w16cid:durableId="1355302555">
    <w:abstractNumId w:val="15"/>
  </w:num>
  <w:num w:numId="15" w16cid:durableId="65538095">
    <w:abstractNumId w:val="11"/>
  </w:num>
  <w:num w:numId="16" w16cid:durableId="2014215527">
    <w:abstractNumId w:val="5"/>
  </w:num>
  <w:num w:numId="17" w16cid:durableId="668021815">
    <w:abstractNumId w:val="7"/>
  </w:num>
  <w:num w:numId="18" w16cid:durableId="2109348753">
    <w:abstractNumId w:val="12"/>
  </w:num>
  <w:num w:numId="19" w16cid:durableId="2045715435">
    <w:abstractNumId w:val="18"/>
  </w:num>
  <w:num w:numId="20" w16cid:durableId="215896261">
    <w:abstractNumId w:val="20"/>
  </w:num>
  <w:num w:numId="21" w16cid:durableId="1370951018">
    <w:abstractNumId w:val="6"/>
  </w:num>
  <w:num w:numId="22" w16cid:durableId="145794365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4A"/>
    <w:rsid w:val="0000165B"/>
    <w:rsid w:val="00003CE6"/>
    <w:rsid w:val="00020028"/>
    <w:rsid w:val="000248F5"/>
    <w:rsid w:val="00037F5A"/>
    <w:rsid w:val="00051B0F"/>
    <w:rsid w:val="0006358F"/>
    <w:rsid w:val="00063A8F"/>
    <w:rsid w:val="00077121"/>
    <w:rsid w:val="00086A9F"/>
    <w:rsid w:val="00090983"/>
    <w:rsid w:val="000A0383"/>
    <w:rsid w:val="000A0F44"/>
    <w:rsid w:val="000A3B51"/>
    <w:rsid w:val="000A671A"/>
    <w:rsid w:val="000B4CD6"/>
    <w:rsid w:val="000D635D"/>
    <w:rsid w:val="000E387C"/>
    <w:rsid w:val="000F3039"/>
    <w:rsid w:val="000F5108"/>
    <w:rsid w:val="000F7E8A"/>
    <w:rsid w:val="00100AD9"/>
    <w:rsid w:val="00120514"/>
    <w:rsid w:val="00123564"/>
    <w:rsid w:val="00124702"/>
    <w:rsid w:val="0015077B"/>
    <w:rsid w:val="00157E7A"/>
    <w:rsid w:val="001641A5"/>
    <w:rsid w:val="001651EC"/>
    <w:rsid w:val="00167BF2"/>
    <w:rsid w:val="001A2580"/>
    <w:rsid w:val="001A5B12"/>
    <w:rsid w:val="001A7448"/>
    <w:rsid w:val="001D3380"/>
    <w:rsid w:val="001D7393"/>
    <w:rsid w:val="001F45DC"/>
    <w:rsid w:val="001F52C0"/>
    <w:rsid w:val="001F5789"/>
    <w:rsid w:val="00214B3C"/>
    <w:rsid w:val="002261A8"/>
    <w:rsid w:val="0022628A"/>
    <w:rsid w:val="00226A0D"/>
    <w:rsid w:val="00243269"/>
    <w:rsid w:val="00250BDF"/>
    <w:rsid w:val="00252D18"/>
    <w:rsid w:val="002551B2"/>
    <w:rsid w:val="002560A8"/>
    <w:rsid w:val="00261852"/>
    <w:rsid w:val="00275766"/>
    <w:rsid w:val="00287214"/>
    <w:rsid w:val="00292642"/>
    <w:rsid w:val="00292ABC"/>
    <w:rsid w:val="002A4E09"/>
    <w:rsid w:val="002C015B"/>
    <w:rsid w:val="002D0729"/>
    <w:rsid w:val="002F4671"/>
    <w:rsid w:val="002F7F8B"/>
    <w:rsid w:val="0030319A"/>
    <w:rsid w:val="0031016C"/>
    <w:rsid w:val="003213F6"/>
    <w:rsid w:val="0033577A"/>
    <w:rsid w:val="003403CA"/>
    <w:rsid w:val="003456FA"/>
    <w:rsid w:val="00350486"/>
    <w:rsid w:val="003678E6"/>
    <w:rsid w:val="00375A7B"/>
    <w:rsid w:val="003945F8"/>
    <w:rsid w:val="003978EA"/>
    <w:rsid w:val="003A3C3B"/>
    <w:rsid w:val="003A49B3"/>
    <w:rsid w:val="003A51FE"/>
    <w:rsid w:val="003B6255"/>
    <w:rsid w:val="003C131D"/>
    <w:rsid w:val="003C220F"/>
    <w:rsid w:val="003C4E6B"/>
    <w:rsid w:val="003D02EA"/>
    <w:rsid w:val="003D428E"/>
    <w:rsid w:val="0040183A"/>
    <w:rsid w:val="0040777C"/>
    <w:rsid w:val="00415266"/>
    <w:rsid w:val="0042541B"/>
    <w:rsid w:val="00431D0C"/>
    <w:rsid w:val="00442CC6"/>
    <w:rsid w:val="004430C0"/>
    <w:rsid w:val="00464306"/>
    <w:rsid w:val="00464BD2"/>
    <w:rsid w:val="0046670A"/>
    <w:rsid w:val="00476E92"/>
    <w:rsid w:val="004A4646"/>
    <w:rsid w:val="004A78C6"/>
    <w:rsid w:val="004B01D2"/>
    <w:rsid w:val="004B4F99"/>
    <w:rsid w:val="004C2AAC"/>
    <w:rsid w:val="004C4C1A"/>
    <w:rsid w:val="004D1DE5"/>
    <w:rsid w:val="004D2937"/>
    <w:rsid w:val="004D5336"/>
    <w:rsid w:val="004F1E81"/>
    <w:rsid w:val="004F2A6F"/>
    <w:rsid w:val="004F53A1"/>
    <w:rsid w:val="0050476D"/>
    <w:rsid w:val="00505277"/>
    <w:rsid w:val="0051714E"/>
    <w:rsid w:val="00523667"/>
    <w:rsid w:val="00523BC4"/>
    <w:rsid w:val="00524D4F"/>
    <w:rsid w:val="005274E8"/>
    <w:rsid w:val="005355B8"/>
    <w:rsid w:val="0055089A"/>
    <w:rsid w:val="00552262"/>
    <w:rsid w:val="005525AA"/>
    <w:rsid w:val="0055780A"/>
    <w:rsid w:val="00562CE8"/>
    <w:rsid w:val="005674DB"/>
    <w:rsid w:val="00571381"/>
    <w:rsid w:val="005952A2"/>
    <w:rsid w:val="005A16D1"/>
    <w:rsid w:val="005B120C"/>
    <w:rsid w:val="005B5EA3"/>
    <w:rsid w:val="005D25E5"/>
    <w:rsid w:val="005D3556"/>
    <w:rsid w:val="005D6C73"/>
    <w:rsid w:val="005E1F10"/>
    <w:rsid w:val="005F2834"/>
    <w:rsid w:val="005F76CE"/>
    <w:rsid w:val="00602A44"/>
    <w:rsid w:val="00637A1E"/>
    <w:rsid w:val="00660CD3"/>
    <w:rsid w:val="00662C46"/>
    <w:rsid w:val="00662E6B"/>
    <w:rsid w:val="00665487"/>
    <w:rsid w:val="006768FA"/>
    <w:rsid w:val="006804B4"/>
    <w:rsid w:val="00695637"/>
    <w:rsid w:val="006A6011"/>
    <w:rsid w:val="006B3445"/>
    <w:rsid w:val="006C013E"/>
    <w:rsid w:val="006C2E53"/>
    <w:rsid w:val="006C5361"/>
    <w:rsid w:val="006E6334"/>
    <w:rsid w:val="006F0DFA"/>
    <w:rsid w:val="007029A8"/>
    <w:rsid w:val="0071513F"/>
    <w:rsid w:val="0072707E"/>
    <w:rsid w:val="0073442D"/>
    <w:rsid w:val="00740192"/>
    <w:rsid w:val="00743586"/>
    <w:rsid w:val="007444E7"/>
    <w:rsid w:val="007456E6"/>
    <w:rsid w:val="00747FDD"/>
    <w:rsid w:val="00751336"/>
    <w:rsid w:val="00752320"/>
    <w:rsid w:val="00753016"/>
    <w:rsid w:val="00772757"/>
    <w:rsid w:val="00775BFF"/>
    <w:rsid w:val="00797AD7"/>
    <w:rsid w:val="007A18EC"/>
    <w:rsid w:val="007A1946"/>
    <w:rsid w:val="007B3DCB"/>
    <w:rsid w:val="007C7417"/>
    <w:rsid w:val="007E1672"/>
    <w:rsid w:val="007E49D4"/>
    <w:rsid w:val="007E7097"/>
    <w:rsid w:val="00802076"/>
    <w:rsid w:val="008041F5"/>
    <w:rsid w:val="0080710F"/>
    <w:rsid w:val="00810D3A"/>
    <w:rsid w:val="008144D5"/>
    <w:rsid w:val="00823635"/>
    <w:rsid w:val="00825952"/>
    <w:rsid w:val="00837777"/>
    <w:rsid w:val="008440A9"/>
    <w:rsid w:val="00861545"/>
    <w:rsid w:val="00866AD6"/>
    <w:rsid w:val="00870574"/>
    <w:rsid w:val="0087079F"/>
    <w:rsid w:val="008920FD"/>
    <w:rsid w:val="008950AF"/>
    <w:rsid w:val="00895E13"/>
    <w:rsid w:val="008A03B7"/>
    <w:rsid w:val="008A144A"/>
    <w:rsid w:val="008A5010"/>
    <w:rsid w:val="008C0070"/>
    <w:rsid w:val="008E1E3D"/>
    <w:rsid w:val="008F6DE7"/>
    <w:rsid w:val="00903A1E"/>
    <w:rsid w:val="00924FA5"/>
    <w:rsid w:val="009307EF"/>
    <w:rsid w:val="0094145E"/>
    <w:rsid w:val="009415EF"/>
    <w:rsid w:val="00941D7A"/>
    <w:rsid w:val="009645AC"/>
    <w:rsid w:val="00965AF1"/>
    <w:rsid w:val="00972312"/>
    <w:rsid w:val="00980C7C"/>
    <w:rsid w:val="00984444"/>
    <w:rsid w:val="009858C5"/>
    <w:rsid w:val="00987616"/>
    <w:rsid w:val="00992EC1"/>
    <w:rsid w:val="009A30AE"/>
    <w:rsid w:val="009B00A9"/>
    <w:rsid w:val="009B094E"/>
    <w:rsid w:val="009B28B1"/>
    <w:rsid w:val="009C59FF"/>
    <w:rsid w:val="009D7590"/>
    <w:rsid w:val="009E0622"/>
    <w:rsid w:val="00A02160"/>
    <w:rsid w:val="00A04618"/>
    <w:rsid w:val="00A04771"/>
    <w:rsid w:val="00A10860"/>
    <w:rsid w:val="00A124A7"/>
    <w:rsid w:val="00A2333F"/>
    <w:rsid w:val="00A30BC6"/>
    <w:rsid w:val="00A47DAB"/>
    <w:rsid w:val="00A54C52"/>
    <w:rsid w:val="00A60C66"/>
    <w:rsid w:val="00A621CB"/>
    <w:rsid w:val="00A64192"/>
    <w:rsid w:val="00A7623A"/>
    <w:rsid w:val="00A95A20"/>
    <w:rsid w:val="00AB5E55"/>
    <w:rsid w:val="00AD0898"/>
    <w:rsid w:val="00AF5CE4"/>
    <w:rsid w:val="00B14360"/>
    <w:rsid w:val="00B23231"/>
    <w:rsid w:val="00B3533F"/>
    <w:rsid w:val="00B35FF4"/>
    <w:rsid w:val="00B37B11"/>
    <w:rsid w:val="00B45148"/>
    <w:rsid w:val="00B52675"/>
    <w:rsid w:val="00B553F0"/>
    <w:rsid w:val="00B66C82"/>
    <w:rsid w:val="00B75F13"/>
    <w:rsid w:val="00B805C7"/>
    <w:rsid w:val="00B80C1A"/>
    <w:rsid w:val="00B871BB"/>
    <w:rsid w:val="00B96C86"/>
    <w:rsid w:val="00B96D0E"/>
    <w:rsid w:val="00BA47D5"/>
    <w:rsid w:val="00BA6489"/>
    <w:rsid w:val="00BB050B"/>
    <w:rsid w:val="00BC78A0"/>
    <w:rsid w:val="00BE527F"/>
    <w:rsid w:val="00BF5991"/>
    <w:rsid w:val="00C00641"/>
    <w:rsid w:val="00C1018D"/>
    <w:rsid w:val="00C17903"/>
    <w:rsid w:val="00C23E3B"/>
    <w:rsid w:val="00C40239"/>
    <w:rsid w:val="00C43576"/>
    <w:rsid w:val="00C47FDA"/>
    <w:rsid w:val="00C5228B"/>
    <w:rsid w:val="00C56F01"/>
    <w:rsid w:val="00C614EE"/>
    <w:rsid w:val="00C62A30"/>
    <w:rsid w:val="00C732B1"/>
    <w:rsid w:val="00C738FD"/>
    <w:rsid w:val="00C760F9"/>
    <w:rsid w:val="00C8178F"/>
    <w:rsid w:val="00C87395"/>
    <w:rsid w:val="00C916AF"/>
    <w:rsid w:val="00CA60D2"/>
    <w:rsid w:val="00CB5C89"/>
    <w:rsid w:val="00CD0752"/>
    <w:rsid w:val="00CD4D9D"/>
    <w:rsid w:val="00CE19FE"/>
    <w:rsid w:val="00CE560C"/>
    <w:rsid w:val="00CE56FB"/>
    <w:rsid w:val="00CF1098"/>
    <w:rsid w:val="00CF2D34"/>
    <w:rsid w:val="00CF48DD"/>
    <w:rsid w:val="00D073A4"/>
    <w:rsid w:val="00D17DD9"/>
    <w:rsid w:val="00D343FF"/>
    <w:rsid w:val="00D344A4"/>
    <w:rsid w:val="00D37208"/>
    <w:rsid w:val="00D65ED4"/>
    <w:rsid w:val="00D668E6"/>
    <w:rsid w:val="00D6692B"/>
    <w:rsid w:val="00D76D55"/>
    <w:rsid w:val="00D92A20"/>
    <w:rsid w:val="00DA7492"/>
    <w:rsid w:val="00DB262E"/>
    <w:rsid w:val="00DB42BD"/>
    <w:rsid w:val="00DC35C4"/>
    <w:rsid w:val="00DC3897"/>
    <w:rsid w:val="00DD16F4"/>
    <w:rsid w:val="00DD402F"/>
    <w:rsid w:val="00DF3C41"/>
    <w:rsid w:val="00DF4C2D"/>
    <w:rsid w:val="00E01036"/>
    <w:rsid w:val="00E1620F"/>
    <w:rsid w:val="00E20053"/>
    <w:rsid w:val="00E2089A"/>
    <w:rsid w:val="00E21DF7"/>
    <w:rsid w:val="00E35FA4"/>
    <w:rsid w:val="00E3659F"/>
    <w:rsid w:val="00E44697"/>
    <w:rsid w:val="00E56F9A"/>
    <w:rsid w:val="00E62A95"/>
    <w:rsid w:val="00E75909"/>
    <w:rsid w:val="00E77C02"/>
    <w:rsid w:val="00E8115B"/>
    <w:rsid w:val="00E92A71"/>
    <w:rsid w:val="00E956F6"/>
    <w:rsid w:val="00E95B45"/>
    <w:rsid w:val="00E96001"/>
    <w:rsid w:val="00EA3977"/>
    <w:rsid w:val="00ED00AE"/>
    <w:rsid w:val="00ED46E5"/>
    <w:rsid w:val="00EE5A6E"/>
    <w:rsid w:val="00EF1744"/>
    <w:rsid w:val="00EF3D4D"/>
    <w:rsid w:val="00F044FA"/>
    <w:rsid w:val="00F3006F"/>
    <w:rsid w:val="00F40FD3"/>
    <w:rsid w:val="00F67DA7"/>
    <w:rsid w:val="00F7628C"/>
    <w:rsid w:val="00F85F25"/>
    <w:rsid w:val="00FA08EA"/>
    <w:rsid w:val="00FA2154"/>
    <w:rsid w:val="00FB227A"/>
    <w:rsid w:val="00FC1D37"/>
    <w:rsid w:val="00FC7930"/>
    <w:rsid w:val="00FC7BBF"/>
    <w:rsid w:val="00FE0904"/>
    <w:rsid w:val="00FE23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82C0E"/>
  <w15:chartTrackingRefBased/>
  <w15:docId w15:val="{90846D9C-03FF-4D27-A3AD-259CB62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Rozdział Wytycznych"/>
    <w:basedOn w:val="Normalny"/>
    <w:next w:val="Normalny"/>
    <w:link w:val="Nagwek1Znak"/>
    <w:qFormat/>
    <w:rsid w:val="00100AD9"/>
    <w:pPr>
      <w:keepNext/>
      <w:numPr>
        <w:numId w:val="3"/>
      </w:numPr>
      <w:spacing w:before="120" w:after="120" w:line="360" w:lineRule="auto"/>
      <w:jc w:val="both"/>
      <w:outlineLvl w:val="0"/>
    </w:pPr>
    <w:rPr>
      <w:rFonts w:ascii="Times New Roman" w:eastAsia="MS Mincho" w:hAnsi="Times New Roman" w:cs="Times New Roman"/>
      <w:b/>
      <w:caps/>
      <w:sz w:val="24"/>
      <w:szCs w:val="20"/>
      <w:lang w:val="x-none" w:eastAsia="x-none"/>
    </w:rPr>
  </w:style>
  <w:style w:type="paragraph" w:styleId="Nagwek2">
    <w:name w:val="heading 2"/>
    <w:aliases w:val="Podrozdział Wytycznyc"/>
    <w:basedOn w:val="Normalny"/>
    <w:next w:val="Normalny"/>
    <w:link w:val="Nagwek2Znak"/>
    <w:qFormat/>
    <w:rsid w:val="00100AD9"/>
    <w:pPr>
      <w:keepNext/>
      <w:numPr>
        <w:ilvl w:val="1"/>
        <w:numId w:val="3"/>
      </w:numPr>
      <w:spacing w:before="120" w:after="120" w:line="360" w:lineRule="auto"/>
      <w:jc w:val="both"/>
      <w:outlineLvl w:val="1"/>
    </w:pPr>
    <w:rPr>
      <w:rFonts w:ascii="Arial" w:eastAsia="Times New Roman" w:hAnsi="Arial" w:cs="Times New Roman"/>
      <w:b/>
      <w:i/>
      <w:sz w:val="24"/>
      <w:szCs w:val="20"/>
      <w:lang w:eastAsia="pl-PL"/>
    </w:rPr>
  </w:style>
  <w:style w:type="paragraph" w:styleId="Nagwek3">
    <w:name w:val="heading 3"/>
    <w:aliases w:val="Sekcja Wytycznych"/>
    <w:basedOn w:val="Normalny"/>
    <w:next w:val="Normalny"/>
    <w:link w:val="Nagwek3Znak"/>
    <w:qFormat/>
    <w:rsid w:val="00100AD9"/>
    <w:pPr>
      <w:keepNext/>
      <w:numPr>
        <w:ilvl w:val="2"/>
        <w:numId w:val="3"/>
      </w:numPr>
      <w:tabs>
        <w:tab w:val="clear" w:pos="720"/>
        <w:tab w:val="num" w:pos="1997"/>
      </w:tabs>
      <w:spacing w:before="240" w:after="120" w:line="360" w:lineRule="auto"/>
      <w:ind w:left="1997"/>
      <w:jc w:val="center"/>
      <w:outlineLvl w:val="2"/>
    </w:pPr>
    <w:rPr>
      <w:rFonts w:ascii="Arial" w:eastAsia="MS Mincho" w:hAnsi="Arial" w:cs="Times New Roman"/>
      <w:i/>
      <w:sz w:val="24"/>
      <w:szCs w:val="20"/>
      <w:lang w:val="x-none" w:eastAsia="x-none"/>
    </w:rPr>
  </w:style>
  <w:style w:type="paragraph" w:styleId="Nagwek4">
    <w:name w:val="heading 4"/>
    <w:aliases w:val="Podsekcja Wytycznych"/>
    <w:basedOn w:val="Normalny"/>
    <w:next w:val="Normalny"/>
    <w:link w:val="Nagwek4Znak"/>
    <w:qFormat/>
    <w:rsid w:val="00100AD9"/>
    <w:pPr>
      <w:keepNext/>
      <w:numPr>
        <w:ilvl w:val="3"/>
        <w:numId w:val="3"/>
      </w:numPr>
      <w:spacing w:before="240" w:after="120" w:line="360" w:lineRule="auto"/>
      <w:jc w:val="center"/>
      <w:outlineLvl w:val="3"/>
    </w:pPr>
    <w:rPr>
      <w:rFonts w:ascii="Arial" w:eastAsia="Times New Roman" w:hAnsi="Arial" w:cs="Times New Roman"/>
      <w:i/>
      <w:sz w:val="24"/>
      <w:szCs w:val="20"/>
      <w:lang w:eastAsia="pl-PL"/>
    </w:rPr>
  </w:style>
  <w:style w:type="paragraph" w:styleId="Nagwek5">
    <w:name w:val="heading 5"/>
    <w:basedOn w:val="Normalny"/>
    <w:next w:val="Normalny"/>
    <w:link w:val="Nagwek5Znak"/>
    <w:qFormat/>
    <w:rsid w:val="00100AD9"/>
    <w:pPr>
      <w:keepNext/>
      <w:numPr>
        <w:ilvl w:val="4"/>
        <w:numId w:val="3"/>
      </w:numPr>
      <w:spacing w:after="0" w:line="360" w:lineRule="auto"/>
      <w:jc w:val="both"/>
      <w:outlineLvl w:val="4"/>
    </w:pPr>
    <w:rPr>
      <w:rFonts w:ascii="Times New Roman" w:eastAsia="MS Mincho" w:hAnsi="Times New Roman" w:cs="Times New Roman"/>
      <w:sz w:val="24"/>
      <w:szCs w:val="20"/>
      <w:lang w:val="x-none" w:eastAsia="x-none"/>
    </w:rPr>
  </w:style>
  <w:style w:type="paragraph" w:styleId="Nagwek6">
    <w:name w:val="heading 6"/>
    <w:basedOn w:val="Normalny"/>
    <w:next w:val="Normalny"/>
    <w:link w:val="Nagwek6Znak"/>
    <w:qFormat/>
    <w:rsid w:val="00100AD9"/>
    <w:pPr>
      <w:keepNext/>
      <w:numPr>
        <w:ilvl w:val="5"/>
        <w:numId w:val="3"/>
      </w:numPr>
      <w:spacing w:after="0" w:line="360" w:lineRule="auto"/>
      <w:outlineLvl w:val="5"/>
    </w:pPr>
    <w:rPr>
      <w:rFonts w:ascii="Times New Roman" w:eastAsia="Times New Roman" w:hAnsi="Times New Roman" w:cs="Times New Roman"/>
      <w:b/>
      <w:szCs w:val="24"/>
      <w:lang w:eastAsia="pl-PL"/>
    </w:rPr>
  </w:style>
  <w:style w:type="paragraph" w:styleId="Nagwek7">
    <w:name w:val="heading 7"/>
    <w:basedOn w:val="Normalny"/>
    <w:next w:val="Normalny"/>
    <w:link w:val="Nagwek7Znak"/>
    <w:qFormat/>
    <w:rsid w:val="00100AD9"/>
    <w:pPr>
      <w:keepNext/>
      <w:numPr>
        <w:ilvl w:val="6"/>
        <w:numId w:val="3"/>
      </w:numPr>
      <w:spacing w:after="0" w:line="360" w:lineRule="auto"/>
      <w:jc w:val="both"/>
      <w:outlineLvl w:val="6"/>
    </w:pPr>
    <w:rPr>
      <w:rFonts w:ascii="Times New Roman" w:eastAsia="Times New Roman" w:hAnsi="Times New Roman" w:cs="Times New Roman"/>
      <w:szCs w:val="24"/>
      <w:lang w:eastAsia="pl-PL"/>
    </w:rPr>
  </w:style>
  <w:style w:type="paragraph" w:styleId="Nagwek8">
    <w:name w:val="heading 8"/>
    <w:basedOn w:val="Normalny"/>
    <w:next w:val="Normalny"/>
    <w:link w:val="Nagwek8Znak"/>
    <w:qFormat/>
    <w:rsid w:val="00100AD9"/>
    <w:pPr>
      <w:numPr>
        <w:ilvl w:val="7"/>
        <w:numId w:val="3"/>
      </w:numPr>
      <w:spacing w:before="240" w:after="60" w:line="360" w:lineRule="auto"/>
      <w:jc w:val="both"/>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00AD9"/>
    <w:pPr>
      <w:numPr>
        <w:ilvl w:val="8"/>
        <w:numId w:val="3"/>
      </w:numPr>
      <w:spacing w:before="240" w:after="60" w:line="360" w:lineRule="auto"/>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48F5"/>
    <w:pPr>
      <w:ind w:left="720"/>
      <w:contextualSpacing/>
    </w:pPr>
  </w:style>
  <w:style w:type="paragraph" w:customStyle="1" w:styleId="ZnakZnak">
    <w:name w:val="Znak Znak"/>
    <w:basedOn w:val="Normalny"/>
    <w:rsid w:val="00100AD9"/>
    <w:pPr>
      <w:spacing w:after="0" w:line="360" w:lineRule="auto"/>
      <w:jc w:val="both"/>
    </w:pPr>
    <w:rPr>
      <w:rFonts w:ascii="Verdana" w:eastAsia="Times New Roman" w:hAnsi="Verdana" w:cs="Times New Roman"/>
      <w:sz w:val="20"/>
      <w:szCs w:val="20"/>
      <w:lang w:eastAsia="pl-PL"/>
    </w:rPr>
  </w:style>
  <w:style w:type="character" w:customStyle="1" w:styleId="Nagwek1Znak">
    <w:name w:val="Nagłówek 1 Znak"/>
    <w:aliases w:val="Rozdział Wytycznych Znak"/>
    <w:basedOn w:val="Domylnaczcionkaakapitu"/>
    <w:link w:val="Nagwek1"/>
    <w:rsid w:val="00100AD9"/>
    <w:rPr>
      <w:rFonts w:ascii="Times New Roman" w:eastAsia="MS Mincho" w:hAnsi="Times New Roman" w:cs="Times New Roman"/>
      <w:b/>
      <w:caps/>
      <w:sz w:val="24"/>
      <w:szCs w:val="20"/>
      <w:lang w:val="x-none" w:eastAsia="x-none"/>
    </w:rPr>
  </w:style>
  <w:style w:type="character" w:customStyle="1" w:styleId="Nagwek2Znak">
    <w:name w:val="Nagłówek 2 Znak"/>
    <w:aliases w:val="Podrozdział Wytycznyc Znak"/>
    <w:basedOn w:val="Domylnaczcionkaakapitu"/>
    <w:link w:val="Nagwek2"/>
    <w:rsid w:val="00100AD9"/>
    <w:rPr>
      <w:rFonts w:ascii="Arial" w:eastAsia="Times New Roman" w:hAnsi="Arial" w:cs="Times New Roman"/>
      <w:b/>
      <w:i/>
      <w:sz w:val="24"/>
      <w:szCs w:val="20"/>
      <w:lang w:eastAsia="pl-PL"/>
    </w:rPr>
  </w:style>
  <w:style w:type="character" w:customStyle="1" w:styleId="Nagwek3Znak">
    <w:name w:val="Nagłówek 3 Znak"/>
    <w:aliases w:val="Sekcja Wytycznych Znak"/>
    <w:basedOn w:val="Domylnaczcionkaakapitu"/>
    <w:link w:val="Nagwek3"/>
    <w:rsid w:val="00100AD9"/>
    <w:rPr>
      <w:rFonts w:ascii="Arial" w:eastAsia="MS Mincho" w:hAnsi="Arial" w:cs="Times New Roman"/>
      <w:i/>
      <w:sz w:val="24"/>
      <w:szCs w:val="20"/>
      <w:lang w:val="x-none" w:eastAsia="x-none"/>
    </w:rPr>
  </w:style>
  <w:style w:type="character" w:customStyle="1" w:styleId="Nagwek4Znak">
    <w:name w:val="Nagłówek 4 Znak"/>
    <w:aliases w:val="Podsekcja Wytycznych Znak"/>
    <w:basedOn w:val="Domylnaczcionkaakapitu"/>
    <w:link w:val="Nagwek4"/>
    <w:rsid w:val="00100AD9"/>
    <w:rPr>
      <w:rFonts w:ascii="Arial" w:eastAsia="Times New Roman" w:hAnsi="Arial" w:cs="Times New Roman"/>
      <w:i/>
      <w:sz w:val="24"/>
      <w:szCs w:val="20"/>
      <w:lang w:eastAsia="pl-PL"/>
    </w:rPr>
  </w:style>
  <w:style w:type="character" w:customStyle="1" w:styleId="Nagwek5Znak">
    <w:name w:val="Nagłówek 5 Znak"/>
    <w:basedOn w:val="Domylnaczcionkaakapitu"/>
    <w:link w:val="Nagwek5"/>
    <w:rsid w:val="00100AD9"/>
    <w:rPr>
      <w:rFonts w:ascii="Times New Roman" w:eastAsia="MS Mincho" w:hAnsi="Times New Roman" w:cs="Times New Roman"/>
      <w:sz w:val="24"/>
      <w:szCs w:val="20"/>
      <w:lang w:val="x-none" w:eastAsia="x-none"/>
    </w:rPr>
  </w:style>
  <w:style w:type="character" w:customStyle="1" w:styleId="Nagwek6Znak">
    <w:name w:val="Nagłówek 6 Znak"/>
    <w:basedOn w:val="Domylnaczcionkaakapitu"/>
    <w:link w:val="Nagwek6"/>
    <w:rsid w:val="00100AD9"/>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100AD9"/>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100AD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00AD9"/>
    <w:rPr>
      <w:rFonts w:ascii="Arial" w:eastAsia="Times New Roman" w:hAnsi="Arial" w:cs="Arial"/>
      <w:lang w:eastAsia="pl-PL"/>
    </w:rPr>
  </w:style>
  <w:style w:type="character" w:styleId="Odwoanieprzypisudolnego">
    <w:name w:val="footnote reference"/>
    <w:aliases w:val="Footnote Reference Number"/>
    <w:uiPriority w:val="99"/>
    <w:semiHidden/>
    <w:rsid w:val="00100AD9"/>
    <w:rPr>
      <w:vertAlign w:val="superscript"/>
    </w:rPr>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iPriority w:val="99"/>
    <w:rsid w:val="00100AD9"/>
    <w:pPr>
      <w:spacing w:before="120" w:after="0" w:line="360" w:lineRule="auto"/>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uiPriority w:val="99"/>
    <w:rsid w:val="00100AD9"/>
    <w:rPr>
      <w:rFonts w:ascii="Times New Roman" w:eastAsia="Times New Roman" w:hAnsi="Times New Roman" w:cs="Times New Roman"/>
      <w:sz w:val="20"/>
      <w:szCs w:val="20"/>
      <w:lang w:val="x-none" w:eastAsia="x-none"/>
    </w:rPr>
  </w:style>
  <w:style w:type="paragraph" w:customStyle="1" w:styleId="Text1">
    <w:name w:val="Text 1"/>
    <w:basedOn w:val="Normalny"/>
    <w:link w:val="Text1Char"/>
    <w:rsid w:val="00E2089A"/>
    <w:pPr>
      <w:spacing w:before="120" w:after="120" w:line="240" w:lineRule="auto"/>
      <w:ind w:left="850"/>
      <w:jc w:val="both"/>
    </w:pPr>
    <w:rPr>
      <w:rFonts w:ascii="Times New Roman" w:eastAsia="Times New Roman" w:hAnsi="Times New Roman" w:cs="Times New Roman"/>
      <w:sz w:val="24"/>
      <w:szCs w:val="24"/>
      <w:lang w:val="x-none"/>
    </w:rPr>
  </w:style>
  <w:style w:type="character" w:customStyle="1" w:styleId="Text1Char">
    <w:name w:val="Text 1 Char"/>
    <w:link w:val="Text1"/>
    <w:locked/>
    <w:rsid w:val="00E2089A"/>
    <w:rPr>
      <w:rFonts w:ascii="Times New Roman" w:eastAsia="Times New Roman" w:hAnsi="Times New Roman" w:cs="Times New Roman"/>
      <w:sz w:val="24"/>
      <w:szCs w:val="24"/>
      <w:lang w:val="x-none"/>
    </w:rPr>
  </w:style>
  <w:style w:type="paragraph" w:customStyle="1" w:styleId="Akapit">
    <w:name w:val="Akapit"/>
    <w:basedOn w:val="Nagwek6"/>
    <w:rsid w:val="00E2089A"/>
    <w:pPr>
      <w:numPr>
        <w:ilvl w:val="0"/>
        <w:numId w:val="0"/>
      </w:numPr>
      <w:jc w:val="both"/>
    </w:pPr>
    <w:rPr>
      <w:b w:val="0"/>
      <w:sz w:val="24"/>
    </w:rPr>
  </w:style>
  <w:style w:type="character" w:styleId="Odwoaniedokomentarza">
    <w:name w:val="annotation reference"/>
    <w:basedOn w:val="Domylnaczcionkaakapitu"/>
    <w:uiPriority w:val="99"/>
    <w:unhideWhenUsed/>
    <w:rsid w:val="00C732B1"/>
    <w:rPr>
      <w:sz w:val="16"/>
      <w:szCs w:val="16"/>
    </w:rPr>
  </w:style>
  <w:style w:type="paragraph" w:styleId="Tekstkomentarza">
    <w:name w:val="annotation text"/>
    <w:aliases w:val="Znak"/>
    <w:basedOn w:val="Normalny"/>
    <w:link w:val="TekstkomentarzaZnak"/>
    <w:uiPriority w:val="99"/>
    <w:unhideWhenUsed/>
    <w:rsid w:val="00C732B1"/>
    <w:pPr>
      <w:spacing w:line="240" w:lineRule="auto"/>
    </w:pPr>
    <w:rPr>
      <w:sz w:val="20"/>
      <w:szCs w:val="20"/>
    </w:rPr>
  </w:style>
  <w:style w:type="character" w:customStyle="1" w:styleId="TekstkomentarzaZnak">
    <w:name w:val="Tekst komentarza Znak"/>
    <w:aliases w:val="Znak Znak1"/>
    <w:basedOn w:val="Domylnaczcionkaakapitu"/>
    <w:link w:val="Tekstkomentarza"/>
    <w:uiPriority w:val="99"/>
    <w:rsid w:val="00C732B1"/>
    <w:rPr>
      <w:sz w:val="20"/>
      <w:szCs w:val="20"/>
    </w:rPr>
  </w:style>
  <w:style w:type="paragraph" w:styleId="Tematkomentarza">
    <w:name w:val="annotation subject"/>
    <w:basedOn w:val="Tekstkomentarza"/>
    <w:next w:val="Tekstkomentarza"/>
    <w:link w:val="TematkomentarzaZnak"/>
    <w:uiPriority w:val="99"/>
    <w:semiHidden/>
    <w:unhideWhenUsed/>
    <w:rsid w:val="00C732B1"/>
    <w:rPr>
      <w:b/>
      <w:bCs/>
    </w:rPr>
  </w:style>
  <w:style w:type="character" w:customStyle="1" w:styleId="TematkomentarzaZnak">
    <w:name w:val="Temat komentarza Znak"/>
    <w:basedOn w:val="TekstkomentarzaZnak"/>
    <w:link w:val="Tematkomentarza"/>
    <w:uiPriority w:val="99"/>
    <w:semiHidden/>
    <w:rsid w:val="00C732B1"/>
    <w:rPr>
      <w:b/>
      <w:bCs/>
      <w:sz w:val="20"/>
      <w:szCs w:val="20"/>
    </w:rPr>
  </w:style>
  <w:style w:type="paragraph" w:styleId="Tekstdymka">
    <w:name w:val="Balloon Text"/>
    <w:basedOn w:val="Normalny"/>
    <w:link w:val="TekstdymkaZnak"/>
    <w:uiPriority w:val="99"/>
    <w:semiHidden/>
    <w:unhideWhenUsed/>
    <w:rsid w:val="00C732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2B1"/>
    <w:rPr>
      <w:rFonts w:ascii="Segoe UI" w:hAnsi="Segoe UI" w:cs="Segoe UI"/>
      <w:sz w:val="18"/>
      <w:szCs w:val="18"/>
    </w:rPr>
  </w:style>
  <w:style w:type="paragraph" w:styleId="Tekstpodstawowy2">
    <w:name w:val="Body Text 2"/>
    <w:aliases w:val="Tekst podstawowy 2 Znak Znak"/>
    <w:basedOn w:val="Normalny"/>
    <w:link w:val="Tekstpodstawowy2Znak1"/>
    <w:uiPriority w:val="99"/>
    <w:rsid w:val="003C131D"/>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uiPriority w:val="99"/>
    <w:semiHidden/>
    <w:rsid w:val="003C131D"/>
  </w:style>
  <w:style w:type="character" w:customStyle="1" w:styleId="Tekstpodstawowy2Znak1">
    <w:name w:val="Tekst podstawowy 2 Znak1"/>
    <w:aliases w:val="Tekst podstawowy 2 Znak Znak Znak"/>
    <w:basedOn w:val="Domylnaczcionkaakapitu"/>
    <w:link w:val="Tekstpodstawowy2"/>
    <w:uiPriority w:val="99"/>
    <w:locked/>
    <w:rsid w:val="003C131D"/>
    <w:rPr>
      <w:rFonts w:ascii="Times New Roman" w:eastAsia="Times New Roman" w:hAnsi="Times New Roman" w:cs="Times New Roman"/>
      <w:sz w:val="24"/>
      <w:szCs w:val="24"/>
      <w:lang w:eastAsia="pl-PL"/>
    </w:rPr>
  </w:style>
  <w:style w:type="character" w:customStyle="1" w:styleId="alb-s">
    <w:name w:val="a_lb-s"/>
    <w:basedOn w:val="Domylnaczcionkaakapitu"/>
    <w:rsid w:val="0006358F"/>
  </w:style>
  <w:style w:type="paragraph" w:customStyle="1" w:styleId="ZnakZnak0">
    <w:name w:val="Znak Znak"/>
    <w:basedOn w:val="Normalny"/>
    <w:rsid w:val="00825952"/>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E56F9A"/>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2F4671"/>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F4671"/>
    <w:rPr>
      <w:rFonts w:ascii="Times New Roman" w:eastAsia="Times New Roman" w:hAnsi="Times New Roman" w:cs="Times New Roman"/>
      <w:sz w:val="16"/>
      <w:szCs w:val="16"/>
      <w:lang w:eastAsia="pl-PL"/>
    </w:rPr>
  </w:style>
  <w:style w:type="paragraph" w:customStyle="1" w:styleId="ZnakZnak2">
    <w:name w:val="Znak Znak"/>
    <w:basedOn w:val="Normalny"/>
    <w:rsid w:val="00CE560C"/>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D073A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37A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A1E"/>
  </w:style>
  <w:style w:type="paragraph" w:styleId="Stopka">
    <w:name w:val="footer"/>
    <w:basedOn w:val="Normalny"/>
    <w:link w:val="StopkaZnak"/>
    <w:uiPriority w:val="99"/>
    <w:unhideWhenUsed/>
    <w:rsid w:val="00637A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A1E"/>
  </w:style>
  <w:style w:type="paragraph" w:styleId="Poprawka">
    <w:name w:val="Revision"/>
    <w:hidden/>
    <w:uiPriority w:val="99"/>
    <w:semiHidden/>
    <w:rsid w:val="007029A8"/>
    <w:pPr>
      <w:spacing w:after="0" w:line="240" w:lineRule="auto"/>
    </w:pPr>
  </w:style>
  <w:style w:type="character" w:styleId="Hipercze">
    <w:name w:val="Hyperlink"/>
    <w:basedOn w:val="Domylnaczcionkaakapitu"/>
    <w:uiPriority w:val="99"/>
    <w:semiHidden/>
    <w:unhideWhenUsed/>
    <w:rsid w:val="00D37208"/>
    <w:rPr>
      <w:color w:val="0000FF"/>
      <w:u w:val="single"/>
    </w:rPr>
  </w:style>
  <w:style w:type="character" w:customStyle="1" w:styleId="highlight">
    <w:name w:val="highlight"/>
    <w:basedOn w:val="Domylnaczcionkaakapitu"/>
    <w:rsid w:val="00CB5C89"/>
  </w:style>
  <w:style w:type="paragraph" w:customStyle="1" w:styleId="mainpub">
    <w:name w:val="mainpub"/>
    <w:basedOn w:val="Normalny"/>
    <w:rsid w:val="00CB5C8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1888">
      <w:bodyDiv w:val="1"/>
      <w:marLeft w:val="0"/>
      <w:marRight w:val="0"/>
      <w:marTop w:val="0"/>
      <w:marBottom w:val="0"/>
      <w:divBdr>
        <w:top w:val="none" w:sz="0" w:space="0" w:color="auto"/>
        <w:left w:val="none" w:sz="0" w:space="0" w:color="auto"/>
        <w:bottom w:val="none" w:sz="0" w:space="0" w:color="auto"/>
        <w:right w:val="none" w:sz="0" w:space="0" w:color="auto"/>
      </w:divBdr>
    </w:div>
    <w:div w:id="1052537214">
      <w:bodyDiv w:val="1"/>
      <w:marLeft w:val="0"/>
      <w:marRight w:val="0"/>
      <w:marTop w:val="0"/>
      <w:marBottom w:val="0"/>
      <w:divBdr>
        <w:top w:val="none" w:sz="0" w:space="0" w:color="auto"/>
        <w:left w:val="none" w:sz="0" w:space="0" w:color="auto"/>
        <w:bottom w:val="none" w:sz="0" w:space="0" w:color="auto"/>
        <w:right w:val="none" w:sz="0" w:space="0" w:color="auto"/>
      </w:divBdr>
    </w:div>
    <w:div w:id="1789229778">
      <w:bodyDiv w:val="1"/>
      <w:marLeft w:val="0"/>
      <w:marRight w:val="0"/>
      <w:marTop w:val="0"/>
      <w:marBottom w:val="0"/>
      <w:divBdr>
        <w:top w:val="none" w:sz="0" w:space="0" w:color="auto"/>
        <w:left w:val="none" w:sz="0" w:space="0" w:color="auto"/>
        <w:bottom w:val="none" w:sz="0" w:space="0" w:color="auto"/>
        <w:right w:val="none" w:sz="0" w:space="0" w:color="auto"/>
      </w:divBdr>
    </w:div>
    <w:div w:id="1933706856">
      <w:bodyDiv w:val="1"/>
      <w:marLeft w:val="0"/>
      <w:marRight w:val="0"/>
      <w:marTop w:val="0"/>
      <w:marBottom w:val="0"/>
      <w:divBdr>
        <w:top w:val="none" w:sz="0" w:space="0" w:color="auto"/>
        <w:left w:val="none" w:sz="0" w:space="0" w:color="auto"/>
        <w:bottom w:val="none" w:sz="0" w:space="0" w:color="auto"/>
        <w:right w:val="none" w:sz="0" w:space="0" w:color="auto"/>
      </w:divBdr>
      <w:divsChild>
        <w:div w:id="1500538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21B8-B7D2-45C5-9903-528A119E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2829</Words>
  <Characters>16974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Ruszkowska Beata</dc:creator>
  <cp:keywords/>
  <dc:description/>
  <cp:lastModifiedBy>Maliszewski Bartłomiej</cp:lastModifiedBy>
  <cp:revision>8</cp:revision>
  <cp:lastPrinted>2023-05-19T11:47:00Z</cp:lastPrinted>
  <dcterms:created xsi:type="dcterms:W3CDTF">2023-08-10T08:58:00Z</dcterms:created>
  <dcterms:modified xsi:type="dcterms:W3CDTF">2023-08-29T08:17:00Z</dcterms:modified>
</cp:coreProperties>
</file>