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nlekcji"/>
        <w:tblpPr w:leftFromText="141" w:rightFromText="141" w:vertAnchor="text" w:tblpY="1"/>
        <w:tblOverlap w:val="never"/>
        <w:tblW w:w="4263" w:type="pct"/>
        <w:tblLayout w:type="fixed"/>
        <w:tblLook w:val="04A0" w:firstRow="1" w:lastRow="0" w:firstColumn="1" w:lastColumn="0" w:noHBand="0" w:noVBand="1"/>
        <w:tblCaption w:val="HARMONOGRAM PRAC ZWIĄZANYCH Z REALIZACJĄ USTAWY O SCZEGÓLNEJ OPIECE GERIATRYCZNEJ"/>
        <w:tblDescription w:val="Pierwsza tabela zawiera szczegóły planu lekcji, takie jak etapy oraz informatory nauczyciela i ucznia, a druga tabela — wymagania, zasoby i notatki"/>
      </w:tblPr>
      <w:tblGrid>
        <w:gridCol w:w="4251"/>
        <w:gridCol w:w="2979"/>
        <w:gridCol w:w="3831"/>
        <w:gridCol w:w="2125"/>
      </w:tblGrid>
      <w:tr w:rsidR="004A15CF" w14:paraId="23280C09" w14:textId="77777777" w:rsidTr="004A1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1" w:type="dxa"/>
            <w:tcMar>
              <w:top w:w="144" w:type="dxa"/>
            </w:tcMar>
          </w:tcPr>
          <w:p w14:paraId="2B24775C" w14:textId="77777777" w:rsidR="0095209F" w:rsidRDefault="0095209F" w:rsidP="004A15CF">
            <w:pPr>
              <w:ind w:left="0"/>
            </w:pPr>
            <w:bookmarkStart w:id="0" w:name="_Hlk153459717"/>
            <w:r>
              <w:t>zadania</w:t>
            </w:r>
          </w:p>
        </w:tc>
        <w:tc>
          <w:tcPr>
            <w:tcW w:w="2979" w:type="dxa"/>
            <w:tcMar>
              <w:top w:w="144" w:type="dxa"/>
            </w:tcMar>
          </w:tcPr>
          <w:p w14:paraId="3103C11D" w14:textId="77777777" w:rsidR="0095209F" w:rsidRDefault="0095209F" w:rsidP="004A1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Kto</w:t>
            </w:r>
          </w:p>
        </w:tc>
        <w:tc>
          <w:tcPr>
            <w:tcW w:w="3831" w:type="dxa"/>
            <w:tcMar>
              <w:top w:w="144" w:type="dxa"/>
            </w:tcMar>
          </w:tcPr>
          <w:p w14:paraId="78145451" w14:textId="77777777" w:rsidR="0095209F" w:rsidRDefault="0095209F" w:rsidP="004A1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zakres </w:t>
            </w:r>
          </w:p>
        </w:tc>
        <w:tc>
          <w:tcPr>
            <w:tcW w:w="2125" w:type="dxa"/>
          </w:tcPr>
          <w:p w14:paraId="3EF39F03" w14:textId="0E9E94A0" w:rsidR="0095209F" w:rsidRDefault="0095209F" w:rsidP="004A1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4A15CF" w14:paraId="24179502" w14:textId="77777777" w:rsidTr="004A15CF">
        <w:trPr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7EF357DD" w14:textId="77777777" w:rsidR="00731192" w:rsidRDefault="00731192" w:rsidP="004A15CF">
            <w:pPr>
              <w:rPr>
                <w:caps w:val="0"/>
              </w:rPr>
            </w:pPr>
            <w:r>
              <w:t xml:space="preserve">pierwszy plan wojewódzki </w:t>
            </w:r>
          </w:p>
          <w:p w14:paraId="7594476A" w14:textId="587EA7E1" w:rsidR="00731192" w:rsidRDefault="00731192" w:rsidP="004A15CF">
            <w:r>
              <w:t>art. 50</w:t>
            </w:r>
          </w:p>
        </w:tc>
        <w:tc>
          <w:tcPr>
            <w:tcW w:w="2979" w:type="dxa"/>
          </w:tcPr>
          <w:p w14:paraId="5484A997" w14:textId="0DFB407A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Wojewoda</w:t>
            </w:r>
          </w:p>
        </w:tc>
        <w:tc>
          <w:tcPr>
            <w:tcW w:w="3831" w:type="dxa"/>
          </w:tcPr>
          <w:p w14:paraId="006AD7E8" w14:textId="7AE544B6" w:rsidR="00731192" w:rsidRPr="00C0321D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1D">
              <w:t xml:space="preserve">Wojewoda rozpoczyna prace nad opracowaniem pierwszego wojewódzkiego planu, udostępniając w Biuletynie Informacji Publicznej urzędu wojewódzkiego informację, o której mowa w art. 13 ust. 1, w terminie </w:t>
            </w:r>
            <w:r w:rsidRPr="00C0321D">
              <w:rPr>
                <w:b/>
                <w:bCs/>
              </w:rPr>
              <w:t>14 dni</w:t>
            </w:r>
            <w:r w:rsidRPr="00C0321D">
              <w:t xml:space="preserve"> </w:t>
            </w:r>
            <w:r w:rsidRPr="006E2136">
              <w:rPr>
                <w:b/>
                <w:bCs/>
                <w:color w:val="00B050"/>
              </w:rPr>
              <w:t>od dnia wejścia w życie ustawy</w:t>
            </w:r>
            <w:r>
              <w:t xml:space="preserve">. </w:t>
            </w:r>
          </w:p>
        </w:tc>
        <w:tc>
          <w:tcPr>
            <w:tcW w:w="2125" w:type="dxa"/>
          </w:tcPr>
          <w:p w14:paraId="1DE98ECA" w14:textId="4889E364" w:rsidR="00731192" w:rsidRPr="006E2136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E2136">
              <w:rPr>
                <w:b/>
                <w:bCs/>
              </w:rPr>
              <w:t>15 stycznia 2024</w:t>
            </w:r>
          </w:p>
        </w:tc>
      </w:tr>
      <w:tr w:rsidR="004A15CF" w14:paraId="5D3B37D1" w14:textId="77777777" w:rsidTr="004A15CF">
        <w:trPr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  <w:vMerge w:val="restart"/>
          </w:tcPr>
          <w:p w14:paraId="526275DB" w14:textId="77777777" w:rsidR="00731192" w:rsidRDefault="00731192" w:rsidP="004A15CF">
            <w:pPr>
              <w:rPr>
                <w:caps w:val="0"/>
              </w:rPr>
            </w:pPr>
            <w:r>
              <w:t xml:space="preserve">Plan wojewódzki </w:t>
            </w:r>
          </w:p>
          <w:p w14:paraId="2650426E" w14:textId="77777777" w:rsidR="00731192" w:rsidRDefault="00731192" w:rsidP="004A15CF">
            <w:r>
              <w:t xml:space="preserve">art. 13, </w:t>
            </w:r>
          </w:p>
        </w:tc>
        <w:tc>
          <w:tcPr>
            <w:tcW w:w="2979" w:type="dxa"/>
          </w:tcPr>
          <w:p w14:paraId="701130B4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Wojewoda </w:t>
            </w:r>
          </w:p>
        </w:tc>
        <w:tc>
          <w:tcPr>
            <w:tcW w:w="3831" w:type="dxa"/>
          </w:tcPr>
          <w:p w14:paraId="5E8652D0" w14:textId="77777777" w:rsidR="00731192" w:rsidRPr="00C0321D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1D">
              <w:t>Wojewoda udostępnia informację o rozpoczęciu prac nad sporządzaniem projektu wojewódzkiego planu w B</w:t>
            </w:r>
            <w:r>
              <w:t>IP</w:t>
            </w:r>
            <w:r w:rsidRPr="00C0321D">
              <w:t xml:space="preserve"> urzędu wojewódzkiego.</w:t>
            </w:r>
          </w:p>
          <w:p w14:paraId="6223E547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5" w:type="dxa"/>
          </w:tcPr>
          <w:p w14:paraId="161FCE54" w14:textId="359F53BF" w:rsidR="00731192" w:rsidRPr="00C0321D" w:rsidRDefault="006E2136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136">
              <w:rPr>
                <w:b/>
                <w:bCs/>
              </w:rPr>
              <w:t>15 stycznia 2024</w:t>
            </w:r>
            <w:r>
              <w:t xml:space="preserve"> - w przypadku pierwszego planu</w:t>
            </w:r>
          </w:p>
        </w:tc>
      </w:tr>
      <w:tr w:rsidR="004A15CF" w14:paraId="17E10CF4" w14:textId="77777777" w:rsidTr="004A15CF">
        <w:trPr>
          <w:trHeight w:val="2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  <w:vMerge/>
          </w:tcPr>
          <w:p w14:paraId="43D93BD2" w14:textId="77777777" w:rsidR="00731192" w:rsidRDefault="00731192" w:rsidP="004A15CF"/>
        </w:tc>
        <w:tc>
          <w:tcPr>
            <w:tcW w:w="2979" w:type="dxa"/>
          </w:tcPr>
          <w:p w14:paraId="7FD8BA88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3831" w:type="dxa"/>
          </w:tcPr>
          <w:p w14:paraId="3878EC0B" w14:textId="77777777" w:rsidR="00731192" w:rsidRPr="00C0321D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1D">
              <w:t xml:space="preserve">W terminie </w:t>
            </w:r>
            <w:r w:rsidRPr="00C0321D">
              <w:rPr>
                <w:b/>
                <w:bCs/>
              </w:rPr>
              <w:t xml:space="preserve">60 dni </w:t>
            </w:r>
            <w:r w:rsidRPr="006E2136">
              <w:rPr>
                <w:b/>
                <w:bCs/>
                <w:color w:val="00B050"/>
              </w:rPr>
              <w:t>od dnia udostępnienia informacji</w:t>
            </w:r>
            <w:r w:rsidRPr="00C0321D">
              <w:t>, o której mowa w ust. 1, powiat zgłasza pisemną propozycję dotyczącą utworzenia i lokalizacji centrum, uwzględniając przepisy art. 11 ust. 1 i art. 12 pkt 2, pkt 3 lit. b i pkt 4 lit. b.</w:t>
            </w:r>
          </w:p>
          <w:p w14:paraId="1204268F" w14:textId="77777777" w:rsidR="00731192" w:rsidRPr="00C0321D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5" w:type="dxa"/>
          </w:tcPr>
          <w:p w14:paraId="4447F725" w14:textId="7FA62A08" w:rsidR="00731192" w:rsidRPr="00C0321D" w:rsidRDefault="00FD5537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15 marca 2024 </w:t>
            </w:r>
            <w:r>
              <w:t xml:space="preserve">– w  przypadku pierwszego planu </w:t>
            </w:r>
          </w:p>
        </w:tc>
      </w:tr>
      <w:tr w:rsidR="00517D0D" w14:paraId="0588076E" w14:textId="77777777" w:rsidTr="004A15CF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  <w:vMerge w:val="restart"/>
          </w:tcPr>
          <w:p w14:paraId="2FBA9D32" w14:textId="77777777" w:rsidR="00517D0D" w:rsidRDefault="00517D0D" w:rsidP="004A15CF">
            <w:pPr>
              <w:rPr>
                <w:caps w:val="0"/>
              </w:rPr>
            </w:pPr>
            <w:r>
              <w:lastRenderedPageBreak/>
              <w:t xml:space="preserve">plan wojewódzki </w:t>
            </w:r>
          </w:p>
          <w:p w14:paraId="252D559E" w14:textId="77777777" w:rsidR="00517D0D" w:rsidRDefault="00517D0D" w:rsidP="004A15CF">
            <w:r>
              <w:t xml:space="preserve">art. 14 </w:t>
            </w:r>
          </w:p>
        </w:tc>
        <w:tc>
          <w:tcPr>
            <w:tcW w:w="2979" w:type="dxa"/>
            <w:vMerge w:val="restart"/>
          </w:tcPr>
          <w:p w14:paraId="573A48B1" w14:textId="77777777" w:rsidR="00517D0D" w:rsidRDefault="00517D0D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1D">
              <w:t>Wojewoda</w:t>
            </w:r>
          </w:p>
        </w:tc>
        <w:tc>
          <w:tcPr>
            <w:tcW w:w="3831" w:type="dxa"/>
          </w:tcPr>
          <w:p w14:paraId="72039447" w14:textId="77777777" w:rsidR="00517D0D" w:rsidRDefault="00517D0D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1D">
              <w:t>Wojewoda udostępnia projekt wojewódzkiego planu w BIP  urzędu wojewódzkiego w celu przedstawienia przez zainteresowane podmioty opinii dotyczących tego projektu.</w:t>
            </w:r>
          </w:p>
        </w:tc>
        <w:tc>
          <w:tcPr>
            <w:tcW w:w="2125" w:type="dxa"/>
          </w:tcPr>
          <w:p w14:paraId="0E5C49CD" w14:textId="1C402EDF" w:rsidR="00517D0D" w:rsidRPr="006A0AC5" w:rsidRDefault="006F693B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A0AC5">
              <w:rPr>
                <w:color w:val="auto"/>
              </w:rPr>
              <w:t>Ustawa nie wskazuje</w:t>
            </w:r>
            <w:r w:rsidR="002C2E06" w:rsidRPr="006A0AC5">
              <w:rPr>
                <w:color w:val="auto"/>
              </w:rPr>
              <w:t xml:space="preserve"> terminu dot. tego procesu</w:t>
            </w:r>
          </w:p>
        </w:tc>
      </w:tr>
      <w:tr w:rsidR="00517D0D" w14:paraId="2128E1FB" w14:textId="77777777" w:rsidTr="004A15C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  <w:vMerge/>
          </w:tcPr>
          <w:p w14:paraId="4E91C527" w14:textId="77777777" w:rsidR="00517D0D" w:rsidRDefault="00517D0D" w:rsidP="004A15CF"/>
        </w:tc>
        <w:tc>
          <w:tcPr>
            <w:tcW w:w="2979" w:type="dxa"/>
            <w:vMerge/>
          </w:tcPr>
          <w:p w14:paraId="494539DE" w14:textId="77777777" w:rsidR="00517D0D" w:rsidRPr="00C0321D" w:rsidRDefault="00517D0D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31" w:type="dxa"/>
          </w:tcPr>
          <w:p w14:paraId="7FC9C52C" w14:textId="77777777" w:rsidR="00517D0D" w:rsidRDefault="00517D0D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1D">
              <w:t xml:space="preserve">W terminie </w:t>
            </w:r>
            <w:r w:rsidRPr="00C0321D">
              <w:rPr>
                <w:b/>
                <w:bCs/>
              </w:rPr>
              <w:t>30 dni</w:t>
            </w:r>
            <w:r w:rsidRPr="00C0321D">
              <w:t xml:space="preserve"> </w:t>
            </w:r>
            <w:r w:rsidRPr="006E2136">
              <w:rPr>
                <w:b/>
                <w:bCs/>
                <w:color w:val="00B050"/>
              </w:rPr>
              <w:t xml:space="preserve">od dnia udostępnienia projektu wojewódzkiego planu </w:t>
            </w:r>
            <w:r w:rsidRPr="00C0321D">
              <w:t>zainteresowane podmioty mogą przedstawić wojewodzie opinie dotyczące tego projektu.</w:t>
            </w:r>
          </w:p>
        </w:tc>
        <w:tc>
          <w:tcPr>
            <w:tcW w:w="2125" w:type="dxa"/>
          </w:tcPr>
          <w:p w14:paraId="7A9E2CC8" w14:textId="6DA798BF" w:rsidR="00517D0D" w:rsidRPr="006A0AC5" w:rsidRDefault="00517D0D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17D0D" w14:paraId="2EB65DB5" w14:textId="77777777" w:rsidTr="004A15CF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  <w:vMerge/>
          </w:tcPr>
          <w:p w14:paraId="11DC5109" w14:textId="77777777" w:rsidR="00517D0D" w:rsidRDefault="00517D0D" w:rsidP="004A15CF"/>
        </w:tc>
        <w:tc>
          <w:tcPr>
            <w:tcW w:w="2979" w:type="dxa"/>
            <w:vMerge/>
          </w:tcPr>
          <w:p w14:paraId="4C1D72B4" w14:textId="77777777" w:rsidR="00517D0D" w:rsidRPr="00C0321D" w:rsidRDefault="00517D0D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31" w:type="dxa"/>
          </w:tcPr>
          <w:p w14:paraId="20C64938" w14:textId="1DFE4A2D" w:rsidR="00517D0D" w:rsidRPr="00C0321D" w:rsidRDefault="00517D0D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7D0D">
              <w:t>Wojewoda, po rozpatrzeniu opinii zainteresowanych podmiotów, przygotowuje w porozumieniu</w:t>
            </w:r>
            <w:r>
              <w:t xml:space="preserve"> z</w:t>
            </w:r>
            <w:r w:rsidRPr="00517D0D">
              <w:t> Narodowym Funduszem Zdrowia projekt wojewódzkiego planu, który przekazuje do zatwierdzenia ministrowi właściwemu do spraw zdrowia.</w:t>
            </w:r>
          </w:p>
        </w:tc>
        <w:tc>
          <w:tcPr>
            <w:tcW w:w="2125" w:type="dxa"/>
          </w:tcPr>
          <w:p w14:paraId="71F3BD69" w14:textId="6552E292" w:rsidR="00517D0D" w:rsidRPr="006A0AC5" w:rsidRDefault="006F693B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A0AC5">
              <w:rPr>
                <w:color w:val="auto"/>
              </w:rPr>
              <w:t>Ustawa nie wskazuje</w:t>
            </w:r>
            <w:r w:rsidR="002C2E06" w:rsidRPr="006A0AC5">
              <w:rPr>
                <w:color w:val="auto"/>
              </w:rPr>
              <w:t xml:space="preserve"> terminu dot. tego procesu</w:t>
            </w:r>
          </w:p>
        </w:tc>
      </w:tr>
      <w:tr w:rsidR="004A15CF" w14:paraId="6A4D5738" w14:textId="77777777" w:rsidTr="004A15CF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0B3AD527" w14:textId="77777777" w:rsidR="00731192" w:rsidRDefault="00731192" w:rsidP="004A15CF">
            <w:pPr>
              <w:rPr>
                <w:caps w:val="0"/>
              </w:rPr>
            </w:pPr>
            <w:r>
              <w:t>krajowa rada</w:t>
            </w:r>
          </w:p>
          <w:p w14:paraId="6ED911D1" w14:textId="6B0FF961" w:rsidR="00731192" w:rsidRDefault="00731192" w:rsidP="004A15CF">
            <w:r>
              <w:t>art. 51</w:t>
            </w:r>
          </w:p>
        </w:tc>
        <w:tc>
          <w:tcPr>
            <w:tcW w:w="2979" w:type="dxa"/>
          </w:tcPr>
          <w:p w14:paraId="188D60DC" w14:textId="5EDEF1A0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Minister Zdrowia</w:t>
            </w:r>
          </w:p>
        </w:tc>
        <w:tc>
          <w:tcPr>
            <w:tcW w:w="3831" w:type="dxa"/>
          </w:tcPr>
          <w:p w14:paraId="02C99AFD" w14:textId="29E87CD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1D">
              <w:t xml:space="preserve">Pierwszych członków Krajowej Rady minister właściwy do spraw zdrowia powołuje </w:t>
            </w:r>
            <w:r w:rsidRPr="00C0321D">
              <w:rPr>
                <w:b/>
                <w:bCs/>
              </w:rPr>
              <w:t>do dnia 1 marca 2024 r.</w:t>
            </w:r>
          </w:p>
        </w:tc>
        <w:tc>
          <w:tcPr>
            <w:tcW w:w="2125" w:type="dxa"/>
          </w:tcPr>
          <w:p w14:paraId="0B4B7ED5" w14:textId="570A054B" w:rsidR="00731192" w:rsidRPr="004A15CF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15CF">
              <w:rPr>
                <w:b/>
                <w:bCs/>
              </w:rPr>
              <w:t xml:space="preserve">1 marca 2024 </w:t>
            </w:r>
          </w:p>
        </w:tc>
      </w:tr>
      <w:tr w:rsidR="004A15CF" w14:paraId="03A91E57" w14:textId="77777777" w:rsidTr="004A15CF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7BDE2366" w14:textId="77777777" w:rsidR="00731192" w:rsidRDefault="00731192" w:rsidP="004A15CF">
            <w:pPr>
              <w:rPr>
                <w:caps w:val="0"/>
              </w:rPr>
            </w:pPr>
            <w:r>
              <w:lastRenderedPageBreak/>
              <w:t xml:space="preserve">krajowa rada </w:t>
            </w:r>
          </w:p>
          <w:p w14:paraId="20CA49B3" w14:textId="1400E882" w:rsidR="00731192" w:rsidRDefault="00731192" w:rsidP="004A15CF">
            <w:r>
              <w:t>art. 43</w:t>
            </w:r>
          </w:p>
        </w:tc>
        <w:tc>
          <w:tcPr>
            <w:tcW w:w="2979" w:type="dxa"/>
          </w:tcPr>
          <w:p w14:paraId="0B7A0BF5" w14:textId="01E47ECC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Minister Zdrowia</w:t>
            </w:r>
          </w:p>
        </w:tc>
        <w:tc>
          <w:tcPr>
            <w:tcW w:w="3831" w:type="dxa"/>
          </w:tcPr>
          <w:p w14:paraId="35E11B19" w14:textId="77777777" w:rsidR="00731192" w:rsidRPr="00C0321D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1D">
              <w:t>Członków Krajowej Rady, o których mowa w ust. 1, powołuje i odwołuje minister właściwy do spraw zdrowia. Członków Rady, o których mowa w ust. 1 pkt 2-11, minister właściwy do spraw zdrowia powołuje i odwołuje na wniosek podmiotów, których są przedstawicielami.</w:t>
            </w:r>
          </w:p>
          <w:p w14:paraId="642964C2" w14:textId="17D95066" w:rsidR="00731192" w:rsidRPr="00C0321D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1D">
              <w:t xml:space="preserve">Członkowie Krajowej Rady, o których mowa w ust. 1 pkt 10 i 11, są powoływani spośród kandydatów wskazanych przez stowarzyszenia i organizacje, o których mowa w ust. 1 pkt 10 i 11, zgłoszonych w terminie </w:t>
            </w:r>
            <w:r w:rsidRPr="00C0321D">
              <w:rPr>
                <w:b/>
                <w:bCs/>
              </w:rPr>
              <w:t>14 dni</w:t>
            </w:r>
            <w:r w:rsidRPr="00C0321D">
              <w:t xml:space="preserve"> </w:t>
            </w:r>
            <w:r w:rsidRPr="006E2136">
              <w:rPr>
                <w:color w:val="00B050"/>
              </w:rPr>
              <w:t>od dnia udostępnienia na stronie podmiotowej Biuletynu Informacji Publicznej urzędu obsługującego ministra właściwego</w:t>
            </w:r>
          </w:p>
        </w:tc>
        <w:tc>
          <w:tcPr>
            <w:tcW w:w="2125" w:type="dxa"/>
          </w:tcPr>
          <w:p w14:paraId="230B4D81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CF" w14:paraId="560ACDB6" w14:textId="77777777" w:rsidTr="004A15CF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  <w:vMerge w:val="restart"/>
          </w:tcPr>
          <w:p w14:paraId="38720E42" w14:textId="77777777" w:rsidR="00731192" w:rsidRDefault="00731192" w:rsidP="004A15CF">
            <w:pPr>
              <w:rPr>
                <w:caps w:val="0"/>
              </w:rPr>
            </w:pPr>
            <w:r>
              <w:t xml:space="preserve">plan wojewódzki </w:t>
            </w:r>
          </w:p>
          <w:p w14:paraId="0A99DD09" w14:textId="77777777" w:rsidR="00731192" w:rsidRDefault="00731192" w:rsidP="004A15CF">
            <w:r>
              <w:t xml:space="preserve">art. 15 </w:t>
            </w:r>
          </w:p>
        </w:tc>
        <w:tc>
          <w:tcPr>
            <w:tcW w:w="2979" w:type="dxa"/>
          </w:tcPr>
          <w:p w14:paraId="4BC15AB1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Minister Zdrowia</w:t>
            </w:r>
          </w:p>
        </w:tc>
        <w:tc>
          <w:tcPr>
            <w:tcW w:w="3831" w:type="dxa"/>
          </w:tcPr>
          <w:p w14:paraId="53C10986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Pr="00C0321D">
              <w:t xml:space="preserve"> terminie </w:t>
            </w:r>
            <w:r w:rsidRPr="00C0321D">
              <w:rPr>
                <w:b/>
                <w:bCs/>
              </w:rPr>
              <w:t>60 dni</w:t>
            </w:r>
            <w:r w:rsidRPr="00C0321D">
              <w:t xml:space="preserve"> </w:t>
            </w:r>
            <w:r w:rsidRPr="006E2136">
              <w:rPr>
                <w:b/>
                <w:bCs/>
                <w:color w:val="00B050"/>
              </w:rPr>
              <w:t>od dnia otrzymania projektu wojewódzkiego planu</w:t>
            </w:r>
            <w:r w:rsidRPr="00C0321D">
              <w:t>, po zaopiniowaniu go przez Krajową Radę, dokonuje jego oceny i zatwierdza go albo zgłasza do niego uwagi</w:t>
            </w:r>
            <w:r>
              <w:t xml:space="preserve">. </w:t>
            </w:r>
          </w:p>
        </w:tc>
        <w:tc>
          <w:tcPr>
            <w:tcW w:w="2125" w:type="dxa"/>
          </w:tcPr>
          <w:p w14:paraId="2F972FA0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CF" w14:paraId="6B57F812" w14:textId="77777777" w:rsidTr="004A15CF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  <w:vMerge/>
          </w:tcPr>
          <w:p w14:paraId="7782AEFB" w14:textId="77777777" w:rsidR="00731192" w:rsidRDefault="00731192" w:rsidP="004A15CF"/>
        </w:tc>
        <w:tc>
          <w:tcPr>
            <w:tcW w:w="2979" w:type="dxa"/>
          </w:tcPr>
          <w:p w14:paraId="6B7FDAA7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Wojewoda</w:t>
            </w:r>
          </w:p>
        </w:tc>
        <w:tc>
          <w:tcPr>
            <w:tcW w:w="3831" w:type="dxa"/>
          </w:tcPr>
          <w:p w14:paraId="22F42218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Pr="00C0321D">
              <w:t xml:space="preserve"> terminie </w:t>
            </w:r>
            <w:r w:rsidRPr="00C0321D">
              <w:rPr>
                <w:b/>
                <w:bCs/>
              </w:rPr>
              <w:t>14 dni</w:t>
            </w:r>
            <w:r w:rsidRPr="00C0321D">
              <w:t xml:space="preserve"> </w:t>
            </w:r>
            <w:r w:rsidRPr="006E2136">
              <w:rPr>
                <w:b/>
                <w:bCs/>
                <w:color w:val="00B050"/>
              </w:rPr>
              <w:t>od dnia otrzymania uwag ministra</w:t>
            </w:r>
            <w:r w:rsidRPr="006E2136">
              <w:rPr>
                <w:color w:val="00B050"/>
              </w:rPr>
              <w:t xml:space="preserve"> </w:t>
            </w:r>
            <w:r w:rsidRPr="00C0321D">
              <w:t>właściwego do spraw zdrowia, uwzględnia te uwagi i ponownie przekazuje projekt wojewódzkiego planu ministrowi właściwemu do spraw zdrowia w celu zatwierdzenia. Przepisy ust. 1 i 2 stosuje się odpowiednio.</w:t>
            </w:r>
          </w:p>
        </w:tc>
        <w:tc>
          <w:tcPr>
            <w:tcW w:w="2125" w:type="dxa"/>
          </w:tcPr>
          <w:p w14:paraId="0ACCBC14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5CF" w14:paraId="2385526D" w14:textId="77777777" w:rsidTr="004A15C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28D4BC35" w14:textId="77777777" w:rsidR="00731192" w:rsidRDefault="00731192" w:rsidP="004A15CF">
            <w:pPr>
              <w:rPr>
                <w:caps w:val="0"/>
              </w:rPr>
            </w:pPr>
            <w:r>
              <w:t>raport z działalności</w:t>
            </w:r>
          </w:p>
          <w:p w14:paraId="044505DD" w14:textId="77777777" w:rsidR="00731192" w:rsidRDefault="00731192" w:rsidP="004A15CF">
            <w:r>
              <w:t>art. 34</w:t>
            </w:r>
          </w:p>
        </w:tc>
        <w:tc>
          <w:tcPr>
            <w:tcW w:w="2979" w:type="dxa"/>
          </w:tcPr>
          <w:p w14:paraId="66FEA322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Wojewoda</w:t>
            </w:r>
          </w:p>
        </w:tc>
        <w:tc>
          <w:tcPr>
            <w:tcW w:w="3831" w:type="dxa"/>
          </w:tcPr>
          <w:p w14:paraId="51C543DD" w14:textId="77777777" w:rsidR="00731192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21D">
              <w:t xml:space="preserve">Na podstawie danych pozyskanych z monitoringu, o którym mowa w ust. 1 i 2, wojewoda opracowuje raport za rok poprzedni dotyczący oceny organizacji i </w:t>
            </w:r>
            <w:r>
              <w:t>d</w:t>
            </w:r>
            <w:r w:rsidRPr="00C0321D">
              <w:t xml:space="preserve">ostępności świadczeń opieki zdrowotnej udzielanych w centrach działających na terenie województwa i przekazuje go, w terminie do dnia </w:t>
            </w:r>
            <w:r w:rsidRPr="00731192">
              <w:rPr>
                <w:b/>
                <w:bCs/>
              </w:rPr>
              <w:t>30 czerwca</w:t>
            </w:r>
            <w:r w:rsidRPr="00C0321D">
              <w:t>, ministrowi właściwemu do spraw zdrowia oraz Krajowej Radzie.</w:t>
            </w:r>
            <w:r>
              <w:t xml:space="preserve"> </w:t>
            </w:r>
          </w:p>
        </w:tc>
        <w:tc>
          <w:tcPr>
            <w:tcW w:w="2125" w:type="dxa"/>
          </w:tcPr>
          <w:p w14:paraId="17C9606F" w14:textId="77777777" w:rsidR="00731192" w:rsidRPr="00C0321D" w:rsidRDefault="00731192" w:rsidP="004A1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6084B2" w14:textId="51EE435C" w:rsidR="00FD5537" w:rsidRDefault="004A15CF" w:rsidP="004A15CF">
      <w:pPr>
        <w:ind w:left="0"/>
      </w:pPr>
      <w:r>
        <w:br w:type="textWrapping" w:clear="all"/>
      </w:r>
    </w:p>
    <w:p w14:paraId="75FD9FA5" w14:textId="77777777" w:rsidR="00FD5537" w:rsidRPr="00D77DA3" w:rsidRDefault="00FD5537" w:rsidP="00FD5537">
      <w:pPr>
        <w:spacing w:before="100" w:beforeAutospacing="1" w:after="100" w:afterAutospacing="1"/>
        <w:ind w:left="0" w:right="0"/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</w:pPr>
      <w:r w:rsidRPr="00D77DA3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  <w:lang w:eastAsia="pl-PL"/>
        </w:rPr>
        <w:t>Art. 53</w:t>
      </w:r>
      <w:r w:rsidRPr="00D77DA3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 xml:space="preserve"> W okresie 5 lat od dnia wejścia w życie ustawy łączna liczba łóżek w oddziałach geriatrycznych ujętych w wojewódzkim planie może być mniejsza niż określona na podstawie art. 10 ust. 3.</w:t>
      </w:r>
    </w:p>
    <w:p w14:paraId="211A7561" w14:textId="3C9B01AE" w:rsidR="00FD5537" w:rsidRPr="00D77DA3" w:rsidRDefault="00FD5537" w:rsidP="004A15CF">
      <w:pPr>
        <w:spacing w:before="100" w:beforeAutospacing="1" w:after="100" w:afterAutospacing="1"/>
        <w:ind w:left="0" w:right="0"/>
        <w:rPr>
          <w:rFonts w:asciiTheme="majorHAnsi" w:hAnsiTheme="majorHAnsi"/>
          <w:sz w:val="20"/>
          <w:szCs w:val="20"/>
        </w:rPr>
      </w:pPr>
      <w:r w:rsidRPr="00D77DA3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  <w:lang w:eastAsia="pl-PL"/>
        </w:rPr>
        <w:t>Art. 55.</w:t>
      </w:r>
      <w:r w:rsidRPr="00D77DA3">
        <w:rPr>
          <w:rFonts w:asciiTheme="majorHAnsi" w:eastAsia="Times New Roman" w:hAnsiTheme="majorHAnsi" w:cs="Times New Roman"/>
          <w:color w:val="auto"/>
          <w:sz w:val="20"/>
          <w:szCs w:val="20"/>
          <w:lang w:eastAsia="pl-PL"/>
        </w:rPr>
        <w:t> Powiat jest obowiązany do utworzenia centrum, w przypadku gdy wynika to z wojewódzkiego planu, albo do zawarcia porozumienia, o którym mowa w art. 19 ust. 1, nie później niż w terminie 5 lat od dnia wejścia w życie ustawy.</w:t>
      </w:r>
      <w:bookmarkEnd w:id="0"/>
    </w:p>
    <w:sectPr w:rsidR="00FD5537" w:rsidRPr="00D77DA3" w:rsidSect="0095209F">
      <w:footerReference w:type="default" r:id="rId8"/>
      <w:headerReference w:type="first" r:id="rId9"/>
      <w:pgSz w:w="16838" w:h="11906" w:orient="landscape" w:code="9"/>
      <w:pgMar w:top="1009" w:right="794" w:bottom="1009" w:left="578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F6DC" w14:textId="77777777" w:rsidR="00F90DB0" w:rsidRDefault="00F90DB0">
      <w:pPr>
        <w:spacing w:before="0" w:after="0"/>
      </w:pPr>
      <w:r>
        <w:separator/>
      </w:r>
    </w:p>
  </w:endnote>
  <w:endnote w:type="continuationSeparator" w:id="0">
    <w:p w14:paraId="78389EF3" w14:textId="77777777" w:rsidR="00F90DB0" w:rsidRDefault="00F90D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3B3E" w14:textId="77777777" w:rsidR="000F2568" w:rsidRDefault="00945066">
    <w:pPr>
      <w:pStyle w:val="Stopka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6678A6">
      <w:rPr>
        <w:noProof/>
        <w:lang w:bidi="pl-PL"/>
      </w:rPr>
      <w:t>2</w:t>
    </w:r>
    <w:r>
      <w:rPr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8CE9" w14:textId="77777777" w:rsidR="00F90DB0" w:rsidRDefault="00F90DB0">
      <w:pPr>
        <w:spacing w:before="0" w:after="0"/>
      </w:pPr>
      <w:r>
        <w:separator/>
      </w:r>
    </w:p>
  </w:footnote>
  <w:footnote w:type="continuationSeparator" w:id="0">
    <w:p w14:paraId="420E72FF" w14:textId="77777777" w:rsidR="00F90DB0" w:rsidRDefault="00F90D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nlekcji"/>
      <w:tblW w:w="4263" w:type="pct"/>
      <w:tblLayout w:type="fixed"/>
      <w:tblLook w:val="04A0" w:firstRow="1" w:lastRow="0" w:firstColumn="1" w:lastColumn="0" w:noHBand="0" w:noVBand="1"/>
    </w:tblPr>
    <w:tblGrid>
      <w:gridCol w:w="13186"/>
    </w:tblGrid>
    <w:tr w:rsidR="004A15CF" w14:paraId="4D5984C7" w14:textId="77777777" w:rsidTr="00A0021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76"/>
        <w:tblHeader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3177" w:type="dxa"/>
          <w:tcMar>
            <w:top w:w="144" w:type="dxa"/>
          </w:tcMar>
        </w:tcPr>
        <w:p w14:paraId="35B3EB2D" w14:textId="77777777" w:rsidR="004A15CF" w:rsidRDefault="004A15CF" w:rsidP="004A15CF">
          <w:pPr>
            <w:rPr>
              <w:b w:val="0"/>
              <w:caps w:val="0"/>
            </w:rPr>
          </w:pPr>
          <w:r w:rsidRPr="004A15CF">
            <w:t>HARMONOGRAM PRAC ZWIĄZANYCH Z REALIZACJĄ USTAWY O SZCZEGÓLNEJ OPIECE GERIATRYCZNEJ</w:t>
          </w:r>
        </w:p>
        <w:p w14:paraId="3B5BD725" w14:textId="10E44A2C" w:rsidR="006F693B" w:rsidRDefault="006F693B" w:rsidP="004A15CF">
          <w:r>
            <w:t>(terminy wynikające z ustawy)</w:t>
          </w:r>
        </w:p>
      </w:tc>
    </w:tr>
  </w:tbl>
  <w:p w14:paraId="2A8793DE" w14:textId="77777777" w:rsidR="004A15CF" w:rsidRDefault="004A15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62F0"/>
    <w:multiLevelType w:val="hybridMultilevel"/>
    <w:tmpl w:val="04881898"/>
    <w:lvl w:ilvl="0" w:tplc="CCE4E982">
      <w:start w:val="1"/>
      <w:numFmt w:val="bullet"/>
      <w:pStyle w:val="Listapunktowana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15986">
    <w:abstractNumId w:val="9"/>
  </w:num>
  <w:num w:numId="2" w16cid:durableId="670529113">
    <w:abstractNumId w:val="11"/>
  </w:num>
  <w:num w:numId="3" w16cid:durableId="375744608">
    <w:abstractNumId w:val="10"/>
  </w:num>
  <w:num w:numId="4" w16cid:durableId="1509367749">
    <w:abstractNumId w:val="7"/>
  </w:num>
  <w:num w:numId="5" w16cid:durableId="762804534">
    <w:abstractNumId w:val="6"/>
  </w:num>
  <w:num w:numId="6" w16cid:durableId="1188102421">
    <w:abstractNumId w:val="5"/>
  </w:num>
  <w:num w:numId="7" w16cid:durableId="667711644">
    <w:abstractNumId w:val="4"/>
  </w:num>
  <w:num w:numId="8" w16cid:durableId="654771367">
    <w:abstractNumId w:val="8"/>
  </w:num>
  <w:num w:numId="9" w16cid:durableId="1471050962">
    <w:abstractNumId w:val="3"/>
  </w:num>
  <w:num w:numId="10" w16cid:durableId="502014177">
    <w:abstractNumId w:val="2"/>
  </w:num>
  <w:num w:numId="11" w16cid:durableId="271479627">
    <w:abstractNumId w:val="1"/>
  </w:num>
  <w:num w:numId="12" w16cid:durableId="7313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1D"/>
    <w:rsid w:val="00030421"/>
    <w:rsid w:val="000432CB"/>
    <w:rsid w:val="00055D2C"/>
    <w:rsid w:val="000F2568"/>
    <w:rsid w:val="0011580B"/>
    <w:rsid w:val="001B7C63"/>
    <w:rsid w:val="0028329D"/>
    <w:rsid w:val="00286B6E"/>
    <w:rsid w:val="00297A24"/>
    <w:rsid w:val="002C2E06"/>
    <w:rsid w:val="002E2209"/>
    <w:rsid w:val="002F1173"/>
    <w:rsid w:val="0038751C"/>
    <w:rsid w:val="003B6F61"/>
    <w:rsid w:val="003D782B"/>
    <w:rsid w:val="004A15CF"/>
    <w:rsid w:val="00512620"/>
    <w:rsid w:val="00517D0D"/>
    <w:rsid w:val="00546016"/>
    <w:rsid w:val="005567A0"/>
    <w:rsid w:val="00567354"/>
    <w:rsid w:val="005A4962"/>
    <w:rsid w:val="00610669"/>
    <w:rsid w:val="006678A6"/>
    <w:rsid w:val="00675768"/>
    <w:rsid w:val="006A0AC5"/>
    <w:rsid w:val="006B0844"/>
    <w:rsid w:val="006D0418"/>
    <w:rsid w:val="006E2136"/>
    <w:rsid w:val="006F693B"/>
    <w:rsid w:val="00731192"/>
    <w:rsid w:val="00795A1E"/>
    <w:rsid w:val="007A12E2"/>
    <w:rsid w:val="0082433E"/>
    <w:rsid w:val="0085237C"/>
    <w:rsid w:val="008F49AA"/>
    <w:rsid w:val="00945066"/>
    <w:rsid w:val="0095209F"/>
    <w:rsid w:val="0095764D"/>
    <w:rsid w:val="009D0FDD"/>
    <w:rsid w:val="00A8145D"/>
    <w:rsid w:val="00AC7F4E"/>
    <w:rsid w:val="00AF3E1A"/>
    <w:rsid w:val="00B32233"/>
    <w:rsid w:val="00B4745E"/>
    <w:rsid w:val="00B76B2E"/>
    <w:rsid w:val="00BF1736"/>
    <w:rsid w:val="00C0321D"/>
    <w:rsid w:val="00C323A8"/>
    <w:rsid w:val="00D0108E"/>
    <w:rsid w:val="00D543C2"/>
    <w:rsid w:val="00D60A4A"/>
    <w:rsid w:val="00D63BAB"/>
    <w:rsid w:val="00D77DA3"/>
    <w:rsid w:val="00DA08FF"/>
    <w:rsid w:val="00DC39B6"/>
    <w:rsid w:val="00E36469"/>
    <w:rsid w:val="00E7469E"/>
    <w:rsid w:val="00ED18C2"/>
    <w:rsid w:val="00F90DB0"/>
    <w:rsid w:val="00FB46B7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7811E"/>
  <w15:chartTrackingRefBased/>
  <w15:docId w15:val="{BC67732A-45FF-45B4-B20C-82286C2C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84651" w:themeColor="text2" w:themeTint="E6"/>
        <w:sz w:val="22"/>
        <w:szCs w:val="22"/>
        <w:lang w:val="pl-PL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51C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Cs w:val="1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01459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50D3B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669"/>
    <w:rPr>
      <w:color w:val="526677" w:themeColor="text2" w:themeTint="BF"/>
    </w:rPr>
  </w:style>
  <w:style w:type="paragraph" w:styleId="Tytu">
    <w:name w:val="Title"/>
    <w:basedOn w:val="Normalny"/>
    <w:next w:val="Normalny"/>
    <w:link w:val="TytuZnak"/>
    <w:uiPriority w:val="1"/>
    <w:qFormat/>
    <w:rsid w:val="006678A6"/>
    <w:pPr>
      <w:pBdr>
        <w:left w:val="single" w:sz="4" w:space="7" w:color="FFFFFF" w:themeColor="background1"/>
        <w:bottom w:val="single" w:sz="4" w:space="3" w:color="526677" w:themeColor="text2" w:themeTint="BF"/>
        <w:right w:val="single" w:sz="4" w:space="7" w:color="FFFFFF" w:themeColor="background1"/>
      </w:pBdr>
      <w:spacing w:before="0" w:after="180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6678A6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kcjanagwek">
    <w:name w:val="Lekcja — nagłówek"/>
    <w:basedOn w:val="Normalny"/>
    <w:next w:val="Normalny"/>
    <w:uiPriority w:val="2"/>
    <w:qFormat/>
    <w:rsid w:val="006678A6"/>
    <w:pPr>
      <w:spacing w:before="240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apunktowana">
    <w:name w:val="List Bullet"/>
    <w:basedOn w:val="Normalny"/>
    <w:uiPriority w:val="2"/>
    <w:unhideWhenUsed/>
    <w:qFormat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color w:val="6C1B78" w:themeColor="accent1"/>
      <w:szCs w:val="16"/>
    </w:rPr>
  </w:style>
  <w:style w:type="table" w:customStyle="1" w:styleId="Planlekcji">
    <w:name w:val="Plan lekcji"/>
    <w:basedOn w:val="Standardowy"/>
    <w:uiPriority w:val="99"/>
    <w:rsid w:val="00610669"/>
    <w:pPr>
      <w:spacing w:before="160" w:after="160"/>
    </w:pPr>
    <w:tblPr>
      <w:tblBorders>
        <w:top w:val="single" w:sz="4" w:space="0" w:color="526677" w:themeColor="text2" w:themeTint="BF"/>
        <w:left w:val="single" w:sz="4" w:space="0" w:color="526677" w:themeColor="text2" w:themeTint="BF"/>
        <w:bottom w:val="single" w:sz="4" w:space="0" w:color="526677" w:themeColor="text2" w:themeTint="BF"/>
        <w:right w:val="single" w:sz="4" w:space="0" w:color="526677" w:themeColor="text2" w:themeTint="BF"/>
        <w:insideH w:val="single" w:sz="4" w:space="0" w:color="526677" w:themeColor="text2" w:themeTint="BF"/>
        <w:insideV w:val="single" w:sz="4" w:space="0" w:color="526677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526677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Bezodstpw">
    <w:name w:val="No Spacing"/>
    <w:uiPriority w:val="99"/>
    <w:qFormat/>
    <w:pPr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240" w:after="0"/>
      <w:jc w:val="right"/>
    </w:pPr>
    <w:rPr>
      <w:color w:val="6C1B78" w:themeColor="accent1"/>
    </w:rPr>
  </w:style>
  <w:style w:type="character" w:customStyle="1" w:styleId="StopkaZnak">
    <w:name w:val="Stopka Znak"/>
    <w:basedOn w:val="Domylnaczcionkaakapitu"/>
    <w:link w:val="Stopka"/>
    <w:uiPriority w:val="99"/>
    <w:rPr>
      <w:color w:val="6C1B78" w:themeColor="accent1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0108E"/>
  </w:style>
  <w:style w:type="paragraph" w:styleId="Tekstblokowy">
    <w:name w:val="Block Text"/>
    <w:basedOn w:val="Normalny"/>
    <w:uiPriority w:val="99"/>
    <w:semiHidden/>
    <w:unhideWhenUsed/>
    <w:rsid w:val="00D0108E"/>
    <w:pPr>
      <w:pBdr>
        <w:top w:val="single" w:sz="2" w:space="10" w:color="6C1B78" w:themeColor="accent1" w:shadow="1"/>
        <w:left w:val="single" w:sz="2" w:space="10" w:color="6C1B78" w:themeColor="accent1" w:shadow="1"/>
        <w:bottom w:val="single" w:sz="2" w:space="10" w:color="6C1B78" w:themeColor="accent1" w:shadow="1"/>
        <w:right w:val="single" w:sz="2" w:space="10" w:color="6C1B78" w:themeColor="accent1" w:shadow="1"/>
      </w:pBdr>
      <w:ind w:left="1152" w:right="1152"/>
    </w:pPr>
    <w:rPr>
      <w:i/>
      <w:iCs/>
      <w:color w:val="6C1B78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10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108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10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108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108E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0108E"/>
    <w:pPr>
      <w:spacing w:after="8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0108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10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108E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0108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010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0108E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108E"/>
    <w:pPr>
      <w:spacing w:before="0" w:after="200"/>
    </w:pPr>
    <w:rPr>
      <w:i/>
      <w:iCs/>
      <w:color w:val="28323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0108E"/>
  </w:style>
  <w:style w:type="table" w:styleId="Kolorowasiatka">
    <w:name w:val="Colorful Grid"/>
    <w:basedOn w:val="Standardowy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</w:rPr>
      <w:tblPr/>
      <w:tcPr>
        <w:shd w:val="clear" w:color="auto" w:fill="D888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8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</w:rPr>
      <w:tblPr/>
      <w:tcPr>
        <w:shd w:val="clear" w:color="auto" w:fill="A9DF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F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</w:rPr>
      <w:tblPr/>
      <w:tcPr>
        <w:shd w:val="clear" w:color="auto" w:fill="C8DF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F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</w:rPr>
      <w:tblPr/>
      <w:tcPr>
        <w:shd w:val="clear" w:color="auto" w:fill="F9BB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B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</w:rPr>
      <w:tblPr/>
      <w:tcPr>
        <w:shd w:val="clear" w:color="auto" w:fill="AED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</w:rPr>
      <w:tblPr/>
      <w:tcPr>
        <w:shd w:val="clear" w:color="auto" w:fill="F7C2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1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7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A3B" w:themeFill="accent4" w:themeFillShade="CC"/>
      </w:tcPr>
    </w:tblStylePr>
    <w:tblStylePr w:type="lastRow">
      <w:rPr>
        <w:b/>
        <w:bCs/>
        <w:color w:val="EA1A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E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7527" w:themeFill="accent3" w:themeFillShade="CC"/>
      </w:tcPr>
    </w:tblStylePr>
    <w:tblStylePr w:type="lastRow">
      <w:rPr>
        <w:b/>
        <w:bCs/>
        <w:color w:val="58752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4B11" w:themeFill="accent6" w:themeFillShade="CC"/>
      </w:tcPr>
    </w:tblStylePr>
    <w:tblStylePr w:type="lastRow">
      <w:rPr>
        <w:b/>
        <w:bCs/>
        <w:color w:val="CF4B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71BA" w:themeFill="accent5" w:themeFillShade="CC"/>
      </w:tcPr>
    </w:tblStylePr>
    <w:tblStylePr w:type="lastRow">
      <w:rPr>
        <w:b/>
        <w:bCs/>
        <w:color w:val="2071B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1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10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1047" w:themeColor="accent1" w:themeShade="99"/>
          <w:insideV w:val="nil"/>
        </w:tcBorders>
        <w:shd w:val="clear" w:color="auto" w:fill="4010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1047" w:themeFill="accent1" w:themeFillShade="99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CE6B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F5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F5C" w:themeColor="accent2" w:themeShade="99"/>
          <w:insideV w:val="nil"/>
        </w:tcBorders>
        <w:shd w:val="clear" w:color="auto" w:fill="225F5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5C" w:themeFill="accent2" w:themeFillShade="99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94D8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566F" w:themeColor="accent4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581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581D" w:themeColor="accent3" w:themeShade="99"/>
          <w:insideV w:val="nil"/>
        </w:tcBorders>
        <w:shd w:val="clear" w:color="auto" w:fill="42581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81D" w:themeFill="accent3" w:themeFillShade="99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F9331" w:themeColor="accent3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10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102A" w:themeColor="accent4" w:themeShade="99"/>
          <w:insideV w:val="nil"/>
        </w:tcBorders>
        <w:shd w:val="clear" w:color="auto" w:fill="B310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02A" w:themeFill="accent4" w:themeFillShade="99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7AA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682D" w:themeColor="accent6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548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548B" w:themeColor="accent5" w:themeShade="99"/>
          <w:insideV w:val="nil"/>
        </w:tcBorders>
        <w:shd w:val="clear" w:color="auto" w:fill="18548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48B" w:themeFill="accent5" w:themeFillShade="99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9AC5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58DDC" w:themeColor="accent5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8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80D" w:themeColor="accent6" w:themeShade="99"/>
          <w:insideV w:val="nil"/>
        </w:tcBorders>
        <w:shd w:val="clear" w:color="auto" w:fill="9B38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80D" w:themeFill="accent6" w:themeFillShade="99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6B39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0108E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108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108E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0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08E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0D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4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F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6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91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6E2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D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14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467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69A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2F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47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0108E"/>
  </w:style>
  <w:style w:type="character" w:customStyle="1" w:styleId="DataZnak">
    <w:name w:val="Data Znak"/>
    <w:basedOn w:val="Domylnaczcionkaakapitu"/>
    <w:link w:val="Data"/>
    <w:uiPriority w:val="99"/>
    <w:semiHidden/>
    <w:rsid w:val="00D010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0108E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0108E"/>
    <w:pPr>
      <w:spacing w:before="0" w:after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0108E"/>
  </w:style>
  <w:style w:type="character" w:styleId="Uwydatnienie">
    <w:name w:val="Emphasis"/>
    <w:basedOn w:val="Domylnaczcionkaakapitu"/>
    <w:uiPriority w:val="20"/>
    <w:semiHidden/>
    <w:unhideWhenUsed/>
    <w:qFormat/>
    <w:rsid w:val="00D0108E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08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108E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0108E"/>
    <w:rPr>
      <w:color w:val="6C1B78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08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08E"/>
    <w:rPr>
      <w:szCs w:val="20"/>
    </w:rPr>
  </w:style>
  <w:style w:type="table" w:styleId="Tabelasiatki1jasna">
    <w:name w:val="Grid Table 1 Light"/>
    <w:basedOn w:val="Standardowy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888E4" w:themeColor="accent1" w:themeTint="66"/>
        <w:left w:val="single" w:sz="4" w:space="0" w:color="D888E4" w:themeColor="accent1" w:themeTint="66"/>
        <w:bottom w:val="single" w:sz="4" w:space="0" w:color="D888E4" w:themeColor="accent1" w:themeTint="66"/>
        <w:right w:val="single" w:sz="4" w:space="0" w:color="D888E4" w:themeColor="accent1" w:themeTint="66"/>
        <w:insideH w:val="single" w:sz="4" w:space="0" w:color="D888E4" w:themeColor="accent1" w:themeTint="66"/>
        <w:insideV w:val="single" w:sz="4" w:space="0" w:color="D888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9DFDC" w:themeColor="accent2" w:themeTint="66"/>
        <w:left w:val="single" w:sz="4" w:space="0" w:color="A9DFDC" w:themeColor="accent2" w:themeTint="66"/>
        <w:bottom w:val="single" w:sz="4" w:space="0" w:color="A9DFDC" w:themeColor="accent2" w:themeTint="66"/>
        <w:right w:val="single" w:sz="4" w:space="0" w:color="A9DFDC" w:themeColor="accent2" w:themeTint="66"/>
        <w:insideH w:val="single" w:sz="4" w:space="0" w:color="A9DFDC" w:themeColor="accent2" w:themeTint="66"/>
        <w:insideV w:val="single" w:sz="4" w:space="0" w:color="A9DF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8DFA0" w:themeColor="accent3" w:themeTint="66"/>
        <w:left w:val="single" w:sz="4" w:space="0" w:color="C8DFA0" w:themeColor="accent3" w:themeTint="66"/>
        <w:bottom w:val="single" w:sz="4" w:space="0" w:color="C8DFA0" w:themeColor="accent3" w:themeTint="66"/>
        <w:right w:val="single" w:sz="4" w:space="0" w:color="C8DFA0" w:themeColor="accent3" w:themeTint="66"/>
        <w:insideH w:val="single" w:sz="4" w:space="0" w:color="C8DFA0" w:themeColor="accent3" w:themeTint="66"/>
        <w:insideV w:val="single" w:sz="4" w:space="0" w:color="C8DF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9BBC5" w:themeColor="accent4" w:themeTint="66"/>
        <w:left w:val="single" w:sz="4" w:space="0" w:color="F9BBC5" w:themeColor="accent4" w:themeTint="66"/>
        <w:bottom w:val="single" w:sz="4" w:space="0" w:color="F9BBC5" w:themeColor="accent4" w:themeTint="66"/>
        <w:right w:val="single" w:sz="4" w:space="0" w:color="F9BBC5" w:themeColor="accent4" w:themeTint="66"/>
        <w:insideH w:val="single" w:sz="4" w:space="0" w:color="F9BBC5" w:themeColor="accent4" w:themeTint="66"/>
        <w:insideV w:val="single" w:sz="4" w:space="0" w:color="F9BB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ED1F1" w:themeColor="accent5" w:themeTint="66"/>
        <w:left w:val="single" w:sz="4" w:space="0" w:color="AED1F1" w:themeColor="accent5" w:themeTint="66"/>
        <w:bottom w:val="single" w:sz="4" w:space="0" w:color="AED1F1" w:themeColor="accent5" w:themeTint="66"/>
        <w:right w:val="single" w:sz="4" w:space="0" w:color="AED1F1" w:themeColor="accent5" w:themeTint="66"/>
        <w:insideH w:val="single" w:sz="4" w:space="0" w:color="AED1F1" w:themeColor="accent5" w:themeTint="66"/>
        <w:insideV w:val="single" w:sz="4" w:space="0" w:color="AED1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7C2AA" w:themeColor="accent6" w:themeTint="66"/>
        <w:left w:val="single" w:sz="4" w:space="0" w:color="F7C2AA" w:themeColor="accent6" w:themeTint="66"/>
        <w:bottom w:val="single" w:sz="4" w:space="0" w:color="F7C2AA" w:themeColor="accent6" w:themeTint="66"/>
        <w:right w:val="single" w:sz="4" w:space="0" w:color="F7C2AA" w:themeColor="accent6" w:themeTint="66"/>
        <w:insideH w:val="single" w:sz="4" w:space="0" w:color="F7C2AA" w:themeColor="accent6" w:themeTint="66"/>
        <w:insideV w:val="single" w:sz="4" w:space="0" w:color="F7C2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54DD7" w:themeColor="accent1" w:themeTint="99"/>
        <w:bottom w:val="single" w:sz="2" w:space="0" w:color="C54DD7" w:themeColor="accent1" w:themeTint="99"/>
        <w:insideH w:val="single" w:sz="2" w:space="0" w:color="C54DD7" w:themeColor="accent1" w:themeTint="99"/>
        <w:insideV w:val="single" w:sz="2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4D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7ED0CB" w:themeColor="accent2" w:themeTint="99"/>
        <w:bottom w:val="single" w:sz="2" w:space="0" w:color="7ED0CB" w:themeColor="accent2" w:themeTint="99"/>
        <w:insideH w:val="single" w:sz="2" w:space="0" w:color="7ED0CB" w:themeColor="accent2" w:themeTint="99"/>
        <w:insideV w:val="single" w:sz="2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D0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ADCF71" w:themeColor="accent3" w:themeTint="99"/>
        <w:bottom w:val="single" w:sz="2" w:space="0" w:color="ADCF71" w:themeColor="accent3" w:themeTint="99"/>
        <w:insideH w:val="single" w:sz="2" w:space="0" w:color="ADCF71" w:themeColor="accent3" w:themeTint="99"/>
        <w:insideV w:val="single" w:sz="2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CF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699A8" w:themeColor="accent4" w:themeTint="99"/>
        <w:bottom w:val="single" w:sz="2" w:space="0" w:color="F699A8" w:themeColor="accent4" w:themeTint="99"/>
        <w:insideH w:val="single" w:sz="2" w:space="0" w:color="F699A8" w:themeColor="accent4" w:themeTint="99"/>
        <w:insideV w:val="single" w:sz="2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9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5BAEA" w:themeColor="accent5" w:themeTint="99"/>
        <w:bottom w:val="single" w:sz="2" w:space="0" w:color="85BAEA" w:themeColor="accent5" w:themeTint="99"/>
        <w:insideH w:val="single" w:sz="2" w:space="0" w:color="85BAEA" w:themeColor="accent5" w:themeTint="99"/>
        <w:insideV w:val="single" w:sz="2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BA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4A480" w:themeColor="accent6" w:themeTint="99"/>
        <w:bottom w:val="single" w:sz="2" w:space="0" w:color="F4A480" w:themeColor="accent6" w:themeTint="99"/>
        <w:insideH w:val="single" w:sz="2" w:space="0" w:color="F4A480" w:themeColor="accent6" w:themeTint="99"/>
        <w:insideV w:val="single" w:sz="2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48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asiatki3">
    <w:name w:val="Grid Table 3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D888E4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A9DFD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C8DFA0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9BBC5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AED1F1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7C2AA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character" w:styleId="Hasztag">
    <w:name w:val="Hashtag"/>
    <w:basedOn w:val="Domylnaczcionkaakapitu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08E"/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108E"/>
    <w:rPr>
      <w:rFonts w:asciiTheme="majorHAnsi" w:eastAsiaTheme="majorEastAsia" w:hAnsiTheme="majorHAnsi" w:cstheme="majorBidi"/>
      <w:color w:val="501459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108E"/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D0108E"/>
  </w:style>
  <w:style w:type="paragraph" w:styleId="HTML-adres">
    <w:name w:val="HTML Address"/>
    <w:basedOn w:val="Normalny"/>
    <w:link w:val="HTML-adresZnak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0108E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0108E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0108E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0108E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0108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97A24"/>
    <w:rPr>
      <w:color w:val="1E69AE" w:themeColor="accent5" w:themeShade="BF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D0108E"/>
    <w:rPr>
      <w:i/>
      <w:iCs/>
      <w:color w:val="6C1B78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D0108E"/>
    <w:pPr>
      <w:pBdr>
        <w:top w:val="single" w:sz="4" w:space="10" w:color="6C1B78" w:themeColor="accent1"/>
        <w:bottom w:val="single" w:sz="4" w:space="10" w:color="6C1B78" w:themeColor="accent1"/>
      </w:pBdr>
      <w:spacing w:before="360" w:after="360"/>
      <w:ind w:left="864" w:right="864"/>
      <w:jc w:val="center"/>
    </w:pPr>
    <w:rPr>
      <w:i/>
      <w:iCs/>
      <w:color w:val="6C1B7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D0108E"/>
    <w:rPr>
      <w:i/>
      <w:iCs/>
      <w:color w:val="6C1B78" w:themeColor="accent1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D0108E"/>
    <w:rPr>
      <w:b/>
      <w:bCs/>
      <w:smallCaps/>
      <w:color w:val="6C1B78" w:themeColor="accent1"/>
      <w:spacing w:val="5"/>
    </w:rPr>
  </w:style>
  <w:style w:type="table" w:styleId="Jasnasiatka">
    <w:name w:val="Light Grid"/>
    <w:basedOn w:val="Standardowy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1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  <w:shd w:val="clear" w:color="auto" w:fill="E7B5EE" w:themeFill="accent1" w:themeFillTint="3F"/>
      </w:tcPr>
    </w:tblStylePr>
    <w:tblStylePr w:type="band2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1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  <w:shd w:val="clear" w:color="auto" w:fill="C9EBE9" w:themeFill="accent2" w:themeFillTint="3F"/>
      </w:tcPr>
    </w:tblStylePr>
    <w:tblStylePr w:type="band2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1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  <w:shd w:val="clear" w:color="auto" w:fill="DDEBC4" w:themeFill="accent3" w:themeFillTint="3F"/>
      </w:tcPr>
    </w:tblStylePr>
    <w:tblStylePr w:type="band2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1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  <w:shd w:val="clear" w:color="auto" w:fill="FBD5DB" w:themeFill="accent4" w:themeFillTint="3F"/>
      </w:tcPr>
    </w:tblStylePr>
    <w:tblStylePr w:type="band2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1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  <w:shd w:val="clear" w:color="auto" w:fill="CCE2F6" w:themeFill="accent5" w:themeFillTint="3F"/>
      </w:tcPr>
    </w:tblStylePr>
    <w:tblStylePr w:type="band2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1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  <w:shd w:val="clear" w:color="auto" w:fill="FAD9CB" w:themeFill="accent6" w:themeFillTint="3F"/>
      </w:tcPr>
    </w:tblStylePr>
    <w:tblStylePr w:type="band2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D0108E"/>
    <w:pPr>
      <w:spacing w:before="0" w:after="0"/>
    </w:pPr>
    <w:rPr>
      <w:color w:val="501459" w:themeColor="accent1" w:themeShade="BF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0108E"/>
    <w:pPr>
      <w:spacing w:before="0" w:after="0"/>
    </w:pPr>
    <w:rPr>
      <w:color w:val="2B7672" w:themeColor="accent2" w:themeShade="BF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0108E"/>
    <w:pPr>
      <w:spacing w:before="0" w:after="0"/>
    </w:pPr>
    <w:rPr>
      <w:color w:val="526E24" w:themeColor="accent3" w:themeShade="BF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0108E"/>
    <w:pPr>
      <w:spacing w:before="0" w:after="0"/>
    </w:pPr>
    <w:rPr>
      <w:color w:val="E01434" w:themeColor="accent4" w:themeShade="BF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0108E"/>
    <w:pPr>
      <w:spacing w:before="0" w:after="0"/>
    </w:pPr>
    <w:rPr>
      <w:color w:val="1E69AE" w:themeColor="accent5" w:themeShade="BF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0108E"/>
    <w:pPr>
      <w:spacing w:before="0" w:after="0"/>
    </w:pPr>
    <w:rPr>
      <w:color w:val="C24710" w:themeColor="accent6" w:themeShade="BF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0108E"/>
  </w:style>
  <w:style w:type="paragraph" w:styleId="Lista">
    <w:name w:val="List"/>
    <w:basedOn w:val="Normalny"/>
    <w:uiPriority w:val="99"/>
    <w:semiHidden/>
    <w:unhideWhenUsed/>
    <w:rsid w:val="00D0108E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0108E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0108E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0108E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0108E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0108E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0108E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0108E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D0108E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alisty2">
    <w:name w:val="List Table 2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bottom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bottom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bottom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bottom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bottom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bottom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alisty3">
    <w:name w:val="List Table 3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C1B78" w:themeColor="accent1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1B78" w:themeColor="accent1"/>
          <w:right w:val="single" w:sz="4" w:space="0" w:color="6C1B78" w:themeColor="accent1"/>
        </w:tcBorders>
      </w:tcPr>
    </w:tblStylePr>
    <w:tblStylePr w:type="band1Horz">
      <w:tblPr/>
      <w:tcPr>
        <w:tcBorders>
          <w:top w:val="single" w:sz="4" w:space="0" w:color="6C1B78" w:themeColor="accent1"/>
          <w:bottom w:val="single" w:sz="4" w:space="0" w:color="6C1B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1B78" w:themeColor="accent1"/>
          <w:left w:val="nil"/>
        </w:tcBorders>
      </w:tcPr>
    </w:tblStylePr>
    <w:tblStylePr w:type="swCell">
      <w:tblPr/>
      <w:tcPr>
        <w:tcBorders>
          <w:top w:val="double" w:sz="4" w:space="0" w:color="6C1B78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9F9A" w:themeColor="accent2"/>
          <w:right w:val="single" w:sz="4" w:space="0" w:color="3A9F9A" w:themeColor="accent2"/>
        </w:tcBorders>
      </w:tcPr>
    </w:tblStylePr>
    <w:tblStylePr w:type="band1Horz">
      <w:tblPr/>
      <w:tcPr>
        <w:tcBorders>
          <w:top w:val="single" w:sz="4" w:space="0" w:color="3A9F9A" w:themeColor="accent2"/>
          <w:bottom w:val="single" w:sz="4" w:space="0" w:color="3A9F9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9F9A" w:themeColor="accent2"/>
          <w:left w:val="nil"/>
        </w:tcBorders>
      </w:tcPr>
    </w:tblStylePr>
    <w:tblStylePr w:type="swCell">
      <w:tblPr/>
      <w:tcPr>
        <w:tcBorders>
          <w:top w:val="double" w:sz="4" w:space="0" w:color="3A9F9A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F9331" w:themeColor="accent3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9331" w:themeColor="accent3"/>
          <w:right w:val="single" w:sz="4" w:space="0" w:color="6F9331" w:themeColor="accent3"/>
        </w:tcBorders>
      </w:tcPr>
    </w:tblStylePr>
    <w:tblStylePr w:type="band1Horz">
      <w:tblPr/>
      <w:tcPr>
        <w:tcBorders>
          <w:top w:val="single" w:sz="4" w:space="0" w:color="6F9331" w:themeColor="accent3"/>
          <w:bottom w:val="single" w:sz="4" w:space="0" w:color="6F93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9331" w:themeColor="accent3"/>
          <w:left w:val="nil"/>
        </w:tcBorders>
      </w:tcPr>
    </w:tblStylePr>
    <w:tblStylePr w:type="swCell">
      <w:tblPr/>
      <w:tcPr>
        <w:tcBorders>
          <w:top w:val="double" w:sz="4" w:space="0" w:color="6F9331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0566F" w:themeColor="accent4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66F" w:themeColor="accent4"/>
          <w:right w:val="single" w:sz="4" w:space="0" w:color="F0566F" w:themeColor="accent4"/>
        </w:tcBorders>
      </w:tcPr>
    </w:tblStylePr>
    <w:tblStylePr w:type="band1Horz">
      <w:tblPr/>
      <w:tcPr>
        <w:tcBorders>
          <w:top w:val="single" w:sz="4" w:space="0" w:color="F0566F" w:themeColor="accent4"/>
          <w:bottom w:val="single" w:sz="4" w:space="0" w:color="F0566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66F" w:themeColor="accent4"/>
          <w:left w:val="nil"/>
        </w:tcBorders>
      </w:tcPr>
    </w:tblStylePr>
    <w:tblStylePr w:type="swCell">
      <w:tblPr/>
      <w:tcPr>
        <w:tcBorders>
          <w:top w:val="double" w:sz="4" w:space="0" w:color="F0566F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58DDC" w:themeColor="accent5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8DDC" w:themeColor="accent5"/>
          <w:right w:val="single" w:sz="4" w:space="0" w:color="358DDC" w:themeColor="accent5"/>
        </w:tcBorders>
      </w:tcPr>
    </w:tblStylePr>
    <w:tblStylePr w:type="band1Horz">
      <w:tblPr/>
      <w:tcPr>
        <w:tcBorders>
          <w:top w:val="single" w:sz="4" w:space="0" w:color="358DDC" w:themeColor="accent5"/>
          <w:bottom w:val="single" w:sz="4" w:space="0" w:color="358D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8DDC" w:themeColor="accent5"/>
          <w:left w:val="nil"/>
        </w:tcBorders>
      </w:tcPr>
    </w:tblStylePr>
    <w:tblStylePr w:type="swCell">
      <w:tblPr/>
      <w:tcPr>
        <w:tcBorders>
          <w:top w:val="double" w:sz="4" w:space="0" w:color="358DDC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ED682D" w:themeColor="accent6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682D" w:themeColor="accent6"/>
          <w:right w:val="single" w:sz="4" w:space="0" w:color="ED682D" w:themeColor="accent6"/>
        </w:tcBorders>
      </w:tcPr>
    </w:tblStylePr>
    <w:tblStylePr w:type="band1Horz">
      <w:tblPr/>
      <w:tcPr>
        <w:tcBorders>
          <w:top w:val="single" w:sz="4" w:space="0" w:color="ED682D" w:themeColor="accent6"/>
          <w:bottom w:val="single" w:sz="4" w:space="0" w:color="ED68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682D" w:themeColor="accent6"/>
          <w:left w:val="nil"/>
        </w:tcBorders>
      </w:tcPr>
    </w:tblStylePr>
    <w:tblStylePr w:type="swCell">
      <w:tblPr/>
      <w:tcPr>
        <w:tcBorders>
          <w:top w:val="double" w:sz="4" w:space="0" w:color="ED682D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1B78" w:themeColor="accent1"/>
        <w:left w:val="single" w:sz="24" w:space="0" w:color="6C1B78" w:themeColor="accent1"/>
        <w:bottom w:val="single" w:sz="24" w:space="0" w:color="6C1B78" w:themeColor="accent1"/>
        <w:right w:val="single" w:sz="24" w:space="0" w:color="6C1B78" w:themeColor="accent1"/>
      </w:tblBorders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9F9A" w:themeColor="accent2"/>
        <w:left w:val="single" w:sz="24" w:space="0" w:color="3A9F9A" w:themeColor="accent2"/>
        <w:bottom w:val="single" w:sz="24" w:space="0" w:color="3A9F9A" w:themeColor="accent2"/>
        <w:right w:val="single" w:sz="24" w:space="0" w:color="3A9F9A" w:themeColor="accent2"/>
      </w:tblBorders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331" w:themeColor="accent3"/>
        <w:left w:val="single" w:sz="24" w:space="0" w:color="6F9331" w:themeColor="accent3"/>
        <w:bottom w:val="single" w:sz="24" w:space="0" w:color="6F9331" w:themeColor="accent3"/>
        <w:right w:val="single" w:sz="24" w:space="0" w:color="6F9331" w:themeColor="accent3"/>
      </w:tblBorders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66F" w:themeColor="accent4"/>
        <w:left w:val="single" w:sz="24" w:space="0" w:color="F0566F" w:themeColor="accent4"/>
        <w:bottom w:val="single" w:sz="24" w:space="0" w:color="F0566F" w:themeColor="accent4"/>
        <w:right w:val="single" w:sz="24" w:space="0" w:color="F0566F" w:themeColor="accent4"/>
      </w:tblBorders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8DDC" w:themeColor="accent5"/>
        <w:left w:val="single" w:sz="24" w:space="0" w:color="358DDC" w:themeColor="accent5"/>
        <w:bottom w:val="single" w:sz="24" w:space="0" w:color="358DDC" w:themeColor="accent5"/>
        <w:right w:val="single" w:sz="24" w:space="0" w:color="358DDC" w:themeColor="accent5"/>
      </w:tblBorders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682D" w:themeColor="accent6"/>
        <w:left w:val="single" w:sz="24" w:space="0" w:color="ED682D" w:themeColor="accent6"/>
        <w:bottom w:val="single" w:sz="24" w:space="0" w:color="ED682D" w:themeColor="accent6"/>
        <w:right w:val="single" w:sz="24" w:space="0" w:color="ED682D" w:themeColor="accent6"/>
      </w:tblBorders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6C1B78" w:themeColor="accent1"/>
        <w:bottom w:val="single" w:sz="4" w:space="0" w:color="6C1B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C1B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3A9F9A" w:themeColor="accent2"/>
        <w:bottom w:val="single" w:sz="4" w:space="0" w:color="3A9F9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9F9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6F9331" w:themeColor="accent3"/>
        <w:bottom w:val="single" w:sz="4" w:space="0" w:color="6F93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93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0566F" w:themeColor="accent4"/>
        <w:bottom w:val="single" w:sz="4" w:space="0" w:color="F0566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566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358DDC" w:themeColor="accent5"/>
        <w:bottom w:val="single" w:sz="4" w:space="0" w:color="358D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58D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ED682D" w:themeColor="accent6"/>
        <w:bottom w:val="single" w:sz="4" w:space="0" w:color="ED68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D68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1B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1B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1B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1B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9F9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9F9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9F9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9F9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93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93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93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93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66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66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66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66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8D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8D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8D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8D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68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68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68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68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0108E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  <w:insideV w:val="single" w:sz="8" w:space="0" w:color="AE2BC2" w:themeColor="accent1" w:themeTint="BF"/>
      </w:tblBorders>
    </w:tblPr>
    <w:tcPr>
      <w:shd w:val="clear" w:color="auto" w:fill="E7B5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2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  <w:insideV w:val="single" w:sz="8" w:space="0" w:color="5EC4BF" w:themeColor="accent2" w:themeTint="BF"/>
      </w:tblBorders>
    </w:tblPr>
    <w:tcPr>
      <w:shd w:val="clear" w:color="auto" w:fill="C9E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C4B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  <w:insideV w:val="single" w:sz="8" w:space="0" w:color="98C44E" w:themeColor="accent3" w:themeTint="BF"/>
      </w:tblBorders>
    </w:tblPr>
    <w:tcPr>
      <w:shd w:val="clear" w:color="auto" w:fill="DDEB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C44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  <w:insideV w:val="single" w:sz="8" w:space="0" w:color="F38092" w:themeColor="accent4" w:themeTint="BF"/>
      </w:tblBorders>
    </w:tblPr>
    <w:tcPr>
      <w:shd w:val="clear" w:color="auto" w:fill="FBD5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0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  <w:insideV w:val="single" w:sz="8" w:space="0" w:color="67A9E4" w:themeColor="accent5" w:themeTint="BF"/>
      </w:tblBorders>
    </w:tblPr>
    <w:tcPr>
      <w:shd w:val="clear" w:color="auto" w:fill="CCE2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A9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  <w:insideV w:val="single" w:sz="8" w:space="0" w:color="F18D61" w:themeColor="accent6" w:themeTint="BF"/>
      </w:tblBorders>
    </w:tblPr>
    <w:tcPr>
      <w:shd w:val="clear" w:color="auto" w:fill="FAD9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D6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cPr>
      <w:shd w:val="clear" w:color="auto" w:fill="E7B5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1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3F1" w:themeFill="accent1" w:themeFillTint="33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tcBorders>
          <w:insideH w:val="single" w:sz="6" w:space="0" w:color="6C1B78" w:themeColor="accent1"/>
          <w:insideV w:val="single" w:sz="6" w:space="0" w:color="6C1B78" w:themeColor="accent1"/>
        </w:tcBorders>
        <w:shd w:val="clear" w:color="auto" w:fill="CE6B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cPr>
      <w:shd w:val="clear" w:color="auto" w:fill="C9EB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FED" w:themeFill="accent2" w:themeFillTint="33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tcBorders>
          <w:insideH w:val="single" w:sz="6" w:space="0" w:color="3A9F9A" w:themeColor="accent2"/>
          <w:insideV w:val="single" w:sz="6" w:space="0" w:color="3A9F9A" w:themeColor="accent2"/>
        </w:tcBorders>
        <w:shd w:val="clear" w:color="auto" w:fill="94D8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cPr>
      <w:shd w:val="clear" w:color="auto" w:fill="DDEB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F" w:themeFill="accent3" w:themeFillTint="33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tcBorders>
          <w:insideH w:val="single" w:sz="6" w:space="0" w:color="6F9331" w:themeColor="accent3"/>
          <w:insideV w:val="single" w:sz="6" w:space="0" w:color="6F9331" w:themeColor="accent3"/>
        </w:tcBorders>
        <w:shd w:val="clear" w:color="auto" w:fill="BAD7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cPr>
      <w:shd w:val="clear" w:color="auto" w:fill="FBD5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E1" w:themeFill="accent4" w:themeFillTint="33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tcBorders>
          <w:insideH w:val="single" w:sz="6" w:space="0" w:color="F0566F" w:themeColor="accent4"/>
          <w:insideV w:val="single" w:sz="6" w:space="0" w:color="F0566F" w:themeColor="accent4"/>
        </w:tcBorders>
        <w:shd w:val="clear" w:color="auto" w:fill="F7AA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cPr>
      <w:shd w:val="clear" w:color="auto" w:fill="CCE2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8F8" w:themeFill="accent5" w:themeFillTint="33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tcBorders>
          <w:insideH w:val="single" w:sz="6" w:space="0" w:color="358DDC" w:themeColor="accent5"/>
          <w:insideV w:val="single" w:sz="6" w:space="0" w:color="358DDC" w:themeColor="accent5"/>
        </w:tcBorders>
        <w:shd w:val="clear" w:color="auto" w:fill="9AC5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cPr>
      <w:shd w:val="clear" w:color="auto" w:fill="FAD9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4" w:themeFill="accent6" w:themeFillTint="33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tcBorders>
          <w:insideH w:val="single" w:sz="6" w:space="0" w:color="ED682D" w:themeColor="accent6"/>
          <w:insideV w:val="single" w:sz="6" w:space="0" w:color="ED682D" w:themeColor="accent6"/>
        </w:tcBorders>
        <w:shd w:val="clear" w:color="auto" w:fill="F6B39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5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6B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6BD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8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8D4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7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789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5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A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AB7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2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5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5E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39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396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1B78" w:themeColor="accen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shd w:val="clear" w:color="auto" w:fill="E7B5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F9A" w:themeColor="accent2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shd w:val="clear" w:color="auto" w:fill="C9EBE9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9331" w:themeColor="accent3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shd w:val="clear" w:color="auto" w:fill="DDEBC4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66F" w:themeColor="accent4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shd w:val="clear" w:color="auto" w:fill="FBD5D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8DDC" w:themeColor="accent5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shd w:val="clear" w:color="auto" w:fill="CCE2F6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682D" w:themeColor="accent6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shd w:val="clear" w:color="auto" w:fill="FAD9CB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1B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1B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1B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5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F9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F9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93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93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6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6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5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8D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8D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2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68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68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5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2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Wzmianka">
    <w:name w:val="Mention"/>
    <w:basedOn w:val="Domylnaczcionkaakapitu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0108E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0108E"/>
    <w:pPr>
      <w:spacing w:before="0" w:after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0108E"/>
  </w:style>
  <w:style w:type="character" w:styleId="Numerstrony">
    <w:name w:val="page number"/>
    <w:basedOn w:val="Domylnaczcionkaakapitu"/>
    <w:uiPriority w:val="99"/>
    <w:semiHidden/>
    <w:unhideWhenUsed/>
    <w:rsid w:val="00D0108E"/>
  </w:style>
  <w:style w:type="table" w:styleId="Zwykatabela1">
    <w:name w:val="Plain Table 1"/>
    <w:basedOn w:val="Standardowy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108E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D0108E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0108E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0108E"/>
  </w:style>
  <w:style w:type="paragraph" w:styleId="Podpis">
    <w:name w:val="Signature"/>
    <w:basedOn w:val="Normalny"/>
    <w:link w:val="PodpisZnak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0108E"/>
  </w:style>
  <w:style w:type="character" w:styleId="Inteligentnyhiperlink">
    <w:name w:val="Smart Hyperlink"/>
    <w:basedOn w:val="Domylnaczcionkaakapitu"/>
    <w:uiPriority w:val="99"/>
    <w:semiHidden/>
    <w:unhideWhenUsed/>
    <w:rsid w:val="00D0108E"/>
    <w:rPr>
      <w:u w:val="dotted"/>
    </w:rPr>
  </w:style>
  <w:style w:type="character" w:styleId="Pogrubienie">
    <w:name w:val="Strong"/>
    <w:basedOn w:val="Domylnaczcionkaakapitu"/>
    <w:uiPriority w:val="22"/>
    <w:unhideWhenUsed/>
    <w:qFormat/>
    <w:rsid w:val="00D0108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D0108E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0108E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0108E"/>
    <w:pPr>
      <w:spacing w:after="0"/>
      <w:ind w:left="0"/>
    </w:pPr>
  </w:style>
  <w:style w:type="table" w:styleId="Tabela-Profesjonalny">
    <w:name w:val="Table Professional"/>
    <w:basedOn w:val="Standardowy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0108E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0108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0108E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0108E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0108E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0108E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0108E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0108E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0108E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501459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66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mnich\AppData\Roaming\Microsoft\Templates\Dzienny%20plan%20lekcji%20(kolorowy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A47A-82D3-49BF-855C-3DB273C4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Dzienny plan lekcji (kolorowy)</Template>
  <TotalTime>1</TotalTime>
  <Pages>4</Pages>
  <Words>514</Words>
  <Characters>3089</Characters>
  <Application>Microsoft Office Word</Application>
  <DocSecurity>4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Mnich Julia</dc:creator>
  <cp:keywords/>
  <dc:description/>
  <cp:lastModifiedBy>Aleksandra Kalkowska</cp:lastModifiedBy>
  <cp:revision>2</cp:revision>
  <cp:lastPrinted>2013-02-15T20:09:00Z</cp:lastPrinted>
  <dcterms:created xsi:type="dcterms:W3CDTF">2024-02-13T09:01:00Z</dcterms:created>
  <dcterms:modified xsi:type="dcterms:W3CDTF">2024-02-13T09:01:00Z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