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37F" w:rsidRDefault="00D24AD8" w:rsidP="0036637F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18"/>
          <w:szCs w:val="18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D81" w:rsidRPr="00337861" w:rsidRDefault="004A5D81" w:rsidP="0036637F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18"/>
          <w:szCs w:val="18"/>
        </w:rPr>
      </w:pPr>
    </w:p>
    <w:p w:rsidR="0036637F" w:rsidRPr="004A5D81" w:rsidRDefault="004A5D81" w:rsidP="004A5D81">
      <w:pPr>
        <w:spacing w:after="0" w:line="240" w:lineRule="auto"/>
        <w:jc w:val="center"/>
        <w:rPr>
          <w:b/>
          <w:sz w:val="24"/>
          <w:szCs w:val="24"/>
        </w:rPr>
      </w:pPr>
      <w:r w:rsidRPr="004A5D81">
        <w:rPr>
          <w:b/>
          <w:sz w:val="24"/>
          <w:szCs w:val="24"/>
        </w:rPr>
        <w:t>Informacja o zmianach w projekcie informatycznym pn.</w:t>
      </w:r>
    </w:p>
    <w:p w:rsidR="0036637F" w:rsidRPr="004A5D81" w:rsidRDefault="004A5D81" w:rsidP="004A5D81">
      <w:pPr>
        <w:spacing w:after="0" w:line="240" w:lineRule="auto"/>
        <w:jc w:val="center"/>
        <w:rPr>
          <w:sz w:val="24"/>
          <w:szCs w:val="24"/>
        </w:rPr>
      </w:pPr>
      <w:r w:rsidRPr="004A5D81">
        <w:rPr>
          <w:rFonts w:cs="Arial"/>
          <w:b/>
          <w:bCs/>
          <w:i/>
          <w:color w:val="000000"/>
          <w:sz w:val="24"/>
          <w:szCs w:val="24"/>
        </w:rPr>
        <w:t>e-Zdrowie w SP ZOZ MSWiA: rozwój nowoczesnych e-usług publicznych dla pacjentów</w:t>
      </w:r>
    </w:p>
    <w:p w:rsidR="004A5D81" w:rsidRDefault="004A5D81" w:rsidP="00337861">
      <w:pPr>
        <w:spacing w:after="0" w:line="240" w:lineRule="auto"/>
        <w:rPr>
          <w:sz w:val="18"/>
          <w:szCs w:val="18"/>
        </w:rPr>
      </w:pPr>
    </w:p>
    <w:p w:rsidR="004A5D81" w:rsidRDefault="004A5D81" w:rsidP="00337861">
      <w:pPr>
        <w:spacing w:after="0" w:line="240" w:lineRule="auto"/>
        <w:rPr>
          <w:sz w:val="18"/>
          <w:szCs w:val="18"/>
        </w:rPr>
      </w:pPr>
    </w:p>
    <w:p w:rsidR="004A5D81" w:rsidRPr="00E01E83" w:rsidRDefault="0036637F" w:rsidP="0036637F">
      <w:pPr>
        <w:tabs>
          <w:tab w:val="left" w:pos="4678"/>
        </w:tabs>
        <w:spacing w:before="120" w:after="0"/>
        <w:jc w:val="both"/>
        <w:rPr>
          <w:rFonts w:cs="Arial"/>
        </w:rPr>
      </w:pPr>
      <w:r w:rsidRPr="00E01E83">
        <w:rPr>
          <w:rFonts w:cs="Arial"/>
        </w:rPr>
        <w:t>K</w:t>
      </w:r>
      <w:r w:rsidR="004A5D81" w:rsidRPr="00E01E83">
        <w:rPr>
          <w:rFonts w:cs="Arial"/>
        </w:rPr>
        <w:t xml:space="preserve">omitet </w:t>
      </w:r>
      <w:r w:rsidRPr="00E01E83">
        <w:rPr>
          <w:rFonts w:cs="Arial"/>
        </w:rPr>
        <w:t>R</w:t>
      </w:r>
      <w:r w:rsidR="004A5D81" w:rsidRPr="00E01E83">
        <w:rPr>
          <w:rFonts w:cs="Arial"/>
        </w:rPr>
        <w:t xml:space="preserve">ady </w:t>
      </w:r>
      <w:r w:rsidRPr="00E01E83">
        <w:rPr>
          <w:rFonts w:cs="Arial"/>
        </w:rPr>
        <w:t>M</w:t>
      </w:r>
      <w:r w:rsidR="004A5D81" w:rsidRPr="00E01E83">
        <w:rPr>
          <w:rFonts w:cs="Arial"/>
        </w:rPr>
        <w:t xml:space="preserve">inistrów do spraw </w:t>
      </w:r>
      <w:r w:rsidRPr="00E01E83">
        <w:rPr>
          <w:rFonts w:cs="Arial"/>
        </w:rPr>
        <w:t>C</w:t>
      </w:r>
      <w:r w:rsidR="004A5D81" w:rsidRPr="00E01E83">
        <w:rPr>
          <w:rFonts w:cs="Arial"/>
        </w:rPr>
        <w:t>yfryzacji</w:t>
      </w:r>
      <w:r w:rsidRPr="00E01E83">
        <w:rPr>
          <w:rFonts w:cs="Arial"/>
        </w:rPr>
        <w:t xml:space="preserve"> pozytywnie zaopiniował </w:t>
      </w:r>
      <w:r w:rsidR="004A5D81" w:rsidRPr="00E01E83">
        <w:rPr>
          <w:rFonts w:cs="Arial"/>
          <w:bCs/>
          <w:i/>
        </w:rPr>
        <w:t>projekt informatyczny pn. e-Zdrowie w SP ZOZ MSWiA: rozwój nowoczesnych e-usług publicznych dla pacjentów</w:t>
      </w:r>
      <w:r w:rsidRPr="00E01E83">
        <w:rPr>
          <w:rFonts w:cs="Arial"/>
        </w:rPr>
        <w:t xml:space="preserve"> </w:t>
      </w:r>
      <w:r w:rsidR="004A5D81" w:rsidRPr="00E01E83">
        <w:rPr>
          <w:rFonts w:cs="Arial"/>
        </w:rPr>
        <w:t xml:space="preserve">o czym poinformował </w:t>
      </w:r>
      <w:r w:rsidRPr="00E01E83">
        <w:rPr>
          <w:rFonts w:cs="Arial"/>
        </w:rPr>
        <w:t>pismem z dnia 31 lipca 2019 roku (znak: BAiPS-VI.002.18.2018</w:t>
      </w:r>
      <w:r w:rsidR="004A5D81" w:rsidRPr="00E01E83">
        <w:rPr>
          <w:rFonts w:cs="Arial"/>
        </w:rPr>
        <w:t xml:space="preserve">). </w:t>
      </w:r>
    </w:p>
    <w:p w:rsidR="0036637F" w:rsidRDefault="0036637F" w:rsidP="0036637F">
      <w:pPr>
        <w:tabs>
          <w:tab w:val="left" w:pos="4678"/>
        </w:tabs>
        <w:spacing w:before="120" w:after="0"/>
        <w:jc w:val="both"/>
        <w:rPr>
          <w:rFonts w:cs="Arial"/>
        </w:rPr>
      </w:pPr>
      <w:r w:rsidRPr="00E01E83">
        <w:rPr>
          <w:rFonts w:cs="Arial"/>
        </w:rPr>
        <w:t xml:space="preserve">W dniu 25 października 2019 roku MSWiA zawarło z Centrum Projektów Polska Cyfrowa (dalej w skrócie CPPC) </w:t>
      </w:r>
      <w:r w:rsidRPr="00E01E83">
        <w:rPr>
          <w:rFonts w:cs="Arial"/>
          <w:i/>
        </w:rPr>
        <w:t>Porozumienie o dofinansowanie nr POPC.02.01.00-00-0106/19-00 Projektu</w:t>
      </w:r>
      <w:r w:rsidRPr="00E01E83">
        <w:rPr>
          <w:rFonts w:cs="Arial"/>
        </w:rPr>
        <w:t xml:space="preserve"> (dalej </w:t>
      </w:r>
      <w:r w:rsidRPr="00E01E83">
        <w:rPr>
          <w:rFonts w:cs="Arial"/>
          <w:i/>
        </w:rPr>
        <w:t>Porozumienie o dofinansowanie</w:t>
      </w:r>
      <w:r w:rsidRPr="00E01E83">
        <w:rPr>
          <w:rFonts w:cs="Arial"/>
        </w:rPr>
        <w:t>)</w:t>
      </w:r>
      <w:r w:rsidR="00C97533" w:rsidRPr="00E01E83">
        <w:rPr>
          <w:rFonts w:cs="Arial"/>
        </w:rPr>
        <w:t xml:space="preserve">. </w:t>
      </w:r>
      <w:r w:rsidRPr="00E01E83">
        <w:rPr>
          <w:rFonts w:cs="Arial"/>
        </w:rPr>
        <w:t xml:space="preserve">MSWiA w dniu 6 lipca 2020 roku zwróciło się do CPPC z wnioskiem o wprowadzenie zmian w </w:t>
      </w:r>
      <w:r w:rsidRPr="00E01E83">
        <w:rPr>
          <w:rFonts w:cs="Arial"/>
          <w:i/>
        </w:rPr>
        <w:t>Projekcie</w:t>
      </w:r>
      <w:r w:rsidRPr="00E01E83">
        <w:rPr>
          <w:rFonts w:cs="Arial"/>
        </w:rPr>
        <w:t>. CPPC odpowiedziało na ten wniosek pismem z dnia 20 lipca 2020 roku (znak: CPPC-DEA.63.4.4.57.2019/JT), w którym uzależniło przeprowadzenie oceny proponowanych zmian od uzyskania pozytywnej opinii KRMC nt. zmienion</w:t>
      </w:r>
      <w:r w:rsidR="00E01E83">
        <w:rPr>
          <w:rFonts w:cs="Arial"/>
        </w:rPr>
        <w:t>ego opisu założeń projektu informatycznego (dalej w skrócie OZPI)</w:t>
      </w:r>
      <w:r w:rsidRPr="00E01E83">
        <w:rPr>
          <w:rFonts w:cs="Arial"/>
        </w:rPr>
        <w:t>.</w:t>
      </w:r>
    </w:p>
    <w:p w:rsidR="0036637F" w:rsidRPr="00E01E83" w:rsidRDefault="0036637F" w:rsidP="0036637F">
      <w:pPr>
        <w:tabs>
          <w:tab w:val="left" w:pos="4678"/>
        </w:tabs>
        <w:spacing w:before="120" w:after="0"/>
        <w:ind w:firstLine="567"/>
        <w:jc w:val="both"/>
        <w:rPr>
          <w:rFonts w:cs="Arial"/>
          <w:b/>
        </w:rPr>
      </w:pPr>
      <w:r w:rsidRPr="00E01E83">
        <w:rPr>
          <w:rFonts w:cs="Arial"/>
          <w:b/>
        </w:rPr>
        <w:t>Zakres zmian w Projekcie odzwierciedlonych w OZPI.</w:t>
      </w:r>
    </w:p>
    <w:p w:rsidR="00E01E83" w:rsidRDefault="00E01E83" w:rsidP="00E01E83">
      <w:pPr>
        <w:tabs>
          <w:tab w:val="left" w:pos="4678"/>
        </w:tabs>
        <w:spacing w:before="120" w:after="0"/>
        <w:ind w:firstLine="567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W stosunku do poprzedniego OZPI </w:t>
      </w:r>
      <w:r w:rsidRPr="00E21B2F">
        <w:rPr>
          <w:rFonts w:cs="Arial"/>
          <w:b/>
          <w:color w:val="000000"/>
        </w:rPr>
        <w:t>wprowadzono następujące zmiany merytoryczne</w:t>
      </w:r>
      <w:r>
        <w:rPr>
          <w:rFonts w:cs="Arial"/>
          <w:color w:val="000000"/>
        </w:rPr>
        <w:t>: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1) zmiana Lidera (Partnera Wiodącego)/Beneficjenta </w:t>
      </w:r>
      <w:r w:rsidRPr="00601DBB">
        <w:rPr>
          <w:i/>
        </w:rPr>
        <w:t>Projektu</w:t>
      </w:r>
      <w:r>
        <w:t xml:space="preserve"> z Ministerstwa Spraw Wewnętrznych i Administracji (dalej MSWiA) na Centralny Szpital Kliniczny MSWiA w Warszawie (dalej w skrócie CSK MSWiA), który jest Partnerem </w:t>
      </w:r>
      <w:r w:rsidRPr="00601DBB">
        <w:rPr>
          <w:i/>
        </w:rPr>
        <w:t>Projektu</w:t>
      </w:r>
      <w:r>
        <w:t xml:space="preserve">, i powierzenie MSWiA roli Partnera, który będzie wspierał </w:t>
      </w:r>
      <w:r w:rsidRPr="00601DBB">
        <w:rPr>
          <w:i/>
        </w:rPr>
        <w:t>Projekt</w:t>
      </w:r>
      <w:r>
        <w:t xml:space="preserve"> zarządczo, organizacyjnie i merytorycznie m.in. poprzez zapewnienie płynnej komunikacji resortowej z poziomu Departamentu Zdrowia MSWiA i  międzyresortowej z poziomu Kierownictwa MSWiA;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2) zmiana planowanych dat wdrożenia produktów końcowych (pkt. 2.4 OZPI) i planowanych terminów osiągnięcia </w:t>
      </w:r>
      <w:r w:rsidRPr="00601DBB">
        <w:t>kamieni milowych</w:t>
      </w:r>
      <w:r>
        <w:t xml:space="preserve"> (pkt. 3 OZPI) o 90 dni</w:t>
      </w:r>
      <w:r w:rsidRPr="00601DBB">
        <w:t xml:space="preserve">, jako następstwo ustawowego przedłużenia realizacji </w:t>
      </w:r>
      <w:r w:rsidRPr="00A8785E">
        <w:rPr>
          <w:i/>
        </w:rPr>
        <w:t>Projektu</w:t>
      </w:r>
      <w:r w:rsidRPr="00601DBB">
        <w:t xml:space="preserve"> o 90 dni tj. do dnia 29 stycznia 2023 roku, na mocy art. 13 ust. 1 pkt. 2) Ustawy z</w:t>
      </w:r>
      <w:r>
        <w:t> </w:t>
      </w:r>
      <w:r w:rsidRPr="00601DBB">
        <w:t>dnia 3 kwietnia 2020 roku o szczególnych rozwiązaniach wspierających realizację programów operacyjnych w związku z wystąpieniem COVID-19 w 2020 roku (Dz.U. 2020, poz. 694)</w:t>
      </w:r>
      <w:r>
        <w:t>, które zniwelowało opóźnienia spowodowane pandemią</w:t>
      </w:r>
      <w:r w:rsidRPr="00601DBB">
        <w:t>;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3) zmiana planowanego okresu realizacji </w:t>
      </w:r>
      <w:r w:rsidRPr="00D177BC">
        <w:rPr>
          <w:i/>
        </w:rPr>
        <w:t>Projektu</w:t>
      </w:r>
      <w:r>
        <w:t xml:space="preserve"> o 90 dni tj. z okresu od 11-2019 do 10-2022 na okres od 11-2019 do 01-2023,</w:t>
      </w:r>
    </w:p>
    <w:p w:rsidR="00E01E83" w:rsidRPr="00692E3A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4) na wniosek MSWiA za zgodą CPPC (aneks do </w:t>
      </w:r>
      <w:r w:rsidRPr="00FB0F5B">
        <w:rPr>
          <w:i/>
        </w:rPr>
        <w:t>Porozumienia o dofinansowanie</w:t>
      </w:r>
      <w:r>
        <w:t xml:space="preserve">) dokonano zmiany w pozycji kosztów Usługi zewnętrzne wspomagające realizację Projektu - 4.742.880,00 zł brutto (3.856.000,00 zł netto + 886.880,00 zł VAT) zmniejszono do 742.880,00 zł brutto (603.967,48 zł netto + 138.912,58 zł VAT), a 4.000.000,00 zł przesunięto do pozycji Wynagrodzenia pracowników wykonujących merytoryczne zadania, które nie są obciążone VAT, w związku z tym kwota netto całkowitych wydatków </w:t>
      </w:r>
      <w:r w:rsidRPr="00692E3A">
        <w:rPr>
          <w:b/>
        </w:rPr>
        <w:t xml:space="preserve">70.858.874,15 zł </w:t>
      </w:r>
      <w:r>
        <w:t xml:space="preserve">zwiększyła się o różnicę kwot VAT (886.880,00 zł -138.912,58 zł = 747.967,48 zł) do kwoty </w:t>
      </w:r>
      <w:r>
        <w:rPr>
          <w:b/>
        </w:rPr>
        <w:t>71</w:t>
      </w:r>
      <w:r w:rsidRPr="00692E3A">
        <w:rPr>
          <w:b/>
        </w:rPr>
        <w:t>.</w:t>
      </w:r>
      <w:r>
        <w:rPr>
          <w:b/>
        </w:rPr>
        <w:t>606.841,73</w:t>
      </w:r>
      <w:r w:rsidRPr="00692E3A">
        <w:rPr>
          <w:b/>
        </w:rPr>
        <w:t xml:space="preserve"> zł</w:t>
      </w:r>
      <w:r w:rsidRPr="00692E3A">
        <w:t xml:space="preserve">; zmiana </w:t>
      </w:r>
      <w:r>
        <w:t xml:space="preserve">wynika </w:t>
      </w:r>
      <w:r w:rsidR="006C1FA7">
        <w:t xml:space="preserve">z </w:t>
      </w:r>
      <w:r>
        <w:t xml:space="preserve">przejęcia realizacji usług zewnętrznego Inżyniera Kontraktu (faktura z 23% VAT) przez zespół projektowy (wynagrodzenia bez VAT) – szerzej opisana poniżej w pkt. </w:t>
      </w:r>
      <w:r w:rsidRPr="00692E3A">
        <w:rPr>
          <w:b/>
        </w:rPr>
        <w:t>Uzasadnienie zmian w</w:t>
      </w:r>
      <w:r>
        <w:rPr>
          <w:b/>
        </w:rPr>
        <w:t> </w:t>
      </w:r>
      <w:r w:rsidRPr="00692E3A">
        <w:rPr>
          <w:b/>
        </w:rPr>
        <w:t>Projekcie</w:t>
      </w:r>
      <w:r>
        <w:t>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lastRenderedPageBreak/>
        <w:t xml:space="preserve">5) w pkt. 4.1 OZPI w pozycji </w:t>
      </w:r>
      <w:r w:rsidRPr="00D20877">
        <w:rPr>
          <w:b/>
        </w:rPr>
        <w:t xml:space="preserve">Podział całkowitego kosztu projektu na poszczególne lata (netto oraz brutto) </w:t>
      </w:r>
      <w:r>
        <w:t>dodano 2023 rok, zmieniono kwoty w latach, przy czym w roku 2019 wpisano faktyczne wydatki,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6) w pkt. 4.3 OZPI w pozycji </w:t>
      </w:r>
      <w:r w:rsidRPr="00D20877">
        <w:rPr>
          <w:b/>
        </w:rPr>
        <w:t>Podział całkowitego kosztu utrzymania trwałości projektu na</w:t>
      </w:r>
      <w:r>
        <w:rPr>
          <w:b/>
        </w:rPr>
        <w:t> </w:t>
      </w:r>
      <w:r w:rsidRPr="00D20877">
        <w:rPr>
          <w:b/>
        </w:rPr>
        <w:t>poszczególne lata (netto oraz brutto)</w:t>
      </w:r>
      <w:r>
        <w:t xml:space="preserve"> dodano 2028 rok, a pominięto 2022 rok, zmieniono kwoty w latach,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7) w pkt. 5.1 OZPI </w:t>
      </w:r>
      <w:r>
        <w:rPr>
          <w:b/>
        </w:rPr>
        <w:t xml:space="preserve">Ryzyka wpływające na realizację projektu </w:t>
      </w:r>
      <w:r>
        <w:t>dodano ryzyko związane z pandemią.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8) </w:t>
      </w:r>
      <w:r w:rsidRPr="006F2BA2">
        <w:t>wprowadzono odpowiednie zmiany redakcyjne w zakresie nazw partnerów wynikające z</w:t>
      </w:r>
      <w:r>
        <w:t xml:space="preserve">e zmiany Lidera, przed zmianą Partner = szpital/podmiot leczniczy, a po zmianie </w:t>
      </w:r>
      <w:r w:rsidRPr="006F2BA2">
        <w:t>zamiast Partnerzy Projektu – podmioty lecznicze Partnerzy Projektu albo szpitale Partnerzy Projektu</w:t>
      </w:r>
      <w:r w:rsidR="006C1FA7">
        <w:t>,</w:t>
      </w:r>
      <w:r>
        <w:t xml:space="preserve"> by uniknąć nieścisłości.</w:t>
      </w:r>
    </w:p>
    <w:p w:rsidR="00E01E83" w:rsidRDefault="00E01E83" w:rsidP="00E01E83">
      <w:pPr>
        <w:tabs>
          <w:tab w:val="left" w:pos="4678"/>
        </w:tabs>
        <w:spacing w:before="120" w:after="0"/>
        <w:ind w:firstLine="567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W stosunku do poprzedniego OZPI </w:t>
      </w:r>
      <w:r w:rsidRPr="00E21B2F">
        <w:rPr>
          <w:rFonts w:cs="Arial"/>
          <w:b/>
          <w:color w:val="000000"/>
        </w:rPr>
        <w:t>nie wprowadzono merytorycznych zmian</w:t>
      </w:r>
      <w:r>
        <w:rPr>
          <w:rFonts w:cs="Arial"/>
          <w:color w:val="000000"/>
        </w:rPr>
        <w:t>: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>1) w składzie Partnerów – to samo grono 17 podmiotów: MSWiA i 16 szpitali MSWiA,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2) w pkt. 1.2 OZPI </w:t>
      </w:r>
      <w:r>
        <w:rPr>
          <w:b/>
        </w:rPr>
        <w:t>Opis stanu obecnego</w:t>
      </w:r>
      <w:r>
        <w:t>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3) w pkt. 2.1 OZPI </w:t>
      </w:r>
      <w:r>
        <w:rPr>
          <w:b/>
        </w:rPr>
        <w:t>Cele i korzyści wynikające z projektu</w:t>
      </w:r>
      <w:r>
        <w:t>, w tym wartości KPI,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4) w pkt. 2.2 OZPI </w:t>
      </w:r>
      <w:r>
        <w:rPr>
          <w:b/>
        </w:rPr>
        <w:t>Udostępnione e-usługi</w:t>
      </w:r>
      <w:r>
        <w:t>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5) w pkt. 2.4 OZPI </w:t>
      </w:r>
      <w:r>
        <w:rPr>
          <w:b/>
        </w:rPr>
        <w:t>Produkty końcowe</w:t>
      </w:r>
      <w:r>
        <w:t xml:space="preserve">, kolumna </w:t>
      </w:r>
      <w:r w:rsidRPr="00F57C77">
        <w:rPr>
          <w:b/>
        </w:rPr>
        <w:t>Nazwa produktu</w:t>
      </w:r>
      <w:r>
        <w:t>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6) w pkt. 4.2 OZPI </w:t>
      </w:r>
      <w:r>
        <w:rPr>
          <w:b/>
        </w:rPr>
        <w:t>Wykaz poszczególnych pozycji kosztowych</w:t>
      </w:r>
      <w:r>
        <w:t>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7) w pkt. 4.2 OZPI </w:t>
      </w:r>
      <w:r>
        <w:rPr>
          <w:b/>
        </w:rPr>
        <w:t>Ryzyka wpływające na utrzymanie projektu</w:t>
      </w:r>
      <w:r>
        <w:t>,</w:t>
      </w:r>
      <w:r w:rsidR="00EB7CBD">
        <w:t xml:space="preserve"> za wyjątkiem dodania </w:t>
      </w:r>
      <w:r w:rsidR="00EB7CBD" w:rsidRPr="00EB7CBD">
        <w:t>ryzyk</w:t>
      </w:r>
      <w:r w:rsidR="00EB7CBD">
        <w:t>a</w:t>
      </w:r>
      <w:r w:rsidR="00EB7CBD" w:rsidRPr="00EB7CBD">
        <w:t xml:space="preserve"> związane</w:t>
      </w:r>
      <w:r w:rsidR="00EB7CBD">
        <w:t>go z pandemią,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8) w pkt. 6 OZPI </w:t>
      </w:r>
      <w:r>
        <w:rPr>
          <w:b/>
        </w:rPr>
        <w:t>Otoczenie prawne</w:t>
      </w:r>
      <w:r>
        <w:t>,</w:t>
      </w:r>
    </w:p>
    <w:p w:rsidR="00E01E83" w:rsidRDefault="00E01E83" w:rsidP="00E01E83">
      <w:pPr>
        <w:tabs>
          <w:tab w:val="left" w:pos="4678"/>
        </w:tabs>
        <w:spacing w:before="60" w:after="0"/>
        <w:ind w:left="568" w:hanging="284"/>
        <w:jc w:val="both"/>
      </w:pPr>
      <w:r>
        <w:t xml:space="preserve">9) w pkt. 7 OZPI </w:t>
      </w:r>
      <w:r w:rsidRPr="006F2BA2">
        <w:rPr>
          <w:b/>
        </w:rPr>
        <w:t>Architektura</w:t>
      </w:r>
      <w:r>
        <w:t xml:space="preserve"> z tym zastrzeżeniem, że w pkt. 7.1 </w:t>
      </w:r>
      <w:r w:rsidRPr="006D5FFE">
        <w:rPr>
          <w:b/>
        </w:rPr>
        <w:t>Widok kooperacji aplikacji</w:t>
      </w:r>
      <w:r>
        <w:t xml:space="preserve"> zaznaczono, że Dziedzinowe Systemy Informatyczne to systemy w 16 podmiotach </w:t>
      </w:r>
      <w:r w:rsidR="00EB7CBD">
        <w:t>leczniczych</w:t>
      </w:r>
      <w:r>
        <w:t xml:space="preserve"> Partnerach</w:t>
      </w:r>
      <w:r w:rsidR="00EB7CBD">
        <w:t xml:space="preserve"> </w:t>
      </w:r>
      <w:r w:rsidR="00EB7CBD" w:rsidRPr="00EB7CBD">
        <w:rPr>
          <w:i/>
        </w:rPr>
        <w:t>Projektu</w:t>
      </w:r>
      <w:r>
        <w:t>, w</w:t>
      </w:r>
      <w:r w:rsidR="00EB7CBD">
        <w:t> </w:t>
      </w:r>
      <w:r>
        <w:t>tym u Lidera; a w CSK MSWiA po zmianie zostaną usytuowane Platforma e-Usług i</w:t>
      </w:r>
      <w:r w:rsidR="00EB7CBD">
        <w:t> </w:t>
      </w:r>
      <w:r>
        <w:t xml:space="preserve">System Raportowo-Analityczny (produkty </w:t>
      </w:r>
      <w:r w:rsidRPr="00EE1335">
        <w:rPr>
          <w:i/>
        </w:rPr>
        <w:t>Projektu</w:t>
      </w:r>
      <w:r>
        <w:t>).</w:t>
      </w:r>
    </w:p>
    <w:p w:rsidR="00E01E83" w:rsidRDefault="00E01E83" w:rsidP="00E01E83">
      <w:pPr>
        <w:tabs>
          <w:tab w:val="left" w:pos="4678"/>
        </w:tabs>
        <w:spacing w:before="120" w:after="0"/>
        <w:ind w:firstLine="567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W stosunku do poprzedniego OZPI wprowadzono także niewielkie</w:t>
      </w:r>
      <w:r w:rsidR="00EB7CBD">
        <w:rPr>
          <w:rFonts w:cs="Arial"/>
          <w:color w:val="000000"/>
        </w:rPr>
        <w:t>,</w:t>
      </w:r>
      <w:r>
        <w:rPr>
          <w:rFonts w:cs="Arial"/>
          <w:color w:val="000000"/>
        </w:rPr>
        <w:t xml:space="preserve"> zwykle porządkowe</w:t>
      </w:r>
      <w:r w:rsidR="00EB7CBD">
        <w:rPr>
          <w:rFonts w:cs="Arial"/>
          <w:color w:val="000000"/>
        </w:rPr>
        <w:t>,</w:t>
      </w:r>
      <w:r>
        <w:rPr>
          <w:rFonts w:cs="Arial"/>
          <w:color w:val="000000"/>
        </w:rPr>
        <w:t xml:space="preserve"> zmiany redakcyjne, które </w:t>
      </w:r>
      <w:r w:rsidRPr="00D177BC">
        <w:rPr>
          <w:rFonts w:cs="Arial"/>
          <w:b/>
          <w:color w:val="000000"/>
        </w:rPr>
        <w:t>nie zmieniły treści merytoryczn</w:t>
      </w:r>
      <w:r>
        <w:rPr>
          <w:rFonts w:cs="Arial"/>
          <w:b/>
          <w:color w:val="000000"/>
        </w:rPr>
        <w:t>ej</w:t>
      </w:r>
      <w:r>
        <w:rPr>
          <w:rFonts w:cs="Arial"/>
          <w:color w:val="000000"/>
        </w:rPr>
        <w:t xml:space="preserve"> np. ujednolicono nazwy produktów </w:t>
      </w:r>
      <w:r w:rsidRPr="00D177BC">
        <w:rPr>
          <w:rFonts w:cs="Arial"/>
          <w:i/>
          <w:color w:val="000000"/>
        </w:rPr>
        <w:t>Projektu</w:t>
      </w:r>
      <w:r>
        <w:rPr>
          <w:rFonts w:cs="Arial"/>
          <w:color w:val="000000"/>
        </w:rPr>
        <w:t>: Platforma e-Usług, System Raportowo-Analitycznych, Dziedzinowe Systemy Informatyczne szpitali</w:t>
      </w:r>
      <w:r w:rsidR="00EB7CBD">
        <w:rPr>
          <w:rFonts w:cs="Arial"/>
          <w:color w:val="000000"/>
        </w:rPr>
        <w:t xml:space="preserve">/ podmiotów leczniczych </w:t>
      </w:r>
      <w:r>
        <w:rPr>
          <w:rFonts w:cs="Arial"/>
          <w:color w:val="000000"/>
        </w:rPr>
        <w:t xml:space="preserve"> – Partnerów </w:t>
      </w:r>
      <w:r w:rsidRPr="000C280B">
        <w:rPr>
          <w:rFonts w:cs="Arial"/>
          <w:i/>
          <w:color w:val="000000"/>
        </w:rPr>
        <w:t>Projektu</w:t>
      </w:r>
      <w:r>
        <w:rPr>
          <w:rFonts w:cs="Arial"/>
          <w:color w:val="000000"/>
        </w:rPr>
        <w:t>.</w:t>
      </w:r>
    </w:p>
    <w:p w:rsidR="00E01E83" w:rsidRPr="00893BA6" w:rsidRDefault="00E01E83" w:rsidP="00E01E83">
      <w:pPr>
        <w:tabs>
          <w:tab w:val="left" w:pos="4678"/>
        </w:tabs>
        <w:spacing w:before="240" w:after="0"/>
        <w:ind w:firstLine="567"/>
        <w:jc w:val="both"/>
        <w:rPr>
          <w:b/>
        </w:rPr>
      </w:pPr>
      <w:r w:rsidRPr="00893BA6">
        <w:rPr>
          <w:b/>
        </w:rPr>
        <w:t>Uzasadnienie zmian w Projekcie:</w:t>
      </w:r>
    </w:p>
    <w:p w:rsidR="00E01E83" w:rsidRPr="00EC26A8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EC26A8">
        <w:t xml:space="preserve">Proponowane zmiany wynikają z zastosowania przepisów Ustawy z dnia 3 kwietnia 2020 roku </w:t>
      </w:r>
      <w:r w:rsidRPr="006C1FA7">
        <w:rPr>
          <w:i/>
        </w:rPr>
        <w:t>o szczególnych rozwiązaniach wspierających realizację programów operacyjnych w związku z wystąpieniem COVID-19 w 2020 roku</w:t>
      </w:r>
      <w:r w:rsidRPr="00EC26A8">
        <w:t xml:space="preserve"> (Dz.U. z 2020, poz. 694) – dalej </w:t>
      </w:r>
      <w:r>
        <w:t xml:space="preserve">w skrócie </w:t>
      </w:r>
      <w:r w:rsidRPr="00EC26A8">
        <w:t>Ustawa COVID-19. Zostały przyjęte po szczegółowej analizie pod kątem prawidłowej interpretacji tych przepisów na podstawie „Zbioru wyjaśnień wybranych przepisów. Aktualizacja” wydanych w lipcu 2020 roku przez Ministra Funduszy i Polityki Regionalnej w ramach Funduszowego Pakietu Antywirusowego.</w:t>
      </w:r>
    </w:p>
    <w:p w:rsidR="00E01E83" w:rsidRDefault="00E01E83" w:rsidP="00E01E83">
      <w:pPr>
        <w:tabs>
          <w:tab w:val="left" w:pos="4678"/>
        </w:tabs>
        <w:spacing w:before="60" w:after="0"/>
        <w:ind w:firstLine="567"/>
        <w:jc w:val="both"/>
      </w:pPr>
      <w:r>
        <w:t xml:space="preserve">Po podpisaniu </w:t>
      </w:r>
      <w:r w:rsidRPr="006F4ECA">
        <w:rPr>
          <w:i/>
        </w:rPr>
        <w:t>Porozumienia o dofinansowanie</w:t>
      </w:r>
      <w:r>
        <w:t xml:space="preserve"> 25 październiku 2019 roku zespół projektowy Lidera </w:t>
      </w:r>
      <w:r w:rsidRPr="003401DC">
        <w:rPr>
          <w:i/>
        </w:rPr>
        <w:t>Projektu</w:t>
      </w:r>
      <w:r>
        <w:t xml:space="preserve"> – MSWiA - przeprowadził w listopadzie i grudniu 2019 roku analizy na temat sposobu realizacji </w:t>
      </w:r>
      <w:r w:rsidRPr="003401DC">
        <w:rPr>
          <w:i/>
        </w:rPr>
        <w:t>Projektu</w:t>
      </w:r>
      <w:r>
        <w:t xml:space="preserve">, w szczególności analizy przedwdrożeniowej. Analizy były konsultowane ze szpitalami Partnerami </w:t>
      </w:r>
      <w:r w:rsidRPr="003401DC">
        <w:rPr>
          <w:i/>
        </w:rPr>
        <w:t>Projektu</w:t>
      </w:r>
      <w:r>
        <w:t xml:space="preserve">, w tym podczas wyjazdów studyjnych. Przeanalizowane doświadczenia z realizacji innych projektów e-zdrowie, opinie Partnerów </w:t>
      </w:r>
      <w:r w:rsidR="00EB7CBD" w:rsidRPr="00EB7CBD">
        <w:rPr>
          <w:i/>
        </w:rPr>
        <w:t>Projektów</w:t>
      </w:r>
      <w:r w:rsidR="00EB7CBD">
        <w:t xml:space="preserve"> </w:t>
      </w:r>
      <w:r>
        <w:t xml:space="preserve">i ekspertów/konsultantów, doprowadziły do wniosku, że przygotowanie analizy przedwdrożeniowej, w tym OPZ/SIWZ na wszystkie produkty </w:t>
      </w:r>
      <w:r w:rsidRPr="002F747C">
        <w:rPr>
          <w:i/>
        </w:rPr>
        <w:t>Projektu</w:t>
      </w:r>
      <w:r>
        <w:t xml:space="preserve">, przez zewnętrznego Inżyniera Kontraktu, jak pierwotnie założono, niesie za sobą istotne ryzyka co do </w:t>
      </w:r>
      <w:r>
        <w:lastRenderedPageBreak/>
        <w:t xml:space="preserve">jakości i terminowości. Po kolejnych analizach i uzgodnieniach zespół doszedł do wniosku, by gro usług przypisanych w Studium Wykonalności </w:t>
      </w:r>
      <w:r w:rsidRPr="00EB7CBD">
        <w:rPr>
          <w:i/>
        </w:rPr>
        <w:t>Projektu</w:t>
      </w:r>
      <w:r>
        <w:t xml:space="preserve"> do zewnętrznego Inżyniera Kontraktu, w tym analizę przedwdrożeniową zrealizować, przez zespół projektowy jedynie przy wsparciu Doradcy.</w:t>
      </w:r>
    </w:p>
    <w:p w:rsidR="00E01E83" w:rsidRDefault="00E01E83" w:rsidP="00E01E83">
      <w:pPr>
        <w:tabs>
          <w:tab w:val="left" w:pos="4678"/>
        </w:tabs>
        <w:spacing w:before="60" w:after="0"/>
        <w:ind w:firstLine="567"/>
        <w:jc w:val="both"/>
      </w:pPr>
      <w:r>
        <w:t xml:space="preserve">Analiza potencjałów i możliwości realizacji powyższego zadania wśród wszystkich 17 Partnerów doprowadziła do konkluzji, że efektywniej i skuteczniej przeprowadzi ten proces zespół usytuowany w Centralnym Szpitalu Klinicznym MSWiA w Warszawie (dalej w skrócie CSK MSWiA) wykorzystując zarówno doświadczenie jak i potencjał kadrowy tego podmiotu. Złożono do CPPC wniosek o zmianę w  </w:t>
      </w:r>
      <w:r w:rsidRPr="006E1BB6">
        <w:rPr>
          <w:i/>
        </w:rPr>
        <w:t>Projekcie</w:t>
      </w:r>
      <w:r>
        <w:t>, który został zaakceptowany, a w konsekwencji podpisano aneks do</w:t>
      </w:r>
      <w:r w:rsidR="00EB7CBD">
        <w:t xml:space="preserve"> </w:t>
      </w:r>
      <w:r w:rsidRPr="007C330E">
        <w:rPr>
          <w:i/>
        </w:rPr>
        <w:t>Porozumienia o</w:t>
      </w:r>
      <w:r>
        <w:rPr>
          <w:i/>
        </w:rPr>
        <w:t> </w:t>
      </w:r>
      <w:r w:rsidRPr="007C330E">
        <w:rPr>
          <w:i/>
        </w:rPr>
        <w:t>dofin</w:t>
      </w:r>
      <w:r>
        <w:rPr>
          <w:i/>
        </w:rPr>
        <w:t>an</w:t>
      </w:r>
      <w:r w:rsidRPr="007C330E">
        <w:rPr>
          <w:i/>
        </w:rPr>
        <w:t>sowanie</w:t>
      </w:r>
      <w:r>
        <w:t xml:space="preserve"> </w:t>
      </w:r>
      <w:r w:rsidRPr="006E1BB6">
        <w:rPr>
          <w:i/>
        </w:rPr>
        <w:t>Projektu</w:t>
      </w:r>
      <w:r>
        <w:t xml:space="preserve"> zatwierdzający te zmiany.</w:t>
      </w:r>
    </w:p>
    <w:p w:rsidR="00E01E83" w:rsidRDefault="00E01E83" w:rsidP="00E01E83">
      <w:pPr>
        <w:tabs>
          <w:tab w:val="left" w:pos="4678"/>
        </w:tabs>
        <w:spacing w:before="60" w:after="0"/>
        <w:ind w:firstLine="567"/>
        <w:jc w:val="both"/>
      </w:pPr>
      <w:r>
        <w:t>Wystąpienie epidemii COVID-19 spowodowało, że zarówno Minister Spraw Wewnętrznych i Administracji oraz podległy mu urząd (MSWiA – Lider/Beneficjent) i służby (m.in. Policja, Straż Graniczna) zostały obarczone dodatkowymi obowiązkami lub nasileniem realizacji dotychczasowych. Ten stan stanowił podstawę do zastosowania przepisu art. 15 Ust</w:t>
      </w:r>
      <w:r w:rsidR="00EB7CBD">
        <w:t xml:space="preserve">awy COVID-19, który wskazuje na </w:t>
      </w:r>
      <w:r>
        <w:t>możliwość zmiany partnera, gdy realizacja projektu partnerskiego stałaby się znacznie utrudniona.</w:t>
      </w:r>
    </w:p>
    <w:p w:rsidR="00E01E83" w:rsidRDefault="00E01E83" w:rsidP="00E01E83">
      <w:pPr>
        <w:tabs>
          <w:tab w:val="left" w:pos="4678"/>
        </w:tabs>
        <w:spacing w:before="60" w:after="0"/>
        <w:ind w:firstLine="567"/>
        <w:jc w:val="both"/>
      </w:pPr>
      <w:r>
        <w:t xml:space="preserve">Obciążenia te wynikające z sytuacji epidemiologicznej mogą jeszcze występować nawet przez 2 lata. </w:t>
      </w:r>
      <w:r w:rsidRPr="000A3842">
        <w:t xml:space="preserve">W związku z </w:t>
      </w:r>
      <w:r>
        <w:t xml:space="preserve">tym Kierownictwo MSWiA przychyliło się do wniosku Komitetu Sterującego </w:t>
      </w:r>
      <w:r w:rsidRPr="006214FE">
        <w:rPr>
          <w:i/>
        </w:rPr>
        <w:t>Projektu</w:t>
      </w:r>
      <w:r>
        <w:t xml:space="preserve"> o przeniesienie funkcji Lidera na Partnera, który względem </w:t>
      </w:r>
      <w:r w:rsidRPr="000A3842">
        <w:t>zarządczym i</w:t>
      </w:r>
      <w:r>
        <w:t xml:space="preserve"> </w:t>
      </w:r>
      <w:r w:rsidRPr="000A3842">
        <w:t>merytorycznym</w:t>
      </w:r>
      <w:r>
        <w:t xml:space="preserve"> jest odpowiednio przygotowany do przejęcia roli Lidera </w:t>
      </w:r>
      <w:r w:rsidRPr="000A71A6">
        <w:rPr>
          <w:i/>
        </w:rPr>
        <w:t>Projektu</w:t>
      </w:r>
      <w:r>
        <w:t>.</w:t>
      </w:r>
    </w:p>
    <w:p w:rsidR="00E01E83" w:rsidRPr="000A3842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0A3842">
        <w:t xml:space="preserve">Przeprowadzona analiza wskazała, że taki warunek </w:t>
      </w:r>
      <w:r>
        <w:t xml:space="preserve">w </w:t>
      </w:r>
      <w:r w:rsidRPr="000A3842">
        <w:t xml:space="preserve">najwyższym stopniu spełnia </w:t>
      </w:r>
      <w:r>
        <w:t>Partner CSK MSWiA. P</w:t>
      </w:r>
      <w:r w:rsidRPr="000A3842">
        <w:t>osiada największy potencjał realizacyjny od strony z</w:t>
      </w:r>
      <w:r>
        <w:t>arządczej jak i merytorycznej.</w:t>
      </w:r>
      <w:r w:rsidRPr="00EE7760">
        <w:t xml:space="preserve"> </w:t>
      </w:r>
      <w:r w:rsidRPr="000A3842">
        <w:t>Od strony merytorycznej należy wskazać doświadczenie CSK MSWiA w realizacji wielu projektów finansowanych ze</w:t>
      </w:r>
      <w:r>
        <w:t> </w:t>
      </w:r>
      <w:r w:rsidRPr="000A3842">
        <w:t>środków Unii Europejskiej i wieloletnie doświadczenie zespołu informatyków (Dział Teleinformatyki) i</w:t>
      </w:r>
      <w:r w:rsidR="00EB7CBD">
        <w:t> </w:t>
      </w:r>
      <w:r w:rsidRPr="000A3842">
        <w:t>użytkowników (lekarzy i pielęgniarek/położnych z różnych oddziałów i poradni) w</w:t>
      </w:r>
      <w:r>
        <w:t> </w:t>
      </w:r>
      <w:r w:rsidRPr="000A3842">
        <w:t>eksploatacji i rozwoju najbardziej złożonych Dziedzinowych Systemów Informatycznych wśród podmiotów leczniczych MSWiA. To doświadczenie pozwoliło na zdobycie wiedzy (użytkownicy) i</w:t>
      </w:r>
      <w:r>
        <w:t> </w:t>
      </w:r>
      <w:r w:rsidRPr="000A3842">
        <w:t>umiejętności (informatycy), która jest unikatowa i bezcenna przy projektowaniu e-usług (istoty Projektu) jak i ich realizacji poprzez systemy informat</w:t>
      </w:r>
      <w:r>
        <w:t xml:space="preserve">yczne – produkty </w:t>
      </w:r>
      <w:r w:rsidRPr="000A3842">
        <w:rPr>
          <w:i/>
        </w:rPr>
        <w:t>Projektu</w:t>
      </w:r>
      <w:r>
        <w:t>.</w:t>
      </w:r>
    </w:p>
    <w:p w:rsidR="00E01E83" w:rsidRPr="000A71A6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0A71A6">
        <w:t xml:space="preserve">W celu uzyskania od strony strukturalno-organizacyjnej i zarządczej sprawnego zarządzania realizacją </w:t>
      </w:r>
      <w:r w:rsidRPr="000A71A6">
        <w:rPr>
          <w:i/>
        </w:rPr>
        <w:t>Projektu</w:t>
      </w:r>
      <w:r w:rsidRPr="000A71A6">
        <w:t xml:space="preserve">, w CSK MSWiA utworzono stanowisko Zastępcy Dyrektora CSK MSWiA ds. Teleinformatycznych i Inżynierii Medycznej, któremu podlegać będą dwie nowe komórki organizacyjne: 1) Centrum Projektów e-Zdrowie, 2) Centrum Usług Wspólnych i dwie komórki dotychczas funkcjonujące: 3) Dział Teleinformatyki, 4) Dział Inżynierii Medycznej. W skład kluczowej komórki </w:t>
      </w:r>
      <w:r w:rsidRPr="000A71A6">
        <w:rPr>
          <w:i/>
        </w:rPr>
        <w:t>Centrum Projektów e-Zdrowie</w:t>
      </w:r>
      <w:r w:rsidRPr="000A71A6">
        <w:t xml:space="preserve"> wchodzą 3 działy: 1) </w:t>
      </w:r>
      <w:r w:rsidRPr="000A71A6">
        <w:rPr>
          <w:i/>
        </w:rPr>
        <w:t>Dział Przygotowania Projektów</w:t>
      </w:r>
      <w:r w:rsidRPr="000A71A6">
        <w:t xml:space="preserve">, 2) </w:t>
      </w:r>
      <w:r w:rsidRPr="000A71A6">
        <w:rPr>
          <w:i/>
        </w:rPr>
        <w:t>Dział Realizacji Projektów</w:t>
      </w:r>
      <w:r w:rsidRPr="000A71A6">
        <w:t xml:space="preserve">, 3) </w:t>
      </w:r>
      <w:r w:rsidRPr="000A71A6">
        <w:rPr>
          <w:i/>
        </w:rPr>
        <w:t>Dział Wsparcia Projektów</w:t>
      </w:r>
      <w:r w:rsidRPr="000A71A6">
        <w:t xml:space="preserve">. Zgodnie z Regulaminem organizacyjnym </w:t>
      </w:r>
      <w:r w:rsidRPr="000A71A6">
        <w:rPr>
          <w:i/>
        </w:rPr>
        <w:t>Centrum Projektów e-Zdrowie</w:t>
      </w:r>
      <w:r w:rsidRPr="000A71A6">
        <w:t xml:space="preserve"> nastawione jest na współpracę w zakresie systemów e-zdrowie z innymi podmiotami leczniczymi, szczególnie ze</w:t>
      </w:r>
      <w:r w:rsidR="00EB7CBD">
        <w:t> </w:t>
      </w:r>
      <w:r w:rsidRPr="000A71A6">
        <w:t>szpitalami MSWiA.</w:t>
      </w:r>
    </w:p>
    <w:p w:rsidR="00E01E83" w:rsidRPr="000A71A6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0A71A6">
        <w:t xml:space="preserve">Na mocy podpisanego w dniu 3 lipca 2020 roku aneksu do </w:t>
      </w:r>
      <w:r w:rsidRPr="000A71A6">
        <w:rPr>
          <w:i/>
        </w:rPr>
        <w:t>Porozumienia o dofinansowanie</w:t>
      </w:r>
      <w:r w:rsidRPr="000A71A6">
        <w:t xml:space="preserve"> w CSK MSWiA skoncentrowano prawie wszystkie merytoryczne role projektowe. Zatem dla skutecznej realizacji </w:t>
      </w:r>
      <w:r w:rsidRPr="000A71A6">
        <w:rPr>
          <w:i/>
        </w:rPr>
        <w:t>Projektu</w:t>
      </w:r>
      <w:r w:rsidRPr="000A71A6">
        <w:t>, przeniesienie ról merytorycznych, powinno być dopełnione zmianą formalnego statusu CSK MSWiA, z Partnera na Lidera/Beneficjenta. Podmiot rea</w:t>
      </w:r>
      <w:r w:rsidR="00203713">
        <w:t xml:space="preserve">lizujący tak złożone zadania, a </w:t>
      </w:r>
      <w:r w:rsidRPr="000A71A6">
        <w:t>jednocześnie największy beneficjent rozwiązań projektowych, powinien zostać najwyżej umocowany formalnie w</w:t>
      </w:r>
      <w:r w:rsidR="00203713">
        <w:t> </w:t>
      </w:r>
      <w:r w:rsidRPr="000A71A6">
        <w:t xml:space="preserve">systemie zarządzania danego </w:t>
      </w:r>
      <w:r w:rsidRPr="000A71A6">
        <w:rPr>
          <w:i/>
        </w:rPr>
        <w:t>Projektu</w:t>
      </w:r>
      <w:r w:rsidRPr="000A71A6">
        <w:t xml:space="preserve">. Aktualna sytuacja, gdy CSK MSWiA, jako podmiot o najwyższym potencjale merytorycznym, nie posiada statusu formalnego Lidera/Beneficjenta stanowi poważne ryzyko projektowe. Jego materializacja w </w:t>
      </w:r>
      <w:r w:rsidRPr="000A71A6">
        <w:rPr>
          <w:i/>
        </w:rPr>
        <w:t>Projekcie</w:t>
      </w:r>
      <w:r w:rsidRPr="000A71A6">
        <w:t xml:space="preserve"> wydaje się być nieunikniona, a to  przełoży się na skuteczność realizacji zadań projektowych oraz ich rozliczalności finansowej.</w:t>
      </w:r>
    </w:p>
    <w:p w:rsidR="00E01E83" w:rsidRPr="00B7400F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B7400F">
        <w:lastRenderedPageBreak/>
        <w:t xml:space="preserve">W Departamencie Zdrowia </w:t>
      </w:r>
      <w:r w:rsidR="00203713">
        <w:t xml:space="preserve">MSWiA </w:t>
      </w:r>
      <w:r w:rsidRPr="00B7400F">
        <w:t>utworzono nowe stanowisko Zastępc</w:t>
      </w:r>
      <w:r w:rsidR="00203713">
        <w:t>y</w:t>
      </w:r>
      <w:r w:rsidRPr="00B7400F">
        <w:t xml:space="preserve"> Dyrektora ds. e-Zdrowia </w:t>
      </w:r>
      <w:r>
        <w:t xml:space="preserve">(docelowo członek Komitetu Sterującego </w:t>
      </w:r>
      <w:r w:rsidRPr="00B7400F">
        <w:rPr>
          <w:i/>
        </w:rPr>
        <w:t>Projektu</w:t>
      </w:r>
      <w:r>
        <w:t xml:space="preserve"> pełniący rolę Nadzór </w:t>
      </w:r>
      <w:r w:rsidRPr="00B7400F">
        <w:rPr>
          <w:i/>
        </w:rPr>
        <w:t>Projektu</w:t>
      </w:r>
      <w:r>
        <w:t xml:space="preserve">) </w:t>
      </w:r>
      <w:r w:rsidRPr="00B7400F">
        <w:t xml:space="preserve">i nadzorowaną przez niego nową komórkę organizacyjną: Zespół e-Zdrowie, w które będą usytuowane </w:t>
      </w:r>
      <w:r>
        <w:t xml:space="preserve">4 </w:t>
      </w:r>
      <w:r w:rsidRPr="00B7400F">
        <w:t xml:space="preserve">role </w:t>
      </w:r>
      <w:r>
        <w:t xml:space="preserve">projektowe </w:t>
      </w:r>
      <w:r>
        <w:br/>
        <w:t xml:space="preserve">(2 role w zakresie wsparcia organizacyjnego i 2 role w zakresie prac zarządczych i merytorycznych) w ramach </w:t>
      </w:r>
      <w:r w:rsidRPr="00B7400F">
        <w:t>MSWiA.</w:t>
      </w:r>
    </w:p>
    <w:p w:rsidR="00E01E83" w:rsidRPr="00EC26A8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EC26A8">
        <w:t>Po zmianie Lidera Komitet Sterujący zostanie usytuowany w CSK MSWiA. W jego skład zostaną powołani zarówno przedstawiciele CSK MSWiA jak i MSWiA. Kierownik Projektu będzie funkcjonował w CSK MSWiA. Natomiast rolę Nadzór projektu pełnić będą dwie osoby:</w:t>
      </w:r>
    </w:p>
    <w:p w:rsidR="00E01E83" w:rsidRPr="00EC26A8" w:rsidRDefault="00E01E83" w:rsidP="00E01E83">
      <w:pPr>
        <w:tabs>
          <w:tab w:val="left" w:pos="4678"/>
        </w:tabs>
        <w:spacing w:after="0"/>
        <w:ind w:left="851" w:hanging="284"/>
        <w:jc w:val="both"/>
      </w:pPr>
      <w:r w:rsidRPr="00EC26A8">
        <w:t xml:space="preserve">a) Zastępca Dyrektora CSK MSWiA ds. Teleinformatycznych i Inżynierii Medycznej, w zakresie realizacji produktów </w:t>
      </w:r>
      <w:r w:rsidRPr="00203713">
        <w:rPr>
          <w:i/>
        </w:rPr>
        <w:t>Projektu</w:t>
      </w:r>
      <w:r w:rsidRPr="00EC26A8">
        <w:t>,</w:t>
      </w:r>
    </w:p>
    <w:p w:rsidR="00E01E83" w:rsidRPr="00EC26A8" w:rsidRDefault="00E01E83" w:rsidP="00E01E83">
      <w:pPr>
        <w:tabs>
          <w:tab w:val="left" w:pos="4678"/>
        </w:tabs>
        <w:spacing w:after="0"/>
        <w:ind w:left="851" w:hanging="284"/>
        <w:jc w:val="both"/>
      </w:pPr>
      <w:r w:rsidRPr="00EC26A8">
        <w:t>b) Zastępca Dyrektora Departamentu Zdrowia MSWiA ds. e-Zdrowia, w za</w:t>
      </w:r>
      <w:r w:rsidR="00203713">
        <w:t>kresie koordynacji 16 szpitali P</w:t>
      </w:r>
      <w:r w:rsidRPr="00EC26A8">
        <w:t xml:space="preserve">artnerów </w:t>
      </w:r>
      <w:r w:rsidRPr="00203713">
        <w:rPr>
          <w:i/>
        </w:rPr>
        <w:t>Projektu</w:t>
      </w:r>
      <w:r>
        <w:t>.</w:t>
      </w:r>
    </w:p>
    <w:p w:rsidR="00E01E83" w:rsidRPr="00E21B2F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E21B2F">
        <w:t xml:space="preserve">Infrastruktura informatyczna i posadowione na niej kluczowe zintegrowane ze sobą dwa produkty </w:t>
      </w:r>
      <w:r w:rsidRPr="00203713">
        <w:rPr>
          <w:i/>
        </w:rPr>
        <w:t>Projektu</w:t>
      </w:r>
      <w:r w:rsidRPr="00E21B2F">
        <w:t xml:space="preserve">: Platforma e-Usług i System Raportowo-Analityczny, przypisane do MSWiA, przeniesione zostaną do nowego Lidera - CSK MSWiA. Na mocy przyszłych porozumień z MSWiA i pozostałymi Partnerami, CSK MSWiA zapewni utrzymanie i rozwój tych produktów. Natomiast w przypadku Systemu Raportowo-Analitycznego za zarządzanie </w:t>
      </w:r>
      <w:r w:rsidR="00203713">
        <w:t xml:space="preserve">tym systemem </w:t>
      </w:r>
      <w:r w:rsidRPr="00E21B2F">
        <w:t xml:space="preserve">od strony merytorycznej odpowiedzialny będzie Zespół </w:t>
      </w:r>
      <w:r w:rsidR="00203713">
        <w:br/>
      </w:r>
      <w:r w:rsidRPr="00E21B2F">
        <w:t>e-Zdrowie Departamentu Zdrowia MSWiA.</w:t>
      </w:r>
    </w:p>
    <w:p w:rsidR="00E01E83" w:rsidRPr="00E21B2F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E21B2F">
        <w:t xml:space="preserve">Departament Zdrowia </w:t>
      </w:r>
      <w:r w:rsidR="006C1FA7">
        <w:t xml:space="preserve">MSWiA </w:t>
      </w:r>
      <w:bookmarkStart w:id="0" w:name="_GoBack"/>
      <w:bookmarkEnd w:id="0"/>
      <w:r w:rsidRPr="00E21B2F">
        <w:t xml:space="preserve">monitoruje nadzorowane podmioty lecznicze MSWiA, w tym 16 szpitali Partnerów </w:t>
      </w:r>
      <w:r w:rsidRPr="00E21B2F">
        <w:rPr>
          <w:i/>
        </w:rPr>
        <w:t>Projektu</w:t>
      </w:r>
      <w:r w:rsidRPr="00E21B2F">
        <w:t xml:space="preserve">, również w zakresie związanym z ich Dziedzinowymi Systemami Informatycznymi. Dostosowanie tych systemów do współpracy z Platformą e-Usług i Systemem Raportowo-Analitycznym stanowi jedno z kluczowych zadań </w:t>
      </w:r>
      <w:r w:rsidRPr="00E21B2F">
        <w:rPr>
          <w:i/>
        </w:rPr>
        <w:t>Projektu</w:t>
      </w:r>
      <w:r w:rsidRPr="00E21B2F">
        <w:t xml:space="preserve">. Dlatego rola </w:t>
      </w:r>
      <w:r w:rsidR="00203713">
        <w:t xml:space="preserve">projektowa </w:t>
      </w:r>
      <w:r w:rsidRPr="00E21B2F">
        <w:t>Koordynator Partnerów zostanie usytuowana w Zespole e-Zdrowie. Rozwiązanie takie pozwoli efektywnej realizować zadania projektowe korzystając z wypracowanych mechanizmów, procedur i doświadczenia Departamentu Zdrowia MSWiA.</w:t>
      </w:r>
    </w:p>
    <w:p w:rsidR="00E01E83" w:rsidRPr="00E21B2F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E21B2F">
        <w:t xml:space="preserve">Działania informacyjno-promocyjne realizować będą role projektowe </w:t>
      </w:r>
      <w:r w:rsidR="00203713">
        <w:t xml:space="preserve">także </w:t>
      </w:r>
      <w:r w:rsidRPr="00E21B2F">
        <w:t>usytuowane w MSWiA, ze względu na możliwe wsparcie Departamentu Komunikacji Społecznej MSWiA, w tym szczególnie Wydziału Komunikacji Internetowej (prowadzenie serwisu internetowego Projektu) i Wydziału Organizacji Wydarzeń Promocyjnych.</w:t>
      </w:r>
    </w:p>
    <w:p w:rsidR="00485BE1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E21B2F">
        <w:t xml:space="preserve">Mając na uwadze powyższe, a w szczególności konieczność zaangażowania MSWiA w działania związane z przeciwdziałaniem skutkom COVID-19, </w:t>
      </w:r>
      <w:r w:rsidR="00203713" w:rsidRPr="00E21B2F">
        <w:t xml:space="preserve">podjęto decyzję o </w:t>
      </w:r>
      <w:r w:rsidR="00203713">
        <w:t xml:space="preserve">wykorzystaniu możliwości </w:t>
      </w:r>
      <w:r w:rsidR="00203713" w:rsidRPr="00E21B2F">
        <w:t>wydłużeniu realizacji projektu o 90 dni</w:t>
      </w:r>
      <w:r w:rsidR="00203713">
        <w:t xml:space="preserve"> </w:t>
      </w:r>
      <w:r>
        <w:t xml:space="preserve">korzystając z przepisu </w:t>
      </w:r>
      <w:r w:rsidRPr="00E21B2F">
        <w:t>art. 13 ust. 1 pkt 2 Ustawy COVID-19. W</w:t>
      </w:r>
      <w:r>
        <w:t> </w:t>
      </w:r>
      <w:r w:rsidRPr="00E21B2F">
        <w:t xml:space="preserve">przypadku </w:t>
      </w:r>
      <w:r w:rsidRPr="00E21B2F">
        <w:rPr>
          <w:i/>
        </w:rPr>
        <w:t>Projektu</w:t>
      </w:r>
      <w:r w:rsidR="00485BE1">
        <w:t xml:space="preserve"> oznacza to przesunięcie zakończenia realizacji </w:t>
      </w:r>
      <w:r w:rsidR="00485BE1" w:rsidRPr="00485BE1">
        <w:rPr>
          <w:i/>
        </w:rPr>
        <w:t>Projektu</w:t>
      </w:r>
      <w:r w:rsidR="00485BE1">
        <w:t xml:space="preserve"> z</w:t>
      </w:r>
      <w:r w:rsidRPr="00E21B2F">
        <w:t xml:space="preserve"> 31 października 2022 roku na 29 stycznia 2023 roku. </w:t>
      </w:r>
      <w:r>
        <w:t>Z</w:t>
      </w:r>
      <w:r w:rsidRPr="00E21B2F">
        <w:t xml:space="preserve">miana terminu końcowego </w:t>
      </w:r>
      <w:r w:rsidRPr="00E21B2F">
        <w:rPr>
          <w:i/>
        </w:rPr>
        <w:t>Projektu</w:t>
      </w:r>
      <w:r w:rsidRPr="00E21B2F">
        <w:t xml:space="preserve"> wymusza z kolei modyfikację terminów realizacji poszczególnych zadań i powiązanych z nimi kamieni milowych. </w:t>
      </w:r>
    </w:p>
    <w:p w:rsidR="00485BE1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E21B2F">
        <w:t>Wprost wprowadzono tylko jedną zmianę: wyd</w:t>
      </w:r>
      <w:r>
        <w:t>łużono realizację zadania</w:t>
      </w:r>
      <w:r w:rsidRPr="00E21B2F">
        <w:t xml:space="preserve"> </w:t>
      </w:r>
      <w:r w:rsidRPr="00E21B2F">
        <w:rPr>
          <w:i/>
        </w:rPr>
        <w:t>Wykonanie analizy przedwdrożeniowej</w:t>
      </w:r>
      <w:r>
        <w:t xml:space="preserve"> ze 120 dni do 210 dni, czyli z 2 października do 31 grudnia 2020 roku</w:t>
      </w:r>
      <w:r w:rsidRPr="00E21B2F">
        <w:t>. W pełni uzasadniają to spowodowane przez epidemię ograniczenia w</w:t>
      </w:r>
      <w:r>
        <w:t> </w:t>
      </w:r>
      <w:r w:rsidRPr="00E21B2F">
        <w:t>zakresie kontaktów międzyludzkich i</w:t>
      </w:r>
      <w:r w:rsidR="00485BE1">
        <w:t> </w:t>
      </w:r>
      <w:r w:rsidRPr="00E21B2F">
        <w:t xml:space="preserve">dodatkowe zadania jakie z tego powodu nałożono na szpitale MSWiA. </w:t>
      </w:r>
    </w:p>
    <w:p w:rsidR="00E01E83" w:rsidRPr="00E21B2F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E21B2F">
        <w:t>Pozostałe zmiany to konsekwencja powyższej: data kamienia milowego nr 1 (</w:t>
      </w:r>
      <w:r w:rsidRPr="00E21B2F">
        <w:rPr>
          <w:i/>
        </w:rPr>
        <w:t>Opracowana analiza przedwdrożeniowa</w:t>
      </w:r>
      <w:r w:rsidRPr="00E21B2F">
        <w:t xml:space="preserve">) zostaje przesunięta z </w:t>
      </w:r>
      <w:r>
        <w:t xml:space="preserve">2 października </w:t>
      </w:r>
      <w:r w:rsidR="00485BE1">
        <w:t xml:space="preserve">na </w:t>
      </w:r>
      <w:r>
        <w:t>31 grudnia 2020 roku.</w:t>
      </w:r>
      <w:r w:rsidRPr="00E21B2F">
        <w:t xml:space="preserve"> Okresy realizacji </w:t>
      </w:r>
      <w:r>
        <w:t xml:space="preserve">pozostałych </w:t>
      </w:r>
      <w:r w:rsidRPr="00E21B2F">
        <w:t>zadań pozostają bez zmian. O 90 dni zatem zostają przesunięte terminy rozpoczęcia i zakończenia zadań oraz kamieni milowych.</w:t>
      </w:r>
    </w:p>
    <w:p w:rsidR="00E01E83" w:rsidRPr="00EC26A8" w:rsidRDefault="00E01E83" w:rsidP="00E01E83">
      <w:pPr>
        <w:tabs>
          <w:tab w:val="left" w:pos="4678"/>
        </w:tabs>
        <w:spacing w:before="60" w:after="0"/>
        <w:ind w:firstLine="567"/>
        <w:jc w:val="both"/>
      </w:pPr>
      <w:r w:rsidRPr="00EC26A8">
        <w:rPr>
          <w:b/>
        </w:rPr>
        <w:lastRenderedPageBreak/>
        <w:t>Podkreślić należy, że nie wprowadzono żadnych zmian w zakresie</w:t>
      </w:r>
      <w:r w:rsidRPr="00EC26A8">
        <w:t xml:space="preserve"> funkcjonalności systemów informatycznych – produktów </w:t>
      </w:r>
      <w:r w:rsidRPr="00EC26A8">
        <w:rPr>
          <w:i/>
        </w:rPr>
        <w:t>Projektu</w:t>
      </w:r>
      <w:r w:rsidR="00485BE1">
        <w:t>, ich architektury</w:t>
      </w:r>
      <w:r w:rsidRPr="00EC26A8">
        <w:t xml:space="preserve"> i kooperacji z innymi systemami</w:t>
      </w:r>
      <w:r w:rsidR="00485BE1">
        <w:t xml:space="preserve"> informatycznymi</w:t>
      </w:r>
      <w:r w:rsidRPr="00EC26A8">
        <w:t xml:space="preserve">, w tym centralnymi. </w:t>
      </w:r>
      <w:r w:rsidRPr="00485BE1">
        <w:rPr>
          <w:b/>
        </w:rPr>
        <w:t>Nie zmieniono także wartości wskaźników produktu i rezultatu</w:t>
      </w:r>
      <w:r w:rsidRPr="00EC26A8">
        <w:t>.</w:t>
      </w:r>
    </w:p>
    <w:p w:rsidR="00E01E83" w:rsidRDefault="00E01E83" w:rsidP="00E01E83">
      <w:pPr>
        <w:tabs>
          <w:tab w:val="left" w:pos="4678"/>
        </w:tabs>
        <w:spacing w:before="60" w:after="0"/>
        <w:ind w:firstLine="567"/>
        <w:jc w:val="both"/>
      </w:pPr>
      <w:r>
        <w:t xml:space="preserve">Przedstawione zmiany, przede wszystkim zmiana Lidera, zostały przedstawione Kierownictwu MSWiA przez Komitet Sterujący </w:t>
      </w:r>
      <w:r w:rsidRPr="006F2BA2">
        <w:rPr>
          <w:i/>
        </w:rPr>
        <w:t>Projektu</w:t>
      </w:r>
      <w:r>
        <w:t xml:space="preserve"> w uzgodnieniu z Dyrektorem CSK MSWiA. Minister Spraw Wewnętrznych i Administracji zaakceptował przedłożone zmiany.</w:t>
      </w:r>
    </w:p>
    <w:p w:rsidR="0036637F" w:rsidRPr="00337861" w:rsidRDefault="00E01E83" w:rsidP="00485BE1">
      <w:pPr>
        <w:tabs>
          <w:tab w:val="left" w:pos="4678"/>
        </w:tabs>
        <w:spacing w:before="60" w:after="0"/>
        <w:ind w:firstLine="567"/>
        <w:jc w:val="both"/>
        <w:rPr>
          <w:sz w:val="18"/>
          <w:szCs w:val="18"/>
        </w:rPr>
      </w:pPr>
      <w:r w:rsidRPr="00485BE1">
        <w:rPr>
          <w:b/>
        </w:rPr>
        <w:t>Podsumowując:</w:t>
      </w:r>
      <w:r w:rsidRPr="00EC26A8">
        <w:t xml:space="preserve"> zarówno CSK MSWiA jak i MSWiA zarządczo i merytorycznie przygotowały się do</w:t>
      </w:r>
      <w:r w:rsidR="00485BE1">
        <w:t> </w:t>
      </w:r>
      <w:r w:rsidRPr="00EC26A8">
        <w:t xml:space="preserve">zmiany swoich ról w </w:t>
      </w:r>
      <w:r w:rsidRPr="00EC26A8">
        <w:rPr>
          <w:i/>
        </w:rPr>
        <w:t>Projekcie</w:t>
      </w:r>
      <w:r w:rsidRPr="00EC26A8">
        <w:t xml:space="preserve">. Podniesie to sprawność, efektywność i bezpieczeństwo jego realizacji </w:t>
      </w:r>
      <w:r w:rsidRPr="00EC26A8">
        <w:rPr>
          <w:b/>
        </w:rPr>
        <w:t>bez zmiany</w:t>
      </w:r>
      <w:r w:rsidRPr="00EC26A8">
        <w:t xml:space="preserve"> celów, e-usług, produktów, architektury i funkcjonalności systemów </w:t>
      </w:r>
      <w:r w:rsidR="00EB7CBD">
        <w:t xml:space="preserve">informatycznych </w:t>
      </w:r>
      <w:r w:rsidRPr="00EC26A8">
        <w:rPr>
          <w:b/>
        </w:rPr>
        <w:t>przy</w:t>
      </w:r>
      <w:r w:rsidR="00EB7CBD">
        <w:rPr>
          <w:b/>
        </w:rPr>
        <w:t> </w:t>
      </w:r>
      <w:r w:rsidRPr="00EC26A8">
        <w:rPr>
          <w:b/>
        </w:rPr>
        <w:t>zachowaniu</w:t>
      </w:r>
      <w:r w:rsidRPr="00EC26A8">
        <w:t xml:space="preserve"> wskaźników produktów i rezultatu.</w:t>
      </w:r>
    </w:p>
    <w:sectPr w:rsidR="0036637F" w:rsidRPr="00337861" w:rsidSect="0036637F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90A" w:rsidRDefault="00DF490A">
      <w:pPr>
        <w:spacing w:after="0" w:line="240" w:lineRule="auto"/>
      </w:pPr>
      <w:r>
        <w:separator/>
      </w:r>
    </w:p>
  </w:endnote>
  <w:endnote w:type="continuationSeparator" w:id="0">
    <w:p w:rsidR="00DF490A" w:rsidRDefault="00DF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BE1" w:rsidRDefault="00485BE1" w:rsidP="0036637F">
    <w:pPr>
      <w:pStyle w:val="Stopka"/>
      <w:rPr>
        <w:color w:val="878787"/>
        <w:sz w:val="14"/>
        <w:szCs w:val="14"/>
      </w:rPr>
    </w:pPr>
  </w:p>
  <w:p w:rsidR="00485BE1" w:rsidRPr="00DA43FC" w:rsidRDefault="00485BE1" w:rsidP="0036637F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>
      <w:rPr>
        <w:color w:val="000000"/>
        <w:sz w:val="16"/>
        <w:szCs w:val="16"/>
      </w:rPr>
      <w:t xml:space="preserve">tel. +48 22 60 132 </w:t>
    </w:r>
    <w:r>
      <w:rPr>
        <w:color w:val="000000"/>
        <w:sz w:val="16"/>
        <w:szCs w:val="16"/>
        <w:lang w:val="pl-PL"/>
      </w:rPr>
      <w:t>00</w:t>
    </w:r>
  </w:p>
  <w:p w:rsidR="00485BE1" w:rsidRPr="00D86F4B" w:rsidRDefault="00485BE1" w:rsidP="0036637F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485BE1" w:rsidRPr="0008020B" w:rsidRDefault="00485BE1" w:rsidP="0036637F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="00EB7CBD">
      <w:rPr>
        <w:color w:val="E4342C"/>
        <w:sz w:val="16"/>
        <w:szCs w:val="16"/>
      </w:rPr>
      <w:tab/>
    </w:r>
  </w:p>
  <w:p w:rsidR="00485BE1" w:rsidRPr="00BE03FA" w:rsidRDefault="00485BE1" w:rsidP="0036637F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90A" w:rsidRDefault="00DF490A">
      <w:pPr>
        <w:spacing w:after="0" w:line="240" w:lineRule="auto"/>
      </w:pPr>
      <w:r>
        <w:separator/>
      </w:r>
    </w:p>
  </w:footnote>
  <w:footnote w:type="continuationSeparator" w:id="0">
    <w:p w:rsidR="00DF490A" w:rsidRDefault="00DF4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BE1" w:rsidRDefault="00485BE1" w:rsidP="0036637F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2600C"/>
    <w:rsid w:val="00052F18"/>
    <w:rsid w:val="000534DD"/>
    <w:rsid w:val="00061D5C"/>
    <w:rsid w:val="000A1FCA"/>
    <w:rsid w:val="000C4053"/>
    <w:rsid w:val="000F5A2D"/>
    <w:rsid w:val="0012591C"/>
    <w:rsid w:val="001471E8"/>
    <w:rsid w:val="0016291D"/>
    <w:rsid w:val="001858E9"/>
    <w:rsid w:val="001A089D"/>
    <w:rsid w:val="001B4DEE"/>
    <w:rsid w:val="001F5AD5"/>
    <w:rsid w:val="00203713"/>
    <w:rsid w:val="002173C9"/>
    <w:rsid w:val="00284A0B"/>
    <w:rsid w:val="00287832"/>
    <w:rsid w:val="00317EDB"/>
    <w:rsid w:val="00337861"/>
    <w:rsid w:val="00356F24"/>
    <w:rsid w:val="003630B9"/>
    <w:rsid w:val="0036637F"/>
    <w:rsid w:val="0039688E"/>
    <w:rsid w:val="00475158"/>
    <w:rsid w:val="00485BE1"/>
    <w:rsid w:val="004A09B5"/>
    <w:rsid w:val="004A5D81"/>
    <w:rsid w:val="00556F3F"/>
    <w:rsid w:val="00564A35"/>
    <w:rsid w:val="005715CE"/>
    <w:rsid w:val="005A5713"/>
    <w:rsid w:val="005B468A"/>
    <w:rsid w:val="005C0BA6"/>
    <w:rsid w:val="005D1BA5"/>
    <w:rsid w:val="005D1BDF"/>
    <w:rsid w:val="005E05BE"/>
    <w:rsid w:val="0066079D"/>
    <w:rsid w:val="006A10EB"/>
    <w:rsid w:val="006A7171"/>
    <w:rsid w:val="006C1989"/>
    <w:rsid w:val="006C1FA7"/>
    <w:rsid w:val="006C5AE9"/>
    <w:rsid w:val="006F2D2B"/>
    <w:rsid w:val="00760F1F"/>
    <w:rsid w:val="00766E27"/>
    <w:rsid w:val="00773CB5"/>
    <w:rsid w:val="007803D4"/>
    <w:rsid w:val="00783927"/>
    <w:rsid w:val="007C12AC"/>
    <w:rsid w:val="007E168A"/>
    <w:rsid w:val="008239AE"/>
    <w:rsid w:val="008455C3"/>
    <w:rsid w:val="008456C4"/>
    <w:rsid w:val="008756BF"/>
    <w:rsid w:val="00906831"/>
    <w:rsid w:val="00954798"/>
    <w:rsid w:val="009A4598"/>
    <w:rsid w:val="009A4ED4"/>
    <w:rsid w:val="009C0DC1"/>
    <w:rsid w:val="009F63F8"/>
    <w:rsid w:val="00A91EDD"/>
    <w:rsid w:val="00B20F87"/>
    <w:rsid w:val="00B232A7"/>
    <w:rsid w:val="00B56B39"/>
    <w:rsid w:val="00B571FD"/>
    <w:rsid w:val="00B612B1"/>
    <w:rsid w:val="00BC4F26"/>
    <w:rsid w:val="00BD0BB9"/>
    <w:rsid w:val="00C044BE"/>
    <w:rsid w:val="00C2231F"/>
    <w:rsid w:val="00C246B6"/>
    <w:rsid w:val="00C27215"/>
    <w:rsid w:val="00C30F9E"/>
    <w:rsid w:val="00C549A4"/>
    <w:rsid w:val="00C85868"/>
    <w:rsid w:val="00C97533"/>
    <w:rsid w:val="00CB0CF1"/>
    <w:rsid w:val="00CB7784"/>
    <w:rsid w:val="00CD17E1"/>
    <w:rsid w:val="00CD4767"/>
    <w:rsid w:val="00D24AD8"/>
    <w:rsid w:val="00D4266F"/>
    <w:rsid w:val="00D740E0"/>
    <w:rsid w:val="00DA43FC"/>
    <w:rsid w:val="00DB2C20"/>
    <w:rsid w:val="00DF490A"/>
    <w:rsid w:val="00E00BEB"/>
    <w:rsid w:val="00E01E83"/>
    <w:rsid w:val="00E262A5"/>
    <w:rsid w:val="00E3736A"/>
    <w:rsid w:val="00E53653"/>
    <w:rsid w:val="00EB0E8C"/>
    <w:rsid w:val="00EB7CBD"/>
    <w:rsid w:val="00F30B65"/>
    <w:rsid w:val="00F53EF7"/>
    <w:rsid w:val="00F71660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2112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2019-03-27T09:35:00Z</cp:lastPrinted>
  <dcterms:created xsi:type="dcterms:W3CDTF">2020-07-27T10:32:00Z</dcterms:created>
  <dcterms:modified xsi:type="dcterms:W3CDTF">2020-07-27T10:47:00Z</dcterms:modified>
</cp:coreProperties>
</file>