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43D4" w14:textId="77777777" w:rsidR="003262E3" w:rsidRDefault="00D21B25">
      <w:pPr>
        <w:pStyle w:val="OZNPROJEKTUwskazaniedatylubwersjiprojektu"/>
      </w:pPr>
      <w:r>
        <w:t>Projekt z dnia…</w:t>
      </w:r>
    </w:p>
    <w:p w14:paraId="43C6C633" w14:textId="77777777" w:rsidR="003262E3" w:rsidRDefault="00D21B25">
      <w:pPr>
        <w:pStyle w:val="OZNRODZAKTUtznustawalubrozporzdzenieiorganwydajcy"/>
      </w:pPr>
      <w:r>
        <w:t xml:space="preserve">Ustawa </w:t>
      </w:r>
    </w:p>
    <w:p w14:paraId="3BAE767B" w14:textId="77777777" w:rsidR="003262E3" w:rsidRDefault="00D21B25">
      <w:pPr>
        <w:pStyle w:val="DATAAKTUdatauchwalenialubwydaniaaktu"/>
      </w:pPr>
      <w:r>
        <w:t>z dnia</w:t>
      </w:r>
    </w:p>
    <w:p w14:paraId="2F04325D" w14:textId="77777777" w:rsidR="003262E3" w:rsidRDefault="00D21B25">
      <w:pPr>
        <w:pStyle w:val="TYTUAKTUprzedmiotregulacjiustawylubrozporzdzenia"/>
      </w:pPr>
      <w:r>
        <w:t>o zmianie niektórych ustaw w celu usprawnienia doręczeń elektronicznych</w:t>
      </w:r>
      <w:r>
        <w:rPr>
          <w:rStyle w:val="IGPindeksgrnyipogrubienie"/>
        </w:rPr>
        <w:footnoteReference w:id="1"/>
      </w:r>
      <w:r>
        <w:rPr>
          <w:rStyle w:val="IGPindeksgrnyipogrubienie"/>
        </w:rPr>
        <w:t>)</w:t>
      </w:r>
    </w:p>
    <w:p w14:paraId="4F0CDFEB" w14:textId="77777777" w:rsidR="003262E3" w:rsidRDefault="00D21B25">
      <w:pPr>
        <w:pStyle w:val="ARTartustawynprozporzdzenia"/>
      </w:pPr>
      <w:r>
        <w:rPr>
          <w:rStyle w:val="Ppogrubienie"/>
        </w:rPr>
        <w:t>Art. 1.</w:t>
      </w:r>
      <w:r>
        <w:t xml:space="preserve"> W ustawie z dnia 14 lipca 1983 r. o narodowym zasobie archiwalnym i archiwach (Dz. U. z 2020 r. poz. 164) w art. 6:</w:t>
      </w:r>
    </w:p>
    <w:p w14:paraId="3BF714CF" w14:textId="77777777" w:rsidR="003262E3" w:rsidRDefault="00D21B25">
      <w:pPr>
        <w:pStyle w:val="PKTpunkt"/>
      </w:pPr>
      <w:r>
        <w:t>1)</w:t>
      </w:r>
      <w:r>
        <w:tab/>
        <w:t>ust. 1a otrzymuje brzmienie:</w:t>
      </w:r>
    </w:p>
    <w:p w14:paraId="10E62C42" w14:textId="77777777" w:rsidR="003262E3" w:rsidRDefault="00D21B25">
      <w:pPr>
        <w:pStyle w:val="ZUSTzmustartykuempunktem"/>
      </w:pPr>
      <w:r>
        <w:t>„1a. Zadania, o których mowa w ust. 1, są realizowane w ramach elektronicznego zarządzania dokumentacją będącego systemem wykonywania czynności kancelaryjnych, dokumentowania przebiegu załatwiania i rozstrzygania spraw, gromadzenia i tworzenia dokumentacji w postaci elektronicznej z wykorzystaniem systemu teleinformatycznego, o którym mowa w przepisach wydanych na podstawie art. 5 ust. 2b.”;</w:t>
      </w:r>
    </w:p>
    <w:p w14:paraId="693C9865" w14:textId="77777777" w:rsidR="003262E3" w:rsidRDefault="00D21B25">
      <w:pPr>
        <w:pStyle w:val="PKTpunkt"/>
      </w:pPr>
      <w:r>
        <w:t>2)</w:t>
      </w:r>
      <w:r>
        <w:tab/>
        <w:t>po ust. 1a dodaje się ust. 1b w brzmieniu:</w:t>
      </w:r>
    </w:p>
    <w:p w14:paraId="54AF5247" w14:textId="77777777" w:rsidR="003262E3" w:rsidRDefault="00D21B25">
      <w:pPr>
        <w:pStyle w:val="ZUSTzmustartykuempunktem"/>
      </w:pPr>
      <w:r>
        <w:t>„1b. Organy i kierownicy jednostek organizacyjnych, o których mowa w ust. 1, mogą wskazać w przepisach wydanych na podstawie ust. 2, 2e i 2f, przypadki, dla których dokumentowanie przebiegu załatwiania i rozstrzygania spraw nie odbywa się w postaci elektronicznej z wykorzystaniem systemu teleinformatycznego, o którym mowa w przepisach wydanych na podstawie art. 5 ust. 2b.”.</w:t>
      </w:r>
    </w:p>
    <w:p w14:paraId="64F443BC" w14:textId="392530EC" w:rsidR="003262E3" w:rsidRDefault="00D21B25">
      <w:pPr>
        <w:pStyle w:val="ARTartustawynprozporzdzenia"/>
      </w:pPr>
      <w:r>
        <w:rPr>
          <w:rStyle w:val="Ppogrubienie"/>
        </w:rPr>
        <w:t>Art. 2.</w:t>
      </w:r>
      <w:r>
        <w:t xml:space="preserve"> W ustawie z dnia 18 listopada 2020 r. o doręczeniach elektronicznych (Dz. U. z 2023 r. poz. 285, 1860 i 2699) wprowadza się następujące zmiany: </w:t>
      </w:r>
    </w:p>
    <w:p w14:paraId="654E31D4" w14:textId="62D2ACF7" w:rsidR="00A44278" w:rsidRDefault="00D706BC" w:rsidP="00D706BC">
      <w:pPr>
        <w:pStyle w:val="PKTpunkt"/>
      </w:pPr>
      <w:r>
        <w:t>1)</w:t>
      </w:r>
      <w:r>
        <w:tab/>
      </w:r>
      <w:r w:rsidR="00A44278">
        <w:t>w art. 12:</w:t>
      </w:r>
    </w:p>
    <w:p w14:paraId="09D76A41" w14:textId="279045B2" w:rsidR="003262E3" w:rsidRDefault="00D21B25" w:rsidP="00A60F9A">
      <w:pPr>
        <w:pStyle w:val="LITlitera"/>
        <w:numPr>
          <w:ilvl w:val="0"/>
          <w:numId w:val="3"/>
        </w:numPr>
      </w:pPr>
      <w:r>
        <w:t>w ust. 2 pkt 2 otrzymuje brzmienie:</w:t>
      </w:r>
    </w:p>
    <w:p w14:paraId="2813E2C2" w14:textId="77777777" w:rsidR="003262E3" w:rsidRDefault="00D21B25">
      <w:pPr>
        <w:pStyle w:val="ZPKTzmpktartykuempunktem"/>
      </w:pPr>
      <w:r>
        <w:t>„2)</w:t>
      </w:r>
      <w:r>
        <w:tab/>
        <w:t>numer identyfikacyjny REGON, jeżeli został nadany;”,</w:t>
      </w:r>
    </w:p>
    <w:p w14:paraId="1DEEE739" w14:textId="47427AC3" w:rsidR="003262E3" w:rsidRDefault="00D21B25" w:rsidP="00A60F9A">
      <w:pPr>
        <w:pStyle w:val="LITlitera"/>
        <w:numPr>
          <w:ilvl w:val="0"/>
          <w:numId w:val="3"/>
        </w:numPr>
      </w:pPr>
      <w:r>
        <w:t xml:space="preserve">dodaje się ust. 4 w brzmieniu: </w:t>
      </w:r>
    </w:p>
    <w:p w14:paraId="712938C4" w14:textId="5C6C6E6B" w:rsidR="003262E3" w:rsidRDefault="00D21B25">
      <w:pPr>
        <w:pStyle w:val="ZUSTzmustartykuempunktem"/>
      </w:pPr>
      <w:r>
        <w:t xml:space="preserve">„4. Utworzenie adresu do doręczeń elektronicznych powiązanego z publiczną usługą rejestrowanego doręczenia elektronicznego dla podmiotu publicznego oraz przyporządkowanie do niego skrzynki doręczeń następuje automatycznie jeżeli wniosek, o który mowa w ust. 1, został złożony przez administratora podmiotu, o którym mowa w przepisach wydanych na podstawie art. 19a ust. 3 ustawy z dnia 17 lutego 2005 r. o </w:t>
      </w:r>
      <w:r>
        <w:lastRenderedPageBreak/>
        <w:t>informatyzacji działalności podmiotów realizujących zadania publiczne (Dz.U. z 2023 r. poz. 57, 1234 i 1703).</w:t>
      </w:r>
      <w:r w:rsidR="00A44278">
        <w:t>”;</w:t>
      </w:r>
    </w:p>
    <w:p w14:paraId="4C5176EF" w14:textId="7444AF87" w:rsidR="004C54DD" w:rsidRDefault="004C54DD" w:rsidP="00D706BC">
      <w:pPr>
        <w:pStyle w:val="PKTpunkt"/>
      </w:pPr>
      <w:r>
        <w:t>2)</w:t>
      </w:r>
      <w:r>
        <w:tab/>
        <w:t xml:space="preserve">w art. 147 ust. 2 otrzymuje brzmienie: </w:t>
      </w:r>
    </w:p>
    <w:p w14:paraId="0A0ED4FE" w14:textId="1FDF3409" w:rsidR="004C54DD" w:rsidRDefault="004C54DD" w:rsidP="00A60F9A">
      <w:pPr>
        <w:pStyle w:val="ZUSTzmustartykuempunktem"/>
      </w:pPr>
      <w:r w:rsidRPr="004C54DD">
        <w:t>„</w:t>
      </w:r>
      <w:r>
        <w:t>2.</w:t>
      </w:r>
      <w:r w:rsidRPr="004C54DD">
        <w:t xml:space="preserve"> Doręczenie korespondencji nadanej przez osobę fizyczną lub podmiot niebędący podmiotem publicznym, będące użytkownikami konta w </w:t>
      </w:r>
      <w:proofErr w:type="spellStart"/>
      <w:r w:rsidRPr="004C54DD">
        <w:t>ePUAP</w:t>
      </w:r>
      <w:proofErr w:type="spellEnd"/>
      <w:r w:rsidRPr="004C54DD">
        <w:t xml:space="preserve">, do podmiotu publicznego posiadającego elektroniczną skrzynkę podawczą w </w:t>
      </w:r>
      <w:proofErr w:type="spellStart"/>
      <w:r w:rsidRPr="004C54DD">
        <w:t>ePUAP</w:t>
      </w:r>
      <w:proofErr w:type="spellEnd"/>
      <w:r w:rsidRPr="004C54DD">
        <w:t xml:space="preserve">, w ramach usługi udostępnianej w </w:t>
      </w:r>
      <w:proofErr w:type="spellStart"/>
      <w:r w:rsidRPr="004C54DD">
        <w:t>ePUAP</w:t>
      </w:r>
      <w:proofErr w:type="spellEnd"/>
      <w:r w:rsidRPr="004C54DD">
        <w:t xml:space="preserve">, jest równoważne w skutkach prawnych z doręczeniem przy wykorzystaniu publicznej usługi rejestrowanego doręczenia elektronicznego, do </w:t>
      </w:r>
      <w:r>
        <w:t>dnia 31 grudnia 2025r.”;</w:t>
      </w:r>
    </w:p>
    <w:p w14:paraId="625EB564" w14:textId="4FBCE5EC" w:rsidR="00A44278" w:rsidRDefault="004C54DD" w:rsidP="00A60F9A">
      <w:pPr>
        <w:pStyle w:val="PKTpunkt"/>
      </w:pPr>
      <w:r>
        <w:t>3)</w:t>
      </w:r>
      <w:r>
        <w:tab/>
      </w:r>
      <w:r w:rsidR="00A44278">
        <w:t xml:space="preserve">uchyla się art. 158. </w:t>
      </w:r>
    </w:p>
    <w:p w14:paraId="5573A6D8" w14:textId="0493BED5" w:rsidR="003262E3" w:rsidRDefault="00D21B25">
      <w:pPr>
        <w:pStyle w:val="ARTartustawynprozporzdzenia"/>
      </w:pPr>
      <w:r>
        <w:rPr>
          <w:rStyle w:val="Ppogrubienie"/>
        </w:rPr>
        <w:t>Art. 3.</w:t>
      </w:r>
      <w:r>
        <w:t xml:space="preserve"> Do dnia 31 grudnia 2025 r. organ administracji publicznej oraz organ podatkowy doręcza pisma za pokwitowaniem przez operatora pocztowego w rozumieniu ustawy z dnia 23 listopada 2012 r. – Prawo pocztowe (Dz. U. z 2020 r. poz. 1041 i 2320), przez swoich pracowników lub przez inne upoważnione osoby lub organy albo z wykorzystanie publicznej usługi hybrydowej, o której mowa w art. 2 pkt 7 ustawy z dnia 18 listopada 2020 r. o doręczeniach elektronicznych</w:t>
      </w:r>
      <w:r w:rsidR="00A44278">
        <w:t xml:space="preserve"> </w:t>
      </w:r>
      <w:r>
        <w:t>(Dz. U. z 2023 r. poz. 285, 1860 i 2699).</w:t>
      </w:r>
    </w:p>
    <w:p w14:paraId="50D49F2F" w14:textId="67DCABAB" w:rsidR="003262E3" w:rsidRDefault="00D21B25">
      <w:pPr>
        <w:pStyle w:val="ARTartustawynprozporzdzenia"/>
      </w:pPr>
      <w:r>
        <w:rPr>
          <w:rStyle w:val="Ppogrubienie"/>
        </w:rPr>
        <w:t>Art. 4.</w:t>
      </w:r>
      <w:r>
        <w:t xml:space="preserve"> 1. Doręczenie pism, o których mowa w art. 3, </w:t>
      </w:r>
      <w:r w:rsidR="00122BA0">
        <w:t xml:space="preserve">następuje </w:t>
      </w:r>
      <w:r>
        <w:t>na adres do doręczeń</w:t>
      </w:r>
      <w:r w:rsidR="00136F22">
        <w:t xml:space="preserve"> elektronicznych</w:t>
      </w:r>
      <w:r>
        <w:t>, o któr</w:t>
      </w:r>
      <w:r w:rsidR="00967635">
        <w:t>ym</w:t>
      </w:r>
      <w:r>
        <w:t xml:space="preserve"> mowa w art. 2</w:t>
      </w:r>
      <w:r w:rsidR="00967635">
        <w:t xml:space="preserve"> pkt</w:t>
      </w:r>
      <w:r w:rsidR="002963CC">
        <w:t xml:space="preserve"> </w:t>
      </w:r>
      <w:r w:rsidR="00967635">
        <w:t>1</w:t>
      </w:r>
      <w:r>
        <w:t xml:space="preserve"> ustawy z dnia 18 listopada 2020 r. o doręczeniach elektronicznych, jeżeli strona lub inny uczestnik postępowania spełni jeden z następujących warunków: </w:t>
      </w:r>
    </w:p>
    <w:p w14:paraId="07EBAB70" w14:textId="17B2A51A" w:rsidR="003262E3" w:rsidRDefault="00D21B25">
      <w:pPr>
        <w:pStyle w:val="PKTpunkt"/>
      </w:pPr>
      <w:bookmarkStart w:id="0" w:name="_Hlk160700251"/>
      <w:r>
        <w:t>1)</w:t>
      </w:r>
      <w:r>
        <w:tab/>
        <w:t>złoży podanie w formie dokumentu elektronicznego na adres do doręczeń</w:t>
      </w:r>
      <w:r w:rsidR="00136F22">
        <w:t xml:space="preserve"> elektronicznych</w:t>
      </w:r>
      <w:r>
        <w:t xml:space="preserve"> odpowiednio organu administracji publicznej lub organu podatkowego; </w:t>
      </w:r>
    </w:p>
    <w:p w14:paraId="771CA799" w14:textId="02154650" w:rsidR="003262E3" w:rsidRDefault="00D21B25">
      <w:pPr>
        <w:pStyle w:val="PKTpunkt"/>
      </w:pPr>
      <w:r>
        <w:t>2)</w:t>
      </w:r>
      <w:r>
        <w:tab/>
        <w:t>wystąpi odpowiednio do organu administracji publicznej lub organu podatkowego o takie doręczenie</w:t>
      </w:r>
      <w:r w:rsidR="0084379D">
        <w:t>;</w:t>
      </w:r>
    </w:p>
    <w:p w14:paraId="21569677" w14:textId="05372942" w:rsidR="003262E3" w:rsidRDefault="00D21B25">
      <w:pPr>
        <w:pStyle w:val="PKTpunkt"/>
      </w:pPr>
      <w:r>
        <w:t>3)</w:t>
      </w:r>
      <w:r>
        <w:tab/>
        <w:t xml:space="preserve">wyrazi zgodę na doręczanie pism </w:t>
      </w:r>
      <w:r w:rsidR="00967635">
        <w:t>na adres do doręczeń</w:t>
      </w:r>
      <w:r w:rsidR="00136F22">
        <w:t xml:space="preserve"> elektronicznych</w:t>
      </w:r>
      <w:r>
        <w:t>.</w:t>
      </w:r>
    </w:p>
    <w:bookmarkEnd w:id="0"/>
    <w:p w14:paraId="11D70CB4" w14:textId="4A4B1C84" w:rsidR="003262E3" w:rsidRDefault="00D21B25">
      <w:pPr>
        <w:pStyle w:val="USTustnpkodeksu"/>
      </w:pPr>
      <w:r>
        <w:t>2. Jeżeli strona lub inny uczestnik postępowania, spełnia co najmniej jeden z warunków, o których mowa w ust. 1, nie posiada adresu do doręczeń</w:t>
      </w:r>
      <w:r w:rsidR="00136F22">
        <w:t xml:space="preserve"> elektronicznych</w:t>
      </w:r>
      <w:r>
        <w:t xml:space="preserve">, doręczenie pism może nastąpić za pomocą </w:t>
      </w:r>
      <w:r w:rsidR="00EE54ED" w:rsidRPr="00EE54ED">
        <w:t>rozwiązania techniczne</w:t>
      </w:r>
      <w:r w:rsidR="00EE54ED">
        <w:t>go</w:t>
      </w:r>
      <w:r w:rsidR="00EE54ED" w:rsidRPr="00EE54ED">
        <w:t>, w tym urządzenia teleinformatyczne</w:t>
      </w:r>
      <w:r w:rsidR="00EE54ED">
        <w:t>go</w:t>
      </w:r>
      <w:r w:rsidR="00EE54ED" w:rsidRPr="00EE54ED">
        <w:t xml:space="preserve"> i współpracujące</w:t>
      </w:r>
      <w:r w:rsidR="00EE54ED">
        <w:t>go</w:t>
      </w:r>
      <w:r w:rsidR="00EE54ED" w:rsidRPr="00EE54ED">
        <w:t xml:space="preserve"> z nimi narzędzia programowe</w:t>
      </w:r>
      <w:r w:rsidR="00EE54ED">
        <w:t>go</w:t>
      </w:r>
      <w:r w:rsidR="00EE54ED" w:rsidRPr="00EE54ED">
        <w:t>, umożliwiające</w:t>
      </w:r>
      <w:r w:rsidR="00EE54ED">
        <w:t>go</w:t>
      </w:r>
      <w:r w:rsidR="00EE54ED" w:rsidRPr="00EE54ED">
        <w:t xml:space="preserve"> indywidualne porozumiewanie się na odległość przy wykorzystaniu transmisji danych między systemami teleinformatycznymi, </w:t>
      </w:r>
      <w:r w:rsidR="00EE54ED">
        <w:t xml:space="preserve">z wyłączeniem </w:t>
      </w:r>
      <w:r w:rsidR="00EE54ED" w:rsidRPr="00EE54ED">
        <w:t>poczt</w:t>
      </w:r>
      <w:r w:rsidR="00EE54ED">
        <w:t>y</w:t>
      </w:r>
      <w:r w:rsidR="00EE54ED" w:rsidRPr="00EE54ED">
        <w:t xml:space="preserve"> elektronicz</w:t>
      </w:r>
      <w:r w:rsidR="00EE54ED">
        <w:t>nej</w:t>
      </w:r>
      <w:r w:rsidR="00B40C83">
        <w:t xml:space="preserve">. </w:t>
      </w:r>
    </w:p>
    <w:p w14:paraId="2F887BD1" w14:textId="3E91CB65" w:rsidR="00EE54ED" w:rsidRDefault="00A44278" w:rsidP="00A60F9A">
      <w:pPr>
        <w:pStyle w:val="USTustnpkodeksu"/>
        <w:ind w:firstLine="0"/>
      </w:pPr>
      <w:r>
        <w:lastRenderedPageBreak/>
        <w:t xml:space="preserve">3. Wpis </w:t>
      </w:r>
      <w:r w:rsidRPr="00A44278">
        <w:t>adresu do doręczeń elektronicznych do bazy adresów elektronicznych</w:t>
      </w:r>
      <w:r w:rsidR="00F5275B">
        <w:t xml:space="preserve">, o której mowa w art. 25 ust. 1 </w:t>
      </w:r>
      <w:r w:rsidR="00F5275B" w:rsidRPr="00F5275B">
        <w:t>ustawy z dnia 18 listopada 2020 r. o doręczeniach elektronicznych</w:t>
      </w:r>
      <w:r w:rsidR="00F5275B">
        <w:t>,</w:t>
      </w:r>
      <w:r w:rsidRPr="00A44278">
        <w:t xml:space="preserve"> </w:t>
      </w:r>
      <w:r>
        <w:t xml:space="preserve">nie </w:t>
      </w:r>
      <w:r w:rsidRPr="00A44278">
        <w:t>jest równoznaczny z żądaniem doręczania korespondencji przez podmioty publiczne na ten adres.</w:t>
      </w:r>
    </w:p>
    <w:p w14:paraId="020F1515" w14:textId="7A34BA8E" w:rsidR="003262E3" w:rsidRDefault="00A44278">
      <w:pPr>
        <w:pStyle w:val="USTustnpkodeksu"/>
      </w:pPr>
      <w:r>
        <w:t>4. Wystąpienie organu podatkowego o wyrażenie zgody, o której mowa w ust. 1 pkt 3, może nastąpić za pomocą środków komunikacji elektronicznej i zostać przesłane stronie przez portal podatkowy lub na jej adres elektroniczny.</w:t>
      </w:r>
    </w:p>
    <w:p w14:paraId="17A8893E" w14:textId="53E5C3C2" w:rsidR="003262E3" w:rsidRDefault="00A44278">
      <w:pPr>
        <w:pStyle w:val="USTustnpkodeksu"/>
      </w:pPr>
      <w:r>
        <w:t>5. Organ administracji publicznej może zwrócić się do strony lub innego uczestnika postępowania o wyrażenie zgody na doręczanie pism w formie dokumentu elektronicznego w innych, określonych przez organ kategoriach spraw indywidualnych załatwianych przez ten organ.</w:t>
      </w:r>
    </w:p>
    <w:p w14:paraId="37A5D55C" w14:textId="31F1F27E" w:rsidR="003262E3" w:rsidRDefault="00A44278">
      <w:pPr>
        <w:pStyle w:val="USTustnpkodeksu"/>
      </w:pPr>
      <w:r>
        <w:t>6. Organ administracji publicznej może wystąpić o wyrażenie zgody, o której mowa w ust 1 pkt 3 lub w ust.5, przesyłając to wystąpienie za pomocą środków komunikacji elektronicznej na adres elektroniczny strony lub innego uczestnika postępowania.</w:t>
      </w:r>
    </w:p>
    <w:p w14:paraId="6A7B4119" w14:textId="07DF5178" w:rsidR="00EE54ED" w:rsidRDefault="00EE54ED">
      <w:pPr>
        <w:pStyle w:val="USTustnpkodeksu"/>
      </w:pPr>
      <w:r>
        <w:t xml:space="preserve">7. </w:t>
      </w:r>
      <w:r w:rsidRPr="00EE54ED">
        <w:t xml:space="preserve">Jeżeli doręczenie jest dokonywane w sposób wskazany w ust. </w:t>
      </w:r>
      <w:r>
        <w:t>1</w:t>
      </w:r>
      <w:r w:rsidR="000A06E0">
        <w:t xml:space="preserve"> i 2</w:t>
      </w:r>
      <w:r w:rsidRPr="00EE54ED">
        <w:t xml:space="preserve">, w przypadku braku dowodu </w:t>
      </w:r>
      <w:r w:rsidR="000A06E0">
        <w:t>doręczenia</w:t>
      </w:r>
      <w:r w:rsidRPr="00EE54ED">
        <w:t xml:space="preserve">, pismo uznaje się za doręczone po upływie 14 dni od dnia </w:t>
      </w:r>
      <w:r w:rsidR="000A06E0">
        <w:t>jego nadania.</w:t>
      </w:r>
    </w:p>
    <w:p w14:paraId="2126E627" w14:textId="7A99DC1B" w:rsidR="00F5275B" w:rsidRDefault="000A06E0" w:rsidP="00526755">
      <w:pPr>
        <w:pStyle w:val="USTustnpkodeksu"/>
      </w:pPr>
      <w:r>
        <w:t>8</w:t>
      </w:r>
      <w:r w:rsidR="00F5275B">
        <w:t>. Informacja o</w:t>
      </w:r>
      <w:r w:rsidR="00136F22" w:rsidDel="00136F22">
        <w:t xml:space="preserve"> </w:t>
      </w:r>
      <w:r w:rsidR="00F5275B">
        <w:t>wyrażeniu zgody na doręczanie pism, o których mowa w art. 3, na adres do doręczeń</w:t>
      </w:r>
      <w:r w:rsidR="00136F22">
        <w:t xml:space="preserve"> elektronicznych</w:t>
      </w:r>
      <w:r w:rsidR="00F5275B">
        <w:t xml:space="preserve"> jest przetwarzana w bazie adresów elektronicznych</w:t>
      </w:r>
      <w:r w:rsidR="00D706BC">
        <w:t>.</w:t>
      </w:r>
    </w:p>
    <w:p w14:paraId="6FF6FFFD" w14:textId="77880E17" w:rsidR="003262E3" w:rsidRDefault="000A06E0">
      <w:pPr>
        <w:pStyle w:val="USTustnpkodeksu"/>
      </w:pPr>
      <w:r>
        <w:t>9</w:t>
      </w:r>
      <w:r w:rsidR="00A44278">
        <w:t>. Strona lub inny uczestnik postępowania ma prawo do rezygnacji z doręczania pism</w:t>
      </w:r>
      <w:r w:rsidR="00967635">
        <w:t xml:space="preserve"> na adres do doręczeń</w:t>
      </w:r>
      <w:r w:rsidR="00136F22">
        <w:t xml:space="preserve"> elektronicznych</w:t>
      </w:r>
      <w:r w:rsidR="00967635">
        <w:t xml:space="preserve"> albo</w:t>
      </w:r>
      <w:r w:rsidR="00A44278">
        <w:t xml:space="preserve"> za pomocą środków komunikacji elektronicznej. W takim przypadku odpowiednio organ administracji publicznej lub organ podatkowy doręcza pismo w sposób określony dla pisma w formie innej niż forma dokumentu elektronicznego.</w:t>
      </w:r>
    </w:p>
    <w:p w14:paraId="71C77761" w14:textId="1EC36C9D" w:rsidR="003262E3" w:rsidRDefault="00D21B25">
      <w:pPr>
        <w:pStyle w:val="ARTartustawynprozporzdzenia"/>
      </w:pPr>
      <w:r>
        <w:rPr>
          <w:rStyle w:val="Ppogrubienie"/>
        </w:rPr>
        <w:t>Art. 5.</w:t>
      </w:r>
      <w:r>
        <w:t xml:space="preserve"> Ustawa wchodzi w życie …….z wyjątkiem art. 1, który wchodzi w życie z dniem 1 </w:t>
      </w:r>
      <w:r w:rsidR="000A06E0">
        <w:t xml:space="preserve">stycznia 2028 r. </w:t>
      </w:r>
    </w:p>
    <w:sectPr w:rsidR="00326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34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7A4B" w14:textId="77777777" w:rsidR="006754F0" w:rsidRDefault="006754F0">
      <w:pPr>
        <w:spacing w:line="240" w:lineRule="auto"/>
      </w:pPr>
      <w:r>
        <w:separator/>
      </w:r>
    </w:p>
  </w:endnote>
  <w:endnote w:type="continuationSeparator" w:id="0">
    <w:p w14:paraId="63C998C3" w14:textId="77777777" w:rsidR="006754F0" w:rsidRDefault="0067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73D1" w14:textId="77777777" w:rsidR="00272570" w:rsidRDefault="00272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200C" w14:textId="77777777" w:rsidR="00272570" w:rsidRDefault="002725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3033" w14:textId="77777777" w:rsidR="00272570" w:rsidRDefault="00272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3C4F" w14:textId="77777777" w:rsidR="006754F0" w:rsidRDefault="006754F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41F8BCE" w14:textId="77777777" w:rsidR="006754F0" w:rsidRDefault="006754F0">
      <w:pPr>
        <w:spacing w:line="240" w:lineRule="auto"/>
      </w:pPr>
      <w:r>
        <w:continuationSeparator/>
      </w:r>
    </w:p>
  </w:footnote>
  <w:footnote w:id="1">
    <w:p w14:paraId="05435FEF" w14:textId="76E2AC9F" w:rsidR="003262E3" w:rsidRDefault="00D21B25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rStyle w:val="IDindeksdolny"/>
        </w:rPr>
        <w:tab/>
        <w:t>Niniejszą ustaw</w:t>
      </w:r>
      <w:r w:rsidR="00F10C7B">
        <w:rPr>
          <w:rStyle w:val="IDindeksdolny"/>
        </w:rPr>
        <w:t>ą</w:t>
      </w:r>
      <w:r>
        <w:rPr>
          <w:rStyle w:val="IDindeksdolny"/>
        </w:rPr>
        <w:t xml:space="preserve"> zmienia się ustawy: ustaw</w:t>
      </w:r>
      <w:r w:rsidR="00F10C7B">
        <w:rPr>
          <w:rStyle w:val="IDindeksdolny"/>
        </w:rPr>
        <w:t>ę</w:t>
      </w:r>
      <w:r>
        <w:rPr>
          <w:rStyle w:val="IDindeksdolny"/>
        </w:rPr>
        <w:t xml:space="preserve"> z dnia 14 lipca 1983 r. o narodowym zasobie archiwalnym i archiwach , ustaw</w:t>
      </w:r>
      <w:r w:rsidR="00F10C7B">
        <w:rPr>
          <w:rStyle w:val="IDindeksdolny"/>
        </w:rPr>
        <w:t>ę</w:t>
      </w:r>
      <w:r>
        <w:rPr>
          <w:rStyle w:val="IDindeksdolny"/>
        </w:rPr>
        <w:t xml:space="preserve"> z dnia 18 listopada 2020 r. o doręczeniach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E005" w14:textId="5DDD083D" w:rsidR="00272570" w:rsidRDefault="00784D90">
    <w:pPr>
      <w:pStyle w:val="Nagwek"/>
    </w:pPr>
    <w:r>
      <w:rPr>
        <w:noProof/>
      </w:rPr>
      <w:pict w14:anchorId="277566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3454" o:spid="_x0000_s2053" type="#_x0000_t136" style="position:absolute;margin-left:0;margin-top:0;width:525.6pt;height:112.6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JEKT USTA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D017" w14:textId="502D3FF3" w:rsidR="00674D5C" w:rsidRDefault="00784D90">
    <w:pPr>
      <w:pStyle w:val="Nagwek"/>
      <w:jc w:val="center"/>
    </w:pPr>
    <w:r>
      <w:rPr>
        <w:noProof/>
      </w:rPr>
      <w:pict w14:anchorId="74648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3455" o:spid="_x0000_s2054" type="#_x0000_t136" style="position:absolute;left:0;text-align:left;margin-left:0;margin-top:0;width:525.6pt;height:112.6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JEKT USTAWY"/>
          <w10:wrap anchorx="margin" anchory="margin"/>
        </v:shape>
      </w:pict>
    </w:r>
    <w:r w:rsidR="00D21B25">
      <w:t xml:space="preserve">– </w:t>
    </w:r>
    <w:r w:rsidR="00D21B25">
      <w:fldChar w:fldCharType="begin"/>
    </w:r>
    <w:r w:rsidR="00D21B25">
      <w:instrText xml:space="preserve"> PAGE </w:instrText>
    </w:r>
    <w:r w:rsidR="00D21B25">
      <w:fldChar w:fldCharType="separate"/>
    </w:r>
    <w:r w:rsidR="00D21B25">
      <w:t>3</w:t>
    </w:r>
    <w:r w:rsidR="00D21B25">
      <w:fldChar w:fldCharType="end"/>
    </w:r>
    <w:r w:rsidR="00D21B25"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9151" w14:textId="13D6043D" w:rsidR="00272570" w:rsidRDefault="00784D90">
    <w:pPr>
      <w:pStyle w:val="Nagwek"/>
    </w:pPr>
    <w:r>
      <w:rPr>
        <w:noProof/>
      </w:rPr>
      <w:pict w14:anchorId="1F477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3453" o:spid="_x0000_s2052" type="#_x0000_t136" style="position:absolute;margin-left:0;margin-top:0;width:525.6pt;height:112.6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JEKT USTA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6894"/>
    <w:multiLevelType w:val="hybridMultilevel"/>
    <w:tmpl w:val="30E88456"/>
    <w:lvl w:ilvl="0" w:tplc="2D80CF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399E1DF7"/>
    <w:multiLevelType w:val="hybridMultilevel"/>
    <w:tmpl w:val="8B363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71D7"/>
    <w:multiLevelType w:val="hybridMultilevel"/>
    <w:tmpl w:val="6EE4846C"/>
    <w:lvl w:ilvl="0" w:tplc="AF8864D4">
      <w:start w:val="3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710D5059"/>
    <w:multiLevelType w:val="hybridMultilevel"/>
    <w:tmpl w:val="C8FAC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C3303"/>
    <w:multiLevelType w:val="hybridMultilevel"/>
    <w:tmpl w:val="D848E302"/>
    <w:lvl w:ilvl="0" w:tplc="1C8A563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40933">
    <w:abstractNumId w:val="4"/>
  </w:num>
  <w:num w:numId="2" w16cid:durableId="721445746">
    <w:abstractNumId w:val="1"/>
  </w:num>
  <w:num w:numId="3" w16cid:durableId="642850714">
    <w:abstractNumId w:val="0"/>
  </w:num>
  <w:num w:numId="4" w16cid:durableId="115754010">
    <w:abstractNumId w:val="2"/>
  </w:num>
  <w:num w:numId="5" w16cid:durableId="1776439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attachedTemplate r:id="rId1"/>
  <w:defaultTabStop w:val="170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E3"/>
    <w:rsid w:val="0003289F"/>
    <w:rsid w:val="000A06E0"/>
    <w:rsid w:val="000D4AB3"/>
    <w:rsid w:val="00122BA0"/>
    <w:rsid w:val="001258C0"/>
    <w:rsid w:val="00136F22"/>
    <w:rsid w:val="00254671"/>
    <w:rsid w:val="00272570"/>
    <w:rsid w:val="002963CC"/>
    <w:rsid w:val="00304AB3"/>
    <w:rsid w:val="003262E3"/>
    <w:rsid w:val="00365CBA"/>
    <w:rsid w:val="00452AB2"/>
    <w:rsid w:val="004C54DD"/>
    <w:rsid w:val="00526755"/>
    <w:rsid w:val="005C7DD1"/>
    <w:rsid w:val="006178A1"/>
    <w:rsid w:val="00674D5C"/>
    <w:rsid w:val="006754F0"/>
    <w:rsid w:val="006E5204"/>
    <w:rsid w:val="00784D90"/>
    <w:rsid w:val="007C5593"/>
    <w:rsid w:val="00831517"/>
    <w:rsid w:val="0084379D"/>
    <w:rsid w:val="00967635"/>
    <w:rsid w:val="009D3202"/>
    <w:rsid w:val="00A44278"/>
    <w:rsid w:val="00A60F9A"/>
    <w:rsid w:val="00A64676"/>
    <w:rsid w:val="00B40C83"/>
    <w:rsid w:val="00C31DA1"/>
    <w:rsid w:val="00C81046"/>
    <w:rsid w:val="00D21B25"/>
    <w:rsid w:val="00D706BC"/>
    <w:rsid w:val="00E074ED"/>
    <w:rsid w:val="00EE54ED"/>
    <w:rsid w:val="00F10C7B"/>
    <w:rsid w:val="00F217D6"/>
    <w:rsid w:val="00F5275B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182148"/>
  <w15:docId w15:val="{64ACAC04-64CA-4C12-9BDC-5D6CBEE6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autoSpaceDE/>
      <w:spacing w:before="480"/>
      <w:outlineLvl w:val="0"/>
    </w:pPr>
    <w:rPr>
      <w:rFonts w:ascii="Cambria" w:hAnsi="Cambria" w:cs="Times New Roman"/>
      <w:b/>
      <w:bCs/>
      <w:color w:val="365F91"/>
      <w:kern w:val="3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pPr>
      <w:ind w:left="1021"/>
    </w:pPr>
  </w:style>
  <w:style w:type="paragraph" w:customStyle="1" w:styleId="2TIRpodwjnytiret">
    <w:name w:val="2TIR – podwójny tiret"/>
    <w:basedOn w:val="TIRtiret"/>
    <w:pPr>
      <w:ind w:left="1780"/>
    </w:p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E/>
    </w:pPr>
    <w:rPr>
      <w:rFonts w:ascii="Times" w:hAnsi="Times" w:cs="Times New Roman"/>
      <w:kern w:val="3"/>
      <w:szCs w:val="24"/>
      <w:lang w:eastAsia="ar-SA"/>
    </w:rPr>
  </w:style>
  <w:style w:type="character" w:customStyle="1" w:styleId="NagwekZnak">
    <w:name w:val="Nagłówek Znak"/>
    <w:rPr>
      <w:rFonts w:eastAsia="Times New Roman" w:cs="Arial"/>
      <w:kern w:val="3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  <w:rPr>
      <w:rFonts w:ascii="Times" w:hAnsi="Times" w:cs="Times New Roman"/>
      <w:kern w:val="3"/>
      <w:szCs w:val="24"/>
      <w:lang w:eastAsia="ar-SA"/>
    </w:rPr>
  </w:style>
  <w:style w:type="character" w:customStyle="1" w:styleId="StopkaZnak">
    <w:name w:val="Stopka Znak"/>
    <w:rPr>
      <w:rFonts w:eastAsia="Times New Roman" w:cs="Arial"/>
      <w:kern w:val="3"/>
      <w:sz w:val="20"/>
      <w:szCs w:val="20"/>
      <w:lang w:eastAsia="ar-SA"/>
    </w:rPr>
  </w:style>
  <w:style w:type="paragraph" w:styleId="Tekstdymka">
    <w:name w:val="Balloon Text"/>
    <w:basedOn w:val="Normalny"/>
    <w:pPr>
      <w:autoSpaceDE/>
    </w:pPr>
    <w:rPr>
      <w:rFonts w:ascii="Tahoma" w:hAnsi="Tahoma" w:cs="Tahoma"/>
      <w:kern w:val="3"/>
      <w:szCs w:val="16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/>
      <w:ind w:firstLine="510"/>
      <w:jc w:val="both"/>
    </w:pPr>
    <w:rPr>
      <w:rFonts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pPr>
      <w:ind w:left="1497"/>
    </w:pPr>
  </w:style>
  <w:style w:type="paragraph" w:customStyle="1" w:styleId="ZTIRwLITzmtirwlitartykuempunktem">
    <w:name w:val="Z/TIR_w_LIT – zm. tir. w lit. artykułem (punktem)"/>
    <w:basedOn w:val="TIRtiret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Bezodstpw">
    <w:name w:val="No Spacing"/>
    <w:pPr>
      <w:widowControl w:val="0"/>
      <w:suppressAutoHyphens/>
    </w:pPr>
    <w:rPr>
      <w:kern w:val="3"/>
      <w:lang w:eastAsia="ar-SA"/>
    </w:rPr>
  </w:style>
  <w:style w:type="paragraph" w:customStyle="1" w:styleId="ZPKTzmpktartykuempunktem">
    <w:name w:val="Z/PKT – zm. pkt artykułem (punktem)"/>
    <w:basedOn w:val="PKTpunkt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pPr>
      <w:keepNext/>
      <w:suppressAutoHyphens/>
      <w:spacing w:before="120" w:after="120"/>
      <w:jc w:val="center"/>
    </w:pPr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suppressAutoHyphens/>
      <w:spacing w:before="120" w:after="360"/>
      <w:jc w:val="center"/>
    </w:pPr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pPr>
      <w:keepNext/>
      <w:suppressAutoHyphens/>
      <w:spacing w:before="120"/>
      <w:jc w:val="center"/>
    </w:pPr>
    <w:rPr>
      <w:b/>
      <w:bCs/>
      <w:caps/>
      <w:kern w:val="3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pPr>
      <w:keepNext/>
      <w:suppressAutoHyphens/>
      <w:spacing w:after="120"/>
      <w:jc w:val="center"/>
    </w:pPr>
    <w:rPr>
      <w:b/>
      <w:bCs/>
      <w:caps/>
      <w:spacing w:val="54"/>
      <w:kern w:val="3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PKTpunkt">
    <w:name w:val="PKT – punkt"/>
    <w:pPr>
      <w:suppressAutoHyphens/>
      <w:ind w:left="510" w:hanging="510"/>
      <w:jc w:val="both"/>
    </w:pPr>
    <w:rPr>
      <w:rFonts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pPr>
      <w:ind w:left="0" w:firstLine="0"/>
    </w:pPr>
  </w:style>
  <w:style w:type="paragraph" w:customStyle="1" w:styleId="LITlitera">
    <w:name w:val="LIT – litera"/>
    <w:basedOn w:val="PKTpunkt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pPr>
      <w:keepNext/>
      <w:suppressAutoHyphens/>
      <w:spacing w:before="120"/>
      <w:jc w:val="center"/>
    </w:pPr>
    <w:rPr>
      <w:b/>
      <w:bCs/>
    </w:rPr>
  </w:style>
  <w:style w:type="paragraph" w:customStyle="1" w:styleId="ZLITzmlitartykuempunktem">
    <w:name w:val="Z/LIT – zm. lit. artykułem (punktem)"/>
    <w:basedOn w:val="LITliter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pPr>
      <w:ind w:left="1463"/>
    </w:pPr>
  </w:style>
  <w:style w:type="paragraph" w:customStyle="1" w:styleId="ZLITTIRwLITzmtirwlitliter">
    <w:name w:val="Z_LIT/TIR_w_LIT – zm. tir. w lit. literą"/>
    <w:basedOn w:val="TIRtiret"/>
    <w:pPr>
      <w:ind w:left="1860"/>
    </w:pPr>
  </w:style>
  <w:style w:type="paragraph" w:customStyle="1" w:styleId="TYTDZOZNoznaczenietytuulubdziau">
    <w:name w:val="TYT(DZ)_OZN – oznaczenie tytułu lub działu"/>
    <w:next w:val="Normalny"/>
    <w:pPr>
      <w:keepNext/>
      <w:suppressAutoHyphens/>
      <w:spacing w:before="120"/>
      <w:jc w:val="center"/>
    </w:pPr>
    <w:rPr>
      <w:rFonts w:cs="Arial"/>
      <w:bCs/>
      <w:caps/>
      <w:kern w:val="3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pPr>
      <w:ind w:left="510"/>
    </w:pPr>
  </w:style>
  <w:style w:type="paragraph" w:customStyle="1" w:styleId="ZZLITzmianazmlit">
    <w:name w:val="ZZ/LIT – zmiana zm. lit."/>
    <w:basedOn w:val="ZZPKTzmianazmpkt"/>
    <w:pPr>
      <w:ind w:left="2370" w:hanging="476"/>
    </w:pPr>
  </w:style>
  <w:style w:type="paragraph" w:customStyle="1" w:styleId="ZZTIRzmianazmtir">
    <w:name w:val="ZZ/TIR – zmiana zm. tir."/>
    <w:basedOn w:val="ZZLITzmianazmlit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pPr>
      <w:keepNext/>
      <w:suppressAutoHyphens/>
      <w:ind w:left="510"/>
      <w:jc w:val="center"/>
    </w:pPr>
    <w:rPr>
      <w:rFonts w:cs="Arial"/>
      <w:bCs/>
      <w:kern w:val="3"/>
    </w:rPr>
  </w:style>
  <w:style w:type="paragraph" w:customStyle="1" w:styleId="ZLITUSTzmustliter">
    <w:name w:val="Z_LIT/UST(§) – zm. ust. (§) literą"/>
    <w:basedOn w:val="USTustnpkodeksu"/>
    <w:pPr>
      <w:ind w:left="987"/>
    </w:pPr>
  </w:style>
  <w:style w:type="paragraph" w:customStyle="1" w:styleId="ZLITPKTzmpktliter">
    <w:name w:val="Z_LIT/PKT – zm. pkt literą"/>
    <w:basedOn w:val="PKTpunkt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pPr>
      <w:ind w:firstLine="0"/>
    </w:pPr>
  </w:style>
  <w:style w:type="paragraph" w:customStyle="1" w:styleId="ZLITLITzmlitliter">
    <w:name w:val="Z_LIT/LIT – zm. lit. literą"/>
    <w:basedOn w:val="LITliter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pPr>
      <w:ind w:left="987"/>
    </w:pPr>
  </w:style>
  <w:style w:type="paragraph" w:customStyle="1" w:styleId="ZLITTIRzmtirliter">
    <w:name w:val="Z_LIT/TIR – zm. tir. literą"/>
    <w:basedOn w:val="TIRtiret"/>
  </w:style>
  <w:style w:type="paragraph" w:customStyle="1" w:styleId="ZZCZWSPLITwPKTzmianazmczciwsplitwpkt">
    <w:name w:val="ZZ/CZ_WSP_LIT_w_PKT – zmiana zm. części wsp. lit. w pkt"/>
    <w:basedOn w:val="ZZLITwPKTzmianazmlitwpkt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pPr>
      <w:ind w:left="1497"/>
    </w:pPr>
  </w:style>
  <w:style w:type="paragraph" w:customStyle="1" w:styleId="ZLITTIRwPKTzmtirwpktliter">
    <w:name w:val="Z_LIT/TIR_w_PKT – zm. tir. w pkt literą"/>
    <w:basedOn w:val="TIRtiret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pPr>
      <w:ind w:left="1973"/>
    </w:pPr>
  </w:style>
  <w:style w:type="paragraph" w:styleId="Tekstprzypisudolnego">
    <w:name w:val="footnote text"/>
    <w:basedOn w:val="Normalny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rPr>
      <w:sz w:val="20"/>
    </w:rPr>
  </w:style>
  <w:style w:type="paragraph" w:customStyle="1" w:styleId="ZTIRLITzmlittiret">
    <w:name w:val="Z_TIR/LIT – zm. lit. tiret"/>
    <w:basedOn w:val="LITliter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pPr>
      <w:ind w:left="1383"/>
    </w:pPr>
  </w:style>
  <w:style w:type="paragraph" w:customStyle="1" w:styleId="ZTIRTIRzmtirtiret">
    <w:name w:val="Z_TIR/TIR – zm. tir. tiret"/>
    <w:basedOn w:val="TIRtiret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pPr>
      <w:ind w:left="2767"/>
    </w:pPr>
  </w:style>
  <w:style w:type="paragraph" w:customStyle="1" w:styleId="ZTIRTIRwLITzmtirwlittiret">
    <w:name w:val="Z_TIR/TIR_w_LIT – zm. tir. w lit. tiret"/>
    <w:basedOn w:val="TIRtiret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pPr>
      <w:ind w:left="1780"/>
    </w:pPr>
  </w:style>
  <w:style w:type="paragraph" w:customStyle="1" w:styleId="Z2TIRzmpodwtirartykuempunktem">
    <w:name w:val="Z/2TIR – zm. podw. tir. artykułem (punktem)"/>
    <w:basedOn w:val="TIRtiret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pPr>
      <w:ind w:left="2370" w:firstLine="0"/>
    </w:pPr>
  </w:style>
  <w:style w:type="paragraph" w:customStyle="1" w:styleId="ZLIT2TIRzmpodwtirliter">
    <w:name w:val="Z_LIT/2TIR – zm. podw. tir. literą"/>
    <w:basedOn w:val="TIRtiret"/>
  </w:style>
  <w:style w:type="paragraph" w:customStyle="1" w:styleId="ZTIR2TIRzmpodwtirtiret">
    <w:name w:val="Z_TIR/2TIR – zm. podw. tir. tiret"/>
    <w:basedOn w:val="TIRtiret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pPr>
      <w:ind w:left="2291"/>
    </w:pPr>
  </w:style>
  <w:style w:type="paragraph" w:customStyle="1" w:styleId="ZTIRPKTzmpkttiret">
    <w:name w:val="Z_TIR/PKT – zm. pkt tiret"/>
    <w:basedOn w:val="PKTpunkt"/>
    <w:pPr>
      <w:ind w:left="1893"/>
    </w:pPr>
  </w:style>
  <w:style w:type="paragraph" w:customStyle="1" w:styleId="ZTIRLITwPKTzmlitwpkttiret">
    <w:name w:val="Z_TIR/LIT_w_PKT – zm. lit. w pkt tiret"/>
    <w:basedOn w:val="LITliter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pPr>
      <w:ind w:left="1860"/>
    </w:pPr>
  </w:style>
  <w:style w:type="paragraph" w:customStyle="1" w:styleId="ZTIR2TIRwLITzmpodwtirwlittiret">
    <w:name w:val="Z_TIR/2TIR_w_LIT – zm. podw. tir. w lit. tiret"/>
    <w:basedOn w:val="TIRtiret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pPr>
      <w:ind w:left="2257"/>
    </w:pPr>
  </w:style>
  <w:style w:type="paragraph" w:customStyle="1" w:styleId="ZTIR2TIRwTIRzmpodwtirwtirtiret">
    <w:name w:val="Z_TIR/2TIR_w_TIR – zm. podw. tir. w tir. tiret"/>
    <w:basedOn w:val="TIRtiret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pPr>
      <w:ind w:left="1780"/>
    </w:pPr>
  </w:style>
  <w:style w:type="paragraph" w:customStyle="1" w:styleId="Z2TIRLITzmlitpodwjnymtiret">
    <w:name w:val="Z_2TIR/LIT – zm. lit. podwójnym tiret"/>
    <w:basedOn w:val="LITliter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pPr>
      <w:ind w:left="1894"/>
    </w:pPr>
  </w:style>
  <w:style w:type="paragraph" w:customStyle="1" w:styleId="ZZPKTzmianazmpkt">
    <w:name w:val="ZZ/PKT – zmiana zm. pkt"/>
    <w:basedOn w:val="ZPKTzmpktartykuempunktem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pPr>
      <w:ind w:left="2404"/>
    </w:pPr>
  </w:style>
  <w:style w:type="paragraph" w:customStyle="1" w:styleId="ODNONIKtreodnonika">
    <w:name w:val="ODNOŚNIK – treść odnośnika"/>
    <w:pPr>
      <w:suppressAutoHyphens/>
      <w:spacing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pPr>
      <w:keepNext/>
      <w:suppressAutoHyphens/>
      <w:spacing w:before="120"/>
      <w:jc w:val="center"/>
    </w:pPr>
    <w:rPr>
      <w:rFonts w:cs="Arial"/>
      <w:bCs/>
      <w:kern w:val="3"/>
    </w:rPr>
  </w:style>
  <w:style w:type="paragraph" w:customStyle="1" w:styleId="Z2TIR2TIRzmpodwtirpodwjnymtiret">
    <w:name w:val="Z_2TIR/2TIR – zm. podw. tir. podwójnym tiret"/>
    <w:basedOn w:val="TIRtiret"/>
    <w:pPr>
      <w:ind w:left="2177"/>
    </w:pPr>
  </w:style>
  <w:style w:type="paragraph" w:customStyle="1" w:styleId="Z2TIRTIRzmtirpodwjnymtiret">
    <w:name w:val="Z_2TIR/TIR – zm. tir. podwójnym tiret"/>
    <w:basedOn w:val="TIRtiret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</w:style>
  <w:style w:type="paragraph" w:customStyle="1" w:styleId="ZLIT2TIRwTIRzmpodwtirwtirliter">
    <w:name w:val="Z_LIT/2TIR_w_TIR – zm. podw. tir. w tir. literą"/>
    <w:basedOn w:val="ZLIT2TIRzmpodwtirliter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</w:style>
  <w:style w:type="paragraph" w:customStyle="1" w:styleId="ZZ2TIRzmianazmpodwtir">
    <w:name w:val="ZZ/2TIR – zmiana zm. podw. tir."/>
    <w:basedOn w:val="ZZCZWSP2TIRzmianazmczciwsppodwtir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</w:style>
  <w:style w:type="paragraph" w:customStyle="1" w:styleId="ZLITCZWSPLITzmczciwsplitliter">
    <w:name w:val="Z_LIT/CZ_WSP_LIT – zm. części wsp. lit. literą"/>
    <w:basedOn w:val="ZLITCZWSPPKTzmczciwsppktliter"/>
    <w:next w:val="LITlitera"/>
  </w:style>
  <w:style w:type="paragraph" w:customStyle="1" w:styleId="ZLITCZWSPTIRzmczciwsptirliter">
    <w:name w:val="Z_LIT/CZ_WSP_TIR – zm. części wsp. tir. literą"/>
    <w:basedOn w:val="ZLITCZWSPPKTzmczciwsppktliter"/>
    <w:next w:val="LITlitera"/>
  </w:style>
  <w:style w:type="paragraph" w:customStyle="1" w:styleId="ZTIRCZWSPLITzmczciwsplittiret">
    <w:name w:val="Z_TIR/CZ_WSP_LIT – zm. części wsp. lit. tiret"/>
    <w:basedOn w:val="ZTIRCZWSPPKTzmczciwsppkttiret"/>
    <w:next w:val="TIRtiret"/>
  </w:style>
  <w:style w:type="paragraph" w:customStyle="1" w:styleId="ZTIRCZWSPTIRzmczciwsptirtiret">
    <w:name w:val="Z_TIR/CZ_WSP_TIR – zm. części wsp. tir. tiret"/>
    <w:basedOn w:val="ZTIRCZWSPPKTzmczciwsppkttiret"/>
    <w:next w:val="TIRtiret"/>
  </w:style>
  <w:style w:type="paragraph" w:customStyle="1" w:styleId="ZZCZWSPLITzmianazmczciwsplit">
    <w:name w:val="ZZ/CZ_WSP_LIT – zmiana. zm. części wsp. lit."/>
    <w:basedOn w:val="ZZCZWSPPKTzmianazmczciwsppkt"/>
  </w:style>
  <w:style w:type="paragraph" w:customStyle="1" w:styleId="ZZCZWSPTIRzmianazmczciwsptir">
    <w:name w:val="ZZ/CZ_WSP_TIR – zmiana. zm. części wsp. tir."/>
    <w:basedOn w:val="ZZCZWSPPKTzmianazmczciwsppkt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ZZUSTzmianazmust">
    <w:name w:val="ZZ/UST(§) – zmiana zm. ust. (§)"/>
    <w:basedOn w:val="ZZARTzmianazmart"/>
  </w:style>
  <w:style w:type="paragraph" w:customStyle="1" w:styleId="TYTDZPRZEDMprzedmiotregulacjitytuulubdziau">
    <w:name w:val="TYT(DZ)_PRZEDM – przedmiot regulacji tytułu lub działu"/>
    <w:next w:val="ARTartustawynprozporzdzeni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pPr>
      <w:ind w:left="1894"/>
    </w:pPr>
  </w:style>
  <w:style w:type="paragraph" w:customStyle="1" w:styleId="P1wTABELIpoziom1numeracjiwtabeli">
    <w:name w:val="P1_w_TABELI – poziom 1 numeracji w tabeli"/>
    <w:basedOn w:val="PKTpunkt"/>
    <w:pPr>
      <w:ind w:left="397" w:hanging="397"/>
    </w:pPr>
    <w:rPr>
      <w:kern w:val="3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pPr>
      <w:ind w:left="1588"/>
    </w:pPr>
  </w:style>
  <w:style w:type="paragraph" w:customStyle="1" w:styleId="TYTTABELItytutabeli">
    <w:name w:val="TYT_TABELI – tytuł tabeli"/>
    <w:basedOn w:val="TYTDZOZNoznaczenietytuulubdziau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pPr>
      <w:suppressAutoHyphens/>
      <w:jc w:val="right"/>
    </w:pPr>
    <w:rPr>
      <w:rFonts w:ascii="Times New Roman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pPr>
      <w:suppressAutoHyphens/>
    </w:pPr>
    <w:rPr>
      <w:rFonts w:ascii="Times New Roman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pPr>
      <w:ind w:left="510" w:firstLine="0"/>
    </w:pPr>
  </w:style>
  <w:style w:type="paragraph" w:customStyle="1" w:styleId="NOTATKILEGISLATORA">
    <w:name w:val="NOTATKI_LEGISLATORA"/>
    <w:basedOn w:val="Normalny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</w:style>
  <w:style w:type="paragraph" w:customStyle="1" w:styleId="TEKSTZacznikido">
    <w:name w:val="TEKST&quot;Załącznik(i) do ...&quot;"/>
    <w:pPr>
      <w:keepNext/>
      <w:suppressAutoHyphens/>
      <w:spacing w:after="240" w:line="240" w:lineRule="auto"/>
      <w:ind w:left="5670"/>
      <w:contextualSpacing/>
    </w:pPr>
    <w:rPr>
      <w:rFonts w:ascii="Times New Roman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</w:style>
  <w:style w:type="paragraph" w:customStyle="1" w:styleId="ZZFRAGzmianazmfragmentunpzdania">
    <w:name w:val="ZZ/FRAG – zmiana zm. fragmentu (np. zdania)"/>
    <w:basedOn w:val="ZZCZWSPPKTzmianazmczciwsppkt"/>
  </w:style>
  <w:style w:type="paragraph" w:customStyle="1" w:styleId="Z2TIRPKTzmpktpodwjnymtiret">
    <w:name w:val="Z_2TIR/PKT – zm. pkt podwójnym tiret"/>
    <w:basedOn w:val="Z2TIRLITzmlitpodwjnymtiret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pPr>
      <w:ind w:left="2767" w:firstLine="0"/>
    </w:pPr>
  </w:style>
  <w:style w:type="paragraph" w:customStyle="1" w:styleId="ZLITARTzmartliter">
    <w:name w:val="Z_LIT/ART(§) – zm. art. (§) literą"/>
    <w:basedOn w:val="ZLITUSTzmustliter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</w:style>
  <w:style w:type="paragraph" w:customStyle="1" w:styleId="ZLITKSIGIzmozniprzedmksigiliter">
    <w:name w:val="Z_LIT/KSIĘGI – zm. ozn. i przedm. księgi literą"/>
    <w:basedOn w:val="ZCZCIKSIGIzmozniprzedmczciksigiartykuempunktem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pPr>
      <w:ind w:left="1780"/>
    </w:pPr>
  </w:style>
  <w:style w:type="character" w:customStyle="1" w:styleId="IGindeksgrny">
    <w:name w:val="_IG_ – indeks górny"/>
    <w:basedOn w:val="Domylnaczcionkaakapitu"/>
    <w:rPr>
      <w:b w:val="0"/>
      <w:i w:val="0"/>
      <w:vanish w:val="0"/>
      <w:spacing w:val="0"/>
      <w:position w:val="0"/>
      <w:vertAlign w:val="superscript"/>
    </w:rPr>
  </w:style>
  <w:style w:type="character" w:customStyle="1" w:styleId="IDindeksdolny">
    <w:name w:val="_ID_ – indeks dolny"/>
    <w:basedOn w:val="Domylnaczcionkaakapitu"/>
    <w:rPr>
      <w:b w:val="0"/>
      <w:i w:val="0"/>
      <w:vanish w:val="0"/>
      <w:spacing w:val="0"/>
      <w:position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rPr>
      <w:b/>
      <w:vanish w:val="0"/>
      <w:spacing w:val="0"/>
      <w:position w:val="0"/>
      <w:vertAlign w:val="subscript"/>
    </w:rPr>
  </w:style>
  <w:style w:type="character" w:customStyle="1" w:styleId="IDKindeksdolnyikursywa">
    <w:name w:val="_ID_K_ – indeks dolny i kursywa"/>
    <w:basedOn w:val="Domylnaczcionkaakapitu"/>
    <w:rPr>
      <w:i/>
      <w:vanish w:val="0"/>
      <w:spacing w:val="0"/>
      <w:position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rPr>
      <w:b/>
      <w:vanish w:val="0"/>
      <w:spacing w:val="0"/>
      <w:position w:val="0"/>
      <w:vertAlign w:val="superscript"/>
    </w:rPr>
  </w:style>
  <w:style w:type="character" w:customStyle="1" w:styleId="IGKindeksgrnyikursywa">
    <w:name w:val="_IG_K_ – indeks górny i kursywa"/>
    <w:basedOn w:val="Domylnaczcionkaakapitu"/>
    <w:rPr>
      <w:i/>
      <w:vanish w:val="0"/>
      <w:spacing w:val="0"/>
      <w:position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rPr>
      <w:b/>
      <w:i/>
      <w:vanish w:val="0"/>
      <w:spacing w:val="0"/>
      <w:position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rPr>
      <w:b/>
      <w:i/>
      <w:vanish w:val="0"/>
      <w:spacing w:val="0"/>
      <w:position w:val="0"/>
      <w:vertAlign w:val="subscript"/>
    </w:rPr>
  </w:style>
  <w:style w:type="character" w:customStyle="1" w:styleId="Ppogrubienie">
    <w:name w:val="_P_ – pogrubienie"/>
    <w:basedOn w:val="Domylnaczcionkaakapitu"/>
    <w:rPr>
      <w:b/>
    </w:rPr>
  </w:style>
  <w:style w:type="character" w:customStyle="1" w:styleId="Kkursywa">
    <w:name w:val="_K_ – kursywa"/>
    <w:basedOn w:val="Domylnaczcionkaakapitu"/>
    <w:rPr>
      <w:i/>
    </w:rPr>
  </w:style>
  <w:style w:type="character" w:customStyle="1" w:styleId="PKpogrubieniekursywa">
    <w:name w:val="_P_K_ – pogrubienie kursywa"/>
    <w:basedOn w:val="Domylnaczcionkaakapitu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rPr>
      <w:b/>
      <w:vanish w:val="0"/>
      <w:spacing w:val="0"/>
      <w:position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rPr>
      <w:b w:val="0"/>
      <w:i w:val="0"/>
      <w:vanish w:val="0"/>
      <w:spacing w:val="0"/>
      <w:position w:val="0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pPr>
      <w:widowControl/>
      <w:autoSpaceDE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pPr>
      <w:widowControl/>
      <w:ind w:firstLine="510"/>
    </w:pPr>
    <w:rPr>
      <w:rFonts w:ascii="Times" w:hAnsi="Times"/>
      <w:bCs/>
      <w:kern w:val="3"/>
    </w:rPr>
  </w:style>
  <w:style w:type="paragraph" w:customStyle="1" w:styleId="TEKSTwTABELIWYRODKOWANYtekstwyrodkowanywpoziomie">
    <w:name w:val="TEKST_w_TABELI_WYŚRODKOWANY – tekst wyśrodkowany w poziomie"/>
    <w:basedOn w:val="Normalny"/>
    <w:pPr>
      <w:widowControl/>
      <w:jc w:val="center"/>
    </w:pPr>
    <w:rPr>
      <w:rFonts w:ascii="Times" w:hAnsi="Times"/>
      <w:bCs/>
      <w:kern w:val="3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pPr>
      <w:ind w:left="2291" w:firstLine="0"/>
    </w:pPr>
  </w:style>
  <w:style w:type="paragraph" w:customStyle="1" w:styleId="WMATFIZCHEMwzrmatfizlubchem">
    <w:name w:val="W_MAT(FIZ|CHEM) – wzór mat. (fiz. lub chem.)"/>
    <w:pPr>
      <w:suppressAutoHyphens/>
      <w:jc w:val="center"/>
    </w:pPr>
    <w:rPr>
      <w:rFonts w:ascii="Times New Roman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pPr>
      <w:ind w:left="1780"/>
    </w:pPr>
  </w:style>
  <w:style w:type="character" w:styleId="Tekstzastpczy">
    <w:name w:val="Placeholder Text"/>
    <w:basedOn w:val="Domylnaczcionkaakapitu"/>
    <w:rPr>
      <w:color w:val="808080"/>
    </w:rPr>
  </w:style>
  <w:style w:type="paragraph" w:styleId="Poprawka">
    <w:name w:val="Revision"/>
    <w:hidden/>
    <w:uiPriority w:val="99"/>
    <w:semiHidden/>
    <w:rsid w:val="00967635"/>
    <w:pPr>
      <w:autoSpaceDN/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ojtowicz\Desktop\Szablon%20aktu%20prawnego%204_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Wójtowicz Maria</dc:creator>
  <cp:lastModifiedBy>Jarnutowska-Wrzodak Agata</cp:lastModifiedBy>
  <cp:revision>4</cp:revision>
  <cp:lastPrinted>2012-04-23T06:39:00Z</cp:lastPrinted>
  <dcterms:created xsi:type="dcterms:W3CDTF">2024-04-11T13:30:00Z</dcterms:created>
  <dcterms:modified xsi:type="dcterms:W3CDTF">2024-04-11T13:41:00Z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