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E473" w14:textId="647E471A" w:rsidR="00C63967" w:rsidRPr="009767C9" w:rsidRDefault="00215C5C">
      <w:pPr>
        <w:pStyle w:val="P68B1DB1-Standard1"/>
        <w:shd w:val="clear" w:color="auto" w:fill="FFFFFF" w:themeFill="background1"/>
        <w:spacing w:before="240"/>
        <w:jc w:val="center"/>
      </w:pPr>
      <w:bookmarkStart w:id="0" w:name="_GoBack"/>
      <w:bookmarkEnd w:id="0"/>
      <w:r w:rsidRPr="009767C9">
        <w:t xml:space="preserve">Deklaracja berlińska </w:t>
      </w:r>
    </w:p>
    <w:p w14:paraId="74B5CCEA" w14:textId="6B0E1ED9" w:rsidR="00C63967" w:rsidRPr="009767C9" w:rsidRDefault="00215C5C">
      <w:pPr>
        <w:pStyle w:val="P68B1DB1-Standard1"/>
        <w:shd w:val="clear" w:color="auto" w:fill="FFFFFF" w:themeFill="background1"/>
        <w:jc w:val="center"/>
      </w:pPr>
      <w:r w:rsidRPr="009767C9">
        <w:t>w sprawie społeczeństwa cyfrowego i administracji cyfrowej opartej na wartościach</w:t>
      </w:r>
    </w:p>
    <w:p w14:paraId="7D833599" w14:textId="4AC44F7F" w:rsidR="00C63967" w:rsidRPr="009767C9" w:rsidRDefault="00C63967">
      <w:pPr>
        <w:shd w:val="clear" w:color="auto" w:fill="FFFFFF" w:themeFill="background1"/>
        <w:jc w:val="center"/>
        <w:rPr>
          <w:rFonts w:ascii="BundesSans Office" w:hAnsi="BundesSans Office"/>
          <w:b/>
          <w:sz w:val="24"/>
        </w:rPr>
      </w:pPr>
    </w:p>
    <w:p w14:paraId="424F1DF9" w14:textId="2F5AC1F4" w:rsidR="00C63967" w:rsidRPr="009767C9" w:rsidRDefault="00C63967">
      <w:pPr>
        <w:jc w:val="center"/>
        <w:rPr>
          <w:rFonts w:ascii="BundesSans Office" w:hAnsi="BundesSans Office"/>
          <w:sz w:val="24"/>
        </w:rPr>
      </w:pPr>
    </w:p>
    <w:p w14:paraId="703DAE20" w14:textId="77777777" w:rsidR="00C63967" w:rsidRPr="009767C9" w:rsidRDefault="00215C5C">
      <w:pPr>
        <w:pStyle w:val="P68B1DB1-Standard2"/>
      </w:pPr>
      <w:r w:rsidRPr="009767C9">
        <w:t>Wstęp</w:t>
      </w:r>
    </w:p>
    <w:p w14:paraId="094DE535" w14:textId="08E12B10" w:rsidR="00C63967" w:rsidRPr="009767C9" w:rsidRDefault="00215C5C">
      <w:pPr>
        <w:pStyle w:val="P68B1DB1-Standard3"/>
        <w:tabs>
          <w:tab w:val="left" w:pos="708"/>
        </w:tabs>
        <w:spacing w:before="60"/>
        <w:jc w:val="both"/>
      </w:pPr>
      <w:r w:rsidRPr="009767C9">
        <w:t>Transformacja cyfrowa otwiera nowe możliwości i nowe formy partycypacji społecznej i procesów kształtowania opinii publicznej, niosące potencjał zaangażowania wszystkich członków naszych społeczeństw. Technologie cyfrowe oferują nowe sposoby rozwiązywania problemów społecznych oraz zwiększania wydajności i skuteczności rządów oraz instytucji publicznych. Nasze społeczeństwa powinny w pełni skorzystać z tych nowych możliwości. Pandemia COVID-19, która nadal wywiera głęboki wpływ na nasze społeczeństwa pod względem edukacyjnym, gospodarczym, rekreacyjnym i pod względem zachowań, podkreśla jednocześnie, że technologie cyfrowe mogą umożliwić naszym społeczeństwom skuteczne sprostanie nagłym i ekstremalnym wyzwaniom oraz że innowacyjne narzędzia cyfrowe mogą być opracowywane z uwzględnieniem wartości i praw podstawowych UE. Możliwe jest to jednak tylko wtedy, gdy ludzie są odpowiednio wykwalifikowani i mają łatwy dostęp do niezbędnej technologii i łączności. Musimy przeanalizować wnioski wyciągnięte z okresu pandemii z myślą o zapobieganiu kryzysom i zwiększeniu odporności na szerszą skalę, a także pamiętać o jej stymulującym działaniu na transformację cyfrową. Musimy wykorzystać tę wyjątkową okazję, aby aktywniej kształtować strategiczny kierunek transformacji cyfrowej w naszych państwach członkowskich.</w:t>
      </w:r>
    </w:p>
    <w:p w14:paraId="0C5EE52B" w14:textId="1439DDB9" w:rsidR="00C63967" w:rsidRPr="009767C9" w:rsidRDefault="00215C5C">
      <w:pPr>
        <w:pStyle w:val="P68B1DB1-Standard3"/>
        <w:tabs>
          <w:tab w:val="left" w:pos="708"/>
        </w:tabs>
        <w:spacing w:before="120"/>
        <w:jc w:val="both"/>
        <w:rPr>
          <w:highlight w:val="yellow"/>
        </w:rPr>
      </w:pPr>
      <w:r w:rsidRPr="009767C9">
        <w:t>Deklaracja z Tallina z 2017 r</w:t>
      </w:r>
      <w:r w:rsidR="009767C9">
        <w:t>oku</w:t>
      </w:r>
      <w:r w:rsidRPr="009767C9">
        <w:t xml:space="preserve"> w sprawie administracji elektronicznej była kamieniem milowym dla zorientowanej na usługi, niezawodnej i innowacyjnej administracji elektronicznej w Europie. Ponieważ cele i ramy deklaracji pozostają bezsporne, potwierdzamy nasze wspólne zaangażowanie polityczne w zakresie określonych priorytetów w celu zapewnienia wysokiej jakości, zorientowanych na użytkownika i płynnych transgranicznych cyfrowych usług publicznych dla obywateli i przedsiębiorstw w ramach tworzenia zorientowanego na przyszłość jednolitego rynku europejskiego. Jednak sukces nowoczesnej i innowacyjnej administracji cyfrowej zależy od zaangażowania jak największej liczby członków naszych społeczeństw, zwłaszcza tych, którzy obawiają się cyfryzacji, niepokoją się o bezpieczeństwo i prywatność lub mają trudności z nadążaniem za szybkim rozwojem technologicznym. Stawką jest rzeczywiste wyposażenie w kompetencje cyfrowe naszych obywateli, którzy chcą czerpać korzyści ze zdigitalizowanego świata. Każdy powinien mieć możliwość skorzystania z możliwości, jakie daje digitalizacja. Nikt nie powinien zostać pominięty.</w:t>
      </w:r>
    </w:p>
    <w:p w14:paraId="00DF6BBD" w14:textId="711A3E7B" w:rsidR="00C63967" w:rsidRPr="009767C9" w:rsidRDefault="00215C5C">
      <w:pPr>
        <w:pStyle w:val="P68B1DB1-Standard3"/>
        <w:tabs>
          <w:tab w:val="left" w:pos="708"/>
        </w:tabs>
        <w:spacing w:before="120"/>
        <w:jc w:val="both"/>
      </w:pPr>
      <w:r w:rsidRPr="009767C9">
        <w:t>Niniejsza deklaracja ma na celu przyczynienie się do transformacji cyfrowej opartej na wartościach poprzez zajęcie się i wzmocnienie uczestnictwa naszych obywateli w społeczeństwie cyfrowym i integracji cyfrowej. Potrzebujemy kompasu, który pomoże nam kierować transformacją cyfrową zgodnie z naszymi wspólnymi europejskimi prawami i wartościami podstawowymi; kształtować ją przez procesy partycypacyjne, które do pewnego stopnia same mogą wymagać zmian na drodze zaangażowania obywateli i ogółu społeczeństwa w otwarte konsultacje prowadzone online i offline. Jak podkreśla Traktat o Unii Europejskiej (TUE), czerpiemy inspirację z „</w:t>
      </w:r>
      <w:r w:rsidRPr="009767C9">
        <w:rPr>
          <w:iCs/>
        </w:rPr>
        <w:t>kulturowego, religijnego i humanistycznego dziedzictwa Europy, z którego wynikają powszechne wartości, stanowiące nienaruszalne i niezbywalne prawa człowieka, jak również wolność, demokracja, równość oraz państwo prawne</w:t>
      </w:r>
      <w:r w:rsidR="009767C9">
        <w:rPr>
          <w:iCs/>
        </w:rPr>
        <w:t>”</w:t>
      </w:r>
      <w:r w:rsidRPr="009767C9">
        <w:rPr>
          <w:i/>
        </w:rPr>
        <w:t>.</w:t>
      </w:r>
      <w:r w:rsidRPr="009767C9">
        <w:t xml:space="preserve"> Z zadowoleniem przyjmujemy ciągłe wysiłki na rzecz poprawy współpracy cyfrowej w skali globalnej, w szczególności plan działania Sekretarza Generalnego ONZ na rzecz współpracy cyfrowej, a także bieżące inicjatywy, takie jak </w:t>
      </w:r>
      <w:r w:rsidR="009767C9">
        <w:t>„</w:t>
      </w:r>
      <w:r w:rsidRPr="009767C9">
        <w:t>koalicja woli</w:t>
      </w:r>
      <w:r w:rsidR="009767C9">
        <w:t>”</w:t>
      </w:r>
      <w:r w:rsidRPr="009767C9">
        <w:t xml:space="preserve">, których celem jest połączenie sił w </w:t>
      </w:r>
      <w:r w:rsidRPr="009767C9">
        <w:lastRenderedPageBreak/>
        <w:t>ramach transformacji administracji cyfrowej na szczeblu UE. Dbając o to, aby transformacja cyfrowa opierała się na naszych silnych wspólnych wartościach demokratycznych i etycznych oraz poniższych zasadach, możemy wykorzystać nowe technologie dla wspólnego dobra, dążąc do coraz lepiej zintegrowanej Unii Europejskiej.</w:t>
      </w:r>
    </w:p>
    <w:p w14:paraId="3C2DDF72" w14:textId="1E147FD4" w:rsidR="00C63967" w:rsidRPr="009767C9" w:rsidRDefault="00C63967">
      <w:pPr>
        <w:tabs>
          <w:tab w:val="left" w:pos="708"/>
        </w:tabs>
        <w:jc w:val="both"/>
        <w:rPr>
          <w:rFonts w:ascii="BundesSans Office" w:hAnsi="BundesSans Office"/>
          <w:sz w:val="24"/>
        </w:rPr>
      </w:pPr>
    </w:p>
    <w:p w14:paraId="1378A2B0" w14:textId="77777777" w:rsidR="00C63967" w:rsidRPr="009767C9" w:rsidRDefault="00C63967">
      <w:pPr>
        <w:tabs>
          <w:tab w:val="left" w:pos="708"/>
        </w:tabs>
        <w:jc w:val="both"/>
        <w:rPr>
          <w:rFonts w:ascii="BundesSans Office" w:hAnsi="BundesSans Office"/>
          <w:sz w:val="24"/>
        </w:rPr>
      </w:pPr>
    </w:p>
    <w:p w14:paraId="6A43A12C" w14:textId="4D4564F1" w:rsidR="00C63967" w:rsidRPr="009767C9" w:rsidRDefault="00215C5C">
      <w:pPr>
        <w:pStyle w:val="P68B1DB1-Standard4"/>
        <w:spacing w:after="60"/>
        <w:jc w:val="both"/>
      </w:pPr>
      <w:r w:rsidRPr="009767C9">
        <w:t xml:space="preserve">I. </w:t>
      </w:r>
      <w:r w:rsidRPr="009767C9">
        <w:rPr>
          <w:u w:val="single"/>
        </w:rPr>
        <w:t>Zasady</w:t>
      </w:r>
      <w:r w:rsidRPr="009767C9">
        <w:t xml:space="preserve"> </w:t>
      </w:r>
    </w:p>
    <w:p w14:paraId="3F8B0A06" w14:textId="2A348866" w:rsidR="00C63967" w:rsidRPr="009767C9" w:rsidRDefault="00215C5C">
      <w:pPr>
        <w:jc w:val="both"/>
        <w:rPr>
          <w:rFonts w:ascii="BundesSans Office" w:hAnsi="BundesSans Office"/>
          <w:b/>
          <w:sz w:val="28"/>
        </w:rPr>
      </w:pPr>
      <w:r w:rsidRPr="009767C9">
        <w:rPr>
          <w:rFonts w:ascii="BundesSans Office" w:hAnsi="BundesSans Office"/>
          <w:sz w:val="24"/>
        </w:rPr>
        <w:t>Uznając prawa, zasady i wartości, na których opiera się Unia Europejska</w:t>
      </w:r>
      <w:r w:rsidRPr="009767C9">
        <w:rPr>
          <w:rStyle w:val="Odwoanieprzypisudolnego"/>
          <w:rFonts w:ascii="BundesSans Office" w:hAnsi="BundesSans Office"/>
          <w:sz w:val="24"/>
        </w:rPr>
        <w:footnoteReference w:id="1"/>
      </w:r>
      <w:r w:rsidRPr="009767C9">
        <w:rPr>
          <w:rFonts w:ascii="BundesSans Office" w:hAnsi="BundesSans Office"/>
          <w:sz w:val="24"/>
        </w:rPr>
        <w:t xml:space="preserve"> , a także kluczowe inicjatywy, przepisy i strategie kształtowania transformacji cyfrowej i wzmacniania jednolitego rynku europejskiego</w:t>
      </w:r>
      <w:r w:rsidRPr="009767C9">
        <w:rPr>
          <w:rStyle w:val="Odwoanieprzypisudolnego"/>
          <w:rFonts w:ascii="BundesSans Office" w:hAnsi="BundesSans Office"/>
          <w:sz w:val="24"/>
        </w:rPr>
        <w:footnoteReference w:id="2"/>
      </w:r>
      <w:r w:rsidRPr="009767C9">
        <w:rPr>
          <w:rFonts w:ascii="BundesSans Office" w:hAnsi="BundesSans Office"/>
          <w:sz w:val="24"/>
        </w:rPr>
        <w:t>, potwierdzamy nasze zobowiązanie do poszanowania i obrony wolności i praw jednostki, zapewniając jednocześnie, że korzystanie z nich odbywa się z poszanowaniem wolności i praw innych osób. Uznajemy sektor publiczny za istotny element jednolitego rynku europejskiego i siłę napędową nowych i innowacyjnych rozwiązań technologicznych w zakresie usług publicznych i wyzwań społecznych. Władze publiczne na wszystkich szczeblach muszą dawać przykład, aby wzmocnić założenia Unii Europejskiej, przyjmując następujące podstawowe zasady w sferze cyfrowej:</w:t>
      </w:r>
    </w:p>
    <w:p w14:paraId="540C5761" w14:textId="77777777" w:rsidR="00C63967" w:rsidRPr="009767C9" w:rsidRDefault="00C63967">
      <w:pPr>
        <w:jc w:val="both"/>
        <w:rPr>
          <w:rFonts w:ascii="BundesSans Office" w:hAnsi="BundesSans Office"/>
          <w:sz w:val="24"/>
        </w:rPr>
      </w:pPr>
    </w:p>
    <w:p w14:paraId="7880FDD9" w14:textId="77777777" w:rsidR="00C63967" w:rsidRPr="009767C9" w:rsidRDefault="00215C5C">
      <w:pPr>
        <w:pStyle w:val="P68B1DB1-Listenabsatz5"/>
        <w:numPr>
          <w:ilvl w:val="0"/>
          <w:numId w:val="1"/>
        </w:numPr>
        <w:ind w:left="357" w:hanging="357"/>
        <w:jc w:val="both"/>
        <w:rPr>
          <w:strike/>
        </w:rPr>
      </w:pPr>
      <w:r w:rsidRPr="009767C9">
        <w:t>Ważność i poszanowanie praw podstawowych i wartości demokratycznych</w:t>
      </w:r>
    </w:p>
    <w:p w14:paraId="07977754" w14:textId="36B7AC44" w:rsidR="00C63967" w:rsidRPr="009767C9" w:rsidRDefault="00215C5C">
      <w:pPr>
        <w:pStyle w:val="P68B1DB1-Standard3"/>
        <w:ind w:left="357" w:right="-113"/>
        <w:jc w:val="both"/>
      </w:pPr>
      <w:r w:rsidRPr="009767C9">
        <w:t xml:space="preserve">Każdy człowiek ma prawo do bycia traktowanym z szacunkiem i uczciwością </w:t>
      </w:r>
      <w:r w:rsidR="009767C9">
        <w:t>–</w:t>
      </w:r>
      <w:r w:rsidRPr="009767C9">
        <w:t xml:space="preserve"> zarówno w sferze analogowej, jak i cyfrowej. Istniejące prawa, wartości i odpowiadające im ramy prawne Unii Europejskiej obowiązują niezależnie od środków komunikacji i niezależnie od korzystania z formatów analogowych, cyfrowych, hybrydowych lub zintegrowanych. W cyfrowym świecie muszą dominować nasze wspólne fundamenty, takie jak praworządność, troska o godność człowieka, prawo do autonomii i wspólne wartości etyczne. Demokrację europejską należy chronić zarówno przed dezinformacją, jak i jawnymi atakami na wybory, z zachowaniem należytego poszanowania wolności słowa. Wszyscy obywatele powinni mieć możliwość weryfikacji autentyczności informacji, stron internetowych i aplikacji online. Wszyscy, a zwłaszcza dzieci i młodzież, potrzebują możliwie najlepszej ochrony przed złośliwymi działaniami w sieci, takimi jak cyberprzemoc, mobbing lub uwodzenia przez Internet. Dążymy do cyfrowej transformacji, w której każdy uznaje, że podstawowe prawa i wolności określone w Karcie praw podstawowych Unii Europejskiej, a także wspólne podstawowe wartości, takie jak</w:t>
      </w:r>
      <w:r w:rsidRPr="009767C9">
        <w:rPr>
          <w:color w:val="FF0000"/>
        </w:rPr>
        <w:t xml:space="preserve"> </w:t>
      </w:r>
      <w:r w:rsidRPr="009767C9">
        <w:t xml:space="preserve">szacunek dla innych, przejrzystość, prywatność i autentyczność informacji, stanowią podstawę wszystkich interakcji </w:t>
      </w:r>
      <w:r w:rsidR="009767C9">
        <w:t>–</w:t>
      </w:r>
      <w:r w:rsidRPr="009767C9">
        <w:t xml:space="preserve"> także w sferze cyfrowej.</w:t>
      </w:r>
    </w:p>
    <w:p w14:paraId="58C990FB" w14:textId="77777777" w:rsidR="00C63967" w:rsidRPr="009767C9" w:rsidRDefault="00C63967">
      <w:pPr>
        <w:rPr>
          <w:rFonts w:ascii="BundesSans Office" w:hAnsi="BundesSans Office"/>
          <w:sz w:val="24"/>
        </w:rPr>
      </w:pPr>
    </w:p>
    <w:p w14:paraId="47CBC141" w14:textId="4574D1EE" w:rsidR="00C63967" w:rsidRPr="009767C9" w:rsidRDefault="00215C5C">
      <w:pPr>
        <w:pStyle w:val="P68B1DB1-Listenabsatz5"/>
        <w:numPr>
          <w:ilvl w:val="0"/>
          <w:numId w:val="1"/>
        </w:numPr>
        <w:ind w:left="357" w:right="-340" w:hanging="357"/>
        <w:jc w:val="both"/>
      </w:pPr>
      <w:r w:rsidRPr="009767C9">
        <w:t>Rola partycypacji społecznej i integracji cyfrow</w:t>
      </w:r>
      <w:r w:rsidR="009767C9">
        <w:t>ej</w:t>
      </w:r>
      <w:r w:rsidRPr="009767C9">
        <w:t xml:space="preserve"> w kształtowaniu cyfrowego świata</w:t>
      </w:r>
    </w:p>
    <w:p w14:paraId="6EC1ACCF" w14:textId="0DEFA9AB" w:rsidR="00C63967" w:rsidRPr="009767C9" w:rsidRDefault="00215C5C">
      <w:pPr>
        <w:pStyle w:val="P68B1DB1-Standard3"/>
        <w:ind w:left="340"/>
        <w:jc w:val="both"/>
      </w:pPr>
      <w:r w:rsidRPr="009767C9">
        <w:lastRenderedPageBreak/>
        <w:t>Wszyscy obywatele Europy powinni móc bezwarunkowo i bez dyskryminacji uczestniczyć w możliwościach cyfrowych i móc w pełni z nich korzystać. Uznajemy potrzebę równego dostępu do otwartego Internetu dla wszystkich grup społecznych, w tym dla grup znajdujących się w niekorzystnej sytuacji oraz obywateli niepełnosprawnych, za podstawę różnorodności opinii, pluralizmu, innowacji i postępu. Rządy i organy publiczne wszystkich szczebli powinny dawać przykład i świadczyć usługi cyfrowe, które odpowiadają i ewoluują zgodnie z cyfrowymi preferencjami obywateli. Ponieważ większość obywateli korzysta z urządzeń mobilnych w celu uzyskiwania dostępu do Internetu, musimy dokonać zmiany paradygmatu z „eGov” (administracji elektronicznej) na „mGov” (administrację mobilną), zachęcając do integracji lub dążąc do zapewnienia płynnych, przejrzystych, dostępnych i przyjaznych dla użytkownika cyfrowych usług rządowych. Obywatele muszą mieć możliwość korzystania z takich usług cyfrowych bez potrzeby znajomości prawa. Członkowie naszych społeczeństw powinni mieć możliwość współtworzenia cyfrowej transformacji i swobodnego dzielenia się swoimi pomysłami i treściami z innymi, przy jednoczesnym poszanowaniu praw osób trzecich. Sektor publiczny powinien zachęcać do takiego szerszego udziału w kształtowaniu polityki w ramach zaangażowania społeczeństwa w projektowanie usług publicznych poprzez współtworzenie, eksperymentowanie i współpracę.</w:t>
      </w:r>
    </w:p>
    <w:p w14:paraId="170F6502" w14:textId="77777777" w:rsidR="00C63967" w:rsidRPr="009767C9" w:rsidRDefault="00C63967">
      <w:pPr>
        <w:ind w:left="357"/>
        <w:jc w:val="both"/>
        <w:rPr>
          <w:rFonts w:ascii="BundesSans Office" w:hAnsi="BundesSans Office"/>
          <w:sz w:val="24"/>
        </w:rPr>
      </w:pPr>
    </w:p>
    <w:p w14:paraId="44A2AF1B" w14:textId="4D65B31A" w:rsidR="00C63967" w:rsidRPr="009767C9" w:rsidRDefault="00215C5C">
      <w:pPr>
        <w:pStyle w:val="P68B1DB1-Listenabsatz5"/>
        <w:numPr>
          <w:ilvl w:val="0"/>
          <w:numId w:val="1"/>
        </w:numPr>
        <w:ind w:left="357" w:hanging="357"/>
        <w:jc w:val="both"/>
      </w:pPr>
      <w:r w:rsidRPr="009767C9">
        <w:t>Kompetencje i umiejętności cyfrowe</w:t>
      </w:r>
    </w:p>
    <w:p w14:paraId="30246D2F" w14:textId="7888A821" w:rsidR="00C63967" w:rsidRPr="009767C9" w:rsidRDefault="00215C5C">
      <w:pPr>
        <w:pStyle w:val="P68B1DB1-Standard3"/>
        <w:ind w:left="360"/>
        <w:jc w:val="both"/>
      </w:pPr>
      <w:r w:rsidRPr="009767C9">
        <w:t xml:space="preserve">Każdy obywatel i każdy przedsiębiorca w Europie powinien mieć możliwość poruszania się po świecie cyfrowym w sposób </w:t>
      </w:r>
      <w:r w:rsidR="00167D32">
        <w:t xml:space="preserve">pewny i </w:t>
      </w:r>
      <w:r w:rsidRPr="009767C9">
        <w:t xml:space="preserve">samodzielny. Użytkownicy powinni ponadto </w:t>
      </w:r>
      <w:r w:rsidRPr="009767C9">
        <w:rPr>
          <w:shd w:val="clear" w:color="auto" w:fill="FFFFFF" w:themeFill="background1"/>
        </w:rPr>
        <w:t>dysponować możliwością zarządzania</w:t>
      </w:r>
      <w:r w:rsidRPr="009767C9">
        <w:t xml:space="preserve"> swoją tożsamością cyfrową oraz ochrony swoich danych osobowych i prywatności w sieci. Należy uświadomić im ryzyko obecne w świecie cyfrowym, wynikające z cyberprzestępczości i innych zagrożeń dla bezpieczeństwa informacji lub prywatności. Obywatele i przedsiębiorstwa powinni mieć możliwość płynnej i łatwo dostępnej interakcji z administracją publiczną zgodnie z domyślnym podejściem cyfrowym. Oprócz uczciwych, przejrzystych i przyjaznych dla użytkownika procedur i usług cyfrowych, które są od samego początku oparte na koncepcji prywatności, wymaga to również </w:t>
      </w:r>
      <w:r w:rsidRPr="009767C9">
        <w:rPr>
          <w:i/>
        </w:rPr>
        <w:t>umiejętności cyfrowych</w:t>
      </w:r>
      <w:r w:rsidRPr="009767C9">
        <w:t xml:space="preserve"> po stronie użytkownika. W naszym wspólnym interesie leży, aby obywatele Europy zachowali samodzielność dzięki kontroli nad swoimi danymi i ich wykorzystaniem. Powinni oni mieć możliwość samodzielnego decydowania o zakresie, widoczności i istnieniu własnego </w:t>
      </w:r>
      <w:r w:rsidRPr="009767C9">
        <w:rPr>
          <w:i/>
        </w:rPr>
        <w:t>śladu</w:t>
      </w:r>
      <w:r w:rsidRPr="009767C9">
        <w:t xml:space="preserve"> </w:t>
      </w:r>
      <w:r w:rsidRPr="009767C9">
        <w:rPr>
          <w:i/>
        </w:rPr>
        <w:t>cyfrowego</w:t>
      </w:r>
      <w:r w:rsidRPr="009767C9">
        <w:t>. Należy promować uczenie się przez całe życie i rozwój umiejętności cyfrowych, który obejmowałby aspekty etyczne, techniczne, prawne, ekologiczne i społeczne.</w:t>
      </w:r>
    </w:p>
    <w:p w14:paraId="007D7DC5" w14:textId="77777777" w:rsidR="00C63967" w:rsidRPr="009767C9" w:rsidRDefault="00C63967">
      <w:pPr>
        <w:jc w:val="both"/>
      </w:pPr>
    </w:p>
    <w:p w14:paraId="694E8BF0" w14:textId="1DE076A7" w:rsidR="00C63967" w:rsidRPr="009767C9" w:rsidRDefault="00215C5C">
      <w:pPr>
        <w:pStyle w:val="P68B1DB1-Listenabsatz5"/>
        <w:numPr>
          <w:ilvl w:val="0"/>
          <w:numId w:val="1"/>
        </w:numPr>
        <w:ind w:left="357" w:hanging="357"/>
        <w:jc w:val="both"/>
      </w:pPr>
      <w:r w:rsidRPr="009767C9">
        <w:t>Zaufanie i bezpieczeństwo w interakcjach z administracją cyfrową</w:t>
      </w:r>
    </w:p>
    <w:p w14:paraId="055B57D3" w14:textId="7CC26F29" w:rsidR="00C63967" w:rsidRPr="009767C9" w:rsidRDefault="00215C5C">
      <w:pPr>
        <w:pStyle w:val="P68B1DB1-Standard3"/>
        <w:ind w:left="360"/>
        <w:jc w:val="both"/>
      </w:pPr>
      <w:r w:rsidRPr="009767C9">
        <w:t>Każdy powinien mieć możliwość bezpiecznego poruszania się po świecie cyfrowym, uwierzytelniania i wygodnego rozpoznawania cyfrowego w UE. Wszyscy obywatele Europy powinni korzystać z łatwej w użyciu, powszechnie akceptowanej i bezpiecznej identyfikacji elektronicznej zgodnej ze standardami europejskimi (e-ID), która umożliwia im bezpieczny dostęp do publicznych, prywatnych i transgranicznych usług cyfrowych. Ponieważ powszechna akceptacja administracji cyfrowej opiera się na od zaufaniu, musimy zapewnić obywatelom i przedsiębiorstwom dostęp do wiarygodnych i weryfikowalnych aplikacji i usług administracji cyfrowej, które są w pełni zgodne z wysokimi standardami bezpieczeństwa i odpowiadają na potrzeby użytkowników. Ponadto, aby zapewnić wolną, otwartą i bezpieczną przestrzeń cyfrową oraz zwiększyć zaufanie społeczne, wszystkie polityki o wymiarze cyfrowym powinny zawierać zapisy o prawach podstawowych i bezpieczeństwie. Aby wzmocnić zaufanie do cyfrowych interakcji z sektorem publicznym należy zapewnić odpowiednie ramy regulacyjne, które zapewnią przejrzystość, przewidywalność, bezpieczeństwo już na etapie projektowania oraz, w razie potrzeby, ponowne egzekwowanie lub dostosowywanie istniejących przepisów.</w:t>
      </w:r>
    </w:p>
    <w:p w14:paraId="1C44EC3B" w14:textId="77777777" w:rsidR="00C63967" w:rsidRPr="009767C9" w:rsidRDefault="00C63967">
      <w:pPr>
        <w:rPr>
          <w:rFonts w:ascii="BundesSans Office" w:hAnsi="BundesSans Office"/>
          <w:strike/>
          <w:color w:val="FF0000"/>
          <w:sz w:val="24"/>
        </w:rPr>
      </w:pPr>
    </w:p>
    <w:p w14:paraId="1B275E37" w14:textId="1D067FD9" w:rsidR="00C63967" w:rsidRPr="009767C9" w:rsidRDefault="00215C5C">
      <w:pPr>
        <w:pStyle w:val="P68B1DB1-Listenabsatz5"/>
        <w:numPr>
          <w:ilvl w:val="0"/>
          <w:numId w:val="1"/>
        </w:numPr>
        <w:ind w:left="357" w:right="-284" w:hanging="357"/>
        <w:contextualSpacing w:val="0"/>
        <w:jc w:val="both"/>
      </w:pPr>
      <w:r w:rsidRPr="009767C9">
        <w:lastRenderedPageBreak/>
        <w:t>Cyfrowa suwerenność i interoperacyjność</w:t>
      </w:r>
    </w:p>
    <w:p w14:paraId="50562218" w14:textId="45D34AA3" w:rsidR="00C63967" w:rsidRPr="009767C9" w:rsidRDefault="00215C5C">
      <w:pPr>
        <w:pStyle w:val="P68B1DB1-Standard3"/>
        <w:ind w:left="360"/>
        <w:jc w:val="both"/>
      </w:pPr>
      <w:r w:rsidRPr="009767C9">
        <w:t xml:space="preserve">Cyfrowa </w:t>
      </w:r>
      <w:r w:rsidR="001156A4" w:rsidRPr="009767C9">
        <w:t>suwerenność ma</w:t>
      </w:r>
      <w:r w:rsidRPr="009767C9">
        <w:t xml:space="preserve"> kluczowe znaczenie dla zapewnienia obywatelom i administracji publicznej zdolności do podejmowania decyzji i samostanowienia w świecie cyfrowym. Musimy zadbać o to, żeby wszystkie podstawowe komponenty cyfrowe rozwiązań TIK (sprzęt, oprogramowanie i usługi) spełniały wymagania europejskie. Musimy stworzyć Europie odpowiednie warunki do rozwijania i wdrażania naszych własnych kluczowych zdolności cyfrowych, w tym wdrażania bezpiecznej infrastruktury chmury i usług interoperacyjnych, które są w pełni zgodne z europejskimi przepisami prawnymi i wartościami etycznymi. Wspólne standardy, architektury modułowe oraz wykorzystanie oprogramowania Open Source w sektorze publicznym ułatwia wdrażanie i rozwijanie strategicznych narzędzi i możliwości cyfrowych. Aby zagwarantować swobodę wyboru i możliwość zmiany modułów </w:t>
      </w:r>
      <w:r w:rsidR="00EB4066">
        <w:t>informatycznych</w:t>
      </w:r>
      <w:r w:rsidRPr="009767C9">
        <w:t xml:space="preserve"> w razie potrzeby, musimy zapewnić dostępność różnorodnych i wydajnych rozwiązań cyfrowych. Oprogramowanie, dane i narzędzia generowane przez sektor publiczny powinny nadawać się do ponownego wykorzystania i być publicznie dostępne, o ile jest to zgodne z prawami podstawowymi. Jak wyjaśniono w europejskiej strategii w zakresie danych, wzmocnione ramy interoperacyjności oraz odpowiednie ramy regulacyjne mają kluczowe znaczenie dla umożliwienia Europie czerpania korzyści z ekonomicznej wartości danych, tworząc tym samym jednolity rynek danych, który zapewni Europie globalną konkurencyjność i suwerenność w zakresie danych.</w:t>
      </w:r>
    </w:p>
    <w:p w14:paraId="1366E2D1" w14:textId="77777777" w:rsidR="00C63967" w:rsidRPr="009767C9" w:rsidRDefault="00C63967">
      <w:pPr>
        <w:jc w:val="both"/>
      </w:pPr>
    </w:p>
    <w:p w14:paraId="6D181535" w14:textId="42B4A562" w:rsidR="00C63967" w:rsidRPr="009767C9" w:rsidRDefault="00215C5C">
      <w:pPr>
        <w:pStyle w:val="P68B1DB1-Listenabsatz5"/>
        <w:numPr>
          <w:ilvl w:val="0"/>
          <w:numId w:val="1"/>
        </w:numPr>
        <w:ind w:left="357" w:hanging="357"/>
        <w:jc w:val="both"/>
      </w:pPr>
      <w:r w:rsidRPr="009767C9">
        <w:t>Systemy zorientowane na człowieka i innowacyjne technologie w sektorze publicznym</w:t>
      </w:r>
    </w:p>
    <w:p w14:paraId="4FF295AD" w14:textId="790EA281" w:rsidR="00C63967" w:rsidRPr="009767C9" w:rsidRDefault="00215C5C">
      <w:pPr>
        <w:ind w:left="360"/>
        <w:jc w:val="both"/>
        <w:rPr>
          <w:rFonts w:ascii="BundesSans Office" w:hAnsi="BundesSans Office"/>
          <w:sz w:val="24"/>
        </w:rPr>
      </w:pPr>
      <w:r w:rsidRPr="009767C9">
        <w:rPr>
          <w:rFonts w:ascii="BundesSans Office" w:hAnsi="BundesSans Office"/>
          <w:sz w:val="24"/>
        </w:rPr>
        <w:t>Musimy zadbać o to, aby Unia Europejska dalej wzmacniała swoją pionierską rolę w badaniach nad bezpiecznym i godnym zaufania projektowaniem technologii oraz aby możliwości związane z powstającymi technologiami przełomowymi (EDT), w tym z Internetem rzeczy (IoT), system</w:t>
      </w:r>
      <w:r w:rsidR="00EB4066">
        <w:rPr>
          <w:rFonts w:ascii="BundesSans Office" w:hAnsi="BundesSans Office"/>
          <w:sz w:val="24"/>
        </w:rPr>
        <w:t>ami</w:t>
      </w:r>
      <w:r w:rsidRPr="009767C9">
        <w:rPr>
          <w:rFonts w:ascii="BundesSans Office" w:hAnsi="BundesSans Office"/>
          <w:sz w:val="24"/>
        </w:rPr>
        <w:t xml:space="preserve"> sztucznej inteligencji (SI), technologi</w:t>
      </w:r>
      <w:r w:rsidR="00EB4066">
        <w:rPr>
          <w:rFonts w:ascii="BundesSans Office" w:hAnsi="BundesSans Office"/>
          <w:sz w:val="24"/>
        </w:rPr>
        <w:t>ami</w:t>
      </w:r>
      <w:r w:rsidRPr="009767C9">
        <w:rPr>
          <w:rFonts w:ascii="BundesSans Office" w:hAnsi="BundesSans Office"/>
          <w:sz w:val="24"/>
        </w:rPr>
        <w:t xml:space="preserve"> rozproszonego rejestru i obliczenia</w:t>
      </w:r>
      <w:r w:rsidR="00EB4066">
        <w:rPr>
          <w:rFonts w:ascii="BundesSans Office" w:hAnsi="BundesSans Office"/>
          <w:sz w:val="24"/>
        </w:rPr>
        <w:t>mi</w:t>
      </w:r>
      <w:r w:rsidRPr="009767C9">
        <w:rPr>
          <w:rFonts w:ascii="BundesSans Office" w:hAnsi="BundesSans Office"/>
          <w:sz w:val="24"/>
        </w:rPr>
        <w:t xml:space="preserve"> kwantow</w:t>
      </w:r>
      <w:r w:rsidR="00EB4066">
        <w:rPr>
          <w:rFonts w:ascii="BundesSans Office" w:hAnsi="BundesSans Office"/>
          <w:sz w:val="24"/>
        </w:rPr>
        <w:t>ymi</w:t>
      </w:r>
      <w:r w:rsidRPr="009767C9">
        <w:rPr>
          <w:rFonts w:ascii="BundesSans Office" w:hAnsi="BundesSans Office"/>
          <w:sz w:val="24"/>
        </w:rPr>
        <w:t xml:space="preserve"> służyły obywatelom i przedsiębiorstwom wszystkich europejskich państw członkowskich. Takie technologie niosą ze sobą ogromny potencjał w zakresie kształtowania polityki opartej na faktach i odgrywają kluczową rolę w zapewnianiu usług publicznych zorientowanych na użytkownika. W związku z obecnymi konkluzji prezydencji w sprawie Karty praw podstawowych w kontekście sztucznej inteligencji i zmian cyfrowych oraz powiązanych z nimi kluczowych dokumentów</w:t>
      </w:r>
      <w:r w:rsidRPr="009767C9">
        <w:rPr>
          <w:rStyle w:val="Odwoanieprzypisudolnego"/>
          <w:rFonts w:ascii="BundesSans Office" w:hAnsi="BundesSans Office"/>
          <w:sz w:val="24"/>
        </w:rPr>
        <w:footnoteReference w:id="3"/>
      </w:r>
      <w:r w:rsidRPr="009767C9">
        <w:rPr>
          <w:rFonts w:ascii="BundesSans Office" w:hAnsi="BundesSans Office"/>
          <w:sz w:val="24"/>
        </w:rPr>
        <w:t xml:space="preserve">, zamierzamy promować odpowiedzialny oraz </w:t>
      </w:r>
      <w:r w:rsidRPr="009767C9">
        <w:rPr>
          <w:rFonts w:ascii="BundesSans Office" w:hAnsi="BundesSans Office"/>
          <w:sz w:val="24"/>
          <w:shd w:val="clear" w:color="auto" w:fill="FFFFFF" w:themeFill="background1"/>
        </w:rPr>
        <w:t>zorientowany</w:t>
      </w:r>
      <w:r w:rsidRPr="009767C9">
        <w:rPr>
          <w:rFonts w:ascii="BundesSans Office" w:hAnsi="BundesSans Office"/>
          <w:sz w:val="24"/>
        </w:rPr>
        <w:t xml:space="preserve"> na człowieka i wspólne dobro rozwój oraz wykorzystywanie sztucznej inteligencji oraz innych nowatorskich technologii w sektorze publicznym. Podejście zorientowane na człowieka ma na celu zapewnienie, że wszelkie zastosowania będą sprzyjać integracji społecznej, pomagać w rozwiązywaniu wyzwań społecznych i nie będą powielać szkodliwych uprzedzeń społecznych lub ekonomicznych. Sektor publiczny pełni funkcję modelu do naśladowania, zapewniając, że rozwój i stosowanie takich nowatorskich technologii jest mocno zakorzenione w naszych wspólnych prawach podstawowych i wartościach oraz jest poparte ramami regulacyjnymi, które są wystarczająco elastyczne, aby ograniczać ryzyko przy jednoczesnym przyspieszaniu innowacji i konkurencyjności.</w:t>
      </w:r>
    </w:p>
    <w:p w14:paraId="2864FEC4" w14:textId="77777777" w:rsidR="00C63967" w:rsidRPr="009767C9" w:rsidRDefault="00C63967">
      <w:pPr>
        <w:jc w:val="both"/>
        <w:rPr>
          <w:color w:val="FF0000"/>
        </w:rPr>
      </w:pPr>
    </w:p>
    <w:p w14:paraId="458E74C7" w14:textId="051C1D7A" w:rsidR="00C63967" w:rsidRPr="009767C9" w:rsidRDefault="00215C5C">
      <w:pPr>
        <w:pStyle w:val="P68B1DB1-Listenabsatz5"/>
        <w:numPr>
          <w:ilvl w:val="0"/>
          <w:numId w:val="1"/>
        </w:numPr>
        <w:ind w:left="357" w:hanging="357"/>
        <w:jc w:val="both"/>
      </w:pPr>
      <w:r w:rsidRPr="009767C9">
        <w:t xml:space="preserve">Kształtowanie </w:t>
      </w:r>
      <w:r w:rsidRPr="000506E2">
        <w:t>odpornego</w:t>
      </w:r>
      <w:r w:rsidRPr="009767C9">
        <w:t xml:space="preserve"> i zrównoważonego społeczeństwa cyfrowego</w:t>
      </w:r>
    </w:p>
    <w:p w14:paraId="0522CC64" w14:textId="1F9577CE" w:rsidR="00C63967" w:rsidRPr="009767C9" w:rsidRDefault="00215C5C">
      <w:pPr>
        <w:pStyle w:val="P68B1DB1-Standard3"/>
        <w:ind w:left="360"/>
        <w:jc w:val="both"/>
        <w:rPr>
          <w:rFonts w:eastAsiaTheme="minorHAnsi" w:cs="Gilroy-ExtraBold"/>
          <w:b/>
        </w:rPr>
      </w:pPr>
      <w:r w:rsidRPr="009767C9">
        <w:t>Jednym z najpilniejszych wyzwań i obowiązków Europy jest zadbanie o zdrowie ludzi i całej planety oraz lepsza ochrona naszych naturalnych podstaw życia. Pandemia COVID-19 stanowi ostrzeżenie prze</w:t>
      </w:r>
      <w:r w:rsidR="00623430">
        <w:t>d</w:t>
      </w:r>
      <w:r w:rsidRPr="009767C9">
        <w:t xml:space="preserve"> prawdopodobnymi nowymi kryzysami o nieprzewidzianym charakterze, któr</w:t>
      </w:r>
      <w:r w:rsidR="00623430">
        <w:t>e</w:t>
      </w:r>
      <w:r w:rsidRPr="009767C9">
        <w:t xml:space="preserve"> mogą pojawić się w przyszłości.</w:t>
      </w:r>
      <w:r w:rsidR="00623430">
        <w:rPr>
          <w:shd w:val="clear" w:color="auto" w:fill="FFFFFF"/>
        </w:rPr>
        <w:t xml:space="preserve"> </w:t>
      </w:r>
      <w:r w:rsidRPr="009767C9">
        <w:t xml:space="preserve">W czasach, gdy systemy opieki zdrowotnej znajdują się pod </w:t>
      </w:r>
      <w:r w:rsidRPr="009767C9">
        <w:lastRenderedPageBreak/>
        <w:t>bezprecedensową presją, rozwiązania cyfrowe w zarządzaniu kryzysowym okazały się niezbędne. Powinniśmy badać wnioski płynące z pandemii COVID-19 oraz jej stymulujące</w:t>
      </w:r>
      <w:r w:rsidR="002310F4">
        <w:t>go</w:t>
      </w:r>
      <w:r w:rsidRPr="009767C9">
        <w:t xml:space="preserve"> działanie na transformację cyfrową oraz stale do nich powracać. Musimy również upewnić się, że coraz częstsze korzystanie z technologii cyfrowych nie szkodzi, tylko przyczynia się do dobrostanu fizycznego i psychicznego ludzi. Ponadto transformacja cyfrowa w Europie musi być ściśle powiązana z Agendą 2030 na rzecz zrównoważonego rozwoju i Porozumieniem paryskim, a także z celami Europejskiego Zielonego Ładu</w:t>
      </w:r>
      <w:r w:rsidR="002310F4">
        <w:t>.</w:t>
      </w:r>
      <w:r w:rsidRPr="009767C9">
        <w:t xml:space="preserve"> W związku z obecnymi pracami nad konkluzjami Rady w sprawie „Cyfryzacji na rzecz środowiska”, musimy zapewnić, aby zrównoważona transformacja cyfrowa służyła naszym obywatelom i przedsiębiorstwom na poziomie indywidualnym, jak również całemu społeczeństwu, jednocześnie zabezpieczając nasze naturalne podstawy życia.</w:t>
      </w:r>
    </w:p>
    <w:p w14:paraId="32CFB6C8" w14:textId="246AEB38" w:rsidR="00C63967" w:rsidRPr="009767C9" w:rsidRDefault="00C63967"/>
    <w:p w14:paraId="41466B0D" w14:textId="77777777" w:rsidR="00C63967" w:rsidRPr="009767C9" w:rsidRDefault="00C63967"/>
    <w:p w14:paraId="4D53D828" w14:textId="55A399A3" w:rsidR="00C63967" w:rsidRPr="009767C9" w:rsidRDefault="00215C5C">
      <w:pPr>
        <w:pStyle w:val="P68B1DB1-Standard4"/>
        <w:spacing w:after="60"/>
        <w:jc w:val="both"/>
      </w:pPr>
      <w:r w:rsidRPr="009767C9">
        <w:t xml:space="preserve">II. </w:t>
      </w:r>
      <w:r w:rsidRPr="009767C9">
        <w:rPr>
          <w:u w:val="single"/>
        </w:rPr>
        <w:t>Obszary działań politycznych</w:t>
      </w:r>
      <w:r w:rsidRPr="009767C9">
        <w:t xml:space="preserve"> </w:t>
      </w:r>
    </w:p>
    <w:p w14:paraId="24984AE7" w14:textId="6C7F9B80" w:rsidR="00C63967" w:rsidRPr="009767C9" w:rsidRDefault="00215C5C">
      <w:pPr>
        <w:pStyle w:val="P68B1DB1-Standard3"/>
        <w:jc w:val="both"/>
      </w:pPr>
      <w:r w:rsidRPr="009767C9">
        <w:t xml:space="preserve">Zgodnie z przedstawionymi powyżej zasadami, podejmiemy </w:t>
      </w:r>
      <w:r w:rsidR="002310F4" w:rsidRPr="009767C9">
        <w:t xml:space="preserve">w naszych krajach </w:t>
      </w:r>
      <w:r w:rsidRPr="009767C9">
        <w:t xml:space="preserve">kroki i </w:t>
      </w:r>
      <w:r w:rsidR="002310F4">
        <w:t>–</w:t>
      </w:r>
      <w:r w:rsidRPr="009767C9">
        <w:t xml:space="preserve"> opierając się na doświadczeniach związanych z deklaracją z Tallina </w:t>
      </w:r>
      <w:r w:rsidR="002310F4">
        <w:t>–</w:t>
      </w:r>
      <w:r w:rsidRPr="009767C9">
        <w:t xml:space="preserve"> zwrócimy się do Komisji Europejskiej oraz innych instytucji UE o wsparcie we wdrażaniu i monitorowaniu postępów w realizacji poniższych celów. Wymienione poniżej obszary działań politycznych będą stosowane w sposób odpowiedni i wykonalny w każdym kraju oraz w kontekście cyfrowych usług publicznych. Konkretnie oznacza to z naszej strony:</w:t>
      </w:r>
    </w:p>
    <w:p w14:paraId="017E47A1" w14:textId="77777777" w:rsidR="00C63967" w:rsidRPr="009767C9" w:rsidRDefault="00C63967">
      <w:pPr>
        <w:rPr>
          <w:rFonts w:ascii="BundesSans Office" w:hAnsi="BundesSans Office"/>
          <w:sz w:val="24"/>
        </w:rPr>
      </w:pPr>
    </w:p>
    <w:p w14:paraId="648E9871" w14:textId="390563AF" w:rsidR="00C63967" w:rsidRPr="009767C9" w:rsidRDefault="00215C5C">
      <w:pPr>
        <w:pStyle w:val="P68B1DB1-Standard4"/>
      </w:pPr>
      <w:r w:rsidRPr="009767C9">
        <w:t>a) Promocję praw podstawowych i wartości demokratycznych w sferze cyfrowej poprzez</w:t>
      </w:r>
    </w:p>
    <w:p w14:paraId="4D7B26A8" w14:textId="4AF9831C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  <w:rPr>
          <w:rFonts w:cstheme="minorHAnsi"/>
        </w:rPr>
      </w:pPr>
      <w:r w:rsidRPr="009767C9">
        <w:t>promowanie wagi praw podstawowych w sferze cyfrowej i wdrażanie środków w celu wzmocnienia przestrzegania podstawowych praw i wartości;</w:t>
      </w:r>
    </w:p>
    <w:p w14:paraId="3584D8FF" w14:textId="723855DF" w:rsidR="00C63967" w:rsidRPr="009767C9" w:rsidRDefault="00215C5C">
      <w:pPr>
        <w:pStyle w:val="P68B1DB1-Listenabsatz6"/>
        <w:numPr>
          <w:ilvl w:val="0"/>
          <w:numId w:val="39"/>
        </w:numPr>
        <w:spacing w:before="120"/>
        <w:ind w:left="754" w:hanging="357"/>
        <w:rPr>
          <w:rFonts w:eastAsia="Times New Roman" w:cs="Calibri"/>
          <w:b/>
        </w:rPr>
      </w:pPr>
      <w:r w:rsidRPr="009767C9">
        <w:t>wzmożenie naszych wysiłków w celu zapewnienia, aby proces kształtowania opinii publicznej i demokratycznego podejmowania decyzji nie był manipulowany przez niewłaściwe lub złośliwe wykorzystanie nowych technologii;</w:t>
      </w:r>
    </w:p>
    <w:p w14:paraId="44858F85" w14:textId="7C942B86" w:rsidR="00C63967" w:rsidRPr="009767C9" w:rsidRDefault="00215C5C">
      <w:pPr>
        <w:pStyle w:val="P68B1DB1-Listenabsatz6"/>
        <w:numPr>
          <w:ilvl w:val="0"/>
          <w:numId w:val="39"/>
        </w:numPr>
        <w:spacing w:before="120"/>
        <w:ind w:left="754" w:hanging="357"/>
      </w:pPr>
      <w:r w:rsidRPr="009767C9">
        <w:t>wspieranie walki z cyberprzestępczością, w szczególności wykorzystywaniem dzieci w Internecie i wykorzystywaniem seksualnym, a także uwodzeniem przez Internet;</w:t>
      </w:r>
    </w:p>
    <w:p w14:paraId="52DFB5D6" w14:textId="1DD775AB" w:rsidR="00C63967" w:rsidRPr="009767C9" w:rsidRDefault="00215C5C">
      <w:pPr>
        <w:pStyle w:val="P68B1DB1-Listenabsatz6"/>
        <w:numPr>
          <w:ilvl w:val="0"/>
          <w:numId w:val="39"/>
        </w:numPr>
        <w:spacing w:before="120"/>
        <w:ind w:left="754" w:right="-113" w:hanging="357"/>
        <w:rPr>
          <w:rFonts w:eastAsia="Times New Roman" w:cs="Calibri"/>
          <w:b/>
        </w:rPr>
      </w:pPr>
      <w:r w:rsidRPr="009767C9">
        <w:t>stosowanie i promowanie środków (tj. cyfrowych kodeksów postępowania), które mają na celu rozpropagowanie opartego na wzajemnym szacunku, uczciwego i godnego zachowania użytkowników Internetu wobec siebie.</w:t>
      </w:r>
    </w:p>
    <w:p w14:paraId="6B4FA862" w14:textId="5F81DC6F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69FBA90A" w14:textId="00B38B3A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Angażowani</w:t>
      </w:r>
      <w:r w:rsidR="00FC16DE">
        <w:t>a</w:t>
      </w:r>
      <w:r w:rsidRPr="009767C9">
        <w:t xml:space="preserve"> się w projekty strategiczne mające na celu zwiększenie świadomości znaczenia transformacji cyfrowej opartej na wartościach, tj. poprzez tworzenie platform wymiany i dalszego rozwijania krajowych i europejskich strategii w zakresie transformacji cyfrowej („cyfrowe okrągłe stoły”) oraz organizowani</w:t>
      </w:r>
      <w:r w:rsidR="00FC16DE">
        <w:t>a</w:t>
      </w:r>
      <w:r w:rsidRPr="009767C9">
        <w:t xml:space="preserve"> wymian transgraniczn</w:t>
      </w:r>
      <w:r w:rsidR="00FC16DE">
        <w:t>ych</w:t>
      </w:r>
      <w:r w:rsidRPr="009767C9">
        <w:t xml:space="preserve"> i międzynarodow</w:t>
      </w:r>
      <w:r w:rsidR="00FC16DE">
        <w:t>ych</w:t>
      </w:r>
      <w:r w:rsidRPr="009767C9">
        <w:t xml:space="preserve"> (np. w formie warsztatów);</w:t>
      </w:r>
    </w:p>
    <w:p w14:paraId="7690E522" w14:textId="225A83B4" w:rsidR="00C63967" w:rsidRPr="009767C9" w:rsidRDefault="00215C5C">
      <w:pPr>
        <w:pStyle w:val="P68B1DB1-Listenabsatz6"/>
        <w:numPr>
          <w:ilvl w:val="0"/>
          <w:numId w:val="40"/>
        </w:numPr>
        <w:tabs>
          <w:tab w:val="clear" w:pos="1440"/>
        </w:tabs>
        <w:contextualSpacing w:val="0"/>
        <w:rPr>
          <w:rFonts w:eastAsia="Times New Roman" w:cs="Calibri"/>
        </w:rPr>
      </w:pPr>
      <w:r w:rsidRPr="009767C9">
        <w:t>Przekładani</w:t>
      </w:r>
      <w:r w:rsidR="00FC16DE">
        <w:t>a</w:t>
      </w:r>
      <w:r w:rsidRPr="009767C9">
        <w:t xml:space="preserve"> abstrakcyjnych regulacji dotycząc</w:t>
      </w:r>
      <w:r w:rsidR="00FC16DE">
        <w:t>ych</w:t>
      </w:r>
      <w:r w:rsidRPr="009767C9">
        <w:t xml:space="preserve"> praw podstawowych na konkretne działania polityczne i dążeni</w:t>
      </w:r>
      <w:r w:rsidR="00FC16DE">
        <w:t>a</w:t>
      </w:r>
      <w:r w:rsidRPr="009767C9">
        <w:t xml:space="preserve"> do dawania przykładu poprzez włączenie praw podstawowych do polityk sektora publicznego w zakresie innowacji i zasad dotyczących zamówień technologicznych;</w:t>
      </w:r>
    </w:p>
    <w:p w14:paraId="729EA259" w14:textId="2592A61A" w:rsidR="00C63967" w:rsidRPr="009767C9" w:rsidRDefault="00215C5C">
      <w:pPr>
        <w:pStyle w:val="P68B1DB1-Listenabsatz6"/>
        <w:numPr>
          <w:ilvl w:val="0"/>
          <w:numId w:val="40"/>
        </w:numPr>
        <w:tabs>
          <w:tab w:val="clear" w:pos="1440"/>
        </w:tabs>
        <w:contextualSpacing w:val="0"/>
        <w:rPr>
          <w:rFonts w:eastAsia="Times New Roman" w:cs="Calibri"/>
        </w:rPr>
      </w:pPr>
      <w:r w:rsidRPr="009767C9">
        <w:t>Zachęcani</w:t>
      </w:r>
      <w:r w:rsidR="00FC16DE">
        <w:t>a</w:t>
      </w:r>
      <w:r w:rsidRPr="009767C9">
        <w:t xml:space="preserve"> do tworzenia rad ekspertów ds. etyki i technologii, które będą udzielać porad i wspierać debatę wśród obywateli.</w:t>
      </w:r>
    </w:p>
    <w:p w14:paraId="094DDE9D" w14:textId="07F0BA4C" w:rsidR="00C63967" w:rsidRPr="009767C9" w:rsidRDefault="00215C5C">
      <w:pPr>
        <w:pStyle w:val="P68B1DB1-Standard7"/>
        <w:spacing w:before="120"/>
        <w:ind w:left="340" w:right="-567"/>
      </w:pPr>
      <w:r w:rsidRPr="009767C9">
        <w:t>Wzywamy Komisję Europejską i inne instytucje UE do</w:t>
      </w:r>
    </w:p>
    <w:p w14:paraId="7DD71E82" w14:textId="401EF727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Dalszej współpracy w ramach sojuszu na rzecz lepszej ochrony nieletnich w sieci;</w:t>
      </w:r>
    </w:p>
    <w:p w14:paraId="40BA646D" w14:textId="29B6970D" w:rsidR="00C63967" w:rsidRPr="009767C9" w:rsidRDefault="00215C5C">
      <w:pPr>
        <w:pStyle w:val="Akapitzlist"/>
        <w:numPr>
          <w:ilvl w:val="0"/>
          <w:numId w:val="40"/>
        </w:numPr>
        <w:rPr>
          <w:rFonts w:ascii="BundesSans Office" w:eastAsia="Times New Roman" w:hAnsi="BundesSans Office" w:cs="Calibri"/>
          <w:sz w:val="24"/>
        </w:rPr>
      </w:pPr>
      <w:r w:rsidRPr="009767C9">
        <w:rPr>
          <w:rFonts w:ascii="BundesSans Office" w:eastAsia="Times New Roman" w:hAnsi="BundesSans Office" w:cs="Calibri"/>
          <w:sz w:val="24"/>
        </w:rPr>
        <w:lastRenderedPageBreak/>
        <w:t>Opracowani</w:t>
      </w:r>
      <w:r w:rsidR="00FC16DE">
        <w:rPr>
          <w:rFonts w:ascii="BundesSans Office" w:eastAsia="Times New Roman" w:hAnsi="BundesSans Office" w:cs="Calibri"/>
          <w:sz w:val="24"/>
        </w:rPr>
        <w:t>a</w:t>
      </w:r>
      <w:r w:rsidRPr="009767C9">
        <w:rPr>
          <w:rFonts w:ascii="BundesSans Office" w:eastAsia="Times New Roman" w:hAnsi="BundesSans Office" w:cs="Calibri"/>
          <w:sz w:val="24"/>
        </w:rPr>
        <w:t xml:space="preserve"> wytycznych, kodeksów postępowania i innych instrumentów w celu wzmocnienia przestrzegania przepisów, walki ze szkodliwymi treściami, dalszego wspierania działań mających na celu koordynację i zwalczanie w Internecie materiałów przedstawiających seksualne wykorzystywanie dzieci</w:t>
      </w:r>
      <w:r w:rsidRPr="009767C9">
        <w:rPr>
          <w:rStyle w:val="Odwoanieprzypisudolnego"/>
          <w:rFonts w:ascii="BundesSans Office" w:eastAsia="Times New Roman" w:hAnsi="BundesSans Office" w:cs="Calibri"/>
          <w:sz w:val="24"/>
        </w:rPr>
        <w:footnoteReference w:id="4"/>
      </w:r>
      <w:r w:rsidRPr="009767C9">
        <w:rPr>
          <w:rFonts w:ascii="BundesSans Office" w:eastAsia="Times New Roman" w:hAnsi="BundesSans Office" w:cs="Calibri"/>
          <w:sz w:val="24"/>
        </w:rPr>
        <w:t>;</w:t>
      </w:r>
    </w:p>
    <w:p w14:paraId="49AB8589" w14:textId="2D7EFE53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Dalsze</w:t>
      </w:r>
      <w:r w:rsidR="00FC16DE">
        <w:t>go</w:t>
      </w:r>
      <w:r w:rsidRPr="009767C9">
        <w:t xml:space="preserve"> wspierani</w:t>
      </w:r>
      <w:r w:rsidR="00FC16DE">
        <w:t>a</w:t>
      </w:r>
      <w:r w:rsidRPr="009767C9">
        <w:t xml:space="preserve"> rozwoju i rozbudowy Europejskiego Obserwatorium Mediów Cyfrowych w celu zwalczania dezinformacji w Internecie.</w:t>
      </w:r>
    </w:p>
    <w:p w14:paraId="1132A328" w14:textId="77777777" w:rsidR="00C63967" w:rsidRPr="009767C9" w:rsidRDefault="00C63967"/>
    <w:p w14:paraId="5EA9F080" w14:textId="77777777" w:rsidR="00C63967" w:rsidRPr="009767C9" w:rsidRDefault="00C63967"/>
    <w:p w14:paraId="387C3677" w14:textId="5D237D58" w:rsidR="00C63967" w:rsidRPr="009767C9" w:rsidRDefault="00215C5C">
      <w:pPr>
        <w:pStyle w:val="P68B1DB1-Standard4"/>
      </w:pPr>
      <w:r w:rsidRPr="009767C9">
        <w:t>b) Zwiększenie udziału i integracji społecznej poprzez</w:t>
      </w:r>
    </w:p>
    <w:p w14:paraId="0B03B790" w14:textId="76EBA4C4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  <w:rPr>
          <w:rFonts w:cstheme="minorHAnsi"/>
        </w:rPr>
      </w:pPr>
      <w:r w:rsidRPr="009767C9">
        <w:t>wzmacnianie dialogu na temat polityki cyfrowej z obywatelami w celu promowania spójności społecznej i aktywnego udziału społeczeństwa obywatelskiego w demokratycznym dyskursie politycznym;</w:t>
      </w:r>
    </w:p>
    <w:p w14:paraId="10425684" w14:textId="056A2FC3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zachęcanie obywateli i administracji rządowej do bardziej intensywnego badania wykorzystania narzędzi cyfrowych w kształtowaniu dyskursu politycznego na temat transformacji cyfrowej;</w:t>
      </w:r>
    </w:p>
    <w:p w14:paraId="5BFDACEA" w14:textId="4A571983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zapewni</w:t>
      </w:r>
      <w:r w:rsidR="00EF020D">
        <w:t>a</w:t>
      </w:r>
      <w:r w:rsidRPr="009767C9">
        <w:t>nie, aby transformacja cyfrowa obejmowała osoby niepełnosprawne i była dla nich dostępna, a także opracowywanie odpowiednich polityk w celu usunięcia istniejących rozbieżności w uczestnictwie, zwłaszcza w odniesieniu do demografii oraz obszarów oddalonych lub wiejskich;</w:t>
      </w:r>
    </w:p>
    <w:p w14:paraId="2DDF783B" w14:textId="27116B17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rPr>
          <w:shd w:val="clear" w:color="auto" w:fill="FFFFFF" w:themeFill="background1"/>
        </w:rPr>
        <w:t>pełne udostępni</w:t>
      </w:r>
      <w:r w:rsidR="00EF020D">
        <w:rPr>
          <w:shd w:val="clear" w:color="auto" w:fill="FFFFFF" w:themeFill="background1"/>
        </w:rPr>
        <w:t>a</w:t>
      </w:r>
      <w:r w:rsidRPr="009767C9">
        <w:rPr>
          <w:shd w:val="clear" w:color="auto" w:fill="FFFFFF" w:themeFill="background1"/>
        </w:rPr>
        <w:t>nie usług publicznych za pośrednictwem standardowych urządzeń mobilnych oraz</w:t>
      </w:r>
      <w:r w:rsidRPr="009767C9">
        <w:t xml:space="preserve"> </w:t>
      </w:r>
      <w:r w:rsidR="00EF020D">
        <w:t xml:space="preserve">ich </w:t>
      </w:r>
      <w:r w:rsidRPr="009767C9">
        <w:t>dostępność dla osób niepełnosprawnych, w tym bezpieczne możliwości identyfikacji elektronicznej;</w:t>
      </w:r>
    </w:p>
    <w:p w14:paraId="7114467F" w14:textId="77777777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</w:pPr>
      <w:r w:rsidRPr="009767C9">
        <w:t>promowanie rozwiązań minimalizujących wykluczenie cyfrowe lub dostosowujących się do zmieniającego się świata gospodarczego i społecznego.</w:t>
      </w:r>
    </w:p>
    <w:p w14:paraId="31E178E3" w14:textId="7A09FFF2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31E774F5" w14:textId="24745B83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 xml:space="preserve">Wdrożenia współpracy oraz </w:t>
      </w:r>
      <w:r w:rsidR="001156A4" w:rsidRPr="009767C9">
        <w:t>współtworzenia z</w:t>
      </w:r>
      <w:r w:rsidRPr="009767C9">
        <w:t xml:space="preserve"> obywatelami oraz zachęcanie do korzystania z narzędzi cyfrowych w celu wspierania udziału obywateli w podejmowaniu decyzji politycznych;</w:t>
      </w:r>
    </w:p>
    <w:p w14:paraId="177EA257" w14:textId="204B47F9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Zapewnienia łatwego dostępu do usług dla kanału mobilnego poprzez umożliwienie obywatelom korzystania z ich urządzeń mobilnych w celu korzystania z cyfrowych usług publicznych oraz poprzez współpracę na szczeblu UE przy tworzeniu elementów niezbędnych do zapewnienia transgranicznej interoperacyjności urządzeń mobilnych;</w:t>
      </w:r>
    </w:p>
    <w:p w14:paraId="58A3F52E" w14:textId="0F79BA78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Zapewni</w:t>
      </w:r>
      <w:r w:rsidR="00EF020D">
        <w:t>a</w:t>
      </w:r>
      <w:r w:rsidRPr="009767C9">
        <w:t>nia, aby transformacja cyfrowa obejmowała osoby niepełnosprawne i osoby starsze i była dla nich dostępna, a także zwiększ</w:t>
      </w:r>
      <w:r w:rsidR="00EF020D">
        <w:t>a</w:t>
      </w:r>
      <w:r w:rsidRPr="009767C9">
        <w:t>nia naszych wysiłków mających na celu osiągnięcie pełnej dostępności cyfrowej publicznych usług i informacji, zgodnie z dyrektywą w sprawie dostępu do sieci i europejską ustawą o dostępności.</w:t>
      </w:r>
    </w:p>
    <w:p w14:paraId="14B20DBF" w14:textId="13BF238A" w:rsidR="00C63967" w:rsidRPr="009767C9" w:rsidRDefault="00215C5C">
      <w:pPr>
        <w:pStyle w:val="P68B1DB1-Standard7"/>
        <w:spacing w:before="120"/>
        <w:ind w:left="340"/>
      </w:pPr>
      <w:r w:rsidRPr="009767C9">
        <w:t>Wzywamy Komisję Europejską i inne instytucje UE do</w:t>
      </w:r>
    </w:p>
    <w:p w14:paraId="2B139CB4" w14:textId="20C355B1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Ułatwiania współpracy między państwami członkowskimi w celu znalezienia skutecznych narzędzi, które pomogą grupom szczególnie narażonym w osiągnięciu większej samowystarczalności, w tym poprzez prosty język, alternatywne kanały usług, umiejętności i sprzętu, aby zapewnić integrację wszystkich obywateli;</w:t>
      </w:r>
    </w:p>
    <w:p w14:paraId="1B420B61" w14:textId="02053507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Kontynuowania współpracy z państwami członkowskimi w celu wspierania wdrażania dyrektywy w sprawie dostępu do sieci oraz europejskiej ustawy o dostępności, a także wspierania rozwoju umiejętności w zakresie dostępności cyfrowej w zawodach informatycznych.</w:t>
      </w:r>
    </w:p>
    <w:p w14:paraId="6F2A46DC" w14:textId="77777777" w:rsidR="00C63967" w:rsidRPr="009767C9" w:rsidRDefault="00C63967">
      <w:pPr>
        <w:rPr>
          <w:rFonts w:ascii="BundesSans Office" w:hAnsi="BundesSans Office"/>
          <w:sz w:val="24"/>
        </w:rPr>
      </w:pPr>
    </w:p>
    <w:p w14:paraId="43ED6B98" w14:textId="77777777" w:rsidR="00C63967" w:rsidRPr="009767C9" w:rsidRDefault="00C63967"/>
    <w:p w14:paraId="064581DC" w14:textId="4EF0A6B6" w:rsidR="00C63967" w:rsidRPr="009767C9" w:rsidRDefault="00215C5C">
      <w:pPr>
        <w:pStyle w:val="P68B1DB1-Standard4"/>
      </w:pPr>
      <w:r w:rsidRPr="009767C9">
        <w:lastRenderedPageBreak/>
        <w:t>c) Wspieranie rozwoju kompetencji i umiejętności cyfrowych przez</w:t>
      </w:r>
    </w:p>
    <w:p w14:paraId="33938E05" w14:textId="702AA826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wspieranie środków, które przyczyniają się do poprawy umiejętności i świadomości cyfrowych obywateli oraz wzmacniają ich zdolność do działania i podejmowania świadomych decyzji w sferze cyfrowej;</w:t>
      </w:r>
    </w:p>
    <w:p w14:paraId="3EBC1907" w14:textId="5744A3ED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nasilenie naszych ciągłych i nieustających wysiłków w celu zapewnienia europejskim obywatelom i przedsiębiorstwom kontroli nad ich danymi oraz tożsamością cyfrową;</w:t>
      </w:r>
    </w:p>
    <w:p w14:paraId="5118F8C2" w14:textId="77777777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wzmacnianie rozwoju i faktycznego wykorzystania umiejętności i narzędzi cyfrowych w sektorze publicznym,</w:t>
      </w:r>
    </w:p>
    <w:p w14:paraId="460C14CD" w14:textId="44018E74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zachęcanie do zaawansowanych szkoleń w zakresie umiejętności menedżerskich w związku z nowymi cyfrowymi trybami działania w związku z coraz częstszym przechodzeniem na praktyki pracy zdalnej i bezkontaktowe sposoby prowadzenia działalności (np. płatności bezgotówkowe, inteligentne kontrakty, podpisy elektroniczne);</w:t>
      </w:r>
    </w:p>
    <w:p w14:paraId="5886CCA5" w14:textId="15D950F2" w:rsidR="00C63967" w:rsidRPr="009767C9" w:rsidRDefault="00215C5C">
      <w:pPr>
        <w:pStyle w:val="P68B1DB1-Listenabsatz10"/>
        <w:numPr>
          <w:ilvl w:val="0"/>
          <w:numId w:val="39"/>
        </w:numPr>
        <w:ind w:left="754" w:hanging="357"/>
        <w:rPr>
          <w:rFonts w:ascii="BundesSans Office" w:hAnsi="BundesSans Office"/>
        </w:rPr>
      </w:pPr>
      <w:r w:rsidRPr="009767C9">
        <w:rPr>
          <w:rFonts w:ascii="BundesSans Office" w:hAnsi="BundesSans Office" w:cstheme="minorHAnsi"/>
        </w:rPr>
        <w:t>zwracanie szczególnej uwagi na różnorodność, inkluzywność i równość płci</w:t>
      </w:r>
      <w:r w:rsidRPr="009767C9">
        <w:rPr>
          <w:rFonts w:ascii="BundesSans Office" w:hAnsi="BundesSans Office" w:cstheme="minorHAnsi"/>
          <w:color w:val="FF0000"/>
        </w:rPr>
        <w:t xml:space="preserve"> </w:t>
      </w:r>
      <w:r w:rsidRPr="009767C9">
        <w:rPr>
          <w:rFonts w:ascii="BundesSans Office" w:hAnsi="BundesSans Office"/>
        </w:rPr>
        <w:t xml:space="preserve">przy wspieraniu kompetencji cyfrowych w sektorze publicznym. </w:t>
      </w:r>
      <w:r w:rsidRPr="009767C9">
        <w:rPr>
          <w:rFonts w:ascii="BundesSans Office" w:hAnsi="BundesSans Office" w:cstheme="minorHAnsi"/>
        </w:rPr>
        <w:t xml:space="preserve"> </w:t>
      </w:r>
    </w:p>
    <w:p w14:paraId="4665BD6B" w14:textId="6869C677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482085CA" w14:textId="4F5436D4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Inicjowani</w:t>
      </w:r>
      <w:r w:rsidR="00EF020D">
        <w:t>a</w:t>
      </w:r>
      <w:r w:rsidRPr="009767C9">
        <w:t xml:space="preserve"> warsztatów, szkoleń itp. w celu promowania umiejętności cyfrowych i świadomości w sektorze publicznym;</w:t>
      </w:r>
    </w:p>
    <w:p w14:paraId="22B98102" w14:textId="35E02BF8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Dalsze</w:t>
      </w:r>
      <w:r w:rsidR="00EF020D">
        <w:t>go</w:t>
      </w:r>
      <w:r w:rsidRPr="009767C9">
        <w:t xml:space="preserve"> zapewniani</w:t>
      </w:r>
      <w:r w:rsidR="00EF020D">
        <w:t>a</w:t>
      </w:r>
      <w:r w:rsidRPr="009767C9">
        <w:t xml:space="preserve"> łatwo dostępnych, przyjaznych dla użytkownika usług i świadczonych płynnie cyfrowych usług publicznych, narzędzi i aplikacji;</w:t>
      </w:r>
    </w:p>
    <w:p w14:paraId="4196EF69" w14:textId="090D59F2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Podejmowani</w:t>
      </w:r>
      <w:r w:rsidR="00EF020D">
        <w:t>a</w:t>
      </w:r>
      <w:r w:rsidRPr="009767C9">
        <w:t xml:space="preserve"> i promowani</w:t>
      </w:r>
      <w:r w:rsidR="00EF020D">
        <w:t>a</w:t>
      </w:r>
      <w:r w:rsidRPr="009767C9">
        <w:t xml:space="preserve"> inicjatyw mających na celu zapewnienie, aby ogół społeczeństwa miał dostęp do technologii cyfrowych i umiejętności cyfrowych oraz minimalną wiedzę na ich temat (np. świadczona online usługa „cyfrowych ambasadorów”).</w:t>
      </w:r>
    </w:p>
    <w:p w14:paraId="0D9686AB" w14:textId="77777777" w:rsidR="00C63967" w:rsidRPr="009767C9" w:rsidRDefault="00C63967">
      <w:pPr>
        <w:pStyle w:val="Akapitzlist"/>
        <w:tabs>
          <w:tab w:val="clear" w:pos="1440"/>
        </w:tabs>
        <w:contextualSpacing w:val="0"/>
        <w:rPr>
          <w:rFonts w:ascii="BundesSans Office" w:eastAsia="Times New Roman" w:hAnsi="BundesSans Office" w:cs="Calibri"/>
          <w:sz w:val="24"/>
        </w:rPr>
      </w:pPr>
    </w:p>
    <w:p w14:paraId="6529F396" w14:textId="203967C8" w:rsidR="00C63967" w:rsidRPr="009767C9" w:rsidRDefault="00215C5C">
      <w:pPr>
        <w:pStyle w:val="P68B1DB1-Standard7"/>
        <w:ind w:left="340"/>
      </w:pPr>
      <w:r w:rsidRPr="009767C9">
        <w:t>Wzywamy Komisję Europejską i inne instytucje UE do</w:t>
      </w:r>
    </w:p>
    <w:p w14:paraId="043A70A0" w14:textId="341D0F20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Uruchomienia w 2021 platformy umiejętności cyfrowych, która będzie punktem kompleksowej obsługi dla inicjatyw w zakresie umiejętności cyfrowych (w tym w zakresie nowych technologii, takich jak sztuczna inteligencja i cyberbezpieczeństwo), a także narzędzi do samooceny i powiązanych informacji z całej Europy;</w:t>
      </w:r>
    </w:p>
    <w:p w14:paraId="4AAB40E4" w14:textId="44640CA9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Dalszego wspierania ogólnounijnej sieci centrów bezpieczniejszego Internetu, oferujących usługi uświadamiające, telefony zaufania i numery interwencyjne w celu ochrony i wzmocnienia kompetencji cyfrowych wśród dzieci, aby umożliwić im wyrośnięcie na świadomych cyfrowo obywateli;</w:t>
      </w:r>
    </w:p>
    <w:p w14:paraId="29EC3E19" w14:textId="41EDA0D0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Konsolidacji i rozbudowy Europejskiego Centrum Edukacji Cyfrowej, które będzie centralnym interfejsem dla inicjatyw w zakresie edukacji cyfrowej w całej UE (obejmującego krajowe usługi doradcze w zakresie edukacji cyfrowej, łączącego polityki krajowe i umożliwiającego współpracę międzysektorową w zakresie inicjatyw z obszaru edukacji cyfrowej);</w:t>
      </w:r>
    </w:p>
    <w:p w14:paraId="694F21CF" w14:textId="0D5888BA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Ułatwi</w:t>
      </w:r>
      <w:r w:rsidR="00EF020D">
        <w:t>a</w:t>
      </w:r>
      <w:r w:rsidRPr="009767C9">
        <w:t>nia współprac</w:t>
      </w:r>
      <w:r w:rsidR="00EF020D">
        <w:t>y</w:t>
      </w:r>
      <w:r w:rsidRPr="009767C9">
        <w:t xml:space="preserve"> w zakresie umiejętności korzystania z mediów, aby zyskać świadomość rozwijającego się środowiska online oraz roli algorytmów i innych narzędzi SI, a także AR, VR i rzeczywistości mieszanej.</w:t>
      </w:r>
    </w:p>
    <w:p w14:paraId="06FEA7B6" w14:textId="77777777" w:rsidR="00C63967" w:rsidRPr="009767C9" w:rsidRDefault="00C63967">
      <w:pPr>
        <w:tabs>
          <w:tab w:val="clear" w:pos="1440"/>
        </w:tabs>
        <w:rPr>
          <w:rFonts w:ascii="BundesSans Office" w:eastAsia="Times New Roman" w:hAnsi="BundesSans Office" w:cs="Calibri"/>
          <w:sz w:val="24"/>
        </w:rPr>
      </w:pPr>
    </w:p>
    <w:p w14:paraId="26E55048" w14:textId="77777777" w:rsidR="00C63967" w:rsidRPr="009767C9" w:rsidRDefault="00C63967"/>
    <w:p w14:paraId="4645B1BF" w14:textId="7C391A2F" w:rsidR="00C63967" w:rsidRPr="009767C9" w:rsidRDefault="00215C5C">
      <w:pPr>
        <w:pStyle w:val="P68B1DB1-Standard4"/>
      </w:pPr>
      <w:r w:rsidRPr="009767C9">
        <w:t>d) Wzmocnienie zaufania poprzez bezpieczeństwo w sferze cyfrowej osiągane za pomocą</w:t>
      </w:r>
    </w:p>
    <w:p w14:paraId="07639C3A" w14:textId="18DFA145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 xml:space="preserve">podejmowania działań w celu udostępnienia każdemu mieszkańcowi Europy powszechnie używanych, bezpiecznych </w:t>
      </w:r>
      <w:r w:rsidRPr="009767C9">
        <w:rPr>
          <w:shd w:val="clear" w:color="auto" w:fill="FFFFFF" w:themeFill="background1"/>
        </w:rPr>
        <w:t>i interoperacyjnych usług identyfikacji elektronicznej i uwierzytelniania w zakresie transakcji elektronicznych</w:t>
      </w:r>
      <w:r w:rsidRPr="009767C9">
        <w:t xml:space="preserve"> oraz zapewniania godnych zaufania, zorientowanych na użytkownika, dostępnych i niezawodnych publicznych usług i informacji;</w:t>
      </w:r>
    </w:p>
    <w:p w14:paraId="5272BA5E" w14:textId="53FF4A44" w:rsidR="00C63967" w:rsidRPr="009767C9" w:rsidRDefault="00215C5C">
      <w:pPr>
        <w:pStyle w:val="P68B1DB1-Listenabsatz10"/>
        <w:numPr>
          <w:ilvl w:val="0"/>
          <w:numId w:val="39"/>
        </w:numPr>
        <w:ind w:left="754" w:hanging="357"/>
        <w:rPr>
          <w:rFonts w:ascii="BundesSans Office" w:hAnsi="BundesSans Office" w:cstheme="minorHAnsi"/>
        </w:rPr>
      </w:pPr>
      <w:r w:rsidRPr="009767C9">
        <w:rPr>
          <w:rFonts w:ascii="BundesSans Office" w:eastAsia="Times New Roman" w:hAnsi="BundesSans Office" w:cs="Calibri"/>
          <w:shd w:val="clear" w:color="auto" w:fill="FFFFFF" w:themeFill="background1"/>
        </w:rPr>
        <w:lastRenderedPageBreak/>
        <w:t>stosowanie odpowiednich kryteriów do danych wygenerowanych lub zgromadzonych przy wsparciu ze środków publicznych w celu ułatwienia ich ponownego wykorzystania</w:t>
      </w:r>
      <w:r w:rsidRPr="009767C9">
        <w:rPr>
          <w:rFonts w:ascii="BundesSans Office" w:hAnsi="BundesSans Office" w:cstheme="minorHAnsi"/>
        </w:rPr>
        <w:t>;</w:t>
      </w:r>
    </w:p>
    <w:p w14:paraId="16649193" w14:textId="2B71E3DC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hołdowanie zasadom cyberetyki, takim jak przejrzystość, odpowiedzialność, poufność przy świadczeniu cyfrowych usług publicznych oraz promowanie uczciwości, integralności i przestrzegania prawa wśród użytkowników;</w:t>
      </w:r>
    </w:p>
    <w:p w14:paraId="43C3E61C" w14:textId="1CB434CA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</w:pPr>
      <w:r w:rsidRPr="009767C9">
        <w:t>wzmocnienie wysiłków na rzecz ochrony danych przechowywanych przez administracje publiczne państw członkowskich przed wszelkim niepożądanym dostępem.</w:t>
      </w:r>
    </w:p>
    <w:p w14:paraId="24AF6EC7" w14:textId="106FA07A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793997B7" w14:textId="484032E7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Promocji wdrażania i stosowania notyfikowanych środków identyfikacji elektronicznej oraz wprowadzania dla sektora prywatnego zachęt do korzystania z wiarygodnej i notyfikowanej europejskiej identyfikacji elektronicznej;</w:t>
      </w:r>
    </w:p>
    <w:p w14:paraId="317E3600" w14:textId="32AA37ED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Rozważania sposobów wspierania</w:t>
      </w:r>
      <w:r w:rsidRPr="009767C9">
        <w:rPr>
          <w:shd w:val="clear" w:color="auto" w:fill="FFFFFF" w:themeFill="background1"/>
        </w:rPr>
        <w:t xml:space="preserve"> porozumienia w sprawie wymogów bezpieczeństwa TIK;</w:t>
      </w:r>
      <w:r w:rsidRPr="009767C9">
        <w:t xml:space="preserve"> </w:t>
      </w:r>
    </w:p>
    <w:p w14:paraId="179ADA34" w14:textId="4F98F506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  <w:rPr>
          <w:color w:val="000000" w:themeColor="text1"/>
        </w:rPr>
      </w:pPr>
      <w:r w:rsidRPr="009767C9">
        <w:t>Promowania odpowiedzialnego i zgodnego z prawem ponownego wykorzystywania danych oraz zasady jednorazowości zgodnej z deklaracją z Tallina oraz zachęcanie do nowych koncepcji, takich jak zarządzanie danymi osobowymi</w:t>
      </w:r>
      <w:r w:rsidRPr="009767C9">
        <w:rPr>
          <w:color w:val="000000" w:themeColor="text1"/>
        </w:rPr>
        <w:t xml:space="preserve"> na podstawie zgody użytkownika.</w:t>
      </w:r>
      <w:r w:rsidRPr="009767C9">
        <w:t xml:space="preserve"> </w:t>
      </w:r>
    </w:p>
    <w:p w14:paraId="777A2F6B" w14:textId="37FC880B" w:rsidR="00C63967" w:rsidRPr="009767C9" w:rsidRDefault="00215C5C">
      <w:pPr>
        <w:pStyle w:val="P68B1DB1-Standard7"/>
        <w:spacing w:before="120"/>
        <w:ind w:left="340"/>
      </w:pPr>
      <w:r w:rsidRPr="009767C9">
        <w:t>Wzywamy Komisję Europejską i inne instytucje UE do</w:t>
      </w:r>
    </w:p>
    <w:p w14:paraId="5A371D3D" w14:textId="369412BA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Dalszej pracy nad opracowaniem ogólnounijnych ram tożsamości cyfrowej, które umożliwią obywatelom i przedsiębiorstwom bezpieczny i bezproblemowy dostęp do publicznych i prywatnych usług online, przy jednoczesnym zminimalizowaniu ujawniania i zachowaniu pełnej kontroli nad danymi;</w:t>
      </w:r>
    </w:p>
    <w:p w14:paraId="0F698A13" w14:textId="14B61075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Promowania wymiany najlepszych praktyk i tworzenie powiązań między właściwymi władzami krajowymi i regionalnymi, aby jak najlepiej wykorzystać istniejące struktury i grupy, takie jak grupa współpracy ds. bezpieczeństwa sieci i informacji oraz europejska sieć współpracy ds. wyborów.</w:t>
      </w:r>
    </w:p>
    <w:p w14:paraId="5C35FF77" w14:textId="77777777" w:rsidR="00C63967" w:rsidRPr="009767C9" w:rsidRDefault="00C63967"/>
    <w:p w14:paraId="1E9656DE" w14:textId="77777777" w:rsidR="00C63967" w:rsidRPr="009767C9" w:rsidRDefault="00C63967"/>
    <w:p w14:paraId="088F45F0" w14:textId="521487A0" w:rsidR="00C63967" w:rsidRPr="009767C9" w:rsidRDefault="00215C5C">
      <w:pPr>
        <w:pStyle w:val="P68B1DB1-Standard4"/>
        <w:shd w:val="clear" w:color="auto" w:fill="FFFFFF" w:themeFill="background1"/>
      </w:pPr>
      <w:r w:rsidRPr="009767C9">
        <w:t xml:space="preserve">e) Wzmocnienie </w:t>
      </w:r>
      <w:r w:rsidRPr="009767C9">
        <w:rPr>
          <w:shd w:val="clear" w:color="auto" w:fill="FFFFFF" w:themeFill="background1"/>
        </w:rPr>
        <w:t>suwerenności cyfrowej</w:t>
      </w:r>
      <w:r w:rsidRPr="009767C9">
        <w:t xml:space="preserve"> i interoperacyjności Europy poprzez</w:t>
      </w:r>
    </w:p>
    <w:p w14:paraId="735873F9" w14:textId="55C9106F" w:rsidR="00C63967" w:rsidRPr="009767C9" w:rsidRDefault="00215C5C">
      <w:pPr>
        <w:pStyle w:val="P68B1DB1-Listenabsatz11"/>
        <w:numPr>
          <w:ilvl w:val="0"/>
          <w:numId w:val="39"/>
        </w:numPr>
        <w:shd w:val="clear" w:color="auto" w:fill="FFFFFF" w:themeFill="background1"/>
        <w:ind w:left="754" w:hanging="357"/>
        <w:rPr>
          <w:rFonts w:cstheme="minorHAnsi"/>
        </w:rPr>
      </w:pPr>
      <w:r w:rsidRPr="009767C9">
        <w:t>uzgadnianie wspólnych europejskich wymagań dla dostawców technologii i rozwiązań w sektorze publicznym (w tym bezpieczeństwa, ochrony danych, interoperacyjności, ponownego wykorzystania) poprzez uwzględnienie istniejących wymagań UE i państw członkowskich;</w:t>
      </w:r>
    </w:p>
    <w:p w14:paraId="6998B1A6" w14:textId="77777777" w:rsidR="00C63967" w:rsidRPr="009767C9" w:rsidRDefault="00215C5C">
      <w:pPr>
        <w:pStyle w:val="P68B1DB1-Listenabsatz9"/>
        <w:numPr>
          <w:ilvl w:val="0"/>
          <w:numId w:val="39"/>
        </w:numPr>
        <w:shd w:val="clear" w:color="auto" w:fill="FFFFFF" w:themeFill="background1"/>
        <w:ind w:left="754" w:hanging="357"/>
      </w:pPr>
      <w:r w:rsidRPr="009767C9">
        <w:t>wspieranie naszych własnych kluczowych zdolności cyfrowych w celu opracowywania i wdrażania rozwiązań cyfrowych w bezpiecznej infrastrukturze chmurowej oraz dla usług publicznych;</w:t>
      </w:r>
    </w:p>
    <w:p w14:paraId="21E420C5" w14:textId="77777777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ustanowienie wspólnych standardów i struktur modułowych;</w:t>
      </w:r>
    </w:p>
    <w:p w14:paraId="2F24F2EE" w14:textId="39AA963D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  <w:rPr>
          <w:rFonts w:cstheme="minorHAnsi"/>
        </w:rPr>
      </w:pPr>
      <w:r w:rsidRPr="009767C9">
        <w:t xml:space="preserve">powszechne udostępnienie danych sektora publicznego w Unii Europejskiej na żądanie zgodnie </w:t>
      </w:r>
      <w:r w:rsidR="001156A4" w:rsidRPr="009767C9">
        <w:t>z dyrektywą</w:t>
      </w:r>
      <w:r w:rsidRPr="009767C9">
        <w:t xml:space="preserve"> w sprawie ponownego wykorzystywania informacji sektora publicznego i otwartych danych (UE 2019/1024);</w:t>
      </w:r>
    </w:p>
    <w:p w14:paraId="37886502" w14:textId="1626A2CE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zapewnienie odpowiednich, bezpiecznych i niedrogich przestrzeni w celu wspierania innowacji poprzez testowanie i eksperymentowanie z danymi i technologiami cyfrowymi (tj. w trybie piaskownicy);</w:t>
      </w:r>
    </w:p>
    <w:p w14:paraId="5CFFCF37" w14:textId="41CACBB3" w:rsidR="00C63967" w:rsidRPr="009767C9" w:rsidRDefault="00215C5C">
      <w:pPr>
        <w:pStyle w:val="P68B1DB1-Listenabsatz10"/>
        <w:numPr>
          <w:ilvl w:val="0"/>
          <w:numId w:val="39"/>
        </w:numPr>
        <w:ind w:left="754" w:hanging="357"/>
        <w:rPr>
          <w:rFonts w:ascii="BundesSans Office" w:hAnsi="BundesSans Office" w:cstheme="minorHAnsi"/>
        </w:rPr>
      </w:pPr>
      <w:r w:rsidRPr="009767C9">
        <w:rPr>
          <w:rFonts w:ascii="BundesSans Office" w:hAnsi="BundesSans Office" w:cstheme="minorHAnsi"/>
        </w:rPr>
        <w:t xml:space="preserve">zmniejszenie obciążeń administracyjnych dla europejskich przedsiębiorstw i obywateli poprzez wdrożenie rozporządzenia w sprawie utworzenia jednolitego portalu cyfrowego ((UE) 2018/1724) i promowanie transgranicznego wdrażania zasady jednorazowości zgodnie z istniejącymi przepisami europejskimi i ramami interoperacyjności, </w:t>
      </w:r>
      <w:r w:rsidRPr="009767C9">
        <w:rPr>
          <w:rFonts w:ascii="BundesSans Office" w:eastAsia="Times New Roman" w:hAnsi="BundesSans Office"/>
          <w:shd w:val="clear" w:color="auto" w:fill="FFFFFF"/>
        </w:rPr>
        <w:t>zwracając szczególną uwagę na opieranie działań na zapotrzebowaniu</w:t>
      </w:r>
      <w:r w:rsidRPr="009767C9">
        <w:rPr>
          <w:rFonts w:ascii="BundesSans Office" w:hAnsi="BundesSans Office" w:cstheme="minorHAnsi"/>
        </w:rPr>
        <w:t>;</w:t>
      </w:r>
    </w:p>
    <w:p w14:paraId="2DAA4CF0" w14:textId="50D7E479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</w:pPr>
      <w:r w:rsidRPr="009767C9">
        <w:lastRenderedPageBreak/>
        <w:t>wspieranie interoperacyjności poprzez projektowanie polityk, danych, rozwiązań i usług w celu usprawnienia połączeń transgranicznych i międzysektorowych.</w:t>
      </w:r>
    </w:p>
    <w:p w14:paraId="6E83B1F5" w14:textId="13F45F4A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259F0DBF" w14:textId="69E3BB3F" w:rsidR="00C63967" w:rsidRPr="009767C9" w:rsidRDefault="00215C5C">
      <w:pPr>
        <w:pStyle w:val="P68B1DB1-Standard3"/>
        <w:numPr>
          <w:ilvl w:val="0"/>
          <w:numId w:val="40"/>
        </w:numPr>
        <w:shd w:val="clear" w:color="auto" w:fill="FFFFFF"/>
        <w:tabs>
          <w:tab w:val="clear" w:pos="1440"/>
        </w:tabs>
        <w:spacing w:before="120"/>
        <w:contextualSpacing/>
        <w:rPr>
          <w:rFonts w:eastAsiaTheme="minorEastAsia"/>
          <w:b/>
        </w:rPr>
      </w:pPr>
      <w:r w:rsidRPr="009767C9">
        <w:t>Współpracy z Komisją Europejską w celu wspólnego uzgodnienia konkretnych terminów i kryteriów, takich jak oparte na zapotrzebowaniu podejście do świadczenia dalszych odpowiednich usług publicznych online do użytku transgranicznego w UE;</w:t>
      </w:r>
    </w:p>
    <w:p w14:paraId="4AB93A5A" w14:textId="4B8D40B1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</w:pPr>
      <w:r w:rsidRPr="009767C9">
        <w:t>Wspólnej pracy nad porozumieniami dotyczącymi wymagań dla dostawców technologii i rozwiązań w sektorze publicznym, które są niezbędne dla suwerenności cyfrowej;</w:t>
      </w:r>
    </w:p>
    <w:p w14:paraId="2188F106" w14:textId="629833C7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 xml:space="preserve">Wdrażania wspólnych standardów, struktur modułowych oraz </w:t>
      </w:r>
      <w:r w:rsidR="00EF020D">
        <w:t>–</w:t>
      </w:r>
      <w:r w:rsidRPr="009767C9">
        <w:t xml:space="preserve"> w stosownych przypadkach </w:t>
      </w:r>
      <w:r w:rsidR="00EF020D">
        <w:t>–</w:t>
      </w:r>
      <w:r w:rsidRPr="009767C9">
        <w:t xml:space="preserve"> technologii </w:t>
      </w:r>
      <w:r w:rsidRPr="00EF020D">
        <w:rPr>
          <w:i/>
          <w:iCs/>
        </w:rPr>
        <w:t>open source</w:t>
      </w:r>
      <w:r w:rsidRPr="009767C9">
        <w:t xml:space="preserve"> przy opracowywaniu i wdrażaniu transgranicznych rozwiązań cyfrowych.</w:t>
      </w:r>
    </w:p>
    <w:p w14:paraId="2F3FD23B" w14:textId="0AB55D08" w:rsidR="00C63967" w:rsidRPr="009767C9" w:rsidRDefault="00215C5C">
      <w:pPr>
        <w:pStyle w:val="P68B1DB1-Standard7"/>
        <w:spacing w:before="120"/>
        <w:ind w:left="340"/>
      </w:pPr>
      <w:r w:rsidRPr="009767C9">
        <w:t>Wzywamy Komisję Europejską i inne instytucje UE do</w:t>
      </w:r>
    </w:p>
    <w:p w14:paraId="5A00DBF0" w14:textId="6EE335FE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Ustanowieni</w:t>
      </w:r>
      <w:r w:rsidR="00EF020D">
        <w:t>a</w:t>
      </w:r>
      <w:r w:rsidRPr="009767C9">
        <w:t xml:space="preserve"> i promowani</w:t>
      </w:r>
      <w:r w:rsidR="00EF020D">
        <w:t>a</w:t>
      </w:r>
      <w:r w:rsidRPr="009767C9">
        <w:t xml:space="preserve"> platform wymiany danych i ponownego wykorzystywania danych („przestrzenie danych”), takich jak te funkcjonujące w kontekście europejskiej przestrzeni danych dotyczących zdrowia,</w:t>
      </w:r>
      <w:r w:rsidRPr="009767C9">
        <w:rPr>
          <w:color w:val="FF0000"/>
        </w:rPr>
        <w:t xml:space="preserve"> </w:t>
      </w:r>
      <w:r w:rsidRPr="009767C9">
        <w:t>oraz ustanowienie europejskiego sojuszu na rzecz danych przemysłowych i chmury w celu stworzenia w Europie nowej generacji bezpiecznych, odpornych oraz energooszczędnych możliwości przetwarzania w chmurze;</w:t>
      </w:r>
    </w:p>
    <w:p w14:paraId="7370AFDC" w14:textId="0A1ED008" w:rsidR="00C63967" w:rsidRPr="009767C9" w:rsidRDefault="00215C5C">
      <w:pPr>
        <w:pStyle w:val="P68B1DB1-Listenabsatz8"/>
        <w:numPr>
          <w:ilvl w:val="0"/>
          <w:numId w:val="40"/>
        </w:numPr>
        <w:tabs>
          <w:tab w:val="left" w:pos="720"/>
        </w:tabs>
      </w:pPr>
      <w:r w:rsidRPr="009767C9">
        <w:t>Dalszego koordynowania interoperacyjności transgranicznej i wzmacniania europejskich ram interoperacyjności;</w:t>
      </w:r>
    </w:p>
    <w:p w14:paraId="397D99AE" w14:textId="088B6ACE" w:rsidR="00C63967" w:rsidRPr="009767C9" w:rsidRDefault="00EF020D">
      <w:pPr>
        <w:pStyle w:val="P68B1DB1-Listenabsatz8"/>
        <w:numPr>
          <w:ilvl w:val="0"/>
          <w:numId w:val="40"/>
        </w:numPr>
        <w:tabs>
          <w:tab w:val="left" w:pos="720"/>
        </w:tabs>
      </w:pPr>
      <w:r>
        <w:t>W</w:t>
      </w:r>
      <w:r w:rsidR="00215C5C" w:rsidRPr="009767C9">
        <w:t>spierania w ścisłej współpracy z państwami członkowskimi innowacyjnego partnerstwa publiczno-prywatnego (PPP) oraz promowania rozwoju, wymiany i ponownego wykorzystywania standardów, rozwiązań i specyfikacji otwartego oprogramowania w wymiarze transgranicznym;</w:t>
      </w:r>
    </w:p>
    <w:p w14:paraId="227D7850" w14:textId="17AA486C" w:rsidR="00C63967" w:rsidRPr="009767C9" w:rsidRDefault="00215C5C">
      <w:pPr>
        <w:pStyle w:val="P68B1DB1-Listenabsatz8"/>
        <w:numPr>
          <w:ilvl w:val="0"/>
          <w:numId w:val="40"/>
        </w:numPr>
        <w:tabs>
          <w:tab w:val="left" w:pos="720"/>
        </w:tabs>
      </w:pPr>
      <w:r w:rsidRPr="009767C9">
        <w:t>Promowanie spójnych, wysokiej jakości danych we wszystkich państwach członkowskich poprzez zapewnienie wdrożenia dyrektywy w sprawie ponownego wykorzystywania informacji sektora publicznego i otwartych danych ((UE) 2019/1024) wraz ze wspólnymi standardami;</w:t>
      </w:r>
    </w:p>
    <w:p w14:paraId="56C290BB" w14:textId="3EE55CF6" w:rsidR="00C63967" w:rsidRPr="009767C9" w:rsidRDefault="00215C5C">
      <w:pPr>
        <w:pStyle w:val="P68B1DB1-Listenabsatz8"/>
        <w:numPr>
          <w:ilvl w:val="0"/>
          <w:numId w:val="40"/>
        </w:numPr>
        <w:tabs>
          <w:tab w:val="left" w:pos="720"/>
        </w:tabs>
      </w:pPr>
      <w:r w:rsidRPr="009767C9">
        <w:t>Zapewni</w:t>
      </w:r>
      <w:r w:rsidR="00EF020D">
        <w:t>a</w:t>
      </w:r>
      <w:r w:rsidRPr="009767C9">
        <w:t xml:space="preserve">nie, poprzez ramy lepszego stanowienia prawa, że polityki i akty ustawodawcze proponowane przez Komisję Europejską są domyślnie interoperacyjne i gotowe do wykorzystania cyfrowego. Wspierania wymiany z państwami członkowskimi za pośrednictwem społeczności zajmującej się lepszym prawodawstwem oraz pilotowania i udostępniania rozwiązań. </w:t>
      </w:r>
    </w:p>
    <w:p w14:paraId="5759BC48" w14:textId="77777777" w:rsidR="00C63967" w:rsidRPr="009767C9" w:rsidRDefault="00C63967">
      <w:pPr>
        <w:tabs>
          <w:tab w:val="left" w:pos="720"/>
        </w:tabs>
        <w:rPr>
          <w:rFonts w:ascii="BundesSans Office" w:eastAsia="Times New Roman" w:hAnsi="BundesSans Office" w:cs="Calibri"/>
          <w:sz w:val="24"/>
        </w:rPr>
      </w:pPr>
    </w:p>
    <w:p w14:paraId="4AE705BC" w14:textId="597BEDFE" w:rsidR="00C63967" w:rsidRPr="009767C9" w:rsidRDefault="00C63967"/>
    <w:p w14:paraId="3F1D3A31" w14:textId="50040F78" w:rsidR="00C63967" w:rsidRPr="009767C9" w:rsidRDefault="00215C5C">
      <w:pPr>
        <w:pStyle w:val="P68B1DB1-Standard4"/>
      </w:pPr>
      <w:r w:rsidRPr="009767C9">
        <w:t>f) Stworzenie opartych na wartościach, zorientowanych na człowieka systemów SI do wykorzystania w sektorze publicznym poprzez</w:t>
      </w:r>
    </w:p>
    <w:p w14:paraId="5F4E3122" w14:textId="77777777" w:rsidR="00C63967" w:rsidRPr="009767C9" w:rsidRDefault="00215C5C">
      <w:pPr>
        <w:pStyle w:val="P68B1DB1-Standard3"/>
        <w:ind w:left="340"/>
        <w:jc w:val="both"/>
      </w:pPr>
      <w:r w:rsidRPr="009767C9">
        <w:t>promowanie ekosystemu SI opartego na europejskich wartościach i zasadach, który uwalnia społeczne i gospodarcze korzyści płynące z tej technologii dla europejskich obywateli i przedsiębiorstw poprzez</w:t>
      </w:r>
    </w:p>
    <w:p w14:paraId="55BFBC31" w14:textId="742377B8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wspieranie odpowiedzialnego i rozliczalnego dobrobytu publicznego, zorientowanego na człowieka rozwoju oraz wykorzystywanie przejrzystej i możliwej do wyjaśnienia sztucznej inteligencji, a także promowanie konkurencyjności i innowacji w Unii Europejskiej;</w:t>
      </w:r>
    </w:p>
    <w:p w14:paraId="37A391A6" w14:textId="2C271D93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zapewni</w:t>
      </w:r>
      <w:r w:rsidR="00EF020D">
        <w:t>a</w:t>
      </w:r>
      <w:r w:rsidRPr="009767C9">
        <w:t>ni</w:t>
      </w:r>
      <w:r w:rsidR="00EF020D">
        <w:t>e</w:t>
      </w:r>
      <w:r w:rsidRPr="009767C9">
        <w:t xml:space="preserve"> niezbędnych zabezpieczeń w celu zapobiegania, wykrywania i zwalczania bezprawnej dyskryminacji poprzez wykorzystanie systemów SI w sektorze publicznym;</w:t>
      </w:r>
    </w:p>
    <w:p w14:paraId="19174BB9" w14:textId="5DA62DC7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lastRenderedPageBreak/>
        <w:t>wzm</w:t>
      </w:r>
      <w:r w:rsidR="00EF020D">
        <w:t>a</w:t>
      </w:r>
      <w:r w:rsidRPr="009767C9">
        <w:t>cni</w:t>
      </w:r>
      <w:r w:rsidR="00EF020D">
        <w:t>a</w:t>
      </w:r>
      <w:r w:rsidRPr="009767C9">
        <w:t>nie naszych wspólnych wysiłków na rzecz zapewnienia skutecznych narzędzi i wymagań bezpieczeństwa TIK, aby zapobiec nieuprawnionemu dostępowi do danych, wykorzystaniu danych lub manipulowaniu danymi lub rozmyślnemu wykorzystaniu danych w złych zamiarach za pomocą samouczących się algorytmów;</w:t>
      </w:r>
    </w:p>
    <w:p w14:paraId="2DC0B773" w14:textId="2665FF26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zwiększanie naszych nieustających wysiłków w celu zapewnienia poufności, integralności i dostępności dowolnego systemu sztucznej inteligencji w całym jego cyklu życia;</w:t>
      </w:r>
    </w:p>
    <w:p w14:paraId="554A75F1" w14:textId="2F423608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uznanie znaczenia możliwej do wyjaśnienia sztucznej inteligencji, w tym np. odpowiedniej przejrzystości na poziomie algorytmu, która wzmacniałaby wiarygodność;</w:t>
      </w:r>
    </w:p>
    <w:p w14:paraId="0372B069" w14:textId="76CF9FCB" w:rsidR="00C63967" w:rsidRPr="009767C9" w:rsidRDefault="00215C5C">
      <w:pPr>
        <w:pStyle w:val="P68B1DB1-Listenabsatz6"/>
        <w:numPr>
          <w:ilvl w:val="0"/>
          <w:numId w:val="39"/>
        </w:numPr>
        <w:ind w:left="754" w:hanging="357"/>
      </w:pPr>
      <w:r w:rsidRPr="009767C9">
        <w:t>zapewni</w:t>
      </w:r>
      <w:r w:rsidR="00EF020D">
        <w:t>a</w:t>
      </w:r>
      <w:r w:rsidRPr="009767C9">
        <w:t xml:space="preserve">nie odpowiednich mechanizmów zarządzania danymi </w:t>
      </w:r>
      <w:r w:rsidR="00EF020D">
        <w:t>–</w:t>
      </w:r>
      <w:r w:rsidRPr="009767C9">
        <w:t xml:space="preserve"> w tym, jeśli to koniecznie, odpowiednich poziomów nadzoru ludzkiego </w:t>
      </w:r>
      <w:r w:rsidR="00EF020D">
        <w:t>–</w:t>
      </w:r>
      <w:r w:rsidRPr="009767C9">
        <w:t xml:space="preserve"> w celu zapewnienia prawidłowego funkcjonowania systemu SI i podejmowania decyzji.</w:t>
      </w:r>
    </w:p>
    <w:p w14:paraId="7C1B7DD9" w14:textId="6FC7DD3D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45B7F680" w14:textId="64162D10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Dzielenia się najlepszymi praktykami w zakresie rozwoju skutecznych, ukierunkowanych na człowieka systemów SI w sektorze publicznym;</w:t>
      </w:r>
    </w:p>
    <w:p w14:paraId="3D787254" w14:textId="34B80D5D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Wspierani</w:t>
      </w:r>
      <w:r w:rsidR="00EF020D">
        <w:t>a</w:t>
      </w:r>
      <w:r w:rsidRPr="009767C9">
        <w:t xml:space="preserve"> przejrzystości i odpowiedzialności poprzez ujawnianie, kiedy w cyfrowych usługach publicznych stosowane są zautomatyzowane procesy decyzyjne, oraz zapewnianie standardów jakości zbiorów danych wprowadzanych do systemów SI podczas projektowania cyfrowych usług publicznych (np. poprzez znaki jakości dla zbiorów danych);</w:t>
      </w:r>
    </w:p>
    <w:p w14:paraId="185B3B3B" w14:textId="1738C85F" w:rsidR="00C63967" w:rsidRPr="009767C9" w:rsidRDefault="00215C5C">
      <w:pPr>
        <w:pStyle w:val="P68B1DB1-Listenabsatz6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Stymulowani</w:t>
      </w:r>
      <w:r w:rsidR="00EF020D">
        <w:t>a</w:t>
      </w:r>
      <w:r w:rsidRPr="009767C9">
        <w:t xml:space="preserve"> wymiany wiedzy między praktykami w zakresie administracyjnych strategii innowacji na temat przykładów technologii zorientowanych na człowieka w administracji publicznej.</w:t>
      </w:r>
    </w:p>
    <w:p w14:paraId="6453FEF3" w14:textId="33E5980E" w:rsidR="00C63967" w:rsidRPr="009767C9" w:rsidRDefault="00215C5C">
      <w:pPr>
        <w:pStyle w:val="P68B1DB1-Standard7"/>
        <w:spacing w:before="120"/>
        <w:ind w:left="340"/>
      </w:pPr>
      <w:r w:rsidRPr="009767C9">
        <w:t>Wzywamy Komisję Europejską i inne instytucje UE do</w:t>
      </w:r>
    </w:p>
    <w:p w14:paraId="3A378F6D" w14:textId="42571344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Dalszego monitorowania wykorzystania sztucznej inteligencji w europejskich administracjach publicznych;</w:t>
      </w:r>
    </w:p>
    <w:p w14:paraId="00861C86" w14:textId="5DA98ECD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Wzm</w:t>
      </w:r>
      <w:r w:rsidR="00EF020D">
        <w:t>a</w:t>
      </w:r>
      <w:r w:rsidRPr="009767C9">
        <w:t>cni</w:t>
      </w:r>
      <w:r w:rsidR="00EF020D">
        <w:t>a</w:t>
      </w:r>
      <w:r w:rsidRPr="009767C9">
        <w:t>nia centrów innowacji cyfrowych i platformy SI na żądanie;</w:t>
      </w:r>
    </w:p>
    <w:p w14:paraId="3400DE94" w14:textId="04C413FE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Przedstawienia opartego na ryzyku, przyszłościowego i proporcjonalnego wniosku ustawodawczego w sprawie SI oraz zaktualizowanego skoordynowanego planu SI, w tym środków mających na celu promowanie przyjmowania przez administracje publiczne godnej zaufania i ukierunkowanej na człowieka sztucznej inteligencji, w stosownych przypadkach, oraz oceny rozwoju umiejętności w organach administracji publicznej;</w:t>
      </w:r>
    </w:p>
    <w:p w14:paraId="17066895" w14:textId="199BE6E5" w:rsidR="00C63967" w:rsidRPr="009767C9" w:rsidRDefault="00215C5C">
      <w:pPr>
        <w:pStyle w:val="P68B1DB1-Listenabsatz10"/>
        <w:numPr>
          <w:ilvl w:val="0"/>
          <w:numId w:val="40"/>
        </w:numPr>
        <w:tabs>
          <w:tab w:val="clear" w:pos="1440"/>
        </w:tabs>
        <w:contextualSpacing w:val="0"/>
        <w:rPr>
          <w:rFonts w:ascii="BundesSans Office" w:hAnsi="BundesSans Office"/>
        </w:rPr>
      </w:pPr>
      <w:r w:rsidRPr="009767C9">
        <w:rPr>
          <w:rFonts w:ascii="BundesSans Office" w:eastAsia="Times New Roman" w:hAnsi="BundesSans Office" w:cs="Calibri"/>
        </w:rPr>
        <w:t>Wspierania badań, rozwoju i innowacji w celu zwiększenia wydajności, wiarygodności i wykorzystania rozwiązań opartych</w:t>
      </w:r>
      <w:r w:rsidRPr="009767C9">
        <w:rPr>
          <w:rFonts w:ascii="BundesSans Office" w:eastAsia="Times New Roman" w:hAnsi="BundesSans Office" w:cs="Calibri"/>
          <w:color w:val="FF0000"/>
        </w:rPr>
        <w:t xml:space="preserve"> </w:t>
      </w:r>
      <w:r w:rsidRPr="009767C9">
        <w:rPr>
          <w:rFonts w:ascii="BundesSans Office" w:hAnsi="BundesSans Office"/>
        </w:rPr>
        <w:t>na sztucznej inteligencji w sektorze publicznym zgodnie z białą księgą w sprawie sztucznej inteligencji (COM (2020) 65).</w:t>
      </w:r>
      <w:r w:rsidRPr="009767C9">
        <w:rPr>
          <w:rFonts w:ascii="BundesSans Office" w:eastAsia="Times New Roman" w:hAnsi="BundesSans Office" w:cs="Calibri"/>
        </w:rPr>
        <w:t xml:space="preserve"> </w:t>
      </w:r>
    </w:p>
    <w:p w14:paraId="6BE6CF74" w14:textId="09A6A273" w:rsidR="00C63967" w:rsidRPr="009767C9" w:rsidRDefault="00C63967"/>
    <w:p w14:paraId="58B2C7D4" w14:textId="77777777" w:rsidR="00C63967" w:rsidRPr="009767C9" w:rsidRDefault="00C63967"/>
    <w:p w14:paraId="10B17F3E" w14:textId="4F40684F" w:rsidR="00C63967" w:rsidRPr="009767C9" w:rsidRDefault="00215C5C">
      <w:pPr>
        <w:pStyle w:val="P68B1DB1-Standard4"/>
      </w:pPr>
      <w:r w:rsidRPr="009767C9">
        <w:t>g) Wspieranie odporności i zrównoważenia przez</w:t>
      </w:r>
    </w:p>
    <w:p w14:paraId="046B28CC" w14:textId="18A6FC25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dopilnowanie, aby transformacja cyfrowa w Europie przyczyniła się do realizacji celów zrównoważonego rozwoju ONZ (CZR) i uczynienie samej transformacji cyfrowej bardziej zrównoważoną pod względem zużycia zasobów energetycznych;</w:t>
      </w:r>
    </w:p>
    <w:p w14:paraId="1E08C139" w14:textId="4A474269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t>zachęcanie do korzystania z narzędzi cyfrowych i TIK jako rozwiązań w przejściu do neutralności klimatycznej w Unii Europejskiej, a także do ograniczanie emisji związanych ze zwiększonym wykorzystaniem danych i technologii w społeczeństwie cyfrowym;</w:t>
      </w:r>
    </w:p>
    <w:p w14:paraId="50E97A81" w14:textId="453AC89C" w:rsidR="00C63967" w:rsidRPr="009767C9" w:rsidRDefault="00215C5C">
      <w:pPr>
        <w:pStyle w:val="P68B1DB1-Listenabsatz9"/>
        <w:numPr>
          <w:ilvl w:val="0"/>
          <w:numId w:val="39"/>
        </w:numPr>
        <w:shd w:val="clear" w:color="auto" w:fill="FFFFFF" w:themeFill="background1"/>
        <w:ind w:left="754" w:hanging="357"/>
      </w:pPr>
      <w:r w:rsidRPr="009767C9">
        <w:t xml:space="preserve">opracowywanie odpowiednich polityk w celu wspierania kultury pracy, która promuje zdrowe i właściwe korzystanie z technologii cyfrowych oraz równowagę między życiem zawodowym a prywatnym </w:t>
      </w:r>
      <w:r w:rsidR="005D3781">
        <w:t>–</w:t>
      </w:r>
      <w:r w:rsidRPr="009767C9">
        <w:t xml:space="preserve"> poprzez współtworzenie i współpracę ze społeczeństwem obywatelskim;</w:t>
      </w:r>
    </w:p>
    <w:p w14:paraId="280D75B1" w14:textId="5C669D4E" w:rsidR="00C63967" w:rsidRPr="009767C9" w:rsidRDefault="00215C5C">
      <w:pPr>
        <w:pStyle w:val="P68B1DB1-Listenabsatz9"/>
        <w:numPr>
          <w:ilvl w:val="0"/>
          <w:numId w:val="39"/>
        </w:numPr>
        <w:ind w:left="754" w:hanging="357"/>
      </w:pPr>
      <w:r w:rsidRPr="009767C9">
        <w:lastRenderedPageBreak/>
        <w:t>wzmocnienie jednolitego rynku cyfrowego, który czerpie korzyści gospodarcze i społeczne z cyfryzacji i łączności dla obywateli we wszystkich krajach i regionach;</w:t>
      </w:r>
    </w:p>
    <w:p w14:paraId="43892634" w14:textId="24F83A3F" w:rsidR="00C63967" w:rsidRPr="009767C9" w:rsidRDefault="00215C5C">
      <w:pPr>
        <w:pStyle w:val="P68B1DB1-Listenabsatz10"/>
        <w:numPr>
          <w:ilvl w:val="0"/>
          <w:numId w:val="39"/>
        </w:numPr>
        <w:ind w:left="754" w:hanging="357"/>
        <w:rPr>
          <w:rFonts w:ascii="BundesSans Office" w:hAnsi="BundesSans Office"/>
        </w:rPr>
      </w:pPr>
      <w:r w:rsidRPr="009767C9">
        <w:rPr>
          <w:rFonts w:ascii="BundesSans Office" w:hAnsi="BundesSans Office" w:cstheme="minorHAnsi"/>
        </w:rPr>
        <w:t>zapewnianie</w:t>
      </w:r>
      <w:r w:rsidRPr="009767C9">
        <w:rPr>
          <w:rFonts w:ascii="BundesSans Office" w:hAnsi="BundesSans Office" w:cstheme="minorHAnsi"/>
          <w:color w:val="FF0000"/>
        </w:rPr>
        <w:t xml:space="preserve"> </w:t>
      </w:r>
      <w:r w:rsidRPr="009767C9">
        <w:rPr>
          <w:rFonts w:ascii="BundesSans Office" w:hAnsi="BundesSans Office"/>
        </w:rPr>
        <w:t>sfederowanej, zaufanej wspólnej przestrzeni danych dla Europejskiego Zielonego Ładu w celu poszerzenia i pogłębienia współpracy UE, ponownego wykorzystywania i wymiany danych, dobrych praktyk i rozwiązań w zakresie administracji cyfrowej.</w:t>
      </w:r>
      <w:r w:rsidRPr="009767C9">
        <w:rPr>
          <w:rFonts w:ascii="BundesSans Office" w:hAnsi="BundesSans Office" w:cstheme="minorHAnsi"/>
        </w:rPr>
        <w:t xml:space="preserve"> </w:t>
      </w:r>
    </w:p>
    <w:p w14:paraId="7850B045" w14:textId="7772F95F" w:rsidR="00C63967" w:rsidRPr="009767C9" w:rsidRDefault="00215C5C">
      <w:pPr>
        <w:pStyle w:val="P68B1DB1-Standard7"/>
        <w:spacing w:before="120"/>
        <w:ind w:left="340"/>
      </w:pPr>
      <w:r w:rsidRPr="009767C9">
        <w:t xml:space="preserve">Dlatego my, sygnatariusze, zobowiązujemy się do podjęcia do 2024 w naszych państwach członkowskich UE następujących działań: </w:t>
      </w:r>
    </w:p>
    <w:p w14:paraId="4A87514F" w14:textId="1BBE828A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Rozważenia, jak ocenić i zapewnić przejrzystość źródeł energii oraz zużycia narzędzi i infrastruktur cyfrowych, a także sposoby na poprawę ich wydajności;</w:t>
      </w:r>
    </w:p>
    <w:p w14:paraId="121E03CD" w14:textId="6A2293DE" w:rsidR="00C63967" w:rsidRPr="009767C9" w:rsidRDefault="00215C5C">
      <w:pPr>
        <w:pStyle w:val="P68B1DB1-Listenabsatz6"/>
        <w:numPr>
          <w:ilvl w:val="0"/>
          <w:numId w:val="40"/>
        </w:numPr>
        <w:tabs>
          <w:tab w:val="clear" w:pos="1440"/>
        </w:tabs>
        <w:contextualSpacing w:val="0"/>
        <w:rPr>
          <w:rFonts w:eastAsia="Times New Roman" w:cs="Calibri"/>
        </w:rPr>
      </w:pPr>
      <w:r w:rsidRPr="009767C9">
        <w:t>Oceny wpływu TIK na środowisko za pomocą wielokryterialnej analizy cyklu życia i ustanowienia strategii przedłużenia żywotności sprzętu cyfrowego oraz promowania ekologicznego projektowania produktów TIK w celu ulepszenia zamkniętego obiegu cyklu produkcyjnego;</w:t>
      </w:r>
    </w:p>
    <w:p w14:paraId="4447227C" w14:textId="2B2F61FD" w:rsidR="00C63967" w:rsidRPr="009767C9" w:rsidRDefault="00215C5C">
      <w:pPr>
        <w:pStyle w:val="P68B1DB1-Listenabsatz6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Wspierani</w:t>
      </w:r>
      <w:r w:rsidR="005D3781">
        <w:t>a</w:t>
      </w:r>
      <w:r w:rsidRPr="009767C9">
        <w:t xml:space="preserve"> wymiany danych dotyczących zarządzania kryzysowego, w szczególności w sektorze zdrowia, np. za pośrednictwem europejskiej przestrzeni danych dotyczących zdrowia;</w:t>
      </w:r>
    </w:p>
    <w:p w14:paraId="40721E8F" w14:textId="30BEBECF" w:rsidR="00C63967" w:rsidRPr="009767C9" w:rsidRDefault="00215C5C">
      <w:pPr>
        <w:pStyle w:val="P68B1DB1-Listenabsatz8"/>
        <w:numPr>
          <w:ilvl w:val="0"/>
          <w:numId w:val="40"/>
        </w:numPr>
        <w:tabs>
          <w:tab w:val="clear" w:pos="1440"/>
        </w:tabs>
        <w:contextualSpacing w:val="0"/>
      </w:pPr>
      <w:r w:rsidRPr="009767C9">
        <w:t>Inicjowanie konsultacji z ekspertami w celu dostarczenia wskazówek dotyczących zdrowego i właściwego korzystania z technologii cyfrowych oraz równowagi między życiem zawodowym a prywatnym w celu zapobiegania niekorzystnemu wpływowi na psychiczne lub fizyczne zdrowie ludzi.</w:t>
      </w:r>
    </w:p>
    <w:p w14:paraId="63982CFF" w14:textId="18D3E341" w:rsidR="00C63967" w:rsidRPr="009767C9" w:rsidRDefault="00215C5C">
      <w:pPr>
        <w:pStyle w:val="P68B1DB1-Standard7"/>
        <w:spacing w:before="120"/>
        <w:ind w:left="340"/>
      </w:pPr>
      <w:r w:rsidRPr="009767C9">
        <w:t>Wzywamy Komisję Europejską i inne instytucje UE do</w:t>
      </w:r>
    </w:p>
    <w:p w14:paraId="332D286A" w14:textId="1C44A9B3" w:rsidR="00C63967" w:rsidRPr="009767C9" w:rsidRDefault="00215C5C">
      <w:pPr>
        <w:pStyle w:val="P68B1DB1-Listenabsatz6"/>
        <w:numPr>
          <w:ilvl w:val="0"/>
          <w:numId w:val="40"/>
        </w:numPr>
        <w:rPr>
          <w:rFonts w:eastAsia="Times New Roman" w:cs="Calibri"/>
        </w:rPr>
      </w:pPr>
      <w:r w:rsidRPr="009767C9">
        <w:t>Wspierania współpracy w Unii Europejskiej w celu maksymalizacji wkładu infrastruktury sieci komunikacyjnej w realizację celów UE w zakresie odporności i zielonego ładu;</w:t>
      </w:r>
    </w:p>
    <w:p w14:paraId="12126DD9" w14:textId="19AEE7B5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Wspierania ogólnounijnej wymiany innowacyjnych pomysłów za pośrednictwem Europejskiej Przestrzeni Badawczej (EPB) jako ramy działań zapewniających Europie i państwom członkowskim UE dobrą pozycję i gotowość do reagowania na potencjalne przyszłe wyzwania;</w:t>
      </w:r>
    </w:p>
    <w:p w14:paraId="1A630540" w14:textId="77777777" w:rsidR="00C63967" w:rsidRPr="009767C9" w:rsidRDefault="00215C5C">
      <w:pPr>
        <w:pStyle w:val="P68B1DB1-Listenabsatz8"/>
        <w:numPr>
          <w:ilvl w:val="0"/>
          <w:numId w:val="40"/>
        </w:numPr>
      </w:pPr>
      <w:r w:rsidRPr="009767C9">
        <w:t>Zwiększania odporności naszych systemów opieki zdrowotnej poprzez dalsze rozwijanie i wdrażanie, wraz z państwami członkowskimi w ramach sieci eZdrowie, interoperacyjnych cyfrowych rozwiązań zdrowotnych, takich jak wymiana dokumentacji medycznej, aplikacji typu mZdrowie (mobilne zdrowie) oraz telemedycyny, wspomaganie i promowanie w ten sposób przejścia na zintegrowane systemy ciągłej i spersonalizowanej opieki.</w:t>
      </w:r>
    </w:p>
    <w:p w14:paraId="2E1CE51F" w14:textId="77777777" w:rsidR="00C63967" w:rsidRPr="009767C9" w:rsidRDefault="00C63967"/>
    <w:p w14:paraId="258E9C06" w14:textId="77777777" w:rsidR="00C63967" w:rsidRPr="009767C9" w:rsidRDefault="00C63967"/>
    <w:p w14:paraId="6B0460C7" w14:textId="0567A31C" w:rsidR="00C63967" w:rsidRPr="009767C9" w:rsidRDefault="00215C5C">
      <w:pPr>
        <w:pStyle w:val="P68B1DB1-Standard4"/>
        <w:spacing w:after="60"/>
      </w:pPr>
      <w:r w:rsidRPr="009767C9">
        <w:t xml:space="preserve">III. </w:t>
      </w:r>
      <w:r w:rsidRPr="009767C9">
        <w:rPr>
          <w:u w:val="single"/>
        </w:rPr>
        <w:t>Konkluzja</w:t>
      </w:r>
      <w:r w:rsidRPr="009767C9">
        <w:t xml:space="preserve"> </w:t>
      </w:r>
    </w:p>
    <w:p w14:paraId="5531578B" w14:textId="7AD3AA97" w:rsidR="00C63967" w:rsidRPr="009767C9" w:rsidRDefault="00215C5C">
      <w:pPr>
        <w:pStyle w:val="P68B1DB1-Standard12"/>
        <w:jc w:val="both"/>
      </w:pPr>
      <w:r w:rsidRPr="009767C9">
        <w:t>My, sygnatariusze, podejmiemy się realizacji ww. aspektów tej deklaracji w naszych krajach do końca 2024 roku. Będziemy corocznie przedstawiać nasze postępy w realizacji tej deklaracji w rocznych sprawozdaniach z postępów przygotowywanych przez odpowiednią prezydencję w Radzie UE do 2024 roku oraz zwrócimy się do Komisji Europejskiej o wsparcie w utworzeniu odpowiedniego mechanizmu.</w:t>
      </w:r>
      <w:r w:rsidRPr="009767C9">
        <w:rPr>
          <w:color w:val="FF0000"/>
        </w:rPr>
        <w:t xml:space="preserve"> </w:t>
      </w:r>
      <w:r w:rsidRPr="009767C9">
        <w:t xml:space="preserve">Wyznaczymy w naszych krajach ww. priorytety, podkreślając, że środki przekazane na transformację cyfrową w wieloletnich ramach finansowych (WRF) oraz dzięki pakietowi odbudowy po Covid-19 </w:t>
      </w:r>
      <w:r w:rsidR="005D3781">
        <w:t>„</w:t>
      </w:r>
      <w:r w:rsidRPr="009767C9">
        <w:t>Next Generation EU (NGEU)</w:t>
      </w:r>
      <w:r w:rsidR="005D3781">
        <w:t>”</w:t>
      </w:r>
      <w:r w:rsidRPr="009767C9">
        <w:t xml:space="preserve"> mogą potencjalnie wesprzeć m.in. osiągnięcie tych wspólnych celów oraz wdrożenie działań i środków przedstawionych powyżej.</w:t>
      </w:r>
    </w:p>
    <w:p w14:paraId="61D0825C" w14:textId="48A4604D" w:rsidR="00C63967" w:rsidRPr="009767C9" w:rsidRDefault="00215C5C">
      <w:pPr>
        <w:pStyle w:val="P68B1DB1-Standard12"/>
        <w:spacing w:before="120"/>
        <w:jc w:val="both"/>
      </w:pPr>
      <w:r w:rsidRPr="009767C9">
        <w:t>Opierając się na osiągnięciach deklaracji z Tallina i Planu działania na rzecz administracji elektronicznej, zobowiązujemy się do współpracy z Komisją Europejską i instytucjami UE w celu zbudowania wzmocnionej polityki unijnej w zakresie administracji cyfrowej oraz zapewnienia koordynacji i wsparcia cyfrowej transformacji administracji publicznych we wszystkich państwach członkowskich UE.</w:t>
      </w:r>
    </w:p>
    <w:p w14:paraId="33860234" w14:textId="40C6F25B" w:rsidR="00C63967" w:rsidRPr="009767C9" w:rsidRDefault="00215C5C">
      <w:pPr>
        <w:pStyle w:val="P68B1DB1-Standard12"/>
        <w:spacing w:before="120"/>
        <w:jc w:val="both"/>
        <w:rPr>
          <w:strike/>
        </w:rPr>
      </w:pPr>
      <w:r w:rsidRPr="009767C9">
        <w:lastRenderedPageBreak/>
        <w:t>Wzywamy instytucje Unii Europejskiej do wspierania i promowania zasad i działań przedstawionych w niniejszej deklaracji na szczeblu europejskim. Zachęcamy Komisję i inne instytucje UE do dostosowania cyfrowych i innowacyjnych inicjatyw rządowych do kierunków działania deklaracji i polityk UE. Wzywamy Komisję do uwzględnienia tej deklaracji przy ustalaniu nowych polityk, takich jak nowa polityka administracji cyfrowej, strategia interoperacyjności lub nowy cyfrowy kompas, o który wnioskowała Rada Europejska.</w:t>
      </w:r>
    </w:p>
    <w:p w14:paraId="78933285" w14:textId="38F054B6" w:rsidR="00C63967" w:rsidRPr="009767C9" w:rsidRDefault="00215C5C">
      <w:pPr>
        <w:pStyle w:val="P68B1DB1-Standard13"/>
        <w:spacing w:before="120"/>
        <w:jc w:val="both"/>
        <w:rPr>
          <w:rFonts w:ascii="BundesSans Office" w:eastAsia="Times New Roman" w:hAnsi="BundesSans Office" w:cs="Calibri"/>
        </w:rPr>
      </w:pPr>
      <w:r w:rsidRPr="009767C9">
        <w:rPr>
          <w:rFonts w:ascii="BundesSans Office" w:eastAsia="Times New Roman" w:hAnsi="BundesSans Office" w:cs="Calibri"/>
        </w:rPr>
        <w:t>Wzywamy francuską prezydencję Rady</w:t>
      </w:r>
      <w:r w:rsidRPr="009767C9">
        <w:rPr>
          <w:rFonts w:ascii="BundesSans Office" w:eastAsia="Times New Roman" w:hAnsi="BundesSans Office" w:cs="Calibri"/>
          <w:shd w:val="clear" w:color="auto" w:fill="FFFFFF" w:themeFill="background1"/>
        </w:rPr>
        <w:t xml:space="preserve"> UE</w:t>
      </w:r>
      <w:r w:rsidRPr="009767C9">
        <w:rPr>
          <w:rFonts w:ascii="BundesSans Office" w:eastAsia="Times New Roman" w:hAnsi="BundesSans Office" w:cs="Calibri"/>
        </w:rPr>
        <w:t xml:space="preserve"> </w:t>
      </w:r>
      <w:r w:rsidRPr="009767C9">
        <w:rPr>
          <w:rFonts w:ascii="BundesSans Office" w:hAnsi="BundesSans Office"/>
        </w:rPr>
        <w:t>do podsumowania realizacji tej deklaracji wiosną 2022 roku. Wzywamy nadchodzącą portugalską prezydencję Rady UE do wspierania, promowania i rozszerzania zasad i celów niniejszej Deklaracji poprzez przedstawienie deklaracji lizbońskiej, która stanowić będzie wspólne rozumienie wartości prawnych wspierających społeczeństwo cyfrowe.</w:t>
      </w:r>
    </w:p>
    <w:sectPr w:rsidR="00C63967" w:rsidRPr="009767C9">
      <w:footerReference w:type="default" r:id="rId8"/>
      <w:pgSz w:w="12240" w:h="15840"/>
      <w:pgMar w:top="1134" w:right="1304" w:bottom="1021" w:left="1304" w:header="709" w:footer="34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0459" w14:textId="77777777" w:rsidR="00215C5C" w:rsidRDefault="00215C5C">
      <w:r>
        <w:separator/>
      </w:r>
    </w:p>
  </w:endnote>
  <w:endnote w:type="continuationSeparator" w:id="0">
    <w:p w14:paraId="6894349A" w14:textId="77777777" w:rsidR="00215C5C" w:rsidRDefault="0021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undesSans Office">
    <w:altName w:val="Times New Roman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roy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949189"/>
      <w:docPartObj>
        <w:docPartGallery w:val="Page Numbers (Bottom of Page)"/>
        <w:docPartUnique/>
      </w:docPartObj>
    </w:sdtPr>
    <w:sdtEndPr/>
    <w:sdtContent>
      <w:p w14:paraId="76CB5F7D" w14:textId="0B1E1E41" w:rsidR="00C63967" w:rsidRDefault="00215C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731B4414" w14:textId="77777777" w:rsidR="00C63967" w:rsidRDefault="00C63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CCCEC" w14:textId="77777777" w:rsidR="00215C5C" w:rsidRDefault="00215C5C">
      <w:r>
        <w:separator/>
      </w:r>
    </w:p>
  </w:footnote>
  <w:footnote w:type="continuationSeparator" w:id="0">
    <w:p w14:paraId="4605591C" w14:textId="77777777" w:rsidR="00215C5C" w:rsidRDefault="00215C5C">
      <w:r>
        <w:continuationSeparator/>
      </w:r>
    </w:p>
  </w:footnote>
  <w:footnote w:id="1">
    <w:p w14:paraId="46CCDB6A" w14:textId="77777777" w:rsidR="00C63967" w:rsidRDefault="00215C5C">
      <w:pPr>
        <w:pStyle w:val="Tekstprzypisudolnego"/>
        <w:ind w:left="113" w:hanging="113"/>
        <w:rPr>
          <w:rFonts w:ascii="BundesSans Office" w:hAnsi="BundesSans Office"/>
          <w:sz w:val="16"/>
        </w:rPr>
      </w:pPr>
      <w:r>
        <w:rPr>
          <w:rStyle w:val="Odwoanieprzypisudolnego"/>
          <w:rFonts w:ascii="BundesSans Office" w:hAnsi="BundesSans Office"/>
          <w:sz w:val="16"/>
        </w:rPr>
        <w:footnoteRef/>
      </w:r>
      <w:r>
        <w:rPr>
          <w:rFonts w:ascii="BundesSans Office" w:hAnsi="BundesSans Office"/>
          <w:sz w:val="16"/>
        </w:rPr>
        <w:t>w szczególności prawa podstawowe określone w Karcie praw podstawowych Unii Europejskiej.</w:t>
      </w:r>
    </w:p>
  </w:footnote>
  <w:footnote w:id="2">
    <w:p w14:paraId="3C0A4B92" w14:textId="4627B205" w:rsidR="00C63967" w:rsidRDefault="00215C5C">
      <w:pPr>
        <w:ind w:left="113" w:hanging="113"/>
        <w:jc w:val="both"/>
        <w:rPr>
          <w:rFonts w:ascii="BundesSans Office" w:hAnsi="BundesSans Office"/>
          <w:sz w:val="16"/>
        </w:rPr>
      </w:pPr>
      <w:r>
        <w:rPr>
          <w:rStyle w:val="Odwoanieprzypisudolnego"/>
          <w:rFonts w:ascii="BundesSans Office" w:hAnsi="BundesSans Office"/>
          <w:sz w:val="16"/>
        </w:rPr>
        <w:footnoteRef/>
      </w:r>
      <w:r>
        <w:rPr>
          <w:rFonts w:ascii="BundesSans Office" w:hAnsi="BundesSans Office"/>
          <w:sz w:val="16"/>
        </w:rPr>
        <w:t>tj. konkluzj</w:t>
      </w:r>
      <w:r w:rsidR="009767C9">
        <w:rPr>
          <w:rFonts w:ascii="BundesSans Office" w:hAnsi="BundesSans Office"/>
          <w:sz w:val="16"/>
        </w:rPr>
        <w:t>e</w:t>
      </w:r>
      <w:r>
        <w:rPr>
          <w:rFonts w:ascii="BundesSans Office" w:hAnsi="BundesSans Office"/>
          <w:sz w:val="16"/>
        </w:rPr>
        <w:t xml:space="preserve"> Rady z dnia 9 czerwca 2020 r. „Kształtowanie cyfrowej przyszłości Europy”; konkluzje Rady z dnia 7 czerwca 2019 r. w sprawie przyszłości wysoce zdigitalizowanej Europy po 2020 r .: „Zwiększanie konkurencyjności cyfrowej i gospodarczej w całej Unii oraz spójności cyfrowej”; pakiet cyfrowy Komisji Europejskiej, w tym ogóln</w:t>
      </w:r>
      <w:r w:rsidR="009767C9">
        <w:rPr>
          <w:rFonts w:ascii="BundesSans Office" w:hAnsi="BundesSans Office"/>
          <w:sz w:val="16"/>
        </w:rPr>
        <w:t>ą</w:t>
      </w:r>
      <w:r>
        <w:rPr>
          <w:rFonts w:ascii="BundesSans Office" w:hAnsi="BundesSans Office"/>
          <w:sz w:val="16"/>
        </w:rPr>
        <w:t xml:space="preserve"> strategi</w:t>
      </w:r>
      <w:r w:rsidR="009767C9">
        <w:rPr>
          <w:rFonts w:ascii="BundesSans Office" w:hAnsi="BundesSans Office"/>
          <w:sz w:val="16"/>
        </w:rPr>
        <w:t>ę</w:t>
      </w:r>
      <w:r>
        <w:rPr>
          <w:rFonts w:ascii="BundesSans Office" w:hAnsi="BundesSans Office"/>
          <w:sz w:val="16"/>
        </w:rPr>
        <w:t xml:space="preserve"> kształtowania cyfrowej przyszłości Europy, europejsk</w:t>
      </w:r>
      <w:r w:rsidR="009767C9">
        <w:rPr>
          <w:rFonts w:ascii="BundesSans Office" w:hAnsi="BundesSans Office"/>
          <w:sz w:val="16"/>
        </w:rPr>
        <w:t>ą</w:t>
      </w:r>
      <w:r>
        <w:rPr>
          <w:rFonts w:ascii="BundesSans Office" w:hAnsi="BundesSans Office"/>
          <w:sz w:val="16"/>
        </w:rPr>
        <w:t xml:space="preserve"> strategi</w:t>
      </w:r>
      <w:r w:rsidR="009767C9">
        <w:rPr>
          <w:rFonts w:ascii="BundesSans Office" w:hAnsi="BundesSans Office"/>
          <w:sz w:val="16"/>
        </w:rPr>
        <w:t>ę</w:t>
      </w:r>
      <w:r>
        <w:rPr>
          <w:rFonts w:ascii="BundesSans Office" w:hAnsi="BundesSans Office"/>
          <w:sz w:val="16"/>
        </w:rPr>
        <w:t xml:space="preserve"> dotycząc</w:t>
      </w:r>
      <w:r w:rsidR="009767C9">
        <w:rPr>
          <w:rFonts w:ascii="BundesSans Office" w:hAnsi="BundesSans Office"/>
          <w:sz w:val="16"/>
        </w:rPr>
        <w:t>ą</w:t>
      </w:r>
      <w:r>
        <w:rPr>
          <w:rFonts w:ascii="BundesSans Office" w:hAnsi="BundesSans Office"/>
          <w:sz w:val="16"/>
        </w:rPr>
        <w:t xml:space="preserve"> danych oraz biał</w:t>
      </w:r>
      <w:r w:rsidR="009767C9">
        <w:rPr>
          <w:rFonts w:ascii="BundesSans Office" w:hAnsi="BundesSans Office"/>
          <w:sz w:val="16"/>
        </w:rPr>
        <w:t>ą</w:t>
      </w:r>
      <w:r>
        <w:rPr>
          <w:rFonts w:ascii="BundesSans Office" w:hAnsi="BundesSans Office"/>
          <w:sz w:val="16"/>
        </w:rPr>
        <w:t xml:space="preserve"> księg</w:t>
      </w:r>
      <w:r w:rsidR="009767C9">
        <w:rPr>
          <w:rFonts w:ascii="BundesSans Office" w:hAnsi="BundesSans Office"/>
          <w:sz w:val="16"/>
        </w:rPr>
        <w:t>ę</w:t>
      </w:r>
      <w:r>
        <w:rPr>
          <w:rFonts w:ascii="BundesSans Office" w:hAnsi="BundesSans Office"/>
          <w:sz w:val="16"/>
        </w:rPr>
        <w:t xml:space="preserve"> w sprawie sztucznej inteligencji; deklarację z Tallina w sprawie administracji elektronicznej i planu działań na rzecz administracji elektronicznej na lata 2016–2020 wraz z ich wspólnym zaangażowaniem w zorientowanie na użytkownika, prostotę usług, przyjazną dla użytkownika dostępność i wygodę; wzmocnioną strategię administracji cyfrowej UE i strategię interoperacyjności rządowej [w przygotowaniu], dyrektywy w sprawie dostępu do stron internetowych sektora publicznego dla 80 milionów osób niepełnosprawnych w UE oraz do europejskiego programu na rzecz umiejętności na rzecz trwałej konkurencyjności, sprawiedliwości społecznej i odporności; tj. Next Generation EU – pakiet odbudowy służąc</w:t>
      </w:r>
      <w:r w:rsidR="009767C9">
        <w:rPr>
          <w:rFonts w:ascii="BundesSans Office" w:hAnsi="BundesSans Office"/>
          <w:sz w:val="16"/>
        </w:rPr>
        <w:t>y</w:t>
      </w:r>
      <w:r>
        <w:rPr>
          <w:rFonts w:ascii="BundesSans Office" w:hAnsi="BundesSans Office"/>
          <w:sz w:val="16"/>
        </w:rPr>
        <w:t xml:space="preserve"> wspieraniu zrównoważonego i odpornego wzrostu w świetle pandemii COVID-19, rozporządzenie w sprawie jednolitego portalu cyfrowego umożliwiającego przyjazny dla użytkownika, transgraniczny dostęp do publicznych usług cyfrowych, rozporządzenie eIDAS w celu zaoferowania godnej zaufania transgranicznej tożsamości cyfrowa na rzecz interoperacyjności usług w całej Europie; zasad</w:t>
      </w:r>
      <w:r w:rsidR="009767C9">
        <w:rPr>
          <w:rFonts w:ascii="BundesSans Office" w:hAnsi="BundesSans Office"/>
          <w:sz w:val="16"/>
        </w:rPr>
        <w:t>y</w:t>
      </w:r>
      <w:r>
        <w:rPr>
          <w:rFonts w:ascii="BundesSans Office" w:hAnsi="BundesSans Office"/>
          <w:sz w:val="16"/>
        </w:rPr>
        <w:t xml:space="preserve"> zarządzania danymi opartych na dobrowolnym przekazywaniu danych, aby zachęcić do tworzenia</w:t>
      </w:r>
      <w:r>
        <w:rPr>
          <w:rFonts w:ascii="BundesSans Office" w:eastAsia="Calibri" w:hAnsi="BundesSans Office" w:cstheme="majorBidi"/>
          <w:b/>
          <w:sz w:val="16"/>
        </w:rPr>
        <w:t xml:space="preserve"> </w:t>
      </w:r>
      <w:r>
        <w:rPr>
          <w:rFonts w:ascii="BundesSans Office" w:hAnsi="BundesSans Office"/>
          <w:sz w:val="16"/>
        </w:rPr>
        <w:t xml:space="preserve">sfederowanych, bezpiecznych, chronionych i zaufanych wspólnych europejskich przestrzeni danych dla sektorów strategicznych w celu ułatwienia korzystania z publicznie dostępnych danych i swobodnego przepływu danych, takich jak otwarte dane i dyrektywa w sprawie ponownego wykorzystywania informacji sektora publicznego, „Europejska strategia dotycząca danych” COM (2020) 66 </w:t>
      </w:r>
      <w:r w:rsidR="009767C9">
        <w:rPr>
          <w:rFonts w:ascii="BundesSans Office" w:hAnsi="BundesSans Office"/>
          <w:sz w:val="16"/>
        </w:rPr>
        <w:t>–</w:t>
      </w:r>
      <w:r>
        <w:rPr>
          <w:rFonts w:ascii="BundesSans Office" w:hAnsi="BundesSans Office"/>
          <w:sz w:val="16"/>
        </w:rPr>
        <w:t xml:space="preserve"> wersja ostateczna, rozporządzenie w sprawie swobodnego przepływu danych nieosobowych zgodnie z ramami prawnymi dotyczącymi ochrony danych osobowych, w szczególności danych ogólnych; </w:t>
      </w:r>
      <w:r w:rsidR="009767C9">
        <w:rPr>
          <w:rFonts w:ascii="BundesSans Office" w:hAnsi="BundesSans Office"/>
          <w:sz w:val="16"/>
        </w:rPr>
        <w:t>r</w:t>
      </w:r>
      <w:r>
        <w:rPr>
          <w:rFonts w:ascii="BundesSans Office" w:hAnsi="BundesSans Office"/>
          <w:sz w:val="16"/>
        </w:rPr>
        <w:t xml:space="preserve">ozporządzenie o ochronie; </w:t>
      </w:r>
      <w:r w:rsidR="009767C9">
        <w:rPr>
          <w:rFonts w:ascii="BundesSans Office" w:hAnsi="BundesSans Office"/>
          <w:sz w:val="16"/>
        </w:rPr>
        <w:t>prawo</w:t>
      </w:r>
      <w:r>
        <w:rPr>
          <w:rFonts w:ascii="BundesSans Office" w:hAnsi="BundesSans Office"/>
          <w:sz w:val="16"/>
        </w:rPr>
        <w:t xml:space="preserve"> o cyberbezpieczeństwie, dyrektyw</w:t>
      </w:r>
      <w:r w:rsidR="009767C9">
        <w:rPr>
          <w:rFonts w:ascii="BundesSans Office" w:hAnsi="BundesSans Office"/>
          <w:sz w:val="16"/>
        </w:rPr>
        <w:t>ę</w:t>
      </w:r>
      <w:r>
        <w:rPr>
          <w:rFonts w:ascii="BundesSans Office" w:hAnsi="BundesSans Office"/>
          <w:sz w:val="16"/>
        </w:rPr>
        <w:t xml:space="preserve"> w sprawie bezpieczeństwa sieci i informacji oraz konkluzje Rady w sprawie zdolności i budowania zdolności w zakresie cyberbezpieczeństwa w UE</w:t>
      </w:r>
    </w:p>
  </w:footnote>
  <w:footnote w:id="3">
    <w:p w14:paraId="7202069D" w14:textId="5E01ABF0" w:rsidR="00C63967" w:rsidRDefault="00215C5C">
      <w:pPr>
        <w:pStyle w:val="Tekstprzypisudolnego"/>
        <w:rPr>
          <w:rFonts w:ascii="BundesSans Office" w:hAnsi="BundesSans Office" w:cstheme="minorHAnsi"/>
          <w:sz w:val="16"/>
        </w:rPr>
      </w:pPr>
      <w:r>
        <w:rPr>
          <w:rStyle w:val="Odwoanieprzypisudolnego"/>
          <w:rFonts w:ascii="BundesSans Office" w:hAnsi="BundesSans Office" w:cstheme="minorHAnsi"/>
          <w:sz w:val="16"/>
        </w:rPr>
        <w:footnoteRef/>
      </w:r>
      <w:r>
        <w:rPr>
          <w:rFonts w:ascii="BundesSans Office" w:hAnsi="BundesSans Office" w:cstheme="minorHAnsi"/>
          <w:sz w:val="16"/>
        </w:rPr>
        <w:t>tj. skoordynowany</w:t>
      </w:r>
      <w:r w:rsidR="00623430">
        <w:rPr>
          <w:rFonts w:ascii="BundesSans Office" w:hAnsi="BundesSans Office" w:cstheme="minorHAnsi"/>
          <w:sz w:val="16"/>
        </w:rPr>
        <w:t>m</w:t>
      </w:r>
      <w:r>
        <w:rPr>
          <w:rFonts w:ascii="BundesSans Office" w:hAnsi="BundesSans Office" w:cstheme="minorHAnsi"/>
          <w:sz w:val="16"/>
        </w:rPr>
        <w:t xml:space="preserve"> plan</w:t>
      </w:r>
      <w:r w:rsidR="00623430">
        <w:rPr>
          <w:rFonts w:ascii="BundesSans Office" w:hAnsi="BundesSans Office" w:cstheme="minorHAnsi"/>
          <w:sz w:val="16"/>
        </w:rPr>
        <w:t>em</w:t>
      </w:r>
      <w:r>
        <w:rPr>
          <w:rFonts w:ascii="BundesSans Office" w:hAnsi="BundesSans Office" w:cstheme="minorHAnsi"/>
          <w:sz w:val="16"/>
        </w:rPr>
        <w:t xml:space="preserve"> dotyczący</w:t>
      </w:r>
      <w:r w:rsidR="00623430">
        <w:rPr>
          <w:rFonts w:ascii="BundesSans Office" w:hAnsi="BundesSans Office" w:cstheme="minorHAnsi"/>
          <w:sz w:val="16"/>
        </w:rPr>
        <w:t>m</w:t>
      </w:r>
      <w:r>
        <w:rPr>
          <w:rFonts w:ascii="BundesSans Office" w:hAnsi="BundesSans Office" w:cstheme="minorHAnsi"/>
          <w:sz w:val="16"/>
        </w:rPr>
        <w:t xml:space="preserve"> sztucznej inteligencji (COM (2018) 795 wersja ostateczna) oraz wytyczn</w:t>
      </w:r>
      <w:r w:rsidR="00623430">
        <w:rPr>
          <w:rFonts w:ascii="BundesSans Office" w:hAnsi="BundesSans Office" w:cstheme="minorHAnsi"/>
          <w:sz w:val="16"/>
        </w:rPr>
        <w:t>ymi</w:t>
      </w:r>
      <w:r>
        <w:rPr>
          <w:rFonts w:ascii="BundesSans Office" w:hAnsi="BundesSans Office" w:cstheme="minorHAnsi"/>
          <w:sz w:val="16"/>
        </w:rPr>
        <w:t xml:space="preserve"> etyczn</w:t>
      </w:r>
      <w:r w:rsidR="00623430">
        <w:rPr>
          <w:rFonts w:ascii="BundesSans Office" w:hAnsi="BundesSans Office" w:cstheme="minorHAnsi"/>
          <w:sz w:val="16"/>
        </w:rPr>
        <w:t>ymi</w:t>
      </w:r>
      <w:r>
        <w:rPr>
          <w:rFonts w:ascii="BundesSans Office" w:hAnsi="BundesSans Office" w:cstheme="minorHAnsi"/>
          <w:sz w:val="16"/>
        </w:rPr>
        <w:t xml:space="preserve"> dotycząc</w:t>
      </w:r>
      <w:r w:rsidR="00623430">
        <w:rPr>
          <w:rFonts w:ascii="BundesSans Office" w:hAnsi="BundesSans Office" w:cstheme="minorHAnsi"/>
          <w:sz w:val="16"/>
        </w:rPr>
        <w:t>ymi</w:t>
      </w:r>
      <w:r>
        <w:rPr>
          <w:rFonts w:ascii="BundesSans Office" w:hAnsi="BundesSans Office" w:cstheme="minorHAnsi"/>
          <w:sz w:val="16"/>
        </w:rPr>
        <w:t xml:space="preserve"> godnej zaufania sztucznej inteligencji przedstawione przez unijną grupę ekspertów wysokiego szczebla ds. sztucznej inteligencji. </w:t>
      </w:r>
    </w:p>
  </w:footnote>
  <w:footnote w:id="4">
    <w:p w14:paraId="20BB67FF" w14:textId="0E5CA807" w:rsidR="00C63967" w:rsidRDefault="00215C5C">
      <w:pPr>
        <w:pStyle w:val="P68B1DB1-Funotentext14"/>
      </w:pPr>
      <w:r w:rsidRPr="00EF020D">
        <w:rPr>
          <w:vertAlign w:val="superscript"/>
        </w:rPr>
        <w:footnoteRef/>
      </w:r>
      <w:r w:rsidR="00EF020D">
        <w:t xml:space="preserve"> </w:t>
      </w:r>
      <w:r>
        <w:t>w nawiązaniu do raportu OECD z 2018 r. „Zdrowie psychiczne dzieci i młodzieży w erze cyfrowej kształtującej przyszłość”.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EF1"/>
    <w:multiLevelType w:val="hybridMultilevel"/>
    <w:tmpl w:val="6D5A7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EB0"/>
    <w:multiLevelType w:val="hybridMultilevel"/>
    <w:tmpl w:val="A090652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015804"/>
    <w:multiLevelType w:val="hybridMultilevel"/>
    <w:tmpl w:val="B91CD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3C8"/>
    <w:multiLevelType w:val="hybridMultilevel"/>
    <w:tmpl w:val="12021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3D01"/>
    <w:multiLevelType w:val="hybridMultilevel"/>
    <w:tmpl w:val="D40C75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132"/>
    <w:multiLevelType w:val="hybridMultilevel"/>
    <w:tmpl w:val="42BED886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673239"/>
    <w:multiLevelType w:val="hybridMultilevel"/>
    <w:tmpl w:val="CA12D03E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647F7B"/>
    <w:multiLevelType w:val="hybridMultilevel"/>
    <w:tmpl w:val="F18AD728"/>
    <w:lvl w:ilvl="0" w:tplc="0156BD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45C1B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6E3"/>
    <w:multiLevelType w:val="hybridMultilevel"/>
    <w:tmpl w:val="002E5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C3B"/>
    <w:multiLevelType w:val="hybridMultilevel"/>
    <w:tmpl w:val="38F2E680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267B4A"/>
    <w:multiLevelType w:val="hybridMultilevel"/>
    <w:tmpl w:val="50067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86220"/>
    <w:multiLevelType w:val="hybridMultilevel"/>
    <w:tmpl w:val="5B32E9AC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2D2982"/>
    <w:multiLevelType w:val="hybridMultilevel"/>
    <w:tmpl w:val="1E586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96BB9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C3DDA"/>
    <w:multiLevelType w:val="hybridMultilevel"/>
    <w:tmpl w:val="DBEEDD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770D0"/>
    <w:multiLevelType w:val="hybridMultilevel"/>
    <w:tmpl w:val="56E627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0606B"/>
    <w:multiLevelType w:val="hybridMultilevel"/>
    <w:tmpl w:val="7E5864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15471"/>
    <w:multiLevelType w:val="hybridMultilevel"/>
    <w:tmpl w:val="7B525B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A4CE8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A73E1"/>
    <w:multiLevelType w:val="hybridMultilevel"/>
    <w:tmpl w:val="98FA411E"/>
    <w:lvl w:ilvl="0" w:tplc="0156BD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35504"/>
    <w:multiLevelType w:val="hybridMultilevel"/>
    <w:tmpl w:val="657A604C"/>
    <w:lvl w:ilvl="0" w:tplc="0156BD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13E8E"/>
    <w:multiLevelType w:val="hybridMultilevel"/>
    <w:tmpl w:val="41EA34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437DB"/>
    <w:multiLevelType w:val="hybridMultilevel"/>
    <w:tmpl w:val="3AAC2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F6E93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E7A6B"/>
    <w:multiLevelType w:val="hybridMultilevel"/>
    <w:tmpl w:val="4B3CBBD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DAB050C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E6423"/>
    <w:multiLevelType w:val="hybridMultilevel"/>
    <w:tmpl w:val="B414ED6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46B03F1"/>
    <w:multiLevelType w:val="hybridMultilevel"/>
    <w:tmpl w:val="CA86F198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9D703F7"/>
    <w:multiLevelType w:val="hybridMultilevel"/>
    <w:tmpl w:val="B00A1B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012F4"/>
    <w:multiLevelType w:val="hybridMultilevel"/>
    <w:tmpl w:val="8F8C7FB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B763BF1"/>
    <w:multiLevelType w:val="hybridMultilevel"/>
    <w:tmpl w:val="80441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667C3"/>
    <w:multiLevelType w:val="hybridMultilevel"/>
    <w:tmpl w:val="F796F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513F6"/>
    <w:multiLevelType w:val="hybridMultilevel"/>
    <w:tmpl w:val="15C2F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6362C"/>
    <w:multiLevelType w:val="hybridMultilevel"/>
    <w:tmpl w:val="D4B82A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F0AF3"/>
    <w:multiLevelType w:val="hybridMultilevel"/>
    <w:tmpl w:val="5F387722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9A14E1D"/>
    <w:multiLevelType w:val="hybridMultilevel"/>
    <w:tmpl w:val="8CECBBA8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B1C7BC4"/>
    <w:multiLevelType w:val="hybridMultilevel"/>
    <w:tmpl w:val="BF42B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17936"/>
    <w:multiLevelType w:val="hybridMultilevel"/>
    <w:tmpl w:val="9D460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E095F"/>
    <w:multiLevelType w:val="hybridMultilevel"/>
    <w:tmpl w:val="42042464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54265D3"/>
    <w:multiLevelType w:val="hybridMultilevel"/>
    <w:tmpl w:val="4CE21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E6DFF"/>
    <w:multiLevelType w:val="hybridMultilevel"/>
    <w:tmpl w:val="3A20710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ADB17EC"/>
    <w:multiLevelType w:val="hybridMultilevel"/>
    <w:tmpl w:val="DC52CF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C444703"/>
    <w:multiLevelType w:val="hybridMultilevel"/>
    <w:tmpl w:val="1138E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74DD7"/>
    <w:multiLevelType w:val="hybridMultilevel"/>
    <w:tmpl w:val="F01605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5"/>
  </w:num>
  <w:num w:numId="5">
    <w:abstractNumId w:val="14"/>
  </w:num>
  <w:num w:numId="6">
    <w:abstractNumId w:val="42"/>
  </w:num>
  <w:num w:numId="7">
    <w:abstractNumId w:val="41"/>
  </w:num>
  <w:num w:numId="8">
    <w:abstractNumId w:val="30"/>
  </w:num>
  <w:num w:numId="9">
    <w:abstractNumId w:val="43"/>
  </w:num>
  <w:num w:numId="10">
    <w:abstractNumId w:val="27"/>
  </w:num>
  <w:num w:numId="11">
    <w:abstractNumId w:val="26"/>
  </w:num>
  <w:num w:numId="12">
    <w:abstractNumId w:val="19"/>
  </w:num>
  <w:num w:numId="13">
    <w:abstractNumId w:val="8"/>
  </w:num>
  <w:num w:numId="14">
    <w:abstractNumId w:val="24"/>
  </w:num>
  <w:num w:numId="15">
    <w:abstractNumId w:val="34"/>
  </w:num>
  <w:num w:numId="16">
    <w:abstractNumId w:val="39"/>
  </w:num>
  <w:num w:numId="17">
    <w:abstractNumId w:val="6"/>
  </w:num>
  <w:num w:numId="18">
    <w:abstractNumId w:val="5"/>
  </w:num>
  <w:num w:numId="19">
    <w:abstractNumId w:val="10"/>
  </w:num>
  <w:num w:numId="20">
    <w:abstractNumId w:val="35"/>
  </w:num>
  <w:num w:numId="21">
    <w:abstractNumId w:val="44"/>
  </w:num>
  <w:num w:numId="22">
    <w:abstractNumId w:val="22"/>
  </w:num>
  <w:num w:numId="23">
    <w:abstractNumId w:val="29"/>
  </w:num>
  <w:num w:numId="24">
    <w:abstractNumId w:val="37"/>
  </w:num>
  <w:num w:numId="25">
    <w:abstractNumId w:val="33"/>
  </w:num>
  <w:num w:numId="26">
    <w:abstractNumId w:val="2"/>
  </w:num>
  <w:num w:numId="27">
    <w:abstractNumId w:val="3"/>
  </w:num>
  <w:num w:numId="28">
    <w:abstractNumId w:val="9"/>
  </w:num>
  <w:num w:numId="29">
    <w:abstractNumId w:val="23"/>
  </w:num>
  <w:num w:numId="30">
    <w:abstractNumId w:val="32"/>
  </w:num>
  <w:num w:numId="31">
    <w:abstractNumId w:val="31"/>
  </w:num>
  <w:num w:numId="32">
    <w:abstractNumId w:val="13"/>
  </w:num>
  <w:num w:numId="33">
    <w:abstractNumId w:val="11"/>
  </w:num>
  <w:num w:numId="34">
    <w:abstractNumId w:val="1"/>
  </w:num>
  <w:num w:numId="35">
    <w:abstractNumId w:val="0"/>
  </w:num>
  <w:num w:numId="36">
    <w:abstractNumId w:val="28"/>
  </w:num>
  <w:num w:numId="37">
    <w:abstractNumId w:val="38"/>
  </w:num>
  <w:num w:numId="38">
    <w:abstractNumId w:val="40"/>
  </w:num>
  <w:num w:numId="39">
    <w:abstractNumId w:val="12"/>
  </w:num>
  <w:num w:numId="40">
    <w:abstractNumId w:val="21"/>
  </w:num>
  <w:num w:numId="41">
    <w:abstractNumId w:val="20"/>
  </w:num>
  <w:num w:numId="42">
    <w:abstractNumId w:val="18"/>
  </w:num>
  <w:num w:numId="43">
    <w:abstractNumId w:val="7"/>
  </w:num>
  <w:num w:numId="44">
    <w:abstractNumId w:val="3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19"/>
    <w:rsid w:val="00006DE2"/>
    <w:rsid w:val="00010AD1"/>
    <w:rsid w:val="00011562"/>
    <w:rsid w:val="00023107"/>
    <w:rsid w:val="00024D19"/>
    <w:rsid w:val="00027D68"/>
    <w:rsid w:val="00040FA5"/>
    <w:rsid w:val="00042897"/>
    <w:rsid w:val="0004462F"/>
    <w:rsid w:val="00047AFB"/>
    <w:rsid w:val="000506E2"/>
    <w:rsid w:val="00066469"/>
    <w:rsid w:val="00084673"/>
    <w:rsid w:val="000903B8"/>
    <w:rsid w:val="000A11DD"/>
    <w:rsid w:val="000A42C1"/>
    <w:rsid w:val="000B6CF3"/>
    <w:rsid w:val="000E10CB"/>
    <w:rsid w:val="001043B1"/>
    <w:rsid w:val="00105CE1"/>
    <w:rsid w:val="001156A4"/>
    <w:rsid w:val="00132A17"/>
    <w:rsid w:val="001613BE"/>
    <w:rsid w:val="00167D32"/>
    <w:rsid w:val="00175982"/>
    <w:rsid w:val="00176B6B"/>
    <w:rsid w:val="00185597"/>
    <w:rsid w:val="00186032"/>
    <w:rsid w:val="0019466A"/>
    <w:rsid w:val="001A204C"/>
    <w:rsid w:val="001A5B22"/>
    <w:rsid w:val="001A671F"/>
    <w:rsid w:val="001B0604"/>
    <w:rsid w:val="001B08B2"/>
    <w:rsid w:val="001C56C0"/>
    <w:rsid w:val="001C68C2"/>
    <w:rsid w:val="001C6A07"/>
    <w:rsid w:val="001C6E35"/>
    <w:rsid w:val="001D0906"/>
    <w:rsid w:val="001D5721"/>
    <w:rsid w:val="001E1377"/>
    <w:rsid w:val="00211C2B"/>
    <w:rsid w:val="00213631"/>
    <w:rsid w:val="00214783"/>
    <w:rsid w:val="00215C5C"/>
    <w:rsid w:val="00223361"/>
    <w:rsid w:val="00230D66"/>
    <w:rsid w:val="002310F4"/>
    <w:rsid w:val="002365FC"/>
    <w:rsid w:val="002371A0"/>
    <w:rsid w:val="00252944"/>
    <w:rsid w:val="00260B7E"/>
    <w:rsid w:val="00285390"/>
    <w:rsid w:val="00295829"/>
    <w:rsid w:val="002A7306"/>
    <w:rsid w:val="002C312E"/>
    <w:rsid w:val="002C38D8"/>
    <w:rsid w:val="002C4CBF"/>
    <w:rsid w:val="002D354F"/>
    <w:rsid w:val="002F2E00"/>
    <w:rsid w:val="00311F01"/>
    <w:rsid w:val="00321272"/>
    <w:rsid w:val="0032489E"/>
    <w:rsid w:val="00330927"/>
    <w:rsid w:val="00346473"/>
    <w:rsid w:val="003513E6"/>
    <w:rsid w:val="00354E04"/>
    <w:rsid w:val="00357238"/>
    <w:rsid w:val="00392B93"/>
    <w:rsid w:val="00395F9E"/>
    <w:rsid w:val="00397976"/>
    <w:rsid w:val="003A00FD"/>
    <w:rsid w:val="003B07D8"/>
    <w:rsid w:val="003B0DC0"/>
    <w:rsid w:val="003C378C"/>
    <w:rsid w:val="003C747D"/>
    <w:rsid w:val="003D3BAD"/>
    <w:rsid w:val="003D6B12"/>
    <w:rsid w:val="003F097B"/>
    <w:rsid w:val="003F44BA"/>
    <w:rsid w:val="00403044"/>
    <w:rsid w:val="0040601F"/>
    <w:rsid w:val="00407231"/>
    <w:rsid w:val="0041434E"/>
    <w:rsid w:val="00421750"/>
    <w:rsid w:val="00442399"/>
    <w:rsid w:val="00444055"/>
    <w:rsid w:val="004540B7"/>
    <w:rsid w:val="004544DA"/>
    <w:rsid w:val="00456E87"/>
    <w:rsid w:val="00462047"/>
    <w:rsid w:val="004630B8"/>
    <w:rsid w:val="004C76E3"/>
    <w:rsid w:val="004D2015"/>
    <w:rsid w:val="004E37B0"/>
    <w:rsid w:val="004E5910"/>
    <w:rsid w:val="005035AC"/>
    <w:rsid w:val="005138CC"/>
    <w:rsid w:val="00514CB1"/>
    <w:rsid w:val="00527B68"/>
    <w:rsid w:val="0054018A"/>
    <w:rsid w:val="00541D85"/>
    <w:rsid w:val="00546D86"/>
    <w:rsid w:val="00562265"/>
    <w:rsid w:val="00566B72"/>
    <w:rsid w:val="005919FE"/>
    <w:rsid w:val="005A1B45"/>
    <w:rsid w:val="005C7071"/>
    <w:rsid w:val="005D3781"/>
    <w:rsid w:val="005D733E"/>
    <w:rsid w:val="005E7C00"/>
    <w:rsid w:val="005F0BB9"/>
    <w:rsid w:val="006019F9"/>
    <w:rsid w:val="006058A8"/>
    <w:rsid w:val="00610451"/>
    <w:rsid w:val="00616EEC"/>
    <w:rsid w:val="00623430"/>
    <w:rsid w:val="006436A1"/>
    <w:rsid w:val="00645C23"/>
    <w:rsid w:val="00647720"/>
    <w:rsid w:val="00676185"/>
    <w:rsid w:val="0067656B"/>
    <w:rsid w:val="00687A6E"/>
    <w:rsid w:val="006A3EC3"/>
    <w:rsid w:val="006A6A2B"/>
    <w:rsid w:val="006B2D92"/>
    <w:rsid w:val="006B3866"/>
    <w:rsid w:val="006D16B9"/>
    <w:rsid w:val="006D5372"/>
    <w:rsid w:val="006D5D27"/>
    <w:rsid w:val="006E2EFB"/>
    <w:rsid w:val="006F445E"/>
    <w:rsid w:val="00725357"/>
    <w:rsid w:val="00736850"/>
    <w:rsid w:val="007420C6"/>
    <w:rsid w:val="00753241"/>
    <w:rsid w:val="00792661"/>
    <w:rsid w:val="00793E42"/>
    <w:rsid w:val="007960F5"/>
    <w:rsid w:val="00796E26"/>
    <w:rsid w:val="007A567B"/>
    <w:rsid w:val="007A6DC2"/>
    <w:rsid w:val="007B0126"/>
    <w:rsid w:val="007B1E81"/>
    <w:rsid w:val="007D7292"/>
    <w:rsid w:val="007E3B88"/>
    <w:rsid w:val="007F2483"/>
    <w:rsid w:val="0082613B"/>
    <w:rsid w:val="0083014B"/>
    <w:rsid w:val="00837102"/>
    <w:rsid w:val="00842412"/>
    <w:rsid w:val="0086321B"/>
    <w:rsid w:val="00872DAE"/>
    <w:rsid w:val="00893A02"/>
    <w:rsid w:val="008D1EE3"/>
    <w:rsid w:val="008D217B"/>
    <w:rsid w:val="008E04AB"/>
    <w:rsid w:val="008E4D1F"/>
    <w:rsid w:val="008E6B84"/>
    <w:rsid w:val="008E71FB"/>
    <w:rsid w:val="00922F39"/>
    <w:rsid w:val="00936D9E"/>
    <w:rsid w:val="00950709"/>
    <w:rsid w:val="009761F6"/>
    <w:rsid w:val="009767C9"/>
    <w:rsid w:val="00981A6E"/>
    <w:rsid w:val="0099683F"/>
    <w:rsid w:val="009A0D01"/>
    <w:rsid w:val="009A71DE"/>
    <w:rsid w:val="009B3ECB"/>
    <w:rsid w:val="009C4221"/>
    <w:rsid w:val="009D1022"/>
    <w:rsid w:val="009E1010"/>
    <w:rsid w:val="009F31F4"/>
    <w:rsid w:val="00A06365"/>
    <w:rsid w:val="00A06F19"/>
    <w:rsid w:val="00A06F2F"/>
    <w:rsid w:val="00A103E8"/>
    <w:rsid w:val="00A36816"/>
    <w:rsid w:val="00A43A77"/>
    <w:rsid w:val="00A64404"/>
    <w:rsid w:val="00A720D0"/>
    <w:rsid w:val="00A72B44"/>
    <w:rsid w:val="00A8038A"/>
    <w:rsid w:val="00A904E7"/>
    <w:rsid w:val="00A91984"/>
    <w:rsid w:val="00A94E87"/>
    <w:rsid w:val="00A9539C"/>
    <w:rsid w:val="00AB3D27"/>
    <w:rsid w:val="00AB4DAC"/>
    <w:rsid w:val="00AC68BF"/>
    <w:rsid w:val="00AE63A0"/>
    <w:rsid w:val="00B23C83"/>
    <w:rsid w:val="00B31AEE"/>
    <w:rsid w:val="00B538DA"/>
    <w:rsid w:val="00B53C5A"/>
    <w:rsid w:val="00B56597"/>
    <w:rsid w:val="00B56B3B"/>
    <w:rsid w:val="00B73E38"/>
    <w:rsid w:val="00B83187"/>
    <w:rsid w:val="00B91BDD"/>
    <w:rsid w:val="00B91F04"/>
    <w:rsid w:val="00BA1655"/>
    <w:rsid w:val="00BB18DD"/>
    <w:rsid w:val="00BB38E5"/>
    <w:rsid w:val="00BB64B9"/>
    <w:rsid w:val="00BC32E8"/>
    <w:rsid w:val="00BC6009"/>
    <w:rsid w:val="00BF3A36"/>
    <w:rsid w:val="00C0110F"/>
    <w:rsid w:val="00C12D6D"/>
    <w:rsid w:val="00C17431"/>
    <w:rsid w:val="00C174DB"/>
    <w:rsid w:val="00C24863"/>
    <w:rsid w:val="00C308C1"/>
    <w:rsid w:val="00C47F4E"/>
    <w:rsid w:val="00C52C6B"/>
    <w:rsid w:val="00C63967"/>
    <w:rsid w:val="00C63FCB"/>
    <w:rsid w:val="00C721CC"/>
    <w:rsid w:val="00C7511D"/>
    <w:rsid w:val="00C82A84"/>
    <w:rsid w:val="00C915CF"/>
    <w:rsid w:val="00CB7C13"/>
    <w:rsid w:val="00CC1325"/>
    <w:rsid w:val="00CC2F82"/>
    <w:rsid w:val="00CD1017"/>
    <w:rsid w:val="00CD1D0E"/>
    <w:rsid w:val="00CE5E02"/>
    <w:rsid w:val="00CF0C9F"/>
    <w:rsid w:val="00CF6EBD"/>
    <w:rsid w:val="00D1385B"/>
    <w:rsid w:val="00D269E7"/>
    <w:rsid w:val="00D42C3F"/>
    <w:rsid w:val="00D42E9D"/>
    <w:rsid w:val="00D47D9D"/>
    <w:rsid w:val="00D717F4"/>
    <w:rsid w:val="00D874F6"/>
    <w:rsid w:val="00D918FF"/>
    <w:rsid w:val="00DA3E68"/>
    <w:rsid w:val="00DB0C35"/>
    <w:rsid w:val="00DB1B94"/>
    <w:rsid w:val="00DB3DA0"/>
    <w:rsid w:val="00DB3E55"/>
    <w:rsid w:val="00DD31C0"/>
    <w:rsid w:val="00DD4EBE"/>
    <w:rsid w:val="00DD5E0E"/>
    <w:rsid w:val="00DF3B6F"/>
    <w:rsid w:val="00E1335C"/>
    <w:rsid w:val="00E14413"/>
    <w:rsid w:val="00E41776"/>
    <w:rsid w:val="00E446B9"/>
    <w:rsid w:val="00E473E1"/>
    <w:rsid w:val="00E527E7"/>
    <w:rsid w:val="00E56F26"/>
    <w:rsid w:val="00E57C3D"/>
    <w:rsid w:val="00E7125D"/>
    <w:rsid w:val="00E712A9"/>
    <w:rsid w:val="00E972CA"/>
    <w:rsid w:val="00E97A33"/>
    <w:rsid w:val="00EA0F3C"/>
    <w:rsid w:val="00EA2C5F"/>
    <w:rsid w:val="00EA47AD"/>
    <w:rsid w:val="00EA4F20"/>
    <w:rsid w:val="00EB4066"/>
    <w:rsid w:val="00ED0395"/>
    <w:rsid w:val="00ED2A29"/>
    <w:rsid w:val="00EE65BA"/>
    <w:rsid w:val="00EF020D"/>
    <w:rsid w:val="00EF2867"/>
    <w:rsid w:val="00EF4E47"/>
    <w:rsid w:val="00F11DF6"/>
    <w:rsid w:val="00F130D9"/>
    <w:rsid w:val="00F2594D"/>
    <w:rsid w:val="00F26E1B"/>
    <w:rsid w:val="00F32BAE"/>
    <w:rsid w:val="00F3617D"/>
    <w:rsid w:val="00F506C8"/>
    <w:rsid w:val="00F5217E"/>
    <w:rsid w:val="00F553DF"/>
    <w:rsid w:val="00F573A4"/>
    <w:rsid w:val="00F66CC3"/>
    <w:rsid w:val="00F87247"/>
    <w:rsid w:val="00FA2279"/>
    <w:rsid w:val="00FB6804"/>
    <w:rsid w:val="00FC16DE"/>
    <w:rsid w:val="00FD2592"/>
    <w:rsid w:val="00FE4767"/>
    <w:rsid w:val="00FF21C2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4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E04"/>
    <w:pPr>
      <w:tabs>
        <w:tab w:val="left" w:pos="1440"/>
      </w:tabs>
      <w:spacing w:after="0" w:line="240" w:lineRule="auto"/>
    </w:pPr>
    <w:rPr>
      <w:rFonts w:eastAsia="SimSun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 bullet 2,Bullet list,Numbered List,List Paragraph1,1st level - Bullet List Paragraph,Lettre d'introduction,Paragrafo elenco,Fiche List Paragraph,Task Body,Viñetas (Inicio Parrafo),3 Txt tabla,Zerrenda-paragrafoa,Dot pt"/>
    <w:basedOn w:val="Normalny"/>
    <w:link w:val="AkapitzlistZnak"/>
    <w:uiPriority w:val="34"/>
    <w:qFormat/>
    <w:rsid w:val="00981A6E"/>
    <w:pPr>
      <w:ind w:left="720"/>
      <w:contextualSpacing/>
    </w:pPr>
  </w:style>
  <w:style w:type="character" w:customStyle="1" w:styleId="AkapitzlistZnak">
    <w:name w:val="Akapit z listą Znak"/>
    <w:aliases w:val="Normal bullet 2 Znak,Bullet list Znak,Numbered List Znak,List Paragraph1 Znak,1st level - Bullet List Paragraph Znak,Lettre d'introduction Znak,Paragrafo elenco Znak,Fiche List Paragraph Znak,Task Body Znak,3 Txt tabla Znak"/>
    <w:basedOn w:val="Domylnaczcionkaakapitu"/>
    <w:link w:val="Akapitzlist"/>
    <w:uiPriority w:val="34"/>
    <w:qFormat/>
    <w:rsid w:val="00981A6E"/>
    <w:rPr>
      <w:rFonts w:eastAsia="SimSun" w:cs="Times New Roman"/>
      <w:sz w:val="22"/>
    </w:rPr>
  </w:style>
  <w:style w:type="character" w:styleId="Uwydatnienie">
    <w:name w:val="Emphasis"/>
    <w:basedOn w:val="Domylnaczcionkaakapitu"/>
    <w:uiPriority w:val="20"/>
    <w:qFormat/>
    <w:rsid w:val="00616EEC"/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8A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8A8"/>
    <w:rPr>
      <w:rFonts w:eastAsia="SimSu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8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F9E"/>
    <w:rPr>
      <w:sz w:val="16"/>
    </w:rPr>
  </w:style>
  <w:style w:type="table" w:styleId="Tabela-Siatka">
    <w:name w:val="Table Grid"/>
    <w:basedOn w:val="Standardowy"/>
    <w:uiPriority w:val="59"/>
    <w:rsid w:val="0067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0E10CB"/>
  </w:style>
  <w:style w:type="paragraph" w:styleId="Nagwek">
    <w:name w:val="header"/>
    <w:basedOn w:val="Normalny"/>
    <w:link w:val="NagwekZnak"/>
    <w:uiPriority w:val="99"/>
    <w:unhideWhenUsed/>
    <w:rsid w:val="000E10CB"/>
    <w:pPr>
      <w:tabs>
        <w:tab w:val="clear" w:pos="144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0CB"/>
    <w:rPr>
      <w:rFonts w:eastAsia="SimSun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0E10CB"/>
    <w:pPr>
      <w:tabs>
        <w:tab w:val="clear" w:pos="144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0CB"/>
    <w:rPr>
      <w:rFonts w:eastAsia="SimSun" w:cs="Times New Roman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1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126"/>
    <w:rPr>
      <w:rFonts w:eastAsia="SimSu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12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126"/>
    <w:rPr>
      <w:rFonts w:eastAsia="SimSun"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26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26"/>
    <w:rPr>
      <w:rFonts w:ascii="Segoe UI" w:eastAsia="SimSun" w:hAnsi="Segoe UI" w:cs="Segoe UI"/>
      <w:sz w:val="18"/>
    </w:rPr>
  </w:style>
  <w:style w:type="character" w:styleId="Hipercze">
    <w:name w:val="Hyperlink"/>
    <w:basedOn w:val="Domylnaczcionkaakapitu"/>
    <w:uiPriority w:val="99"/>
    <w:unhideWhenUsed/>
    <w:rsid w:val="00230D66"/>
    <w:rPr>
      <w:color w:val="0000FF" w:themeColor="hyperlink"/>
      <w:u w:val="single"/>
    </w:rPr>
  </w:style>
  <w:style w:type="paragraph" w:customStyle="1" w:styleId="P68B1DB1-Standard1">
    <w:name w:val="P68B1DB1-Standard1"/>
    <w:basedOn w:val="Normalny"/>
    <w:rPr>
      <w:rFonts w:ascii="BundesSans Office" w:hAnsi="BundesSans Office"/>
      <w:b/>
      <w:sz w:val="36"/>
    </w:rPr>
  </w:style>
  <w:style w:type="paragraph" w:customStyle="1" w:styleId="P68B1DB1-Standard2">
    <w:name w:val="P68B1DB1-Standard2"/>
    <w:basedOn w:val="Normalny"/>
    <w:rPr>
      <w:rFonts w:ascii="BundesSans Office" w:hAnsi="BundesSans Office"/>
      <w:b/>
      <w:sz w:val="28"/>
      <w:u w:val="single"/>
    </w:rPr>
  </w:style>
  <w:style w:type="paragraph" w:customStyle="1" w:styleId="P68B1DB1-Standard3">
    <w:name w:val="P68B1DB1-Standard3"/>
    <w:basedOn w:val="Normalny"/>
    <w:rPr>
      <w:rFonts w:ascii="BundesSans Office" w:hAnsi="BundesSans Office"/>
      <w:sz w:val="24"/>
    </w:rPr>
  </w:style>
  <w:style w:type="paragraph" w:customStyle="1" w:styleId="P68B1DB1-Standard4">
    <w:name w:val="P68B1DB1-Standard4"/>
    <w:basedOn w:val="Normalny"/>
    <w:rPr>
      <w:rFonts w:ascii="BundesSans Office" w:hAnsi="BundesSans Office"/>
      <w:b/>
      <w:sz w:val="28"/>
    </w:rPr>
  </w:style>
  <w:style w:type="paragraph" w:customStyle="1" w:styleId="P68B1DB1-Listenabsatz5">
    <w:name w:val="P68B1DB1-Listenabsatz5"/>
    <w:basedOn w:val="Akapitzlist"/>
    <w:rPr>
      <w:rFonts w:ascii="BundesSans Office" w:hAnsi="BundesSans Office"/>
      <w:b/>
      <w:sz w:val="28"/>
    </w:rPr>
  </w:style>
  <w:style w:type="paragraph" w:customStyle="1" w:styleId="P68B1DB1-Listenabsatz6">
    <w:name w:val="P68B1DB1-Listenabsatz6"/>
    <w:basedOn w:val="Akapitzlist"/>
    <w:rPr>
      <w:rFonts w:ascii="BundesSans Office" w:hAnsi="BundesSans Office"/>
      <w:sz w:val="24"/>
    </w:rPr>
  </w:style>
  <w:style w:type="paragraph" w:customStyle="1" w:styleId="P68B1DB1-Standard7">
    <w:name w:val="P68B1DB1-Standard7"/>
    <w:basedOn w:val="Normalny"/>
    <w:rPr>
      <w:rFonts w:ascii="BundesSans Office" w:eastAsia="Times New Roman" w:hAnsi="BundesSans Office" w:cs="Calibri"/>
      <w:b/>
      <w:sz w:val="24"/>
    </w:rPr>
  </w:style>
  <w:style w:type="paragraph" w:customStyle="1" w:styleId="P68B1DB1-Listenabsatz8">
    <w:name w:val="P68B1DB1-Listenabsatz8"/>
    <w:basedOn w:val="Akapitzlist"/>
    <w:rPr>
      <w:rFonts w:ascii="BundesSans Office" w:eastAsia="Times New Roman" w:hAnsi="BundesSans Office" w:cs="Calibri"/>
      <w:sz w:val="24"/>
    </w:rPr>
  </w:style>
  <w:style w:type="paragraph" w:customStyle="1" w:styleId="P68B1DB1-Listenabsatz9">
    <w:name w:val="P68B1DB1-Listenabsatz9"/>
    <w:basedOn w:val="Akapitzlist"/>
    <w:rPr>
      <w:rFonts w:ascii="BundesSans Office" w:hAnsi="BundesSans Office" w:cstheme="minorHAnsi"/>
      <w:sz w:val="24"/>
    </w:rPr>
  </w:style>
  <w:style w:type="paragraph" w:customStyle="1" w:styleId="P68B1DB1-Listenabsatz10">
    <w:name w:val="P68B1DB1-Listenabsatz10"/>
    <w:basedOn w:val="Akapitzlist"/>
    <w:rPr>
      <w:sz w:val="24"/>
    </w:rPr>
  </w:style>
  <w:style w:type="paragraph" w:customStyle="1" w:styleId="P68B1DB1-Listenabsatz11">
    <w:name w:val="P68B1DB1-Listenabsatz11"/>
    <w:basedOn w:val="Akapitzlist"/>
    <w:rPr>
      <w:rFonts w:ascii="BundesSans Office" w:hAnsi="BundesSans Office" w:cs="Arial"/>
      <w:sz w:val="24"/>
    </w:rPr>
  </w:style>
  <w:style w:type="paragraph" w:customStyle="1" w:styleId="P68B1DB1-Standard12">
    <w:name w:val="P68B1DB1-Standard12"/>
    <w:basedOn w:val="Normalny"/>
    <w:rPr>
      <w:rFonts w:ascii="BundesSans Office" w:eastAsia="Times New Roman" w:hAnsi="BundesSans Office" w:cs="Calibri"/>
      <w:sz w:val="24"/>
    </w:rPr>
  </w:style>
  <w:style w:type="paragraph" w:customStyle="1" w:styleId="P68B1DB1-Standard13">
    <w:name w:val="P68B1DB1-Standard13"/>
    <w:basedOn w:val="Normalny"/>
    <w:rPr>
      <w:sz w:val="24"/>
    </w:rPr>
  </w:style>
  <w:style w:type="paragraph" w:customStyle="1" w:styleId="P68B1DB1-Funotentext14">
    <w:name w:val="P68B1DB1-Funotentext14"/>
    <w:basedOn w:val="Tekstprzypisudolnego"/>
    <w:rPr>
      <w:rFonts w:ascii="BundesSans Office" w:hAnsi="BundesSans Office" w:cstheme="minorHAnsi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6D8B-CE28-40A7-B3D0-E95EB964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5309</Words>
  <Characters>31859</Characters>
  <Application>Microsoft Office Word</Application>
  <DocSecurity>0</DocSecurity>
  <Lines>265</Lines>
  <Paragraphs>74</Paragraphs>
  <ScaleCrop>false</ScaleCrop>
  <Company/>
  <LinksUpToDate>false</LinksUpToDate>
  <CharactersWithSpaces>37094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2020-12-02T15:13:00Z</dcterms:created>
  <dcterms:modified xsi:type="dcterms:W3CDTF">2020-12-02T15:13:00Z</dcterms:modified>
</cp:coreProperties>
</file>