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C0B" w:rsidRPr="00537330" w:rsidRDefault="00DF5C00" w:rsidP="002069A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37330">
        <w:rPr>
          <w:rFonts w:cstheme="minorHAnsi"/>
          <w:b/>
          <w:sz w:val="24"/>
          <w:szCs w:val="24"/>
        </w:rPr>
        <w:t>UZASADNIENIE</w:t>
      </w:r>
    </w:p>
    <w:p w:rsidR="0058766B" w:rsidRPr="0058766B" w:rsidRDefault="0058766B" w:rsidP="0058766B">
      <w:pPr>
        <w:pStyle w:val="Akapitzlist"/>
        <w:numPr>
          <w:ilvl w:val="0"/>
          <w:numId w:val="17"/>
        </w:numPr>
        <w:jc w:val="both"/>
        <w:rPr>
          <w:rFonts w:cstheme="minorHAnsi"/>
          <w:b/>
          <w:sz w:val="24"/>
          <w:szCs w:val="24"/>
        </w:rPr>
      </w:pPr>
      <w:r w:rsidRPr="0058766B">
        <w:rPr>
          <w:rFonts w:cstheme="minorHAnsi"/>
          <w:b/>
          <w:sz w:val="24"/>
          <w:szCs w:val="24"/>
        </w:rPr>
        <w:t>Informacje ogólne</w:t>
      </w:r>
    </w:p>
    <w:p w:rsidR="002069AE" w:rsidRPr="0058766B" w:rsidRDefault="002069AE" w:rsidP="0058766B">
      <w:pPr>
        <w:jc w:val="both"/>
        <w:rPr>
          <w:rFonts w:cstheme="minorHAnsi"/>
          <w:sz w:val="24"/>
          <w:szCs w:val="24"/>
        </w:rPr>
      </w:pPr>
      <w:r w:rsidRPr="0058766B">
        <w:rPr>
          <w:rFonts w:cstheme="minorHAnsi"/>
          <w:sz w:val="24"/>
          <w:szCs w:val="24"/>
        </w:rPr>
        <w:t xml:space="preserve">Narodowy Plan Szerokopasmowy (dalej NPS) został przyjęty przez Radę Ministrów w dniu 8 </w:t>
      </w:r>
      <w:r w:rsidRPr="00EC4930">
        <w:rPr>
          <w:rFonts w:cstheme="minorHAnsi"/>
          <w:sz w:val="24"/>
          <w:szCs w:val="24"/>
        </w:rPr>
        <w:t>stycznia 2014 r. jako rządowy program rozwoju infrastru</w:t>
      </w:r>
      <w:r w:rsidR="001568FB">
        <w:rPr>
          <w:rFonts w:cstheme="minorHAnsi"/>
          <w:sz w:val="24"/>
          <w:szCs w:val="24"/>
        </w:rPr>
        <w:t>ktury szerokopasmowej w kraju w </w:t>
      </w:r>
      <w:r w:rsidRPr="00EC4930">
        <w:rPr>
          <w:rFonts w:cstheme="minorHAnsi"/>
          <w:sz w:val="24"/>
          <w:szCs w:val="24"/>
        </w:rPr>
        <w:t xml:space="preserve">ramach Strategii Sprawne Państwo 2020 (cel </w:t>
      </w:r>
      <w:r w:rsidR="00A32516">
        <w:rPr>
          <w:rFonts w:cstheme="minorHAnsi"/>
          <w:sz w:val="24"/>
          <w:szCs w:val="24"/>
        </w:rPr>
        <w:t>5</w:t>
      </w:r>
      <w:r w:rsidR="00A32516" w:rsidRPr="00EC4930">
        <w:rPr>
          <w:rFonts w:cstheme="minorHAnsi"/>
          <w:sz w:val="24"/>
          <w:szCs w:val="24"/>
        </w:rPr>
        <w:t xml:space="preserve"> </w:t>
      </w:r>
      <w:r w:rsidRPr="00EC4930">
        <w:rPr>
          <w:rFonts w:cstheme="minorHAnsi"/>
          <w:sz w:val="24"/>
          <w:szCs w:val="24"/>
        </w:rPr>
        <w:t xml:space="preserve">– </w:t>
      </w:r>
      <w:r w:rsidRPr="005B18A8">
        <w:rPr>
          <w:rFonts w:cstheme="minorHAnsi"/>
          <w:sz w:val="24"/>
          <w:szCs w:val="24"/>
        </w:rPr>
        <w:t>Efektywne świadczeni</w:t>
      </w:r>
      <w:r w:rsidR="00EC4930" w:rsidRPr="005B18A8">
        <w:rPr>
          <w:rFonts w:cstheme="minorHAnsi"/>
          <w:sz w:val="24"/>
          <w:szCs w:val="24"/>
        </w:rPr>
        <w:t>e</w:t>
      </w:r>
      <w:r w:rsidRPr="005B18A8">
        <w:rPr>
          <w:rFonts w:cstheme="minorHAnsi"/>
          <w:sz w:val="24"/>
          <w:szCs w:val="24"/>
        </w:rPr>
        <w:t xml:space="preserve"> usług publicznych</w:t>
      </w:r>
      <w:r w:rsidRPr="00EC4930">
        <w:rPr>
          <w:rFonts w:cstheme="minorHAnsi"/>
          <w:sz w:val="24"/>
          <w:szCs w:val="24"/>
        </w:rPr>
        <w:t xml:space="preserve">. Kierunek interwencji 5.6. </w:t>
      </w:r>
      <w:r w:rsidRPr="005B18A8">
        <w:rPr>
          <w:rFonts w:cstheme="minorHAnsi"/>
          <w:sz w:val="24"/>
          <w:szCs w:val="24"/>
        </w:rPr>
        <w:t>Powszechny dostęp do szerokopasmowego internetu</w:t>
      </w:r>
      <w:r w:rsidRPr="00EC4930">
        <w:rPr>
          <w:rFonts w:cstheme="minorHAnsi"/>
          <w:sz w:val="24"/>
          <w:szCs w:val="24"/>
        </w:rPr>
        <w:t>)</w:t>
      </w:r>
      <w:r w:rsidRPr="00EC4930">
        <w:rPr>
          <w:rStyle w:val="Odwoanieprzypisudolnego"/>
          <w:rFonts w:cstheme="minorHAnsi"/>
          <w:sz w:val="24"/>
          <w:szCs w:val="24"/>
        </w:rPr>
        <w:footnoteReference w:id="1"/>
      </w:r>
      <w:r w:rsidRPr="00EC4930">
        <w:rPr>
          <w:rFonts w:cstheme="minorHAnsi"/>
          <w:sz w:val="24"/>
          <w:szCs w:val="24"/>
        </w:rPr>
        <w:t xml:space="preserve">. Jego oddziaływanie zostało w międzyczasie rozszerzone dzięki wskazaniu Narodowego Planu Szerokopasmowego jako projektu strategicznego w obszarze </w:t>
      </w:r>
      <w:r w:rsidRPr="005B18A8">
        <w:rPr>
          <w:rFonts w:cstheme="minorHAnsi"/>
          <w:sz w:val="24"/>
          <w:szCs w:val="24"/>
        </w:rPr>
        <w:t>cyfryzacji</w:t>
      </w:r>
      <w:r w:rsidRPr="00EC4930">
        <w:rPr>
          <w:rFonts w:cstheme="minorHAnsi"/>
          <w:sz w:val="24"/>
          <w:szCs w:val="24"/>
        </w:rPr>
        <w:t xml:space="preserve"> w kierunku interwencji 1. </w:t>
      </w:r>
      <w:r w:rsidRPr="005B18A8">
        <w:rPr>
          <w:rFonts w:cstheme="minorHAnsi"/>
          <w:sz w:val="24"/>
          <w:szCs w:val="24"/>
        </w:rPr>
        <w:t>Rozwój nowoczesnej sieci cyfrowej</w:t>
      </w:r>
      <w:r w:rsidRPr="00EC4930">
        <w:rPr>
          <w:rFonts w:cstheme="minorHAnsi"/>
          <w:sz w:val="24"/>
          <w:szCs w:val="24"/>
        </w:rPr>
        <w:t xml:space="preserve"> w Strategii na rzecz Odpowiedzialnego Rozwoju do roku 2020 (z perspektywą do 2030 r.).</w:t>
      </w:r>
      <w:r w:rsidR="0058766B" w:rsidRPr="00EC4930">
        <w:rPr>
          <w:rFonts w:cstheme="minorHAnsi"/>
          <w:sz w:val="24"/>
          <w:szCs w:val="24"/>
        </w:rPr>
        <w:t xml:space="preserve"> Horyzontalne znaczenie cyfryzacji w</w:t>
      </w:r>
      <w:r w:rsidR="0058766B" w:rsidRPr="0058766B">
        <w:rPr>
          <w:rFonts w:cstheme="minorHAnsi"/>
          <w:sz w:val="24"/>
          <w:szCs w:val="24"/>
        </w:rPr>
        <w:t xml:space="preserve"> Strategii na rzecz Odpowiedzialnego Rozwoju oznacza wzajemne powiązanie NPS z wieloma obszarami, projektami strategicznymi oraz projektami flagowymi Strategii</w:t>
      </w:r>
      <w:r w:rsidR="0058766B" w:rsidRPr="00537330">
        <w:rPr>
          <w:rStyle w:val="Odwoanieprzypisudolnego"/>
          <w:rFonts w:cstheme="minorHAnsi"/>
          <w:sz w:val="24"/>
          <w:szCs w:val="24"/>
        </w:rPr>
        <w:footnoteReference w:id="2"/>
      </w:r>
      <w:r w:rsidR="0058766B" w:rsidRPr="0058766B">
        <w:rPr>
          <w:rFonts w:cstheme="minorHAnsi"/>
          <w:sz w:val="24"/>
          <w:szCs w:val="24"/>
        </w:rPr>
        <w:t>. Takie horyzontalne podejście do cyfryzacji jest obecnie właściwe dla wielu programów</w:t>
      </w:r>
      <w:r w:rsidR="001568FB">
        <w:rPr>
          <w:rFonts w:cstheme="minorHAnsi"/>
          <w:sz w:val="24"/>
          <w:szCs w:val="24"/>
        </w:rPr>
        <w:t xml:space="preserve"> rządowych realizowanych w UE i </w:t>
      </w:r>
      <w:r w:rsidR="0058766B" w:rsidRPr="0058766B">
        <w:rPr>
          <w:rFonts w:cstheme="minorHAnsi"/>
          <w:sz w:val="24"/>
          <w:szCs w:val="24"/>
        </w:rPr>
        <w:t>innych państwach świata.</w:t>
      </w:r>
    </w:p>
    <w:p w:rsidR="00537330" w:rsidRPr="00537330" w:rsidRDefault="002069AE" w:rsidP="00537330">
      <w:pPr>
        <w:spacing w:after="0"/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jest także ściśle powiązany z dokumentami strategicznymi i wykonawczymi polityki europejskiej w obszarze rozwoju sieci szerokopasmowych (przede wszystkim Strategii </w:t>
      </w:r>
      <w:r w:rsidR="00EC4930">
        <w:rPr>
          <w:rFonts w:cstheme="minorHAnsi"/>
          <w:sz w:val="24"/>
          <w:szCs w:val="24"/>
        </w:rPr>
        <w:t xml:space="preserve">Europa </w:t>
      </w:r>
      <w:r w:rsidRPr="00537330">
        <w:rPr>
          <w:rFonts w:cstheme="minorHAnsi"/>
          <w:sz w:val="24"/>
          <w:szCs w:val="24"/>
        </w:rPr>
        <w:t>2020</w:t>
      </w:r>
      <w:r w:rsidR="00EC4930">
        <w:rPr>
          <w:rFonts w:cstheme="minorHAnsi"/>
          <w:sz w:val="24"/>
          <w:szCs w:val="24"/>
        </w:rPr>
        <w:t xml:space="preserve">, </w:t>
      </w:r>
      <w:r w:rsidR="00EC4930" w:rsidRPr="00A7699B">
        <w:rPr>
          <w:rFonts w:cstheme="minorHAnsi"/>
          <w:sz w:val="24"/>
          <w:szCs w:val="24"/>
        </w:rPr>
        <w:t>Strategia na rzecz inteligentnego i zrównoważonego rozwoju sprzyjającego włączeniu społecznemu</w:t>
      </w:r>
      <w:r w:rsidR="00EC4930">
        <w:rPr>
          <w:rFonts w:cstheme="minorHAnsi"/>
          <w:sz w:val="24"/>
          <w:szCs w:val="24"/>
        </w:rPr>
        <w:t xml:space="preserve"> </w:t>
      </w:r>
      <w:r w:rsidR="00EC4930" w:rsidRPr="00A7699B">
        <w:rPr>
          <w:rFonts w:cstheme="minorHAnsi"/>
          <w:sz w:val="24"/>
          <w:szCs w:val="24"/>
        </w:rPr>
        <w:t>KOM(2010) 2020 wersja ostateczna</w:t>
      </w:r>
      <w:r w:rsidRPr="00537330">
        <w:rPr>
          <w:rFonts w:cstheme="minorHAnsi"/>
          <w:sz w:val="24"/>
          <w:szCs w:val="24"/>
        </w:rPr>
        <w:t>). Od same</w:t>
      </w:r>
      <w:r w:rsidR="001568FB">
        <w:rPr>
          <w:rFonts w:cstheme="minorHAnsi"/>
          <w:sz w:val="24"/>
          <w:szCs w:val="24"/>
        </w:rPr>
        <w:t>go początku służył realizacji w </w:t>
      </w:r>
      <w:r w:rsidRPr="00537330">
        <w:rPr>
          <w:rFonts w:cstheme="minorHAnsi"/>
          <w:sz w:val="24"/>
          <w:szCs w:val="24"/>
        </w:rPr>
        <w:t xml:space="preserve">Polsce wspólnotowej polityki rozwoju sieci szerokopasmowych, wprowadzając do krajowego porządku dokumentów strategicznych cele </w:t>
      </w:r>
      <w:r w:rsidRPr="00537330">
        <w:rPr>
          <w:rFonts w:cstheme="minorHAnsi"/>
          <w:i/>
          <w:sz w:val="24"/>
          <w:szCs w:val="24"/>
        </w:rPr>
        <w:t>Europejskiej Agendy Cyfrowej</w:t>
      </w:r>
      <w:r w:rsidRPr="00537330">
        <w:rPr>
          <w:rFonts w:cstheme="minorHAnsi"/>
          <w:sz w:val="24"/>
          <w:szCs w:val="24"/>
        </w:rPr>
        <w:t xml:space="preserve"> (dokumentu wykonawczego do Strategii </w:t>
      </w:r>
      <w:r w:rsidR="00EC4930">
        <w:rPr>
          <w:rFonts w:cstheme="minorHAnsi"/>
          <w:sz w:val="24"/>
          <w:szCs w:val="24"/>
        </w:rPr>
        <w:t xml:space="preserve">Europa </w:t>
      </w:r>
      <w:r w:rsidRPr="00537330">
        <w:rPr>
          <w:rFonts w:cstheme="minorHAnsi"/>
          <w:sz w:val="24"/>
          <w:szCs w:val="24"/>
        </w:rPr>
        <w:t>2020)</w:t>
      </w:r>
      <w:r w:rsidR="00537330" w:rsidRPr="00537330">
        <w:rPr>
          <w:rFonts w:cstheme="minorHAnsi"/>
          <w:sz w:val="24"/>
          <w:szCs w:val="24"/>
        </w:rPr>
        <w:t>, jakimi są:</w:t>
      </w:r>
    </w:p>
    <w:p w:rsidR="00537330" w:rsidRPr="00537330" w:rsidRDefault="00537330" w:rsidP="00537330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Pr="00537330">
        <w:rPr>
          <w:rFonts w:asciiTheme="minorHAnsi" w:hAnsiTheme="minorHAnsi" w:cstheme="minorHAnsi"/>
          <w:sz w:val="24"/>
          <w:szCs w:val="24"/>
        </w:rPr>
        <w:t>owszechny dostęp do internetu o przepustowości co najmniej 30 Mb/s,</w:t>
      </w:r>
    </w:p>
    <w:p w:rsidR="002069AE" w:rsidRPr="00537330" w:rsidRDefault="00537330" w:rsidP="00537330">
      <w:pPr>
        <w:pStyle w:val="Akapitzlist"/>
        <w:numPr>
          <w:ilvl w:val="0"/>
          <w:numId w:val="14"/>
        </w:numPr>
        <w:spacing w:after="24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Pr="00537330">
        <w:rPr>
          <w:rFonts w:asciiTheme="minorHAnsi" w:hAnsiTheme="minorHAnsi" w:cstheme="minorHAnsi"/>
          <w:sz w:val="24"/>
          <w:szCs w:val="24"/>
        </w:rPr>
        <w:t>orzystanie z usług dostępu do internetu o przepustowości co najmniej 100 Mb/s przez co najmniej 50% gospodarstw domowych</w:t>
      </w:r>
      <w:r w:rsidR="002069AE" w:rsidRPr="00537330">
        <w:rPr>
          <w:rFonts w:asciiTheme="minorHAnsi" w:hAnsiTheme="minorHAnsi" w:cstheme="minorHAnsi"/>
          <w:sz w:val="24"/>
          <w:szCs w:val="24"/>
        </w:rPr>
        <w:t>.</w:t>
      </w:r>
    </w:p>
    <w:p w:rsidR="00537330" w:rsidRPr="00537330" w:rsidRDefault="002069AE" w:rsidP="00537330">
      <w:pPr>
        <w:spacing w:after="0"/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Dynamiczny rozwój nowych technologii, a tym samym wzrost zapotrzebowania na dostęp do internetu o wysokich przepustowościach, oraz rozwój nowoczesnej gospodarki cyfrowej doprowadził do rozpoczęcia prac nad pakietem unijnych aktów prawnych i inicjatyw w zakresie łączności elektronicznej, ustanawiającym nowe cele dla rozwoju sieci łączności elektronicznej w Unii do 2025 roku. Komisja Europejska w 2016 roku zdecydowała się (jeszcze przed stwierdzeniem realizacji dotychczasowych celów polityki rozwoju sieci szerokopasmowych w UE) na wprowadzenie nowych celów w tym zakresie. W komunikacie Komisji do Parlamentu Europejskiego, Rady, Europejskiego Komitetu Ekonomiczno-Społecznego i Komitetu Regionów </w:t>
      </w:r>
      <w:r w:rsidRPr="00537330">
        <w:rPr>
          <w:rFonts w:cstheme="minorHAnsi"/>
          <w:i/>
          <w:sz w:val="24"/>
          <w:szCs w:val="24"/>
        </w:rPr>
        <w:t>Łączność dla Konkurencyjnego Jednolitego Rynku Cyfrowego: w kierunku europejskiego społeczeństwa gigabitowego</w:t>
      </w:r>
      <w:r w:rsidRPr="00537330">
        <w:rPr>
          <w:rFonts w:cstheme="minorHAnsi"/>
          <w:sz w:val="24"/>
          <w:szCs w:val="24"/>
        </w:rPr>
        <w:t xml:space="preserve"> (Komunikat w sprawie społeczeństwa gigabitowego) zarysowane zostały cele w zakresie rozwoju sieci w Europie</w:t>
      </w:r>
      <w:r w:rsidR="001568FB">
        <w:rPr>
          <w:rFonts w:cstheme="minorHAnsi"/>
          <w:sz w:val="24"/>
          <w:szCs w:val="24"/>
        </w:rPr>
        <w:t xml:space="preserve"> w </w:t>
      </w:r>
      <w:r w:rsidR="00537330" w:rsidRPr="00537330">
        <w:rPr>
          <w:rFonts w:cstheme="minorHAnsi"/>
          <w:sz w:val="24"/>
          <w:szCs w:val="24"/>
        </w:rPr>
        <w:t>perspektywie do 2025 roku, tj.:</w:t>
      </w:r>
    </w:p>
    <w:p w:rsidR="00537330" w:rsidRPr="00537330" w:rsidRDefault="00537330" w:rsidP="0053733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Pr="00537330">
        <w:rPr>
          <w:rFonts w:asciiTheme="minorHAnsi" w:hAnsiTheme="minorHAnsi" w:cstheme="minorHAnsi"/>
          <w:sz w:val="24"/>
          <w:szCs w:val="24"/>
        </w:rPr>
        <w:t>owszechny dostęp do internetu o przepus</w:t>
      </w:r>
      <w:r w:rsidR="001568FB">
        <w:rPr>
          <w:rFonts w:asciiTheme="minorHAnsi" w:hAnsiTheme="minorHAnsi" w:cstheme="minorHAnsi"/>
          <w:sz w:val="24"/>
          <w:szCs w:val="24"/>
        </w:rPr>
        <w:t>towości co najmniej 100 Mb/s, z </w:t>
      </w:r>
      <w:r w:rsidRPr="00537330">
        <w:rPr>
          <w:rFonts w:asciiTheme="minorHAnsi" w:hAnsiTheme="minorHAnsi" w:cstheme="minorHAnsi"/>
          <w:sz w:val="24"/>
          <w:szCs w:val="24"/>
        </w:rPr>
        <w:t>możliwością modyfikacji do przepustowości mierzonych w Gb/s</w:t>
      </w:r>
      <w:r w:rsidR="00EC4930">
        <w:rPr>
          <w:rFonts w:asciiTheme="minorHAnsi" w:hAnsiTheme="minorHAnsi" w:cstheme="minorHAnsi"/>
          <w:sz w:val="24"/>
          <w:szCs w:val="24"/>
        </w:rPr>
        <w:t>;</w:t>
      </w:r>
    </w:p>
    <w:p w:rsidR="00537330" w:rsidRPr="00537330" w:rsidRDefault="00537330" w:rsidP="0053733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d</w:t>
      </w:r>
      <w:r w:rsidRPr="00537330">
        <w:rPr>
          <w:rFonts w:asciiTheme="minorHAnsi" w:hAnsiTheme="minorHAnsi" w:cstheme="minorHAnsi"/>
          <w:sz w:val="24"/>
          <w:szCs w:val="24"/>
        </w:rPr>
        <w:t>ostęp do internetu o przepustowości co najmniej 1 Gb/s dla wszystkich miejsc stanowiących główną siłę napędową rozwoju społeczno-gospodarczego, takich jak szkoły, węzły transportowe i główne miejsca świadczenia usług publicznych, a także dla przedsiębiorstw prowadzących intensywną działalność w internecie</w:t>
      </w:r>
      <w:r w:rsidR="00EC4930">
        <w:rPr>
          <w:rFonts w:asciiTheme="minorHAnsi" w:hAnsiTheme="minorHAnsi" w:cstheme="minorHAnsi"/>
          <w:sz w:val="24"/>
          <w:szCs w:val="24"/>
        </w:rPr>
        <w:t>;</w:t>
      </w:r>
    </w:p>
    <w:p w:rsidR="00537330" w:rsidRPr="00537330" w:rsidRDefault="00537330" w:rsidP="0053733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37330">
        <w:rPr>
          <w:rFonts w:asciiTheme="minorHAnsi" w:hAnsiTheme="minorHAnsi" w:cstheme="minorHAnsi"/>
          <w:sz w:val="24"/>
          <w:shd w:val="clear" w:color="auto" w:fill="FFFFFF"/>
        </w:rPr>
        <w:t>w pełni rozwinięta łączność w sieciach 5G w co najmniej 1 głównym mieście do roku 2020, zaś na wszystkich głównych szlakach komunikacyjnych i głównych miastach do roku 2025</w:t>
      </w:r>
    </w:p>
    <w:p w:rsidR="002069AE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>NPS</w:t>
      </w:r>
      <w:r w:rsidR="00A32516">
        <w:rPr>
          <w:rFonts w:cstheme="minorHAnsi"/>
          <w:sz w:val="24"/>
          <w:szCs w:val="24"/>
        </w:rPr>
        <w:t>,</w:t>
      </w:r>
      <w:r w:rsidRPr="00537330">
        <w:rPr>
          <w:rFonts w:cstheme="minorHAnsi"/>
          <w:sz w:val="24"/>
          <w:szCs w:val="24"/>
        </w:rPr>
        <w:t xml:space="preserve"> w ślad za Komunikatem w sprawie społeczeństwa gigabitowego</w:t>
      </w:r>
      <w:r w:rsidR="00A32516">
        <w:rPr>
          <w:rFonts w:cstheme="minorHAnsi"/>
          <w:sz w:val="24"/>
          <w:szCs w:val="24"/>
        </w:rPr>
        <w:t>,</w:t>
      </w:r>
      <w:r w:rsidRPr="00537330">
        <w:rPr>
          <w:rFonts w:cstheme="minorHAnsi"/>
          <w:sz w:val="24"/>
          <w:szCs w:val="24"/>
        </w:rPr>
        <w:t xml:space="preserve"> wprowadza te plany jako cele Rządu RP w zakresie rozwoju cyfrowego kraju. </w:t>
      </w:r>
    </w:p>
    <w:p w:rsidR="0058766B" w:rsidRPr="0058766B" w:rsidRDefault="0058766B" w:rsidP="0058766B">
      <w:pPr>
        <w:pStyle w:val="Akapitzlist"/>
        <w:numPr>
          <w:ilvl w:val="0"/>
          <w:numId w:val="17"/>
        </w:numPr>
        <w:jc w:val="both"/>
        <w:rPr>
          <w:rFonts w:cstheme="minorHAnsi"/>
          <w:b/>
          <w:sz w:val="24"/>
          <w:szCs w:val="24"/>
        </w:rPr>
      </w:pPr>
      <w:r w:rsidRPr="0058766B">
        <w:rPr>
          <w:rFonts w:cstheme="minorHAnsi"/>
          <w:b/>
          <w:sz w:val="24"/>
          <w:szCs w:val="24"/>
        </w:rPr>
        <w:t>Założenia dokumentu</w:t>
      </w:r>
    </w:p>
    <w:p w:rsidR="00F25390" w:rsidRDefault="00F25390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jest </w:t>
      </w:r>
      <w:r w:rsidR="00F66DE4">
        <w:rPr>
          <w:rFonts w:cstheme="minorHAnsi"/>
          <w:sz w:val="24"/>
          <w:szCs w:val="24"/>
        </w:rPr>
        <w:t>rządowym programem rozwoju</w:t>
      </w:r>
      <w:r w:rsidRPr="00537330">
        <w:rPr>
          <w:rFonts w:cstheme="minorHAnsi"/>
          <w:sz w:val="24"/>
          <w:szCs w:val="24"/>
        </w:rPr>
        <w:t>, określającym działania oraz środki dla realizacji celu jakim jest zapewnienie powszechnego</w:t>
      </w:r>
      <w:r>
        <w:rPr>
          <w:rFonts w:cstheme="minorHAnsi"/>
          <w:sz w:val="24"/>
          <w:szCs w:val="24"/>
        </w:rPr>
        <w:t>, bardzo szybkiego i niezawodnego</w:t>
      </w:r>
      <w:r w:rsidRPr="00537330">
        <w:rPr>
          <w:rFonts w:cstheme="minorHAnsi"/>
          <w:sz w:val="24"/>
          <w:szCs w:val="24"/>
        </w:rPr>
        <w:t xml:space="preserve"> szerok</w:t>
      </w:r>
      <w:r>
        <w:rPr>
          <w:rFonts w:cstheme="minorHAnsi"/>
          <w:sz w:val="24"/>
          <w:szCs w:val="24"/>
        </w:rPr>
        <w:t>opasmowego dostępu do internetu dla wzmocnienia filarów konkurencyjności polskiej gospodarki</w:t>
      </w:r>
      <w:r w:rsidR="00EC493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EC4930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 xml:space="preserve">społecznej spójności. Dalszy rozwój ekosystemu społeczno-ekonomicznego, </w:t>
      </w:r>
      <w:r w:rsidR="00E36BE8">
        <w:rPr>
          <w:rFonts w:cstheme="minorHAnsi"/>
          <w:sz w:val="24"/>
          <w:szCs w:val="24"/>
        </w:rPr>
        <w:t xml:space="preserve">w tym poszczególnych branż i sektorów gospodarki, świata akademickiego czy inteligentnych rozwiązań w przestrzeniach publicznych, opiera się bowiem na </w:t>
      </w:r>
      <w:r w:rsidR="00CC11F2">
        <w:rPr>
          <w:rFonts w:cstheme="minorHAnsi"/>
          <w:sz w:val="24"/>
          <w:szCs w:val="24"/>
        </w:rPr>
        <w:t xml:space="preserve">stałej łączności elektronicznej, której jakość zależy z kolei od stopnia pokrycia kraju nowoczesną infrastrukturą telekomunikacyjną. </w:t>
      </w:r>
    </w:p>
    <w:p w:rsidR="002069AE" w:rsidRPr="00537330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>Głównym celem NPS było i jest zapewnienie rozwoju sieci i infrastruktury szerokopasmowej oraz pobudzenie popytu na usługi dostępowe o wysokich przepływnościach. Założenia w tym zakresie nadal są aktualne, jednak oczekiwania i sposoby osiągnięcia tych zamierzeń ewoluowały, z tego też powodu niezbędne jest wprowadzenie nowych celów i rozszerzenie horyzontów czasowych oddziaływania dokumentu.</w:t>
      </w:r>
      <w:r w:rsidR="00F25390">
        <w:rPr>
          <w:rFonts w:cstheme="minorHAnsi"/>
          <w:sz w:val="24"/>
          <w:szCs w:val="24"/>
        </w:rPr>
        <w:t xml:space="preserve"> </w:t>
      </w:r>
      <w:r w:rsidR="00DB38C0">
        <w:rPr>
          <w:rFonts w:cstheme="minorHAnsi"/>
          <w:sz w:val="24"/>
          <w:szCs w:val="24"/>
        </w:rPr>
        <w:t>Niezbędne jest także podsumowanie dotychczasowych doświadczeń oraz osiągnięć w zakresie wspierania inwestycji szerokopasmowych, wynikających z prawie 5-letniego okres</w:t>
      </w:r>
      <w:r w:rsidR="001568FB">
        <w:rPr>
          <w:rFonts w:cstheme="minorHAnsi"/>
          <w:sz w:val="24"/>
          <w:szCs w:val="24"/>
        </w:rPr>
        <w:t>u wdrażania NPS, wyciągnięcie z </w:t>
      </w:r>
      <w:r w:rsidR="00DB38C0">
        <w:rPr>
          <w:rFonts w:cstheme="minorHAnsi"/>
          <w:sz w:val="24"/>
          <w:szCs w:val="24"/>
        </w:rPr>
        <w:t>nich wniosków oraz zaproponowanie dalej idących działań Rządu RP w tym obszarze.</w:t>
      </w:r>
    </w:p>
    <w:p w:rsidR="002069AE" w:rsidRPr="00537330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z jednej strony ma za zadanie wytyczyć kierunki rozwoju dostępu do internetu w Polsce, a z drugiej ma wskazać mechanizmy realizacji prawidłowej i zgodnej z oczekiwaniami budowy nowoczesnej infrastruktury telekomunikacyjnej w kraju. </w:t>
      </w:r>
    </w:p>
    <w:p w:rsidR="002069AE" w:rsidRPr="00537330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Intencją NPS jest również wzmacnianie motywacji operatorów </w:t>
      </w:r>
      <w:r w:rsidR="00DB38C0">
        <w:rPr>
          <w:rFonts w:cstheme="minorHAnsi"/>
          <w:sz w:val="24"/>
          <w:szCs w:val="24"/>
        </w:rPr>
        <w:t>telekomunikacyjnych</w:t>
      </w:r>
      <w:r w:rsidRPr="00537330">
        <w:rPr>
          <w:rFonts w:cstheme="minorHAnsi"/>
          <w:sz w:val="24"/>
          <w:szCs w:val="24"/>
        </w:rPr>
        <w:t xml:space="preserve"> do rozbudowy oraz modernizacji sieci szerokopasmowych, by były dostępne dla wszystkich mieszkańców i przedsiębiorców. Osiągnięcie zidentyfikowanych celów będzie wymagało również wzmocnienia</w:t>
      </w:r>
      <w:r w:rsidR="00DB38C0">
        <w:rPr>
          <w:rFonts w:cstheme="minorHAnsi"/>
          <w:sz w:val="24"/>
          <w:szCs w:val="24"/>
        </w:rPr>
        <w:t xml:space="preserve"> popytu na usługi łączności elektronicznej o wysokich i bardzo wysokich parametrach funkcjonalnych</w:t>
      </w:r>
      <w:r w:rsidRPr="00537330">
        <w:rPr>
          <w:rFonts w:cstheme="minorHAnsi"/>
          <w:sz w:val="24"/>
          <w:szCs w:val="24"/>
        </w:rPr>
        <w:t xml:space="preserve">. </w:t>
      </w:r>
    </w:p>
    <w:p w:rsidR="00C026E3" w:rsidRDefault="002069AE" w:rsidP="00F25390">
      <w:pPr>
        <w:spacing w:before="240"/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obejmuje okres do 2025 roku i jest dokumentem ustanawianym w celu realizacji średniookresowej strategii rozwoju kraju. </w:t>
      </w:r>
      <w:r w:rsidR="00F25390" w:rsidRPr="00F25390">
        <w:rPr>
          <w:rFonts w:cstheme="minorHAnsi"/>
          <w:sz w:val="24"/>
          <w:szCs w:val="24"/>
          <w:shd w:val="clear" w:color="auto" w:fill="FFFFFF"/>
        </w:rPr>
        <w:t>Program przedstawia diagnozę stanu obecnego infrastruktury szerokopasmowej w Polsce, określa  potrzeby inwestycyjne w zakresie osiągnięcia wyznaczonych celów i proponuje katalog działań zmierzających do pobudzenia kluczowych dla osiągnięcia tych celów czynników, jakimi są podaż i popyt na usługi dostępu do internetu o bardzo wysokich przepustowościach, a w końcu identyfikuje potencjalną lukę w możliwościach sfinansowania inwestycji wymaganych do spełnienia założeń NPS</w:t>
      </w:r>
      <w:r w:rsidR="00F25390">
        <w:rPr>
          <w:rFonts w:cstheme="minorHAnsi"/>
          <w:sz w:val="24"/>
          <w:szCs w:val="24"/>
        </w:rPr>
        <w:t>.</w:t>
      </w:r>
    </w:p>
    <w:p w:rsidR="00CD2DCB" w:rsidRDefault="001711AD" w:rsidP="00F25390">
      <w:pPr>
        <w:spacing w:before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Projektowany program rozwoju nie wywoła skutków prawnych, niemniej w programie przedstawiono istniejący stan prawny w otoczeniu procesu inwestycyjnego w nowoczesną infrastrukturę telekomunikacyjną</w:t>
      </w:r>
      <w:r w:rsidR="00210B42">
        <w:rPr>
          <w:rFonts w:cstheme="minorHAnsi"/>
          <w:sz w:val="24"/>
          <w:szCs w:val="24"/>
        </w:rPr>
        <w:t xml:space="preserve">, zidentyfikowano </w:t>
      </w:r>
      <w:r w:rsidR="00CD2DCB">
        <w:rPr>
          <w:rFonts w:cstheme="minorHAnsi"/>
          <w:sz w:val="24"/>
          <w:szCs w:val="24"/>
        </w:rPr>
        <w:t xml:space="preserve">główne </w:t>
      </w:r>
      <w:r w:rsidR="00210B42">
        <w:rPr>
          <w:rFonts w:cstheme="minorHAnsi"/>
          <w:sz w:val="24"/>
          <w:szCs w:val="24"/>
        </w:rPr>
        <w:t>bariery administracyjno-prawne ograniczające potencjał inwestycyjny w tym zakresie, a także zawarto zobowiązanie Rządu RP do ich zniesienia.</w:t>
      </w:r>
      <w:r w:rsidR="00CA2276">
        <w:rPr>
          <w:rFonts w:cstheme="minorHAnsi"/>
          <w:sz w:val="24"/>
          <w:szCs w:val="24"/>
        </w:rPr>
        <w:t xml:space="preserve"> </w:t>
      </w:r>
      <w:r w:rsidR="00884778">
        <w:rPr>
          <w:rFonts w:cstheme="minorHAnsi"/>
          <w:sz w:val="24"/>
          <w:szCs w:val="24"/>
        </w:rPr>
        <w:t>NPS opisuje naturę tych barier lecz nie przesądza o sposobie ich rozwiązania uznając, że właściwe działania zostaną podjęte w okresie jego realizacji</w:t>
      </w:r>
      <w:r w:rsidR="00D44BA1">
        <w:rPr>
          <w:rFonts w:cstheme="minorHAnsi"/>
          <w:sz w:val="24"/>
          <w:szCs w:val="24"/>
        </w:rPr>
        <w:t>,</w:t>
      </w:r>
      <w:r w:rsidR="00884778">
        <w:rPr>
          <w:rFonts w:cstheme="minorHAnsi"/>
          <w:sz w:val="24"/>
          <w:szCs w:val="24"/>
        </w:rPr>
        <w:t xml:space="preserve"> w oparciu o aktualny w danym momencie stan prawny (który podlega dynamicznym zmianom).</w:t>
      </w:r>
    </w:p>
    <w:p w:rsidR="00CD2DCB" w:rsidRDefault="00CA2276" w:rsidP="00F25390">
      <w:pPr>
        <w:spacing w:before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Zmiany wprowadzane aktualizacją obejmą szereg elementów dokumentu. W szczególności rozszerzą obecne cele wskazane dla rozwoju infrastruktury szerokopasmowej w kraju oraz przedłużą okres oddziaływania dokumentu do 20205 r. Zmiany te wymagają również określenia nowego katalogu działań </w:t>
      </w:r>
      <w:r w:rsidR="00D44BA1">
        <w:rPr>
          <w:rFonts w:cstheme="minorHAnsi"/>
          <w:sz w:val="24"/>
          <w:szCs w:val="24"/>
        </w:rPr>
        <w:t xml:space="preserve">na rzecz wspierania rozwoju sieci jak również </w:t>
      </w:r>
      <w:r>
        <w:rPr>
          <w:rFonts w:cstheme="minorHAnsi"/>
          <w:sz w:val="24"/>
          <w:szCs w:val="24"/>
        </w:rPr>
        <w:t xml:space="preserve"> wyznaczenia potrzeb </w:t>
      </w:r>
      <w:r w:rsidR="00D44BA1">
        <w:rPr>
          <w:rFonts w:cstheme="minorHAnsi"/>
          <w:sz w:val="24"/>
          <w:szCs w:val="24"/>
        </w:rPr>
        <w:t xml:space="preserve">w szczególności </w:t>
      </w:r>
      <w:r>
        <w:rPr>
          <w:rFonts w:cstheme="minorHAnsi"/>
          <w:sz w:val="24"/>
          <w:szCs w:val="24"/>
        </w:rPr>
        <w:t>finansowych i możliwości ich pokrycia ze środków krajowych i zagranicznych.</w:t>
      </w:r>
    </w:p>
    <w:p w:rsidR="00CD2DCB" w:rsidRDefault="00CA2276" w:rsidP="00F25390">
      <w:pPr>
        <w:spacing w:before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Zaktualizowany NPS nie będzie jednak rodził bezpośrednich skutków finansowych. Jego celem jest </w:t>
      </w:r>
      <w:r w:rsidR="00884778">
        <w:rPr>
          <w:rFonts w:cstheme="minorHAnsi"/>
          <w:sz w:val="24"/>
          <w:szCs w:val="24"/>
        </w:rPr>
        <w:t>wyznaczenie luki finansowej w zakresie osiągnięcia zakładanych celów dokumentu</w:t>
      </w:r>
      <w:r w:rsidR="00D44BA1">
        <w:rPr>
          <w:rFonts w:cstheme="minorHAnsi"/>
          <w:sz w:val="24"/>
          <w:szCs w:val="24"/>
        </w:rPr>
        <w:t>,</w:t>
      </w:r>
      <w:r w:rsidR="00884778">
        <w:rPr>
          <w:rFonts w:cstheme="minorHAnsi"/>
          <w:sz w:val="24"/>
          <w:szCs w:val="24"/>
        </w:rPr>
        <w:t xml:space="preserve"> przy uwzględnieniu dalszego rozwoju sieci ze środków prywatnych oraz wskazanie możliwych źródeł finansowania tej luki ze środków publicznych. Wdrożenie zakładanych mechanizmów wsparcie </w:t>
      </w:r>
      <w:r w:rsidR="00D44BA1">
        <w:rPr>
          <w:rFonts w:cstheme="minorHAnsi"/>
          <w:sz w:val="24"/>
          <w:szCs w:val="24"/>
        </w:rPr>
        <w:t xml:space="preserve">publicznego </w:t>
      </w:r>
      <w:r w:rsidR="00884778">
        <w:rPr>
          <w:rFonts w:cstheme="minorHAnsi"/>
          <w:sz w:val="24"/>
          <w:szCs w:val="24"/>
        </w:rPr>
        <w:t>będzie wymagało uruchomienia szeregu inicjatyw legislacyjnych</w:t>
      </w:r>
      <w:r w:rsidR="00D44BA1">
        <w:rPr>
          <w:rFonts w:cstheme="minorHAnsi"/>
          <w:sz w:val="24"/>
          <w:szCs w:val="24"/>
        </w:rPr>
        <w:t>,</w:t>
      </w:r>
      <w:r w:rsidR="00884778">
        <w:rPr>
          <w:rFonts w:cstheme="minorHAnsi"/>
          <w:sz w:val="24"/>
          <w:szCs w:val="24"/>
        </w:rPr>
        <w:t xml:space="preserve"> które to wskazywać będą właściwe koszty dla budżetu Państwa.</w:t>
      </w:r>
    </w:p>
    <w:p w:rsidR="001711AD" w:rsidRDefault="001711AD" w:rsidP="00F25390">
      <w:pPr>
        <w:spacing w:before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Projektowany program rozwoju jest zgodny z prawem Unii Europejskiej.</w:t>
      </w:r>
    </w:p>
    <w:p w:rsidR="001711AD" w:rsidRPr="001711AD" w:rsidRDefault="001711AD" w:rsidP="00F25390">
      <w:pPr>
        <w:spacing w:before="240"/>
        <w:jc w:val="both"/>
        <w:rPr>
          <w:sz w:val="24"/>
        </w:rPr>
      </w:pPr>
      <w:r w:rsidRPr="001711AD">
        <w:rPr>
          <w:sz w:val="24"/>
        </w:rPr>
        <w:t>Projekt nie zawiera przepisów technicznych w rozumieniu rozporządzenia Rady Ministrów z dnia 23 grudnia 2002 r. w sprawie sposobu funkcjonowania krajowego systemu notyfikacji norm i aktów prawnych (Dz. U. poz. 2039 oraz z 2004 r. poz. 597) i nie podlega notyfikacji Komisji Europejskiej.</w:t>
      </w:r>
    </w:p>
    <w:p w:rsidR="001711AD" w:rsidRPr="001711AD" w:rsidRDefault="001711AD" w:rsidP="00F25390">
      <w:pPr>
        <w:spacing w:before="240"/>
        <w:jc w:val="both"/>
        <w:rPr>
          <w:sz w:val="24"/>
        </w:rPr>
      </w:pPr>
      <w:r w:rsidRPr="001711AD">
        <w:rPr>
          <w:sz w:val="24"/>
        </w:rPr>
        <w:t>Projekt nie będzie wymagał notyfikacji Komisji Europejskiej w trybie ustawy z dnia 30 kwietnia 2004 r. o postępowaniu w sprawach dotyczących pomocy publicznej (Dz. U. z 2018 r. poz. 362).</w:t>
      </w:r>
    </w:p>
    <w:p w:rsidR="001711AD" w:rsidRPr="001711AD" w:rsidRDefault="001711AD" w:rsidP="00F25390">
      <w:pPr>
        <w:spacing w:before="240"/>
        <w:jc w:val="both"/>
        <w:rPr>
          <w:rFonts w:cstheme="minorHAnsi"/>
          <w:sz w:val="28"/>
          <w:szCs w:val="24"/>
        </w:rPr>
      </w:pPr>
      <w:r w:rsidRPr="001711AD">
        <w:rPr>
          <w:sz w:val="24"/>
        </w:rPr>
        <w:t>Projekt nie wymaga przedłożenia instytucjom i organom Unii Europejskiej, w tym Europejskiemu Bankowi Centralnemu w celu uzyskania opinii, dokonania powiadomienia, konsultacji albo uzgodnienia.</w:t>
      </w:r>
    </w:p>
    <w:sectPr w:rsidR="001711AD" w:rsidRPr="001711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1CA" w:rsidRDefault="00B061CA" w:rsidP="003A2351">
      <w:pPr>
        <w:spacing w:after="0" w:line="240" w:lineRule="auto"/>
      </w:pPr>
      <w:r>
        <w:separator/>
      </w:r>
    </w:p>
  </w:endnote>
  <w:endnote w:type="continuationSeparator" w:id="0">
    <w:p w:rsidR="00B061CA" w:rsidRDefault="00B061CA" w:rsidP="003A2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008960"/>
      <w:docPartObj>
        <w:docPartGallery w:val="Page Numbers (Bottom of Page)"/>
        <w:docPartUnique/>
      </w:docPartObj>
    </w:sdtPr>
    <w:sdtEndPr/>
    <w:sdtContent>
      <w:p w:rsidR="003A2351" w:rsidRDefault="003A235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FB7">
          <w:rPr>
            <w:noProof/>
          </w:rPr>
          <w:t>1</w:t>
        </w:r>
        <w:r>
          <w:fldChar w:fldCharType="end"/>
        </w:r>
      </w:p>
    </w:sdtContent>
  </w:sdt>
  <w:p w:rsidR="003A2351" w:rsidRDefault="003A2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1CA" w:rsidRDefault="00B061CA" w:rsidP="003A2351">
      <w:pPr>
        <w:spacing w:after="0" w:line="240" w:lineRule="auto"/>
      </w:pPr>
      <w:r>
        <w:separator/>
      </w:r>
    </w:p>
  </w:footnote>
  <w:footnote w:type="continuationSeparator" w:id="0">
    <w:p w:rsidR="00B061CA" w:rsidRDefault="00B061CA" w:rsidP="003A2351">
      <w:pPr>
        <w:spacing w:after="0" w:line="240" w:lineRule="auto"/>
      </w:pPr>
      <w:r>
        <w:continuationSeparator/>
      </w:r>
    </w:p>
  </w:footnote>
  <w:footnote w:id="1">
    <w:p w:rsidR="002069AE" w:rsidRDefault="002069AE" w:rsidP="002069AE">
      <w:pPr>
        <w:pStyle w:val="Tekstprzypisudolnego"/>
      </w:pPr>
      <w:r>
        <w:rPr>
          <w:rStyle w:val="Odwoanieprzypisudolnego"/>
        </w:rPr>
        <w:footnoteRef/>
      </w:r>
      <w:r>
        <w:t xml:space="preserve"> W momencie sporządzania projektu dokumentu trwają prace nad aktualizacją Strategii Sprawne Państwo. </w:t>
      </w:r>
    </w:p>
  </w:footnote>
  <w:footnote w:id="2">
    <w:p w:rsidR="0058766B" w:rsidRDefault="0058766B" w:rsidP="005876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3477">
        <w:t xml:space="preserve">Powiązania w tym zakresie wskazano w załączniku nr 1 do </w:t>
      </w:r>
      <w:r w:rsidR="00E5034C">
        <w:t>NPS</w:t>
      </w:r>
      <w:r w:rsidRPr="0010347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59FA"/>
    <w:multiLevelType w:val="hybridMultilevel"/>
    <w:tmpl w:val="26645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D2312"/>
    <w:multiLevelType w:val="hybridMultilevel"/>
    <w:tmpl w:val="2C6455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22F36"/>
    <w:multiLevelType w:val="hybridMultilevel"/>
    <w:tmpl w:val="7CAAF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87B61"/>
    <w:multiLevelType w:val="hybridMultilevel"/>
    <w:tmpl w:val="16A4EEC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44424F"/>
    <w:multiLevelType w:val="hybridMultilevel"/>
    <w:tmpl w:val="E2A0CB98"/>
    <w:lvl w:ilvl="0" w:tplc="24E85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B3DAC"/>
    <w:multiLevelType w:val="hybridMultilevel"/>
    <w:tmpl w:val="7FFA3FBA"/>
    <w:lvl w:ilvl="0" w:tplc="761688F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127B51"/>
    <w:multiLevelType w:val="hybridMultilevel"/>
    <w:tmpl w:val="52061B9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A47758A"/>
    <w:multiLevelType w:val="hybridMultilevel"/>
    <w:tmpl w:val="0EDEA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A006F"/>
    <w:multiLevelType w:val="hybridMultilevel"/>
    <w:tmpl w:val="36BAD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E7EE2"/>
    <w:multiLevelType w:val="multilevel"/>
    <w:tmpl w:val="170695E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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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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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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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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"/>
      <w:lvlJc w:val="left"/>
      <w:pPr>
        <w:ind w:left="6480" w:hanging="360"/>
      </w:pPr>
      <w:rPr>
        <w:rFonts w:ascii="Wingdings 3" w:hAnsi="Wingdings 3"/>
      </w:rPr>
    </w:lvl>
  </w:abstractNum>
  <w:abstractNum w:abstractNumId="10">
    <w:nsid w:val="434F659A"/>
    <w:multiLevelType w:val="multilevel"/>
    <w:tmpl w:val="03F40E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68BB"/>
    <w:multiLevelType w:val="hybridMultilevel"/>
    <w:tmpl w:val="E19A50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E60C3"/>
    <w:multiLevelType w:val="multilevel"/>
    <w:tmpl w:val="C840F2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4F76251F"/>
    <w:multiLevelType w:val="hybridMultilevel"/>
    <w:tmpl w:val="FD9E4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0284E"/>
    <w:multiLevelType w:val="multilevel"/>
    <w:tmpl w:val="FCF02A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F47B9"/>
    <w:multiLevelType w:val="hybridMultilevel"/>
    <w:tmpl w:val="78F00548"/>
    <w:lvl w:ilvl="0" w:tplc="3C7A95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C28F2"/>
    <w:multiLevelType w:val="hybridMultilevel"/>
    <w:tmpl w:val="0ED20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16"/>
  </w:num>
  <w:num w:numId="12">
    <w:abstractNumId w:val="7"/>
  </w:num>
  <w:num w:numId="13">
    <w:abstractNumId w:val="5"/>
  </w:num>
  <w:num w:numId="14">
    <w:abstractNumId w:val="8"/>
  </w:num>
  <w:num w:numId="15">
    <w:abstractNumId w:val="13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00"/>
    <w:rsid w:val="000013E6"/>
    <w:rsid w:val="000031FA"/>
    <w:rsid w:val="000119A5"/>
    <w:rsid w:val="00022F06"/>
    <w:rsid w:val="00030E38"/>
    <w:rsid w:val="000460C0"/>
    <w:rsid w:val="000467BC"/>
    <w:rsid w:val="00053706"/>
    <w:rsid w:val="00060A33"/>
    <w:rsid w:val="0006229B"/>
    <w:rsid w:val="00077648"/>
    <w:rsid w:val="000857FB"/>
    <w:rsid w:val="0009052A"/>
    <w:rsid w:val="00090722"/>
    <w:rsid w:val="000972EE"/>
    <w:rsid w:val="000B2D5C"/>
    <w:rsid w:val="00104A75"/>
    <w:rsid w:val="00122420"/>
    <w:rsid w:val="00130690"/>
    <w:rsid w:val="0013699E"/>
    <w:rsid w:val="00142ACC"/>
    <w:rsid w:val="0014791E"/>
    <w:rsid w:val="00151352"/>
    <w:rsid w:val="001568FB"/>
    <w:rsid w:val="00170C0B"/>
    <w:rsid w:val="001711AD"/>
    <w:rsid w:val="00173CEF"/>
    <w:rsid w:val="00174592"/>
    <w:rsid w:val="001777C7"/>
    <w:rsid w:val="001A57B4"/>
    <w:rsid w:val="001D1E6A"/>
    <w:rsid w:val="001E6B89"/>
    <w:rsid w:val="001E6C3F"/>
    <w:rsid w:val="002069AE"/>
    <w:rsid w:val="00210B42"/>
    <w:rsid w:val="00211D4E"/>
    <w:rsid w:val="00211DFF"/>
    <w:rsid w:val="00223D1F"/>
    <w:rsid w:val="00223FA9"/>
    <w:rsid w:val="0022542C"/>
    <w:rsid w:val="00227C6A"/>
    <w:rsid w:val="00243C13"/>
    <w:rsid w:val="0026199A"/>
    <w:rsid w:val="0026267C"/>
    <w:rsid w:val="00263593"/>
    <w:rsid w:val="002734D8"/>
    <w:rsid w:val="00284335"/>
    <w:rsid w:val="0028798A"/>
    <w:rsid w:val="002973AB"/>
    <w:rsid w:val="002A29DB"/>
    <w:rsid w:val="002C367D"/>
    <w:rsid w:val="002D3DDA"/>
    <w:rsid w:val="002E2A63"/>
    <w:rsid w:val="002E47D4"/>
    <w:rsid w:val="002F60A3"/>
    <w:rsid w:val="003063E6"/>
    <w:rsid w:val="00307837"/>
    <w:rsid w:val="0032009A"/>
    <w:rsid w:val="00325141"/>
    <w:rsid w:val="00330E08"/>
    <w:rsid w:val="0033104F"/>
    <w:rsid w:val="003362A7"/>
    <w:rsid w:val="0034261D"/>
    <w:rsid w:val="00342954"/>
    <w:rsid w:val="00345200"/>
    <w:rsid w:val="00357286"/>
    <w:rsid w:val="003616D8"/>
    <w:rsid w:val="00365669"/>
    <w:rsid w:val="00385D4F"/>
    <w:rsid w:val="003864AE"/>
    <w:rsid w:val="003941D8"/>
    <w:rsid w:val="00396529"/>
    <w:rsid w:val="003A10EF"/>
    <w:rsid w:val="003A2351"/>
    <w:rsid w:val="003A40F1"/>
    <w:rsid w:val="003B65CA"/>
    <w:rsid w:val="003C0E9D"/>
    <w:rsid w:val="003D53E2"/>
    <w:rsid w:val="003E6200"/>
    <w:rsid w:val="00402693"/>
    <w:rsid w:val="00403E79"/>
    <w:rsid w:val="00405CD6"/>
    <w:rsid w:val="00426E46"/>
    <w:rsid w:val="004338BA"/>
    <w:rsid w:val="00436B65"/>
    <w:rsid w:val="0044644C"/>
    <w:rsid w:val="00450174"/>
    <w:rsid w:val="00456FB9"/>
    <w:rsid w:val="00460A8B"/>
    <w:rsid w:val="00461E43"/>
    <w:rsid w:val="004903A7"/>
    <w:rsid w:val="00493102"/>
    <w:rsid w:val="00494CCF"/>
    <w:rsid w:val="004A4CD8"/>
    <w:rsid w:val="004A7ACD"/>
    <w:rsid w:val="004E1632"/>
    <w:rsid w:val="004E2806"/>
    <w:rsid w:val="00503B14"/>
    <w:rsid w:val="00513684"/>
    <w:rsid w:val="0051469D"/>
    <w:rsid w:val="00526474"/>
    <w:rsid w:val="005272D5"/>
    <w:rsid w:val="00536133"/>
    <w:rsid w:val="00537330"/>
    <w:rsid w:val="00545A45"/>
    <w:rsid w:val="005506D8"/>
    <w:rsid w:val="00552926"/>
    <w:rsid w:val="0056419A"/>
    <w:rsid w:val="00566A98"/>
    <w:rsid w:val="005678E8"/>
    <w:rsid w:val="005752A9"/>
    <w:rsid w:val="0058766B"/>
    <w:rsid w:val="005A3FA0"/>
    <w:rsid w:val="005A596B"/>
    <w:rsid w:val="005A76AA"/>
    <w:rsid w:val="005B18A8"/>
    <w:rsid w:val="005B6AC9"/>
    <w:rsid w:val="005D21E9"/>
    <w:rsid w:val="005D4B96"/>
    <w:rsid w:val="005E4832"/>
    <w:rsid w:val="005F68B6"/>
    <w:rsid w:val="005F6E8C"/>
    <w:rsid w:val="00612EEA"/>
    <w:rsid w:val="00651000"/>
    <w:rsid w:val="00651298"/>
    <w:rsid w:val="00657A60"/>
    <w:rsid w:val="00663079"/>
    <w:rsid w:val="0066424D"/>
    <w:rsid w:val="006731D1"/>
    <w:rsid w:val="00676D46"/>
    <w:rsid w:val="00697E34"/>
    <w:rsid w:val="006A1557"/>
    <w:rsid w:val="006A7782"/>
    <w:rsid w:val="006B4911"/>
    <w:rsid w:val="006E4A2A"/>
    <w:rsid w:val="006F0AC8"/>
    <w:rsid w:val="006F493A"/>
    <w:rsid w:val="0070362E"/>
    <w:rsid w:val="0071487C"/>
    <w:rsid w:val="00723B7C"/>
    <w:rsid w:val="00726540"/>
    <w:rsid w:val="00734340"/>
    <w:rsid w:val="0073447C"/>
    <w:rsid w:val="007406CA"/>
    <w:rsid w:val="007420F6"/>
    <w:rsid w:val="0074380F"/>
    <w:rsid w:val="00747FA6"/>
    <w:rsid w:val="007514D8"/>
    <w:rsid w:val="00753590"/>
    <w:rsid w:val="007566E8"/>
    <w:rsid w:val="00773CCF"/>
    <w:rsid w:val="00781650"/>
    <w:rsid w:val="007824F7"/>
    <w:rsid w:val="0078291F"/>
    <w:rsid w:val="00784C06"/>
    <w:rsid w:val="007932D0"/>
    <w:rsid w:val="007969AF"/>
    <w:rsid w:val="007A6726"/>
    <w:rsid w:val="007B53D6"/>
    <w:rsid w:val="007C2678"/>
    <w:rsid w:val="007D1A40"/>
    <w:rsid w:val="007E5CAC"/>
    <w:rsid w:val="007E65A1"/>
    <w:rsid w:val="007F1EBA"/>
    <w:rsid w:val="0080641A"/>
    <w:rsid w:val="0081697B"/>
    <w:rsid w:val="00820D2C"/>
    <w:rsid w:val="0087753D"/>
    <w:rsid w:val="00884778"/>
    <w:rsid w:val="008872F0"/>
    <w:rsid w:val="008C0A97"/>
    <w:rsid w:val="008D04A8"/>
    <w:rsid w:val="008D2563"/>
    <w:rsid w:val="008E3312"/>
    <w:rsid w:val="008F1861"/>
    <w:rsid w:val="008F31C7"/>
    <w:rsid w:val="008F40DB"/>
    <w:rsid w:val="009120E0"/>
    <w:rsid w:val="00925254"/>
    <w:rsid w:val="00925900"/>
    <w:rsid w:val="00951D41"/>
    <w:rsid w:val="00971879"/>
    <w:rsid w:val="00975580"/>
    <w:rsid w:val="00975779"/>
    <w:rsid w:val="00980DC9"/>
    <w:rsid w:val="00996A05"/>
    <w:rsid w:val="009A4B42"/>
    <w:rsid w:val="009A5303"/>
    <w:rsid w:val="009B1214"/>
    <w:rsid w:val="009B5FB7"/>
    <w:rsid w:val="009C64C4"/>
    <w:rsid w:val="009D6316"/>
    <w:rsid w:val="009E0344"/>
    <w:rsid w:val="009F6021"/>
    <w:rsid w:val="00A079E2"/>
    <w:rsid w:val="00A204C9"/>
    <w:rsid w:val="00A20796"/>
    <w:rsid w:val="00A32516"/>
    <w:rsid w:val="00A3491E"/>
    <w:rsid w:val="00A3496E"/>
    <w:rsid w:val="00A34CF3"/>
    <w:rsid w:val="00A36687"/>
    <w:rsid w:val="00A55D44"/>
    <w:rsid w:val="00A7412D"/>
    <w:rsid w:val="00A747D8"/>
    <w:rsid w:val="00A7582E"/>
    <w:rsid w:val="00A77149"/>
    <w:rsid w:val="00A83C47"/>
    <w:rsid w:val="00A91D61"/>
    <w:rsid w:val="00AB647F"/>
    <w:rsid w:val="00AC0ED4"/>
    <w:rsid w:val="00AC4B60"/>
    <w:rsid w:val="00AC573D"/>
    <w:rsid w:val="00AF3098"/>
    <w:rsid w:val="00B061CA"/>
    <w:rsid w:val="00B0711C"/>
    <w:rsid w:val="00B07BA1"/>
    <w:rsid w:val="00B36121"/>
    <w:rsid w:val="00B6627D"/>
    <w:rsid w:val="00B70344"/>
    <w:rsid w:val="00B823A7"/>
    <w:rsid w:val="00B978FD"/>
    <w:rsid w:val="00BB7C1E"/>
    <w:rsid w:val="00BD75A3"/>
    <w:rsid w:val="00BF2912"/>
    <w:rsid w:val="00C026E3"/>
    <w:rsid w:val="00C0591D"/>
    <w:rsid w:val="00C3621E"/>
    <w:rsid w:val="00C62592"/>
    <w:rsid w:val="00C6325C"/>
    <w:rsid w:val="00C752C6"/>
    <w:rsid w:val="00C754CA"/>
    <w:rsid w:val="00C774E9"/>
    <w:rsid w:val="00CA2276"/>
    <w:rsid w:val="00CA7C4B"/>
    <w:rsid w:val="00CB264D"/>
    <w:rsid w:val="00CB4A31"/>
    <w:rsid w:val="00CC11F2"/>
    <w:rsid w:val="00CC2F1F"/>
    <w:rsid w:val="00CD2CCE"/>
    <w:rsid w:val="00CD2DCB"/>
    <w:rsid w:val="00CE2307"/>
    <w:rsid w:val="00CE3ABF"/>
    <w:rsid w:val="00CE447B"/>
    <w:rsid w:val="00D04D43"/>
    <w:rsid w:val="00D1546F"/>
    <w:rsid w:val="00D23B59"/>
    <w:rsid w:val="00D36C24"/>
    <w:rsid w:val="00D44BA1"/>
    <w:rsid w:val="00D54BBF"/>
    <w:rsid w:val="00D55455"/>
    <w:rsid w:val="00D7050E"/>
    <w:rsid w:val="00D71704"/>
    <w:rsid w:val="00DB38C0"/>
    <w:rsid w:val="00DB4AD7"/>
    <w:rsid w:val="00DD3622"/>
    <w:rsid w:val="00DF5C00"/>
    <w:rsid w:val="00E12B7B"/>
    <w:rsid w:val="00E16DDC"/>
    <w:rsid w:val="00E22151"/>
    <w:rsid w:val="00E24E3B"/>
    <w:rsid w:val="00E26FD2"/>
    <w:rsid w:val="00E27DB3"/>
    <w:rsid w:val="00E36BE8"/>
    <w:rsid w:val="00E46739"/>
    <w:rsid w:val="00E5034C"/>
    <w:rsid w:val="00E517B7"/>
    <w:rsid w:val="00E53026"/>
    <w:rsid w:val="00E53588"/>
    <w:rsid w:val="00E91CDD"/>
    <w:rsid w:val="00E96399"/>
    <w:rsid w:val="00EA6494"/>
    <w:rsid w:val="00EC4930"/>
    <w:rsid w:val="00ED16E8"/>
    <w:rsid w:val="00ED7D43"/>
    <w:rsid w:val="00EE3928"/>
    <w:rsid w:val="00EF5872"/>
    <w:rsid w:val="00F034CD"/>
    <w:rsid w:val="00F121CE"/>
    <w:rsid w:val="00F25390"/>
    <w:rsid w:val="00F4431F"/>
    <w:rsid w:val="00F47AAE"/>
    <w:rsid w:val="00F572D4"/>
    <w:rsid w:val="00F6007C"/>
    <w:rsid w:val="00F66DE4"/>
    <w:rsid w:val="00F80673"/>
    <w:rsid w:val="00F8185B"/>
    <w:rsid w:val="00F83822"/>
    <w:rsid w:val="00FB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DE3D4-E067-4FE7-BEDE-00150245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F5C00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abulatory">
    <w:name w:val="tabulatory"/>
    <w:basedOn w:val="Domylnaczcionkaakapitu"/>
    <w:rsid w:val="00142ACC"/>
  </w:style>
  <w:style w:type="character" w:styleId="Hipercze">
    <w:name w:val="Hyperlink"/>
    <w:basedOn w:val="Domylnaczcionkaakapitu"/>
    <w:uiPriority w:val="99"/>
    <w:semiHidden/>
    <w:unhideWhenUsed/>
    <w:rsid w:val="00142AC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142ACC"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C573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2A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52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52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52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52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52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2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351"/>
  </w:style>
  <w:style w:type="paragraph" w:styleId="Stopka">
    <w:name w:val="footer"/>
    <w:basedOn w:val="Normalny"/>
    <w:link w:val="StopkaZnak"/>
    <w:uiPriority w:val="99"/>
    <w:unhideWhenUsed/>
    <w:rsid w:val="003A2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351"/>
  </w:style>
  <w:style w:type="paragraph" w:customStyle="1" w:styleId="ARTartustawynprozporzdzenia">
    <w:name w:val="ART(§) – art. ustawy (§ np. rozporządzenia)"/>
    <w:uiPriority w:val="11"/>
    <w:qFormat/>
    <w:rsid w:val="003A40F1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A40F1"/>
    <w:rPr>
      <w:b/>
    </w:rPr>
  </w:style>
  <w:style w:type="paragraph" w:styleId="Bezodstpw">
    <w:name w:val="No Spacing"/>
    <w:uiPriority w:val="99"/>
    <w:rsid w:val="00405CD6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Ref"/>
    <w:link w:val="stylishCar"/>
    <w:uiPriority w:val="99"/>
    <w:rsid w:val="001E6B89"/>
    <w:rPr>
      <w:rFonts w:cs="Times New Roman"/>
      <w:vertAlign w:val="superscript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45200"/>
    <w:pPr>
      <w:spacing w:before="0"/>
    </w:pPr>
    <w:rPr>
      <w:bCs/>
    </w:rPr>
  </w:style>
  <w:style w:type="paragraph" w:styleId="Tekstprzypisudolnego">
    <w:name w:val="footnote text"/>
    <w:aliases w:val="Tekst przypisu,tekst przypisu,tekst przypisu1,tekst przypisu2,tekst przypisu3,tekst przypisu4,tekst przypisu5,tekst przypisu11,tekst przypisu21,tekst przypisu31,tekst przypisu41,tekst przypisu6,tekst przypisu12,tekst przypisu22,o"/>
    <w:basedOn w:val="Normalny"/>
    <w:link w:val="TekstprzypisudolnegoZnak"/>
    <w:uiPriority w:val="99"/>
    <w:unhideWhenUsed/>
    <w:qFormat/>
    <w:rsid w:val="002069AE"/>
    <w:pPr>
      <w:spacing w:after="0" w:line="240" w:lineRule="auto"/>
      <w:jc w:val="both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 Znak,tekst przypisu1 Znak,tekst przypisu2 Znak,tekst przypisu3 Znak,tekst przypisu4 Znak,tekst przypisu5 Znak,tekst przypisu11 Znak,tekst przypisu21 Znak,tekst przypisu31 Znak,o Znak"/>
    <w:basedOn w:val="Domylnaczcionkaakapitu"/>
    <w:link w:val="Tekstprzypisudolnego"/>
    <w:uiPriority w:val="99"/>
    <w:rsid w:val="002069AE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069AE"/>
    <w:rPr>
      <w:rFonts w:ascii="Calibri" w:eastAsia="Calibri" w:hAnsi="Calibri" w:cs="Times New Roman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alny"/>
    <w:link w:val="Odwoanieprzypisudolnego"/>
    <w:uiPriority w:val="99"/>
    <w:rsid w:val="002069AE"/>
    <w:pPr>
      <w:spacing w:line="240" w:lineRule="exact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6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6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394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259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8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6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48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771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3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181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40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7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94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166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279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9574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72321-1066-43B9-9830-62B9DC73C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8254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Łukasiewicz Marcin</dc:creator>
  <cp:keywords/>
  <dc:description/>
  <cp:lastModifiedBy>Jackiewicz Piotr</cp:lastModifiedBy>
  <cp:revision>2</cp:revision>
  <dcterms:created xsi:type="dcterms:W3CDTF">2019-02-20T15:37:00Z</dcterms:created>
  <dcterms:modified xsi:type="dcterms:W3CDTF">2019-02-20T15:37:00Z</dcterms:modified>
</cp:coreProperties>
</file>