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1EA2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70984860"/>
      <w:r w:rsidRPr="00B30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XI</w:t>
      </w:r>
    </w:p>
    <w:p w14:paraId="479C1155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951B39C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56211989"/>
      <w:r w:rsidRPr="00B30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udzielania kredytów na utrzymanie płynności finansowej przez producentów rolnych (linia UP)</w:t>
      </w:r>
    </w:p>
    <w:p w14:paraId="5E643752" w14:textId="77777777" w:rsidR="00B30245" w:rsidRPr="00B30245" w:rsidRDefault="00B30245" w:rsidP="00B30245">
      <w:pPr>
        <w:spacing w:after="0" w:line="235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5AB21DA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Rozdział I.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Cel i przeznaczenie kredytu</w:t>
      </w:r>
    </w:p>
    <w:p w14:paraId="513E7299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BF3F95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Pomoc w postaci dopłat do oprocentowania kredytów udzielana jest zgodnie z:</w:t>
      </w:r>
    </w:p>
    <w:p w14:paraId="3AF71577" w14:textId="2724637E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warunkami określonymi w Komunikacie Komisji Tymczasowe kryzysowe ramy środków pomocy państwa w celu wsparcia gospodarki po agresji Rosji wobec Ukrainy (Dz. U. UE C 101/3 z 17.03.2023 r. z późn. zm.), zwanego dalej „tymczasowymi kryzysowymi ramami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E511F">
        <w:rPr>
          <w:rFonts w:ascii="Times New Roman" w:eastAsia="Times New Roman" w:hAnsi="Times New Roman" w:cs="Times New Roman"/>
          <w:sz w:val="24"/>
          <w:szCs w:val="24"/>
          <w:lang w:eastAsia="pl-PL"/>
        </w:rPr>
        <w:t>UP_</w:t>
      </w:r>
    </w:p>
    <w:p w14:paraId="33FF4402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przepisami § 13zv rozporządzenia Rady Ministrów z dnia 27 stycznia 2015 r. w sprawie szczegółowego zakresu i sposobów realizacji niektórych zadań Agencji Restrukturyzacji i Modernizacji Rolnictwa (Dz. U. z 2015 r. poz. 187 z późn. zm.). </w:t>
      </w:r>
    </w:p>
    <w:p w14:paraId="62E0C908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8D1C9C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Kredyty na utrzymanie płynności finansowej (cel kredytu – UP </w:t>
      </w:r>
      <w:r w:rsidRPr="00B302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utrzymanie płynności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dopłatami do oprocentowania mogą być udzielane przez banki producentom rolnym, w celu poprawy płynności finansowej w związku z ograniczeniami na rynku rolnym spowodowanymi agresją Federacji Rosyjskiej wobec Ukrainy, nie później niż do dnia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31 grudnia 2024 r.</w:t>
      </w:r>
    </w:p>
    <w:p w14:paraId="148F6B4F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1478FC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Kredytowaniem objęta jest produkcja rolna prowadzona w ramach następujących działalności wymienionych w „Wykazie działalności (…)”, zawartym w części II:</w:t>
      </w:r>
    </w:p>
    <w:p w14:paraId="757239BB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uprawy rolne inne niż wieloletnie - 01.1,</w:t>
      </w:r>
    </w:p>
    <w:p w14:paraId="3A1DA123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uprawa roślin wieloletnich - 01.2,</w:t>
      </w:r>
    </w:p>
    <w:p w14:paraId="1DBB8C44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rozmnażanie roślin - 01.30.Z,</w:t>
      </w:r>
    </w:p>
    <w:p w14:paraId="3F00CA4B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chów i hodowla zwierząt - 01.4,</w:t>
      </w:r>
    </w:p>
    <w:p w14:paraId="1C5D84ED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uprawy rolne połączone z chowem i hodowlą zwierząt (działalność mieszana) - 01.50.Z,</w:t>
      </w:r>
    </w:p>
    <w:p w14:paraId="4AC13E3B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obróbka nasion dla celów rozmnażania roślin – 01.64.Z.</w:t>
      </w:r>
    </w:p>
    <w:p w14:paraId="727D37DF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8D54911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Kredyt może zostać udzielony na uregulowanie zobowiązań finansowych związanych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prowadzeniem działalności rolniczej w gospodarstwie rolnym, z zastrzeżeniem ust. 5, oraz ponoszenie przez producentów rolnych bieżących nakładów przyczyniających się do poprawy płynności finansowej poprzez zakup m.in.:</w:t>
      </w:r>
    </w:p>
    <w:p w14:paraId="3960F01C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kwalifikowanego materiału siewnego i szkółkarskiego, </w:t>
      </w:r>
    </w:p>
    <w:p w14:paraId="56E84154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nawozów mineralnych, środków ochrony roślin, pasz treściwych i koncentratów paszowych dla zwierząt gospodarskich,</w:t>
      </w:r>
    </w:p>
    <w:p w14:paraId="271F2795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paliwa na cele rolnicze,</w:t>
      </w:r>
    </w:p>
    <w:p w14:paraId="713E4077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4) inwentarza żywego, zaliczanego zgodnie z przepisami ustawy o rachunkowości do środków obrotowych,</w:t>
      </w:r>
    </w:p>
    <w:p w14:paraId="7C3BFE0D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matek pszczelich użytkowych i reprodukcyjnych,</w:t>
      </w:r>
    </w:p>
    <w:p w14:paraId="248E3D6C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materiałów opałowych do ogrzewania szklarni i tuneli,</w:t>
      </w:r>
    </w:p>
    <w:p w14:paraId="7FD72615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pasz objętościowych.</w:t>
      </w:r>
    </w:p>
    <w:p w14:paraId="7BDCE943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EDB66F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Kredyt nie może zostać udzielony na spłatę kredytów przeznaczonych na zakup środków trwałych nabywanych w ramach realizacji inwestycji finansowanych ze środków PROW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2007-2013 lub stanowiących koszty kwalifikowalne w ramach działań PROW 2014-2020.</w:t>
      </w:r>
    </w:p>
    <w:p w14:paraId="0E7CAD59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12EDD2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Rozdział II.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Kredytobiorcy</w:t>
      </w:r>
    </w:p>
    <w:p w14:paraId="513A7DDC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FB4254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Kredyt może zostać udzielony następującym podmiotom prowadzącym działalność określoną w rozdziale I ust. 3:</w:t>
      </w:r>
    </w:p>
    <w:p w14:paraId="012C6F74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osobom fizycznym  posiadającym pełną zdolność do czynności prawnych,</w:t>
      </w:r>
    </w:p>
    <w:p w14:paraId="20BC6DF0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osobom prawnym,</w:t>
      </w:r>
    </w:p>
    <w:p w14:paraId="77D25DE3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jednostkom organizacyjnym nieposiadającym osobowości prawnej.</w:t>
      </w:r>
    </w:p>
    <w:p w14:paraId="5C68C0AA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B43145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małżonków, pomiędzy którymi istnieje wspólność majątkowa, przynajmniej jedno z nich musi spełniać warunki określone w ust. 1 pkt 1) lit. b).</w:t>
      </w:r>
    </w:p>
    <w:p w14:paraId="50D2F30A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2" w:name="_Hlk141705831"/>
    </w:p>
    <w:p w14:paraId="47C2B1B5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Umowa kredytu może zostać zawarta z obojgiem małżonków albo tylko z jednym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nich, o ile drugi z małżonków wyrazi zgodę na jej zawarcie. Jeżeli umowa kredytu zawierana jest tylko z jednym z małżonków, to musi to być małżonek spełniający wymogi</w:t>
      </w:r>
      <w:bookmarkEnd w:id="2"/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ust. 1 pkt 1) lit. b).</w:t>
      </w:r>
    </w:p>
    <w:p w14:paraId="132835E3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A803BC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A3F49A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Rozdział III.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Wysokość kredytu i wkład własny</w:t>
      </w:r>
    </w:p>
    <w:p w14:paraId="1CEB7F5B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817D82" w14:textId="77777777" w:rsidR="00B30245" w:rsidRPr="00B30245" w:rsidRDefault="00B30245" w:rsidP="00B30245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245">
        <w:rPr>
          <w:rFonts w:ascii="Times" w:eastAsia="Times New Roman" w:hAnsi="Times" w:cs="Arial"/>
          <w:bCs/>
          <w:sz w:val="24"/>
          <w:szCs w:val="24"/>
          <w:lang w:eastAsia="pl-PL"/>
        </w:rPr>
        <w:t>1.</w:t>
      </w:r>
      <w:r w:rsidRPr="00B30245">
        <w:rPr>
          <w:rFonts w:ascii="Times" w:eastAsia="Times New Roman" w:hAnsi="Times" w:cs="Arial"/>
          <w:bCs/>
          <w:sz w:val="24"/>
          <w:szCs w:val="24"/>
          <w:lang w:eastAsia="pl-PL"/>
        </w:rPr>
        <w:tab/>
      </w: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 kredytów udzielonych producentowi rolnemu nie może przekroczyć kwoty:</w:t>
      </w:r>
    </w:p>
    <w:p w14:paraId="2FB8A797" w14:textId="77777777" w:rsidR="00B30245" w:rsidRPr="00B30245" w:rsidRDefault="00B30245" w:rsidP="00B3024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100 000 zł – gdy producent rolny prowadzi gospodarstwo rolne w rozumieniu przepisów o podatku rolnym o powierzchni nie większej niż 50 ha użytków rolnych;</w:t>
      </w:r>
    </w:p>
    <w:p w14:paraId="5A020AA5" w14:textId="77777777" w:rsidR="00B30245" w:rsidRPr="00B30245" w:rsidRDefault="00B30245" w:rsidP="00B3024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200 000 zł – gdy producent rolny prowadzi gospodarstwo rolne w rozumieniu przepisów o podatku rolnym o powierzchni powyżej 50 ha i nie większej niż 100 ha użytków rolnych;</w:t>
      </w:r>
    </w:p>
    <w:p w14:paraId="1B5F3E06" w14:textId="77777777" w:rsidR="00B30245" w:rsidRPr="00B30245" w:rsidRDefault="00B30245" w:rsidP="00B30245">
      <w:pPr>
        <w:spacing w:after="0" w:line="240" w:lineRule="auto"/>
        <w:ind w:left="567" w:hanging="283"/>
        <w:jc w:val="both"/>
        <w:rPr>
          <w:rFonts w:ascii="Times" w:eastAsia="Times New Roman" w:hAnsi="Times" w:cs="Arial"/>
          <w:bCs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400 000 zł – gdy producent rolny prowadzi gospodarstwo rolne w rozumieniu przepisów o podatku rolnym o powierzchni powyżej 100 ha użytków rolnych.</w:t>
      </w:r>
    </w:p>
    <w:p w14:paraId="2FDB3D1B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C3EEE2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Suma kwot udzielonych kredytów z linii UP nie może przekroczyć kwot, o których mowa w ust. 1</w:t>
      </w:r>
      <w:r w:rsidRPr="00B3024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</w:p>
    <w:p w14:paraId="5FAFFECF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DCF3991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 ustalaniu powierzchni gospodarstwa rolnego, o której mowa w ust. 1 należy wziąć pod uwagę powierzchnię użytków rolnych znajdujących się w posiadaniu producenta rolnego na dzień złożenia wniosku o kredyt z linii UP.  </w:t>
      </w:r>
    </w:p>
    <w:p w14:paraId="11E05EDF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A459C4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 ustalaniu kwoty kredytu nie uwzględnia się udzielonych producentowi rolnemu kwot kredytów preferencyjnych z innych linii kredytowych.</w:t>
      </w:r>
    </w:p>
    <w:p w14:paraId="27149C5B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BF14F7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 kredytobiorcy nie wymaga się wniesienia wkładu własnego.</w:t>
      </w:r>
    </w:p>
    <w:p w14:paraId="299433A1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8D708B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IV. Wysokość oprocentowania</w:t>
      </w:r>
    </w:p>
    <w:p w14:paraId="0E236229" w14:textId="77777777" w:rsidR="00B30245" w:rsidRPr="00B30245" w:rsidRDefault="00B30245" w:rsidP="00B30245">
      <w:pPr>
        <w:widowControl w:val="0"/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797451" w14:textId="77777777" w:rsidR="00B30245" w:rsidRPr="00B30245" w:rsidRDefault="00B30245" w:rsidP="00B30245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" w:eastAsia="Times New Roman" w:hAnsi="Times" w:cs="Arial"/>
          <w:sz w:val="24"/>
          <w:szCs w:val="24"/>
          <w:lang w:eastAsia="pl-PL"/>
        </w:rPr>
      </w:pPr>
      <w:r w:rsidRPr="00B30245">
        <w:rPr>
          <w:rFonts w:ascii="Times" w:eastAsia="Times New Roman" w:hAnsi="Times" w:cs="Arial"/>
          <w:sz w:val="24"/>
          <w:szCs w:val="24"/>
          <w:lang w:eastAsia="pl-PL"/>
        </w:rPr>
        <w:t>1.</w:t>
      </w:r>
      <w:r w:rsidRPr="00B30245">
        <w:rPr>
          <w:rFonts w:ascii="Times" w:eastAsia="Times New Roman" w:hAnsi="Times" w:cs="Arial"/>
          <w:sz w:val="24"/>
          <w:szCs w:val="24"/>
          <w:lang w:eastAsia="pl-PL"/>
        </w:rPr>
        <w:tab/>
        <w:t>Oprocentowanie kredytu może być zmienne i nie może wynosić więcej niż stopa referencyjna WIBOR ustalana dla pożyczek na rynku międzybankowym udzielanych na okres 3 miesięcy (WIBOR 3M), zaokrąglona do drugiego miejsca po przecinku, powiększona nie więcej niż o 3 punkty procentowe. Przy ustalaniu wysokości oprocentowania stosuje się stopę referencyjną WIBOR 3M, ogłaszaną na ostatni dzień roboczy drugiego miesiąca kwartału, która podlega zmianom w okresie kredytowania zgodnie z wysokością stopy referencyjnej WIBOR 3M ogłaszaną w ostatnim dniu roboczym drugiego miesiąca poprzedzającego każdy następny kwartał.</w:t>
      </w:r>
    </w:p>
    <w:p w14:paraId="147034D3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A73D9F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Oprocentowanie należne bankowi jest płacone przez:</w:t>
      </w:r>
    </w:p>
    <w:p w14:paraId="3DF3D4BA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3" w:name="mip68035986"/>
      <w:bookmarkEnd w:id="3"/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1) kredytobiorcę - w wysokości 2%; </w:t>
      </w:r>
    </w:p>
    <w:p w14:paraId="4E34C6DA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4" w:name="mip68035987"/>
      <w:bookmarkEnd w:id="4"/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2)  Agencję - w pozostałej części. </w:t>
      </w:r>
    </w:p>
    <w:p w14:paraId="59BD6685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12E78A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Bank nie może stosować kapitalizacji odsetek lub pobierać ich z góry.</w:t>
      </w:r>
    </w:p>
    <w:p w14:paraId="3A497033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6230EA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V. Wysokość pomocy</w:t>
      </w:r>
    </w:p>
    <w:p w14:paraId="07FB596D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A26AF6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Maksymalna kwota dopłat określana jest w umowie kredytu wg oprocentowania obowiązującego w dniu jej zawarcia.</w:t>
      </w:r>
    </w:p>
    <w:p w14:paraId="01EE3A56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4095FD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dzień zawarcia umowy kredytu ustala się wysokość pomocy dyskontując wartości bieżące kwot dopłat rozłożonych w czasie do ich wartości w dniu udzielenia kredytu,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wg wzoru określonego w załączniku nr 2 i wpisuje w umowie kredytu.</w:t>
      </w:r>
    </w:p>
    <w:p w14:paraId="67C6CCD9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AD8BAE" w14:textId="77777777" w:rsidR="00B30245" w:rsidRPr="00B30245" w:rsidRDefault="00B30245" w:rsidP="00B302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Pomoc w formie dopłat do oprocentowania kredytu może być stosowana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kredytowania, ale przez okres nie dłuższy niż 60 miesięcy od dnia zawarcia umowy kredytu.</w:t>
      </w:r>
    </w:p>
    <w:p w14:paraId="2CD46CCD" w14:textId="77777777" w:rsidR="00B30245" w:rsidRPr="00B30245" w:rsidRDefault="00B30245" w:rsidP="00B30245">
      <w:pPr>
        <w:widowControl w:val="0"/>
        <w:spacing w:after="0" w:line="235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5EBF19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przypadku, gdy kredyt udzielony jest na okres dłuższy niż 60 miesięcy, po upływie 60 miesięcy od dnia zawarcia umowy kredytu dopłaty do jego oprocentowania nie są stosowane.</w:t>
      </w:r>
    </w:p>
    <w:p w14:paraId="09D61EFE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6FA1F4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Bank nie ponosi odpowiedzialności za przekroczenie wysokości pomocy publicznej uzyskanej przez kredytobiorcę z innych tytułów pomocy publicznej.</w:t>
      </w:r>
    </w:p>
    <w:p w14:paraId="33A509DF" w14:textId="77777777" w:rsidR="00B30245" w:rsidRPr="00B30245" w:rsidRDefault="00B30245" w:rsidP="00B302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Niniejsza pomoc może być kumulowana z innymi pomocami przyznanymi na podstawie „tymczasowych kryzysowych ram” z tytułu prowadzenia działalności w zakresie:</w:t>
      </w:r>
    </w:p>
    <w:p w14:paraId="5D789025" w14:textId="77777777" w:rsidR="00B30245" w:rsidRPr="00B30245" w:rsidRDefault="00B30245" w:rsidP="00B30245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produkcji podstawowej produktów rolnych – łączna kwota pomocy uzyskanej w ramach „tymczasowych kryzysowych ram” nie może przekroczyć 280 000 EURO,</w:t>
      </w:r>
    </w:p>
    <w:p w14:paraId="753EB700" w14:textId="77777777" w:rsidR="00B30245" w:rsidRPr="00B30245" w:rsidRDefault="00B30245" w:rsidP="00B30245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w sektorach rybołówstwa i akwakultury – łączna kwota pomocy uzyskanej w ramach „tymczasowych kryzysowych ram” nie może przekroczyć 335 000 EURO,</w:t>
      </w:r>
    </w:p>
    <w:p w14:paraId="01FF79DC" w14:textId="77777777" w:rsidR="00B30245" w:rsidRPr="00B30245" w:rsidRDefault="00B30245" w:rsidP="00B30245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 działalność w kilku sektorach – łączna kwota pomocy uzyskanej w ramach „tymczasowych kryzysowych ram” nie może przekroczyć 2 250 000 EURO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0F28DF7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43D1A8B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Rozdział VI. Okres kredytowania i karencji</w:t>
      </w:r>
    </w:p>
    <w:p w14:paraId="273020DD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C697401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Okres kredytowania określany jest w umowie kredytu.</w:t>
      </w:r>
    </w:p>
    <w:p w14:paraId="749453A1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9593EB2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Okres karencji w spłacie kredytu, który liczy się od dnia zawarcia umowy kredytu do dnia spłaty pierwszej raty kapitału określonej w umowie kredytu, nie może przekroczyć 2 lat.</w:t>
      </w:r>
    </w:p>
    <w:p w14:paraId="6FC73290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EBC0EA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 okresie objętym umową kredytu bank może:</w:t>
      </w:r>
    </w:p>
    <w:p w14:paraId="3A549B90" w14:textId="77777777" w:rsidR="00B30245" w:rsidRPr="00B30245" w:rsidRDefault="00B30245" w:rsidP="00B30245">
      <w:pPr>
        <w:spacing w:after="0" w:line="235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stosować prolongatę spłaty rat kapitału i odsetek, o ile określony w umowie kredytu termin ich spłaty jeszcze nie minął,</w:t>
      </w:r>
    </w:p>
    <w:p w14:paraId="5AE0B2E3" w14:textId="77777777" w:rsidR="00B30245" w:rsidRPr="00B30245" w:rsidRDefault="00B30245" w:rsidP="00B30245">
      <w:pPr>
        <w:spacing w:after="0" w:line="235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wydłużyć okres kredytowania poza przewidziany w umowie kredytu, o ile określony 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umowie kredytu okres kredytowania jeszcze nie minął,</w:t>
      </w:r>
    </w:p>
    <w:p w14:paraId="793B848E" w14:textId="77777777" w:rsidR="00B30245" w:rsidRPr="00B30245" w:rsidRDefault="00B30245" w:rsidP="00B30245">
      <w:pPr>
        <w:spacing w:after="0" w:line="235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 przypadkach, o których mowa w pkt. 1), 2) i 3) maksymalna kwota dopłat nie ulega zmianie.</w:t>
      </w:r>
    </w:p>
    <w:p w14:paraId="7B593079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A57996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Termin spłaty kredytu (kapitału lub odsetek) może przypadać wyłącznie w dzień roboczy dla banku. </w:t>
      </w:r>
    </w:p>
    <w:p w14:paraId="12362B10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3278058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Rozdział VII. Warunki stosowania dopłat</w:t>
      </w:r>
    </w:p>
    <w:p w14:paraId="2D737F05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2DCAE7E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Dopłaty są stosowane, gdy kredytobiorca dokonuje w pełnej wysokości spłat rat kapitału </w:t>
      </w: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  <w:t xml:space="preserve">i odsetek w terminach ustalonych w umowie kredytu z uwzględnieniem dodatkowo </w:t>
      </w: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  <w:t>7-dniowego okresu na spłatę należności.</w:t>
      </w:r>
    </w:p>
    <w:p w14:paraId="271F0326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6BC88771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Bank może wyrazić zgodę na przejęcie długu przez inny podmiot, przy czym dopłaty do oprocentowania zastosowane do dnia przejęcia długu nie podlegają zwrotowi a dalsze nie są stosowane.</w:t>
      </w:r>
    </w:p>
    <w:p w14:paraId="0700F490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4AB2EB30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Dopłaty do oprocentowania nie są stosowane po dniu śmierci kredytobiorcy.</w:t>
      </w:r>
    </w:p>
    <w:p w14:paraId="4CF57717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7FE68159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Rozdział VIII. Procedura ubiegania się o kredyt</w:t>
      </w:r>
    </w:p>
    <w:p w14:paraId="48FD24EC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7E59A9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Złożenie przez wnioskodawcę w banku wniosku o kredyt z </w:t>
      </w:r>
      <w:r w:rsidRPr="00B3024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następującymi załącznikami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4427FC3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oświadczeniem producenta rolnego, że ubiega się o kredyt w celu poprawy płynności finansowej oraz m.in. o tym, że kredyt nie zostanie przeznaczony na spłatę udzielonych kredytów przeznaczonych na zakup środków trwałych nabywanych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realizacji inwestycji finansowanych ze środków PROW 2007-2013 lub stanowiących koszty kwalifikowalne w ramach działań PROW 2014-2020, sporządzonym wg wzoru określonego w załączniku nr 28,</w:t>
      </w:r>
    </w:p>
    <w:p w14:paraId="762C2DBC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producenta rolnego prowadzącego gospodarstwo rolne w rozumieniu przepisów o podatku rolnym o powierzchni powyżej 50 ha użytków rolnych dokumentami, potwierdzającymi powierzchnię użytków rolnych w gospodarstwie rolnym, takimi, jak np. nakaz płatniczy podatku rolnego, akt własności gruntów rolnych wraz z wypisem z rejestru gruntów, umowa dzierżawy gruntów rolnych wraz z wypisem z rejestru gruntów, zaświadczenie wydane przez kierownika biura powiatowego ARiMR wskazujące powierzchnię zgłoszoną do płatności bezpośrednich.</w:t>
      </w:r>
    </w:p>
    <w:p w14:paraId="17E37398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kompletem dokumentów wymaganych przez bank.</w:t>
      </w:r>
    </w:p>
    <w:p w14:paraId="0BD65016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7CB0282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Wzór wniosku o kredyt, o którym mowa w ust. 1, określa bank. </w:t>
      </w:r>
    </w:p>
    <w:bookmarkEnd w:id="1"/>
    <w:p w14:paraId="022BF6A5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BA1BB01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bookmarkEnd w:id="0"/>
    <w:p w14:paraId="369015DE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0A3C3D5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9CA895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5FC2CAD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4ACCCD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E9FBA27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B5304E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20AD46A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483A333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18BA51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B0604A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D6AA676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F80E3D2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EB0B8CB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AE24DB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AC34EE3" w14:textId="77777777" w:rsidR="00B22D8C" w:rsidRPr="00B30245" w:rsidRDefault="00B22D8C"/>
    <w:sectPr w:rsidR="00B22D8C" w:rsidRPr="00B3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9E5E" w14:textId="77777777" w:rsidR="00B30245" w:rsidRDefault="00B30245" w:rsidP="00B30245">
      <w:pPr>
        <w:spacing w:after="0" w:line="240" w:lineRule="auto"/>
      </w:pPr>
      <w:r>
        <w:separator/>
      </w:r>
    </w:p>
  </w:endnote>
  <w:endnote w:type="continuationSeparator" w:id="0">
    <w:p w14:paraId="4B30BCD3" w14:textId="77777777" w:rsidR="00B30245" w:rsidRDefault="00B30245" w:rsidP="00B3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1A75" w14:textId="77777777" w:rsidR="00B30245" w:rsidRDefault="00B30245" w:rsidP="00B30245">
      <w:pPr>
        <w:spacing w:after="0" w:line="240" w:lineRule="auto"/>
      </w:pPr>
      <w:r>
        <w:separator/>
      </w:r>
    </w:p>
  </w:footnote>
  <w:footnote w:type="continuationSeparator" w:id="0">
    <w:p w14:paraId="21CE7FD7" w14:textId="77777777" w:rsidR="00B30245" w:rsidRDefault="00B30245" w:rsidP="00B30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6008B"/>
    <w:multiLevelType w:val="hybridMultilevel"/>
    <w:tmpl w:val="2560331C"/>
    <w:lvl w:ilvl="0" w:tplc="22043FC0">
      <w:start w:val="1"/>
      <w:numFmt w:val="decimal"/>
      <w:lvlText w:val="%1)"/>
      <w:lvlJc w:val="left"/>
      <w:pPr>
        <w:ind w:left="2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4" w:hanging="360"/>
      </w:pPr>
    </w:lvl>
    <w:lvl w:ilvl="2" w:tplc="0415001B" w:tentative="1">
      <w:start w:val="1"/>
      <w:numFmt w:val="lowerRoman"/>
      <w:lvlText w:val="%3."/>
      <w:lvlJc w:val="right"/>
      <w:pPr>
        <w:ind w:left="3494" w:hanging="180"/>
      </w:pPr>
    </w:lvl>
    <w:lvl w:ilvl="3" w:tplc="0415000F" w:tentative="1">
      <w:start w:val="1"/>
      <w:numFmt w:val="decimal"/>
      <w:lvlText w:val="%4."/>
      <w:lvlJc w:val="left"/>
      <w:pPr>
        <w:ind w:left="4214" w:hanging="360"/>
      </w:pPr>
    </w:lvl>
    <w:lvl w:ilvl="4" w:tplc="04150019" w:tentative="1">
      <w:start w:val="1"/>
      <w:numFmt w:val="lowerLetter"/>
      <w:lvlText w:val="%5."/>
      <w:lvlJc w:val="left"/>
      <w:pPr>
        <w:ind w:left="4934" w:hanging="360"/>
      </w:pPr>
    </w:lvl>
    <w:lvl w:ilvl="5" w:tplc="0415001B" w:tentative="1">
      <w:start w:val="1"/>
      <w:numFmt w:val="lowerRoman"/>
      <w:lvlText w:val="%6."/>
      <w:lvlJc w:val="right"/>
      <w:pPr>
        <w:ind w:left="5654" w:hanging="180"/>
      </w:pPr>
    </w:lvl>
    <w:lvl w:ilvl="6" w:tplc="0415000F" w:tentative="1">
      <w:start w:val="1"/>
      <w:numFmt w:val="decimal"/>
      <w:lvlText w:val="%7."/>
      <w:lvlJc w:val="left"/>
      <w:pPr>
        <w:ind w:left="6374" w:hanging="360"/>
      </w:pPr>
    </w:lvl>
    <w:lvl w:ilvl="7" w:tplc="04150019" w:tentative="1">
      <w:start w:val="1"/>
      <w:numFmt w:val="lowerLetter"/>
      <w:lvlText w:val="%8."/>
      <w:lvlJc w:val="left"/>
      <w:pPr>
        <w:ind w:left="7094" w:hanging="360"/>
      </w:pPr>
    </w:lvl>
    <w:lvl w:ilvl="8" w:tplc="0415001B" w:tentative="1">
      <w:start w:val="1"/>
      <w:numFmt w:val="lowerRoman"/>
      <w:lvlText w:val="%9."/>
      <w:lvlJc w:val="right"/>
      <w:pPr>
        <w:ind w:left="7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45"/>
    <w:rsid w:val="004C48A0"/>
    <w:rsid w:val="00B22D8C"/>
    <w:rsid w:val="00B30245"/>
    <w:rsid w:val="00CD142A"/>
    <w:rsid w:val="00C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E351B"/>
  <w15:chartTrackingRefBased/>
  <w15:docId w15:val="{07B02329-904F-4F3F-98D1-F9AB4030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245"/>
  </w:style>
  <w:style w:type="paragraph" w:styleId="Stopka">
    <w:name w:val="footer"/>
    <w:basedOn w:val="Normalny"/>
    <w:link w:val="StopkaZnak"/>
    <w:uiPriority w:val="99"/>
    <w:unhideWhenUsed/>
    <w:rsid w:val="00B3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93F0941-8D9C-431F-813B-2EE469B0E9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1329</Words>
  <Characters>7977</Characters>
  <Application>Microsoft Office Word</Application>
  <DocSecurity>0</DocSecurity>
  <Lines>66</Lines>
  <Paragraphs>18</Paragraphs>
  <ScaleCrop>false</ScaleCrop>
  <Company>ARiMR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Anna</dc:creator>
  <cp:keywords/>
  <dc:description/>
  <cp:lastModifiedBy>Sokołowska Anna</cp:lastModifiedBy>
  <cp:revision>2</cp:revision>
  <dcterms:created xsi:type="dcterms:W3CDTF">2024-08-07T11:31:00Z</dcterms:created>
  <dcterms:modified xsi:type="dcterms:W3CDTF">2024-08-07T11:37:00Z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f1c4e6fb-f26a-40d8-bf3c-5dd95b637b6b</vt:lpwstr>
  </property>
  <property fmtid="{D5CDD505-2E9C-101B-9397-08002B2CF9AE}" pid="3" name="bjClsUserRVM">
    <vt:lpwstr>[]</vt:lpwstr>
  </property>
  <property fmtid="{D5CDD505-2E9C-101B-9397-08002B2CF9AE}" pid="4" name="bjSaver">
    <vt:lpwstr>jminTR1B9SECNFKkowuDEdtaF0ueXzAs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