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A4" w:rsidRDefault="00713FA4" w:rsidP="00F50E96">
      <w:pPr>
        <w:jc w:val="left"/>
      </w:pPr>
      <w:r>
        <w:t>ZARZĄDZENIE REGIONALNEGO DYREKTORA OCHRONY ŚRODOWISKA W KATOWICACH</w:t>
      </w:r>
    </w:p>
    <w:p w:rsidR="00713FA4" w:rsidRDefault="00713FA4" w:rsidP="00F50E96">
      <w:pPr>
        <w:jc w:val="left"/>
      </w:pPr>
      <w:r>
        <w:t>z dnia 10 października 2022 r.</w:t>
      </w:r>
    </w:p>
    <w:p w:rsidR="00713FA4" w:rsidRDefault="00713FA4" w:rsidP="00F50E96">
      <w:pPr>
        <w:jc w:val="left"/>
      </w:pPr>
      <w:r>
        <w:t>zmieniające zarządzenie w sprawie ustanowienia planu zadań ochronnych dla obszaru Natura 2000 Zbiornik Goczałkowicki – Ujście Wisły i Bajerki PLH240039</w:t>
      </w:r>
    </w:p>
    <w:p w:rsidR="00713FA4" w:rsidRDefault="00713FA4" w:rsidP="00F50E96">
      <w:pPr>
        <w:jc w:val="left"/>
      </w:pPr>
      <w:r>
        <w:t>Na podstawie art. 28 ust. 5 ustawy z dnia 16 kwietnia 2004 r. o ochronie przyrody (Dz. U. z 2022 r. poz. 916 i 1726) zarządza się, co następuje:</w:t>
      </w:r>
    </w:p>
    <w:p w:rsidR="00713FA4" w:rsidRDefault="00713FA4" w:rsidP="00F50E96">
      <w:pPr>
        <w:jc w:val="left"/>
      </w:pPr>
      <w:r>
        <w:t>§ 1. W zarządzeniu Regionalnego Dyrektora Ochrony Środowiska w Katowicach z dnia 12 grudnia 2019 r. w sprawie ustanowienia planu zadań ochronnych dla obszaru Natura 2000 Zbiornik Goczałkowicki – Ujście Wisły i Bajerki PLH240039 (Dz. Urz. Woj. Śl. z 2019 r. poz. 8882) załącznik nr 4 otrzymuje brzmienie określone w załączniku do niniejszego zarządzenia.</w:t>
      </w:r>
    </w:p>
    <w:p w:rsidR="00713FA4" w:rsidRDefault="00713FA4" w:rsidP="00F50E96">
      <w:pPr>
        <w:jc w:val="left"/>
      </w:pPr>
      <w:r>
        <w:t>§ 2. Zarządzenie wchodzi w życie po upływie 14 dni od dnia ogłoszenia.</w:t>
      </w:r>
    </w:p>
    <w:p w:rsidR="00920ED7" w:rsidRDefault="00713FA4" w:rsidP="00F50E96">
      <w:pPr>
        <w:jc w:val="left"/>
      </w:pPr>
      <w:r>
        <w:t>Regionalny Dyrektor Ochrony Środowiska w Katowicach dr Mirosława Mierczyk-Sawicka</w:t>
      </w:r>
    </w:p>
    <w:p w:rsidR="00713FA4" w:rsidRDefault="00713FA4" w:rsidP="00F50E96">
      <w:pPr>
        <w:spacing w:before="120"/>
        <w:jc w:val="left"/>
      </w:pPr>
      <w:r>
        <w:t>Załącznik do zarządzenia</w:t>
      </w:r>
    </w:p>
    <w:p w:rsidR="00713FA4" w:rsidRDefault="00713FA4" w:rsidP="00F50E96">
      <w:pPr>
        <w:jc w:val="left"/>
      </w:pPr>
      <w:r>
        <w:t>Regionalnego Dyrektora Ochrony Środowiska w Katowicach</w:t>
      </w:r>
    </w:p>
    <w:p w:rsidR="00713FA4" w:rsidRDefault="00713FA4" w:rsidP="00F50E96">
      <w:pPr>
        <w:jc w:val="left"/>
      </w:pPr>
      <w:r>
        <w:t>z dnia 10 października 2022 r.</w:t>
      </w:r>
    </w:p>
    <w:p w:rsidR="00713FA4" w:rsidRDefault="00713FA4" w:rsidP="00F50E96">
      <w:pPr>
        <w:jc w:val="left"/>
      </w:pPr>
      <w:r>
        <w:t>Cele działań ochronnych</w:t>
      </w:r>
    </w:p>
    <w:tbl>
      <w:tblPr>
        <w:tblStyle w:val="Tabela-Siatka"/>
        <w:tblW w:w="0" w:type="auto"/>
        <w:tblLook w:val="04A0"/>
      </w:tblPr>
      <w:tblGrid>
        <w:gridCol w:w="817"/>
        <w:gridCol w:w="3071"/>
        <w:gridCol w:w="5292"/>
      </w:tblGrid>
      <w:tr w:rsidR="00713FA4" w:rsidTr="00713FA4">
        <w:tc>
          <w:tcPr>
            <w:tcW w:w="817" w:type="dxa"/>
          </w:tcPr>
          <w:p w:rsidR="00713FA4" w:rsidRPr="00671997" w:rsidRDefault="00713FA4" w:rsidP="00F50E96">
            <w:pPr>
              <w:jc w:val="left"/>
            </w:pPr>
            <w:r w:rsidRPr="00671997">
              <w:t>Lp.</w:t>
            </w:r>
          </w:p>
        </w:tc>
        <w:tc>
          <w:tcPr>
            <w:tcW w:w="3071" w:type="dxa"/>
          </w:tcPr>
          <w:p w:rsidR="00713FA4" w:rsidRPr="00671997" w:rsidRDefault="00713FA4" w:rsidP="00F50E96">
            <w:pPr>
              <w:jc w:val="left"/>
            </w:pPr>
            <w:r w:rsidRPr="00671997">
              <w:t>Przedmiot ochrony</w:t>
            </w:r>
          </w:p>
        </w:tc>
        <w:tc>
          <w:tcPr>
            <w:tcW w:w="5292" w:type="dxa"/>
          </w:tcPr>
          <w:p w:rsidR="00713FA4" w:rsidRPr="00671997" w:rsidRDefault="00713FA4" w:rsidP="00F50E96">
            <w:pPr>
              <w:jc w:val="left"/>
            </w:pPr>
            <w:r w:rsidRPr="00671997">
              <w:t>Cele działań ochronnych</w:t>
            </w:r>
          </w:p>
        </w:tc>
      </w:tr>
      <w:tr w:rsidR="00F50E96" w:rsidTr="00713FA4">
        <w:tc>
          <w:tcPr>
            <w:tcW w:w="817" w:type="dxa"/>
          </w:tcPr>
          <w:p w:rsidR="00F50E96" w:rsidRPr="00B638D3" w:rsidRDefault="00F50E96" w:rsidP="00F50E96">
            <w:pPr>
              <w:spacing w:before="20" w:after="20" w:line="276" w:lineRule="auto"/>
              <w:jc w:val="left"/>
            </w:pPr>
            <w:r w:rsidRPr="00B638D3">
              <w:t>1.</w:t>
            </w:r>
          </w:p>
        </w:tc>
        <w:tc>
          <w:tcPr>
            <w:tcW w:w="3071" w:type="dxa"/>
          </w:tcPr>
          <w:p w:rsidR="00F50E96" w:rsidRPr="00B638D3" w:rsidRDefault="00F50E96" w:rsidP="00F50E96">
            <w:pPr>
              <w:spacing w:before="20" w:after="20" w:line="276" w:lineRule="auto"/>
              <w:jc w:val="left"/>
            </w:pPr>
            <w:r w:rsidRPr="00B638D3">
              <w:t xml:space="preserve">3150 </w:t>
            </w:r>
            <w:r w:rsidRPr="00B638D3">
              <w:rPr>
                <w:bCs/>
              </w:rPr>
              <w:t>Starorzecza i naturalne eutroficzne zbiorniki wodne ze zbiorowiskami z </w:t>
            </w:r>
            <w:proofErr w:type="spellStart"/>
            <w:r w:rsidRPr="00B638D3">
              <w:rPr>
                <w:bCs/>
                <w:i/>
              </w:rPr>
              <w:t>Nympheion</w:t>
            </w:r>
            <w:proofErr w:type="spellEnd"/>
            <w:r w:rsidRPr="00B638D3">
              <w:rPr>
                <w:bCs/>
                <w:i/>
              </w:rPr>
              <w:t xml:space="preserve">, </w:t>
            </w:r>
            <w:proofErr w:type="spellStart"/>
            <w:r w:rsidRPr="00B638D3">
              <w:rPr>
                <w:bCs/>
                <w:i/>
              </w:rPr>
              <w:t>Potamion</w:t>
            </w:r>
            <w:proofErr w:type="spellEnd"/>
          </w:p>
        </w:tc>
        <w:tc>
          <w:tcPr>
            <w:tcW w:w="5292" w:type="dxa"/>
          </w:tcPr>
          <w:p w:rsidR="00F50E96" w:rsidRPr="00B638D3" w:rsidRDefault="00F50E96" w:rsidP="00F50E96">
            <w:pPr>
              <w:pStyle w:val="Akapitzlist"/>
              <w:numPr>
                <w:ilvl w:val="0"/>
                <w:numId w:val="1"/>
              </w:numPr>
              <w:spacing w:before="20" w:after="120" w:line="276" w:lineRule="auto"/>
              <w:ind w:left="318" w:hanging="284"/>
              <w:jc w:val="left"/>
            </w:pPr>
            <w:r w:rsidRPr="00B638D3">
              <w:rPr>
                <w:rFonts w:eastAsia="Calibri" w:cs="Times New Roman"/>
                <w:color w:val="000000"/>
              </w:rPr>
              <w:t xml:space="preserve">Utrzymanie powierzchni siedliska na co najmniej </w:t>
            </w:r>
            <w:r w:rsidRPr="00B638D3">
              <w:t>1,56</w:t>
            </w:r>
            <w:r w:rsidRPr="00B638D3">
              <w:rPr>
                <w:rFonts w:eastAsia="Calibri" w:cs="Times New Roman"/>
                <w:color w:val="000000"/>
              </w:rPr>
              <w:t xml:space="preserve"> ha z uwzględnieniem naturalnych procesów.</w:t>
            </w:r>
          </w:p>
          <w:p w:rsidR="00F50E96" w:rsidRPr="00B638D3" w:rsidRDefault="00F50E96" w:rsidP="00F50E96">
            <w:pPr>
              <w:pStyle w:val="Akapitzlist"/>
              <w:numPr>
                <w:ilvl w:val="0"/>
                <w:numId w:val="1"/>
              </w:numPr>
              <w:spacing w:before="20" w:after="120" w:line="276" w:lineRule="auto"/>
              <w:ind w:left="316" w:hanging="283"/>
              <w:jc w:val="left"/>
            </w:pPr>
            <w:r w:rsidRPr="00B638D3">
              <w:t xml:space="preserve">Utrzymanie oceny wskaźnika „charakterystyczna kombinacja zbiorowisk w obrębie transektu” na stanowiskach: {3951}, {8495}, {a12f}, {b218}, {f0cf} na poziomie dużej różnorodności fitocenotycznej zbiorowisk, obecności </w:t>
            </w:r>
            <w:proofErr w:type="spellStart"/>
            <w:r w:rsidRPr="00B638D3">
              <w:t>nymfeidów</w:t>
            </w:r>
            <w:proofErr w:type="spellEnd"/>
            <w:r w:rsidRPr="00B638D3">
              <w:t xml:space="preserve"> i </w:t>
            </w:r>
            <w:proofErr w:type="spellStart"/>
            <w:r w:rsidRPr="00B638D3">
              <w:t>elodeidów</w:t>
            </w:r>
            <w:proofErr w:type="spellEnd"/>
            <w:r w:rsidRPr="00B638D3">
              <w:t>, a </w:t>
            </w:r>
            <w:proofErr w:type="spellStart"/>
            <w:r w:rsidRPr="00B638D3">
              <w:t>pleustofity</w:t>
            </w:r>
            <w:proofErr w:type="spellEnd"/>
            <w:r w:rsidRPr="00B638D3">
              <w:t>, jeśli występują, winny zajmować do 50% pokrycia powierzchni (</w:t>
            </w:r>
            <w:proofErr w:type="spellStart"/>
            <w:r w:rsidRPr="00B638D3">
              <w:t>FV</w:t>
            </w:r>
            <w:proofErr w:type="spellEnd"/>
            <w:r w:rsidRPr="00B638D3">
              <w:t xml:space="preserve">). </w:t>
            </w:r>
          </w:p>
          <w:p w:rsidR="00F50E96" w:rsidRPr="00B638D3" w:rsidRDefault="00F50E96" w:rsidP="00F50E96">
            <w:pPr>
              <w:pStyle w:val="Akapitzlist"/>
              <w:numPr>
                <w:ilvl w:val="0"/>
                <w:numId w:val="1"/>
              </w:numPr>
              <w:spacing w:before="20" w:after="120" w:line="276" w:lineRule="auto"/>
              <w:ind w:left="316" w:hanging="283"/>
              <w:jc w:val="left"/>
            </w:pPr>
            <w:r w:rsidRPr="00B638D3">
              <w:t>Utrzymanie, w skali całego obszaru,</w:t>
            </w:r>
            <w:r>
              <w:t xml:space="preserve"> </w:t>
            </w:r>
            <w:r w:rsidRPr="00B638D3">
              <w:t>oceny wskaźnika „gatunki wskazujące na degenerację siedliska” na poziomie braku gatunków obcych i inwazyjnych</w:t>
            </w:r>
            <w:r>
              <w:t xml:space="preserve"> </w:t>
            </w:r>
            <w:r w:rsidRPr="00B638D3">
              <w:t xml:space="preserve">z dopuszczeniem możliwości występowania moczarki kanadyjskiej </w:t>
            </w:r>
            <w:proofErr w:type="spellStart"/>
            <w:r w:rsidRPr="00B638D3">
              <w:rPr>
                <w:i/>
              </w:rPr>
              <w:t>Elodea</w:t>
            </w:r>
            <w:proofErr w:type="spellEnd"/>
            <w:r w:rsidRPr="00B638D3">
              <w:rPr>
                <w:i/>
              </w:rPr>
              <w:t xml:space="preserve"> </w:t>
            </w:r>
            <w:proofErr w:type="spellStart"/>
            <w:r w:rsidRPr="00B638D3">
              <w:rPr>
                <w:i/>
              </w:rPr>
              <w:t>canadensis</w:t>
            </w:r>
            <w:proofErr w:type="spellEnd"/>
            <w:r w:rsidRPr="00B638D3">
              <w:rPr>
                <w:i/>
              </w:rPr>
              <w:t xml:space="preserve"> </w:t>
            </w:r>
            <w:r w:rsidRPr="00B638D3">
              <w:rPr>
                <w:iCs/>
              </w:rPr>
              <w:t>(</w:t>
            </w:r>
            <w:proofErr w:type="spellStart"/>
            <w:r w:rsidRPr="00B638D3">
              <w:rPr>
                <w:iCs/>
              </w:rPr>
              <w:t>FV</w:t>
            </w:r>
            <w:proofErr w:type="spellEnd"/>
            <w:r w:rsidRPr="00B638D3">
              <w:rPr>
                <w:iCs/>
              </w:rPr>
              <w:t>)</w:t>
            </w:r>
            <w:r w:rsidRPr="00B638D3">
              <w:t>.</w:t>
            </w:r>
          </w:p>
          <w:p w:rsidR="00F50E96" w:rsidRPr="00B638D3" w:rsidRDefault="00F50E96" w:rsidP="00F50E96">
            <w:pPr>
              <w:pStyle w:val="Akapitzlist"/>
              <w:numPr>
                <w:ilvl w:val="0"/>
                <w:numId w:val="1"/>
              </w:numPr>
              <w:spacing w:before="20" w:after="120" w:line="276" w:lineRule="auto"/>
              <w:ind w:left="316" w:hanging="283"/>
              <w:jc w:val="left"/>
            </w:pPr>
            <w:r w:rsidRPr="00B638D3">
              <w:t>Utrzymanie, w skali całego obszaru,</w:t>
            </w:r>
            <w:r>
              <w:t xml:space="preserve"> </w:t>
            </w:r>
            <w:r w:rsidRPr="00B638D3">
              <w:t>oceny wskaźnika „barwa wody” na poziomie barwy słabo zielonej, przezroczystej lub brązowawo-przezroczystej (</w:t>
            </w:r>
            <w:proofErr w:type="spellStart"/>
            <w:r w:rsidRPr="00B638D3">
              <w:t>FV</w:t>
            </w:r>
            <w:proofErr w:type="spellEnd"/>
            <w:r w:rsidRPr="00B638D3">
              <w:t>).</w:t>
            </w:r>
          </w:p>
          <w:p w:rsidR="00F50E96" w:rsidRPr="00B638D3" w:rsidRDefault="00F50E96" w:rsidP="00F50E96">
            <w:pPr>
              <w:pStyle w:val="Akapitzlist"/>
              <w:numPr>
                <w:ilvl w:val="0"/>
                <w:numId w:val="1"/>
              </w:numPr>
              <w:spacing w:before="20" w:after="120" w:line="276" w:lineRule="auto"/>
              <w:ind w:left="316" w:hanging="283"/>
              <w:jc w:val="left"/>
            </w:pPr>
            <w:r w:rsidRPr="00B638D3">
              <w:t>Utrzymanie, w skali całego obszaru,</w:t>
            </w:r>
            <w:r>
              <w:t xml:space="preserve"> </w:t>
            </w:r>
            <w:r w:rsidRPr="00B638D3">
              <w:t xml:space="preserve">oceny wskaźnika „konduktywność (przewodnictwo elektrolityczne)” na poziomie niższym lub równym 600 </w:t>
            </w:r>
            <w:r w:rsidRPr="00B638D3">
              <w:rPr>
                <w:rFonts w:cs="Times New Roman"/>
              </w:rPr>
              <w:t>µ</w:t>
            </w:r>
            <w:r w:rsidRPr="00B638D3">
              <w:t>S cm</w:t>
            </w:r>
            <w:r w:rsidRPr="00B638D3">
              <w:rPr>
                <w:vertAlign w:val="superscript"/>
              </w:rPr>
              <w:t>-1</w:t>
            </w:r>
            <w:r w:rsidRPr="00B638D3">
              <w:t xml:space="preserve"> (</w:t>
            </w:r>
            <w:proofErr w:type="spellStart"/>
            <w:r w:rsidRPr="00B638D3">
              <w:t>FV</w:t>
            </w:r>
            <w:proofErr w:type="spellEnd"/>
            <w:r w:rsidRPr="00B638D3">
              <w:t>).</w:t>
            </w:r>
          </w:p>
          <w:p w:rsidR="00F50E96" w:rsidRPr="00B638D3" w:rsidRDefault="00F50E96" w:rsidP="00F50E96">
            <w:pPr>
              <w:pStyle w:val="Akapitzlist"/>
              <w:numPr>
                <w:ilvl w:val="0"/>
                <w:numId w:val="1"/>
              </w:numPr>
              <w:spacing w:before="20" w:after="120" w:line="276" w:lineRule="auto"/>
              <w:ind w:left="316" w:hanging="283"/>
              <w:jc w:val="left"/>
            </w:pPr>
            <w:r w:rsidRPr="00B638D3">
              <w:t xml:space="preserve">Utrzymanie oceny wskaźnika „przezroczystość wody” na stanowiskach: {3951}, {8495}, {09b6}, {a12f}, {b218}, {f0cf} na poziomie widzialności krążka </w:t>
            </w:r>
            <w:proofErr w:type="spellStart"/>
            <w:r w:rsidRPr="00B638D3">
              <w:t>Secchiego</w:t>
            </w:r>
            <w:proofErr w:type="spellEnd"/>
            <w:r w:rsidRPr="00B638D3">
              <w:t xml:space="preserve"> do dna lub powyżej 2,5 m (</w:t>
            </w:r>
            <w:proofErr w:type="spellStart"/>
            <w:r w:rsidRPr="00B638D3">
              <w:t>FV</w:t>
            </w:r>
            <w:proofErr w:type="spellEnd"/>
            <w:r w:rsidRPr="00B638D3">
              <w:t>).</w:t>
            </w:r>
          </w:p>
          <w:p w:rsidR="00F50E96" w:rsidRPr="00B638D3" w:rsidRDefault="00F50E96" w:rsidP="00F50E96">
            <w:pPr>
              <w:pStyle w:val="Akapitzlist"/>
              <w:numPr>
                <w:ilvl w:val="0"/>
                <w:numId w:val="1"/>
              </w:numPr>
              <w:spacing w:before="20" w:after="120" w:line="276" w:lineRule="auto"/>
              <w:ind w:left="316" w:hanging="283"/>
              <w:jc w:val="left"/>
            </w:pPr>
            <w:r w:rsidRPr="00B638D3">
              <w:t>Utrzymanie, w skali całego obszaru,</w:t>
            </w:r>
            <w:r>
              <w:t xml:space="preserve"> </w:t>
            </w:r>
            <w:r w:rsidRPr="00B638D3">
              <w:t xml:space="preserve">oceny wskaźnika „odczyn wody” na poziomie </w:t>
            </w:r>
            <w:proofErr w:type="spellStart"/>
            <w:r w:rsidRPr="00B638D3">
              <w:t>pH</w:t>
            </w:r>
            <w:proofErr w:type="spellEnd"/>
            <w:r w:rsidRPr="00B638D3">
              <w:t xml:space="preserve"> 6,5-7,9 </w:t>
            </w:r>
            <w:r w:rsidRPr="00B638D3">
              <w:lastRenderedPageBreak/>
              <w:t>(</w:t>
            </w:r>
            <w:proofErr w:type="spellStart"/>
            <w:r w:rsidRPr="00B638D3">
              <w:t>FV</w:t>
            </w:r>
            <w:proofErr w:type="spellEnd"/>
            <w:r w:rsidRPr="00B638D3">
              <w:t>).</w:t>
            </w:r>
          </w:p>
          <w:p w:rsidR="00F50E96" w:rsidRPr="00B638D3" w:rsidRDefault="00F50E96" w:rsidP="00F50E96">
            <w:pPr>
              <w:pStyle w:val="Akapitzlist"/>
              <w:numPr>
                <w:ilvl w:val="0"/>
                <w:numId w:val="1"/>
              </w:numPr>
              <w:spacing w:before="20" w:after="120" w:line="276" w:lineRule="auto"/>
              <w:ind w:left="316" w:hanging="283"/>
              <w:jc w:val="left"/>
            </w:pPr>
            <w:r w:rsidRPr="00B638D3">
              <w:t>Utrzymanie oceny wskaźnika „plankton: fitoplankton” na stanowiskach {3951}, {8495}, {09b6}, {a12f}, {bce4}, {ee27}, {44ea}, {b218}, {f0cf} na poziomie dominacji zielenic lub innych grup z wyjątkiem sinic (</w:t>
            </w:r>
            <w:proofErr w:type="spellStart"/>
            <w:r w:rsidRPr="00B638D3">
              <w:t>FV</w:t>
            </w:r>
            <w:proofErr w:type="spellEnd"/>
            <w:r w:rsidRPr="00B638D3">
              <w:t>).</w:t>
            </w:r>
          </w:p>
          <w:p w:rsidR="00F50E96" w:rsidRPr="00B638D3" w:rsidRDefault="00F50E96" w:rsidP="00F50E96">
            <w:pPr>
              <w:pStyle w:val="Akapitzlist"/>
              <w:numPr>
                <w:ilvl w:val="0"/>
                <w:numId w:val="1"/>
              </w:numPr>
              <w:spacing w:before="20" w:after="120" w:line="276" w:lineRule="auto"/>
              <w:ind w:left="316" w:hanging="283"/>
              <w:jc w:val="left"/>
            </w:pPr>
            <w:r w:rsidRPr="00B638D3">
              <w:t>Utrzymanie oceny wskaźnika „plankton: zooplankton” na stanowiskach {3951}, {8495}, {09b6}, {a12f}, {bce4}, {ee27}, {44ea}, {b218}, {f0cf} na poziomie dużego zróżnicowania taksonomicznego w zespole zooplanktonu, braku albo występowania pojedynczych osobników z gatunków eutroficznych zooplanktonu do 5%, a także występowania gatunków rzadkich i chronionych (</w:t>
            </w:r>
            <w:proofErr w:type="spellStart"/>
            <w:r w:rsidRPr="00B638D3">
              <w:t>FV</w:t>
            </w:r>
            <w:proofErr w:type="spellEnd"/>
            <w:r w:rsidRPr="00B638D3">
              <w:t xml:space="preserve">). </w:t>
            </w:r>
          </w:p>
        </w:tc>
      </w:tr>
      <w:tr w:rsidR="00F50E96" w:rsidTr="00713FA4">
        <w:tc>
          <w:tcPr>
            <w:tcW w:w="817" w:type="dxa"/>
          </w:tcPr>
          <w:p w:rsidR="00F50E96" w:rsidRPr="00B638D3" w:rsidRDefault="00F50E96" w:rsidP="00F50E96">
            <w:pPr>
              <w:spacing w:before="20" w:after="20" w:line="276" w:lineRule="auto"/>
              <w:jc w:val="left"/>
            </w:pPr>
            <w:r w:rsidRPr="00B638D3">
              <w:lastRenderedPageBreak/>
              <w:t>2.</w:t>
            </w:r>
          </w:p>
        </w:tc>
        <w:tc>
          <w:tcPr>
            <w:tcW w:w="3071" w:type="dxa"/>
          </w:tcPr>
          <w:p w:rsidR="00F50E96" w:rsidRPr="00B638D3" w:rsidRDefault="00F50E96" w:rsidP="00F50E96">
            <w:pPr>
              <w:spacing w:before="20" w:after="20" w:line="276" w:lineRule="auto"/>
              <w:jc w:val="left"/>
            </w:pPr>
            <w:r w:rsidRPr="00B638D3">
              <w:rPr>
                <w:bCs/>
              </w:rPr>
              <w:t xml:space="preserve">1355 Wydra </w:t>
            </w:r>
            <w:r w:rsidRPr="00B638D3">
              <w:rPr>
                <w:bCs/>
                <w:i/>
              </w:rPr>
              <w:t xml:space="preserve">Lutra </w:t>
            </w:r>
            <w:proofErr w:type="spellStart"/>
            <w:r w:rsidRPr="00B638D3">
              <w:rPr>
                <w:bCs/>
                <w:i/>
              </w:rPr>
              <w:t>lutra</w:t>
            </w:r>
            <w:proofErr w:type="spellEnd"/>
          </w:p>
        </w:tc>
        <w:tc>
          <w:tcPr>
            <w:tcW w:w="5292" w:type="dxa"/>
          </w:tcPr>
          <w:p w:rsidR="00F50E96" w:rsidRPr="00B638D3" w:rsidRDefault="00F50E96" w:rsidP="00F50E96">
            <w:pPr>
              <w:pStyle w:val="Akapitzlist"/>
              <w:numPr>
                <w:ilvl w:val="0"/>
                <w:numId w:val="2"/>
              </w:numPr>
              <w:spacing w:before="20" w:after="20" w:line="276" w:lineRule="auto"/>
              <w:ind w:left="335" w:hanging="294"/>
              <w:jc w:val="left"/>
            </w:pPr>
            <w:r w:rsidRPr="00B638D3">
              <w:t>Utrzymanie wielkości populacji w przedziale 7-14 osobników.</w:t>
            </w:r>
          </w:p>
          <w:p w:rsidR="00F50E96" w:rsidRPr="00B638D3" w:rsidRDefault="00F50E96" w:rsidP="00F50E96">
            <w:pPr>
              <w:pStyle w:val="Akapitzlist"/>
              <w:numPr>
                <w:ilvl w:val="0"/>
                <w:numId w:val="2"/>
              </w:numPr>
              <w:spacing w:before="20" w:after="20" w:line="276" w:lineRule="auto"/>
              <w:ind w:left="335" w:hanging="294"/>
              <w:jc w:val="left"/>
            </w:pPr>
            <w:r w:rsidRPr="00B638D3">
              <w:t>Utrzymanie</w:t>
            </w:r>
            <w:r>
              <w:t xml:space="preserve"> oceny</w:t>
            </w:r>
            <w:r w:rsidRPr="00B638D3">
              <w:t xml:space="preserve"> wskaźnika stanu populacji „udział pozytywnych stwierdzeń gatunku” na poziomie &gt;60% (</w:t>
            </w:r>
            <w:proofErr w:type="spellStart"/>
            <w:r w:rsidRPr="00B638D3">
              <w:t>FV</w:t>
            </w:r>
            <w:proofErr w:type="spellEnd"/>
            <w:r w:rsidRPr="00B638D3">
              <w:t>).</w:t>
            </w:r>
          </w:p>
          <w:p w:rsidR="00F50E96" w:rsidRPr="00B638D3" w:rsidRDefault="00F50E96" w:rsidP="00F50E96">
            <w:pPr>
              <w:pStyle w:val="Akapitzlist"/>
              <w:numPr>
                <w:ilvl w:val="0"/>
                <w:numId w:val="2"/>
              </w:numPr>
              <w:spacing w:before="20" w:after="20" w:line="276" w:lineRule="auto"/>
              <w:ind w:left="335" w:hanging="294"/>
              <w:jc w:val="left"/>
            </w:pPr>
            <w:r w:rsidRPr="00B638D3">
              <w:t xml:space="preserve">Utrzymanie </w:t>
            </w:r>
            <w:r w:rsidRPr="002F0443">
              <w:t xml:space="preserve">oceny </w:t>
            </w:r>
            <w:r w:rsidRPr="00B638D3">
              <w:t>wskaźnika stanu populacji „indeks populacyjny” na poziomie &gt;15% (</w:t>
            </w:r>
            <w:proofErr w:type="spellStart"/>
            <w:r w:rsidRPr="00B638D3">
              <w:t>FV</w:t>
            </w:r>
            <w:proofErr w:type="spellEnd"/>
            <w:r w:rsidRPr="00B638D3">
              <w:t xml:space="preserve">). </w:t>
            </w:r>
          </w:p>
          <w:p w:rsidR="00F50E96" w:rsidRPr="00B638D3" w:rsidRDefault="00F50E96" w:rsidP="00F50E96">
            <w:pPr>
              <w:pStyle w:val="Akapitzlist"/>
              <w:numPr>
                <w:ilvl w:val="0"/>
                <w:numId w:val="2"/>
              </w:numPr>
              <w:spacing w:before="20" w:after="20" w:line="276" w:lineRule="auto"/>
              <w:ind w:left="335" w:hanging="294"/>
              <w:jc w:val="left"/>
            </w:pPr>
            <w:r w:rsidRPr="00B638D3">
              <w:t xml:space="preserve">Utrzymanie </w:t>
            </w:r>
            <w:r w:rsidRPr="002F0443">
              <w:t xml:space="preserve">oceny </w:t>
            </w:r>
            <w:r w:rsidRPr="00B638D3">
              <w:t xml:space="preserve">wskaźnika stanu populacji „zagęszczenie populacji” na poziomie </w:t>
            </w:r>
            <w:r w:rsidRPr="00B638D3">
              <w:rPr>
                <w:rFonts w:cs="Times New Roman"/>
              </w:rPr>
              <w:t>≥</w:t>
            </w:r>
            <w:r w:rsidRPr="00B638D3">
              <w:t>2/10 km (</w:t>
            </w:r>
            <w:proofErr w:type="spellStart"/>
            <w:r w:rsidRPr="00B638D3">
              <w:t>FV</w:t>
            </w:r>
            <w:proofErr w:type="spellEnd"/>
            <w:r w:rsidRPr="00B638D3">
              <w:t>).</w:t>
            </w:r>
          </w:p>
          <w:p w:rsidR="00F50E96" w:rsidRPr="00B638D3" w:rsidRDefault="00F50E96" w:rsidP="00F50E96">
            <w:pPr>
              <w:pStyle w:val="Akapitzlist"/>
              <w:numPr>
                <w:ilvl w:val="0"/>
                <w:numId w:val="2"/>
              </w:numPr>
              <w:spacing w:before="20" w:after="20" w:line="276" w:lineRule="auto"/>
              <w:ind w:left="335" w:hanging="294"/>
              <w:jc w:val="left"/>
            </w:pPr>
            <w:r w:rsidRPr="00B638D3">
              <w:t>Utrzymanie</w:t>
            </w:r>
            <w:r>
              <w:t xml:space="preserve"> </w:t>
            </w:r>
            <w:r w:rsidRPr="002F0443">
              <w:t>oceny</w:t>
            </w:r>
            <w:r w:rsidRPr="00B638D3">
              <w:t xml:space="preserve"> wskaźnika stanu siedliska „baza pokarmowa” &gt;0,80 (</w:t>
            </w:r>
            <w:proofErr w:type="spellStart"/>
            <w:r w:rsidRPr="00B638D3">
              <w:t>FV</w:t>
            </w:r>
            <w:proofErr w:type="spellEnd"/>
            <w:r w:rsidRPr="00B638D3">
              <w:t>).</w:t>
            </w:r>
          </w:p>
          <w:p w:rsidR="00F50E96" w:rsidRPr="003A4351" w:rsidRDefault="00F50E96" w:rsidP="00F50E96">
            <w:pPr>
              <w:pStyle w:val="Akapitzlist"/>
              <w:numPr>
                <w:ilvl w:val="1"/>
                <w:numId w:val="2"/>
              </w:numPr>
              <w:tabs>
                <w:tab w:val="clear" w:pos="360"/>
                <w:tab w:val="num" w:pos="742"/>
              </w:tabs>
              <w:spacing w:before="20" w:after="20" w:line="276" w:lineRule="auto"/>
              <w:ind w:left="742" w:hanging="420"/>
              <w:jc w:val="left"/>
            </w:pPr>
            <w:r w:rsidRPr="00B638D3">
              <w:t>Utrzymanie</w:t>
            </w:r>
            <w:r>
              <w:t xml:space="preserve"> </w:t>
            </w:r>
            <w:r w:rsidRPr="002F0443">
              <w:t>oceny</w:t>
            </w:r>
            <w:r w:rsidRPr="00B638D3">
              <w:t xml:space="preserve"> wskaźnika cząstkowego „biomasa ryb” </w:t>
            </w:r>
            <w:r w:rsidRPr="003A4351">
              <w:t>na poziomie &gt;10g/m</w:t>
            </w:r>
            <w:r w:rsidRPr="003A4351">
              <w:rPr>
                <w:vertAlign w:val="superscript"/>
              </w:rPr>
              <w:t>2</w:t>
            </w:r>
            <w:r w:rsidRPr="003A4351">
              <w:t xml:space="preserve"> (1 pkt).</w:t>
            </w:r>
          </w:p>
          <w:p w:rsidR="00F50E96" w:rsidRPr="003A4351" w:rsidRDefault="00F50E96" w:rsidP="00F50E96">
            <w:pPr>
              <w:pStyle w:val="Akapitzlist"/>
              <w:numPr>
                <w:ilvl w:val="1"/>
                <w:numId w:val="2"/>
              </w:numPr>
              <w:tabs>
                <w:tab w:val="clear" w:pos="360"/>
                <w:tab w:val="num" w:pos="742"/>
              </w:tabs>
              <w:spacing w:before="20" w:after="20" w:line="276" w:lineRule="auto"/>
              <w:ind w:left="742" w:hanging="420"/>
              <w:jc w:val="left"/>
            </w:pPr>
            <w:r w:rsidRPr="003A4351">
              <w:t>Utrzymanie oceny wskaźnika cząstkowego „zróżnicowanie gatunkowe ichtiofauny” na poziomie &gt;8 (średnia liczebność gatunków odnotowanych na rzekach i zbiornikach wodnych stanowiska monitoringowego)</w:t>
            </w:r>
            <w:r>
              <w:t xml:space="preserve"> </w:t>
            </w:r>
            <w:r w:rsidRPr="003A4351">
              <w:t>(1 pkt).</w:t>
            </w:r>
          </w:p>
          <w:p w:rsidR="00F50E96" w:rsidRPr="003A4351" w:rsidRDefault="00F50E96" w:rsidP="00F50E96">
            <w:pPr>
              <w:pStyle w:val="Akapitzlist"/>
              <w:numPr>
                <w:ilvl w:val="1"/>
                <w:numId w:val="2"/>
              </w:numPr>
              <w:tabs>
                <w:tab w:val="clear" w:pos="360"/>
                <w:tab w:val="num" w:pos="742"/>
              </w:tabs>
              <w:spacing w:before="20" w:after="20" w:line="276" w:lineRule="auto"/>
              <w:ind w:left="742" w:hanging="420"/>
              <w:jc w:val="left"/>
            </w:pPr>
            <w:r w:rsidRPr="003A4351">
              <w:t>Utrzymanie</w:t>
            </w:r>
            <w:r w:rsidRPr="003A4351">
              <w:rPr>
                <w:sz w:val="24"/>
              </w:rPr>
              <w:t xml:space="preserve"> </w:t>
            </w:r>
            <w:r w:rsidRPr="003A4351">
              <w:t>oceny wskaźnika cząstkowego „miejsca rozrodu płazów” na poziomie licznym – stawy hodowlane, starorzecza i inne zbiorniki w &gt;20 % punktów monitoringowych (1 pkt).</w:t>
            </w:r>
          </w:p>
          <w:p w:rsidR="00F50E96" w:rsidRPr="003A4351" w:rsidRDefault="00F50E96" w:rsidP="00F50E96">
            <w:pPr>
              <w:pStyle w:val="Akapitzlist"/>
              <w:numPr>
                <w:ilvl w:val="1"/>
                <w:numId w:val="2"/>
              </w:numPr>
              <w:tabs>
                <w:tab w:val="clear" w:pos="360"/>
                <w:tab w:val="num" w:pos="742"/>
              </w:tabs>
              <w:spacing w:before="20" w:after="20" w:line="276" w:lineRule="auto"/>
              <w:ind w:left="742" w:hanging="420"/>
              <w:jc w:val="left"/>
            </w:pPr>
            <w:r w:rsidRPr="003A4351">
              <w:t>Utrzymanie oceny wskaźnika cząstkowego „naturalność koryta cieku” na poziomie &gt;50 % punktów monitoringowych stanow</w:t>
            </w:r>
            <w:r>
              <w:t>i</w:t>
            </w:r>
            <w:r w:rsidRPr="003A4351">
              <w:t>ą rzeki o brzegach naturalnych lub półnaturalnych, zadrzewione, bez barier ograniczających swobodną migrację bądź okresowo zalewanych, co umożliwia swobodną migrację (1 pkt).</w:t>
            </w:r>
          </w:p>
          <w:p w:rsidR="00F50E96" w:rsidRPr="00B638D3" w:rsidRDefault="00F50E96" w:rsidP="00F50E96">
            <w:pPr>
              <w:pStyle w:val="Akapitzlist"/>
              <w:numPr>
                <w:ilvl w:val="0"/>
                <w:numId w:val="2"/>
              </w:numPr>
              <w:spacing w:before="20" w:after="20" w:line="276" w:lineRule="auto"/>
              <w:ind w:left="335" w:hanging="294"/>
              <w:jc w:val="left"/>
            </w:pPr>
            <w:r w:rsidRPr="00B638D3">
              <w:t>Utrzymanie</w:t>
            </w:r>
            <w:r>
              <w:t xml:space="preserve"> </w:t>
            </w:r>
            <w:r w:rsidRPr="002F0443">
              <w:t>oceny</w:t>
            </w:r>
            <w:r w:rsidRPr="00B638D3">
              <w:t xml:space="preserve"> wskaźnika stanu siedliska „udział siedliska kluczowego dla gatunku” &gt;0,65 (</w:t>
            </w:r>
            <w:proofErr w:type="spellStart"/>
            <w:r w:rsidRPr="00B638D3">
              <w:t>FV</w:t>
            </w:r>
            <w:proofErr w:type="spellEnd"/>
            <w:r w:rsidRPr="00B638D3">
              <w:t>).</w:t>
            </w:r>
          </w:p>
          <w:p w:rsidR="00F50E96" w:rsidRPr="00B638D3" w:rsidRDefault="00F50E96" w:rsidP="00F50E96">
            <w:pPr>
              <w:pStyle w:val="Akapitzlist"/>
              <w:numPr>
                <w:ilvl w:val="1"/>
                <w:numId w:val="2"/>
              </w:numPr>
              <w:tabs>
                <w:tab w:val="clear" w:pos="360"/>
                <w:tab w:val="num" w:pos="742"/>
              </w:tabs>
              <w:spacing w:before="20" w:after="20" w:line="276" w:lineRule="auto"/>
              <w:ind w:left="742" w:hanging="426"/>
              <w:jc w:val="left"/>
            </w:pPr>
            <w:r w:rsidRPr="00B638D3">
              <w:lastRenderedPageBreak/>
              <w:t>Utrzymanie</w:t>
            </w:r>
            <w:r>
              <w:t xml:space="preserve"> </w:t>
            </w:r>
            <w:r w:rsidRPr="002F0443">
              <w:t>oceny</w:t>
            </w:r>
            <w:r w:rsidRPr="00B638D3">
              <w:t xml:space="preserve"> wskaźnika cząstkowego „udział preferowanych odcinków rzek” w przedziale 20-50 % punktów monitoringowych, na których odnotowano obecność cieków o szerokości powyżej 3 m ( 0,5 pkt).</w:t>
            </w:r>
          </w:p>
          <w:p w:rsidR="00F50E96" w:rsidRPr="00B638D3" w:rsidRDefault="00F50E96" w:rsidP="00F50E96">
            <w:pPr>
              <w:pStyle w:val="Akapitzlist"/>
              <w:numPr>
                <w:ilvl w:val="1"/>
                <w:numId w:val="2"/>
              </w:numPr>
              <w:tabs>
                <w:tab w:val="num" w:pos="742"/>
              </w:tabs>
              <w:spacing w:before="20" w:after="20" w:line="276" w:lineRule="auto"/>
              <w:ind w:left="742" w:hanging="426"/>
              <w:jc w:val="left"/>
            </w:pPr>
            <w:r w:rsidRPr="00B638D3">
              <w:t>Utrzymanie</w:t>
            </w:r>
            <w:r w:rsidRPr="002F0443">
              <w:rPr>
                <w:sz w:val="24"/>
              </w:rPr>
              <w:t xml:space="preserve"> </w:t>
            </w:r>
            <w:r w:rsidRPr="002F0443">
              <w:t>oceny</w:t>
            </w:r>
            <w:r w:rsidRPr="00B638D3">
              <w:t xml:space="preserve"> wskaźnika cząstkowego „obecność preferowanych zbiorników wodnych” na poziomie &gt;10 % punktów monitoringowych, w sąsiedztwie których odnotowano obecność zbiorników wodnych i kompleksów stawowych o powierzchni &gt;30 ha</w:t>
            </w:r>
            <w:r>
              <w:t xml:space="preserve"> </w:t>
            </w:r>
            <w:r w:rsidRPr="00B638D3">
              <w:t>(1 pkt).</w:t>
            </w:r>
          </w:p>
          <w:p w:rsidR="00F50E96" w:rsidRPr="00B638D3" w:rsidRDefault="00F50E96" w:rsidP="00F50E96">
            <w:pPr>
              <w:pStyle w:val="Akapitzlist"/>
              <w:numPr>
                <w:ilvl w:val="1"/>
                <w:numId w:val="2"/>
              </w:numPr>
              <w:tabs>
                <w:tab w:val="num" w:pos="742"/>
              </w:tabs>
              <w:spacing w:before="20" w:after="20" w:line="276" w:lineRule="auto"/>
              <w:ind w:left="742" w:hanging="426"/>
              <w:jc w:val="left"/>
            </w:pPr>
            <w:r w:rsidRPr="00B638D3">
              <w:t>Utrzymanie</w:t>
            </w:r>
            <w:r>
              <w:t xml:space="preserve"> </w:t>
            </w:r>
            <w:r w:rsidRPr="003A4351">
              <w:t>oceny</w:t>
            </w:r>
            <w:r w:rsidRPr="00B638D3">
              <w:t xml:space="preserve"> wskaźnika cząstkowego „obecność mniejszych zbiorników wodnych na poziomie &gt;10% punktów monitoringowych, w sąsiedztwie których odnotowano obecność zbiorników wodnych i kompleksów stawowych o powierzchni &lt;30 ha (1 pkt).</w:t>
            </w:r>
          </w:p>
          <w:p w:rsidR="00F50E96" w:rsidRPr="00B638D3" w:rsidRDefault="00F50E96" w:rsidP="00F50E96">
            <w:pPr>
              <w:pStyle w:val="Akapitzlist"/>
              <w:numPr>
                <w:ilvl w:val="0"/>
                <w:numId w:val="2"/>
              </w:numPr>
              <w:spacing w:before="20" w:after="20" w:line="276" w:lineRule="auto"/>
              <w:ind w:left="335" w:hanging="294"/>
              <w:jc w:val="left"/>
            </w:pPr>
            <w:r w:rsidRPr="00B638D3">
              <w:t>Utrzymanie</w:t>
            </w:r>
            <w:r>
              <w:t xml:space="preserve"> </w:t>
            </w:r>
            <w:r w:rsidRPr="003A4351">
              <w:t>oceny</w:t>
            </w:r>
            <w:r w:rsidRPr="00B638D3">
              <w:t xml:space="preserve"> wskaźnika stanu siedliska „charakter strefy brzegowej” w przedziale 0,50-0,85 (U1).</w:t>
            </w:r>
          </w:p>
          <w:p w:rsidR="00F50E96" w:rsidRPr="00B638D3" w:rsidRDefault="00F50E96" w:rsidP="00F50E96">
            <w:pPr>
              <w:pStyle w:val="Akapitzlist"/>
              <w:numPr>
                <w:ilvl w:val="1"/>
                <w:numId w:val="2"/>
              </w:numPr>
              <w:tabs>
                <w:tab w:val="clear" w:pos="360"/>
                <w:tab w:val="num" w:pos="742"/>
              </w:tabs>
              <w:spacing w:before="20" w:after="20" w:line="276" w:lineRule="auto"/>
              <w:ind w:left="742" w:hanging="371"/>
              <w:jc w:val="left"/>
            </w:pPr>
            <w:r w:rsidRPr="00B638D3">
              <w:t xml:space="preserve">Utrzymanie </w:t>
            </w:r>
            <w:r w:rsidRPr="003A4351">
              <w:t xml:space="preserve">oceny </w:t>
            </w:r>
            <w:r w:rsidRPr="00B638D3">
              <w:t>wskaźnika cząstkowego „stopień pokrycia brzegów drzewami i krzewami” na poziomie &gt;30% (średni stopień pokrycia brzegów zadrzewieniami w oparciu o dane z poszczególnych punktów monitoringowych) (1 pkt).</w:t>
            </w:r>
          </w:p>
          <w:p w:rsidR="00F50E96" w:rsidRPr="00B638D3" w:rsidRDefault="00F50E96" w:rsidP="00F50E96">
            <w:pPr>
              <w:pStyle w:val="Akapitzlist"/>
              <w:numPr>
                <w:ilvl w:val="1"/>
                <w:numId w:val="2"/>
              </w:numPr>
              <w:tabs>
                <w:tab w:val="clear" w:pos="360"/>
                <w:tab w:val="num" w:pos="742"/>
              </w:tabs>
              <w:spacing w:before="20" w:after="20" w:line="276" w:lineRule="auto"/>
              <w:ind w:left="742" w:hanging="371"/>
              <w:jc w:val="left"/>
            </w:pPr>
            <w:r w:rsidRPr="00B638D3">
              <w:t>Utrzymanie</w:t>
            </w:r>
            <w:r w:rsidRPr="003A4351">
              <w:rPr>
                <w:sz w:val="24"/>
              </w:rPr>
              <w:t xml:space="preserve"> </w:t>
            </w:r>
            <w:r w:rsidRPr="003A4351">
              <w:t>oceny</w:t>
            </w:r>
            <w:r w:rsidRPr="00B638D3">
              <w:t xml:space="preserve"> wskaźnika cząstkowego „lesistość” na poziomie &gt;30 % udziału punktów monitoringowych , w otoczeniu których w odległości maksymalnie 100 m odnotowano zwarte kompleksy leśne o powierzchni min. 1 ha (1 pkt). </w:t>
            </w:r>
          </w:p>
          <w:p w:rsidR="00F50E96" w:rsidRPr="00B638D3" w:rsidRDefault="00F50E96" w:rsidP="00F50E96">
            <w:pPr>
              <w:pStyle w:val="Akapitzlist"/>
              <w:numPr>
                <w:ilvl w:val="1"/>
                <w:numId w:val="2"/>
              </w:numPr>
              <w:tabs>
                <w:tab w:val="clear" w:pos="360"/>
                <w:tab w:val="num" w:pos="742"/>
              </w:tabs>
              <w:spacing w:before="20" w:after="20" w:line="276" w:lineRule="auto"/>
              <w:ind w:left="742" w:hanging="371"/>
              <w:jc w:val="left"/>
            </w:pPr>
            <w:r w:rsidRPr="00B638D3">
              <w:t>Utrzymanie</w:t>
            </w:r>
            <w:r w:rsidRPr="003A4351">
              <w:rPr>
                <w:sz w:val="24"/>
              </w:rPr>
              <w:t xml:space="preserve"> </w:t>
            </w:r>
            <w:r w:rsidRPr="003A4351">
              <w:t>oceny</w:t>
            </w:r>
            <w:r w:rsidRPr="00B638D3">
              <w:t xml:space="preserve"> wskaźnika cząstkowego „dostępność schronień” na poziomie &gt;40 % udziału punktów monitoringowych, na których odnotowano obecność siedlisk zapewniających gatunkowi możliwość schronienia (1 pkt). </w:t>
            </w:r>
          </w:p>
          <w:p w:rsidR="00F50E96" w:rsidRPr="00B638D3" w:rsidRDefault="00F50E96" w:rsidP="00F50E96">
            <w:pPr>
              <w:pStyle w:val="Akapitzlist"/>
              <w:numPr>
                <w:ilvl w:val="0"/>
                <w:numId w:val="2"/>
              </w:numPr>
              <w:spacing w:before="20" w:after="20" w:line="276" w:lineRule="auto"/>
              <w:ind w:left="335" w:hanging="294"/>
              <w:jc w:val="left"/>
            </w:pPr>
            <w:r w:rsidRPr="00B638D3">
              <w:t>Utrzymanie</w:t>
            </w:r>
            <w:r w:rsidRPr="003A4351">
              <w:rPr>
                <w:sz w:val="24"/>
              </w:rPr>
              <w:t xml:space="preserve"> </w:t>
            </w:r>
            <w:r w:rsidRPr="003A4351">
              <w:t>oceny</w:t>
            </w:r>
            <w:r w:rsidRPr="00B638D3">
              <w:t xml:space="preserve"> wskaźnika stanu siedliska „stopień antropopresji” &gt;0,70 (</w:t>
            </w:r>
            <w:proofErr w:type="spellStart"/>
            <w:r w:rsidRPr="00B638D3">
              <w:t>FV</w:t>
            </w:r>
            <w:proofErr w:type="spellEnd"/>
            <w:r w:rsidRPr="00B638D3">
              <w:t>).</w:t>
            </w:r>
          </w:p>
          <w:p w:rsidR="00F50E96" w:rsidRPr="00B638D3" w:rsidRDefault="00F50E96" w:rsidP="00F50E96">
            <w:pPr>
              <w:pStyle w:val="Akapitzlist"/>
              <w:numPr>
                <w:ilvl w:val="1"/>
                <w:numId w:val="2"/>
              </w:numPr>
              <w:tabs>
                <w:tab w:val="clear" w:pos="360"/>
                <w:tab w:val="num" w:pos="742"/>
              </w:tabs>
              <w:spacing w:line="276" w:lineRule="auto"/>
              <w:ind w:hanging="44"/>
              <w:jc w:val="left"/>
            </w:pPr>
            <w:r w:rsidRPr="00B638D3">
              <w:t>Utrzymanie</w:t>
            </w:r>
            <w:r w:rsidRPr="003A4351">
              <w:rPr>
                <w:sz w:val="24"/>
              </w:rPr>
              <w:t xml:space="preserve"> </w:t>
            </w:r>
            <w:r w:rsidRPr="003A4351">
              <w:t>oceny</w:t>
            </w:r>
            <w:r w:rsidRPr="00B638D3">
              <w:t xml:space="preserve"> wskaźnika cząstkowego „drogi wojewódzkie i krajowe” na poziomie &lt;20 % udziału punktów monitoringowych, w sąsiedztwie których (w 200 m strefie buforowej) odnotowano obecność drogi krajowej i wojewódzkiej (1 pkt). </w:t>
            </w:r>
          </w:p>
          <w:p w:rsidR="00F50E96" w:rsidRPr="00B638D3" w:rsidRDefault="00F50E96" w:rsidP="00F50E96">
            <w:pPr>
              <w:pStyle w:val="Akapitzlist"/>
              <w:numPr>
                <w:ilvl w:val="1"/>
                <w:numId w:val="2"/>
              </w:numPr>
              <w:tabs>
                <w:tab w:val="clear" w:pos="360"/>
                <w:tab w:val="num" w:pos="742"/>
              </w:tabs>
              <w:spacing w:line="276" w:lineRule="auto"/>
              <w:ind w:hanging="44"/>
              <w:jc w:val="left"/>
            </w:pPr>
            <w:r w:rsidRPr="00B638D3">
              <w:t>Utrzymanie</w:t>
            </w:r>
            <w:r w:rsidRPr="003A4351">
              <w:rPr>
                <w:sz w:val="24"/>
              </w:rPr>
              <w:t xml:space="preserve"> </w:t>
            </w:r>
            <w:r w:rsidRPr="003A4351">
              <w:t>oceny</w:t>
            </w:r>
            <w:r w:rsidRPr="00B638D3">
              <w:t xml:space="preserve"> wskaźnika cząstkowego „linie kolejowe” na poziomie &lt;10 % udziału punktów monitoringowych, w sąsiedztwie których </w:t>
            </w:r>
            <w:r w:rsidRPr="00B638D3">
              <w:lastRenderedPageBreak/>
              <w:t>(w 200 m strefie buforowej) odnotowano obecność czynnych linii kolejowych (1 pkt).</w:t>
            </w:r>
          </w:p>
          <w:p w:rsidR="00F50E96" w:rsidRPr="00B638D3" w:rsidRDefault="00F50E96" w:rsidP="00F50E96">
            <w:pPr>
              <w:pStyle w:val="Akapitzlist"/>
              <w:numPr>
                <w:ilvl w:val="1"/>
                <w:numId w:val="2"/>
              </w:numPr>
              <w:tabs>
                <w:tab w:val="clear" w:pos="360"/>
                <w:tab w:val="num" w:pos="742"/>
              </w:tabs>
              <w:spacing w:line="276" w:lineRule="auto"/>
              <w:ind w:hanging="44"/>
              <w:jc w:val="left"/>
            </w:pPr>
            <w:r w:rsidRPr="00B638D3">
              <w:t>Utrzymanie</w:t>
            </w:r>
            <w:r w:rsidRPr="003A4351">
              <w:rPr>
                <w:sz w:val="24"/>
              </w:rPr>
              <w:t xml:space="preserve"> </w:t>
            </w:r>
            <w:r w:rsidRPr="003A4351">
              <w:t>oceny</w:t>
            </w:r>
            <w:r w:rsidRPr="00B638D3">
              <w:t xml:space="preserve"> wskaźnika cząstkowego „sąsiedztwo zabudowań” na poziomie &lt;10 % udziału punktów monitoringowych, w otoczeniu których w odległości maksymalnie 100 m odnotowano zwartą zabudowę (1 pkt).</w:t>
            </w:r>
          </w:p>
          <w:p w:rsidR="00F50E96" w:rsidRPr="00B638D3" w:rsidRDefault="00F50E96" w:rsidP="00F50E96">
            <w:pPr>
              <w:pStyle w:val="Akapitzlist"/>
              <w:numPr>
                <w:ilvl w:val="1"/>
                <w:numId w:val="2"/>
              </w:numPr>
              <w:tabs>
                <w:tab w:val="clear" w:pos="360"/>
                <w:tab w:val="num" w:pos="742"/>
              </w:tabs>
              <w:spacing w:line="276" w:lineRule="auto"/>
              <w:ind w:hanging="44"/>
              <w:jc w:val="left"/>
            </w:pPr>
            <w:r w:rsidRPr="00B638D3">
              <w:t xml:space="preserve"> Utrzymanie</w:t>
            </w:r>
            <w:r w:rsidRPr="003A4351">
              <w:rPr>
                <w:sz w:val="24"/>
              </w:rPr>
              <w:t xml:space="preserve"> </w:t>
            </w:r>
            <w:r w:rsidRPr="003A4351">
              <w:t>oceny</w:t>
            </w:r>
            <w:r w:rsidRPr="00B638D3">
              <w:t xml:space="preserve"> wskaźnika cząstkowego „przepusty pod drogami” na poziomie &lt;30 % udziału punktów monitoringowych, na których odnotowano obecność nieprzechodnich małych mostów i przepustów, ograniczających swobodną migrację gatunku (1 pkt). </w:t>
            </w:r>
          </w:p>
        </w:tc>
      </w:tr>
      <w:tr w:rsidR="00F50E96" w:rsidTr="00713FA4">
        <w:tc>
          <w:tcPr>
            <w:tcW w:w="817" w:type="dxa"/>
          </w:tcPr>
          <w:p w:rsidR="00F50E96" w:rsidRPr="00B638D3" w:rsidRDefault="00F50E96" w:rsidP="00F50E96">
            <w:pPr>
              <w:spacing w:before="20" w:after="20" w:line="276" w:lineRule="auto"/>
              <w:jc w:val="left"/>
            </w:pPr>
            <w:r w:rsidRPr="00B638D3">
              <w:lastRenderedPageBreak/>
              <w:t>3.</w:t>
            </w:r>
          </w:p>
        </w:tc>
        <w:tc>
          <w:tcPr>
            <w:tcW w:w="3071" w:type="dxa"/>
          </w:tcPr>
          <w:p w:rsidR="00F50E96" w:rsidRPr="00B638D3" w:rsidRDefault="00F50E96" w:rsidP="00F50E96">
            <w:pPr>
              <w:spacing w:before="20" w:after="20" w:line="276" w:lineRule="auto"/>
              <w:jc w:val="left"/>
            </w:pPr>
            <w:r w:rsidRPr="00B638D3">
              <w:rPr>
                <w:bCs/>
              </w:rPr>
              <w:t xml:space="preserve">1188 Kumak nizinny </w:t>
            </w:r>
            <w:proofErr w:type="spellStart"/>
            <w:r w:rsidRPr="00B638D3">
              <w:rPr>
                <w:bCs/>
                <w:i/>
              </w:rPr>
              <w:t>Bombina</w:t>
            </w:r>
            <w:proofErr w:type="spellEnd"/>
            <w:r w:rsidRPr="00B638D3">
              <w:rPr>
                <w:bCs/>
                <w:i/>
              </w:rPr>
              <w:t xml:space="preserve"> </w:t>
            </w:r>
            <w:proofErr w:type="spellStart"/>
            <w:r w:rsidRPr="00B638D3">
              <w:rPr>
                <w:bCs/>
                <w:i/>
              </w:rPr>
              <w:t>bombina</w:t>
            </w:r>
            <w:proofErr w:type="spellEnd"/>
          </w:p>
        </w:tc>
        <w:tc>
          <w:tcPr>
            <w:tcW w:w="5292" w:type="dxa"/>
          </w:tcPr>
          <w:p w:rsidR="00F50E96" w:rsidRPr="00B638D3" w:rsidRDefault="00F50E96" w:rsidP="00F50E96">
            <w:pPr>
              <w:pStyle w:val="Akapitzlist"/>
              <w:numPr>
                <w:ilvl w:val="0"/>
                <w:numId w:val="3"/>
              </w:numPr>
              <w:spacing w:before="20" w:after="120" w:line="276" w:lineRule="auto"/>
              <w:ind w:left="322" w:hanging="283"/>
              <w:jc w:val="left"/>
            </w:pPr>
            <w:r w:rsidRPr="00B638D3">
              <w:t>Uzupełnienie wiedzy o populacji gatunku w obszarze w ramach monitoringu.</w:t>
            </w:r>
          </w:p>
          <w:p w:rsidR="00F50E96" w:rsidRPr="00B638D3" w:rsidRDefault="00F50E96" w:rsidP="00F50E96">
            <w:pPr>
              <w:pStyle w:val="Akapitzlist"/>
              <w:numPr>
                <w:ilvl w:val="0"/>
                <w:numId w:val="3"/>
              </w:numPr>
              <w:spacing w:before="20" w:after="120" w:line="276" w:lineRule="auto"/>
              <w:ind w:left="322" w:hanging="283"/>
              <w:jc w:val="left"/>
            </w:pPr>
            <w:r w:rsidRPr="00B638D3">
              <w:t>Utrzymanie</w:t>
            </w:r>
            <w:r w:rsidRPr="003A4351">
              <w:rPr>
                <w:sz w:val="24"/>
              </w:rPr>
              <w:t xml:space="preserve"> </w:t>
            </w:r>
            <w:r w:rsidRPr="003A4351">
              <w:t>oceny</w:t>
            </w:r>
            <w:r w:rsidRPr="00B638D3">
              <w:t xml:space="preserve"> zbiorczego wskaźnika jakości siedliska w przedziale 6-9,5 pkt. (U1).</w:t>
            </w:r>
          </w:p>
          <w:p w:rsidR="00F50E96" w:rsidRPr="00B638D3" w:rsidRDefault="00F50E96" w:rsidP="00F50E96">
            <w:pPr>
              <w:pStyle w:val="Akapitzlist"/>
              <w:numPr>
                <w:ilvl w:val="1"/>
                <w:numId w:val="3"/>
              </w:numPr>
              <w:spacing w:before="20" w:after="120" w:line="276" w:lineRule="auto"/>
              <w:jc w:val="left"/>
            </w:pPr>
            <w:r w:rsidRPr="00B638D3">
              <w:t>Utrzymanie &gt;25% udziału szuwaru w powierzchni zbiornika (1 pkt.).</w:t>
            </w:r>
          </w:p>
          <w:p w:rsidR="00F50E96" w:rsidRPr="00B638D3" w:rsidRDefault="00F50E96" w:rsidP="00F50E96">
            <w:pPr>
              <w:pStyle w:val="Akapitzlist"/>
              <w:numPr>
                <w:ilvl w:val="1"/>
                <w:numId w:val="3"/>
              </w:numPr>
              <w:spacing w:before="20" w:after="120" w:line="276" w:lineRule="auto"/>
              <w:jc w:val="left"/>
            </w:pPr>
            <w:r w:rsidRPr="00B638D3">
              <w:t>Utrzymanie obecności szuwaru o wysokości 1 m lub niższego (1 pkt.).</w:t>
            </w:r>
          </w:p>
          <w:p w:rsidR="00F50E96" w:rsidRPr="00B638D3" w:rsidRDefault="00F50E96" w:rsidP="00F50E96">
            <w:pPr>
              <w:pStyle w:val="Akapitzlist"/>
              <w:numPr>
                <w:ilvl w:val="1"/>
                <w:numId w:val="3"/>
              </w:numPr>
              <w:spacing w:before="20" w:after="120" w:line="276" w:lineRule="auto"/>
              <w:jc w:val="left"/>
            </w:pPr>
            <w:r w:rsidRPr="00B638D3">
              <w:t>Utrzymanie roślinności zanurzonej i pływającej (bez szuwaru) w formie kępkowej i nielicznej lub licznej, ale nie o pionowych pędach (0,5 pkt.).</w:t>
            </w:r>
          </w:p>
          <w:p w:rsidR="00F50E96" w:rsidRPr="00B638D3" w:rsidRDefault="00F50E96" w:rsidP="00F50E96">
            <w:pPr>
              <w:pStyle w:val="Akapitzlist"/>
              <w:numPr>
                <w:ilvl w:val="1"/>
                <w:numId w:val="3"/>
              </w:numPr>
              <w:spacing w:before="20" w:after="120" w:line="276" w:lineRule="auto"/>
              <w:jc w:val="left"/>
            </w:pPr>
            <w:r w:rsidRPr="00B638D3">
              <w:t>Utrzymanie &lt;50% zacienionej powierzchni zbiornika (1 pkt.).</w:t>
            </w:r>
          </w:p>
          <w:p w:rsidR="00F50E96" w:rsidRPr="00B638D3" w:rsidRDefault="00F50E96" w:rsidP="00F50E96">
            <w:pPr>
              <w:pStyle w:val="Akapitzlist"/>
              <w:numPr>
                <w:ilvl w:val="1"/>
                <w:numId w:val="3"/>
              </w:numPr>
              <w:spacing w:before="20" w:after="120" w:line="276" w:lineRule="auto"/>
              <w:jc w:val="left"/>
            </w:pPr>
            <w:r w:rsidRPr="00B638D3">
              <w:t>Utrzymanie obecności płycizn – miejsc o głębokości do 30 cm (1 pkt.).</w:t>
            </w:r>
          </w:p>
          <w:p w:rsidR="00F50E96" w:rsidRPr="00B638D3" w:rsidRDefault="00F50E96" w:rsidP="00F50E96">
            <w:pPr>
              <w:pStyle w:val="Akapitzlist"/>
              <w:numPr>
                <w:ilvl w:val="1"/>
                <w:numId w:val="3"/>
              </w:numPr>
              <w:spacing w:before="20" w:after="120" w:line="276" w:lineRule="auto"/>
              <w:jc w:val="left"/>
            </w:pPr>
            <w:r w:rsidRPr="00B638D3">
              <w:t>Utrzymanie braku zabudowy zbiornika w promieniu do 100 m (1 pkt.).</w:t>
            </w:r>
          </w:p>
          <w:p w:rsidR="00F50E96" w:rsidRPr="00B638D3" w:rsidRDefault="00F50E96" w:rsidP="00F50E96">
            <w:pPr>
              <w:pStyle w:val="Akapitzlist"/>
              <w:numPr>
                <w:ilvl w:val="1"/>
                <w:numId w:val="3"/>
              </w:numPr>
              <w:spacing w:before="20" w:after="120" w:line="276" w:lineRule="auto"/>
              <w:jc w:val="left"/>
            </w:pPr>
            <w:r w:rsidRPr="00B638D3">
              <w:t>Utrzymanie braku obecności drogi asfaltowej w promieniu do 100 m od zbiornika (1 pkt.).</w:t>
            </w:r>
            <w:r>
              <w:t xml:space="preserve"> </w:t>
            </w:r>
          </w:p>
        </w:tc>
      </w:tr>
      <w:tr w:rsidR="00F50E96" w:rsidTr="00713FA4">
        <w:tc>
          <w:tcPr>
            <w:tcW w:w="817" w:type="dxa"/>
          </w:tcPr>
          <w:p w:rsidR="00F50E96" w:rsidRPr="00B638D3" w:rsidRDefault="00F50E96" w:rsidP="00F50E96">
            <w:pPr>
              <w:spacing w:before="20" w:after="20" w:line="276" w:lineRule="auto"/>
              <w:jc w:val="left"/>
            </w:pPr>
            <w:r w:rsidRPr="00B638D3">
              <w:t>4.</w:t>
            </w:r>
          </w:p>
        </w:tc>
        <w:tc>
          <w:tcPr>
            <w:tcW w:w="3071" w:type="dxa"/>
          </w:tcPr>
          <w:p w:rsidR="00F50E96" w:rsidRPr="00B638D3" w:rsidRDefault="00F50E96" w:rsidP="00F50E96">
            <w:pPr>
              <w:spacing w:before="20" w:after="20" w:line="276" w:lineRule="auto"/>
              <w:jc w:val="left"/>
            </w:pPr>
            <w:r w:rsidRPr="00B638D3">
              <w:rPr>
                <w:bCs/>
              </w:rPr>
              <w:t xml:space="preserve">1145 Piskorz </w:t>
            </w:r>
            <w:proofErr w:type="spellStart"/>
            <w:r w:rsidRPr="00B638D3">
              <w:rPr>
                <w:bCs/>
                <w:i/>
              </w:rPr>
              <w:t>Misgurnus</w:t>
            </w:r>
            <w:proofErr w:type="spellEnd"/>
            <w:r w:rsidRPr="00B638D3">
              <w:rPr>
                <w:bCs/>
                <w:i/>
              </w:rPr>
              <w:t xml:space="preserve"> </w:t>
            </w:r>
            <w:proofErr w:type="spellStart"/>
            <w:r w:rsidRPr="00B638D3">
              <w:rPr>
                <w:bCs/>
                <w:i/>
              </w:rPr>
              <w:t>fossilis</w:t>
            </w:r>
            <w:proofErr w:type="spellEnd"/>
          </w:p>
        </w:tc>
        <w:tc>
          <w:tcPr>
            <w:tcW w:w="5292" w:type="dxa"/>
          </w:tcPr>
          <w:p w:rsidR="00F50E96" w:rsidRPr="00BC2095" w:rsidRDefault="00F50E96" w:rsidP="00F50E96">
            <w:pPr>
              <w:autoSpaceDE w:val="0"/>
              <w:autoSpaceDN w:val="0"/>
              <w:adjustRightInd w:val="0"/>
              <w:spacing w:line="276" w:lineRule="auto"/>
              <w:jc w:val="left"/>
            </w:pPr>
            <w:r w:rsidRPr="00B638D3">
              <w:rPr>
                <w:rFonts w:ascii="TimesNewRomanPSMT" w:hAnsi="TimesNewRomanPSMT" w:cs="TimesNewRomanPSMT"/>
                <w:color w:val="auto"/>
              </w:rPr>
              <w:t>Weryfikacja występowania gatunku w obszarze.</w:t>
            </w:r>
          </w:p>
        </w:tc>
      </w:tr>
    </w:tbl>
    <w:p w:rsidR="00F50E96" w:rsidRPr="00BE2BB5" w:rsidRDefault="00F50E96" w:rsidP="00F50E96">
      <w:pPr>
        <w:tabs>
          <w:tab w:val="left" w:pos="3510"/>
        </w:tabs>
        <w:spacing w:before="120" w:line="276" w:lineRule="auto"/>
        <w:jc w:val="left"/>
        <w:rPr>
          <w:b/>
        </w:rPr>
      </w:pPr>
      <w:r w:rsidRPr="00BE2BB5">
        <w:rPr>
          <w:b/>
        </w:rPr>
        <w:t>UZASADNIENIE</w:t>
      </w:r>
    </w:p>
    <w:p w:rsidR="00F50E96" w:rsidRPr="00BE2BB5" w:rsidRDefault="00F50E96" w:rsidP="00F50E96">
      <w:pPr>
        <w:pStyle w:val="Nagwek1"/>
        <w:spacing w:line="276" w:lineRule="auto"/>
        <w:jc w:val="left"/>
        <w:rPr>
          <w:color w:val="000000" w:themeColor="text1"/>
          <w:sz w:val="24"/>
        </w:rPr>
      </w:pPr>
      <w:r w:rsidRPr="00BE2BB5">
        <w:rPr>
          <w:color w:val="000000" w:themeColor="text1"/>
          <w:sz w:val="24"/>
        </w:rPr>
        <w:t>do Zarządzenia Regionalnego Dyrektora Ochrony Środowiska w Katowicach</w:t>
      </w:r>
    </w:p>
    <w:p w:rsidR="00F50E96" w:rsidRPr="00BE2BB5" w:rsidRDefault="00F50E96" w:rsidP="00F50E96">
      <w:pPr>
        <w:pStyle w:val="Nagwek1"/>
        <w:spacing w:line="276" w:lineRule="auto"/>
        <w:jc w:val="left"/>
        <w:rPr>
          <w:color w:val="000000" w:themeColor="text1"/>
          <w:sz w:val="24"/>
        </w:rPr>
      </w:pPr>
      <w:r w:rsidRPr="00BE2BB5">
        <w:rPr>
          <w:color w:val="000000" w:themeColor="text1"/>
          <w:sz w:val="24"/>
        </w:rPr>
        <w:t xml:space="preserve">z dnia </w:t>
      </w:r>
      <w:r>
        <w:rPr>
          <w:color w:val="000000" w:themeColor="text1"/>
          <w:sz w:val="24"/>
        </w:rPr>
        <w:t xml:space="preserve">10 </w:t>
      </w:r>
      <w:proofErr w:type="spellStart"/>
      <w:r>
        <w:rPr>
          <w:color w:val="000000" w:themeColor="text1"/>
          <w:sz w:val="24"/>
        </w:rPr>
        <w:t>pażdziernika</w:t>
      </w:r>
      <w:proofErr w:type="spellEnd"/>
      <w:r w:rsidRPr="00BE2BB5">
        <w:rPr>
          <w:color w:val="000000" w:themeColor="text1"/>
          <w:sz w:val="24"/>
        </w:rPr>
        <w:t xml:space="preserve"> 2022 r. zmieniającego zarządzenie w sprawie ustanowienia planu zadań ochronnych dla obszaru Natura 2000 </w:t>
      </w:r>
      <w:r w:rsidRPr="00BE2BB5">
        <w:rPr>
          <w:color w:val="000000" w:themeColor="text1"/>
          <w:sz w:val="24"/>
        </w:rPr>
        <w:br/>
      </w:r>
      <w:r w:rsidRPr="00BE2BB5">
        <w:rPr>
          <w:bCs/>
          <w:color w:val="000000" w:themeColor="text1"/>
          <w:sz w:val="24"/>
        </w:rPr>
        <w:t>Zbiornik Goczałkowicki – Ujście Wisły i Bajerki PLH240039</w:t>
      </w:r>
    </w:p>
    <w:p w:rsidR="00F50E96" w:rsidRPr="00BE2BB5" w:rsidRDefault="00F50E96" w:rsidP="00F50E96">
      <w:pPr>
        <w:tabs>
          <w:tab w:val="left" w:pos="3510"/>
        </w:tabs>
        <w:spacing w:line="276" w:lineRule="auto"/>
        <w:jc w:val="left"/>
        <w:rPr>
          <w:bCs/>
        </w:rPr>
      </w:pPr>
      <w:r w:rsidRPr="00BE2BB5">
        <w:t>Zgodnie z art. 28 ust. 5 ustawy z dnia 16 kwietnia 2004 r. o ochronie przyrody (</w:t>
      </w:r>
      <w:proofErr w:type="spellStart"/>
      <w:r w:rsidRPr="00BE2BB5">
        <w:t>t.j</w:t>
      </w:r>
      <w:proofErr w:type="spellEnd"/>
      <w:r w:rsidRPr="00BE2BB5">
        <w:t>. Dz. U. z 2022 r. poz. 916), regionalny dyrektor ochrony środowiska ustanawia, w drodze aktu prawa miejscowego w formie zarządzenia, plan zadań ochronnych dla obszaru Natura 2000, kierując się koniecznością utrzymania i przywracania do właściwego stanu ochrony siedlisk przyrodniczych oraz gatunków roślin i zwierząt, dla których ochrony wyznaczono obszar Natura 2000</w:t>
      </w:r>
      <w:r w:rsidRPr="00BE2BB5">
        <w:rPr>
          <w:bCs/>
        </w:rPr>
        <w:t xml:space="preserve">. Plan zadań ochronnych może być zmieniony, jeżeli wynika to z potrzeb ochrony </w:t>
      </w:r>
      <w:r w:rsidRPr="00BE2BB5">
        <w:rPr>
          <w:bCs/>
        </w:rPr>
        <w:lastRenderedPageBreak/>
        <w:t>siedlisk przyrodniczych lub gatunków roślin i zwierząt, dla których ochrony wyznaczono obszar Natura 2000.</w:t>
      </w:r>
    </w:p>
    <w:p w:rsidR="00F50E96" w:rsidRPr="00BE2BB5" w:rsidRDefault="00F50E96" w:rsidP="00F50E96">
      <w:pPr>
        <w:tabs>
          <w:tab w:val="left" w:pos="0"/>
        </w:tabs>
        <w:spacing w:line="276" w:lineRule="auto"/>
        <w:jc w:val="left"/>
        <w:rPr>
          <w:bCs/>
        </w:rPr>
      </w:pPr>
      <w:r w:rsidRPr="00BE2BB5">
        <w:rPr>
          <w:bCs/>
        </w:rPr>
        <w:t>Decyzją Komisji Europejskiej 2011/64/</w:t>
      </w:r>
      <w:proofErr w:type="spellStart"/>
      <w:r w:rsidRPr="00BE2BB5">
        <w:rPr>
          <w:bCs/>
        </w:rPr>
        <w:t>UE</w:t>
      </w:r>
      <w:proofErr w:type="spellEnd"/>
      <w:r w:rsidRPr="00BE2BB5">
        <w:rPr>
          <w:bCs/>
        </w:rPr>
        <w:t xml:space="preserve"> z 10 stycznia 2011 r. obszar Zbiornik Goczałkowicki – Ujście Wisły i Bajerki PLH240039 został zatwierdzony i uznany jako obszar mając</w:t>
      </w:r>
      <w:r>
        <w:rPr>
          <w:bCs/>
        </w:rPr>
        <w:t>y</w:t>
      </w:r>
      <w:r w:rsidRPr="00BE2BB5">
        <w:rPr>
          <w:bCs/>
        </w:rPr>
        <w:t xml:space="preserve"> znaczenie dla Wspólnoty</w:t>
      </w:r>
      <w:r>
        <w:rPr>
          <w:bCs/>
        </w:rPr>
        <w:t xml:space="preserve">, a wyznaczony </w:t>
      </w:r>
      <w:r w:rsidRPr="00AD0DDE">
        <w:rPr>
          <w:bCs/>
        </w:rPr>
        <w:t>Rozporządzenie</w:t>
      </w:r>
      <w:r>
        <w:rPr>
          <w:bCs/>
        </w:rPr>
        <w:t>m</w:t>
      </w:r>
      <w:r w:rsidRPr="00AD0DDE">
        <w:rPr>
          <w:bCs/>
        </w:rPr>
        <w:t xml:space="preserve"> Ministra Klimatu i Środowiska z dnia 25 marca 2022 r. w sprawie specjalnego obszaru ochrony siedlisk Zbiornik Goczałkowicki - Ujście Wisły i Bajerki (PLH240039) (Dz. U. poz. 992).</w:t>
      </w:r>
    </w:p>
    <w:p w:rsidR="00F50E96" w:rsidRPr="00BE2BB5" w:rsidRDefault="00F50E96" w:rsidP="00F50E96">
      <w:pPr>
        <w:tabs>
          <w:tab w:val="left" w:pos="0"/>
        </w:tabs>
        <w:spacing w:line="276" w:lineRule="auto"/>
        <w:jc w:val="left"/>
        <w:rPr>
          <w:bCs/>
        </w:rPr>
      </w:pPr>
      <w:r w:rsidRPr="00BE2BB5">
        <w:rPr>
          <w:bCs/>
        </w:rPr>
        <w:t>Zarządzenie w sprawie ustanowienia planu zadań ochronnych dla obszaru Natura 2000 Zbiornik Goczałkowicki – Ujście Wisły i Bajerki PLH240039 zostało wydane przez Regionalnego Dyrektora Ochrony Środowiska w Katowicach w dniu 12 grudnia 2019 r. (Dz. Urz. Woj. Śl. z 2019 r. poz. 8882).</w:t>
      </w:r>
    </w:p>
    <w:p w:rsidR="00F50E96" w:rsidRPr="00BE2BB5" w:rsidRDefault="00F50E96" w:rsidP="00F50E96">
      <w:pPr>
        <w:tabs>
          <w:tab w:val="left" w:pos="3510"/>
        </w:tabs>
        <w:spacing w:line="276" w:lineRule="auto"/>
        <w:jc w:val="left"/>
        <w:rPr>
          <w:bCs/>
        </w:rPr>
      </w:pPr>
      <w:r w:rsidRPr="00BE2BB5">
        <w:rPr>
          <w:bCs/>
        </w:rPr>
        <w:t>Zgodnie z art. 28 ust. 10 ww. ustawy, plan zadań ochronnych dla obszaru Natura 2000 zawiera: opis granic obszaru i mapę obszaru Natura 2000, identyfikację istniejących i potencjalnych zagrożeń dla zachowania właściwego stanu ochrony siedlisk przyrodniczych oraz gatunków roślin i zwierząt i ich siedlisk będących przedmiotami ochrony, cele działań ochronnych, niezbędne działania ochronne ze wskazaniem podmiotów odpowiedzialnych za ich wykonanie, a także obszary ich wdrażania oraz wskazania do zmian w dokumentach planistycznych niezbędne do utrzymania bądź odtworzenia właściwego stanu ochrony siedlisk przyrodniczych oraz gatunków roślin i zwierząt, dla których ochrony został wyznaczony obszar Natura 2000 i wskazanie terminu sporządzenia, w razie potrzeby, planu ochrony dla części lub całości obszaru.</w:t>
      </w:r>
    </w:p>
    <w:p w:rsidR="00F50E96" w:rsidRPr="00BE2BB5" w:rsidRDefault="00F50E96" w:rsidP="00F50E96">
      <w:pPr>
        <w:spacing w:line="276" w:lineRule="auto"/>
        <w:jc w:val="left"/>
      </w:pPr>
      <w:r w:rsidRPr="00BE2BB5">
        <w:t>Zmiana załącznika określającego cele działań ochronnych wynika z przekazanych w 2021 roku przez Komisję Europejską wytycznych w zakresie właściwego formułowania celów działań ochronnych na obszarach Natura 2000 oraz konieczności ich uwzględniania w procedurze oceny oddziaływania na środowisko prowadzonej na podstawie ustawy z dnia 3 października 2008 r. o </w:t>
      </w:r>
      <w:r w:rsidRPr="00BE2BB5">
        <w:rPr>
          <w:iCs/>
        </w:rPr>
        <w:t>udostępnianiu informacji o środowisku i jego ochronie, udziale społeczeństwa w ochronie środowiska oraz o ocenach oddziaływania na środowisko</w:t>
      </w:r>
      <w:r w:rsidRPr="00BE2BB5">
        <w:rPr>
          <w:i/>
          <w:iCs/>
        </w:rPr>
        <w:t xml:space="preserve">. </w:t>
      </w:r>
      <w:r w:rsidRPr="00BE2BB5">
        <w:t>Szczegółowy opis sposobu ustalania celów działań ochronnych zawiera § 3 pkt 5 rozporządzenia Ministra Środowiska z dnia 17 lutego 2010 r. w sprawie sporządzania projektu planu zadań ochronnych dla obszaru Natura 2000 (Dz. U. z 2010 r., poz. 186 z </w:t>
      </w:r>
      <w:proofErr w:type="spellStart"/>
      <w:r w:rsidRPr="00BE2BB5">
        <w:t>późn</w:t>
      </w:r>
      <w:proofErr w:type="spellEnd"/>
      <w:r w:rsidRPr="00BE2BB5">
        <w:t>. zm.).</w:t>
      </w:r>
    </w:p>
    <w:p w:rsidR="00F50E96" w:rsidRPr="00BE2BB5" w:rsidRDefault="00F50E96" w:rsidP="00F50E96">
      <w:pPr>
        <w:tabs>
          <w:tab w:val="left" w:pos="3510"/>
        </w:tabs>
        <w:spacing w:line="276" w:lineRule="auto"/>
        <w:jc w:val="left"/>
        <w:rPr>
          <w:bCs/>
        </w:rPr>
      </w:pPr>
      <w:r w:rsidRPr="00BE2BB5">
        <w:rPr>
          <w:bCs/>
        </w:rPr>
        <w:t>Ponadto Generalny Dyrektor Ochrony Środowiska wydał stanowisko znak: DOOŚ-WAPOŚ.070.3.2021.KL z dnia 5 sierpnia 2021 r., w którym zwrócił uwagę na konieczność uwzględniania szczegółowych celów ochrony przedmiotów ochrony obszarów Natura 2000 w trakcie oceny oddziaływania przedsięwzięcia na środowisko. W tym celu niezbędna jest zmiana ustanowionych planów zadań ochronnych dla obszarów Natura 2000 przez regionalnych dyrektorów ochrony środowiska.</w:t>
      </w:r>
    </w:p>
    <w:p w:rsidR="00F50E96" w:rsidRPr="00BE2BB5" w:rsidRDefault="00F50E96" w:rsidP="00F50E96">
      <w:pPr>
        <w:tabs>
          <w:tab w:val="left" w:pos="3510"/>
        </w:tabs>
        <w:spacing w:line="276" w:lineRule="auto"/>
        <w:jc w:val="left"/>
        <w:rPr>
          <w:bCs/>
        </w:rPr>
      </w:pPr>
      <w:r w:rsidRPr="00BE2BB5">
        <w:rPr>
          <w:bCs/>
        </w:rPr>
        <w:t>Opracowanie szczegółowych celów ochrony dla przedmiotów ochrony obszaru Natura 2000 Zbiornik Goczałkowicki – Ujście Wisły i Bajerki PLH240039 wynika z konieczności utrzymania stanu ochrony przedmiotów ochrony i uzupełnienia stanu wiedzy o przedmio</w:t>
      </w:r>
      <w:r>
        <w:rPr>
          <w:bCs/>
        </w:rPr>
        <w:t>tach</w:t>
      </w:r>
      <w:r w:rsidRPr="00BE2BB5">
        <w:rPr>
          <w:bCs/>
        </w:rPr>
        <w:t xml:space="preserve"> ochrony. Ustalone cele uwzględniają konieczność utrzymania w odniesieniu do siedliska przyrodniczego 3150 Starorzecza i naturalne eutroficzne zbiorniki wodne ze zbiorowiskami z </w:t>
      </w:r>
      <w:proofErr w:type="spellStart"/>
      <w:r w:rsidRPr="00BE2BB5">
        <w:rPr>
          <w:bCs/>
          <w:i/>
        </w:rPr>
        <w:t>Nympheion</w:t>
      </w:r>
      <w:proofErr w:type="spellEnd"/>
      <w:r w:rsidRPr="00BE2BB5">
        <w:rPr>
          <w:bCs/>
          <w:i/>
        </w:rPr>
        <w:t xml:space="preserve">, </w:t>
      </w:r>
      <w:proofErr w:type="spellStart"/>
      <w:r w:rsidRPr="00BE2BB5">
        <w:rPr>
          <w:bCs/>
          <w:i/>
        </w:rPr>
        <w:t>Potamion</w:t>
      </w:r>
      <w:proofErr w:type="spellEnd"/>
      <w:r w:rsidRPr="00BE2BB5">
        <w:rPr>
          <w:bCs/>
        </w:rPr>
        <w:t xml:space="preserve"> obecnego, złego stanu ochrony (U2), a w odniesieniu do gatunku 1188 kumak nizinny </w:t>
      </w:r>
      <w:proofErr w:type="spellStart"/>
      <w:r w:rsidRPr="00BE2BB5">
        <w:rPr>
          <w:bCs/>
          <w:i/>
        </w:rPr>
        <w:t>Bombina</w:t>
      </w:r>
      <w:proofErr w:type="spellEnd"/>
      <w:r w:rsidRPr="00BE2BB5">
        <w:rPr>
          <w:bCs/>
          <w:i/>
        </w:rPr>
        <w:t xml:space="preserve"> </w:t>
      </w:r>
      <w:proofErr w:type="spellStart"/>
      <w:r w:rsidRPr="00BE2BB5">
        <w:rPr>
          <w:bCs/>
          <w:i/>
        </w:rPr>
        <w:t>bombina</w:t>
      </w:r>
      <w:proofErr w:type="spellEnd"/>
      <w:r w:rsidRPr="00BE2BB5">
        <w:rPr>
          <w:bCs/>
          <w:i/>
        </w:rPr>
        <w:t xml:space="preserve"> </w:t>
      </w:r>
      <w:r w:rsidRPr="00BE2BB5">
        <w:rPr>
          <w:bCs/>
          <w:iCs/>
        </w:rPr>
        <w:t xml:space="preserve">obecnego, niezadowalającego stanu ochrony (U1), </w:t>
      </w:r>
      <w:r w:rsidRPr="00BE2BB5">
        <w:rPr>
          <w:bCs/>
        </w:rPr>
        <w:lastRenderedPageBreak/>
        <w:t xml:space="preserve">gdyż zgodnie z opracowaniem „Rozpoznanie przyrodnicze w obszarze Zbiornik Goczałkowicki – Ujście Wisły i Bajerki PLH240039” (Klich S., Klich M., Tarnów, 2018 r.) referencyjny stan ochrony odpowiada stanowi rzeczywistemu, a wskaźniki, które spowodowały obniżenie oceny na poszczególnych stanowiskach wynikają z naturalnych procesów lub nie są możliwe do zmiany ze względu na przyczyny społeczno-ekonomiczne. W doniesieniu do gatunku 1355 wydra </w:t>
      </w:r>
      <w:r w:rsidRPr="00BE2BB5">
        <w:rPr>
          <w:bCs/>
          <w:i/>
        </w:rPr>
        <w:t xml:space="preserve">Lutra </w:t>
      </w:r>
      <w:proofErr w:type="spellStart"/>
      <w:r w:rsidRPr="00BE2BB5">
        <w:rPr>
          <w:bCs/>
          <w:i/>
        </w:rPr>
        <w:t>lutra</w:t>
      </w:r>
      <w:proofErr w:type="spellEnd"/>
      <w:r w:rsidRPr="00BE2BB5">
        <w:rPr>
          <w:bCs/>
          <w:i/>
        </w:rPr>
        <w:t xml:space="preserve"> </w:t>
      </w:r>
      <w:r w:rsidRPr="00BE2BB5">
        <w:rPr>
          <w:bCs/>
        </w:rPr>
        <w:t xml:space="preserve"> cele uwzględniają konieczność utrzymania  właściwego stanu ochrony (</w:t>
      </w:r>
      <w:proofErr w:type="spellStart"/>
      <w:r w:rsidRPr="00BE2BB5">
        <w:rPr>
          <w:bCs/>
        </w:rPr>
        <w:t>FV</w:t>
      </w:r>
      <w:proofErr w:type="spellEnd"/>
      <w:r w:rsidRPr="00BE2BB5">
        <w:rPr>
          <w:bCs/>
        </w:rPr>
        <w:t xml:space="preserve">). W doniesieniu do gatunków 1188 kumak nizinny </w:t>
      </w:r>
      <w:proofErr w:type="spellStart"/>
      <w:r w:rsidRPr="00BE2BB5">
        <w:rPr>
          <w:bCs/>
          <w:i/>
        </w:rPr>
        <w:t>Bombina</w:t>
      </w:r>
      <w:proofErr w:type="spellEnd"/>
      <w:r w:rsidRPr="00BE2BB5">
        <w:rPr>
          <w:bCs/>
          <w:i/>
        </w:rPr>
        <w:t xml:space="preserve"> </w:t>
      </w:r>
      <w:proofErr w:type="spellStart"/>
      <w:r w:rsidRPr="00BE2BB5">
        <w:rPr>
          <w:bCs/>
          <w:i/>
        </w:rPr>
        <w:t>bombina</w:t>
      </w:r>
      <w:proofErr w:type="spellEnd"/>
      <w:r w:rsidRPr="00BE2BB5">
        <w:rPr>
          <w:bCs/>
          <w:i/>
        </w:rPr>
        <w:t xml:space="preserve"> </w:t>
      </w:r>
      <w:r w:rsidRPr="00BE2BB5">
        <w:rPr>
          <w:bCs/>
          <w:iCs/>
        </w:rPr>
        <w:t>i</w:t>
      </w:r>
      <w:r w:rsidRPr="00BE2BB5">
        <w:rPr>
          <w:bCs/>
        </w:rPr>
        <w:t xml:space="preserve"> 1145 piskorz </w:t>
      </w:r>
      <w:proofErr w:type="spellStart"/>
      <w:r w:rsidRPr="00BE2BB5">
        <w:rPr>
          <w:bCs/>
          <w:i/>
        </w:rPr>
        <w:t>Misgurnus</w:t>
      </w:r>
      <w:proofErr w:type="spellEnd"/>
      <w:r w:rsidRPr="00BE2BB5">
        <w:rPr>
          <w:bCs/>
          <w:i/>
        </w:rPr>
        <w:t xml:space="preserve"> </w:t>
      </w:r>
      <w:proofErr w:type="spellStart"/>
      <w:r w:rsidRPr="00BE2BB5">
        <w:rPr>
          <w:bCs/>
          <w:i/>
        </w:rPr>
        <w:t>fossilis</w:t>
      </w:r>
      <w:proofErr w:type="spellEnd"/>
      <w:r w:rsidRPr="00BE2BB5">
        <w:rPr>
          <w:bCs/>
        </w:rPr>
        <w:t xml:space="preserve"> ustalone cele uwzględniają również konieczności uzupełnienia stanu wiedzy o tych przedmiotach ochrony. Cele te muszą być brane pod uwagę przez podmiot sprawujący nadzór nad obszarem Natura 2000, zarządzających gruntami w obszarze Natura 2000 oraz w trakcie prowadzenia ocen wpływu programów i przedsięwzięć na obszar Natura 2000.</w:t>
      </w:r>
    </w:p>
    <w:p w:rsidR="00F50E96" w:rsidRPr="00BE2BB5" w:rsidRDefault="00F50E96" w:rsidP="00F50E96">
      <w:pPr>
        <w:tabs>
          <w:tab w:val="left" w:pos="3510"/>
        </w:tabs>
        <w:spacing w:line="276" w:lineRule="auto"/>
        <w:jc w:val="left"/>
        <w:rPr>
          <w:bCs/>
        </w:rPr>
      </w:pPr>
      <w:r w:rsidRPr="00BE2BB5">
        <w:rPr>
          <w:bCs/>
        </w:rPr>
        <w:t xml:space="preserve">W związku z powyższym Regionalny Dyrektor Ochrony Środowiska w Katowicach przystąpił do sporządzenia zarządzenia </w:t>
      </w:r>
      <w:r>
        <w:rPr>
          <w:bCs/>
        </w:rPr>
        <w:t>zmieniającego</w:t>
      </w:r>
      <w:r w:rsidRPr="00BE2BB5">
        <w:rPr>
          <w:bCs/>
        </w:rPr>
        <w:t xml:space="preserve"> zarządzenia w sprawie ustanowienia planu zadań ochronnych ochrony dla obszaru Natura 2000 Zbiornik Goczałkowicki – Ujście Wisły i Bajerki PLH240039. </w:t>
      </w:r>
    </w:p>
    <w:p w:rsidR="00F50E96" w:rsidRPr="00BE2BB5" w:rsidRDefault="00F50E96" w:rsidP="00F50E96">
      <w:pPr>
        <w:tabs>
          <w:tab w:val="left" w:pos="3510"/>
        </w:tabs>
        <w:spacing w:line="276" w:lineRule="auto"/>
        <w:jc w:val="left"/>
        <w:rPr>
          <w:bCs/>
        </w:rPr>
      </w:pPr>
      <w:r w:rsidRPr="00BE2BB5">
        <w:rPr>
          <w:bCs/>
        </w:rPr>
        <w:t>Zmiana Zarządzenia Regionalnego Dyrektora Ochrony Środowiska w Katowicach z dnia 12 grudnia 2019 roku w sprawie ustanowienia planu zadań ochronnych dla obszaru Natura 2000 Zbiornik Goczałkowicki – Ujście Wisły i Bajerki PLH240039 (Dz. Urz. Woj. Śl. z 2019 r. poz. 8882) polega na zmianie załącznika nr 4 do zarządzenia, który zawiera cele działań ochronnych dla przedmiotów ochrony obszaru Natura 2000</w:t>
      </w:r>
      <w:r w:rsidRPr="00BE2BB5">
        <w:t>.</w:t>
      </w:r>
    </w:p>
    <w:p w:rsidR="00F50E96" w:rsidRPr="00BE2BB5" w:rsidRDefault="00F50E96" w:rsidP="00F50E96">
      <w:pPr>
        <w:spacing w:line="276" w:lineRule="auto"/>
        <w:jc w:val="left"/>
        <w:rPr>
          <w:bCs/>
        </w:rPr>
      </w:pPr>
      <w:r w:rsidRPr="00BE2BB5">
        <w:rPr>
          <w:bCs/>
        </w:rPr>
        <w:t xml:space="preserve">Szczegółowe cele ochrony dla przedmiotów ochrony obszaru Natura 2000 opracowano na podstawie „Dokumentacji planu zadań ochronnych”, sporządzonej na podstawie ekspertyzy „Rozpoznanie przyrodnicze w obszarze Zbiornik Goczałkowicki – Ujście Wisły i Bajerki PLH240039” (Klich S., Klich M., Tarnów, 2018 r.), a także w oparciu o przewodniki metodyczne Głównego Inspektora Ochrony Środowiska dla siedliska przyrodniczego oraz gatunków. Cele ochrony odnoszą się do poszczególnych parametrów i wskaźników stanu ochrony. </w:t>
      </w:r>
    </w:p>
    <w:p w:rsidR="00F50E96" w:rsidRPr="00BE2BB5" w:rsidRDefault="00F50E96" w:rsidP="00F50E96">
      <w:pPr>
        <w:spacing w:line="276" w:lineRule="auto"/>
        <w:jc w:val="left"/>
      </w:pPr>
      <w:r w:rsidRPr="00BE2BB5">
        <w:rPr>
          <w:bCs/>
        </w:rPr>
        <w:t xml:space="preserve">Dla siedliska </w:t>
      </w:r>
      <w:r w:rsidRPr="00BE2BB5">
        <w:t xml:space="preserve">3150 </w:t>
      </w:r>
      <w:r w:rsidRPr="00BE2BB5">
        <w:rPr>
          <w:bCs/>
        </w:rPr>
        <w:t>Starorzecza i naturalne eutroficzne zbiorniki wodne ze zbiorowiskami z </w:t>
      </w:r>
      <w:proofErr w:type="spellStart"/>
      <w:r w:rsidRPr="00BE2BB5">
        <w:rPr>
          <w:bCs/>
          <w:i/>
        </w:rPr>
        <w:t>Nympheion</w:t>
      </w:r>
      <w:proofErr w:type="spellEnd"/>
      <w:r w:rsidRPr="00BE2BB5">
        <w:rPr>
          <w:bCs/>
          <w:i/>
        </w:rPr>
        <w:t xml:space="preserve">, </w:t>
      </w:r>
      <w:proofErr w:type="spellStart"/>
      <w:r w:rsidRPr="00BE2BB5">
        <w:rPr>
          <w:bCs/>
          <w:i/>
        </w:rPr>
        <w:t>Potamion</w:t>
      </w:r>
      <w:proofErr w:type="spellEnd"/>
      <w:r w:rsidRPr="00BE2BB5">
        <w:rPr>
          <w:bCs/>
          <w:iCs/>
        </w:rPr>
        <w:t xml:space="preserve"> jako cele wskazano: </w:t>
      </w:r>
      <w:r w:rsidRPr="00544E6D">
        <w:rPr>
          <w:rFonts w:eastAsia="Calibri"/>
        </w:rPr>
        <w:t xml:space="preserve">utrzymanie powierzchni siedliska na co najmniej </w:t>
      </w:r>
      <w:r w:rsidRPr="00544E6D">
        <w:t>1,56</w:t>
      </w:r>
      <w:r w:rsidRPr="00544E6D">
        <w:rPr>
          <w:rFonts w:eastAsia="Calibri"/>
        </w:rPr>
        <w:t xml:space="preserve"> ha z uwzględnieniem naturalnych procesów, a także utrzymanie oceny wskaźników: </w:t>
      </w:r>
      <w:r w:rsidRPr="00544E6D">
        <w:t>„charakterystyczna kombinacja zbiorowisk w obrębie transektu” (na wybranych stanowiskach), „gatunki wskazujące na degenerację siedliska”, „barwa wody”, „konduktywność (przewodnictwo elektrolityczne)”, „przezroczystość wody” (na wybranych stanowiskach), „odczyn</w:t>
      </w:r>
      <w:r w:rsidRPr="00BE2BB5">
        <w:t xml:space="preserve"> wody”, „plankton: fitoplankton” (na wybranych stanowiskach), „plankton: zooplankton” (na wybranych stanowiskach). </w:t>
      </w:r>
    </w:p>
    <w:p w:rsidR="00F50E96" w:rsidRPr="00BE2BB5" w:rsidRDefault="00F50E96" w:rsidP="00F50E96">
      <w:pPr>
        <w:spacing w:line="276" w:lineRule="auto"/>
        <w:jc w:val="left"/>
      </w:pPr>
      <w:r w:rsidRPr="00BE2BB5">
        <w:t xml:space="preserve">Dla gatunku </w:t>
      </w:r>
      <w:r w:rsidRPr="00BE2BB5">
        <w:rPr>
          <w:bCs/>
        </w:rPr>
        <w:t xml:space="preserve">1355 wydra </w:t>
      </w:r>
      <w:r w:rsidRPr="00BE2BB5">
        <w:rPr>
          <w:bCs/>
          <w:i/>
        </w:rPr>
        <w:t xml:space="preserve">Lutra </w:t>
      </w:r>
      <w:proofErr w:type="spellStart"/>
      <w:r w:rsidRPr="00BE2BB5">
        <w:rPr>
          <w:bCs/>
          <w:i/>
        </w:rPr>
        <w:t>lutra</w:t>
      </w:r>
      <w:proofErr w:type="spellEnd"/>
      <w:r w:rsidRPr="00BE2BB5">
        <w:rPr>
          <w:bCs/>
          <w:i/>
        </w:rPr>
        <w:t xml:space="preserve"> </w:t>
      </w:r>
      <w:r w:rsidRPr="00BE2BB5">
        <w:rPr>
          <w:bCs/>
          <w:iCs/>
        </w:rPr>
        <w:t xml:space="preserve">jako cele wskazano: </w:t>
      </w:r>
      <w:r w:rsidRPr="00BE2BB5">
        <w:t>utrzymanie wielkości populacji w przedziale 7-14 osobników, utrzymanie</w:t>
      </w:r>
      <w:r>
        <w:t xml:space="preserve"> oceny</w:t>
      </w:r>
      <w:r w:rsidRPr="00BE2BB5">
        <w:t xml:space="preserve"> wskaźników stanu populacji „udział pozytywnych stwierdzeń gatunku”,  „indeks populacyjny” i „zagęszczenie populacji”, utrzymanie</w:t>
      </w:r>
      <w:r>
        <w:t xml:space="preserve"> oceny</w:t>
      </w:r>
      <w:r w:rsidRPr="00BE2BB5">
        <w:t xml:space="preserve"> wskaźników stanu siedliska „baza pokarmowa”, „udział siedliska kluczowego dla gatunku”, „charakter strefy brzegowej”, „stopień antropopresji” wraz z poszczególnymi wskaźnikami cząstkowymi.</w:t>
      </w:r>
      <w:r w:rsidRPr="00BE2BB5">
        <w:br/>
        <w:t xml:space="preserve">Nie uwzględniono celu w odniesieniu do wskaźnika „roczny wskaźnik trendu populacji” ze względu na brak danych, gdyż wskaźnik ten oceniany jest w drugim cyklu  monitoringu. Nie </w:t>
      </w:r>
      <w:r w:rsidRPr="00BE2BB5">
        <w:lastRenderedPageBreak/>
        <w:t xml:space="preserve">uwzględniono również celu w odniesieniu do wskaźnika cząstkowego „stopień regulacji rzek”, gdyż nie ma możliwości wdrożenia działań skutkujących poprawą jego oceny. Musiałyby być wdrożone działania zmierzające do likwidacji bariery jaką są m. in. wały Zbiornika Goczałkowickiego. Oznaczałoby to ich likwidację, a jest to sprzeczne z nadrzędnym interesem publicznym. </w:t>
      </w:r>
    </w:p>
    <w:p w:rsidR="00F50E96" w:rsidRPr="00BE2BB5" w:rsidRDefault="00F50E96" w:rsidP="00F50E96">
      <w:pPr>
        <w:spacing w:line="276" w:lineRule="auto"/>
        <w:jc w:val="left"/>
      </w:pPr>
      <w:r w:rsidRPr="00BE2BB5">
        <w:t>Dla gatunku  1</w:t>
      </w:r>
      <w:r w:rsidRPr="00BE2BB5">
        <w:rPr>
          <w:bCs/>
        </w:rPr>
        <w:t xml:space="preserve">188 kumak nizinny </w:t>
      </w:r>
      <w:proofErr w:type="spellStart"/>
      <w:r w:rsidRPr="00BE2BB5">
        <w:rPr>
          <w:bCs/>
          <w:i/>
        </w:rPr>
        <w:t>Bombina</w:t>
      </w:r>
      <w:proofErr w:type="spellEnd"/>
      <w:r w:rsidRPr="00BE2BB5">
        <w:rPr>
          <w:bCs/>
          <w:i/>
        </w:rPr>
        <w:t xml:space="preserve"> </w:t>
      </w:r>
      <w:proofErr w:type="spellStart"/>
      <w:r w:rsidRPr="00BE2BB5">
        <w:rPr>
          <w:bCs/>
          <w:i/>
        </w:rPr>
        <w:t>bombina</w:t>
      </w:r>
      <w:proofErr w:type="spellEnd"/>
      <w:r w:rsidRPr="00BE2BB5">
        <w:rPr>
          <w:bCs/>
          <w:i/>
        </w:rPr>
        <w:t xml:space="preserve"> </w:t>
      </w:r>
      <w:r w:rsidRPr="00BE2BB5">
        <w:rPr>
          <w:bCs/>
          <w:iCs/>
        </w:rPr>
        <w:t xml:space="preserve">jako cele wskazano: </w:t>
      </w:r>
      <w:r w:rsidRPr="00BE2BB5">
        <w:t>uzupełnienie wiedzy o populacji gatunku w obszarze w ramach monitoringu, utrzymanie</w:t>
      </w:r>
      <w:r>
        <w:t xml:space="preserve"> oceny</w:t>
      </w:r>
      <w:r w:rsidRPr="00BE2BB5">
        <w:t xml:space="preserve"> zbiorczego wskaźnika jakości siedliska w przedziale 6-9,5 pkt., a także utrzymanie &gt;25% udziału szuwaru w powierzchni zbiornika,  utrzymanie obecności szuwaru o wysokości 1 m lub niższego,  utrzymanie roślinności zanurzonej i pływającej (bez szuwaru) w formie kępkowej i nielicznej lub licznej, ale nie o pionowych pędach, utrzymanie &lt;50% zacienionej powierzchni zbiornika,  utrzymanie obecności płycizn – miejsc o głębokości do 30 cm,  utrzymanie braku zabudowy zbiornika w promieniu do 100 m,  utrzymanie braku obecności drogi asfaltowej w promieniu do 100 m od zbiornika.</w:t>
      </w:r>
      <w:r w:rsidRPr="00BE2BB5">
        <w:br/>
        <w:t xml:space="preserve">Nie uwzględniono celu w odniesieniu do charakterystyk: „nachylenie brzegów zbiornika”, „obecność ryb”, „bariery wokół brzegu zbiornika” oraz „inne zbiorniki wodne w promieniu 500 m”, gdyż nie ma możliwości wdrożenia działań skutkujących poprawą ich oceny. Musiałyby być wdrożone działania zmierzające do likwidacji bariery jaką są m. in. wały Zbiornika Goczałkowickiego. Oznaczałoby to ich likwidację, a jest to sprzeczne z nadrzędnym interesem publicznym. Ponadto gospodarka rybacka prowadzona na Zbiorniku Goczałkowickim ma na celu przede wszystkim utrzymanie, a nawet poprawę, stanu czystości wód zbiornika, zaopatrującego w wodę pitną i przemysłową wiele miejscowości Górnego Śląska. </w:t>
      </w:r>
    </w:p>
    <w:p w:rsidR="00F50E96" w:rsidRPr="00BE2BB5" w:rsidRDefault="00F50E96" w:rsidP="00F50E96">
      <w:pPr>
        <w:spacing w:line="276" w:lineRule="auto"/>
        <w:jc w:val="left"/>
        <w:rPr>
          <w:bCs/>
          <w:highlight w:val="yellow"/>
        </w:rPr>
      </w:pPr>
      <w:r w:rsidRPr="00BE2BB5">
        <w:t>W </w:t>
      </w:r>
      <w:r w:rsidRPr="00BE2BB5">
        <w:rPr>
          <w:bCs/>
        </w:rPr>
        <w:t xml:space="preserve">przypadku piskorza </w:t>
      </w:r>
      <w:proofErr w:type="spellStart"/>
      <w:r w:rsidRPr="00BE2BB5">
        <w:rPr>
          <w:bCs/>
          <w:i/>
        </w:rPr>
        <w:t>Misgurnus</w:t>
      </w:r>
      <w:proofErr w:type="spellEnd"/>
      <w:r w:rsidRPr="00BE2BB5">
        <w:rPr>
          <w:bCs/>
          <w:i/>
        </w:rPr>
        <w:t xml:space="preserve"> </w:t>
      </w:r>
      <w:proofErr w:type="spellStart"/>
      <w:r w:rsidRPr="00BE2BB5">
        <w:rPr>
          <w:bCs/>
          <w:i/>
        </w:rPr>
        <w:t>fossilis</w:t>
      </w:r>
      <w:proofErr w:type="spellEnd"/>
      <w:r w:rsidRPr="00BE2BB5">
        <w:rPr>
          <w:bCs/>
        </w:rPr>
        <w:t xml:space="preserve"> (kod: 1145) jako cel wskazano weryfikację występowania gatunku w obszarze, gdyż w trakcie badań w latach 2017-2018 nie stwierdzono tego gatunku w granicach obszaru Natura 2000. </w:t>
      </w:r>
    </w:p>
    <w:p w:rsidR="00F50E96" w:rsidRPr="00BE2BB5" w:rsidRDefault="00F50E96" w:rsidP="00F50E96">
      <w:pPr>
        <w:tabs>
          <w:tab w:val="left" w:pos="3510"/>
        </w:tabs>
        <w:spacing w:line="276" w:lineRule="auto"/>
        <w:jc w:val="left"/>
        <w:rPr>
          <w:bCs/>
        </w:rPr>
      </w:pPr>
      <w:r w:rsidRPr="00BE2BB5">
        <w:rPr>
          <w:bCs/>
        </w:rPr>
        <w:t>Działając na podstawie art. 28 ust. 9 ustawy o ochronie przyrody oraz rozporządzenia Ministra Środowiska z dnia 17 lutego 2010 r. w sprawie sporządzania projektu planu zadań ochronnych dla obszaru Natura 2000 (Dz. U. z 2010 r. Nr 34, poz. 186, z </w:t>
      </w:r>
      <w:proofErr w:type="spellStart"/>
      <w:r w:rsidRPr="00BE2BB5">
        <w:rPr>
          <w:bCs/>
        </w:rPr>
        <w:t>późn</w:t>
      </w:r>
      <w:proofErr w:type="spellEnd"/>
      <w:r w:rsidRPr="00BE2BB5">
        <w:rPr>
          <w:bCs/>
        </w:rPr>
        <w:t>. zm.), Regionalny Dyrektor Ochrony Środowiska w Katowicach: podał do publicznej wiadomości informację o przystąpieniu do opracowania projektu zarządzenia zmieniającego, opracował projekt zarządzenia, zapewnił udział społeczeństwa w ocenie tego dokumentu na zasadach i w trybie określonym w ustawie o udostępnieniu informacji o środowisku i jego ochronie, udziale społeczeństwa w ochronie środowiska oraz o ocenach oddziaływania na środowisko poprzez: umożliwienie zapoznania się z projektem zarządzenia, umożliwienie składania uwag i wniosków w wyznaczonym terminie; rozpatrzenie uwag i wniosków.</w:t>
      </w:r>
    </w:p>
    <w:p w:rsidR="00F50E96" w:rsidRPr="00BE2BB5" w:rsidRDefault="00F50E96" w:rsidP="00F50E96">
      <w:pPr>
        <w:tabs>
          <w:tab w:val="left" w:pos="3510"/>
        </w:tabs>
        <w:spacing w:line="276" w:lineRule="auto"/>
        <w:jc w:val="left"/>
        <w:rPr>
          <w:bCs/>
        </w:rPr>
      </w:pPr>
      <w:r w:rsidRPr="00BE2BB5">
        <w:rPr>
          <w:bCs/>
        </w:rPr>
        <w:t>Obszar Natura 2000 Zbiornik Goczałkowicki – Ujście Wisły i Bajerki PLH240039 położony jest w </w:t>
      </w:r>
      <w:r w:rsidRPr="00BE2BB5">
        <w:t>gminie Czechowice-Dziedzice w powiecie bielskim, w gminach Chybie i Strumień w powiecie cieszyńskim oraz w gminach Goczałkowice-Zdrój i Pszczyna w powiecie pszczyńskim</w:t>
      </w:r>
      <w:r w:rsidRPr="00BE2BB5">
        <w:rPr>
          <w:bCs/>
        </w:rPr>
        <w:t xml:space="preserve">. Informację o przystąpieniu do sporządzenia projektu zarządzenia </w:t>
      </w:r>
      <w:r>
        <w:rPr>
          <w:bCs/>
        </w:rPr>
        <w:t>zmieniającego</w:t>
      </w:r>
      <w:r w:rsidRPr="00BE2BB5">
        <w:rPr>
          <w:bCs/>
        </w:rPr>
        <w:t xml:space="preserve"> zarządzenie w sprawie ustanowienia planu ochrony dla obszaru Natura 2000 Zbiornik Goczałkowicki – Ujście Wisły i Bajerki PLH240039, Regionalny Dyrektor Ochrony Środowiska w Katowicach podał do publicznej wiadomości w obwieszczeniu znak: WPN.6320.2.2022.MA z dnia 2 lutego 2022 r., które:</w:t>
      </w:r>
    </w:p>
    <w:p w:rsidR="00F50E96" w:rsidRPr="00BE2BB5" w:rsidRDefault="00F50E96" w:rsidP="00F50E96">
      <w:pPr>
        <w:pStyle w:val="Akapitzlist"/>
        <w:numPr>
          <w:ilvl w:val="0"/>
          <w:numId w:val="4"/>
        </w:numPr>
        <w:tabs>
          <w:tab w:val="left" w:pos="3510"/>
        </w:tabs>
        <w:spacing w:line="276" w:lineRule="auto"/>
        <w:jc w:val="left"/>
        <w:rPr>
          <w:bCs/>
          <w:szCs w:val="24"/>
        </w:rPr>
      </w:pPr>
      <w:r w:rsidRPr="00BE2BB5">
        <w:rPr>
          <w:bCs/>
          <w:szCs w:val="24"/>
        </w:rPr>
        <w:lastRenderedPageBreak/>
        <w:t>wywieszono na tablicy ogłoszeń Regionalnej Dyrekcji Ochrony Środowiska w Katowicach w dniach od 4 lutego 2022 r. do 28 lutego 2022 r.,</w:t>
      </w:r>
    </w:p>
    <w:p w:rsidR="00F50E96" w:rsidRPr="00BE2BB5" w:rsidRDefault="00F50E96" w:rsidP="00F50E96">
      <w:pPr>
        <w:pStyle w:val="Akapitzlist"/>
        <w:numPr>
          <w:ilvl w:val="0"/>
          <w:numId w:val="4"/>
        </w:numPr>
        <w:tabs>
          <w:tab w:val="left" w:pos="3510"/>
        </w:tabs>
        <w:spacing w:line="276" w:lineRule="auto"/>
        <w:jc w:val="left"/>
        <w:rPr>
          <w:bCs/>
          <w:szCs w:val="24"/>
        </w:rPr>
      </w:pPr>
      <w:r w:rsidRPr="00BE2BB5">
        <w:rPr>
          <w:bCs/>
          <w:szCs w:val="24"/>
        </w:rPr>
        <w:t>wywieszono na tablicy ogłoszeń w siedzibie Urzędu Gminy Czechowice-Dziedzice w dniach od 3 lutego 2022 r. do 21 lutego 2022 r.,</w:t>
      </w:r>
    </w:p>
    <w:p w:rsidR="00F50E96" w:rsidRPr="00BE2BB5" w:rsidRDefault="00F50E96" w:rsidP="00F50E96">
      <w:pPr>
        <w:pStyle w:val="Akapitzlist"/>
        <w:numPr>
          <w:ilvl w:val="0"/>
          <w:numId w:val="4"/>
        </w:numPr>
        <w:tabs>
          <w:tab w:val="left" w:pos="3510"/>
        </w:tabs>
        <w:spacing w:line="276" w:lineRule="auto"/>
        <w:jc w:val="left"/>
        <w:rPr>
          <w:bCs/>
          <w:szCs w:val="24"/>
        </w:rPr>
      </w:pPr>
      <w:r w:rsidRPr="00BE2BB5">
        <w:rPr>
          <w:bCs/>
          <w:szCs w:val="24"/>
        </w:rPr>
        <w:t>wywieszono na tablicy ogłoszeń w siedzibie Urzędu Gminy Chybie w dniach od 8 lutego 2022 r. do 22 lutego 2022 r.,</w:t>
      </w:r>
    </w:p>
    <w:p w:rsidR="00F50E96" w:rsidRPr="00BE2BB5" w:rsidRDefault="00F50E96" w:rsidP="00F50E96">
      <w:pPr>
        <w:pStyle w:val="Akapitzlist"/>
        <w:numPr>
          <w:ilvl w:val="0"/>
          <w:numId w:val="4"/>
        </w:numPr>
        <w:tabs>
          <w:tab w:val="left" w:pos="3510"/>
        </w:tabs>
        <w:spacing w:line="276" w:lineRule="auto"/>
        <w:jc w:val="left"/>
        <w:rPr>
          <w:bCs/>
          <w:szCs w:val="24"/>
        </w:rPr>
      </w:pPr>
      <w:r w:rsidRPr="00BE2BB5">
        <w:rPr>
          <w:bCs/>
          <w:szCs w:val="24"/>
        </w:rPr>
        <w:t>wywieszono na tablicy ogłoszeń w siedzibie Urzędu Gminy Strumień w dniach od 3 lutego 2022 r. do 18 lutego 2022 r.,</w:t>
      </w:r>
    </w:p>
    <w:p w:rsidR="00F50E96" w:rsidRPr="00BE2BB5" w:rsidRDefault="00F50E96" w:rsidP="00F50E96">
      <w:pPr>
        <w:pStyle w:val="Akapitzlist"/>
        <w:numPr>
          <w:ilvl w:val="0"/>
          <w:numId w:val="4"/>
        </w:numPr>
        <w:tabs>
          <w:tab w:val="left" w:pos="3510"/>
        </w:tabs>
        <w:spacing w:line="276" w:lineRule="auto"/>
        <w:jc w:val="left"/>
        <w:rPr>
          <w:bCs/>
          <w:szCs w:val="24"/>
        </w:rPr>
      </w:pPr>
      <w:r w:rsidRPr="00BE2BB5">
        <w:rPr>
          <w:bCs/>
          <w:szCs w:val="24"/>
        </w:rPr>
        <w:t xml:space="preserve"> wywieszono na tablicy ogłoszeń w siedzibie Urzędu Gminy Goczałkowice-Zdrój w dniach od 3 lutego 2022 r. do 17 lutego 2022 r.,</w:t>
      </w:r>
    </w:p>
    <w:p w:rsidR="00F50E96" w:rsidRPr="00BE2BB5" w:rsidRDefault="00F50E96" w:rsidP="00F50E96">
      <w:pPr>
        <w:pStyle w:val="Akapitzlist"/>
        <w:numPr>
          <w:ilvl w:val="0"/>
          <w:numId w:val="4"/>
        </w:numPr>
        <w:tabs>
          <w:tab w:val="left" w:pos="3510"/>
        </w:tabs>
        <w:spacing w:line="276" w:lineRule="auto"/>
        <w:jc w:val="left"/>
        <w:rPr>
          <w:bCs/>
          <w:szCs w:val="24"/>
        </w:rPr>
      </w:pPr>
      <w:r w:rsidRPr="00BE2BB5">
        <w:rPr>
          <w:bCs/>
          <w:szCs w:val="24"/>
        </w:rPr>
        <w:t>wywieszono na tablicy ogłoszeń w siedzibie Urzędu Gminy Pszczyna w dniach od 4 lutego 2022 r. do 21 lutego 2022 r.,</w:t>
      </w:r>
    </w:p>
    <w:p w:rsidR="00F50E96" w:rsidRPr="00BE2BB5" w:rsidRDefault="00F50E96" w:rsidP="00F50E96">
      <w:pPr>
        <w:pStyle w:val="Akapitzlist"/>
        <w:numPr>
          <w:ilvl w:val="0"/>
          <w:numId w:val="4"/>
        </w:numPr>
        <w:tabs>
          <w:tab w:val="left" w:pos="3510"/>
        </w:tabs>
        <w:spacing w:line="276" w:lineRule="auto"/>
        <w:jc w:val="left"/>
        <w:rPr>
          <w:bCs/>
          <w:szCs w:val="24"/>
        </w:rPr>
      </w:pPr>
      <w:r w:rsidRPr="00BE2BB5">
        <w:rPr>
          <w:bCs/>
          <w:szCs w:val="24"/>
        </w:rPr>
        <w:t>opublikowano w Biuletynie Informacji Publicznej Regionalnej Dyrekcji Ochrony Środowiska w Katowicach w dniu 4 lutego 2022 r.,</w:t>
      </w:r>
    </w:p>
    <w:p w:rsidR="00F50E96" w:rsidRPr="00BE2BB5" w:rsidRDefault="00F50E96" w:rsidP="00F50E96">
      <w:pPr>
        <w:pStyle w:val="Akapitzlist"/>
        <w:numPr>
          <w:ilvl w:val="0"/>
          <w:numId w:val="4"/>
        </w:numPr>
        <w:tabs>
          <w:tab w:val="left" w:pos="3510"/>
        </w:tabs>
        <w:spacing w:line="276" w:lineRule="auto"/>
        <w:jc w:val="left"/>
        <w:rPr>
          <w:bCs/>
          <w:szCs w:val="24"/>
        </w:rPr>
      </w:pPr>
      <w:r w:rsidRPr="00BE2BB5">
        <w:rPr>
          <w:bCs/>
          <w:szCs w:val="24"/>
        </w:rPr>
        <w:t>opublikowano w prasie o odpowiednim do rodzaju dokumentu zasięgu, tj. w Dzienniku Zachodnim z dnia 10 lutego 2022 r.</w:t>
      </w:r>
    </w:p>
    <w:p w:rsidR="00F50E96" w:rsidRPr="00BE2BB5" w:rsidRDefault="00F50E96" w:rsidP="00F50E96">
      <w:pPr>
        <w:tabs>
          <w:tab w:val="left" w:pos="3510"/>
        </w:tabs>
        <w:spacing w:line="276" w:lineRule="auto"/>
        <w:jc w:val="left"/>
        <w:rPr>
          <w:bCs/>
        </w:rPr>
      </w:pPr>
      <w:r w:rsidRPr="00BE2BB5">
        <w:rPr>
          <w:bCs/>
        </w:rPr>
        <w:t>Informację o sporządzeniu projektu zarządzenia zmieniającego zarządzenie w sprawie ustanowienia planu zadań ochronnych dla obszaru Natura 2000 Zbiornik Goczałkowicki – Ujście Wisły i Bajerki PLH240039 oraz o </w:t>
      </w:r>
      <w:r w:rsidRPr="00BE2BB5">
        <w:t>możliwości</w:t>
      </w:r>
      <w:r w:rsidRPr="00BE2BB5">
        <w:rPr>
          <w:bCs/>
        </w:rPr>
        <w:t xml:space="preserve"> zapoznania się z nim, Regionalny Dyrektor Ochrony Środowiska w Katowicach podał do publicznej wiadomości w obwieszczeniu znak: WPN.6320.2.2022.MA z dnia 11 kwietnia 2022 r., które:</w:t>
      </w:r>
    </w:p>
    <w:p w:rsidR="00F50E96" w:rsidRPr="00BE2BB5" w:rsidRDefault="00F50E96" w:rsidP="00F50E96">
      <w:pPr>
        <w:pStyle w:val="Akapitzlist"/>
        <w:numPr>
          <w:ilvl w:val="0"/>
          <w:numId w:val="5"/>
        </w:numPr>
        <w:tabs>
          <w:tab w:val="left" w:pos="3510"/>
        </w:tabs>
        <w:spacing w:line="276" w:lineRule="auto"/>
        <w:jc w:val="left"/>
        <w:rPr>
          <w:bCs/>
          <w:szCs w:val="24"/>
        </w:rPr>
      </w:pPr>
      <w:r w:rsidRPr="00BE2BB5">
        <w:rPr>
          <w:bCs/>
          <w:szCs w:val="24"/>
        </w:rPr>
        <w:t>wywieszono na tablicy ogłoszeń Regionalnej Dyrekcji Ochrony Środowiska w Katowicach w dniach 11 kwietnia 2022 r. do 9 maja 2022 r.,</w:t>
      </w:r>
    </w:p>
    <w:p w:rsidR="00F50E96" w:rsidRPr="00BE2BB5" w:rsidRDefault="00F50E96" w:rsidP="00F50E96">
      <w:pPr>
        <w:pStyle w:val="Akapitzlist"/>
        <w:numPr>
          <w:ilvl w:val="0"/>
          <w:numId w:val="5"/>
        </w:numPr>
        <w:tabs>
          <w:tab w:val="left" w:pos="3510"/>
        </w:tabs>
        <w:spacing w:line="276" w:lineRule="auto"/>
        <w:jc w:val="left"/>
        <w:rPr>
          <w:bCs/>
          <w:szCs w:val="24"/>
        </w:rPr>
      </w:pPr>
      <w:r w:rsidRPr="00BE2BB5">
        <w:rPr>
          <w:bCs/>
          <w:szCs w:val="24"/>
        </w:rPr>
        <w:t>wywieszono na tablicy ogłoszeń w siedzibie Urzędu Gminy Czechowice-Dziedzice w dniach 13 kwietnia 2022 r. do 4 maja 2022 r.,</w:t>
      </w:r>
    </w:p>
    <w:p w:rsidR="00F50E96" w:rsidRPr="00BE2BB5" w:rsidRDefault="00F50E96" w:rsidP="00F50E96">
      <w:pPr>
        <w:pStyle w:val="Akapitzlist"/>
        <w:numPr>
          <w:ilvl w:val="0"/>
          <w:numId w:val="5"/>
        </w:numPr>
        <w:tabs>
          <w:tab w:val="left" w:pos="3510"/>
        </w:tabs>
        <w:spacing w:line="276" w:lineRule="auto"/>
        <w:jc w:val="left"/>
        <w:rPr>
          <w:bCs/>
          <w:szCs w:val="24"/>
        </w:rPr>
      </w:pPr>
      <w:r w:rsidRPr="00BE2BB5">
        <w:rPr>
          <w:bCs/>
          <w:szCs w:val="24"/>
        </w:rPr>
        <w:t>wywieszono na tablicy ogłoszeń w siedzibie Urzędu Gminy Chybie w dniach 13 kwietnia 2022 r. do 5 maja 2022 r.,</w:t>
      </w:r>
    </w:p>
    <w:p w:rsidR="00F50E96" w:rsidRPr="00BE2BB5" w:rsidRDefault="00F50E96" w:rsidP="00F50E96">
      <w:pPr>
        <w:pStyle w:val="Akapitzlist"/>
        <w:numPr>
          <w:ilvl w:val="0"/>
          <w:numId w:val="5"/>
        </w:numPr>
        <w:tabs>
          <w:tab w:val="left" w:pos="3510"/>
        </w:tabs>
        <w:spacing w:line="276" w:lineRule="auto"/>
        <w:jc w:val="left"/>
        <w:rPr>
          <w:bCs/>
          <w:szCs w:val="24"/>
        </w:rPr>
      </w:pPr>
      <w:r w:rsidRPr="00BE2BB5">
        <w:rPr>
          <w:bCs/>
          <w:szCs w:val="24"/>
        </w:rPr>
        <w:t>wywieszono na tablicy ogłoszeń w siedzibie Urzędu Gminy Strumień w dniach 12 kwietnia 2022 r. do 4 maja 2022 r.,</w:t>
      </w:r>
    </w:p>
    <w:p w:rsidR="00F50E96" w:rsidRPr="00BE2BB5" w:rsidRDefault="00F50E96" w:rsidP="00F50E96">
      <w:pPr>
        <w:pStyle w:val="Akapitzlist"/>
        <w:numPr>
          <w:ilvl w:val="0"/>
          <w:numId w:val="5"/>
        </w:numPr>
        <w:tabs>
          <w:tab w:val="left" w:pos="3510"/>
        </w:tabs>
        <w:spacing w:line="276" w:lineRule="auto"/>
        <w:jc w:val="left"/>
        <w:rPr>
          <w:bCs/>
          <w:szCs w:val="24"/>
        </w:rPr>
      </w:pPr>
      <w:r w:rsidRPr="00BE2BB5">
        <w:rPr>
          <w:bCs/>
          <w:szCs w:val="24"/>
        </w:rPr>
        <w:t>wywieszono na tablicy ogłoszeń w siedzibie Urzędu Gminy Goczałkowice-Zdrój w dniach 12 kwietnia 2022 r. do 5 maja 2022 r.,</w:t>
      </w:r>
    </w:p>
    <w:p w:rsidR="00F50E96" w:rsidRPr="00BE2BB5" w:rsidRDefault="00F50E96" w:rsidP="00F50E96">
      <w:pPr>
        <w:pStyle w:val="Akapitzlist"/>
        <w:numPr>
          <w:ilvl w:val="0"/>
          <w:numId w:val="5"/>
        </w:numPr>
        <w:tabs>
          <w:tab w:val="left" w:pos="3510"/>
        </w:tabs>
        <w:spacing w:line="276" w:lineRule="auto"/>
        <w:jc w:val="left"/>
        <w:rPr>
          <w:bCs/>
          <w:szCs w:val="24"/>
        </w:rPr>
      </w:pPr>
      <w:r w:rsidRPr="00BE2BB5">
        <w:rPr>
          <w:bCs/>
          <w:szCs w:val="24"/>
        </w:rPr>
        <w:t>wywieszono na tablicy ogłoszeń w siedzibie Urzędu Gminy Pszczyna w dniach 12 kwietnia 2022 r. do 4 maja 2022 r.,</w:t>
      </w:r>
    </w:p>
    <w:p w:rsidR="00F50E96" w:rsidRPr="00BE2BB5" w:rsidRDefault="00F50E96" w:rsidP="00F50E96">
      <w:pPr>
        <w:pStyle w:val="Akapitzlist"/>
        <w:numPr>
          <w:ilvl w:val="0"/>
          <w:numId w:val="5"/>
        </w:numPr>
        <w:tabs>
          <w:tab w:val="left" w:pos="3510"/>
        </w:tabs>
        <w:spacing w:line="276" w:lineRule="auto"/>
        <w:jc w:val="left"/>
        <w:rPr>
          <w:bCs/>
          <w:szCs w:val="24"/>
        </w:rPr>
      </w:pPr>
      <w:r w:rsidRPr="00BE2BB5">
        <w:rPr>
          <w:bCs/>
          <w:szCs w:val="24"/>
        </w:rPr>
        <w:t>opublikowano w Biuletynie Informacji Publicznej Regionalnej Dyrekcji Ochrony Środowiska w Katowicach w dniu 11 kwietnia 2022 r.  r.,</w:t>
      </w:r>
    </w:p>
    <w:p w:rsidR="00F50E96" w:rsidRPr="00BE2BB5" w:rsidRDefault="00F50E96" w:rsidP="00F50E96">
      <w:pPr>
        <w:pStyle w:val="Akapitzlist"/>
        <w:numPr>
          <w:ilvl w:val="0"/>
          <w:numId w:val="5"/>
        </w:numPr>
        <w:tabs>
          <w:tab w:val="left" w:pos="3510"/>
        </w:tabs>
        <w:spacing w:line="276" w:lineRule="auto"/>
        <w:jc w:val="left"/>
        <w:rPr>
          <w:bCs/>
          <w:szCs w:val="24"/>
        </w:rPr>
      </w:pPr>
      <w:r w:rsidRPr="00BE2BB5">
        <w:rPr>
          <w:bCs/>
          <w:szCs w:val="24"/>
        </w:rPr>
        <w:t>opublikowano w prasie o odpowiednim do rodzaju dokumentu zasięgu, tj. w Dzienniku Zachodnim z dnia 14 kwietnia 2022 r.</w:t>
      </w:r>
    </w:p>
    <w:p w:rsidR="00F50E96" w:rsidRPr="00BE2BB5" w:rsidRDefault="00F50E96" w:rsidP="00F50E96">
      <w:pPr>
        <w:tabs>
          <w:tab w:val="left" w:pos="3510"/>
        </w:tabs>
        <w:spacing w:line="276" w:lineRule="auto"/>
        <w:jc w:val="left"/>
        <w:rPr>
          <w:bCs/>
        </w:rPr>
      </w:pPr>
      <w:r w:rsidRPr="00BE2BB5">
        <w:rPr>
          <w:bCs/>
        </w:rPr>
        <w:t>W wyznaczonym terminie nie wpłynęły uwagi do projektu zarządzenia.</w:t>
      </w:r>
    </w:p>
    <w:p w:rsidR="00F50E96" w:rsidRPr="00BE2BB5" w:rsidRDefault="00F50E96" w:rsidP="00F50E96">
      <w:pPr>
        <w:tabs>
          <w:tab w:val="left" w:pos="3510"/>
        </w:tabs>
        <w:spacing w:line="276" w:lineRule="auto"/>
        <w:jc w:val="left"/>
        <w:rPr>
          <w:bCs/>
        </w:rPr>
      </w:pPr>
      <w:r w:rsidRPr="00BE2BB5">
        <w:rPr>
          <w:bCs/>
        </w:rPr>
        <w:t xml:space="preserve">Jednakże, </w:t>
      </w:r>
      <w:r w:rsidRPr="00BE2BB5">
        <w:rPr>
          <w:bCs/>
          <w:iCs/>
        </w:rPr>
        <w:t xml:space="preserve">wewnętrzna analiza treści zarządzenia oraz uwagi Generalnej Dyrekcji Ochrony Środowiska w odniesieniu do innych projektów zarządzeń w sprawie </w:t>
      </w:r>
      <w:proofErr w:type="spellStart"/>
      <w:r w:rsidRPr="00BE2BB5">
        <w:rPr>
          <w:bCs/>
          <w:iCs/>
        </w:rPr>
        <w:t>ustanowenia</w:t>
      </w:r>
      <w:proofErr w:type="spellEnd"/>
      <w:r w:rsidRPr="00BE2BB5">
        <w:rPr>
          <w:bCs/>
          <w:iCs/>
        </w:rPr>
        <w:t xml:space="preserve"> planów zadań ochronnych dla obszarów Natura 2000 wskazały na konieczność uzupełnienia celów działań ochronnych dla siedliska przyrodniczego 3150 Starorzecza i naturalne eutroficzne zbiorniki wodne ze zbiorowiskami z </w:t>
      </w:r>
      <w:proofErr w:type="spellStart"/>
      <w:r w:rsidRPr="00BE2BB5">
        <w:rPr>
          <w:bCs/>
          <w:i/>
          <w:iCs/>
        </w:rPr>
        <w:t>Nympheion</w:t>
      </w:r>
      <w:proofErr w:type="spellEnd"/>
      <w:r w:rsidRPr="00BE2BB5">
        <w:rPr>
          <w:bCs/>
          <w:i/>
          <w:iCs/>
        </w:rPr>
        <w:t xml:space="preserve">, </w:t>
      </w:r>
      <w:proofErr w:type="spellStart"/>
      <w:r w:rsidRPr="00BE2BB5">
        <w:rPr>
          <w:bCs/>
          <w:i/>
          <w:iCs/>
        </w:rPr>
        <w:t>Potamion</w:t>
      </w:r>
      <w:proofErr w:type="spellEnd"/>
      <w:r w:rsidRPr="00BE2BB5">
        <w:rPr>
          <w:bCs/>
          <w:i/>
          <w:iCs/>
        </w:rPr>
        <w:t xml:space="preserve"> </w:t>
      </w:r>
      <w:r w:rsidRPr="00BE2BB5">
        <w:rPr>
          <w:bCs/>
        </w:rPr>
        <w:t xml:space="preserve">oraz dla gatunku 1355 wydra </w:t>
      </w:r>
      <w:r w:rsidRPr="00BE2BB5">
        <w:rPr>
          <w:bCs/>
          <w:i/>
          <w:iCs/>
        </w:rPr>
        <w:lastRenderedPageBreak/>
        <w:t xml:space="preserve">Lutra </w:t>
      </w:r>
      <w:proofErr w:type="spellStart"/>
      <w:r w:rsidRPr="00BE2BB5">
        <w:rPr>
          <w:bCs/>
          <w:i/>
          <w:iCs/>
        </w:rPr>
        <w:t>lutra</w:t>
      </w:r>
      <w:proofErr w:type="spellEnd"/>
      <w:r w:rsidRPr="00BE2BB5">
        <w:rPr>
          <w:bCs/>
          <w:i/>
          <w:iCs/>
        </w:rPr>
        <w:t xml:space="preserve">. </w:t>
      </w:r>
      <w:r w:rsidRPr="00BE2BB5">
        <w:rPr>
          <w:bCs/>
        </w:rPr>
        <w:t xml:space="preserve">Rezygnacja z określania celów w odniesieniu do wybranych wskaźników i charakterystyk dla poszczególnych przedmiotów ochrony została opisana powyżej.   </w:t>
      </w:r>
    </w:p>
    <w:p w:rsidR="00713FA4" w:rsidRDefault="00F50E96" w:rsidP="00F50E96">
      <w:pPr>
        <w:jc w:val="left"/>
      </w:pPr>
      <w:r w:rsidRPr="00BE2BB5">
        <w:rPr>
          <w:bCs/>
        </w:rPr>
        <w:t>Projekt zarządzenia, zgodnie z art. 59 ust. 2 ustawy z dnia 23 stycznia 2009 r. o wojewodzie i administracji rządowej w województwie (</w:t>
      </w:r>
      <w:proofErr w:type="spellStart"/>
      <w:r w:rsidRPr="00BE2BB5">
        <w:rPr>
          <w:bCs/>
        </w:rPr>
        <w:t>t.j</w:t>
      </w:r>
      <w:proofErr w:type="spellEnd"/>
      <w:r w:rsidRPr="00BE2BB5">
        <w:rPr>
          <w:bCs/>
        </w:rPr>
        <w:t xml:space="preserve">. Dz. U. z 2022 r. poz. 135 z </w:t>
      </w:r>
      <w:proofErr w:type="spellStart"/>
      <w:r w:rsidRPr="00BE2BB5">
        <w:rPr>
          <w:bCs/>
        </w:rPr>
        <w:t>późn</w:t>
      </w:r>
      <w:proofErr w:type="spellEnd"/>
      <w:r w:rsidRPr="00BE2BB5">
        <w:rPr>
          <w:bCs/>
        </w:rPr>
        <w:t xml:space="preserve">. zm.), został uzgodniony przez Wojewodę Śląskiego w piśmie znak: w piśmie znak: </w:t>
      </w:r>
      <w:r w:rsidRPr="00B408A7">
        <w:rPr>
          <w:bCs/>
        </w:rPr>
        <w:t>IFVII.710.15.2022 z dnia 6</w:t>
      </w:r>
      <w:r>
        <w:rPr>
          <w:bCs/>
        </w:rPr>
        <w:t> </w:t>
      </w:r>
      <w:r w:rsidRPr="00B408A7">
        <w:rPr>
          <w:bCs/>
        </w:rPr>
        <w:t>września 2022 r.</w:t>
      </w:r>
    </w:p>
    <w:sectPr w:rsidR="00713FA4" w:rsidSect="00920E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7C0B"/>
    <w:multiLevelType w:val="hybridMultilevel"/>
    <w:tmpl w:val="D94253A4"/>
    <w:lvl w:ilvl="0" w:tplc="524237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4F48FA"/>
    <w:multiLevelType w:val="multilevel"/>
    <w:tmpl w:val="0942AE80"/>
    <w:lvl w:ilvl="0">
      <w:start w:val="1"/>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3CA95907"/>
    <w:multiLevelType w:val="hybridMultilevel"/>
    <w:tmpl w:val="773E0ED8"/>
    <w:lvl w:ilvl="0" w:tplc="524237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48247F2"/>
    <w:multiLevelType w:val="hybridMultilevel"/>
    <w:tmpl w:val="83C8E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E4325DD"/>
    <w:multiLevelType w:val="multilevel"/>
    <w:tmpl w:val="66CC0A7E"/>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13FA4"/>
    <w:rsid w:val="00015AE2"/>
    <w:rsid w:val="002427C8"/>
    <w:rsid w:val="004F5816"/>
    <w:rsid w:val="00713FA4"/>
    <w:rsid w:val="00844732"/>
    <w:rsid w:val="008F00CE"/>
    <w:rsid w:val="00920ED7"/>
    <w:rsid w:val="00CC42F4"/>
    <w:rsid w:val="00D33AF5"/>
    <w:rsid w:val="00D535EF"/>
    <w:rsid w:val="00F50E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35EF"/>
    <w:pPr>
      <w:spacing w:after="0" w:line="240" w:lineRule="auto"/>
      <w:jc w:val="both"/>
    </w:pPr>
    <w:rPr>
      <w:rFonts w:ascii="Times New Roman" w:hAnsi="Times New Roman"/>
      <w:color w:val="000000" w:themeColor="text1"/>
      <w:sz w:val="24"/>
    </w:rPr>
  </w:style>
  <w:style w:type="paragraph" w:styleId="Nagwek1">
    <w:name w:val="heading 1"/>
    <w:basedOn w:val="Normalny"/>
    <w:next w:val="Normalny"/>
    <w:link w:val="Nagwek1Znak"/>
    <w:qFormat/>
    <w:rsid w:val="00F50E96"/>
    <w:pPr>
      <w:keepNext/>
      <w:spacing w:line="360" w:lineRule="auto"/>
      <w:outlineLvl w:val="0"/>
    </w:pPr>
    <w:rPr>
      <w:rFonts w:eastAsia="Times New Roman" w:cs="Times New Roman"/>
      <w:b/>
      <w:color w:val="auto"/>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2427C8"/>
    <w:pPr>
      <w:pBdr>
        <w:bottom w:val="single" w:sz="8" w:space="4" w:color="4F81BD"/>
      </w:pBdr>
      <w:spacing w:after="300"/>
      <w:contextualSpacing/>
      <w:jc w:val="center"/>
    </w:pPr>
    <w:rPr>
      <w:rFonts w:asciiTheme="minorHAnsi" w:eastAsia="Times New Roman" w:hAnsiTheme="minorHAnsi" w:cs="Times New Roman"/>
      <w:b/>
      <w:spacing w:val="5"/>
      <w:kern w:val="28"/>
      <w:sz w:val="28"/>
      <w:szCs w:val="52"/>
    </w:rPr>
  </w:style>
  <w:style w:type="character" w:customStyle="1" w:styleId="TytuZnak">
    <w:name w:val="Tytuł Znak"/>
    <w:link w:val="Tytu"/>
    <w:uiPriority w:val="10"/>
    <w:rsid w:val="002427C8"/>
    <w:rPr>
      <w:rFonts w:eastAsia="Times New Roman" w:cs="Times New Roman"/>
      <w:b/>
      <w:color w:val="000000" w:themeColor="text1"/>
      <w:spacing w:val="5"/>
      <w:kern w:val="28"/>
      <w:sz w:val="28"/>
      <w:szCs w:val="52"/>
      <w:lang w:eastAsia="en-US"/>
    </w:rPr>
  </w:style>
  <w:style w:type="table" w:styleId="Tabela-Siatka">
    <w:name w:val="Table Grid"/>
    <w:basedOn w:val="Standardowy"/>
    <w:uiPriority w:val="59"/>
    <w:rsid w:val="00713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13FA4"/>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F50E96"/>
    <w:pPr>
      <w:ind w:left="720"/>
      <w:contextualSpacing/>
    </w:pPr>
  </w:style>
  <w:style w:type="character" w:customStyle="1" w:styleId="Nagwek1Znak">
    <w:name w:val="Nagłówek 1 Znak"/>
    <w:basedOn w:val="Domylnaczcionkaakapitu"/>
    <w:link w:val="Nagwek1"/>
    <w:rsid w:val="00F50E96"/>
    <w:rPr>
      <w:rFonts w:ascii="Times New Roman" w:eastAsia="Times New Roman" w:hAnsi="Times New Roman" w:cs="Times New Roman"/>
      <w:b/>
      <w:sz w:val="28"/>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3131</Words>
  <Characters>18792</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Przemek</cp:lastModifiedBy>
  <cp:revision>1</cp:revision>
  <dcterms:created xsi:type="dcterms:W3CDTF">2022-10-18T11:43:00Z</dcterms:created>
  <dcterms:modified xsi:type="dcterms:W3CDTF">2022-10-18T11:54:00Z</dcterms:modified>
</cp:coreProperties>
</file>