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D45D" w14:textId="2AB575E5" w:rsidR="00C468E8" w:rsidRPr="00F76117" w:rsidRDefault="00680491" w:rsidP="00F76117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F76117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242982" w:rsidRPr="00F76117">
        <w:rPr>
          <w:rFonts w:ascii="Open Sans" w:hAnsi="Open Sans" w:cs="Open Sans"/>
          <w:color w:val="auto"/>
          <w:sz w:val="22"/>
          <w:szCs w:val="22"/>
        </w:rPr>
        <w:t xml:space="preserve">5 </w:t>
      </w:r>
      <w:r w:rsidR="0052160E" w:rsidRPr="00F76117">
        <w:rPr>
          <w:rFonts w:ascii="Open Sans" w:hAnsi="Open Sans" w:cs="Open Sans"/>
          <w:color w:val="auto"/>
          <w:sz w:val="22"/>
          <w:szCs w:val="22"/>
        </w:rPr>
        <w:t>do Regulaminu</w:t>
      </w:r>
    </w:p>
    <w:p w14:paraId="31DD7676" w14:textId="18C62ECE" w:rsidR="00DA0BDF" w:rsidRPr="00F76117" w:rsidRDefault="00F94850" w:rsidP="00F76117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F76117">
        <w:rPr>
          <w:rFonts w:ascii="Open Sans" w:hAnsi="Open Sans" w:cs="Open Sans"/>
          <w:b/>
          <w:bCs/>
          <w:color w:val="auto"/>
          <w:sz w:val="22"/>
          <w:szCs w:val="22"/>
        </w:rPr>
        <w:t>K</w:t>
      </w:r>
      <w:r w:rsidR="00E67FE4" w:rsidRPr="00F76117">
        <w:rPr>
          <w:rFonts w:ascii="Open Sans" w:hAnsi="Open Sans" w:cs="Open Sans"/>
          <w:b/>
          <w:bCs/>
          <w:color w:val="auto"/>
          <w:sz w:val="22"/>
          <w:szCs w:val="22"/>
        </w:rPr>
        <w:t>atalog wydatków kwalifikowalnych</w:t>
      </w:r>
      <w:r w:rsidR="00F76117">
        <w:rPr>
          <w:rFonts w:ascii="Open Sans" w:hAnsi="Open Sans" w:cs="Open Sans"/>
          <w:b/>
          <w:bCs/>
          <w:color w:val="auto"/>
          <w:sz w:val="22"/>
          <w:szCs w:val="22"/>
        </w:rPr>
        <w:br/>
      </w:r>
    </w:p>
    <w:p w14:paraId="2A0DF1DD" w14:textId="77777777" w:rsidR="00A627EB" w:rsidRPr="00EA7697" w:rsidRDefault="0077016A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EA7697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EA7697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EA7697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EA7697">
        <w:rPr>
          <w:rFonts w:ascii="Open Sans" w:hAnsi="Open Sans" w:cs="Open Sans"/>
          <w:bCs/>
          <w:sz w:val="22"/>
          <w:szCs w:val="22"/>
        </w:rPr>
        <w:t xml:space="preserve"> </w:t>
      </w:r>
      <w:r w:rsidRPr="00EA7697">
        <w:rPr>
          <w:rFonts w:ascii="Open Sans" w:hAnsi="Open Sans" w:cs="Open Sans"/>
          <w:bCs/>
          <w:sz w:val="22"/>
          <w:szCs w:val="22"/>
        </w:rPr>
        <w:t>w</w:t>
      </w:r>
      <w:r w:rsidR="0052160E" w:rsidRPr="00EA7697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EA7697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Wytyczny</w:t>
        </w:r>
        <w:r w:rsidR="00FC187C" w:rsidRPr="00EA7697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 xml:space="preserve">ch </w:t>
        </w:r>
        <w:r w:rsidR="00124AE7" w:rsidRPr="00EA7697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dotyczący</w:t>
        </w:r>
        <w:r w:rsidR="00FC187C" w:rsidRPr="00EA7697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ch</w:t>
        </w:r>
        <w:r w:rsidR="00124AE7" w:rsidRPr="00EA7697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 xml:space="preserve"> kwalifikowalności wydatków na lata 2021-2027</w:t>
        </w:r>
      </w:hyperlink>
      <w:r w:rsidR="00124AE7" w:rsidRPr="00EA7697">
        <w:rPr>
          <w:rFonts w:ascii="Open Sans" w:hAnsi="Open Sans" w:cs="Open Sans"/>
          <w:b/>
          <w:sz w:val="22"/>
          <w:szCs w:val="22"/>
        </w:rPr>
        <w:t>.</w:t>
      </w:r>
    </w:p>
    <w:p w14:paraId="740480A0" w14:textId="77777777" w:rsidR="00A627EB" w:rsidRPr="00EA7697" w:rsidRDefault="00A627EB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EA7697">
        <w:rPr>
          <w:rFonts w:ascii="Open Sans" w:hAnsi="Open Sans" w:cs="Open Sans"/>
          <w:bCs/>
          <w:sz w:val="22"/>
          <w:szCs w:val="22"/>
        </w:rPr>
        <w:t>Wsparcie może zostać przeznaczone na</w:t>
      </w:r>
      <w:r w:rsidR="00FE0A49" w:rsidRPr="00EA7697">
        <w:rPr>
          <w:rFonts w:ascii="Open Sans" w:hAnsi="Open Sans" w:cs="Open Sans"/>
          <w:bCs/>
          <w:sz w:val="22"/>
          <w:szCs w:val="22"/>
        </w:rPr>
        <w:t>:</w:t>
      </w:r>
    </w:p>
    <w:p w14:paraId="6BC7760E" w14:textId="77777777" w:rsidR="00B92366" w:rsidRPr="00821ED1" w:rsidRDefault="00B92366" w:rsidP="00DB0A9F">
      <w:pPr>
        <w:pStyle w:val="Akapitzlist"/>
        <w:numPr>
          <w:ilvl w:val="1"/>
          <w:numId w:val="33"/>
        </w:numPr>
        <w:spacing w:after="80" w:line="276" w:lineRule="auto"/>
        <w:ind w:left="993"/>
        <w:contextualSpacing w:val="0"/>
        <w:rPr>
          <w:rFonts w:ascii="Open Sans" w:hAnsi="Open Sans" w:cs="Open Sans"/>
          <w:bCs/>
          <w:sz w:val="22"/>
          <w:szCs w:val="22"/>
        </w:rPr>
      </w:pPr>
      <w:r w:rsidRPr="00821ED1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5E08E1B5" w14:textId="55A39529" w:rsidR="0052160E" w:rsidRPr="00AA2A48" w:rsidRDefault="00821ED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AA2A48">
        <w:rPr>
          <w:rFonts w:ascii="Open Sans" w:hAnsi="Open Sans" w:cs="Open Sans"/>
          <w:bCs/>
          <w:sz w:val="22"/>
          <w:szCs w:val="22"/>
        </w:rPr>
        <w:t>zakup nieruchomości</w:t>
      </w:r>
      <w:r w:rsidR="00AA2A48" w:rsidRPr="00AA2A48">
        <w:rPr>
          <w:rFonts w:ascii="Open Sans" w:hAnsi="Open Sans" w:cs="Open Sans"/>
          <w:bCs/>
          <w:sz w:val="22"/>
          <w:szCs w:val="22"/>
        </w:rPr>
        <w:t>, w tym nabycie udziału we własności nieruchomości, o ile łączny posiadany i nabyty przez park narodowy udział we własności nieruchomości przekroczy 1/2</w:t>
      </w:r>
      <w:r w:rsidR="0052160E" w:rsidRPr="00AA2A48">
        <w:rPr>
          <w:rFonts w:ascii="Open Sans" w:hAnsi="Open Sans" w:cs="Open Sans"/>
          <w:bCs/>
          <w:sz w:val="22"/>
          <w:szCs w:val="22"/>
        </w:rPr>
        <w:t>;</w:t>
      </w:r>
    </w:p>
    <w:p w14:paraId="2FF60F8A" w14:textId="3CE4D34B" w:rsidR="00634B36" w:rsidRPr="00487A05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487A05">
        <w:rPr>
          <w:rFonts w:ascii="Open Sans" w:hAnsi="Open Sans" w:cs="Open Sans"/>
          <w:sz w:val="22"/>
          <w:szCs w:val="22"/>
        </w:rPr>
        <w:t>p</w:t>
      </w:r>
      <w:r w:rsidR="00634B36" w:rsidRPr="00487A05">
        <w:rPr>
          <w:rFonts w:ascii="Open Sans" w:hAnsi="Open Sans" w:cs="Open Sans"/>
          <w:sz w:val="22"/>
          <w:szCs w:val="22"/>
        </w:rPr>
        <w:t>odatki i opłaty</w:t>
      </w:r>
      <w:r w:rsidR="00AA2A48" w:rsidRPr="00487A05">
        <w:rPr>
          <w:rFonts w:ascii="Open Sans" w:hAnsi="Open Sans" w:cs="Open Sans"/>
          <w:sz w:val="22"/>
          <w:szCs w:val="22"/>
        </w:rPr>
        <w:t>, w tym opłaty notarialne</w:t>
      </w:r>
      <w:r w:rsidRPr="00487A05">
        <w:rPr>
          <w:rFonts w:ascii="Open Sans" w:hAnsi="Open Sans" w:cs="Open Sans"/>
          <w:sz w:val="22"/>
          <w:szCs w:val="22"/>
        </w:rPr>
        <w:t>;</w:t>
      </w:r>
    </w:p>
    <w:p w14:paraId="5D6E82ED" w14:textId="313ACA45" w:rsidR="0052160E" w:rsidRPr="00821ED1" w:rsidRDefault="00BC6E76" w:rsidP="00DB0A9F">
      <w:pPr>
        <w:pStyle w:val="Akapitzlist"/>
        <w:numPr>
          <w:ilvl w:val="2"/>
          <w:numId w:val="33"/>
        </w:numPr>
        <w:tabs>
          <w:tab w:val="left" w:pos="2410"/>
        </w:tabs>
        <w:spacing w:after="80" w:line="276" w:lineRule="auto"/>
        <w:ind w:left="1418" w:hanging="425"/>
        <w:contextualSpacing w:val="0"/>
        <w:rPr>
          <w:rFonts w:ascii="Open Sans" w:hAnsi="Open Sans" w:cs="Open Sans"/>
          <w:bCs/>
          <w:sz w:val="22"/>
          <w:szCs w:val="22"/>
        </w:rPr>
      </w:pPr>
      <w:r w:rsidRPr="00821ED1">
        <w:rPr>
          <w:rFonts w:ascii="Open Sans" w:hAnsi="Open Sans" w:cs="Open Sans"/>
          <w:bCs/>
          <w:sz w:val="22"/>
          <w:szCs w:val="22"/>
        </w:rPr>
        <w:t>u</w:t>
      </w:r>
      <w:r w:rsidR="0052160E" w:rsidRPr="00821ED1">
        <w:rPr>
          <w:rFonts w:ascii="Open Sans" w:hAnsi="Open Sans" w:cs="Open Sans"/>
          <w:bCs/>
          <w:sz w:val="22"/>
          <w:szCs w:val="22"/>
        </w:rPr>
        <w:t>sługi zewnętrzne, w tym</w:t>
      </w:r>
      <w:r w:rsidR="00487A05">
        <w:rPr>
          <w:rFonts w:ascii="Open Sans" w:hAnsi="Open Sans" w:cs="Open Sans"/>
          <w:bCs/>
          <w:sz w:val="22"/>
          <w:szCs w:val="22"/>
        </w:rPr>
        <w:t xml:space="preserve">: </w:t>
      </w:r>
    </w:p>
    <w:p w14:paraId="73A1A0DA" w14:textId="6FB4CF76" w:rsidR="0052160E" w:rsidRPr="00487A05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487A05">
        <w:rPr>
          <w:rFonts w:ascii="Open Sans" w:hAnsi="Open Sans" w:cs="Open Sans"/>
          <w:bCs/>
          <w:sz w:val="22"/>
          <w:szCs w:val="22"/>
        </w:rPr>
        <w:t xml:space="preserve">opracowanie </w:t>
      </w:r>
      <w:r w:rsidR="00487A05" w:rsidRPr="00487A05">
        <w:rPr>
          <w:rFonts w:ascii="Open Sans" w:hAnsi="Open Sans" w:cs="Open Sans"/>
          <w:bCs/>
          <w:sz w:val="22"/>
          <w:szCs w:val="22"/>
        </w:rPr>
        <w:t>operatów szacunkowych nieruchomości</w:t>
      </w:r>
      <w:r w:rsidRPr="00487A05">
        <w:rPr>
          <w:rFonts w:ascii="Open Sans" w:hAnsi="Open Sans" w:cs="Open Sans"/>
          <w:bCs/>
          <w:sz w:val="22"/>
          <w:szCs w:val="22"/>
        </w:rPr>
        <w:t>;</w:t>
      </w:r>
    </w:p>
    <w:p w14:paraId="2F04086F" w14:textId="2EF4FDAB" w:rsidR="00100409" w:rsidRPr="00EA7697" w:rsidRDefault="00124AE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EA7697">
        <w:rPr>
          <w:rFonts w:ascii="Open Sans" w:hAnsi="Open Sans" w:cs="Open Sans"/>
          <w:bCs/>
          <w:sz w:val="22"/>
          <w:szCs w:val="22"/>
        </w:rPr>
        <w:t xml:space="preserve">Koszty pośrednie, o których mowa w Podrozdziale 3.12. </w:t>
      </w:r>
      <w:hyperlink r:id="rId9" w:history="1">
        <w:r w:rsidRPr="00EA7697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100409" w:rsidRPr="00EA7697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nr</w:t>
      </w:r>
      <w:r w:rsidR="00AD5AEA" w:rsidRPr="00EA7697">
        <w:rPr>
          <w:rFonts w:ascii="Open Sans" w:hAnsi="Open Sans" w:cs="Open Sans"/>
          <w:bCs/>
          <w:sz w:val="22"/>
          <w:szCs w:val="22"/>
        </w:rPr>
        <w:t> </w:t>
      </w:r>
      <w:r w:rsidR="00EA7697" w:rsidRPr="00EA7697">
        <w:rPr>
          <w:rFonts w:ascii="Open Sans" w:hAnsi="Open Sans" w:cs="Open Sans"/>
          <w:bCs/>
          <w:sz w:val="22"/>
          <w:szCs w:val="22"/>
        </w:rPr>
        <w:t>9</w:t>
      </w:r>
      <w:r w:rsidR="00AD5AEA" w:rsidRPr="00EA7697">
        <w:rPr>
          <w:rFonts w:ascii="Open Sans" w:hAnsi="Open Sans" w:cs="Open Sans"/>
          <w:bCs/>
          <w:sz w:val="22"/>
          <w:szCs w:val="22"/>
        </w:rPr>
        <w:t> </w:t>
      </w:r>
      <w:r w:rsidR="00100409" w:rsidRPr="00EA7697">
        <w:rPr>
          <w:rFonts w:ascii="Open Sans" w:hAnsi="Open Sans" w:cs="Open Sans"/>
          <w:bCs/>
          <w:sz w:val="22"/>
          <w:szCs w:val="22"/>
        </w:rPr>
        <w:t>do Regulaminu naboru Nr</w:t>
      </w:r>
      <w:r w:rsidR="007874E3" w:rsidRPr="00EA7697">
        <w:t xml:space="preserve"> </w:t>
      </w:r>
      <w:r w:rsidR="007874E3" w:rsidRPr="00EA7697">
        <w:rPr>
          <w:rFonts w:ascii="Open Sans" w:hAnsi="Open Sans" w:cs="Open Sans"/>
          <w:bCs/>
          <w:sz w:val="22"/>
          <w:szCs w:val="22"/>
        </w:rPr>
        <w:t>FENX.01.05-IW.01-00</w:t>
      </w:r>
      <w:r w:rsidR="00EA7697" w:rsidRPr="00EA7697">
        <w:rPr>
          <w:rFonts w:ascii="Open Sans" w:hAnsi="Open Sans" w:cs="Open Sans"/>
          <w:bCs/>
          <w:sz w:val="22"/>
          <w:szCs w:val="22"/>
        </w:rPr>
        <w:t>7</w:t>
      </w:r>
      <w:r w:rsidR="007874E3" w:rsidRPr="00EA7697">
        <w:rPr>
          <w:rFonts w:ascii="Open Sans" w:hAnsi="Open Sans" w:cs="Open Sans"/>
          <w:bCs/>
          <w:sz w:val="22"/>
          <w:szCs w:val="22"/>
        </w:rPr>
        <w:t>/2</w:t>
      </w:r>
      <w:r w:rsidR="00EA7697" w:rsidRPr="00EA7697">
        <w:rPr>
          <w:rFonts w:ascii="Open Sans" w:hAnsi="Open Sans" w:cs="Open Sans"/>
          <w:bCs/>
          <w:sz w:val="22"/>
          <w:szCs w:val="22"/>
        </w:rPr>
        <w:t>4</w:t>
      </w:r>
      <w:r w:rsidR="007874E3" w:rsidRPr="00EA7697">
        <w:rPr>
          <w:rFonts w:ascii="Open Sans" w:hAnsi="Open Sans" w:cs="Open Sans"/>
          <w:bCs/>
          <w:sz w:val="22"/>
          <w:szCs w:val="22"/>
        </w:rPr>
        <w:t>.</w:t>
      </w:r>
      <w:r w:rsidR="00100409" w:rsidRPr="00EA7697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8C458EC" w14:textId="7154A964" w:rsidR="00F34AED" w:rsidRPr="00EA7697" w:rsidRDefault="00825A99" w:rsidP="00AD5AEA">
      <w:pPr>
        <w:pStyle w:val="Akapitzlist"/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EA7697">
        <w:rPr>
          <w:rFonts w:ascii="Open Sans" w:hAnsi="Open Sans" w:cs="Open Sans"/>
          <w:sz w:val="22"/>
          <w:szCs w:val="22"/>
        </w:rPr>
        <w:t>Niedopuszczalna jest sytuacja, w której koszty pośrednie zostaną rozliczone w</w:t>
      </w:r>
      <w:r w:rsidR="00AD5AEA" w:rsidRPr="00EA7697">
        <w:rPr>
          <w:rFonts w:ascii="Open Sans" w:hAnsi="Open Sans" w:cs="Open Sans"/>
          <w:sz w:val="22"/>
          <w:szCs w:val="22"/>
        </w:rPr>
        <w:t> </w:t>
      </w:r>
      <w:r w:rsidRPr="00EA7697">
        <w:rPr>
          <w:rFonts w:ascii="Open Sans" w:hAnsi="Open Sans" w:cs="Open Sans"/>
          <w:sz w:val="22"/>
          <w:szCs w:val="22"/>
        </w:rPr>
        <w:t>ramach kosztów bezpośrednich.</w:t>
      </w:r>
    </w:p>
    <w:p w14:paraId="02568B58" w14:textId="3FF704BA" w:rsidR="00810860" w:rsidRPr="00951550" w:rsidRDefault="00951550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951550">
        <w:rPr>
          <w:rFonts w:ascii="Open Sans" w:hAnsi="Open Sans" w:cs="Open Sans"/>
          <w:sz w:val="22"/>
          <w:szCs w:val="22"/>
        </w:rPr>
        <w:t>Warunkiem kwalifikowalności zakupu nieruchomości zabudowanych, jest</w:t>
      </w:r>
      <w:r>
        <w:rPr>
          <w:rFonts w:ascii="Open Sans" w:hAnsi="Open Sans" w:cs="Open Sans"/>
          <w:sz w:val="22"/>
          <w:szCs w:val="22"/>
        </w:rPr>
        <w:t xml:space="preserve"> docelowe</w:t>
      </w:r>
      <w:r w:rsidRPr="00951550">
        <w:rPr>
          <w:rFonts w:ascii="Open Sans" w:hAnsi="Open Sans" w:cs="Open Sans"/>
          <w:sz w:val="22"/>
          <w:szCs w:val="22"/>
        </w:rPr>
        <w:t xml:space="preserve"> przeznaczenie znajdujących się na nich budynków do rozbiórki lub adaptacji na miejsca schronienia / rozrodu dla chronionych gatunków</w:t>
      </w:r>
      <w:r w:rsidR="00810860" w:rsidRPr="00951550">
        <w:rPr>
          <w:rFonts w:ascii="Open Sans" w:hAnsi="Open Sans" w:cs="Open Sans"/>
          <w:sz w:val="22"/>
          <w:szCs w:val="22"/>
        </w:rPr>
        <w:t>.</w:t>
      </w:r>
    </w:p>
    <w:p w14:paraId="660E2840" w14:textId="5F37F00D" w:rsidR="006F525D" w:rsidRPr="00C5243A" w:rsidRDefault="006F525D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C5243A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C5243A">
        <w:rPr>
          <w:rFonts w:ascii="Open Sans" w:hAnsi="Open Sans" w:cs="Open Sans"/>
          <w:sz w:val="22"/>
          <w:szCs w:val="22"/>
        </w:rPr>
        <w:t>kwalifikowalne</w:t>
      </w:r>
      <w:r w:rsidR="00DF055F" w:rsidRPr="00C5243A">
        <w:rPr>
          <w:rFonts w:ascii="Open Sans" w:hAnsi="Open Sans" w:cs="Open Sans"/>
          <w:sz w:val="22"/>
          <w:szCs w:val="22"/>
        </w:rPr>
        <w:t xml:space="preserve"> </w:t>
      </w:r>
      <w:r w:rsidR="00C5243A" w:rsidRPr="00C5243A">
        <w:rPr>
          <w:rFonts w:ascii="Open Sans" w:hAnsi="Open Sans" w:cs="Open Sans"/>
          <w:sz w:val="22"/>
          <w:szCs w:val="22"/>
        </w:rPr>
        <w:t>inne rodzaje wydatków, niż wskazane w pkt II. i III.</w:t>
      </w:r>
    </w:p>
    <w:p w14:paraId="43FA6D2F" w14:textId="40B096E4" w:rsidR="00110E12" w:rsidRPr="00565504" w:rsidRDefault="00F34AED" w:rsidP="00DB0A9F">
      <w:pPr>
        <w:pStyle w:val="Akapitzlist"/>
        <w:spacing w:before="120" w:after="120" w:line="276" w:lineRule="auto"/>
        <w:ind w:left="709" w:hanging="709"/>
        <w:contextualSpacing w:val="0"/>
      </w:pPr>
      <w:r w:rsidRPr="00565504">
        <w:rPr>
          <w:rFonts w:ascii="Open Sans" w:hAnsi="Open Sans" w:cs="Open Sans"/>
          <w:sz w:val="22"/>
          <w:szCs w:val="22"/>
        </w:rPr>
        <w:t>VI.</w:t>
      </w:r>
      <w:r w:rsidR="007874E3" w:rsidRPr="00565504">
        <w:rPr>
          <w:rFonts w:ascii="Open Sans" w:hAnsi="Open Sans" w:cs="Open Sans"/>
          <w:sz w:val="22"/>
          <w:szCs w:val="22"/>
        </w:rPr>
        <w:tab/>
      </w:r>
      <w:r w:rsidR="00125078" w:rsidRPr="00565504">
        <w:rPr>
          <w:rFonts w:ascii="Open Sans" w:hAnsi="Open Sans" w:cs="Open Sans"/>
          <w:sz w:val="22"/>
          <w:szCs w:val="22"/>
        </w:rPr>
        <w:t>Dodatkowo, w</w:t>
      </w:r>
      <w:r w:rsidR="00A511CE" w:rsidRPr="00565504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565504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565504">
        <w:rPr>
          <w:rFonts w:ascii="Open Sans" w:hAnsi="Open Sans" w:cs="Open Sans"/>
          <w:sz w:val="22"/>
          <w:szCs w:val="22"/>
        </w:rPr>
        <w:t xml:space="preserve">, </w:t>
      </w:r>
      <w:r w:rsidR="00A511CE" w:rsidRPr="00565504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565504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0" w:history="1">
        <w:r w:rsidR="0052160E" w:rsidRPr="00565504">
          <w:rPr>
            <w:rStyle w:val="Hipercze"/>
            <w:rFonts w:ascii="Open Sans" w:hAnsi="Open Sans" w:cs="Open Sans"/>
            <w:color w:val="auto"/>
            <w:sz w:val="22"/>
            <w:szCs w:val="22"/>
          </w:rPr>
          <w:t>Wytycznych dotyczących kwalifikowalności na lata 2021-2027</w:t>
        </w:r>
      </w:hyperlink>
      <w:r w:rsidR="00BC6E76" w:rsidRPr="00565504">
        <w:rPr>
          <w:rFonts w:ascii="Open Sans" w:hAnsi="Open Sans" w:cs="Open Sans"/>
          <w:sz w:val="22"/>
          <w:szCs w:val="22"/>
        </w:rPr>
        <w:t>.</w:t>
      </w:r>
    </w:p>
    <w:sectPr w:rsidR="00110E12" w:rsidRPr="00565504" w:rsidSect="00515FB1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DC6F" w14:textId="77777777" w:rsidR="0010496B" w:rsidRDefault="0010496B">
      <w:r>
        <w:separator/>
      </w:r>
    </w:p>
  </w:endnote>
  <w:endnote w:type="continuationSeparator" w:id="0">
    <w:p w14:paraId="1F59BB8C" w14:textId="77777777" w:rsidR="0010496B" w:rsidRDefault="0010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6290" w14:textId="77777777" w:rsidR="0010496B" w:rsidRDefault="0010496B">
      <w:r>
        <w:separator/>
      </w:r>
    </w:p>
  </w:footnote>
  <w:footnote w:type="continuationSeparator" w:id="0">
    <w:p w14:paraId="247EE8FA" w14:textId="77777777" w:rsidR="0010496B" w:rsidRDefault="0010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6742">
    <w:abstractNumId w:val="15"/>
  </w:num>
  <w:num w:numId="2" w16cid:durableId="2019888179">
    <w:abstractNumId w:val="30"/>
  </w:num>
  <w:num w:numId="3" w16cid:durableId="998969688">
    <w:abstractNumId w:val="4"/>
  </w:num>
  <w:num w:numId="4" w16cid:durableId="32003885">
    <w:abstractNumId w:val="1"/>
  </w:num>
  <w:num w:numId="5" w16cid:durableId="713315701">
    <w:abstractNumId w:val="24"/>
  </w:num>
  <w:num w:numId="6" w16cid:durableId="612901090">
    <w:abstractNumId w:val="23"/>
  </w:num>
  <w:num w:numId="7" w16cid:durableId="1066226200">
    <w:abstractNumId w:val="18"/>
  </w:num>
  <w:num w:numId="8" w16cid:durableId="392117404">
    <w:abstractNumId w:val="7"/>
  </w:num>
  <w:num w:numId="9" w16cid:durableId="1597441063">
    <w:abstractNumId w:val="19"/>
  </w:num>
  <w:num w:numId="10" w16cid:durableId="1761873069">
    <w:abstractNumId w:val="32"/>
  </w:num>
  <w:num w:numId="11" w16cid:durableId="1983387373">
    <w:abstractNumId w:val="17"/>
  </w:num>
  <w:num w:numId="12" w16cid:durableId="1120539253">
    <w:abstractNumId w:val="28"/>
  </w:num>
  <w:num w:numId="13" w16cid:durableId="1344356803">
    <w:abstractNumId w:val="14"/>
  </w:num>
  <w:num w:numId="14" w16cid:durableId="664210214">
    <w:abstractNumId w:val="20"/>
  </w:num>
  <w:num w:numId="15" w16cid:durableId="1832402155">
    <w:abstractNumId w:val="31"/>
  </w:num>
  <w:num w:numId="16" w16cid:durableId="1149787939">
    <w:abstractNumId w:val="29"/>
  </w:num>
  <w:num w:numId="17" w16cid:durableId="182600252">
    <w:abstractNumId w:val="11"/>
  </w:num>
  <w:num w:numId="18" w16cid:durableId="962155355">
    <w:abstractNumId w:val="13"/>
  </w:num>
  <w:num w:numId="19" w16cid:durableId="307980156">
    <w:abstractNumId w:val="25"/>
  </w:num>
  <w:num w:numId="20" w16cid:durableId="1579166339">
    <w:abstractNumId w:val="26"/>
  </w:num>
  <w:num w:numId="21" w16cid:durableId="245461699">
    <w:abstractNumId w:val="3"/>
  </w:num>
  <w:num w:numId="22" w16cid:durableId="93791917">
    <w:abstractNumId w:val="2"/>
  </w:num>
  <w:num w:numId="23" w16cid:durableId="1962148479">
    <w:abstractNumId w:val="6"/>
  </w:num>
  <w:num w:numId="24" w16cid:durableId="2071340845">
    <w:abstractNumId w:val="5"/>
  </w:num>
  <w:num w:numId="25" w16cid:durableId="600182392">
    <w:abstractNumId w:val="9"/>
  </w:num>
  <w:num w:numId="26" w16cid:durableId="1184436053">
    <w:abstractNumId w:val="21"/>
  </w:num>
  <w:num w:numId="27" w16cid:durableId="1732460578">
    <w:abstractNumId w:val="8"/>
  </w:num>
  <w:num w:numId="28" w16cid:durableId="638648937">
    <w:abstractNumId w:val="27"/>
  </w:num>
  <w:num w:numId="29" w16cid:durableId="359555274">
    <w:abstractNumId w:val="22"/>
  </w:num>
  <w:num w:numId="30" w16cid:durableId="1595359649">
    <w:abstractNumId w:val="16"/>
  </w:num>
  <w:num w:numId="31" w16cid:durableId="85737079">
    <w:abstractNumId w:val="0"/>
  </w:num>
  <w:num w:numId="32" w16cid:durableId="275018690">
    <w:abstractNumId w:val="10"/>
  </w:num>
  <w:num w:numId="33" w16cid:durableId="694423982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A5996"/>
    <w:rsid w:val="000B0C70"/>
    <w:rsid w:val="000C163C"/>
    <w:rsid w:val="000D0528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63C1D"/>
    <w:rsid w:val="001668BF"/>
    <w:rsid w:val="001724FB"/>
    <w:rsid w:val="001726B0"/>
    <w:rsid w:val="001756E8"/>
    <w:rsid w:val="001A164F"/>
    <w:rsid w:val="001D6EC4"/>
    <w:rsid w:val="001F1DCB"/>
    <w:rsid w:val="00204174"/>
    <w:rsid w:val="0021751B"/>
    <w:rsid w:val="00221C08"/>
    <w:rsid w:val="002229BB"/>
    <w:rsid w:val="00242982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2146A"/>
    <w:rsid w:val="003238A5"/>
    <w:rsid w:val="003248A9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12BF"/>
    <w:rsid w:val="00475128"/>
    <w:rsid w:val="004774B5"/>
    <w:rsid w:val="00477AAA"/>
    <w:rsid w:val="00480C3B"/>
    <w:rsid w:val="00487A05"/>
    <w:rsid w:val="00494512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4386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504"/>
    <w:rsid w:val="00565CF2"/>
    <w:rsid w:val="00572B38"/>
    <w:rsid w:val="0059431B"/>
    <w:rsid w:val="005A3F19"/>
    <w:rsid w:val="005B4CE6"/>
    <w:rsid w:val="005C4235"/>
    <w:rsid w:val="005C6281"/>
    <w:rsid w:val="005D493E"/>
    <w:rsid w:val="005D60BB"/>
    <w:rsid w:val="005E338E"/>
    <w:rsid w:val="005F38F5"/>
    <w:rsid w:val="005F749F"/>
    <w:rsid w:val="006046D7"/>
    <w:rsid w:val="00611D36"/>
    <w:rsid w:val="0061452C"/>
    <w:rsid w:val="00634B36"/>
    <w:rsid w:val="006373C2"/>
    <w:rsid w:val="00640304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6BCE"/>
    <w:rsid w:val="006D6210"/>
    <w:rsid w:val="006E0B98"/>
    <w:rsid w:val="006F525D"/>
    <w:rsid w:val="006F69A1"/>
    <w:rsid w:val="006F6A5C"/>
    <w:rsid w:val="00704536"/>
    <w:rsid w:val="00765E08"/>
    <w:rsid w:val="0077016A"/>
    <w:rsid w:val="007738B4"/>
    <w:rsid w:val="00777666"/>
    <w:rsid w:val="007874E3"/>
    <w:rsid w:val="007969C6"/>
    <w:rsid w:val="007B1DC1"/>
    <w:rsid w:val="007B53F1"/>
    <w:rsid w:val="007D410F"/>
    <w:rsid w:val="007E255C"/>
    <w:rsid w:val="007F786B"/>
    <w:rsid w:val="00806ABC"/>
    <w:rsid w:val="00810860"/>
    <w:rsid w:val="00821ED1"/>
    <w:rsid w:val="00825A99"/>
    <w:rsid w:val="008322BF"/>
    <w:rsid w:val="0084705A"/>
    <w:rsid w:val="00852DA4"/>
    <w:rsid w:val="008543F1"/>
    <w:rsid w:val="00864ED2"/>
    <w:rsid w:val="00866F5A"/>
    <w:rsid w:val="00870C19"/>
    <w:rsid w:val="00872225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550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A2A48"/>
    <w:rsid w:val="00AB61A0"/>
    <w:rsid w:val="00AC221D"/>
    <w:rsid w:val="00AD008A"/>
    <w:rsid w:val="00AD2895"/>
    <w:rsid w:val="00AD5AEA"/>
    <w:rsid w:val="00AE1D70"/>
    <w:rsid w:val="00AE579D"/>
    <w:rsid w:val="00AE71C9"/>
    <w:rsid w:val="00B02E6B"/>
    <w:rsid w:val="00B053E6"/>
    <w:rsid w:val="00B07B2B"/>
    <w:rsid w:val="00B1262C"/>
    <w:rsid w:val="00B22EFB"/>
    <w:rsid w:val="00B30F08"/>
    <w:rsid w:val="00B50C43"/>
    <w:rsid w:val="00B54438"/>
    <w:rsid w:val="00B76A50"/>
    <w:rsid w:val="00B866ED"/>
    <w:rsid w:val="00B92366"/>
    <w:rsid w:val="00B941B9"/>
    <w:rsid w:val="00BA4EBE"/>
    <w:rsid w:val="00BB3CE2"/>
    <w:rsid w:val="00BC6E76"/>
    <w:rsid w:val="00BD2704"/>
    <w:rsid w:val="00BE4EBC"/>
    <w:rsid w:val="00BF05AE"/>
    <w:rsid w:val="00C003DC"/>
    <w:rsid w:val="00C10B4C"/>
    <w:rsid w:val="00C26B28"/>
    <w:rsid w:val="00C33F6C"/>
    <w:rsid w:val="00C36094"/>
    <w:rsid w:val="00C468E8"/>
    <w:rsid w:val="00C5243A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F055F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A7697"/>
    <w:rsid w:val="00EB183E"/>
    <w:rsid w:val="00ED644E"/>
    <w:rsid w:val="00EF56AB"/>
    <w:rsid w:val="00F036B1"/>
    <w:rsid w:val="00F1544F"/>
    <w:rsid w:val="00F3022F"/>
    <w:rsid w:val="00F311CE"/>
    <w:rsid w:val="00F34AED"/>
    <w:rsid w:val="00F4745C"/>
    <w:rsid w:val="00F608A0"/>
    <w:rsid w:val="00F64EFE"/>
    <w:rsid w:val="00F704B1"/>
    <w:rsid w:val="00F7347F"/>
    <w:rsid w:val="00F76117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61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761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194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1798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wydatków kwalifikowanych</dc:title>
  <dc:subject/>
  <dc:creator>AJendrulek</dc:creator>
  <cp:keywords/>
  <dc:description/>
  <cp:lastModifiedBy>Wójcik-Napiórkowska Beata</cp:lastModifiedBy>
  <cp:revision>20</cp:revision>
  <cp:lastPrinted>2024-04-02T09:12:00Z</cp:lastPrinted>
  <dcterms:created xsi:type="dcterms:W3CDTF">2023-10-24T07:02:00Z</dcterms:created>
  <dcterms:modified xsi:type="dcterms:W3CDTF">2024-04-23T12:46:00Z</dcterms:modified>
</cp:coreProperties>
</file>