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0BEF0" w14:textId="768CD47E" w:rsidR="006A5D71" w:rsidRPr="00CF2A26" w:rsidRDefault="00580915" w:rsidP="00CF2A26">
      <w:pPr>
        <w:ind w:left="0" w:right="709" w:firstLine="0"/>
        <w:jc w:val="center"/>
        <w:rPr>
          <w:b/>
        </w:rPr>
      </w:pPr>
      <w:r>
        <w:rPr>
          <w:b/>
        </w:rPr>
        <w:t xml:space="preserve">Protokół rozbieżności do uchwały Rady Ministrów w sprawie </w:t>
      </w:r>
      <w:r w:rsidR="006A5D71" w:rsidRPr="00CF2A26">
        <w:rPr>
          <w:b/>
        </w:rPr>
        <w:t>Progra</w:t>
      </w:r>
      <w:r w:rsidR="00CF2A26" w:rsidRPr="00CF2A26">
        <w:rPr>
          <w:b/>
        </w:rPr>
        <w:t>mu Rozwoju Kompetencji Cyfrowych</w:t>
      </w:r>
    </w:p>
    <w:p w14:paraId="4DB9F885" w14:textId="77777777" w:rsidR="006A5D71" w:rsidRPr="006A5D71" w:rsidRDefault="006A5D71" w:rsidP="00CF2A26"/>
    <w:tbl>
      <w:tblPr>
        <w:tblpPr w:leftFromText="141" w:rightFromText="141" w:vertAnchor="page" w:horzAnchor="margin" w:tblpY="1751"/>
        <w:tblW w:w="15304" w:type="dxa"/>
        <w:tblLook w:val="0400" w:firstRow="0" w:lastRow="0" w:firstColumn="0" w:lastColumn="0" w:noHBand="0" w:noVBand="1"/>
      </w:tblPr>
      <w:tblGrid>
        <w:gridCol w:w="961"/>
        <w:gridCol w:w="1981"/>
        <w:gridCol w:w="2126"/>
        <w:gridCol w:w="6817"/>
        <w:gridCol w:w="3419"/>
      </w:tblGrid>
      <w:tr w:rsidR="004038EA" w:rsidRPr="004C0B35" w14:paraId="0CF26332" w14:textId="77777777" w:rsidTr="00343E38">
        <w:trPr>
          <w:trHeight w:val="3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FDF8E" w14:textId="77777777" w:rsidR="00486E51" w:rsidRPr="00DA752E" w:rsidRDefault="00435846" w:rsidP="00486E5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="Calibri" w:eastAsia="Calibri" w:hAnsi="Calibri" w:cs="Calibri"/>
                <w:b/>
                <w:kern w:val="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kern w:val="0"/>
                <w:sz w:val="24"/>
                <w:szCs w:val="24"/>
              </w:rPr>
              <w:t>Lp.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0313D" w14:textId="77777777" w:rsidR="00486E51" w:rsidRPr="00DA752E" w:rsidRDefault="00486E51" w:rsidP="00486E5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="Calibri" w:eastAsia="Calibri" w:hAnsi="Calibri" w:cs="Calibri"/>
                <w:b/>
                <w:kern w:val="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kern w:val="0"/>
                <w:sz w:val="24"/>
                <w:szCs w:val="24"/>
              </w:rPr>
              <w:t>Podmiot zgłaszający uwagę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DC54E" w14:textId="77777777" w:rsidR="00486E51" w:rsidRPr="00DA752E" w:rsidRDefault="00486E51" w:rsidP="00486E5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="Calibri" w:eastAsia="Calibri" w:hAnsi="Calibri" w:cs="Calibri"/>
                <w:b/>
                <w:kern w:val="0"/>
                <w:sz w:val="24"/>
                <w:szCs w:val="24"/>
              </w:rPr>
            </w:pPr>
            <w:r w:rsidRPr="00486E51">
              <w:rPr>
                <w:rFonts w:ascii="Calibri" w:eastAsia="Calibri" w:hAnsi="Calibri" w:cs="Calibri"/>
                <w:b/>
                <w:bCs/>
                <w:kern w:val="0"/>
                <w:sz w:val="24"/>
                <w:szCs w:val="24"/>
              </w:rPr>
              <w:t xml:space="preserve">Część dokumentu, do którego odnosi się uwaga </w:t>
            </w:r>
          </w:p>
        </w:tc>
        <w:tc>
          <w:tcPr>
            <w:tcW w:w="6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71A81" w14:textId="77777777" w:rsidR="00486E51" w:rsidRPr="00DA752E" w:rsidRDefault="00486E51" w:rsidP="00486E5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="Calibri" w:eastAsia="Calibri" w:hAnsi="Calibri" w:cs="Calibri"/>
                <w:b/>
                <w:kern w:val="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kern w:val="0"/>
                <w:sz w:val="24"/>
                <w:szCs w:val="24"/>
              </w:rPr>
              <w:t>Treść uwagi</w:t>
            </w:r>
          </w:p>
        </w:tc>
        <w:tc>
          <w:tcPr>
            <w:tcW w:w="3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08030" w14:textId="77777777" w:rsidR="00486E51" w:rsidRPr="00DA752E" w:rsidRDefault="00486E51" w:rsidP="00486E5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="Calibri" w:eastAsia="Calibri" w:hAnsi="Calibri" w:cs="Calibri"/>
                <w:b/>
                <w:kern w:val="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kern w:val="0"/>
                <w:sz w:val="24"/>
                <w:szCs w:val="24"/>
              </w:rPr>
              <w:t>Stanowisko</w:t>
            </w:r>
          </w:p>
        </w:tc>
      </w:tr>
      <w:tr w:rsidR="004038EA" w:rsidRPr="004C0B35" w14:paraId="2AC0B058" w14:textId="77777777" w:rsidTr="00343E38">
        <w:trPr>
          <w:trHeight w:val="3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BC355" w14:textId="77777777" w:rsidR="00486E51" w:rsidRPr="00580915" w:rsidRDefault="00486E51" w:rsidP="00580915">
            <w:pPr>
              <w:pStyle w:val="Akapitzlist"/>
              <w:widowControl/>
              <w:numPr>
                <w:ilvl w:val="0"/>
                <w:numId w:val="16"/>
              </w:numPr>
              <w:shd w:val="clear" w:color="auto" w:fill="auto"/>
              <w:suppressAutoHyphens w:val="0"/>
              <w:spacing w:line="259" w:lineRule="auto"/>
              <w:ind w:right="0"/>
              <w:jc w:val="left"/>
              <w:rPr>
                <w:rFonts w:asciiTheme="minorHAnsi" w:eastAsia="Calibri" w:hAnsiTheme="minorHAnsi" w:cstheme="minorHAnsi"/>
                <w:kern w:val="0"/>
                <w:szCs w:val="22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1609B" w14:textId="77777777" w:rsidR="00486E51" w:rsidRPr="00064731" w:rsidRDefault="00486E51" w:rsidP="00486E5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Ministerstwo Funduszy i Polityki Regionalnej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3F427" w14:textId="77777777" w:rsidR="00486E51" w:rsidRPr="00064731" w:rsidRDefault="00486E51" w:rsidP="00486E5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Rola i znaczenie kompetencji cyfrowych w kontekście rozwoju społeczeństwa i gospodarki cyfrowej (rozdział 4)</w:t>
            </w:r>
          </w:p>
        </w:tc>
        <w:tc>
          <w:tcPr>
            <w:tcW w:w="6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A277B" w14:textId="77777777" w:rsidR="00486E51" w:rsidRPr="00064731" w:rsidRDefault="00486E51" w:rsidP="00486E5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Brakuje odniesienia do kompetencji cyfrowych w kontekście zmian społecznych. Proponujemy dodanie tego elementu do diagnozy.</w:t>
            </w:r>
          </w:p>
        </w:tc>
        <w:tc>
          <w:tcPr>
            <w:tcW w:w="3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70EE2" w14:textId="77777777" w:rsidR="00D866A7" w:rsidRDefault="00D866A7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hAnsiTheme="minorHAnsi" w:cstheme="minorHAnsi"/>
                <w:b/>
                <w:color w:val="000000" w:themeColor="text1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Cs w:val="22"/>
              </w:rPr>
              <w:t>Uwaga n</w:t>
            </w:r>
            <w:r w:rsidR="00221500" w:rsidRPr="00580915">
              <w:rPr>
                <w:rFonts w:asciiTheme="minorHAnsi" w:hAnsiTheme="minorHAnsi" w:cstheme="minorHAnsi"/>
                <w:b/>
                <w:color w:val="000000" w:themeColor="text1"/>
                <w:szCs w:val="22"/>
              </w:rPr>
              <w:t>ieuwzględnion</w:t>
            </w:r>
            <w:r>
              <w:rPr>
                <w:rFonts w:asciiTheme="minorHAnsi" w:hAnsiTheme="minorHAnsi" w:cstheme="minorHAnsi"/>
                <w:b/>
                <w:color w:val="000000" w:themeColor="text1"/>
                <w:szCs w:val="22"/>
              </w:rPr>
              <w:t>a</w:t>
            </w:r>
          </w:p>
          <w:p w14:paraId="47B94CB6" w14:textId="16239B3C" w:rsidR="00486E51" w:rsidRPr="00064731" w:rsidRDefault="00221500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221500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Zgłaszający, pomimo prośby, nie przekazał propozycji </w:t>
            </w:r>
            <w:r w:rsidR="00FE10C1">
              <w:rPr>
                <w:rFonts w:asciiTheme="minorHAnsi" w:hAnsiTheme="minorHAnsi" w:cstheme="minorHAnsi"/>
                <w:color w:val="000000" w:themeColor="text1"/>
                <w:szCs w:val="22"/>
              </w:rPr>
              <w:t>brzmienia przepisu</w:t>
            </w:r>
            <w:r w:rsidRPr="00221500">
              <w:rPr>
                <w:rFonts w:asciiTheme="minorHAnsi" w:hAnsiTheme="minorHAnsi" w:cstheme="minorHAnsi"/>
                <w:color w:val="000000" w:themeColor="text1"/>
                <w:szCs w:val="22"/>
              </w:rPr>
              <w:t>.</w:t>
            </w:r>
          </w:p>
        </w:tc>
      </w:tr>
      <w:tr w:rsidR="00FE10C1" w:rsidRPr="004C0B35" w14:paraId="7E5E3BDF" w14:textId="77777777" w:rsidTr="00343E38">
        <w:trPr>
          <w:trHeight w:val="3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EDC21" w14:textId="77777777" w:rsidR="00FE10C1" w:rsidRPr="00580915" w:rsidRDefault="00FE10C1" w:rsidP="00580915">
            <w:pPr>
              <w:pStyle w:val="Akapitzlist"/>
              <w:widowControl/>
              <w:numPr>
                <w:ilvl w:val="0"/>
                <w:numId w:val="16"/>
              </w:numPr>
              <w:shd w:val="clear" w:color="auto" w:fill="auto"/>
              <w:suppressAutoHyphens w:val="0"/>
              <w:spacing w:line="259" w:lineRule="auto"/>
              <w:ind w:right="0"/>
              <w:jc w:val="left"/>
              <w:rPr>
                <w:rFonts w:asciiTheme="minorHAnsi" w:eastAsia="Calibri" w:hAnsiTheme="minorHAnsi" w:cstheme="minorHAnsi"/>
                <w:kern w:val="0"/>
                <w:szCs w:val="22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FA253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Ministerstwo Funduszy i Polityki Regionalnej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316CE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Dotychczasowe osiągnięcia Polski w obszarze kompetencji cyfrowych (rozdział 6)</w:t>
            </w:r>
          </w:p>
        </w:tc>
        <w:tc>
          <w:tcPr>
            <w:tcW w:w="6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EAFB5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Brakuje informacji nt. działań i programów rozwijanych w ramach Funduszy Europejskich np. Latarnicy2020.pl; szkolenia ICT prowadzone w Regionalnych Programach Operacyjnych 2014-2020 (PI10iii). Sugerujemy dodanie informacji nt. tych działań, tak aby pokazać pełen obraz sytuacji.</w:t>
            </w:r>
          </w:p>
        </w:tc>
        <w:tc>
          <w:tcPr>
            <w:tcW w:w="3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8E267" w14:textId="77777777" w:rsidR="00D866A7" w:rsidRDefault="00D866A7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hAnsiTheme="minorHAnsi" w:cstheme="minorHAnsi"/>
                <w:b/>
                <w:color w:val="000000" w:themeColor="text1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Cs w:val="22"/>
              </w:rPr>
              <w:t>Uwaga n</w:t>
            </w:r>
            <w:r w:rsidR="00FE10C1" w:rsidRPr="00580915">
              <w:rPr>
                <w:rFonts w:asciiTheme="minorHAnsi" w:hAnsiTheme="minorHAnsi" w:cstheme="minorHAnsi"/>
                <w:b/>
                <w:color w:val="000000" w:themeColor="text1"/>
                <w:szCs w:val="22"/>
              </w:rPr>
              <w:t>ieuwzględnion</w:t>
            </w:r>
            <w:r>
              <w:rPr>
                <w:rFonts w:asciiTheme="minorHAnsi" w:hAnsiTheme="minorHAnsi" w:cstheme="minorHAnsi"/>
                <w:b/>
                <w:color w:val="000000" w:themeColor="text1"/>
                <w:szCs w:val="22"/>
              </w:rPr>
              <w:t>a</w:t>
            </w:r>
          </w:p>
          <w:p w14:paraId="0697888D" w14:textId="15C8DAA6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221500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Zgłaszający, pomimo prośby, nie przekazał propozycji </w:t>
            </w:r>
            <w:r>
              <w:rPr>
                <w:rFonts w:asciiTheme="minorHAnsi" w:hAnsiTheme="minorHAnsi" w:cstheme="minorHAnsi"/>
                <w:color w:val="000000" w:themeColor="text1"/>
                <w:szCs w:val="22"/>
              </w:rPr>
              <w:t>brzmienia przepisu</w:t>
            </w:r>
            <w:r w:rsidRPr="00221500">
              <w:rPr>
                <w:rFonts w:asciiTheme="minorHAnsi" w:hAnsiTheme="minorHAnsi" w:cstheme="minorHAnsi"/>
                <w:color w:val="000000" w:themeColor="text1"/>
                <w:szCs w:val="22"/>
              </w:rPr>
              <w:t>.</w:t>
            </w:r>
          </w:p>
        </w:tc>
      </w:tr>
      <w:tr w:rsidR="0086154B" w:rsidRPr="004C0B35" w14:paraId="6049982C" w14:textId="77777777" w:rsidTr="00343E38">
        <w:trPr>
          <w:trHeight w:val="3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1F65A" w14:textId="77777777" w:rsidR="0086154B" w:rsidRPr="00580915" w:rsidRDefault="0086154B" w:rsidP="00580915">
            <w:pPr>
              <w:pStyle w:val="Akapitzlist"/>
              <w:widowControl/>
              <w:numPr>
                <w:ilvl w:val="0"/>
                <w:numId w:val="16"/>
              </w:numPr>
              <w:shd w:val="clear" w:color="auto" w:fill="auto"/>
              <w:suppressAutoHyphens w:val="0"/>
              <w:spacing w:line="259" w:lineRule="auto"/>
              <w:ind w:right="0"/>
              <w:jc w:val="left"/>
              <w:rPr>
                <w:rFonts w:asciiTheme="minorHAnsi" w:eastAsia="Calibri" w:hAnsiTheme="minorHAnsi" w:cstheme="minorHAnsi"/>
                <w:kern w:val="0"/>
                <w:szCs w:val="22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4A6AC" w14:textId="77777777" w:rsidR="0086154B" w:rsidRPr="00064731" w:rsidRDefault="0086154B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Ministerstwo Funduszy i Polityki Regionalnej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AF55E" w14:textId="77777777" w:rsidR="0086154B" w:rsidRPr="00064731" w:rsidRDefault="0086154B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Priorytet II</w:t>
            </w:r>
          </w:p>
        </w:tc>
        <w:tc>
          <w:tcPr>
            <w:tcW w:w="6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3EBBF" w14:textId="77777777" w:rsidR="0086154B" w:rsidRPr="00064731" w:rsidRDefault="0086154B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W tym priorytecie całkowicie pominięto działania, jakie mają być realizowane ze środków programów regionalnych na lata 2021-2027 na rzecz podnoszenia umiejętności osób dorosłych w zakresie kompetencji cyfrowych. Wg założeń, ze środków EFS+ w regionach będą możliwe szkolenia dla pracodawców i ich pracowników (szczególnie MŚP) w ramach celu szczegółowego D oraz szkolenia dla osób dorosłych, które chcą nabyć/podnieść swoje kwalifikacje i kompetencje z własnej inicjatywy (</w:t>
            </w:r>
            <w:proofErr w:type="spellStart"/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cs</w:t>
            </w:r>
            <w:proofErr w:type="spellEnd"/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G).</w:t>
            </w:r>
          </w:p>
        </w:tc>
        <w:tc>
          <w:tcPr>
            <w:tcW w:w="3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CB760" w14:textId="77777777" w:rsidR="00D866A7" w:rsidRDefault="00D866A7" w:rsidP="00EF1035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Uwaga n</w:t>
            </w:r>
            <w:r w:rsidR="00EF1035" w:rsidRPr="00580915"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ieuwzględnion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a</w:t>
            </w:r>
          </w:p>
          <w:p w14:paraId="7A27B4A2" w14:textId="5AA3AFEC" w:rsidR="0086154B" w:rsidRPr="00064731" w:rsidRDefault="0086154B" w:rsidP="00EF1035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PRKC jest programem rządowym i obejmuje działania finansowane lub organizowane przez szczebel rządowy</w:t>
            </w:r>
            <w:r w:rsidR="00EF1035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.</w:t>
            </w:r>
            <w:r w:rsidR="00FE1960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JST są zaangażowane w działania jako po</w:t>
            </w:r>
            <w:r w:rsidR="007C1B18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dmioty współpracujące na zasadzie dobrowolności. </w:t>
            </w:r>
          </w:p>
        </w:tc>
      </w:tr>
      <w:tr w:rsidR="0086154B" w:rsidRPr="004C0B35" w14:paraId="4DBCCD57" w14:textId="77777777" w:rsidTr="00343E38">
        <w:trPr>
          <w:trHeight w:val="3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13F03" w14:textId="77777777" w:rsidR="0086154B" w:rsidRPr="00580915" w:rsidRDefault="0086154B" w:rsidP="00580915">
            <w:pPr>
              <w:pStyle w:val="Akapitzlist"/>
              <w:widowControl/>
              <w:numPr>
                <w:ilvl w:val="0"/>
                <w:numId w:val="16"/>
              </w:numPr>
              <w:shd w:val="clear" w:color="auto" w:fill="auto"/>
              <w:suppressAutoHyphens w:val="0"/>
              <w:spacing w:line="259" w:lineRule="auto"/>
              <w:ind w:right="0"/>
              <w:jc w:val="left"/>
              <w:rPr>
                <w:rFonts w:asciiTheme="minorHAnsi" w:eastAsia="Calibri" w:hAnsiTheme="minorHAnsi" w:cstheme="minorHAnsi"/>
                <w:kern w:val="0"/>
                <w:szCs w:val="22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B3CBE" w14:textId="77777777" w:rsidR="0086154B" w:rsidRPr="00064731" w:rsidRDefault="0086154B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Ministerstwo Funduszy i Polityki Regionalnej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61904" w14:textId="77777777" w:rsidR="0086154B" w:rsidRPr="00064731" w:rsidRDefault="0086154B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proofErr w:type="spellStart"/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str</w:t>
            </w:r>
            <w:proofErr w:type="spellEnd"/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79, Fiszka Działanie III.1.3. e-Kompetencje w obszarze cyberbezpieczeństwa</w:t>
            </w:r>
          </w:p>
        </w:tc>
        <w:tc>
          <w:tcPr>
            <w:tcW w:w="6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AA00B" w14:textId="77777777" w:rsidR="0086154B" w:rsidRPr="00064731" w:rsidRDefault="0086154B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W opisie fiszki wskazano, że "(...) prowadzenie działań dla kadr podmiotów publicznych oraz przedsiębiorców będzie spójne z działaniem 2.2. FERC „Wzmocnienie krajowego systemu cyberbezpieczeństwa”. Należy zauważyć, że działania szkoleniowe z zakresu cyberbezpieczeństwa oraz kampanie edukacyjne są przewidziane w FERC nie w działaniu 2.2, ale w działaniu 2.5 Wsparcie umiejętności cyfrowych.</w:t>
            </w:r>
          </w:p>
          <w:p w14:paraId="1BBAADED" w14:textId="77777777" w:rsidR="0086154B" w:rsidRPr="00064731" w:rsidRDefault="0086154B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Należy zatem skorygować zapisy PRKC w tym zakresie.</w:t>
            </w:r>
          </w:p>
        </w:tc>
        <w:tc>
          <w:tcPr>
            <w:tcW w:w="3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9B6F5" w14:textId="77777777" w:rsidR="00D866A7" w:rsidRDefault="00D866A7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Uwaga n</w:t>
            </w:r>
            <w:r w:rsidR="00021785" w:rsidRPr="00580915"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ieu</w:t>
            </w:r>
            <w:r w:rsidR="003A1546" w:rsidRPr="00580915"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względnion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a</w:t>
            </w:r>
          </w:p>
          <w:p w14:paraId="63AF0E19" w14:textId="37B73ADB" w:rsidR="0086154B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Zaproponowane brzmienie ma </w:t>
            </w:r>
            <w:r w:rsidR="00021785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na celu wskazanie, że projekt Rozwój kompetencji z obszaru cyberbezpieczeństwa pracowników instytucji sektora publicznego oraz małych i średnich przedsiębiorstw będzie realizowany w spójny sposób z projektami prowadzonymi </w:t>
            </w:r>
            <w:r w:rsidR="00021785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lastRenderedPageBreak/>
              <w:t>w ramach działania 2.2 FERC</w:t>
            </w:r>
            <w:r w:rsidR="00021785" w:rsidRPr="00BB4430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. Zatem Projekt III.1.3. nie będzie prowadzony w działaniu 2.2. FERC, a </w:t>
            </w:r>
            <w:r w:rsidR="00BB4430" w:rsidRPr="00BB4430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w s</w:t>
            </w:r>
            <w:r w:rsidR="00021785" w:rsidRPr="00BB4430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posób spójny z realizowany</w:t>
            </w:r>
            <w:r w:rsidR="00BB4430" w:rsidRPr="00BB4430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mi</w:t>
            </w:r>
            <w:r w:rsidR="00021785" w:rsidRPr="00BB4430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w tym działaniu projektami.</w:t>
            </w:r>
          </w:p>
        </w:tc>
      </w:tr>
      <w:tr w:rsidR="0086154B" w:rsidRPr="004C0B35" w14:paraId="595C6D78" w14:textId="77777777" w:rsidTr="00343E38">
        <w:trPr>
          <w:trHeight w:val="3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C58C5" w14:textId="77777777" w:rsidR="0086154B" w:rsidRPr="00580915" w:rsidRDefault="0086154B" w:rsidP="00580915">
            <w:pPr>
              <w:pStyle w:val="Akapitzlist"/>
              <w:widowControl/>
              <w:numPr>
                <w:ilvl w:val="0"/>
                <w:numId w:val="16"/>
              </w:numPr>
              <w:shd w:val="clear" w:color="auto" w:fill="auto"/>
              <w:suppressAutoHyphens w:val="0"/>
              <w:spacing w:line="259" w:lineRule="auto"/>
              <w:ind w:right="0"/>
              <w:jc w:val="left"/>
              <w:rPr>
                <w:rFonts w:asciiTheme="minorHAnsi" w:eastAsia="Calibri" w:hAnsiTheme="minorHAnsi" w:cstheme="minorHAnsi"/>
                <w:kern w:val="0"/>
                <w:szCs w:val="22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626ED" w14:textId="77777777" w:rsidR="0086154B" w:rsidRPr="00064731" w:rsidRDefault="0086154B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Ministerstwo Funduszy i Polityki Regionalnej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03621" w14:textId="77777777" w:rsidR="0086154B" w:rsidRPr="00064731" w:rsidRDefault="0086154B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str. 44 6.1. Ogólnopolska Sieć Edukacyjna.</w:t>
            </w:r>
          </w:p>
          <w:p w14:paraId="61495645" w14:textId="77777777" w:rsidR="0086154B" w:rsidRPr="00064731" w:rsidRDefault="0086154B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</w:p>
        </w:tc>
        <w:tc>
          <w:tcPr>
            <w:tcW w:w="6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F7D71" w14:textId="77777777" w:rsidR="0086154B" w:rsidRPr="00064731" w:rsidRDefault="0086154B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Należy wskazać, że projekt jest współfinansowany ze środków POPC.</w:t>
            </w:r>
          </w:p>
          <w:p w14:paraId="16FC32DE" w14:textId="77777777" w:rsidR="0086154B" w:rsidRPr="00064731" w:rsidRDefault="0086154B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58D4F" w14:textId="77777777" w:rsidR="00D866A7" w:rsidRDefault="00D866A7" w:rsidP="00257960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Uwaga n</w:t>
            </w:r>
            <w:r w:rsidR="00811D9D" w:rsidRPr="00580915"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ieuwzględnion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a</w:t>
            </w:r>
          </w:p>
          <w:p w14:paraId="643827D1" w14:textId="1FBDE0CB" w:rsidR="0086154B" w:rsidRPr="00064731" w:rsidRDefault="00811D9D" w:rsidP="00257960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hAnsiTheme="minorHAnsi" w:cstheme="minorHAnsi"/>
                <w:bCs/>
                <w:szCs w:val="22"/>
              </w:rPr>
              <w:t>Informacja taka jest już w tekście w tym punkcie</w:t>
            </w:r>
            <w:r w:rsidR="00BB4430">
              <w:rPr>
                <w:rFonts w:asciiTheme="minorHAnsi" w:hAnsiTheme="minorHAnsi" w:cstheme="minorHAnsi"/>
                <w:bCs/>
                <w:szCs w:val="22"/>
              </w:rPr>
              <w:t>:</w:t>
            </w:r>
            <w:r w:rsidRPr="00064731">
              <w:rPr>
                <w:rFonts w:asciiTheme="minorHAnsi" w:hAnsiTheme="minorHAnsi" w:cstheme="minorHAnsi"/>
                <w:bCs/>
                <w:szCs w:val="22"/>
              </w:rPr>
              <w:t xml:space="preserve"> „Operatorem programu OSE, dofinansowanego w ramach POPC na kwotę ok. 538 mln zł, jest Naukowa i Akademicka Sieć Komputerowa – Państwowy Instytut Badawczy (NASK)”.</w:t>
            </w:r>
          </w:p>
        </w:tc>
      </w:tr>
      <w:tr w:rsidR="0086154B" w:rsidRPr="004C0B35" w14:paraId="543A669E" w14:textId="77777777" w:rsidTr="00343E38">
        <w:trPr>
          <w:trHeight w:val="3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6A08F" w14:textId="54652DFE" w:rsidR="0086154B" w:rsidRPr="00580915" w:rsidRDefault="0086154B" w:rsidP="00580915">
            <w:pPr>
              <w:pStyle w:val="Akapitzlist"/>
              <w:widowControl/>
              <w:numPr>
                <w:ilvl w:val="0"/>
                <w:numId w:val="16"/>
              </w:numPr>
              <w:shd w:val="clear" w:color="auto" w:fill="auto"/>
              <w:suppressAutoHyphens w:val="0"/>
              <w:spacing w:line="259" w:lineRule="auto"/>
              <w:ind w:right="0"/>
              <w:jc w:val="left"/>
              <w:rPr>
                <w:rFonts w:asciiTheme="minorHAnsi" w:eastAsia="Calibri" w:hAnsiTheme="minorHAnsi" w:cstheme="minorHAnsi"/>
                <w:kern w:val="0"/>
                <w:szCs w:val="22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A5833" w14:textId="77777777" w:rsidR="0086154B" w:rsidRPr="00064731" w:rsidRDefault="0086154B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Ministerstwo Finansów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69CF5" w14:textId="77777777" w:rsidR="0086154B" w:rsidRPr="00064731" w:rsidRDefault="0086154B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Uwaga ogólna</w:t>
            </w:r>
          </w:p>
        </w:tc>
        <w:tc>
          <w:tcPr>
            <w:tcW w:w="6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0235D" w14:textId="77777777" w:rsidR="0086154B" w:rsidRPr="00064731" w:rsidRDefault="00AF3428" w:rsidP="00AF3428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Z uwagi</w:t>
            </w:r>
            <w:r w:rsidR="0086154B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na obowiązki wynikające z art. 122 ust. 2 pkt 3 i 8 ustawy z dnia 27 sierpnia 2009 r. o finansach publicznych (Dz. U. z 2021 r. poz. 305, z </w:t>
            </w:r>
            <w:proofErr w:type="spellStart"/>
            <w:r w:rsidR="0086154B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późn</w:t>
            </w:r>
            <w:proofErr w:type="spellEnd"/>
            <w:r w:rsidR="0086154B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. zm.) niezbędne jest uzupełnienie projektu o określenie celu Programu oraz miernika możliwego do monitorowania w rytmie rocznym – na potrzeby planowania i rocznej sprawozdawczości programów wieloletnich (w zakresie załącznika do ustawy </w:t>
            </w:r>
            <w:r w:rsidR="0086154B" w:rsidRPr="00064731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86154B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budżetowej „Zestawienie programów wieloletnich w układzie zadaniowym”)</w:t>
            </w:r>
          </w:p>
        </w:tc>
        <w:tc>
          <w:tcPr>
            <w:tcW w:w="3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9A81C" w14:textId="5E48B12B" w:rsidR="00846895" w:rsidRPr="00580915" w:rsidRDefault="00D866A7" w:rsidP="00EA156A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Uwaga n</w:t>
            </w:r>
            <w:r w:rsidR="00A624BC" w:rsidRPr="00580915"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ieuwzględnion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a</w:t>
            </w:r>
          </w:p>
          <w:p w14:paraId="7EA327CA" w14:textId="47DD81BB" w:rsidR="0086154B" w:rsidRPr="00064731" w:rsidRDefault="005260FD" w:rsidP="00C50718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Cele Programu zostały określone na rok zakończenia </w:t>
            </w:r>
            <w:r w:rsidR="00735BCE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jego realizacji (2030) w rozdzielne 9</w:t>
            </w: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, a wskaźniki w 13. </w:t>
            </w:r>
            <w:r w:rsidR="00A624BC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Realizacja celów b</w:t>
            </w: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ędzie monitorowa</w:t>
            </w:r>
            <w:r w:rsidR="00A624BC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na</w:t>
            </w: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w rytmie rocznym</w:t>
            </w:r>
            <w:r w:rsidR="003F7169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. </w:t>
            </w:r>
            <w:r w:rsidR="000B73D6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Większość działań</w:t>
            </w: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ma charakter wieloletni, gdzie faza początkowa obejmuje okres </w:t>
            </w:r>
            <w:r w:rsidR="003F7169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projektowania i testowania rozwiązań. </w:t>
            </w:r>
            <w:r w:rsidR="00EA156A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Określenie celów rocznych jest bezcelowe, czasochłonne i pracochłonne oraz nie jest</w:t>
            </w:r>
            <w:r w:rsidR="003F7169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konieczne do realizacji PRKC.</w:t>
            </w:r>
            <w:r w:rsidR="00846895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</w:t>
            </w:r>
            <w:r w:rsidR="00C50718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Z</w:t>
            </w:r>
            <w:r w:rsidR="00846895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mieniona została podstawa prawna PRKC na ustawę z dnia 6 grudnia 2006 r. o zasadach prowadzenia polityki rozwoju rozdz. 3 art. 15 pkt 4 ust. 2 (realizacja celów zawartych w SOR)</w:t>
            </w:r>
            <w:r w:rsidR="00C50718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, w związku z czym PRKC nie jest programem wieloletnim w </w:t>
            </w:r>
            <w:r w:rsidR="00C50718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lastRenderedPageBreak/>
              <w:t>rozumieniu ustawy o finansach publicznych.</w:t>
            </w:r>
          </w:p>
        </w:tc>
      </w:tr>
      <w:tr w:rsidR="0086154B" w:rsidRPr="004C0B35" w14:paraId="2BA24B8B" w14:textId="77777777" w:rsidTr="00343E38">
        <w:trPr>
          <w:trHeight w:val="3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B988C" w14:textId="77777777" w:rsidR="0086154B" w:rsidRPr="00580915" w:rsidRDefault="0086154B" w:rsidP="00580915">
            <w:pPr>
              <w:pStyle w:val="Akapitzlist"/>
              <w:widowControl/>
              <w:numPr>
                <w:ilvl w:val="0"/>
                <w:numId w:val="16"/>
              </w:numPr>
              <w:shd w:val="clear" w:color="auto" w:fill="auto"/>
              <w:suppressAutoHyphens w:val="0"/>
              <w:spacing w:line="259" w:lineRule="auto"/>
              <w:ind w:right="0"/>
              <w:jc w:val="left"/>
              <w:rPr>
                <w:rFonts w:asciiTheme="minorHAnsi" w:eastAsia="Calibri" w:hAnsiTheme="minorHAnsi" w:cstheme="minorHAnsi"/>
                <w:kern w:val="0"/>
                <w:szCs w:val="22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7E18B" w14:textId="77777777" w:rsidR="0086154B" w:rsidRPr="00064731" w:rsidRDefault="0086154B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Ministerstwo Finansów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46231" w14:textId="77777777" w:rsidR="0086154B" w:rsidRPr="00064731" w:rsidRDefault="0086154B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Uwaga ogólna</w:t>
            </w:r>
          </w:p>
        </w:tc>
        <w:tc>
          <w:tcPr>
            <w:tcW w:w="6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7E3B2" w14:textId="77777777" w:rsidR="0086154B" w:rsidRPr="00064731" w:rsidRDefault="00AF3428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W</w:t>
            </w:r>
            <w:r w:rsidR="0086154B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ustawie budżetowej na rok 2022 rok, jak również we wstępnych limitach wydatków na 2023 rok oraz w wyjściowych kwotach wydatków budżetu państwa na lata 2024 – 2025, nie były planowane środki na realizację projektowanego Programu;</w:t>
            </w:r>
          </w:p>
        </w:tc>
        <w:tc>
          <w:tcPr>
            <w:tcW w:w="3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6CFE9" w14:textId="77777777" w:rsidR="00D866A7" w:rsidRDefault="00D866A7" w:rsidP="00C50718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Uwaga n</w:t>
            </w:r>
            <w:r w:rsidR="007C1B18" w:rsidRPr="00580915"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ieuwzględnion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a</w:t>
            </w:r>
          </w:p>
          <w:p w14:paraId="5626DABC" w14:textId="648309C4" w:rsidR="0086154B" w:rsidRPr="00064731" w:rsidRDefault="007C1B18" w:rsidP="00C50718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PRKC jest programem finansowanym z wielu źródeł (budżet państwa, Fundusze Europejskie, KPO) i przez wiele podmiotów. </w:t>
            </w:r>
            <w:r w:rsidR="00CB0B4E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Wszystkie kwoty wydatków budżetu państwa nie były planowane na realizację Programu, tylko na poszczególne działania podmiotów odpowiedzialnych za nie, które </w:t>
            </w:r>
            <w:r w:rsidR="00A0410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to podmioty </w:t>
            </w:r>
            <w:r w:rsidR="00CB0B4E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zapewniają finansowanie. Przykładowo działanie </w:t>
            </w:r>
            <w:proofErr w:type="spellStart"/>
            <w:r w:rsidR="00CB0B4E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MEiN</w:t>
            </w:r>
            <w:proofErr w:type="spellEnd"/>
            <w:r w:rsidR="00CB0B4E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I.1.2. Monitorowanie funkcjonowania w praktyce szkolnej podstawy programowej wychowania przedszkolnego oraz kształcenia ogólnego w obszarze rozwijania umiejętności cyfrowych dzieci i młodzieży – jest finansowane z budżetu państwa będąc jednocześnie częścią zadań</w:t>
            </w:r>
            <w:r w:rsidR="00A0410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</w:t>
            </w:r>
            <w:proofErr w:type="spellStart"/>
            <w:r w:rsidR="00A0410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MEiN</w:t>
            </w:r>
            <w:proofErr w:type="spellEnd"/>
            <w:r w:rsidR="00A0410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w ramach jego właściwości. Podobnie </w:t>
            </w:r>
            <w:r w:rsidR="00CB0B4E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Działanie I.2.3. Działania wspierające nauczanie o </w:t>
            </w:r>
            <w:proofErr w:type="spellStart"/>
            <w:r w:rsidR="00CB0B4E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cyberbezpieczeństwie</w:t>
            </w:r>
            <w:proofErr w:type="spellEnd"/>
            <w:r w:rsidR="00CB0B4E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(</w:t>
            </w:r>
            <w:proofErr w:type="spellStart"/>
            <w:r w:rsidR="00CB0B4E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Cyberlekcje</w:t>
            </w:r>
            <w:proofErr w:type="spellEnd"/>
            <w:r w:rsidR="00CB0B4E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)</w:t>
            </w:r>
            <w:r w:rsidR="009521FF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</w:t>
            </w:r>
            <w:r w:rsidR="00C50718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będzie </w:t>
            </w:r>
            <w:r w:rsidR="009521FF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realizowane </w:t>
            </w:r>
            <w:r w:rsidR="00A13EC8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i finansowane </w:t>
            </w:r>
            <w:r w:rsidR="009521FF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w ramach zadań Departamentu Cyberbezpieczeństwa KPRM</w:t>
            </w:r>
            <w:r w:rsidR="00CB0B4E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.</w:t>
            </w:r>
          </w:p>
        </w:tc>
      </w:tr>
      <w:tr w:rsidR="0086154B" w:rsidRPr="004C0B35" w14:paraId="3EBAC58F" w14:textId="77777777" w:rsidTr="00343E38">
        <w:trPr>
          <w:trHeight w:val="3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8E6E5" w14:textId="77777777" w:rsidR="0086154B" w:rsidRPr="00580915" w:rsidRDefault="0086154B" w:rsidP="00580915">
            <w:pPr>
              <w:pStyle w:val="Akapitzlist"/>
              <w:widowControl/>
              <w:numPr>
                <w:ilvl w:val="0"/>
                <w:numId w:val="16"/>
              </w:numPr>
              <w:shd w:val="clear" w:color="auto" w:fill="auto"/>
              <w:suppressAutoHyphens w:val="0"/>
              <w:spacing w:line="259" w:lineRule="auto"/>
              <w:ind w:right="0"/>
              <w:jc w:val="left"/>
              <w:rPr>
                <w:rFonts w:asciiTheme="minorHAnsi" w:eastAsia="Calibri" w:hAnsiTheme="minorHAnsi" w:cstheme="minorHAnsi"/>
                <w:kern w:val="0"/>
                <w:szCs w:val="22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E9908" w14:textId="77777777" w:rsidR="0086154B" w:rsidRPr="00064731" w:rsidRDefault="0086154B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Ministerstwo Finansów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1D0CD" w14:textId="77777777" w:rsidR="0086154B" w:rsidRPr="00064731" w:rsidRDefault="0086154B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Projekt uchwały</w:t>
            </w:r>
          </w:p>
        </w:tc>
        <w:tc>
          <w:tcPr>
            <w:tcW w:w="6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41CEB" w14:textId="77777777" w:rsidR="0086154B" w:rsidRPr="00064731" w:rsidRDefault="00AF3428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W</w:t>
            </w:r>
            <w:r w:rsidR="0086154B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związku ze wskazaniem jako podstawy prawnej uchwały art. 136 ust. 2 ustawy z dnia 27 sierpnia 2009 r. o finansach publicznych, który dotyczy „programów wieloletnich” a nie „programów rządowych”, tytuł uchwały </w:t>
            </w:r>
            <w:r w:rsidR="0086154B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lastRenderedPageBreak/>
              <w:t>powinien otrzymać brzmienie „w sprawie ustanowienia programu wieloletniego pod nazwą „Program Rozwoju Kompetencji Cyfrowych”</w:t>
            </w:r>
          </w:p>
        </w:tc>
        <w:tc>
          <w:tcPr>
            <w:tcW w:w="3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9A7A2" w14:textId="77777777" w:rsidR="00D866A7" w:rsidRDefault="00D866A7" w:rsidP="00C50718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lastRenderedPageBreak/>
              <w:t>Uwaga n</w:t>
            </w:r>
            <w:r w:rsidR="000904B8" w:rsidRPr="00580915"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ieuwzględnion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a</w:t>
            </w:r>
          </w:p>
          <w:p w14:paraId="2E06320C" w14:textId="50E41C08" w:rsidR="0086154B" w:rsidRPr="00064731" w:rsidRDefault="00D866A7" w:rsidP="00C50718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Zm</w:t>
            </w:r>
            <w:r w:rsidR="00846895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ieniona została podstawa prawna PRKC na ustawę z dnia 6 </w:t>
            </w:r>
            <w:r w:rsidR="00846895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lastRenderedPageBreak/>
              <w:t>grudnia 2006 r. o zasadach prowadzenia polityki rozwoju rozdz. 3 art. 15 pkt 4 ust. 2 (realizacja celów zawartych w SOR).</w:t>
            </w:r>
          </w:p>
        </w:tc>
      </w:tr>
      <w:tr w:rsidR="0086154B" w:rsidRPr="004C0B35" w14:paraId="1E37374C" w14:textId="77777777" w:rsidTr="00343E38">
        <w:trPr>
          <w:trHeight w:val="3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D891" w14:textId="77777777" w:rsidR="0086154B" w:rsidRPr="00580915" w:rsidRDefault="0086154B" w:rsidP="00580915">
            <w:pPr>
              <w:pStyle w:val="Akapitzlist"/>
              <w:widowControl/>
              <w:numPr>
                <w:ilvl w:val="0"/>
                <w:numId w:val="16"/>
              </w:numPr>
              <w:shd w:val="clear" w:color="auto" w:fill="auto"/>
              <w:suppressAutoHyphens w:val="0"/>
              <w:spacing w:line="259" w:lineRule="auto"/>
              <w:ind w:right="0"/>
              <w:jc w:val="left"/>
              <w:rPr>
                <w:rFonts w:asciiTheme="minorHAnsi" w:eastAsia="Calibri" w:hAnsiTheme="minorHAnsi" w:cstheme="minorHAnsi"/>
                <w:kern w:val="0"/>
                <w:szCs w:val="22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5EF72" w14:textId="77777777" w:rsidR="0086154B" w:rsidRPr="00064731" w:rsidRDefault="0086154B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Ministerstwo Finansów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FA7CE" w14:textId="77777777" w:rsidR="0086154B" w:rsidRPr="00064731" w:rsidRDefault="0086154B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Projekt uchwały</w:t>
            </w:r>
          </w:p>
        </w:tc>
        <w:tc>
          <w:tcPr>
            <w:tcW w:w="6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556F0" w14:textId="77777777" w:rsidR="0086154B" w:rsidRPr="00064731" w:rsidRDefault="00AF3428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W</w:t>
            </w:r>
            <w:r w:rsidR="0086154B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§ 2 projektowanej uchwały proponuję określić także początek (pierwszy rok) okresu realizacji Programu</w:t>
            </w:r>
          </w:p>
        </w:tc>
        <w:tc>
          <w:tcPr>
            <w:tcW w:w="3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50B81" w14:textId="13B4B631" w:rsidR="0086154B" w:rsidRPr="00064731" w:rsidRDefault="00D866A7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Uwaga n</w:t>
            </w:r>
            <w:r w:rsidR="00A04101" w:rsidRPr="00580915"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ieuwzględnion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a</w:t>
            </w:r>
            <w:r w:rsidR="0019395E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. C</w:t>
            </w:r>
            <w:r w:rsidR="00E94DC6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zęść działań jest już w </w:t>
            </w:r>
            <w:r w:rsidR="00A0410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trakcie </w:t>
            </w:r>
            <w:r w:rsidR="00E94DC6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realizacji</w:t>
            </w:r>
            <w:r w:rsidR="00A0410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.</w:t>
            </w:r>
          </w:p>
        </w:tc>
      </w:tr>
      <w:tr w:rsidR="0086154B" w:rsidRPr="004C0B35" w14:paraId="75A3157F" w14:textId="77777777" w:rsidTr="00343E38">
        <w:trPr>
          <w:trHeight w:val="3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11395" w14:textId="77777777" w:rsidR="0086154B" w:rsidRPr="00580915" w:rsidRDefault="0086154B" w:rsidP="00580915">
            <w:pPr>
              <w:pStyle w:val="Akapitzlist"/>
              <w:widowControl/>
              <w:numPr>
                <w:ilvl w:val="0"/>
                <w:numId w:val="16"/>
              </w:numPr>
              <w:shd w:val="clear" w:color="auto" w:fill="auto"/>
              <w:suppressAutoHyphens w:val="0"/>
              <w:spacing w:line="259" w:lineRule="auto"/>
              <w:ind w:right="0"/>
              <w:jc w:val="left"/>
              <w:rPr>
                <w:rFonts w:asciiTheme="minorHAnsi" w:eastAsia="Calibri" w:hAnsiTheme="minorHAnsi" w:cstheme="minorHAnsi"/>
                <w:kern w:val="0"/>
                <w:szCs w:val="22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92515" w14:textId="77777777" w:rsidR="0086154B" w:rsidRPr="00064731" w:rsidRDefault="0086154B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Ministerstwo Finansów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043F6" w14:textId="77777777" w:rsidR="0086154B" w:rsidRPr="00064731" w:rsidRDefault="0086154B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Projekt uchwały</w:t>
            </w:r>
          </w:p>
        </w:tc>
        <w:tc>
          <w:tcPr>
            <w:tcW w:w="6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C0A16" w14:textId="77777777" w:rsidR="0086154B" w:rsidRPr="00064731" w:rsidRDefault="00AF3428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P</w:t>
            </w:r>
            <w:r w:rsidR="0086154B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oddaję pod rozwagę modyfikację § 6 i § 7 projektu uchwały przez wskazanie, że informacja o stanie realizacji Programu jest przedstawiana Radzie Ministrów po zasięgnięciu opinii Komitetu Rady Ministrów do Spraw Cyfryzacji, który jest organem pomocniczym Rady Ministrów i Prezesa Rady Ministrów w sprawach dotyczących informatyzacji</w:t>
            </w:r>
          </w:p>
        </w:tc>
        <w:tc>
          <w:tcPr>
            <w:tcW w:w="3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BC00A" w14:textId="0BE3D95D" w:rsidR="0086154B" w:rsidRPr="00064731" w:rsidRDefault="00D866A7" w:rsidP="00B40340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Uwaga n</w:t>
            </w:r>
            <w:r w:rsidR="00B40340" w:rsidRPr="00580915"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ieuwzględnion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a</w:t>
            </w:r>
            <w:r w:rsidR="00B40340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. Przed przyjęciem PRKC będzie przedmiotem opiniowania przez KRMC. Ponieważ PRKC nie jest  projektem informatycznym administracji rządowej</w:t>
            </w:r>
            <w:r w:rsidR="00357BB4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,</w:t>
            </w:r>
            <w:r w:rsidR="00B40340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raport o stanie jego realizacji nie wymaga opinii KRMC, tym bardziej, że otrzyma go </w:t>
            </w:r>
            <w:r w:rsidR="00E94DC6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każdy </w:t>
            </w:r>
            <w:r w:rsidR="00E123D5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z </w:t>
            </w:r>
            <w:r w:rsidR="00E94DC6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resort</w:t>
            </w:r>
            <w:r w:rsidR="00E123D5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ów zaangażowanych w jego realizację. </w:t>
            </w:r>
          </w:p>
        </w:tc>
      </w:tr>
      <w:tr w:rsidR="0086154B" w:rsidRPr="004C0B35" w14:paraId="60A4E43E" w14:textId="77777777" w:rsidTr="00343E38">
        <w:trPr>
          <w:trHeight w:val="3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CAF7D" w14:textId="77777777" w:rsidR="0086154B" w:rsidRPr="00580915" w:rsidRDefault="0086154B" w:rsidP="00580915">
            <w:pPr>
              <w:pStyle w:val="Akapitzlist"/>
              <w:widowControl/>
              <w:numPr>
                <w:ilvl w:val="0"/>
                <w:numId w:val="16"/>
              </w:numPr>
              <w:shd w:val="clear" w:color="auto" w:fill="auto"/>
              <w:suppressAutoHyphens w:val="0"/>
              <w:spacing w:line="259" w:lineRule="auto"/>
              <w:ind w:right="0"/>
              <w:jc w:val="left"/>
              <w:rPr>
                <w:rFonts w:asciiTheme="minorHAnsi" w:eastAsia="Calibri" w:hAnsiTheme="minorHAnsi" w:cstheme="minorHAnsi"/>
                <w:kern w:val="0"/>
                <w:szCs w:val="22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4F5C0" w14:textId="77777777" w:rsidR="0086154B" w:rsidRPr="00064731" w:rsidRDefault="0086154B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Ministerstwo Finansów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48817" w14:textId="77777777" w:rsidR="0086154B" w:rsidRPr="00064731" w:rsidRDefault="0086154B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Projekt uchwały</w:t>
            </w:r>
          </w:p>
        </w:tc>
        <w:tc>
          <w:tcPr>
            <w:tcW w:w="6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59CD2" w14:textId="77777777" w:rsidR="0086154B" w:rsidRPr="00064731" w:rsidRDefault="00F41C46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P</w:t>
            </w:r>
            <w:r w:rsidR="0086154B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rojekt proponuje uzupełnić o limity wydatków w ramach Programu w poszczególnych latach jego realizacji, a także podział wysokości środków ze względu na źródła finansowania oraz ze względu na właściwość poszczególnych dysponentów biorących udział w realizacji Programu</w:t>
            </w:r>
          </w:p>
        </w:tc>
        <w:tc>
          <w:tcPr>
            <w:tcW w:w="3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DDC30" w14:textId="0693C1B0" w:rsidR="0086154B" w:rsidRPr="00064731" w:rsidRDefault="00D866A7" w:rsidP="000904B8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Uwaga n</w:t>
            </w:r>
            <w:r w:rsidR="00AF3428" w:rsidRPr="00580915"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ieuwzględnion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a</w:t>
            </w:r>
            <w:r w:rsidR="00AF3428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. </w:t>
            </w:r>
            <w:r w:rsidR="000904B8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Ze względu na fakt, że </w:t>
            </w:r>
            <w:r w:rsidR="000904B8" w:rsidRPr="000904B8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PRKC jest programem finansowanym z wielu źródeł (budżet państwa, Fundusze Europejski</w:t>
            </w:r>
            <w:r w:rsidR="000904B8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e, KPO) i przez wiele podmiotów szczegółowe dane finansowe przedstawiono w punkcie 6 OSR. W projekcie uchwały wskazano </w:t>
            </w:r>
            <w:r w:rsidR="000904B8">
              <w:t xml:space="preserve"> </w:t>
            </w:r>
            <w:r w:rsidR="000904B8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ł</w:t>
            </w:r>
            <w:r w:rsidR="000904B8" w:rsidRPr="000904B8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ączne wydatki z budżetu państwa na realizację Programu</w:t>
            </w:r>
            <w:r w:rsidR="000904B8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. </w:t>
            </w:r>
          </w:p>
        </w:tc>
      </w:tr>
      <w:tr w:rsidR="0086154B" w:rsidRPr="004C0B35" w14:paraId="5DF71827" w14:textId="77777777" w:rsidTr="00343E38">
        <w:trPr>
          <w:trHeight w:val="3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4BDC9" w14:textId="77777777" w:rsidR="0086154B" w:rsidRPr="00580915" w:rsidRDefault="0086154B" w:rsidP="00580915">
            <w:pPr>
              <w:pStyle w:val="Akapitzlist"/>
              <w:widowControl/>
              <w:numPr>
                <w:ilvl w:val="0"/>
                <w:numId w:val="16"/>
              </w:numPr>
              <w:shd w:val="clear" w:color="auto" w:fill="auto"/>
              <w:suppressAutoHyphens w:val="0"/>
              <w:spacing w:line="259" w:lineRule="auto"/>
              <w:ind w:right="0"/>
              <w:jc w:val="left"/>
              <w:rPr>
                <w:rFonts w:asciiTheme="minorHAnsi" w:eastAsia="Calibri" w:hAnsiTheme="minorHAnsi" w:cstheme="minorHAnsi"/>
                <w:kern w:val="0"/>
                <w:szCs w:val="22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19978" w14:textId="77777777" w:rsidR="0086154B" w:rsidRPr="00064731" w:rsidRDefault="00143943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Ministerstwo Spraw Wewnętrznych i Administracji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95514" w14:textId="77777777" w:rsidR="0086154B" w:rsidRPr="00064731" w:rsidRDefault="00B078FC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działanie III.3.9</w:t>
            </w:r>
          </w:p>
        </w:tc>
        <w:tc>
          <w:tcPr>
            <w:tcW w:w="6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1BADA" w14:textId="77777777" w:rsidR="0086154B" w:rsidRPr="00064731" w:rsidRDefault="00B078FC" w:rsidP="00A66477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Z działania III.3.9 </w:t>
            </w:r>
            <w:r w:rsidRPr="00064731">
              <w:rPr>
                <w:rFonts w:asciiTheme="minorHAnsi" w:eastAsia="Calibri" w:hAnsiTheme="minorHAnsi" w:cstheme="minorHAnsi"/>
                <w:bCs/>
                <w:i/>
                <w:kern w:val="0"/>
                <w:szCs w:val="22"/>
              </w:rPr>
              <w:t xml:space="preserve">Dostępność cyfrowa stron jednostek samorządu terytorialnego – zasoby, szkolenia, </w:t>
            </w:r>
            <w:proofErr w:type="spellStart"/>
            <w:r w:rsidRPr="00064731">
              <w:rPr>
                <w:rFonts w:asciiTheme="minorHAnsi" w:eastAsia="Calibri" w:hAnsiTheme="minorHAnsi" w:cstheme="minorHAnsi"/>
                <w:bCs/>
                <w:i/>
                <w:kern w:val="0"/>
                <w:szCs w:val="22"/>
              </w:rPr>
              <w:t>walidatory</w:t>
            </w:r>
            <w:proofErr w:type="spellEnd"/>
            <w:r w:rsidRPr="00064731">
              <w:rPr>
                <w:rFonts w:asciiTheme="minorHAnsi" w:eastAsia="Calibri" w:hAnsiTheme="minorHAnsi" w:cstheme="minorHAnsi"/>
                <w:bCs/>
                <w:i/>
                <w:kern w:val="0"/>
                <w:szCs w:val="22"/>
              </w:rPr>
              <w:t>,</w:t>
            </w: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należy wykreślić urząd obsługujący ministra właściwego do spraw administracji publicznej jako podmiot współpracujący (str. 90-91 i str. 101). Powyższe wynika z faktu, że problematyka dostępności cyfrowej stron jednostek samorządu terytorialnego pozostaje poza zakresem właściwości Ministra Spraw Wewnętrznych</w:t>
            </w:r>
            <w:r w:rsidR="00A66477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</w:t>
            </w: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i Administracji.</w:t>
            </w:r>
          </w:p>
        </w:tc>
        <w:tc>
          <w:tcPr>
            <w:tcW w:w="3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A2E30" w14:textId="20214F33" w:rsidR="00747F38" w:rsidRPr="00064731" w:rsidRDefault="00D866A7" w:rsidP="00747F38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Uwaga n</w:t>
            </w:r>
            <w:r w:rsidR="00747F38" w:rsidRPr="00580915"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ieu</w:t>
            </w:r>
            <w:r w:rsidR="00537980" w:rsidRPr="00580915"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względnion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a</w:t>
            </w:r>
            <w:r w:rsidR="00537980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. </w:t>
            </w:r>
            <w:r w:rsidR="00747F38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MSWiA jest instytucją pośredniczącą w projekcie „Dostępność cyfrowa stron jednostek samorządu terytorialnego – za</w:t>
            </w:r>
            <w:r w:rsidR="00F41C46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soby, szkolenia, </w:t>
            </w:r>
            <w:proofErr w:type="spellStart"/>
            <w:r w:rsidR="00F41C46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walidatory</w:t>
            </w:r>
            <w:proofErr w:type="spellEnd"/>
            <w:r w:rsidR="00F41C46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” PO</w:t>
            </w:r>
            <w:r w:rsidR="00747F38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WER. </w:t>
            </w:r>
          </w:p>
          <w:p w14:paraId="351ABDFB" w14:textId="77777777" w:rsidR="0086154B" w:rsidRPr="00064731" w:rsidRDefault="00747F38" w:rsidP="00747F38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  <w:highlight w:val="yellow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Nic w tym projekcie nie dzieje się </w:t>
            </w:r>
            <w:r w:rsidR="00525820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bez </w:t>
            </w: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wiedzy oraz zgody MSWiA.</w:t>
            </w:r>
          </w:p>
        </w:tc>
      </w:tr>
      <w:tr w:rsidR="0086154B" w:rsidRPr="004C0B35" w14:paraId="40032305" w14:textId="77777777" w:rsidTr="00343E38">
        <w:trPr>
          <w:trHeight w:val="3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E5FF5" w14:textId="77777777" w:rsidR="0086154B" w:rsidRPr="00580915" w:rsidRDefault="0086154B" w:rsidP="00580915">
            <w:pPr>
              <w:pStyle w:val="Akapitzlist"/>
              <w:widowControl/>
              <w:numPr>
                <w:ilvl w:val="0"/>
                <w:numId w:val="16"/>
              </w:numPr>
              <w:shd w:val="clear" w:color="auto" w:fill="auto"/>
              <w:suppressAutoHyphens w:val="0"/>
              <w:spacing w:line="259" w:lineRule="auto"/>
              <w:ind w:right="0"/>
              <w:jc w:val="left"/>
              <w:rPr>
                <w:rFonts w:asciiTheme="minorHAnsi" w:eastAsia="Calibri" w:hAnsiTheme="minorHAnsi" w:cstheme="minorHAnsi"/>
                <w:kern w:val="0"/>
                <w:szCs w:val="22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3EEAD" w14:textId="77777777" w:rsidR="0086154B" w:rsidRPr="00064731" w:rsidRDefault="009D5EE0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Ministerstwo Rozwoju i Technologii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8574A" w14:textId="77777777" w:rsidR="0086154B" w:rsidRPr="00064731" w:rsidRDefault="009D5EE0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rozdział 7</w:t>
            </w:r>
          </w:p>
        </w:tc>
        <w:tc>
          <w:tcPr>
            <w:tcW w:w="6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96FB4" w14:textId="77777777" w:rsidR="0086154B" w:rsidRPr="00064731" w:rsidRDefault="009D5EE0" w:rsidP="009D5EE0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Program w rozdziale 7 odnosi się do Programu Polityki Polski. Zwracamy jednak uwagę, że dokument nie ma charakteru oficjalnego, a prace nad dokumentem zostały zaniechane.</w:t>
            </w:r>
          </w:p>
        </w:tc>
        <w:tc>
          <w:tcPr>
            <w:tcW w:w="3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EFA3F" w14:textId="03840AF2" w:rsidR="0086154B" w:rsidRPr="00064731" w:rsidRDefault="00D866A7" w:rsidP="00F41C46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Uwaga n</w:t>
            </w:r>
            <w:r w:rsidR="00E1571F" w:rsidRPr="00580915"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ieuwzględnion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a</w:t>
            </w:r>
            <w:r w:rsidR="00E1571F" w:rsidRPr="00580915"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.</w:t>
            </w:r>
            <w:r w:rsidR="00E1571F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 </w:t>
            </w:r>
            <w:r w:rsidR="00D66820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PRKC </w:t>
            </w:r>
            <w:r w:rsidR="00B273BF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nie zawiera </w:t>
            </w:r>
            <w:r w:rsidR="00D66820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odniesienia do Programu Polityki Polski. </w:t>
            </w:r>
          </w:p>
        </w:tc>
      </w:tr>
      <w:tr w:rsidR="0086154B" w:rsidRPr="004C0B35" w14:paraId="75FC8C08" w14:textId="77777777" w:rsidTr="00343E38">
        <w:trPr>
          <w:trHeight w:val="3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A163F" w14:textId="77777777" w:rsidR="0086154B" w:rsidRPr="00580915" w:rsidRDefault="0086154B" w:rsidP="00580915">
            <w:pPr>
              <w:pStyle w:val="Akapitzlist"/>
              <w:widowControl/>
              <w:numPr>
                <w:ilvl w:val="0"/>
                <w:numId w:val="16"/>
              </w:numPr>
              <w:shd w:val="clear" w:color="auto" w:fill="auto"/>
              <w:suppressAutoHyphens w:val="0"/>
              <w:spacing w:line="259" w:lineRule="auto"/>
              <w:ind w:right="0"/>
              <w:jc w:val="left"/>
              <w:rPr>
                <w:rFonts w:asciiTheme="minorHAnsi" w:eastAsia="Calibri" w:hAnsiTheme="minorHAnsi" w:cstheme="minorHAnsi"/>
                <w:kern w:val="0"/>
                <w:szCs w:val="22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43C70" w14:textId="77777777" w:rsidR="0086154B" w:rsidRPr="00064731" w:rsidRDefault="009D5EE0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Ministerstwo Rozwoju i Technologii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F6E74" w14:textId="77777777" w:rsidR="0086154B" w:rsidRPr="00064731" w:rsidRDefault="009D5EE0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działanie </w:t>
            </w:r>
            <w:r w:rsidRPr="00064731">
              <w:rPr>
                <w:rFonts w:asciiTheme="minorHAnsi" w:hAnsiTheme="minorHAnsi" w:cstheme="minorHAnsi"/>
                <w:szCs w:val="22"/>
              </w:rPr>
              <w:t xml:space="preserve"> </w:t>
            </w: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III.1.6</w:t>
            </w:r>
          </w:p>
        </w:tc>
        <w:tc>
          <w:tcPr>
            <w:tcW w:w="6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D22D8" w14:textId="77777777" w:rsidR="0086154B" w:rsidRPr="00064731" w:rsidRDefault="009D5EE0" w:rsidP="009D5EE0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Odnośnie do Działania III.1.6 Kompetencje przyszłości w przemyśle 4.0 </w:t>
            </w:r>
            <w:proofErr w:type="spellStart"/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MRiT</w:t>
            </w:r>
            <w:proofErr w:type="spellEnd"/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proponuje zmianę w zakresie Podmiotu wiodącego z „Fundacja Platformy Przemysłu Przyszłości” na „Urząd obsługujący ministra właściwego do spraw gospodarki” a „Fundację Platforma Przemysłu Przyszłości” dodać w grupie Podmiotów współpracujących.</w:t>
            </w:r>
          </w:p>
        </w:tc>
        <w:tc>
          <w:tcPr>
            <w:tcW w:w="3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E95FA" w14:textId="465ADEF0" w:rsidR="0086154B" w:rsidRPr="00476D61" w:rsidRDefault="00D866A7" w:rsidP="0019395E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color w:val="FF0000"/>
                <w:kern w:val="0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Uwaga n</w:t>
            </w:r>
            <w:r w:rsidR="00AB7700" w:rsidRPr="00580915"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ieu</w:t>
            </w:r>
            <w:r w:rsidR="001640E7" w:rsidRPr="00580915"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względnion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a</w:t>
            </w:r>
            <w:r w:rsidR="0019395E" w:rsidRPr="0019395E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, zgodnie z </w:t>
            </w:r>
            <w:r w:rsidR="0019395E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ustaleniami z </w:t>
            </w:r>
            <w:proofErr w:type="spellStart"/>
            <w:r w:rsidR="0019395E" w:rsidRPr="0019395E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MRiT</w:t>
            </w:r>
            <w:proofErr w:type="spellEnd"/>
            <w:r w:rsidR="0019395E" w:rsidRPr="0019395E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.</w:t>
            </w:r>
          </w:p>
        </w:tc>
      </w:tr>
      <w:tr w:rsidR="009D5EE0" w:rsidRPr="004C0B35" w14:paraId="5D74E8CE" w14:textId="77777777" w:rsidTr="00343E38">
        <w:trPr>
          <w:trHeight w:val="3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BB08E" w14:textId="77777777" w:rsidR="009D5EE0" w:rsidRPr="00580915" w:rsidRDefault="009D5EE0" w:rsidP="00580915">
            <w:pPr>
              <w:pStyle w:val="Akapitzlist"/>
              <w:widowControl/>
              <w:numPr>
                <w:ilvl w:val="0"/>
                <w:numId w:val="16"/>
              </w:numPr>
              <w:shd w:val="clear" w:color="auto" w:fill="auto"/>
              <w:suppressAutoHyphens w:val="0"/>
              <w:spacing w:line="259" w:lineRule="auto"/>
              <w:ind w:right="0"/>
              <w:jc w:val="left"/>
              <w:rPr>
                <w:rFonts w:asciiTheme="minorHAnsi" w:eastAsia="Calibri" w:hAnsiTheme="minorHAnsi" w:cstheme="minorHAnsi"/>
                <w:kern w:val="0"/>
                <w:szCs w:val="22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0FEC5" w14:textId="77777777" w:rsidR="009D5EE0" w:rsidRPr="00064731" w:rsidRDefault="009D5EE0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Ministerstwo Rozwoju i Technologii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A9479" w14:textId="77777777" w:rsidR="009D5EE0" w:rsidRPr="00064731" w:rsidRDefault="009D5EE0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OSR pkt 6</w:t>
            </w:r>
          </w:p>
        </w:tc>
        <w:tc>
          <w:tcPr>
            <w:tcW w:w="6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EB5AF" w14:textId="77777777" w:rsidR="009D5EE0" w:rsidRPr="00064731" w:rsidRDefault="009D5EE0" w:rsidP="009D5EE0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W OSR w pkt 6 prosimy o dodanie treści, zgodnie z którą wydatki z cz. 20 w latach realizacji Programu zostaną sfinansowane ze zwiększonego limitu tej części.</w:t>
            </w:r>
          </w:p>
        </w:tc>
        <w:tc>
          <w:tcPr>
            <w:tcW w:w="3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CB83E" w14:textId="324CCF29" w:rsidR="009D5EE0" w:rsidRPr="00476D61" w:rsidRDefault="00D866A7" w:rsidP="00580915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color w:val="FF0000"/>
                <w:kern w:val="0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Uwaga n</w:t>
            </w:r>
            <w:r w:rsidR="004F0DFA" w:rsidRPr="00580915"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ieuwzględnion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a</w:t>
            </w:r>
            <w:r w:rsidR="004F0DFA" w:rsidRPr="0019395E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. Uw</w:t>
            </w:r>
            <w:r w:rsidR="00D86A7C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aga jest sprzeczna z uwagą </w:t>
            </w:r>
            <w:r w:rsidR="004F0DFA" w:rsidRPr="0019395E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zgłoszoną przez Ministerstwo Finansów. </w:t>
            </w:r>
          </w:p>
        </w:tc>
      </w:tr>
      <w:tr w:rsidR="009D5EE0" w:rsidRPr="004C0B35" w14:paraId="122AA9AF" w14:textId="77777777" w:rsidTr="00343E38">
        <w:trPr>
          <w:trHeight w:val="3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40F35" w14:textId="77777777" w:rsidR="009D5EE0" w:rsidRPr="00580915" w:rsidRDefault="009D5EE0" w:rsidP="00580915">
            <w:pPr>
              <w:pStyle w:val="Akapitzlist"/>
              <w:widowControl/>
              <w:numPr>
                <w:ilvl w:val="0"/>
                <w:numId w:val="16"/>
              </w:numPr>
              <w:shd w:val="clear" w:color="auto" w:fill="auto"/>
              <w:suppressAutoHyphens w:val="0"/>
              <w:spacing w:line="259" w:lineRule="auto"/>
              <w:ind w:right="0"/>
              <w:jc w:val="left"/>
              <w:rPr>
                <w:rFonts w:asciiTheme="minorHAnsi" w:eastAsia="Calibri" w:hAnsiTheme="minorHAnsi" w:cstheme="minorHAnsi"/>
                <w:kern w:val="0"/>
                <w:szCs w:val="22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8656E" w14:textId="77777777" w:rsidR="009D5EE0" w:rsidRPr="00064731" w:rsidRDefault="009D5EE0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Ministerstwo Rozwoju i Technologii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80C7F" w14:textId="77777777" w:rsidR="009D5EE0" w:rsidRPr="00064731" w:rsidRDefault="009D5EE0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III.1.5</w:t>
            </w:r>
          </w:p>
        </w:tc>
        <w:tc>
          <w:tcPr>
            <w:tcW w:w="6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42E51" w14:textId="77777777" w:rsidR="009D5EE0" w:rsidRPr="00064731" w:rsidRDefault="009D5EE0" w:rsidP="009D5EE0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Zgodnie z Programem w latach 2025-2030 minister właściwy do spraw gospodarki ma realizować zadanie "Obserwatorium Kompetencji Przyszłości (Dział.III.1.5) m. in. We współpracy z FPPP. W sytuacji, gdy Program zostanie uchwalony, lub będzie się znajdował na zaawansowanym etapie procedowania, planowane wydatki z cz. 20 związane z realizacją Programu powinny zostać zgłoszone już w 2023 r. w ramach prac planistycznych nad</w:t>
            </w:r>
          </w:p>
          <w:p w14:paraId="1FF1AC86" w14:textId="77777777" w:rsidR="009D5EE0" w:rsidRPr="00064731" w:rsidRDefault="009D5EE0" w:rsidP="009D5EE0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projektem budżetu.</w:t>
            </w:r>
          </w:p>
        </w:tc>
        <w:tc>
          <w:tcPr>
            <w:tcW w:w="3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E471B" w14:textId="79CF96D3" w:rsidR="009D5EE0" w:rsidRPr="00476D61" w:rsidRDefault="00E662B7" w:rsidP="0082125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color w:val="FF0000"/>
                <w:kern w:val="0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Uwaga n</w:t>
            </w:r>
            <w:r w:rsidR="0019395E" w:rsidRPr="00580915"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ieuwzględnion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a</w:t>
            </w:r>
            <w:r w:rsidR="0019395E" w:rsidRPr="0019395E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, zgodnie z </w:t>
            </w:r>
            <w:r w:rsidR="0019395E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ustaleniami z </w:t>
            </w:r>
            <w:proofErr w:type="spellStart"/>
            <w:r w:rsidR="0019395E" w:rsidRPr="0019395E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MRiT</w:t>
            </w:r>
            <w:proofErr w:type="spellEnd"/>
            <w:r w:rsidR="0019395E" w:rsidRPr="0019395E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.</w:t>
            </w:r>
          </w:p>
        </w:tc>
      </w:tr>
      <w:tr w:rsidR="009D5EE0" w:rsidRPr="004C0B35" w14:paraId="27922021" w14:textId="77777777" w:rsidTr="00343E38">
        <w:trPr>
          <w:trHeight w:val="3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E982E" w14:textId="77777777" w:rsidR="009D5EE0" w:rsidRPr="00580915" w:rsidRDefault="009D5EE0" w:rsidP="00580915">
            <w:pPr>
              <w:pStyle w:val="Akapitzlist"/>
              <w:widowControl/>
              <w:numPr>
                <w:ilvl w:val="0"/>
                <w:numId w:val="16"/>
              </w:numPr>
              <w:shd w:val="clear" w:color="auto" w:fill="auto"/>
              <w:suppressAutoHyphens w:val="0"/>
              <w:spacing w:line="259" w:lineRule="auto"/>
              <w:ind w:right="0"/>
              <w:jc w:val="left"/>
              <w:rPr>
                <w:rFonts w:asciiTheme="minorHAnsi" w:eastAsia="Calibri" w:hAnsiTheme="minorHAnsi" w:cstheme="minorHAnsi"/>
                <w:kern w:val="0"/>
                <w:szCs w:val="22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0F859" w14:textId="77777777" w:rsidR="009D5EE0" w:rsidRPr="00064731" w:rsidRDefault="005F25A1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Ministerstwo Infrastruktury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44DCA" w14:textId="77777777" w:rsidR="005F25A1" w:rsidRPr="00064731" w:rsidRDefault="005F25A1" w:rsidP="005F25A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"PRIORYTET III: Wsparcie kompetencji cyfrowych pracowników</w:t>
            </w:r>
          </w:p>
          <w:p w14:paraId="15E927F6" w14:textId="77777777" w:rsidR="009D5EE0" w:rsidRPr="00064731" w:rsidRDefault="005F25A1" w:rsidP="005F25A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różnych sektorów",</w:t>
            </w:r>
          </w:p>
        </w:tc>
        <w:tc>
          <w:tcPr>
            <w:tcW w:w="6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C3C5D" w14:textId="77777777" w:rsidR="009D5EE0" w:rsidRDefault="005F25A1" w:rsidP="005F25A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Rozwinięcie w rozdziale "PRIORYTET III: Wsparcie kompetencji cyfrowych pracowników różnych sektorów", wkładu dotyczącego edukacji na rzecz umiejętności korzystania z danych Copernicusa w obszarze umiejętności analizy przestrzennej.</w:t>
            </w:r>
          </w:p>
          <w:p w14:paraId="4FE6ED49" w14:textId="06D3344C" w:rsidR="002F6B28" w:rsidRPr="0041553A" w:rsidRDefault="002F6B28" w:rsidP="002F6B28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41553A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Zwracam uwagę, że zaproponowany wkład zazębia się z celami i działaniami Polskiej Agencji Kosmicznej jako instytucji wiodącej wskazanymi w dokumencie „Krajowy Program Kosmiczny na lata 2021 – 2026” działania, których instytucją wiodącą jest PAK (Priorytet III: Budowa Narodowego Systemu Informacji Satelitarnej, zw. działania 2 i 3 na str. 77-78), a także z Polską Strategią Kosmiczną (zw. Cel szczegółowy 2). </w:t>
            </w:r>
          </w:p>
          <w:p w14:paraId="2CAEB939" w14:textId="6929E215" w:rsidR="002F6B28" w:rsidRPr="00064731" w:rsidRDefault="002F6B28" w:rsidP="002F6B28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41553A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W charakterze ogólnego spostrzeżenia, warto zaznaczyć, że dobrze rozwinięta infrastruktura dostępowa i e-learningowa, jaką obudowane są rozwiązania Open Data systemu Copernicus tworzy warunki, w których działania z poziomu urzędu centralnego nie są niezbędne lub mogą być ograniczone do precyzyjnie zaadresowanych działań informacyjno-</w:t>
            </w:r>
            <w:r w:rsidRPr="0041553A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lastRenderedPageBreak/>
              <w:t xml:space="preserve">promocyjnych (np. </w:t>
            </w:r>
            <w:proofErr w:type="spellStart"/>
            <w:r w:rsidRPr="0041553A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webinar</w:t>
            </w:r>
            <w:proofErr w:type="spellEnd"/>
            <w:r w:rsidRPr="0041553A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dla interesariuszy sektora gospodarki morskiej).</w:t>
            </w:r>
          </w:p>
        </w:tc>
        <w:tc>
          <w:tcPr>
            <w:tcW w:w="3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E6ED2" w14:textId="77777777" w:rsidR="00E662B7" w:rsidRDefault="00E662B7" w:rsidP="002F6B28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kern w:val="0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 w:themeColor="text1"/>
                <w:kern w:val="0"/>
                <w:szCs w:val="22"/>
              </w:rPr>
              <w:lastRenderedPageBreak/>
              <w:t>Uwaga n</w:t>
            </w:r>
            <w:r w:rsidR="00221500" w:rsidRPr="00580915">
              <w:rPr>
                <w:rFonts w:asciiTheme="minorHAnsi" w:eastAsia="Calibri" w:hAnsiTheme="minorHAnsi" w:cstheme="minorHAnsi"/>
                <w:b/>
                <w:bCs/>
                <w:color w:val="000000" w:themeColor="text1"/>
                <w:kern w:val="0"/>
                <w:szCs w:val="22"/>
              </w:rPr>
              <w:t>ieuwzględnion</w:t>
            </w:r>
            <w:r>
              <w:rPr>
                <w:rFonts w:asciiTheme="minorHAnsi" w:eastAsia="Calibri" w:hAnsiTheme="minorHAnsi" w:cstheme="minorHAnsi"/>
                <w:b/>
                <w:bCs/>
                <w:color w:val="000000" w:themeColor="text1"/>
                <w:kern w:val="0"/>
                <w:szCs w:val="22"/>
              </w:rPr>
              <w:t>a</w:t>
            </w:r>
          </w:p>
          <w:p w14:paraId="37F0AFB9" w14:textId="0EB96AAF" w:rsidR="009D5EE0" w:rsidRPr="002F6B28" w:rsidRDefault="00221500" w:rsidP="002F6B28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color w:val="000000" w:themeColor="text1"/>
                <w:kern w:val="0"/>
                <w:szCs w:val="22"/>
              </w:rPr>
            </w:pPr>
            <w:r w:rsidRPr="00221500">
              <w:rPr>
                <w:rFonts w:asciiTheme="minorHAnsi" w:eastAsia="Calibri" w:hAnsiTheme="minorHAnsi" w:cstheme="minorHAnsi"/>
                <w:bCs/>
                <w:color w:val="000000" w:themeColor="text1"/>
                <w:kern w:val="0"/>
                <w:szCs w:val="22"/>
              </w:rPr>
              <w:t xml:space="preserve">Zgłaszający, pomimo prośby, nie przekazał </w:t>
            </w:r>
            <w:r w:rsidR="002F6B28">
              <w:rPr>
                <w:rFonts w:asciiTheme="minorHAnsi" w:eastAsia="Calibri" w:hAnsiTheme="minorHAnsi" w:cstheme="minorHAnsi"/>
                <w:bCs/>
                <w:color w:val="000000" w:themeColor="text1"/>
                <w:kern w:val="0"/>
                <w:szCs w:val="22"/>
              </w:rPr>
              <w:t xml:space="preserve">fiszki </w:t>
            </w:r>
            <w:r w:rsidR="002F6B28" w:rsidRPr="00344BA7">
              <w:rPr>
                <w:rFonts w:asciiTheme="minorHAnsi" w:eastAsia="Calibri" w:hAnsiTheme="minorHAnsi" w:cstheme="minorHAnsi"/>
                <w:bCs/>
                <w:color w:val="000000" w:themeColor="text1"/>
                <w:kern w:val="0"/>
                <w:szCs w:val="22"/>
              </w:rPr>
              <w:t xml:space="preserve">działania. </w:t>
            </w:r>
            <w:r w:rsidR="002F6B28" w:rsidRPr="00344BA7">
              <w:rPr>
                <w:rFonts w:asciiTheme="minorHAnsi" w:hAnsiTheme="minorHAnsi" w:cstheme="minorHAnsi"/>
              </w:rPr>
              <w:t xml:space="preserve"> </w:t>
            </w:r>
            <w:r w:rsidR="00344BA7" w:rsidRPr="00344BA7">
              <w:rPr>
                <w:rFonts w:asciiTheme="minorHAnsi" w:hAnsiTheme="minorHAnsi" w:cstheme="minorHAnsi"/>
              </w:rPr>
              <w:t xml:space="preserve">Informację na temat  programu Copernicus </w:t>
            </w:r>
            <w:r w:rsidR="00344BA7" w:rsidRPr="00344BA7">
              <w:rPr>
                <w:rFonts w:asciiTheme="minorHAnsi" w:eastAsia="Calibri" w:hAnsiTheme="minorHAnsi" w:cstheme="minorHAnsi"/>
                <w:bCs/>
                <w:color w:val="000000" w:themeColor="text1"/>
                <w:kern w:val="0"/>
                <w:szCs w:val="22"/>
              </w:rPr>
              <w:t>z</w:t>
            </w:r>
            <w:r w:rsidR="002F6B28" w:rsidRPr="00344BA7">
              <w:rPr>
                <w:rFonts w:asciiTheme="minorHAnsi" w:eastAsia="Calibri" w:hAnsiTheme="minorHAnsi" w:cstheme="minorHAnsi"/>
                <w:bCs/>
                <w:color w:val="000000" w:themeColor="text1"/>
                <w:kern w:val="0"/>
                <w:szCs w:val="22"/>
              </w:rPr>
              <w:t>awarto w podrozdziale „6.4. Otwarte dane”</w:t>
            </w:r>
            <w:r w:rsidR="00344BA7" w:rsidRPr="00344BA7">
              <w:rPr>
                <w:rFonts w:asciiTheme="minorHAnsi" w:eastAsia="Calibri" w:hAnsiTheme="minorHAnsi" w:cstheme="minorHAnsi"/>
                <w:bCs/>
                <w:color w:val="000000" w:themeColor="text1"/>
                <w:kern w:val="0"/>
                <w:szCs w:val="22"/>
              </w:rPr>
              <w:t>.</w:t>
            </w:r>
            <w:r w:rsidR="00344BA7">
              <w:rPr>
                <w:rFonts w:asciiTheme="minorHAnsi" w:eastAsia="Calibri" w:hAnsiTheme="minorHAnsi" w:cstheme="minorHAnsi"/>
                <w:bCs/>
                <w:color w:val="000000" w:themeColor="text1"/>
                <w:kern w:val="0"/>
                <w:szCs w:val="22"/>
              </w:rPr>
              <w:t xml:space="preserve"> </w:t>
            </w:r>
          </w:p>
        </w:tc>
      </w:tr>
      <w:tr w:rsidR="009D5EE0" w:rsidRPr="004C0B35" w14:paraId="53CD3FE5" w14:textId="77777777" w:rsidTr="00343E38">
        <w:trPr>
          <w:trHeight w:val="3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6A1E8" w14:textId="77777777" w:rsidR="009D5EE0" w:rsidRPr="00580915" w:rsidRDefault="009D5EE0" w:rsidP="00580915">
            <w:pPr>
              <w:pStyle w:val="Akapitzlist"/>
              <w:widowControl/>
              <w:numPr>
                <w:ilvl w:val="0"/>
                <w:numId w:val="16"/>
              </w:numPr>
              <w:shd w:val="clear" w:color="auto" w:fill="auto"/>
              <w:suppressAutoHyphens w:val="0"/>
              <w:spacing w:line="259" w:lineRule="auto"/>
              <w:ind w:right="0"/>
              <w:jc w:val="left"/>
              <w:rPr>
                <w:rFonts w:asciiTheme="minorHAnsi" w:eastAsia="Calibri" w:hAnsiTheme="minorHAnsi" w:cstheme="minorHAnsi"/>
                <w:kern w:val="0"/>
                <w:szCs w:val="22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E34BF" w14:textId="77777777" w:rsidR="009D5EE0" w:rsidRPr="00064731" w:rsidRDefault="00A62725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Ministerstwo Rodziny i Polityki Społecznej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A59C7" w14:textId="77777777" w:rsidR="009D5EE0" w:rsidRPr="00064731" w:rsidRDefault="00441F6F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str. 3</w:t>
            </w:r>
          </w:p>
        </w:tc>
        <w:tc>
          <w:tcPr>
            <w:tcW w:w="6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311B0" w14:textId="77777777" w:rsidR="00441F6F" w:rsidRPr="00064731" w:rsidRDefault="00441F6F" w:rsidP="00441F6F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Na str. 3 projektu Programu w objaśnieniu definicji „Higieny cyfrowej” proponuje się jej poszerzenie o działania obejmujące nabycie umiejętności stosowania ograniczeń czasowych, szczególnie przez dzieci i młodzież znajdującą się w intensywnej fazie rozwoju fizycznego, emocjonalnego, poznawczego i wolitywnego. Nadmierna ekspozycja dzieci i młodzieży na urządzenia cyfrowe prowadzi do zaburzeń rozwojowych, które mogą istotnie ograniczyć prawidłowe funkcjonowanie w życiu dorosłym. Wymienione powyżej czynniki w konsekwencji mogą powodować niepodejmowanie ról rodzinnych, w tym rodzicielskich. </w:t>
            </w:r>
          </w:p>
          <w:p w14:paraId="5A3A8A71" w14:textId="77777777" w:rsidR="009D5EE0" w:rsidRPr="00064731" w:rsidRDefault="00441F6F" w:rsidP="00441F6F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Ponadto, konsekwentnie w działaniach skierowanych do dzieci i młodzieży spełniającej obowiązek edukacyjny należałoby uwzględnić występujące zagrożenia oraz dodać działania skierowane do rodziców, aby zapewnić jednorodność i kompleksowość oddziaływań profilaktycznych. </w:t>
            </w:r>
          </w:p>
        </w:tc>
        <w:tc>
          <w:tcPr>
            <w:tcW w:w="3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DF47C" w14:textId="77777777" w:rsidR="009D5EE0" w:rsidRPr="00064731" w:rsidRDefault="00207C7A" w:rsidP="00441DCB">
            <w:pPr>
              <w:pStyle w:val="Akapitzlist"/>
              <w:widowControl/>
              <w:numPr>
                <w:ilvl w:val="0"/>
                <w:numId w:val="6"/>
              </w:numPr>
              <w:shd w:val="clear" w:color="auto" w:fill="auto"/>
              <w:suppressAutoHyphens w:val="0"/>
              <w:ind w:left="355" w:right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Uwzględniono</w:t>
            </w:r>
            <w:r w:rsidR="003F543A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zmianę w definicji</w:t>
            </w: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. </w:t>
            </w:r>
          </w:p>
          <w:p w14:paraId="67F8EDF2" w14:textId="74E0DE41" w:rsidR="003F543A" w:rsidRPr="00064731" w:rsidRDefault="003F543A" w:rsidP="00441DCB">
            <w:pPr>
              <w:pStyle w:val="Akapitzlist"/>
              <w:widowControl/>
              <w:numPr>
                <w:ilvl w:val="0"/>
                <w:numId w:val="6"/>
              </w:numPr>
              <w:shd w:val="clear" w:color="auto" w:fill="auto"/>
              <w:suppressAutoHyphens w:val="0"/>
              <w:ind w:left="355" w:right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580915"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Nie uwzględniono</w:t>
            </w: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postulatu z drugiej części uwagi, ponieważ  PRKC nie określa dokładnie treści nauczania, kursów czy szkoleń. Te będą uszczegóławiane na etapie wdrażania działań. Po drugie PRKC zawiera działania skierowane do rodziców, w których uwzględniony jest aspekt bezpieczeństwa i higieny cyfrowej</w:t>
            </w:r>
            <w:r w:rsidR="00441DCB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(I.1.1, II.1.3.</w:t>
            </w:r>
            <w:r w:rsidR="00357BB4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</w:t>
            </w:r>
            <w:proofErr w:type="spellStart"/>
            <w:r w:rsidR="00441DCB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CyberRodzice</w:t>
            </w:r>
            <w:proofErr w:type="spellEnd"/>
            <w:r w:rsidR="00441DCB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).</w:t>
            </w: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</w:t>
            </w:r>
          </w:p>
        </w:tc>
      </w:tr>
      <w:tr w:rsidR="005F25A1" w:rsidRPr="004C0B35" w14:paraId="6CA4DAA7" w14:textId="77777777" w:rsidTr="00343E38">
        <w:trPr>
          <w:trHeight w:val="3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90C03" w14:textId="77777777" w:rsidR="005F25A1" w:rsidRPr="00580915" w:rsidRDefault="005F25A1" w:rsidP="00580915">
            <w:pPr>
              <w:pStyle w:val="Akapitzlist"/>
              <w:widowControl/>
              <w:numPr>
                <w:ilvl w:val="0"/>
                <w:numId w:val="16"/>
              </w:numPr>
              <w:shd w:val="clear" w:color="auto" w:fill="auto"/>
              <w:suppressAutoHyphens w:val="0"/>
              <w:spacing w:line="259" w:lineRule="auto"/>
              <w:ind w:right="0"/>
              <w:jc w:val="left"/>
              <w:rPr>
                <w:rFonts w:asciiTheme="minorHAnsi" w:eastAsia="Calibri" w:hAnsiTheme="minorHAnsi" w:cstheme="minorHAnsi"/>
                <w:kern w:val="0"/>
                <w:szCs w:val="22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E7E12" w14:textId="77777777" w:rsidR="005F25A1" w:rsidRPr="00064731" w:rsidRDefault="00441F6F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Ministerstwo Rodziny i Polityki Społecznej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74E1C" w14:textId="77777777" w:rsidR="005F25A1" w:rsidRPr="00064731" w:rsidRDefault="00441F6F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str. 56, 57, 59</w:t>
            </w:r>
          </w:p>
        </w:tc>
        <w:tc>
          <w:tcPr>
            <w:tcW w:w="6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C4C49" w14:textId="77777777" w:rsidR="00441F6F" w:rsidRPr="00064731" w:rsidRDefault="00441F6F" w:rsidP="00441F6F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W związku z powyższym proponuje się wprowadzenie zmian na str. 56 projektu Programu, w opisie działania I.1.1., na str. 57 w opisie działania </w:t>
            </w:r>
            <w:r w:rsidRPr="00064731">
              <w:rPr>
                <w:rFonts w:asciiTheme="minorHAnsi" w:eastAsia="Calibri" w:hAnsiTheme="minorHAnsi" w:cstheme="minorHAnsi"/>
                <w:kern w:val="0"/>
                <w:szCs w:val="22"/>
                <w:lang w:eastAsia="ar-SA"/>
              </w:rPr>
              <w:t xml:space="preserve"> </w:t>
            </w: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I.1.2. oraz na str. 59 w celu działania I.2.3. Ponadto wydaje się zasadne, aby minister właściwy do spraw rodziny był podmiotem współpracującym w działaniach I.1.2. i I.2.3. </w:t>
            </w:r>
          </w:p>
          <w:p w14:paraId="5F774444" w14:textId="77777777" w:rsidR="00441F6F" w:rsidRPr="00064731" w:rsidRDefault="00441F6F" w:rsidP="00441F6F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Przedstawione uwagi wynikają z obecnego stanu zagrożenia dzieci i młodzieży uzależnieniami behawioralnymi, przede wszystkim od urządzeń cyfrowych. Obecnie są to najczęściej leczone uzależnienia w ośrodkach pomocy psychologicznej i psychiatrycznej dla dzieci i młodzieży. W związku z powyższym konieczne są intensywne działania profilaktyczne nakierowane zarówno do dzieci i młodzieży, jak i do rodziców, aby przeciwdziałać i zapobiegać występującym zjawiskom. </w:t>
            </w:r>
          </w:p>
          <w:p w14:paraId="7D82C3EF" w14:textId="77777777" w:rsidR="005F25A1" w:rsidRPr="00064731" w:rsidRDefault="005F25A1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3A2DC" w14:textId="71BB49E3" w:rsidR="00C2268C" w:rsidRPr="00064731" w:rsidRDefault="00C2268C" w:rsidP="00441DCB">
            <w:pPr>
              <w:pStyle w:val="Akapitzlist"/>
              <w:widowControl/>
              <w:numPr>
                <w:ilvl w:val="0"/>
                <w:numId w:val="7"/>
              </w:numPr>
              <w:shd w:val="clear" w:color="auto" w:fill="auto"/>
              <w:suppressAutoHyphens w:val="0"/>
              <w:ind w:right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Uwzględniono w zakresie wpisania ministra właściwego do spraw rodziny – </w:t>
            </w:r>
            <w:proofErr w:type="spellStart"/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Cyberlekcje</w:t>
            </w:r>
            <w:proofErr w:type="spellEnd"/>
            <w:r w:rsidR="00357BB4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.</w:t>
            </w: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</w:t>
            </w:r>
          </w:p>
          <w:p w14:paraId="4CAB8F4A" w14:textId="77777777" w:rsidR="0087383A" w:rsidRPr="00064731" w:rsidRDefault="003F543A" w:rsidP="00C2268C">
            <w:pPr>
              <w:pStyle w:val="Akapitzlist"/>
              <w:widowControl/>
              <w:numPr>
                <w:ilvl w:val="0"/>
                <w:numId w:val="7"/>
              </w:numPr>
              <w:shd w:val="clear" w:color="auto" w:fill="auto"/>
              <w:suppressAutoHyphens w:val="0"/>
              <w:ind w:right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580915"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Nie uwzględniono</w:t>
            </w: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postulatu zmiany treści opisów działań, gdyż </w:t>
            </w:r>
            <w:r w:rsidR="0087383A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obecne zapisy zapewniają </w:t>
            </w:r>
            <w:r w:rsidR="007D045F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ujęcie tematu zagrożeń, ponieważ jest</w:t>
            </w: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w nich mowa o bezpiecznym i zrównoważonym korzystaniu z mediów cyfrowych oraz stosowaniu zasad higieny cyfrowej, co uważamy za wystarczające, zwłaszcza po uwzględnieniu prośby o uzupełnienie definicji (uwaga 59). PRKC nie określa dokładnie treści nauczania, kursów czy szkoleń. Te będą </w:t>
            </w: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lastRenderedPageBreak/>
              <w:t>uszczegóławiane na etapie wdrażania działań</w:t>
            </w:r>
            <w:r w:rsidR="00441DCB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i będą musiały zawierać zagadnienia dot. </w:t>
            </w:r>
            <w:proofErr w:type="spellStart"/>
            <w:r w:rsidR="00441DCB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cyberzagrożeń</w:t>
            </w:r>
            <w:proofErr w:type="spellEnd"/>
            <w:r w:rsidR="00441DCB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i higieny cyfrowej.</w:t>
            </w:r>
          </w:p>
        </w:tc>
      </w:tr>
      <w:tr w:rsidR="005F25A1" w:rsidRPr="004C0B35" w14:paraId="559703E5" w14:textId="77777777" w:rsidTr="00343E38">
        <w:trPr>
          <w:trHeight w:val="3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000B6" w14:textId="77777777" w:rsidR="005F25A1" w:rsidRPr="00580915" w:rsidRDefault="005F25A1" w:rsidP="00580915">
            <w:pPr>
              <w:pStyle w:val="Akapitzlist"/>
              <w:widowControl/>
              <w:numPr>
                <w:ilvl w:val="0"/>
                <w:numId w:val="16"/>
              </w:numPr>
              <w:shd w:val="clear" w:color="auto" w:fill="auto"/>
              <w:suppressAutoHyphens w:val="0"/>
              <w:spacing w:line="259" w:lineRule="auto"/>
              <w:ind w:right="0"/>
              <w:jc w:val="left"/>
              <w:rPr>
                <w:rFonts w:asciiTheme="minorHAnsi" w:eastAsia="Calibri" w:hAnsiTheme="minorHAnsi" w:cstheme="minorHAnsi"/>
                <w:kern w:val="0"/>
                <w:szCs w:val="22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84EEF" w14:textId="77777777" w:rsidR="005F25A1" w:rsidRPr="00064731" w:rsidRDefault="00441F6F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Ministerstwo Rodziny i Polityki Społecznej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91ABD" w14:textId="0C274E22" w:rsidR="005F25A1" w:rsidRPr="00064731" w:rsidRDefault="00344BA7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Uwaga ogólna</w:t>
            </w:r>
          </w:p>
        </w:tc>
        <w:tc>
          <w:tcPr>
            <w:tcW w:w="6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39E6C" w14:textId="77777777" w:rsidR="005F25A1" w:rsidRPr="00064731" w:rsidRDefault="00441F6F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Proponuje się dodanie ww. Planu </w:t>
            </w:r>
            <w:proofErr w:type="spellStart"/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GdM</w:t>
            </w:r>
            <w:proofErr w:type="spellEnd"/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jako kierunku działań w dalszej części dokumentu (w zależności od przyjętego przez autorów podejścia).</w:t>
            </w:r>
          </w:p>
        </w:tc>
        <w:tc>
          <w:tcPr>
            <w:tcW w:w="3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91FE5" w14:textId="10889C49" w:rsidR="00344BA7" w:rsidRPr="00580915" w:rsidRDefault="00E662B7" w:rsidP="008224E7">
            <w:pPr>
              <w:widowControl/>
              <w:shd w:val="clear" w:color="auto" w:fill="auto"/>
              <w:suppressAutoHyphens w:val="0"/>
              <w:ind w:right="0"/>
              <w:jc w:val="left"/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Uwaga n</w:t>
            </w:r>
            <w:r w:rsidR="008224E7" w:rsidRPr="00580915"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ieuwzględnion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a</w:t>
            </w:r>
          </w:p>
          <w:p w14:paraId="496D94A1" w14:textId="77777777" w:rsidR="00344BA7" w:rsidRDefault="008224E7" w:rsidP="00344BA7">
            <w:pPr>
              <w:widowControl/>
              <w:shd w:val="clear" w:color="auto" w:fill="auto"/>
              <w:suppressAutoHyphens w:val="0"/>
              <w:ind w:right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Zgłasza</w:t>
            </w:r>
            <w:r w:rsidR="00344BA7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jący nie przekazał propozycji</w:t>
            </w:r>
          </w:p>
          <w:p w14:paraId="58CA2212" w14:textId="18DE01C6" w:rsidR="00344BA7" w:rsidRDefault="00FE10C1" w:rsidP="00344BA7">
            <w:pPr>
              <w:widowControl/>
              <w:shd w:val="clear" w:color="auto" w:fill="auto"/>
              <w:suppressAutoHyphens w:val="0"/>
              <w:ind w:right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brzmienia</w:t>
            </w:r>
            <w:r w:rsidR="00344BA7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i/lub projektu fiszki</w:t>
            </w:r>
          </w:p>
          <w:p w14:paraId="4C06AE25" w14:textId="77777777" w:rsidR="00344BA7" w:rsidRDefault="00344BA7" w:rsidP="00344BA7">
            <w:pPr>
              <w:widowControl/>
              <w:shd w:val="clear" w:color="auto" w:fill="auto"/>
              <w:suppressAutoHyphens w:val="0"/>
              <w:ind w:right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działania. W związku z tym w PRKC</w:t>
            </w:r>
          </w:p>
          <w:p w14:paraId="6E0C709D" w14:textId="77777777" w:rsidR="00344BA7" w:rsidRDefault="00344BA7" w:rsidP="00344BA7">
            <w:pPr>
              <w:widowControl/>
              <w:shd w:val="clear" w:color="auto" w:fill="auto"/>
              <w:suppressAutoHyphens w:val="0"/>
              <w:ind w:right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zawarto ogólne odniesienie do </w:t>
            </w:r>
          </w:p>
          <w:p w14:paraId="3B7A157C" w14:textId="069D1628" w:rsidR="00DD5B98" w:rsidRPr="008224E7" w:rsidRDefault="00344BA7" w:rsidP="00344BA7">
            <w:pPr>
              <w:widowControl/>
              <w:shd w:val="clear" w:color="auto" w:fill="auto"/>
              <w:suppressAutoHyphens w:val="0"/>
              <w:ind w:right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proofErr w:type="spellStart"/>
            <w:r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GdM</w:t>
            </w:r>
            <w:proofErr w:type="spellEnd"/>
            <w:r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</w:t>
            </w:r>
            <w:r>
              <w:t xml:space="preserve"> </w:t>
            </w:r>
            <w:r w:rsidRPr="00344BA7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części  III.1. Pracownicy.</w:t>
            </w:r>
          </w:p>
        </w:tc>
      </w:tr>
      <w:tr w:rsidR="009D5EE0" w:rsidRPr="004C0B35" w14:paraId="7C72ECB2" w14:textId="77777777" w:rsidTr="00343E38">
        <w:trPr>
          <w:trHeight w:val="3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D5DD5" w14:textId="5D89FD01" w:rsidR="009D5EE0" w:rsidRPr="00580915" w:rsidRDefault="009D5EE0" w:rsidP="00580915">
            <w:pPr>
              <w:pStyle w:val="Akapitzlist"/>
              <w:widowControl/>
              <w:numPr>
                <w:ilvl w:val="0"/>
                <w:numId w:val="16"/>
              </w:numPr>
              <w:shd w:val="clear" w:color="auto" w:fill="auto"/>
              <w:suppressAutoHyphens w:val="0"/>
              <w:spacing w:line="259" w:lineRule="auto"/>
              <w:ind w:right="0"/>
              <w:jc w:val="left"/>
              <w:rPr>
                <w:rFonts w:asciiTheme="minorHAnsi" w:eastAsia="Calibri" w:hAnsiTheme="minorHAnsi" w:cstheme="minorHAnsi"/>
                <w:kern w:val="0"/>
                <w:szCs w:val="22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56E99" w14:textId="77777777" w:rsidR="009D5EE0" w:rsidRPr="00064731" w:rsidRDefault="00441F6F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Ministerstwo Rodziny i Polityki Społecznej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0C298" w14:textId="77777777" w:rsidR="009D5EE0" w:rsidRPr="00064731" w:rsidRDefault="00441F6F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str. 55</w:t>
            </w:r>
          </w:p>
        </w:tc>
        <w:tc>
          <w:tcPr>
            <w:tcW w:w="6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600FB" w14:textId="77777777" w:rsidR="009D5EE0" w:rsidRPr="00064731" w:rsidRDefault="00441F6F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Na str. 55 projektu Programu w tabeli 5 w priorytecie Rozwój edukacji cyfrowej w grupie docelowej proponuje się dodanie </w:t>
            </w: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  <w:u w:val="single"/>
              </w:rPr>
              <w:t>seniorów</w:t>
            </w: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, gdyż również w ramach działalności edukacyjnej skierowanej do nich należy podejmować działania służące podnoszeniu posiadanych przez nich umiejętności cyfrowych. Zwłaszcza, że w Działaniu I.2.6. Pracownie Aktywnego Korzystania z Technologii – PAKT przewidziany jest również dostęp dla osób z tej grupy wiekowej.</w:t>
            </w:r>
          </w:p>
        </w:tc>
        <w:tc>
          <w:tcPr>
            <w:tcW w:w="3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D5D64" w14:textId="77777777" w:rsidR="00E662B7" w:rsidRDefault="00E662B7" w:rsidP="00A4614D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Uwaga n</w:t>
            </w:r>
            <w:r w:rsidR="007B72BD" w:rsidRPr="00580915"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ieuwzględnion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a</w:t>
            </w:r>
            <w:r w:rsidR="007B72BD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.</w:t>
            </w:r>
          </w:p>
          <w:p w14:paraId="39408D21" w14:textId="6DD4A10A" w:rsidR="009D5EE0" w:rsidRPr="00064731" w:rsidRDefault="007B72BD" w:rsidP="00A4614D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Seniorzy, którzy są wykluczeni cyfrowo lub mają niskie kompetencje cyfrowe</w:t>
            </w:r>
            <w:r w:rsidR="00AE56C2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,</w:t>
            </w: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wchodzą w skład grupy „Osoby stawiające pierwsze kroki w świecie cyfrowym”</w:t>
            </w:r>
            <w:r w:rsidR="000F12C4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(</w:t>
            </w:r>
            <w:r w:rsidR="00AE56C2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a</w:t>
            </w:r>
            <w:r w:rsidR="00A4614D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by podkreślić obecność seniorów w tej grupie zmieniono nazwę grupy na „Osoby stawiające pierwsze kroki w świecie cyfrowym, w tym seniorzy”. Wśród 7 działań przyporządkowanych dla tej grupy 6 jest dedykowanych przede wszystkim seniorom</w:t>
            </w:r>
            <w:r w:rsidR="000F12C4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)</w:t>
            </w: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, natomiast pozostali zaliczają się do </w:t>
            </w:r>
            <w:r w:rsidR="000F12C4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kategorii </w:t>
            </w: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„</w:t>
            </w:r>
            <w:bookmarkStart w:id="0" w:name="_Toc99349800"/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Użytkowników technologii cyfrowych</w:t>
            </w:r>
            <w:bookmarkEnd w:id="0"/>
            <w:r w:rsidR="00AE56C2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”.</w:t>
            </w:r>
          </w:p>
        </w:tc>
      </w:tr>
      <w:tr w:rsidR="00A146BA" w:rsidRPr="004C0B35" w14:paraId="7A94F019" w14:textId="77777777" w:rsidTr="00343E38">
        <w:trPr>
          <w:trHeight w:val="3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FC6EF" w14:textId="77777777" w:rsidR="00A146BA" w:rsidRPr="00580915" w:rsidRDefault="00A146BA" w:rsidP="00580915">
            <w:pPr>
              <w:pStyle w:val="Akapitzlist"/>
              <w:widowControl/>
              <w:numPr>
                <w:ilvl w:val="0"/>
                <w:numId w:val="16"/>
              </w:numPr>
              <w:shd w:val="clear" w:color="auto" w:fill="auto"/>
              <w:suppressAutoHyphens w:val="0"/>
              <w:spacing w:line="259" w:lineRule="auto"/>
              <w:ind w:right="0"/>
              <w:jc w:val="left"/>
              <w:rPr>
                <w:rFonts w:asciiTheme="minorHAnsi" w:eastAsia="Calibri" w:hAnsiTheme="minorHAnsi" w:cstheme="minorHAnsi"/>
                <w:kern w:val="0"/>
                <w:szCs w:val="22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F985D" w14:textId="77777777" w:rsidR="00A146BA" w:rsidRPr="00064731" w:rsidRDefault="00A146BA" w:rsidP="0086154B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Ministerstwo Edukacji i Nauki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503F2" w14:textId="77777777" w:rsidR="00BB0C98" w:rsidRPr="00064731" w:rsidRDefault="00BB0C98" w:rsidP="00BB0C98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Projekt programu,</w:t>
            </w:r>
          </w:p>
          <w:p w14:paraId="53B544C9" w14:textId="77777777" w:rsidR="00A146BA" w:rsidRPr="00064731" w:rsidRDefault="00BB0C98" w:rsidP="00BB0C98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4.2. Kompetencje cyfrowe jako kompetencje elementarne w przyszłości, str. 12.</w:t>
            </w:r>
          </w:p>
        </w:tc>
        <w:tc>
          <w:tcPr>
            <w:tcW w:w="6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CC61B" w14:textId="77777777" w:rsidR="00BB0C98" w:rsidRPr="00064731" w:rsidRDefault="00BB0C98" w:rsidP="00BB0C98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Zdanie drugie w akapicie piątym wymaga uzupełnienia. </w:t>
            </w:r>
            <w:r w:rsidRPr="00064731">
              <w:rPr>
                <w:rFonts w:asciiTheme="minorHAnsi" w:eastAsiaTheme="minorHAnsi" w:hAnsiTheme="minorHAnsi" w:cstheme="minorHAnsi"/>
                <w:kern w:val="0"/>
                <w:szCs w:val="22"/>
                <w:lang w:eastAsia="en-US"/>
              </w:rPr>
              <w:t xml:space="preserve"> </w:t>
            </w: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Proponuję następujący zapis: </w:t>
            </w:r>
          </w:p>
          <w:p w14:paraId="26E8FA03" w14:textId="77777777" w:rsidR="00A146BA" w:rsidRPr="00064731" w:rsidRDefault="00BB0C98" w:rsidP="00BB0C98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i/>
                <w:kern w:val="0"/>
                <w:szCs w:val="22"/>
              </w:rPr>
              <w:t>„Wymaga to nabycia podstawowej wiedzy i umiejętności w zakresie kompetencji cyfrowych oraz ukształtowania postaw przyszłych dorosłych na etapie edukacji formalnej, działań adresowanych do dorosłych, uświadamiania pracodawców, seniorów, jak również aktywizacji osób zagrożonych wielowymiarowym wykluczeniem</w:t>
            </w: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”.</w:t>
            </w:r>
          </w:p>
        </w:tc>
        <w:tc>
          <w:tcPr>
            <w:tcW w:w="3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C16D6" w14:textId="607852F9" w:rsidR="00A146BA" w:rsidRPr="00064731" w:rsidRDefault="00E662B7" w:rsidP="00B2664F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Uwaga n</w:t>
            </w:r>
            <w:r w:rsidR="003A5834" w:rsidRPr="00580915"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ieuwzględnion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a</w:t>
            </w:r>
            <w:r w:rsidR="003A5834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. Zdanie drugie odnosi się do upowszechniania pozytywnego nastawienia do uczenia się przez całe życie</w:t>
            </w:r>
            <w:r w:rsidR="00B2664F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jako warunku rozwoju kompetencji cyfrowych.</w:t>
            </w:r>
          </w:p>
        </w:tc>
      </w:tr>
      <w:tr w:rsidR="00FE10C1" w:rsidRPr="004C0B35" w14:paraId="10D13BC0" w14:textId="77777777" w:rsidTr="00343E38">
        <w:trPr>
          <w:trHeight w:val="3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BE1DF" w14:textId="77777777" w:rsidR="00FE10C1" w:rsidRPr="00580915" w:rsidRDefault="00FE10C1" w:rsidP="00580915">
            <w:pPr>
              <w:pStyle w:val="Akapitzlist"/>
              <w:widowControl/>
              <w:numPr>
                <w:ilvl w:val="0"/>
                <w:numId w:val="16"/>
              </w:numPr>
              <w:shd w:val="clear" w:color="auto" w:fill="auto"/>
              <w:suppressAutoHyphens w:val="0"/>
              <w:spacing w:line="259" w:lineRule="auto"/>
              <w:ind w:right="0"/>
              <w:jc w:val="left"/>
              <w:rPr>
                <w:rFonts w:asciiTheme="minorHAnsi" w:eastAsia="Calibri" w:hAnsiTheme="minorHAnsi" w:cstheme="minorHAnsi"/>
                <w:kern w:val="0"/>
                <w:szCs w:val="22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4E47A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Ministerstwo Rolnictwa i Rozwoju Wsi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E0C90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PRIORYTET III:</w:t>
            </w:r>
          </w:p>
          <w:p w14:paraId="6844CDE5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Wsparcie</w:t>
            </w:r>
          </w:p>
          <w:p w14:paraId="329BC560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kompetencji</w:t>
            </w:r>
          </w:p>
          <w:p w14:paraId="1CEFBF08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cyfrowych</w:t>
            </w:r>
          </w:p>
          <w:p w14:paraId="34805080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pracowników</w:t>
            </w:r>
          </w:p>
          <w:p w14:paraId="399D19FD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różnych sektorów</w:t>
            </w:r>
          </w:p>
        </w:tc>
        <w:tc>
          <w:tcPr>
            <w:tcW w:w="6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AD06E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Biorąc pod uwagę specyfikę oraz kompleksowość zagadnień</w:t>
            </w:r>
          </w:p>
          <w:p w14:paraId="631AFDC6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sektora rolno-spożywczego, które wskazano w pkt. 1 uwag,</w:t>
            </w:r>
          </w:p>
          <w:p w14:paraId="1D8691C3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wnioskuje się o przewidzenie w Działaniach od III.1.1. do III.1.6.</w:t>
            </w:r>
          </w:p>
          <w:p w14:paraId="4E92B0D8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realizacji działań sprofilowanych na potrzeby sektora </w:t>
            </w:r>
            <w:proofErr w:type="spellStart"/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rolnospożywczego</w:t>
            </w:r>
            <w:proofErr w:type="spellEnd"/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.</w:t>
            </w:r>
          </w:p>
          <w:p w14:paraId="6C97217D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Analogiczne podejście powinno być zastosowane w</w:t>
            </w:r>
          </w:p>
          <w:p w14:paraId="7CEC9C23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Działaniach III. 2. Osoby zarządzające, przedsiębiorcy oraz III. 3.</w:t>
            </w:r>
          </w:p>
          <w:p w14:paraId="1C2EE1EE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Pracownicy sektora publicznego.</w:t>
            </w:r>
          </w:p>
        </w:tc>
        <w:tc>
          <w:tcPr>
            <w:tcW w:w="3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AD8F3" w14:textId="77777777" w:rsidR="00E662B7" w:rsidRDefault="00E662B7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hAnsiTheme="minorHAnsi" w:cstheme="minorHAnsi"/>
                <w:b/>
                <w:color w:val="000000" w:themeColor="text1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Cs w:val="22"/>
              </w:rPr>
              <w:t>Uwaga n</w:t>
            </w:r>
            <w:r w:rsidR="00FE10C1" w:rsidRPr="00580915">
              <w:rPr>
                <w:rFonts w:asciiTheme="minorHAnsi" w:hAnsiTheme="minorHAnsi" w:cstheme="minorHAnsi"/>
                <w:b/>
                <w:color w:val="000000" w:themeColor="text1"/>
                <w:szCs w:val="22"/>
              </w:rPr>
              <w:t>ieuwzględnion</w:t>
            </w:r>
            <w:r>
              <w:rPr>
                <w:rFonts w:asciiTheme="minorHAnsi" w:hAnsiTheme="minorHAnsi" w:cstheme="minorHAnsi"/>
                <w:b/>
                <w:color w:val="000000" w:themeColor="text1"/>
                <w:szCs w:val="22"/>
              </w:rPr>
              <w:t>a</w:t>
            </w:r>
          </w:p>
          <w:p w14:paraId="4570BB60" w14:textId="52D4F4A9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221500">
              <w:rPr>
                <w:rFonts w:asciiTheme="minorHAnsi" w:hAnsiTheme="minorHAnsi" w:cstheme="minorHAnsi"/>
                <w:color w:val="000000" w:themeColor="text1"/>
                <w:szCs w:val="22"/>
              </w:rPr>
              <w:t xml:space="preserve">Zgłaszający, pomimo prośby, nie przekazał propozycji </w:t>
            </w:r>
            <w:r>
              <w:rPr>
                <w:rFonts w:asciiTheme="minorHAnsi" w:hAnsiTheme="minorHAnsi" w:cstheme="minorHAnsi"/>
                <w:color w:val="000000" w:themeColor="text1"/>
                <w:szCs w:val="22"/>
              </w:rPr>
              <w:t>brzmienia przepisu</w:t>
            </w:r>
            <w:r w:rsidRPr="00221500">
              <w:rPr>
                <w:rFonts w:asciiTheme="minorHAnsi" w:hAnsiTheme="minorHAnsi" w:cstheme="minorHAnsi"/>
                <w:color w:val="000000" w:themeColor="text1"/>
                <w:szCs w:val="22"/>
              </w:rPr>
              <w:t>.</w:t>
            </w:r>
          </w:p>
        </w:tc>
      </w:tr>
      <w:tr w:rsidR="00FE10C1" w:rsidRPr="00242B72" w14:paraId="4DF1FA9B" w14:textId="77777777" w:rsidTr="00343E38">
        <w:trPr>
          <w:trHeight w:val="3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E017A" w14:textId="77777777" w:rsidR="00FE10C1" w:rsidRPr="00580915" w:rsidRDefault="00FE10C1" w:rsidP="00580915">
            <w:pPr>
              <w:pStyle w:val="Akapitzlist"/>
              <w:widowControl/>
              <w:numPr>
                <w:ilvl w:val="0"/>
                <w:numId w:val="16"/>
              </w:numPr>
              <w:shd w:val="clear" w:color="auto" w:fill="auto"/>
              <w:suppressAutoHyphens w:val="0"/>
              <w:spacing w:line="259" w:lineRule="auto"/>
              <w:ind w:right="0"/>
              <w:jc w:val="left"/>
              <w:rPr>
                <w:rFonts w:asciiTheme="minorHAnsi" w:eastAsia="Calibri" w:hAnsiTheme="minorHAnsi" w:cstheme="minorHAnsi"/>
                <w:kern w:val="0"/>
                <w:szCs w:val="22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B7F29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Ministerstwo Rolnictwa i Rozwoju Wsi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A1990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Kompetencje</w:t>
            </w:r>
          </w:p>
          <w:p w14:paraId="0883A912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Cyfrowe w</w:t>
            </w:r>
          </w:p>
          <w:p w14:paraId="3DF9BF7A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kontekście</w:t>
            </w:r>
          </w:p>
          <w:p w14:paraId="31337E0B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Regionalnym</w:t>
            </w:r>
          </w:p>
          <w:p w14:paraId="1F7733DB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rozdział 5.11</w:t>
            </w:r>
          </w:p>
        </w:tc>
        <w:tc>
          <w:tcPr>
            <w:tcW w:w="6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D1374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Proponujemy uzupełnienie rozdziału 5.11.(</w:t>
            </w:r>
            <w:proofErr w:type="spellStart"/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str</w:t>
            </w:r>
            <w:proofErr w:type="spellEnd"/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40)Kompetencje</w:t>
            </w:r>
          </w:p>
          <w:p w14:paraId="7FB01A22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cyfrowe w kontekście regionalnym dokumentu o podrozdział</w:t>
            </w:r>
          </w:p>
          <w:p w14:paraId="21E7981E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dotyczący kompetencji cyfrowych w ujęciu wieś-miasto.</w:t>
            </w:r>
          </w:p>
          <w:p w14:paraId="4CC383D9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Kwestia dostępu do </w:t>
            </w:r>
            <w:proofErr w:type="spellStart"/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internetu</w:t>
            </w:r>
            <w:proofErr w:type="spellEnd"/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, a także korzystania z niego (w tym</w:t>
            </w:r>
          </w:p>
          <w:p w14:paraId="03A60A94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kompetencji cyfrowych) na obszarach wiejskich została</w:t>
            </w:r>
          </w:p>
          <w:p w14:paraId="13F09514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poruszona w dokumencie "Diagnoza sytuacji </w:t>
            </w:r>
            <w:proofErr w:type="spellStart"/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społecznogospodarczej</w:t>
            </w:r>
            <w:proofErr w:type="spellEnd"/>
          </w:p>
          <w:p w14:paraId="0F93D46B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rolnictwa, obszarów wiejskich i rybactwa w Polsce.</w:t>
            </w:r>
          </w:p>
          <w:p w14:paraId="3548D088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Dokument służący opracowaniu Strategii zrównoważonego</w:t>
            </w:r>
          </w:p>
          <w:p w14:paraId="4574CC12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rozwoju wsi, rolnictwa i rybactwa 2030. "</w:t>
            </w:r>
          </w:p>
          <w:p w14:paraId="2CC5A023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W ww. dokumencie stwierdzono (str. 43 ) m.in "Z dostępnych</w:t>
            </w:r>
          </w:p>
          <w:p w14:paraId="349D3123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danych statystyki publicznej oraz przeprowadzonych badań</w:t>
            </w:r>
          </w:p>
          <w:p w14:paraId="0D72DE10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wynika bowiem, że znaczny odsetek ludności wiejskiej nie</w:t>
            </w:r>
          </w:p>
          <w:p w14:paraId="0ABDD732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korzysta z </w:t>
            </w:r>
            <w:proofErr w:type="spellStart"/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internetu</w:t>
            </w:r>
            <w:proofErr w:type="spellEnd"/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i komputera. Wspomnianą zbiorowość</w:t>
            </w:r>
          </w:p>
          <w:p w14:paraId="2FF5424D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tworzą na wsi zarówno osoby nieposiadające dostępu do sieci i</w:t>
            </w:r>
          </w:p>
          <w:p w14:paraId="6EFD5318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komputerów w domu, jak i jednostki z gospodarstw domowych</w:t>
            </w:r>
          </w:p>
          <w:p w14:paraId="0769B8BB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wyposażonych we wspomniane urządzenia. Jak pokazują dane</w:t>
            </w:r>
          </w:p>
          <w:p w14:paraId="7DE09EE5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GUS w 2018 roku wśród ogółu ludności z obszarów wiejskich w</w:t>
            </w:r>
          </w:p>
          <w:p w14:paraId="2D3CA38A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wieku 16-74 lata udział osób niekorzystających w ciągu ostatnich</w:t>
            </w:r>
          </w:p>
          <w:p w14:paraId="0A5AB1CA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trzech miesięcy z komputera wynosił 32%, a z </w:t>
            </w:r>
            <w:proofErr w:type="spellStart"/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internetu</w:t>
            </w:r>
            <w:proofErr w:type="spellEnd"/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29%.</w:t>
            </w:r>
          </w:p>
          <w:p w14:paraId="54633EE4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Warto dodać, że skala niekorzystania z TIK w grupie mieszkańców</w:t>
            </w:r>
          </w:p>
          <w:p w14:paraId="7E70869E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miast była wyraźnie niższa i wynosiła odpowiednio 21 i 18%. "</w:t>
            </w:r>
          </w:p>
          <w:p w14:paraId="3DE95AC7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W załączeniu "Diagnoza sytuacji społeczno-gospodarczej</w:t>
            </w:r>
          </w:p>
          <w:p w14:paraId="3C4C560A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rolnictwa, obszarów wiejskich i rybactwa w Polsce. Dokument</w:t>
            </w:r>
          </w:p>
          <w:p w14:paraId="578D9DFD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służący opracowaniu Strategii zrównoważonego rozwoju wsi,</w:t>
            </w:r>
          </w:p>
          <w:p w14:paraId="6EF2E360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rolnictwa i rybactwa 2030. "</w:t>
            </w:r>
          </w:p>
        </w:tc>
        <w:tc>
          <w:tcPr>
            <w:tcW w:w="3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9CC5D" w14:textId="3960E632" w:rsidR="00FE10C1" w:rsidRPr="00064731" w:rsidRDefault="00E662B7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Uwaga n</w:t>
            </w:r>
            <w:r w:rsidR="00FE10C1" w:rsidRPr="00580915"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ieuwzględnion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a</w:t>
            </w:r>
            <w:r w:rsidR="00FE10C1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W rozdziale 7.  Powiązanie PRKC z krajowymi i europejskimi dokumentami strategicznymi została przywołana Strategia Zrównoważonego Rozwoju Wsi, Rolnictwa i Rybactwa 2030 i zapisane w niej główne problemy w zakresie kompetencji cyfrowych. Od czasu opracowania diagnozy do niniejszej Strategii sytuacja zmieniła się, chociażby w zakresie dostępu do </w:t>
            </w:r>
            <w:proofErr w:type="spellStart"/>
            <w:r w:rsidR="00FE10C1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internetu</w:t>
            </w:r>
            <w:proofErr w:type="spellEnd"/>
            <w:r w:rsidR="00FE10C1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- 92% gospodarstw domowych na wsi posiadało dostęp do sieci w 2021</w:t>
            </w:r>
            <w:r w:rsidR="00FE10C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</w:t>
            </w:r>
            <w:r w:rsidR="00FE10C1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r. Istotną zmianę odnotowano też w populacji rolników, gdzie jeszcze w 2020 r. 26% nie korzystało z </w:t>
            </w:r>
            <w:proofErr w:type="spellStart"/>
            <w:r w:rsidR="00FE10C1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internetu</w:t>
            </w:r>
            <w:proofErr w:type="spellEnd"/>
            <w:r w:rsidR="00FE10C1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, podczas gdy rok później było to już tylko 15%.Informacje te są zawarte w rozdziale 5.2.a). Wiadomo, że wśród rolników skala wtórnego wykluczenia cyfrowego związanego z brakiem umiejętności cyfrowych jest duża, dlatego działania skierowane do grupy „Osoby stawiające pierwsze kroki w świecie cyfrowym, w tym seniorzy” obejmą </w:t>
            </w:r>
            <w:r w:rsidR="00FE10C1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lastRenderedPageBreak/>
              <w:t>także rolników, czy też osoby mieszkające na wsi. Szczególnie duże nadzieje wiążemy z działalnością Klubów Rozwoju Cyf</w:t>
            </w:r>
            <w:r w:rsidR="00FE10C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rowego w każdej chętnej gminie.</w:t>
            </w:r>
            <w:r w:rsidR="00FE10C1"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   </w:t>
            </w:r>
          </w:p>
        </w:tc>
      </w:tr>
      <w:tr w:rsidR="00FE10C1" w:rsidRPr="004C0B35" w14:paraId="7DCA2654" w14:textId="77777777" w:rsidTr="00343E38">
        <w:trPr>
          <w:trHeight w:val="3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7D8A9" w14:textId="77777777" w:rsidR="00FE10C1" w:rsidRPr="00580915" w:rsidRDefault="00FE10C1" w:rsidP="00580915">
            <w:pPr>
              <w:pStyle w:val="Akapitzlist"/>
              <w:widowControl/>
              <w:numPr>
                <w:ilvl w:val="0"/>
                <w:numId w:val="16"/>
              </w:numPr>
              <w:shd w:val="clear" w:color="auto" w:fill="auto"/>
              <w:suppressAutoHyphens w:val="0"/>
              <w:spacing w:line="259" w:lineRule="auto"/>
              <w:ind w:right="0"/>
              <w:jc w:val="left"/>
              <w:rPr>
                <w:rFonts w:asciiTheme="minorHAnsi" w:eastAsia="Calibri" w:hAnsiTheme="minorHAnsi" w:cstheme="minorHAnsi"/>
                <w:kern w:val="0"/>
                <w:szCs w:val="22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FA8C2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Ministerstwo Rolnictwa i Rozwoju Wsi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9DA64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Uwaga o</w:t>
            </w:r>
          </w:p>
          <w:p w14:paraId="5D6C05D8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charakterze</w:t>
            </w:r>
          </w:p>
          <w:p w14:paraId="14290F4E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ogólnym</w:t>
            </w:r>
          </w:p>
        </w:tc>
        <w:tc>
          <w:tcPr>
            <w:tcW w:w="6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CE307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Potrzeba podnoszenia kompetencji w zakresie wykorzystania</w:t>
            </w:r>
          </w:p>
          <w:p w14:paraId="68DE4627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technologii cyfrowych przez rolników, która jest szczególnie</w:t>
            </w:r>
          </w:p>
          <w:p w14:paraId="3236325E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istotna z punktu widzenia realizacji celu przekrojowego PS WPR</w:t>
            </w:r>
          </w:p>
          <w:p w14:paraId="6436FEB6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2023-2027, polegającego na modernizacji sektora przez sprzyjanie</w:t>
            </w:r>
          </w:p>
          <w:p w14:paraId="2CD67FA8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dzieleniu się wiedzą, innowacji i cyfryzacji w rolnictwie i na</w:t>
            </w:r>
          </w:p>
          <w:p w14:paraId="3BEC2D51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obszarach wiejskich, a także zachęcanie do ich wykorzystywania.</w:t>
            </w:r>
          </w:p>
          <w:p w14:paraId="6E935BBB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Realizacja działań w ramach Programu Rozwoju Kompetencji</w:t>
            </w:r>
          </w:p>
          <w:p w14:paraId="263316F0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Cyfrowych powinna odpowiadać w szczególności na tę potrzebę.</w:t>
            </w:r>
          </w:p>
        </w:tc>
        <w:tc>
          <w:tcPr>
            <w:tcW w:w="3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2D3D1" w14:textId="77777777" w:rsidR="00E662B7" w:rsidRDefault="00E662B7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Uwaga n</w:t>
            </w:r>
            <w:r w:rsidR="00FE10C1" w:rsidRPr="00580915"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ieuwzględnion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a</w:t>
            </w:r>
          </w:p>
          <w:p w14:paraId="0EE31D86" w14:textId="009732C1" w:rsidR="00FE10C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1E0F57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Zgłaszający, pomimo prośby, nie przekazał propozycji </w:t>
            </w:r>
            <w:r w:rsidR="00D7090D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brzmienia przepisu</w:t>
            </w:r>
            <w:r w:rsidRPr="001E0F57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.</w:t>
            </w:r>
          </w:p>
          <w:p w14:paraId="1103AE5C" w14:textId="035FC6B3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Ponadto wyjaśniamy, że PRKC będzie realizować podnoszenie</w:t>
            </w: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kompetencji cyfrowych przez rolników lub mieszkańców wsi, gdyż zasięg większości działań Programu jest ogólnopolski. W szczególności tym grupom obywateli dedykowane są działania: II.1.1, II.1.5 i II.2.1.</w:t>
            </w:r>
          </w:p>
          <w:p w14:paraId="4AF6EC0A" w14:textId="6B7F54BF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</w:p>
        </w:tc>
      </w:tr>
      <w:tr w:rsidR="00FE10C1" w:rsidRPr="004C0B35" w14:paraId="614909AC" w14:textId="77777777" w:rsidTr="00343E38">
        <w:trPr>
          <w:trHeight w:val="3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94D91" w14:textId="77777777" w:rsidR="00FE10C1" w:rsidRPr="00580915" w:rsidRDefault="00FE10C1" w:rsidP="00580915">
            <w:pPr>
              <w:pStyle w:val="Akapitzlist"/>
              <w:widowControl/>
              <w:numPr>
                <w:ilvl w:val="0"/>
                <w:numId w:val="16"/>
              </w:numPr>
              <w:shd w:val="clear" w:color="auto" w:fill="auto"/>
              <w:suppressAutoHyphens w:val="0"/>
              <w:spacing w:line="259" w:lineRule="auto"/>
              <w:ind w:right="0"/>
              <w:jc w:val="left"/>
              <w:rPr>
                <w:rFonts w:asciiTheme="minorHAnsi" w:eastAsia="Calibri" w:hAnsiTheme="minorHAnsi" w:cstheme="minorHAnsi"/>
                <w:kern w:val="0"/>
                <w:szCs w:val="22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194B4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Ministerstwo Sprawiedliwości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2C635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Uwaga ogólna</w:t>
            </w:r>
          </w:p>
        </w:tc>
        <w:tc>
          <w:tcPr>
            <w:tcW w:w="6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AD32C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Zwrócenie uwagi, że szeroki zakres wielokierunkowych działań związanych z</w:t>
            </w:r>
          </w:p>
          <w:p w14:paraId="7FD3F275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realizacją opiniowanego programu wiąże się z potrzebą powołania zespołów (zespołu) doradczych funkcjonujących na zasadach honorowego kolegium naukowego (bądź innych). Powinny one skupiać grono specjalistów z różnych dziedzin nauk technicznych, społecznych oraz nauk o kulturze i mediach.</w:t>
            </w:r>
          </w:p>
        </w:tc>
        <w:tc>
          <w:tcPr>
            <w:tcW w:w="3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0509B" w14:textId="77777777" w:rsidR="00E662B7" w:rsidRDefault="00E662B7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Uwaga n</w:t>
            </w:r>
            <w:r w:rsidR="00FE10C1" w:rsidRPr="00580915"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ieuwzględnion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a</w:t>
            </w:r>
            <w:r w:rsidR="00FE10C1" w:rsidRPr="00580915"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.</w:t>
            </w:r>
          </w:p>
          <w:p w14:paraId="01096A8B" w14:textId="2D212041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Działania zamieszczone w PRKC zostały zaplanowane przez podmioty wiodące, właściwe merytorycznie dla danego działania, i to one odpowiadają za ich realizację oraz finansowanie.</w:t>
            </w:r>
          </w:p>
        </w:tc>
      </w:tr>
      <w:tr w:rsidR="00FE10C1" w:rsidRPr="004C0B35" w14:paraId="09E86277" w14:textId="77777777" w:rsidTr="00343E38">
        <w:trPr>
          <w:trHeight w:val="3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4E7A6" w14:textId="77777777" w:rsidR="00FE10C1" w:rsidRPr="00580915" w:rsidRDefault="00FE10C1" w:rsidP="00580915">
            <w:pPr>
              <w:pStyle w:val="Akapitzlist"/>
              <w:widowControl/>
              <w:numPr>
                <w:ilvl w:val="0"/>
                <w:numId w:val="16"/>
              </w:numPr>
              <w:shd w:val="clear" w:color="auto" w:fill="auto"/>
              <w:suppressAutoHyphens w:val="0"/>
              <w:spacing w:line="259" w:lineRule="auto"/>
              <w:ind w:right="0"/>
              <w:jc w:val="left"/>
              <w:rPr>
                <w:rFonts w:asciiTheme="minorHAnsi" w:eastAsia="Calibri" w:hAnsiTheme="minorHAnsi" w:cstheme="minorHAnsi"/>
                <w:kern w:val="0"/>
                <w:szCs w:val="22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79A48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Ministerstwo Sprawiedliwości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680DE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Uwaga ogólna</w:t>
            </w:r>
          </w:p>
        </w:tc>
        <w:tc>
          <w:tcPr>
            <w:tcW w:w="6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A8DC7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Rozważenie łączenia systemu awansu zawodowego nauczycieli z rozwijaniem kompetencji cyfrowych.</w:t>
            </w:r>
          </w:p>
        </w:tc>
        <w:tc>
          <w:tcPr>
            <w:tcW w:w="3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DEFEB" w14:textId="15922BAE" w:rsidR="00FE10C1" w:rsidRPr="00580915" w:rsidRDefault="00E662B7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Uwaga n</w:t>
            </w:r>
            <w:r w:rsidR="00FE10C1" w:rsidRPr="00580915"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ieuwzględnion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a</w:t>
            </w:r>
          </w:p>
          <w:p w14:paraId="283A0867" w14:textId="1701DB9C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Takie powiązanie już istnieje. Konieczność rozwijania umiejętności nauczycieli w zakresie TIK wynika z  rozporządzenia Ministra Edukacji Narodowej  z dnia 26 lipca 2018 r. w sprawie uzyskiwania stopni awansu </w:t>
            </w: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lastRenderedPageBreak/>
              <w:t>zawodowego przez nauczycieli (Dz.U.  poz. 1574 z póż.zm.)</w:t>
            </w:r>
          </w:p>
          <w:p w14:paraId="55611ED3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</w:p>
        </w:tc>
      </w:tr>
      <w:tr w:rsidR="00FE10C1" w:rsidRPr="004C0B35" w14:paraId="5952D4A0" w14:textId="77777777" w:rsidTr="00343E38">
        <w:trPr>
          <w:trHeight w:val="3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63298" w14:textId="77777777" w:rsidR="00FE10C1" w:rsidRPr="00580915" w:rsidRDefault="00FE10C1" w:rsidP="00580915">
            <w:pPr>
              <w:pStyle w:val="Akapitzlist"/>
              <w:widowControl/>
              <w:numPr>
                <w:ilvl w:val="0"/>
                <w:numId w:val="16"/>
              </w:numPr>
              <w:shd w:val="clear" w:color="auto" w:fill="auto"/>
              <w:suppressAutoHyphens w:val="0"/>
              <w:spacing w:line="259" w:lineRule="auto"/>
              <w:ind w:right="0"/>
              <w:jc w:val="left"/>
              <w:rPr>
                <w:rFonts w:asciiTheme="minorHAnsi" w:eastAsia="Calibri" w:hAnsiTheme="minorHAnsi" w:cstheme="minorHAnsi"/>
                <w:kern w:val="0"/>
                <w:szCs w:val="22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FB001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Ministerstwo Sprawiedliwości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01ED0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Uwaga ogólna</w:t>
            </w:r>
          </w:p>
        </w:tc>
        <w:tc>
          <w:tcPr>
            <w:tcW w:w="6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ABC32" w14:textId="77777777" w:rsidR="00FE10C1" w:rsidRPr="00064731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064731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Rozważenie wpisania do programu konieczności stworzenia systemu sieciowego wspomagania edukacji, zdrowia, usług społecznych kompensującego rozdźwięk między nimi a sektorami gospodarki rynku i biznesu.</w:t>
            </w:r>
          </w:p>
        </w:tc>
        <w:tc>
          <w:tcPr>
            <w:tcW w:w="3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4B48F" w14:textId="50B03F6F" w:rsidR="00FE10C1" w:rsidRDefault="00E662B7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Uwaga n</w:t>
            </w:r>
            <w:r w:rsidR="00FE10C1" w:rsidRPr="00580915"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ieuwzględnion</w:t>
            </w:r>
            <w:r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  <w:t>a</w:t>
            </w:r>
          </w:p>
          <w:p w14:paraId="63B2B190" w14:textId="175F0DB5" w:rsidR="002D4414" w:rsidRPr="00580915" w:rsidRDefault="002D4414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/>
                <w:bCs/>
                <w:kern w:val="0"/>
                <w:szCs w:val="22"/>
              </w:rPr>
            </w:pPr>
            <w:r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Zgłaszający nie przedstawił propozycji założeń systemu sieciowego. Ponadto </w:t>
            </w:r>
            <w:r w:rsidRPr="001F5027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CRKC będzie w stałym kontakcie z </w:t>
            </w:r>
            <w:r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>interesariuszami PRKC</w:t>
            </w:r>
            <w:r w:rsidRPr="001F5027"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  <w:t xml:space="preserve"> w celu zapewnienia spójnego procesu wsparcia rozwoju kompetencji cyfrowych.</w:t>
            </w:r>
          </w:p>
        </w:tc>
      </w:tr>
      <w:tr w:rsidR="00FE10C1" w:rsidRPr="004C0B35" w14:paraId="3C72A64D" w14:textId="77777777" w:rsidTr="00343E38">
        <w:trPr>
          <w:trHeight w:val="3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71ED0" w14:textId="77777777" w:rsidR="00FE10C1" w:rsidRPr="00580915" w:rsidRDefault="00FE10C1" w:rsidP="00580915">
            <w:pPr>
              <w:pStyle w:val="Akapitzlist"/>
              <w:widowControl/>
              <w:numPr>
                <w:ilvl w:val="0"/>
                <w:numId w:val="16"/>
              </w:numPr>
              <w:shd w:val="clear" w:color="auto" w:fill="auto"/>
              <w:suppressAutoHyphens w:val="0"/>
              <w:spacing w:line="259" w:lineRule="auto"/>
              <w:ind w:right="0"/>
              <w:jc w:val="left"/>
              <w:rPr>
                <w:rFonts w:asciiTheme="minorHAnsi" w:eastAsia="Calibri" w:hAnsiTheme="minorHAnsi" w:cstheme="minorHAnsi"/>
                <w:kern w:val="0"/>
                <w:szCs w:val="22"/>
              </w:rPr>
            </w:pP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61C2D" w14:textId="3F1DC34C" w:rsidR="00FE10C1" w:rsidRPr="00FC6477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>
              <w:rPr>
                <w:rFonts w:asciiTheme="minorHAnsi" w:eastAsia="Calibri" w:hAnsiTheme="minorHAnsi" w:cstheme="minorHAnsi"/>
                <w:bCs/>
                <w:szCs w:val="22"/>
              </w:rPr>
              <w:t>Ministerstwo Funduszy i Polityki Regionalnej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3EC0D" w14:textId="41187D39" w:rsidR="00FE10C1" w:rsidRPr="00FC6477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FC6477">
              <w:rPr>
                <w:rFonts w:asciiTheme="minorHAnsi" w:hAnsiTheme="minorHAnsi" w:cstheme="minorHAnsi"/>
                <w:szCs w:val="22"/>
              </w:rPr>
              <w:t>Rola i znaczenie kompetencji cyfrowych w kontekście rozwoju społeczeństwa i gospodarki cyfrowej (rozdział 4)</w:t>
            </w:r>
          </w:p>
        </w:tc>
        <w:tc>
          <w:tcPr>
            <w:tcW w:w="6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37262" w14:textId="65093CA7" w:rsidR="00FE10C1" w:rsidRPr="00FC6477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 w:rsidRPr="00FC6477">
              <w:rPr>
                <w:rFonts w:asciiTheme="minorHAnsi" w:hAnsiTheme="minorHAnsi" w:cstheme="minorHAnsi"/>
                <w:szCs w:val="22"/>
              </w:rPr>
              <w:t>W oparciu o analizy i dane będące w dyspozycji KPRM, diagnoza powinna być poszerzona co najmniej o wpływ kompetencji cyfrowych na wykorzystanie narzędzi cyfrowych i aplikacji do prowadzenia interakcji, dzielenia się informacjami i zasobami, prowadzenia aktywności obywatelskiej, szerzenia dezinformacji, krytycznego spojrzenia na informacje, którymi się dzielimy oraz zarządzania tożsamością cyfrową</w:t>
            </w:r>
            <w:r>
              <w:rPr>
                <w:rFonts w:asciiTheme="minorHAnsi" w:hAnsiTheme="minorHAnsi" w:cstheme="minorHAnsi"/>
                <w:szCs w:val="22"/>
              </w:rPr>
              <w:t>.</w:t>
            </w:r>
          </w:p>
        </w:tc>
        <w:tc>
          <w:tcPr>
            <w:tcW w:w="3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24536" w14:textId="77777777" w:rsidR="00E662B7" w:rsidRDefault="00E662B7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/>
                <w:bCs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Cs w:val="22"/>
              </w:rPr>
              <w:t>Uwaga n</w:t>
            </w:r>
            <w:r w:rsidR="00FE10C1" w:rsidRPr="00580915">
              <w:rPr>
                <w:rFonts w:asciiTheme="minorHAnsi" w:eastAsia="Calibri" w:hAnsiTheme="minorHAnsi" w:cstheme="minorHAnsi"/>
                <w:b/>
                <w:bCs/>
                <w:szCs w:val="22"/>
              </w:rPr>
              <w:t>ieuwzględnion</w:t>
            </w:r>
            <w:r>
              <w:rPr>
                <w:rFonts w:asciiTheme="minorHAnsi" w:eastAsia="Calibri" w:hAnsiTheme="minorHAnsi" w:cstheme="minorHAnsi"/>
                <w:b/>
                <w:bCs/>
                <w:szCs w:val="22"/>
              </w:rPr>
              <w:t>a</w:t>
            </w:r>
          </w:p>
          <w:p w14:paraId="2D47F444" w14:textId="26E6006F" w:rsidR="00FE10C1" w:rsidRPr="00FC6477" w:rsidRDefault="00FE10C1" w:rsidP="00FE10C1">
            <w:pPr>
              <w:widowControl/>
              <w:shd w:val="clear" w:color="auto" w:fill="auto"/>
              <w:suppressAutoHyphens w:val="0"/>
              <w:ind w:left="0" w:right="0" w:firstLine="0"/>
              <w:jc w:val="left"/>
              <w:rPr>
                <w:rFonts w:asciiTheme="minorHAnsi" w:eastAsia="Calibri" w:hAnsiTheme="minorHAnsi" w:cstheme="minorHAnsi"/>
                <w:bCs/>
                <w:kern w:val="0"/>
                <w:szCs w:val="22"/>
              </w:rPr>
            </w:pPr>
            <w:r>
              <w:rPr>
                <w:rFonts w:asciiTheme="minorHAnsi" w:eastAsia="Calibri" w:hAnsiTheme="minorHAnsi" w:cstheme="minorHAnsi"/>
                <w:bCs/>
                <w:szCs w:val="22"/>
              </w:rPr>
              <w:t xml:space="preserve">Aktualnie </w:t>
            </w:r>
            <w:r w:rsidRPr="00FC6477">
              <w:rPr>
                <w:rFonts w:asciiTheme="minorHAnsi" w:eastAsia="Calibri" w:hAnsiTheme="minorHAnsi" w:cstheme="minorHAnsi"/>
                <w:bCs/>
                <w:szCs w:val="22"/>
              </w:rPr>
              <w:t xml:space="preserve"> brakuje tego typu analiz i danych. W ramach działalności CRKC możliwe jest wykonanie badań i analiz w proponowanym zakresie tematycznym.</w:t>
            </w:r>
          </w:p>
        </w:tc>
      </w:tr>
    </w:tbl>
    <w:p w14:paraId="74FF478C" w14:textId="77777777" w:rsidR="006A5D71" w:rsidRPr="006A5D71" w:rsidRDefault="006A5D71" w:rsidP="00CF2A26"/>
    <w:p w14:paraId="0068AEC3" w14:textId="77777777" w:rsidR="006A5D71" w:rsidRPr="006A5D71" w:rsidRDefault="006A5D71" w:rsidP="00CF2A26"/>
    <w:p w14:paraId="4B052DB4" w14:textId="77777777" w:rsidR="006A5D71" w:rsidRPr="006A5D71" w:rsidRDefault="006A5D71" w:rsidP="00CF2A26"/>
    <w:sectPr w:rsidR="006A5D71" w:rsidRPr="006A5D71" w:rsidSect="006A5D71">
      <w:footerReference w:type="default" r:id="rId8"/>
      <w:footnotePr>
        <w:pos w:val="beneathText"/>
      </w:footnotePr>
      <w:pgSz w:w="16837" w:h="11905" w:orient="landscape"/>
      <w:pgMar w:top="1134" w:right="1134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AAA89" w14:textId="77777777" w:rsidR="00187F15" w:rsidRDefault="00187F15" w:rsidP="00BD6D40">
      <w:r>
        <w:separator/>
      </w:r>
    </w:p>
  </w:endnote>
  <w:endnote w:type="continuationSeparator" w:id="0">
    <w:p w14:paraId="109E4270" w14:textId="77777777" w:rsidR="00187F15" w:rsidRDefault="00187F15" w:rsidP="00BD6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FB152" w14:textId="77777777" w:rsidR="00D7090D" w:rsidRPr="00BD6D40" w:rsidRDefault="00D7090D" w:rsidP="00BD6D40">
    <w:pPr>
      <w:pStyle w:val="Stopka"/>
    </w:pPr>
    <w:r w:rsidRPr="00BD6D40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3BB09" w14:textId="77777777" w:rsidR="00187F15" w:rsidRDefault="00187F15" w:rsidP="00BD6D40">
      <w:r>
        <w:separator/>
      </w:r>
    </w:p>
  </w:footnote>
  <w:footnote w:type="continuationSeparator" w:id="0">
    <w:p w14:paraId="182B43DE" w14:textId="77777777" w:rsidR="00187F15" w:rsidRDefault="00187F15" w:rsidP="00BD6D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F13A1"/>
    <w:multiLevelType w:val="hybridMultilevel"/>
    <w:tmpl w:val="F33AB8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C10889"/>
    <w:multiLevelType w:val="hybridMultilevel"/>
    <w:tmpl w:val="2B548F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C543D0"/>
    <w:multiLevelType w:val="hybridMultilevel"/>
    <w:tmpl w:val="9FC0F8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445636"/>
    <w:multiLevelType w:val="hybridMultilevel"/>
    <w:tmpl w:val="F40E43DC"/>
    <w:lvl w:ilvl="0" w:tplc="0415000F">
      <w:start w:val="1"/>
      <w:numFmt w:val="decimal"/>
      <w:lvlText w:val="%1."/>
      <w:lvlJc w:val="left"/>
      <w:pPr>
        <w:ind w:left="121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0D2F03"/>
    <w:multiLevelType w:val="hybridMultilevel"/>
    <w:tmpl w:val="C22C91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435395"/>
    <w:multiLevelType w:val="hybridMultilevel"/>
    <w:tmpl w:val="8AD6D5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EC01EC"/>
    <w:multiLevelType w:val="hybridMultilevel"/>
    <w:tmpl w:val="A2200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1A6EA1"/>
    <w:multiLevelType w:val="hybridMultilevel"/>
    <w:tmpl w:val="A9C6BB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964DB4"/>
    <w:multiLevelType w:val="hybridMultilevel"/>
    <w:tmpl w:val="4D58AA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CF64391"/>
    <w:multiLevelType w:val="hybridMultilevel"/>
    <w:tmpl w:val="A2200D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7830083"/>
    <w:multiLevelType w:val="hybridMultilevel"/>
    <w:tmpl w:val="A05460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696E82"/>
    <w:multiLevelType w:val="hybridMultilevel"/>
    <w:tmpl w:val="8766DE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4210AB8"/>
    <w:multiLevelType w:val="hybridMultilevel"/>
    <w:tmpl w:val="D5A6E8F6"/>
    <w:lvl w:ilvl="0" w:tplc="41B4F43A">
      <w:start w:val="1"/>
      <w:numFmt w:val="decimal"/>
      <w:lvlText w:val="II.2.%1."/>
      <w:lvlJc w:val="left"/>
      <w:pPr>
        <w:ind w:left="3" w:hanging="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3" w15:restartNumberingAfterBreak="0">
    <w:nsid w:val="66E227E8"/>
    <w:multiLevelType w:val="hybridMultilevel"/>
    <w:tmpl w:val="7CE250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9CD3567"/>
    <w:multiLevelType w:val="hybridMultilevel"/>
    <w:tmpl w:val="D84EC854"/>
    <w:lvl w:ilvl="0" w:tplc="0415000F">
      <w:start w:val="1"/>
      <w:numFmt w:val="decimal"/>
      <w:lvlText w:val="%1."/>
      <w:lvlJc w:val="left"/>
      <w:pPr>
        <w:ind w:left="1572" w:hanging="360"/>
      </w:p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5" w15:restartNumberingAfterBreak="0">
    <w:nsid w:val="75DA08BF"/>
    <w:multiLevelType w:val="hybridMultilevel"/>
    <w:tmpl w:val="F40E43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12"/>
  </w:num>
  <w:num w:numId="3">
    <w:abstractNumId w:val="4"/>
  </w:num>
  <w:num w:numId="4">
    <w:abstractNumId w:val="3"/>
  </w:num>
  <w:num w:numId="5">
    <w:abstractNumId w:val="10"/>
  </w:num>
  <w:num w:numId="6">
    <w:abstractNumId w:val="6"/>
  </w:num>
  <w:num w:numId="7">
    <w:abstractNumId w:val="9"/>
  </w:num>
  <w:num w:numId="8">
    <w:abstractNumId w:val="2"/>
  </w:num>
  <w:num w:numId="9">
    <w:abstractNumId w:val="11"/>
  </w:num>
  <w:num w:numId="10">
    <w:abstractNumId w:val="13"/>
  </w:num>
  <w:num w:numId="11">
    <w:abstractNumId w:val="8"/>
  </w:num>
  <w:num w:numId="12">
    <w:abstractNumId w:val="1"/>
  </w:num>
  <w:num w:numId="13">
    <w:abstractNumId w:val="0"/>
  </w:num>
  <w:num w:numId="14">
    <w:abstractNumId w:val="5"/>
  </w:num>
  <w:num w:numId="15">
    <w:abstractNumId w:val="1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D40"/>
    <w:rsid w:val="00003849"/>
    <w:rsid w:val="00014797"/>
    <w:rsid w:val="00021785"/>
    <w:rsid w:val="00026339"/>
    <w:rsid w:val="0002701E"/>
    <w:rsid w:val="00031359"/>
    <w:rsid w:val="000636B2"/>
    <w:rsid w:val="00064731"/>
    <w:rsid w:val="0007270D"/>
    <w:rsid w:val="00072B95"/>
    <w:rsid w:val="00076235"/>
    <w:rsid w:val="00077D20"/>
    <w:rsid w:val="000904B8"/>
    <w:rsid w:val="000A3DFB"/>
    <w:rsid w:val="000B73D6"/>
    <w:rsid w:val="000C76DE"/>
    <w:rsid w:val="000F12C4"/>
    <w:rsid w:val="000F4D2B"/>
    <w:rsid w:val="00112060"/>
    <w:rsid w:val="0011405D"/>
    <w:rsid w:val="00131EBC"/>
    <w:rsid w:val="00140EF2"/>
    <w:rsid w:val="00143943"/>
    <w:rsid w:val="00152641"/>
    <w:rsid w:val="00156BF0"/>
    <w:rsid w:val="001640E7"/>
    <w:rsid w:val="001666D0"/>
    <w:rsid w:val="001748FB"/>
    <w:rsid w:val="00181E34"/>
    <w:rsid w:val="00187F15"/>
    <w:rsid w:val="0019395E"/>
    <w:rsid w:val="00194ECA"/>
    <w:rsid w:val="001969E6"/>
    <w:rsid w:val="001A6DF4"/>
    <w:rsid w:val="001C3F59"/>
    <w:rsid w:val="001D179B"/>
    <w:rsid w:val="001D380C"/>
    <w:rsid w:val="001E0F57"/>
    <w:rsid w:val="001E5ACB"/>
    <w:rsid w:val="001E6214"/>
    <w:rsid w:val="001F7C0E"/>
    <w:rsid w:val="00207C7A"/>
    <w:rsid w:val="0022071A"/>
    <w:rsid w:val="00221500"/>
    <w:rsid w:val="00223D94"/>
    <w:rsid w:val="00226946"/>
    <w:rsid w:val="00227B2C"/>
    <w:rsid w:val="00227D14"/>
    <w:rsid w:val="00231F1F"/>
    <w:rsid w:val="00242B72"/>
    <w:rsid w:val="00247A14"/>
    <w:rsid w:val="00257960"/>
    <w:rsid w:val="00294EA2"/>
    <w:rsid w:val="002A567A"/>
    <w:rsid w:val="002B57BA"/>
    <w:rsid w:val="002D4414"/>
    <w:rsid w:val="002E1DA9"/>
    <w:rsid w:val="002F41A3"/>
    <w:rsid w:val="002F475F"/>
    <w:rsid w:val="002F6B28"/>
    <w:rsid w:val="003226AD"/>
    <w:rsid w:val="003316AE"/>
    <w:rsid w:val="00343E38"/>
    <w:rsid w:val="00344BA7"/>
    <w:rsid w:val="00357BB4"/>
    <w:rsid w:val="003617E2"/>
    <w:rsid w:val="003956C8"/>
    <w:rsid w:val="00395840"/>
    <w:rsid w:val="003A1546"/>
    <w:rsid w:val="003A3422"/>
    <w:rsid w:val="003A5834"/>
    <w:rsid w:val="003B6293"/>
    <w:rsid w:val="003D200E"/>
    <w:rsid w:val="003F4869"/>
    <w:rsid w:val="003F543A"/>
    <w:rsid w:val="003F7169"/>
    <w:rsid w:val="004038EA"/>
    <w:rsid w:val="0041521F"/>
    <w:rsid w:val="0041553A"/>
    <w:rsid w:val="004205E0"/>
    <w:rsid w:val="00435846"/>
    <w:rsid w:val="00441DCB"/>
    <w:rsid w:val="00441F6F"/>
    <w:rsid w:val="00476D61"/>
    <w:rsid w:val="00480DC7"/>
    <w:rsid w:val="00486E51"/>
    <w:rsid w:val="0049687C"/>
    <w:rsid w:val="004A01FD"/>
    <w:rsid w:val="004C0B35"/>
    <w:rsid w:val="004C7383"/>
    <w:rsid w:val="004E4452"/>
    <w:rsid w:val="004E542C"/>
    <w:rsid w:val="004F0DFA"/>
    <w:rsid w:val="004F50DF"/>
    <w:rsid w:val="004F551B"/>
    <w:rsid w:val="00501A28"/>
    <w:rsid w:val="005040F7"/>
    <w:rsid w:val="00511BBB"/>
    <w:rsid w:val="00525820"/>
    <w:rsid w:val="005260FD"/>
    <w:rsid w:val="00537980"/>
    <w:rsid w:val="005549CD"/>
    <w:rsid w:val="005704ED"/>
    <w:rsid w:val="00577DAE"/>
    <w:rsid w:val="00580915"/>
    <w:rsid w:val="005A0FFD"/>
    <w:rsid w:val="005D3229"/>
    <w:rsid w:val="005D6EC2"/>
    <w:rsid w:val="005E3228"/>
    <w:rsid w:val="005F0E9B"/>
    <w:rsid w:val="005F22C1"/>
    <w:rsid w:val="005F25A1"/>
    <w:rsid w:val="005F2C41"/>
    <w:rsid w:val="005F73F4"/>
    <w:rsid w:val="006025C7"/>
    <w:rsid w:val="0061671E"/>
    <w:rsid w:val="00647F94"/>
    <w:rsid w:val="006525B1"/>
    <w:rsid w:val="0066273B"/>
    <w:rsid w:val="00664000"/>
    <w:rsid w:val="006805AE"/>
    <w:rsid w:val="00681C86"/>
    <w:rsid w:val="0068397F"/>
    <w:rsid w:val="0069220B"/>
    <w:rsid w:val="006A5D71"/>
    <w:rsid w:val="006B5D3A"/>
    <w:rsid w:val="006C06D2"/>
    <w:rsid w:val="006D4235"/>
    <w:rsid w:val="006E2A9C"/>
    <w:rsid w:val="006F0E49"/>
    <w:rsid w:val="006F26D6"/>
    <w:rsid w:val="006F6CD2"/>
    <w:rsid w:val="00721E16"/>
    <w:rsid w:val="007223D0"/>
    <w:rsid w:val="00735BCE"/>
    <w:rsid w:val="00747F38"/>
    <w:rsid w:val="007510A5"/>
    <w:rsid w:val="00756ED8"/>
    <w:rsid w:val="007850D4"/>
    <w:rsid w:val="007B72BD"/>
    <w:rsid w:val="007C1B18"/>
    <w:rsid w:val="007D045F"/>
    <w:rsid w:val="007D4628"/>
    <w:rsid w:val="007E324E"/>
    <w:rsid w:val="007F5FF5"/>
    <w:rsid w:val="008007B0"/>
    <w:rsid w:val="00804F95"/>
    <w:rsid w:val="00811D9D"/>
    <w:rsid w:val="00821251"/>
    <w:rsid w:val="008224E7"/>
    <w:rsid w:val="00841335"/>
    <w:rsid w:val="00842B41"/>
    <w:rsid w:val="00846895"/>
    <w:rsid w:val="00852007"/>
    <w:rsid w:val="0086154B"/>
    <w:rsid w:val="0087383A"/>
    <w:rsid w:val="00894900"/>
    <w:rsid w:val="00894DB6"/>
    <w:rsid w:val="008C38C1"/>
    <w:rsid w:val="008C665C"/>
    <w:rsid w:val="008D5424"/>
    <w:rsid w:val="008E2DDA"/>
    <w:rsid w:val="008F6A9B"/>
    <w:rsid w:val="00902A7E"/>
    <w:rsid w:val="00903621"/>
    <w:rsid w:val="00910209"/>
    <w:rsid w:val="00914821"/>
    <w:rsid w:val="009166EC"/>
    <w:rsid w:val="00926684"/>
    <w:rsid w:val="00932454"/>
    <w:rsid w:val="009521FF"/>
    <w:rsid w:val="0095595E"/>
    <w:rsid w:val="00957FBE"/>
    <w:rsid w:val="009746CB"/>
    <w:rsid w:val="00995C06"/>
    <w:rsid w:val="009A1B24"/>
    <w:rsid w:val="009A6A79"/>
    <w:rsid w:val="009B53D2"/>
    <w:rsid w:val="009D5EE0"/>
    <w:rsid w:val="009D72D4"/>
    <w:rsid w:val="009F07A0"/>
    <w:rsid w:val="00A04101"/>
    <w:rsid w:val="00A11E03"/>
    <w:rsid w:val="00A13EC8"/>
    <w:rsid w:val="00A146BA"/>
    <w:rsid w:val="00A30C10"/>
    <w:rsid w:val="00A36CC9"/>
    <w:rsid w:val="00A4614D"/>
    <w:rsid w:val="00A5196B"/>
    <w:rsid w:val="00A5762E"/>
    <w:rsid w:val="00A624BC"/>
    <w:rsid w:val="00A62725"/>
    <w:rsid w:val="00A64277"/>
    <w:rsid w:val="00A66477"/>
    <w:rsid w:val="00A83ABF"/>
    <w:rsid w:val="00A90766"/>
    <w:rsid w:val="00A97A94"/>
    <w:rsid w:val="00AB7700"/>
    <w:rsid w:val="00AB7DC7"/>
    <w:rsid w:val="00AC10BA"/>
    <w:rsid w:val="00AC6070"/>
    <w:rsid w:val="00AC78AC"/>
    <w:rsid w:val="00AD0860"/>
    <w:rsid w:val="00AD5069"/>
    <w:rsid w:val="00AD75C1"/>
    <w:rsid w:val="00AE2EF2"/>
    <w:rsid w:val="00AE31DB"/>
    <w:rsid w:val="00AE56C2"/>
    <w:rsid w:val="00AF3428"/>
    <w:rsid w:val="00AF4620"/>
    <w:rsid w:val="00B078FC"/>
    <w:rsid w:val="00B128D6"/>
    <w:rsid w:val="00B2664F"/>
    <w:rsid w:val="00B273BF"/>
    <w:rsid w:val="00B3085B"/>
    <w:rsid w:val="00B40340"/>
    <w:rsid w:val="00B509DE"/>
    <w:rsid w:val="00B7478B"/>
    <w:rsid w:val="00B8553B"/>
    <w:rsid w:val="00B864EC"/>
    <w:rsid w:val="00BA0890"/>
    <w:rsid w:val="00BB0C98"/>
    <w:rsid w:val="00BB4430"/>
    <w:rsid w:val="00BD3518"/>
    <w:rsid w:val="00BD6D40"/>
    <w:rsid w:val="00BE15BA"/>
    <w:rsid w:val="00C2268C"/>
    <w:rsid w:val="00C43C7F"/>
    <w:rsid w:val="00C50718"/>
    <w:rsid w:val="00C530EF"/>
    <w:rsid w:val="00C70801"/>
    <w:rsid w:val="00C90951"/>
    <w:rsid w:val="00CA60BC"/>
    <w:rsid w:val="00CB0B4E"/>
    <w:rsid w:val="00CC1EBB"/>
    <w:rsid w:val="00CC31C9"/>
    <w:rsid w:val="00CD717C"/>
    <w:rsid w:val="00CE1B9B"/>
    <w:rsid w:val="00CE1E37"/>
    <w:rsid w:val="00CF2A26"/>
    <w:rsid w:val="00CF3C53"/>
    <w:rsid w:val="00D033BD"/>
    <w:rsid w:val="00D043A9"/>
    <w:rsid w:val="00D31E9C"/>
    <w:rsid w:val="00D45B42"/>
    <w:rsid w:val="00D50AD6"/>
    <w:rsid w:val="00D542B4"/>
    <w:rsid w:val="00D549FF"/>
    <w:rsid w:val="00D66820"/>
    <w:rsid w:val="00D7090D"/>
    <w:rsid w:val="00D866A7"/>
    <w:rsid w:val="00D86A7C"/>
    <w:rsid w:val="00D92385"/>
    <w:rsid w:val="00DA3233"/>
    <w:rsid w:val="00DA752E"/>
    <w:rsid w:val="00DA7B96"/>
    <w:rsid w:val="00DB0E13"/>
    <w:rsid w:val="00DC02E9"/>
    <w:rsid w:val="00DD4801"/>
    <w:rsid w:val="00DD5B98"/>
    <w:rsid w:val="00DE572A"/>
    <w:rsid w:val="00DF7E1D"/>
    <w:rsid w:val="00E123D5"/>
    <w:rsid w:val="00E1571F"/>
    <w:rsid w:val="00E24176"/>
    <w:rsid w:val="00E40C64"/>
    <w:rsid w:val="00E61C4E"/>
    <w:rsid w:val="00E642DA"/>
    <w:rsid w:val="00E662B7"/>
    <w:rsid w:val="00E751FC"/>
    <w:rsid w:val="00E91214"/>
    <w:rsid w:val="00E94DC6"/>
    <w:rsid w:val="00EA156A"/>
    <w:rsid w:val="00EA1BC9"/>
    <w:rsid w:val="00EE2613"/>
    <w:rsid w:val="00EF1035"/>
    <w:rsid w:val="00EF1191"/>
    <w:rsid w:val="00F051D0"/>
    <w:rsid w:val="00F275F4"/>
    <w:rsid w:val="00F34502"/>
    <w:rsid w:val="00F41C46"/>
    <w:rsid w:val="00F41FB0"/>
    <w:rsid w:val="00F57BC0"/>
    <w:rsid w:val="00F60AB5"/>
    <w:rsid w:val="00F6634A"/>
    <w:rsid w:val="00F91525"/>
    <w:rsid w:val="00F97928"/>
    <w:rsid w:val="00FA2CDF"/>
    <w:rsid w:val="00FC6477"/>
    <w:rsid w:val="00FD1CFE"/>
    <w:rsid w:val="00FE09B7"/>
    <w:rsid w:val="00FE10C1"/>
    <w:rsid w:val="00FE1960"/>
    <w:rsid w:val="00FE4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183B8"/>
  <w15:chartTrackingRefBased/>
  <w15:docId w15:val="{BDAE4D0C-B92B-41CD-AEA1-40D41DA4E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D40"/>
    <w:pPr>
      <w:widowControl w:val="0"/>
      <w:shd w:val="clear" w:color="auto" w:fill="FFFFFF"/>
      <w:suppressAutoHyphens/>
      <w:spacing w:after="0" w:line="240" w:lineRule="auto"/>
      <w:ind w:left="539" w:right="706" w:hanging="539"/>
      <w:jc w:val="right"/>
    </w:pPr>
    <w:rPr>
      <w:rFonts w:asciiTheme="majorHAnsi" w:eastAsia="Times New Roman" w:hAnsiTheme="majorHAnsi" w:cstheme="majorHAnsi"/>
      <w:kern w:val="1"/>
      <w:szCs w:val="20"/>
      <w:lang w:eastAsia="pl-PL"/>
    </w:rPr>
  </w:style>
  <w:style w:type="paragraph" w:styleId="Nagwek1">
    <w:name w:val="heading 1"/>
    <w:basedOn w:val="Tytu"/>
    <w:next w:val="Normalny"/>
    <w:link w:val="Nagwek1Znak"/>
    <w:uiPriority w:val="9"/>
    <w:qFormat/>
    <w:rsid w:val="00501A28"/>
    <w:pPr>
      <w:outlineLvl w:val="0"/>
    </w:p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2385"/>
    <w:pPr>
      <w:keepNext/>
      <w:keepLines/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21">
    <w:name w:val="Tekst podstawowy wcięty 21"/>
    <w:basedOn w:val="Normalny"/>
    <w:uiPriority w:val="99"/>
    <w:rsid w:val="00BD6D40"/>
    <w:pPr>
      <w:ind w:left="360"/>
    </w:pPr>
  </w:style>
  <w:style w:type="character" w:styleId="Pogrubienie">
    <w:name w:val="Strong"/>
    <w:uiPriority w:val="22"/>
    <w:qFormat/>
    <w:rsid w:val="00BD6D40"/>
    <w:rPr>
      <w:b/>
      <w:bCs/>
    </w:rPr>
  </w:style>
  <w:style w:type="character" w:styleId="Hipercze">
    <w:name w:val="Hyperlink"/>
    <w:rsid w:val="00BD6D40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BD6D40"/>
    <w:pPr>
      <w:widowControl/>
      <w:suppressAutoHyphens w:val="0"/>
      <w:spacing w:before="100" w:beforeAutospacing="1" w:after="100" w:afterAutospacing="1"/>
    </w:pPr>
    <w:rPr>
      <w:kern w:val="0"/>
    </w:rPr>
  </w:style>
  <w:style w:type="paragraph" w:styleId="Tytu">
    <w:name w:val="Title"/>
    <w:basedOn w:val="Normalny"/>
    <w:next w:val="Normalny"/>
    <w:link w:val="TytuZnak"/>
    <w:uiPriority w:val="10"/>
    <w:qFormat/>
    <w:rsid w:val="00BD6D40"/>
    <w:pPr>
      <w:contextualSpacing/>
      <w:jc w:val="center"/>
    </w:pPr>
    <w:rPr>
      <w:rFonts w:eastAsiaTheme="majorEastAsia" w:cstheme="majorBidi"/>
      <w:spacing w:val="-10"/>
      <w:kern w:val="28"/>
      <w:sz w:val="40"/>
      <w:szCs w:val="40"/>
    </w:rPr>
  </w:style>
  <w:style w:type="character" w:customStyle="1" w:styleId="TytuZnak">
    <w:name w:val="Tytuł Znak"/>
    <w:basedOn w:val="Domylnaczcionkaakapitu"/>
    <w:link w:val="Tytu"/>
    <w:uiPriority w:val="10"/>
    <w:rsid w:val="00BD6D40"/>
    <w:rPr>
      <w:rFonts w:asciiTheme="majorHAnsi" w:eastAsiaTheme="majorEastAsia" w:hAnsiTheme="majorHAnsi" w:cstheme="majorBidi"/>
      <w:spacing w:val="-10"/>
      <w:kern w:val="28"/>
      <w:sz w:val="40"/>
      <w:szCs w:val="40"/>
      <w:shd w:val="clear" w:color="auto" w:fill="FFFFFF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D6D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6D40"/>
    <w:rPr>
      <w:rFonts w:asciiTheme="majorHAnsi" w:eastAsia="Times New Roman" w:hAnsiTheme="majorHAnsi" w:cstheme="majorHAnsi"/>
      <w:kern w:val="1"/>
      <w:szCs w:val="20"/>
      <w:shd w:val="clear" w:color="auto" w:fill="FFFFFF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6D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6D40"/>
    <w:rPr>
      <w:rFonts w:asciiTheme="majorHAnsi" w:eastAsia="Times New Roman" w:hAnsiTheme="majorHAnsi" w:cstheme="majorHAnsi"/>
      <w:kern w:val="1"/>
      <w:szCs w:val="20"/>
      <w:shd w:val="clear" w:color="auto" w:fill="FFFFFF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01A28"/>
    <w:rPr>
      <w:rFonts w:asciiTheme="majorHAnsi" w:eastAsiaTheme="majorEastAsia" w:hAnsiTheme="majorHAnsi" w:cstheme="majorBidi"/>
      <w:spacing w:val="-10"/>
      <w:kern w:val="28"/>
      <w:sz w:val="40"/>
      <w:szCs w:val="40"/>
      <w:shd w:val="clear" w:color="auto" w:fill="FFFFFF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05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05AE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05AE"/>
    <w:rPr>
      <w:rFonts w:asciiTheme="majorHAnsi" w:eastAsia="Times New Roman" w:hAnsiTheme="majorHAnsi" w:cstheme="majorHAnsi"/>
      <w:kern w:val="1"/>
      <w:sz w:val="20"/>
      <w:szCs w:val="20"/>
      <w:shd w:val="clear" w:color="auto" w:fill="FFFFFF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05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05AE"/>
    <w:rPr>
      <w:rFonts w:asciiTheme="majorHAnsi" w:eastAsia="Times New Roman" w:hAnsiTheme="majorHAnsi" w:cstheme="majorHAnsi"/>
      <w:b/>
      <w:bCs/>
      <w:kern w:val="1"/>
      <w:sz w:val="20"/>
      <w:szCs w:val="20"/>
      <w:shd w:val="clear" w:color="auto" w:fill="FFFFFF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5A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5AE"/>
    <w:rPr>
      <w:rFonts w:ascii="Segoe UI" w:eastAsia="Times New Roman" w:hAnsi="Segoe UI" w:cs="Segoe UI"/>
      <w:kern w:val="1"/>
      <w:sz w:val="18"/>
      <w:szCs w:val="18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DE572A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92385"/>
    <w:rPr>
      <w:rFonts w:asciiTheme="majorHAnsi" w:eastAsiaTheme="majorEastAsia" w:hAnsiTheme="majorHAnsi" w:cstheme="majorBidi"/>
      <w:i/>
      <w:iCs/>
      <w:color w:val="2E74B5" w:themeColor="accent1" w:themeShade="BF"/>
      <w:kern w:val="1"/>
      <w:szCs w:val="20"/>
      <w:shd w:val="clear" w:color="auto" w:fill="FFFFFF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Normalny"/>
    <w:next w:val="Normalny"/>
    <w:uiPriority w:val="36"/>
    <w:qFormat/>
    <w:rsid w:val="003F4869"/>
    <w:pPr>
      <w:widowControl/>
      <w:shd w:val="clear" w:color="auto" w:fill="auto"/>
      <w:suppressAutoHyphens w:val="0"/>
      <w:spacing w:line="360" w:lineRule="auto"/>
      <w:ind w:left="1497" w:right="0" w:firstLine="0"/>
      <w:jc w:val="both"/>
    </w:pPr>
    <w:rPr>
      <w:rFonts w:ascii="Times" w:eastAsiaTheme="minorEastAsia" w:hAnsi="Times" w:cs="Arial"/>
      <w:bCs/>
      <w:kern w:val="0"/>
      <w:sz w:val="24"/>
    </w:rPr>
  </w:style>
  <w:style w:type="paragraph" w:customStyle="1" w:styleId="menfont">
    <w:name w:val="men font"/>
    <w:basedOn w:val="Normalny"/>
    <w:rsid w:val="00CC1EBB"/>
    <w:pPr>
      <w:widowControl/>
      <w:shd w:val="clear" w:color="auto" w:fill="auto"/>
      <w:suppressAutoHyphens w:val="0"/>
      <w:ind w:left="0" w:right="0" w:firstLine="0"/>
      <w:jc w:val="left"/>
    </w:pPr>
    <w:rPr>
      <w:rFonts w:ascii="Arial" w:hAnsi="Arial" w:cs="Arial"/>
      <w:kern w:val="0"/>
      <w:sz w:val="24"/>
      <w:szCs w:val="24"/>
    </w:rPr>
  </w:style>
  <w:style w:type="paragraph" w:styleId="Bezodstpw">
    <w:name w:val="No Spacing"/>
    <w:uiPriority w:val="1"/>
    <w:qFormat/>
    <w:rsid w:val="004155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6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079FC-1564-45E3-8A78-679E4777B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3194</Words>
  <Characters>19164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22314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Konowrocki Adam</dc:creator>
  <cp:keywords/>
  <dc:description/>
  <cp:lastModifiedBy>Markowska Anna</cp:lastModifiedBy>
  <cp:revision>2</cp:revision>
  <dcterms:created xsi:type="dcterms:W3CDTF">2022-11-10T12:30:00Z</dcterms:created>
  <dcterms:modified xsi:type="dcterms:W3CDTF">2022-11-10T12:30:00Z</dcterms:modified>
</cp:coreProperties>
</file>