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730" w:rsidRPr="00194E8E" w:rsidRDefault="00DD0730" w:rsidP="00194E8E">
      <w:pPr>
        <w:spacing w:before="120"/>
        <w:ind w:left="5387"/>
        <w:rPr>
          <w:rFonts w:asciiTheme="minorHAnsi" w:hAnsiTheme="minorHAnsi"/>
        </w:rPr>
      </w:pPr>
      <w:bookmarkStart w:id="0" w:name="_GoBack"/>
      <w:bookmarkEnd w:id="0"/>
      <w:r w:rsidRPr="00194E8E">
        <w:rPr>
          <w:rFonts w:asciiTheme="minorHAnsi" w:hAnsiTheme="minorHAnsi"/>
        </w:rPr>
        <w:t xml:space="preserve">Warszawa, dnia </w:t>
      </w:r>
      <w:r w:rsidR="008B18F4">
        <w:rPr>
          <w:rFonts w:asciiTheme="minorHAnsi" w:hAnsiTheme="minorHAnsi"/>
        </w:rPr>
        <w:t>22</w:t>
      </w:r>
      <w:r w:rsidR="0035339C">
        <w:rPr>
          <w:rFonts w:asciiTheme="minorHAnsi" w:hAnsiTheme="minorHAnsi"/>
        </w:rPr>
        <w:t xml:space="preserve"> sierpnia</w:t>
      </w:r>
      <w:r w:rsidR="00194E8E" w:rsidRPr="00194E8E">
        <w:rPr>
          <w:rFonts w:asciiTheme="minorHAnsi" w:hAnsiTheme="minorHAnsi"/>
        </w:rPr>
        <w:t xml:space="preserve"> </w:t>
      </w:r>
      <w:r w:rsidRPr="00194E8E">
        <w:rPr>
          <w:rFonts w:asciiTheme="minorHAnsi" w:hAnsiTheme="minorHAnsi"/>
        </w:rPr>
        <w:t>20</w:t>
      </w:r>
      <w:r w:rsidR="00DF316E" w:rsidRPr="00194E8E">
        <w:rPr>
          <w:rFonts w:asciiTheme="minorHAnsi" w:hAnsiTheme="minorHAnsi"/>
        </w:rPr>
        <w:t>2</w:t>
      </w:r>
      <w:r w:rsidR="00B43681" w:rsidRPr="00194E8E">
        <w:rPr>
          <w:rFonts w:asciiTheme="minorHAnsi" w:hAnsiTheme="minorHAnsi"/>
        </w:rPr>
        <w:t>2</w:t>
      </w:r>
      <w:r w:rsidRPr="00194E8E">
        <w:rPr>
          <w:rFonts w:asciiTheme="minorHAnsi" w:hAnsiTheme="minorHAnsi"/>
        </w:rPr>
        <w:t xml:space="preserve"> r.</w:t>
      </w:r>
    </w:p>
    <w:p w:rsidR="00DD0730" w:rsidRPr="00194E8E" w:rsidRDefault="00DD0730" w:rsidP="002C2D40">
      <w:pPr>
        <w:spacing w:before="120"/>
        <w:ind w:left="-180"/>
        <w:rPr>
          <w:rFonts w:asciiTheme="minorHAnsi" w:hAnsiTheme="minorHAnsi"/>
        </w:rPr>
      </w:pPr>
    </w:p>
    <w:p w:rsidR="00DD0730" w:rsidRPr="00194E8E" w:rsidRDefault="00DD0730" w:rsidP="002C2D40">
      <w:pPr>
        <w:spacing w:before="120"/>
        <w:ind w:left="-180"/>
        <w:rPr>
          <w:rFonts w:asciiTheme="minorHAnsi" w:hAnsiTheme="minorHAnsi"/>
        </w:rPr>
      </w:pPr>
    </w:p>
    <w:p w:rsidR="00DD0730" w:rsidRPr="00194E8E" w:rsidRDefault="00DD0730" w:rsidP="002C2D40">
      <w:pPr>
        <w:spacing w:before="120"/>
        <w:ind w:left="-180"/>
        <w:rPr>
          <w:rFonts w:asciiTheme="minorHAnsi" w:hAnsiTheme="minorHAnsi"/>
        </w:rPr>
      </w:pPr>
    </w:p>
    <w:p w:rsidR="00DD0730" w:rsidRPr="00194E8E" w:rsidRDefault="00DD0730" w:rsidP="002C2D40">
      <w:pPr>
        <w:spacing w:before="120"/>
        <w:ind w:left="-180"/>
        <w:rPr>
          <w:rFonts w:asciiTheme="minorHAnsi" w:hAnsiTheme="minorHAnsi"/>
        </w:rPr>
      </w:pPr>
    </w:p>
    <w:p w:rsidR="00DD0730" w:rsidRPr="00194E8E" w:rsidRDefault="00DD0730" w:rsidP="002C2D40">
      <w:pPr>
        <w:spacing w:before="120"/>
        <w:ind w:left="-180"/>
        <w:rPr>
          <w:rFonts w:asciiTheme="minorHAnsi" w:hAnsiTheme="minorHAnsi"/>
        </w:rPr>
      </w:pPr>
    </w:p>
    <w:p w:rsidR="00DD0730" w:rsidRPr="00194E8E" w:rsidRDefault="00DD0730" w:rsidP="002C2D40">
      <w:pPr>
        <w:spacing w:before="120"/>
        <w:ind w:left="-180"/>
        <w:rPr>
          <w:rFonts w:asciiTheme="minorHAnsi" w:hAnsiTheme="minorHAnsi"/>
        </w:rPr>
      </w:pPr>
    </w:p>
    <w:p w:rsidR="00DD0730" w:rsidRPr="00194E8E" w:rsidRDefault="00DD0730" w:rsidP="002C2D40">
      <w:pPr>
        <w:spacing w:before="120"/>
        <w:ind w:left="-180"/>
        <w:rPr>
          <w:rFonts w:asciiTheme="minorHAnsi" w:hAnsiTheme="minorHAnsi"/>
        </w:rPr>
      </w:pPr>
    </w:p>
    <w:p w:rsidR="00DD0730" w:rsidRPr="00194E8E" w:rsidRDefault="00DD0730" w:rsidP="002C2D40">
      <w:pPr>
        <w:spacing w:before="120"/>
        <w:ind w:left="-426" w:firstLine="852"/>
        <w:rPr>
          <w:rFonts w:asciiTheme="minorHAnsi" w:hAnsiTheme="minorHAnsi"/>
        </w:rPr>
      </w:pPr>
    </w:p>
    <w:p w:rsidR="00DD0730" w:rsidRPr="00194E8E" w:rsidRDefault="00DD0730" w:rsidP="002C2D40">
      <w:pPr>
        <w:spacing w:before="120"/>
        <w:jc w:val="center"/>
        <w:rPr>
          <w:rFonts w:asciiTheme="minorHAnsi" w:hAnsiTheme="minorHAnsi"/>
          <w:b/>
        </w:rPr>
      </w:pPr>
    </w:p>
    <w:p w:rsidR="003200F9" w:rsidRPr="00194E8E" w:rsidRDefault="003200F9" w:rsidP="002C2D40">
      <w:pPr>
        <w:spacing w:before="120"/>
        <w:jc w:val="center"/>
        <w:rPr>
          <w:rFonts w:asciiTheme="minorHAnsi" w:hAnsiTheme="minorHAnsi"/>
          <w:b/>
        </w:rPr>
      </w:pPr>
    </w:p>
    <w:p w:rsidR="003200F9" w:rsidRPr="00194E8E" w:rsidRDefault="003200F9" w:rsidP="002C2D40">
      <w:pPr>
        <w:spacing w:before="120"/>
        <w:jc w:val="center"/>
        <w:rPr>
          <w:rFonts w:asciiTheme="minorHAnsi" w:hAnsiTheme="minorHAnsi"/>
          <w:b/>
        </w:rPr>
      </w:pPr>
    </w:p>
    <w:p w:rsidR="00DD0730" w:rsidRPr="00194E8E" w:rsidRDefault="00DD0730" w:rsidP="002C2D40">
      <w:pPr>
        <w:spacing w:before="120"/>
        <w:jc w:val="center"/>
        <w:rPr>
          <w:rFonts w:asciiTheme="minorHAnsi" w:hAnsiTheme="minorHAnsi"/>
          <w:b/>
        </w:rPr>
      </w:pPr>
    </w:p>
    <w:p w:rsidR="00DD0730" w:rsidRPr="00194E8E" w:rsidRDefault="00DD0730" w:rsidP="002C2D40">
      <w:pPr>
        <w:spacing w:before="120"/>
        <w:jc w:val="center"/>
        <w:rPr>
          <w:rFonts w:asciiTheme="minorHAnsi" w:hAnsiTheme="minorHAnsi"/>
          <w:b/>
        </w:rPr>
      </w:pPr>
    </w:p>
    <w:p w:rsidR="00DD0730" w:rsidRPr="00194E8E" w:rsidRDefault="00DD0730" w:rsidP="002C2D40">
      <w:pPr>
        <w:spacing w:before="120"/>
        <w:jc w:val="center"/>
        <w:rPr>
          <w:rFonts w:asciiTheme="minorHAnsi" w:hAnsiTheme="minorHAnsi"/>
          <w:b/>
        </w:rPr>
      </w:pPr>
    </w:p>
    <w:p w:rsidR="00584F21" w:rsidRPr="00194E8E" w:rsidRDefault="00DD0730" w:rsidP="002C2D40">
      <w:pPr>
        <w:spacing w:before="120"/>
        <w:jc w:val="center"/>
        <w:rPr>
          <w:rFonts w:asciiTheme="minorHAnsi" w:hAnsiTheme="minorHAnsi"/>
          <w:b/>
          <w:sz w:val="48"/>
          <w:szCs w:val="48"/>
        </w:rPr>
      </w:pPr>
      <w:r w:rsidRPr="00194E8E">
        <w:rPr>
          <w:rFonts w:asciiTheme="minorHAnsi" w:hAnsiTheme="minorHAnsi"/>
          <w:b/>
          <w:sz w:val="48"/>
          <w:szCs w:val="48"/>
        </w:rPr>
        <w:t>Raport z wykonywania wyroków</w:t>
      </w:r>
    </w:p>
    <w:p w:rsidR="00DD0730" w:rsidRPr="00194E8E" w:rsidRDefault="00DD0730" w:rsidP="002C2D40">
      <w:pPr>
        <w:spacing w:before="120"/>
        <w:jc w:val="center"/>
        <w:rPr>
          <w:rFonts w:asciiTheme="minorHAnsi" w:hAnsiTheme="minorHAnsi"/>
          <w:b/>
          <w:sz w:val="48"/>
          <w:szCs w:val="48"/>
        </w:rPr>
      </w:pPr>
      <w:r w:rsidRPr="00194E8E">
        <w:rPr>
          <w:rFonts w:asciiTheme="minorHAnsi" w:hAnsiTheme="minorHAnsi"/>
          <w:b/>
          <w:sz w:val="48"/>
          <w:szCs w:val="48"/>
        </w:rPr>
        <w:t>Europejskiego Trybunału Praw Człowieka</w:t>
      </w:r>
    </w:p>
    <w:p w:rsidR="00DD0730" w:rsidRPr="00194E8E" w:rsidRDefault="00E66C4A" w:rsidP="002C2D40">
      <w:pPr>
        <w:spacing w:before="120"/>
        <w:jc w:val="center"/>
        <w:rPr>
          <w:rFonts w:asciiTheme="minorHAnsi" w:hAnsiTheme="minorHAnsi"/>
          <w:b/>
          <w:iCs/>
          <w:caps/>
          <w:sz w:val="48"/>
          <w:szCs w:val="48"/>
        </w:rPr>
      </w:pPr>
      <w:r w:rsidRPr="00194E8E">
        <w:rPr>
          <w:rFonts w:asciiTheme="minorHAnsi" w:hAnsiTheme="minorHAnsi"/>
          <w:b/>
          <w:sz w:val="48"/>
          <w:szCs w:val="48"/>
        </w:rPr>
        <w:t>przez Polskę za 202</w:t>
      </w:r>
      <w:r w:rsidR="00B43681" w:rsidRPr="00194E8E">
        <w:rPr>
          <w:rFonts w:asciiTheme="minorHAnsi" w:hAnsiTheme="minorHAnsi"/>
          <w:b/>
          <w:sz w:val="48"/>
          <w:szCs w:val="48"/>
        </w:rPr>
        <w:t>1</w:t>
      </w:r>
      <w:r w:rsidR="00DD0730" w:rsidRPr="00194E8E">
        <w:rPr>
          <w:rFonts w:asciiTheme="minorHAnsi" w:hAnsiTheme="minorHAnsi"/>
          <w:b/>
          <w:sz w:val="48"/>
          <w:szCs w:val="48"/>
        </w:rPr>
        <w:t xml:space="preserve"> r.</w:t>
      </w:r>
    </w:p>
    <w:p w:rsidR="00DD0730" w:rsidRPr="00194E8E" w:rsidRDefault="00DD0730" w:rsidP="002C2D40">
      <w:pPr>
        <w:spacing w:before="120"/>
        <w:jc w:val="center"/>
        <w:rPr>
          <w:rFonts w:asciiTheme="minorHAnsi" w:hAnsiTheme="minorHAnsi"/>
          <w:b/>
        </w:rPr>
      </w:pPr>
    </w:p>
    <w:p w:rsidR="00DD0730" w:rsidRPr="00194E8E" w:rsidRDefault="00DD0730" w:rsidP="002C2D40">
      <w:pPr>
        <w:spacing w:before="120"/>
        <w:jc w:val="both"/>
        <w:rPr>
          <w:rFonts w:asciiTheme="minorHAnsi" w:hAnsiTheme="minorHAnsi"/>
          <w:b/>
        </w:rPr>
      </w:pPr>
    </w:p>
    <w:p w:rsidR="000F3E2F" w:rsidRPr="00194E8E" w:rsidRDefault="000F3E2F" w:rsidP="002C2D40">
      <w:pPr>
        <w:spacing w:before="120"/>
        <w:rPr>
          <w:rFonts w:asciiTheme="minorHAnsi" w:hAnsiTheme="minorHAnsi"/>
          <w:b/>
        </w:rPr>
      </w:pPr>
    </w:p>
    <w:p w:rsidR="000F3E2F" w:rsidRPr="00194E8E" w:rsidRDefault="000F3E2F" w:rsidP="002C2D40">
      <w:pPr>
        <w:spacing w:before="120"/>
        <w:rPr>
          <w:rFonts w:asciiTheme="minorHAnsi" w:hAnsiTheme="minorHAnsi"/>
          <w:b/>
        </w:rPr>
      </w:pPr>
    </w:p>
    <w:p w:rsidR="000F3E2F" w:rsidRPr="00194E8E" w:rsidRDefault="000F3E2F" w:rsidP="002C2D40">
      <w:pPr>
        <w:spacing w:before="120"/>
        <w:rPr>
          <w:rFonts w:asciiTheme="minorHAnsi" w:hAnsiTheme="minorHAnsi"/>
          <w:b/>
        </w:rPr>
      </w:pPr>
    </w:p>
    <w:p w:rsidR="000F3E2F" w:rsidRPr="00194E8E" w:rsidRDefault="000F3E2F" w:rsidP="002C2D40">
      <w:pPr>
        <w:spacing w:before="120"/>
        <w:rPr>
          <w:rFonts w:asciiTheme="minorHAnsi" w:hAnsiTheme="minorHAnsi"/>
          <w:b/>
        </w:rPr>
      </w:pPr>
    </w:p>
    <w:p w:rsidR="000F3E2F" w:rsidRPr="00194E8E" w:rsidRDefault="000F3E2F" w:rsidP="002C2D40">
      <w:pPr>
        <w:spacing w:before="120"/>
        <w:rPr>
          <w:rFonts w:asciiTheme="minorHAnsi" w:hAnsiTheme="minorHAnsi"/>
          <w:b/>
        </w:rPr>
      </w:pPr>
    </w:p>
    <w:p w:rsidR="000F3E2F" w:rsidRPr="00194E8E" w:rsidRDefault="000F3E2F" w:rsidP="002C2D40">
      <w:pPr>
        <w:spacing w:before="120"/>
        <w:rPr>
          <w:rFonts w:asciiTheme="minorHAnsi" w:hAnsiTheme="minorHAnsi"/>
          <w:b/>
        </w:rPr>
      </w:pPr>
    </w:p>
    <w:p w:rsidR="00DD0730" w:rsidRPr="00194E8E" w:rsidRDefault="00DD0730" w:rsidP="002C2D40">
      <w:pPr>
        <w:spacing w:before="120"/>
        <w:rPr>
          <w:rFonts w:asciiTheme="minorHAnsi" w:hAnsiTheme="minorHAnsi"/>
          <w:b/>
        </w:rPr>
      </w:pPr>
      <w:r w:rsidRPr="00194E8E">
        <w:rPr>
          <w:rFonts w:asciiTheme="minorHAnsi" w:hAnsiTheme="minorHAnsi"/>
          <w:b/>
        </w:rPr>
        <w:br w:type="page"/>
      </w:r>
    </w:p>
    <w:p w:rsidR="00DD0730" w:rsidRDefault="00DD0730" w:rsidP="00D33407">
      <w:pPr>
        <w:tabs>
          <w:tab w:val="left" w:pos="6237"/>
        </w:tabs>
        <w:spacing w:before="120" w:after="120"/>
        <w:jc w:val="center"/>
        <w:rPr>
          <w:rFonts w:asciiTheme="minorHAnsi" w:hAnsiTheme="minorHAnsi"/>
          <w:b/>
        </w:rPr>
      </w:pPr>
      <w:r w:rsidRPr="00194E8E">
        <w:rPr>
          <w:rFonts w:asciiTheme="minorHAnsi" w:hAnsiTheme="minorHAnsi"/>
          <w:b/>
        </w:rPr>
        <w:lastRenderedPageBreak/>
        <w:t>SPIS TREŚCI</w:t>
      </w:r>
    </w:p>
    <w:p w:rsidR="00D33407" w:rsidRPr="00194E8E" w:rsidRDefault="00D33407" w:rsidP="00D33407">
      <w:pPr>
        <w:tabs>
          <w:tab w:val="left" w:pos="6237"/>
        </w:tabs>
        <w:spacing w:before="120" w:after="120"/>
        <w:jc w:val="center"/>
        <w:rPr>
          <w:rFonts w:asciiTheme="minorHAnsi" w:hAnsiTheme="minorHAnsi"/>
          <w:b/>
        </w:rPr>
      </w:pPr>
    </w:p>
    <w:p w:rsidR="00FF5333" w:rsidRPr="00FF5333" w:rsidRDefault="00DD0730" w:rsidP="00FF5333">
      <w:pPr>
        <w:pStyle w:val="Spistreci1"/>
        <w:spacing w:before="0" w:after="120"/>
        <w:rPr>
          <w:rFonts w:asciiTheme="minorHAnsi" w:eastAsiaTheme="minorEastAsia" w:hAnsiTheme="minorHAnsi" w:cstheme="minorBidi"/>
          <w:b w:val="0"/>
          <w:sz w:val="22"/>
          <w:szCs w:val="22"/>
        </w:rPr>
      </w:pPr>
      <w:r w:rsidRPr="00FF5333">
        <w:rPr>
          <w:rFonts w:asciiTheme="minorHAnsi" w:hAnsiTheme="minorHAnsi"/>
          <w:b w:val="0"/>
          <w:noProof w:val="0"/>
          <w:sz w:val="22"/>
          <w:szCs w:val="22"/>
        </w:rPr>
        <w:fldChar w:fldCharType="begin"/>
      </w:r>
      <w:r w:rsidRPr="00FF5333">
        <w:rPr>
          <w:rFonts w:asciiTheme="minorHAnsi" w:hAnsiTheme="minorHAnsi"/>
          <w:b w:val="0"/>
          <w:noProof w:val="0"/>
          <w:sz w:val="22"/>
          <w:szCs w:val="22"/>
        </w:rPr>
        <w:instrText xml:space="preserve"> TOC \o "1-1" \h \z \u </w:instrText>
      </w:r>
      <w:r w:rsidRPr="00FF5333">
        <w:rPr>
          <w:rFonts w:asciiTheme="minorHAnsi" w:hAnsiTheme="minorHAnsi"/>
          <w:b w:val="0"/>
          <w:noProof w:val="0"/>
          <w:sz w:val="22"/>
          <w:szCs w:val="22"/>
        </w:rPr>
        <w:fldChar w:fldCharType="separate"/>
      </w:r>
      <w:hyperlink w:anchor="_Toc112058299" w:history="1">
        <w:r w:rsidR="00FF5333" w:rsidRPr="00FF5333">
          <w:rPr>
            <w:rStyle w:val="Hipercze"/>
            <w:rFonts w:asciiTheme="minorHAnsi" w:hAnsiTheme="minorHAnsi"/>
            <w:b w:val="0"/>
            <w:sz w:val="22"/>
            <w:szCs w:val="22"/>
          </w:rPr>
          <w:t>I.</w:t>
        </w:r>
        <w:r w:rsidR="00FF5333" w:rsidRPr="00FF5333">
          <w:rPr>
            <w:rFonts w:asciiTheme="minorHAnsi" w:eastAsiaTheme="minorEastAsia" w:hAnsiTheme="minorHAnsi" w:cstheme="minorBidi"/>
            <w:b w:val="0"/>
            <w:sz w:val="22"/>
            <w:szCs w:val="22"/>
          </w:rPr>
          <w:tab/>
        </w:r>
        <w:r w:rsidR="00FF5333" w:rsidRPr="00FF5333">
          <w:rPr>
            <w:rStyle w:val="Hipercze"/>
            <w:rFonts w:asciiTheme="minorHAnsi" w:hAnsiTheme="minorHAnsi"/>
            <w:b w:val="0"/>
            <w:sz w:val="22"/>
            <w:szCs w:val="22"/>
          </w:rPr>
          <w:t>Wstęp i informacje ogólne</w:t>
        </w:r>
        <w:r w:rsidR="00FF5333" w:rsidRPr="00FF5333">
          <w:rPr>
            <w:rFonts w:asciiTheme="minorHAnsi" w:hAnsiTheme="minorHAnsi"/>
            <w:b w:val="0"/>
            <w:webHidden/>
            <w:sz w:val="22"/>
            <w:szCs w:val="22"/>
          </w:rPr>
          <w:tab/>
        </w:r>
        <w:r w:rsidR="00FF5333" w:rsidRPr="00FF5333">
          <w:rPr>
            <w:rFonts w:asciiTheme="minorHAnsi" w:hAnsiTheme="minorHAnsi"/>
            <w:b w:val="0"/>
            <w:webHidden/>
            <w:sz w:val="22"/>
            <w:szCs w:val="22"/>
          </w:rPr>
          <w:fldChar w:fldCharType="begin"/>
        </w:r>
        <w:r w:rsidR="00FF5333" w:rsidRPr="00FF5333">
          <w:rPr>
            <w:rFonts w:asciiTheme="minorHAnsi" w:hAnsiTheme="minorHAnsi"/>
            <w:b w:val="0"/>
            <w:webHidden/>
            <w:sz w:val="22"/>
            <w:szCs w:val="22"/>
          </w:rPr>
          <w:instrText xml:space="preserve"> PAGEREF _Toc112058299 \h </w:instrText>
        </w:r>
        <w:r w:rsidR="00FF5333" w:rsidRPr="00FF5333">
          <w:rPr>
            <w:rFonts w:asciiTheme="minorHAnsi" w:hAnsiTheme="minorHAnsi"/>
            <w:b w:val="0"/>
            <w:webHidden/>
            <w:sz w:val="22"/>
            <w:szCs w:val="22"/>
          </w:rPr>
        </w:r>
        <w:r w:rsidR="00FF5333" w:rsidRPr="00FF5333">
          <w:rPr>
            <w:rFonts w:asciiTheme="minorHAnsi" w:hAnsiTheme="minorHAnsi"/>
            <w:b w:val="0"/>
            <w:webHidden/>
            <w:sz w:val="22"/>
            <w:szCs w:val="22"/>
          </w:rPr>
          <w:fldChar w:fldCharType="separate"/>
        </w:r>
        <w:r w:rsidR="00104CA0">
          <w:rPr>
            <w:rFonts w:asciiTheme="minorHAnsi" w:hAnsiTheme="minorHAnsi"/>
            <w:b w:val="0"/>
            <w:webHidden/>
            <w:sz w:val="22"/>
            <w:szCs w:val="22"/>
          </w:rPr>
          <w:t>3</w:t>
        </w:r>
        <w:r w:rsidR="00FF5333" w:rsidRPr="00FF5333">
          <w:rPr>
            <w:rFonts w:asciiTheme="minorHAnsi" w:hAnsiTheme="minorHAnsi"/>
            <w:b w:val="0"/>
            <w:webHidden/>
            <w:sz w:val="22"/>
            <w:szCs w:val="22"/>
          </w:rPr>
          <w:fldChar w:fldCharType="end"/>
        </w:r>
      </w:hyperlink>
    </w:p>
    <w:p w:rsidR="00FF5333" w:rsidRPr="00FF5333" w:rsidRDefault="006764BC" w:rsidP="00FF5333">
      <w:pPr>
        <w:pStyle w:val="Spistreci1"/>
        <w:spacing w:before="0" w:after="120"/>
        <w:rPr>
          <w:rFonts w:asciiTheme="minorHAnsi" w:eastAsiaTheme="minorEastAsia" w:hAnsiTheme="minorHAnsi" w:cstheme="minorBidi"/>
          <w:b w:val="0"/>
          <w:sz w:val="22"/>
          <w:szCs w:val="22"/>
        </w:rPr>
      </w:pPr>
      <w:hyperlink w:anchor="_Toc112058300" w:history="1">
        <w:r w:rsidR="00FF5333" w:rsidRPr="00FF5333">
          <w:rPr>
            <w:rStyle w:val="Hipercze"/>
            <w:rFonts w:asciiTheme="minorHAnsi" w:hAnsiTheme="minorHAnsi"/>
            <w:b w:val="0"/>
            <w:sz w:val="22"/>
            <w:szCs w:val="22"/>
          </w:rPr>
          <w:t>II.</w:t>
        </w:r>
        <w:r w:rsidR="00FF5333" w:rsidRPr="00FF5333">
          <w:rPr>
            <w:rFonts w:asciiTheme="minorHAnsi" w:eastAsiaTheme="minorEastAsia" w:hAnsiTheme="minorHAnsi" w:cstheme="minorBidi"/>
            <w:b w:val="0"/>
            <w:sz w:val="22"/>
            <w:szCs w:val="22"/>
          </w:rPr>
          <w:tab/>
        </w:r>
        <w:r w:rsidR="00FF5333" w:rsidRPr="00FF5333">
          <w:rPr>
            <w:rStyle w:val="Hipercze"/>
            <w:rFonts w:asciiTheme="minorHAnsi" w:hAnsiTheme="minorHAnsi"/>
            <w:b w:val="0"/>
            <w:sz w:val="22"/>
            <w:szCs w:val="22"/>
          </w:rPr>
          <w:t>Informacje na temat planów działań i raportów z wykonania wyroków Europejskiego Trybunału Praw Człowieka, przygotowanych i przekazanych do Rady Europy w 2021 r.</w:t>
        </w:r>
        <w:r w:rsidR="00FF5333" w:rsidRPr="00FF5333">
          <w:rPr>
            <w:rFonts w:asciiTheme="minorHAnsi" w:hAnsiTheme="minorHAnsi"/>
            <w:b w:val="0"/>
            <w:webHidden/>
            <w:sz w:val="22"/>
            <w:szCs w:val="22"/>
          </w:rPr>
          <w:tab/>
        </w:r>
        <w:r w:rsidR="00FF5333" w:rsidRPr="00FF5333">
          <w:rPr>
            <w:rFonts w:asciiTheme="minorHAnsi" w:hAnsiTheme="minorHAnsi"/>
            <w:b w:val="0"/>
            <w:webHidden/>
            <w:sz w:val="22"/>
            <w:szCs w:val="22"/>
          </w:rPr>
          <w:fldChar w:fldCharType="begin"/>
        </w:r>
        <w:r w:rsidR="00FF5333" w:rsidRPr="00FF5333">
          <w:rPr>
            <w:rFonts w:asciiTheme="minorHAnsi" w:hAnsiTheme="minorHAnsi"/>
            <w:b w:val="0"/>
            <w:webHidden/>
            <w:sz w:val="22"/>
            <w:szCs w:val="22"/>
          </w:rPr>
          <w:instrText xml:space="preserve"> PAGEREF _Toc112058300 \h </w:instrText>
        </w:r>
        <w:r w:rsidR="00FF5333" w:rsidRPr="00FF5333">
          <w:rPr>
            <w:rFonts w:asciiTheme="minorHAnsi" w:hAnsiTheme="minorHAnsi"/>
            <w:b w:val="0"/>
            <w:webHidden/>
            <w:sz w:val="22"/>
            <w:szCs w:val="22"/>
          </w:rPr>
        </w:r>
        <w:r w:rsidR="00FF5333" w:rsidRPr="00FF5333">
          <w:rPr>
            <w:rFonts w:asciiTheme="minorHAnsi" w:hAnsiTheme="minorHAnsi"/>
            <w:b w:val="0"/>
            <w:webHidden/>
            <w:sz w:val="22"/>
            <w:szCs w:val="22"/>
          </w:rPr>
          <w:fldChar w:fldCharType="separate"/>
        </w:r>
        <w:r w:rsidR="00104CA0">
          <w:rPr>
            <w:rFonts w:asciiTheme="minorHAnsi" w:hAnsiTheme="minorHAnsi"/>
            <w:b w:val="0"/>
            <w:webHidden/>
            <w:sz w:val="22"/>
            <w:szCs w:val="22"/>
          </w:rPr>
          <w:t>5</w:t>
        </w:r>
        <w:r w:rsidR="00FF5333" w:rsidRPr="00FF5333">
          <w:rPr>
            <w:rFonts w:asciiTheme="minorHAnsi" w:hAnsiTheme="minorHAnsi"/>
            <w:b w:val="0"/>
            <w:webHidden/>
            <w:sz w:val="22"/>
            <w:szCs w:val="22"/>
          </w:rPr>
          <w:fldChar w:fldCharType="end"/>
        </w:r>
      </w:hyperlink>
    </w:p>
    <w:p w:rsidR="00FF5333" w:rsidRPr="00FF5333" w:rsidRDefault="006764BC" w:rsidP="00FF5333">
      <w:pPr>
        <w:pStyle w:val="Spistreci1"/>
        <w:spacing w:before="0" w:after="120"/>
        <w:rPr>
          <w:rFonts w:asciiTheme="minorHAnsi" w:eastAsiaTheme="minorEastAsia" w:hAnsiTheme="minorHAnsi" w:cstheme="minorBidi"/>
          <w:b w:val="0"/>
          <w:sz w:val="22"/>
          <w:szCs w:val="22"/>
        </w:rPr>
      </w:pPr>
      <w:hyperlink w:anchor="_Toc112058301" w:history="1">
        <w:r w:rsidR="00FF5333" w:rsidRPr="00FF5333">
          <w:rPr>
            <w:rStyle w:val="Hipercze"/>
            <w:rFonts w:asciiTheme="minorHAnsi" w:hAnsiTheme="minorHAnsi"/>
            <w:b w:val="0"/>
            <w:sz w:val="22"/>
            <w:szCs w:val="22"/>
          </w:rPr>
          <w:t>III.</w:t>
        </w:r>
        <w:r w:rsidR="00FF5333" w:rsidRPr="00FF5333">
          <w:rPr>
            <w:rFonts w:asciiTheme="minorHAnsi" w:eastAsiaTheme="minorEastAsia" w:hAnsiTheme="minorHAnsi" w:cstheme="minorBidi"/>
            <w:b w:val="0"/>
            <w:sz w:val="22"/>
            <w:szCs w:val="22"/>
          </w:rPr>
          <w:tab/>
        </w:r>
        <w:r w:rsidR="00FF5333" w:rsidRPr="00FF5333">
          <w:rPr>
            <w:rStyle w:val="Hipercze"/>
            <w:rFonts w:asciiTheme="minorHAnsi" w:hAnsiTheme="minorHAnsi"/>
            <w:b w:val="0"/>
            <w:sz w:val="22"/>
            <w:szCs w:val="22"/>
          </w:rPr>
          <w:t>Informacje na temat zakończenia przez Komitet Ministrów nadzoru nad wykonywaniem wybranych wyroków w sprawach polskich</w:t>
        </w:r>
        <w:r w:rsidR="00FF5333" w:rsidRPr="00FF5333">
          <w:rPr>
            <w:rFonts w:asciiTheme="minorHAnsi" w:hAnsiTheme="minorHAnsi"/>
            <w:b w:val="0"/>
            <w:webHidden/>
            <w:sz w:val="22"/>
            <w:szCs w:val="22"/>
          </w:rPr>
          <w:tab/>
        </w:r>
        <w:r w:rsidR="00FF5333" w:rsidRPr="00FF5333">
          <w:rPr>
            <w:rFonts w:asciiTheme="minorHAnsi" w:hAnsiTheme="minorHAnsi"/>
            <w:b w:val="0"/>
            <w:webHidden/>
            <w:sz w:val="22"/>
            <w:szCs w:val="22"/>
          </w:rPr>
          <w:fldChar w:fldCharType="begin"/>
        </w:r>
        <w:r w:rsidR="00FF5333" w:rsidRPr="00FF5333">
          <w:rPr>
            <w:rFonts w:asciiTheme="minorHAnsi" w:hAnsiTheme="minorHAnsi"/>
            <w:b w:val="0"/>
            <w:webHidden/>
            <w:sz w:val="22"/>
            <w:szCs w:val="22"/>
          </w:rPr>
          <w:instrText xml:space="preserve"> PAGEREF _Toc112058301 \h </w:instrText>
        </w:r>
        <w:r w:rsidR="00FF5333" w:rsidRPr="00FF5333">
          <w:rPr>
            <w:rFonts w:asciiTheme="minorHAnsi" w:hAnsiTheme="minorHAnsi"/>
            <w:b w:val="0"/>
            <w:webHidden/>
            <w:sz w:val="22"/>
            <w:szCs w:val="22"/>
          </w:rPr>
        </w:r>
        <w:r w:rsidR="00FF5333" w:rsidRPr="00FF5333">
          <w:rPr>
            <w:rFonts w:asciiTheme="minorHAnsi" w:hAnsiTheme="minorHAnsi"/>
            <w:b w:val="0"/>
            <w:webHidden/>
            <w:sz w:val="22"/>
            <w:szCs w:val="22"/>
          </w:rPr>
          <w:fldChar w:fldCharType="separate"/>
        </w:r>
        <w:r w:rsidR="00104CA0">
          <w:rPr>
            <w:rFonts w:asciiTheme="minorHAnsi" w:hAnsiTheme="minorHAnsi"/>
            <w:b w:val="0"/>
            <w:webHidden/>
            <w:sz w:val="22"/>
            <w:szCs w:val="22"/>
          </w:rPr>
          <w:t>10</w:t>
        </w:r>
        <w:r w:rsidR="00FF5333" w:rsidRPr="00FF5333">
          <w:rPr>
            <w:rFonts w:asciiTheme="minorHAnsi" w:hAnsiTheme="minorHAnsi"/>
            <w:b w:val="0"/>
            <w:webHidden/>
            <w:sz w:val="22"/>
            <w:szCs w:val="22"/>
          </w:rPr>
          <w:fldChar w:fldCharType="end"/>
        </w:r>
      </w:hyperlink>
    </w:p>
    <w:p w:rsidR="00FF5333" w:rsidRPr="00FF5333" w:rsidRDefault="006764BC" w:rsidP="00FF5333">
      <w:pPr>
        <w:pStyle w:val="Spistreci1"/>
        <w:spacing w:before="0" w:after="120"/>
        <w:rPr>
          <w:rFonts w:asciiTheme="minorHAnsi" w:eastAsiaTheme="minorEastAsia" w:hAnsiTheme="minorHAnsi" w:cstheme="minorBidi"/>
          <w:b w:val="0"/>
          <w:sz w:val="22"/>
          <w:szCs w:val="22"/>
        </w:rPr>
      </w:pPr>
      <w:hyperlink w:anchor="_Toc112058302" w:history="1">
        <w:r w:rsidR="00FF5333" w:rsidRPr="00FF5333">
          <w:rPr>
            <w:rStyle w:val="Hipercze"/>
            <w:rFonts w:asciiTheme="minorHAnsi" w:hAnsiTheme="minorHAnsi"/>
            <w:b w:val="0"/>
            <w:sz w:val="22"/>
            <w:szCs w:val="22"/>
          </w:rPr>
          <w:t>IV.</w:t>
        </w:r>
        <w:r w:rsidR="00FF5333" w:rsidRPr="00FF5333">
          <w:rPr>
            <w:rFonts w:asciiTheme="minorHAnsi" w:eastAsiaTheme="minorEastAsia" w:hAnsiTheme="minorHAnsi" w:cstheme="minorBidi"/>
            <w:b w:val="0"/>
            <w:sz w:val="22"/>
            <w:szCs w:val="22"/>
          </w:rPr>
          <w:tab/>
        </w:r>
        <w:r w:rsidR="00FF5333" w:rsidRPr="00FF5333">
          <w:rPr>
            <w:rStyle w:val="Hipercze"/>
            <w:rFonts w:asciiTheme="minorHAnsi" w:hAnsiTheme="minorHAnsi"/>
            <w:b w:val="0"/>
            <w:sz w:val="22"/>
            <w:szCs w:val="22"/>
          </w:rPr>
          <w:t>Decyzje Komitetu Ministrów wydane w 2021 r. w sprawie realizacji niektórych wyroków ETPC w sprawach polskich</w:t>
        </w:r>
        <w:r w:rsidR="00FF5333" w:rsidRPr="00FF5333">
          <w:rPr>
            <w:rFonts w:asciiTheme="minorHAnsi" w:hAnsiTheme="minorHAnsi"/>
            <w:b w:val="0"/>
            <w:webHidden/>
            <w:sz w:val="22"/>
            <w:szCs w:val="22"/>
          </w:rPr>
          <w:tab/>
        </w:r>
        <w:r w:rsidR="00FF5333" w:rsidRPr="00FF5333">
          <w:rPr>
            <w:rFonts w:asciiTheme="minorHAnsi" w:hAnsiTheme="minorHAnsi"/>
            <w:b w:val="0"/>
            <w:webHidden/>
            <w:sz w:val="22"/>
            <w:szCs w:val="22"/>
          </w:rPr>
          <w:fldChar w:fldCharType="begin"/>
        </w:r>
        <w:r w:rsidR="00FF5333" w:rsidRPr="00FF5333">
          <w:rPr>
            <w:rFonts w:asciiTheme="minorHAnsi" w:hAnsiTheme="minorHAnsi"/>
            <w:b w:val="0"/>
            <w:webHidden/>
            <w:sz w:val="22"/>
            <w:szCs w:val="22"/>
          </w:rPr>
          <w:instrText xml:space="preserve"> PAGEREF _Toc112058302 \h </w:instrText>
        </w:r>
        <w:r w:rsidR="00FF5333" w:rsidRPr="00FF5333">
          <w:rPr>
            <w:rFonts w:asciiTheme="minorHAnsi" w:hAnsiTheme="minorHAnsi"/>
            <w:b w:val="0"/>
            <w:webHidden/>
            <w:sz w:val="22"/>
            <w:szCs w:val="22"/>
          </w:rPr>
        </w:r>
        <w:r w:rsidR="00FF5333" w:rsidRPr="00FF5333">
          <w:rPr>
            <w:rFonts w:asciiTheme="minorHAnsi" w:hAnsiTheme="minorHAnsi"/>
            <w:b w:val="0"/>
            <w:webHidden/>
            <w:sz w:val="22"/>
            <w:szCs w:val="22"/>
          </w:rPr>
          <w:fldChar w:fldCharType="separate"/>
        </w:r>
        <w:r w:rsidR="00104CA0">
          <w:rPr>
            <w:rFonts w:asciiTheme="minorHAnsi" w:hAnsiTheme="minorHAnsi"/>
            <w:b w:val="0"/>
            <w:webHidden/>
            <w:sz w:val="22"/>
            <w:szCs w:val="22"/>
          </w:rPr>
          <w:t>11</w:t>
        </w:r>
        <w:r w:rsidR="00FF5333" w:rsidRPr="00FF5333">
          <w:rPr>
            <w:rFonts w:asciiTheme="minorHAnsi" w:hAnsiTheme="minorHAnsi"/>
            <w:b w:val="0"/>
            <w:webHidden/>
            <w:sz w:val="22"/>
            <w:szCs w:val="22"/>
          </w:rPr>
          <w:fldChar w:fldCharType="end"/>
        </w:r>
      </w:hyperlink>
    </w:p>
    <w:p w:rsidR="00FF5333" w:rsidRPr="00FF5333" w:rsidRDefault="006764BC" w:rsidP="00FF5333">
      <w:pPr>
        <w:pStyle w:val="Spistreci1"/>
        <w:spacing w:before="0" w:after="120"/>
        <w:rPr>
          <w:rFonts w:asciiTheme="minorHAnsi" w:eastAsiaTheme="minorEastAsia" w:hAnsiTheme="minorHAnsi" w:cstheme="minorBidi"/>
          <w:b w:val="0"/>
          <w:sz w:val="22"/>
          <w:szCs w:val="22"/>
        </w:rPr>
      </w:pPr>
      <w:hyperlink w:anchor="_Toc112058303" w:history="1">
        <w:r w:rsidR="00FF5333" w:rsidRPr="00FF5333">
          <w:rPr>
            <w:rStyle w:val="Hipercze"/>
            <w:rFonts w:asciiTheme="minorHAnsi" w:hAnsiTheme="minorHAnsi"/>
            <w:b w:val="0"/>
            <w:sz w:val="22"/>
            <w:szCs w:val="22"/>
          </w:rPr>
          <w:t>V.</w:t>
        </w:r>
        <w:r w:rsidR="00FF5333" w:rsidRPr="00FF5333">
          <w:rPr>
            <w:rFonts w:asciiTheme="minorHAnsi" w:eastAsiaTheme="minorEastAsia" w:hAnsiTheme="minorHAnsi" w:cstheme="minorBidi"/>
            <w:b w:val="0"/>
            <w:sz w:val="22"/>
            <w:szCs w:val="22"/>
          </w:rPr>
          <w:tab/>
        </w:r>
        <w:r w:rsidR="00FF5333" w:rsidRPr="00FF5333">
          <w:rPr>
            <w:rStyle w:val="Hipercze"/>
            <w:rFonts w:asciiTheme="minorHAnsi" w:hAnsiTheme="minorHAnsi"/>
            <w:b w:val="0"/>
            <w:sz w:val="22"/>
            <w:szCs w:val="22"/>
          </w:rPr>
          <w:t>Informacja na temat komunikacji wniesionych do Komitetu Ministrów RE przez uprawnione podmioty oraz udzielonych w związku z tymi komunikacjami odpowiedziami Rządu</w:t>
        </w:r>
        <w:r w:rsidR="00FF5333" w:rsidRPr="00FF5333">
          <w:rPr>
            <w:rFonts w:asciiTheme="minorHAnsi" w:hAnsiTheme="minorHAnsi"/>
            <w:b w:val="0"/>
            <w:webHidden/>
            <w:sz w:val="22"/>
            <w:szCs w:val="22"/>
          </w:rPr>
          <w:tab/>
        </w:r>
        <w:r w:rsidR="00FF5333" w:rsidRPr="00FF5333">
          <w:rPr>
            <w:rFonts w:asciiTheme="minorHAnsi" w:hAnsiTheme="minorHAnsi"/>
            <w:b w:val="0"/>
            <w:webHidden/>
            <w:sz w:val="22"/>
            <w:szCs w:val="22"/>
          </w:rPr>
          <w:fldChar w:fldCharType="begin"/>
        </w:r>
        <w:r w:rsidR="00FF5333" w:rsidRPr="00FF5333">
          <w:rPr>
            <w:rFonts w:asciiTheme="minorHAnsi" w:hAnsiTheme="minorHAnsi"/>
            <w:b w:val="0"/>
            <w:webHidden/>
            <w:sz w:val="22"/>
            <w:szCs w:val="22"/>
          </w:rPr>
          <w:instrText xml:space="preserve"> PAGEREF _Toc112058303 \h </w:instrText>
        </w:r>
        <w:r w:rsidR="00FF5333" w:rsidRPr="00FF5333">
          <w:rPr>
            <w:rFonts w:asciiTheme="minorHAnsi" w:hAnsiTheme="minorHAnsi"/>
            <w:b w:val="0"/>
            <w:webHidden/>
            <w:sz w:val="22"/>
            <w:szCs w:val="22"/>
          </w:rPr>
        </w:r>
        <w:r w:rsidR="00FF5333" w:rsidRPr="00FF5333">
          <w:rPr>
            <w:rFonts w:asciiTheme="minorHAnsi" w:hAnsiTheme="minorHAnsi"/>
            <w:b w:val="0"/>
            <w:webHidden/>
            <w:sz w:val="22"/>
            <w:szCs w:val="22"/>
          </w:rPr>
          <w:fldChar w:fldCharType="separate"/>
        </w:r>
        <w:r w:rsidR="00104CA0">
          <w:rPr>
            <w:rFonts w:asciiTheme="minorHAnsi" w:hAnsiTheme="minorHAnsi"/>
            <w:b w:val="0"/>
            <w:webHidden/>
            <w:sz w:val="22"/>
            <w:szCs w:val="22"/>
          </w:rPr>
          <w:t>18</w:t>
        </w:r>
        <w:r w:rsidR="00FF5333" w:rsidRPr="00FF5333">
          <w:rPr>
            <w:rFonts w:asciiTheme="minorHAnsi" w:hAnsiTheme="minorHAnsi"/>
            <w:b w:val="0"/>
            <w:webHidden/>
            <w:sz w:val="22"/>
            <w:szCs w:val="22"/>
          </w:rPr>
          <w:fldChar w:fldCharType="end"/>
        </w:r>
      </w:hyperlink>
    </w:p>
    <w:p w:rsidR="00FF5333" w:rsidRPr="00FF5333" w:rsidRDefault="006764BC" w:rsidP="00FF5333">
      <w:pPr>
        <w:pStyle w:val="Spistreci1"/>
        <w:spacing w:before="0" w:after="120"/>
        <w:rPr>
          <w:rFonts w:asciiTheme="minorHAnsi" w:eastAsiaTheme="minorEastAsia" w:hAnsiTheme="minorHAnsi" w:cstheme="minorBidi"/>
          <w:b w:val="0"/>
          <w:sz w:val="22"/>
          <w:szCs w:val="22"/>
        </w:rPr>
      </w:pPr>
      <w:hyperlink w:anchor="_Toc112058304" w:history="1">
        <w:r w:rsidR="00FF5333" w:rsidRPr="00FF5333">
          <w:rPr>
            <w:rStyle w:val="Hipercze"/>
            <w:rFonts w:asciiTheme="minorHAnsi" w:hAnsiTheme="minorHAnsi"/>
            <w:b w:val="0"/>
            <w:sz w:val="22"/>
            <w:szCs w:val="22"/>
          </w:rPr>
          <w:t>VI.</w:t>
        </w:r>
        <w:r w:rsidR="00FF5333" w:rsidRPr="00FF5333">
          <w:rPr>
            <w:rFonts w:asciiTheme="minorHAnsi" w:eastAsiaTheme="minorEastAsia" w:hAnsiTheme="minorHAnsi" w:cstheme="minorBidi"/>
            <w:b w:val="0"/>
            <w:sz w:val="22"/>
            <w:szCs w:val="22"/>
          </w:rPr>
          <w:tab/>
        </w:r>
        <w:r w:rsidR="00FF5333" w:rsidRPr="00FF5333">
          <w:rPr>
            <w:rStyle w:val="Hipercze"/>
            <w:rFonts w:asciiTheme="minorHAnsi" w:hAnsiTheme="minorHAnsi"/>
            <w:b w:val="0"/>
            <w:sz w:val="22"/>
            <w:szCs w:val="22"/>
          </w:rPr>
          <w:t>Działalność międzyresortowego Zespołu do spraw Europejskiego Trybunału Praw Człowieka w 2021 r.</w:t>
        </w:r>
        <w:r w:rsidR="00FF5333" w:rsidRPr="00FF5333">
          <w:rPr>
            <w:rFonts w:asciiTheme="minorHAnsi" w:hAnsiTheme="minorHAnsi"/>
            <w:b w:val="0"/>
            <w:webHidden/>
            <w:sz w:val="22"/>
            <w:szCs w:val="22"/>
          </w:rPr>
          <w:tab/>
        </w:r>
        <w:r w:rsidR="00FF5333" w:rsidRPr="00FF5333">
          <w:rPr>
            <w:rFonts w:asciiTheme="minorHAnsi" w:hAnsiTheme="minorHAnsi"/>
            <w:b w:val="0"/>
            <w:webHidden/>
            <w:sz w:val="22"/>
            <w:szCs w:val="22"/>
          </w:rPr>
          <w:fldChar w:fldCharType="begin"/>
        </w:r>
        <w:r w:rsidR="00FF5333" w:rsidRPr="00FF5333">
          <w:rPr>
            <w:rFonts w:asciiTheme="minorHAnsi" w:hAnsiTheme="minorHAnsi"/>
            <w:b w:val="0"/>
            <w:webHidden/>
            <w:sz w:val="22"/>
            <w:szCs w:val="22"/>
          </w:rPr>
          <w:instrText xml:space="preserve"> PAGEREF _Toc112058304 \h </w:instrText>
        </w:r>
        <w:r w:rsidR="00FF5333" w:rsidRPr="00FF5333">
          <w:rPr>
            <w:rFonts w:asciiTheme="minorHAnsi" w:hAnsiTheme="minorHAnsi"/>
            <w:b w:val="0"/>
            <w:webHidden/>
            <w:sz w:val="22"/>
            <w:szCs w:val="22"/>
          </w:rPr>
        </w:r>
        <w:r w:rsidR="00FF5333" w:rsidRPr="00FF5333">
          <w:rPr>
            <w:rFonts w:asciiTheme="minorHAnsi" w:hAnsiTheme="minorHAnsi"/>
            <w:b w:val="0"/>
            <w:webHidden/>
            <w:sz w:val="22"/>
            <w:szCs w:val="22"/>
          </w:rPr>
          <w:fldChar w:fldCharType="separate"/>
        </w:r>
        <w:r w:rsidR="00104CA0">
          <w:rPr>
            <w:rFonts w:asciiTheme="minorHAnsi" w:hAnsiTheme="minorHAnsi"/>
            <w:b w:val="0"/>
            <w:webHidden/>
            <w:sz w:val="22"/>
            <w:szCs w:val="22"/>
          </w:rPr>
          <w:t>19</w:t>
        </w:r>
        <w:r w:rsidR="00FF5333" w:rsidRPr="00FF5333">
          <w:rPr>
            <w:rFonts w:asciiTheme="minorHAnsi" w:hAnsiTheme="minorHAnsi"/>
            <w:b w:val="0"/>
            <w:webHidden/>
            <w:sz w:val="22"/>
            <w:szCs w:val="22"/>
          </w:rPr>
          <w:fldChar w:fldCharType="end"/>
        </w:r>
      </w:hyperlink>
    </w:p>
    <w:p w:rsidR="00FF5333" w:rsidRPr="00FF5333" w:rsidRDefault="006764BC" w:rsidP="00FF5333">
      <w:pPr>
        <w:pStyle w:val="Spistreci1"/>
        <w:spacing w:before="0" w:after="120"/>
        <w:rPr>
          <w:rFonts w:asciiTheme="minorHAnsi" w:eastAsiaTheme="minorEastAsia" w:hAnsiTheme="minorHAnsi" w:cstheme="minorBidi"/>
          <w:b w:val="0"/>
          <w:sz w:val="22"/>
          <w:szCs w:val="22"/>
        </w:rPr>
      </w:pPr>
      <w:hyperlink w:anchor="_Toc112058305" w:history="1">
        <w:r w:rsidR="00FF5333" w:rsidRPr="00FF5333">
          <w:rPr>
            <w:rStyle w:val="Hipercze"/>
            <w:rFonts w:asciiTheme="minorHAnsi" w:hAnsiTheme="minorHAnsi"/>
            <w:b w:val="0"/>
            <w:sz w:val="22"/>
            <w:szCs w:val="22"/>
          </w:rPr>
          <w:t>VII.</w:t>
        </w:r>
        <w:r w:rsidR="00FF5333" w:rsidRPr="00FF5333">
          <w:rPr>
            <w:rFonts w:asciiTheme="minorHAnsi" w:eastAsiaTheme="minorEastAsia" w:hAnsiTheme="minorHAnsi" w:cstheme="minorBidi"/>
            <w:b w:val="0"/>
            <w:sz w:val="22"/>
            <w:szCs w:val="22"/>
          </w:rPr>
          <w:tab/>
        </w:r>
        <w:r w:rsidR="00FF5333" w:rsidRPr="00FF5333">
          <w:rPr>
            <w:rStyle w:val="Hipercze"/>
            <w:rFonts w:asciiTheme="minorHAnsi" w:hAnsiTheme="minorHAnsi"/>
            <w:b w:val="0"/>
            <w:sz w:val="22"/>
            <w:szCs w:val="22"/>
          </w:rPr>
          <w:t>Informacja na temat posiedzenia Komisji Praw Człowieka, Praworządności i Petycji Senatu RP</w:t>
        </w:r>
        <w:r w:rsidR="00FF5333" w:rsidRPr="00FF5333">
          <w:rPr>
            <w:rFonts w:asciiTheme="minorHAnsi" w:hAnsiTheme="minorHAnsi"/>
            <w:b w:val="0"/>
            <w:webHidden/>
            <w:sz w:val="22"/>
            <w:szCs w:val="22"/>
          </w:rPr>
          <w:tab/>
        </w:r>
        <w:r w:rsidR="00FF5333" w:rsidRPr="00FF5333">
          <w:rPr>
            <w:rFonts w:asciiTheme="minorHAnsi" w:hAnsiTheme="minorHAnsi"/>
            <w:b w:val="0"/>
            <w:webHidden/>
            <w:sz w:val="22"/>
            <w:szCs w:val="22"/>
          </w:rPr>
          <w:fldChar w:fldCharType="begin"/>
        </w:r>
        <w:r w:rsidR="00FF5333" w:rsidRPr="00FF5333">
          <w:rPr>
            <w:rFonts w:asciiTheme="minorHAnsi" w:hAnsiTheme="minorHAnsi"/>
            <w:b w:val="0"/>
            <w:webHidden/>
            <w:sz w:val="22"/>
            <w:szCs w:val="22"/>
          </w:rPr>
          <w:instrText xml:space="preserve"> PAGEREF _Toc112058305 \h </w:instrText>
        </w:r>
        <w:r w:rsidR="00FF5333" w:rsidRPr="00FF5333">
          <w:rPr>
            <w:rFonts w:asciiTheme="minorHAnsi" w:hAnsiTheme="minorHAnsi"/>
            <w:b w:val="0"/>
            <w:webHidden/>
            <w:sz w:val="22"/>
            <w:szCs w:val="22"/>
          </w:rPr>
        </w:r>
        <w:r w:rsidR="00FF5333" w:rsidRPr="00FF5333">
          <w:rPr>
            <w:rFonts w:asciiTheme="minorHAnsi" w:hAnsiTheme="minorHAnsi"/>
            <w:b w:val="0"/>
            <w:webHidden/>
            <w:sz w:val="22"/>
            <w:szCs w:val="22"/>
          </w:rPr>
          <w:fldChar w:fldCharType="separate"/>
        </w:r>
        <w:r w:rsidR="00104CA0">
          <w:rPr>
            <w:rFonts w:asciiTheme="minorHAnsi" w:hAnsiTheme="minorHAnsi"/>
            <w:b w:val="0"/>
            <w:webHidden/>
            <w:sz w:val="22"/>
            <w:szCs w:val="22"/>
          </w:rPr>
          <w:t>20</w:t>
        </w:r>
        <w:r w:rsidR="00FF5333" w:rsidRPr="00FF5333">
          <w:rPr>
            <w:rFonts w:asciiTheme="minorHAnsi" w:hAnsiTheme="minorHAnsi"/>
            <w:b w:val="0"/>
            <w:webHidden/>
            <w:sz w:val="22"/>
            <w:szCs w:val="22"/>
          </w:rPr>
          <w:fldChar w:fldCharType="end"/>
        </w:r>
      </w:hyperlink>
    </w:p>
    <w:p w:rsidR="00FF5333" w:rsidRPr="00FF5333" w:rsidRDefault="006764BC" w:rsidP="00FF5333">
      <w:pPr>
        <w:pStyle w:val="Spistreci1"/>
        <w:spacing w:before="0" w:after="120"/>
        <w:rPr>
          <w:rFonts w:asciiTheme="minorHAnsi" w:eastAsiaTheme="minorEastAsia" w:hAnsiTheme="minorHAnsi" w:cstheme="minorBidi"/>
          <w:b w:val="0"/>
          <w:sz w:val="22"/>
          <w:szCs w:val="22"/>
        </w:rPr>
      </w:pPr>
      <w:hyperlink w:anchor="_Toc112058306" w:history="1">
        <w:r w:rsidR="00FF5333" w:rsidRPr="00FF5333">
          <w:rPr>
            <w:rStyle w:val="Hipercze"/>
            <w:rFonts w:asciiTheme="minorHAnsi" w:hAnsiTheme="minorHAnsi"/>
            <w:b w:val="0"/>
            <w:sz w:val="22"/>
            <w:szCs w:val="22"/>
          </w:rPr>
          <w:t>VIII.</w:t>
        </w:r>
        <w:r w:rsidR="00FF5333" w:rsidRPr="00FF5333">
          <w:rPr>
            <w:rFonts w:asciiTheme="minorHAnsi" w:eastAsiaTheme="minorEastAsia" w:hAnsiTheme="minorHAnsi" w:cstheme="minorBidi"/>
            <w:b w:val="0"/>
            <w:sz w:val="22"/>
            <w:szCs w:val="22"/>
          </w:rPr>
          <w:tab/>
        </w:r>
        <w:r w:rsidR="00FF5333" w:rsidRPr="00FF5333">
          <w:rPr>
            <w:rStyle w:val="Hipercze"/>
            <w:rFonts w:asciiTheme="minorHAnsi" w:hAnsiTheme="minorHAnsi"/>
            <w:b w:val="0"/>
            <w:sz w:val="22"/>
            <w:szCs w:val="22"/>
          </w:rPr>
          <w:t>Informacja na temat działań Pełnomocnika mających na celu usprawnienie wykonywania wyroków ETPC przez Polskę i przestrzeganie Konwencji</w:t>
        </w:r>
        <w:r w:rsidR="00FF5333" w:rsidRPr="00FF5333">
          <w:rPr>
            <w:rFonts w:asciiTheme="minorHAnsi" w:hAnsiTheme="minorHAnsi"/>
            <w:b w:val="0"/>
            <w:webHidden/>
            <w:sz w:val="22"/>
            <w:szCs w:val="22"/>
          </w:rPr>
          <w:tab/>
        </w:r>
        <w:r w:rsidR="00FF5333" w:rsidRPr="00FF5333">
          <w:rPr>
            <w:rFonts w:asciiTheme="minorHAnsi" w:hAnsiTheme="minorHAnsi"/>
            <w:b w:val="0"/>
            <w:webHidden/>
            <w:sz w:val="22"/>
            <w:szCs w:val="22"/>
          </w:rPr>
          <w:fldChar w:fldCharType="begin"/>
        </w:r>
        <w:r w:rsidR="00FF5333" w:rsidRPr="00FF5333">
          <w:rPr>
            <w:rFonts w:asciiTheme="minorHAnsi" w:hAnsiTheme="minorHAnsi"/>
            <w:b w:val="0"/>
            <w:webHidden/>
            <w:sz w:val="22"/>
            <w:szCs w:val="22"/>
          </w:rPr>
          <w:instrText xml:space="preserve"> PAGEREF _Toc112058306 \h </w:instrText>
        </w:r>
        <w:r w:rsidR="00FF5333" w:rsidRPr="00FF5333">
          <w:rPr>
            <w:rFonts w:asciiTheme="minorHAnsi" w:hAnsiTheme="minorHAnsi"/>
            <w:b w:val="0"/>
            <w:webHidden/>
            <w:sz w:val="22"/>
            <w:szCs w:val="22"/>
          </w:rPr>
        </w:r>
        <w:r w:rsidR="00FF5333" w:rsidRPr="00FF5333">
          <w:rPr>
            <w:rFonts w:asciiTheme="minorHAnsi" w:hAnsiTheme="minorHAnsi"/>
            <w:b w:val="0"/>
            <w:webHidden/>
            <w:sz w:val="22"/>
            <w:szCs w:val="22"/>
          </w:rPr>
          <w:fldChar w:fldCharType="separate"/>
        </w:r>
        <w:r w:rsidR="00104CA0">
          <w:rPr>
            <w:rFonts w:asciiTheme="minorHAnsi" w:hAnsiTheme="minorHAnsi"/>
            <w:b w:val="0"/>
            <w:webHidden/>
            <w:sz w:val="22"/>
            <w:szCs w:val="22"/>
          </w:rPr>
          <w:t>20</w:t>
        </w:r>
        <w:r w:rsidR="00FF5333" w:rsidRPr="00FF5333">
          <w:rPr>
            <w:rFonts w:asciiTheme="minorHAnsi" w:hAnsiTheme="minorHAnsi"/>
            <w:b w:val="0"/>
            <w:webHidden/>
            <w:sz w:val="22"/>
            <w:szCs w:val="22"/>
          </w:rPr>
          <w:fldChar w:fldCharType="end"/>
        </w:r>
      </w:hyperlink>
    </w:p>
    <w:p w:rsidR="00FF5333" w:rsidRPr="00FF5333" w:rsidRDefault="006764BC" w:rsidP="00FF5333">
      <w:pPr>
        <w:pStyle w:val="Spistreci1"/>
        <w:spacing w:before="0" w:after="120"/>
        <w:rPr>
          <w:rFonts w:asciiTheme="minorHAnsi" w:eastAsiaTheme="minorEastAsia" w:hAnsiTheme="minorHAnsi" w:cstheme="minorBidi"/>
          <w:b w:val="0"/>
          <w:sz w:val="22"/>
          <w:szCs w:val="22"/>
        </w:rPr>
      </w:pPr>
      <w:hyperlink w:anchor="_Toc112058307" w:history="1">
        <w:r w:rsidR="00FF5333" w:rsidRPr="00FF5333">
          <w:rPr>
            <w:rStyle w:val="Hipercze"/>
            <w:rFonts w:asciiTheme="minorHAnsi" w:hAnsiTheme="minorHAnsi"/>
            <w:b w:val="0"/>
            <w:sz w:val="22"/>
            <w:szCs w:val="22"/>
          </w:rPr>
          <w:t>IX.</w:t>
        </w:r>
        <w:r w:rsidR="00FF5333" w:rsidRPr="00FF5333">
          <w:rPr>
            <w:rFonts w:asciiTheme="minorHAnsi" w:eastAsiaTheme="minorEastAsia" w:hAnsiTheme="minorHAnsi" w:cstheme="minorBidi"/>
            <w:b w:val="0"/>
            <w:sz w:val="22"/>
            <w:szCs w:val="22"/>
          </w:rPr>
          <w:tab/>
        </w:r>
        <w:r w:rsidR="00FF5333" w:rsidRPr="00FF5333">
          <w:rPr>
            <w:rStyle w:val="Hipercze"/>
            <w:rFonts w:asciiTheme="minorHAnsi" w:hAnsiTheme="minorHAnsi"/>
            <w:b w:val="0"/>
            <w:sz w:val="22"/>
            <w:szCs w:val="22"/>
          </w:rPr>
          <w:t>Sprawy dotyczące wyborów i wyznaczenia osób na stanowiska w Europejskim Trybunale Praw Człowieka i w Radzie Europy</w:t>
        </w:r>
        <w:r w:rsidR="00FF5333" w:rsidRPr="00FF5333">
          <w:rPr>
            <w:rFonts w:asciiTheme="minorHAnsi" w:hAnsiTheme="minorHAnsi"/>
            <w:b w:val="0"/>
            <w:webHidden/>
            <w:sz w:val="22"/>
            <w:szCs w:val="22"/>
          </w:rPr>
          <w:tab/>
        </w:r>
        <w:r w:rsidR="00FF5333" w:rsidRPr="00FF5333">
          <w:rPr>
            <w:rFonts w:asciiTheme="minorHAnsi" w:hAnsiTheme="minorHAnsi"/>
            <w:b w:val="0"/>
            <w:webHidden/>
            <w:sz w:val="22"/>
            <w:szCs w:val="22"/>
          </w:rPr>
          <w:fldChar w:fldCharType="begin"/>
        </w:r>
        <w:r w:rsidR="00FF5333" w:rsidRPr="00FF5333">
          <w:rPr>
            <w:rFonts w:asciiTheme="minorHAnsi" w:hAnsiTheme="minorHAnsi"/>
            <w:b w:val="0"/>
            <w:webHidden/>
            <w:sz w:val="22"/>
            <w:szCs w:val="22"/>
          </w:rPr>
          <w:instrText xml:space="preserve"> PAGEREF _Toc112058307 \h </w:instrText>
        </w:r>
        <w:r w:rsidR="00FF5333" w:rsidRPr="00FF5333">
          <w:rPr>
            <w:rFonts w:asciiTheme="minorHAnsi" w:hAnsiTheme="minorHAnsi"/>
            <w:b w:val="0"/>
            <w:webHidden/>
            <w:sz w:val="22"/>
            <w:szCs w:val="22"/>
          </w:rPr>
        </w:r>
        <w:r w:rsidR="00FF5333" w:rsidRPr="00FF5333">
          <w:rPr>
            <w:rFonts w:asciiTheme="minorHAnsi" w:hAnsiTheme="minorHAnsi"/>
            <w:b w:val="0"/>
            <w:webHidden/>
            <w:sz w:val="22"/>
            <w:szCs w:val="22"/>
          </w:rPr>
          <w:fldChar w:fldCharType="separate"/>
        </w:r>
        <w:r w:rsidR="00104CA0">
          <w:rPr>
            <w:rFonts w:asciiTheme="minorHAnsi" w:hAnsiTheme="minorHAnsi"/>
            <w:b w:val="0"/>
            <w:webHidden/>
            <w:sz w:val="22"/>
            <w:szCs w:val="22"/>
          </w:rPr>
          <w:t>22</w:t>
        </w:r>
        <w:r w:rsidR="00FF5333" w:rsidRPr="00FF5333">
          <w:rPr>
            <w:rFonts w:asciiTheme="minorHAnsi" w:hAnsiTheme="minorHAnsi"/>
            <w:b w:val="0"/>
            <w:webHidden/>
            <w:sz w:val="22"/>
            <w:szCs w:val="22"/>
          </w:rPr>
          <w:fldChar w:fldCharType="end"/>
        </w:r>
      </w:hyperlink>
    </w:p>
    <w:p w:rsidR="00FF5333" w:rsidRPr="00FF5333" w:rsidRDefault="006764BC" w:rsidP="00FF5333">
      <w:pPr>
        <w:pStyle w:val="Spistreci1"/>
        <w:spacing w:before="0" w:after="120"/>
        <w:rPr>
          <w:rFonts w:asciiTheme="minorHAnsi" w:eastAsiaTheme="minorEastAsia" w:hAnsiTheme="minorHAnsi" w:cstheme="minorBidi"/>
          <w:b w:val="0"/>
          <w:sz w:val="22"/>
          <w:szCs w:val="22"/>
        </w:rPr>
      </w:pPr>
      <w:hyperlink w:anchor="_Toc112058308" w:history="1">
        <w:r w:rsidR="00FF5333" w:rsidRPr="00FF5333">
          <w:rPr>
            <w:rStyle w:val="Hipercze"/>
            <w:rFonts w:asciiTheme="minorHAnsi" w:hAnsiTheme="minorHAnsi"/>
            <w:b w:val="0"/>
            <w:sz w:val="22"/>
            <w:szCs w:val="22"/>
          </w:rPr>
          <w:t>X.</w:t>
        </w:r>
        <w:r w:rsidR="00FF5333" w:rsidRPr="00FF5333">
          <w:rPr>
            <w:rFonts w:asciiTheme="minorHAnsi" w:eastAsiaTheme="minorEastAsia" w:hAnsiTheme="minorHAnsi" w:cstheme="minorBidi"/>
            <w:b w:val="0"/>
            <w:sz w:val="22"/>
            <w:szCs w:val="22"/>
          </w:rPr>
          <w:tab/>
        </w:r>
        <w:r w:rsidR="00FF5333" w:rsidRPr="00FF5333">
          <w:rPr>
            <w:rStyle w:val="Hipercze"/>
            <w:rFonts w:asciiTheme="minorHAnsi" w:hAnsiTheme="minorHAnsi"/>
            <w:b w:val="0"/>
            <w:sz w:val="22"/>
            <w:szCs w:val="22"/>
          </w:rPr>
          <w:t>Organizacja Seminarium Warszawskiego</w:t>
        </w:r>
        <w:r w:rsidR="00FF5333" w:rsidRPr="00FF5333">
          <w:rPr>
            <w:rFonts w:asciiTheme="minorHAnsi" w:hAnsiTheme="minorHAnsi"/>
            <w:b w:val="0"/>
            <w:webHidden/>
            <w:sz w:val="22"/>
            <w:szCs w:val="22"/>
          </w:rPr>
          <w:tab/>
        </w:r>
        <w:r w:rsidR="00FF5333" w:rsidRPr="00FF5333">
          <w:rPr>
            <w:rFonts w:asciiTheme="minorHAnsi" w:hAnsiTheme="minorHAnsi"/>
            <w:b w:val="0"/>
            <w:webHidden/>
            <w:sz w:val="22"/>
            <w:szCs w:val="22"/>
          </w:rPr>
          <w:fldChar w:fldCharType="begin"/>
        </w:r>
        <w:r w:rsidR="00FF5333" w:rsidRPr="00FF5333">
          <w:rPr>
            <w:rFonts w:asciiTheme="minorHAnsi" w:hAnsiTheme="minorHAnsi"/>
            <w:b w:val="0"/>
            <w:webHidden/>
            <w:sz w:val="22"/>
            <w:szCs w:val="22"/>
          </w:rPr>
          <w:instrText xml:space="preserve"> PAGEREF _Toc112058308 \h </w:instrText>
        </w:r>
        <w:r w:rsidR="00FF5333" w:rsidRPr="00FF5333">
          <w:rPr>
            <w:rFonts w:asciiTheme="minorHAnsi" w:hAnsiTheme="minorHAnsi"/>
            <w:b w:val="0"/>
            <w:webHidden/>
            <w:sz w:val="22"/>
            <w:szCs w:val="22"/>
          </w:rPr>
        </w:r>
        <w:r w:rsidR="00FF5333" w:rsidRPr="00FF5333">
          <w:rPr>
            <w:rFonts w:asciiTheme="minorHAnsi" w:hAnsiTheme="minorHAnsi"/>
            <w:b w:val="0"/>
            <w:webHidden/>
            <w:sz w:val="22"/>
            <w:szCs w:val="22"/>
          </w:rPr>
          <w:fldChar w:fldCharType="separate"/>
        </w:r>
        <w:r w:rsidR="00104CA0">
          <w:rPr>
            <w:rFonts w:asciiTheme="minorHAnsi" w:hAnsiTheme="minorHAnsi"/>
            <w:b w:val="0"/>
            <w:webHidden/>
            <w:sz w:val="22"/>
            <w:szCs w:val="22"/>
          </w:rPr>
          <w:t>27</w:t>
        </w:r>
        <w:r w:rsidR="00FF5333" w:rsidRPr="00FF5333">
          <w:rPr>
            <w:rFonts w:asciiTheme="minorHAnsi" w:hAnsiTheme="minorHAnsi"/>
            <w:b w:val="0"/>
            <w:webHidden/>
            <w:sz w:val="22"/>
            <w:szCs w:val="22"/>
          </w:rPr>
          <w:fldChar w:fldCharType="end"/>
        </w:r>
      </w:hyperlink>
    </w:p>
    <w:p w:rsidR="00FF5333" w:rsidRPr="00FF5333" w:rsidRDefault="006764BC" w:rsidP="00FF5333">
      <w:pPr>
        <w:pStyle w:val="Spistreci1"/>
        <w:spacing w:before="0" w:after="120"/>
        <w:rPr>
          <w:rFonts w:asciiTheme="minorHAnsi" w:eastAsiaTheme="minorEastAsia" w:hAnsiTheme="minorHAnsi" w:cstheme="minorBidi"/>
          <w:b w:val="0"/>
          <w:sz w:val="22"/>
          <w:szCs w:val="22"/>
        </w:rPr>
      </w:pPr>
      <w:hyperlink w:anchor="_Toc112058309" w:history="1">
        <w:r w:rsidR="00FF5333" w:rsidRPr="00FF5333">
          <w:rPr>
            <w:rStyle w:val="Hipercze"/>
            <w:rFonts w:asciiTheme="minorHAnsi" w:hAnsiTheme="minorHAnsi"/>
            <w:b w:val="0"/>
            <w:sz w:val="22"/>
            <w:szCs w:val="22"/>
          </w:rPr>
          <w:t>XI.</w:t>
        </w:r>
        <w:r w:rsidR="00FF5333" w:rsidRPr="00FF5333">
          <w:rPr>
            <w:rFonts w:asciiTheme="minorHAnsi" w:eastAsiaTheme="minorEastAsia" w:hAnsiTheme="minorHAnsi" w:cstheme="minorBidi"/>
            <w:b w:val="0"/>
            <w:sz w:val="22"/>
            <w:szCs w:val="22"/>
          </w:rPr>
          <w:tab/>
        </w:r>
        <w:r w:rsidR="00FF5333" w:rsidRPr="00FF5333">
          <w:rPr>
            <w:rStyle w:val="Hipercze"/>
            <w:rFonts w:asciiTheme="minorHAnsi" w:hAnsiTheme="minorHAnsi"/>
            <w:b w:val="0"/>
            <w:sz w:val="22"/>
            <w:szCs w:val="22"/>
          </w:rPr>
          <w:t>Działalność Pełnomocnika w odniesieniu do procesu reformy ETPC i systemu Konwencji oraz w pracach komitetów i grup roboczych Rady Europy z zakresu praw człowieka</w:t>
        </w:r>
        <w:r w:rsidR="00FF5333" w:rsidRPr="00FF5333">
          <w:rPr>
            <w:rFonts w:asciiTheme="minorHAnsi" w:hAnsiTheme="minorHAnsi"/>
            <w:b w:val="0"/>
            <w:webHidden/>
            <w:sz w:val="22"/>
            <w:szCs w:val="22"/>
          </w:rPr>
          <w:tab/>
        </w:r>
        <w:r w:rsidR="00FF5333" w:rsidRPr="00FF5333">
          <w:rPr>
            <w:rFonts w:asciiTheme="minorHAnsi" w:hAnsiTheme="minorHAnsi"/>
            <w:b w:val="0"/>
            <w:webHidden/>
            <w:sz w:val="22"/>
            <w:szCs w:val="22"/>
          </w:rPr>
          <w:fldChar w:fldCharType="begin"/>
        </w:r>
        <w:r w:rsidR="00FF5333" w:rsidRPr="00FF5333">
          <w:rPr>
            <w:rFonts w:asciiTheme="minorHAnsi" w:hAnsiTheme="minorHAnsi"/>
            <w:b w:val="0"/>
            <w:webHidden/>
            <w:sz w:val="22"/>
            <w:szCs w:val="22"/>
          </w:rPr>
          <w:instrText xml:space="preserve"> PAGEREF _Toc112058309 \h </w:instrText>
        </w:r>
        <w:r w:rsidR="00FF5333" w:rsidRPr="00FF5333">
          <w:rPr>
            <w:rFonts w:asciiTheme="minorHAnsi" w:hAnsiTheme="minorHAnsi"/>
            <w:b w:val="0"/>
            <w:webHidden/>
            <w:sz w:val="22"/>
            <w:szCs w:val="22"/>
          </w:rPr>
        </w:r>
        <w:r w:rsidR="00FF5333" w:rsidRPr="00FF5333">
          <w:rPr>
            <w:rFonts w:asciiTheme="minorHAnsi" w:hAnsiTheme="minorHAnsi"/>
            <w:b w:val="0"/>
            <w:webHidden/>
            <w:sz w:val="22"/>
            <w:szCs w:val="22"/>
          </w:rPr>
          <w:fldChar w:fldCharType="separate"/>
        </w:r>
        <w:r w:rsidR="00104CA0">
          <w:rPr>
            <w:rFonts w:asciiTheme="minorHAnsi" w:hAnsiTheme="minorHAnsi"/>
            <w:b w:val="0"/>
            <w:webHidden/>
            <w:sz w:val="22"/>
            <w:szCs w:val="22"/>
          </w:rPr>
          <w:t>27</w:t>
        </w:r>
        <w:r w:rsidR="00FF5333" w:rsidRPr="00FF5333">
          <w:rPr>
            <w:rFonts w:asciiTheme="minorHAnsi" w:hAnsiTheme="minorHAnsi"/>
            <w:b w:val="0"/>
            <w:webHidden/>
            <w:sz w:val="22"/>
            <w:szCs w:val="22"/>
          </w:rPr>
          <w:fldChar w:fldCharType="end"/>
        </w:r>
      </w:hyperlink>
    </w:p>
    <w:p w:rsidR="00FF5333" w:rsidRPr="00FF5333" w:rsidRDefault="006764BC" w:rsidP="00FF5333">
      <w:pPr>
        <w:pStyle w:val="Spistreci1"/>
        <w:spacing w:before="0" w:after="120"/>
        <w:rPr>
          <w:rFonts w:asciiTheme="minorHAnsi" w:eastAsiaTheme="minorEastAsia" w:hAnsiTheme="minorHAnsi" w:cstheme="minorBidi"/>
          <w:b w:val="0"/>
          <w:sz w:val="22"/>
          <w:szCs w:val="22"/>
        </w:rPr>
      </w:pPr>
      <w:hyperlink w:anchor="_Toc112058310" w:history="1">
        <w:r w:rsidR="00FF5333" w:rsidRPr="00FF5333">
          <w:rPr>
            <w:rStyle w:val="Hipercze"/>
            <w:rFonts w:asciiTheme="minorHAnsi" w:hAnsiTheme="minorHAnsi"/>
            <w:b w:val="0"/>
            <w:sz w:val="22"/>
            <w:szCs w:val="22"/>
          </w:rPr>
          <w:t>XII.</w:t>
        </w:r>
        <w:r w:rsidR="00FF5333" w:rsidRPr="00FF5333">
          <w:rPr>
            <w:rFonts w:asciiTheme="minorHAnsi" w:eastAsiaTheme="minorEastAsia" w:hAnsiTheme="minorHAnsi" w:cstheme="minorBidi"/>
            <w:b w:val="0"/>
            <w:sz w:val="22"/>
            <w:szCs w:val="22"/>
          </w:rPr>
          <w:tab/>
        </w:r>
        <w:r w:rsidR="00FF5333" w:rsidRPr="00FF5333">
          <w:rPr>
            <w:rStyle w:val="Hipercze"/>
            <w:rFonts w:asciiTheme="minorHAnsi" w:hAnsiTheme="minorHAnsi"/>
            <w:b w:val="0"/>
            <w:sz w:val="22"/>
            <w:szCs w:val="22"/>
          </w:rPr>
          <w:t>Informacje statystyczne</w:t>
        </w:r>
        <w:r w:rsidR="00FF5333" w:rsidRPr="00FF5333">
          <w:rPr>
            <w:rFonts w:asciiTheme="minorHAnsi" w:hAnsiTheme="minorHAnsi"/>
            <w:b w:val="0"/>
            <w:webHidden/>
            <w:sz w:val="22"/>
            <w:szCs w:val="22"/>
          </w:rPr>
          <w:tab/>
        </w:r>
        <w:r w:rsidR="00FF5333" w:rsidRPr="00FF5333">
          <w:rPr>
            <w:rFonts w:asciiTheme="minorHAnsi" w:hAnsiTheme="minorHAnsi"/>
            <w:b w:val="0"/>
            <w:webHidden/>
            <w:sz w:val="22"/>
            <w:szCs w:val="22"/>
          </w:rPr>
          <w:fldChar w:fldCharType="begin"/>
        </w:r>
        <w:r w:rsidR="00FF5333" w:rsidRPr="00FF5333">
          <w:rPr>
            <w:rFonts w:asciiTheme="minorHAnsi" w:hAnsiTheme="minorHAnsi"/>
            <w:b w:val="0"/>
            <w:webHidden/>
            <w:sz w:val="22"/>
            <w:szCs w:val="22"/>
          </w:rPr>
          <w:instrText xml:space="preserve"> PAGEREF _Toc112058310 \h </w:instrText>
        </w:r>
        <w:r w:rsidR="00FF5333" w:rsidRPr="00FF5333">
          <w:rPr>
            <w:rFonts w:asciiTheme="minorHAnsi" w:hAnsiTheme="minorHAnsi"/>
            <w:b w:val="0"/>
            <w:webHidden/>
            <w:sz w:val="22"/>
            <w:szCs w:val="22"/>
          </w:rPr>
        </w:r>
        <w:r w:rsidR="00FF5333" w:rsidRPr="00FF5333">
          <w:rPr>
            <w:rFonts w:asciiTheme="minorHAnsi" w:hAnsiTheme="minorHAnsi"/>
            <w:b w:val="0"/>
            <w:webHidden/>
            <w:sz w:val="22"/>
            <w:szCs w:val="22"/>
          </w:rPr>
          <w:fldChar w:fldCharType="separate"/>
        </w:r>
        <w:r w:rsidR="00104CA0">
          <w:rPr>
            <w:rFonts w:asciiTheme="minorHAnsi" w:hAnsiTheme="minorHAnsi"/>
            <w:b w:val="0"/>
            <w:webHidden/>
            <w:sz w:val="22"/>
            <w:szCs w:val="22"/>
          </w:rPr>
          <w:t>30</w:t>
        </w:r>
        <w:r w:rsidR="00FF5333" w:rsidRPr="00FF5333">
          <w:rPr>
            <w:rFonts w:asciiTheme="minorHAnsi" w:hAnsiTheme="minorHAnsi"/>
            <w:b w:val="0"/>
            <w:webHidden/>
            <w:sz w:val="22"/>
            <w:szCs w:val="22"/>
          </w:rPr>
          <w:fldChar w:fldCharType="end"/>
        </w:r>
      </w:hyperlink>
    </w:p>
    <w:p w:rsidR="00FF5333" w:rsidRPr="00FF5333" w:rsidRDefault="006764BC" w:rsidP="00FF5333">
      <w:pPr>
        <w:pStyle w:val="Spistreci1"/>
        <w:spacing w:before="0" w:after="120"/>
        <w:rPr>
          <w:rFonts w:asciiTheme="minorHAnsi" w:eastAsiaTheme="minorEastAsia" w:hAnsiTheme="minorHAnsi" w:cstheme="minorBidi"/>
          <w:b w:val="0"/>
          <w:sz w:val="22"/>
          <w:szCs w:val="22"/>
        </w:rPr>
      </w:pPr>
      <w:hyperlink w:anchor="_Toc112058311" w:history="1">
        <w:r w:rsidR="00FF5333" w:rsidRPr="00FF5333">
          <w:rPr>
            <w:rStyle w:val="Hipercze"/>
            <w:rFonts w:asciiTheme="minorHAnsi" w:hAnsiTheme="minorHAnsi"/>
            <w:b w:val="0"/>
            <w:sz w:val="22"/>
            <w:szCs w:val="22"/>
          </w:rPr>
          <w:t>XIII.</w:t>
        </w:r>
        <w:r w:rsidR="00FF5333" w:rsidRPr="00FF5333">
          <w:rPr>
            <w:rFonts w:asciiTheme="minorHAnsi" w:eastAsiaTheme="minorEastAsia" w:hAnsiTheme="minorHAnsi" w:cstheme="minorBidi"/>
            <w:b w:val="0"/>
            <w:sz w:val="22"/>
            <w:szCs w:val="22"/>
          </w:rPr>
          <w:tab/>
        </w:r>
        <w:r w:rsidR="00FF5333" w:rsidRPr="00FF5333">
          <w:rPr>
            <w:rStyle w:val="Hipercze"/>
            <w:rFonts w:asciiTheme="minorHAnsi" w:hAnsiTheme="minorHAnsi"/>
            <w:b w:val="0"/>
            <w:sz w:val="22"/>
            <w:szCs w:val="22"/>
          </w:rPr>
          <w:t>Podsumowanie</w:t>
        </w:r>
        <w:r w:rsidR="00FF5333" w:rsidRPr="00FF5333">
          <w:rPr>
            <w:rFonts w:asciiTheme="minorHAnsi" w:hAnsiTheme="minorHAnsi"/>
            <w:b w:val="0"/>
            <w:webHidden/>
            <w:sz w:val="22"/>
            <w:szCs w:val="22"/>
          </w:rPr>
          <w:tab/>
        </w:r>
        <w:r w:rsidR="00FF5333" w:rsidRPr="00FF5333">
          <w:rPr>
            <w:rFonts w:asciiTheme="minorHAnsi" w:hAnsiTheme="minorHAnsi"/>
            <w:b w:val="0"/>
            <w:webHidden/>
            <w:sz w:val="22"/>
            <w:szCs w:val="22"/>
          </w:rPr>
          <w:fldChar w:fldCharType="begin"/>
        </w:r>
        <w:r w:rsidR="00FF5333" w:rsidRPr="00FF5333">
          <w:rPr>
            <w:rFonts w:asciiTheme="minorHAnsi" w:hAnsiTheme="minorHAnsi"/>
            <w:b w:val="0"/>
            <w:webHidden/>
            <w:sz w:val="22"/>
            <w:szCs w:val="22"/>
          </w:rPr>
          <w:instrText xml:space="preserve"> PAGEREF _Toc112058311 \h </w:instrText>
        </w:r>
        <w:r w:rsidR="00FF5333" w:rsidRPr="00FF5333">
          <w:rPr>
            <w:rFonts w:asciiTheme="minorHAnsi" w:hAnsiTheme="minorHAnsi"/>
            <w:b w:val="0"/>
            <w:webHidden/>
            <w:sz w:val="22"/>
            <w:szCs w:val="22"/>
          </w:rPr>
        </w:r>
        <w:r w:rsidR="00FF5333" w:rsidRPr="00FF5333">
          <w:rPr>
            <w:rFonts w:asciiTheme="minorHAnsi" w:hAnsiTheme="minorHAnsi"/>
            <w:b w:val="0"/>
            <w:webHidden/>
            <w:sz w:val="22"/>
            <w:szCs w:val="22"/>
          </w:rPr>
          <w:fldChar w:fldCharType="separate"/>
        </w:r>
        <w:r w:rsidR="00104CA0">
          <w:rPr>
            <w:rFonts w:asciiTheme="minorHAnsi" w:hAnsiTheme="minorHAnsi"/>
            <w:b w:val="0"/>
            <w:webHidden/>
            <w:sz w:val="22"/>
            <w:szCs w:val="22"/>
          </w:rPr>
          <w:t>49</w:t>
        </w:r>
        <w:r w:rsidR="00FF5333" w:rsidRPr="00FF5333">
          <w:rPr>
            <w:rFonts w:asciiTheme="minorHAnsi" w:hAnsiTheme="minorHAnsi"/>
            <w:b w:val="0"/>
            <w:webHidden/>
            <w:sz w:val="22"/>
            <w:szCs w:val="22"/>
          </w:rPr>
          <w:fldChar w:fldCharType="end"/>
        </w:r>
      </w:hyperlink>
    </w:p>
    <w:p w:rsidR="00FF5333" w:rsidRPr="00FF5333" w:rsidRDefault="006764BC" w:rsidP="00FF5333">
      <w:pPr>
        <w:pStyle w:val="Spistreci1"/>
        <w:spacing w:before="0" w:after="120"/>
        <w:rPr>
          <w:rFonts w:asciiTheme="minorHAnsi" w:eastAsiaTheme="minorEastAsia" w:hAnsiTheme="minorHAnsi" w:cstheme="minorBidi"/>
          <w:b w:val="0"/>
          <w:sz w:val="22"/>
          <w:szCs w:val="22"/>
        </w:rPr>
      </w:pPr>
      <w:hyperlink w:anchor="_Toc112058312" w:history="1">
        <w:r w:rsidR="00FF5333" w:rsidRPr="00FF5333">
          <w:rPr>
            <w:rStyle w:val="Hipercze"/>
            <w:rFonts w:asciiTheme="minorHAnsi" w:hAnsiTheme="minorHAnsi"/>
            <w:b w:val="0"/>
            <w:sz w:val="22"/>
            <w:szCs w:val="22"/>
          </w:rPr>
          <w:t>WYKAZ SKRÓTÓW</w:t>
        </w:r>
        <w:r w:rsidR="00FF5333" w:rsidRPr="00FF5333">
          <w:rPr>
            <w:rFonts w:asciiTheme="minorHAnsi" w:hAnsiTheme="minorHAnsi"/>
            <w:b w:val="0"/>
            <w:webHidden/>
            <w:sz w:val="22"/>
            <w:szCs w:val="22"/>
          </w:rPr>
          <w:tab/>
        </w:r>
        <w:r w:rsidR="00FF5333" w:rsidRPr="00FF5333">
          <w:rPr>
            <w:rFonts w:asciiTheme="minorHAnsi" w:hAnsiTheme="minorHAnsi"/>
            <w:b w:val="0"/>
            <w:webHidden/>
            <w:sz w:val="22"/>
            <w:szCs w:val="22"/>
          </w:rPr>
          <w:fldChar w:fldCharType="begin"/>
        </w:r>
        <w:r w:rsidR="00FF5333" w:rsidRPr="00FF5333">
          <w:rPr>
            <w:rFonts w:asciiTheme="minorHAnsi" w:hAnsiTheme="minorHAnsi"/>
            <w:b w:val="0"/>
            <w:webHidden/>
            <w:sz w:val="22"/>
            <w:szCs w:val="22"/>
          </w:rPr>
          <w:instrText xml:space="preserve"> PAGEREF _Toc112058312 \h </w:instrText>
        </w:r>
        <w:r w:rsidR="00FF5333" w:rsidRPr="00FF5333">
          <w:rPr>
            <w:rFonts w:asciiTheme="minorHAnsi" w:hAnsiTheme="minorHAnsi"/>
            <w:b w:val="0"/>
            <w:webHidden/>
            <w:sz w:val="22"/>
            <w:szCs w:val="22"/>
          </w:rPr>
        </w:r>
        <w:r w:rsidR="00FF5333" w:rsidRPr="00FF5333">
          <w:rPr>
            <w:rFonts w:asciiTheme="minorHAnsi" w:hAnsiTheme="minorHAnsi"/>
            <w:b w:val="0"/>
            <w:webHidden/>
            <w:sz w:val="22"/>
            <w:szCs w:val="22"/>
          </w:rPr>
          <w:fldChar w:fldCharType="separate"/>
        </w:r>
        <w:r w:rsidR="00104CA0">
          <w:rPr>
            <w:rFonts w:asciiTheme="minorHAnsi" w:hAnsiTheme="minorHAnsi"/>
            <w:b w:val="0"/>
            <w:webHidden/>
            <w:sz w:val="22"/>
            <w:szCs w:val="22"/>
          </w:rPr>
          <w:t>51</w:t>
        </w:r>
        <w:r w:rsidR="00FF5333" w:rsidRPr="00FF5333">
          <w:rPr>
            <w:rFonts w:asciiTheme="minorHAnsi" w:hAnsiTheme="minorHAnsi"/>
            <w:b w:val="0"/>
            <w:webHidden/>
            <w:sz w:val="22"/>
            <w:szCs w:val="22"/>
          </w:rPr>
          <w:fldChar w:fldCharType="end"/>
        </w:r>
      </w:hyperlink>
    </w:p>
    <w:p w:rsidR="00FF5333" w:rsidRPr="00FF5333" w:rsidRDefault="006764BC" w:rsidP="00FF5333">
      <w:pPr>
        <w:pStyle w:val="Spistreci1"/>
        <w:spacing w:before="0" w:after="120"/>
        <w:rPr>
          <w:rFonts w:asciiTheme="minorHAnsi" w:eastAsiaTheme="minorEastAsia" w:hAnsiTheme="minorHAnsi" w:cstheme="minorBidi"/>
          <w:b w:val="0"/>
          <w:sz w:val="22"/>
          <w:szCs w:val="22"/>
        </w:rPr>
      </w:pPr>
      <w:hyperlink w:anchor="_Toc112058313" w:history="1">
        <w:r w:rsidR="00FF5333" w:rsidRPr="00FF5333">
          <w:rPr>
            <w:rStyle w:val="Hipercze"/>
            <w:rFonts w:asciiTheme="minorHAnsi" w:hAnsiTheme="minorHAnsi"/>
            <w:b w:val="0"/>
            <w:sz w:val="22"/>
            <w:szCs w:val="22"/>
          </w:rPr>
          <w:t>WYKAZ ZAŁĄCZNIKÓW</w:t>
        </w:r>
        <w:r w:rsidR="00FF5333" w:rsidRPr="00FF5333">
          <w:rPr>
            <w:rFonts w:asciiTheme="minorHAnsi" w:hAnsiTheme="minorHAnsi"/>
            <w:b w:val="0"/>
            <w:webHidden/>
            <w:sz w:val="22"/>
            <w:szCs w:val="22"/>
          </w:rPr>
          <w:tab/>
        </w:r>
        <w:r w:rsidR="00FF5333" w:rsidRPr="00FF5333">
          <w:rPr>
            <w:rFonts w:asciiTheme="minorHAnsi" w:hAnsiTheme="minorHAnsi"/>
            <w:b w:val="0"/>
            <w:webHidden/>
            <w:sz w:val="22"/>
            <w:szCs w:val="22"/>
          </w:rPr>
          <w:fldChar w:fldCharType="begin"/>
        </w:r>
        <w:r w:rsidR="00FF5333" w:rsidRPr="00FF5333">
          <w:rPr>
            <w:rFonts w:asciiTheme="minorHAnsi" w:hAnsiTheme="minorHAnsi"/>
            <w:b w:val="0"/>
            <w:webHidden/>
            <w:sz w:val="22"/>
            <w:szCs w:val="22"/>
          </w:rPr>
          <w:instrText xml:space="preserve"> PAGEREF _Toc112058313 \h </w:instrText>
        </w:r>
        <w:r w:rsidR="00FF5333" w:rsidRPr="00FF5333">
          <w:rPr>
            <w:rFonts w:asciiTheme="minorHAnsi" w:hAnsiTheme="minorHAnsi"/>
            <w:b w:val="0"/>
            <w:webHidden/>
            <w:sz w:val="22"/>
            <w:szCs w:val="22"/>
          </w:rPr>
        </w:r>
        <w:r w:rsidR="00FF5333" w:rsidRPr="00FF5333">
          <w:rPr>
            <w:rFonts w:asciiTheme="minorHAnsi" w:hAnsiTheme="minorHAnsi"/>
            <w:b w:val="0"/>
            <w:webHidden/>
            <w:sz w:val="22"/>
            <w:szCs w:val="22"/>
          </w:rPr>
          <w:fldChar w:fldCharType="separate"/>
        </w:r>
        <w:r w:rsidR="00104CA0">
          <w:rPr>
            <w:rFonts w:asciiTheme="minorHAnsi" w:hAnsiTheme="minorHAnsi"/>
            <w:b w:val="0"/>
            <w:webHidden/>
            <w:sz w:val="22"/>
            <w:szCs w:val="22"/>
          </w:rPr>
          <w:t>51</w:t>
        </w:r>
        <w:r w:rsidR="00FF5333" w:rsidRPr="00FF5333">
          <w:rPr>
            <w:rFonts w:asciiTheme="minorHAnsi" w:hAnsiTheme="minorHAnsi"/>
            <w:b w:val="0"/>
            <w:webHidden/>
            <w:sz w:val="22"/>
            <w:szCs w:val="22"/>
          </w:rPr>
          <w:fldChar w:fldCharType="end"/>
        </w:r>
      </w:hyperlink>
    </w:p>
    <w:p w:rsidR="00DD0730" w:rsidRPr="00194E8E" w:rsidRDefault="00DD0730" w:rsidP="00FF5333">
      <w:pPr>
        <w:spacing w:after="120"/>
        <w:ind w:left="709"/>
        <w:jc w:val="both"/>
        <w:rPr>
          <w:rFonts w:asciiTheme="minorHAnsi" w:hAnsiTheme="minorHAnsi"/>
          <w:b/>
        </w:rPr>
      </w:pPr>
      <w:r w:rsidRPr="00FF5333">
        <w:rPr>
          <w:rFonts w:asciiTheme="minorHAnsi" w:hAnsiTheme="minorHAnsi"/>
          <w:sz w:val="22"/>
          <w:szCs w:val="22"/>
        </w:rPr>
        <w:fldChar w:fldCharType="end"/>
      </w:r>
    </w:p>
    <w:p w:rsidR="00DD0730" w:rsidRPr="00194E8E" w:rsidRDefault="00DD0730" w:rsidP="002C2D40">
      <w:pPr>
        <w:spacing w:before="120"/>
        <w:rPr>
          <w:rFonts w:asciiTheme="minorHAnsi" w:hAnsiTheme="minorHAnsi"/>
          <w:b/>
        </w:rPr>
      </w:pPr>
      <w:r w:rsidRPr="00194E8E">
        <w:rPr>
          <w:rFonts w:asciiTheme="minorHAnsi" w:hAnsiTheme="minorHAnsi"/>
          <w:b/>
        </w:rPr>
        <w:br w:type="page"/>
      </w:r>
    </w:p>
    <w:p w:rsidR="00DD0730" w:rsidRPr="00194E8E" w:rsidRDefault="00DD0730" w:rsidP="00194E8E">
      <w:pPr>
        <w:pStyle w:val="Nagwek1"/>
        <w:spacing w:before="120" w:after="120"/>
        <w:ind w:left="709" w:hanging="425"/>
        <w:rPr>
          <w:rFonts w:asciiTheme="minorHAnsi" w:hAnsiTheme="minorHAnsi"/>
          <w:lang w:val="pl-PL"/>
        </w:rPr>
      </w:pPr>
      <w:bookmarkStart w:id="1" w:name="_Toc112058299"/>
      <w:r w:rsidRPr="00194E8E">
        <w:rPr>
          <w:rFonts w:asciiTheme="minorHAnsi" w:hAnsiTheme="minorHAnsi"/>
          <w:lang w:val="pl-PL"/>
        </w:rPr>
        <w:lastRenderedPageBreak/>
        <w:t>Wstęp i informacje ogólne</w:t>
      </w:r>
      <w:bookmarkEnd w:id="1"/>
    </w:p>
    <w:p w:rsidR="00DD0730" w:rsidRPr="00194E8E" w:rsidRDefault="00DD0730" w:rsidP="0035339C">
      <w:pPr>
        <w:pStyle w:val="Akapitzlist"/>
        <w:spacing w:before="120" w:after="120" w:line="240" w:lineRule="auto"/>
        <w:ind w:left="0"/>
        <w:jc w:val="both"/>
        <w:rPr>
          <w:rFonts w:asciiTheme="minorHAnsi" w:hAnsiTheme="minorHAnsi"/>
          <w:sz w:val="24"/>
          <w:szCs w:val="24"/>
          <w:lang w:val="pl-PL"/>
        </w:rPr>
      </w:pPr>
      <w:r w:rsidRPr="00194E8E">
        <w:rPr>
          <w:rFonts w:asciiTheme="minorHAnsi" w:hAnsiTheme="minorHAnsi"/>
          <w:sz w:val="24"/>
          <w:szCs w:val="24"/>
          <w:lang w:val="pl-PL"/>
        </w:rPr>
        <w:t>Niniejszy Raport został sporządzony przez Pełnomocnika Ministra Spraw Zagranicznych do spraw Postępowań przed Europejskim Trybunałem Praw Człowieka (dalej</w:t>
      </w:r>
      <w:r w:rsidR="000D57B1" w:rsidRPr="00194E8E">
        <w:rPr>
          <w:rFonts w:asciiTheme="minorHAnsi" w:hAnsiTheme="minorHAnsi"/>
          <w:sz w:val="24"/>
          <w:szCs w:val="24"/>
          <w:lang w:val="pl-PL"/>
        </w:rPr>
        <w:t>:</w:t>
      </w:r>
      <w:r w:rsidRPr="00194E8E">
        <w:rPr>
          <w:rFonts w:asciiTheme="minorHAnsi" w:hAnsiTheme="minorHAnsi"/>
          <w:sz w:val="24"/>
          <w:szCs w:val="24"/>
          <w:lang w:val="pl-PL"/>
        </w:rPr>
        <w:t xml:space="preserve"> </w:t>
      </w:r>
      <w:r w:rsidR="00194E8E">
        <w:rPr>
          <w:rFonts w:asciiTheme="minorHAnsi" w:hAnsiTheme="minorHAnsi"/>
          <w:sz w:val="24"/>
          <w:szCs w:val="24"/>
          <w:lang w:val="pl-PL"/>
        </w:rPr>
        <w:t>„</w:t>
      </w:r>
      <w:r w:rsidRPr="00194E8E">
        <w:rPr>
          <w:rFonts w:asciiTheme="minorHAnsi" w:hAnsiTheme="minorHAnsi"/>
          <w:sz w:val="24"/>
          <w:szCs w:val="24"/>
          <w:lang w:val="pl-PL"/>
        </w:rPr>
        <w:t>Pełnomocnik</w:t>
      </w:r>
      <w:r w:rsidR="00194E8E" w:rsidRPr="00194E8E">
        <w:rPr>
          <w:rFonts w:asciiTheme="minorHAnsi" w:hAnsiTheme="minorHAnsi"/>
          <w:sz w:val="24"/>
          <w:szCs w:val="24"/>
          <w:lang w:val="pl-PL"/>
        </w:rPr>
        <w:t>”</w:t>
      </w:r>
      <w:r w:rsidRPr="00194E8E">
        <w:rPr>
          <w:rFonts w:asciiTheme="minorHAnsi" w:hAnsiTheme="minorHAnsi"/>
          <w:sz w:val="24"/>
          <w:szCs w:val="24"/>
          <w:lang w:val="pl-PL"/>
        </w:rPr>
        <w:t>) na podstawie § 2 ust. 1 pkt 4 Zarządzenia nr 73 Prezesa Rady Ministrów z dnia 19 lipca 2007 r. w sprawie utworzenia Zespołu do spraw Europejskiego Trybunału Praw Człowieka</w:t>
      </w:r>
      <w:r w:rsidR="0035339C">
        <w:rPr>
          <w:rFonts w:asciiTheme="minorHAnsi" w:hAnsiTheme="minorHAnsi"/>
          <w:sz w:val="24"/>
          <w:szCs w:val="24"/>
          <w:lang w:val="pl-PL"/>
        </w:rPr>
        <w:t>,</w:t>
      </w:r>
      <w:r w:rsidRPr="00194E8E">
        <w:rPr>
          <w:rFonts w:asciiTheme="minorHAnsi" w:hAnsiTheme="minorHAnsi"/>
          <w:sz w:val="24"/>
          <w:szCs w:val="24"/>
          <w:lang w:val="pl-PL"/>
        </w:rPr>
        <w:t xml:space="preserve"> zmienionego Zarządzeniem nr 3 Prezesa Rady Ministrów z dnia 8 stycznia 2008 r., Zarządzeniem nr 20 Prezesa Rady M</w:t>
      </w:r>
      <w:r w:rsidR="000D57B1" w:rsidRPr="00194E8E">
        <w:rPr>
          <w:rFonts w:asciiTheme="minorHAnsi" w:hAnsiTheme="minorHAnsi"/>
          <w:sz w:val="24"/>
          <w:szCs w:val="24"/>
          <w:lang w:val="pl-PL"/>
        </w:rPr>
        <w:t>inistrów z dnia 8 marca 2013 r.,</w:t>
      </w:r>
      <w:r w:rsidRPr="00194E8E">
        <w:rPr>
          <w:rFonts w:asciiTheme="minorHAnsi" w:hAnsiTheme="minorHAnsi"/>
          <w:sz w:val="24"/>
          <w:szCs w:val="24"/>
          <w:lang w:val="pl-PL"/>
        </w:rPr>
        <w:t xml:space="preserve"> </w:t>
      </w:r>
      <w:r w:rsidR="000D57B1" w:rsidRPr="00194E8E">
        <w:rPr>
          <w:rFonts w:asciiTheme="minorHAnsi" w:hAnsiTheme="minorHAnsi"/>
          <w:sz w:val="24"/>
          <w:szCs w:val="24"/>
          <w:lang w:val="pl-PL"/>
        </w:rPr>
        <w:t>Zarządzeniem</w:t>
      </w:r>
      <w:r w:rsidRPr="00194E8E">
        <w:rPr>
          <w:rFonts w:asciiTheme="minorHAnsi" w:hAnsiTheme="minorHAnsi"/>
          <w:sz w:val="24"/>
          <w:szCs w:val="24"/>
          <w:lang w:val="pl-PL"/>
        </w:rPr>
        <w:t xml:space="preserve"> nr 6 Prezesa Rady Ministrów z dnia 23 stycznia 2015 r.</w:t>
      </w:r>
      <w:r w:rsidR="000D57B1" w:rsidRPr="00194E8E">
        <w:rPr>
          <w:rFonts w:asciiTheme="minorHAnsi" w:hAnsiTheme="minorHAnsi"/>
          <w:sz w:val="24"/>
          <w:szCs w:val="24"/>
          <w:lang w:val="pl-PL"/>
        </w:rPr>
        <w:t xml:space="preserve"> oraz Zarządzeniem nr 152 Prezesa Rady Ministrów z dnia 20 września 2019 r. </w:t>
      </w:r>
      <w:r w:rsidRPr="00194E8E">
        <w:rPr>
          <w:rFonts w:asciiTheme="minorHAnsi" w:hAnsiTheme="minorHAnsi"/>
          <w:sz w:val="24"/>
          <w:szCs w:val="24"/>
          <w:lang w:val="pl-PL"/>
        </w:rPr>
        <w:t>(dalej</w:t>
      </w:r>
      <w:r w:rsidR="000D57B1" w:rsidRPr="00194E8E">
        <w:rPr>
          <w:rFonts w:asciiTheme="minorHAnsi" w:hAnsiTheme="minorHAnsi"/>
          <w:sz w:val="24"/>
          <w:szCs w:val="24"/>
          <w:lang w:val="pl-PL"/>
        </w:rPr>
        <w:t>:</w:t>
      </w:r>
      <w:r w:rsidRPr="00194E8E">
        <w:rPr>
          <w:rFonts w:asciiTheme="minorHAnsi" w:hAnsiTheme="minorHAnsi"/>
          <w:sz w:val="24"/>
          <w:szCs w:val="24"/>
          <w:lang w:val="pl-PL"/>
        </w:rPr>
        <w:t xml:space="preserve"> </w:t>
      </w:r>
      <w:r w:rsidR="00194E8E">
        <w:rPr>
          <w:rFonts w:asciiTheme="minorHAnsi" w:hAnsiTheme="minorHAnsi"/>
          <w:sz w:val="24"/>
          <w:szCs w:val="24"/>
          <w:lang w:val="pl-PL"/>
        </w:rPr>
        <w:t>„</w:t>
      </w:r>
      <w:r w:rsidRPr="00194E8E">
        <w:rPr>
          <w:rFonts w:asciiTheme="minorHAnsi" w:hAnsiTheme="minorHAnsi"/>
          <w:sz w:val="24"/>
          <w:szCs w:val="24"/>
          <w:lang w:val="pl-PL"/>
        </w:rPr>
        <w:t>Zarządzenie</w:t>
      </w:r>
      <w:r w:rsidR="00194E8E">
        <w:rPr>
          <w:rFonts w:asciiTheme="minorHAnsi" w:hAnsiTheme="minorHAnsi"/>
          <w:sz w:val="24"/>
          <w:szCs w:val="24"/>
          <w:lang w:val="pl-PL"/>
        </w:rPr>
        <w:t>”</w:t>
      </w:r>
      <w:r w:rsidRPr="00194E8E">
        <w:rPr>
          <w:rFonts w:asciiTheme="minorHAnsi" w:hAnsiTheme="minorHAnsi"/>
          <w:sz w:val="24"/>
          <w:szCs w:val="24"/>
          <w:lang w:val="pl-PL"/>
        </w:rPr>
        <w:t>)</w:t>
      </w:r>
      <w:r w:rsidR="000D57B1" w:rsidRPr="00194E8E">
        <w:rPr>
          <w:rFonts w:asciiTheme="minorHAnsi" w:hAnsiTheme="minorHAnsi"/>
          <w:sz w:val="24"/>
          <w:szCs w:val="24"/>
          <w:lang w:val="pl-PL"/>
        </w:rPr>
        <w:t>,</w:t>
      </w:r>
      <w:r w:rsidRPr="00194E8E">
        <w:rPr>
          <w:rFonts w:asciiTheme="minorHAnsi" w:hAnsiTheme="minorHAnsi"/>
          <w:sz w:val="24"/>
          <w:szCs w:val="24"/>
          <w:lang w:val="pl-PL"/>
        </w:rPr>
        <w:t xml:space="preserve"> w oparciu o materiały przedłożone przez poszczególne resorty i inne podmioty odpowiedzialne za wykonanie konkretnych orzeczeń Europejskiego Trybunału Praw Człowieka (dalej</w:t>
      </w:r>
      <w:r w:rsidR="000D57B1" w:rsidRPr="00194E8E">
        <w:rPr>
          <w:rFonts w:asciiTheme="minorHAnsi" w:hAnsiTheme="minorHAnsi"/>
          <w:sz w:val="24"/>
          <w:szCs w:val="24"/>
          <w:lang w:val="pl-PL"/>
        </w:rPr>
        <w:t>:</w:t>
      </w:r>
      <w:r w:rsidRPr="00194E8E">
        <w:rPr>
          <w:rFonts w:asciiTheme="minorHAnsi" w:hAnsiTheme="minorHAnsi"/>
          <w:sz w:val="24"/>
          <w:szCs w:val="24"/>
          <w:lang w:val="pl-PL"/>
        </w:rPr>
        <w:t xml:space="preserve"> </w:t>
      </w:r>
      <w:r w:rsidR="00194E8E">
        <w:rPr>
          <w:rFonts w:asciiTheme="minorHAnsi" w:hAnsiTheme="minorHAnsi"/>
          <w:sz w:val="24"/>
          <w:szCs w:val="24"/>
          <w:lang w:val="pl-PL"/>
        </w:rPr>
        <w:t>„</w:t>
      </w:r>
      <w:r w:rsidRPr="00194E8E">
        <w:rPr>
          <w:rFonts w:asciiTheme="minorHAnsi" w:hAnsiTheme="minorHAnsi"/>
          <w:sz w:val="24"/>
          <w:szCs w:val="24"/>
          <w:lang w:val="pl-PL"/>
        </w:rPr>
        <w:t>ETPC</w:t>
      </w:r>
      <w:r w:rsidR="00194E8E">
        <w:rPr>
          <w:rFonts w:asciiTheme="minorHAnsi" w:hAnsiTheme="minorHAnsi"/>
          <w:sz w:val="24"/>
          <w:szCs w:val="24"/>
          <w:lang w:val="pl-PL"/>
        </w:rPr>
        <w:t>”</w:t>
      </w:r>
      <w:r w:rsidRPr="00194E8E">
        <w:rPr>
          <w:rFonts w:asciiTheme="minorHAnsi" w:hAnsiTheme="minorHAnsi"/>
          <w:sz w:val="24"/>
          <w:szCs w:val="24"/>
          <w:lang w:val="pl-PL"/>
        </w:rPr>
        <w:t>). Zawarte w Raporcie informacje i dane zostały przedstawione według stanu na dzień 31 grudnia 20</w:t>
      </w:r>
      <w:r w:rsidR="00D737F1" w:rsidRPr="00194E8E">
        <w:rPr>
          <w:rFonts w:asciiTheme="minorHAnsi" w:hAnsiTheme="minorHAnsi"/>
          <w:sz w:val="24"/>
          <w:szCs w:val="24"/>
          <w:lang w:val="pl-PL"/>
        </w:rPr>
        <w:t>2</w:t>
      </w:r>
      <w:r w:rsidR="00B43681" w:rsidRPr="00194E8E">
        <w:rPr>
          <w:rFonts w:asciiTheme="minorHAnsi" w:hAnsiTheme="minorHAnsi"/>
          <w:sz w:val="24"/>
          <w:szCs w:val="24"/>
          <w:lang w:val="pl-PL"/>
        </w:rPr>
        <w:t>1</w:t>
      </w:r>
      <w:r w:rsidRPr="00194E8E">
        <w:rPr>
          <w:rFonts w:asciiTheme="minorHAnsi" w:hAnsiTheme="minorHAnsi"/>
          <w:sz w:val="24"/>
          <w:szCs w:val="24"/>
          <w:lang w:val="pl-PL"/>
        </w:rPr>
        <w:t xml:space="preserve"> r.</w:t>
      </w:r>
    </w:p>
    <w:p w:rsidR="006C6E4B" w:rsidRPr="005D70CF" w:rsidRDefault="000A23D6" w:rsidP="0035339C">
      <w:pPr>
        <w:pStyle w:val="Akapitzlist"/>
        <w:spacing w:before="120" w:after="120" w:line="240" w:lineRule="auto"/>
        <w:ind w:left="0"/>
        <w:jc w:val="both"/>
        <w:rPr>
          <w:rFonts w:asciiTheme="minorHAnsi" w:hAnsiTheme="minorHAnsi"/>
          <w:color w:val="000000" w:themeColor="text1"/>
          <w:sz w:val="24"/>
          <w:szCs w:val="24"/>
          <w:lang w:val="pl-PL"/>
        </w:rPr>
      </w:pPr>
      <w:r w:rsidRPr="005D70CF">
        <w:rPr>
          <w:rFonts w:asciiTheme="minorHAnsi" w:hAnsiTheme="minorHAnsi"/>
          <w:color w:val="000000" w:themeColor="text1"/>
          <w:sz w:val="24"/>
          <w:szCs w:val="24"/>
          <w:lang w:val="pl-PL"/>
        </w:rPr>
        <w:t xml:space="preserve">Jest to już </w:t>
      </w:r>
      <w:r w:rsidR="00D737F1" w:rsidRPr="005D70CF">
        <w:rPr>
          <w:rFonts w:asciiTheme="minorHAnsi" w:hAnsiTheme="minorHAnsi"/>
          <w:color w:val="000000" w:themeColor="text1"/>
          <w:sz w:val="24"/>
          <w:szCs w:val="24"/>
          <w:lang w:val="pl-PL"/>
        </w:rPr>
        <w:t>dzie</w:t>
      </w:r>
      <w:r w:rsidR="00B43681" w:rsidRPr="005D70CF">
        <w:rPr>
          <w:rFonts w:asciiTheme="minorHAnsi" w:hAnsiTheme="minorHAnsi"/>
          <w:color w:val="000000" w:themeColor="text1"/>
          <w:sz w:val="24"/>
          <w:szCs w:val="24"/>
          <w:lang w:val="pl-PL"/>
        </w:rPr>
        <w:t>siąty</w:t>
      </w:r>
      <w:r w:rsidRPr="005D70CF">
        <w:rPr>
          <w:rFonts w:asciiTheme="minorHAnsi" w:hAnsiTheme="minorHAnsi"/>
          <w:color w:val="000000" w:themeColor="text1"/>
          <w:sz w:val="24"/>
          <w:szCs w:val="24"/>
          <w:lang w:val="pl-PL"/>
        </w:rPr>
        <w:t xml:space="preserve"> Raport roczny przedstawiany przez Pełnomocnika. Prezentuje on</w:t>
      </w:r>
      <w:r w:rsidR="00720282" w:rsidRPr="005D70CF">
        <w:rPr>
          <w:rFonts w:asciiTheme="minorHAnsi" w:hAnsiTheme="minorHAnsi"/>
          <w:color w:val="000000" w:themeColor="text1"/>
          <w:sz w:val="24"/>
          <w:szCs w:val="24"/>
          <w:lang w:val="pl-PL"/>
        </w:rPr>
        <w:t xml:space="preserve"> działalność Pełnomocnika w okresie sprawozdawczym, zarówno w zakresie wykonywania orzeczeń Europejskiego Trybunału Praw Człowieka w sprawach polskich, jak i w przedmiocie upowszechniania standardów wynikających z Konwencji o ochronie praw człowieka i podstawowych wolności (dalej</w:t>
      </w:r>
      <w:r w:rsidR="000D57B1" w:rsidRPr="005D70CF">
        <w:rPr>
          <w:rFonts w:asciiTheme="minorHAnsi" w:hAnsiTheme="minorHAnsi"/>
          <w:color w:val="000000" w:themeColor="text1"/>
          <w:sz w:val="24"/>
          <w:szCs w:val="24"/>
          <w:lang w:val="pl-PL"/>
        </w:rPr>
        <w:t>:</w:t>
      </w:r>
      <w:r w:rsidR="00720282" w:rsidRPr="005D70CF">
        <w:rPr>
          <w:rFonts w:asciiTheme="minorHAnsi" w:hAnsiTheme="minorHAnsi"/>
          <w:color w:val="000000" w:themeColor="text1"/>
          <w:sz w:val="24"/>
          <w:szCs w:val="24"/>
          <w:lang w:val="pl-PL"/>
        </w:rPr>
        <w:t xml:space="preserve"> </w:t>
      </w:r>
      <w:r w:rsidR="00194E8E" w:rsidRPr="005D70CF">
        <w:rPr>
          <w:rFonts w:asciiTheme="minorHAnsi" w:hAnsiTheme="minorHAnsi"/>
          <w:color w:val="000000" w:themeColor="text1"/>
          <w:sz w:val="24"/>
          <w:szCs w:val="24"/>
          <w:lang w:val="pl-PL"/>
        </w:rPr>
        <w:t>„</w:t>
      </w:r>
      <w:r w:rsidR="00720282" w:rsidRPr="005D70CF">
        <w:rPr>
          <w:rFonts w:asciiTheme="minorHAnsi" w:hAnsiTheme="minorHAnsi"/>
          <w:color w:val="000000" w:themeColor="text1"/>
          <w:sz w:val="24"/>
          <w:szCs w:val="24"/>
          <w:lang w:val="pl-PL"/>
        </w:rPr>
        <w:t>Konwencja</w:t>
      </w:r>
      <w:r w:rsidR="00194E8E" w:rsidRPr="005D70CF">
        <w:rPr>
          <w:rFonts w:asciiTheme="minorHAnsi" w:hAnsiTheme="minorHAnsi"/>
          <w:color w:val="000000" w:themeColor="text1"/>
          <w:sz w:val="24"/>
          <w:szCs w:val="24"/>
          <w:lang w:val="pl-PL"/>
        </w:rPr>
        <w:t>”</w:t>
      </w:r>
      <w:r w:rsidR="00720282" w:rsidRPr="005D70CF">
        <w:rPr>
          <w:rFonts w:asciiTheme="minorHAnsi" w:hAnsiTheme="minorHAnsi"/>
          <w:color w:val="000000" w:themeColor="text1"/>
          <w:sz w:val="24"/>
          <w:szCs w:val="24"/>
          <w:lang w:val="pl-PL"/>
        </w:rPr>
        <w:t xml:space="preserve"> lub </w:t>
      </w:r>
      <w:r w:rsidR="00194E8E" w:rsidRPr="005D70CF">
        <w:rPr>
          <w:rFonts w:asciiTheme="minorHAnsi" w:hAnsiTheme="minorHAnsi"/>
          <w:color w:val="000000" w:themeColor="text1"/>
          <w:sz w:val="24"/>
          <w:szCs w:val="24"/>
          <w:lang w:val="pl-PL"/>
        </w:rPr>
        <w:t>„</w:t>
      </w:r>
      <w:r w:rsidR="00720282" w:rsidRPr="005D70CF">
        <w:rPr>
          <w:rFonts w:asciiTheme="minorHAnsi" w:hAnsiTheme="minorHAnsi"/>
          <w:color w:val="000000" w:themeColor="text1"/>
          <w:sz w:val="24"/>
          <w:szCs w:val="24"/>
          <w:lang w:val="pl-PL"/>
        </w:rPr>
        <w:t>Europejska Konwencja Praw Człowieka</w:t>
      </w:r>
      <w:r w:rsidR="00194E8E" w:rsidRPr="005D70CF">
        <w:rPr>
          <w:rFonts w:asciiTheme="minorHAnsi" w:hAnsiTheme="minorHAnsi"/>
          <w:color w:val="000000" w:themeColor="text1"/>
          <w:sz w:val="24"/>
          <w:szCs w:val="24"/>
          <w:lang w:val="pl-PL"/>
        </w:rPr>
        <w:t>”</w:t>
      </w:r>
      <w:r w:rsidR="00720282" w:rsidRPr="005D70CF">
        <w:rPr>
          <w:rFonts w:asciiTheme="minorHAnsi" w:hAnsiTheme="minorHAnsi"/>
          <w:color w:val="000000" w:themeColor="text1"/>
          <w:sz w:val="24"/>
          <w:szCs w:val="24"/>
          <w:lang w:val="pl-PL"/>
        </w:rPr>
        <w:t xml:space="preserve">) oraz orzecznictwa </w:t>
      </w:r>
      <w:r w:rsidR="0035339C">
        <w:rPr>
          <w:rFonts w:asciiTheme="minorHAnsi" w:hAnsiTheme="minorHAnsi"/>
          <w:color w:val="000000" w:themeColor="text1"/>
          <w:sz w:val="24"/>
          <w:szCs w:val="24"/>
          <w:lang w:val="pl-PL"/>
        </w:rPr>
        <w:t>ETPC</w:t>
      </w:r>
      <w:r w:rsidR="00720282" w:rsidRPr="005D70CF">
        <w:rPr>
          <w:rFonts w:asciiTheme="minorHAnsi" w:hAnsiTheme="minorHAnsi"/>
          <w:color w:val="000000" w:themeColor="text1"/>
          <w:sz w:val="24"/>
          <w:szCs w:val="24"/>
          <w:lang w:val="pl-PL"/>
        </w:rPr>
        <w:t xml:space="preserve">. </w:t>
      </w:r>
      <w:r w:rsidR="00212722" w:rsidRPr="005D70CF">
        <w:rPr>
          <w:rFonts w:asciiTheme="minorHAnsi" w:hAnsiTheme="minorHAnsi"/>
          <w:color w:val="000000" w:themeColor="text1"/>
          <w:sz w:val="24"/>
          <w:szCs w:val="24"/>
          <w:lang w:val="pl-PL"/>
        </w:rPr>
        <w:t xml:space="preserve">Zawiera informacje na temat </w:t>
      </w:r>
      <w:r w:rsidR="00F7631E" w:rsidRPr="005D70CF">
        <w:rPr>
          <w:rFonts w:asciiTheme="minorHAnsi" w:hAnsiTheme="minorHAnsi"/>
          <w:color w:val="000000" w:themeColor="text1"/>
          <w:sz w:val="24"/>
          <w:szCs w:val="24"/>
          <w:lang w:val="pl-PL"/>
        </w:rPr>
        <w:t xml:space="preserve">dokumentów </w:t>
      </w:r>
      <w:r w:rsidR="00212722" w:rsidRPr="005D70CF">
        <w:rPr>
          <w:rFonts w:asciiTheme="minorHAnsi" w:hAnsiTheme="minorHAnsi"/>
          <w:color w:val="000000" w:themeColor="text1"/>
          <w:sz w:val="24"/>
          <w:szCs w:val="24"/>
          <w:lang w:val="pl-PL"/>
        </w:rPr>
        <w:t>przesłanych do Rady Europy (dalej</w:t>
      </w:r>
      <w:r w:rsidR="000D57B1" w:rsidRPr="005D70CF">
        <w:rPr>
          <w:rFonts w:asciiTheme="minorHAnsi" w:hAnsiTheme="minorHAnsi"/>
          <w:color w:val="000000" w:themeColor="text1"/>
          <w:sz w:val="24"/>
          <w:szCs w:val="24"/>
          <w:lang w:val="pl-PL"/>
        </w:rPr>
        <w:t>:</w:t>
      </w:r>
      <w:r w:rsidR="00212722" w:rsidRPr="005D70CF">
        <w:rPr>
          <w:rFonts w:asciiTheme="minorHAnsi" w:hAnsiTheme="minorHAnsi"/>
          <w:color w:val="000000" w:themeColor="text1"/>
          <w:sz w:val="24"/>
          <w:szCs w:val="24"/>
          <w:lang w:val="pl-PL"/>
        </w:rPr>
        <w:t xml:space="preserve"> </w:t>
      </w:r>
      <w:r w:rsidR="00F7631E" w:rsidRPr="005D70CF">
        <w:rPr>
          <w:rFonts w:asciiTheme="minorHAnsi" w:hAnsiTheme="minorHAnsi"/>
          <w:color w:val="000000" w:themeColor="text1"/>
          <w:sz w:val="24"/>
          <w:szCs w:val="24"/>
          <w:lang w:val="pl-PL"/>
        </w:rPr>
        <w:t>„</w:t>
      </w:r>
      <w:r w:rsidR="00212722" w:rsidRPr="005D70CF">
        <w:rPr>
          <w:rFonts w:asciiTheme="minorHAnsi" w:hAnsiTheme="minorHAnsi"/>
          <w:color w:val="000000" w:themeColor="text1"/>
          <w:sz w:val="24"/>
          <w:szCs w:val="24"/>
          <w:lang w:val="pl-PL"/>
        </w:rPr>
        <w:t>RE</w:t>
      </w:r>
      <w:r w:rsidR="00F7631E" w:rsidRPr="005D70CF">
        <w:rPr>
          <w:rFonts w:asciiTheme="minorHAnsi" w:hAnsiTheme="minorHAnsi"/>
          <w:color w:val="000000" w:themeColor="text1"/>
          <w:sz w:val="24"/>
          <w:szCs w:val="24"/>
          <w:lang w:val="pl-PL"/>
        </w:rPr>
        <w:t>”</w:t>
      </w:r>
      <w:r w:rsidR="00212722" w:rsidRPr="005D70CF">
        <w:rPr>
          <w:rFonts w:asciiTheme="minorHAnsi" w:hAnsiTheme="minorHAnsi"/>
          <w:color w:val="000000" w:themeColor="text1"/>
          <w:sz w:val="24"/>
          <w:szCs w:val="24"/>
          <w:lang w:val="pl-PL"/>
        </w:rPr>
        <w:t>)</w:t>
      </w:r>
      <w:r w:rsidR="00F7631E" w:rsidRPr="005D70CF">
        <w:rPr>
          <w:rFonts w:asciiTheme="minorHAnsi" w:hAnsiTheme="minorHAnsi"/>
          <w:color w:val="000000" w:themeColor="text1"/>
          <w:sz w:val="24"/>
          <w:szCs w:val="24"/>
          <w:lang w:val="pl-PL"/>
        </w:rPr>
        <w:t>,</w:t>
      </w:r>
      <w:r w:rsidR="00212722" w:rsidRPr="005D70CF">
        <w:rPr>
          <w:rFonts w:asciiTheme="minorHAnsi" w:hAnsiTheme="minorHAnsi"/>
          <w:color w:val="000000" w:themeColor="text1"/>
          <w:sz w:val="24"/>
          <w:szCs w:val="24"/>
          <w:lang w:val="pl-PL"/>
        </w:rPr>
        <w:t xml:space="preserve"> dotyczących wykonywania wyroków </w:t>
      </w:r>
      <w:r w:rsidR="0035339C">
        <w:rPr>
          <w:rFonts w:asciiTheme="minorHAnsi" w:hAnsiTheme="minorHAnsi"/>
          <w:color w:val="000000" w:themeColor="text1"/>
          <w:sz w:val="24"/>
          <w:szCs w:val="24"/>
          <w:lang w:val="pl-PL"/>
        </w:rPr>
        <w:t>ETPC</w:t>
      </w:r>
      <w:r w:rsidR="00212722" w:rsidRPr="005D70CF">
        <w:rPr>
          <w:rFonts w:asciiTheme="minorHAnsi" w:hAnsiTheme="minorHAnsi"/>
          <w:color w:val="000000" w:themeColor="text1"/>
          <w:sz w:val="24"/>
          <w:szCs w:val="24"/>
          <w:lang w:val="pl-PL"/>
        </w:rPr>
        <w:t>, spraw uznanych za wykonane przez Komitet Ministrów Rady Europy (dalej</w:t>
      </w:r>
      <w:r w:rsidR="000D57B1" w:rsidRPr="005D70CF">
        <w:rPr>
          <w:rFonts w:asciiTheme="minorHAnsi" w:hAnsiTheme="minorHAnsi"/>
          <w:color w:val="000000" w:themeColor="text1"/>
          <w:sz w:val="24"/>
          <w:szCs w:val="24"/>
          <w:lang w:val="pl-PL"/>
        </w:rPr>
        <w:t>:</w:t>
      </w:r>
      <w:r w:rsidR="00212722" w:rsidRPr="005D70CF">
        <w:rPr>
          <w:rFonts w:asciiTheme="minorHAnsi" w:hAnsiTheme="minorHAnsi"/>
          <w:color w:val="000000" w:themeColor="text1"/>
          <w:sz w:val="24"/>
          <w:szCs w:val="24"/>
          <w:lang w:val="pl-PL"/>
        </w:rPr>
        <w:t xml:space="preserve"> </w:t>
      </w:r>
      <w:r w:rsidR="00F7631E" w:rsidRPr="005D70CF">
        <w:rPr>
          <w:rFonts w:asciiTheme="minorHAnsi" w:hAnsiTheme="minorHAnsi"/>
          <w:color w:val="000000" w:themeColor="text1"/>
          <w:sz w:val="24"/>
          <w:szCs w:val="24"/>
          <w:lang w:val="pl-PL"/>
        </w:rPr>
        <w:t>„</w:t>
      </w:r>
      <w:r w:rsidR="0086510C" w:rsidRPr="005D70CF">
        <w:rPr>
          <w:rFonts w:asciiTheme="minorHAnsi" w:hAnsiTheme="minorHAnsi"/>
          <w:color w:val="000000" w:themeColor="text1"/>
          <w:sz w:val="24"/>
          <w:szCs w:val="24"/>
          <w:lang w:val="pl-PL"/>
        </w:rPr>
        <w:t>Komitet Ministrów</w:t>
      </w:r>
      <w:r w:rsidR="008B1C22" w:rsidRPr="005D70CF">
        <w:rPr>
          <w:rFonts w:asciiTheme="minorHAnsi" w:hAnsiTheme="minorHAnsi"/>
          <w:color w:val="000000" w:themeColor="text1"/>
          <w:sz w:val="24"/>
          <w:szCs w:val="24"/>
          <w:lang w:val="pl-PL"/>
        </w:rPr>
        <w:t xml:space="preserve"> RE</w:t>
      </w:r>
      <w:r w:rsidR="00F7631E" w:rsidRPr="005D70CF">
        <w:rPr>
          <w:rFonts w:asciiTheme="minorHAnsi" w:hAnsiTheme="minorHAnsi"/>
          <w:color w:val="000000" w:themeColor="text1"/>
          <w:sz w:val="24"/>
          <w:szCs w:val="24"/>
          <w:lang w:val="pl-PL"/>
        </w:rPr>
        <w:t>”</w:t>
      </w:r>
      <w:r w:rsidR="00212722" w:rsidRPr="005D70CF">
        <w:rPr>
          <w:rFonts w:asciiTheme="minorHAnsi" w:hAnsiTheme="minorHAnsi"/>
          <w:color w:val="000000" w:themeColor="text1"/>
          <w:sz w:val="24"/>
          <w:szCs w:val="24"/>
          <w:lang w:val="pl-PL"/>
        </w:rPr>
        <w:t xml:space="preserve"> lub </w:t>
      </w:r>
      <w:r w:rsidR="00F7631E" w:rsidRPr="005D70CF">
        <w:rPr>
          <w:rFonts w:asciiTheme="minorHAnsi" w:hAnsiTheme="minorHAnsi"/>
          <w:color w:val="000000" w:themeColor="text1"/>
          <w:sz w:val="24"/>
          <w:szCs w:val="24"/>
          <w:lang w:val="pl-PL"/>
        </w:rPr>
        <w:t>„</w:t>
      </w:r>
      <w:r w:rsidR="00212722" w:rsidRPr="005D70CF">
        <w:rPr>
          <w:rFonts w:asciiTheme="minorHAnsi" w:hAnsiTheme="minorHAnsi"/>
          <w:color w:val="000000" w:themeColor="text1"/>
          <w:sz w:val="24"/>
          <w:szCs w:val="24"/>
          <w:lang w:val="pl-PL"/>
        </w:rPr>
        <w:t>KM</w:t>
      </w:r>
      <w:r w:rsidR="00F7631E" w:rsidRPr="005D70CF">
        <w:rPr>
          <w:rFonts w:asciiTheme="minorHAnsi" w:hAnsiTheme="minorHAnsi"/>
          <w:color w:val="000000" w:themeColor="text1"/>
          <w:sz w:val="24"/>
          <w:szCs w:val="24"/>
          <w:lang w:val="pl-PL"/>
        </w:rPr>
        <w:t>”</w:t>
      </w:r>
      <w:r w:rsidR="00212722" w:rsidRPr="005D70CF">
        <w:rPr>
          <w:rFonts w:asciiTheme="minorHAnsi" w:hAnsiTheme="minorHAnsi"/>
          <w:color w:val="000000" w:themeColor="text1"/>
          <w:sz w:val="24"/>
          <w:szCs w:val="24"/>
          <w:lang w:val="pl-PL"/>
        </w:rPr>
        <w:t>), postanowień decyzji KM w</w:t>
      </w:r>
      <w:r w:rsidR="00D737F1" w:rsidRPr="005D70CF">
        <w:rPr>
          <w:rFonts w:asciiTheme="minorHAnsi" w:hAnsiTheme="minorHAnsi"/>
          <w:color w:val="000000" w:themeColor="text1"/>
          <w:sz w:val="24"/>
          <w:szCs w:val="24"/>
          <w:lang w:val="pl-PL"/>
        </w:rPr>
        <w:t xml:space="preserve"> </w:t>
      </w:r>
      <w:r w:rsidR="00212722" w:rsidRPr="005D70CF">
        <w:rPr>
          <w:rFonts w:asciiTheme="minorHAnsi" w:hAnsiTheme="minorHAnsi"/>
          <w:color w:val="000000" w:themeColor="text1"/>
          <w:sz w:val="24"/>
          <w:szCs w:val="24"/>
          <w:lang w:val="pl-PL"/>
        </w:rPr>
        <w:t>s</w:t>
      </w:r>
      <w:r w:rsidR="00D737F1" w:rsidRPr="005D70CF">
        <w:rPr>
          <w:rFonts w:asciiTheme="minorHAnsi" w:hAnsiTheme="minorHAnsi"/>
          <w:color w:val="000000" w:themeColor="text1"/>
          <w:sz w:val="24"/>
          <w:szCs w:val="24"/>
          <w:lang w:val="pl-PL"/>
        </w:rPr>
        <w:t>prawie</w:t>
      </w:r>
      <w:r w:rsidR="00212722" w:rsidRPr="005D70CF">
        <w:rPr>
          <w:rFonts w:asciiTheme="minorHAnsi" w:hAnsiTheme="minorHAnsi"/>
          <w:color w:val="000000" w:themeColor="text1"/>
          <w:sz w:val="24"/>
          <w:szCs w:val="24"/>
          <w:lang w:val="pl-PL"/>
        </w:rPr>
        <w:t xml:space="preserve"> wykonywania niektórych z polskich spraw, </w:t>
      </w:r>
      <w:r w:rsidR="00BB21DD" w:rsidRPr="005D70CF">
        <w:rPr>
          <w:rFonts w:asciiTheme="minorHAnsi" w:hAnsiTheme="minorHAnsi"/>
          <w:color w:val="000000" w:themeColor="text1"/>
          <w:sz w:val="24"/>
          <w:szCs w:val="24"/>
          <w:lang w:val="pl-PL"/>
        </w:rPr>
        <w:t xml:space="preserve">komunikacji zawierających rekomendacje </w:t>
      </w:r>
      <w:r w:rsidR="00D737F1" w:rsidRPr="005D70CF">
        <w:rPr>
          <w:rFonts w:asciiTheme="minorHAnsi" w:hAnsiTheme="minorHAnsi"/>
          <w:color w:val="000000" w:themeColor="text1"/>
          <w:sz w:val="24"/>
          <w:szCs w:val="24"/>
          <w:lang w:val="pl-PL"/>
        </w:rPr>
        <w:t>dotyczące</w:t>
      </w:r>
      <w:r w:rsidR="00BB21DD" w:rsidRPr="005D70CF">
        <w:rPr>
          <w:rFonts w:asciiTheme="minorHAnsi" w:hAnsiTheme="minorHAnsi"/>
          <w:color w:val="000000" w:themeColor="text1"/>
          <w:sz w:val="24"/>
          <w:szCs w:val="24"/>
          <w:lang w:val="pl-PL"/>
        </w:rPr>
        <w:t xml:space="preserve"> wykonywania poszczególnych wyroków, przesłanych do KM przez uprawnione podmioty, </w:t>
      </w:r>
      <w:r w:rsidR="00212722" w:rsidRPr="005D70CF">
        <w:rPr>
          <w:rFonts w:asciiTheme="minorHAnsi" w:hAnsiTheme="minorHAnsi"/>
          <w:color w:val="000000" w:themeColor="text1"/>
          <w:sz w:val="24"/>
          <w:szCs w:val="24"/>
          <w:lang w:val="pl-PL"/>
        </w:rPr>
        <w:t>działalności Zespołu ds. ETPC, uczestnictwa Pełnomocnika w posiedzeniu Komisji Praw Człowieka, Praworządności i Petycji Senatu RP</w:t>
      </w:r>
      <w:r w:rsidR="00BB21DD" w:rsidRPr="005D70CF">
        <w:rPr>
          <w:rFonts w:asciiTheme="minorHAnsi" w:hAnsiTheme="minorHAnsi"/>
          <w:color w:val="000000" w:themeColor="text1"/>
          <w:sz w:val="24"/>
          <w:szCs w:val="24"/>
          <w:lang w:val="pl-PL"/>
        </w:rPr>
        <w:t xml:space="preserve">, </w:t>
      </w:r>
      <w:r w:rsidR="00B10908" w:rsidRPr="005D70CF">
        <w:rPr>
          <w:rFonts w:asciiTheme="minorHAnsi" w:hAnsiTheme="minorHAnsi"/>
          <w:color w:val="000000" w:themeColor="text1"/>
          <w:sz w:val="24"/>
          <w:szCs w:val="24"/>
          <w:lang w:val="pl-PL"/>
        </w:rPr>
        <w:t>działalności Pełnomocnika w odniesieniu do reformy systemu Konwencji i prac komitetów RE zajmujących się prawami człowieka</w:t>
      </w:r>
      <w:r w:rsidR="00D737F1" w:rsidRPr="005D70CF">
        <w:rPr>
          <w:rFonts w:asciiTheme="minorHAnsi" w:hAnsiTheme="minorHAnsi"/>
          <w:color w:val="000000" w:themeColor="text1"/>
          <w:sz w:val="24"/>
          <w:szCs w:val="24"/>
          <w:lang w:val="pl-PL"/>
        </w:rPr>
        <w:t xml:space="preserve">. </w:t>
      </w:r>
      <w:r w:rsidR="000F3E2F" w:rsidRPr="005D70CF">
        <w:rPr>
          <w:rFonts w:asciiTheme="minorHAnsi" w:hAnsiTheme="minorHAnsi"/>
          <w:color w:val="000000" w:themeColor="text1"/>
          <w:sz w:val="24"/>
          <w:szCs w:val="24"/>
          <w:lang w:val="pl-PL"/>
        </w:rPr>
        <w:t>Na końcu Raportu znajdują się dane statystyczne dotycząc</w:t>
      </w:r>
      <w:r w:rsidR="000D57B1" w:rsidRPr="005D70CF">
        <w:rPr>
          <w:rFonts w:asciiTheme="minorHAnsi" w:hAnsiTheme="minorHAnsi"/>
          <w:color w:val="000000" w:themeColor="text1"/>
          <w:sz w:val="24"/>
          <w:szCs w:val="24"/>
          <w:lang w:val="pl-PL"/>
        </w:rPr>
        <w:t>e</w:t>
      </w:r>
      <w:r w:rsidR="000F3E2F" w:rsidRPr="005D70CF">
        <w:rPr>
          <w:rFonts w:asciiTheme="minorHAnsi" w:hAnsiTheme="minorHAnsi"/>
          <w:color w:val="000000" w:themeColor="text1"/>
          <w:sz w:val="24"/>
          <w:szCs w:val="24"/>
          <w:lang w:val="pl-PL"/>
        </w:rPr>
        <w:t xml:space="preserve"> polskich spraw </w:t>
      </w:r>
      <w:r w:rsidR="00B10908" w:rsidRPr="005D70CF">
        <w:rPr>
          <w:rFonts w:asciiTheme="minorHAnsi" w:hAnsiTheme="minorHAnsi"/>
          <w:color w:val="000000" w:themeColor="text1"/>
          <w:sz w:val="24"/>
          <w:szCs w:val="24"/>
          <w:lang w:val="pl-PL"/>
        </w:rPr>
        <w:t xml:space="preserve">zawisłych </w:t>
      </w:r>
      <w:r w:rsidR="000F3E2F" w:rsidRPr="005D70CF">
        <w:rPr>
          <w:rFonts w:asciiTheme="minorHAnsi" w:hAnsiTheme="minorHAnsi"/>
          <w:color w:val="000000" w:themeColor="text1"/>
          <w:sz w:val="24"/>
          <w:szCs w:val="24"/>
          <w:lang w:val="pl-PL"/>
        </w:rPr>
        <w:t xml:space="preserve">przed </w:t>
      </w:r>
      <w:r w:rsidR="0035339C">
        <w:rPr>
          <w:rFonts w:asciiTheme="minorHAnsi" w:hAnsiTheme="minorHAnsi"/>
          <w:color w:val="000000" w:themeColor="text1"/>
          <w:sz w:val="24"/>
          <w:szCs w:val="24"/>
          <w:lang w:val="pl-PL"/>
        </w:rPr>
        <w:t>ETPC</w:t>
      </w:r>
      <w:r w:rsidR="000F3E2F" w:rsidRPr="005D70CF">
        <w:rPr>
          <w:rFonts w:asciiTheme="minorHAnsi" w:hAnsiTheme="minorHAnsi"/>
          <w:color w:val="000000" w:themeColor="text1"/>
          <w:sz w:val="24"/>
          <w:szCs w:val="24"/>
          <w:lang w:val="pl-PL"/>
        </w:rPr>
        <w:t xml:space="preserve"> oraz </w:t>
      </w:r>
      <w:r w:rsidR="00B10908" w:rsidRPr="005D70CF">
        <w:rPr>
          <w:rFonts w:asciiTheme="minorHAnsi" w:hAnsiTheme="minorHAnsi"/>
          <w:color w:val="000000" w:themeColor="text1"/>
          <w:sz w:val="24"/>
          <w:szCs w:val="24"/>
          <w:lang w:val="pl-PL"/>
        </w:rPr>
        <w:t>znajdujących się w procesie</w:t>
      </w:r>
      <w:r w:rsidR="000F3E2F" w:rsidRPr="005D70CF">
        <w:rPr>
          <w:rFonts w:asciiTheme="minorHAnsi" w:hAnsiTheme="minorHAnsi"/>
          <w:color w:val="000000" w:themeColor="text1"/>
          <w:sz w:val="24"/>
          <w:szCs w:val="24"/>
          <w:lang w:val="pl-PL"/>
        </w:rPr>
        <w:t xml:space="preserve"> wykonywani</w:t>
      </w:r>
      <w:r w:rsidR="00B10908" w:rsidRPr="005D70CF">
        <w:rPr>
          <w:rFonts w:asciiTheme="minorHAnsi" w:hAnsiTheme="minorHAnsi"/>
          <w:color w:val="000000" w:themeColor="text1"/>
          <w:sz w:val="24"/>
          <w:szCs w:val="24"/>
          <w:lang w:val="pl-PL"/>
        </w:rPr>
        <w:t>a</w:t>
      </w:r>
      <w:r w:rsidR="000F3E2F" w:rsidRPr="005D70CF">
        <w:rPr>
          <w:rFonts w:asciiTheme="minorHAnsi" w:hAnsiTheme="minorHAnsi"/>
          <w:color w:val="000000" w:themeColor="text1"/>
          <w:sz w:val="24"/>
          <w:szCs w:val="24"/>
          <w:lang w:val="pl-PL"/>
        </w:rPr>
        <w:t xml:space="preserve"> przed KM</w:t>
      </w:r>
      <w:r w:rsidR="002614A4" w:rsidRPr="005D70CF">
        <w:rPr>
          <w:rFonts w:asciiTheme="minorHAnsi" w:hAnsiTheme="minorHAnsi"/>
          <w:color w:val="000000" w:themeColor="text1"/>
          <w:sz w:val="24"/>
          <w:szCs w:val="24"/>
          <w:lang w:val="pl-PL"/>
        </w:rPr>
        <w:t>.</w:t>
      </w:r>
    </w:p>
    <w:p w:rsidR="00DB3784" w:rsidRPr="00194E8E" w:rsidRDefault="00B43681" w:rsidP="0035339C">
      <w:pPr>
        <w:pStyle w:val="Akapitzlist"/>
        <w:spacing w:before="120" w:after="120" w:line="240" w:lineRule="auto"/>
        <w:ind w:left="0"/>
        <w:jc w:val="both"/>
        <w:rPr>
          <w:rFonts w:asciiTheme="minorHAnsi" w:hAnsiTheme="minorHAnsi"/>
          <w:sz w:val="24"/>
          <w:szCs w:val="24"/>
          <w:lang w:val="pl-PL"/>
        </w:rPr>
      </w:pPr>
      <w:r w:rsidRPr="00194E8E">
        <w:rPr>
          <w:rFonts w:asciiTheme="minorHAnsi" w:hAnsiTheme="minorHAnsi"/>
          <w:sz w:val="24"/>
          <w:szCs w:val="24"/>
          <w:lang w:val="pl-PL"/>
        </w:rPr>
        <w:t>Podobnie jak w 2020 r. również w 2021 r. wpływ na działalność Pełnomocnika i część realizowanych przez niego zadań miała szczególna sytuacja</w:t>
      </w:r>
      <w:r w:rsidR="00DB3784" w:rsidRPr="00194E8E">
        <w:rPr>
          <w:rFonts w:asciiTheme="minorHAnsi" w:hAnsiTheme="minorHAnsi"/>
          <w:sz w:val="24"/>
          <w:szCs w:val="24"/>
          <w:lang w:val="pl-PL"/>
        </w:rPr>
        <w:t xml:space="preserve"> spowodowan</w:t>
      </w:r>
      <w:r w:rsidRPr="00194E8E">
        <w:rPr>
          <w:rFonts w:asciiTheme="minorHAnsi" w:hAnsiTheme="minorHAnsi"/>
          <w:sz w:val="24"/>
          <w:szCs w:val="24"/>
          <w:lang w:val="pl-PL"/>
        </w:rPr>
        <w:t>a</w:t>
      </w:r>
      <w:r w:rsidR="00DB3784" w:rsidRPr="00194E8E">
        <w:rPr>
          <w:rFonts w:asciiTheme="minorHAnsi" w:hAnsiTheme="minorHAnsi"/>
          <w:sz w:val="24"/>
          <w:szCs w:val="24"/>
          <w:lang w:val="pl-PL"/>
        </w:rPr>
        <w:t xml:space="preserve"> wirusem SARS-Co</w:t>
      </w:r>
      <w:r w:rsidR="0086510C" w:rsidRPr="00194E8E">
        <w:rPr>
          <w:rFonts w:asciiTheme="minorHAnsi" w:hAnsiTheme="minorHAnsi"/>
          <w:sz w:val="24"/>
          <w:szCs w:val="24"/>
          <w:lang w:val="pl-PL"/>
        </w:rPr>
        <w:t>V</w:t>
      </w:r>
      <w:r w:rsidR="00DB3784" w:rsidRPr="00194E8E">
        <w:rPr>
          <w:rFonts w:asciiTheme="minorHAnsi" w:hAnsiTheme="minorHAnsi"/>
          <w:sz w:val="24"/>
          <w:szCs w:val="24"/>
          <w:lang w:val="pl-PL"/>
        </w:rPr>
        <w:t>-2</w:t>
      </w:r>
      <w:r w:rsidRPr="00194E8E">
        <w:rPr>
          <w:rFonts w:asciiTheme="minorHAnsi" w:hAnsiTheme="minorHAnsi"/>
          <w:sz w:val="24"/>
          <w:szCs w:val="24"/>
          <w:lang w:val="pl-PL"/>
        </w:rPr>
        <w:t xml:space="preserve">. </w:t>
      </w:r>
      <w:r w:rsidR="00DB3784" w:rsidRPr="00194E8E">
        <w:rPr>
          <w:rFonts w:asciiTheme="minorHAnsi" w:hAnsiTheme="minorHAnsi"/>
          <w:sz w:val="24"/>
          <w:szCs w:val="24"/>
          <w:lang w:val="pl-PL"/>
        </w:rPr>
        <w:t xml:space="preserve">Z uwagi na </w:t>
      </w:r>
      <w:r w:rsidRPr="00194E8E">
        <w:rPr>
          <w:rFonts w:asciiTheme="minorHAnsi" w:hAnsiTheme="minorHAnsi"/>
          <w:sz w:val="24"/>
          <w:szCs w:val="24"/>
          <w:lang w:val="pl-PL"/>
        </w:rPr>
        <w:t>nadal utrzymującą się</w:t>
      </w:r>
      <w:r w:rsidR="00486D4F" w:rsidRPr="00194E8E">
        <w:rPr>
          <w:rFonts w:asciiTheme="minorHAnsi" w:hAnsiTheme="minorHAnsi"/>
          <w:sz w:val="24"/>
          <w:szCs w:val="24"/>
          <w:lang w:val="pl-PL"/>
        </w:rPr>
        <w:t xml:space="preserve"> w kraju</w:t>
      </w:r>
      <w:r w:rsidRPr="00194E8E">
        <w:rPr>
          <w:rFonts w:asciiTheme="minorHAnsi" w:hAnsiTheme="minorHAnsi"/>
          <w:sz w:val="24"/>
          <w:szCs w:val="24"/>
          <w:lang w:val="pl-PL"/>
        </w:rPr>
        <w:t xml:space="preserve"> </w:t>
      </w:r>
      <w:r w:rsidR="00DB3784" w:rsidRPr="00194E8E">
        <w:rPr>
          <w:rFonts w:asciiTheme="minorHAnsi" w:hAnsiTheme="minorHAnsi"/>
          <w:sz w:val="24"/>
          <w:szCs w:val="24"/>
          <w:lang w:val="pl-PL"/>
        </w:rPr>
        <w:t xml:space="preserve">sytuację epidemiologiczną i związane z nią </w:t>
      </w:r>
      <w:r w:rsidRPr="00194E8E">
        <w:rPr>
          <w:rFonts w:asciiTheme="minorHAnsi" w:hAnsiTheme="minorHAnsi"/>
          <w:sz w:val="24"/>
          <w:szCs w:val="24"/>
          <w:lang w:val="pl-PL"/>
        </w:rPr>
        <w:t xml:space="preserve">ograniczenia </w:t>
      </w:r>
      <w:r w:rsidR="00DB3784" w:rsidRPr="00194E8E">
        <w:rPr>
          <w:rFonts w:asciiTheme="minorHAnsi" w:hAnsiTheme="minorHAnsi"/>
          <w:sz w:val="24"/>
          <w:szCs w:val="24"/>
          <w:lang w:val="pl-PL"/>
        </w:rPr>
        <w:t>oraz zmieniony tryb pracy administracji publicznej, niektóre w</w:t>
      </w:r>
      <w:r w:rsidRPr="00194E8E">
        <w:rPr>
          <w:rFonts w:asciiTheme="minorHAnsi" w:hAnsiTheme="minorHAnsi"/>
          <w:sz w:val="24"/>
          <w:szCs w:val="24"/>
          <w:lang w:val="pl-PL"/>
        </w:rPr>
        <w:t xml:space="preserve">ydarzenia, organizowane </w:t>
      </w:r>
      <w:r w:rsidR="00DB3784" w:rsidRPr="00194E8E">
        <w:rPr>
          <w:rFonts w:asciiTheme="minorHAnsi" w:hAnsiTheme="minorHAnsi"/>
          <w:sz w:val="24"/>
          <w:szCs w:val="24"/>
          <w:lang w:val="pl-PL"/>
        </w:rPr>
        <w:t xml:space="preserve">przez Pełnomocnika nie odbyły się bądź odbywały się w formule zdalnej lub </w:t>
      </w:r>
      <w:r w:rsidRPr="00194E8E">
        <w:rPr>
          <w:rFonts w:asciiTheme="minorHAnsi" w:hAnsiTheme="minorHAnsi"/>
          <w:sz w:val="24"/>
          <w:szCs w:val="24"/>
          <w:lang w:val="pl-PL"/>
        </w:rPr>
        <w:t xml:space="preserve">ich zakres został stosownie </w:t>
      </w:r>
      <w:r w:rsidR="00DB3784" w:rsidRPr="00194E8E">
        <w:rPr>
          <w:rFonts w:asciiTheme="minorHAnsi" w:hAnsiTheme="minorHAnsi"/>
          <w:sz w:val="24"/>
          <w:szCs w:val="24"/>
          <w:lang w:val="pl-PL"/>
        </w:rPr>
        <w:t>ograniczony. W szczególności sytuacja epidemiologiczna uniemożliwiła organizację kolejnej edycji Seminarium Warszawskiego</w:t>
      </w:r>
      <w:r w:rsidRPr="00194E8E">
        <w:rPr>
          <w:rFonts w:asciiTheme="minorHAnsi" w:hAnsiTheme="minorHAnsi"/>
          <w:sz w:val="24"/>
          <w:szCs w:val="24"/>
          <w:lang w:val="pl-PL"/>
        </w:rPr>
        <w:t xml:space="preserve">. </w:t>
      </w:r>
      <w:r w:rsidR="00DB3784" w:rsidRPr="00194E8E">
        <w:rPr>
          <w:rFonts w:asciiTheme="minorHAnsi" w:hAnsiTheme="minorHAnsi"/>
          <w:sz w:val="24"/>
          <w:szCs w:val="24"/>
          <w:lang w:val="pl-PL"/>
        </w:rPr>
        <w:t>Z powyższych względów w 202</w:t>
      </w:r>
      <w:r w:rsidRPr="00194E8E">
        <w:rPr>
          <w:rFonts w:asciiTheme="minorHAnsi" w:hAnsiTheme="minorHAnsi"/>
          <w:sz w:val="24"/>
          <w:szCs w:val="24"/>
          <w:lang w:val="pl-PL"/>
        </w:rPr>
        <w:t>1</w:t>
      </w:r>
      <w:r w:rsidR="00DB3784" w:rsidRPr="00194E8E">
        <w:rPr>
          <w:rFonts w:asciiTheme="minorHAnsi" w:hAnsiTheme="minorHAnsi"/>
          <w:sz w:val="24"/>
          <w:szCs w:val="24"/>
          <w:lang w:val="pl-PL"/>
        </w:rPr>
        <w:t xml:space="preserve"> r. nie organizowano także wizyt studyjnych i delegacji (</w:t>
      </w:r>
      <w:r w:rsidR="00DB3784" w:rsidRPr="00194E8E">
        <w:rPr>
          <w:rFonts w:asciiTheme="minorHAnsi" w:hAnsiTheme="minorHAnsi"/>
          <w:i/>
          <w:sz w:val="24"/>
          <w:szCs w:val="24"/>
          <w:lang w:val="pl-PL"/>
        </w:rPr>
        <w:t>secondment</w:t>
      </w:r>
      <w:r w:rsidR="00DB2723" w:rsidRPr="00194E8E">
        <w:rPr>
          <w:rFonts w:asciiTheme="minorHAnsi" w:hAnsiTheme="minorHAnsi"/>
          <w:i/>
          <w:sz w:val="24"/>
          <w:szCs w:val="24"/>
          <w:lang w:val="pl-PL"/>
        </w:rPr>
        <w:t>s</w:t>
      </w:r>
      <w:r w:rsidR="00DB3784" w:rsidRPr="00194E8E">
        <w:rPr>
          <w:rFonts w:asciiTheme="minorHAnsi" w:hAnsiTheme="minorHAnsi"/>
          <w:sz w:val="24"/>
          <w:szCs w:val="24"/>
          <w:lang w:val="pl-PL"/>
        </w:rPr>
        <w:t xml:space="preserve">) do Rady Europy i </w:t>
      </w:r>
      <w:r w:rsidR="00BA13ED">
        <w:rPr>
          <w:rFonts w:asciiTheme="minorHAnsi" w:hAnsiTheme="minorHAnsi"/>
          <w:sz w:val="24"/>
          <w:szCs w:val="24"/>
          <w:lang w:val="pl-PL"/>
        </w:rPr>
        <w:t>ETPC</w:t>
      </w:r>
      <w:r w:rsidR="00DB3784" w:rsidRPr="00194E8E">
        <w:rPr>
          <w:rFonts w:asciiTheme="minorHAnsi" w:hAnsiTheme="minorHAnsi"/>
          <w:sz w:val="24"/>
          <w:szCs w:val="24"/>
          <w:lang w:val="pl-PL"/>
        </w:rPr>
        <w:t xml:space="preserve">. Ponadto nie prowadzono </w:t>
      </w:r>
      <w:r w:rsidRPr="00194E8E">
        <w:rPr>
          <w:rFonts w:asciiTheme="minorHAnsi" w:hAnsiTheme="minorHAnsi"/>
          <w:sz w:val="24"/>
          <w:szCs w:val="24"/>
          <w:lang w:val="pl-PL"/>
        </w:rPr>
        <w:t xml:space="preserve">lub prowadzono w ograniczonym zakresie </w:t>
      </w:r>
      <w:r w:rsidR="00DB3784" w:rsidRPr="00194E8E">
        <w:rPr>
          <w:rFonts w:asciiTheme="minorHAnsi" w:hAnsiTheme="minorHAnsi"/>
          <w:sz w:val="24"/>
          <w:szCs w:val="24"/>
          <w:lang w:val="pl-PL"/>
        </w:rPr>
        <w:t>działa</w:t>
      </w:r>
      <w:r w:rsidRPr="00194E8E">
        <w:rPr>
          <w:rFonts w:asciiTheme="minorHAnsi" w:hAnsiTheme="minorHAnsi"/>
          <w:sz w:val="24"/>
          <w:szCs w:val="24"/>
          <w:lang w:val="pl-PL"/>
        </w:rPr>
        <w:t>nia</w:t>
      </w:r>
      <w:r w:rsidR="00DB3784" w:rsidRPr="00194E8E">
        <w:rPr>
          <w:rFonts w:asciiTheme="minorHAnsi" w:hAnsiTheme="minorHAnsi"/>
          <w:sz w:val="24"/>
          <w:szCs w:val="24"/>
          <w:lang w:val="pl-PL"/>
        </w:rPr>
        <w:t xml:space="preserve"> związan</w:t>
      </w:r>
      <w:r w:rsidRPr="00194E8E">
        <w:rPr>
          <w:rFonts w:asciiTheme="minorHAnsi" w:hAnsiTheme="minorHAnsi"/>
          <w:sz w:val="24"/>
          <w:szCs w:val="24"/>
          <w:lang w:val="pl-PL"/>
        </w:rPr>
        <w:t>e</w:t>
      </w:r>
      <w:r w:rsidR="00DB3784" w:rsidRPr="00194E8E">
        <w:rPr>
          <w:rFonts w:asciiTheme="minorHAnsi" w:hAnsiTheme="minorHAnsi"/>
          <w:sz w:val="24"/>
          <w:szCs w:val="24"/>
          <w:lang w:val="pl-PL"/>
        </w:rPr>
        <w:t xml:space="preserve"> ze szkoleniami i debatami poświęconymi tematyce Konwencji. Panująca sytuacja epidemiologiczna wpłynęła również na sposób realizacji zadań Zespołu ds. ETPC</w:t>
      </w:r>
      <w:r w:rsidRPr="00194E8E">
        <w:rPr>
          <w:rFonts w:asciiTheme="minorHAnsi" w:hAnsiTheme="minorHAnsi"/>
          <w:sz w:val="24"/>
          <w:szCs w:val="24"/>
          <w:lang w:val="pl-PL"/>
        </w:rPr>
        <w:t xml:space="preserve">. Wszystkie </w:t>
      </w:r>
      <w:r w:rsidR="00486D4F" w:rsidRPr="00194E8E">
        <w:rPr>
          <w:rFonts w:asciiTheme="minorHAnsi" w:hAnsiTheme="minorHAnsi"/>
          <w:sz w:val="24"/>
          <w:szCs w:val="24"/>
          <w:lang w:val="pl-PL"/>
        </w:rPr>
        <w:t xml:space="preserve">cztery </w:t>
      </w:r>
      <w:r w:rsidRPr="00194E8E">
        <w:rPr>
          <w:rFonts w:asciiTheme="minorHAnsi" w:hAnsiTheme="minorHAnsi"/>
          <w:sz w:val="24"/>
          <w:szCs w:val="24"/>
          <w:lang w:val="pl-PL"/>
        </w:rPr>
        <w:t>posiedzenia Zespołu, podobnie jak w 2020 r.</w:t>
      </w:r>
      <w:r w:rsidR="0035339C">
        <w:rPr>
          <w:rFonts w:asciiTheme="minorHAnsi" w:hAnsiTheme="minorHAnsi"/>
          <w:sz w:val="24"/>
          <w:szCs w:val="24"/>
          <w:lang w:val="pl-PL"/>
        </w:rPr>
        <w:t>,</w:t>
      </w:r>
      <w:r w:rsidRPr="00194E8E">
        <w:rPr>
          <w:rFonts w:asciiTheme="minorHAnsi" w:hAnsiTheme="minorHAnsi"/>
          <w:sz w:val="24"/>
          <w:szCs w:val="24"/>
          <w:lang w:val="pl-PL"/>
        </w:rPr>
        <w:t xml:space="preserve"> odbyły się w formule wideokonferencji. </w:t>
      </w:r>
      <w:r w:rsidR="00DB3784" w:rsidRPr="00194E8E">
        <w:rPr>
          <w:rFonts w:asciiTheme="minorHAnsi" w:hAnsiTheme="minorHAnsi"/>
          <w:sz w:val="24"/>
          <w:szCs w:val="24"/>
          <w:lang w:val="pl-PL"/>
        </w:rPr>
        <w:t>Niemniej,</w:t>
      </w:r>
      <w:r w:rsidRPr="00194E8E">
        <w:rPr>
          <w:rFonts w:asciiTheme="minorHAnsi" w:hAnsiTheme="minorHAnsi"/>
          <w:sz w:val="24"/>
          <w:szCs w:val="24"/>
          <w:lang w:val="pl-PL"/>
        </w:rPr>
        <w:t xml:space="preserve"> bazując już na doświadczeniach z roku 2020, również w 2021 r. </w:t>
      </w:r>
      <w:r w:rsidR="00DB3784" w:rsidRPr="00194E8E">
        <w:rPr>
          <w:rFonts w:asciiTheme="minorHAnsi" w:hAnsiTheme="minorHAnsi"/>
          <w:sz w:val="24"/>
          <w:szCs w:val="24"/>
          <w:lang w:val="pl-PL"/>
        </w:rPr>
        <w:t xml:space="preserve">Pełnomocnik dostosował tryb pracy do nałożonych ograniczeń epidemiologiczno-sanitarnych i kontynuował realizację najważniejszych zadań w zakresie wykonywania orzeczeń </w:t>
      </w:r>
      <w:r w:rsidR="00BA13ED">
        <w:rPr>
          <w:rFonts w:asciiTheme="minorHAnsi" w:hAnsiTheme="minorHAnsi"/>
          <w:sz w:val="24"/>
          <w:szCs w:val="24"/>
          <w:lang w:val="pl-PL"/>
        </w:rPr>
        <w:t>ETPC</w:t>
      </w:r>
      <w:r w:rsidR="00DB3784" w:rsidRPr="00194E8E">
        <w:rPr>
          <w:rFonts w:asciiTheme="minorHAnsi" w:hAnsiTheme="minorHAnsi"/>
          <w:sz w:val="24"/>
          <w:szCs w:val="24"/>
          <w:lang w:val="pl-PL"/>
        </w:rPr>
        <w:t xml:space="preserve"> oraz prowadził działania mające na celu upowszechni</w:t>
      </w:r>
      <w:r w:rsidR="00E9305C" w:rsidRPr="00194E8E">
        <w:rPr>
          <w:rFonts w:asciiTheme="minorHAnsi" w:hAnsiTheme="minorHAnsi"/>
          <w:sz w:val="24"/>
          <w:szCs w:val="24"/>
          <w:lang w:val="pl-PL"/>
        </w:rPr>
        <w:t>ani</w:t>
      </w:r>
      <w:r w:rsidR="00162114" w:rsidRPr="00194E8E">
        <w:rPr>
          <w:rFonts w:asciiTheme="minorHAnsi" w:hAnsiTheme="minorHAnsi"/>
          <w:sz w:val="24"/>
          <w:szCs w:val="24"/>
          <w:lang w:val="pl-PL"/>
        </w:rPr>
        <w:t>e</w:t>
      </w:r>
      <w:r w:rsidR="00DB3784" w:rsidRPr="00194E8E">
        <w:rPr>
          <w:rFonts w:asciiTheme="minorHAnsi" w:hAnsiTheme="minorHAnsi"/>
          <w:sz w:val="24"/>
          <w:szCs w:val="24"/>
          <w:lang w:val="pl-PL"/>
        </w:rPr>
        <w:t xml:space="preserve"> orzecznictwa </w:t>
      </w:r>
      <w:r w:rsidR="00BA13ED">
        <w:rPr>
          <w:rFonts w:asciiTheme="minorHAnsi" w:hAnsiTheme="minorHAnsi"/>
          <w:sz w:val="24"/>
          <w:szCs w:val="24"/>
          <w:lang w:val="pl-PL"/>
        </w:rPr>
        <w:t>ETPC</w:t>
      </w:r>
      <w:r w:rsidR="00DB3784" w:rsidRPr="00194E8E">
        <w:rPr>
          <w:rFonts w:asciiTheme="minorHAnsi" w:hAnsiTheme="minorHAnsi"/>
          <w:sz w:val="24"/>
          <w:szCs w:val="24"/>
          <w:lang w:val="pl-PL"/>
        </w:rPr>
        <w:t xml:space="preserve">. </w:t>
      </w:r>
    </w:p>
    <w:p w:rsidR="00ED0BCD" w:rsidRPr="00194E8E" w:rsidRDefault="00ED0BCD" w:rsidP="0035339C">
      <w:pPr>
        <w:pStyle w:val="Akapitzlist"/>
        <w:spacing w:before="120" w:after="120" w:line="240" w:lineRule="auto"/>
        <w:ind w:left="0"/>
        <w:jc w:val="both"/>
        <w:rPr>
          <w:rFonts w:asciiTheme="minorHAnsi" w:hAnsiTheme="minorHAnsi"/>
          <w:sz w:val="24"/>
          <w:szCs w:val="24"/>
          <w:lang w:val="pl-PL"/>
        </w:rPr>
      </w:pPr>
      <w:r w:rsidRPr="00194E8E">
        <w:rPr>
          <w:rFonts w:asciiTheme="minorHAnsi" w:hAnsiTheme="minorHAnsi"/>
          <w:sz w:val="24"/>
          <w:szCs w:val="24"/>
          <w:lang w:val="pl-PL"/>
        </w:rPr>
        <w:t>Pełnomocnik zapewnił reprezentację Polski w sumie w 558 postępowaniach przed ETPC i innymi międzynarodowymi organami ochrony praw człowieka oraz koordynował proces wykonywania orzeczeń ETPC w 9</w:t>
      </w:r>
      <w:r w:rsidR="00735F7F" w:rsidRPr="00194E8E">
        <w:rPr>
          <w:rFonts w:asciiTheme="minorHAnsi" w:hAnsiTheme="minorHAnsi"/>
          <w:sz w:val="24"/>
          <w:szCs w:val="24"/>
          <w:lang w:val="pl-PL"/>
        </w:rPr>
        <w:t>7</w:t>
      </w:r>
      <w:r w:rsidRPr="00194E8E">
        <w:rPr>
          <w:rFonts w:asciiTheme="minorHAnsi" w:hAnsiTheme="minorHAnsi"/>
          <w:sz w:val="24"/>
          <w:szCs w:val="24"/>
          <w:lang w:val="pl-PL"/>
        </w:rPr>
        <w:t xml:space="preserve"> sprawach, a także zapewnił obsługę procedury </w:t>
      </w:r>
      <w:r w:rsidRPr="00194E8E">
        <w:rPr>
          <w:rFonts w:asciiTheme="minorHAnsi" w:hAnsiTheme="minorHAnsi"/>
          <w:sz w:val="24"/>
          <w:szCs w:val="24"/>
          <w:lang w:val="pl-PL"/>
        </w:rPr>
        <w:lastRenderedPageBreak/>
        <w:t>monitoringowej Komisarza Praw Człowieka RE wobec Polski. Na koniec 2021 r. zapewniono reprezentację w</w:t>
      </w:r>
      <w:r w:rsidR="00616AEF">
        <w:rPr>
          <w:rFonts w:asciiTheme="minorHAnsi" w:hAnsiTheme="minorHAnsi"/>
          <w:sz w:val="24"/>
          <w:szCs w:val="24"/>
          <w:lang w:val="pl-PL"/>
        </w:rPr>
        <w:t xml:space="preserve"> </w:t>
      </w:r>
      <w:r w:rsidRPr="00194E8E">
        <w:rPr>
          <w:rFonts w:asciiTheme="minorHAnsi" w:hAnsiTheme="minorHAnsi"/>
          <w:sz w:val="24"/>
          <w:szCs w:val="24"/>
          <w:lang w:val="pl-PL"/>
        </w:rPr>
        <w:t xml:space="preserve">odniesieniu do ogółem 505 skarg zawisłych przed ETPC, 51 </w:t>
      </w:r>
      <w:r w:rsidR="00B64A1B" w:rsidRPr="00194E8E">
        <w:rPr>
          <w:rFonts w:asciiTheme="minorHAnsi" w:hAnsiTheme="minorHAnsi"/>
          <w:sz w:val="24"/>
          <w:szCs w:val="24"/>
          <w:lang w:val="pl-PL"/>
        </w:rPr>
        <w:t>spraw, w których ETPC zastosował środki tymczasowe</w:t>
      </w:r>
      <w:r w:rsidRPr="00194E8E">
        <w:rPr>
          <w:rFonts w:asciiTheme="minorHAnsi" w:hAnsiTheme="minorHAnsi"/>
          <w:sz w:val="24"/>
          <w:szCs w:val="24"/>
          <w:lang w:val="pl-PL"/>
        </w:rPr>
        <w:t xml:space="preserve"> oraz 2 spraw przed organami ONZ. Zbadano zasadność interwencji w 2 postępowaniach przed ETPC prowadzonych przeciwko innym państwom ze skargi obywatela RP oraz wnioskowano o dopuszczenie interwencji z uwagi na interes wymiaru sprawiedliwości w jednej sprawie przeciwko innemu państwu (sprawa </w:t>
      </w:r>
      <w:r w:rsidRPr="00194E8E">
        <w:rPr>
          <w:rFonts w:asciiTheme="minorHAnsi" w:hAnsiTheme="minorHAnsi"/>
          <w:i/>
          <w:sz w:val="24"/>
          <w:szCs w:val="24"/>
          <w:lang w:val="pl-PL"/>
        </w:rPr>
        <w:t xml:space="preserve">Ukraina p. </w:t>
      </w:r>
      <w:r w:rsidRPr="00FF5333">
        <w:rPr>
          <w:rFonts w:asciiTheme="minorHAnsi" w:hAnsiTheme="minorHAnsi"/>
          <w:i/>
          <w:sz w:val="24"/>
          <w:szCs w:val="24"/>
          <w:lang w:val="pl-PL"/>
        </w:rPr>
        <w:t>Rosji</w:t>
      </w:r>
      <w:r w:rsidRPr="00FF5333">
        <w:rPr>
          <w:rFonts w:asciiTheme="minorHAnsi" w:hAnsiTheme="minorHAnsi"/>
          <w:sz w:val="24"/>
          <w:szCs w:val="24"/>
          <w:lang w:val="pl-PL"/>
        </w:rPr>
        <w:t>). Dzięki skutecznej reprezentacji procesowej uzyskano korzystne orzeczenia ETPC w</w:t>
      </w:r>
      <w:r w:rsidR="00616AEF" w:rsidRPr="00FF5333">
        <w:rPr>
          <w:rFonts w:asciiTheme="minorHAnsi" w:hAnsiTheme="minorHAnsi"/>
          <w:sz w:val="24"/>
          <w:szCs w:val="24"/>
          <w:lang w:val="pl-PL"/>
        </w:rPr>
        <w:t xml:space="preserve"> </w:t>
      </w:r>
      <w:r w:rsidRPr="00FF5333">
        <w:rPr>
          <w:rFonts w:asciiTheme="minorHAnsi" w:hAnsiTheme="minorHAnsi"/>
          <w:sz w:val="24"/>
          <w:szCs w:val="24"/>
          <w:lang w:val="pl-PL"/>
        </w:rPr>
        <w:t>odniesieniu do 26 zakomunikowanych skarg. W 2021 r. ETPC wydał w sumie 5</w:t>
      </w:r>
      <w:r w:rsidR="00484290" w:rsidRPr="00FF5333">
        <w:rPr>
          <w:rFonts w:asciiTheme="minorHAnsi" w:hAnsiTheme="minorHAnsi"/>
          <w:sz w:val="24"/>
          <w:szCs w:val="24"/>
          <w:lang w:val="pl-PL"/>
        </w:rPr>
        <w:t>7</w:t>
      </w:r>
      <w:r w:rsidRPr="00FF5333">
        <w:rPr>
          <w:rFonts w:asciiTheme="minorHAnsi" w:hAnsiTheme="minorHAnsi"/>
          <w:sz w:val="24"/>
          <w:szCs w:val="24"/>
          <w:lang w:val="pl-PL"/>
        </w:rPr>
        <w:t xml:space="preserve"> orzeczeń niekorzystnych i 29 orzeczeń </w:t>
      </w:r>
      <w:r w:rsidR="00CD4849" w:rsidRPr="00FF5333">
        <w:rPr>
          <w:rFonts w:asciiTheme="minorHAnsi" w:hAnsiTheme="minorHAnsi"/>
          <w:sz w:val="24"/>
          <w:szCs w:val="24"/>
          <w:lang w:val="pl-PL"/>
        </w:rPr>
        <w:t>korzystnych dla R</w:t>
      </w:r>
      <w:r w:rsidRPr="00FF5333">
        <w:rPr>
          <w:rFonts w:asciiTheme="minorHAnsi" w:hAnsiTheme="minorHAnsi"/>
          <w:sz w:val="24"/>
          <w:szCs w:val="24"/>
          <w:lang w:val="pl-PL"/>
        </w:rPr>
        <w:t>ządu</w:t>
      </w:r>
      <w:r w:rsidR="00484290" w:rsidRPr="00FF5333">
        <w:rPr>
          <w:rFonts w:asciiTheme="minorHAnsi" w:hAnsiTheme="minorHAnsi"/>
          <w:sz w:val="24"/>
          <w:szCs w:val="24"/>
          <w:lang w:val="pl-PL"/>
        </w:rPr>
        <w:t>, 1 decyzję o charakterze wznowieniowym</w:t>
      </w:r>
      <w:r w:rsidRPr="00FF5333">
        <w:rPr>
          <w:rFonts w:asciiTheme="minorHAnsi" w:hAnsiTheme="minorHAnsi"/>
          <w:sz w:val="24"/>
          <w:szCs w:val="24"/>
          <w:lang w:val="pl-PL"/>
        </w:rPr>
        <w:t xml:space="preserve"> oraz 1 orzeczenie częściowo korzystne, a częściowo niekorzystne.</w:t>
      </w:r>
      <w:r w:rsidRPr="00194E8E">
        <w:rPr>
          <w:rFonts w:asciiTheme="minorHAnsi" w:hAnsiTheme="minorHAnsi"/>
          <w:sz w:val="24"/>
          <w:szCs w:val="24"/>
          <w:lang w:val="pl-PL"/>
        </w:rPr>
        <w:t xml:space="preserve"> </w:t>
      </w:r>
    </w:p>
    <w:p w:rsidR="00ED0BCD" w:rsidRPr="00194E8E" w:rsidRDefault="00ED0BCD" w:rsidP="0035339C">
      <w:pPr>
        <w:pStyle w:val="Akapitzlist"/>
        <w:spacing w:before="120" w:after="120" w:line="240" w:lineRule="auto"/>
        <w:ind w:left="0"/>
        <w:jc w:val="both"/>
        <w:rPr>
          <w:rFonts w:asciiTheme="minorHAnsi" w:hAnsiTheme="minorHAnsi"/>
          <w:sz w:val="24"/>
          <w:szCs w:val="24"/>
          <w:lang w:val="pl-PL"/>
        </w:rPr>
      </w:pPr>
      <w:r w:rsidRPr="00194E8E">
        <w:rPr>
          <w:rFonts w:asciiTheme="minorHAnsi" w:hAnsiTheme="minorHAnsi"/>
          <w:sz w:val="24"/>
          <w:szCs w:val="24"/>
          <w:lang w:val="pl-PL"/>
        </w:rPr>
        <w:t xml:space="preserve">W 2021 r. </w:t>
      </w:r>
      <w:r w:rsidR="0035339C">
        <w:rPr>
          <w:rFonts w:asciiTheme="minorHAnsi" w:hAnsiTheme="minorHAnsi"/>
          <w:sz w:val="24"/>
          <w:szCs w:val="24"/>
          <w:lang w:val="pl-PL"/>
        </w:rPr>
        <w:t>o</w:t>
      </w:r>
      <w:r w:rsidRPr="00194E8E">
        <w:rPr>
          <w:rFonts w:asciiTheme="minorHAnsi" w:hAnsiTheme="minorHAnsi"/>
          <w:sz w:val="24"/>
          <w:szCs w:val="24"/>
          <w:lang w:val="pl-PL"/>
        </w:rPr>
        <w:t xml:space="preserve">prócz spraw </w:t>
      </w:r>
      <w:r w:rsidR="0035339C">
        <w:rPr>
          <w:rFonts w:asciiTheme="minorHAnsi" w:hAnsiTheme="minorHAnsi"/>
          <w:sz w:val="24"/>
          <w:szCs w:val="24"/>
          <w:lang w:val="pl-PL"/>
        </w:rPr>
        <w:t>dotyczących kwestii powtarzalnych</w:t>
      </w:r>
      <w:r w:rsidRPr="00194E8E">
        <w:rPr>
          <w:rFonts w:asciiTheme="minorHAnsi" w:hAnsiTheme="minorHAnsi"/>
          <w:sz w:val="24"/>
          <w:szCs w:val="24"/>
          <w:lang w:val="pl-PL"/>
        </w:rPr>
        <w:t xml:space="preserve">, na czele z przewlekłością postępowań sądowych (ok. 140 nowych skarg), Pełnomocnik przygotowywał stanowiska procesowe w wielu nowych skomplikowanych merytorycznie sprawach, m.in. dotyczących różnych aspektów reformy wymiaru sprawiedliwości (11 nowych skarg, dotyczących m.in. odwołań prezesów sądów, przeniesień sędziów, postępowań dyscyplinarnych, uchyleń immunitetów sędziów i prokuratorów, statusu sędziów powołanych przy udziale </w:t>
      </w:r>
      <w:r w:rsidR="0035339C">
        <w:rPr>
          <w:rFonts w:asciiTheme="minorHAnsi" w:hAnsiTheme="minorHAnsi"/>
          <w:sz w:val="24"/>
          <w:szCs w:val="24"/>
          <w:lang w:val="pl-PL"/>
        </w:rPr>
        <w:t>zreformowanej</w:t>
      </w:r>
      <w:r w:rsidRPr="00194E8E">
        <w:rPr>
          <w:rFonts w:asciiTheme="minorHAnsi" w:hAnsiTheme="minorHAnsi"/>
          <w:sz w:val="24"/>
          <w:szCs w:val="24"/>
          <w:lang w:val="pl-PL"/>
        </w:rPr>
        <w:t xml:space="preserve"> KRS, oświadczeń majątkowych sędziów, wcześniejszej emerytury sędziów-kobiet</w:t>
      </w:r>
      <w:r w:rsidR="00735F7F" w:rsidRPr="00194E8E">
        <w:rPr>
          <w:rFonts w:asciiTheme="minorHAnsi" w:hAnsiTheme="minorHAnsi"/>
          <w:sz w:val="24"/>
          <w:szCs w:val="24"/>
          <w:lang w:val="pl-PL"/>
        </w:rPr>
        <w:t>;</w:t>
      </w:r>
      <w:r w:rsidR="00FD4FB1" w:rsidRPr="00194E8E">
        <w:rPr>
          <w:rFonts w:asciiTheme="minorHAnsi" w:hAnsiTheme="minorHAnsi"/>
          <w:sz w:val="24"/>
          <w:szCs w:val="24"/>
          <w:lang w:val="pl-PL"/>
        </w:rPr>
        <w:t xml:space="preserve"> 14 skarg dotyczących składu Trybunału Konstytucyjnego</w:t>
      </w:r>
      <w:r w:rsidRPr="00194E8E">
        <w:rPr>
          <w:rFonts w:asciiTheme="minorHAnsi" w:hAnsiTheme="minorHAnsi"/>
          <w:sz w:val="24"/>
          <w:szCs w:val="24"/>
          <w:lang w:val="pl-PL"/>
        </w:rPr>
        <w:t xml:space="preserve">), obniżenia emerytur </w:t>
      </w:r>
      <w:r w:rsidR="00FD4FB1" w:rsidRPr="00194E8E">
        <w:rPr>
          <w:rFonts w:asciiTheme="minorHAnsi" w:hAnsiTheme="minorHAnsi"/>
          <w:sz w:val="24"/>
          <w:szCs w:val="24"/>
          <w:lang w:val="pl-PL"/>
        </w:rPr>
        <w:t>byłych funkcjonariuszy Służb Bezpieczeństwa PRL</w:t>
      </w:r>
      <w:r w:rsidRPr="00194E8E">
        <w:rPr>
          <w:rFonts w:asciiTheme="minorHAnsi" w:hAnsiTheme="minorHAnsi"/>
          <w:sz w:val="24"/>
          <w:szCs w:val="24"/>
          <w:lang w:val="pl-PL"/>
        </w:rPr>
        <w:t xml:space="preserve"> (2</w:t>
      </w:r>
      <w:r w:rsidR="00FD4FB1" w:rsidRPr="00194E8E">
        <w:rPr>
          <w:rFonts w:asciiTheme="minorHAnsi" w:hAnsiTheme="minorHAnsi"/>
          <w:sz w:val="24"/>
          <w:szCs w:val="24"/>
          <w:lang w:val="pl-PL"/>
        </w:rPr>
        <w:t>7</w:t>
      </w:r>
      <w:r w:rsidRPr="00194E8E">
        <w:rPr>
          <w:rFonts w:asciiTheme="minorHAnsi" w:hAnsiTheme="minorHAnsi"/>
          <w:sz w:val="24"/>
          <w:szCs w:val="24"/>
          <w:lang w:val="pl-PL"/>
        </w:rPr>
        <w:t xml:space="preserve"> skarg), </w:t>
      </w:r>
      <w:r w:rsidR="0035339C">
        <w:rPr>
          <w:rFonts w:asciiTheme="minorHAnsi" w:hAnsiTheme="minorHAnsi"/>
          <w:sz w:val="24"/>
          <w:szCs w:val="24"/>
          <w:lang w:val="pl-PL"/>
        </w:rPr>
        <w:t xml:space="preserve">zabiegów </w:t>
      </w:r>
      <w:r w:rsidRPr="0035339C">
        <w:rPr>
          <w:rFonts w:asciiTheme="minorHAnsi" w:hAnsiTheme="minorHAnsi"/>
          <w:sz w:val="24"/>
          <w:szCs w:val="24"/>
          <w:lang w:val="pl-PL"/>
        </w:rPr>
        <w:t>przer</w:t>
      </w:r>
      <w:r w:rsidR="0035339C" w:rsidRPr="0035339C">
        <w:rPr>
          <w:rFonts w:asciiTheme="minorHAnsi" w:hAnsiTheme="minorHAnsi"/>
          <w:sz w:val="24"/>
          <w:szCs w:val="24"/>
          <w:lang w:val="pl-PL"/>
        </w:rPr>
        <w:t>y</w:t>
      </w:r>
      <w:r w:rsidRPr="0035339C">
        <w:rPr>
          <w:rFonts w:asciiTheme="minorHAnsi" w:hAnsiTheme="minorHAnsi"/>
          <w:sz w:val="24"/>
          <w:szCs w:val="24"/>
          <w:lang w:val="pl-PL"/>
        </w:rPr>
        <w:t>wania ciąży</w:t>
      </w:r>
      <w:r w:rsidR="00FD4FB1" w:rsidRPr="0035339C">
        <w:rPr>
          <w:rFonts w:asciiTheme="minorHAnsi" w:hAnsiTheme="minorHAnsi"/>
          <w:sz w:val="24"/>
          <w:szCs w:val="24"/>
          <w:lang w:val="pl-PL"/>
        </w:rPr>
        <w:t xml:space="preserve"> </w:t>
      </w:r>
      <w:r w:rsidRPr="0035339C">
        <w:rPr>
          <w:rFonts w:asciiTheme="minorHAnsi" w:hAnsiTheme="minorHAnsi"/>
          <w:sz w:val="24"/>
          <w:szCs w:val="24"/>
          <w:lang w:val="pl-PL"/>
        </w:rPr>
        <w:t>(13 n</w:t>
      </w:r>
      <w:r w:rsidRPr="00194E8E">
        <w:rPr>
          <w:rFonts w:asciiTheme="minorHAnsi" w:hAnsiTheme="minorHAnsi"/>
          <w:sz w:val="24"/>
          <w:szCs w:val="24"/>
          <w:lang w:val="pl-PL"/>
        </w:rPr>
        <w:t>owych skarg</w:t>
      </w:r>
      <w:r w:rsidR="00735F7F" w:rsidRPr="00194E8E">
        <w:rPr>
          <w:rFonts w:asciiTheme="minorHAnsi" w:hAnsiTheme="minorHAnsi"/>
          <w:sz w:val="24"/>
          <w:szCs w:val="24"/>
          <w:lang w:val="pl-PL"/>
        </w:rPr>
        <w:t>;</w:t>
      </w:r>
      <w:r w:rsidRPr="00194E8E">
        <w:rPr>
          <w:rFonts w:asciiTheme="minorHAnsi" w:hAnsiTheme="minorHAnsi"/>
          <w:sz w:val="24"/>
          <w:szCs w:val="24"/>
          <w:lang w:val="pl-PL"/>
        </w:rPr>
        <w:t xml:space="preserve"> ponadto do ETPC wpłynęło ok</w:t>
      </w:r>
      <w:r w:rsidR="00735F7F" w:rsidRPr="00194E8E">
        <w:rPr>
          <w:rFonts w:asciiTheme="minorHAnsi" w:hAnsiTheme="minorHAnsi"/>
          <w:sz w:val="24"/>
          <w:szCs w:val="24"/>
          <w:lang w:val="pl-PL"/>
        </w:rPr>
        <w:t>oło</w:t>
      </w:r>
      <w:r w:rsidRPr="00194E8E">
        <w:rPr>
          <w:rFonts w:asciiTheme="minorHAnsi" w:hAnsiTheme="minorHAnsi"/>
          <w:sz w:val="24"/>
          <w:szCs w:val="24"/>
          <w:lang w:val="pl-PL"/>
        </w:rPr>
        <w:t xml:space="preserve"> 1000 skarg dotyczących skutków wyroku Trybunału Konstytucyjnego w sprawie przesłanek </w:t>
      </w:r>
      <w:r w:rsidR="0035339C">
        <w:rPr>
          <w:rFonts w:asciiTheme="minorHAnsi" w:hAnsiTheme="minorHAnsi"/>
          <w:sz w:val="24"/>
          <w:szCs w:val="24"/>
          <w:lang w:val="pl-PL"/>
        </w:rPr>
        <w:t>zabiegu przerywani</w:t>
      </w:r>
      <w:r w:rsidR="008A0A0A">
        <w:rPr>
          <w:rFonts w:asciiTheme="minorHAnsi" w:hAnsiTheme="minorHAnsi"/>
          <w:sz w:val="24"/>
          <w:szCs w:val="24"/>
          <w:lang w:val="pl-PL"/>
        </w:rPr>
        <w:t>a</w:t>
      </w:r>
      <w:r w:rsidR="0035339C">
        <w:rPr>
          <w:rFonts w:asciiTheme="minorHAnsi" w:hAnsiTheme="minorHAnsi"/>
          <w:sz w:val="24"/>
          <w:szCs w:val="24"/>
          <w:lang w:val="pl-PL"/>
        </w:rPr>
        <w:t xml:space="preserve"> ciąży</w:t>
      </w:r>
      <w:r w:rsidRPr="00194E8E">
        <w:rPr>
          <w:rFonts w:asciiTheme="minorHAnsi" w:hAnsiTheme="minorHAnsi"/>
          <w:sz w:val="24"/>
          <w:szCs w:val="24"/>
          <w:lang w:val="pl-PL"/>
        </w:rPr>
        <w:t xml:space="preserve">), rejestru przestępców seksualnych (6 skarg), skarg </w:t>
      </w:r>
      <w:r w:rsidR="00486D4F" w:rsidRPr="00194E8E">
        <w:rPr>
          <w:rFonts w:asciiTheme="minorHAnsi" w:hAnsiTheme="minorHAnsi"/>
          <w:sz w:val="24"/>
          <w:szCs w:val="24"/>
          <w:lang w:val="pl-PL"/>
        </w:rPr>
        <w:t>dotyczących</w:t>
      </w:r>
      <w:r w:rsidRPr="00194E8E">
        <w:rPr>
          <w:rFonts w:asciiTheme="minorHAnsi" w:hAnsiTheme="minorHAnsi"/>
          <w:sz w:val="24"/>
          <w:szCs w:val="24"/>
          <w:lang w:val="pl-PL"/>
        </w:rPr>
        <w:t xml:space="preserve"> różnych kwestii związanych z sytuacją osób LGBT (3 nowe skargi), obostrzeń pandemicznych (3 skargi). Warto też zwrócić uwagę na pojedyncze zakomunikowane sprawy, w tym skargi dotyczące kontrmanifestacji miesięcznicy smoleńskiej, interwencji Straży Granicznej na statku Greenpeace Rainbow Warrior, zatrzymania działaczek Greenpeace podczas manifestacji, ukarania za używanie symbolu „Polka Walcząca”, odmowy dostępu do kalendarza spotkań prezesa i sędziów T</w:t>
      </w:r>
      <w:r w:rsidR="00486D4F" w:rsidRPr="00194E8E">
        <w:rPr>
          <w:rFonts w:asciiTheme="minorHAnsi" w:hAnsiTheme="minorHAnsi"/>
          <w:sz w:val="24"/>
          <w:szCs w:val="24"/>
          <w:lang w:val="pl-PL"/>
        </w:rPr>
        <w:t xml:space="preserve">rybunału </w:t>
      </w:r>
      <w:r w:rsidRPr="00194E8E">
        <w:rPr>
          <w:rFonts w:asciiTheme="minorHAnsi" w:hAnsiTheme="minorHAnsi"/>
          <w:sz w:val="24"/>
          <w:szCs w:val="24"/>
          <w:lang w:val="pl-PL"/>
        </w:rPr>
        <w:t>K</w:t>
      </w:r>
      <w:r w:rsidR="00486D4F" w:rsidRPr="00194E8E">
        <w:rPr>
          <w:rFonts w:asciiTheme="minorHAnsi" w:hAnsiTheme="minorHAnsi"/>
          <w:sz w:val="24"/>
          <w:szCs w:val="24"/>
          <w:lang w:val="pl-PL"/>
        </w:rPr>
        <w:t>onstytucyjnego</w:t>
      </w:r>
      <w:r w:rsidRPr="00194E8E">
        <w:rPr>
          <w:rFonts w:asciiTheme="minorHAnsi" w:hAnsiTheme="minorHAnsi"/>
          <w:sz w:val="24"/>
          <w:szCs w:val="24"/>
          <w:lang w:val="pl-PL"/>
        </w:rPr>
        <w:t xml:space="preserve">, czy też odmowy zatwierdzenia sprawozdania finansowego Funduszu Wyborczego „Nowoczesnej” Ryszarda Petru. Rok 2021 naznaczony był również </w:t>
      </w:r>
      <w:r w:rsidR="0035339C">
        <w:rPr>
          <w:rFonts w:asciiTheme="minorHAnsi" w:hAnsiTheme="minorHAnsi"/>
          <w:sz w:val="24"/>
          <w:szCs w:val="24"/>
          <w:lang w:val="pl-PL"/>
        </w:rPr>
        <w:t>dużą</w:t>
      </w:r>
      <w:r w:rsidRPr="00194E8E">
        <w:rPr>
          <w:rFonts w:asciiTheme="minorHAnsi" w:hAnsiTheme="minorHAnsi"/>
          <w:sz w:val="24"/>
          <w:szCs w:val="24"/>
          <w:lang w:val="pl-PL"/>
        </w:rPr>
        <w:t xml:space="preserve"> liczbą zakomunikowanych Polsce zarządzeń tymczasowych (51</w:t>
      </w:r>
      <w:r w:rsidR="00B64A1B" w:rsidRPr="00194E8E">
        <w:rPr>
          <w:rFonts w:asciiTheme="minorHAnsi" w:hAnsiTheme="minorHAnsi"/>
          <w:sz w:val="24"/>
          <w:szCs w:val="24"/>
          <w:lang w:val="pl-PL"/>
        </w:rPr>
        <w:t xml:space="preserve"> spraw</w:t>
      </w:r>
      <w:r w:rsidRPr="00194E8E">
        <w:rPr>
          <w:rFonts w:asciiTheme="minorHAnsi" w:hAnsiTheme="minorHAnsi"/>
          <w:sz w:val="24"/>
          <w:szCs w:val="24"/>
          <w:lang w:val="pl-PL"/>
        </w:rPr>
        <w:t>)</w:t>
      </w:r>
      <w:r w:rsidR="0035339C">
        <w:rPr>
          <w:rFonts w:asciiTheme="minorHAnsi" w:hAnsiTheme="minorHAnsi"/>
          <w:sz w:val="24"/>
          <w:szCs w:val="24"/>
          <w:lang w:val="pl-PL"/>
        </w:rPr>
        <w:t>,</w:t>
      </w:r>
      <w:r w:rsidRPr="00194E8E">
        <w:rPr>
          <w:rFonts w:asciiTheme="minorHAnsi" w:hAnsiTheme="minorHAnsi"/>
          <w:sz w:val="24"/>
          <w:szCs w:val="24"/>
          <w:lang w:val="pl-PL"/>
        </w:rPr>
        <w:t xml:space="preserve"> </w:t>
      </w:r>
      <w:r w:rsidR="0035339C">
        <w:rPr>
          <w:rFonts w:asciiTheme="minorHAnsi" w:hAnsiTheme="minorHAnsi"/>
          <w:sz w:val="24"/>
          <w:szCs w:val="24"/>
          <w:lang w:val="pl-PL"/>
        </w:rPr>
        <w:t>w których ETPC zwracał się o niewydalanie</w:t>
      </w:r>
      <w:r w:rsidRPr="0035339C">
        <w:rPr>
          <w:rFonts w:asciiTheme="minorHAnsi" w:hAnsiTheme="minorHAnsi"/>
          <w:sz w:val="24"/>
          <w:szCs w:val="24"/>
          <w:lang w:val="pl-PL"/>
        </w:rPr>
        <w:t xml:space="preserve"> cudzoziemców nielegalnie przekraczających granicę polsko-białoruską,</w:t>
      </w:r>
      <w:r w:rsidRPr="00194E8E">
        <w:rPr>
          <w:rFonts w:asciiTheme="minorHAnsi" w:hAnsiTheme="minorHAnsi"/>
          <w:sz w:val="24"/>
          <w:szCs w:val="24"/>
          <w:lang w:val="pl-PL"/>
        </w:rPr>
        <w:t xml:space="preserve"> do czego należy dodać grupę 8 nowych zakomunikowanych skarg dotyczących problematyki cudzoziemców (wydalenia bądź umieszczenia w strzeżonych ośrodkach). </w:t>
      </w:r>
    </w:p>
    <w:p w:rsidR="00DD0730" w:rsidRPr="00194E8E" w:rsidRDefault="00D737F1" w:rsidP="0035339C">
      <w:pPr>
        <w:pStyle w:val="Akapitzlist"/>
        <w:spacing w:before="120" w:after="120" w:line="240" w:lineRule="auto"/>
        <w:ind w:left="0"/>
        <w:jc w:val="both"/>
        <w:rPr>
          <w:rFonts w:asciiTheme="minorHAnsi" w:hAnsiTheme="minorHAnsi"/>
          <w:sz w:val="24"/>
          <w:szCs w:val="24"/>
          <w:lang w:val="pl-PL"/>
        </w:rPr>
      </w:pPr>
      <w:r w:rsidRPr="00194E8E">
        <w:rPr>
          <w:rFonts w:asciiTheme="minorHAnsi" w:hAnsiTheme="minorHAnsi"/>
          <w:sz w:val="24"/>
          <w:szCs w:val="24"/>
          <w:lang w:val="pl-PL"/>
        </w:rPr>
        <w:t>Jak co roku, i</w:t>
      </w:r>
      <w:r w:rsidR="000A23D6" w:rsidRPr="00194E8E">
        <w:rPr>
          <w:rFonts w:asciiTheme="minorHAnsi" w:hAnsiTheme="minorHAnsi"/>
          <w:sz w:val="24"/>
          <w:szCs w:val="24"/>
          <w:lang w:val="pl-PL"/>
        </w:rPr>
        <w:t xml:space="preserve">ntegralną częścią Raportu są jego załączniki. </w:t>
      </w:r>
      <w:r w:rsidR="00DD0730" w:rsidRPr="00194E8E">
        <w:rPr>
          <w:rFonts w:asciiTheme="minorHAnsi" w:hAnsiTheme="minorHAnsi"/>
          <w:sz w:val="24"/>
          <w:szCs w:val="24"/>
          <w:lang w:val="pl-PL"/>
        </w:rPr>
        <w:t>Załącznik A</w:t>
      </w:r>
      <w:r w:rsidR="00DB3784" w:rsidRPr="00194E8E">
        <w:rPr>
          <w:rFonts w:asciiTheme="minorHAnsi" w:hAnsiTheme="minorHAnsi"/>
          <w:sz w:val="24"/>
          <w:szCs w:val="24"/>
          <w:lang w:val="pl-PL"/>
        </w:rPr>
        <w:t xml:space="preserve"> zawiera </w:t>
      </w:r>
      <w:r w:rsidR="00F53227" w:rsidRPr="00194E8E">
        <w:rPr>
          <w:rFonts w:asciiTheme="minorHAnsi" w:hAnsiTheme="minorHAnsi"/>
          <w:sz w:val="24"/>
          <w:szCs w:val="24"/>
          <w:lang w:val="pl-PL"/>
        </w:rPr>
        <w:t>tabelaryczne zestawienie wszystkich orzeczeń Europejskiego Trybunału Praw Człowieka</w:t>
      </w:r>
      <w:r w:rsidR="00C13150">
        <w:rPr>
          <w:rFonts w:asciiTheme="minorHAnsi" w:hAnsiTheme="minorHAnsi"/>
          <w:sz w:val="24"/>
          <w:szCs w:val="24"/>
          <w:lang w:val="pl-PL"/>
        </w:rPr>
        <w:t>,</w:t>
      </w:r>
      <w:r w:rsidR="00F53227" w:rsidRPr="00194E8E">
        <w:rPr>
          <w:rFonts w:asciiTheme="minorHAnsi" w:hAnsiTheme="minorHAnsi"/>
          <w:sz w:val="24"/>
          <w:szCs w:val="24"/>
          <w:lang w:val="pl-PL"/>
        </w:rPr>
        <w:t xml:space="preserve"> wydanych w sprawach polskich w 20</w:t>
      </w:r>
      <w:r w:rsidR="00DB3784" w:rsidRPr="00194E8E">
        <w:rPr>
          <w:rFonts w:asciiTheme="minorHAnsi" w:hAnsiTheme="minorHAnsi"/>
          <w:sz w:val="24"/>
          <w:szCs w:val="24"/>
          <w:lang w:val="pl-PL"/>
        </w:rPr>
        <w:t>2</w:t>
      </w:r>
      <w:r w:rsidR="00B43681" w:rsidRPr="00194E8E">
        <w:rPr>
          <w:rFonts w:asciiTheme="minorHAnsi" w:hAnsiTheme="minorHAnsi"/>
          <w:sz w:val="24"/>
          <w:szCs w:val="24"/>
          <w:lang w:val="pl-PL"/>
        </w:rPr>
        <w:t>1</w:t>
      </w:r>
      <w:r w:rsidR="00F53227" w:rsidRPr="00194E8E">
        <w:rPr>
          <w:rFonts w:asciiTheme="minorHAnsi" w:hAnsiTheme="minorHAnsi"/>
          <w:sz w:val="24"/>
          <w:szCs w:val="24"/>
          <w:lang w:val="pl-PL"/>
        </w:rPr>
        <w:t xml:space="preserve"> r., wraz z krótkim opisem podniesionych w nich zarzutów i motywów decyzji </w:t>
      </w:r>
      <w:r w:rsidR="0035339C">
        <w:rPr>
          <w:rFonts w:asciiTheme="minorHAnsi" w:hAnsiTheme="minorHAnsi"/>
          <w:sz w:val="24"/>
          <w:szCs w:val="24"/>
          <w:lang w:val="pl-PL"/>
        </w:rPr>
        <w:t>ETPC</w:t>
      </w:r>
      <w:r w:rsidR="00F53227" w:rsidRPr="00194E8E">
        <w:rPr>
          <w:rFonts w:asciiTheme="minorHAnsi" w:hAnsiTheme="minorHAnsi"/>
          <w:sz w:val="24"/>
          <w:szCs w:val="24"/>
          <w:lang w:val="pl-PL"/>
        </w:rPr>
        <w:t xml:space="preserve">. Załącznik B </w:t>
      </w:r>
      <w:r w:rsidR="00DD0730" w:rsidRPr="00194E8E">
        <w:rPr>
          <w:rFonts w:asciiTheme="minorHAnsi" w:hAnsiTheme="minorHAnsi"/>
          <w:sz w:val="24"/>
          <w:szCs w:val="24"/>
          <w:lang w:val="pl-PL"/>
        </w:rPr>
        <w:t xml:space="preserve">zawiera zestawienie tabelaryczne planów działań i raportów z </w:t>
      </w:r>
      <w:r w:rsidR="00F53227" w:rsidRPr="00194E8E">
        <w:rPr>
          <w:rFonts w:asciiTheme="minorHAnsi" w:hAnsiTheme="minorHAnsi"/>
          <w:sz w:val="24"/>
          <w:szCs w:val="24"/>
          <w:lang w:val="pl-PL"/>
        </w:rPr>
        <w:t xml:space="preserve">wykonania. Załącznik C </w:t>
      </w:r>
      <w:r w:rsidR="00DD0730" w:rsidRPr="00194E8E">
        <w:rPr>
          <w:rFonts w:asciiTheme="minorHAnsi" w:hAnsiTheme="minorHAnsi"/>
          <w:sz w:val="24"/>
          <w:szCs w:val="24"/>
          <w:lang w:val="pl-PL"/>
        </w:rPr>
        <w:t xml:space="preserve">obejmuje pełne teksty ww. planów i raportów w polskiej wersji językowej. W Załączniku </w:t>
      </w:r>
      <w:r w:rsidR="00F53227" w:rsidRPr="00194E8E">
        <w:rPr>
          <w:rFonts w:asciiTheme="minorHAnsi" w:hAnsiTheme="minorHAnsi"/>
          <w:sz w:val="24"/>
          <w:szCs w:val="24"/>
          <w:lang w:val="pl-PL"/>
        </w:rPr>
        <w:t>D</w:t>
      </w:r>
      <w:r w:rsidR="00DD0730" w:rsidRPr="00194E8E">
        <w:rPr>
          <w:rFonts w:asciiTheme="minorHAnsi" w:hAnsiTheme="minorHAnsi"/>
          <w:sz w:val="24"/>
          <w:szCs w:val="24"/>
          <w:lang w:val="pl-PL"/>
        </w:rPr>
        <w:t xml:space="preserve"> zebrane zostały sprawozdania z posiedzeń plenarnych Zespołu ds. ETPC</w:t>
      </w:r>
      <w:r w:rsidR="00F53227" w:rsidRPr="00194E8E">
        <w:rPr>
          <w:rFonts w:asciiTheme="minorHAnsi" w:hAnsiTheme="minorHAnsi"/>
          <w:sz w:val="24"/>
          <w:szCs w:val="24"/>
          <w:lang w:val="pl-PL"/>
        </w:rPr>
        <w:t xml:space="preserve">. </w:t>
      </w:r>
      <w:r w:rsidR="00DD0730" w:rsidRPr="00194E8E">
        <w:rPr>
          <w:rFonts w:asciiTheme="minorHAnsi" w:hAnsiTheme="minorHAnsi"/>
          <w:sz w:val="24"/>
          <w:szCs w:val="24"/>
          <w:lang w:val="pl-PL"/>
        </w:rPr>
        <w:t>W Załączniku E znajduje się wykaz projektów nowelizacji aktów prawnych i zmian legislacyjnych oraz wykaz zmian w praktyce</w:t>
      </w:r>
      <w:r w:rsidR="00FE70E1" w:rsidRPr="00194E8E">
        <w:rPr>
          <w:rFonts w:asciiTheme="minorHAnsi" w:hAnsiTheme="minorHAnsi"/>
          <w:sz w:val="24"/>
          <w:szCs w:val="24"/>
          <w:lang w:val="pl-PL"/>
        </w:rPr>
        <w:t>,</w:t>
      </w:r>
      <w:r w:rsidR="00DD0730" w:rsidRPr="00194E8E">
        <w:rPr>
          <w:rFonts w:asciiTheme="minorHAnsi" w:hAnsiTheme="minorHAnsi"/>
          <w:sz w:val="24"/>
          <w:szCs w:val="24"/>
          <w:lang w:val="pl-PL"/>
        </w:rPr>
        <w:t xml:space="preserve"> koniecznych dla wykonania wyroków ETPC, </w:t>
      </w:r>
      <w:r w:rsidR="00785BFD" w:rsidRPr="00194E8E">
        <w:rPr>
          <w:rFonts w:asciiTheme="minorHAnsi" w:hAnsiTheme="minorHAnsi"/>
          <w:sz w:val="24"/>
          <w:szCs w:val="24"/>
          <w:lang w:val="pl-PL"/>
        </w:rPr>
        <w:t>a także informacja n</w:t>
      </w:r>
      <w:r w:rsidR="00DB3784" w:rsidRPr="00194E8E">
        <w:rPr>
          <w:rFonts w:asciiTheme="minorHAnsi" w:hAnsiTheme="minorHAnsi"/>
          <w:sz w:val="24"/>
          <w:szCs w:val="24"/>
          <w:lang w:val="pl-PL"/>
        </w:rPr>
        <w:t xml:space="preserve">a </w:t>
      </w:r>
      <w:r w:rsidR="00785BFD" w:rsidRPr="00194E8E">
        <w:rPr>
          <w:rFonts w:asciiTheme="minorHAnsi" w:hAnsiTheme="minorHAnsi"/>
          <w:sz w:val="24"/>
          <w:szCs w:val="24"/>
          <w:lang w:val="pl-PL"/>
        </w:rPr>
        <w:t>t</w:t>
      </w:r>
      <w:r w:rsidR="00DB3784" w:rsidRPr="00194E8E">
        <w:rPr>
          <w:rFonts w:asciiTheme="minorHAnsi" w:hAnsiTheme="minorHAnsi"/>
          <w:sz w:val="24"/>
          <w:szCs w:val="24"/>
          <w:lang w:val="pl-PL"/>
        </w:rPr>
        <w:t>emat</w:t>
      </w:r>
      <w:r w:rsidR="00785BFD" w:rsidRPr="00194E8E">
        <w:rPr>
          <w:rFonts w:asciiTheme="minorHAnsi" w:hAnsiTheme="minorHAnsi"/>
          <w:sz w:val="24"/>
          <w:szCs w:val="24"/>
          <w:lang w:val="pl-PL"/>
        </w:rPr>
        <w:t xml:space="preserve"> źródeł naruszeń Konwencji, wynikających z obowiązującego prawa lub nieodpowiedniej praktyki jego stosowania</w:t>
      </w:r>
      <w:r w:rsidR="00DD0730" w:rsidRPr="00194E8E">
        <w:rPr>
          <w:rFonts w:asciiTheme="minorHAnsi" w:hAnsiTheme="minorHAnsi"/>
          <w:sz w:val="24"/>
          <w:szCs w:val="24"/>
          <w:lang w:val="pl-PL"/>
        </w:rPr>
        <w:t xml:space="preserve">. </w:t>
      </w:r>
      <w:r w:rsidR="00720282" w:rsidRPr="00194E8E">
        <w:rPr>
          <w:rFonts w:asciiTheme="minorHAnsi" w:hAnsiTheme="minorHAnsi"/>
          <w:sz w:val="24"/>
          <w:szCs w:val="24"/>
          <w:lang w:val="pl-PL"/>
        </w:rPr>
        <w:t xml:space="preserve">W tym załączniku umieszczony został również wykaz polskich wyroków znajdujących się w </w:t>
      </w:r>
      <w:r w:rsidR="00643711" w:rsidRPr="00194E8E">
        <w:rPr>
          <w:rFonts w:asciiTheme="minorHAnsi" w:hAnsiTheme="minorHAnsi"/>
          <w:sz w:val="24"/>
          <w:szCs w:val="24"/>
          <w:lang w:val="pl-PL"/>
        </w:rPr>
        <w:t>procesie</w:t>
      </w:r>
      <w:r w:rsidR="00720282" w:rsidRPr="00194E8E">
        <w:rPr>
          <w:rFonts w:asciiTheme="minorHAnsi" w:hAnsiTheme="minorHAnsi"/>
          <w:sz w:val="24"/>
          <w:szCs w:val="24"/>
          <w:lang w:val="pl-PL"/>
        </w:rPr>
        <w:t xml:space="preserve"> wykonywania </w:t>
      </w:r>
      <w:r w:rsidR="00643711" w:rsidRPr="00194E8E">
        <w:rPr>
          <w:rFonts w:asciiTheme="minorHAnsi" w:hAnsiTheme="minorHAnsi"/>
          <w:sz w:val="24"/>
          <w:szCs w:val="24"/>
          <w:lang w:val="pl-PL"/>
        </w:rPr>
        <w:t>pod nadzorem</w:t>
      </w:r>
      <w:r w:rsidR="00720282" w:rsidRPr="00194E8E">
        <w:rPr>
          <w:rFonts w:asciiTheme="minorHAnsi" w:hAnsiTheme="minorHAnsi"/>
          <w:sz w:val="24"/>
          <w:szCs w:val="24"/>
          <w:lang w:val="pl-PL"/>
        </w:rPr>
        <w:t xml:space="preserve"> Komi</w:t>
      </w:r>
      <w:r w:rsidR="00643711" w:rsidRPr="00194E8E">
        <w:rPr>
          <w:rFonts w:asciiTheme="minorHAnsi" w:hAnsiTheme="minorHAnsi"/>
          <w:sz w:val="24"/>
          <w:szCs w:val="24"/>
          <w:lang w:val="pl-PL"/>
        </w:rPr>
        <w:t xml:space="preserve">tetu Ministrów RE na koniec </w:t>
      </w:r>
      <w:r w:rsidR="00735F7F" w:rsidRPr="00194E8E">
        <w:rPr>
          <w:rFonts w:asciiTheme="minorHAnsi" w:hAnsiTheme="minorHAnsi"/>
          <w:sz w:val="24"/>
          <w:szCs w:val="24"/>
          <w:lang w:val="pl-PL"/>
        </w:rPr>
        <w:t xml:space="preserve">grudnia </w:t>
      </w:r>
      <w:r w:rsidR="00643711" w:rsidRPr="00194E8E">
        <w:rPr>
          <w:rFonts w:asciiTheme="minorHAnsi" w:hAnsiTheme="minorHAnsi"/>
          <w:sz w:val="24"/>
          <w:szCs w:val="24"/>
          <w:lang w:val="pl-PL"/>
        </w:rPr>
        <w:t>20</w:t>
      </w:r>
      <w:r w:rsidR="00DB3784" w:rsidRPr="00194E8E">
        <w:rPr>
          <w:rFonts w:asciiTheme="minorHAnsi" w:hAnsiTheme="minorHAnsi"/>
          <w:sz w:val="24"/>
          <w:szCs w:val="24"/>
          <w:lang w:val="pl-PL"/>
        </w:rPr>
        <w:t>2</w:t>
      </w:r>
      <w:r w:rsidR="006035FA" w:rsidRPr="00194E8E">
        <w:rPr>
          <w:rFonts w:asciiTheme="minorHAnsi" w:hAnsiTheme="minorHAnsi"/>
          <w:sz w:val="24"/>
          <w:szCs w:val="24"/>
          <w:lang w:val="pl-PL"/>
        </w:rPr>
        <w:t>1</w:t>
      </w:r>
      <w:r w:rsidR="00720282" w:rsidRPr="00194E8E">
        <w:rPr>
          <w:rFonts w:asciiTheme="minorHAnsi" w:hAnsiTheme="minorHAnsi"/>
          <w:sz w:val="24"/>
          <w:szCs w:val="24"/>
          <w:lang w:val="pl-PL"/>
        </w:rPr>
        <w:t xml:space="preserve"> r. </w:t>
      </w:r>
      <w:r w:rsidR="00DD0730" w:rsidRPr="00194E8E">
        <w:rPr>
          <w:rFonts w:asciiTheme="minorHAnsi" w:hAnsiTheme="minorHAnsi"/>
          <w:sz w:val="24"/>
          <w:szCs w:val="24"/>
          <w:lang w:val="pl-PL"/>
        </w:rPr>
        <w:t xml:space="preserve">Załącznik F zawiera pełne teksty komunikacji </w:t>
      </w:r>
      <w:r w:rsidR="00DD0730" w:rsidRPr="00194E8E">
        <w:rPr>
          <w:rFonts w:asciiTheme="minorHAnsi" w:hAnsiTheme="minorHAnsi"/>
          <w:sz w:val="24"/>
          <w:szCs w:val="24"/>
          <w:lang w:val="pl-PL"/>
        </w:rPr>
        <w:lastRenderedPageBreak/>
        <w:t xml:space="preserve">przesłanych </w:t>
      </w:r>
      <w:r w:rsidR="00DB3784" w:rsidRPr="00194E8E">
        <w:rPr>
          <w:rFonts w:asciiTheme="minorHAnsi" w:hAnsiTheme="minorHAnsi"/>
          <w:sz w:val="24"/>
          <w:szCs w:val="24"/>
          <w:lang w:val="pl-PL"/>
        </w:rPr>
        <w:t>w 202</w:t>
      </w:r>
      <w:r w:rsidR="006035FA" w:rsidRPr="00194E8E">
        <w:rPr>
          <w:rFonts w:asciiTheme="minorHAnsi" w:hAnsiTheme="minorHAnsi"/>
          <w:sz w:val="24"/>
          <w:szCs w:val="24"/>
          <w:lang w:val="pl-PL"/>
        </w:rPr>
        <w:t>1</w:t>
      </w:r>
      <w:r w:rsidR="00DB3784" w:rsidRPr="00194E8E">
        <w:rPr>
          <w:rFonts w:asciiTheme="minorHAnsi" w:hAnsiTheme="minorHAnsi"/>
          <w:sz w:val="24"/>
          <w:szCs w:val="24"/>
          <w:lang w:val="pl-PL"/>
        </w:rPr>
        <w:t xml:space="preserve"> r. </w:t>
      </w:r>
      <w:r w:rsidR="00DD0730" w:rsidRPr="00194E8E">
        <w:rPr>
          <w:rFonts w:asciiTheme="minorHAnsi" w:hAnsiTheme="minorHAnsi"/>
          <w:sz w:val="24"/>
          <w:szCs w:val="24"/>
          <w:lang w:val="pl-PL"/>
        </w:rPr>
        <w:t xml:space="preserve">do Komitetu Ministrów Rady Europy przez uprawnione do tego podmioty wraz z odpowiedziami </w:t>
      </w:r>
      <w:r w:rsidR="00486D4F" w:rsidRPr="00194E8E">
        <w:rPr>
          <w:rFonts w:asciiTheme="minorHAnsi" w:hAnsiTheme="minorHAnsi"/>
          <w:sz w:val="24"/>
          <w:szCs w:val="24"/>
          <w:lang w:val="pl-PL"/>
        </w:rPr>
        <w:t>R</w:t>
      </w:r>
      <w:r w:rsidR="00DD0730" w:rsidRPr="00194E8E">
        <w:rPr>
          <w:rFonts w:asciiTheme="minorHAnsi" w:hAnsiTheme="minorHAnsi"/>
          <w:sz w:val="24"/>
          <w:szCs w:val="24"/>
          <w:lang w:val="pl-PL"/>
        </w:rPr>
        <w:t>ządu.</w:t>
      </w:r>
      <w:r w:rsidR="00F53227" w:rsidRPr="00194E8E">
        <w:rPr>
          <w:rFonts w:asciiTheme="minorHAnsi" w:hAnsiTheme="minorHAnsi"/>
          <w:sz w:val="24"/>
          <w:szCs w:val="24"/>
          <w:lang w:val="pl-PL"/>
        </w:rPr>
        <w:t xml:space="preserve"> </w:t>
      </w:r>
    </w:p>
    <w:p w:rsidR="00DD0730" w:rsidRPr="00194E8E" w:rsidRDefault="00DB3784" w:rsidP="0035339C">
      <w:pPr>
        <w:spacing w:before="120" w:after="120"/>
        <w:jc w:val="both"/>
        <w:rPr>
          <w:rFonts w:asciiTheme="minorHAnsi" w:eastAsia="Calibri" w:hAnsiTheme="minorHAnsi"/>
          <w:lang w:eastAsia="en-US"/>
        </w:rPr>
      </w:pPr>
      <w:r w:rsidRPr="00194E8E">
        <w:rPr>
          <w:rFonts w:asciiTheme="minorHAnsi" w:eastAsia="Calibri" w:hAnsiTheme="minorHAnsi"/>
          <w:lang w:eastAsia="en-US"/>
        </w:rPr>
        <w:t xml:space="preserve">Procedura wykonywania orzeczeń </w:t>
      </w:r>
      <w:r w:rsidR="0035339C">
        <w:rPr>
          <w:rFonts w:asciiTheme="minorHAnsi" w:eastAsia="Calibri" w:hAnsiTheme="minorHAnsi"/>
          <w:lang w:eastAsia="en-US"/>
        </w:rPr>
        <w:t>ETPC</w:t>
      </w:r>
      <w:r w:rsidRPr="00194E8E">
        <w:rPr>
          <w:rFonts w:asciiTheme="minorHAnsi" w:eastAsia="Calibri" w:hAnsiTheme="minorHAnsi"/>
          <w:lang w:eastAsia="en-US"/>
        </w:rPr>
        <w:t xml:space="preserve"> przez państwa członkowskie Rady Europy oraz struktura planów i raportów z wykonywania przedstawianych KM zostały szczegółowo opisane w </w:t>
      </w:r>
      <w:r w:rsidR="00E97BE9" w:rsidRPr="00194E8E">
        <w:rPr>
          <w:rFonts w:asciiTheme="minorHAnsi" w:eastAsia="Calibri" w:hAnsiTheme="minorHAnsi"/>
          <w:lang w:eastAsia="en-US"/>
        </w:rPr>
        <w:t>Raportach za 2012 r. i 2013 r.</w:t>
      </w:r>
      <w:r w:rsidRPr="00194E8E">
        <w:rPr>
          <w:rFonts w:asciiTheme="minorHAnsi" w:eastAsia="Calibri" w:hAnsiTheme="minorHAnsi"/>
          <w:lang w:eastAsia="en-US"/>
        </w:rPr>
        <w:t xml:space="preserve">, dlatego też nie będą przytaczane w </w:t>
      </w:r>
      <w:r w:rsidR="00DD0730" w:rsidRPr="00194E8E">
        <w:rPr>
          <w:rFonts w:asciiTheme="minorHAnsi" w:eastAsia="Calibri" w:hAnsiTheme="minorHAnsi"/>
          <w:lang w:eastAsia="en-US"/>
        </w:rPr>
        <w:t>niniejszym dokumencie. Raporty</w:t>
      </w:r>
      <w:r w:rsidRPr="00194E8E">
        <w:rPr>
          <w:rFonts w:asciiTheme="minorHAnsi" w:eastAsia="Calibri" w:hAnsiTheme="minorHAnsi"/>
          <w:lang w:eastAsia="en-US"/>
        </w:rPr>
        <w:t xml:space="preserve"> za lata ubiegłe są dostępne na </w:t>
      </w:r>
      <w:r w:rsidR="00E9305C" w:rsidRPr="00194E8E">
        <w:rPr>
          <w:rFonts w:asciiTheme="minorHAnsi" w:eastAsia="Calibri" w:hAnsiTheme="minorHAnsi"/>
          <w:lang w:eastAsia="en-US"/>
        </w:rPr>
        <w:t>s</w:t>
      </w:r>
      <w:r w:rsidR="00DD0730" w:rsidRPr="00194E8E">
        <w:rPr>
          <w:rFonts w:asciiTheme="minorHAnsi" w:eastAsia="Calibri" w:hAnsiTheme="minorHAnsi"/>
          <w:lang w:eastAsia="en-US"/>
        </w:rPr>
        <w:t>tronie internetowej Ministerstwa Spraw Zagranicznych (dalej</w:t>
      </w:r>
      <w:r w:rsidR="00643711" w:rsidRPr="00194E8E">
        <w:rPr>
          <w:rFonts w:asciiTheme="minorHAnsi" w:eastAsia="Calibri" w:hAnsiTheme="minorHAnsi"/>
          <w:lang w:eastAsia="en-US"/>
        </w:rPr>
        <w:t>:</w:t>
      </w:r>
      <w:r w:rsidR="00DD0730" w:rsidRPr="00194E8E">
        <w:rPr>
          <w:rFonts w:asciiTheme="minorHAnsi" w:eastAsia="Calibri" w:hAnsiTheme="minorHAnsi"/>
          <w:lang w:eastAsia="en-US"/>
        </w:rPr>
        <w:t xml:space="preserve"> </w:t>
      </w:r>
      <w:r w:rsidR="00C13150">
        <w:rPr>
          <w:rFonts w:asciiTheme="minorHAnsi" w:eastAsia="Calibri" w:hAnsiTheme="minorHAnsi"/>
          <w:lang w:eastAsia="en-US"/>
        </w:rPr>
        <w:t>„</w:t>
      </w:r>
      <w:r w:rsidR="00DD0730" w:rsidRPr="00194E8E">
        <w:rPr>
          <w:rFonts w:asciiTheme="minorHAnsi" w:eastAsia="Calibri" w:hAnsiTheme="minorHAnsi"/>
          <w:lang w:eastAsia="en-US"/>
        </w:rPr>
        <w:t>MSZ</w:t>
      </w:r>
      <w:r w:rsidR="00C13150">
        <w:rPr>
          <w:rFonts w:asciiTheme="minorHAnsi" w:eastAsia="Calibri" w:hAnsiTheme="minorHAnsi"/>
          <w:lang w:eastAsia="en-US"/>
        </w:rPr>
        <w:t>”</w:t>
      </w:r>
      <w:r w:rsidR="00DD0730" w:rsidRPr="00194E8E">
        <w:rPr>
          <w:rFonts w:asciiTheme="minorHAnsi" w:eastAsia="Calibri" w:hAnsiTheme="minorHAnsi"/>
          <w:lang w:eastAsia="en-US"/>
        </w:rPr>
        <w:t>):</w:t>
      </w:r>
      <w:r w:rsidR="00E9305C" w:rsidRPr="00194E8E">
        <w:rPr>
          <w:rFonts w:asciiTheme="minorHAnsi" w:eastAsia="Calibri" w:hAnsiTheme="minorHAnsi"/>
          <w:lang w:eastAsia="en-US"/>
        </w:rPr>
        <w:t xml:space="preserve"> https://www.gov.pl/web/dyplomacja/raporty-roczne-rzadu-na-temat-wykonywania-orzeczen-etpc</w:t>
      </w:r>
      <w:r w:rsidR="00735F7F" w:rsidRPr="00194E8E">
        <w:rPr>
          <w:rFonts w:asciiTheme="minorHAnsi" w:eastAsia="Calibri" w:hAnsiTheme="minorHAnsi"/>
          <w:lang w:eastAsia="en-US"/>
        </w:rPr>
        <w:t>.</w:t>
      </w:r>
    </w:p>
    <w:p w:rsidR="00DF316E" w:rsidRPr="00194E8E" w:rsidRDefault="00E9305C" w:rsidP="0035339C">
      <w:pPr>
        <w:spacing w:before="120" w:after="120"/>
        <w:jc w:val="both"/>
        <w:rPr>
          <w:rFonts w:asciiTheme="minorHAnsi" w:eastAsia="Calibri" w:hAnsiTheme="minorHAnsi"/>
          <w:lang w:eastAsia="en-US"/>
        </w:rPr>
      </w:pPr>
      <w:r w:rsidRPr="00194E8E">
        <w:rPr>
          <w:rStyle w:val="Hipercze"/>
          <w:rFonts w:asciiTheme="minorHAnsi" w:eastAsia="Calibri" w:hAnsiTheme="minorHAnsi"/>
          <w:color w:val="auto"/>
          <w:u w:val="none"/>
          <w:lang w:eastAsia="en-US"/>
        </w:rPr>
        <w:t>W</w:t>
      </w:r>
      <w:r w:rsidR="00643711" w:rsidRPr="00194E8E">
        <w:rPr>
          <w:rStyle w:val="Hipercze"/>
          <w:rFonts w:asciiTheme="minorHAnsi" w:eastAsia="Calibri" w:hAnsiTheme="minorHAnsi"/>
          <w:color w:val="auto"/>
          <w:u w:val="none"/>
          <w:lang w:eastAsia="en-US"/>
        </w:rPr>
        <w:t xml:space="preserve">szelkie informacje na temat procesu nadzoru Komitetu Ministrów RE nad wykonywaniem orzeczeń </w:t>
      </w:r>
      <w:r w:rsidR="0035339C">
        <w:rPr>
          <w:rStyle w:val="Hipercze"/>
          <w:rFonts w:asciiTheme="minorHAnsi" w:eastAsia="Calibri" w:hAnsiTheme="minorHAnsi"/>
          <w:color w:val="auto"/>
          <w:u w:val="none"/>
          <w:lang w:eastAsia="en-US"/>
        </w:rPr>
        <w:t>ETPC</w:t>
      </w:r>
      <w:r w:rsidR="00643711" w:rsidRPr="00194E8E">
        <w:rPr>
          <w:rStyle w:val="Hipercze"/>
          <w:rFonts w:asciiTheme="minorHAnsi" w:eastAsia="Calibri" w:hAnsiTheme="minorHAnsi"/>
          <w:color w:val="auto"/>
          <w:u w:val="none"/>
          <w:lang w:eastAsia="en-US"/>
        </w:rPr>
        <w:t xml:space="preserve"> można </w:t>
      </w:r>
      <w:r w:rsidRPr="00194E8E">
        <w:rPr>
          <w:rStyle w:val="Hipercze"/>
          <w:rFonts w:asciiTheme="minorHAnsi" w:eastAsia="Calibri" w:hAnsiTheme="minorHAnsi"/>
          <w:color w:val="auto"/>
          <w:u w:val="none"/>
          <w:lang w:eastAsia="en-US"/>
        </w:rPr>
        <w:t xml:space="preserve">także </w:t>
      </w:r>
      <w:r w:rsidR="00643711" w:rsidRPr="00194E8E">
        <w:rPr>
          <w:rStyle w:val="Hipercze"/>
          <w:rFonts w:asciiTheme="minorHAnsi" w:eastAsia="Calibri" w:hAnsiTheme="minorHAnsi"/>
          <w:color w:val="auto"/>
          <w:u w:val="none"/>
          <w:lang w:eastAsia="en-US"/>
        </w:rPr>
        <w:t>znaleźć na stronie internetowej Departamentu Wykonywania Wyroków E</w:t>
      </w:r>
      <w:r w:rsidR="008B1C22" w:rsidRPr="00194E8E">
        <w:rPr>
          <w:rStyle w:val="Hipercze"/>
          <w:rFonts w:asciiTheme="minorHAnsi" w:eastAsia="Calibri" w:hAnsiTheme="minorHAnsi"/>
          <w:color w:val="auto"/>
          <w:u w:val="none"/>
          <w:lang w:eastAsia="en-US"/>
        </w:rPr>
        <w:t xml:space="preserve">uropejskiego </w:t>
      </w:r>
      <w:r w:rsidR="00643711" w:rsidRPr="00194E8E">
        <w:rPr>
          <w:rStyle w:val="Hipercze"/>
          <w:rFonts w:asciiTheme="minorHAnsi" w:eastAsia="Calibri" w:hAnsiTheme="minorHAnsi"/>
          <w:color w:val="auto"/>
          <w:u w:val="none"/>
          <w:lang w:eastAsia="en-US"/>
        </w:rPr>
        <w:t>T</w:t>
      </w:r>
      <w:r w:rsidR="008B1C22" w:rsidRPr="00194E8E">
        <w:rPr>
          <w:rStyle w:val="Hipercze"/>
          <w:rFonts w:asciiTheme="minorHAnsi" w:eastAsia="Calibri" w:hAnsiTheme="minorHAnsi"/>
          <w:color w:val="auto"/>
          <w:u w:val="none"/>
          <w:lang w:eastAsia="en-US"/>
        </w:rPr>
        <w:t xml:space="preserve">rybunału </w:t>
      </w:r>
      <w:r w:rsidR="00643711" w:rsidRPr="00194E8E">
        <w:rPr>
          <w:rStyle w:val="Hipercze"/>
          <w:rFonts w:asciiTheme="minorHAnsi" w:eastAsia="Calibri" w:hAnsiTheme="minorHAnsi"/>
          <w:color w:val="auto"/>
          <w:u w:val="none"/>
          <w:lang w:eastAsia="en-US"/>
        </w:rPr>
        <w:t>P</w:t>
      </w:r>
      <w:r w:rsidR="008B1C22" w:rsidRPr="00194E8E">
        <w:rPr>
          <w:rStyle w:val="Hipercze"/>
          <w:rFonts w:asciiTheme="minorHAnsi" w:eastAsia="Calibri" w:hAnsiTheme="minorHAnsi"/>
          <w:color w:val="auto"/>
          <w:u w:val="none"/>
          <w:lang w:eastAsia="en-US"/>
        </w:rPr>
        <w:t xml:space="preserve">raw </w:t>
      </w:r>
      <w:r w:rsidR="00643711" w:rsidRPr="00194E8E">
        <w:rPr>
          <w:rStyle w:val="Hipercze"/>
          <w:rFonts w:asciiTheme="minorHAnsi" w:eastAsia="Calibri" w:hAnsiTheme="minorHAnsi"/>
          <w:color w:val="auto"/>
          <w:u w:val="none"/>
          <w:lang w:eastAsia="en-US"/>
        </w:rPr>
        <w:t>C</w:t>
      </w:r>
      <w:r w:rsidR="008B1C22" w:rsidRPr="00194E8E">
        <w:rPr>
          <w:rStyle w:val="Hipercze"/>
          <w:rFonts w:asciiTheme="minorHAnsi" w:eastAsia="Calibri" w:hAnsiTheme="minorHAnsi"/>
          <w:color w:val="auto"/>
          <w:u w:val="none"/>
          <w:lang w:eastAsia="en-US"/>
        </w:rPr>
        <w:t>złowieka</w:t>
      </w:r>
      <w:r w:rsidR="00643711" w:rsidRPr="00194E8E">
        <w:rPr>
          <w:rStyle w:val="Hipercze"/>
          <w:rFonts w:asciiTheme="minorHAnsi" w:eastAsia="Calibri" w:hAnsiTheme="minorHAnsi"/>
          <w:color w:val="auto"/>
          <w:u w:val="none"/>
          <w:lang w:eastAsia="en-US"/>
        </w:rPr>
        <w:t xml:space="preserve"> Sekretariatu Rady Europy</w:t>
      </w:r>
      <w:r w:rsidR="00E73FF5" w:rsidRPr="00194E8E">
        <w:rPr>
          <w:rStyle w:val="Hipercze"/>
          <w:rFonts w:asciiTheme="minorHAnsi" w:eastAsia="Calibri" w:hAnsiTheme="minorHAnsi"/>
          <w:color w:val="auto"/>
          <w:u w:val="none"/>
          <w:lang w:eastAsia="en-US"/>
        </w:rPr>
        <w:t xml:space="preserve"> </w:t>
      </w:r>
      <w:r w:rsidR="00E73FF5" w:rsidRPr="00194E8E">
        <w:rPr>
          <w:rFonts w:asciiTheme="minorHAnsi" w:hAnsiTheme="minorHAnsi"/>
        </w:rPr>
        <w:t xml:space="preserve">(dalej: </w:t>
      </w:r>
      <w:r w:rsidR="00C13150">
        <w:rPr>
          <w:rFonts w:asciiTheme="minorHAnsi" w:hAnsiTheme="minorHAnsi"/>
        </w:rPr>
        <w:t>„</w:t>
      </w:r>
      <w:r w:rsidR="00E73FF5" w:rsidRPr="00194E8E">
        <w:rPr>
          <w:rFonts w:asciiTheme="minorHAnsi" w:hAnsiTheme="minorHAnsi"/>
        </w:rPr>
        <w:t>DWW</w:t>
      </w:r>
      <w:r w:rsidR="00C13150">
        <w:rPr>
          <w:rFonts w:asciiTheme="minorHAnsi" w:hAnsiTheme="minorHAnsi"/>
        </w:rPr>
        <w:t>”</w:t>
      </w:r>
      <w:r w:rsidR="00E73FF5" w:rsidRPr="00194E8E">
        <w:rPr>
          <w:rFonts w:asciiTheme="minorHAnsi" w:hAnsiTheme="minorHAnsi"/>
        </w:rPr>
        <w:t>)</w:t>
      </w:r>
      <w:r w:rsidR="008B088B" w:rsidRPr="00194E8E">
        <w:rPr>
          <w:rStyle w:val="Hipercze"/>
          <w:rFonts w:asciiTheme="minorHAnsi" w:eastAsia="Calibri" w:hAnsiTheme="minorHAnsi"/>
          <w:color w:val="auto"/>
          <w:u w:val="none"/>
          <w:lang w:eastAsia="en-US"/>
        </w:rPr>
        <w:t xml:space="preserve">, </w:t>
      </w:r>
      <w:r w:rsidR="008B088B" w:rsidRPr="00194E8E">
        <w:rPr>
          <w:rFonts w:asciiTheme="minorHAnsi" w:hAnsiTheme="minorHAnsi"/>
        </w:rPr>
        <w:t>który zajmuje się merytoryczną obsługą Komitetu Ministrów RE w zakresie realizacji jego funkcji wynikającej z art. 46 ust. 2 Konwencji</w:t>
      </w:r>
      <w:r w:rsidR="009F0915" w:rsidRPr="00194E8E">
        <w:rPr>
          <w:rFonts w:asciiTheme="minorHAnsi" w:hAnsiTheme="minorHAnsi"/>
        </w:rPr>
        <w:t xml:space="preserve">: https://www.coe.int/en/web/execution </w:t>
      </w:r>
      <w:r w:rsidR="00643711" w:rsidRPr="00194E8E">
        <w:rPr>
          <w:rStyle w:val="Hipercze"/>
          <w:rFonts w:asciiTheme="minorHAnsi" w:eastAsia="Calibri" w:hAnsiTheme="minorHAnsi"/>
          <w:color w:val="auto"/>
          <w:u w:val="none"/>
          <w:lang w:eastAsia="en-US"/>
        </w:rPr>
        <w:t>oraz w internetowej bazie wykonywanych orzeczeń</w:t>
      </w:r>
      <w:r w:rsidR="00D4341D" w:rsidRPr="00194E8E">
        <w:rPr>
          <w:rStyle w:val="Hipercze"/>
          <w:rFonts w:asciiTheme="minorHAnsi" w:eastAsia="Calibri" w:hAnsiTheme="minorHAnsi"/>
          <w:color w:val="auto"/>
          <w:u w:val="none"/>
          <w:lang w:eastAsia="en-US"/>
        </w:rPr>
        <w:t xml:space="preserve"> RE</w:t>
      </w:r>
      <w:r w:rsidR="008B088B" w:rsidRPr="00194E8E">
        <w:rPr>
          <w:rStyle w:val="Hipercze"/>
          <w:rFonts w:asciiTheme="minorHAnsi" w:eastAsia="Calibri" w:hAnsiTheme="minorHAnsi"/>
          <w:color w:val="auto"/>
          <w:u w:val="none"/>
          <w:lang w:eastAsia="en-US"/>
        </w:rPr>
        <w:t>,</w:t>
      </w:r>
      <w:r w:rsidR="00643711" w:rsidRPr="00194E8E">
        <w:rPr>
          <w:rStyle w:val="Hipercze"/>
          <w:rFonts w:asciiTheme="minorHAnsi" w:eastAsia="Calibri" w:hAnsiTheme="minorHAnsi"/>
          <w:color w:val="auto"/>
          <w:u w:val="none"/>
          <w:lang w:eastAsia="en-US"/>
        </w:rPr>
        <w:t xml:space="preserve"> </w:t>
      </w:r>
      <w:r w:rsidR="00E73FF5" w:rsidRPr="00194E8E">
        <w:rPr>
          <w:rStyle w:val="Hipercze"/>
          <w:rFonts w:asciiTheme="minorHAnsi" w:eastAsia="Calibri" w:hAnsiTheme="minorHAnsi"/>
          <w:color w:val="auto"/>
          <w:u w:val="none"/>
          <w:lang w:eastAsia="en-US"/>
        </w:rPr>
        <w:t>HUDOC-EXEC</w:t>
      </w:r>
      <w:r w:rsidR="009F0915" w:rsidRPr="00194E8E">
        <w:rPr>
          <w:rStyle w:val="Hipercze"/>
          <w:rFonts w:asciiTheme="minorHAnsi" w:eastAsia="Calibri" w:hAnsiTheme="minorHAnsi"/>
          <w:color w:val="auto"/>
          <w:u w:val="none"/>
          <w:lang w:eastAsia="en-US"/>
        </w:rPr>
        <w:t xml:space="preserve">: </w:t>
      </w:r>
      <w:r w:rsidR="009F0915" w:rsidRPr="00194E8E">
        <w:rPr>
          <w:rFonts w:asciiTheme="minorHAnsi" w:eastAsia="Calibri" w:hAnsiTheme="minorHAnsi"/>
          <w:lang w:eastAsia="en-US"/>
        </w:rPr>
        <w:t>https://hudoc.exec.coe.int/</w:t>
      </w:r>
      <w:r w:rsidR="009F0915" w:rsidRPr="00194E8E">
        <w:rPr>
          <w:rStyle w:val="Hipercze"/>
          <w:rFonts w:asciiTheme="minorHAnsi" w:eastAsia="Calibri" w:hAnsiTheme="minorHAnsi"/>
          <w:color w:val="auto"/>
          <w:u w:val="none"/>
          <w:lang w:eastAsia="en-US"/>
        </w:rPr>
        <w:t xml:space="preserve"> </w:t>
      </w:r>
      <w:r w:rsidR="00643711" w:rsidRPr="00194E8E">
        <w:rPr>
          <w:rStyle w:val="Hipercze"/>
          <w:rFonts w:asciiTheme="minorHAnsi" w:eastAsia="Calibri" w:hAnsiTheme="minorHAnsi"/>
          <w:color w:val="auto"/>
          <w:u w:val="none"/>
          <w:lang w:eastAsia="en-US"/>
        </w:rPr>
        <w:t xml:space="preserve">(obie strony dostępne w językach angielskim i francuskim). </w:t>
      </w:r>
    </w:p>
    <w:p w:rsidR="00DD0730" w:rsidRPr="00194E8E" w:rsidRDefault="00DD0730" w:rsidP="00910C15">
      <w:pPr>
        <w:pStyle w:val="Nagwek1"/>
        <w:spacing w:before="240" w:after="120"/>
        <w:ind w:left="709" w:hanging="425"/>
        <w:rPr>
          <w:rFonts w:asciiTheme="minorHAnsi" w:hAnsiTheme="minorHAnsi"/>
          <w:lang w:val="pl-PL"/>
        </w:rPr>
      </w:pPr>
      <w:bookmarkStart w:id="2" w:name="_Toc112058300"/>
      <w:r w:rsidRPr="00194E8E">
        <w:rPr>
          <w:rFonts w:asciiTheme="minorHAnsi" w:hAnsiTheme="minorHAnsi"/>
          <w:lang w:val="pl-PL"/>
        </w:rPr>
        <w:t>Informacje na temat planów działań i raportów z wykonania wyroków Europejskiego Trybunału Praw Człowieka</w:t>
      </w:r>
      <w:r w:rsidR="003634CB" w:rsidRPr="00194E8E">
        <w:rPr>
          <w:rFonts w:asciiTheme="minorHAnsi" w:hAnsiTheme="minorHAnsi"/>
          <w:lang w:val="pl-PL"/>
        </w:rPr>
        <w:t>,</w:t>
      </w:r>
      <w:r w:rsidRPr="00194E8E">
        <w:rPr>
          <w:rFonts w:asciiTheme="minorHAnsi" w:hAnsiTheme="minorHAnsi"/>
          <w:lang w:val="pl-PL"/>
        </w:rPr>
        <w:t xml:space="preserve"> przygotowanych i </w:t>
      </w:r>
      <w:r w:rsidR="00785BFD" w:rsidRPr="00194E8E">
        <w:rPr>
          <w:rFonts w:asciiTheme="minorHAnsi" w:hAnsiTheme="minorHAnsi"/>
          <w:lang w:val="pl-PL"/>
        </w:rPr>
        <w:t xml:space="preserve">przekazanych </w:t>
      </w:r>
      <w:r w:rsidRPr="00194E8E">
        <w:rPr>
          <w:rFonts w:asciiTheme="minorHAnsi" w:hAnsiTheme="minorHAnsi"/>
          <w:lang w:val="pl-PL"/>
        </w:rPr>
        <w:t>do Rady Europy w 20</w:t>
      </w:r>
      <w:r w:rsidR="00C121BB" w:rsidRPr="00194E8E">
        <w:rPr>
          <w:rFonts w:asciiTheme="minorHAnsi" w:hAnsiTheme="minorHAnsi"/>
          <w:lang w:val="pl-PL"/>
        </w:rPr>
        <w:t>2</w:t>
      </w:r>
      <w:r w:rsidR="006035FA" w:rsidRPr="00194E8E">
        <w:rPr>
          <w:rFonts w:asciiTheme="minorHAnsi" w:hAnsiTheme="minorHAnsi"/>
          <w:lang w:val="pl-PL"/>
        </w:rPr>
        <w:t>1</w:t>
      </w:r>
      <w:r w:rsidR="00C13150">
        <w:rPr>
          <w:rFonts w:asciiTheme="minorHAnsi" w:hAnsiTheme="minorHAnsi"/>
          <w:lang w:val="pl-PL"/>
        </w:rPr>
        <w:t> </w:t>
      </w:r>
      <w:r w:rsidRPr="00194E8E">
        <w:rPr>
          <w:rFonts w:asciiTheme="minorHAnsi" w:hAnsiTheme="minorHAnsi"/>
          <w:lang w:val="pl-PL"/>
        </w:rPr>
        <w:t>r.</w:t>
      </w:r>
      <w:bookmarkEnd w:id="2"/>
      <w:r w:rsidR="00C13150">
        <w:rPr>
          <w:rFonts w:asciiTheme="minorHAnsi" w:hAnsiTheme="minorHAnsi"/>
          <w:lang w:val="pl-PL"/>
        </w:rPr>
        <w:t xml:space="preserve"> </w:t>
      </w:r>
    </w:p>
    <w:p w:rsidR="0035339C" w:rsidRDefault="00E34A09" w:rsidP="0035339C">
      <w:pPr>
        <w:spacing w:before="120" w:after="120"/>
        <w:jc w:val="both"/>
        <w:rPr>
          <w:rFonts w:asciiTheme="minorHAnsi" w:hAnsiTheme="minorHAnsi"/>
        </w:rPr>
      </w:pPr>
      <w:r w:rsidRPr="00194E8E">
        <w:rPr>
          <w:rFonts w:asciiTheme="minorHAnsi" w:hAnsiTheme="minorHAnsi"/>
        </w:rPr>
        <w:t xml:space="preserve">W </w:t>
      </w:r>
      <w:r w:rsidR="004B4866" w:rsidRPr="00194E8E">
        <w:rPr>
          <w:rFonts w:asciiTheme="minorHAnsi" w:hAnsiTheme="minorHAnsi"/>
        </w:rPr>
        <w:t xml:space="preserve">rezultacie działań </w:t>
      </w:r>
      <w:r w:rsidRPr="00194E8E">
        <w:rPr>
          <w:rFonts w:asciiTheme="minorHAnsi" w:hAnsiTheme="minorHAnsi"/>
        </w:rPr>
        <w:t>p</w:t>
      </w:r>
      <w:r w:rsidR="004B4866" w:rsidRPr="00194E8E">
        <w:rPr>
          <w:rFonts w:asciiTheme="minorHAnsi" w:hAnsiTheme="minorHAnsi"/>
        </w:rPr>
        <w:t>odejmowanych przez Pełnomocnika</w:t>
      </w:r>
      <w:r w:rsidRPr="00194E8E">
        <w:rPr>
          <w:rFonts w:asciiTheme="minorHAnsi" w:hAnsiTheme="minorHAnsi"/>
        </w:rPr>
        <w:t>, współpracy z poszczególnymi resortami oraz aktywnemu współdziałaniu z właściwymi podmiotami w ramach prac międzyresortowego Zespołu ds. Europejskiego Trybunału Praw Człowieka, na koniec 20</w:t>
      </w:r>
      <w:r w:rsidR="00C121BB" w:rsidRPr="00194E8E">
        <w:rPr>
          <w:rFonts w:asciiTheme="minorHAnsi" w:hAnsiTheme="minorHAnsi"/>
        </w:rPr>
        <w:t>2</w:t>
      </w:r>
      <w:r w:rsidR="006035FA" w:rsidRPr="00194E8E">
        <w:rPr>
          <w:rFonts w:asciiTheme="minorHAnsi" w:hAnsiTheme="minorHAnsi"/>
        </w:rPr>
        <w:t>1</w:t>
      </w:r>
      <w:r w:rsidRPr="00194E8E">
        <w:rPr>
          <w:rFonts w:asciiTheme="minorHAnsi" w:hAnsiTheme="minorHAnsi"/>
        </w:rPr>
        <w:t xml:space="preserve"> r. w nadzorze Komitetu Ministrów Rady Europy pozostało </w:t>
      </w:r>
      <w:r w:rsidR="00DE61BD" w:rsidRPr="00194E8E">
        <w:rPr>
          <w:rFonts w:asciiTheme="minorHAnsi" w:hAnsiTheme="minorHAnsi"/>
        </w:rPr>
        <w:t>97</w:t>
      </w:r>
      <w:r w:rsidRPr="00194E8E">
        <w:rPr>
          <w:rFonts w:asciiTheme="minorHAnsi" w:hAnsiTheme="minorHAnsi"/>
        </w:rPr>
        <w:t xml:space="preserve"> orzeczeń (w tym </w:t>
      </w:r>
      <w:r w:rsidR="00DE61BD" w:rsidRPr="00194E8E">
        <w:rPr>
          <w:rFonts w:asciiTheme="minorHAnsi" w:hAnsiTheme="minorHAnsi"/>
        </w:rPr>
        <w:t>78</w:t>
      </w:r>
      <w:r w:rsidR="00C121BB" w:rsidRPr="00194E8E">
        <w:rPr>
          <w:rFonts w:asciiTheme="minorHAnsi" w:hAnsiTheme="minorHAnsi"/>
        </w:rPr>
        <w:t xml:space="preserve"> </w:t>
      </w:r>
      <w:r w:rsidRPr="00194E8E">
        <w:rPr>
          <w:rFonts w:asciiTheme="minorHAnsi" w:hAnsiTheme="minorHAnsi"/>
        </w:rPr>
        <w:t>wyrok</w:t>
      </w:r>
      <w:r w:rsidR="00DE61BD" w:rsidRPr="00194E8E">
        <w:rPr>
          <w:rFonts w:asciiTheme="minorHAnsi" w:hAnsiTheme="minorHAnsi"/>
        </w:rPr>
        <w:t>ów</w:t>
      </w:r>
      <w:r w:rsidRPr="00194E8E">
        <w:rPr>
          <w:rFonts w:asciiTheme="minorHAnsi" w:hAnsiTheme="minorHAnsi"/>
        </w:rPr>
        <w:t xml:space="preserve"> i </w:t>
      </w:r>
      <w:r w:rsidR="00DE61BD" w:rsidRPr="00194E8E">
        <w:rPr>
          <w:rFonts w:asciiTheme="minorHAnsi" w:hAnsiTheme="minorHAnsi"/>
        </w:rPr>
        <w:t>19</w:t>
      </w:r>
      <w:r w:rsidR="002013A9" w:rsidRPr="00194E8E">
        <w:rPr>
          <w:rFonts w:asciiTheme="minorHAnsi" w:hAnsiTheme="minorHAnsi"/>
        </w:rPr>
        <w:t xml:space="preserve"> </w:t>
      </w:r>
      <w:r w:rsidRPr="00194E8E">
        <w:rPr>
          <w:rFonts w:asciiTheme="minorHAnsi" w:hAnsiTheme="minorHAnsi"/>
        </w:rPr>
        <w:t>decyzji zatwierdzających ugody zawarte mi</w:t>
      </w:r>
      <w:r w:rsidR="006035FA" w:rsidRPr="00194E8E">
        <w:rPr>
          <w:rFonts w:asciiTheme="minorHAnsi" w:hAnsiTheme="minorHAnsi"/>
        </w:rPr>
        <w:t xml:space="preserve">ędzy </w:t>
      </w:r>
      <w:r w:rsidR="00486D4F" w:rsidRPr="00194E8E">
        <w:rPr>
          <w:rFonts w:asciiTheme="minorHAnsi" w:hAnsiTheme="minorHAnsi"/>
        </w:rPr>
        <w:t>R</w:t>
      </w:r>
      <w:r w:rsidR="006035FA" w:rsidRPr="00194E8E">
        <w:rPr>
          <w:rFonts w:asciiTheme="minorHAnsi" w:hAnsiTheme="minorHAnsi"/>
        </w:rPr>
        <w:t xml:space="preserve">ządem a skarżącymi). </w:t>
      </w:r>
      <w:r w:rsidR="0035339C">
        <w:rPr>
          <w:rFonts w:asciiTheme="minorHAnsi" w:hAnsiTheme="minorHAnsi"/>
        </w:rPr>
        <w:t xml:space="preserve">Uwzględniając </w:t>
      </w:r>
      <w:r w:rsidR="00B4528B" w:rsidRPr="00194E8E">
        <w:rPr>
          <w:rFonts w:asciiTheme="minorHAnsi" w:hAnsiTheme="minorHAnsi"/>
        </w:rPr>
        <w:t xml:space="preserve">łączną </w:t>
      </w:r>
      <w:r w:rsidR="006035FA" w:rsidRPr="00194E8E">
        <w:rPr>
          <w:rFonts w:asciiTheme="minorHAnsi" w:hAnsiTheme="minorHAnsi"/>
        </w:rPr>
        <w:t xml:space="preserve">liczbę orzeczeń wydanych przez </w:t>
      </w:r>
      <w:r w:rsidR="0035339C">
        <w:rPr>
          <w:rFonts w:asciiTheme="minorHAnsi" w:hAnsiTheme="minorHAnsi"/>
        </w:rPr>
        <w:t>ETPC</w:t>
      </w:r>
      <w:r w:rsidR="006035FA" w:rsidRPr="00194E8E">
        <w:rPr>
          <w:rFonts w:asciiTheme="minorHAnsi" w:hAnsiTheme="minorHAnsi"/>
        </w:rPr>
        <w:t xml:space="preserve"> w 2021 r. w sprawach polskich </w:t>
      </w:r>
      <w:r w:rsidRPr="00194E8E">
        <w:rPr>
          <w:rFonts w:asciiTheme="minorHAnsi" w:hAnsiTheme="minorHAnsi"/>
        </w:rPr>
        <w:t xml:space="preserve">liczba spraw </w:t>
      </w:r>
      <w:r w:rsidR="0035339C">
        <w:rPr>
          <w:rFonts w:asciiTheme="minorHAnsi" w:hAnsiTheme="minorHAnsi"/>
        </w:rPr>
        <w:t>znajdujących się</w:t>
      </w:r>
      <w:r w:rsidRPr="00194E8E">
        <w:rPr>
          <w:rFonts w:asciiTheme="minorHAnsi" w:hAnsiTheme="minorHAnsi"/>
        </w:rPr>
        <w:t xml:space="preserve"> w wykon</w:t>
      </w:r>
      <w:r w:rsidR="00162114" w:rsidRPr="00194E8E">
        <w:rPr>
          <w:rFonts w:asciiTheme="minorHAnsi" w:hAnsiTheme="minorHAnsi"/>
        </w:rPr>
        <w:t>yw</w:t>
      </w:r>
      <w:r w:rsidRPr="00194E8E">
        <w:rPr>
          <w:rFonts w:asciiTheme="minorHAnsi" w:hAnsiTheme="minorHAnsi"/>
        </w:rPr>
        <w:t>aniu</w:t>
      </w:r>
      <w:r w:rsidR="002013A9" w:rsidRPr="00194E8E">
        <w:rPr>
          <w:rFonts w:asciiTheme="minorHAnsi" w:hAnsiTheme="minorHAnsi"/>
        </w:rPr>
        <w:t xml:space="preserve"> </w:t>
      </w:r>
      <w:r w:rsidRPr="00194E8E">
        <w:rPr>
          <w:rFonts w:asciiTheme="minorHAnsi" w:hAnsiTheme="minorHAnsi"/>
        </w:rPr>
        <w:t xml:space="preserve">pozostaje </w:t>
      </w:r>
      <w:r w:rsidR="00D43389" w:rsidRPr="00194E8E">
        <w:rPr>
          <w:rFonts w:asciiTheme="minorHAnsi" w:hAnsiTheme="minorHAnsi"/>
        </w:rPr>
        <w:t>wię</w:t>
      </w:r>
      <w:r w:rsidR="006035FA" w:rsidRPr="00194E8E">
        <w:rPr>
          <w:rFonts w:asciiTheme="minorHAnsi" w:hAnsiTheme="minorHAnsi"/>
        </w:rPr>
        <w:t xml:space="preserve">c od paru lat na zbliżonym poziomie (na koniec 2019 r. – 98, w </w:t>
      </w:r>
      <w:r w:rsidR="008A0A0A" w:rsidRPr="00194E8E">
        <w:rPr>
          <w:rFonts w:asciiTheme="minorHAnsi" w:hAnsiTheme="minorHAnsi"/>
        </w:rPr>
        <w:t>202</w:t>
      </w:r>
      <w:r w:rsidR="008A0A0A">
        <w:rPr>
          <w:rFonts w:asciiTheme="minorHAnsi" w:hAnsiTheme="minorHAnsi"/>
        </w:rPr>
        <w:t>0</w:t>
      </w:r>
      <w:r w:rsidR="008A0A0A" w:rsidRPr="00194E8E">
        <w:rPr>
          <w:rFonts w:asciiTheme="minorHAnsi" w:hAnsiTheme="minorHAnsi"/>
        </w:rPr>
        <w:t xml:space="preserve"> </w:t>
      </w:r>
      <w:r w:rsidR="006035FA" w:rsidRPr="00194E8E">
        <w:rPr>
          <w:rFonts w:asciiTheme="minorHAnsi" w:hAnsiTheme="minorHAnsi"/>
        </w:rPr>
        <w:t>r – 89)</w:t>
      </w:r>
      <w:r w:rsidR="0035339C">
        <w:rPr>
          <w:rFonts w:asciiTheme="minorHAnsi" w:hAnsiTheme="minorHAnsi"/>
        </w:rPr>
        <w:t xml:space="preserve">. </w:t>
      </w:r>
    </w:p>
    <w:p w:rsidR="00E34A09" w:rsidRPr="00194E8E" w:rsidRDefault="00E34A09" w:rsidP="0035339C">
      <w:pPr>
        <w:spacing w:before="120" w:after="120"/>
        <w:jc w:val="both"/>
        <w:rPr>
          <w:rFonts w:asciiTheme="minorHAnsi" w:hAnsiTheme="minorHAnsi"/>
        </w:rPr>
      </w:pPr>
      <w:r w:rsidRPr="00194E8E">
        <w:rPr>
          <w:rFonts w:asciiTheme="minorHAnsi" w:hAnsiTheme="minorHAnsi"/>
        </w:rPr>
        <w:t>W 20</w:t>
      </w:r>
      <w:r w:rsidR="00C121BB" w:rsidRPr="00194E8E">
        <w:rPr>
          <w:rFonts w:asciiTheme="minorHAnsi" w:hAnsiTheme="minorHAnsi"/>
        </w:rPr>
        <w:t>2</w:t>
      </w:r>
      <w:r w:rsidR="00D43389" w:rsidRPr="00194E8E">
        <w:rPr>
          <w:rFonts w:asciiTheme="minorHAnsi" w:hAnsiTheme="minorHAnsi"/>
        </w:rPr>
        <w:t>1</w:t>
      </w:r>
      <w:r w:rsidRPr="00194E8E">
        <w:rPr>
          <w:rFonts w:asciiTheme="minorHAnsi" w:hAnsiTheme="minorHAnsi"/>
        </w:rPr>
        <w:t xml:space="preserve"> r. Pełnomocnik, wraz z resortami i innymi podmiotami właściwymi w sprawie realizacji poszczególnych wyroków </w:t>
      </w:r>
      <w:r w:rsidR="0035339C">
        <w:rPr>
          <w:rFonts w:asciiTheme="minorHAnsi" w:hAnsiTheme="minorHAnsi"/>
        </w:rPr>
        <w:t>ETPC</w:t>
      </w:r>
      <w:r w:rsidRPr="00194E8E">
        <w:rPr>
          <w:rFonts w:asciiTheme="minorHAnsi" w:hAnsiTheme="minorHAnsi"/>
        </w:rPr>
        <w:t xml:space="preserve">, przygotował łącznie </w:t>
      </w:r>
      <w:r w:rsidR="006C4216" w:rsidRPr="00194E8E">
        <w:rPr>
          <w:rFonts w:asciiTheme="minorHAnsi" w:hAnsiTheme="minorHAnsi"/>
        </w:rPr>
        <w:t>21</w:t>
      </w:r>
      <w:r w:rsidRPr="00194E8E">
        <w:rPr>
          <w:rFonts w:asciiTheme="minorHAnsi" w:hAnsiTheme="minorHAnsi"/>
        </w:rPr>
        <w:t xml:space="preserve"> plan</w:t>
      </w:r>
      <w:r w:rsidR="006C4216" w:rsidRPr="00194E8E">
        <w:rPr>
          <w:rFonts w:asciiTheme="minorHAnsi" w:hAnsiTheme="minorHAnsi"/>
        </w:rPr>
        <w:t>ów</w:t>
      </w:r>
      <w:r w:rsidRPr="00194E8E">
        <w:rPr>
          <w:rFonts w:asciiTheme="minorHAnsi" w:hAnsiTheme="minorHAnsi"/>
        </w:rPr>
        <w:t xml:space="preserve"> działań (zawierając</w:t>
      </w:r>
      <w:r w:rsidR="00486D4F" w:rsidRPr="00194E8E">
        <w:rPr>
          <w:rFonts w:asciiTheme="minorHAnsi" w:hAnsiTheme="minorHAnsi"/>
        </w:rPr>
        <w:t>ych</w:t>
      </w:r>
      <w:r w:rsidRPr="00194E8E">
        <w:rPr>
          <w:rFonts w:asciiTheme="minorHAnsi" w:hAnsiTheme="minorHAnsi"/>
        </w:rPr>
        <w:t xml:space="preserve"> opis </w:t>
      </w:r>
      <w:r w:rsidR="00C90D51" w:rsidRPr="00194E8E">
        <w:rPr>
          <w:rFonts w:asciiTheme="minorHAnsi" w:hAnsiTheme="minorHAnsi"/>
        </w:rPr>
        <w:t xml:space="preserve">podjętych </w:t>
      </w:r>
      <w:r w:rsidRPr="00194E8E">
        <w:rPr>
          <w:rFonts w:asciiTheme="minorHAnsi" w:hAnsiTheme="minorHAnsi"/>
        </w:rPr>
        <w:t xml:space="preserve">i </w:t>
      </w:r>
      <w:r w:rsidR="00C90D51" w:rsidRPr="00194E8E">
        <w:rPr>
          <w:rFonts w:asciiTheme="minorHAnsi" w:hAnsiTheme="minorHAnsi"/>
        </w:rPr>
        <w:t xml:space="preserve">planowanych </w:t>
      </w:r>
      <w:r w:rsidRPr="00194E8E">
        <w:rPr>
          <w:rFonts w:asciiTheme="minorHAnsi" w:hAnsiTheme="minorHAnsi"/>
        </w:rPr>
        <w:t>działań w celu realizacji wyroków) i raport</w:t>
      </w:r>
      <w:r w:rsidR="006C4216" w:rsidRPr="00194E8E">
        <w:rPr>
          <w:rFonts w:asciiTheme="minorHAnsi" w:hAnsiTheme="minorHAnsi"/>
        </w:rPr>
        <w:t>ów</w:t>
      </w:r>
      <w:r w:rsidRPr="00194E8E">
        <w:rPr>
          <w:rFonts w:asciiTheme="minorHAnsi" w:hAnsiTheme="minorHAnsi"/>
        </w:rPr>
        <w:t xml:space="preserve"> z wykonania wyroków </w:t>
      </w:r>
      <w:r w:rsidR="0035339C">
        <w:rPr>
          <w:rFonts w:asciiTheme="minorHAnsi" w:hAnsiTheme="minorHAnsi"/>
        </w:rPr>
        <w:t>ETPC</w:t>
      </w:r>
      <w:r w:rsidRPr="00194E8E">
        <w:rPr>
          <w:rFonts w:asciiTheme="minorHAnsi" w:hAnsiTheme="minorHAnsi"/>
        </w:rPr>
        <w:t xml:space="preserve"> (zawierając</w:t>
      </w:r>
      <w:r w:rsidR="00486D4F" w:rsidRPr="00194E8E">
        <w:rPr>
          <w:rFonts w:asciiTheme="minorHAnsi" w:hAnsiTheme="minorHAnsi"/>
        </w:rPr>
        <w:t>ych</w:t>
      </w:r>
      <w:r w:rsidRPr="00194E8E">
        <w:rPr>
          <w:rFonts w:asciiTheme="minorHAnsi" w:hAnsiTheme="minorHAnsi"/>
        </w:rPr>
        <w:t xml:space="preserve"> podsumowanie podjętych działań)</w:t>
      </w:r>
      <w:r w:rsidR="0035339C">
        <w:rPr>
          <w:rFonts w:asciiTheme="minorHAnsi" w:hAnsiTheme="minorHAnsi"/>
        </w:rPr>
        <w:t>,</w:t>
      </w:r>
      <w:r w:rsidRPr="00194E8E">
        <w:rPr>
          <w:rFonts w:asciiTheme="minorHAnsi" w:hAnsiTheme="minorHAnsi"/>
        </w:rPr>
        <w:t xml:space="preserve"> lub ich aktualizacji</w:t>
      </w:r>
      <w:r w:rsidR="0035339C">
        <w:rPr>
          <w:rFonts w:asciiTheme="minorHAnsi" w:hAnsiTheme="minorHAnsi"/>
        </w:rPr>
        <w:t>,</w:t>
      </w:r>
      <w:r w:rsidRPr="00194E8E">
        <w:rPr>
          <w:rFonts w:asciiTheme="minorHAnsi" w:hAnsiTheme="minorHAnsi"/>
        </w:rPr>
        <w:t xml:space="preserve"> oraz </w:t>
      </w:r>
      <w:r w:rsidR="006C4216" w:rsidRPr="00194E8E">
        <w:rPr>
          <w:rFonts w:asciiTheme="minorHAnsi" w:hAnsiTheme="minorHAnsi"/>
        </w:rPr>
        <w:t xml:space="preserve">6 </w:t>
      </w:r>
      <w:r w:rsidRPr="00194E8E">
        <w:rPr>
          <w:rFonts w:asciiTheme="minorHAnsi" w:hAnsiTheme="minorHAnsi"/>
        </w:rPr>
        <w:t>pism</w:t>
      </w:r>
      <w:r w:rsidR="0031497C" w:rsidRPr="00194E8E">
        <w:rPr>
          <w:rFonts w:asciiTheme="minorHAnsi" w:hAnsiTheme="minorHAnsi"/>
        </w:rPr>
        <w:t>,</w:t>
      </w:r>
      <w:r w:rsidRPr="00194E8E">
        <w:rPr>
          <w:rFonts w:asciiTheme="minorHAnsi" w:hAnsiTheme="minorHAnsi"/>
        </w:rPr>
        <w:t xml:space="preserve"> zawierających informacje na temat realizacji środków indywidualnych bądź generalnych w danej sprawie. Zdarzało się, że w sprawie wykonywania niektórych wyroków w okresie sprawozdawczym przygotowa</w:t>
      </w:r>
      <w:r w:rsidR="008B1C22" w:rsidRPr="00194E8E">
        <w:rPr>
          <w:rFonts w:asciiTheme="minorHAnsi" w:hAnsiTheme="minorHAnsi"/>
        </w:rPr>
        <w:t>no</w:t>
      </w:r>
      <w:r w:rsidRPr="00194E8E">
        <w:rPr>
          <w:rFonts w:asciiTheme="minorHAnsi" w:hAnsiTheme="minorHAnsi"/>
        </w:rPr>
        <w:t xml:space="preserve"> i przedstawi</w:t>
      </w:r>
      <w:r w:rsidR="008B1C22" w:rsidRPr="00194E8E">
        <w:rPr>
          <w:rFonts w:asciiTheme="minorHAnsi" w:hAnsiTheme="minorHAnsi"/>
        </w:rPr>
        <w:t>ono</w:t>
      </w:r>
      <w:r w:rsidRPr="00194E8E">
        <w:rPr>
          <w:rFonts w:asciiTheme="minorHAnsi" w:hAnsiTheme="minorHAnsi"/>
        </w:rPr>
        <w:t xml:space="preserve"> plany, raporty bądź pisma </w:t>
      </w:r>
      <w:r w:rsidR="0035339C">
        <w:rPr>
          <w:rFonts w:asciiTheme="minorHAnsi" w:hAnsiTheme="minorHAnsi"/>
        </w:rPr>
        <w:t>częściej</w:t>
      </w:r>
      <w:r w:rsidRPr="00194E8E">
        <w:rPr>
          <w:rFonts w:asciiTheme="minorHAnsi" w:hAnsiTheme="minorHAnsi"/>
        </w:rPr>
        <w:t xml:space="preserve"> niż jeden raz</w:t>
      </w:r>
      <w:r w:rsidR="00E73FF5" w:rsidRPr="00194E8E">
        <w:rPr>
          <w:rFonts w:asciiTheme="minorHAnsi" w:hAnsiTheme="minorHAnsi"/>
        </w:rPr>
        <w:t xml:space="preserve">, co najczęściej wynikało z konieczności uzupełnienia </w:t>
      </w:r>
      <w:r w:rsidR="0035339C">
        <w:rPr>
          <w:rFonts w:asciiTheme="minorHAnsi" w:hAnsiTheme="minorHAnsi"/>
        </w:rPr>
        <w:t>lub</w:t>
      </w:r>
      <w:r w:rsidR="00E73FF5" w:rsidRPr="00194E8E">
        <w:rPr>
          <w:rFonts w:asciiTheme="minorHAnsi" w:hAnsiTheme="minorHAnsi"/>
        </w:rPr>
        <w:t xml:space="preserve"> wyjaśnienia przesłanych wcześniej informacji, bądź też z konieczności przedstawienia aktualnych informacji w danej sprawie w związku z umieszczeniem jej na agendzie posiedzenia Komitetu Ministrów RE</w:t>
      </w:r>
      <w:r w:rsidRPr="00194E8E">
        <w:rPr>
          <w:rFonts w:asciiTheme="minorHAnsi" w:hAnsiTheme="minorHAnsi"/>
        </w:rPr>
        <w:t>.</w:t>
      </w:r>
      <w:r w:rsidR="00CA145F" w:rsidRPr="00194E8E">
        <w:rPr>
          <w:rFonts w:asciiTheme="minorHAnsi" w:hAnsiTheme="minorHAnsi"/>
        </w:rPr>
        <w:t xml:space="preserve"> </w:t>
      </w:r>
      <w:r w:rsidRPr="00194E8E">
        <w:rPr>
          <w:rFonts w:asciiTheme="minorHAnsi" w:hAnsiTheme="minorHAnsi"/>
        </w:rPr>
        <w:t xml:space="preserve">Wszystkie </w:t>
      </w:r>
      <w:r w:rsidR="006C4216" w:rsidRPr="00194E8E">
        <w:rPr>
          <w:rFonts w:asciiTheme="minorHAnsi" w:hAnsiTheme="minorHAnsi"/>
        </w:rPr>
        <w:t>27</w:t>
      </w:r>
      <w:r w:rsidRPr="00194E8E">
        <w:rPr>
          <w:rFonts w:asciiTheme="minorHAnsi" w:hAnsiTheme="minorHAnsi"/>
        </w:rPr>
        <w:t xml:space="preserve"> dokumentów zostało przesłanych do D</w:t>
      </w:r>
      <w:r w:rsidR="008B1C22" w:rsidRPr="00194E8E">
        <w:rPr>
          <w:rFonts w:asciiTheme="minorHAnsi" w:hAnsiTheme="minorHAnsi"/>
        </w:rPr>
        <w:t>WW</w:t>
      </w:r>
      <w:r w:rsidRPr="00194E8E">
        <w:rPr>
          <w:rFonts w:asciiTheme="minorHAnsi" w:hAnsiTheme="minorHAnsi"/>
        </w:rPr>
        <w:t>.</w:t>
      </w:r>
      <w:r w:rsidR="00E73FF5" w:rsidRPr="00194E8E">
        <w:rPr>
          <w:rFonts w:asciiTheme="minorHAnsi" w:hAnsiTheme="minorHAnsi"/>
        </w:rPr>
        <w:t xml:space="preserve"> </w:t>
      </w:r>
      <w:r w:rsidR="00D43389" w:rsidRPr="00194E8E">
        <w:rPr>
          <w:rFonts w:asciiTheme="minorHAnsi" w:hAnsiTheme="minorHAnsi"/>
        </w:rPr>
        <w:t xml:space="preserve">Dokumenty te są również </w:t>
      </w:r>
      <w:r w:rsidRPr="00194E8E">
        <w:rPr>
          <w:rFonts w:asciiTheme="minorHAnsi" w:hAnsiTheme="minorHAnsi"/>
        </w:rPr>
        <w:t>opublikowane na stronie internetowej KM (https://www.coe.int/en/web/cm, w zakładce „documents”)</w:t>
      </w:r>
      <w:r w:rsidR="00E73FF5" w:rsidRPr="00194E8E">
        <w:rPr>
          <w:rFonts w:asciiTheme="minorHAnsi" w:hAnsiTheme="minorHAnsi"/>
        </w:rPr>
        <w:t xml:space="preserve"> oraz</w:t>
      </w:r>
      <w:r w:rsidRPr="00194E8E">
        <w:rPr>
          <w:rFonts w:asciiTheme="minorHAnsi" w:hAnsiTheme="minorHAnsi"/>
        </w:rPr>
        <w:t xml:space="preserve"> w bazie wykonywanych orzeczeń HUDOC-EXEC (https://hudoc.exec.coe.int/). </w:t>
      </w:r>
    </w:p>
    <w:p w:rsidR="00E34A09" w:rsidRPr="00194E8E" w:rsidRDefault="0035339C" w:rsidP="0035339C">
      <w:pPr>
        <w:spacing w:before="120" w:after="120"/>
        <w:jc w:val="both"/>
        <w:rPr>
          <w:rFonts w:asciiTheme="minorHAnsi" w:hAnsiTheme="minorHAnsi"/>
        </w:rPr>
      </w:pPr>
      <w:r>
        <w:rPr>
          <w:rFonts w:asciiTheme="minorHAnsi" w:hAnsiTheme="minorHAnsi"/>
        </w:rPr>
        <w:t>W oparciu o niektóre</w:t>
      </w:r>
      <w:r w:rsidR="00E34A09" w:rsidRPr="00194E8E">
        <w:rPr>
          <w:rFonts w:asciiTheme="minorHAnsi" w:hAnsiTheme="minorHAnsi"/>
        </w:rPr>
        <w:t xml:space="preserve"> z przesłanych w 20</w:t>
      </w:r>
      <w:r w:rsidR="00C121BB" w:rsidRPr="00194E8E">
        <w:rPr>
          <w:rFonts w:asciiTheme="minorHAnsi" w:hAnsiTheme="minorHAnsi"/>
        </w:rPr>
        <w:t>2</w:t>
      </w:r>
      <w:r w:rsidR="00D43389" w:rsidRPr="00194E8E">
        <w:rPr>
          <w:rFonts w:asciiTheme="minorHAnsi" w:hAnsiTheme="minorHAnsi"/>
        </w:rPr>
        <w:t>1</w:t>
      </w:r>
      <w:r w:rsidR="00E34A09" w:rsidRPr="00194E8E">
        <w:rPr>
          <w:rFonts w:asciiTheme="minorHAnsi" w:hAnsiTheme="minorHAnsi"/>
        </w:rPr>
        <w:t xml:space="preserve"> r. raportów z wykonania KM </w:t>
      </w:r>
      <w:r>
        <w:rPr>
          <w:rFonts w:asciiTheme="minorHAnsi" w:hAnsiTheme="minorHAnsi"/>
        </w:rPr>
        <w:t>przyjął</w:t>
      </w:r>
      <w:r w:rsidR="00E34A09" w:rsidRPr="00194E8E">
        <w:rPr>
          <w:rFonts w:asciiTheme="minorHAnsi" w:hAnsiTheme="minorHAnsi"/>
        </w:rPr>
        <w:t xml:space="preserve"> rezolucj</w:t>
      </w:r>
      <w:r w:rsidR="00C121BB" w:rsidRPr="00194E8E">
        <w:rPr>
          <w:rFonts w:asciiTheme="minorHAnsi" w:hAnsiTheme="minorHAnsi"/>
        </w:rPr>
        <w:t>e</w:t>
      </w:r>
      <w:r w:rsidR="00E34A09" w:rsidRPr="00194E8E">
        <w:rPr>
          <w:rFonts w:asciiTheme="minorHAnsi" w:hAnsiTheme="minorHAnsi"/>
        </w:rPr>
        <w:t xml:space="preserve"> końcow</w:t>
      </w:r>
      <w:r w:rsidR="00C121BB" w:rsidRPr="00194E8E">
        <w:rPr>
          <w:rFonts w:asciiTheme="minorHAnsi" w:hAnsiTheme="minorHAnsi"/>
        </w:rPr>
        <w:t>e</w:t>
      </w:r>
      <w:r w:rsidR="00E34A09" w:rsidRPr="00194E8E">
        <w:rPr>
          <w:rFonts w:asciiTheme="minorHAnsi" w:hAnsiTheme="minorHAnsi"/>
        </w:rPr>
        <w:t>, zamykając</w:t>
      </w:r>
      <w:r w:rsidR="00162114" w:rsidRPr="00194E8E">
        <w:rPr>
          <w:rFonts w:asciiTheme="minorHAnsi" w:hAnsiTheme="minorHAnsi"/>
        </w:rPr>
        <w:t>e</w:t>
      </w:r>
      <w:r w:rsidR="00E34A09" w:rsidRPr="00194E8E">
        <w:rPr>
          <w:rFonts w:asciiTheme="minorHAnsi" w:hAnsiTheme="minorHAnsi"/>
        </w:rPr>
        <w:t xml:space="preserve"> nadzór nad wykonywaniem danego orzeczenia </w:t>
      </w:r>
      <w:r>
        <w:rPr>
          <w:rFonts w:asciiTheme="minorHAnsi" w:hAnsiTheme="minorHAnsi"/>
        </w:rPr>
        <w:t>ETPC</w:t>
      </w:r>
      <w:r w:rsidR="00E73FF5" w:rsidRPr="00194E8E">
        <w:rPr>
          <w:rFonts w:asciiTheme="minorHAnsi" w:hAnsiTheme="minorHAnsi"/>
        </w:rPr>
        <w:t xml:space="preserve">. </w:t>
      </w:r>
    </w:p>
    <w:p w:rsidR="00DD0730" w:rsidRPr="00194E8E" w:rsidRDefault="00E34A09" w:rsidP="0035339C">
      <w:pPr>
        <w:spacing w:before="120" w:after="120"/>
        <w:jc w:val="both"/>
        <w:rPr>
          <w:rFonts w:asciiTheme="minorHAnsi" w:hAnsiTheme="minorHAnsi"/>
          <w:highlight w:val="yellow"/>
        </w:rPr>
      </w:pPr>
      <w:r w:rsidRPr="00194E8E">
        <w:rPr>
          <w:rFonts w:asciiTheme="minorHAnsi" w:hAnsiTheme="minorHAnsi"/>
        </w:rPr>
        <w:t xml:space="preserve">Poniżej przedstawiono skrótowe informacje o wszystkich </w:t>
      </w:r>
      <w:r w:rsidR="006C4216" w:rsidRPr="00194E8E">
        <w:rPr>
          <w:rFonts w:asciiTheme="minorHAnsi" w:hAnsiTheme="minorHAnsi"/>
        </w:rPr>
        <w:t>27</w:t>
      </w:r>
      <w:r w:rsidRPr="00194E8E">
        <w:rPr>
          <w:rFonts w:asciiTheme="minorHAnsi" w:hAnsiTheme="minorHAnsi"/>
        </w:rPr>
        <w:t xml:space="preserve"> dokumentach, przesłanych do RE, </w:t>
      </w:r>
      <w:r w:rsidR="00561A09" w:rsidRPr="00194E8E">
        <w:rPr>
          <w:rFonts w:asciiTheme="minorHAnsi" w:hAnsiTheme="minorHAnsi"/>
        </w:rPr>
        <w:t xml:space="preserve">przedstawione w kolejności chronologicznej (w Załączniku </w:t>
      </w:r>
      <w:r w:rsidR="009B6D29" w:rsidRPr="00194E8E">
        <w:rPr>
          <w:rFonts w:asciiTheme="minorHAnsi" w:hAnsiTheme="minorHAnsi"/>
        </w:rPr>
        <w:t>B</w:t>
      </w:r>
      <w:r w:rsidR="00561A09" w:rsidRPr="00194E8E">
        <w:rPr>
          <w:rFonts w:asciiTheme="minorHAnsi" w:hAnsiTheme="minorHAnsi"/>
        </w:rPr>
        <w:t xml:space="preserve"> znajduje się również ich </w:t>
      </w:r>
      <w:r w:rsidR="00561A09" w:rsidRPr="00194E8E">
        <w:rPr>
          <w:rFonts w:asciiTheme="minorHAnsi" w:hAnsiTheme="minorHAnsi"/>
        </w:rPr>
        <w:lastRenderedPageBreak/>
        <w:t xml:space="preserve">tabelaryczne zestawienie w kolejności alfabetycznej), </w:t>
      </w:r>
      <w:r w:rsidRPr="00194E8E">
        <w:rPr>
          <w:rFonts w:asciiTheme="minorHAnsi" w:hAnsiTheme="minorHAnsi"/>
        </w:rPr>
        <w:t>zaś ich pełne teksty w polskiej wersji językowej znaj</w:t>
      </w:r>
      <w:r w:rsidR="009B6D29" w:rsidRPr="00194E8E">
        <w:rPr>
          <w:rFonts w:asciiTheme="minorHAnsi" w:hAnsiTheme="minorHAnsi"/>
        </w:rPr>
        <w:t>dują się w Załączniku C</w:t>
      </w:r>
      <w:r w:rsidRPr="00194E8E">
        <w:rPr>
          <w:rFonts w:asciiTheme="minorHAnsi" w:hAnsiTheme="minorHAnsi"/>
        </w:rPr>
        <w:t>.</w:t>
      </w:r>
    </w:p>
    <w:p w:rsidR="00C90D51" w:rsidRDefault="002C33AF" w:rsidP="0035339C">
      <w:pPr>
        <w:numPr>
          <w:ilvl w:val="0"/>
          <w:numId w:val="3"/>
        </w:numPr>
        <w:spacing w:before="240" w:after="120"/>
        <w:ind w:left="709" w:hanging="425"/>
        <w:jc w:val="both"/>
        <w:rPr>
          <w:rFonts w:asciiTheme="minorHAnsi" w:hAnsiTheme="minorHAnsi"/>
          <w:color w:val="000000"/>
        </w:rPr>
      </w:pPr>
      <w:r w:rsidRPr="00194E8E">
        <w:rPr>
          <w:rFonts w:asciiTheme="minorHAnsi" w:eastAsia="Calibri" w:hAnsiTheme="minorHAnsi"/>
          <w:b/>
          <w:i/>
          <w:lang w:eastAsia="en-US"/>
        </w:rPr>
        <w:t xml:space="preserve">M.K. i </w:t>
      </w:r>
      <w:r w:rsidR="0035339C">
        <w:rPr>
          <w:rFonts w:asciiTheme="minorHAnsi" w:eastAsia="Calibri" w:hAnsiTheme="minorHAnsi"/>
          <w:b/>
          <w:i/>
          <w:lang w:eastAsia="en-US"/>
        </w:rPr>
        <w:t>I</w:t>
      </w:r>
      <w:r w:rsidRPr="00194E8E">
        <w:rPr>
          <w:rFonts w:asciiTheme="minorHAnsi" w:eastAsia="Calibri" w:hAnsiTheme="minorHAnsi"/>
          <w:b/>
          <w:i/>
          <w:lang w:eastAsia="en-US"/>
        </w:rPr>
        <w:t xml:space="preserve">nni p. Polsce </w:t>
      </w:r>
      <w:r w:rsidRPr="00194E8E">
        <w:rPr>
          <w:rFonts w:asciiTheme="minorHAnsi" w:eastAsia="Calibri" w:hAnsiTheme="minorHAnsi"/>
          <w:lang w:eastAsia="en-US"/>
        </w:rPr>
        <w:t>(skarg</w:t>
      </w:r>
      <w:r w:rsidR="008B1C22" w:rsidRPr="00194E8E">
        <w:rPr>
          <w:rFonts w:asciiTheme="minorHAnsi" w:eastAsia="Calibri" w:hAnsiTheme="minorHAnsi"/>
          <w:lang w:eastAsia="en-US"/>
        </w:rPr>
        <w:t>i</w:t>
      </w:r>
      <w:r w:rsidRPr="00194E8E">
        <w:rPr>
          <w:rFonts w:asciiTheme="minorHAnsi" w:eastAsia="Calibri" w:hAnsiTheme="minorHAnsi"/>
          <w:lang w:eastAsia="en-US"/>
        </w:rPr>
        <w:t xml:space="preserve"> nr</w:t>
      </w:r>
      <w:r w:rsidR="00F21973" w:rsidRPr="00194E8E">
        <w:rPr>
          <w:rFonts w:asciiTheme="minorHAnsi" w:eastAsia="Calibri" w:hAnsiTheme="minorHAnsi"/>
          <w:lang w:eastAsia="en-US"/>
        </w:rPr>
        <w:t xml:space="preserve"> </w:t>
      </w:r>
      <w:r w:rsidR="00F21973" w:rsidRPr="00194E8E">
        <w:rPr>
          <w:rFonts w:asciiTheme="minorHAnsi" w:hAnsiTheme="minorHAnsi"/>
        </w:rPr>
        <w:t xml:space="preserve">40503/17, 42902/17 </w:t>
      </w:r>
      <w:r w:rsidR="008B1C22" w:rsidRPr="00194E8E">
        <w:rPr>
          <w:rFonts w:asciiTheme="minorHAnsi" w:hAnsiTheme="minorHAnsi"/>
        </w:rPr>
        <w:t>i</w:t>
      </w:r>
      <w:r w:rsidR="00F21973" w:rsidRPr="00194E8E">
        <w:rPr>
          <w:rFonts w:asciiTheme="minorHAnsi" w:hAnsiTheme="minorHAnsi"/>
        </w:rPr>
        <w:t xml:space="preserve"> 43643/17</w:t>
      </w:r>
      <w:r w:rsidRPr="00194E8E">
        <w:rPr>
          <w:rFonts w:asciiTheme="minorHAnsi" w:eastAsia="Calibri" w:hAnsiTheme="minorHAnsi"/>
          <w:lang w:eastAsia="en-US"/>
        </w:rPr>
        <w:t>)</w:t>
      </w:r>
    </w:p>
    <w:p w:rsidR="00C90D51" w:rsidRDefault="00C90D51" w:rsidP="00C90D51">
      <w:pPr>
        <w:spacing w:before="120" w:after="120"/>
        <w:jc w:val="both"/>
        <w:rPr>
          <w:rFonts w:asciiTheme="minorHAnsi" w:hAnsiTheme="minorHAnsi"/>
          <w:color w:val="000000"/>
        </w:rPr>
      </w:pPr>
      <w:r>
        <w:rPr>
          <w:rFonts w:asciiTheme="minorHAnsi" w:hAnsiTheme="minorHAnsi"/>
          <w:color w:val="000000"/>
        </w:rPr>
        <w:t>Naruszenie</w:t>
      </w:r>
      <w:r w:rsidR="002C33AF" w:rsidRPr="00194E8E">
        <w:rPr>
          <w:rFonts w:asciiTheme="minorHAnsi" w:hAnsiTheme="minorHAnsi"/>
          <w:color w:val="000000"/>
        </w:rPr>
        <w:t xml:space="preserve"> art. 3 Konwencji z uwagi na odmowę dostępu do procedury </w:t>
      </w:r>
      <w:r w:rsidR="008B1C22" w:rsidRPr="00194E8E">
        <w:rPr>
          <w:rFonts w:asciiTheme="minorHAnsi" w:hAnsiTheme="minorHAnsi"/>
          <w:color w:val="000000"/>
        </w:rPr>
        <w:t>ubiegania się o ochronę międzynarodową</w:t>
      </w:r>
      <w:r w:rsidR="002C33AF" w:rsidRPr="00194E8E">
        <w:rPr>
          <w:rFonts w:asciiTheme="minorHAnsi" w:hAnsiTheme="minorHAnsi"/>
          <w:color w:val="000000"/>
        </w:rPr>
        <w:t xml:space="preserve"> i narażenie na ryzyko nieludzkiego, poniżającego traktowania i tortur w Czeczeni, art. 4 </w:t>
      </w:r>
      <w:r w:rsidR="0035339C">
        <w:rPr>
          <w:rFonts w:asciiTheme="minorHAnsi" w:hAnsiTheme="minorHAnsi"/>
          <w:color w:val="000000"/>
        </w:rPr>
        <w:t>P</w:t>
      </w:r>
      <w:r w:rsidR="002C33AF" w:rsidRPr="00194E8E">
        <w:rPr>
          <w:rFonts w:asciiTheme="minorHAnsi" w:hAnsiTheme="minorHAnsi"/>
          <w:color w:val="000000"/>
        </w:rPr>
        <w:t xml:space="preserve">rotokołu </w:t>
      </w:r>
      <w:r w:rsidR="0035339C">
        <w:rPr>
          <w:rFonts w:asciiTheme="minorHAnsi" w:hAnsiTheme="minorHAnsi"/>
          <w:color w:val="000000"/>
        </w:rPr>
        <w:t xml:space="preserve">nr </w:t>
      </w:r>
      <w:r w:rsidR="002C33AF" w:rsidRPr="00194E8E">
        <w:rPr>
          <w:rFonts w:asciiTheme="minorHAnsi" w:hAnsiTheme="minorHAnsi"/>
          <w:color w:val="000000"/>
        </w:rPr>
        <w:t xml:space="preserve">4 </w:t>
      </w:r>
      <w:r w:rsidR="0035339C">
        <w:rPr>
          <w:rFonts w:asciiTheme="minorHAnsi" w:hAnsiTheme="minorHAnsi"/>
          <w:color w:val="000000"/>
        </w:rPr>
        <w:t xml:space="preserve">do </w:t>
      </w:r>
      <w:r w:rsidR="002C33AF" w:rsidRPr="00194E8E">
        <w:rPr>
          <w:rFonts w:asciiTheme="minorHAnsi" w:hAnsiTheme="minorHAnsi"/>
          <w:color w:val="000000"/>
        </w:rPr>
        <w:t>Konwencji z uwagi na zbiorowe wydalenie cudzoziemców</w:t>
      </w:r>
      <w:r w:rsidR="00486D4F" w:rsidRPr="00194E8E">
        <w:rPr>
          <w:rFonts w:asciiTheme="minorHAnsi" w:hAnsiTheme="minorHAnsi"/>
          <w:color w:val="000000"/>
        </w:rPr>
        <w:t>,</w:t>
      </w:r>
      <w:r w:rsidR="002C33AF" w:rsidRPr="00194E8E">
        <w:rPr>
          <w:rFonts w:asciiTheme="minorHAnsi" w:hAnsiTheme="minorHAnsi"/>
          <w:color w:val="000000"/>
        </w:rPr>
        <w:t xml:space="preserve"> art. 13 Konwencji z uwagi na brak skutecznego środka odwoławczego oraz art. 34 Konwencji z uwagi na ni</w:t>
      </w:r>
      <w:r w:rsidR="00671D5C" w:rsidRPr="00194E8E">
        <w:rPr>
          <w:rFonts w:asciiTheme="minorHAnsi" w:hAnsiTheme="minorHAnsi"/>
          <w:color w:val="000000"/>
        </w:rPr>
        <w:t>ezastosowanie się przez R</w:t>
      </w:r>
      <w:r w:rsidR="002C33AF" w:rsidRPr="00194E8E">
        <w:rPr>
          <w:rFonts w:asciiTheme="minorHAnsi" w:hAnsiTheme="minorHAnsi"/>
          <w:color w:val="000000"/>
        </w:rPr>
        <w:t xml:space="preserve">ząd do środków tymczasowych wskazanych przez </w:t>
      </w:r>
      <w:r w:rsidR="0035339C">
        <w:rPr>
          <w:rFonts w:asciiTheme="minorHAnsi" w:hAnsiTheme="minorHAnsi"/>
          <w:color w:val="000000"/>
        </w:rPr>
        <w:t>ETPC</w:t>
      </w:r>
      <w:r w:rsidR="002C33AF" w:rsidRPr="00194E8E">
        <w:rPr>
          <w:rFonts w:asciiTheme="minorHAnsi" w:hAnsiTheme="minorHAnsi"/>
          <w:color w:val="000000"/>
        </w:rPr>
        <w:t xml:space="preserve"> (</w:t>
      </w:r>
      <w:r w:rsidR="0035339C">
        <w:rPr>
          <w:rFonts w:asciiTheme="minorHAnsi" w:hAnsiTheme="minorHAnsi"/>
          <w:color w:val="000000"/>
        </w:rPr>
        <w:t>art.</w:t>
      </w:r>
      <w:r w:rsidR="002C33AF" w:rsidRPr="00194E8E">
        <w:rPr>
          <w:rFonts w:asciiTheme="minorHAnsi" w:hAnsiTheme="minorHAnsi"/>
          <w:color w:val="000000"/>
        </w:rPr>
        <w:t xml:space="preserve"> 39 Regulaminu </w:t>
      </w:r>
      <w:r w:rsidR="0035339C">
        <w:rPr>
          <w:rFonts w:asciiTheme="minorHAnsi" w:hAnsiTheme="minorHAnsi"/>
          <w:color w:val="000000"/>
        </w:rPr>
        <w:t>ETPC</w:t>
      </w:r>
      <w:r w:rsidR="002C33AF" w:rsidRPr="00194E8E">
        <w:rPr>
          <w:rFonts w:asciiTheme="minorHAnsi" w:hAnsiTheme="minorHAnsi"/>
          <w:color w:val="000000"/>
        </w:rPr>
        <w:t xml:space="preserve">). </w:t>
      </w:r>
    </w:p>
    <w:p w:rsidR="002C33AF" w:rsidRPr="00C90D51" w:rsidRDefault="002C33AF" w:rsidP="00C90D51">
      <w:pPr>
        <w:spacing w:before="120" w:after="120"/>
        <w:jc w:val="both"/>
        <w:rPr>
          <w:rFonts w:asciiTheme="minorHAnsi" w:hAnsiTheme="minorHAnsi"/>
          <w:i/>
          <w:color w:val="000000"/>
        </w:rPr>
      </w:pPr>
      <w:r w:rsidRPr="00C90D51">
        <w:rPr>
          <w:rFonts w:asciiTheme="minorHAnsi" w:hAnsiTheme="minorHAnsi"/>
          <w:i/>
          <w:color w:val="000000"/>
        </w:rPr>
        <w:t xml:space="preserve">Rząd przesłał do </w:t>
      </w:r>
      <w:r w:rsidR="004B0816" w:rsidRPr="00C90D51">
        <w:rPr>
          <w:rFonts w:asciiTheme="minorHAnsi" w:hAnsiTheme="minorHAnsi"/>
          <w:i/>
          <w:color w:val="000000"/>
        </w:rPr>
        <w:t>RE</w:t>
      </w:r>
      <w:r w:rsidRPr="00C90D51">
        <w:rPr>
          <w:rFonts w:asciiTheme="minorHAnsi" w:hAnsiTheme="minorHAnsi"/>
          <w:i/>
          <w:color w:val="000000"/>
        </w:rPr>
        <w:t xml:space="preserve"> informację o realizacji środków indywidualnych</w:t>
      </w:r>
      <w:r w:rsidR="00D55B04" w:rsidRPr="00D55B04">
        <w:rPr>
          <w:rFonts w:asciiTheme="minorHAnsi" w:hAnsiTheme="minorHAnsi"/>
          <w:i/>
          <w:color w:val="000000"/>
        </w:rPr>
        <w:t xml:space="preserve"> </w:t>
      </w:r>
      <w:r w:rsidR="00D55B04">
        <w:rPr>
          <w:rFonts w:asciiTheme="minorHAnsi" w:hAnsiTheme="minorHAnsi"/>
          <w:i/>
          <w:color w:val="000000"/>
        </w:rPr>
        <w:t>w</w:t>
      </w:r>
      <w:r w:rsidR="00D55B04" w:rsidRPr="00C90D51">
        <w:rPr>
          <w:rFonts w:asciiTheme="minorHAnsi" w:hAnsiTheme="minorHAnsi"/>
          <w:i/>
          <w:color w:val="000000"/>
        </w:rPr>
        <w:t xml:space="preserve"> dniu 21 stycznia 2021 r.</w:t>
      </w:r>
    </w:p>
    <w:p w:rsidR="00C90D51" w:rsidRPr="00C90D51" w:rsidRDefault="00F032FC" w:rsidP="0035339C">
      <w:pPr>
        <w:numPr>
          <w:ilvl w:val="0"/>
          <w:numId w:val="3"/>
        </w:numPr>
        <w:spacing w:before="240" w:after="120"/>
        <w:ind w:left="709" w:hanging="425"/>
        <w:jc w:val="both"/>
        <w:rPr>
          <w:rFonts w:asciiTheme="minorHAnsi" w:hAnsiTheme="minorHAnsi"/>
          <w:color w:val="000000"/>
        </w:rPr>
      </w:pPr>
      <w:r w:rsidRPr="00194E8E">
        <w:rPr>
          <w:rFonts w:asciiTheme="minorHAnsi" w:eastAsia="Calibri" w:hAnsiTheme="minorHAnsi"/>
          <w:b/>
          <w:i/>
          <w:lang w:eastAsia="en-US"/>
        </w:rPr>
        <w:t xml:space="preserve">Jabłońska p. Polsce </w:t>
      </w:r>
      <w:r w:rsidRPr="00194E8E">
        <w:rPr>
          <w:rFonts w:asciiTheme="minorHAnsi" w:eastAsia="Calibri" w:hAnsiTheme="minorHAnsi"/>
          <w:lang w:eastAsia="en-US"/>
        </w:rPr>
        <w:t xml:space="preserve">(skarga nr </w:t>
      </w:r>
      <w:r w:rsidR="00C90D51">
        <w:rPr>
          <w:rFonts w:asciiTheme="minorHAnsi" w:hAnsiTheme="minorHAnsi"/>
        </w:rPr>
        <w:t xml:space="preserve">24913/15) </w:t>
      </w:r>
    </w:p>
    <w:p w:rsidR="00C90D51" w:rsidRDefault="00C90D51" w:rsidP="00C90D51">
      <w:pPr>
        <w:spacing w:before="120" w:after="120"/>
        <w:jc w:val="both"/>
        <w:rPr>
          <w:rFonts w:asciiTheme="minorHAnsi" w:hAnsiTheme="minorHAnsi"/>
          <w:color w:val="000000"/>
        </w:rPr>
      </w:pPr>
      <w:r>
        <w:rPr>
          <w:rFonts w:asciiTheme="minorHAnsi" w:hAnsiTheme="minorHAnsi"/>
          <w:color w:val="000000"/>
        </w:rPr>
        <w:t>Naruszenie</w:t>
      </w:r>
      <w:r w:rsidR="00F032FC" w:rsidRPr="00194E8E">
        <w:rPr>
          <w:rFonts w:asciiTheme="minorHAnsi" w:hAnsiTheme="minorHAnsi"/>
          <w:color w:val="000000"/>
        </w:rPr>
        <w:t xml:space="preserve"> art. 2 Konwencji w aspekcie proceduralnym z uwagi na brak skutecznego śledztwa w odniesieniu do śmierci syna skarżącej; </w:t>
      </w:r>
      <w:r w:rsidR="0035339C">
        <w:rPr>
          <w:rFonts w:asciiTheme="minorHAnsi" w:hAnsiTheme="minorHAnsi"/>
          <w:color w:val="000000"/>
        </w:rPr>
        <w:t>brak</w:t>
      </w:r>
      <w:r w:rsidR="00486D4F" w:rsidRPr="00194E8E">
        <w:rPr>
          <w:rFonts w:asciiTheme="minorHAnsi" w:hAnsiTheme="minorHAnsi"/>
          <w:color w:val="000000"/>
        </w:rPr>
        <w:t xml:space="preserve"> </w:t>
      </w:r>
      <w:r w:rsidR="00F032FC" w:rsidRPr="00194E8E">
        <w:rPr>
          <w:rFonts w:asciiTheme="minorHAnsi" w:hAnsiTheme="minorHAnsi"/>
          <w:color w:val="000000"/>
        </w:rPr>
        <w:t>naruszenia art. 2 w aspekcie materialnym w związku z zarzucanym opóźnieniem w udzieleniu synowi skarżącej pomocy medyczne</w:t>
      </w:r>
      <w:r w:rsidR="0035339C">
        <w:rPr>
          <w:rFonts w:asciiTheme="minorHAnsi" w:hAnsiTheme="minorHAnsi"/>
          <w:color w:val="000000"/>
        </w:rPr>
        <w:t>j.</w:t>
      </w:r>
    </w:p>
    <w:p w:rsidR="00F032FC" w:rsidRPr="00C90D51" w:rsidRDefault="00F032FC" w:rsidP="00C90D51">
      <w:pPr>
        <w:spacing w:before="120" w:after="120"/>
        <w:jc w:val="both"/>
        <w:rPr>
          <w:rFonts w:asciiTheme="minorHAnsi" w:hAnsiTheme="minorHAnsi"/>
          <w:i/>
          <w:color w:val="000000"/>
        </w:rPr>
      </w:pPr>
      <w:r w:rsidRPr="00C90D51">
        <w:rPr>
          <w:rFonts w:asciiTheme="minorHAnsi" w:hAnsiTheme="minorHAnsi"/>
          <w:i/>
          <w:color w:val="000000"/>
        </w:rPr>
        <w:t>Rząd przesłał do RE raport z wykonania wyroku</w:t>
      </w:r>
      <w:r w:rsidR="00D55B04" w:rsidRPr="00D55B04">
        <w:rPr>
          <w:rFonts w:asciiTheme="minorHAnsi" w:hAnsiTheme="minorHAnsi"/>
          <w:i/>
          <w:color w:val="000000"/>
        </w:rPr>
        <w:t xml:space="preserve"> </w:t>
      </w:r>
      <w:r w:rsidR="00D55B04">
        <w:rPr>
          <w:rFonts w:asciiTheme="minorHAnsi" w:hAnsiTheme="minorHAnsi"/>
          <w:i/>
          <w:color w:val="000000"/>
        </w:rPr>
        <w:t>w</w:t>
      </w:r>
      <w:r w:rsidR="00D55B04" w:rsidRPr="00C90D51">
        <w:rPr>
          <w:rFonts w:asciiTheme="minorHAnsi" w:hAnsiTheme="minorHAnsi"/>
          <w:i/>
          <w:color w:val="000000"/>
        </w:rPr>
        <w:t xml:space="preserve"> dniu 25 lutego 2021 r.</w:t>
      </w:r>
    </w:p>
    <w:p w:rsidR="00C90D51" w:rsidRDefault="00F032FC" w:rsidP="0035339C">
      <w:pPr>
        <w:numPr>
          <w:ilvl w:val="0"/>
          <w:numId w:val="3"/>
        </w:numPr>
        <w:spacing w:before="240" w:after="120"/>
        <w:ind w:left="709" w:hanging="425"/>
        <w:jc w:val="both"/>
        <w:rPr>
          <w:rFonts w:asciiTheme="minorHAnsi" w:hAnsiTheme="minorHAnsi"/>
          <w:color w:val="000000"/>
        </w:rPr>
      </w:pPr>
      <w:r w:rsidRPr="00194E8E">
        <w:rPr>
          <w:rFonts w:asciiTheme="minorHAnsi" w:hAnsiTheme="minorHAnsi"/>
          <w:b/>
          <w:i/>
          <w:color w:val="000000"/>
        </w:rPr>
        <w:t xml:space="preserve">Grabowski p. Polsce </w:t>
      </w:r>
      <w:r w:rsidRPr="00194E8E">
        <w:rPr>
          <w:rFonts w:asciiTheme="minorHAnsi" w:hAnsiTheme="minorHAnsi"/>
          <w:color w:val="000000"/>
        </w:rPr>
        <w:t>(skarga nr 57722/12)</w:t>
      </w:r>
    </w:p>
    <w:p w:rsidR="00C90D51" w:rsidRDefault="00C90D51" w:rsidP="00C90D51">
      <w:pPr>
        <w:spacing w:before="120" w:after="120"/>
        <w:jc w:val="both"/>
        <w:rPr>
          <w:rFonts w:asciiTheme="minorHAnsi" w:hAnsiTheme="minorHAnsi"/>
          <w:color w:val="000000"/>
        </w:rPr>
      </w:pPr>
      <w:r>
        <w:rPr>
          <w:rFonts w:asciiTheme="minorHAnsi" w:hAnsiTheme="minorHAnsi"/>
          <w:color w:val="000000"/>
        </w:rPr>
        <w:t>N</w:t>
      </w:r>
      <w:r w:rsidR="00F032FC" w:rsidRPr="00194E8E">
        <w:rPr>
          <w:rFonts w:asciiTheme="minorHAnsi" w:hAnsiTheme="minorHAnsi"/>
          <w:color w:val="000000"/>
        </w:rPr>
        <w:t>aruszenie art. 5 ust. 1 Konwencji z powodu pozbawienia wolności osoby nieletniej w ramach postępowania poprawczego, bez właściwego postanowienia sądu</w:t>
      </w:r>
      <w:r w:rsidR="0035339C">
        <w:rPr>
          <w:rFonts w:asciiTheme="minorHAnsi" w:hAnsiTheme="minorHAnsi"/>
          <w:color w:val="000000"/>
        </w:rPr>
        <w:t>;</w:t>
      </w:r>
      <w:r w:rsidR="00F032FC" w:rsidRPr="00194E8E">
        <w:rPr>
          <w:rFonts w:asciiTheme="minorHAnsi" w:hAnsiTheme="minorHAnsi"/>
          <w:color w:val="000000"/>
        </w:rPr>
        <w:t xml:space="preserve"> naruszenie art. 5 ust. 4 Konwencji z uwagi na to, że rozpoznając wniosek skarżącego o zwolnienie sąd nie wyjaśnił podstawy prawnej jego dalszego pozbawienia wolności w schronisku dla nieletnich. </w:t>
      </w:r>
    </w:p>
    <w:p w:rsidR="00D55B04" w:rsidRDefault="00D55B04" w:rsidP="00C90D51">
      <w:pPr>
        <w:spacing w:before="120" w:after="120"/>
        <w:jc w:val="both"/>
        <w:rPr>
          <w:rFonts w:asciiTheme="minorHAnsi" w:hAnsiTheme="minorHAnsi"/>
          <w:i/>
          <w:color w:val="000000"/>
        </w:rPr>
      </w:pPr>
      <w:r>
        <w:rPr>
          <w:rFonts w:asciiTheme="minorHAnsi" w:hAnsiTheme="minorHAnsi"/>
          <w:i/>
          <w:color w:val="000000"/>
        </w:rPr>
        <w:t>Rząd przesłał informację</w:t>
      </w:r>
      <w:r w:rsidR="00F032FC" w:rsidRPr="00C90D51">
        <w:rPr>
          <w:rFonts w:asciiTheme="minorHAnsi" w:hAnsiTheme="minorHAnsi"/>
          <w:i/>
          <w:color w:val="000000"/>
        </w:rPr>
        <w:t xml:space="preserve"> o środkach generalnych do </w:t>
      </w:r>
      <w:r w:rsidR="00671D5C" w:rsidRPr="00C90D51">
        <w:rPr>
          <w:rFonts w:asciiTheme="minorHAnsi" w:hAnsiTheme="minorHAnsi"/>
          <w:i/>
          <w:color w:val="000000"/>
        </w:rPr>
        <w:t>RE</w:t>
      </w:r>
      <w:r w:rsidR="00F032FC" w:rsidRPr="00C90D51">
        <w:rPr>
          <w:rFonts w:asciiTheme="minorHAnsi" w:hAnsiTheme="minorHAnsi"/>
          <w:i/>
          <w:color w:val="000000"/>
        </w:rPr>
        <w:t xml:space="preserve"> w dniu 15 kwietnia 2021 r. </w:t>
      </w:r>
    </w:p>
    <w:p w:rsidR="00F032FC" w:rsidRPr="00C90D51" w:rsidRDefault="00601788" w:rsidP="00C90D51">
      <w:pPr>
        <w:spacing w:before="120" w:after="120"/>
        <w:jc w:val="both"/>
        <w:rPr>
          <w:rFonts w:asciiTheme="minorHAnsi" w:hAnsiTheme="minorHAnsi"/>
          <w:i/>
          <w:color w:val="000000"/>
        </w:rPr>
      </w:pPr>
      <w:r w:rsidRPr="00C90D51">
        <w:rPr>
          <w:rFonts w:asciiTheme="minorHAnsi" w:hAnsiTheme="minorHAnsi"/>
          <w:i/>
          <w:color w:val="000000"/>
        </w:rPr>
        <w:t xml:space="preserve">KM ocenił </w:t>
      </w:r>
      <w:r w:rsidR="0035339C">
        <w:rPr>
          <w:rFonts w:asciiTheme="minorHAnsi" w:hAnsiTheme="minorHAnsi"/>
          <w:i/>
          <w:color w:val="000000"/>
        </w:rPr>
        <w:t>przekazaną</w:t>
      </w:r>
      <w:r w:rsidR="00671D5C" w:rsidRPr="00C90D51">
        <w:rPr>
          <w:rFonts w:asciiTheme="minorHAnsi" w:hAnsiTheme="minorHAnsi"/>
          <w:i/>
          <w:color w:val="000000"/>
        </w:rPr>
        <w:t xml:space="preserve"> informację</w:t>
      </w:r>
      <w:r w:rsidRPr="00C90D51">
        <w:rPr>
          <w:rFonts w:asciiTheme="minorHAnsi" w:hAnsiTheme="minorHAnsi"/>
          <w:i/>
          <w:color w:val="000000"/>
        </w:rPr>
        <w:t xml:space="preserve"> w decyzji wydanej na posiedzeniu w formacie ds. praw człowieka w dniu </w:t>
      </w:r>
      <w:r w:rsidR="00D55B04">
        <w:rPr>
          <w:rFonts w:asciiTheme="minorHAnsi" w:hAnsiTheme="minorHAnsi"/>
          <w:i/>
          <w:color w:val="000000"/>
        </w:rPr>
        <w:t>9 czerwca 2021 r.</w:t>
      </w:r>
    </w:p>
    <w:p w:rsidR="00D55B04" w:rsidRDefault="00F032FC" w:rsidP="0035339C">
      <w:pPr>
        <w:numPr>
          <w:ilvl w:val="0"/>
          <w:numId w:val="3"/>
        </w:numPr>
        <w:spacing w:before="240" w:after="120"/>
        <w:ind w:left="709" w:hanging="425"/>
        <w:jc w:val="both"/>
        <w:rPr>
          <w:rFonts w:asciiTheme="minorHAnsi" w:eastAsia="Calibri" w:hAnsiTheme="minorHAnsi"/>
          <w:b/>
          <w:i/>
          <w:lang w:eastAsia="en-US"/>
        </w:rPr>
      </w:pPr>
      <w:r w:rsidRPr="00194E8E">
        <w:rPr>
          <w:rFonts w:asciiTheme="minorHAnsi" w:hAnsiTheme="minorHAnsi"/>
          <w:b/>
          <w:bCs/>
          <w:i/>
          <w:color w:val="000000"/>
        </w:rPr>
        <w:t>Kamińska i inni p. Polsce</w:t>
      </w:r>
      <w:r w:rsidRPr="00194E8E">
        <w:rPr>
          <w:rFonts w:asciiTheme="minorHAnsi" w:hAnsiTheme="minorHAnsi"/>
          <w:b/>
          <w:bCs/>
          <w:color w:val="000000"/>
        </w:rPr>
        <w:t xml:space="preserve"> </w:t>
      </w:r>
      <w:r w:rsidRPr="00194E8E">
        <w:rPr>
          <w:rFonts w:asciiTheme="minorHAnsi" w:hAnsiTheme="minorHAnsi"/>
          <w:color w:val="000000"/>
        </w:rPr>
        <w:t xml:space="preserve">(skarga nr 4006/17) </w:t>
      </w:r>
    </w:p>
    <w:p w:rsidR="00D55B04" w:rsidRDefault="00D55B04" w:rsidP="00D55B04">
      <w:pPr>
        <w:spacing w:before="120" w:after="120"/>
        <w:jc w:val="both"/>
        <w:rPr>
          <w:rFonts w:asciiTheme="minorHAnsi" w:hAnsiTheme="minorHAnsi"/>
          <w:color w:val="000000"/>
        </w:rPr>
      </w:pPr>
      <w:r>
        <w:rPr>
          <w:rFonts w:asciiTheme="minorHAnsi" w:hAnsiTheme="minorHAnsi"/>
          <w:color w:val="000000"/>
        </w:rPr>
        <w:t>N</w:t>
      </w:r>
      <w:r w:rsidR="00F032FC" w:rsidRPr="00D55B04">
        <w:rPr>
          <w:rFonts w:asciiTheme="minorHAnsi" w:hAnsiTheme="minorHAnsi"/>
          <w:color w:val="000000"/>
        </w:rPr>
        <w:t>aruszenie art. 2 Konwencji w aspekcie pr</w:t>
      </w:r>
      <w:r>
        <w:rPr>
          <w:rFonts w:asciiTheme="minorHAnsi" w:hAnsiTheme="minorHAnsi"/>
          <w:color w:val="000000"/>
        </w:rPr>
        <w:t xml:space="preserve">oceduralnym </w:t>
      </w:r>
      <w:r w:rsidR="00FF5333">
        <w:rPr>
          <w:rFonts w:asciiTheme="minorHAnsi" w:hAnsiTheme="minorHAnsi"/>
          <w:color w:val="000000"/>
        </w:rPr>
        <w:t>z uwagi na p</w:t>
      </w:r>
      <w:r w:rsidR="00FF5333" w:rsidRPr="00FF5333">
        <w:rPr>
          <w:rFonts w:asciiTheme="minorHAnsi" w:hAnsiTheme="minorHAnsi"/>
          <w:color w:val="000000"/>
        </w:rPr>
        <w:t>rzewlekłe postępowanie cywilne, trwające od 2009 do 2016 roku, dotyczące rzekomego braku opieki zdrowotnej w areszcie, skutkującego śmiercią partnera i ojca skarżących</w:t>
      </w:r>
      <w:r w:rsidR="0035339C">
        <w:rPr>
          <w:rFonts w:asciiTheme="minorHAnsi" w:hAnsiTheme="minorHAnsi"/>
          <w:color w:val="000000"/>
        </w:rPr>
        <w:t xml:space="preserve">; brak </w:t>
      </w:r>
      <w:r w:rsidR="00F032FC" w:rsidRPr="00D55B04">
        <w:rPr>
          <w:rFonts w:asciiTheme="minorHAnsi" w:hAnsiTheme="minorHAnsi"/>
          <w:color w:val="000000"/>
        </w:rPr>
        <w:t xml:space="preserve">naruszenia art. 2 Konwencji w aspekcie materialnym (zapewnienie właściwej opieki medycznej w warunkach osadzenia). </w:t>
      </w:r>
    </w:p>
    <w:p w:rsidR="00F032FC" w:rsidRPr="00D55B04" w:rsidRDefault="00F032FC" w:rsidP="00D55B04">
      <w:pPr>
        <w:spacing w:before="120" w:after="120"/>
        <w:jc w:val="both"/>
        <w:rPr>
          <w:rFonts w:asciiTheme="minorHAnsi" w:eastAsia="Calibri" w:hAnsiTheme="minorHAnsi"/>
          <w:b/>
          <w:i/>
          <w:lang w:eastAsia="en-US"/>
        </w:rPr>
      </w:pPr>
      <w:r w:rsidRPr="00D55B04">
        <w:rPr>
          <w:rFonts w:asciiTheme="minorHAnsi" w:hAnsiTheme="minorHAnsi"/>
          <w:i/>
          <w:color w:val="000000"/>
        </w:rPr>
        <w:t>Rząd przesłał do RE raport z wykonania wyroku</w:t>
      </w:r>
      <w:r w:rsidR="00D55B04" w:rsidRPr="00D55B04">
        <w:rPr>
          <w:rFonts w:asciiTheme="minorHAnsi" w:hAnsiTheme="minorHAnsi"/>
          <w:i/>
          <w:color w:val="000000"/>
        </w:rPr>
        <w:t xml:space="preserve"> </w:t>
      </w:r>
      <w:r w:rsidR="00D55B04">
        <w:rPr>
          <w:rFonts w:asciiTheme="minorHAnsi" w:hAnsiTheme="minorHAnsi"/>
          <w:i/>
          <w:color w:val="000000"/>
        </w:rPr>
        <w:t>w</w:t>
      </w:r>
      <w:r w:rsidR="00D55B04" w:rsidRPr="00D55B04">
        <w:rPr>
          <w:rFonts w:asciiTheme="minorHAnsi" w:hAnsiTheme="minorHAnsi"/>
          <w:i/>
          <w:color w:val="000000"/>
        </w:rPr>
        <w:t xml:space="preserve"> dniu 17 czerwca 2021 r.</w:t>
      </w:r>
    </w:p>
    <w:p w:rsidR="00D55B04" w:rsidRPr="00D55B04" w:rsidRDefault="00F032FC" w:rsidP="0035339C">
      <w:pPr>
        <w:numPr>
          <w:ilvl w:val="0"/>
          <w:numId w:val="3"/>
        </w:numPr>
        <w:spacing w:before="240" w:after="120"/>
        <w:ind w:left="709" w:hanging="425"/>
        <w:jc w:val="both"/>
        <w:rPr>
          <w:rFonts w:asciiTheme="minorHAnsi" w:eastAsia="Calibri" w:hAnsiTheme="minorHAnsi"/>
          <w:b/>
          <w:i/>
          <w:lang w:eastAsia="en-US"/>
        </w:rPr>
      </w:pPr>
      <w:r w:rsidRPr="00194E8E">
        <w:rPr>
          <w:rFonts w:asciiTheme="minorHAnsi" w:hAnsiTheme="minorHAnsi"/>
          <w:b/>
          <w:i/>
          <w:color w:val="000000"/>
        </w:rPr>
        <w:t>Doroż p. Polsce</w:t>
      </w:r>
      <w:r w:rsidRPr="00194E8E">
        <w:rPr>
          <w:rFonts w:asciiTheme="minorHAnsi" w:hAnsiTheme="minorHAnsi"/>
          <w:color w:val="000000"/>
        </w:rPr>
        <w:t xml:space="preserve"> (skarga nr</w:t>
      </w:r>
      <w:r w:rsidR="00F21973" w:rsidRPr="00194E8E">
        <w:rPr>
          <w:rFonts w:asciiTheme="minorHAnsi" w:hAnsiTheme="minorHAnsi"/>
          <w:color w:val="000000"/>
        </w:rPr>
        <w:t xml:space="preserve"> 71205/11</w:t>
      </w:r>
      <w:r w:rsidRPr="00194E8E">
        <w:rPr>
          <w:rFonts w:asciiTheme="minorHAnsi" w:hAnsiTheme="minorHAnsi"/>
          <w:color w:val="000000"/>
        </w:rPr>
        <w:t>)</w:t>
      </w:r>
      <w:r w:rsidR="00F21973" w:rsidRPr="00194E8E">
        <w:rPr>
          <w:rFonts w:asciiTheme="minorHAnsi" w:hAnsiTheme="minorHAnsi"/>
          <w:color w:val="000000"/>
        </w:rPr>
        <w:t xml:space="preserve"> </w:t>
      </w:r>
    </w:p>
    <w:p w:rsidR="00D55B04" w:rsidRDefault="00D55B04" w:rsidP="00D55B04">
      <w:pPr>
        <w:spacing w:before="120" w:after="120"/>
        <w:jc w:val="both"/>
        <w:rPr>
          <w:rFonts w:asciiTheme="minorHAnsi" w:hAnsiTheme="minorHAnsi"/>
          <w:color w:val="000000"/>
        </w:rPr>
      </w:pPr>
      <w:r>
        <w:rPr>
          <w:rFonts w:asciiTheme="minorHAnsi" w:hAnsiTheme="minorHAnsi"/>
          <w:color w:val="000000"/>
        </w:rPr>
        <w:t>N</w:t>
      </w:r>
      <w:r w:rsidR="00F032FC" w:rsidRPr="00194E8E">
        <w:rPr>
          <w:rFonts w:asciiTheme="minorHAnsi" w:hAnsiTheme="minorHAnsi"/>
          <w:color w:val="000000"/>
        </w:rPr>
        <w:t>aruszenie art. 8 Konwencji z uwagi na przeszukanie domu skarżącego w poszukiwaniu dowodów wykroczenia polegającego na nielegalnym rozmieszczaniu ogłoszeń</w:t>
      </w:r>
      <w:r w:rsidR="00486D4F" w:rsidRPr="00194E8E">
        <w:rPr>
          <w:rFonts w:asciiTheme="minorHAnsi" w:hAnsiTheme="minorHAnsi"/>
          <w:color w:val="000000"/>
        </w:rPr>
        <w:t xml:space="preserve"> </w:t>
      </w:r>
      <w:r w:rsidR="0035339C">
        <w:rPr>
          <w:rFonts w:asciiTheme="minorHAnsi" w:hAnsiTheme="minorHAnsi"/>
          <w:color w:val="000000"/>
        </w:rPr>
        <w:t>–</w:t>
      </w:r>
      <w:r w:rsidR="00F032FC" w:rsidRPr="00194E8E">
        <w:rPr>
          <w:rFonts w:asciiTheme="minorHAnsi" w:hAnsiTheme="minorHAnsi"/>
          <w:color w:val="000000"/>
        </w:rPr>
        <w:t xml:space="preserve"> ingerencja</w:t>
      </w:r>
      <w:r w:rsidR="0035339C">
        <w:rPr>
          <w:rFonts w:asciiTheme="minorHAnsi" w:hAnsiTheme="minorHAnsi"/>
          <w:color w:val="000000"/>
        </w:rPr>
        <w:t xml:space="preserve"> </w:t>
      </w:r>
      <w:r w:rsidR="00F032FC" w:rsidRPr="00194E8E">
        <w:rPr>
          <w:rFonts w:asciiTheme="minorHAnsi" w:hAnsiTheme="minorHAnsi"/>
          <w:color w:val="000000"/>
        </w:rPr>
        <w:t xml:space="preserve">uznana za nieproporcjonalną. </w:t>
      </w:r>
    </w:p>
    <w:p w:rsidR="00F032FC" w:rsidRPr="0035339C" w:rsidRDefault="00F032FC" w:rsidP="00D55B04">
      <w:pPr>
        <w:spacing w:before="120" w:after="120"/>
        <w:jc w:val="both"/>
        <w:rPr>
          <w:rFonts w:asciiTheme="minorHAnsi" w:eastAsia="Calibri" w:hAnsiTheme="minorHAnsi"/>
          <w:b/>
          <w:i/>
          <w:lang w:eastAsia="en-US"/>
        </w:rPr>
      </w:pPr>
      <w:r w:rsidRPr="0035339C">
        <w:rPr>
          <w:rFonts w:asciiTheme="minorHAnsi" w:hAnsiTheme="minorHAnsi"/>
          <w:i/>
          <w:color w:val="000000"/>
        </w:rPr>
        <w:t>Rząd przesłał do RE raport z wykonania wyroku</w:t>
      </w:r>
      <w:r w:rsidR="00D55B04" w:rsidRPr="0035339C">
        <w:rPr>
          <w:rFonts w:asciiTheme="minorHAnsi" w:hAnsiTheme="minorHAnsi"/>
          <w:i/>
          <w:color w:val="000000"/>
        </w:rPr>
        <w:t xml:space="preserve"> w dniu 17 czerwca 2021 r.</w:t>
      </w:r>
    </w:p>
    <w:p w:rsidR="006055B6" w:rsidRPr="006055B6" w:rsidRDefault="002C33AF" w:rsidP="0035339C">
      <w:pPr>
        <w:numPr>
          <w:ilvl w:val="0"/>
          <w:numId w:val="3"/>
        </w:numPr>
        <w:spacing w:before="240" w:after="120"/>
        <w:ind w:left="709" w:hanging="425"/>
        <w:jc w:val="both"/>
        <w:rPr>
          <w:rFonts w:asciiTheme="minorHAnsi" w:eastAsia="Calibri" w:hAnsiTheme="minorHAnsi"/>
          <w:b/>
          <w:i/>
          <w:lang w:eastAsia="en-US"/>
        </w:rPr>
      </w:pPr>
      <w:r w:rsidRPr="00194E8E">
        <w:rPr>
          <w:rFonts w:asciiTheme="minorHAnsi" w:eastAsia="Calibri" w:hAnsiTheme="minorHAnsi"/>
          <w:b/>
          <w:i/>
          <w:lang w:eastAsia="en-US"/>
        </w:rPr>
        <w:t xml:space="preserve">Burża p. Polsce </w:t>
      </w:r>
      <w:r w:rsidRPr="00194E8E">
        <w:rPr>
          <w:rFonts w:asciiTheme="minorHAnsi" w:eastAsia="Calibri" w:hAnsiTheme="minorHAnsi"/>
          <w:lang w:eastAsia="en-US"/>
        </w:rPr>
        <w:t>(skarga nr</w:t>
      </w:r>
      <w:r w:rsidR="00CD525E" w:rsidRPr="00194E8E">
        <w:rPr>
          <w:rFonts w:asciiTheme="minorHAnsi" w:eastAsia="Calibri" w:hAnsiTheme="minorHAnsi"/>
          <w:lang w:eastAsia="en-US"/>
        </w:rPr>
        <w:t xml:space="preserve"> </w:t>
      </w:r>
      <w:r w:rsidR="00CD525E" w:rsidRPr="00194E8E">
        <w:rPr>
          <w:rFonts w:asciiTheme="minorHAnsi" w:hAnsiTheme="minorHAnsi"/>
        </w:rPr>
        <w:t>15333/16</w:t>
      </w:r>
      <w:r w:rsidRPr="00194E8E">
        <w:rPr>
          <w:rFonts w:asciiTheme="minorHAnsi" w:eastAsia="Calibri" w:hAnsiTheme="minorHAnsi"/>
          <w:lang w:eastAsia="en-US"/>
        </w:rPr>
        <w:t xml:space="preserve">) </w:t>
      </w:r>
    </w:p>
    <w:p w:rsidR="006055B6" w:rsidRDefault="006055B6" w:rsidP="006055B6">
      <w:pPr>
        <w:spacing w:before="120" w:after="120"/>
        <w:jc w:val="both"/>
        <w:rPr>
          <w:rFonts w:asciiTheme="minorHAnsi" w:hAnsiTheme="minorHAnsi"/>
          <w:color w:val="000000"/>
        </w:rPr>
      </w:pPr>
      <w:r>
        <w:rPr>
          <w:rFonts w:asciiTheme="minorHAnsi" w:hAnsiTheme="minorHAnsi"/>
          <w:color w:val="000000"/>
        </w:rPr>
        <w:t>N</w:t>
      </w:r>
      <w:r w:rsidR="002C33AF" w:rsidRPr="00194E8E">
        <w:rPr>
          <w:rFonts w:asciiTheme="minorHAnsi" w:hAnsiTheme="minorHAnsi"/>
          <w:color w:val="000000"/>
        </w:rPr>
        <w:t xml:space="preserve">aruszenie art. 5 ust. 3 Konwencji z uwagi na przewlekłe stosowanie aresztu tymczasowego wobec skarżącego. </w:t>
      </w:r>
    </w:p>
    <w:p w:rsidR="00F032FC" w:rsidRPr="006055B6" w:rsidRDefault="002C33AF" w:rsidP="006055B6">
      <w:pPr>
        <w:spacing w:before="120" w:after="120"/>
        <w:jc w:val="both"/>
        <w:rPr>
          <w:rFonts w:asciiTheme="minorHAnsi" w:eastAsia="Calibri" w:hAnsiTheme="minorHAnsi"/>
          <w:b/>
          <w:i/>
          <w:lang w:eastAsia="en-US"/>
        </w:rPr>
      </w:pPr>
      <w:r w:rsidRPr="006055B6">
        <w:rPr>
          <w:rFonts w:asciiTheme="minorHAnsi" w:hAnsiTheme="minorHAnsi"/>
          <w:i/>
          <w:color w:val="000000"/>
        </w:rPr>
        <w:lastRenderedPageBreak/>
        <w:t>Rząd przesłał do RE zaktualizowany raport z wykonania wyroku, obejmując</w:t>
      </w:r>
      <w:r w:rsidR="0035339C">
        <w:rPr>
          <w:rFonts w:asciiTheme="minorHAnsi" w:hAnsiTheme="minorHAnsi"/>
          <w:i/>
          <w:color w:val="000000"/>
        </w:rPr>
        <w:t>y</w:t>
      </w:r>
      <w:r w:rsidRPr="006055B6">
        <w:rPr>
          <w:rFonts w:asciiTheme="minorHAnsi" w:hAnsiTheme="minorHAnsi"/>
          <w:i/>
          <w:color w:val="000000"/>
        </w:rPr>
        <w:t xml:space="preserve"> również wyrok w spraw</w:t>
      </w:r>
      <w:r w:rsidR="00F21973" w:rsidRPr="006055B6">
        <w:rPr>
          <w:rFonts w:asciiTheme="minorHAnsi" w:hAnsiTheme="minorHAnsi"/>
          <w:i/>
          <w:color w:val="000000"/>
        </w:rPr>
        <w:t>ie</w:t>
      </w:r>
      <w:r w:rsidRPr="006055B6">
        <w:rPr>
          <w:rFonts w:asciiTheme="minorHAnsi" w:hAnsiTheme="minorHAnsi"/>
          <w:i/>
          <w:color w:val="000000"/>
        </w:rPr>
        <w:t xml:space="preserve"> </w:t>
      </w:r>
      <w:r w:rsidRPr="006055B6">
        <w:rPr>
          <w:rFonts w:asciiTheme="minorHAnsi" w:hAnsiTheme="minorHAnsi"/>
          <w:b/>
          <w:i/>
          <w:color w:val="000000"/>
        </w:rPr>
        <w:t>Łabudek p. Polsce</w:t>
      </w:r>
      <w:r w:rsidR="00671D5C" w:rsidRPr="006055B6">
        <w:rPr>
          <w:rFonts w:asciiTheme="minorHAnsi" w:hAnsiTheme="minorHAnsi"/>
          <w:i/>
          <w:color w:val="000000"/>
        </w:rPr>
        <w:t xml:space="preserve"> (</w:t>
      </w:r>
      <w:r w:rsidR="0035339C" w:rsidRPr="0035339C">
        <w:rPr>
          <w:rFonts w:asciiTheme="minorHAnsi" w:hAnsiTheme="minorHAnsi"/>
          <w:i/>
          <w:color w:val="000000"/>
        </w:rPr>
        <w:t xml:space="preserve">skarga nr </w:t>
      </w:r>
      <w:r w:rsidR="00671D5C" w:rsidRPr="006055B6">
        <w:rPr>
          <w:rFonts w:asciiTheme="minorHAnsi" w:hAnsiTheme="minorHAnsi"/>
          <w:i/>
          <w:color w:val="000000"/>
        </w:rPr>
        <w:t>37245/13)</w:t>
      </w:r>
      <w:r w:rsidR="006055B6" w:rsidRPr="006055B6">
        <w:rPr>
          <w:rFonts w:asciiTheme="minorHAnsi" w:hAnsiTheme="minorHAnsi"/>
          <w:i/>
          <w:color w:val="000000"/>
        </w:rPr>
        <w:t>, w dniu 23 czerwca 2021 r.</w:t>
      </w:r>
    </w:p>
    <w:p w:rsidR="006055B6" w:rsidRPr="006055B6" w:rsidRDefault="00A24131" w:rsidP="0035339C">
      <w:pPr>
        <w:numPr>
          <w:ilvl w:val="0"/>
          <w:numId w:val="3"/>
        </w:numPr>
        <w:spacing w:before="240" w:after="120"/>
        <w:ind w:left="709" w:hanging="425"/>
        <w:jc w:val="both"/>
        <w:rPr>
          <w:rFonts w:asciiTheme="minorHAnsi" w:eastAsia="Calibri" w:hAnsiTheme="minorHAnsi"/>
          <w:b/>
          <w:u w:val="single"/>
          <w:lang w:eastAsia="en-US"/>
        </w:rPr>
      </w:pPr>
      <w:r w:rsidRPr="00194E8E">
        <w:rPr>
          <w:rFonts w:asciiTheme="minorHAnsi" w:eastAsia="Calibri" w:hAnsiTheme="minorHAnsi"/>
          <w:b/>
          <w:i/>
          <w:lang w:eastAsia="en-US"/>
        </w:rPr>
        <w:t>Al Nashiri p. Polsce</w:t>
      </w:r>
      <w:r w:rsidRPr="00194E8E">
        <w:rPr>
          <w:rFonts w:asciiTheme="minorHAnsi" w:eastAsia="Calibri" w:hAnsiTheme="minorHAnsi"/>
          <w:b/>
          <w:lang w:eastAsia="en-US"/>
        </w:rPr>
        <w:t xml:space="preserve"> </w:t>
      </w:r>
      <w:r w:rsidRPr="00194E8E">
        <w:rPr>
          <w:rFonts w:asciiTheme="minorHAnsi" w:eastAsia="Calibri" w:hAnsiTheme="minorHAnsi"/>
          <w:lang w:eastAsia="en-US"/>
        </w:rPr>
        <w:t xml:space="preserve">(skarga nr 28761/11) i </w:t>
      </w:r>
      <w:r w:rsidRPr="00194E8E">
        <w:rPr>
          <w:rFonts w:asciiTheme="minorHAnsi" w:eastAsia="Calibri" w:hAnsiTheme="minorHAnsi"/>
          <w:b/>
          <w:i/>
          <w:lang w:eastAsia="en-US"/>
        </w:rPr>
        <w:t xml:space="preserve">Abu Zubaydah p. Polsce </w:t>
      </w:r>
      <w:r w:rsidRPr="00194E8E">
        <w:rPr>
          <w:rFonts w:asciiTheme="minorHAnsi" w:eastAsia="Calibri" w:hAnsiTheme="minorHAnsi"/>
          <w:lang w:eastAsia="en-US"/>
        </w:rPr>
        <w:t xml:space="preserve">(skarga nr 7511/13) </w:t>
      </w:r>
    </w:p>
    <w:p w:rsidR="006055B6" w:rsidRDefault="006055B6" w:rsidP="006055B6">
      <w:pPr>
        <w:spacing w:before="120" w:after="120"/>
        <w:jc w:val="both"/>
        <w:rPr>
          <w:rFonts w:asciiTheme="minorHAnsi" w:eastAsia="Calibri" w:hAnsiTheme="minorHAnsi"/>
          <w:lang w:eastAsia="en-US"/>
        </w:rPr>
      </w:pPr>
      <w:r>
        <w:rPr>
          <w:rFonts w:asciiTheme="minorHAnsi" w:eastAsia="Calibri" w:hAnsiTheme="minorHAnsi"/>
          <w:lang w:eastAsia="en-US"/>
        </w:rPr>
        <w:t>W</w:t>
      </w:r>
      <w:r w:rsidR="00A24131" w:rsidRPr="00194E8E">
        <w:rPr>
          <w:rFonts w:asciiTheme="minorHAnsi" w:eastAsia="Calibri" w:hAnsiTheme="minorHAnsi"/>
          <w:lang w:eastAsia="en-US"/>
        </w:rPr>
        <w:t xml:space="preserve"> obu wyrokach </w:t>
      </w:r>
      <w:r w:rsidR="0035339C">
        <w:rPr>
          <w:rFonts w:asciiTheme="minorHAnsi" w:eastAsia="Calibri" w:hAnsiTheme="minorHAnsi"/>
          <w:lang w:eastAsia="en-US"/>
        </w:rPr>
        <w:t>ETPC</w:t>
      </w:r>
      <w:r w:rsidR="00A24131" w:rsidRPr="00194E8E">
        <w:rPr>
          <w:rFonts w:asciiTheme="minorHAnsi" w:eastAsia="Calibri" w:hAnsiTheme="minorHAnsi"/>
          <w:lang w:eastAsia="en-US"/>
        </w:rPr>
        <w:t xml:space="preserve"> </w:t>
      </w:r>
      <w:r w:rsidR="0035339C">
        <w:rPr>
          <w:rFonts w:asciiTheme="minorHAnsi" w:eastAsia="Calibri" w:hAnsiTheme="minorHAnsi"/>
          <w:lang w:eastAsia="en-US"/>
        </w:rPr>
        <w:t>stwierdził</w:t>
      </w:r>
      <w:r w:rsidR="00A24131" w:rsidRPr="00194E8E">
        <w:rPr>
          <w:rFonts w:asciiTheme="minorHAnsi" w:eastAsia="Calibri" w:hAnsiTheme="minorHAnsi"/>
          <w:lang w:eastAsia="en-US"/>
        </w:rPr>
        <w:t xml:space="preserve">, że doszło do naruszenia art. 3 Konwencji (zakaz tortur oraz nieludzkiego i poniżającego traktowania) w aspekcie materialnym i proceduralnym; naruszenia art. 5 </w:t>
      </w:r>
      <w:r w:rsidR="0035339C" w:rsidRPr="00D55B04">
        <w:rPr>
          <w:rFonts w:asciiTheme="minorHAnsi" w:hAnsiTheme="minorHAnsi"/>
          <w:color w:val="000000"/>
        </w:rPr>
        <w:t xml:space="preserve">Konwencji </w:t>
      </w:r>
      <w:r w:rsidR="00A24131" w:rsidRPr="00194E8E">
        <w:rPr>
          <w:rFonts w:asciiTheme="minorHAnsi" w:eastAsia="Calibri" w:hAnsiTheme="minorHAnsi"/>
          <w:lang w:eastAsia="en-US"/>
        </w:rPr>
        <w:t xml:space="preserve">(prawo do wolności i bezpieczeństwa osobistego); naruszenia art. 8 (prawo do poszanowania życia prywatnego i rodzinnego); naruszenia art. 13 </w:t>
      </w:r>
      <w:r w:rsidR="0035339C" w:rsidRPr="00D55B04">
        <w:rPr>
          <w:rFonts w:asciiTheme="minorHAnsi" w:hAnsiTheme="minorHAnsi"/>
          <w:color w:val="000000"/>
        </w:rPr>
        <w:t xml:space="preserve">Konwencji </w:t>
      </w:r>
      <w:r w:rsidR="00A24131" w:rsidRPr="00194E8E">
        <w:rPr>
          <w:rFonts w:asciiTheme="minorHAnsi" w:eastAsia="Calibri" w:hAnsiTheme="minorHAnsi"/>
          <w:lang w:eastAsia="en-US"/>
        </w:rPr>
        <w:t xml:space="preserve">(prawo do skutecznego środka odwoławczego) i naruszenia art. 6 ust. 1 </w:t>
      </w:r>
      <w:r w:rsidR="0035339C" w:rsidRPr="00D55B04">
        <w:rPr>
          <w:rFonts w:asciiTheme="minorHAnsi" w:hAnsiTheme="minorHAnsi"/>
          <w:color w:val="000000"/>
        </w:rPr>
        <w:t xml:space="preserve">Konwencji </w:t>
      </w:r>
      <w:r w:rsidR="00A24131" w:rsidRPr="00194E8E">
        <w:rPr>
          <w:rFonts w:asciiTheme="minorHAnsi" w:eastAsia="Calibri" w:hAnsiTheme="minorHAnsi"/>
          <w:lang w:eastAsia="en-US"/>
        </w:rPr>
        <w:t xml:space="preserve">(prawo do rzetelnego procesu sądowego). W sprawie </w:t>
      </w:r>
      <w:r w:rsidR="00A24131" w:rsidRPr="00194E8E">
        <w:rPr>
          <w:rFonts w:asciiTheme="minorHAnsi" w:eastAsia="Calibri" w:hAnsiTheme="minorHAnsi"/>
          <w:i/>
          <w:lang w:eastAsia="en-US"/>
        </w:rPr>
        <w:t>Al Nashiri</w:t>
      </w:r>
      <w:r w:rsidR="00A24131" w:rsidRPr="00194E8E">
        <w:rPr>
          <w:rFonts w:asciiTheme="minorHAnsi" w:eastAsia="Calibri" w:hAnsiTheme="minorHAnsi"/>
          <w:lang w:eastAsia="en-US"/>
        </w:rPr>
        <w:t xml:space="preserve"> </w:t>
      </w:r>
      <w:r w:rsidR="00BA13ED">
        <w:rPr>
          <w:rFonts w:asciiTheme="minorHAnsi" w:eastAsia="Calibri" w:hAnsiTheme="minorHAnsi"/>
          <w:lang w:eastAsia="en-US"/>
        </w:rPr>
        <w:t>ETPC</w:t>
      </w:r>
      <w:r w:rsidR="00A24131" w:rsidRPr="00194E8E">
        <w:rPr>
          <w:rFonts w:asciiTheme="minorHAnsi" w:eastAsia="Calibri" w:hAnsiTheme="minorHAnsi"/>
          <w:lang w:eastAsia="en-US"/>
        </w:rPr>
        <w:t xml:space="preserve"> stwierdził również naruszenia art. 2 </w:t>
      </w:r>
      <w:r w:rsidR="0035339C" w:rsidRPr="00D55B04">
        <w:rPr>
          <w:rFonts w:asciiTheme="minorHAnsi" w:hAnsiTheme="minorHAnsi"/>
          <w:color w:val="000000"/>
        </w:rPr>
        <w:t xml:space="preserve">Konwencji </w:t>
      </w:r>
      <w:r w:rsidR="00A24131" w:rsidRPr="00194E8E">
        <w:rPr>
          <w:rFonts w:asciiTheme="minorHAnsi" w:eastAsia="Calibri" w:hAnsiTheme="minorHAnsi"/>
          <w:lang w:eastAsia="en-US"/>
        </w:rPr>
        <w:t xml:space="preserve">(prawo do życia) oraz art. 3 Konwencji w zw. z art. 1 Protokołu nr 6 </w:t>
      </w:r>
      <w:r w:rsidR="0035339C">
        <w:rPr>
          <w:rFonts w:asciiTheme="minorHAnsi" w:eastAsia="Calibri" w:hAnsiTheme="minorHAnsi"/>
          <w:lang w:eastAsia="en-US"/>
        </w:rPr>
        <w:t xml:space="preserve">do </w:t>
      </w:r>
      <w:r w:rsidR="0035339C" w:rsidRPr="00D55B04">
        <w:rPr>
          <w:rFonts w:asciiTheme="minorHAnsi" w:hAnsiTheme="minorHAnsi"/>
          <w:color w:val="000000"/>
        </w:rPr>
        <w:t xml:space="preserve">Konwencji </w:t>
      </w:r>
      <w:r w:rsidR="00A24131" w:rsidRPr="00194E8E">
        <w:rPr>
          <w:rFonts w:asciiTheme="minorHAnsi" w:eastAsia="Calibri" w:hAnsiTheme="minorHAnsi"/>
          <w:lang w:eastAsia="en-US"/>
        </w:rPr>
        <w:t xml:space="preserve">(zakaz kary śmierci). </w:t>
      </w:r>
      <w:r w:rsidR="0035339C">
        <w:rPr>
          <w:rFonts w:asciiTheme="minorHAnsi" w:eastAsia="Calibri" w:hAnsiTheme="minorHAnsi"/>
          <w:lang w:eastAsia="en-US"/>
        </w:rPr>
        <w:t>ETPC</w:t>
      </w:r>
      <w:r w:rsidR="00A24131" w:rsidRPr="00194E8E">
        <w:rPr>
          <w:rFonts w:asciiTheme="minorHAnsi" w:eastAsia="Calibri" w:hAnsiTheme="minorHAnsi"/>
          <w:lang w:eastAsia="en-US"/>
        </w:rPr>
        <w:t xml:space="preserve"> uznał także, że Polska nie zrealizowała wniosków </w:t>
      </w:r>
      <w:r w:rsidR="0035339C">
        <w:rPr>
          <w:rFonts w:asciiTheme="minorHAnsi" w:eastAsia="Calibri" w:hAnsiTheme="minorHAnsi"/>
          <w:lang w:eastAsia="en-US"/>
        </w:rPr>
        <w:t>ETPC</w:t>
      </w:r>
      <w:r w:rsidR="00A24131" w:rsidRPr="00194E8E">
        <w:rPr>
          <w:rFonts w:asciiTheme="minorHAnsi" w:eastAsia="Calibri" w:hAnsiTheme="minorHAnsi"/>
          <w:lang w:eastAsia="en-US"/>
        </w:rPr>
        <w:t xml:space="preserve"> o dostarczenie dowodów i w konsekwencji nie wypełniła zobowiązań wynikających z art. 38 Konwencji – udzielenia </w:t>
      </w:r>
      <w:r w:rsidR="0035339C">
        <w:rPr>
          <w:rFonts w:asciiTheme="minorHAnsi" w:eastAsia="Calibri" w:hAnsiTheme="minorHAnsi"/>
          <w:lang w:eastAsia="en-US"/>
        </w:rPr>
        <w:t>ETPC</w:t>
      </w:r>
      <w:r w:rsidR="00A24131" w:rsidRPr="00194E8E">
        <w:rPr>
          <w:rFonts w:asciiTheme="minorHAnsi" w:eastAsia="Calibri" w:hAnsiTheme="minorHAnsi"/>
          <w:lang w:eastAsia="en-US"/>
        </w:rPr>
        <w:t xml:space="preserve"> wszelkich niezbędnych ułatwień dla efektywnego przeprowadzenia dochodzenia. </w:t>
      </w:r>
    </w:p>
    <w:p w:rsidR="006055B6" w:rsidRPr="006055B6" w:rsidRDefault="002C33AF" w:rsidP="006055B6">
      <w:pPr>
        <w:spacing w:before="120" w:after="120"/>
        <w:jc w:val="both"/>
        <w:rPr>
          <w:rFonts w:asciiTheme="minorHAnsi" w:eastAsia="Calibri" w:hAnsiTheme="minorHAnsi"/>
          <w:i/>
          <w:lang w:eastAsia="en-US"/>
        </w:rPr>
      </w:pPr>
      <w:r w:rsidRPr="006055B6">
        <w:rPr>
          <w:rFonts w:asciiTheme="minorHAnsi" w:eastAsia="Calibri" w:hAnsiTheme="minorHAnsi"/>
          <w:i/>
          <w:lang w:eastAsia="en-US"/>
        </w:rPr>
        <w:t>R</w:t>
      </w:r>
      <w:r w:rsidR="00A24131" w:rsidRPr="006055B6">
        <w:rPr>
          <w:rFonts w:asciiTheme="minorHAnsi" w:eastAsia="Calibri" w:hAnsiTheme="minorHAnsi"/>
          <w:i/>
          <w:lang w:eastAsia="en-US"/>
        </w:rPr>
        <w:t xml:space="preserve">ząd przesłał do </w:t>
      </w:r>
      <w:r w:rsidR="00671D5C" w:rsidRPr="006055B6">
        <w:rPr>
          <w:rFonts w:asciiTheme="minorHAnsi" w:eastAsia="Calibri" w:hAnsiTheme="minorHAnsi"/>
          <w:i/>
          <w:lang w:eastAsia="en-US"/>
        </w:rPr>
        <w:t xml:space="preserve">RE </w:t>
      </w:r>
      <w:r w:rsidRPr="006055B6">
        <w:rPr>
          <w:rFonts w:asciiTheme="minorHAnsi" w:eastAsia="Calibri" w:hAnsiTheme="minorHAnsi"/>
          <w:i/>
          <w:lang w:eastAsia="en-US"/>
        </w:rPr>
        <w:t>informację dotyczącą wykonania środków generalnych i indywidualnych</w:t>
      </w:r>
      <w:r w:rsidR="006055B6" w:rsidRPr="006055B6">
        <w:rPr>
          <w:rFonts w:asciiTheme="minorHAnsi" w:eastAsia="Calibri" w:hAnsiTheme="minorHAnsi"/>
          <w:i/>
          <w:lang w:eastAsia="en-US"/>
        </w:rPr>
        <w:t xml:space="preserve"> w dniu 20 lipca 2021 r</w:t>
      </w:r>
      <w:r w:rsidRPr="006055B6">
        <w:rPr>
          <w:rFonts w:asciiTheme="minorHAnsi" w:eastAsia="Calibri" w:hAnsiTheme="minorHAnsi"/>
          <w:i/>
          <w:lang w:eastAsia="en-US"/>
        </w:rPr>
        <w:t xml:space="preserve">. </w:t>
      </w:r>
    </w:p>
    <w:p w:rsidR="002C33AF" w:rsidRPr="006055B6" w:rsidRDefault="00F21973" w:rsidP="006055B6">
      <w:pPr>
        <w:spacing w:before="120" w:after="120"/>
        <w:jc w:val="both"/>
        <w:rPr>
          <w:rFonts w:asciiTheme="minorHAnsi" w:eastAsia="Calibri" w:hAnsiTheme="minorHAnsi"/>
          <w:b/>
          <w:i/>
          <w:u w:val="single"/>
          <w:lang w:eastAsia="en-US"/>
        </w:rPr>
      </w:pPr>
      <w:r w:rsidRPr="006055B6">
        <w:rPr>
          <w:rFonts w:asciiTheme="minorHAnsi" w:hAnsiTheme="minorHAnsi"/>
          <w:i/>
          <w:color w:val="000000"/>
        </w:rPr>
        <w:t xml:space="preserve">KM ocenił </w:t>
      </w:r>
      <w:r w:rsidR="0035339C" w:rsidRPr="0035339C">
        <w:rPr>
          <w:rFonts w:asciiTheme="minorHAnsi" w:hAnsiTheme="minorHAnsi"/>
          <w:i/>
          <w:color w:val="000000"/>
        </w:rPr>
        <w:t xml:space="preserve">przekazaną informację </w:t>
      </w:r>
      <w:r w:rsidRPr="006055B6">
        <w:rPr>
          <w:rFonts w:asciiTheme="minorHAnsi" w:hAnsiTheme="minorHAnsi"/>
          <w:i/>
          <w:color w:val="000000"/>
        </w:rPr>
        <w:t xml:space="preserve">w decyzji wydanej na posiedzeniu w formacie ds. praw człowieka w dniu 16 września 2021 r. </w:t>
      </w:r>
    </w:p>
    <w:p w:rsidR="006055B6" w:rsidRDefault="002C33AF" w:rsidP="0035339C">
      <w:pPr>
        <w:numPr>
          <w:ilvl w:val="0"/>
          <w:numId w:val="3"/>
        </w:numPr>
        <w:spacing w:before="240" w:after="120"/>
        <w:ind w:left="709" w:hanging="425"/>
        <w:jc w:val="both"/>
        <w:rPr>
          <w:rFonts w:asciiTheme="minorHAnsi" w:hAnsiTheme="minorHAnsi"/>
          <w:color w:val="000000"/>
        </w:rPr>
      </w:pPr>
      <w:r w:rsidRPr="00194E8E">
        <w:rPr>
          <w:rFonts w:asciiTheme="minorHAnsi" w:hAnsiTheme="minorHAnsi"/>
          <w:b/>
          <w:i/>
          <w:color w:val="000000"/>
        </w:rPr>
        <w:t>Ćwik p. Polsce</w:t>
      </w:r>
      <w:r w:rsidRPr="00194E8E">
        <w:rPr>
          <w:rFonts w:asciiTheme="minorHAnsi" w:hAnsiTheme="minorHAnsi"/>
          <w:color w:val="000000"/>
        </w:rPr>
        <w:t xml:space="preserve"> (skarga nr 31454/10) </w:t>
      </w:r>
    </w:p>
    <w:p w:rsidR="006055B6" w:rsidRDefault="006055B6" w:rsidP="006055B6">
      <w:pPr>
        <w:spacing w:before="120" w:after="120"/>
        <w:jc w:val="both"/>
        <w:rPr>
          <w:rFonts w:asciiTheme="minorHAnsi" w:hAnsiTheme="minorHAnsi"/>
          <w:color w:val="000000"/>
        </w:rPr>
      </w:pPr>
      <w:r>
        <w:rPr>
          <w:rFonts w:asciiTheme="minorHAnsi" w:hAnsiTheme="minorHAnsi"/>
          <w:color w:val="000000"/>
        </w:rPr>
        <w:t>N</w:t>
      </w:r>
      <w:r w:rsidR="002C33AF" w:rsidRPr="00194E8E">
        <w:rPr>
          <w:rFonts w:asciiTheme="minorHAnsi" w:hAnsiTheme="minorHAnsi"/>
          <w:color w:val="000000"/>
        </w:rPr>
        <w:t>aruszenie art. 6 ust. 1 Konwencji w kontekście dopuszczenia w postępowaniu dowodowym dowodów otrzymanych w wyniku użycia siły przez osoby prywatn</w:t>
      </w:r>
      <w:r w:rsidR="0035339C">
        <w:rPr>
          <w:rFonts w:asciiTheme="minorHAnsi" w:hAnsiTheme="minorHAnsi"/>
          <w:color w:val="000000"/>
        </w:rPr>
        <w:t>e.</w:t>
      </w:r>
    </w:p>
    <w:p w:rsidR="002C33AF" w:rsidRPr="0035339C" w:rsidRDefault="002C33AF" w:rsidP="006055B6">
      <w:pPr>
        <w:spacing w:before="120" w:after="120"/>
        <w:jc w:val="both"/>
        <w:rPr>
          <w:rFonts w:asciiTheme="minorHAnsi" w:hAnsiTheme="minorHAnsi"/>
          <w:i/>
          <w:color w:val="000000"/>
        </w:rPr>
      </w:pPr>
      <w:r w:rsidRPr="0035339C">
        <w:rPr>
          <w:rFonts w:asciiTheme="minorHAnsi" w:hAnsiTheme="minorHAnsi"/>
          <w:i/>
          <w:color w:val="000000"/>
        </w:rPr>
        <w:t>Rząd przesłał do RE raport z wykonania wyroku</w:t>
      </w:r>
      <w:r w:rsidR="006055B6" w:rsidRPr="0035339C">
        <w:rPr>
          <w:rFonts w:asciiTheme="minorHAnsi" w:hAnsiTheme="minorHAnsi"/>
          <w:i/>
          <w:color w:val="000000"/>
        </w:rPr>
        <w:t xml:space="preserve"> w dniu 2 sierpnia 2021 r.</w:t>
      </w:r>
    </w:p>
    <w:p w:rsidR="006055B6" w:rsidRDefault="002C33AF" w:rsidP="0035339C">
      <w:pPr>
        <w:numPr>
          <w:ilvl w:val="0"/>
          <w:numId w:val="3"/>
        </w:numPr>
        <w:spacing w:before="240" w:after="120"/>
        <w:ind w:left="709" w:hanging="425"/>
        <w:jc w:val="both"/>
        <w:rPr>
          <w:rFonts w:asciiTheme="minorHAnsi" w:hAnsiTheme="minorHAnsi"/>
          <w:color w:val="000000"/>
        </w:rPr>
      </w:pPr>
      <w:r w:rsidRPr="00194E8E">
        <w:rPr>
          <w:rFonts w:asciiTheme="minorHAnsi" w:eastAsia="Calibri" w:hAnsiTheme="minorHAnsi"/>
          <w:b/>
          <w:i/>
          <w:lang w:eastAsia="en-US"/>
        </w:rPr>
        <w:t>Guz p. Polsce</w:t>
      </w:r>
      <w:r w:rsidRPr="00194E8E">
        <w:rPr>
          <w:rFonts w:asciiTheme="minorHAnsi" w:eastAsia="Calibri" w:hAnsiTheme="minorHAnsi"/>
          <w:b/>
          <w:lang w:eastAsia="en-US"/>
        </w:rPr>
        <w:t xml:space="preserve"> </w:t>
      </w:r>
      <w:r w:rsidRPr="00194E8E">
        <w:rPr>
          <w:rFonts w:asciiTheme="minorHAnsi" w:eastAsia="Calibri" w:hAnsiTheme="minorHAnsi"/>
          <w:lang w:eastAsia="en-US"/>
        </w:rPr>
        <w:t>(</w:t>
      </w:r>
      <w:r w:rsidR="0035339C">
        <w:rPr>
          <w:rFonts w:asciiTheme="minorHAnsi" w:hAnsiTheme="minorHAnsi"/>
          <w:color w:val="000000"/>
        </w:rPr>
        <w:t xml:space="preserve">skarga nr </w:t>
      </w:r>
      <w:r w:rsidRPr="00194E8E">
        <w:rPr>
          <w:rFonts w:asciiTheme="minorHAnsi" w:hAnsiTheme="minorHAnsi"/>
          <w:color w:val="000000"/>
        </w:rPr>
        <w:t>965/12)</w:t>
      </w:r>
      <w:r w:rsidR="00C335D6" w:rsidRPr="00194E8E">
        <w:rPr>
          <w:rFonts w:asciiTheme="minorHAnsi" w:hAnsiTheme="minorHAnsi"/>
          <w:color w:val="000000"/>
        </w:rPr>
        <w:t xml:space="preserve"> </w:t>
      </w:r>
    </w:p>
    <w:p w:rsidR="006055B6" w:rsidRDefault="006055B6" w:rsidP="006055B6">
      <w:pPr>
        <w:spacing w:before="120" w:after="120"/>
        <w:jc w:val="both"/>
        <w:rPr>
          <w:rFonts w:asciiTheme="minorHAnsi" w:hAnsiTheme="minorHAnsi"/>
          <w:color w:val="000000"/>
        </w:rPr>
      </w:pPr>
      <w:r>
        <w:rPr>
          <w:rFonts w:asciiTheme="minorHAnsi" w:hAnsiTheme="minorHAnsi"/>
          <w:color w:val="000000"/>
        </w:rPr>
        <w:t>N</w:t>
      </w:r>
      <w:r w:rsidR="002C33AF" w:rsidRPr="00194E8E">
        <w:rPr>
          <w:rFonts w:asciiTheme="minorHAnsi" w:hAnsiTheme="minorHAnsi"/>
          <w:color w:val="000000"/>
        </w:rPr>
        <w:t xml:space="preserve">aruszenie art. 10 Konwencji z uwagi na nałożenie na skarżącego kary dyscyplinarnej za uchybienie godności sędziego polegające na krytyce innych przedstawicieli wymiaru sprawiedliwości. </w:t>
      </w:r>
    </w:p>
    <w:p w:rsidR="002C33AF" w:rsidRPr="006055B6" w:rsidRDefault="002C33AF" w:rsidP="006055B6">
      <w:pPr>
        <w:spacing w:before="120" w:after="120"/>
        <w:jc w:val="both"/>
        <w:rPr>
          <w:rFonts w:asciiTheme="minorHAnsi" w:hAnsiTheme="minorHAnsi"/>
          <w:i/>
          <w:color w:val="000000"/>
        </w:rPr>
      </w:pPr>
      <w:r w:rsidRPr="006055B6">
        <w:rPr>
          <w:rFonts w:asciiTheme="minorHAnsi" w:hAnsiTheme="minorHAnsi"/>
          <w:i/>
          <w:color w:val="000000"/>
        </w:rPr>
        <w:t>Rząd przesłał do RE raport z wykonania wyroku</w:t>
      </w:r>
      <w:r w:rsidR="006055B6" w:rsidRPr="006055B6">
        <w:rPr>
          <w:rFonts w:asciiTheme="minorHAnsi" w:hAnsiTheme="minorHAnsi"/>
          <w:i/>
          <w:color w:val="000000"/>
        </w:rPr>
        <w:t xml:space="preserve"> w dniu 2 sierpnia 2021 r.</w:t>
      </w:r>
    </w:p>
    <w:p w:rsidR="006055B6" w:rsidRPr="006055B6" w:rsidRDefault="00C335D6" w:rsidP="0035339C">
      <w:pPr>
        <w:numPr>
          <w:ilvl w:val="0"/>
          <w:numId w:val="3"/>
        </w:numPr>
        <w:spacing w:before="240" w:after="120"/>
        <w:ind w:left="709" w:hanging="425"/>
        <w:jc w:val="both"/>
        <w:rPr>
          <w:rFonts w:asciiTheme="minorHAnsi" w:eastAsia="Calibri" w:hAnsiTheme="minorHAnsi"/>
          <w:b/>
          <w:lang w:eastAsia="en-US"/>
        </w:rPr>
      </w:pPr>
      <w:r w:rsidRPr="00194E8E">
        <w:rPr>
          <w:rFonts w:asciiTheme="minorHAnsi" w:hAnsiTheme="minorHAnsi"/>
          <w:b/>
          <w:i/>
        </w:rPr>
        <w:t>Pugžlys p. Polsce</w:t>
      </w:r>
      <w:r w:rsidRPr="00194E8E">
        <w:rPr>
          <w:rFonts w:asciiTheme="minorHAnsi" w:hAnsiTheme="minorHAnsi"/>
          <w:i/>
        </w:rPr>
        <w:t xml:space="preserve"> </w:t>
      </w:r>
      <w:r w:rsidRPr="00194E8E">
        <w:rPr>
          <w:rFonts w:asciiTheme="minorHAnsi" w:hAnsiTheme="minorHAnsi"/>
        </w:rPr>
        <w:t xml:space="preserve">(skarga nr 446/10) </w:t>
      </w:r>
    </w:p>
    <w:p w:rsidR="006055B6" w:rsidRDefault="006055B6" w:rsidP="006055B6">
      <w:pPr>
        <w:spacing w:before="120" w:after="120"/>
        <w:jc w:val="both"/>
        <w:rPr>
          <w:rFonts w:asciiTheme="minorHAnsi" w:hAnsiTheme="minorHAnsi"/>
        </w:rPr>
      </w:pPr>
      <w:r>
        <w:rPr>
          <w:rFonts w:asciiTheme="minorHAnsi" w:hAnsiTheme="minorHAnsi"/>
        </w:rPr>
        <w:t>N</w:t>
      </w:r>
      <w:r w:rsidR="00C335D6" w:rsidRPr="00194E8E">
        <w:rPr>
          <w:rFonts w:asciiTheme="minorHAnsi" w:hAnsiTheme="minorHAnsi"/>
        </w:rPr>
        <w:t xml:space="preserve">aruszenie art. </w:t>
      </w:r>
      <w:r w:rsidR="00C335D6" w:rsidRPr="00194E8E">
        <w:rPr>
          <w:rFonts w:asciiTheme="minorHAnsi" w:eastAsia="Calibri" w:hAnsiTheme="minorHAnsi"/>
          <w:lang w:eastAsia="en-US"/>
        </w:rPr>
        <w:t>3 Konwencji z powodu długotrwałego nałożenia reżimu „więźnia niebezpiecznego” na skarżącego oraz z powodu umieszczenia skarżącego w metalowej klatce podczas postępowania sądowego</w:t>
      </w:r>
      <w:r w:rsidR="00C335D6" w:rsidRPr="00194E8E">
        <w:rPr>
          <w:rFonts w:asciiTheme="minorHAnsi" w:hAnsiTheme="minorHAnsi"/>
        </w:rPr>
        <w:t xml:space="preserve">. </w:t>
      </w:r>
    </w:p>
    <w:p w:rsidR="00C335D6" w:rsidRPr="006055B6" w:rsidRDefault="006055B6" w:rsidP="006055B6">
      <w:pPr>
        <w:spacing w:before="120" w:after="120"/>
        <w:jc w:val="both"/>
        <w:rPr>
          <w:rFonts w:asciiTheme="minorHAnsi" w:eastAsia="Calibri" w:hAnsiTheme="minorHAnsi"/>
          <w:b/>
          <w:i/>
          <w:lang w:eastAsia="en-US"/>
        </w:rPr>
      </w:pPr>
      <w:r w:rsidRPr="006055B6">
        <w:rPr>
          <w:rFonts w:asciiTheme="minorHAnsi" w:hAnsiTheme="minorHAnsi"/>
          <w:i/>
        </w:rPr>
        <w:t>Rząd przesłał do RE z</w:t>
      </w:r>
      <w:r w:rsidR="00C335D6" w:rsidRPr="006055B6">
        <w:rPr>
          <w:rFonts w:asciiTheme="minorHAnsi" w:hAnsiTheme="minorHAnsi"/>
          <w:i/>
        </w:rPr>
        <w:t xml:space="preserve">aktualizowany raport </w:t>
      </w:r>
      <w:r w:rsidR="00C335D6" w:rsidRPr="006055B6">
        <w:rPr>
          <w:rFonts w:asciiTheme="minorHAnsi" w:eastAsia="Calibri" w:hAnsiTheme="minorHAnsi"/>
          <w:i/>
          <w:lang w:eastAsia="en-US"/>
        </w:rPr>
        <w:t>z wykonania wyroku w dniu 1 września 2021 r.</w:t>
      </w:r>
    </w:p>
    <w:p w:rsidR="006055B6" w:rsidRPr="006055B6" w:rsidRDefault="0041618A" w:rsidP="0035339C">
      <w:pPr>
        <w:numPr>
          <w:ilvl w:val="0"/>
          <w:numId w:val="3"/>
        </w:numPr>
        <w:spacing w:before="240" w:after="120"/>
        <w:ind w:left="709" w:hanging="425"/>
        <w:jc w:val="both"/>
        <w:rPr>
          <w:rFonts w:asciiTheme="minorHAnsi" w:eastAsia="Calibri" w:hAnsiTheme="minorHAnsi"/>
          <w:b/>
          <w:u w:val="single"/>
          <w:lang w:eastAsia="en-US"/>
        </w:rPr>
      </w:pPr>
      <w:r w:rsidRPr="00194E8E">
        <w:rPr>
          <w:rFonts w:asciiTheme="minorHAnsi" w:eastAsia="Calibri" w:hAnsiTheme="minorHAnsi"/>
          <w:b/>
          <w:lang w:eastAsia="en-US"/>
        </w:rPr>
        <w:t>Grupa spraw</w:t>
      </w:r>
      <w:r w:rsidRPr="00194E8E">
        <w:rPr>
          <w:rFonts w:asciiTheme="minorHAnsi" w:eastAsia="Calibri" w:hAnsiTheme="minorHAnsi"/>
          <w:b/>
          <w:i/>
          <w:lang w:eastAsia="en-US"/>
        </w:rPr>
        <w:t xml:space="preserve"> Bąk p. Polsce</w:t>
      </w:r>
      <w:r w:rsidRPr="00194E8E">
        <w:rPr>
          <w:rFonts w:asciiTheme="minorHAnsi" w:eastAsia="Calibri" w:hAnsiTheme="minorHAnsi"/>
          <w:b/>
          <w:lang w:eastAsia="en-US"/>
        </w:rPr>
        <w:t xml:space="preserve">, </w:t>
      </w:r>
      <w:r w:rsidRPr="00194E8E">
        <w:rPr>
          <w:rFonts w:asciiTheme="minorHAnsi" w:eastAsia="Calibri" w:hAnsiTheme="minorHAnsi"/>
          <w:b/>
          <w:i/>
          <w:lang w:eastAsia="en-US"/>
        </w:rPr>
        <w:t xml:space="preserve">Majewski p. Polsce </w:t>
      </w:r>
      <w:r w:rsidRPr="00194E8E">
        <w:rPr>
          <w:rFonts w:asciiTheme="minorHAnsi" w:eastAsia="Calibri" w:hAnsiTheme="minorHAnsi"/>
          <w:b/>
          <w:lang w:eastAsia="en-US"/>
        </w:rPr>
        <w:t>oraz wyrok pilotażowy</w:t>
      </w:r>
      <w:r w:rsidRPr="00194E8E">
        <w:rPr>
          <w:rFonts w:asciiTheme="minorHAnsi" w:eastAsia="Calibri" w:hAnsiTheme="minorHAnsi"/>
          <w:b/>
          <w:i/>
          <w:lang w:eastAsia="en-US"/>
        </w:rPr>
        <w:t xml:space="preserve"> Rutkowski i inni p. Polsce </w:t>
      </w:r>
      <w:r w:rsidRPr="00194E8E">
        <w:rPr>
          <w:rFonts w:asciiTheme="minorHAnsi" w:eastAsia="Calibri" w:hAnsiTheme="minorHAnsi"/>
          <w:lang w:eastAsia="en-US"/>
        </w:rPr>
        <w:t>(skargi nr 30210/96, 27916/95 i 72287/10)</w:t>
      </w:r>
      <w:r w:rsidRPr="00194E8E">
        <w:rPr>
          <w:rFonts w:asciiTheme="minorHAnsi" w:eastAsia="Calibri" w:hAnsiTheme="minorHAnsi"/>
          <w:b/>
          <w:lang w:eastAsia="en-US"/>
        </w:rPr>
        <w:t xml:space="preserve"> </w:t>
      </w:r>
    </w:p>
    <w:p w:rsidR="006055B6" w:rsidRDefault="006055B6" w:rsidP="006055B6">
      <w:pPr>
        <w:spacing w:before="120" w:after="120"/>
        <w:jc w:val="both"/>
        <w:rPr>
          <w:rFonts w:asciiTheme="minorHAnsi" w:eastAsia="Calibri" w:hAnsiTheme="minorHAnsi"/>
          <w:lang w:eastAsia="en-US"/>
        </w:rPr>
      </w:pPr>
      <w:r>
        <w:rPr>
          <w:rFonts w:asciiTheme="minorHAnsi" w:eastAsia="Calibri" w:hAnsiTheme="minorHAnsi"/>
          <w:lang w:eastAsia="en-US"/>
        </w:rPr>
        <w:t>Na</w:t>
      </w:r>
      <w:r w:rsidR="0041618A" w:rsidRPr="00194E8E">
        <w:rPr>
          <w:rFonts w:asciiTheme="minorHAnsi" w:eastAsia="Calibri" w:hAnsiTheme="minorHAnsi"/>
          <w:lang w:eastAsia="en-US"/>
        </w:rPr>
        <w:t xml:space="preserve">ruszenie art. 6 ust. 1 Konwencji z </w:t>
      </w:r>
      <w:r w:rsidR="0035339C">
        <w:rPr>
          <w:rFonts w:asciiTheme="minorHAnsi" w:eastAsia="Calibri" w:hAnsiTheme="minorHAnsi"/>
          <w:lang w:eastAsia="en-US"/>
        </w:rPr>
        <w:t>uwagi na</w:t>
      </w:r>
      <w:r w:rsidR="0041618A" w:rsidRPr="00194E8E">
        <w:rPr>
          <w:rFonts w:asciiTheme="minorHAnsi" w:eastAsia="Calibri" w:hAnsiTheme="minorHAnsi"/>
          <w:lang w:eastAsia="en-US"/>
        </w:rPr>
        <w:t xml:space="preserve"> przewlekłoś</w:t>
      </w:r>
      <w:r w:rsidR="0035339C">
        <w:rPr>
          <w:rFonts w:asciiTheme="minorHAnsi" w:eastAsia="Calibri" w:hAnsiTheme="minorHAnsi"/>
          <w:lang w:eastAsia="en-US"/>
        </w:rPr>
        <w:t>ć</w:t>
      </w:r>
      <w:r w:rsidR="0041618A" w:rsidRPr="00194E8E">
        <w:rPr>
          <w:rFonts w:asciiTheme="minorHAnsi" w:eastAsia="Calibri" w:hAnsiTheme="minorHAnsi"/>
          <w:lang w:eastAsia="en-US"/>
        </w:rPr>
        <w:t xml:space="preserve"> postępowań sądowych w sprawach cywilnych i karnych. </w:t>
      </w:r>
    </w:p>
    <w:p w:rsidR="0041618A" w:rsidRPr="006055B6" w:rsidRDefault="006055B6" w:rsidP="006055B6">
      <w:pPr>
        <w:spacing w:before="120" w:after="120"/>
        <w:jc w:val="both"/>
        <w:rPr>
          <w:rFonts w:asciiTheme="minorHAnsi" w:eastAsia="Calibri" w:hAnsiTheme="minorHAnsi"/>
          <w:b/>
          <w:i/>
          <w:u w:val="single"/>
          <w:lang w:eastAsia="en-US"/>
        </w:rPr>
      </w:pPr>
      <w:r w:rsidRPr="006055B6">
        <w:rPr>
          <w:rFonts w:asciiTheme="minorHAnsi" w:eastAsia="Calibri" w:hAnsiTheme="minorHAnsi"/>
          <w:i/>
          <w:lang w:eastAsia="en-US"/>
        </w:rPr>
        <w:t>Rząd przesłał do RE informację</w:t>
      </w:r>
      <w:r w:rsidR="00601788" w:rsidRPr="006055B6">
        <w:rPr>
          <w:rFonts w:asciiTheme="minorHAnsi" w:eastAsia="Calibri" w:hAnsiTheme="minorHAnsi"/>
          <w:i/>
          <w:lang w:eastAsia="en-US"/>
        </w:rPr>
        <w:t xml:space="preserve"> odnośnie do wykonania środków generalnych </w:t>
      </w:r>
      <w:r w:rsidR="0041618A" w:rsidRPr="006055B6">
        <w:rPr>
          <w:rFonts w:asciiTheme="minorHAnsi" w:eastAsia="Calibri" w:hAnsiTheme="minorHAnsi"/>
          <w:i/>
          <w:lang w:eastAsia="en-US"/>
        </w:rPr>
        <w:t xml:space="preserve">w dniu </w:t>
      </w:r>
      <w:r>
        <w:rPr>
          <w:rFonts w:asciiTheme="minorHAnsi" w:eastAsia="Calibri" w:hAnsiTheme="minorHAnsi"/>
          <w:i/>
          <w:lang w:eastAsia="en-US"/>
        </w:rPr>
        <w:t>7 września 2021 r.</w:t>
      </w:r>
    </w:p>
    <w:p w:rsidR="006055B6" w:rsidRPr="006055B6" w:rsidRDefault="00601788" w:rsidP="0035339C">
      <w:pPr>
        <w:numPr>
          <w:ilvl w:val="0"/>
          <w:numId w:val="3"/>
        </w:numPr>
        <w:spacing w:before="240" w:after="120"/>
        <w:ind w:left="709" w:hanging="425"/>
        <w:jc w:val="both"/>
        <w:rPr>
          <w:rFonts w:asciiTheme="minorHAnsi" w:hAnsiTheme="minorHAnsi"/>
          <w:color w:val="000000"/>
        </w:rPr>
      </w:pPr>
      <w:r w:rsidRPr="00194E8E">
        <w:rPr>
          <w:rFonts w:asciiTheme="minorHAnsi" w:hAnsiTheme="minorHAnsi"/>
          <w:b/>
          <w:i/>
        </w:rPr>
        <w:lastRenderedPageBreak/>
        <w:t xml:space="preserve">Tysiąc p. Polsce </w:t>
      </w:r>
      <w:r w:rsidRPr="00194E8E">
        <w:rPr>
          <w:rFonts w:asciiTheme="minorHAnsi" w:eastAsia="Calibri" w:hAnsiTheme="minorHAnsi"/>
          <w:lang w:eastAsia="en-US"/>
        </w:rPr>
        <w:t>(skarga nr 5410/03)</w:t>
      </w:r>
      <w:r w:rsidR="00CE1029">
        <w:rPr>
          <w:rFonts w:asciiTheme="minorHAnsi" w:hAnsiTheme="minorHAnsi"/>
          <w:b/>
          <w:i/>
        </w:rPr>
        <w:t xml:space="preserve">, </w:t>
      </w:r>
      <w:r w:rsidRPr="00194E8E">
        <w:rPr>
          <w:rFonts w:asciiTheme="minorHAnsi" w:hAnsiTheme="minorHAnsi"/>
          <w:b/>
          <w:i/>
        </w:rPr>
        <w:t xml:space="preserve">R.R. p Polsce </w:t>
      </w:r>
      <w:r w:rsidR="00CE1029">
        <w:rPr>
          <w:rFonts w:asciiTheme="minorHAnsi" w:eastAsia="Calibri" w:hAnsiTheme="minorHAnsi"/>
          <w:lang w:eastAsia="en-US"/>
        </w:rPr>
        <w:t xml:space="preserve">(skarga nr 27617/04), </w:t>
      </w:r>
      <w:r w:rsidR="00CE1029" w:rsidRPr="00194E8E">
        <w:rPr>
          <w:rFonts w:asciiTheme="minorHAnsi" w:hAnsiTheme="minorHAnsi" w:cstheme="minorHAnsi"/>
          <w:b/>
          <w:i/>
          <w:color w:val="000000"/>
        </w:rPr>
        <w:t xml:space="preserve">P. i S. p. Polsce </w:t>
      </w:r>
      <w:r w:rsidR="00CE1029" w:rsidRPr="00194E8E">
        <w:rPr>
          <w:rFonts w:asciiTheme="minorHAnsi" w:hAnsiTheme="minorHAnsi" w:cstheme="minorHAnsi"/>
          <w:color w:val="000000"/>
        </w:rPr>
        <w:t>(</w:t>
      </w:r>
      <w:r w:rsidR="00CE1029" w:rsidRPr="00194E8E">
        <w:rPr>
          <w:rFonts w:asciiTheme="minorHAnsi" w:eastAsia="Calibri" w:hAnsiTheme="minorHAnsi"/>
          <w:lang w:eastAsia="en-US"/>
        </w:rPr>
        <w:t>skarga nr 57375/08)</w:t>
      </w:r>
    </w:p>
    <w:p w:rsidR="00CE1029" w:rsidRDefault="006055B6" w:rsidP="006055B6">
      <w:pPr>
        <w:spacing w:before="120" w:after="120"/>
        <w:jc w:val="both"/>
        <w:rPr>
          <w:rFonts w:asciiTheme="minorHAnsi" w:hAnsiTheme="minorHAnsi"/>
        </w:rPr>
      </w:pPr>
      <w:r>
        <w:rPr>
          <w:rFonts w:asciiTheme="minorHAnsi" w:eastAsia="Calibri" w:hAnsiTheme="minorHAnsi"/>
          <w:lang w:eastAsia="en-US"/>
        </w:rPr>
        <w:t>N</w:t>
      </w:r>
      <w:r w:rsidR="00601788" w:rsidRPr="00194E8E">
        <w:rPr>
          <w:rFonts w:asciiTheme="minorHAnsi" w:eastAsia="Calibri" w:hAnsiTheme="minorHAnsi"/>
          <w:lang w:eastAsia="en-US"/>
        </w:rPr>
        <w:t xml:space="preserve">aruszenie art. 8 Konwencji </w:t>
      </w:r>
      <w:r w:rsidR="00601788" w:rsidRPr="00194E8E">
        <w:rPr>
          <w:rFonts w:asciiTheme="minorHAnsi" w:hAnsiTheme="minorHAnsi"/>
        </w:rPr>
        <w:t>z uwagi na brak</w:t>
      </w:r>
      <w:r w:rsidR="00601788" w:rsidRPr="00194E8E">
        <w:rPr>
          <w:rFonts w:asciiTheme="minorHAnsi" w:hAnsiTheme="minorHAnsi"/>
          <w:color w:val="000000"/>
        </w:rPr>
        <w:t xml:space="preserve"> odpowiednich ram proceduralnych gwarantujących skarżącym dostęp do świadczeń medycznych w odpowiednim czasie, tj. zabiegu legalne</w:t>
      </w:r>
      <w:r>
        <w:rPr>
          <w:rFonts w:asciiTheme="minorHAnsi" w:hAnsiTheme="minorHAnsi"/>
          <w:color w:val="000000"/>
        </w:rPr>
        <w:t>go przerwania ciąży</w:t>
      </w:r>
      <w:r w:rsidR="00601788" w:rsidRPr="00194E8E">
        <w:rPr>
          <w:rFonts w:asciiTheme="minorHAnsi" w:hAnsiTheme="minorHAnsi"/>
          <w:color w:val="000000"/>
        </w:rPr>
        <w:t xml:space="preserve"> (</w:t>
      </w:r>
      <w:r w:rsidR="00601788" w:rsidRPr="00194E8E">
        <w:rPr>
          <w:rFonts w:asciiTheme="minorHAnsi" w:hAnsiTheme="minorHAnsi"/>
          <w:i/>
          <w:color w:val="000000"/>
        </w:rPr>
        <w:t>Tysiąc</w:t>
      </w:r>
      <w:r w:rsidR="00601788" w:rsidRPr="00194E8E">
        <w:rPr>
          <w:rFonts w:asciiTheme="minorHAnsi" w:hAnsiTheme="minorHAnsi"/>
          <w:color w:val="000000"/>
        </w:rPr>
        <w:t>) i badań prenatalnych (</w:t>
      </w:r>
      <w:r w:rsidR="00601788" w:rsidRPr="00194E8E">
        <w:rPr>
          <w:rFonts w:asciiTheme="minorHAnsi" w:hAnsiTheme="minorHAnsi"/>
          <w:i/>
          <w:color w:val="000000"/>
        </w:rPr>
        <w:t>R.R.</w:t>
      </w:r>
      <w:r w:rsidR="00601788" w:rsidRPr="00194E8E">
        <w:rPr>
          <w:rFonts w:asciiTheme="minorHAnsi" w:hAnsiTheme="minorHAnsi"/>
          <w:color w:val="000000"/>
        </w:rPr>
        <w:t xml:space="preserve">). W sprawie </w:t>
      </w:r>
      <w:r w:rsidR="00601788" w:rsidRPr="00194E8E">
        <w:rPr>
          <w:rFonts w:asciiTheme="minorHAnsi" w:hAnsiTheme="minorHAnsi"/>
          <w:i/>
          <w:color w:val="000000"/>
        </w:rPr>
        <w:t>R.R.</w:t>
      </w:r>
      <w:r w:rsidR="00601788" w:rsidRPr="00194E8E">
        <w:rPr>
          <w:rFonts w:asciiTheme="minorHAnsi" w:hAnsiTheme="minorHAnsi"/>
          <w:color w:val="000000"/>
        </w:rPr>
        <w:t xml:space="preserve"> </w:t>
      </w:r>
      <w:r w:rsidR="0035339C">
        <w:rPr>
          <w:rFonts w:asciiTheme="minorHAnsi" w:hAnsiTheme="minorHAnsi"/>
          <w:color w:val="000000"/>
        </w:rPr>
        <w:t>ETPC</w:t>
      </w:r>
      <w:r w:rsidR="00601788" w:rsidRPr="00194E8E">
        <w:rPr>
          <w:rFonts w:asciiTheme="minorHAnsi" w:hAnsiTheme="minorHAnsi"/>
          <w:color w:val="000000"/>
        </w:rPr>
        <w:t xml:space="preserve"> uznał, że </w:t>
      </w:r>
      <w:r w:rsidR="0035339C" w:rsidRPr="00194E8E">
        <w:rPr>
          <w:rFonts w:asciiTheme="minorHAnsi" w:hAnsiTheme="minorHAnsi"/>
        </w:rPr>
        <w:t>z powodu braku dostępu w odpowiednim czasie do badań prenatalnych</w:t>
      </w:r>
      <w:r w:rsidR="0035339C" w:rsidRPr="00194E8E">
        <w:rPr>
          <w:rFonts w:asciiTheme="minorHAnsi" w:hAnsiTheme="minorHAnsi"/>
          <w:color w:val="000000"/>
        </w:rPr>
        <w:t xml:space="preserve"> </w:t>
      </w:r>
      <w:r w:rsidR="00601788" w:rsidRPr="00194E8E">
        <w:rPr>
          <w:rFonts w:asciiTheme="minorHAnsi" w:hAnsiTheme="minorHAnsi"/>
          <w:color w:val="000000"/>
        </w:rPr>
        <w:t xml:space="preserve">doszło również do naruszenia art. 3 </w:t>
      </w:r>
      <w:r w:rsidR="00601788" w:rsidRPr="00194E8E">
        <w:rPr>
          <w:rFonts w:asciiTheme="minorHAnsi" w:hAnsiTheme="minorHAnsi"/>
        </w:rPr>
        <w:t>Konwencji.</w:t>
      </w:r>
      <w:r w:rsidR="00CE1029">
        <w:rPr>
          <w:rFonts w:asciiTheme="minorHAnsi" w:hAnsiTheme="minorHAnsi"/>
        </w:rPr>
        <w:t xml:space="preserve"> </w:t>
      </w:r>
    </w:p>
    <w:p w:rsidR="00CE1029" w:rsidRDefault="00CE1029" w:rsidP="006055B6">
      <w:pPr>
        <w:spacing w:before="120" w:after="120"/>
        <w:jc w:val="both"/>
        <w:rPr>
          <w:rFonts w:asciiTheme="minorHAnsi" w:hAnsiTheme="minorHAnsi"/>
        </w:rPr>
      </w:pPr>
      <w:r>
        <w:rPr>
          <w:rFonts w:asciiTheme="minorHAnsi" w:hAnsiTheme="minorHAnsi"/>
        </w:rPr>
        <w:t xml:space="preserve">W sprawie </w:t>
      </w:r>
      <w:r w:rsidRPr="00CE1029">
        <w:rPr>
          <w:rFonts w:asciiTheme="minorHAnsi" w:hAnsiTheme="minorHAnsi"/>
          <w:i/>
        </w:rPr>
        <w:t>P. i S.</w:t>
      </w:r>
      <w:r w:rsidR="00601788" w:rsidRPr="00CE1029">
        <w:rPr>
          <w:rFonts w:asciiTheme="minorHAnsi" w:eastAsia="Calibri" w:hAnsiTheme="minorHAnsi"/>
          <w:i/>
          <w:lang w:eastAsia="en-US"/>
        </w:rPr>
        <w:t>–</w:t>
      </w:r>
      <w:r w:rsidR="00601788" w:rsidRPr="00194E8E">
        <w:rPr>
          <w:rFonts w:asciiTheme="minorHAnsi" w:eastAsia="Calibri" w:hAnsiTheme="minorHAnsi"/>
          <w:lang w:eastAsia="en-US"/>
        </w:rPr>
        <w:t xml:space="preserve"> naruszenie art. </w:t>
      </w:r>
      <w:r w:rsidR="00601788" w:rsidRPr="00194E8E">
        <w:rPr>
          <w:rFonts w:asciiTheme="minorHAnsi" w:hAnsiTheme="minorHAnsi"/>
        </w:rPr>
        <w:t xml:space="preserve">3 Konwencji w stosunku do pierwszej skarżącej (małoletniej) z uwagi na kumulatywny wpływ okoliczności sprawy na jej sytuację i sposób potraktowania P. przez organy państwa, które wywołały cierpienie przekraczające minimalny próg dolegliwości w rozumieniu tego przepisu. Ponadto </w:t>
      </w:r>
      <w:r w:rsidR="0035339C">
        <w:rPr>
          <w:rFonts w:asciiTheme="minorHAnsi" w:hAnsiTheme="minorHAnsi"/>
        </w:rPr>
        <w:t>ETPC</w:t>
      </w:r>
      <w:r w:rsidR="00601788" w:rsidRPr="00194E8E">
        <w:rPr>
          <w:rFonts w:asciiTheme="minorHAnsi" w:hAnsiTheme="minorHAnsi"/>
        </w:rPr>
        <w:t xml:space="preserve"> stwierdził naruszenie art. 5 ust. 1 Konwencji z powodu umieszczenia </w:t>
      </w:r>
      <w:r w:rsidR="0035339C">
        <w:rPr>
          <w:rFonts w:asciiTheme="minorHAnsi" w:hAnsiTheme="minorHAnsi"/>
        </w:rPr>
        <w:t>małoletniej</w:t>
      </w:r>
      <w:r w:rsidR="00601788" w:rsidRPr="00194E8E">
        <w:rPr>
          <w:rFonts w:asciiTheme="minorHAnsi" w:hAnsiTheme="minorHAnsi"/>
        </w:rPr>
        <w:t xml:space="preserve"> w pogotowiu opiekuńczym, a także naruszenie art. 8 Konwencji w stosunku do obu skarżących (matki i córki) z powodu niezapewnienia im skutecznego poszanowania ich życia prywatnego z uwagi na brak dostępu do informacji nt. warunków dostępu do </w:t>
      </w:r>
      <w:r w:rsidR="0035339C">
        <w:rPr>
          <w:rFonts w:asciiTheme="minorHAnsi" w:hAnsiTheme="minorHAnsi"/>
        </w:rPr>
        <w:t xml:space="preserve">zabiegu </w:t>
      </w:r>
      <w:r w:rsidR="00601788" w:rsidRPr="00194E8E">
        <w:rPr>
          <w:rFonts w:asciiTheme="minorHAnsi" w:hAnsiTheme="minorHAnsi"/>
        </w:rPr>
        <w:t>legalne</w:t>
      </w:r>
      <w:r w:rsidR="0035339C">
        <w:rPr>
          <w:rFonts w:asciiTheme="minorHAnsi" w:hAnsiTheme="minorHAnsi"/>
        </w:rPr>
        <w:t xml:space="preserve">go przerwania ciąży </w:t>
      </w:r>
      <w:r w:rsidR="00601788" w:rsidRPr="00194E8E">
        <w:rPr>
          <w:rFonts w:asciiTheme="minorHAnsi" w:hAnsiTheme="minorHAnsi"/>
        </w:rPr>
        <w:t>i obowiązujących procedur, oraz z uwagi na bezprawne ujawnienie danych osobowych skar</w:t>
      </w:r>
      <w:r w:rsidR="0035339C">
        <w:rPr>
          <w:rFonts w:asciiTheme="minorHAnsi" w:hAnsiTheme="minorHAnsi"/>
        </w:rPr>
        <w:t>żących przez publiczny szpital.</w:t>
      </w:r>
    </w:p>
    <w:p w:rsidR="00CE1029" w:rsidRPr="00CE1029" w:rsidRDefault="00601788" w:rsidP="006055B6">
      <w:pPr>
        <w:spacing w:before="120" w:after="120"/>
        <w:jc w:val="both"/>
        <w:rPr>
          <w:rFonts w:asciiTheme="minorHAnsi" w:hAnsiTheme="minorHAnsi"/>
          <w:i/>
        </w:rPr>
      </w:pPr>
      <w:r w:rsidRPr="00CE1029">
        <w:rPr>
          <w:rFonts w:asciiTheme="minorHAnsi" w:hAnsiTheme="minorHAnsi"/>
          <w:i/>
        </w:rPr>
        <w:t xml:space="preserve">Rząd przesłał do </w:t>
      </w:r>
      <w:r w:rsidR="004B0816" w:rsidRPr="00CE1029">
        <w:rPr>
          <w:rFonts w:asciiTheme="minorHAnsi" w:hAnsiTheme="minorHAnsi"/>
          <w:i/>
        </w:rPr>
        <w:t xml:space="preserve">RE </w:t>
      </w:r>
      <w:r w:rsidRPr="00CE1029">
        <w:rPr>
          <w:rFonts w:asciiTheme="minorHAnsi" w:hAnsiTheme="minorHAnsi"/>
          <w:i/>
        </w:rPr>
        <w:t>pismo informujące o działaniach podjętych w zakresie środków generalnych</w:t>
      </w:r>
      <w:r w:rsidR="00CE1029" w:rsidRPr="00CE1029">
        <w:rPr>
          <w:rFonts w:asciiTheme="minorHAnsi" w:hAnsiTheme="minorHAnsi"/>
          <w:i/>
        </w:rPr>
        <w:t xml:space="preserve"> w dniu 13 października 2021 r</w:t>
      </w:r>
      <w:r w:rsidR="0035339C">
        <w:rPr>
          <w:rFonts w:asciiTheme="minorHAnsi" w:hAnsiTheme="minorHAnsi"/>
          <w:i/>
        </w:rPr>
        <w:t>.</w:t>
      </w:r>
    </w:p>
    <w:p w:rsidR="00601788" w:rsidRPr="00CE1029" w:rsidRDefault="00CE1029" w:rsidP="006055B6">
      <w:pPr>
        <w:spacing w:before="120" w:after="120"/>
        <w:jc w:val="both"/>
        <w:rPr>
          <w:rFonts w:asciiTheme="minorHAnsi" w:hAnsiTheme="minorHAnsi"/>
          <w:i/>
          <w:color w:val="000000"/>
        </w:rPr>
      </w:pPr>
      <w:r w:rsidRPr="00CE1029">
        <w:rPr>
          <w:rFonts w:asciiTheme="minorHAnsi" w:hAnsiTheme="minorHAnsi"/>
          <w:i/>
        </w:rPr>
        <w:t>K</w:t>
      </w:r>
      <w:r w:rsidR="00601788" w:rsidRPr="00CE1029">
        <w:rPr>
          <w:rFonts w:asciiTheme="minorHAnsi" w:hAnsiTheme="minorHAnsi"/>
          <w:i/>
          <w:color w:val="000000"/>
        </w:rPr>
        <w:t xml:space="preserve">M ocenił </w:t>
      </w:r>
      <w:r w:rsidR="0035339C" w:rsidRPr="0035339C">
        <w:rPr>
          <w:rFonts w:asciiTheme="minorHAnsi" w:hAnsiTheme="minorHAnsi"/>
          <w:i/>
          <w:color w:val="000000"/>
        </w:rPr>
        <w:t xml:space="preserve">przekazaną informację </w:t>
      </w:r>
      <w:r w:rsidR="00601788" w:rsidRPr="00CE1029">
        <w:rPr>
          <w:rFonts w:asciiTheme="minorHAnsi" w:hAnsiTheme="minorHAnsi"/>
          <w:i/>
          <w:color w:val="000000"/>
        </w:rPr>
        <w:t xml:space="preserve">w decyzji wydanej na posiedzeniu w formacie ds. praw człowieka w dniu </w:t>
      </w:r>
      <w:r w:rsidR="00F21973" w:rsidRPr="00CE1029">
        <w:rPr>
          <w:rFonts w:asciiTheme="minorHAnsi" w:hAnsiTheme="minorHAnsi"/>
          <w:i/>
          <w:color w:val="000000"/>
        </w:rPr>
        <w:t xml:space="preserve">2 grudnia 2021 r. </w:t>
      </w:r>
    </w:p>
    <w:p w:rsidR="00CE1029" w:rsidRPr="00CE1029" w:rsidRDefault="00601788" w:rsidP="0035339C">
      <w:pPr>
        <w:numPr>
          <w:ilvl w:val="0"/>
          <w:numId w:val="3"/>
        </w:numPr>
        <w:spacing w:before="240" w:after="120"/>
        <w:ind w:left="709" w:hanging="425"/>
        <w:jc w:val="both"/>
        <w:rPr>
          <w:rFonts w:asciiTheme="minorHAnsi" w:eastAsia="Calibri" w:hAnsiTheme="minorHAnsi"/>
          <w:b/>
          <w:lang w:eastAsia="en-US"/>
        </w:rPr>
      </w:pPr>
      <w:r w:rsidRPr="00194E8E">
        <w:rPr>
          <w:rFonts w:asciiTheme="minorHAnsi" w:hAnsiTheme="minorHAnsi"/>
          <w:b/>
          <w:i/>
        </w:rPr>
        <w:t>Pugžlys p. Polsce</w:t>
      </w:r>
      <w:r w:rsidRPr="00194E8E">
        <w:rPr>
          <w:rFonts w:asciiTheme="minorHAnsi" w:hAnsiTheme="minorHAnsi"/>
          <w:i/>
        </w:rPr>
        <w:t xml:space="preserve"> </w:t>
      </w:r>
      <w:r w:rsidRPr="00194E8E">
        <w:rPr>
          <w:rFonts w:asciiTheme="minorHAnsi" w:hAnsiTheme="minorHAnsi"/>
        </w:rPr>
        <w:t xml:space="preserve">(skarga nr 446/10) </w:t>
      </w:r>
    </w:p>
    <w:p w:rsidR="00CE1029" w:rsidRDefault="00CE1029" w:rsidP="00CE1029">
      <w:pPr>
        <w:spacing w:before="120" w:after="120"/>
        <w:jc w:val="both"/>
        <w:rPr>
          <w:rFonts w:asciiTheme="minorHAnsi" w:hAnsiTheme="minorHAnsi"/>
        </w:rPr>
      </w:pPr>
      <w:r>
        <w:rPr>
          <w:rFonts w:asciiTheme="minorHAnsi" w:hAnsiTheme="minorHAnsi"/>
        </w:rPr>
        <w:t>N</w:t>
      </w:r>
      <w:r w:rsidR="00601788" w:rsidRPr="00194E8E">
        <w:rPr>
          <w:rFonts w:asciiTheme="minorHAnsi" w:hAnsiTheme="minorHAnsi"/>
        </w:rPr>
        <w:t xml:space="preserve">aruszenie art. </w:t>
      </w:r>
      <w:r w:rsidR="00601788" w:rsidRPr="00194E8E">
        <w:rPr>
          <w:rFonts w:asciiTheme="minorHAnsi" w:eastAsia="Calibri" w:hAnsiTheme="minorHAnsi"/>
          <w:lang w:eastAsia="en-US"/>
        </w:rPr>
        <w:t>3 Konwencji z powodu długotrwałego nałożenia reżimu „więźnia niebezpiecznego” na skarżącego oraz z powodu umieszczenia skarżącego w metalowej klatce podczas postępowania sądowego</w:t>
      </w:r>
      <w:r w:rsidR="00601788" w:rsidRPr="00194E8E">
        <w:rPr>
          <w:rFonts w:asciiTheme="minorHAnsi" w:hAnsiTheme="minorHAnsi"/>
        </w:rPr>
        <w:t xml:space="preserve">. </w:t>
      </w:r>
    </w:p>
    <w:p w:rsidR="00601788" w:rsidRPr="00CE1029" w:rsidRDefault="00CE1029" w:rsidP="00CE1029">
      <w:pPr>
        <w:spacing w:before="120" w:after="120"/>
        <w:jc w:val="both"/>
        <w:rPr>
          <w:rFonts w:asciiTheme="minorHAnsi" w:eastAsia="Calibri" w:hAnsiTheme="minorHAnsi"/>
          <w:b/>
          <w:i/>
          <w:lang w:eastAsia="en-US"/>
        </w:rPr>
      </w:pPr>
      <w:r w:rsidRPr="00CE1029">
        <w:rPr>
          <w:rFonts w:asciiTheme="minorHAnsi" w:hAnsiTheme="minorHAnsi"/>
          <w:i/>
        </w:rPr>
        <w:t>Rząd przesłał do RE z</w:t>
      </w:r>
      <w:r w:rsidR="00601788" w:rsidRPr="00CE1029">
        <w:rPr>
          <w:rFonts w:asciiTheme="minorHAnsi" w:hAnsiTheme="minorHAnsi"/>
          <w:i/>
        </w:rPr>
        <w:t xml:space="preserve">aktualizowany raport </w:t>
      </w:r>
      <w:r w:rsidR="00601788" w:rsidRPr="00CE1029">
        <w:rPr>
          <w:rFonts w:asciiTheme="minorHAnsi" w:eastAsia="Calibri" w:hAnsiTheme="minorHAnsi"/>
          <w:i/>
          <w:lang w:eastAsia="en-US"/>
        </w:rPr>
        <w:t>z wykonania wyroku w dniu 18 października 2021</w:t>
      </w:r>
      <w:r w:rsidRPr="00CE1029">
        <w:rPr>
          <w:rFonts w:asciiTheme="minorHAnsi" w:hAnsiTheme="minorHAnsi"/>
          <w:i/>
        </w:rPr>
        <w:t> </w:t>
      </w:r>
      <w:r w:rsidR="00601788" w:rsidRPr="00CE1029">
        <w:rPr>
          <w:rFonts w:asciiTheme="minorHAnsi" w:eastAsia="Calibri" w:hAnsiTheme="minorHAnsi"/>
          <w:i/>
          <w:lang w:eastAsia="en-US"/>
        </w:rPr>
        <w:t>r.</w:t>
      </w:r>
    </w:p>
    <w:p w:rsidR="00CE1029" w:rsidRDefault="00601788" w:rsidP="0035339C">
      <w:pPr>
        <w:numPr>
          <w:ilvl w:val="0"/>
          <w:numId w:val="3"/>
        </w:numPr>
        <w:spacing w:before="240" w:after="120"/>
        <w:ind w:left="709" w:hanging="425"/>
        <w:jc w:val="both"/>
        <w:rPr>
          <w:rFonts w:asciiTheme="minorHAnsi" w:hAnsiTheme="minorHAnsi"/>
        </w:rPr>
      </w:pPr>
      <w:r w:rsidRPr="00194E8E">
        <w:rPr>
          <w:rFonts w:asciiTheme="minorHAnsi" w:hAnsiTheme="minorHAnsi"/>
          <w:b/>
          <w:i/>
        </w:rPr>
        <w:t>Filas p. Polsce</w:t>
      </w:r>
      <w:r w:rsidRPr="00194E8E">
        <w:rPr>
          <w:rFonts w:asciiTheme="minorHAnsi" w:hAnsiTheme="minorHAnsi"/>
        </w:rPr>
        <w:t xml:space="preserve"> (</w:t>
      </w:r>
      <w:r w:rsidR="00B4528B" w:rsidRPr="00194E8E">
        <w:rPr>
          <w:rFonts w:asciiTheme="minorHAnsi" w:hAnsiTheme="minorHAnsi"/>
        </w:rPr>
        <w:t>skarga nr 31806/17</w:t>
      </w:r>
      <w:r w:rsidRPr="00194E8E">
        <w:rPr>
          <w:rFonts w:asciiTheme="minorHAnsi" w:hAnsiTheme="minorHAnsi"/>
        </w:rPr>
        <w:t xml:space="preserve">), </w:t>
      </w:r>
      <w:r w:rsidRPr="00194E8E">
        <w:rPr>
          <w:rFonts w:asciiTheme="minorHAnsi" w:hAnsiTheme="minorHAnsi"/>
          <w:b/>
          <w:i/>
        </w:rPr>
        <w:t>Leńczuk p. Polsce</w:t>
      </w:r>
      <w:r w:rsidRPr="00194E8E">
        <w:rPr>
          <w:rFonts w:asciiTheme="minorHAnsi" w:hAnsiTheme="minorHAnsi"/>
        </w:rPr>
        <w:t xml:space="preserve"> (</w:t>
      </w:r>
      <w:r w:rsidR="00B4528B" w:rsidRPr="00194E8E">
        <w:rPr>
          <w:rFonts w:asciiTheme="minorHAnsi" w:hAnsiTheme="minorHAnsi"/>
        </w:rPr>
        <w:t>skarga nr 47800/17</w:t>
      </w:r>
      <w:r w:rsidRPr="00194E8E">
        <w:rPr>
          <w:rFonts w:asciiTheme="minorHAnsi" w:hAnsiTheme="minorHAnsi"/>
        </w:rPr>
        <w:t xml:space="preserve">), </w:t>
      </w:r>
      <w:r w:rsidRPr="00194E8E">
        <w:rPr>
          <w:rFonts w:asciiTheme="minorHAnsi" w:hAnsiTheme="minorHAnsi"/>
          <w:b/>
          <w:i/>
        </w:rPr>
        <w:t>Bechta p. Polsce</w:t>
      </w:r>
      <w:r w:rsidRPr="00194E8E">
        <w:rPr>
          <w:rFonts w:asciiTheme="minorHAnsi" w:hAnsiTheme="minorHAnsi"/>
        </w:rPr>
        <w:t xml:space="preserve"> (</w:t>
      </w:r>
      <w:r w:rsidR="00B4528B" w:rsidRPr="00194E8E">
        <w:rPr>
          <w:rFonts w:asciiTheme="minorHAnsi" w:hAnsiTheme="minorHAnsi"/>
        </w:rPr>
        <w:t>skarga nr 39496/17</w:t>
      </w:r>
      <w:r w:rsidRPr="00194E8E">
        <w:rPr>
          <w:rFonts w:asciiTheme="minorHAnsi" w:hAnsiTheme="minorHAnsi"/>
        </w:rPr>
        <w:t xml:space="preserve">) </w:t>
      </w:r>
    </w:p>
    <w:p w:rsidR="00CE1029" w:rsidRDefault="00CE1029" w:rsidP="00CE1029">
      <w:pPr>
        <w:spacing w:before="120" w:after="120"/>
        <w:jc w:val="both"/>
        <w:rPr>
          <w:rFonts w:asciiTheme="minorHAnsi" w:hAnsiTheme="minorHAnsi"/>
        </w:rPr>
      </w:pPr>
      <w:r>
        <w:rPr>
          <w:rFonts w:asciiTheme="minorHAnsi" w:hAnsiTheme="minorHAnsi"/>
        </w:rPr>
        <w:t>N</w:t>
      </w:r>
      <w:r w:rsidR="00B4528B" w:rsidRPr="00194E8E">
        <w:rPr>
          <w:rFonts w:asciiTheme="minorHAnsi" w:hAnsiTheme="minorHAnsi"/>
        </w:rPr>
        <w:t xml:space="preserve">aruszenie art. 3 Konwencji w związku ze stosowaniem reżimu więźnia niebezpiecznego. </w:t>
      </w:r>
    </w:p>
    <w:p w:rsidR="00601788" w:rsidRPr="00CE1029" w:rsidRDefault="00CE1029" w:rsidP="00CE1029">
      <w:pPr>
        <w:spacing w:before="120" w:after="120"/>
        <w:jc w:val="both"/>
        <w:rPr>
          <w:rFonts w:asciiTheme="minorHAnsi" w:hAnsiTheme="minorHAnsi"/>
          <w:i/>
        </w:rPr>
      </w:pPr>
      <w:r w:rsidRPr="00CE1029">
        <w:rPr>
          <w:rFonts w:asciiTheme="minorHAnsi" w:eastAsia="Calibri" w:hAnsiTheme="minorHAnsi"/>
          <w:i/>
          <w:lang w:eastAsia="en-US"/>
        </w:rPr>
        <w:t>Rząd przesłał do RE r</w:t>
      </w:r>
      <w:r w:rsidR="00601788" w:rsidRPr="00CE1029">
        <w:rPr>
          <w:rFonts w:asciiTheme="minorHAnsi" w:hAnsiTheme="minorHAnsi"/>
          <w:i/>
        </w:rPr>
        <w:t xml:space="preserve">aport </w:t>
      </w:r>
      <w:r w:rsidR="00601788" w:rsidRPr="00CE1029">
        <w:rPr>
          <w:rFonts w:asciiTheme="minorHAnsi" w:eastAsia="Calibri" w:hAnsiTheme="minorHAnsi"/>
          <w:i/>
          <w:lang w:eastAsia="en-US"/>
        </w:rPr>
        <w:t>z wykonania wyroku w dniu 26 października 2021 r.</w:t>
      </w:r>
    </w:p>
    <w:p w:rsidR="00CE1029" w:rsidRDefault="00596C4C" w:rsidP="0035339C">
      <w:pPr>
        <w:numPr>
          <w:ilvl w:val="0"/>
          <w:numId w:val="3"/>
        </w:numPr>
        <w:spacing w:before="240" w:after="120"/>
        <w:ind w:left="709" w:hanging="425"/>
        <w:jc w:val="both"/>
        <w:rPr>
          <w:rFonts w:asciiTheme="minorHAnsi" w:hAnsiTheme="minorHAnsi"/>
        </w:rPr>
      </w:pPr>
      <w:r w:rsidRPr="00194E8E">
        <w:rPr>
          <w:rFonts w:asciiTheme="minorHAnsi" w:hAnsiTheme="minorHAnsi"/>
          <w:b/>
          <w:i/>
        </w:rPr>
        <w:t>Gorzkowski p. Polsce</w:t>
      </w:r>
      <w:r w:rsidRPr="00194E8E">
        <w:rPr>
          <w:rFonts w:asciiTheme="minorHAnsi" w:hAnsiTheme="minorHAnsi"/>
        </w:rPr>
        <w:t xml:space="preserve"> (65546/13)</w:t>
      </w:r>
      <w:r w:rsidR="00CE1029" w:rsidRPr="00194E8E">
        <w:rPr>
          <w:rFonts w:asciiTheme="minorHAnsi" w:hAnsiTheme="minorHAnsi"/>
        </w:rPr>
        <w:t xml:space="preserve"> </w:t>
      </w:r>
    </w:p>
    <w:p w:rsidR="00CE1029" w:rsidRDefault="00CE1029" w:rsidP="00CE1029">
      <w:pPr>
        <w:spacing w:before="120" w:after="120"/>
        <w:jc w:val="both"/>
        <w:rPr>
          <w:rFonts w:asciiTheme="minorHAnsi" w:hAnsiTheme="minorHAnsi"/>
        </w:rPr>
      </w:pPr>
      <w:r>
        <w:rPr>
          <w:rFonts w:asciiTheme="minorHAnsi" w:hAnsiTheme="minorHAnsi"/>
        </w:rPr>
        <w:t>N</w:t>
      </w:r>
      <w:r w:rsidR="00596C4C" w:rsidRPr="00194E8E">
        <w:rPr>
          <w:rFonts w:asciiTheme="minorHAnsi" w:hAnsiTheme="minorHAnsi"/>
        </w:rPr>
        <w:t>aruszenie art. 6 ust. 1 Konwencji w związku ze zbyt późnym powiadomieniem skarżącego przez pełnomocnika z urzędu o</w:t>
      </w:r>
      <w:r>
        <w:rPr>
          <w:rFonts w:asciiTheme="minorHAnsi" w:hAnsiTheme="minorHAnsi"/>
        </w:rPr>
        <w:t xml:space="preserve"> </w:t>
      </w:r>
      <w:r w:rsidR="00596C4C" w:rsidRPr="00194E8E">
        <w:rPr>
          <w:rFonts w:asciiTheme="minorHAnsi" w:hAnsiTheme="minorHAnsi"/>
        </w:rPr>
        <w:t>braku podstaw do</w:t>
      </w:r>
      <w:r>
        <w:rPr>
          <w:rFonts w:asciiTheme="minorHAnsi" w:hAnsiTheme="minorHAnsi"/>
        </w:rPr>
        <w:t xml:space="preserve"> </w:t>
      </w:r>
      <w:r w:rsidR="00596C4C" w:rsidRPr="00194E8E">
        <w:rPr>
          <w:rFonts w:asciiTheme="minorHAnsi" w:hAnsiTheme="minorHAnsi"/>
        </w:rPr>
        <w:t xml:space="preserve">sporządzenia skargi kasacyjnej do NSA. </w:t>
      </w:r>
    </w:p>
    <w:p w:rsidR="00601788" w:rsidRPr="00CE1029" w:rsidRDefault="00CE1029" w:rsidP="00CE1029">
      <w:pPr>
        <w:spacing w:before="120" w:after="120"/>
        <w:jc w:val="both"/>
        <w:rPr>
          <w:rFonts w:asciiTheme="minorHAnsi" w:hAnsiTheme="minorHAnsi"/>
          <w:i/>
        </w:rPr>
      </w:pPr>
      <w:r w:rsidRPr="00CE1029">
        <w:rPr>
          <w:rFonts w:asciiTheme="minorHAnsi" w:hAnsiTheme="minorHAnsi"/>
          <w:i/>
        </w:rPr>
        <w:t>Rząd przesłał do RE r</w:t>
      </w:r>
      <w:r w:rsidR="00596C4C" w:rsidRPr="00CE1029">
        <w:rPr>
          <w:rFonts w:asciiTheme="minorHAnsi" w:hAnsiTheme="minorHAnsi"/>
          <w:i/>
        </w:rPr>
        <w:t xml:space="preserve">aport </w:t>
      </w:r>
      <w:r w:rsidR="00596C4C" w:rsidRPr="00CE1029">
        <w:rPr>
          <w:rFonts w:asciiTheme="minorHAnsi" w:eastAsia="Calibri" w:hAnsiTheme="minorHAnsi"/>
          <w:i/>
          <w:lang w:eastAsia="en-US"/>
        </w:rPr>
        <w:t>z wykonania wyroku w dniu 29 października 2021 r.</w:t>
      </w:r>
    </w:p>
    <w:p w:rsidR="00CE1029" w:rsidRPr="00CE1029" w:rsidRDefault="00596C4C" w:rsidP="0035339C">
      <w:pPr>
        <w:numPr>
          <w:ilvl w:val="0"/>
          <w:numId w:val="3"/>
        </w:numPr>
        <w:spacing w:before="240" w:after="120"/>
        <w:ind w:left="709" w:hanging="425"/>
        <w:jc w:val="both"/>
        <w:rPr>
          <w:rStyle w:val="sfbbfee58"/>
          <w:rFonts w:asciiTheme="minorHAnsi" w:eastAsia="Calibri" w:hAnsiTheme="minorHAnsi"/>
          <w:b/>
          <w:u w:val="single"/>
          <w:lang w:eastAsia="en-US"/>
        </w:rPr>
      </w:pPr>
      <w:r w:rsidRPr="00194E8E">
        <w:rPr>
          <w:rStyle w:val="sfbbfee58"/>
          <w:rFonts w:asciiTheme="minorHAnsi" w:hAnsiTheme="minorHAnsi" w:cs="Arial"/>
          <w:b/>
          <w:i/>
        </w:rPr>
        <w:t>Janulis p. Polsce</w:t>
      </w:r>
      <w:r w:rsidRPr="00194E8E">
        <w:rPr>
          <w:rStyle w:val="sfbbfee58"/>
          <w:rFonts w:asciiTheme="minorHAnsi" w:hAnsiTheme="minorHAnsi" w:cs="Arial"/>
          <w:i/>
        </w:rPr>
        <w:t xml:space="preserve"> </w:t>
      </w:r>
      <w:r w:rsidRPr="00194E8E">
        <w:rPr>
          <w:rStyle w:val="sfbbfee58"/>
          <w:rFonts w:asciiTheme="minorHAnsi" w:hAnsiTheme="minorHAnsi" w:cs="Arial"/>
        </w:rPr>
        <w:t xml:space="preserve">(skarga nr 31792/15), </w:t>
      </w:r>
      <w:r w:rsidRPr="00194E8E">
        <w:rPr>
          <w:rStyle w:val="sfbbfee58"/>
          <w:rFonts w:asciiTheme="minorHAnsi" w:hAnsiTheme="minorHAnsi" w:cs="Arial"/>
          <w:b/>
          <w:i/>
        </w:rPr>
        <w:t>Zborowski p. Polsce</w:t>
      </w:r>
      <w:r w:rsidRPr="00194E8E">
        <w:rPr>
          <w:rStyle w:val="sfbbfee58"/>
          <w:rFonts w:asciiTheme="minorHAnsi" w:hAnsiTheme="minorHAnsi" w:cs="Arial"/>
          <w:i/>
        </w:rPr>
        <w:t xml:space="preserve"> </w:t>
      </w:r>
      <w:r w:rsidRPr="00194E8E">
        <w:rPr>
          <w:rStyle w:val="sfbbfee58"/>
          <w:rFonts w:asciiTheme="minorHAnsi" w:hAnsiTheme="minorHAnsi" w:cs="Arial"/>
        </w:rPr>
        <w:t xml:space="preserve">(skarga nr 72950/13), </w:t>
      </w:r>
      <w:r w:rsidRPr="00194E8E">
        <w:rPr>
          <w:rStyle w:val="sfbbfee58"/>
          <w:rFonts w:asciiTheme="minorHAnsi" w:hAnsiTheme="minorHAnsi" w:cs="Arial"/>
          <w:b/>
          <w:i/>
        </w:rPr>
        <w:t>Lewandowski p. Polsce</w:t>
      </w:r>
      <w:r w:rsidRPr="00194E8E">
        <w:rPr>
          <w:rStyle w:val="sfbbfee58"/>
          <w:rFonts w:asciiTheme="minorHAnsi" w:hAnsiTheme="minorHAnsi" w:cs="Arial"/>
          <w:i/>
        </w:rPr>
        <w:t xml:space="preserve"> </w:t>
      </w:r>
      <w:r w:rsidRPr="00194E8E">
        <w:rPr>
          <w:rStyle w:val="sfbbfee58"/>
          <w:rFonts w:asciiTheme="minorHAnsi" w:hAnsiTheme="minorHAnsi" w:cs="Arial"/>
        </w:rPr>
        <w:t xml:space="preserve">(skarga nr 29848/17), </w:t>
      </w:r>
      <w:r w:rsidRPr="00194E8E">
        <w:rPr>
          <w:rStyle w:val="sfbbfee58"/>
          <w:rFonts w:asciiTheme="minorHAnsi" w:hAnsiTheme="minorHAnsi" w:cs="Arial"/>
          <w:b/>
          <w:i/>
        </w:rPr>
        <w:t>Sławiński p. Polsce</w:t>
      </w:r>
      <w:r w:rsidRPr="00194E8E">
        <w:rPr>
          <w:rStyle w:val="sfbbfee58"/>
          <w:rFonts w:asciiTheme="minorHAnsi" w:hAnsiTheme="minorHAnsi" w:cs="Arial"/>
          <w:i/>
        </w:rPr>
        <w:t xml:space="preserve"> </w:t>
      </w:r>
      <w:r w:rsidRPr="00194E8E">
        <w:rPr>
          <w:rStyle w:val="sfbbfee58"/>
          <w:rFonts w:asciiTheme="minorHAnsi" w:hAnsiTheme="minorHAnsi" w:cs="Arial"/>
        </w:rPr>
        <w:t>(skarga nr 61039/</w:t>
      </w:r>
      <w:r w:rsidR="00AC37DA" w:rsidRPr="00194E8E">
        <w:rPr>
          <w:rStyle w:val="sfbbfee58"/>
          <w:rFonts w:asciiTheme="minorHAnsi" w:hAnsiTheme="minorHAnsi" w:cs="Arial"/>
        </w:rPr>
        <w:t>16</w:t>
      </w:r>
      <w:r w:rsidRPr="00194E8E">
        <w:rPr>
          <w:rStyle w:val="sfbbfee58"/>
          <w:rFonts w:asciiTheme="minorHAnsi" w:hAnsiTheme="minorHAnsi" w:cs="Arial"/>
        </w:rPr>
        <w:t xml:space="preserve">) </w:t>
      </w:r>
    </w:p>
    <w:p w:rsidR="00CE1029" w:rsidRDefault="00CE1029" w:rsidP="00CE1029">
      <w:pPr>
        <w:spacing w:before="120" w:after="120"/>
        <w:jc w:val="both"/>
        <w:rPr>
          <w:rFonts w:asciiTheme="minorHAnsi" w:eastAsia="Calibri" w:hAnsiTheme="minorHAnsi"/>
          <w:lang w:eastAsia="en-US"/>
        </w:rPr>
      </w:pPr>
      <w:r>
        <w:rPr>
          <w:rFonts w:asciiTheme="minorHAnsi" w:eastAsia="Calibri" w:hAnsiTheme="minorHAnsi"/>
          <w:lang w:eastAsia="en-US"/>
        </w:rPr>
        <w:t>N</w:t>
      </w:r>
      <w:r w:rsidR="00596C4C" w:rsidRPr="00194E8E">
        <w:rPr>
          <w:rFonts w:asciiTheme="minorHAnsi" w:eastAsia="Calibri" w:hAnsiTheme="minorHAnsi"/>
          <w:lang w:eastAsia="en-US"/>
        </w:rPr>
        <w:t xml:space="preserve">aruszenie art. 6 ust. 1 Konwencji z powodu przewlekłości postępowań sądowych w sprawach cywilnych i karnych. </w:t>
      </w:r>
    </w:p>
    <w:p w:rsidR="00601788" w:rsidRPr="00CE1029" w:rsidRDefault="00CE1029" w:rsidP="00CE1029">
      <w:pPr>
        <w:spacing w:before="120" w:after="120"/>
        <w:jc w:val="both"/>
        <w:rPr>
          <w:rFonts w:asciiTheme="minorHAnsi" w:eastAsia="Calibri" w:hAnsiTheme="minorHAnsi"/>
          <w:b/>
          <w:i/>
          <w:u w:val="single"/>
          <w:lang w:eastAsia="en-US"/>
        </w:rPr>
      </w:pPr>
      <w:r w:rsidRPr="00CE1029">
        <w:rPr>
          <w:rFonts w:asciiTheme="minorHAnsi" w:eastAsia="Calibri" w:hAnsiTheme="minorHAnsi"/>
          <w:i/>
          <w:lang w:eastAsia="en-US"/>
        </w:rPr>
        <w:t>Rząd przesłał do RE r</w:t>
      </w:r>
      <w:r w:rsidR="00596C4C" w:rsidRPr="00CE1029">
        <w:rPr>
          <w:rFonts w:asciiTheme="minorHAnsi" w:hAnsiTheme="minorHAnsi"/>
          <w:i/>
        </w:rPr>
        <w:t xml:space="preserve">aport </w:t>
      </w:r>
      <w:r w:rsidR="00596C4C" w:rsidRPr="00CE1029">
        <w:rPr>
          <w:rFonts w:asciiTheme="minorHAnsi" w:eastAsia="Calibri" w:hAnsiTheme="minorHAnsi"/>
          <w:i/>
          <w:lang w:eastAsia="en-US"/>
        </w:rPr>
        <w:t>z wykonania wyroków w dniu 29 października 2021 r.</w:t>
      </w:r>
    </w:p>
    <w:p w:rsidR="00CE1029" w:rsidRDefault="00596C4C" w:rsidP="0035339C">
      <w:pPr>
        <w:numPr>
          <w:ilvl w:val="0"/>
          <w:numId w:val="3"/>
        </w:numPr>
        <w:spacing w:before="240" w:after="120"/>
        <w:ind w:left="709" w:hanging="425"/>
        <w:jc w:val="both"/>
        <w:rPr>
          <w:rFonts w:asciiTheme="minorHAnsi" w:hAnsiTheme="minorHAnsi"/>
          <w:color w:val="000000"/>
        </w:rPr>
      </w:pPr>
      <w:r w:rsidRPr="00194E8E">
        <w:rPr>
          <w:rFonts w:asciiTheme="minorHAnsi" w:hAnsiTheme="minorHAnsi"/>
          <w:b/>
          <w:i/>
          <w:color w:val="000000"/>
        </w:rPr>
        <w:lastRenderedPageBreak/>
        <w:t>Ćwik p. Polsce</w:t>
      </w:r>
      <w:r w:rsidRPr="00194E8E">
        <w:rPr>
          <w:rFonts w:asciiTheme="minorHAnsi" w:hAnsiTheme="minorHAnsi"/>
          <w:color w:val="000000"/>
        </w:rPr>
        <w:t xml:space="preserve"> (skarga nr 31454/10)</w:t>
      </w:r>
    </w:p>
    <w:p w:rsidR="00CE1029" w:rsidRDefault="00CE1029" w:rsidP="00CE1029">
      <w:pPr>
        <w:spacing w:before="120" w:after="120"/>
        <w:jc w:val="both"/>
        <w:rPr>
          <w:rFonts w:asciiTheme="minorHAnsi" w:hAnsiTheme="minorHAnsi"/>
          <w:color w:val="000000"/>
        </w:rPr>
      </w:pPr>
      <w:r>
        <w:rPr>
          <w:rFonts w:asciiTheme="minorHAnsi" w:hAnsiTheme="minorHAnsi"/>
          <w:color w:val="000000"/>
        </w:rPr>
        <w:t>N</w:t>
      </w:r>
      <w:r w:rsidR="00596C4C" w:rsidRPr="00194E8E">
        <w:rPr>
          <w:rFonts w:asciiTheme="minorHAnsi" w:hAnsiTheme="minorHAnsi"/>
          <w:color w:val="000000"/>
        </w:rPr>
        <w:t xml:space="preserve">aruszenie art. 6 ust. 1 Konwencji w kontekście dopuszczenia w postępowaniu dowodowym dowodów otrzymanych w wyniku użycia siły przez osoby prywatne. </w:t>
      </w:r>
    </w:p>
    <w:p w:rsidR="00596C4C" w:rsidRPr="00CE1029" w:rsidRDefault="00596C4C" w:rsidP="00CE1029">
      <w:pPr>
        <w:spacing w:before="120" w:after="120"/>
        <w:jc w:val="both"/>
        <w:rPr>
          <w:rFonts w:asciiTheme="minorHAnsi" w:hAnsiTheme="minorHAnsi"/>
          <w:i/>
          <w:color w:val="000000"/>
        </w:rPr>
      </w:pPr>
      <w:r w:rsidRPr="00CE1029">
        <w:rPr>
          <w:rFonts w:asciiTheme="minorHAnsi" w:hAnsiTheme="minorHAnsi"/>
          <w:i/>
          <w:color w:val="000000"/>
        </w:rPr>
        <w:t>Rząd przesłał do RE zaktualizo</w:t>
      </w:r>
      <w:r w:rsidR="00CE1029" w:rsidRPr="00CE1029">
        <w:rPr>
          <w:rFonts w:asciiTheme="minorHAnsi" w:hAnsiTheme="minorHAnsi"/>
          <w:i/>
          <w:color w:val="000000"/>
        </w:rPr>
        <w:t>wany raport z wykonania wyroku w dniu 29 października 2021</w:t>
      </w:r>
      <w:r w:rsidR="00CE1029">
        <w:rPr>
          <w:rFonts w:asciiTheme="minorHAnsi" w:hAnsiTheme="minorHAnsi"/>
          <w:i/>
          <w:color w:val="000000"/>
        </w:rPr>
        <w:t> </w:t>
      </w:r>
      <w:r w:rsidR="00CE1029" w:rsidRPr="00CE1029">
        <w:rPr>
          <w:rFonts w:asciiTheme="minorHAnsi" w:hAnsiTheme="minorHAnsi"/>
          <w:i/>
          <w:color w:val="000000"/>
        </w:rPr>
        <w:t>r.</w:t>
      </w:r>
      <w:r w:rsidR="00CE1029">
        <w:rPr>
          <w:rFonts w:asciiTheme="minorHAnsi" w:hAnsiTheme="minorHAnsi"/>
          <w:i/>
          <w:color w:val="000000"/>
        </w:rPr>
        <w:t xml:space="preserve"> </w:t>
      </w:r>
    </w:p>
    <w:p w:rsidR="00CE1029" w:rsidRDefault="00596C4C" w:rsidP="0035339C">
      <w:pPr>
        <w:numPr>
          <w:ilvl w:val="0"/>
          <w:numId w:val="3"/>
        </w:numPr>
        <w:spacing w:before="240" w:after="120"/>
        <w:ind w:left="709" w:hanging="425"/>
        <w:jc w:val="both"/>
        <w:rPr>
          <w:rFonts w:asciiTheme="minorHAnsi" w:hAnsiTheme="minorHAnsi"/>
          <w:color w:val="000000"/>
        </w:rPr>
      </w:pPr>
      <w:r w:rsidRPr="00194E8E">
        <w:rPr>
          <w:rFonts w:asciiTheme="minorHAnsi" w:eastAsia="Calibri" w:hAnsiTheme="minorHAnsi"/>
          <w:b/>
          <w:i/>
          <w:lang w:eastAsia="en-US"/>
        </w:rPr>
        <w:t>Guz p. Polsce</w:t>
      </w:r>
      <w:r w:rsidRPr="00194E8E">
        <w:rPr>
          <w:rFonts w:asciiTheme="minorHAnsi" w:eastAsia="Calibri" w:hAnsiTheme="minorHAnsi"/>
          <w:b/>
          <w:lang w:eastAsia="en-US"/>
        </w:rPr>
        <w:t xml:space="preserve"> </w:t>
      </w:r>
      <w:r w:rsidRPr="00194E8E">
        <w:rPr>
          <w:rFonts w:asciiTheme="minorHAnsi" w:eastAsia="Calibri" w:hAnsiTheme="minorHAnsi"/>
          <w:lang w:eastAsia="en-US"/>
        </w:rPr>
        <w:t>(</w:t>
      </w:r>
      <w:r w:rsidRPr="00194E8E">
        <w:rPr>
          <w:rFonts w:asciiTheme="minorHAnsi" w:hAnsiTheme="minorHAnsi"/>
          <w:color w:val="000000"/>
        </w:rPr>
        <w:t xml:space="preserve">skarga nr (965/12) </w:t>
      </w:r>
    </w:p>
    <w:p w:rsidR="00CE1029" w:rsidRDefault="00CE1029" w:rsidP="00CE1029">
      <w:pPr>
        <w:spacing w:before="120" w:after="120"/>
        <w:jc w:val="both"/>
        <w:rPr>
          <w:rFonts w:asciiTheme="minorHAnsi" w:hAnsiTheme="minorHAnsi"/>
          <w:color w:val="000000"/>
        </w:rPr>
      </w:pPr>
      <w:r>
        <w:rPr>
          <w:rFonts w:asciiTheme="minorHAnsi" w:hAnsiTheme="minorHAnsi"/>
          <w:color w:val="000000"/>
        </w:rPr>
        <w:t>N</w:t>
      </w:r>
      <w:r w:rsidR="00596C4C" w:rsidRPr="00194E8E">
        <w:rPr>
          <w:rFonts w:asciiTheme="minorHAnsi" w:hAnsiTheme="minorHAnsi"/>
          <w:color w:val="000000"/>
        </w:rPr>
        <w:t xml:space="preserve">aruszenie art. 10 Konwencji z uwagi na nałożenie na skarżącego kary dyscyplinarnej za uchybienie godności sędziego polegające na krytyce innych przedstawicieli wymiaru sprawiedliwości. </w:t>
      </w:r>
    </w:p>
    <w:p w:rsidR="00596C4C" w:rsidRPr="00CE1029" w:rsidRDefault="00596C4C" w:rsidP="00CE1029">
      <w:pPr>
        <w:spacing w:before="120" w:after="120"/>
        <w:jc w:val="both"/>
        <w:rPr>
          <w:rFonts w:asciiTheme="minorHAnsi" w:hAnsiTheme="minorHAnsi"/>
          <w:i/>
          <w:color w:val="000000"/>
        </w:rPr>
      </w:pPr>
      <w:r w:rsidRPr="00CE1029">
        <w:rPr>
          <w:rFonts w:asciiTheme="minorHAnsi" w:hAnsiTheme="minorHAnsi"/>
          <w:i/>
          <w:color w:val="000000"/>
        </w:rPr>
        <w:t>Rząd przesłał do RE zaktualiz</w:t>
      </w:r>
      <w:r w:rsidR="00CE1029" w:rsidRPr="00CE1029">
        <w:rPr>
          <w:rFonts w:asciiTheme="minorHAnsi" w:hAnsiTheme="minorHAnsi"/>
          <w:i/>
          <w:color w:val="000000"/>
        </w:rPr>
        <w:t>owany raport z wykonania wyroku w dniu 29 października 2021 r.</w:t>
      </w:r>
    </w:p>
    <w:p w:rsidR="00CE1029" w:rsidRDefault="001D4EB7" w:rsidP="0035339C">
      <w:pPr>
        <w:numPr>
          <w:ilvl w:val="0"/>
          <w:numId w:val="3"/>
        </w:numPr>
        <w:spacing w:before="240" w:after="120"/>
        <w:ind w:left="709" w:hanging="425"/>
        <w:jc w:val="both"/>
        <w:rPr>
          <w:rFonts w:asciiTheme="minorHAnsi" w:hAnsiTheme="minorHAnsi"/>
        </w:rPr>
      </w:pPr>
      <w:r w:rsidRPr="00194E8E">
        <w:rPr>
          <w:rFonts w:asciiTheme="minorHAnsi" w:hAnsiTheme="minorHAnsi"/>
          <w:b/>
          <w:i/>
        </w:rPr>
        <w:t>Grabowski p. Polsce</w:t>
      </w:r>
      <w:r w:rsidRPr="00194E8E">
        <w:rPr>
          <w:rFonts w:asciiTheme="minorHAnsi" w:hAnsiTheme="minorHAnsi"/>
        </w:rPr>
        <w:t xml:space="preserve"> (skarga nr 57722/12) </w:t>
      </w:r>
    </w:p>
    <w:p w:rsidR="0035339C" w:rsidRDefault="0035339C" w:rsidP="00CE1029">
      <w:pPr>
        <w:spacing w:before="120" w:after="120"/>
        <w:jc w:val="both"/>
        <w:rPr>
          <w:rFonts w:asciiTheme="minorHAnsi" w:hAnsiTheme="minorHAnsi"/>
        </w:rPr>
      </w:pPr>
      <w:r w:rsidRPr="0035339C">
        <w:rPr>
          <w:rFonts w:asciiTheme="minorHAnsi" w:hAnsiTheme="minorHAnsi"/>
        </w:rPr>
        <w:t xml:space="preserve">Naruszenie art. 5 ust. 1 Konwencji z powodu pozbawienia wolności osoby nieletniej w ramach postępowania poprawczego, bez właściwego postanowienia sądu; naruszenie art. 5 ust. 4 Konwencji z uwagi na to, że rozpoznając wniosek skarżącego o zwolnienie sąd nie wyjaśnił podstawy prawnej jego dalszego pozbawienia wolności w schronisku dla nieletnich. </w:t>
      </w:r>
    </w:p>
    <w:p w:rsidR="001D4EB7" w:rsidRPr="00CE1029" w:rsidRDefault="00CE1029" w:rsidP="00CE1029">
      <w:pPr>
        <w:spacing w:before="120" w:after="120"/>
        <w:jc w:val="both"/>
        <w:rPr>
          <w:rFonts w:asciiTheme="minorHAnsi" w:hAnsiTheme="minorHAnsi"/>
          <w:i/>
        </w:rPr>
      </w:pPr>
      <w:r w:rsidRPr="00CE1029">
        <w:rPr>
          <w:rFonts w:asciiTheme="minorHAnsi" w:hAnsiTheme="minorHAnsi"/>
          <w:i/>
        </w:rPr>
        <w:t>Rząd przesłał do RE informację</w:t>
      </w:r>
      <w:r w:rsidR="001D4EB7" w:rsidRPr="00CE1029">
        <w:rPr>
          <w:rFonts w:asciiTheme="minorHAnsi" w:hAnsiTheme="minorHAnsi"/>
          <w:i/>
        </w:rPr>
        <w:t xml:space="preserve"> o środkach generalnych w dniu </w:t>
      </w:r>
      <w:r w:rsidR="00596C4C" w:rsidRPr="00CE1029">
        <w:rPr>
          <w:rFonts w:asciiTheme="minorHAnsi" w:hAnsiTheme="minorHAnsi"/>
          <w:i/>
        </w:rPr>
        <w:t xml:space="preserve">3 listopada </w:t>
      </w:r>
      <w:r w:rsidR="001D4EB7" w:rsidRPr="00CE1029">
        <w:rPr>
          <w:rFonts w:asciiTheme="minorHAnsi" w:hAnsiTheme="minorHAnsi"/>
          <w:i/>
        </w:rPr>
        <w:t>202</w:t>
      </w:r>
      <w:r w:rsidR="00596C4C" w:rsidRPr="00CE1029">
        <w:rPr>
          <w:rFonts w:asciiTheme="minorHAnsi" w:hAnsiTheme="minorHAnsi"/>
          <w:i/>
        </w:rPr>
        <w:t>1</w:t>
      </w:r>
      <w:r w:rsidR="001D4EB7" w:rsidRPr="00CE1029">
        <w:rPr>
          <w:rFonts w:asciiTheme="minorHAnsi" w:hAnsiTheme="minorHAnsi"/>
          <w:i/>
        </w:rPr>
        <w:t xml:space="preserve"> r. </w:t>
      </w:r>
    </w:p>
    <w:p w:rsidR="00CE1029" w:rsidRDefault="00717621" w:rsidP="0035339C">
      <w:pPr>
        <w:numPr>
          <w:ilvl w:val="0"/>
          <w:numId w:val="3"/>
        </w:numPr>
        <w:spacing w:before="240" w:after="120"/>
        <w:ind w:left="709" w:hanging="425"/>
        <w:jc w:val="both"/>
        <w:rPr>
          <w:rFonts w:asciiTheme="minorHAnsi" w:hAnsiTheme="minorHAnsi"/>
        </w:rPr>
      </w:pPr>
      <w:r w:rsidRPr="00194E8E">
        <w:rPr>
          <w:rFonts w:asciiTheme="minorHAnsi" w:hAnsiTheme="minorHAnsi"/>
          <w:b/>
          <w:i/>
        </w:rPr>
        <w:t>Lewandowski p. Polsce</w:t>
      </w:r>
      <w:r w:rsidRPr="00194E8E">
        <w:rPr>
          <w:rFonts w:asciiTheme="minorHAnsi" w:hAnsiTheme="minorHAnsi"/>
        </w:rPr>
        <w:t xml:space="preserve"> (skarga nr </w:t>
      </w:r>
      <w:r w:rsidR="00B4528B" w:rsidRPr="00194E8E">
        <w:rPr>
          <w:rFonts w:asciiTheme="minorHAnsi" w:hAnsiTheme="minorHAnsi"/>
        </w:rPr>
        <w:t>66484/09</w:t>
      </w:r>
      <w:r w:rsidRPr="00194E8E">
        <w:rPr>
          <w:rFonts w:asciiTheme="minorHAnsi" w:hAnsiTheme="minorHAnsi"/>
        </w:rPr>
        <w:t>)</w:t>
      </w:r>
      <w:r w:rsidR="00B4528B" w:rsidRPr="00194E8E">
        <w:rPr>
          <w:rFonts w:asciiTheme="minorHAnsi" w:hAnsiTheme="minorHAnsi"/>
        </w:rPr>
        <w:t>,</w:t>
      </w:r>
      <w:r w:rsidRPr="00194E8E">
        <w:rPr>
          <w:rFonts w:asciiTheme="minorHAnsi" w:hAnsiTheme="minorHAnsi"/>
        </w:rPr>
        <w:t xml:space="preserve"> </w:t>
      </w:r>
      <w:r w:rsidRPr="00194E8E">
        <w:rPr>
          <w:rFonts w:asciiTheme="minorHAnsi" w:hAnsiTheme="minorHAnsi"/>
          <w:b/>
          <w:i/>
        </w:rPr>
        <w:t>Słomka p. Polsce</w:t>
      </w:r>
      <w:r w:rsidRPr="00194E8E">
        <w:rPr>
          <w:rFonts w:asciiTheme="minorHAnsi" w:hAnsiTheme="minorHAnsi"/>
        </w:rPr>
        <w:t xml:space="preserve"> (skarga nr </w:t>
      </w:r>
      <w:r w:rsidR="00B4528B" w:rsidRPr="00194E8E">
        <w:rPr>
          <w:rFonts w:asciiTheme="minorHAnsi" w:hAnsiTheme="minorHAnsi"/>
        </w:rPr>
        <w:t>68924/12</w:t>
      </w:r>
      <w:r w:rsidRPr="00194E8E">
        <w:rPr>
          <w:rFonts w:asciiTheme="minorHAnsi" w:hAnsiTheme="minorHAnsi"/>
        </w:rPr>
        <w:t>)</w:t>
      </w:r>
      <w:r w:rsidR="00B4528B" w:rsidRPr="00194E8E">
        <w:rPr>
          <w:rFonts w:asciiTheme="minorHAnsi" w:hAnsiTheme="minorHAnsi"/>
        </w:rPr>
        <w:t xml:space="preserve"> </w:t>
      </w:r>
    </w:p>
    <w:p w:rsidR="00CE1029" w:rsidRDefault="00FF5333" w:rsidP="00CE1029">
      <w:pPr>
        <w:spacing w:before="120" w:after="120"/>
        <w:jc w:val="both"/>
        <w:rPr>
          <w:rFonts w:asciiTheme="minorHAnsi" w:hAnsiTheme="minorHAnsi"/>
        </w:rPr>
      </w:pPr>
      <w:r w:rsidRPr="00FF5333">
        <w:rPr>
          <w:rFonts w:asciiTheme="minorHAnsi" w:hAnsiTheme="minorHAnsi"/>
        </w:rPr>
        <w:t>Naruszeni</w:t>
      </w:r>
      <w:r>
        <w:rPr>
          <w:rFonts w:asciiTheme="minorHAnsi" w:hAnsiTheme="minorHAnsi"/>
        </w:rPr>
        <w:t xml:space="preserve">e Artykułu 6 ust. 1 Konwencji w aspekcie </w:t>
      </w:r>
      <w:r w:rsidRPr="00FF5333">
        <w:rPr>
          <w:rFonts w:asciiTheme="minorHAnsi" w:hAnsiTheme="minorHAnsi"/>
        </w:rPr>
        <w:t xml:space="preserve">prawa do bezstronnego sądu </w:t>
      </w:r>
      <w:r>
        <w:rPr>
          <w:rFonts w:asciiTheme="minorHAnsi" w:hAnsiTheme="minorHAnsi"/>
        </w:rPr>
        <w:t xml:space="preserve">z uwagi na fakt, że </w:t>
      </w:r>
      <w:r w:rsidRPr="00FF5333">
        <w:rPr>
          <w:rFonts w:asciiTheme="minorHAnsi" w:hAnsiTheme="minorHAnsi"/>
        </w:rPr>
        <w:t>te</w:t>
      </w:r>
      <w:r>
        <w:rPr>
          <w:rFonts w:asciiTheme="minorHAnsi" w:hAnsiTheme="minorHAnsi"/>
        </w:rPr>
        <w:t xml:space="preserve">n </w:t>
      </w:r>
      <w:r w:rsidRPr="00FF5333">
        <w:rPr>
          <w:rFonts w:asciiTheme="minorHAnsi" w:hAnsiTheme="minorHAnsi"/>
        </w:rPr>
        <w:t>sam</w:t>
      </w:r>
      <w:r>
        <w:rPr>
          <w:rFonts w:asciiTheme="minorHAnsi" w:hAnsiTheme="minorHAnsi"/>
        </w:rPr>
        <w:t xml:space="preserve"> </w:t>
      </w:r>
      <w:r w:rsidRPr="00FF5333">
        <w:rPr>
          <w:rFonts w:asciiTheme="minorHAnsi" w:hAnsiTheme="minorHAnsi"/>
        </w:rPr>
        <w:t>sędzi</w:t>
      </w:r>
      <w:r>
        <w:rPr>
          <w:rFonts w:asciiTheme="minorHAnsi" w:hAnsiTheme="minorHAnsi"/>
        </w:rPr>
        <w:t>a</w:t>
      </w:r>
      <w:r w:rsidRPr="00FF5333">
        <w:rPr>
          <w:rFonts w:asciiTheme="minorHAnsi" w:hAnsiTheme="minorHAnsi"/>
        </w:rPr>
        <w:t xml:space="preserve"> zastosował karę </w:t>
      </w:r>
      <w:r>
        <w:rPr>
          <w:rFonts w:asciiTheme="minorHAnsi" w:hAnsiTheme="minorHAnsi"/>
        </w:rPr>
        <w:t xml:space="preserve">porządkową jako konsekwencję </w:t>
      </w:r>
      <w:r w:rsidRPr="00FF5333">
        <w:rPr>
          <w:rFonts w:asciiTheme="minorHAnsi" w:hAnsiTheme="minorHAnsi"/>
        </w:rPr>
        <w:t>skie</w:t>
      </w:r>
      <w:r>
        <w:rPr>
          <w:rFonts w:asciiTheme="minorHAnsi" w:hAnsiTheme="minorHAnsi"/>
        </w:rPr>
        <w:t>rowanej przeciwko niemu krytyki;</w:t>
      </w:r>
      <w:r w:rsidRPr="00FF5333">
        <w:rPr>
          <w:rFonts w:asciiTheme="minorHAnsi" w:hAnsiTheme="minorHAnsi"/>
        </w:rPr>
        <w:t xml:space="preserve"> </w:t>
      </w:r>
      <w:r w:rsidR="0035339C">
        <w:rPr>
          <w:rFonts w:asciiTheme="minorHAnsi" w:hAnsiTheme="minorHAnsi"/>
        </w:rPr>
        <w:t>ETPC</w:t>
      </w:r>
      <w:r w:rsidR="001B38BB" w:rsidRPr="00194E8E">
        <w:rPr>
          <w:rFonts w:asciiTheme="minorHAnsi" w:hAnsiTheme="minorHAnsi"/>
        </w:rPr>
        <w:t xml:space="preserve"> zwrócił </w:t>
      </w:r>
      <w:r>
        <w:rPr>
          <w:rFonts w:asciiTheme="minorHAnsi" w:hAnsiTheme="minorHAnsi"/>
        </w:rPr>
        <w:t xml:space="preserve">również </w:t>
      </w:r>
      <w:r w:rsidR="001B38BB" w:rsidRPr="00194E8E">
        <w:rPr>
          <w:rFonts w:asciiTheme="minorHAnsi" w:hAnsiTheme="minorHAnsi"/>
        </w:rPr>
        <w:t xml:space="preserve">uwagę na brak rzeczywistego znaczenia środka zaskarżenia na postanowienie o nałożeniu kary porządkowej z uwagi na natychmiastowe wykonanie kary, przed rozpatrzeniem zażalenia. W sprawie </w:t>
      </w:r>
      <w:r w:rsidR="001B38BB" w:rsidRPr="00194E8E">
        <w:rPr>
          <w:rFonts w:asciiTheme="minorHAnsi" w:hAnsiTheme="minorHAnsi"/>
          <w:i/>
        </w:rPr>
        <w:t>Słomka p. Polsce</w:t>
      </w:r>
      <w:r w:rsidR="001B38BB" w:rsidRPr="00194E8E">
        <w:rPr>
          <w:rFonts w:asciiTheme="minorHAnsi" w:hAnsiTheme="minorHAnsi"/>
        </w:rPr>
        <w:t xml:space="preserve"> </w:t>
      </w:r>
      <w:r w:rsidR="0035339C">
        <w:rPr>
          <w:rFonts w:asciiTheme="minorHAnsi" w:hAnsiTheme="minorHAnsi"/>
        </w:rPr>
        <w:t>ETPC</w:t>
      </w:r>
      <w:r w:rsidR="001B38BB" w:rsidRPr="00194E8E">
        <w:rPr>
          <w:rFonts w:asciiTheme="minorHAnsi" w:hAnsiTheme="minorHAnsi"/>
        </w:rPr>
        <w:t xml:space="preserve"> stwierdził też naruszenie art. 10 Konwencji. </w:t>
      </w:r>
    </w:p>
    <w:p w:rsidR="00717621" w:rsidRPr="00CE1029" w:rsidRDefault="00717621" w:rsidP="00CE1029">
      <w:pPr>
        <w:spacing w:before="120" w:after="120"/>
        <w:jc w:val="both"/>
        <w:rPr>
          <w:rFonts w:asciiTheme="minorHAnsi" w:hAnsiTheme="minorHAnsi"/>
          <w:i/>
        </w:rPr>
      </w:pPr>
      <w:r w:rsidRPr="00CE1029">
        <w:rPr>
          <w:rFonts w:asciiTheme="minorHAnsi" w:hAnsiTheme="minorHAnsi"/>
          <w:i/>
          <w:color w:val="000000"/>
        </w:rPr>
        <w:t xml:space="preserve">Rząd przesłał do RE </w:t>
      </w:r>
      <w:r w:rsidR="0035339C" w:rsidRPr="00CE1029">
        <w:rPr>
          <w:rFonts w:asciiTheme="minorHAnsi" w:hAnsiTheme="minorHAnsi"/>
          <w:i/>
          <w:color w:val="000000"/>
        </w:rPr>
        <w:t xml:space="preserve">zaktualizowany </w:t>
      </w:r>
      <w:r w:rsidRPr="00CE1029">
        <w:rPr>
          <w:rFonts w:asciiTheme="minorHAnsi" w:hAnsiTheme="minorHAnsi"/>
          <w:i/>
          <w:color w:val="000000"/>
        </w:rPr>
        <w:t>raport z wykonania wyro</w:t>
      </w:r>
      <w:r w:rsidR="00CE1029" w:rsidRPr="00CE1029">
        <w:rPr>
          <w:rFonts w:asciiTheme="minorHAnsi" w:hAnsiTheme="minorHAnsi"/>
          <w:i/>
          <w:color w:val="000000"/>
        </w:rPr>
        <w:t>ków w dniu 3 listopada 2021 r.</w:t>
      </w:r>
    </w:p>
    <w:p w:rsidR="00CE1029" w:rsidRPr="00CE1029" w:rsidRDefault="00717621" w:rsidP="0035339C">
      <w:pPr>
        <w:numPr>
          <w:ilvl w:val="0"/>
          <w:numId w:val="3"/>
        </w:numPr>
        <w:spacing w:before="240" w:after="120"/>
        <w:ind w:left="709" w:hanging="425"/>
        <w:jc w:val="both"/>
        <w:rPr>
          <w:rFonts w:asciiTheme="minorHAnsi" w:hAnsiTheme="minorHAnsi"/>
          <w:color w:val="000000"/>
        </w:rPr>
      </w:pPr>
      <w:r w:rsidRPr="00194E8E">
        <w:rPr>
          <w:rFonts w:asciiTheme="minorHAnsi" w:hAnsiTheme="minorHAnsi"/>
          <w:b/>
          <w:i/>
        </w:rPr>
        <w:t xml:space="preserve">Stasik </w:t>
      </w:r>
      <w:r w:rsidR="003C4BCD" w:rsidRPr="00194E8E">
        <w:rPr>
          <w:rFonts w:asciiTheme="minorHAnsi" w:hAnsiTheme="minorHAnsi"/>
          <w:b/>
          <w:i/>
        </w:rPr>
        <w:t>p. Polsce</w:t>
      </w:r>
      <w:r w:rsidR="003C4BCD" w:rsidRPr="00194E8E">
        <w:rPr>
          <w:rFonts w:asciiTheme="minorHAnsi" w:hAnsiTheme="minorHAnsi"/>
          <w:i/>
        </w:rPr>
        <w:t xml:space="preserve"> </w:t>
      </w:r>
      <w:r w:rsidR="003C4BCD" w:rsidRPr="00194E8E">
        <w:rPr>
          <w:rFonts w:asciiTheme="minorHAnsi" w:hAnsiTheme="minorHAnsi"/>
        </w:rPr>
        <w:t xml:space="preserve">(skarga nr </w:t>
      </w:r>
      <w:r w:rsidRPr="00194E8E">
        <w:rPr>
          <w:rFonts w:asciiTheme="minorHAnsi" w:hAnsiTheme="minorHAnsi"/>
        </w:rPr>
        <w:t>21823/12</w:t>
      </w:r>
      <w:r w:rsidR="003C4BCD" w:rsidRPr="00194E8E">
        <w:rPr>
          <w:rFonts w:asciiTheme="minorHAnsi" w:hAnsiTheme="minorHAnsi"/>
        </w:rPr>
        <w:t>)</w:t>
      </w:r>
      <w:r w:rsidRPr="00194E8E">
        <w:rPr>
          <w:rFonts w:asciiTheme="minorHAnsi" w:hAnsiTheme="minorHAnsi"/>
        </w:rPr>
        <w:t xml:space="preserve">, </w:t>
      </w:r>
      <w:r w:rsidRPr="00194E8E">
        <w:rPr>
          <w:rFonts w:asciiTheme="minorHAnsi" w:hAnsiTheme="minorHAnsi"/>
          <w:b/>
          <w:i/>
        </w:rPr>
        <w:t xml:space="preserve">Malec </w:t>
      </w:r>
      <w:r w:rsidR="003C4BCD" w:rsidRPr="00194E8E">
        <w:rPr>
          <w:rFonts w:asciiTheme="minorHAnsi" w:hAnsiTheme="minorHAnsi"/>
          <w:b/>
          <w:i/>
        </w:rPr>
        <w:t>p. Polsce</w:t>
      </w:r>
      <w:r w:rsidR="003C4BCD" w:rsidRPr="00194E8E">
        <w:rPr>
          <w:rFonts w:asciiTheme="minorHAnsi" w:hAnsiTheme="minorHAnsi"/>
          <w:i/>
        </w:rPr>
        <w:t xml:space="preserve"> </w:t>
      </w:r>
      <w:r w:rsidR="003C4BCD" w:rsidRPr="00194E8E">
        <w:rPr>
          <w:rFonts w:asciiTheme="minorHAnsi" w:hAnsiTheme="minorHAnsi"/>
        </w:rPr>
        <w:t xml:space="preserve">(skarga nr </w:t>
      </w:r>
      <w:r w:rsidRPr="00194E8E">
        <w:rPr>
          <w:rFonts w:asciiTheme="minorHAnsi" w:hAnsiTheme="minorHAnsi"/>
        </w:rPr>
        <w:t>28623/12</w:t>
      </w:r>
      <w:r w:rsidR="003C4BCD" w:rsidRPr="00194E8E">
        <w:rPr>
          <w:rFonts w:asciiTheme="minorHAnsi" w:hAnsiTheme="minorHAnsi"/>
        </w:rPr>
        <w:t>)</w:t>
      </w:r>
      <w:r w:rsidRPr="00194E8E">
        <w:rPr>
          <w:rFonts w:asciiTheme="minorHAnsi" w:hAnsiTheme="minorHAnsi"/>
        </w:rPr>
        <w:t xml:space="preserve">, </w:t>
      </w:r>
      <w:r w:rsidRPr="00194E8E">
        <w:rPr>
          <w:rFonts w:asciiTheme="minorHAnsi" w:hAnsiTheme="minorHAnsi"/>
          <w:b/>
          <w:i/>
        </w:rPr>
        <w:t xml:space="preserve">Brunner </w:t>
      </w:r>
      <w:r w:rsidR="003C4BCD" w:rsidRPr="00194E8E">
        <w:rPr>
          <w:rFonts w:asciiTheme="minorHAnsi" w:hAnsiTheme="minorHAnsi"/>
          <w:b/>
          <w:i/>
        </w:rPr>
        <w:t>p. Polsce</w:t>
      </w:r>
      <w:r w:rsidR="003C4BCD" w:rsidRPr="00194E8E">
        <w:rPr>
          <w:rFonts w:asciiTheme="minorHAnsi" w:hAnsiTheme="minorHAnsi"/>
          <w:i/>
        </w:rPr>
        <w:t xml:space="preserve"> </w:t>
      </w:r>
      <w:r w:rsidR="003C4BCD" w:rsidRPr="00194E8E">
        <w:rPr>
          <w:rFonts w:asciiTheme="minorHAnsi" w:hAnsiTheme="minorHAnsi"/>
        </w:rPr>
        <w:t>(skarga nr</w:t>
      </w:r>
      <w:r w:rsidRPr="00194E8E">
        <w:rPr>
          <w:rFonts w:asciiTheme="minorHAnsi" w:hAnsiTheme="minorHAnsi"/>
        </w:rPr>
        <w:t xml:space="preserve"> 71021/13</w:t>
      </w:r>
      <w:r w:rsidR="003C4BCD" w:rsidRPr="00194E8E">
        <w:rPr>
          <w:rFonts w:asciiTheme="minorHAnsi" w:hAnsiTheme="minorHAnsi"/>
        </w:rPr>
        <w:t xml:space="preserve">) </w:t>
      </w:r>
    </w:p>
    <w:p w:rsidR="00701953" w:rsidRDefault="00701953" w:rsidP="00CE1029">
      <w:pPr>
        <w:spacing w:before="120" w:after="120"/>
        <w:jc w:val="both"/>
        <w:rPr>
          <w:rFonts w:asciiTheme="minorHAnsi" w:hAnsiTheme="minorHAnsi"/>
          <w:color w:val="000000"/>
        </w:rPr>
      </w:pPr>
      <w:r>
        <w:rPr>
          <w:rFonts w:asciiTheme="minorHAnsi" w:hAnsiTheme="minorHAnsi"/>
          <w:color w:val="000000"/>
        </w:rPr>
        <w:t>N</w:t>
      </w:r>
      <w:r w:rsidR="003C4BCD" w:rsidRPr="00194E8E">
        <w:rPr>
          <w:rFonts w:asciiTheme="minorHAnsi" w:hAnsiTheme="minorHAnsi"/>
          <w:color w:val="000000"/>
        </w:rPr>
        <w:t xml:space="preserve">aruszenie art. 8 </w:t>
      </w:r>
      <w:r w:rsidR="00CD525E" w:rsidRPr="00194E8E">
        <w:rPr>
          <w:rFonts w:asciiTheme="minorHAnsi" w:hAnsiTheme="minorHAnsi"/>
          <w:color w:val="000000"/>
        </w:rPr>
        <w:t>Konwencji</w:t>
      </w:r>
      <w:r w:rsidR="003C4BCD" w:rsidRPr="00194E8E">
        <w:rPr>
          <w:rFonts w:asciiTheme="minorHAnsi" w:hAnsiTheme="minorHAnsi"/>
          <w:color w:val="000000"/>
        </w:rPr>
        <w:t xml:space="preserve"> z uwagi na </w:t>
      </w:r>
      <w:r w:rsidR="00CD525E" w:rsidRPr="00194E8E">
        <w:rPr>
          <w:rFonts w:asciiTheme="minorHAnsi" w:hAnsiTheme="minorHAnsi"/>
          <w:color w:val="000000"/>
        </w:rPr>
        <w:t>n</w:t>
      </w:r>
      <w:r w:rsidR="003C4BCD" w:rsidRPr="00194E8E">
        <w:rPr>
          <w:rFonts w:asciiTheme="minorHAnsi" w:hAnsiTheme="minorHAnsi"/>
          <w:color w:val="000000"/>
        </w:rPr>
        <w:t>iezapewnienie skutecznego wykonywania orzeczeń sądowych odnośnie do kontaktów skarżących z małoletnim dzieckiem</w:t>
      </w:r>
      <w:r>
        <w:rPr>
          <w:rFonts w:asciiTheme="minorHAnsi" w:hAnsiTheme="minorHAnsi"/>
          <w:color w:val="000000"/>
        </w:rPr>
        <w:t>.</w:t>
      </w:r>
      <w:r w:rsidR="003C4BCD" w:rsidRPr="00194E8E">
        <w:rPr>
          <w:rFonts w:asciiTheme="minorHAnsi" w:hAnsiTheme="minorHAnsi"/>
          <w:color w:val="000000"/>
        </w:rPr>
        <w:t xml:space="preserve"> W sprawie </w:t>
      </w:r>
      <w:r w:rsidR="00717621" w:rsidRPr="00194E8E">
        <w:rPr>
          <w:rFonts w:asciiTheme="minorHAnsi" w:hAnsiTheme="minorHAnsi"/>
          <w:i/>
          <w:color w:val="000000"/>
        </w:rPr>
        <w:t xml:space="preserve">Stasik </w:t>
      </w:r>
      <w:r w:rsidR="003C4BCD" w:rsidRPr="00194E8E">
        <w:rPr>
          <w:rFonts w:asciiTheme="minorHAnsi" w:hAnsiTheme="minorHAnsi"/>
          <w:i/>
          <w:color w:val="000000"/>
        </w:rPr>
        <w:t>p. Polsce</w:t>
      </w:r>
      <w:r w:rsidR="003C4BCD" w:rsidRPr="00194E8E">
        <w:rPr>
          <w:rFonts w:asciiTheme="minorHAnsi" w:hAnsiTheme="minorHAnsi"/>
          <w:color w:val="000000"/>
        </w:rPr>
        <w:t xml:space="preserve"> </w:t>
      </w:r>
      <w:r w:rsidR="0035339C">
        <w:rPr>
          <w:rFonts w:asciiTheme="minorHAnsi" w:hAnsiTheme="minorHAnsi"/>
          <w:color w:val="000000"/>
        </w:rPr>
        <w:t>ETPC</w:t>
      </w:r>
      <w:r w:rsidR="00F21973" w:rsidRPr="00194E8E">
        <w:rPr>
          <w:rFonts w:asciiTheme="minorHAnsi" w:hAnsiTheme="minorHAnsi"/>
          <w:color w:val="000000"/>
        </w:rPr>
        <w:t xml:space="preserve"> dodatkowo stwierdził naruszenie art. 6 ust. 1 Konwencji z uwagi na przewlekłość postępowania rozwodowego</w:t>
      </w:r>
      <w:r w:rsidR="00717621" w:rsidRPr="00194E8E">
        <w:rPr>
          <w:rFonts w:asciiTheme="minorHAnsi" w:hAnsiTheme="minorHAnsi"/>
          <w:color w:val="000000"/>
        </w:rPr>
        <w:t xml:space="preserve">. </w:t>
      </w:r>
    </w:p>
    <w:p w:rsidR="00717621" w:rsidRPr="00701953" w:rsidRDefault="00717621" w:rsidP="00CE1029">
      <w:pPr>
        <w:spacing w:before="120" w:after="120"/>
        <w:jc w:val="both"/>
        <w:rPr>
          <w:rFonts w:asciiTheme="minorHAnsi" w:hAnsiTheme="minorHAnsi"/>
          <w:i/>
          <w:color w:val="000000"/>
        </w:rPr>
      </w:pPr>
      <w:r w:rsidRPr="00701953">
        <w:rPr>
          <w:rFonts w:asciiTheme="minorHAnsi" w:hAnsiTheme="minorHAnsi"/>
          <w:i/>
          <w:color w:val="000000"/>
        </w:rPr>
        <w:t xml:space="preserve">Rząd przesłał do RE </w:t>
      </w:r>
      <w:r w:rsidR="0035339C" w:rsidRPr="00CE1029">
        <w:rPr>
          <w:rFonts w:asciiTheme="minorHAnsi" w:hAnsiTheme="minorHAnsi"/>
          <w:i/>
          <w:color w:val="000000"/>
        </w:rPr>
        <w:t xml:space="preserve">zaktualizowany </w:t>
      </w:r>
      <w:r w:rsidR="00701953" w:rsidRPr="00701953">
        <w:rPr>
          <w:rFonts w:asciiTheme="minorHAnsi" w:hAnsiTheme="minorHAnsi"/>
          <w:i/>
          <w:color w:val="000000"/>
        </w:rPr>
        <w:t>raport z wykonania wyroków w dniu 29 listopada 2021 r.</w:t>
      </w:r>
    </w:p>
    <w:p w:rsidR="00701953" w:rsidRPr="00701953" w:rsidRDefault="003C4BCD" w:rsidP="0035339C">
      <w:pPr>
        <w:numPr>
          <w:ilvl w:val="0"/>
          <w:numId w:val="3"/>
        </w:numPr>
        <w:spacing w:before="240" w:after="120"/>
        <w:ind w:left="709" w:hanging="425"/>
        <w:jc w:val="both"/>
        <w:rPr>
          <w:rFonts w:asciiTheme="minorHAnsi" w:hAnsiTheme="minorHAnsi"/>
          <w:color w:val="000000"/>
        </w:rPr>
      </w:pPr>
      <w:r w:rsidRPr="00194E8E">
        <w:rPr>
          <w:rFonts w:asciiTheme="minorHAnsi" w:eastAsia="Calibri" w:hAnsiTheme="minorHAnsi"/>
          <w:b/>
          <w:i/>
          <w:lang w:eastAsia="en-US"/>
        </w:rPr>
        <w:t xml:space="preserve">M.K. i inni p. Polsce </w:t>
      </w:r>
      <w:r w:rsidRPr="00194E8E">
        <w:rPr>
          <w:rFonts w:asciiTheme="minorHAnsi" w:eastAsia="Calibri" w:hAnsiTheme="minorHAnsi"/>
          <w:lang w:eastAsia="en-US"/>
        </w:rPr>
        <w:t>(skargi</w:t>
      </w:r>
      <w:r w:rsidR="00717621" w:rsidRPr="00194E8E">
        <w:rPr>
          <w:rFonts w:asciiTheme="minorHAnsi" w:eastAsia="Calibri" w:hAnsiTheme="minorHAnsi"/>
          <w:lang w:eastAsia="en-US"/>
        </w:rPr>
        <w:t xml:space="preserve"> nr </w:t>
      </w:r>
      <w:r w:rsidRPr="00194E8E">
        <w:rPr>
          <w:rFonts w:asciiTheme="minorHAnsi" w:hAnsiTheme="minorHAnsi"/>
        </w:rPr>
        <w:t>40503/17, 42902/17 i 43643/17</w:t>
      </w:r>
      <w:r w:rsidR="00717621" w:rsidRPr="00194E8E">
        <w:rPr>
          <w:rFonts w:asciiTheme="minorHAnsi" w:eastAsia="Calibri" w:hAnsiTheme="minorHAnsi"/>
          <w:lang w:eastAsia="en-US"/>
        </w:rPr>
        <w:t>)</w:t>
      </w:r>
      <w:r w:rsidR="00717621" w:rsidRPr="00194E8E">
        <w:rPr>
          <w:rFonts w:asciiTheme="minorHAnsi" w:eastAsia="Calibri" w:hAnsiTheme="minorHAnsi"/>
          <w:b/>
          <w:i/>
          <w:lang w:eastAsia="en-US"/>
        </w:rPr>
        <w:t xml:space="preserve"> </w:t>
      </w:r>
    </w:p>
    <w:p w:rsidR="0035339C" w:rsidRDefault="0035339C" w:rsidP="0035339C">
      <w:pPr>
        <w:spacing w:before="120" w:after="120"/>
        <w:jc w:val="both"/>
        <w:rPr>
          <w:rFonts w:asciiTheme="minorHAnsi" w:hAnsiTheme="minorHAnsi"/>
          <w:color w:val="000000"/>
        </w:rPr>
      </w:pPr>
      <w:r>
        <w:rPr>
          <w:rFonts w:asciiTheme="minorHAnsi" w:hAnsiTheme="minorHAnsi"/>
          <w:color w:val="000000"/>
        </w:rPr>
        <w:t>Naruszenie</w:t>
      </w:r>
      <w:r w:rsidRPr="00194E8E">
        <w:rPr>
          <w:rFonts w:asciiTheme="minorHAnsi" w:hAnsiTheme="minorHAnsi"/>
          <w:color w:val="000000"/>
        </w:rPr>
        <w:t xml:space="preserve"> art. 3 Konwencji z uwagi na odmowę dostępu do procedury ubiegania się o ochronę międzynarodową i narażenie na ryzyko nieludzkiego, poniżającego traktowania i tortur w Czeczeni, art. 4 </w:t>
      </w:r>
      <w:r>
        <w:rPr>
          <w:rFonts w:asciiTheme="minorHAnsi" w:hAnsiTheme="minorHAnsi"/>
          <w:color w:val="000000"/>
        </w:rPr>
        <w:t>P</w:t>
      </w:r>
      <w:r w:rsidRPr="00194E8E">
        <w:rPr>
          <w:rFonts w:asciiTheme="minorHAnsi" w:hAnsiTheme="minorHAnsi"/>
          <w:color w:val="000000"/>
        </w:rPr>
        <w:t xml:space="preserve">rotokołu </w:t>
      </w:r>
      <w:r>
        <w:rPr>
          <w:rFonts w:asciiTheme="minorHAnsi" w:hAnsiTheme="minorHAnsi"/>
          <w:color w:val="000000"/>
        </w:rPr>
        <w:t xml:space="preserve">nr </w:t>
      </w:r>
      <w:r w:rsidRPr="00194E8E">
        <w:rPr>
          <w:rFonts w:asciiTheme="minorHAnsi" w:hAnsiTheme="minorHAnsi"/>
          <w:color w:val="000000"/>
        </w:rPr>
        <w:t xml:space="preserve">4 </w:t>
      </w:r>
      <w:r>
        <w:rPr>
          <w:rFonts w:asciiTheme="minorHAnsi" w:hAnsiTheme="minorHAnsi"/>
          <w:color w:val="000000"/>
        </w:rPr>
        <w:t xml:space="preserve">do </w:t>
      </w:r>
      <w:r w:rsidRPr="00194E8E">
        <w:rPr>
          <w:rFonts w:asciiTheme="minorHAnsi" w:hAnsiTheme="minorHAnsi"/>
          <w:color w:val="000000"/>
        </w:rPr>
        <w:t xml:space="preserve">Konwencji z uwagi na zbiorowe wydalenie cudzoziemców, art. 13 Konwencji z uwagi na brak skutecznego środka odwoławczego oraz art. 34 Konwencji z uwagi na niezastosowanie się przez Rząd do środków tymczasowych wskazanych przez </w:t>
      </w:r>
      <w:r>
        <w:rPr>
          <w:rFonts w:asciiTheme="minorHAnsi" w:hAnsiTheme="minorHAnsi"/>
          <w:color w:val="000000"/>
        </w:rPr>
        <w:t>ETPC</w:t>
      </w:r>
      <w:r w:rsidRPr="00194E8E">
        <w:rPr>
          <w:rFonts w:asciiTheme="minorHAnsi" w:hAnsiTheme="minorHAnsi"/>
          <w:color w:val="000000"/>
        </w:rPr>
        <w:t xml:space="preserve"> (</w:t>
      </w:r>
      <w:r>
        <w:rPr>
          <w:rFonts w:asciiTheme="minorHAnsi" w:hAnsiTheme="minorHAnsi"/>
          <w:color w:val="000000"/>
        </w:rPr>
        <w:t>art.</w:t>
      </w:r>
      <w:r w:rsidRPr="00194E8E">
        <w:rPr>
          <w:rFonts w:asciiTheme="minorHAnsi" w:hAnsiTheme="minorHAnsi"/>
          <w:color w:val="000000"/>
        </w:rPr>
        <w:t xml:space="preserve"> 39 Regulaminu </w:t>
      </w:r>
      <w:r>
        <w:rPr>
          <w:rFonts w:asciiTheme="minorHAnsi" w:hAnsiTheme="minorHAnsi"/>
          <w:color w:val="000000"/>
        </w:rPr>
        <w:t>ETPC</w:t>
      </w:r>
      <w:r w:rsidRPr="00194E8E">
        <w:rPr>
          <w:rFonts w:asciiTheme="minorHAnsi" w:hAnsiTheme="minorHAnsi"/>
          <w:color w:val="000000"/>
        </w:rPr>
        <w:t xml:space="preserve">). </w:t>
      </w:r>
    </w:p>
    <w:p w:rsidR="00717621" w:rsidRPr="00701953" w:rsidRDefault="00717621" w:rsidP="00701953">
      <w:pPr>
        <w:spacing w:before="120" w:after="120"/>
        <w:jc w:val="both"/>
        <w:rPr>
          <w:rFonts w:asciiTheme="minorHAnsi" w:hAnsiTheme="minorHAnsi"/>
          <w:i/>
          <w:color w:val="000000"/>
        </w:rPr>
      </w:pPr>
      <w:r w:rsidRPr="00701953">
        <w:rPr>
          <w:rFonts w:asciiTheme="minorHAnsi" w:hAnsiTheme="minorHAnsi"/>
          <w:i/>
          <w:color w:val="000000"/>
        </w:rPr>
        <w:t>Rząd przesłał do RE plan działań maj</w:t>
      </w:r>
      <w:r w:rsidR="00701953" w:rsidRPr="00701953">
        <w:rPr>
          <w:rFonts w:asciiTheme="minorHAnsi" w:hAnsiTheme="minorHAnsi"/>
          <w:i/>
          <w:color w:val="000000"/>
        </w:rPr>
        <w:t>ących na celu wykonanie wyroku w dniu 8 grudnia 2021</w:t>
      </w:r>
      <w:r w:rsidR="00701953" w:rsidRPr="00CE1029">
        <w:rPr>
          <w:rFonts w:asciiTheme="minorHAnsi" w:hAnsiTheme="minorHAnsi"/>
          <w:i/>
          <w:color w:val="000000"/>
        </w:rPr>
        <w:t> </w:t>
      </w:r>
      <w:r w:rsidR="00701953" w:rsidRPr="00701953">
        <w:rPr>
          <w:rFonts w:asciiTheme="minorHAnsi" w:hAnsiTheme="minorHAnsi"/>
          <w:i/>
          <w:color w:val="000000"/>
        </w:rPr>
        <w:t>r.</w:t>
      </w:r>
    </w:p>
    <w:p w:rsidR="00701953" w:rsidRPr="00701953" w:rsidRDefault="00717621" w:rsidP="0035339C">
      <w:pPr>
        <w:numPr>
          <w:ilvl w:val="0"/>
          <w:numId w:val="3"/>
        </w:numPr>
        <w:spacing w:before="240" w:after="120"/>
        <w:ind w:left="709" w:hanging="425"/>
        <w:jc w:val="both"/>
        <w:rPr>
          <w:rFonts w:asciiTheme="minorHAnsi" w:eastAsia="Calibri" w:hAnsiTheme="minorHAnsi"/>
          <w:b/>
          <w:u w:val="single"/>
          <w:lang w:eastAsia="en-US"/>
        </w:rPr>
      </w:pPr>
      <w:r w:rsidRPr="00194E8E">
        <w:rPr>
          <w:rFonts w:asciiTheme="minorHAnsi" w:hAnsiTheme="minorHAnsi"/>
          <w:b/>
          <w:bCs/>
          <w:i/>
          <w:color w:val="000000"/>
        </w:rPr>
        <w:lastRenderedPageBreak/>
        <w:t>Kamińska i inni p. Polsce</w:t>
      </w:r>
      <w:r w:rsidRPr="00194E8E">
        <w:rPr>
          <w:rFonts w:asciiTheme="minorHAnsi" w:hAnsiTheme="minorHAnsi"/>
          <w:b/>
          <w:bCs/>
          <w:color w:val="000000"/>
        </w:rPr>
        <w:t xml:space="preserve"> </w:t>
      </w:r>
      <w:r w:rsidRPr="00194E8E">
        <w:rPr>
          <w:rFonts w:asciiTheme="minorHAnsi" w:hAnsiTheme="minorHAnsi"/>
          <w:color w:val="000000"/>
        </w:rPr>
        <w:t xml:space="preserve">(skarga nr 4006/17) </w:t>
      </w:r>
    </w:p>
    <w:p w:rsidR="0035339C" w:rsidRDefault="00FF5333" w:rsidP="0035339C">
      <w:pPr>
        <w:spacing w:before="120" w:after="120"/>
        <w:jc w:val="both"/>
        <w:rPr>
          <w:rFonts w:asciiTheme="minorHAnsi" w:hAnsiTheme="minorHAnsi"/>
          <w:color w:val="000000"/>
        </w:rPr>
      </w:pPr>
      <w:r>
        <w:rPr>
          <w:rFonts w:asciiTheme="minorHAnsi" w:hAnsiTheme="minorHAnsi"/>
          <w:color w:val="000000"/>
        </w:rPr>
        <w:t>N</w:t>
      </w:r>
      <w:r w:rsidRPr="00D55B04">
        <w:rPr>
          <w:rFonts w:asciiTheme="minorHAnsi" w:hAnsiTheme="minorHAnsi"/>
          <w:color w:val="000000"/>
        </w:rPr>
        <w:t>aruszenie art. 2 Konwencji w aspekcie pr</w:t>
      </w:r>
      <w:r>
        <w:rPr>
          <w:rFonts w:asciiTheme="minorHAnsi" w:hAnsiTheme="minorHAnsi"/>
          <w:color w:val="000000"/>
        </w:rPr>
        <w:t>oceduralnym z uwagi na p</w:t>
      </w:r>
      <w:r w:rsidRPr="00FF5333">
        <w:rPr>
          <w:rFonts w:asciiTheme="minorHAnsi" w:hAnsiTheme="minorHAnsi"/>
          <w:color w:val="000000"/>
        </w:rPr>
        <w:t>rzewlekłe postępowanie cywilne, trwające od 2009 do 2016 roku, dotyczące rzekomego braku opieki zdrowotnej w areszcie, skutkującego śmiercią partnera i ojca skarżących</w:t>
      </w:r>
      <w:r>
        <w:rPr>
          <w:rFonts w:asciiTheme="minorHAnsi" w:hAnsiTheme="minorHAnsi"/>
          <w:color w:val="000000"/>
        </w:rPr>
        <w:t xml:space="preserve">; brak </w:t>
      </w:r>
      <w:r w:rsidRPr="00D55B04">
        <w:rPr>
          <w:rFonts w:asciiTheme="minorHAnsi" w:hAnsiTheme="minorHAnsi"/>
          <w:color w:val="000000"/>
        </w:rPr>
        <w:t>naruszenia art. 2 Konwencji w aspekcie materialnym (zapewnienie właściwej opieki medycznej w warunkach osadzenia).</w:t>
      </w:r>
    </w:p>
    <w:p w:rsidR="00717621" w:rsidRPr="00701953" w:rsidRDefault="00717621" w:rsidP="00701953">
      <w:pPr>
        <w:spacing w:before="120" w:after="120"/>
        <w:jc w:val="both"/>
        <w:rPr>
          <w:rFonts w:asciiTheme="minorHAnsi" w:eastAsia="Calibri" w:hAnsiTheme="minorHAnsi"/>
          <w:b/>
          <w:i/>
          <w:u w:val="single"/>
          <w:lang w:eastAsia="en-US"/>
        </w:rPr>
      </w:pPr>
      <w:r w:rsidRPr="00701953">
        <w:rPr>
          <w:rFonts w:asciiTheme="minorHAnsi" w:hAnsiTheme="minorHAnsi"/>
          <w:i/>
          <w:color w:val="000000"/>
        </w:rPr>
        <w:t>Rząd przesłał do RE zaktualiz</w:t>
      </w:r>
      <w:r w:rsidR="00701953" w:rsidRPr="00701953">
        <w:rPr>
          <w:rFonts w:asciiTheme="minorHAnsi" w:hAnsiTheme="minorHAnsi"/>
          <w:i/>
          <w:color w:val="000000"/>
        </w:rPr>
        <w:t>owany raport z wykonania wyroku w dniu 10 grudnia 2021 r.</w:t>
      </w:r>
    </w:p>
    <w:p w:rsidR="00701953" w:rsidRPr="00701953" w:rsidRDefault="00717621" w:rsidP="0035339C">
      <w:pPr>
        <w:numPr>
          <w:ilvl w:val="0"/>
          <w:numId w:val="3"/>
        </w:numPr>
        <w:spacing w:before="240" w:after="120"/>
        <w:ind w:left="709" w:hanging="425"/>
        <w:jc w:val="both"/>
        <w:rPr>
          <w:rFonts w:asciiTheme="minorHAnsi" w:eastAsia="Calibri" w:hAnsiTheme="minorHAnsi"/>
          <w:b/>
          <w:u w:val="single"/>
          <w:lang w:eastAsia="en-US"/>
        </w:rPr>
      </w:pPr>
      <w:r w:rsidRPr="00194E8E">
        <w:rPr>
          <w:rFonts w:asciiTheme="minorHAnsi" w:hAnsiTheme="minorHAnsi"/>
          <w:b/>
          <w:i/>
          <w:color w:val="000000"/>
        </w:rPr>
        <w:t>Doroż p. Polsce</w:t>
      </w:r>
      <w:r w:rsidRPr="00194E8E">
        <w:rPr>
          <w:rFonts w:asciiTheme="minorHAnsi" w:hAnsiTheme="minorHAnsi"/>
          <w:color w:val="000000"/>
        </w:rPr>
        <w:t xml:space="preserve"> (skarga nr 71205/11)</w:t>
      </w:r>
      <w:r w:rsidR="00F21973" w:rsidRPr="00194E8E">
        <w:rPr>
          <w:rFonts w:asciiTheme="minorHAnsi" w:hAnsiTheme="minorHAnsi"/>
          <w:color w:val="000000"/>
        </w:rPr>
        <w:t xml:space="preserve"> </w:t>
      </w:r>
    </w:p>
    <w:p w:rsidR="0035339C" w:rsidRDefault="0035339C" w:rsidP="0035339C">
      <w:pPr>
        <w:spacing w:before="120" w:after="120"/>
        <w:jc w:val="both"/>
        <w:rPr>
          <w:rFonts w:asciiTheme="minorHAnsi" w:hAnsiTheme="minorHAnsi"/>
          <w:color w:val="000000"/>
        </w:rPr>
      </w:pPr>
      <w:r>
        <w:rPr>
          <w:rFonts w:asciiTheme="minorHAnsi" w:hAnsiTheme="minorHAnsi"/>
          <w:color w:val="000000"/>
        </w:rPr>
        <w:t>N</w:t>
      </w:r>
      <w:r w:rsidRPr="00194E8E">
        <w:rPr>
          <w:rFonts w:asciiTheme="minorHAnsi" w:hAnsiTheme="minorHAnsi"/>
          <w:color w:val="000000"/>
        </w:rPr>
        <w:t xml:space="preserve">aruszenie art. 8 Konwencji z uwagi na przeszukanie domu skarżącego w poszukiwaniu dowodów wykroczenia polegającego na nielegalnym rozmieszczaniu ogłoszeń </w:t>
      </w:r>
      <w:r>
        <w:rPr>
          <w:rFonts w:asciiTheme="minorHAnsi" w:hAnsiTheme="minorHAnsi"/>
          <w:color w:val="000000"/>
        </w:rPr>
        <w:t>–</w:t>
      </w:r>
      <w:r w:rsidRPr="00194E8E">
        <w:rPr>
          <w:rFonts w:asciiTheme="minorHAnsi" w:hAnsiTheme="minorHAnsi"/>
          <w:color w:val="000000"/>
        </w:rPr>
        <w:t xml:space="preserve"> ingerencja</w:t>
      </w:r>
      <w:r>
        <w:rPr>
          <w:rFonts w:asciiTheme="minorHAnsi" w:hAnsiTheme="minorHAnsi"/>
          <w:color w:val="000000"/>
        </w:rPr>
        <w:t xml:space="preserve"> </w:t>
      </w:r>
      <w:r w:rsidRPr="00194E8E">
        <w:rPr>
          <w:rFonts w:asciiTheme="minorHAnsi" w:hAnsiTheme="minorHAnsi"/>
          <w:color w:val="000000"/>
        </w:rPr>
        <w:t xml:space="preserve">uznana za nieproporcjonalną. </w:t>
      </w:r>
    </w:p>
    <w:p w:rsidR="00717621" w:rsidRPr="00701953" w:rsidRDefault="00717621" w:rsidP="00701953">
      <w:pPr>
        <w:spacing w:before="120" w:after="120"/>
        <w:jc w:val="both"/>
        <w:rPr>
          <w:rFonts w:asciiTheme="minorHAnsi" w:eastAsia="Calibri" w:hAnsiTheme="minorHAnsi"/>
          <w:b/>
          <w:i/>
          <w:u w:val="single"/>
          <w:lang w:eastAsia="en-US"/>
        </w:rPr>
      </w:pPr>
      <w:r w:rsidRPr="00701953">
        <w:rPr>
          <w:rFonts w:asciiTheme="minorHAnsi" w:hAnsiTheme="minorHAnsi"/>
          <w:i/>
          <w:color w:val="000000"/>
        </w:rPr>
        <w:t>Rząd przesłał do RE zaktualizo</w:t>
      </w:r>
      <w:r w:rsidR="00701953" w:rsidRPr="00701953">
        <w:rPr>
          <w:rFonts w:asciiTheme="minorHAnsi" w:hAnsiTheme="minorHAnsi"/>
          <w:i/>
          <w:color w:val="000000"/>
        </w:rPr>
        <w:t>wany raport z wykonania wyroku w dniu 10 grudnia 2021 r.</w:t>
      </w:r>
    </w:p>
    <w:p w:rsidR="00701953" w:rsidRDefault="00717621" w:rsidP="0035339C">
      <w:pPr>
        <w:numPr>
          <w:ilvl w:val="0"/>
          <w:numId w:val="3"/>
        </w:numPr>
        <w:spacing w:before="240" w:after="120"/>
        <w:ind w:left="709" w:hanging="425"/>
        <w:jc w:val="both"/>
        <w:rPr>
          <w:rFonts w:asciiTheme="minorHAnsi" w:hAnsiTheme="minorHAnsi"/>
        </w:rPr>
      </w:pPr>
      <w:r w:rsidRPr="00194E8E">
        <w:rPr>
          <w:rFonts w:asciiTheme="minorHAnsi" w:hAnsiTheme="minorHAnsi"/>
          <w:b/>
          <w:i/>
          <w:color w:val="000000"/>
        </w:rPr>
        <w:t xml:space="preserve">D.A. i inni p. Polsce </w:t>
      </w:r>
      <w:r w:rsidRPr="00194E8E">
        <w:rPr>
          <w:rFonts w:asciiTheme="minorHAnsi" w:hAnsiTheme="minorHAnsi"/>
        </w:rPr>
        <w:t xml:space="preserve">(skarga nr </w:t>
      </w:r>
      <w:r w:rsidR="00FE7399" w:rsidRPr="00194E8E">
        <w:rPr>
          <w:rFonts w:asciiTheme="minorHAnsi" w:hAnsiTheme="minorHAnsi"/>
        </w:rPr>
        <w:t>51246/17</w:t>
      </w:r>
      <w:r w:rsidRPr="00194E8E">
        <w:rPr>
          <w:rFonts w:asciiTheme="minorHAnsi" w:hAnsiTheme="minorHAnsi"/>
        </w:rPr>
        <w:t xml:space="preserve">) </w:t>
      </w:r>
    </w:p>
    <w:p w:rsidR="00701953" w:rsidRDefault="00701953" w:rsidP="00701953">
      <w:pPr>
        <w:spacing w:before="120" w:after="120"/>
        <w:jc w:val="both"/>
        <w:rPr>
          <w:rFonts w:asciiTheme="minorHAnsi" w:hAnsiTheme="minorHAnsi"/>
        </w:rPr>
      </w:pPr>
      <w:r>
        <w:rPr>
          <w:rFonts w:asciiTheme="minorHAnsi" w:hAnsiTheme="minorHAnsi"/>
        </w:rPr>
        <w:t>N</w:t>
      </w:r>
      <w:r w:rsidR="00FE7399" w:rsidRPr="00194E8E">
        <w:rPr>
          <w:rFonts w:asciiTheme="minorHAnsi" w:hAnsiTheme="minorHAnsi"/>
        </w:rPr>
        <w:t>aruszenie art. 3 Konwencji z uwagi na wielokrotn</w:t>
      </w:r>
      <w:r w:rsidR="0035339C">
        <w:rPr>
          <w:rFonts w:asciiTheme="minorHAnsi" w:hAnsiTheme="minorHAnsi"/>
        </w:rPr>
        <w:t>ą odmowę</w:t>
      </w:r>
      <w:r w:rsidR="00FE7399" w:rsidRPr="00194E8E">
        <w:rPr>
          <w:rFonts w:asciiTheme="minorHAnsi" w:hAnsiTheme="minorHAnsi"/>
        </w:rPr>
        <w:t xml:space="preserve"> d</w:t>
      </w:r>
      <w:r>
        <w:rPr>
          <w:rFonts w:asciiTheme="minorHAnsi" w:hAnsiTheme="minorHAnsi"/>
        </w:rPr>
        <w:t xml:space="preserve">ostępu do procedury azylowej na </w:t>
      </w:r>
      <w:r w:rsidR="00FE7399" w:rsidRPr="00194E8E">
        <w:rPr>
          <w:rFonts w:asciiTheme="minorHAnsi" w:hAnsiTheme="minorHAnsi"/>
        </w:rPr>
        <w:t>granicy polsko-białoruskiej, narażając</w:t>
      </w:r>
      <w:r w:rsidR="0035339C">
        <w:rPr>
          <w:rFonts w:asciiTheme="minorHAnsi" w:hAnsiTheme="minorHAnsi"/>
        </w:rPr>
        <w:t>ą</w:t>
      </w:r>
      <w:r w:rsidR="00FE7399" w:rsidRPr="00194E8E">
        <w:rPr>
          <w:rFonts w:asciiTheme="minorHAnsi" w:hAnsiTheme="minorHAnsi"/>
        </w:rPr>
        <w:t xml:space="preserve"> skarżących na ryzyko „odesłania łańcuchowego” (</w:t>
      </w:r>
      <w:r w:rsidR="00FE7399" w:rsidRPr="00194E8E">
        <w:rPr>
          <w:rFonts w:asciiTheme="minorHAnsi" w:hAnsiTheme="minorHAnsi"/>
          <w:i/>
        </w:rPr>
        <w:t>chain</w:t>
      </w:r>
      <w:r w:rsidR="00FE7399" w:rsidRPr="00194E8E">
        <w:rPr>
          <w:rFonts w:asciiTheme="minorHAnsi" w:hAnsiTheme="minorHAnsi"/>
          <w:i/>
        </w:rPr>
        <w:noBreakHyphen/>
        <w:t>refoulement</w:t>
      </w:r>
      <w:r w:rsidR="00FE7399" w:rsidRPr="00194E8E">
        <w:rPr>
          <w:rFonts w:asciiTheme="minorHAnsi" w:hAnsiTheme="minorHAnsi"/>
        </w:rPr>
        <w:t>) do Syrii</w:t>
      </w:r>
      <w:r w:rsidR="0035339C">
        <w:rPr>
          <w:rFonts w:asciiTheme="minorHAnsi" w:hAnsiTheme="minorHAnsi"/>
        </w:rPr>
        <w:t>,</w:t>
      </w:r>
      <w:r w:rsidR="00FE7399" w:rsidRPr="00194E8E">
        <w:rPr>
          <w:rFonts w:asciiTheme="minorHAnsi" w:hAnsiTheme="minorHAnsi"/>
        </w:rPr>
        <w:t xml:space="preserve"> oraz nieludzkie i poniżające traktowa</w:t>
      </w:r>
      <w:r w:rsidR="0035339C">
        <w:rPr>
          <w:rFonts w:asciiTheme="minorHAnsi" w:hAnsiTheme="minorHAnsi"/>
        </w:rPr>
        <w:t xml:space="preserve">nie i tortury; </w:t>
      </w:r>
      <w:r>
        <w:rPr>
          <w:rFonts w:asciiTheme="minorHAnsi" w:hAnsiTheme="minorHAnsi"/>
        </w:rPr>
        <w:t xml:space="preserve">naruszenie art. </w:t>
      </w:r>
      <w:r w:rsidR="00FE7399" w:rsidRPr="00194E8E">
        <w:rPr>
          <w:rFonts w:asciiTheme="minorHAnsi" w:hAnsiTheme="minorHAnsi"/>
        </w:rPr>
        <w:t xml:space="preserve">4 Protokołu </w:t>
      </w:r>
      <w:r w:rsidR="0035339C">
        <w:rPr>
          <w:rFonts w:asciiTheme="minorHAnsi" w:hAnsiTheme="minorHAnsi"/>
        </w:rPr>
        <w:t xml:space="preserve">nr </w:t>
      </w:r>
      <w:r w:rsidR="00FE7399" w:rsidRPr="00194E8E">
        <w:rPr>
          <w:rFonts w:asciiTheme="minorHAnsi" w:hAnsiTheme="minorHAnsi"/>
        </w:rPr>
        <w:t xml:space="preserve">4 do Konwencji z uwagi na </w:t>
      </w:r>
      <w:r>
        <w:rPr>
          <w:rFonts w:asciiTheme="minorHAnsi" w:hAnsiTheme="minorHAnsi"/>
        </w:rPr>
        <w:t xml:space="preserve">zarzut </w:t>
      </w:r>
      <w:r w:rsidR="00FE7399" w:rsidRPr="00194E8E">
        <w:rPr>
          <w:rFonts w:asciiTheme="minorHAnsi" w:hAnsiTheme="minorHAnsi"/>
        </w:rPr>
        <w:t>zbiorowe</w:t>
      </w:r>
      <w:r>
        <w:rPr>
          <w:rFonts w:asciiTheme="minorHAnsi" w:hAnsiTheme="minorHAnsi"/>
        </w:rPr>
        <w:t>go</w:t>
      </w:r>
      <w:r w:rsidR="00FE7399" w:rsidRPr="00194E8E">
        <w:rPr>
          <w:rFonts w:asciiTheme="minorHAnsi" w:hAnsiTheme="minorHAnsi"/>
        </w:rPr>
        <w:t xml:space="preserve"> wydalani</w:t>
      </w:r>
      <w:r>
        <w:rPr>
          <w:rFonts w:asciiTheme="minorHAnsi" w:hAnsiTheme="minorHAnsi"/>
        </w:rPr>
        <w:t>a</w:t>
      </w:r>
      <w:r w:rsidR="00FE7399" w:rsidRPr="00194E8E">
        <w:rPr>
          <w:rFonts w:asciiTheme="minorHAnsi" w:hAnsiTheme="minorHAnsi"/>
        </w:rPr>
        <w:t xml:space="preserve"> cudzoziemców poprzez szerzej zakrojoną politykę odmowy wjazdu, z pominięciem zamiaru ubiegania się przez skarżących o ochronę międzynarodową</w:t>
      </w:r>
      <w:r w:rsidR="0035339C">
        <w:rPr>
          <w:rFonts w:asciiTheme="minorHAnsi" w:hAnsiTheme="minorHAnsi"/>
        </w:rPr>
        <w:t>;</w:t>
      </w:r>
      <w:r w:rsidR="00FE7399" w:rsidRPr="00194E8E">
        <w:rPr>
          <w:rFonts w:asciiTheme="minorHAnsi" w:hAnsiTheme="minorHAnsi"/>
        </w:rPr>
        <w:t xml:space="preserve"> naruszenie art. 13 w związku z</w:t>
      </w:r>
      <w:r>
        <w:rPr>
          <w:rFonts w:asciiTheme="minorHAnsi" w:hAnsiTheme="minorHAnsi"/>
        </w:rPr>
        <w:t xml:space="preserve"> </w:t>
      </w:r>
      <w:r w:rsidR="00FE7399" w:rsidRPr="00194E8E">
        <w:rPr>
          <w:rFonts w:asciiTheme="minorHAnsi" w:hAnsiTheme="minorHAnsi"/>
        </w:rPr>
        <w:t>art.</w:t>
      </w:r>
      <w:r>
        <w:rPr>
          <w:rFonts w:asciiTheme="minorHAnsi" w:hAnsiTheme="minorHAnsi"/>
        </w:rPr>
        <w:t xml:space="preserve"> </w:t>
      </w:r>
      <w:r w:rsidR="00FE7399" w:rsidRPr="00194E8E">
        <w:rPr>
          <w:rFonts w:asciiTheme="minorHAnsi" w:hAnsiTheme="minorHAnsi"/>
        </w:rPr>
        <w:t>3 Konwencji i art. 4 Protokołu nr 4 do Konwencji z uwagi na brak skutecznego środka odwoławczego umożliwiającego złożenie skargi do władz krajowych</w:t>
      </w:r>
      <w:r w:rsidR="0035339C">
        <w:rPr>
          <w:rFonts w:asciiTheme="minorHAnsi" w:hAnsiTheme="minorHAnsi"/>
        </w:rPr>
        <w:t>;</w:t>
      </w:r>
      <w:r w:rsidR="00FE7399" w:rsidRPr="00194E8E">
        <w:rPr>
          <w:rFonts w:asciiTheme="minorHAnsi" w:hAnsiTheme="minorHAnsi"/>
        </w:rPr>
        <w:t xml:space="preserve"> naruszenie art. 34 Konwencji z uwagi na utrudnianie wykonywania prawa do skargi i nieprzestrzeganie środka tymczasowego na podstawie </w:t>
      </w:r>
      <w:r w:rsidR="0035339C">
        <w:rPr>
          <w:rFonts w:asciiTheme="minorHAnsi" w:hAnsiTheme="minorHAnsi"/>
        </w:rPr>
        <w:t>art.</w:t>
      </w:r>
      <w:r w:rsidR="00FE7399" w:rsidRPr="00194E8E">
        <w:rPr>
          <w:rFonts w:asciiTheme="minorHAnsi" w:hAnsiTheme="minorHAnsi"/>
        </w:rPr>
        <w:t xml:space="preserve"> 39 Regulaminu </w:t>
      </w:r>
      <w:r w:rsidR="0035339C">
        <w:rPr>
          <w:rFonts w:asciiTheme="minorHAnsi" w:hAnsiTheme="minorHAnsi"/>
        </w:rPr>
        <w:t>ETPC.</w:t>
      </w:r>
    </w:p>
    <w:p w:rsidR="00717621" w:rsidRPr="00701953" w:rsidRDefault="00717621" w:rsidP="00701953">
      <w:pPr>
        <w:spacing w:before="120" w:after="120"/>
        <w:jc w:val="both"/>
        <w:rPr>
          <w:rFonts w:asciiTheme="minorHAnsi" w:hAnsiTheme="minorHAnsi"/>
          <w:i/>
        </w:rPr>
      </w:pPr>
      <w:r w:rsidRPr="00701953">
        <w:rPr>
          <w:rFonts w:asciiTheme="minorHAnsi" w:hAnsiTheme="minorHAnsi"/>
          <w:i/>
        </w:rPr>
        <w:t>Rząd przesłał do RE informację o re</w:t>
      </w:r>
      <w:r w:rsidR="00701953" w:rsidRPr="00701953">
        <w:rPr>
          <w:rFonts w:asciiTheme="minorHAnsi" w:hAnsiTheme="minorHAnsi"/>
          <w:i/>
        </w:rPr>
        <w:t>alizacji środków indywidualnych w dniu 22 grudnia 2021 r.</w:t>
      </w:r>
    </w:p>
    <w:p w:rsidR="00701953" w:rsidRPr="00701953" w:rsidRDefault="001D4EB7" w:rsidP="0035339C">
      <w:pPr>
        <w:numPr>
          <w:ilvl w:val="0"/>
          <w:numId w:val="3"/>
        </w:numPr>
        <w:spacing w:before="240" w:after="120"/>
        <w:ind w:left="709" w:hanging="425"/>
        <w:jc w:val="both"/>
        <w:rPr>
          <w:rFonts w:asciiTheme="minorHAnsi" w:eastAsia="Calibri" w:hAnsiTheme="minorHAnsi"/>
          <w:b/>
          <w:u w:val="single"/>
          <w:lang w:eastAsia="en-US"/>
        </w:rPr>
      </w:pPr>
      <w:r w:rsidRPr="00194E8E">
        <w:rPr>
          <w:rFonts w:asciiTheme="minorHAnsi" w:eastAsia="Calibri" w:hAnsiTheme="minorHAnsi"/>
          <w:b/>
          <w:i/>
          <w:lang w:eastAsia="en-US"/>
        </w:rPr>
        <w:t xml:space="preserve">Kacper Nowakowski p. Polsce </w:t>
      </w:r>
      <w:r w:rsidRPr="00194E8E">
        <w:rPr>
          <w:rFonts w:asciiTheme="minorHAnsi" w:eastAsia="Calibri" w:hAnsiTheme="minorHAnsi"/>
          <w:lang w:eastAsia="en-US"/>
        </w:rPr>
        <w:t xml:space="preserve">(skarga nr </w:t>
      </w:r>
      <w:r w:rsidRPr="00194E8E">
        <w:rPr>
          <w:rFonts w:asciiTheme="minorHAnsi" w:hAnsiTheme="minorHAnsi"/>
        </w:rPr>
        <w:t>58683/08)</w:t>
      </w:r>
      <w:r w:rsidRPr="00194E8E">
        <w:rPr>
          <w:rFonts w:asciiTheme="minorHAnsi" w:eastAsia="Calibri" w:hAnsiTheme="minorHAnsi"/>
          <w:lang w:eastAsia="en-US"/>
        </w:rPr>
        <w:t xml:space="preserve"> </w:t>
      </w:r>
    </w:p>
    <w:p w:rsidR="00701953" w:rsidRDefault="00701953" w:rsidP="00701953">
      <w:pPr>
        <w:spacing w:before="120" w:after="120"/>
        <w:jc w:val="both"/>
        <w:rPr>
          <w:rFonts w:asciiTheme="minorHAnsi" w:hAnsiTheme="minorHAnsi"/>
        </w:rPr>
      </w:pPr>
      <w:r>
        <w:rPr>
          <w:rFonts w:asciiTheme="minorHAnsi" w:eastAsia="Calibri" w:hAnsiTheme="minorHAnsi"/>
          <w:lang w:eastAsia="en-US"/>
        </w:rPr>
        <w:t>N</w:t>
      </w:r>
      <w:r w:rsidR="001D4EB7" w:rsidRPr="00194E8E">
        <w:rPr>
          <w:rFonts w:asciiTheme="minorHAnsi" w:eastAsia="Calibri" w:hAnsiTheme="minorHAnsi"/>
          <w:lang w:eastAsia="en-US"/>
        </w:rPr>
        <w:t xml:space="preserve">aruszenie </w:t>
      </w:r>
      <w:r w:rsidR="001D4EB7" w:rsidRPr="00194E8E">
        <w:rPr>
          <w:rFonts w:asciiTheme="minorHAnsi" w:hAnsiTheme="minorHAnsi"/>
        </w:rPr>
        <w:t xml:space="preserve">art. 8 Konwencji z powodu niedostatecznego rozważenia przez sądy krajowe możliwości rozszerzenia kontaktów </w:t>
      </w:r>
      <w:r w:rsidR="0035339C" w:rsidRPr="00194E8E">
        <w:rPr>
          <w:rFonts w:asciiTheme="minorHAnsi" w:hAnsiTheme="minorHAnsi"/>
        </w:rPr>
        <w:t>głuchoniem</w:t>
      </w:r>
      <w:r w:rsidR="0035339C">
        <w:rPr>
          <w:rFonts w:asciiTheme="minorHAnsi" w:hAnsiTheme="minorHAnsi"/>
        </w:rPr>
        <w:t>ego</w:t>
      </w:r>
      <w:r w:rsidR="0035339C" w:rsidRPr="00194E8E">
        <w:rPr>
          <w:rFonts w:asciiTheme="minorHAnsi" w:hAnsiTheme="minorHAnsi"/>
        </w:rPr>
        <w:t xml:space="preserve"> </w:t>
      </w:r>
      <w:r w:rsidR="001D4EB7" w:rsidRPr="00194E8E">
        <w:rPr>
          <w:rFonts w:asciiTheme="minorHAnsi" w:hAnsiTheme="minorHAnsi"/>
        </w:rPr>
        <w:t>skarżącego</w:t>
      </w:r>
      <w:r w:rsidR="0035339C">
        <w:rPr>
          <w:rFonts w:asciiTheme="minorHAnsi" w:hAnsiTheme="minorHAnsi"/>
        </w:rPr>
        <w:t xml:space="preserve"> </w:t>
      </w:r>
      <w:r w:rsidR="001D4EB7" w:rsidRPr="00194E8E">
        <w:rPr>
          <w:rFonts w:asciiTheme="minorHAnsi" w:hAnsiTheme="minorHAnsi"/>
        </w:rPr>
        <w:t xml:space="preserve">z synem. </w:t>
      </w:r>
      <w:r w:rsidR="0035339C">
        <w:rPr>
          <w:rFonts w:asciiTheme="minorHAnsi" w:hAnsiTheme="minorHAnsi"/>
        </w:rPr>
        <w:t>ETPC</w:t>
      </w:r>
      <w:r w:rsidR="001D4EB7" w:rsidRPr="00194E8E">
        <w:rPr>
          <w:rFonts w:asciiTheme="minorHAnsi" w:hAnsiTheme="minorHAnsi"/>
        </w:rPr>
        <w:t xml:space="preserve"> uznał, że sądy nie rozważyły żadnych środków, które mogły ułatwić skarżącemu pokonywanie barier wynikających z jego niepełnosprawności. </w:t>
      </w:r>
    </w:p>
    <w:p w:rsidR="001D4EB7" w:rsidRPr="00701953" w:rsidRDefault="00701953" w:rsidP="00701953">
      <w:pPr>
        <w:spacing w:before="120" w:after="120"/>
        <w:jc w:val="both"/>
        <w:rPr>
          <w:rFonts w:asciiTheme="minorHAnsi" w:eastAsia="Calibri" w:hAnsiTheme="minorHAnsi"/>
          <w:b/>
          <w:i/>
          <w:u w:val="single"/>
          <w:lang w:eastAsia="en-US"/>
        </w:rPr>
      </w:pPr>
      <w:r w:rsidRPr="00701953">
        <w:rPr>
          <w:rFonts w:asciiTheme="minorHAnsi" w:hAnsiTheme="minorHAnsi"/>
          <w:i/>
        </w:rPr>
        <w:t>Rząd przesłał do RE z</w:t>
      </w:r>
      <w:r w:rsidR="001D4EB7" w:rsidRPr="00701953">
        <w:rPr>
          <w:rFonts w:asciiTheme="minorHAnsi" w:hAnsiTheme="minorHAnsi"/>
          <w:i/>
        </w:rPr>
        <w:t>aktualizowany r</w:t>
      </w:r>
      <w:r w:rsidR="001D4EB7" w:rsidRPr="00701953">
        <w:rPr>
          <w:rFonts w:asciiTheme="minorHAnsi" w:eastAsia="Calibri" w:hAnsiTheme="minorHAnsi"/>
          <w:i/>
          <w:lang w:eastAsia="en-US"/>
        </w:rPr>
        <w:t xml:space="preserve">aport z wykonania wyroku w dniu </w:t>
      </w:r>
      <w:r w:rsidR="003C4BCD" w:rsidRPr="00701953">
        <w:rPr>
          <w:rFonts w:asciiTheme="minorHAnsi" w:eastAsia="Calibri" w:hAnsiTheme="minorHAnsi"/>
          <w:i/>
          <w:lang w:eastAsia="en-US"/>
        </w:rPr>
        <w:t xml:space="preserve">31 grudnia </w:t>
      </w:r>
      <w:r w:rsidR="001D4EB7" w:rsidRPr="00701953">
        <w:rPr>
          <w:rFonts w:asciiTheme="minorHAnsi" w:eastAsia="Calibri" w:hAnsiTheme="minorHAnsi"/>
          <w:i/>
          <w:lang w:eastAsia="en-US"/>
        </w:rPr>
        <w:t>202</w:t>
      </w:r>
      <w:r w:rsidR="003C4BCD" w:rsidRPr="00701953">
        <w:rPr>
          <w:rFonts w:asciiTheme="minorHAnsi" w:eastAsia="Calibri" w:hAnsiTheme="minorHAnsi"/>
          <w:i/>
          <w:lang w:eastAsia="en-US"/>
        </w:rPr>
        <w:t>1</w:t>
      </w:r>
      <w:r w:rsidR="001D4EB7" w:rsidRPr="00701953">
        <w:rPr>
          <w:rFonts w:asciiTheme="minorHAnsi" w:eastAsia="Calibri" w:hAnsiTheme="minorHAnsi"/>
          <w:i/>
          <w:lang w:eastAsia="en-US"/>
        </w:rPr>
        <w:t xml:space="preserve"> r.</w:t>
      </w:r>
    </w:p>
    <w:p w:rsidR="00701953" w:rsidRPr="00701953" w:rsidRDefault="00F21973" w:rsidP="0035339C">
      <w:pPr>
        <w:numPr>
          <w:ilvl w:val="0"/>
          <w:numId w:val="3"/>
        </w:numPr>
        <w:spacing w:before="240" w:after="120"/>
        <w:ind w:left="709" w:hanging="425"/>
        <w:jc w:val="both"/>
        <w:rPr>
          <w:rFonts w:asciiTheme="minorHAnsi" w:eastAsia="Calibri" w:hAnsiTheme="minorHAnsi"/>
          <w:u w:val="single"/>
          <w:lang w:eastAsia="en-US"/>
        </w:rPr>
      </w:pPr>
      <w:r w:rsidRPr="00194E8E">
        <w:rPr>
          <w:rFonts w:asciiTheme="minorHAnsi" w:eastAsia="Calibri" w:hAnsiTheme="minorHAnsi"/>
          <w:b/>
          <w:i/>
          <w:lang w:eastAsia="en-US"/>
        </w:rPr>
        <w:t xml:space="preserve">Olewnik-Cieplińska i Olewnik p. Polsce </w:t>
      </w:r>
      <w:r w:rsidRPr="00194E8E">
        <w:rPr>
          <w:rFonts w:asciiTheme="minorHAnsi" w:eastAsia="Calibri" w:hAnsiTheme="minorHAnsi"/>
          <w:lang w:eastAsia="en-US"/>
        </w:rPr>
        <w:t xml:space="preserve">(skarga nr </w:t>
      </w:r>
      <w:r w:rsidRPr="00194E8E">
        <w:rPr>
          <w:rFonts w:asciiTheme="minorHAnsi" w:hAnsiTheme="minorHAnsi"/>
        </w:rPr>
        <w:t xml:space="preserve">20147/15) </w:t>
      </w:r>
    </w:p>
    <w:p w:rsidR="00701953" w:rsidRDefault="00701953" w:rsidP="00701953">
      <w:pPr>
        <w:spacing w:before="120" w:after="120"/>
        <w:jc w:val="both"/>
        <w:rPr>
          <w:rStyle w:val="sfbbfee58"/>
          <w:rFonts w:asciiTheme="minorHAnsi" w:hAnsiTheme="minorHAnsi"/>
        </w:rPr>
      </w:pPr>
      <w:r>
        <w:rPr>
          <w:rStyle w:val="sfbbfee58"/>
          <w:rFonts w:asciiTheme="minorHAnsi" w:hAnsiTheme="minorHAnsi"/>
        </w:rPr>
        <w:t>N</w:t>
      </w:r>
      <w:r w:rsidR="00F21973" w:rsidRPr="00194E8E">
        <w:rPr>
          <w:rStyle w:val="sfbbfee58"/>
          <w:rFonts w:asciiTheme="minorHAnsi" w:hAnsiTheme="minorHAnsi"/>
        </w:rPr>
        <w:t xml:space="preserve">aruszenie art. 2 Konwencji w związku z porwaniem i śmiercią brata i syna skarżących oraz brakiem odpowiedniego i skutecznego śledztwa w sprawie jego śmierci. </w:t>
      </w:r>
    </w:p>
    <w:p w:rsidR="004F7C2F" w:rsidRPr="00701953" w:rsidRDefault="00701953" w:rsidP="00701953">
      <w:pPr>
        <w:spacing w:before="120" w:after="120"/>
        <w:jc w:val="both"/>
        <w:rPr>
          <w:rFonts w:asciiTheme="minorHAnsi" w:eastAsia="Calibri" w:hAnsiTheme="minorHAnsi"/>
          <w:i/>
          <w:u w:val="single"/>
          <w:lang w:eastAsia="en-US"/>
        </w:rPr>
      </w:pPr>
      <w:r w:rsidRPr="00701953">
        <w:rPr>
          <w:rStyle w:val="sfbbfee58"/>
          <w:rFonts w:asciiTheme="minorHAnsi" w:hAnsiTheme="minorHAnsi"/>
          <w:i/>
        </w:rPr>
        <w:t>Rząd przesłał do RE z</w:t>
      </w:r>
      <w:r w:rsidR="00486D4F" w:rsidRPr="00701953">
        <w:rPr>
          <w:rStyle w:val="sfbbfee58"/>
          <w:rFonts w:asciiTheme="minorHAnsi" w:hAnsiTheme="minorHAnsi"/>
          <w:i/>
        </w:rPr>
        <w:t>aktualizowany r</w:t>
      </w:r>
      <w:r w:rsidR="00F21973" w:rsidRPr="00701953">
        <w:rPr>
          <w:rStyle w:val="sfbbfee58"/>
          <w:rFonts w:asciiTheme="minorHAnsi" w:hAnsiTheme="minorHAnsi"/>
          <w:i/>
        </w:rPr>
        <w:t xml:space="preserve">aport z wykonania wyroku w dniu 31 grudnia 2021 r. </w:t>
      </w:r>
    </w:p>
    <w:p w:rsidR="00DD0730" w:rsidRPr="00194E8E" w:rsidRDefault="00DD0730" w:rsidP="00910C15">
      <w:pPr>
        <w:pStyle w:val="Nagwek1"/>
        <w:spacing w:before="240" w:after="120"/>
        <w:ind w:left="709" w:hanging="425"/>
        <w:rPr>
          <w:rFonts w:asciiTheme="minorHAnsi" w:hAnsiTheme="minorHAnsi"/>
          <w:lang w:val="pl-PL"/>
        </w:rPr>
      </w:pPr>
      <w:bookmarkStart w:id="3" w:name="_Toc112058301"/>
      <w:r w:rsidRPr="00194E8E">
        <w:rPr>
          <w:rFonts w:asciiTheme="minorHAnsi" w:hAnsiTheme="minorHAnsi"/>
          <w:lang w:val="pl-PL"/>
        </w:rPr>
        <w:t>Informacje na temat zakończenia przez Komitet Ministrów nadzoru nad wykonywaniem wybranych wyroków w sprawach polskich</w:t>
      </w:r>
      <w:bookmarkEnd w:id="3"/>
    </w:p>
    <w:p w:rsidR="006E5117" w:rsidRPr="00194E8E" w:rsidRDefault="006E5117" w:rsidP="00CF7C7E">
      <w:pPr>
        <w:pStyle w:val="Akapitzlist"/>
        <w:spacing w:after="120" w:line="240" w:lineRule="auto"/>
        <w:ind w:left="0"/>
        <w:jc w:val="both"/>
        <w:rPr>
          <w:rFonts w:asciiTheme="minorHAnsi" w:hAnsiTheme="minorHAnsi"/>
          <w:sz w:val="24"/>
          <w:szCs w:val="24"/>
          <w:lang w:val="pl-PL"/>
        </w:rPr>
      </w:pPr>
      <w:r w:rsidRPr="00194E8E">
        <w:rPr>
          <w:rFonts w:asciiTheme="minorHAnsi" w:hAnsiTheme="minorHAnsi"/>
          <w:sz w:val="24"/>
          <w:szCs w:val="24"/>
          <w:lang w:val="pl-PL"/>
        </w:rPr>
        <w:t>W okresie sprawozdawczym KM uznał za</w:t>
      </w:r>
      <w:r w:rsidR="00F14CEE" w:rsidRPr="00194E8E">
        <w:rPr>
          <w:rFonts w:asciiTheme="minorHAnsi" w:hAnsiTheme="minorHAnsi"/>
          <w:sz w:val="24"/>
          <w:szCs w:val="24"/>
          <w:lang w:val="pl-PL"/>
        </w:rPr>
        <w:t xml:space="preserve"> wykonane przez Polskę łącznie </w:t>
      </w:r>
      <w:r w:rsidR="00D43389" w:rsidRPr="00194E8E">
        <w:rPr>
          <w:rFonts w:asciiTheme="minorHAnsi" w:hAnsiTheme="minorHAnsi"/>
          <w:sz w:val="24"/>
          <w:szCs w:val="24"/>
          <w:lang w:val="pl-PL"/>
        </w:rPr>
        <w:t>35</w:t>
      </w:r>
      <w:r w:rsidRPr="00194E8E">
        <w:rPr>
          <w:rFonts w:asciiTheme="minorHAnsi" w:hAnsiTheme="minorHAnsi"/>
          <w:sz w:val="24"/>
          <w:szCs w:val="24"/>
          <w:lang w:val="pl-PL"/>
        </w:rPr>
        <w:t xml:space="preserve"> orzeczeń, w tym </w:t>
      </w:r>
      <w:r w:rsidR="00D43389" w:rsidRPr="00194E8E">
        <w:rPr>
          <w:rFonts w:asciiTheme="minorHAnsi" w:hAnsiTheme="minorHAnsi"/>
          <w:sz w:val="24"/>
          <w:szCs w:val="24"/>
          <w:lang w:val="pl-PL"/>
        </w:rPr>
        <w:t>10</w:t>
      </w:r>
      <w:r w:rsidRPr="00194E8E">
        <w:rPr>
          <w:rFonts w:asciiTheme="minorHAnsi" w:hAnsiTheme="minorHAnsi"/>
          <w:sz w:val="24"/>
          <w:szCs w:val="24"/>
          <w:lang w:val="pl-PL"/>
        </w:rPr>
        <w:t xml:space="preserve"> wyroków stwierdzających naruszenie i </w:t>
      </w:r>
      <w:r w:rsidR="00D43389" w:rsidRPr="00194E8E">
        <w:rPr>
          <w:rFonts w:asciiTheme="minorHAnsi" w:hAnsiTheme="minorHAnsi"/>
          <w:sz w:val="24"/>
          <w:szCs w:val="24"/>
          <w:lang w:val="pl-PL"/>
        </w:rPr>
        <w:t>25</w:t>
      </w:r>
      <w:r w:rsidRPr="00194E8E">
        <w:rPr>
          <w:rFonts w:asciiTheme="minorHAnsi" w:hAnsiTheme="minorHAnsi"/>
          <w:sz w:val="24"/>
          <w:szCs w:val="24"/>
          <w:lang w:val="pl-PL"/>
        </w:rPr>
        <w:t xml:space="preserve"> decyzji zatwierdzających u</w:t>
      </w:r>
      <w:r w:rsidR="00D95ED2" w:rsidRPr="00194E8E">
        <w:rPr>
          <w:rFonts w:asciiTheme="minorHAnsi" w:hAnsiTheme="minorHAnsi"/>
          <w:sz w:val="24"/>
          <w:szCs w:val="24"/>
          <w:lang w:val="pl-PL"/>
        </w:rPr>
        <w:t>gody zawarte przez R</w:t>
      </w:r>
      <w:r w:rsidRPr="00194E8E">
        <w:rPr>
          <w:rFonts w:asciiTheme="minorHAnsi" w:hAnsiTheme="minorHAnsi"/>
          <w:sz w:val="24"/>
          <w:szCs w:val="24"/>
          <w:lang w:val="pl-PL"/>
        </w:rPr>
        <w:t>ząd ze skarżącymi. Wyroki, które Komitet Ministrów RE uznał za wykonane w 20</w:t>
      </w:r>
      <w:r w:rsidR="00F14CEE" w:rsidRPr="00194E8E">
        <w:rPr>
          <w:rFonts w:asciiTheme="minorHAnsi" w:hAnsiTheme="minorHAnsi"/>
          <w:sz w:val="24"/>
          <w:szCs w:val="24"/>
          <w:lang w:val="pl-PL"/>
        </w:rPr>
        <w:t>2</w:t>
      </w:r>
      <w:r w:rsidR="00D43389" w:rsidRPr="00194E8E">
        <w:rPr>
          <w:rFonts w:asciiTheme="minorHAnsi" w:hAnsiTheme="minorHAnsi"/>
          <w:sz w:val="24"/>
          <w:szCs w:val="24"/>
          <w:lang w:val="pl-PL"/>
        </w:rPr>
        <w:t>1</w:t>
      </w:r>
      <w:r w:rsidRPr="00194E8E">
        <w:rPr>
          <w:rFonts w:asciiTheme="minorHAnsi" w:hAnsiTheme="minorHAnsi"/>
          <w:sz w:val="24"/>
          <w:szCs w:val="24"/>
          <w:lang w:val="pl-PL"/>
        </w:rPr>
        <w:t xml:space="preserve"> r., przyjmując rezolucję zamykającą nadzór nad wykonywaniem, to: </w:t>
      </w:r>
    </w:p>
    <w:p w:rsidR="00A87B0F" w:rsidRPr="00194E8E" w:rsidRDefault="00A87B0F" w:rsidP="00CF7C7E">
      <w:pPr>
        <w:pStyle w:val="Akapitzlist"/>
        <w:numPr>
          <w:ilvl w:val="0"/>
          <w:numId w:val="29"/>
        </w:numPr>
        <w:spacing w:after="120" w:line="240" w:lineRule="auto"/>
        <w:ind w:left="709" w:hanging="425"/>
        <w:jc w:val="both"/>
        <w:rPr>
          <w:rFonts w:asciiTheme="minorHAnsi" w:eastAsia="Times New Roman" w:hAnsiTheme="minorHAnsi"/>
          <w:sz w:val="24"/>
          <w:szCs w:val="24"/>
          <w:lang w:val="pl-PL" w:eastAsia="pl-PL"/>
        </w:rPr>
      </w:pPr>
      <w:r w:rsidRPr="00194E8E">
        <w:rPr>
          <w:rFonts w:asciiTheme="minorHAnsi" w:hAnsiTheme="minorHAnsi"/>
          <w:b/>
          <w:i/>
          <w:sz w:val="24"/>
          <w:szCs w:val="24"/>
          <w:lang w:val="pl-PL"/>
        </w:rPr>
        <w:lastRenderedPageBreak/>
        <w:t>Rasiński p. Polsce</w:t>
      </w:r>
      <w:r w:rsidRPr="00194E8E">
        <w:rPr>
          <w:rFonts w:asciiTheme="minorHAnsi" w:hAnsiTheme="minorHAnsi"/>
          <w:sz w:val="24"/>
          <w:szCs w:val="24"/>
          <w:lang w:val="pl-PL"/>
        </w:rPr>
        <w:t xml:space="preserve"> (</w:t>
      </w:r>
      <w:r w:rsidR="005871F9" w:rsidRPr="00194E8E">
        <w:rPr>
          <w:rFonts w:asciiTheme="minorHAnsi" w:eastAsia="Times New Roman" w:hAnsiTheme="minorHAnsi"/>
          <w:sz w:val="24"/>
          <w:szCs w:val="24"/>
          <w:lang w:val="pl-PL" w:eastAsia="pl-PL"/>
        </w:rPr>
        <w:t>skarga nr 42969/18</w:t>
      </w:r>
      <w:r w:rsidRPr="00194E8E">
        <w:rPr>
          <w:rFonts w:asciiTheme="minorHAnsi" w:eastAsia="Times New Roman" w:hAnsiTheme="minorHAnsi"/>
          <w:sz w:val="24"/>
          <w:szCs w:val="24"/>
          <w:lang w:val="pl-PL" w:eastAsia="pl-PL"/>
        </w:rPr>
        <w:t xml:space="preserve">) </w:t>
      </w:r>
      <w:r w:rsidR="00910C15">
        <w:rPr>
          <w:rFonts w:asciiTheme="minorHAnsi" w:eastAsia="Times New Roman" w:hAnsiTheme="minorHAnsi"/>
          <w:sz w:val="24"/>
          <w:szCs w:val="24"/>
          <w:lang w:val="pl-PL" w:eastAsia="pl-PL"/>
        </w:rPr>
        <w:t xml:space="preserve">– KM przyjął rezolucję końcową </w:t>
      </w:r>
      <w:r w:rsidR="00F35D74" w:rsidRPr="00194E8E">
        <w:rPr>
          <w:rFonts w:asciiTheme="minorHAnsi" w:eastAsia="Times New Roman" w:hAnsiTheme="minorHAnsi"/>
          <w:sz w:val="24"/>
          <w:szCs w:val="24"/>
          <w:lang w:val="pl-PL" w:eastAsia="pl-PL"/>
        </w:rPr>
        <w:t xml:space="preserve">CM/ResDH(2021)63 </w:t>
      </w:r>
      <w:r w:rsidRPr="00194E8E">
        <w:rPr>
          <w:rFonts w:asciiTheme="minorHAnsi" w:eastAsia="Times New Roman" w:hAnsiTheme="minorHAnsi"/>
          <w:sz w:val="24"/>
          <w:szCs w:val="24"/>
          <w:lang w:val="pl-PL" w:eastAsia="pl-PL"/>
        </w:rPr>
        <w:t>podczas swojego 1401 posiedzenia w dniu 14 kwietnia 2021 r.,</w:t>
      </w:r>
    </w:p>
    <w:p w:rsidR="005871F9" w:rsidRPr="00194E8E" w:rsidRDefault="005871F9" w:rsidP="00CF7C7E">
      <w:pPr>
        <w:pStyle w:val="Akapitzlist"/>
        <w:numPr>
          <w:ilvl w:val="0"/>
          <w:numId w:val="29"/>
        </w:numPr>
        <w:spacing w:after="120" w:line="240" w:lineRule="auto"/>
        <w:ind w:left="709" w:hanging="425"/>
        <w:jc w:val="both"/>
        <w:rPr>
          <w:rFonts w:asciiTheme="minorHAnsi" w:hAnsiTheme="minorHAnsi"/>
          <w:sz w:val="24"/>
          <w:szCs w:val="24"/>
          <w:lang w:val="pl-PL"/>
        </w:rPr>
      </w:pPr>
      <w:r w:rsidRPr="00194E8E">
        <w:rPr>
          <w:rFonts w:asciiTheme="minorHAnsi" w:hAnsiTheme="minorHAnsi"/>
          <w:b/>
          <w:i/>
          <w:sz w:val="24"/>
          <w:szCs w:val="24"/>
          <w:lang w:val="pl-PL"/>
        </w:rPr>
        <w:t>Rechul p. Polsce</w:t>
      </w:r>
      <w:r w:rsidRPr="00194E8E">
        <w:rPr>
          <w:rFonts w:asciiTheme="minorHAnsi" w:hAnsiTheme="minorHAnsi"/>
          <w:sz w:val="24"/>
          <w:szCs w:val="24"/>
          <w:lang w:val="pl-PL"/>
        </w:rPr>
        <w:t xml:space="preserve"> (skarga nr 69143/12) </w:t>
      </w:r>
      <w:r w:rsidR="00910C15">
        <w:rPr>
          <w:rFonts w:asciiTheme="minorHAnsi" w:hAnsiTheme="minorHAnsi"/>
          <w:sz w:val="24"/>
          <w:szCs w:val="24"/>
          <w:lang w:val="pl-PL"/>
        </w:rPr>
        <w:t xml:space="preserve">– KM przyjął rezolucję końcową </w:t>
      </w:r>
      <w:r w:rsidRPr="00194E8E">
        <w:rPr>
          <w:rFonts w:asciiTheme="minorHAnsi" w:hAnsiTheme="minorHAnsi"/>
          <w:sz w:val="24"/>
          <w:szCs w:val="24"/>
          <w:lang w:val="pl-PL"/>
        </w:rPr>
        <w:t>CM/ResDH(2021)84 podczas swojego 1404 posiedzenia w dniu 12 maja 2021 r.,</w:t>
      </w:r>
    </w:p>
    <w:p w:rsidR="005871F9" w:rsidRPr="00194E8E" w:rsidRDefault="005871F9" w:rsidP="00CF7C7E">
      <w:pPr>
        <w:pStyle w:val="Akapitzlist"/>
        <w:numPr>
          <w:ilvl w:val="0"/>
          <w:numId w:val="29"/>
        </w:numPr>
        <w:spacing w:after="120" w:line="240" w:lineRule="auto"/>
        <w:ind w:left="709" w:hanging="425"/>
        <w:jc w:val="both"/>
        <w:rPr>
          <w:rFonts w:asciiTheme="minorHAnsi" w:hAnsiTheme="minorHAnsi"/>
          <w:sz w:val="24"/>
          <w:szCs w:val="24"/>
          <w:lang w:val="pl-PL"/>
        </w:rPr>
      </w:pPr>
      <w:r w:rsidRPr="00194E8E">
        <w:rPr>
          <w:rFonts w:asciiTheme="minorHAnsi" w:hAnsiTheme="minorHAnsi"/>
          <w:b/>
          <w:i/>
          <w:sz w:val="24"/>
          <w:szCs w:val="24"/>
          <w:lang w:val="pl-PL"/>
        </w:rPr>
        <w:t>Walczak p. Polsce</w:t>
      </w:r>
      <w:r w:rsidRPr="00194E8E">
        <w:rPr>
          <w:rFonts w:asciiTheme="minorHAnsi" w:hAnsiTheme="minorHAnsi"/>
          <w:sz w:val="24"/>
          <w:szCs w:val="24"/>
          <w:lang w:val="pl-PL"/>
        </w:rPr>
        <w:t xml:space="preserve"> (skarga nr 45564/15) – KM przyjął rezolucję końcową CM/ResDH(2021)85 podczas swojego 1404 posiedzenia w dniu 12 maja 2021 r.,</w:t>
      </w:r>
    </w:p>
    <w:p w:rsidR="00A87B0F" w:rsidRPr="00194E8E" w:rsidRDefault="00A87B0F" w:rsidP="00CF7C7E">
      <w:pPr>
        <w:pStyle w:val="Akapitzlist"/>
        <w:numPr>
          <w:ilvl w:val="0"/>
          <w:numId w:val="29"/>
        </w:numPr>
        <w:spacing w:after="120" w:line="240" w:lineRule="auto"/>
        <w:ind w:left="709" w:hanging="425"/>
        <w:jc w:val="both"/>
        <w:rPr>
          <w:rFonts w:asciiTheme="minorHAnsi" w:eastAsia="Times New Roman" w:hAnsiTheme="minorHAnsi"/>
          <w:sz w:val="24"/>
          <w:szCs w:val="24"/>
          <w:lang w:val="pl-PL" w:eastAsia="pl-PL"/>
        </w:rPr>
      </w:pPr>
      <w:r w:rsidRPr="00194E8E">
        <w:rPr>
          <w:rFonts w:asciiTheme="minorHAnsi" w:eastAsia="Times New Roman" w:hAnsiTheme="minorHAnsi"/>
          <w:b/>
          <w:i/>
          <w:sz w:val="24"/>
          <w:szCs w:val="24"/>
          <w:lang w:val="pl-PL" w:eastAsia="pl-PL"/>
        </w:rPr>
        <w:t>Apanasewicz p. Polsce</w:t>
      </w:r>
      <w:r w:rsidRPr="00194E8E">
        <w:rPr>
          <w:rFonts w:asciiTheme="minorHAnsi" w:eastAsia="Times New Roman" w:hAnsiTheme="minorHAnsi"/>
          <w:sz w:val="24"/>
          <w:szCs w:val="24"/>
          <w:lang w:val="pl-PL" w:eastAsia="pl-PL"/>
        </w:rPr>
        <w:t xml:space="preserve"> (skarga nr 6854/07) – KM przyjął rezolucję końcową </w:t>
      </w:r>
      <w:r w:rsidR="00F35D74" w:rsidRPr="00194E8E">
        <w:rPr>
          <w:rFonts w:asciiTheme="minorHAnsi" w:eastAsia="Times New Roman" w:hAnsiTheme="minorHAnsi"/>
          <w:sz w:val="24"/>
          <w:szCs w:val="24"/>
          <w:lang w:val="pl-PL" w:eastAsia="pl-PL"/>
        </w:rPr>
        <w:t>CM/ResDH(2021)93</w:t>
      </w:r>
      <w:r w:rsidRPr="00194E8E">
        <w:rPr>
          <w:rFonts w:asciiTheme="minorHAnsi" w:eastAsia="Times New Roman" w:hAnsiTheme="minorHAnsi"/>
          <w:sz w:val="24"/>
          <w:szCs w:val="24"/>
          <w:lang w:val="pl-PL" w:eastAsia="pl-PL"/>
        </w:rPr>
        <w:t xml:space="preserve"> podczas swojego 1406 posiedzenia w dniu </w:t>
      </w:r>
      <w:r w:rsidR="00F35D74" w:rsidRPr="00194E8E">
        <w:rPr>
          <w:rFonts w:asciiTheme="minorHAnsi" w:eastAsia="Times New Roman" w:hAnsiTheme="minorHAnsi"/>
          <w:sz w:val="24"/>
          <w:szCs w:val="24"/>
          <w:lang w:val="pl-PL" w:eastAsia="pl-PL"/>
        </w:rPr>
        <w:t>9 czerwca 2021</w:t>
      </w:r>
      <w:r w:rsidRPr="00194E8E">
        <w:rPr>
          <w:rFonts w:asciiTheme="minorHAnsi" w:eastAsia="Times New Roman" w:hAnsiTheme="minorHAnsi"/>
          <w:sz w:val="24"/>
          <w:szCs w:val="24"/>
          <w:lang w:val="pl-PL" w:eastAsia="pl-PL"/>
        </w:rPr>
        <w:t xml:space="preserve"> r.,</w:t>
      </w:r>
    </w:p>
    <w:p w:rsidR="00A87B0F" w:rsidRPr="00194E8E" w:rsidRDefault="00A87B0F" w:rsidP="00CF7C7E">
      <w:pPr>
        <w:pStyle w:val="Akapitzlist"/>
        <w:numPr>
          <w:ilvl w:val="0"/>
          <w:numId w:val="29"/>
        </w:numPr>
        <w:spacing w:after="120" w:line="240" w:lineRule="auto"/>
        <w:ind w:left="709" w:hanging="425"/>
        <w:jc w:val="both"/>
        <w:rPr>
          <w:rFonts w:asciiTheme="minorHAnsi" w:eastAsia="Times New Roman" w:hAnsiTheme="minorHAnsi"/>
          <w:sz w:val="24"/>
          <w:szCs w:val="24"/>
          <w:lang w:val="pl-PL" w:eastAsia="pl-PL"/>
        </w:rPr>
      </w:pPr>
      <w:r w:rsidRPr="00194E8E">
        <w:rPr>
          <w:rFonts w:asciiTheme="minorHAnsi" w:hAnsiTheme="minorHAnsi"/>
          <w:b/>
          <w:i/>
          <w:sz w:val="24"/>
          <w:szCs w:val="24"/>
          <w:lang w:val="pl-PL"/>
        </w:rPr>
        <w:t>Pug</w:t>
      </w:r>
      <w:r w:rsidR="005871F9" w:rsidRPr="00194E8E">
        <w:rPr>
          <w:rFonts w:asciiTheme="minorHAnsi" w:hAnsiTheme="minorHAnsi"/>
          <w:b/>
          <w:i/>
          <w:sz w:val="24"/>
          <w:szCs w:val="24"/>
          <w:lang w:val="pl-PL"/>
        </w:rPr>
        <w:t>ž</w:t>
      </w:r>
      <w:r w:rsidRPr="00194E8E">
        <w:rPr>
          <w:rFonts w:asciiTheme="minorHAnsi" w:hAnsiTheme="minorHAnsi"/>
          <w:b/>
          <w:i/>
          <w:sz w:val="24"/>
          <w:szCs w:val="24"/>
          <w:lang w:val="pl-PL"/>
        </w:rPr>
        <w:t>lys p. Polsce</w:t>
      </w:r>
      <w:r w:rsidRPr="00194E8E">
        <w:rPr>
          <w:rFonts w:asciiTheme="minorHAnsi" w:hAnsiTheme="minorHAnsi"/>
          <w:sz w:val="24"/>
          <w:szCs w:val="24"/>
          <w:lang w:val="pl-PL"/>
        </w:rPr>
        <w:t xml:space="preserve"> (</w:t>
      </w:r>
      <w:r w:rsidR="005871F9" w:rsidRPr="00194E8E">
        <w:rPr>
          <w:rFonts w:asciiTheme="minorHAnsi" w:eastAsia="Times New Roman" w:hAnsiTheme="minorHAnsi"/>
          <w:sz w:val="24"/>
          <w:szCs w:val="24"/>
          <w:lang w:val="pl-PL" w:eastAsia="pl-PL"/>
        </w:rPr>
        <w:t>skarga nr 446/10</w:t>
      </w:r>
      <w:r w:rsidRPr="00194E8E">
        <w:rPr>
          <w:rFonts w:asciiTheme="minorHAnsi" w:eastAsia="Times New Roman" w:hAnsiTheme="minorHAnsi"/>
          <w:sz w:val="24"/>
          <w:szCs w:val="24"/>
          <w:lang w:val="pl-PL" w:eastAsia="pl-PL"/>
        </w:rPr>
        <w:t xml:space="preserve">) – KM przyjął rezolucję końcową CM/ResDH(2021)312 podczas swojego </w:t>
      </w:r>
      <w:r w:rsidR="00910C15">
        <w:rPr>
          <w:rFonts w:asciiTheme="minorHAnsi" w:eastAsia="Times New Roman" w:hAnsiTheme="minorHAnsi"/>
          <w:sz w:val="24"/>
          <w:szCs w:val="24"/>
          <w:lang w:val="pl-PL" w:eastAsia="pl-PL"/>
        </w:rPr>
        <w:t xml:space="preserve">1417 posiedzenia w dniu </w:t>
      </w:r>
      <w:r w:rsidR="005871F9" w:rsidRPr="00194E8E">
        <w:rPr>
          <w:rFonts w:asciiTheme="minorHAnsi" w:eastAsia="Times New Roman" w:hAnsiTheme="minorHAnsi"/>
          <w:sz w:val="24"/>
          <w:szCs w:val="24"/>
          <w:lang w:val="pl-PL" w:eastAsia="pl-PL"/>
        </w:rPr>
        <w:t xml:space="preserve">10 listopada 2021 </w:t>
      </w:r>
      <w:r w:rsidRPr="00194E8E">
        <w:rPr>
          <w:rFonts w:asciiTheme="minorHAnsi" w:eastAsia="Times New Roman" w:hAnsiTheme="minorHAnsi"/>
          <w:sz w:val="24"/>
          <w:szCs w:val="24"/>
          <w:lang w:val="pl-PL" w:eastAsia="pl-PL"/>
        </w:rPr>
        <w:t>r.,</w:t>
      </w:r>
    </w:p>
    <w:p w:rsidR="00A87B0F" w:rsidRPr="00194E8E" w:rsidRDefault="00F35D74" w:rsidP="00CF7C7E">
      <w:pPr>
        <w:pStyle w:val="Akapitzlist"/>
        <w:numPr>
          <w:ilvl w:val="0"/>
          <w:numId w:val="29"/>
        </w:numPr>
        <w:spacing w:after="120" w:line="240" w:lineRule="auto"/>
        <w:ind w:left="709" w:hanging="425"/>
        <w:jc w:val="both"/>
        <w:rPr>
          <w:rFonts w:asciiTheme="minorHAnsi" w:eastAsia="Times New Roman" w:hAnsiTheme="minorHAnsi" w:cs="Helvetica"/>
          <w:bCs/>
          <w:sz w:val="24"/>
          <w:szCs w:val="24"/>
          <w:lang w:val="pl-PL" w:eastAsia="pl-PL"/>
        </w:rPr>
      </w:pPr>
      <w:r w:rsidRPr="00194E8E">
        <w:rPr>
          <w:rFonts w:asciiTheme="minorHAnsi" w:hAnsiTheme="minorHAnsi"/>
          <w:b/>
          <w:i/>
          <w:sz w:val="24"/>
          <w:szCs w:val="24"/>
          <w:lang w:val="pl-PL"/>
        </w:rPr>
        <w:t xml:space="preserve">Guz </w:t>
      </w:r>
      <w:r w:rsidR="00A87B0F" w:rsidRPr="00194E8E">
        <w:rPr>
          <w:rFonts w:asciiTheme="minorHAnsi" w:hAnsiTheme="minorHAnsi"/>
          <w:b/>
          <w:i/>
          <w:sz w:val="24"/>
          <w:szCs w:val="24"/>
          <w:lang w:val="pl-PL"/>
        </w:rPr>
        <w:t>p. Polsce</w:t>
      </w:r>
      <w:r w:rsidR="00A87B0F" w:rsidRPr="00194E8E">
        <w:rPr>
          <w:rFonts w:asciiTheme="minorHAnsi" w:hAnsiTheme="minorHAnsi"/>
          <w:sz w:val="24"/>
          <w:szCs w:val="24"/>
          <w:lang w:val="pl-PL"/>
        </w:rPr>
        <w:t xml:space="preserve"> (skarga nr </w:t>
      </w:r>
      <w:r w:rsidRPr="00194E8E">
        <w:rPr>
          <w:rFonts w:asciiTheme="minorHAnsi" w:eastAsia="Times New Roman" w:hAnsiTheme="minorHAnsi" w:cs="Helvetica"/>
          <w:bCs/>
          <w:sz w:val="24"/>
          <w:szCs w:val="24"/>
          <w:lang w:val="pl-PL" w:eastAsia="pl-PL"/>
        </w:rPr>
        <w:t>965/12</w:t>
      </w:r>
      <w:r w:rsidR="00A87B0F" w:rsidRPr="00194E8E">
        <w:rPr>
          <w:rFonts w:asciiTheme="minorHAnsi" w:eastAsia="Times New Roman" w:hAnsiTheme="minorHAnsi" w:cs="Helvetica"/>
          <w:bCs/>
          <w:sz w:val="24"/>
          <w:szCs w:val="24"/>
          <w:lang w:val="pl-PL" w:eastAsia="pl-PL"/>
        </w:rPr>
        <w:t xml:space="preserve">) – KM przyjął rezolucję końcową </w:t>
      </w:r>
      <w:r w:rsidRPr="00194E8E">
        <w:rPr>
          <w:rFonts w:asciiTheme="minorHAnsi" w:eastAsia="Times New Roman" w:hAnsiTheme="minorHAnsi" w:cs="Helvetica"/>
          <w:bCs/>
          <w:sz w:val="24"/>
          <w:szCs w:val="24"/>
          <w:lang w:val="pl-PL" w:eastAsia="pl-PL"/>
        </w:rPr>
        <w:t>CM/ResDH(2021)406</w:t>
      </w:r>
      <w:r w:rsidR="00A87B0F" w:rsidRPr="00194E8E">
        <w:rPr>
          <w:rFonts w:asciiTheme="minorHAnsi" w:eastAsia="Times New Roman" w:hAnsiTheme="minorHAnsi" w:cs="Helvetica"/>
          <w:bCs/>
          <w:sz w:val="24"/>
          <w:szCs w:val="24"/>
          <w:lang w:val="pl-PL" w:eastAsia="pl-PL"/>
        </w:rPr>
        <w:t xml:space="preserve"> podczas swojego</w:t>
      </w:r>
      <w:r w:rsidRPr="00194E8E">
        <w:rPr>
          <w:rFonts w:asciiTheme="minorHAnsi" w:eastAsia="Times New Roman" w:hAnsiTheme="minorHAnsi" w:cs="Helvetica"/>
          <w:bCs/>
          <w:sz w:val="24"/>
          <w:szCs w:val="24"/>
          <w:lang w:val="pl-PL" w:eastAsia="pl-PL"/>
        </w:rPr>
        <w:t xml:space="preserve"> 1420</w:t>
      </w:r>
      <w:r w:rsidR="00A87B0F" w:rsidRPr="00194E8E">
        <w:rPr>
          <w:rFonts w:asciiTheme="minorHAnsi" w:eastAsia="Times New Roman" w:hAnsiTheme="minorHAnsi" w:cs="Helvetica"/>
          <w:bCs/>
          <w:sz w:val="24"/>
          <w:szCs w:val="24"/>
          <w:lang w:val="pl-PL" w:eastAsia="pl-PL"/>
        </w:rPr>
        <w:t xml:space="preserve"> posiedzenia w dniu </w:t>
      </w:r>
      <w:r w:rsidRPr="00194E8E">
        <w:rPr>
          <w:rFonts w:asciiTheme="minorHAnsi" w:eastAsia="Times New Roman" w:hAnsiTheme="minorHAnsi" w:cs="Helvetica"/>
          <w:bCs/>
          <w:sz w:val="24"/>
          <w:szCs w:val="24"/>
          <w:lang w:val="pl-PL" w:eastAsia="pl-PL"/>
        </w:rPr>
        <w:t>8 grudnia 2021</w:t>
      </w:r>
      <w:r w:rsidR="00A87B0F" w:rsidRPr="00194E8E">
        <w:rPr>
          <w:rFonts w:asciiTheme="minorHAnsi" w:eastAsia="Times New Roman" w:hAnsiTheme="minorHAnsi" w:cs="Helvetica"/>
          <w:bCs/>
          <w:sz w:val="24"/>
          <w:szCs w:val="24"/>
          <w:lang w:val="pl-PL" w:eastAsia="pl-PL"/>
        </w:rPr>
        <w:t xml:space="preserve"> r.,</w:t>
      </w:r>
    </w:p>
    <w:p w:rsidR="00A87B0F" w:rsidRPr="00194E8E" w:rsidRDefault="00F35D74" w:rsidP="00CF7C7E">
      <w:pPr>
        <w:pStyle w:val="Akapitzlist"/>
        <w:numPr>
          <w:ilvl w:val="0"/>
          <w:numId w:val="29"/>
        </w:numPr>
        <w:spacing w:after="120" w:line="240" w:lineRule="auto"/>
        <w:ind w:left="709" w:hanging="425"/>
        <w:jc w:val="both"/>
        <w:rPr>
          <w:rFonts w:asciiTheme="minorHAnsi" w:eastAsia="Times New Roman" w:hAnsiTheme="minorHAnsi" w:cs="Helvetica"/>
          <w:bCs/>
          <w:sz w:val="24"/>
          <w:szCs w:val="24"/>
          <w:lang w:val="pl-PL" w:eastAsia="pl-PL"/>
        </w:rPr>
      </w:pPr>
      <w:r w:rsidRPr="00194E8E">
        <w:rPr>
          <w:rFonts w:asciiTheme="minorHAnsi" w:hAnsiTheme="minorHAnsi"/>
          <w:b/>
          <w:i/>
          <w:sz w:val="24"/>
          <w:szCs w:val="24"/>
          <w:lang w:val="pl-PL"/>
        </w:rPr>
        <w:t xml:space="preserve">Janulis </w:t>
      </w:r>
      <w:r w:rsidR="00A87B0F" w:rsidRPr="00194E8E">
        <w:rPr>
          <w:rFonts w:asciiTheme="minorHAnsi" w:hAnsiTheme="minorHAnsi"/>
          <w:b/>
          <w:i/>
          <w:sz w:val="24"/>
          <w:szCs w:val="24"/>
          <w:lang w:val="pl-PL"/>
        </w:rPr>
        <w:t>p. Polsce</w:t>
      </w:r>
      <w:r w:rsidR="00A87B0F" w:rsidRPr="00194E8E">
        <w:rPr>
          <w:rFonts w:asciiTheme="minorHAnsi" w:hAnsiTheme="minorHAnsi"/>
          <w:sz w:val="24"/>
          <w:szCs w:val="24"/>
          <w:lang w:val="pl-PL"/>
        </w:rPr>
        <w:t xml:space="preserve"> (skarga nr </w:t>
      </w:r>
      <w:r w:rsidRPr="00194E8E">
        <w:rPr>
          <w:rFonts w:asciiTheme="minorHAnsi" w:hAnsiTheme="minorHAnsi" w:cs="Arial"/>
          <w:sz w:val="24"/>
          <w:szCs w:val="24"/>
          <w:shd w:val="clear" w:color="auto" w:fill="FFFFFF"/>
          <w:lang w:val="pl-PL"/>
        </w:rPr>
        <w:t>31792/15</w:t>
      </w:r>
      <w:r w:rsidR="00A87B0F" w:rsidRPr="00194E8E">
        <w:rPr>
          <w:rFonts w:asciiTheme="minorHAnsi" w:eastAsia="Times New Roman" w:hAnsiTheme="minorHAnsi"/>
          <w:sz w:val="24"/>
          <w:szCs w:val="24"/>
          <w:lang w:val="pl-PL" w:eastAsia="pl-PL"/>
        </w:rPr>
        <w:t xml:space="preserve">) – </w:t>
      </w:r>
      <w:r w:rsidR="00A87B0F" w:rsidRPr="00194E8E">
        <w:rPr>
          <w:rFonts w:asciiTheme="minorHAnsi" w:eastAsia="Times New Roman" w:hAnsiTheme="minorHAnsi" w:cs="Helvetica"/>
          <w:bCs/>
          <w:sz w:val="24"/>
          <w:szCs w:val="24"/>
          <w:lang w:val="pl-PL" w:eastAsia="pl-PL"/>
        </w:rPr>
        <w:t>KM przyjął rezolucję końcową</w:t>
      </w:r>
      <w:r w:rsidRPr="00194E8E">
        <w:rPr>
          <w:rFonts w:asciiTheme="minorHAnsi" w:eastAsia="Times New Roman" w:hAnsiTheme="minorHAnsi" w:cs="Helvetica"/>
          <w:bCs/>
          <w:sz w:val="24"/>
          <w:szCs w:val="24"/>
          <w:lang w:val="pl-PL" w:eastAsia="pl-PL"/>
        </w:rPr>
        <w:t xml:space="preserve"> CM/ResDH(2021)404</w:t>
      </w:r>
      <w:r w:rsidR="00A87B0F" w:rsidRPr="00194E8E">
        <w:rPr>
          <w:rFonts w:asciiTheme="minorHAnsi" w:eastAsia="Times New Roman" w:hAnsiTheme="minorHAnsi" w:cs="Helvetica"/>
          <w:bCs/>
          <w:sz w:val="24"/>
          <w:szCs w:val="24"/>
          <w:lang w:val="pl-PL" w:eastAsia="pl-PL"/>
        </w:rPr>
        <w:t xml:space="preserve"> podczas swojego </w:t>
      </w:r>
      <w:r w:rsidRPr="00194E8E">
        <w:rPr>
          <w:rFonts w:asciiTheme="minorHAnsi" w:eastAsia="Times New Roman" w:hAnsiTheme="minorHAnsi" w:cs="Helvetica"/>
          <w:bCs/>
          <w:sz w:val="24"/>
          <w:szCs w:val="24"/>
          <w:lang w:val="pl-PL" w:eastAsia="pl-PL"/>
        </w:rPr>
        <w:t>1420</w:t>
      </w:r>
      <w:r w:rsidR="00A87B0F" w:rsidRPr="00194E8E">
        <w:rPr>
          <w:rFonts w:asciiTheme="minorHAnsi" w:eastAsia="Times New Roman" w:hAnsiTheme="minorHAnsi" w:cs="Helvetica"/>
          <w:bCs/>
          <w:sz w:val="24"/>
          <w:szCs w:val="24"/>
          <w:lang w:val="pl-PL" w:eastAsia="pl-PL"/>
        </w:rPr>
        <w:t xml:space="preserve"> posiedzenia w dniu</w:t>
      </w:r>
      <w:r w:rsidRPr="00194E8E">
        <w:rPr>
          <w:rFonts w:asciiTheme="minorHAnsi" w:eastAsia="Times New Roman" w:hAnsiTheme="minorHAnsi" w:cs="Helvetica"/>
          <w:bCs/>
          <w:sz w:val="24"/>
          <w:szCs w:val="24"/>
          <w:lang w:val="pl-PL" w:eastAsia="pl-PL"/>
        </w:rPr>
        <w:t xml:space="preserve"> 8 grudnia 2021</w:t>
      </w:r>
      <w:r w:rsidR="00A87B0F" w:rsidRPr="00194E8E">
        <w:rPr>
          <w:rFonts w:asciiTheme="minorHAnsi" w:eastAsia="Times New Roman" w:hAnsiTheme="minorHAnsi" w:cs="Helvetica"/>
          <w:bCs/>
          <w:sz w:val="24"/>
          <w:szCs w:val="24"/>
          <w:lang w:val="pl-PL" w:eastAsia="pl-PL"/>
        </w:rPr>
        <w:t xml:space="preserve"> r.,</w:t>
      </w:r>
    </w:p>
    <w:p w:rsidR="00A87B0F" w:rsidRPr="00194E8E" w:rsidRDefault="00F35D74" w:rsidP="00CF7C7E">
      <w:pPr>
        <w:pStyle w:val="Akapitzlist"/>
        <w:numPr>
          <w:ilvl w:val="0"/>
          <w:numId w:val="29"/>
        </w:numPr>
        <w:spacing w:after="120" w:line="240" w:lineRule="auto"/>
        <w:ind w:left="709" w:hanging="425"/>
        <w:jc w:val="both"/>
        <w:rPr>
          <w:rFonts w:asciiTheme="minorHAnsi" w:hAnsiTheme="minorHAnsi"/>
          <w:sz w:val="24"/>
          <w:szCs w:val="24"/>
          <w:lang w:val="pl-PL"/>
        </w:rPr>
      </w:pPr>
      <w:r w:rsidRPr="00194E8E">
        <w:rPr>
          <w:rFonts w:asciiTheme="minorHAnsi" w:hAnsiTheme="minorHAnsi"/>
          <w:b/>
          <w:i/>
          <w:sz w:val="24"/>
          <w:szCs w:val="24"/>
          <w:lang w:val="pl-PL"/>
        </w:rPr>
        <w:t xml:space="preserve">Zborowski </w:t>
      </w:r>
      <w:r w:rsidR="00A87B0F" w:rsidRPr="00194E8E">
        <w:rPr>
          <w:rFonts w:asciiTheme="minorHAnsi" w:hAnsiTheme="minorHAnsi"/>
          <w:b/>
          <w:i/>
          <w:sz w:val="24"/>
          <w:szCs w:val="24"/>
          <w:lang w:val="pl-PL"/>
        </w:rPr>
        <w:t>p. Polsce</w:t>
      </w:r>
      <w:r w:rsidR="00A87B0F" w:rsidRPr="00194E8E">
        <w:rPr>
          <w:rFonts w:asciiTheme="minorHAnsi" w:hAnsiTheme="minorHAnsi"/>
          <w:sz w:val="24"/>
          <w:szCs w:val="24"/>
          <w:lang w:val="pl-PL"/>
        </w:rPr>
        <w:t xml:space="preserve"> (skarga nr </w:t>
      </w:r>
      <w:r w:rsidRPr="00194E8E">
        <w:rPr>
          <w:rFonts w:asciiTheme="minorHAnsi" w:hAnsiTheme="minorHAnsi"/>
          <w:sz w:val="24"/>
          <w:szCs w:val="24"/>
          <w:lang w:val="pl-PL"/>
        </w:rPr>
        <w:t>72950/13</w:t>
      </w:r>
      <w:r w:rsidR="00A87B0F" w:rsidRPr="00194E8E">
        <w:rPr>
          <w:rFonts w:asciiTheme="minorHAnsi" w:hAnsiTheme="minorHAnsi"/>
          <w:sz w:val="24"/>
          <w:szCs w:val="24"/>
          <w:lang w:val="pl-PL"/>
        </w:rPr>
        <w:t xml:space="preserve">) – KM przyjął rezolucję końcową </w:t>
      </w:r>
      <w:r w:rsidRPr="00194E8E">
        <w:rPr>
          <w:rFonts w:asciiTheme="minorHAnsi" w:hAnsiTheme="minorHAnsi"/>
          <w:sz w:val="24"/>
          <w:szCs w:val="24"/>
          <w:lang w:val="pl-PL"/>
        </w:rPr>
        <w:t>CM/ResDH(2021)404</w:t>
      </w:r>
      <w:r w:rsidR="00A87B0F" w:rsidRPr="00194E8E">
        <w:rPr>
          <w:rFonts w:asciiTheme="minorHAnsi" w:hAnsiTheme="minorHAnsi"/>
          <w:sz w:val="24"/>
          <w:szCs w:val="24"/>
          <w:lang w:val="pl-PL"/>
        </w:rPr>
        <w:t xml:space="preserve"> podczas swojego </w:t>
      </w:r>
      <w:r w:rsidRPr="00194E8E">
        <w:rPr>
          <w:rFonts w:asciiTheme="minorHAnsi" w:hAnsiTheme="minorHAnsi"/>
          <w:sz w:val="24"/>
          <w:szCs w:val="24"/>
          <w:lang w:val="pl-PL"/>
        </w:rPr>
        <w:t xml:space="preserve">1420 </w:t>
      </w:r>
      <w:r w:rsidR="00A87B0F" w:rsidRPr="00194E8E">
        <w:rPr>
          <w:rFonts w:asciiTheme="minorHAnsi" w:hAnsiTheme="minorHAnsi"/>
          <w:sz w:val="24"/>
          <w:szCs w:val="24"/>
          <w:lang w:val="pl-PL"/>
        </w:rPr>
        <w:t xml:space="preserve">posiedzenia w dniu </w:t>
      </w:r>
      <w:r w:rsidRPr="00194E8E">
        <w:rPr>
          <w:rFonts w:asciiTheme="minorHAnsi" w:hAnsiTheme="minorHAnsi"/>
          <w:sz w:val="24"/>
          <w:szCs w:val="24"/>
          <w:lang w:val="pl-PL"/>
        </w:rPr>
        <w:t>8 grudnia 2021</w:t>
      </w:r>
      <w:r w:rsidR="00A87B0F" w:rsidRPr="00194E8E">
        <w:rPr>
          <w:rFonts w:asciiTheme="minorHAnsi" w:hAnsiTheme="minorHAnsi"/>
          <w:sz w:val="24"/>
          <w:szCs w:val="24"/>
          <w:lang w:val="pl-PL"/>
        </w:rPr>
        <w:t xml:space="preserve"> r.,</w:t>
      </w:r>
    </w:p>
    <w:p w:rsidR="00F35D74" w:rsidRPr="00194E8E" w:rsidRDefault="00F35D74" w:rsidP="00CF7C7E">
      <w:pPr>
        <w:pStyle w:val="Akapitzlist"/>
        <w:numPr>
          <w:ilvl w:val="0"/>
          <w:numId w:val="29"/>
        </w:numPr>
        <w:spacing w:after="120" w:line="240" w:lineRule="auto"/>
        <w:ind w:left="709" w:hanging="425"/>
        <w:jc w:val="both"/>
        <w:rPr>
          <w:rFonts w:asciiTheme="minorHAnsi" w:hAnsiTheme="minorHAnsi"/>
          <w:sz w:val="24"/>
          <w:szCs w:val="24"/>
          <w:lang w:val="pl-PL"/>
        </w:rPr>
      </w:pPr>
      <w:r w:rsidRPr="00194E8E">
        <w:rPr>
          <w:rFonts w:asciiTheme="minorHAnsi" w:hAnsiTheme="minorHAnsi"/>
          <w:b/>
          <w:i/>
          <w:sz w:val="24"/>
          <w:szCs w:val="24"/>
          <w:lang w:val="pl-PL"/>
        </w:rPr>
        <w:t>Lewandowski p. Polsce</w:t>
      </w:r>
      <w:r w:rsidRPr="00194E8E">
        <w:rPr>
          <w:rFonts w:asciiTheme="minorHAnsi" w:hAnsiTheme="minorHAnsi"/>
          <w:sz w:val="24"/>
          <w:szCs w:val="24"/>
          <w:lang w:val="pl-PL"/>
        </w:rPr>
        <w:t xml:space="preserve"> (skarga nr 29848/17) – KM przyjął rezolucję końcową CM/ResDH(2021)404</w:t>
      </w:r>
      <w:r w:rsidR="005871F9" w:rsidRPr="00194E8E">
        <w:rPr>
          <w:rFonts w:asciiTheme="minorHAnsi" w:hAnsiTheme="minorHAnsi"/>
          <w:sz w:val="24"/>
          <w:szCs w:val="24"/>
          <w:lang w:val="pl-PL"/>
        </w:rPr>
        <w:t xml:space="preserve"> </w:t>
      </w:r>
      <w:r w:rsidRPr="00194E8E">
        <w:rPr>
          <w:rFonts w:asciiTheme="minorHAnsi" w:hAnsiTheme="minorHAnsi"/>
          <w:sz w:val="24"/>
          <w:szCs w:val="24"/>
          <w:lang w:val="pl-PL"/>
        </w:rPr>
        <w:t>podczas swojego 1420 posiedzenia w dniu 8 grudnia 2021 r.,</w:t>
      </w:r>
    </w:p>
    <w:p w:rsidR="00F35D74" w:rsidRPr="00194E8E" w:rsidRDefault="00F35D74" w:rsidP="00CF7C7E">
      <w:pPr>
        <w:pStyle w:val="Akapitzlist"/>
        <w:numPr>
          <w:ilvl w:val="0"/>
          <w:numId w:val="29"/>
        </w:numPr>
        <w:spacing w:after="120" w:line="240" w:lineRule="auto"/>
        <w:ind w:left="709" w:hanging="425"/>
        <w:jc w:val="both"/>
        <w:rPr>
          <w:rFonts w:asciiTheme="minorHAnsi" w:hAnsiTheme="minorHAnsi"/>
          <w:sz w:val="24"/>
          <w:szCs w:val="24"/>
          <w:lang w:val="pl-PL"/>
        </w:rPr>
      </w:pPr>
      <w:r w:rsidRPr="00194E8E">
        <w:rPr>
          <w:rFonts w:asciiTheme="minorHAnsi" w:hAnsiTheme="minorHAnsi"/>
          <w:b/>
          <w:i/>
          <w:sz w:val="24"/>
          <w:szCs w:val="24"/>
          <w:lang w:val="pl-PL"/>
        </w:rPr>
        <w:t>Sławiński p. Polsce</w:t>
      </w:r>
      <w:r w:rsidRPr="00194E8E">
        <w:rPr>
          <w:rFonts w:asciiTheme="minorHAnsi" w:hAnsiTheme="minorHAnsi"/>
          <w:sz w:val="24"/>
          <w:szCs w:val="24"/>
          <w:lang w:val="pl-PL"/>
        </w:rPr>
        <w:t xml:space="preserve"> (skarga nr 61039/16)</w:t>
      </w:r>
      <w:r w:rsidR="00910C15">
        <w:rPr>
          <w:rFonts w:asciiTheme="minorHAnsi" w:hAnsiTheme="minorHAnsi"/>
          <w:sz w:val="24"/>
          <w:szCs w:val="24"/>
          <w:lang w:val="pl-PL"/>
        </w:rPr>
        <w:t xml:space="preserve"> – KM przyjął rezolucję końcową</w:t>
      </w:r>
      <w:r w:rsidRPr="00194E8E">
        <w:rPr>
          <w:rFonts w:asciiTheme="minorHAnsi" w:hAnsiTheme="minorHAnsi"/>
          <w:sz w:val="24"/>
          <w:szCs w:val="24"/>
          <w:lang w:val="pl-PL"/>
        </w:rPr>
        <w:t xml:space="preserve"> CM/ResDH(2021)404 podczas swojego 1420 posiedzenia w dniu 8 grudnia 2021 r.,</w:t>
      </w:r>
    </w:p>
    <w:p w:rsidR="00162114" w:rsidRPr="00194E8E" w:rsidRDefault="00D43389" w:rsidP="00CF7C7E">
      <w:pPr>
        <w:pStyle w:val="Akapitzlist"/>
        <w:spacing w:after="120" w:line="240" w:lineRule="auto"/>
        <w:ind w:left="0"/>
        <w:jc w:val="both"/>
        <w:rPr>
          <w:rFonts w:asciiTheme="minorHAnsi" w:hAnsiTheme="minorHAnsi"/>
          <w:sz w:val="24"/>
          <w:szCs w:val="24"/>
          <w:lang w:val="pl-PL"/>
        </w:rPr>
      </w:pPr>
      <w:r w:rsidRPr="00194E8E">
        <w:rPr>
          <w:rFonts w:asciiTheme="minorHAnsi" w:hAnsiTheme="minorHAnsi"/>
          <w:sz w:val="24"/>
          <w:szCs w:val="24"/>
          <w:lang w:val="pl-PL"/>
        </w:rPr>
        <w:t>R</w:t>
      </w:r>
      <w:r w:rsidR="006E5117" w:rsidRPr="00194E8E">
        <w:rPr>
          <w:rFonts w:asciiTheme="minorHAnsi" w:hAnsiTheme="minorHAnsi"/>
          <w:sz w:val="24"/>
          <w:szCs w:val="24"/>
          <w:lang w:val="pl-PL"/>
        </w:rPr>
        <w:t>ezolucje końcowe</w:t>
      </w:r>
      <w:r w:rsidR="00910C15">
        <w:rPr>
          <w:rFonts w:asciiTheme="minorHAnsi" w:hAnsiTheme="minorHAnsi"/>
          <w:sz w:val="24"/>
          <w:szCs w:val="24"/>
          <w:lang w:val="pl-PL"/>
        </w:rPr>
        <w:t>,</w:t>
      </w:r>
      <w:r w:rsidR="006E5117" w:rsidRPr="00194E8E">
        <w:rPr>
          <w:rFonts w:asciiTheme="minorHAnsi" w:hAnsiTheme="minorHAnsi"/>
          <w:sz w:val="24"/>
          <w:szCs w:val="24"/>
          <w:lang w:val="pl-PL"/>
        </w:rPr>
        <w:t xml:space="preserve"> przyjmowane przez KM</w:t>
      </w:r>
      <w:r w:rsidR="00910C15">
        <w:rPr>
          <w:rFonts w:asciiTheme="minorHAnsi" w:hAnsiTheme="minorHAnsi"/>
          <w:sz w:val="24"/>
          <w:szCs w:val="24"/>
          <w:lang w:val="pl-PL"/>
        </w:rPr>
        <w:t>,</w:t>
      </w:r>
      <w:r w:rsidR="006E5117" w:rsidRPr="00194E8E">
        <w:rPr>
          <w:rFonts w:asciiTheme="minorHAnsi" w:hAnsiTheme="minorHAnsi"/>
          <w:sz w:val="24"/>
          <w:szCs w:val="24"/>
          <w:lang w:val="pl-PL"/>
        </w:rPr>
        <w:t xml:space="preserve"> stanowią </w:t>
      </w:r>
      <w:r w:rsidR="00910C15">
        <w:rPr>
          <w:rFonts w:asciiTheme="minorHAnsi" w:hAnsiTheme="minorHAnsi"/>
          <w:sz w:val="24"/>
          <w:szCs w:val="24"/>
          <w:lang w:val="pl-PL"/>
        </w:rPr>
        <w:t>co do zasady</w:t>
      </w:r>
      <w:r w:rsidR="006E5117" w:rsidRPr="00194E8E">
        <w:rPr>
          <w:rFonts w:asciiTheme="minorHAnsi" w:hAnsiTheme="minorHAnsi"/>
          <w:sz w:val="24"/>
          <w:szCs w:val="24"/>
          <w:lang w:val="pl-PL"/>
        </w:rPr>
        <w:t xml:space="preserve"> </w:t>
      </w:r>
      <w:r w:rsidR="0035339C">
        <w:rPr>
          <w:rFonts w:asciiTheme="minorHAnsi" w:hAnsiTheme="minorHAnsi"/>
          <w:sz w:val="24"/>
          <w:szCs w:val="24"/>
          <w:lang w:val="pl-PL"/>
        </w:rPr>
        <w:t>zwięzłe</w:t>
      </w:r>
      <w:r w:rsidRPr="00194E8E">
        <w:rPr>
          <w:rFonts w:asciiTheme="minorHAnsi" w:hAnsiTheme="minorHAnsi"/>
          <w:sz w:val="24"/>
          <w:szCs w:val="24"/>
          <w:lang w:val="pl-PL"/>
        </w:rPr>
        <w:t xml:space="preserve"> </w:t>
      </w:r>
      <w:r w:rsidR="006E5117" w:rsidRPr="00194E8E">
        <w:rPr>
          <w:rFonts w:asciiTheme="minorHAnsi" w:hAnsiTheme="minorHAnsi"/>
          <w:sz w:val="24"/>
          <w:szCs w:val="24"/>
          <w:lang w:val="pl-PL"/>
        </w:rPr>
        <w:t>dokumenty sprowadzające się do stwierdzenia, że państwo przedsięwzięło wszelkie wymagane środki w celu wykonania określonego wyroku, czy też grupy wyroków ETPC, w związku z czym KM zamyka swój nadzór nad wykonaniem tego wyroku</w:t>
      </w:r>
      <w:r w:rsidRPr="00194E8E">
        <w:rPr>
          <w:rFonts w:asciiTheme="minorHAnsi" w:hAnsiTheme="minorHAnsi"/>
          <w:sz w:val="24"/>
          <w:szCs w:val="24"/>
          <w:lang w:val="pl-PL"/>
        </w:rPr>
        <w:t xml:space="preserve">. Dlatego też w ocenie Pełnomocnika </w:t>
      </w:r>
      <w:r w:rsidR="00910C15">
        <w:rPr>
          <w:rFonts w:asciiTheme="minorHAnsi" w:hAnsiTheme="minorHAnsi"/>
          <w:sz w:val="24"/>
          <w:szCs w:val="24"/>
          <w:lang w:val="pl-PL"/>
        </w:rPr>
        <w:t>brak jest</w:t>
      </w:r>
      <w:r w:rsidR="006E5117" w:rsidRPr="00194E8E">
        <w:rPr>
          <w:rFonts w:asciiTheme="minorHAnsi" w:hAnsiTheme="minorHAnsi"/>
          <w:sz w:val="24"/>
          <w:szCs w:val="24"/>
          <w:lang w:val="pl-PL"/>
        </w:rPr>
        <w:t xml:space="preserve"> potrzeby dołączania do Raportu tekstów poszczególnych rezolucji</w:t>
      </w:r>
      <w:r w:rsidRPr="00194E8E">
        <w:rPr>
          <w:rFonts w:asciiTheme="minorHAnsi" w:hAnsiTheme="minorHAnsi"/>
          <w:sz w:val="24"/>
          <w:szCs w:val="24"/>
          <w:lang w:val="pl-PL"/>
        </w:rPr>
        <w:t>. P</w:t>
      </w:r>
      <w:r w:rsidR="006E5117" w:rsidRPr="00194E8E">
        <w:rPr>
          <w:rFonts w:asciiTheme="minorHAnsi" w:hAnsiTheme="minorHAnsi"/>
          <w:sz w:val="24"/>
          <w:szCs w:val="24"/>
          <w:lang w:val="pl-PL"/>
        </w:rPr>
        <w:t>ełna treść wszystkich raportów z w</w:t>
      </w:r>
      <w:r w:rsidR="00D95ED2" w:rsidRPr="00194E8E">
        <w:rPr>
          <w:rFonts w:asciiTheme="minorHAnsi" w:hAnsiTheme="minorHAnsi"/>
          <w:sz w:val="24"/>
          <w:szCs w:val="24"/>
          <w:lang w:val="pl-PL"/>
        </w:rPr>
        <w:t>ykonania przedstawionych przez R</w:t>
      </w:r>
      <w:r w:rsidR="006E5117" w:rsidRPr="00194E8E">
        <w:rPr>
          <w:rFonts w:asciiTheme="minorHAnsi" w:hAnsiTheme="minorHAnsi"/>
          <w:sz w:val="24"/>
          <w:szCs w:val="24"/>
          <w:lang w:val="pl-PL"/>
        </w:rPr>
        <w:t xml:space="preserve">ząd Komitetowi Ministrów </w:t>
      </w:r>
      <w:r w:rsidR="00D95ED2" w:rsidRPr="00194E8E">
        <w:rPr>
          <w:rFonts w:asciiTheme="minorHAnsi" w:hAnsiTheme="minorHAnsi"/>
          <w:sz w:val="24"/>
          <w:szCs w:val="24"/>
          <w:lang w:val="pl-PL"/>
        </w:rPr>
        <w:t xml:space="preserve">RE </w:t>
      </w:r>
      <w:r w:rsidR="006E5117" w:rsidRPr="00194E8E">
        <w:rPr>
          <w:rFonts w:asciiTheme="minorHAnsi" w:hAnsiTheme="minorHAnsi"/>
          <w:sz w:val="24"/>
          <w:szCs w:val="24"/>
          <w:lang w:val="pl-PL"/>
        </w:rPr>
        <w:t xml:space="preserve">w okresie sprawozdawczym, została dołączona do niniejszego Raportu </w:t>
      </w:r>
      <w:r w:rsidR="009B6D29" w:rsidRPr="00194E8E">
        <w:rPr>
          <w:rFonts w:asciiTheme="minorHAnsi" w:hAnsiTheme="minorHAnsi"/>
          <w:sz w:val="24"/>
          <w:szCs w:val="24"/>
          <w:lang w:val="pl-PL"/>
        </w:rPr>
        <w:t>w postaci Załącznika C</w:t>
      </w:r>
      <w:r w:rsidR="006E5117" w:rsidRPr="00194E8E">
        <w:rPr>
          <w:rFonts w:asciiTheme="minorHAnsi" w:hAnsiTheme="minorHAnsi"/>
          <w:sz w:val="24"/>
          <w:szCs w:val="24"/>
          <w:lang w:val="pl-PL"/>
        </w:rPr>
        <w:t>.</w:t>
      </w:r>
    </w:p>
    <w:p w:rsidR="00DD0730" w:rsidRPr="00CF7C7E" w:rsidRDefault="00DD0730" w:rsidP="00910C15">
      <w:pPr>
        <w:pStyle w:val="Nagwek1"/>
        <w:spacing w:before="240" w:after="120"/>
        <w:ind w:left="709" w:hanging="425"/>
        <w:rPr>
          <w:rFonts w:asciiTheme="minorHAnsi" w:hAnsiTheme="minorHAnsi"/>
          <w:color w:val="000000" w:themeColor="text1"/>
          <w:lang w:val="pl-PL"/>
        </w:rPr>
      </w:pPr>
      <w:bookmarkStart w:id="4" w:name="_Toc112058302"/>
      <w:r w:rsidRPr="00CF7C7E">
        <w:rPr>
          <w:rFonts w:asciiTheme="minorHAnsi" w:hAnsiTheme="minorHAnsi"/>
          <w:color w:val="000000" w:themeColor="text1"/>
          <w:lang w:val="pl-PL"/>
        </w:rPr>
        <w:t>Decyzje Komitetu Ministrów wydane w 20</w:t>
      </w:r>
      <w:r w:rsidR="00C121BB" w:rsidRPr="00CF7C7E">
        <w:rPr>
          <w:rFonts w:asciiTheme="minorHAnsi" w:hAnsiTheme="minorHAnsi"/>
          <w:color w:val="000000" w:themeColor="text1"/>
          <w:lang w:val="pl-PL"/>
        </w:rPr>
        <w:t>2</w:t>
      </w:r>
      <w:r w:rsidR="00D43389" w:rsidRPr="00CF7C7E">
        <w:rPr>
          <w:rFonts w:asciiTheme="minorHAnsi" w:hAnsiTheme="minorHAnsi"/>
          <w:color w:val="000000" w:themeColor="text1"/>
          <w:lang w:val="pl-PL"/>
        </w:rPr>
        <w:t>1</w:t>
      </w:r>
      <w:r w:rsidRPr="00CF7C7E">
        <w:rPr>
          <w:rFonts w:asciiTheme="minorHAnsi" w:hAnsiTheme="minorHAnsi"/>
          <w:color w:val="000000" w:themeColor="text1"/>
          <w:lang w:val="pl-PL"/>
        </w:rPr>
        <w:t xml:space="preserve"> r. w sprawie realizacji niektórych wyroków </w:t>
      </w:r>
      <w:r w:rsidR="00BA13ED">
        <w:rPr>
          <w:rFonts w:asciiTheme="minorHAnsi" w:hAnsiTheme="minorHAnsi"/>
          <w:color w:val="000000" w:themeColor="text1"/>
          <w:lang w:val="pl-PL"/>
        </w:rPr>
        <w:t>ETPC</w:t>
      </w:r>
      <w:r w:rsidRPr="00CF7C7E">
        <w:rPr>
          <w:rFonts w:asciiTheme="minorHAnsi" w:hAnsiTheme="minorHAnsi"/>
          <w:color w:val="000000" w:themeColor="text1"/>
          <w:lang w:val="pl-PL"/>
        </w:rPr>
        <w:t xml:space="preserve"> w sprawach polskich</w:t>
      </w:r>
      <w:bookmarkEnd w:id="4"/>
      <w:r w:rsidRPr="00CF7C7E">
        <w:rPr>
          <w:rFonts w:asciiTheme="minorHAnsi" w:hAnsiTheme="minorHAnsi"/>
          <w:color w:val="000000" w:themeColor="text1"/>
          <w:lang w:val="pl-PL"/>
        </w:rPr>
        <w:t xml:space="preserve"> </w:t>
      </w:r>
    </w:p>
    <w:p w:rsidR="00910C15" w:rsidRPr="00CF7C7E" w:rsidRDefault="00DD0730" w:rsidP="00CF7C7E">
      <w:pPr>
        <w:pStyle w:val="Akapitzlist"/>
        <w:spacing w:after="120" w:line="240" w:lineRule="auto"/>
        <w:ind w:left="0"/>
        <w:jc w:val="both"/>
        <w:rPr>
          <w:rFonts w:asciiTheme="minorHAnsi" w:hAnsiTheme="minorHAnsi"/>
          <w:color w:val="000000" w:themeColor="text1"/>
          <w:sz w:val="24"/>
          <w:szCs w:val="24"/>
          <w:lang w:val="pl-PL"/>
        </w:rPr>
      </w:pPr>
      <w:r w:rsidRPr="00CF7C7E">
        <w:rPr>
          <w:rFonts w:asciiTheme="minorHAnsi" w:hAnsiTheme="minorHAnsi"/>
          <w:color w:val="000000" w:themeColor="text1"/>
          <w:sz w:val="24"/>
          <w:szCs w:val="24"/>
          <w:lang w:val="pl-PL"/>
        </w:rPr>
        <w:t>W okresie sprawozdawczym K</w:t>
      </w:r>
      <w:r w:rsidR="000F3CC4" w:rsidRPr="00CF7C7E">
        <w:rPr>
          <w:rFonts w:asciiTheme="minorHAnsi" w:hAnsiTheme="minorHAnsi"/>
          <w:color w:val="000000" w:themeColor="text1"/>
          <w:sz w:val="24"/>
          <w:szCs w:val="24"/>
          <w:lang w:val="pl-PL"/>
        </w:rPr>
        <w:t xml:space="preserve">omitet </w:t>
      </w:r>
      <w:r w:rsidRPr="00CF7C7E">
        <w:rPr>
          <w:rFonts w:asciiTheme="minorHAnsi" w:hAnsiTheme="minorHAnsi"/>
          <w:color w:val="000000" w:themeColor="text1"/>
          <w:sz w:val="24"/>
          <w:szCs w:val="24"/>
          <w:lang w:val="pl-PL"/>
        </w:rPr>
        <w:t>M</w:t>
      </w:r>
      <w:r w:rsidR="000F3CC4" w:rsidRPr="00CF7C7E">
        <w:rPr>
          <w:rFonts w:asciiTheme="minorHAnsi" w:hAnsiTheme="minorHAnsi"/>
          <w:color w:val="000000" w:themeColor="text1"/>
          <w:sz w:val="24"/>
          <w:szCs w:val="24"/>
          <w:lang w:val="pl-PL"/>
        </w:rPr>
        <w:t>inistrów</w:t>
      </w:r>
      <w:r w:rsidRPr="00CF7C7E">
        <w:rPr>
          <w:rFonts w:asciiTheme="minorHAnsi" w:hAnsiTheme="minorHAnsi"/>
          <w:color w:val="000000" w:themeColor="text1"/>
          <w:sz w:val="24"/>
          <w:szCs w:val="24"/>
          <w:lang w:val="pl-PL"/>
        </w:rPr>
        <w:t xml:space="preserve"> </w:t>
      </w:r>
      <w:r w:rsidR="000F3CC4" w:rsidRPr="00CF7C7E">
        <w:rPr>
          <w:rFonts w:asciiTheme="minorHAnsi" w:hAnsiTheme="minorHAnsi"/>
          <w:color w:val="000000" w:themeColor="text1"/>
          <w:sz w:val="24"/>
          <w:szCs w:val="24"/>
          <w:lang w:val="pl-PL"/>
        </w:rPr>
        <w:t xml:space="preserve">RE przyjął </w:t>
      </w:r>
      <w:r w:rsidR="003F00C7" w:rsidRPr="00CF7C7E">
        <w:rPr>
          <w:rFonts w:asciiTheme="minorHAnsi" w:hAnsiTheme="minorHAnsi"/>
          <w:color w:val="000000" w:themeColor="text1"/>
          <w:sz w:val="24"/>
          <w:szCs w:val="24"/>
          <w:lang w:val="pl-PL"/>
        </w:rPr>
        <w:t>4 decyzje</w:t>
      </w:r>
      <w:r w:rsidRPr="00CF7C7E">
        <w:rPr>
          <w:rFonts w:asciiTheme="minorHAnsi" w:hAnsiTheme="minorHAnsi"/>
          <w:color w:val="000000" w:themeColor="text1"/>
          <w:sz w:val="24"/>
          <w:szCs w:val="24"/>
          <w:lang w:val="pl-PL"/>
        </w:rPr>
        <w:t xml:space="preserve">, w których ocenił stan wykonania wyroków w </w:t>
      </w:r>
      <w:r w:rsidR="000F3CC4" w:rsidRPr="00CF7C7E">
        <w:rPr>
          <w:rFonts w:asciiTheme="minorHAnsi" w:hAnsiTheme="minorHAnsi"/>
          <w:color w:val="000000" w:themeColor="text1"/>
          <w:sz w:val="24"/>
          <w:szCs w:val="24"/>
          <w:lang w:val="pl-PL"/>
        </w:rPr>
        <w:t xml:space="preserve">następujących </w:t>
      </w:r>
      <w:r w:rsidRPr="00CF7C7E">
        <w:rPr>
          <w:rFonts w:asciiTheme="minorHAnsi" w:hAnsiTheme="minorHAnsi"/>
          <w:color w:val="000000" w:themeColor="text1"/>
          <w:sz w:val="24"/>
          <w:szCs w:val="24"/>
          <w:lang w:val="pl-PL"/>
        </w:rPr>
        <w:t>polskich sprawach</w:t>
      </w:r>
      <w:r w:rsidR="000F3CC4" w:rsidRPr="00CF7C7E">
        <w:rPr>
          <w:rFonts w:asciiTheme="minorHAnsi" w:hAnsiTheme="minorHAnsi"/>
          <w:color w:val="000000" w:themeColor="text1"/>
          <w:sz w:val="24"/>
          <w:szCs w:val="24"/>
          <w:lang w:val="pl-PL"/>
        </w:rPr>
        <w:t xml:space="preserve">/grupach spraw: </w:t>
      </w:r>
      <w:r w:rsidR="007E4415" w:rsidRPr="00CF7C7E">
        <w:rPr>
          <w:rFonts w:asciiTheme="minorHAnsi" w:hAnsiTheme="minorHAnsi"/>
          <w:color w:val="000000" w:themeColor="text1"/>
          <w:sz w:val="24"/>
          <w:szCs w:val="24"/>
          <w:lang w:val="pl-PL"/>
        </w:rPr>
        <w:t>spraw</w:t>
      </w:r>
      <w:r w:rsidR="0035339C" w:rsidRPr="00CF7C7E">
        <w:rPr>
          <w:rFonts w:asciiTheme="minorHAnsi" w:hAnsiTheme="minorHAnsi"/>
          <w:color w:val="000000" w:themeColor="text1"/>
          <w:sz w:val="24"/>
          <w:szCs w:val="24"/>
          <w:lang w:val="pl-PL"/>
        </w:rPr>
        <w:t>y</w:t>
      </w:r>
      <w:r w:rsidR="007E4415" w:rsidRPr="00CF7C7E">
        <w:rPr>
          <w:rFonts w:asciiTheme="minorHAnsi" w:hAnsiTheme="minorHAnsi"/>
          <w:color w:val="000000" w:themeColor="text1"/>
          <w:sz w:val="24"/>
          <w:szCs w:val="24"/>
          <w:lang w:val="pl-PL"/>
        </w:rPr>
        <w:t xml:space="preserve"> </w:t>
      </w:r>
      <w:r w:rsidR="0035339C" w:rsidRPr="00CF7C7E">
        <w:rPr>
          <w:rFonts w:asciiTheme="minorHAnsi" w:hAnsiTheme="minorHAnsi"/>
          <w:i/>
          <w:color w:val="000000" w:themeColor="text1"/>
          <w:sz w:val="24"/>
          <w:szCs w:val="24"/>
          <w:lang w:val="pl-PL"/>
        </w:rPr>
        <w:t>Tysiąc,</w:t>
      </w:r>
      <w:r w:rsidR="0035339C" w:rsidRPr="00CF7C7E">
        <w:rPr>
          <w:rFonts w:asciiTheme="minorHAnsi" w:hAnsiTheme="minorHAnsi"/>
          <w:color w:val="000000" w:themeColor="text1"/>
          <w:sz w:val="24"/>
          <w:szCs w:val="24"/>
          <w:lang w:val="pl-PL"/>
        </w:rPr>
        <w:t xml:space="preserve"> </w:t>
      </w:r>
      <w:r w:rsidR="0035339C" w:rsidRPr="00CF7C7E">
        <w:rPr>
          <w:rFonts w:asciiTheme="minorHAnsi" w:hAnsiTheme="minorHAnsi"/>
          <w:i/>
          <w:color w:val="000000" w:themeColor="text1"/>
          <w:sz w:val="24"/>
          <w:szCs w:val="24"/>
          <w:lang w:val="pl-PL"/>
        </w:rPr>
        <w:t xml:space="preserve">R.R i </w:t>
      </w:r>
      <w:r w:rsidR="007E4415" w:rsidRPr="00CF7C7E">
        <w:rPr>
          <w:rFonts w:asciiTheme="minorHAnsi" w:hAnsiTheme="minorHAnsi"/>
          <w:i/>
          <w:color w:val="000000" w:themeColor="text1"/>
          <w:sz w:val="24"/>
          <w:szCs w:val="24"/>
          <w:lang w:val="pl-PL"/>
        </w:rPr>
        <w:t>P. i S.</w:t>
      </w:r>
      <w:r w:rsidR="007E4415" w:rsidRPr="00CF7C7E">
        <w:rPr>
          <w:rFonts w:asciiTheme="minorHAnsi" w:hAnsiTheme="minorHAnsi"/>
          <w:color w:val="000000" w:themeColor="text1"/>
          <w:sz w:val="24"/>
          <w:szCs w:val="24"/>
          <w:lang w:val="pl-PL"/>
        </w:rPr>
        <w:t xml:space="preserve">, grupa spraw </w:t>
      </w:r>
      <w:r w:rsidR="000F3CC4" w:rsidRPr="00CF7C7E">
        <w:rPr>
          <w:rFonts w:asciiTheme="minorHAnsi" w:hAnsiTheme="minorHAnsi"/>
          <w:i/>
          <w:color w:val="000000" w:themeColor="text1"/>
          <w:sz w:val="24"/>
          <w:szCs w:val="24"/>
          <w:lang w:val="pl-PL"/>
        </w:rPr>
        <w:t>Al Nashiri</w:t>
      </w:r>
      <w:r w:rsidR="000F3CC4" w:rsidRPr="00CF7C7E">
        <w:rPr>
          <w:rFonts w:asciiTheme="minorHAnsi" w:hAnsiTheme="minorHAnsi"/>
          <w:color w:val="000000" w:themeColor="text1"/>
          <w:sz w:val="24"/>
          <w:szCs w:val="24"/>
          <w:lang w:val="pl-PL"/>
        </w:rPr>
        <w:t xml:space="preserve"> i </w:t>
      </w:r>
      <w:r w:rsidR="000F3CC4" w:rsidRPr="00CF7C7E">
        <w:rPr>
          <w:rFonts w:asciiTheme="minorHAnsi" w:hAnsiTheme="minorHAnsi"/>
          <w:i/>
          <w:color w:val="000000" w:themeColor="text1"/>
          <w:sz w:val="24"/>
          <w:szCs w:val="24"/>
          <w:lang w:val="pl-PL"/>
        </w:rPr>
        <w:t>Abu Zubaydah</w:t>
      </w:r>
      <w:r w:rsidR="00C121BB" w:rsidRPr="00CF7C7E">
        <w:rPr>
          <w:rFonts w:asciiTheme="minorHAnsi" w:hAnsiTheme="minorHAnsi"/>
          <w:color w:val="000000" w:themeColor="text1"/>
          <w:sz w:val="24"/>
          <w:szCs w:val="24"/>
          <w:lang w:val="pl-PL"/>
        </w:rPr>
        <w:t xml:space="preserve">, </w:t>
      </w:r>
      <w:r w:rsidR="00D95ED2" w:rsidRPr="00CF7C7E">
        <w:rPr>
          <w:rFonts w:asciiTheme="minorHAnsi" w:hAnsiTheme="minorHAnsi"/>
          <w:color w:val="000000" w:themeColor="text1"/>
          <w:sz w:val="24"/>
          <w:szCs w:val="24"/>
          <w:lang w:val="pl-PL"/>
        </w:rPr>
        <w:t xml:space="preserve">sprawa </w:t>
      </w:r>
      <w:r w:rsidR="00D43389" w:rsidRPr="00CF7C7E">
        <w:rPr>
          <w:rFonts w:asciiTheme="minorHAnsi" w:hAnsiTheme="minorHAnsi"/>
          <w:i/>
          <w:color w:val="000000" w:themeColor="text1"/>
          <w:sz w:val="24"/>
          <w:szCs w:val="24"/>
          <w:lang w:val="pl-PL"/>
        </w:rPr>
        <w:t>Grabowski p. Polsce</w:t>
      </w:r>
      <w:r w:rsidR="00C121BB" w:rsidRPr="00CF7C7E">
        <w:rPr>
          <w:rFonts w:asciiTheme="minorHAnsi" w:hAnsiTheme="minorHAnsi"/>
          <w:color w:val="000000" w:themeColor="text1"/>
          <w:sz w:val="24"/>
          <w:szCs w:val="24"/>
          <w:lang w:val="pl-PL"/>
        </w:rPr>
        <w:t>.</w:t>
      </w:r>
      <w:r w:rsidRPr="00CF7C7E">
        <w:rPr>
          <w:rFonts w:asciiTheme="minorHAnsi" w:hAnsiTheme="minorHAnsi"/>
          <w:color w:val="000000" w:themeColor="text1"/>
          <w:sz w:val="24"/>
          <w:szCs w:val="24"/>
          <w:lang w:val="pl-PL"/>
        </w:rPr>
        <w:t xml:space="preserve"> </w:t>
      </w:r>
    </w:p>
    <w:p w:rsidR="00DD0730" w:rsidRPr="00CF7C7E" w:rsidRDefault="00DD0730" w:rsidP="00CF7C7E">
      <w:pPr>
        <w:pStyle w:val="Akapitzlist"/>
        <w:spacing w:after="120" w:line="240" w:lineRule="auto"/>
        <w:ind w:left="0"/>
        <w:jc w:val="both"/>
        <w:rPr>
          <w:rFonts w:asciiTheme="minorHAnsi" w:hAnsiTheme="minorHAnsi"/>
          <w:color w:val="000000" w:themeColor="text1"/>
          <w:sz w:val="24"/>
          <w:szCs w:val="24"/>
          <w:lang w:val="pl-PL"/>
        </w:rPr>
      </w:pPr>
      <w:r w:rsidRPr="00CF7C7E">
        <w:rPr>
          <w:rFonts w:asciiTheme="minorHAnsi" w:hAnsiTheme="minorHAnsi"/>
          <w:color w:val="000000" w:themeColor="text1"/>
          <w:sz w:val="24"/>
          <w:szCs w:val="24"/>
          <w:lang w:val="pl-PL"/>
        </w:rPr>
        <w:t>Treść decyzji</w:t>
      </w:r>
      <w:r w:rsidR="00162114" w:rsidRPr="00CF7C7E">
        <w:rPr>
          <w:rFonts w:asciiTheme="minorHAnsi" w:hAnsiTheme="minorHAnsi"/>
          <w:color w:val="000000" w:themeColor="text1"/>
          <w:sz w:val="24"/>
          <w:szCs w:val="24"/>
          <w:lang w:val="pl-PL"/>
        </w:rPr>
        <w:t xml:space="preserve"> przetłumaczonych na język polski</w:t>
      </w:r>
      <w:r w:rsidRPr="00CF7C7E">
        <w:rPr>
          <w:rFonts w:asciiTheme="minorHAnsi" w:hAnsiTheme="minorHAnsi"/>
          <w:color w:val="000000" w:themeColor="text1"/>
          <w:sz w:val="24"/>
          <w:szCs w:val="24"/>
          <w:lang w:val="pl-PL"/>
        </w:rPr>
        <w:t xml:space="preserve"> została przedstawiona w całości poniżej.</w:t>
      </w:r>
      <w:r w:rsidR="00162114" w:rsidRPr="00CF7C7E">
        <w:rPr>
          <w:rFonts w:asciiTheme="minorHAnsi" w:hAnsiTheme="minorHAnsi"/>
          <w:color w:val="000000" w:themeColor="text1"/>
          <w:sz w:val="24"/>
          <w:szCs w:val="24"/>
          <w:lang w:val="pl-PL"/>
        </w:rPr>
        <w:t xml:space="preserve"> </w:t>
      </w:r>
    </w:p>
    <w:p w:rsidR="00D07F92" w:rsidRDefault="00D07F92" w:rsidP="00226AAA">
      <w:pPr>
        <w:pStyle w:val="Akapitzlist"/>
        <w:numPr>
          <w:ilvl w:val="0"/>
          <w:numId w:val="8"/>
        </w:numPr>
        <w:spacing w:before="240" w:after="120" w:line="240" w:lineRule="auto"/>
        <w:ind w:left="709" w:hanging="425"/>
        <w:jc w:val="both"/>
        <w:rPr>
          <w:rFonts w:asciiTheme="minorHAnsi" w:hAnsiTheme="minorHAnsi"/>
          <w:b/>
          <w:sz w:val="24"/>
          <w:szCs w:val="24"/>
          <w:lang w:val="pl-PL"/>
        </w:rPr>
      </w:pPr>
      <w:r w:rsidRPr="00910C15">
        <w:rPr>
          <w:rFonts w:asciiTheme="minorHAnsi" w:hAnsiTheme="minorHAnsi"/>
          <w:b/>
          <w:sz w:val="24"/>
          <w:szCs w:val="24"/>
          <w:lang w:val="pl-PL"/>
        </w:rPr>
        <w:t xml:space="preserve">Decyzja z dnia </w:t>
      </w:r>
      <w:r w:rsidR="00B54BE1" w:rsidRPr="00910C15">
        <w:rPr>
          <w:rFonts w:asciiTheme="minorHAnsi" w:hAnsiTheme="minorHAnsi"/>
          <w:b/>
          <w:sz w:val="24"/>
          <w:szCs w:val="24"/>
          <w:lang w:val="pl-PL"/>
        </w:rPr>
        <w:t xml:space="preserve">11 marca </w:t>
      </w:r>
      <w:r w:rsidRPr="00910C15">
        <w:rPr>
          <w:rFonts w:asciiTheme="minorHAnsi" w:hAnsiTheme="minorHAnsi"/>
          <w:b/>
          <w:sz w:val="24"/>
          <w:szCs w:val="24"/>
          <w:lang w:val="pl-PL"/>
        </w:rPr>
        <w:t>202</w:t>
      </w:r>
      <w:r w:rsidR="00B54BE1" w:rsidRPr="00910C15">
        <w:rPr>
          <w:rFonts w:asciiTheme="minorHAnsi" w:hAnsiTheme="minorHAnsi"/>
          <w:b/>
          <w:sz w:val="24"/>
          <w:szCs w:val="24"/>
          <w:lang w:val="pl-PL"/>
        </w:rPr>
        <w:t>1</w:t>
      </w:r>
      <w:r w:rsidRPr="00910C15">
        <w:rPr>
          <w:rFonts w:asciiTheme="minorHAnsi" w:hAnsiTheme="minorHAnsi"/>
          <w:b/>
          <w:sz w:val="24"/>
          <w:szCs w:val="24"/>
          <w:lang w:val="pl-PL"/>
        </w:rPr>
        <w:t xml:space="preserve"> r. w sprawach </w:t>
      </w:r>
      <w:r w:rsidR="00B54BE1" w:rsidRPr="00910C15">
        <w:rPr>
          <w:rFonts w:asciiTheme="minorHAnsi" w:hAnsiTheme="minorHAnsi"/>
          <w:b/>
          <w:i/>
          <w:sz w:val="24"/>
          <w:szCs w:val="24"/>
          <w:lang w:val="pl-PL"/>
        </w:rPr>
        <w:t>P</w:t>
      </w:r>
      <w:r w:rsidR="003F00C7" w:rsidRPr="00910C15">
        <w:rPr>
          <w:rFonts w:asciiTheme="minorHAnsi" w:hAnsiTheme="minorHAnsi"/>
          <w:b/>
          <w:i/>
          <w:sz w:val="24"/>
          <w:szCs w:val="24"/>
          <w:lang w:val="pl-PL"/>
        </w:rPr>
        <w:t xml:space="preserve"> </w:t>
      </w:r>
      <w:r w:rsidR="00B54BE1" w:rsidRPr="00910C15">
        <w:rPr>
          <w:rFonts w:asciiTheme="minorHAnsi" w:hAnsiTheme="minorHAnsi"/>
          <w:b/>
          <w:i/>
          <w:sz w:val="24"/>
          <w:szCs w:val="24"/>
          <w:lang w:val="pl-PL"/>
        </w:rPr>
        <w:t xml:space="preserve">i S. p. Polsce, Tysiąc p. Polsce </w:t>
      </w:r>
      <w:r w:rsidR="00B54BE1" w:rsidRPr="00910C15">
        <w:rPr>
          <w:rFonts w:asciiTheme="minorHAnsi" w:hAnsiTheme="minorHAnsi"/>
          <w:b/>
          <w:sz w:val="24"/>
          <w:szCs w:val="24"/>
          <w:lang w:val="pl-PL"/>
        </w:rPr>
        <w:t>i</w:t>
      </w:r>
      <w:r w:rsidR="00B54BE1" w:rsidRPr="00910C15">
        <w:rPr>
          <w:rFonts w:asciiTheme="minorHAnsi" w:hAnsiTheme="minorHAnsi"/>
          <w:b/>
          <w:i/>
          <w:sz w:val="24"/>
          <w:szCs w:val="24"/>
          <w:lang w:val="pl-PL"/>
        </w:rPr>
        <w:t xml:space="preserve"> R.R. p. Polsce</w:t>
      </w:r>
      <w:r w:rsidR="00B54BE1" w:rsidRPr="00910C15">
        <w:rPr>
          <w:rFonts w:asciiTheme="minorHAnsi" w:hAnsiTheme="minorHAnsi"/>
          <w:b/>
          <w:sz w:val="24"/>
          <w:szCs w:val="24"/>
          <w:lang w:val="pl-PL"/>
        </w:rPr>
        <w:t xml:space="preserve"> (CM/Del/Dec(2021)1398/H46-18), </w:t>
      </w:r>
      <w:r w:rsidRPr="00910C15">
        <w:rPr>
          <w:rFonts w:asciiTheme="minorHAnsi" w:hAnsiTheme="minorHAnsi"/>
          <w:b/>
          <w:sz w:val="24"/>
          <w:szCs w:val="24"/>
          <w:lang w:val="pl-PL"/>
        </w:rPr>
        <w:t xml:space="preserve">w której delegaci do KM: </w:t>
      </w:r>
    </w:p>
    <w:p w:rsidR="00CF7C7E" w:rsidRPr="00CF7C7E" w:rsidRDefault="00CF7C7E" w:rsidP="005D6FA3">
      <w:pPr>
        <w:pStyle w:val="Akapitzlist"/>
        <w:spacing w:after="120" w:line="240" w:lineRule="auto"/>
        <w:ind w:left="709"/>
        <w:jc w:val="both"/>
        <w:rPr>
          <w:rFonts w:asciiTheme="minorHAnsi" w:hAnsiTheme="minorHAnsi"/>
          <w:sz w:val="24"/>
          <w:szCs w:val="24"/>
          <w:lang w:val="pl-PL"/>
        </w:rPr>
      </w:pPr>
      <w:r w:rsidRPr="00CF7C7E">
        <w:rPr>
          <w:rFonts w:asciiTheme="minorHAnsi" w:hAnsiTheme="minorHAnsi"/>
          <w:sz w:val="24"/>
          <w:szCs w:val="24"/>
          <w:lang w:val="pl-PL"/>
        </w:rPr>
        <w:t>Zastępcy</w:t>
      </w:r>
    </w:p>
    <w:p w:rsidR="00B54BE1" w:rsidRPr="00194E8E" w:rsidRDefault="00B54BE1" w:rsidP="005D6FA3">
      <w:pPr>
        <w:pStyle w:val="Akapitzlist"/>
        <w:numPr>
          <w:ilvl w:val="0"/>
          <w:numId w:val="18"/>
        </w:numPr>
        <w:spacing w:after="120" w:line="240" w:lineRule="auto"/>
        <w:ind w:left="1134" w:hanging="425"/>
        <w:jc w:val="both"/>
        <w:rPr>
          <w:rFonts w:asciiTheme="minorHAnsi" w:hAnsiTheme="minorHAnsi"/>
          <w:sz w:val="24"/>
          <w:szCs w:val="24"/>
          <w:lang w:val="pl-PL"/>
        </w:rPr>
      </w:pPr>
      <w:r w:rsidRPr="00194E8E">
        <w:rPr>
          <w:rFonts w:asciiTheme="minorHAnsi" w:hAnsiTheme="minorHAnsi"/>
          <w:sz w:val="24"/>
          <w:szCs w:val="24"/>
          <w:lang w:val="pl-PL"/>
        </w:rPr>
        <w:t>z zadowoleniem przyjęli udział Sekretarza Stanu M</w:t>
      </w:r>
      <w:r w:rsidR="007D399F" w:rsidRPr="00194E8E">
        <w:rPr>
          <w:rFonts w:asciiTheme="minorHAnsi" w:hAnsiTheme="minorHAnsi"/>
          <w:sz w:val="24"/>
          <w:szCs w:val="24"/>
          <w:lang w:val="pl-PL"/>
        </w:rPr>
        <w:t>inisterstwa Zdrowia w posiedzeniu;</w:t>
      </w:r>
    </w:p>
    <w:p w:rsidR="007D399F" w:rsidRPr="00194E8E" w:rsidRDefault="007D399F" w:rsidP="005D6FA3">
      <w:pPr>
        <w:pStyle w:val="Akapitzlist"/>
        <w:numPr>
          <w:ilvl w:val="0"/>
          <w:numId w:val="18"/>
        </w:numPr>
        <w:spacing w:after="120" w:line="240" w:lineRule="auto"/>
        <w:ind w:left="1134" w:hanging="425"/>
        <w:jc w:val="both"/>
        <w:rPr>
          <w:rFonts w:asciiTheme="minorHAnsi" w:hAnsiTheme="minorHAnsi"/>
          <w:sz w:val="24"/>
          <w:szCs w:val="24"/>
          <w:lang w:val="pl-PL"/>
        </w:rPr>
      </w:pPr>
      <w:r w:rsidRPr="00194E8E">
        <w:rPr>
          <w:rFonts w:asciiTheme="minorHAnsi" w:hAnsiTheme="minorHAnsi"/>
          <w:sz w:val="24"/>
          <w:szCs w:val="24"/>
          <w:lang w:val="pl-PL"/>
        </w:rPr>
        <w:t>przyjęli Rezolucję Tymczasową CM/ResDH(2021)44.</w:t>
      </w:r>
    </w:p>
    <w:p w:rsidR="007D399F" w:rsidRPr="00194E8E" w:rsidRDefault="007D399F" w:rsidP="005D6FA3">
      <w:pPr>
        <w:spacing w:after="120"/>
        <w:ind w:left="709"/>
        <w:jc w:val="both"/>
        <w:rPr>
          <w:rFonts w:asciiTheme="minorHAnsi" w:hAnsiTheme="minorHAnsi"/>
          <w:b/>
        </w:rPr>
      </w:pPr>
      <w:r w:rsidRPr="00194E8E">
        <w:rPr>
          <w:rFonts w:asciiTheme="minorHAnsi" w:hAnsiTheme="minorHAnsi"/>
          <w:b/>
        </w:rPr>
        <w:lastRenderedPageBreak/>
        <w:t xml:space="preserve">Rezolucja Tymczasowa </w:t>
      </w:r>
      <w:r w:rsidRPr="00194E8E">
        <w:rPr>
          <w:rFonts w:asciiTheme="minorHAnsi" w:eastAsia="Calibri" w:hAnsiTheme="minorHAnsi"/>
          <w:b/>
        </w:rPr>
        <w:t>CM/ResDH(2021)44</w:t>
      </w:r>
      <w:r w:rsidRPr="00194E8E">
        <w:rPr>
          <w:rFonts w:asciiTheme="minorHAnsi" w:hAnsiTheme="minorHAnsi"/>
          <w:b/>
        </w:rPr>
        <w:t>.</w:t>
      </w:r>
    </w:p>
    <w:p w:rsidR="00B54BE1" w:rsidRPr="00194E8E" w:rsidRDefault="007D399F" w:rsidP="005D6FA3">
      <w:pPr>
        <w:spacing w:after="120"/>
        <w:ind w:left="709"/>
        <w:jc w:val="both"/>
        <w:rPr>
          <w:rFonts w:asciiTheme="minorHAnsi" w:hAnsiTheme="minorHAnsi"/>
        </w:rPr>
      </w:pPr>
      <w:r w:rsidRPr="00194E8E">
        <w:rPr>
          <w:rFonts w:asciiTheme="minorHAnsi" w:hAnsiTheme="minorHAnsi"/>
        </w:rPr>
        <w:t>Komitet Ministrów, na podstawie art. 46 ust. 2 Konwencji o Ochronie Praw Człowieka i Podstawowych Wolności, który stanowi, że Komitet nadzoruje wykonywanie prawomocnych wyroków Europejskiego Trybunału Praw Człowieka (</w:t>
      </w:r>
      <w:r w:rsidR="00CF7C7E">
        <w:rPr>
          <w:rFonts w:asciiTheme="minorHAnsi" w:hAnsiTheme="minorHAnsi"/>
        </w:rPr>
        <w:t>zwanych dalej</w:t>
      </w:r>
      <w:r w:rsidRPr="00194E8E">
        <w:rPr>
          <w:rFonts w:asciiTheme="minorHAnsi" w:hAnsiTheme="minorHAnsi"/>
        </w:rPr>
        <w:t xml:space="preserve"> </w:t>
      </w:r>
      <w:r w:rsidR="001F09DC" w:rsidRPr="00194E8E">
        <w:rPr>
          <w:rFonts w:asciiTheme="minorHAnsi" w:hAnsiTheme="minorHAnsi"/>
        </w:rPr>
        <w:t>„</w:t>
      </w:r>
      <w:r w:rsidRPr="00194E8E">
        <w:rPr>
          <w:rFonts w:asciiTheme="minorHAnsi" w:hAnsiTheme="minorHAnsi"/>
        </w:rPr>
        <w:t>Konwencj</w:t>
      </w:r>
      <w:r w:rsidR="00CF7C7E">
        <w:rPr>
          <w:rFonts w:asciiTheme="minorHAnsi" w:hAnsiTheme="minorHAnsi"/>
        </w:rPr>
        <w:t>ą</w:t>
      </w:r>
      <w:r w:rsidRPr="00194E8E">
        <w:rPr>
          <w:rFonts w:asciiTheme="minorHAnsi" w:hAnsiTheme="minorHAnsi"/>
        </w:rPr>
        <w:t>” i „Trybunał</w:t>
      </w:r>
      <w:r w:rsidR="00CF7C7E">
        <w:rPr>
          <w:rFonts w:asciiTheme="minorHAnsi" w:hAnsiTheme="minorHAnsi"/>
        </w:rPr>
        <w:t>em</w:t>
      </w:r>
      <w:r w:rsidRPr="00194E8E">
        <w:rPr>
          <w:rFonts w:asciiTheme="minorHAnsi" w:hAnsiTheme="minorHAnsi"/>
        </w:rPr>
        <w:t>”),</w:t>
      </w:r>
    </w:p>
    <w:p w:rsidR="00557661" w:rsidRDefault="00F34369" w:rsidP="005D6FA3">
      <w:pPr>
        <w:spacing w:after="120"/>
        <w:ind w:left="709"/>
        <w:jc w:val="both"/>
        <w:rPr>
          <w:rFonts w:asciiTheme="minorHAnsi" w:hAnsiTheme="minorHAnsi"/>
        </w:rPr>
      </w:pPr>
      <w:r w:rsidRPr="00F34369">
        <w:rPr>
          <w:rFonts w:asciiTheme="minorHAnsi" w:hAnsiTheme="minorHAnsi"/>
        </w:rPr>
        <w:t>Mając na uwadze ostateczne wyroki przekazane Komitetowi przez Trybunał w tych sprawach, a w</w:t>
      </w:r>
      <w:r>
        <w:rPr>
          <w:rFonts w:asciiTheme="minorHAnsi" w:hAnsiTheme="minorHAnsi"/>
        </w:rPr>
        <w:t xml:space="preserve"> </w:t>
      </w:r>
      <w:r w:rsidRPr="00F34369">
        <w:rPr>
          <w:rFonts w:asciiTheme="minorHAnsi" w:hAnsiTheme="minorHAnsi"/>
        </w:rPr>
        <w:t>szczególności naruszenia Artykułów 3 i 8 Konwencji, stwierdzone z powodu braku skutecznego</w:t>
      </w:r>
      <w:r>
        <w:rPr>
          <w:rFonts w:asciiTheme="minorHAnsi" w:hAnsiTheme="minorHAnsi"/>
        </w:rPr>
        <w:t xml:space="preserve"> </w:t>
      </w:r>
      <w:r w:rsidRPr="00F34369">
        <w:rPr>
          <w:rFonts w:asciiTheme="minorHAnsi" w:hAnsiTheme="minorHAnsi"/>
        </w:rPr>
        <w:t>mechanizmu umożliwiającego kobietom skuteczny dostęp do legalnej aborcji ze względu na stan zdrowia</w:t>
      </w:r>
      <w:r>
        <w:rPr>
          <w:rFonts w:asciiTheme="minorHAnsi" w:hAnsiTheme="minorHAnsi"/>
        </w:rPr>
        <w:t xml:space="preserve"> </w:t>
      </w:r>
      <w:r w:rsidRPr="00F34369">
        <w:rPr>
          <w:rFonts w:asciiTheme="minorHAnsi" w:hAnsiTheme="minorHAnsi"/>
        </w:rPr>
        <w:t>matki lub płodu w sytuacji, gdy lekarz nie zgadza się, że takie powody istnieją lub że badania prenatalne są</w:t>
      </w:r>
      <w:r>
        <w:rPr>
          <w:rFonts w:asciiTheme="minorHAnsi" w:hAnsiTheme="minorHAnsi"/>
        </w:rPr>
        <w:t xml:space="preserve"> </w:t>
      </w:r>
      <w:r w:rsidRPr="00F34369">
        <w:rPr>
          <w:rFonts w:asciiTheme="minorHAnsi" w:hAnsiTheme="minorHAnsi"/>
        </w:rPr>
        <w:t xml:space="preserve">konieczne do tego rodzaju oceny lub podjęcia innych decyzji (sprawy </w:t>
      </w:r>
      <w:r w:rsidRPr="00F34369">
        <w:rPr>
          <w:rFonts w:asciiTheme="minorHAnsi" w:hAnsiTheme="minorHAnsi"/>
          <w:i/>
        </w:rPr>
        <w:t>Tysi</w:t>
      </w:r>
      <w:r>
        <w:rPr>
          <w:rFonts w:asciiTheme="minorHAnsi" w:hAnsiTheme="minorHAnsi"/>
          <w:i/>
        </w:rPr>
        <w:t>ą</w:t>
      </w:r>
      <w:r w:rsidRPr="00F34369">
        <w:rPr>
          <w:rFonts w:asciiTheme="minorHAnsi" w:hAnsiTheme="minorHAnsi"/>
          <w:i/>
        </w:rPr>
        <w:t>c</w:t>
      </w:r>
      <w:r w:rsidRPr="00F34369">
        <w:rPr>
          <w:rFonts w:asciiTheme="minorHAnsi" w:hAnsiTheme="minorHAnsi"/>
        </w:rPr>
        <w:t xml:space="preserve"> i </w:t>
      </w:r>
      <w:r w:rsidRPr="00F34369">
        <w:rPr>
          <w:rFonts w:asciiTheme="minorHAnsi" w:hAnsiTheme="minorHAnsi"/>
          <w:i/>
        </w:rPr>
        <w:t>R.R.</w:t>
      </w:r>
      <w:r w:rsidRPr="00F34369">
        <w:rPr>
          <w:rFonts w:asciiTheme="minorHAnsi" w:hAnsiTheme="minorHAnsi"/>
        </w:rPr>
        <w:t>) oraz z powodu</w:t>
      </w:r>
      <w:r>
        <w:rPr>
          <w:rFonts w:asciiTheme="minorHAnsi" w:hAnsiTheme="minorHAnsi"/>
        </w:rPr>
        <w:t xml:space="preserve"> </w:t>
      </w:r>
      <w:r w:rsidRPr="00F34369">
        <w:rPr>
          <w:rFonts w:asciiTheme="minorHAnsi" w:hAnsiTheme="minorHAnsi"/>
        </w:rPr>
        <w:t>niezapewnienia przez władze dostępu do rzetelnych informacji na temat warunków i procedur</w:t>
      </w:r>
      <w:r>
        <w:rPr>
          <w:rFonts w:asciiTheme="minorHAnsi" w:hAnsiTheme="minorHAnsi"/>
        </w:rPr>
        <w:t xml:space="preserve"> </w:t>
      </w:r>
      <w:r w:rsidRPr="00F34369">
        <w:rPr>
          <w:rFonts w:asciiTheme="minorHAnsi" w:hAnsiTheme="minorHAnsi"/>
        </w:rPr>
        <w:t>umożliwiających ciężarnym kobietom i dziewczętom, w tym ofiarom gwałtu, skuteczny dostęp do legalnej</w:t>
      </w:r>
      <w:r>
        <w:rPr>
          <w:rFonts w:asciiTheme="minorHAnsi" w:hAnsiTheme="minorHAnsi"/>
        </w:rPr>
        <w:t xml:space="preserve"> </w:t>
      </w:r>
      <w:r w:rsidRPr="00F34369">
        <w:rPr>
          <w:rFonts w:asciiTheme="minorHAnsi" w:hAnsiTheme="minorHAnsi"/>
        </w:rPr>
        <w:t xml:space="preserve">aborcji (w sprawie </w:t>
      </w:r>
      <w:r w:rsidRPr="00F34369">
        <w:rPr>
          <w:rFonts w:asciiTheme="minorHAnsi" w:hAnsiTheme="minorHAnsi"/>
          <w:i/>
        </w:rPr>
        <w:t>P. i S.</w:t>
      </w:r>
      <w:r w:rsidRPr="00F34369">
        <w:rPr>
          <w:rFonts w:asciiTheme="minorHAnsi" w:hAnsiTheme="minorHAnsi"/>
        </w:rPr>
        <w:t>);</w:t>
      </w:r>
      <w:r w:rsidRPr="00F34369">
        <w:rPr>
          <w:rFonts w:asciiTheme="minorHAnsi" w:hAnsiTheme="minorHAnsi"/>
        </w:rPr>
        <w:cr/>
      </w:r>
      <w:r w:rsidR="00557661" w:rsidRPr="00557661">
        <w:rPr>
          <w:rFonts w:asciiTheme="minorHAnsi" w:hAnsiTheme="minorHAnsi"/>
        </w:rPr>
        <w:t>Podkreślając, jak ważne jest, aby kobiety w ciąży mogły skutecznie kwestionować decyzje o odmowie</w:t>
      </w:r>
      <w:r w:rsidR="00557661">
        <w:rPr>
          <w:rFonts w:asciiTheme="minorHAnsi" w:hAnsiTheme="minorHAnsi"/>
        </w:rPr>
        <w:t xml:space="preserve"> </w:t>
      </w:r>
      <w:r w:rsidR="00557661" w:rsidRPr="00557661">
        <w:rPr>
          <w:rFonts w:asciiTheme="minorHAnsi" w:hAnsiTheme="minorHAnsi"/>
        </w:rPr>
        <w:t>wykonania legalnej aborcji ze względów medycznych lub przeprowadzenia badań prenatalnych oraz aby</w:t>
      </w:r>
      <w:r w:rsidR="00557661">
        <w:rPr>
          <w:rFonts w:asciiTheme="minorHAnsi" w:hAnsiTheme="minorHAnsi"/>
        </w:rPr>
        <w:t xml:space="preserve"> </w:t>
      </w:r>
      <w:r w:rsidR="00557661" w:rsidRPr="00557661">
        <w:rPr>
          <w:rFonts w:asciiTheme="minorHAnsi" w:hAnsiTheme="minorHAnsi"/>
        </w:rPr>
        <w:t>były równo traktowane w zakresie dostępu do legalnej aborcji, w tym poprzez ujednolicone procedury,</w:t>
      </w:r>
      <w:r w:rsidR="00557661">
        <w:rPr>
          <w:rFonts w:asciiTheme="minorHAnsi" w:hAnsiTheme="minorHAnsi"/>
        </w:rPr>
        <w:t xml:space="preserve"> </w:t>
      </w:r>
      <w:r w:rsidR="00557661" w:rsidRPr="00557661">
        <w:rPr>
          <w:rFonts w:asciiTheme="minorHAnsi" w:hAnsiTheme="minorHAnsi"/>
        </w:rPr>
        <w:t>których powinny przestrzegać wszystkie szpitale, również w przypadku, gdy lekarz odmawia wykonania</w:t>
      </w:r>
      <w:r w:rsidR="00557661">
        <w:rPr>
          <w:rFonts w:asciiTheme="minorHAnsi" w:hAnsiTheme="minorHAnsi"/>
        </w:rPr>
        <w:t xml:space="preserve"> </w:t>
      </w:r>
      <w:r w:rsidR="00557661" w:rsidRPr="00557661">
        <w:rPr>
          <w:rFonts w:asciiTheme="minorHAnsi" w:hAnsiTheme="minorHAnsi"/>
        </w:rPr>
        <w:t>aborcji przez wzgląd na swoje sumienie;</w:t>
      </w:r>
    </w:p>
    <w:p w:rsidR="007517F0" w:rsidRDefault="007517F0" w:rsidP="005D6FA3">
      <w:pPr>
        <w:spacing w:after="120"/>
        <w:ind w:left="709"/>
        <w:jc w:val="both"/>
        <w:rPr>
          <w:rFonts w:asciiTheme="minorHAnsi" w:hAnsiTheme="minorHAnsi"/>
        </w:rPr>
      </w:pPr>
      <w:r w:rsidRPr="007517F0">
        <w:rPr>
          <w:rFonts w:asciiTheme="minorHAnsi" w:hAnsiTheme="minorHAnsi"/>
        </w:rPr>
        <w:t>Odnotowując z ubolewaniem w tym kontekście brak informacji o jakichkolwiek środkach wprowadzających</w:t>
      </w:r>
      <w:r>
        <w:rPr>
          <w:rFonts w:asciiTheme="minorHAnsi" w:hAnsiTheme="minorHAnsi"/>
        </w:rPr>
        <w:t xml:space="preserve"> </w:t>
      </w:r>
      <w:r w:rsidRPr="007517F0">
        <w:rPr>
          <w:rFonts w:asciiTheme="minorHAnsi" w:hAnsiTheme="minorHAnsi"/>
        </w:rPr>
        <w:t>takie procedury i zapewniających odpowiednie informacje na ich temat;</w:t>
      </w:r>
    </w:p>
    <w:p w:rsidR="007517F0" w:rsidRDefault="007517F0" w:rsidP="005D6FA3">
      <w:pPr>
        <w:spacing w:after="120"/>
        <w:ind w:left="709"/>
        <w:jc w:val="both"/>
        <w:rPr>
          <w:rFonts w:asciiTheme="minorHAnsi" w:hAnsiTheme="minorHAnsi"/>
        </w:rPr>
      </w:pPr>
      <w:r w:rsidRPr="007517F0">
        <w:rPr>
          <w:rFonts w:asciiTheme="minorHAnsi" w:hAnsiTheme="minorHAnsi"/>
        </w:rPr>
        <w:t>Odnotowując również z ubolewaniem, że Sejm RP nowelizując ustawę o zawodach lekarza i lekarza</w:t>
      </w:r>
      <w:r>
        <w:rPr>
          <w:rFonts w:asciiTheme="minorHAnsi" w:hAnsiTheme="minorHAnsi"/>
        </w:rPr>
        <w:t xml:space="preserve"> </w:t>
      </w:r>
      <w:r w:rsidRPr="007517F0">
        <w:rPr>
          <w:rFonts w:asciiTheme="minorHAnsi" w:hAnsiTheme="minorHAnsi"/>
        </w:rPr>
        <w:t>dentysty w lipcu 2020 r. nie uwzględnił apeli Komitetu Ministrów i Komisarz Praw Człowieka Rady Europy o</w:t>
      </w:r>
      <w:r>
        <w:rPr>
          <w:rFonts w:asciiTheme="minorHAnsi" w:hAnsiTheme="minorHAnsi"/>
        </w:rPr>
        <w:t xml:space="preserve"> </w:t>
      </w:r>
      <w:r w:rsidRPr="007517F0">
        <w:rPr>
          <w:rFonts w:asciiTheme="minorHAnsi" w:hAnsiTheme="minorHAnsi"/>
        </w:rPr>
        <w:t>wprowadzenie wyraźnego obowiązku kierowania przez szpitale pacjentów do alternatywnych</w:t>
      </w:r>
      <w:r>
        <w:rPr>
          <w:rFonts w:asciiTheme="minorHAnsi" w:hAnsiTheme="minorHAnsi"/>
        </w:rPr>
        <w:t xml:space="preserve"> </w:t>
      </w:r>
      <w:r w:rsidRPr="007517F0">
        <w:rPr>
          <w:rFonts w:asciiTheme="minorHAnsi" w:hAnsiTheme="minorHAnsi"/>
        </w:rPr>
        <w:t>usługodawców w sytuacji, gdy zabieg medyczny nie został wykonany z powodu skorzystania z klauzuli</w:t>
      </w:r>
      <w:r>
        <w:rPr>
          <w:rFonts w:asciiTheme="minorHAnsi" w:hAnsiTheme="minorHAnsi"/>
        </w:rPr>
        <w:t xml:space="preserve"> </w:t>
      </w:r>
      <w:r w:rsidRPr="007517F0">
        <w:rPr>
          <w:rFonts w:asciiTheme="minorHAnsi" w:hAnsiTheme="minorHAnsi"/>
        </w:rPr>
        <w:t>sumienia;</w:t>
      </w:r>
    </w:p>
    <w:p w:rsidR="00702813" w:rsidRDefault="00702813" w:rsidP="005D6FA3">
      <w:pPr>
        <w:spacing w:after="120"/>
        <w:ind w:left="709"/>
        <w:jc w:val="both"/>
        <w:rPr>
          <w:rFonts w:asciiTheme="minorHAnsi" w:hAnsiTheme="minorHAnsi"/>
        </w:rPr>
      </w:pPr>
      <w:r w:rsidRPr="00702813">
        <w:rPr>
          <w:rFonts w:asciiTheme="minorHAnsi" w:hAnsiTheme="minorHAnsi"/>
        </w:rPr>
        <w:t>Odnotowując z ubolewaniem brak wyjaśnień dotyczących przyczyn utrzymujących się różnic regionalnych</w:t>
      </w:r>
      <w:r>
        <w:rPr>
          <w:rFonts w:asciiTheme="minorHAnsi" w:hAnsiTheme="minorHAnsi"/>
        </w:rPr>
        <w:t xml:space="preserve"> </w:t>
      </w:r>
      <w:r w:rsidRPr="00702813">
        <w:rPr>
          <w:rFonts w:asciiTheme="minorHAnsi" w:hAnsiTheme="minorHAnsi"/>
        </w:rPr>
        <w:t>oraz odnośnie szpitali, które nie wykonują legalnej aborcji, a także brak przekonujących środków w celu</w:t>
      </w:r>
      <w:r>
        <w:rPr>
          <w:rFonts w:asciiTheme="minorHAnsi" w:hAnsiTheme="minorHAnsi"/>
        </w:rPr>
        <w:t xml:space="preserve"> </w:t>
      </w:r>
      <w:r w:rsidRPr="00702813">
        <w:rPr>
          <w:rFonts w:asciiTheme="minorHAnsi" w:hAnsiTheme="minorHAnsi"/>
        </w:rPr>
        <w:t>zapewnienia odpowiedniego monitorowania i realizacji zobowiązań umownych lub odpowiedzialności</w:t>
      </w:r>
      <w:r>
        <w:rPr>
          <w:rFonts w:asciiTheme="minorHAnsi" w:hAnsiTheme="minorHAnsi"/>
        </w:rPr>
        <w:t xml:space="preserve"> </w:t>
      </w:r>
      <w:r w:rsidRPr="00702813">
        <w:rPr>
          <w:rFonts w:asciiTheme="minorHAnsi" w:hAnsiTheme="minorHAnsi"/>
        </w:rPr>
        <w:t>szpitali za ich naruszenie w zakresie przeprowadzania legalnej aborcji;</w:t>
      </w:r>
    </w:p>
    <w:p w:rsidR="00702813" w:rsidRDefault="00C05815" w:rsidP="005D6FA3">
      <w:pPr>
        <w:spacing w:after="120"/>
        <w:ind w:left="709"/>
        <w:jc w:val="both"/>
        <w:rPr>
          <w:rFonts w:asciiTheme="minorHAnsi" w:hAnsiTheme="minorHAnsi"/>
        </w:rPr>
      </w:pPr>
      <w:r w:rsidRPr="00C05815">
        <w:rPr>
          <w:rFonts w:asciiTheme="minorHAnsi" w:hAnsiTheme="minorHAnsi"/>
        </w:rPr>
        <w:t>Odnotowując z poważnym zaniepokojeniem, że procedura sprzeciwu przewidziana w ustawie o prawach</w:t>
      </w:r>
      <w:r>
        <w:rPr>
          <w:rFonts w:asciiTheme="minorHAnsi" w:hAnsiTheme="minorHAnsi"/>
        </w:rPr>
        <w:t xml:space="preserve"> </w:t>
      </w:r>
      <w:r w:rsidRPr="00C05815">
        <w:rPr>
          <w:rFonts w:asciiTheme="minorHAnsi" w:hAnsiTheme="minorHAnsi"/>
        </w:rPr>
        <w:t>pacjenta i Rzeczniku Praw Pacjenta w obecnej formie nie jest skuteczna, m.in. z powodu formalizmu i</w:t>
      </w:r>
      <w:r>
        <w:rPr>
          <w:rFonts w:asciiTheme="minorHAnsi" w:hAnsiTheme="minorHAnsi"/>
        </w:rPr>
        <w:t xml:space="preserve"> </w:t>
      </w:r>
      <w:r w:rsidRPr="00C05815">
        <w:rPr>
          <w:rFonts w:asciiTheme="minorHAnsi" w:hAnsiTheme="minorHAnsi"/>
        </w:rPr>
        <w:t>ryzyka opóźnień, oraz że pomimo wielokrotnych wezwań ze stronu Komitetu Ministrów, zobowiązań</w:t>
      </w:r>
      <w:r>
        <w:rPr>
          <w:rFonts w:asciiTheme="minorHAnsi" w:hAnsiTheme="minorHAnsi"/>
        </w:rPr>
        <w:t xml:space="preserve"> </w:t>
      </w:r>
      <w:r w:rsidRPr="00C05815">
        <w:rPr>
          <w:rFonts w:asciiTheme="minorHAnsi" w:hAnsiTheme="minorHAnsi"/>
        </w:rPr>
        <w:t>samych władz w tym zakresie poczynionych w 2014 r. oraz obaw wyrażanych przez społeczeństwo</w:t>
      </w:r>
      <w:r>
        <w:rPr>
          <w:rFonts w:asciiTheme="minorHAnsi" w:hAnsiTheme="minorHAnsi"/>
        </w:rPr>
        <w:t xml:space="preserve"> </w:t>
      </w:r>
      <w:r w:rsidRPr="00C05815">
        <w:rPr>
          <w:rFonts w:asciiTheme="minorHAnsi" w:hAnsiTheme="minorHAnsi"/>
        </w:rPr>
        <w:t>obywatelskie, władze do tej pory jej nie zreformowały;</w:t>
      </w:r>
      <w:r w:rsidR="00BA13ED">
        <w:rPr>
          <w:rFonts w:asciiTheme="minorHAnsi" w:hAnsiTheme="minorHAnsi"/>
        </w:rPr>
        <w:t xml:space="preserve"> </w:t>
      </w:r>
    </w:p>
    <w:p w:rsidR="00C05815" w:rsidRDefault="00C05815" w:rsidP="005D6FA3">
      <w:pPr>
        <w:spacing w:after="120"/>
        <w:ind w:left="709"/>
        <w:jc w:val="both"/>
        <w:rPr>
          <w:rFonts w:asciiTheme="minorHAnsi" w:hAnsiTheme="minorHAnsi"/>
        </w:rPr>
      </w:pPr>
      <w:r w:rsidRPr="00C05815">
        <w:rPr>
          <w:rFonts w:asciiTheme="minorHAnsi" w:hAnsiTheme="minorHAnsi"/>
        </w:rPr>
        <w:t>Odnotowując również wyrok Trybunału Konstytucyjnego z dnia 22 października 2020</w:t>
      </w:r>
      <w:r w:rsidR="00BA13ED">
        <w:rPr>
          <w:rFonts w:asciiTheme="minorHAnsi" w:hAnsiTheme="minorHAnsi"/>
        </w:rPr>
        <w:t> </w:t>
      </w:r>
      <w:r w:rsidRPr="00C05815">
        <w:rPr>
          <w:rFonts w:asciiTheme="minorHAnsi" w:hAnsiTheme="minorHAnsi"/>
        </w:rPr>
        <w:t>r., skutkujący utratą</w:t>
      </w:r>
      <w:r>
        <w:rPr>
          <w:rFonts w:asciiTheme="minorHAnsi" w:hAnsiTheme="minorHAnsi"/>
        </w:rPr>
        <w:t xml:space="preserve"> </w:t>
      </w:r>
      <w:r w:rsidRPr="00C05815">
        <w:rPr>
          <w:rFonts w:asciiTheme="minorHAnsi" w:hAnsiTheme="minorHAnsi"/>
        </w:rPr>
        <w:t>mocy prawnej podstawy legalnej aborcji związanej ze zdrowiem płodu i jego potencjalny wpływ na</w:t>
      </w:r>
      <w:r>
        <w:rPr>
          <w:rFonts w:asciiTheme="minorHAnsi" w:hAnsiTheme="minorHAnsi"/>
        </w:rPr>
        <w:t xml:space="preserve"> </w:t>
      </w:r>
      <w:r w:rsidRPr="00C05815">
        <w:rPr>
          <w:rFonts w:asciiTheme="minorHAnsi" w:hAnsiTheme="minorHAnsi"/>
        </w:rPr>
        <w:t>świadczenie badań prenatalnych, które umożliwiają podejmowanie decyzji niezwiązanych z legalną aborcją;</w:t>
      </w:r>
    </w:p>
    <w:p w:rsidR="00C05815" w:rsidRDefault="00C05815" w:rsidP="005D6FA3">
      <w:pPr>
        <w:spacing w:after="120"/>
        <w:ind w:left="709"/>
        <w:jc w:val="both"/>
        <w:rPr>
          <w:rFonts w:asciiTheme="minorHAnsi" w:hAnsiTheme="minorHAnsi"/>
        </w:rPr>
      </w:pPr>
      <w:r w:rsidRPr="00C05815">
        <w:rPr>
          <w:rFonts w:asciiTheme="minorHAnsi" w:hAnsiTheme="minorHAnsi"/>
        </w:rPr>
        <w:lastRenderedPageBreak/>
        <w:t>WZYWA STANOWCZO władze do przyjęcia jasnych i skutecznych procedur odnośnie</w:t>
      </w:r>
      <w:r w:rsidR="002A6608">
        <w:rPr>
          <w:rFonts w:asciiTheme="minorHAnsi" w:hAnsiTheme="minorHAnsi"/>
        </w:rPr>
        <w:t xml:space="preserve"> do</w:t>
      </w:r>
      <w:r w:rsidRPr="00C05815">
        <w:rPr>
          <w:rFonts w:asciiTheme="minorHAnsi" w:hAnsiTheme="minorHAnsi"/>
        </w:rPr>
        <w:t xml:space="preserve"> kroków,</w:t>
      </w:r>
      <w:r>
        <w:rPr>
          <w:rFonts w:asciiTheme="minorHAnsi" w:hAnsiTheme="minorHAnsi"/>
        </w:rPr>
        <w:t xml:space="preserve"> </w:t>
      </w:r>
      <w:r w:rsidRPr="00C05815">
        <w:rPr>
          <w:rFonts w:asciiTheme="minorHAnsi" w:hAnsiTheme="minorHAnsi"/>
        </w:rPr>
        <w:t>jakie kobiety muszą podjąć, aby uzyskać dostęp do legalnej aborcji, w tym w przypadku odmowy</w:t>
      </w:r>
      <w:r>
        <w:rPr>
          <w:rFonts w:asciiTheme="minorHAnsi" w:hAnsiTheme="minorHAnsi"/>
        </w:rPr>
        <w:t xml:space="preserve"> </w:t>
      </w:r>
      <w:r w:rsidRPr="00C05815">
        <w:rPr>
          <w:rFonts w:asciiTheme="minorHAnsi" w:hAnsiTheme="minorHAnsi"/>
        </w:rPr>
        <w:t>aborcji ze względów sumienia, oraz do zapewnienia, że otrzymają one odpowiednie informacje na</w:t>
      </w:r>
      <w:r>
        <w:rPr>
          <w:rFonts w:asciiTheme="minorHAnsi" w:hAnsiTheme="minorHAnsi"/>
        </w:rPr>
        <w:t xml:space="preserve"> </w:t>
      </w:r>
      <w:r w:rsidRPr="00C05815">
        <w:rPr>
          <w:rFonts w:asciiTheme="minorHAnsi" w:hAnsiTheme="minorHAnsi"/>
        </w:rPr>
        <w:t>temat tych procedur i że szpitale nie będą im narzucać uprzednio żadnych dodatkowych,</w:t>
      </w:r>
      <w:r>
        <w:rPr>
          <w:rFonts w:asciiTheme="minorHAnsi" w:hAnsiTheme="minorHAnsi"/>
        </w:rPr>
        <w:t xml:space="preserve"> </w:t>
      </w:r>
      <w:r w:rsidRPr="00C05815">
        <w:rPr>
          <w:rFonts w:asciiTheme="minorHAnsi" w:hAnsiTheme="minorHAnsi"/>
        </w:rPr>
        <w:t>niepotrzebnych wymagań;</w:t>
      </w:r>
    </w:p>
    <w:p w:rsidR="00C05815" w:rsidRDefault="00C05815" w:rsidP="005D6FA3">
      <w:pPr>
        <w:spacing w:after="120"/>
        <w:ind w:left="709"/>
        <w:jc w:val="both"/>
        <w:rPr>
          <w:rFonts w:asciiTheme="minorHAnsi" w:hAnsiTheme="minorHAnsi"/>
        </w:rPr>
      </w:pPr>
      <w:r w:rsidRPr="00C05815">
        <w:rPr>
          <w:rFonts w:asciiTheme="minorHAnsi" w:hAnsiTheme="minorHAnsi"/>
        </w:rPr>
        <w:t>WZYWA władze do zapewnienia skutecznego dostępu do legalnej aborcji i badań prenatalnych w</w:t>
      </w:r>
      <w:r>
        <w:rPr>
          <w:rFonts w:asciiTheme="minorHAnsi" w:hAnsiTheme="minorHAnsi"/>
        </w:rPr>
        <w:t xml:space="preserve"> </w:t>
      </w:r>
      <w:r w:rsidRPr="00C05815">
        <w:rPr>
          <w:rFonts w:asciiTheme="minorHAnsi" w:hAnsiTheme="minorHAnsi"/>
        </w:rPr>
        <w:t>całym kraju, bez znacznych różnic regionalnych i bez opóźnień spowodowanych odmową ich</w:t>
      </w:r>
      <w:r>
        <w:rPr>
          <w:rFonts w:asciiTheme="minorHAnsi" w:hAnsiTheme="minorHAnsi"/>
        </w:rPr>
        <w:t xml:space="preserve"> </w:t>
      </w:r>
      <w:r w:rsidRPr="00C05815">
        <w:rPr>
          <w:rFonts w:asciiTheme="minorHAnsi" w:hAnsiTheme="minorHAnsi"/>
        </w:rPr>
        <w:t>wykonania z powodu korzystania z klauzuli sumienia lub ograniczeń wynikających z pandemii</w:t>
      </w:r>
      <w:r>
        <w:rPr>
          <w:rFonts w:asciiTheme="minorHAnsi" w:hAnsiTheme="minorHAnsi"/>
        </w:rPr>
        <w:t xml:space="preserve"> </w:t>
      </w:r>
      <w:r w:rsidRPr="00C05815">
        <w:rPr>
          <w:rFonts w:asciiTheme="minorHAnsi" w:hAnsiTheme="minorHAnsi"/>
        </w:rPr>
        <w:t>COVID-19;</w:t>
      </w:r>
    </w:p>
    <w:p w:rsidR="00C05815" w:rsidRDefault="005D6FA3" w:rsidP="005D6FA3">
      <w:pPr>
        <w:spacing w:after="120"/>
        <w:ind w:left="709"/>
        <w:jc w:val="both"/>
        <w:rPr>
          <w:rFonts w:asciiTheme="minorHAnsi" w:hAnsiTheme="minorHAnsi"/>
          <w:highlight w:val="yellow"/>
        </w:rPr>
      </w:pPr>
      <w:r w:rsidRPr="005D6FA3">
        <w:rPr>
          <w:rFonts w:asciiTheme="minorHAnsi" w:hAnsiTheme="minorHAnsi"/>
        </w:rPr>
        <w:t>WZYWA STANOWCZO władze, by bez dalszej zwłoki przyjęły niezbędne reformy procedury</w:t>
      </w:r>
      <w:r>
        <w:rPr>
          <w:rFonts w:asciiTheme="minorHAnsi" w:hAnsiTheme="minorHAnsi"/>
        </w:rPr>
        <w:t xml:space="preserve"> </w:t>
      </w:r>
      <w:r w:rsidRPr="005D6FA3">
        <w:rPr>
          <w:rFonts w:asciiTheme="minorHAnsi" w:hAnsiTheme="minorHAnsi"/>
        </w:rPr>
        <w:t>sprzeciwu i WZYWA również, aby włączyły do ustawodawstwa obowiązek skierowania przez</w:t>
      </w:r>
      <w:r>
        <w:rPr>
          <w:rFonts w:asciiTheme="minorHAnsi" w:hAnsiTheme="minorHAnsi"/>
        </w:rPr>
        <w:t xml:space="preserve"> </w:t>
      </w:r>
      <w:r w:rsidRPr="005D6FA3">
        <w:rPr>
          <w:rFonts w:asciiTheme="minorHAnsi" w:hAnsiTheme="minorHAnsi"/>
        </w:rPr>
        <w:t>szpitale pacjenta do alternatywnej placówki opieki zdrowotnej w przypadku odmowy wykonania</w:t>
      </w:r>
      <w:r>
        <w:rPr>
          <w:rFonts w:asciiTheme="minorHAnsi" w:hAnsiTheme="minorHAnsi"/>
        </w:rPr>
        <w:t xml:space="preserve"> </w:t>
      </w:r>
      <w:r w:rsidRPr="005D6FA3">
        <w:rPr>
          <w:rFonts w:asciiTheme="minorHAnsi" w:hAnsiTheme="minorHAnsi"/>
        </w:rPr>
        <w:t>usługi medycznej ze względów sumienia oraz aby skutecznie monitorowały jego przestrzeganie w</w:t>
      </w:r>
      <w:r>
        <w:rPr>
          <w:rFonts w:asciiTheme="minorHAnsi" w:hAnsiTheme="minorHAnsi"/>
        </w:rPr>
        <w:t xml:space="preserve"> </w:t>
      </w:r>
      <w:r w:rsidRPr="005D6FA3">
        <w:rPr>
          <w:rFonts w:asciiTheme="minorHAnsi" w:hAnsiTheme="minorHAnsi"/>
        </w:rPr>
        <w:t>praktyce;</w:t>
      </w:r>
    </w:p>
    <w:p w:rsidR="005D6FA3" w:rsidRPr="005D6FA3" w:rsidRDefault="005D6FA3" w:rsidP="005D6FA3">
      <w:pPr>
        <w:spacing w:after="120"/>
        <w:ind w:left="709"/>
        <w:jc w:val="both"/>
        <w:rPr>
          <w:rFonts w:asciiTheme="minorHAnsi" w:hAnsiTheme="minorHAnsi"/>
        </w:rPr>
      </w:pPr>
      <w:r w:rsidRPr="005D6FA3">
        <w:rPr>
          <w:rFonts w:asciiTheme="minorHAnsi" w:hAnsiTheme="minorHAnsi"/>
        </w:rPr>
        <w:t>WZYWA je ponadto do zapewnienia skutecznego monitorowania zobowiązań umownych i</w:t>
      </w:r>
      <w:r>
        <w:rPr>
          <w:rFonts w:asciiTheme="minorHAnsi" w:hAnsiTheme="minorHAnsi"/>
        </w:rPr>
        <w:t xml:space="preserve"> </w:t>
      </w:r>
      <w:r w:rsidRPr="005D6FA3">
        <w:rPr>
          <w:rFonts w:asciiTheme="minorHAnsi" w:hAnsiTheme="minorHAnsi"/>
        </w:rPr>
        <w:t>funkcjonowania mechanizmu odpowiedzialności umownej w przypadku niewykonania legalnej</w:t>
      </w:r>
      <w:r>
        <w:rPr>
          <w:rFonts w:asciiTheme="minorHAnsi" w:hAnsiTheme="minorHAnsi"/>
        </w:rPr>
        <w:t xml:space="preserve"> </w:t>
      </w:r>
      <w:r w:rsidRPr="005D6FA3">
        <w:rPr>
          <w:rFonts w:asciiTheme="minorHAnsi" w:hAnsiTheme="minorHAnsi"/>
        </w:rPr>
        <w:t>aborcji lub badania prenatalnego zleconego przez szpital, w tym ze względów sumienia, oraz do</w:t>
      </w:r>
      <w:r>
        <w:rPr>
          <w:rFonts w:asciiTheme="minorHAnsi" w:hAnsiTheme="minorHAnsi"/>
        </w:rPr>
        <w:t xml:space="preserve"> </w:t>
      </w:r>
      <w:r w:rsidRPr="005D6FA3">
        <w:rPr>
          <w:rFonts w:asciiTheme="minorHAnsi" w:hAnsiTheme="minorHAnsi"/>
        </w:rPr>
        <w:t>zapewnienia odpowiedniej reakcji na każdy przypadek takiego naruszenia zobowiązań umownych;</w:t>
      </w:r>
    </w:p>
    <w:p w:rsidR="005D6FA3" w:rsidRPr="005D6FA3" w:rsidRDefault="005D6FA3" w:rsidP="005D6FA3">
      <w:pPr>
        <w:spacing w:after="120"/>
        <w:ind w:left="709"/>
        <w:jc w:val="both"/>
        <w:rPr>
          <w:rFonts w:asciiTheme="minorHAnsi" w:hAnsiTheme="minorHAnsi"/>
        </w:rPr>
      </w:pPr>
      <w:r w:rsidRPr="005D6FA3">
        <w:rPr>
          <w:rFonts w:asciiTheme="minorHAnsi" w:hAnsiTheme="minorHAnsi"/>
        </w:rPr>
        <w:t>WZYWA władze do przedstawienia ich oceny wpływu wyroku Trybunału Konstytucyjnego z dnia 22</w:t>
      </w:r>
      <w:r>
        <w:rPr>
          <w:rFonts w:asciiTheme="minorHAnsi" w:hAnsiTheme="minorHAnsi"/>
        </w:rPr>
        <w:t xml:space="preserve"> </w:t>
      </w:r>
      <w:r w:rsidRPr="005D6FA3">
        <w:rPr>
          <w:rFonts w:asciiTheme="minorHAnsi" w:hAnsiTheme="minorHAnsi"/>
        </w:rPr>
        <w:t>października 2020 r. na dostępność badań prenatalnych, w szczególności ze względu na to, że nie</w:t>
      </w:r>
      <w:r>
        <w:rPr>
          <w:rFonts w:asciiTheme="minorHAnsi" w:hAnsiTheme="minorHAnsi"/>
        </w:rPr>
        <w:t xml:space="preserve"> </w:t>
      </w:r>
      <w:r w:rsidRPr="005D6FA3">
        <w:rPr>
          <w:rFonts w:asciiTheme="minorHAnsi" w:hAnsiTheme="minorHAnsi"/>
        </w:rPr>
        <w:t>są one ściśle związane z dostępem do legalnej aborcji, ale pomagają również w podejmowaniu</w:t>
      </w:r>
      <w:r>
        <w:rPr>
          <w:rFonts w:asciiTheme="minorHAnsi" w:hAnsiTheme="minorHAnsi"/>
        </w:rPr>
        <w:t xml:space="preserve"> </w:t>
      </w:r>
      <w:r w:rsidRPr="005D6FA3">
        <w:rPr>
          <w:rFonts w:asciiTheme="minorHAnsi" w:hAnsiTheme="minorHAnsi"/>
        </w:rPr>
        <w:t>świadomych decyzji w czasie ciąży związanych z leczeniem prenatalnym lub przygotowaniem do</w:t>
      </w:r>
      <w:r>
        <w:rPr>
          <w:rFonts w:asciiTheme="minorHAnsi" w:hAnsiTheme="minorHAnsi"/>
        </w:rPr>
        <w:t xml:space="preserve"> </w:t>
      </w:r>
      <w:r w:rsidRPr="005D6FA3">
        <w:rPr>
          <w:rFonts w:asciiTheme="minorHAnsi" w:hAnsiTheme="minorHAnsi"/>
        </w:rPr>
        <w:t>porodu, oraz do zapewnienia, że nie są one ograniczane;</w:t>
      </w:r>
    </w:p>
    <w:p w:rsidR="005D6FA3" w:rsidRDefault="005D6FA3" w:rsidP="005D6FA3">
      <w:pPr>
        <w:spacing w:after="120"/>
        <w:ind w:left="709"/>
        <w:jc w:val="both"/>
        <w:rPr>
          <w:rFonts w:asciiTheme="minorHAnsi" w:hAnsiTheme="minorHAnsi"/>
          <w:highlight w:val="yellow"/>
        </w:rPr>
      </w:pPr>
      <w:r>
        <w:rPr>
          <w:rFonts w:asciiTheme="minorHAnsi" w:hAnsiTheme="minorHAnsi"/>
        </w:rPr>
        <w:t>POSTANA</w:t>
      </w:r>
      <w:r w:rsidRPr="005D6FA3">
        <w:rPr>
          <w:rFonts w:asciiTheme="minorHAnsi" w:hAnsiTheme="minorHAnsi"/>
        </w:rPr>
        <w:t>W</w:t>
      </w:r>
      <w:r>
        <w:rPr>
          <w:rFonts w:asciiTheme="minorHAnsi" w:hAnsiTheme="minorHAnsi"/>
        </w:rPr>
        <w:t>I</w:t>
      </w:r>
      <w:r w:rsidRPr="005D6FA3">
        <w:rPr>
          <w:rFonts w:asciiTheme="minorHAnsi" w:hAnsiTheme="minorHAnsi"/>
        </w:rPr>
        <w:t xml:space="preserve">A powrócić do </w:t>
      </w:r>
      <w:r w:rsidR="002A6608" w:rsidRPr="005D6FA3">
        <w:rPr>
          <w:rFonts w:asciiTheme="minorHAnsi" w:hAnsiTheme="minorHAnsi"/>
        </w:rPr>
        <w:t>rozpatrywani</w:t>
      </w:r>
      <w:r w:rsidR="002A6608">
        <w:rPr>
          <w:rFonts w:asciiTheme="minorHAnsi" w:hAnsiTheme="minorHAnsi"/>
        </w:rPr>
        <w:t>a</w:t>
      </w:r>
      <w:r w:rsidR="002A6608" w:rsidRPr="005D6FA3">
        <w:rPr>
          <w:rFonts w:asciiTheme="minorHAnsi" w:hAnsiTheme="minorHAnsi"/>
        </w:rPr>
        <w:t xml:space="preserve"> </w:t>
      </w:r>
      <w:r w:rsidRPr="005D6FA3">
        <w:rPr>
          <w:rFonts w:asciiTheme="minorHAnsi" w:hAnsiTheme="minorHAnsi"/>
        </w:rPr>
        <w:t>tej grupy spraw na 1419 posiedzeniu (grudzień 2021 r.)</w:t>
      </w:r>
      <w:r>
        <w:rPr>
          <w:rFonts w:asciiTheme="minorHAnsi" w:hAnsiTheme="minorHAnsi"/>
        </w:rPr>
        <w:t xml:space="preserve"> </w:t>
      </w:r>
      <w:r w:rsidRPr="005D6FA3">
        <w:rPr>
          <w:rFonts w:asciiTheme="minorHAnsi" w:hAnsiTheme="minorHAnsi"/>
        </w:rPr>
        <w:t>(DH).</w:t>
      </w:r>
    </w:p>
    <w:p w:rsidR="00D85AD0" w:rsidRPr="00226AAA" w:rsidRDefault="00D85AD0" w:rsidP="0057610A">
      <w:pPr>
        <w:pStyle w:val="Akapitzlist"/>
        <w:numPr>
          <w:ilvl w:val="0"/>
          <w:numId w:val="8"/>
        </w:numPr>
        <w:spacing w:before="240" w:after="120" w:line="240" w:lineRule="auto"/>
        <w:ind w:left="709" w:hanging="425"/>
        <w:jc w:val="both"/>
        <w:rPr>
          <w:rFonts w:asciiTheme="minorHAnsi" w:hAnsiTheme="minorHAnsi"/>
          <w:b/>
          <w:sz w:val="24"/>
          <w:szCs w:val="24"/>
          <w:lang w:val="pl-PL"/>
        </w:rPr>
      </w:pPr>
      <w:r w:rsidRPr="00226AAA">
        <w:rPr>
          <w:rFonts w:asciiTheme="minorHAnsi" w:hAnsiTheme="minorHAnsi"/>
          <w:b/>
          <w:sz w:val="24"/>
          <w:szCs w:val="24"/>
          <w:lang w:val="pl-PL"/>
        </w:rPr>
        <w:t xml:space="preserve">Decyzja z dnia 9 czerwca 2021 r. w sprawie </w:t>
      </w:r>
      <w:r w:rsidRPr="00226AAA">
        <w:rPr>
          <w:rFonts w:asciiTheme="minorHAnsi" w:hAnsiTheme="minorHAnsi"/>
          <w:b/>
          <w:i/>
          <w:sz w:val="24"/>
          <w:szCs w:val="24"/>
          <w:lang w:val="pl-PL"/>
        </w:rPr>
        <w:t>Grabowski p. Polsce</w:t>
      </w:r>
      <w:r w:rsidRPr="00226AAA">
        <w:rPr>
          <w:rFonts w:asciiTheme="minorHAnsi" w:hAnsiTheme="minorHAnsi"/>
          <w:b/>
          <w:sz w:val="24"/>
          <w:szCs w:val="24"/>
          <w:lang w:val="pl-PL"/>
        </w:rPr>
        <w:t xml:space="preserve"> (CM/Del/Dec(2021)1406/H46-20), w której delegaci do KM: </w:t>
      </w:r>
    </w:p>
    <w:p w:rsidR="0057610A" w:rsidRPr="0057610A" w:rsidRDefault="0057610A" w:rsidP="0057610A">
      <w:pPr>
        <w:pStyle w:val="Akapitzlist"/>
        <w:spacing w:after="120" w:line="240" w:lineRule="auto"/>
        <w:ind w:left="709"/>
        <w:jc w:val="both"/>
        <w:rPr>
          <w:rFonts w:asciiTheme="minorHAnsi" w:hAnsiTheme="minorHAnsi"/>
          <w:sz w:val="24"/>
          <w:szCs w:val="24"/>
          <w:lang w:val="pl-PL"/>
        </w:rPr>
      </w:pPr>
      <w:r>
        <w:rPr>
          <w:rFonts w:asciiTheme="minorHAnsi" w:hAnsiTheme="minorHAnsi"/>
          <w:sz w:val="24"/>
          <w:szCs w:val="24"/>
          <w:lang w:val="pl-PL"/>
        </w:rPr>
        <w:t>Zastępcy</w:t>
      </w:r>
    </w:p>
    <w:p w:rsidR="00CD734D" w:rsidRPr="0057610A" w:rsidRDefault="0057610A" w:rsidP="0057610A">
      <w:pPr>
        <w:pStyle w:val="Akapitzlist"/>
        <w:numPr>
          <w:ilvl w:val="0"/>
          <w:numId w:val="17"/>
        </w:numPr>
        <w:spacing w:after="120" w:line="240" w:lineRule="auto"/>
        <w:ind w:left="1134" w:hanging="425"/>
        <w:jc w:val="both"/>
        <w:rPr>
          <w:rFonts w:asciiTheme="minorHAnsi" w:hAnsiTheme="minorHAnsi"/>
          <w:sz w:val="24"/>
          <w:szCs w:val="24"/>
          <w:lang w:val="pl-PL"/>
        </w:rPr>
      </w:pPr>
      <w:r w:rsidRPr="0057610A">
        <w:rPr>
          <w:rFonts w:asciiTheme="minorHAnsi" w:hAnsiTheme="minorHAnsi"/>
          <w:sz w:val="24"/>
          <w:szCs w:val="24"/>
          <w:lang w:val="pl-PL"/>
        </w:rPr>
        <w:t>p</w:t>
      </w:r>
      <w:r w:rsidR="00D85AD0" w:rsidRPr="0057610A">
        <w:rPr>
          <w:rFonts w:asciiTheme="minorHAnsi" w:hAnsiTheme="minorHAnsi"/>
          <w:sz w:val="24"/>
          <w:szCs w:val="24"/>
          <w:lang w:val="pl-PL"/>
        </w:rPr>
        <w:t>rzypomnieli, że sprawa ta dotyczy problemu przedłużenia umieszczenia nieletniego w schronisku dla nieletnich bez orzeczenia sądu lub dokładnej podstawy prawnej oraz braku odpowiedniego środka odwoławczego pozwalającego skarżącemu uzyskać kontrolę legalności jego zatrzymania</w:t>
      </w:r>
      <w:r w:rsidR="008B4BED" w:rsidRPr="0057610A">
        <w:rPr>
          <w:rFonts w:asciiTheme="minorHAnsi" w:hAnsiTheme="minorHAnsi"/>
          <w:sz w:val="24"/>
          <w:szCs w:val="24"/>
          <w:lang w:val="pl-PL"/>
        </w:rPr>
        <w:t>;</w:t>
      </w:r>
    </w:p>
    <w:p w:rsidR="00D85AD0" w:rsidRPr="0057610A" w:rsidRDefault="00D85AD0" w:rsidP="0057610A">
      <w:pPr>
        <w:pStyle w:val="Akapitzlist"/>
        <w:numPr>
          <w:ilvl w:val="0"/>
          <w:numId w:val="17"/>
        </w:numPr>
        <w:spacing w:after="120" w:line="240" w:lineRule="auto"/>
        <w:ind w:left="1134" w:hanging="425"/>
        <w:jc w:val="both"/>
        <w:rPr>
          <w:rFonts w:asciiTheme="minorHAnsi" w:hAnsiTheme="minorHAnsi"/>
          <w:sz w:val="24"/>
          <w:szCs w:val="24"/>
          <w:lang w:val="pl-PL"/>
        </w:rPr>
      </w:pPr>
      <w:r w:rsidRPr="0057610A">
        <w:rPr>
          <w:rFonts w:asciiTheme="minorHAnsi" w:hAnsiTheme="minorHAnsi"/>
          <w:sz w:val="24"/>
          <w:szCs w:val="24"/>
          <w:lang w:val="pl-PL"/>
        </w:rPr>
        <w:t>przypominając o zachęcającym rozw</w:t>
      </w:r>
      <w:r w:rsidR="001F09DC" w:rsidRPr="0057610A">
        <w:rPr>
          <w:rFonts w:asciiTheme="minorHAnsi" w:hAnsiTheme="minorHAnsi"/>
          <w:sz w:val="24"/>
          <w:szCs w:val="24"/>
          <w:lang w:val="pl-PL"/>
        </w:rPr>
        <w:t>inięciu</w:t>
      </w:r>
      <w:r w:rsidRPr="0057610A">
        <w:rPr>
          <w:rFonts w:asciiTheme="minorHAnsi" w:hAnsiTheme="minorHAnsi"/>
          <w:sz w:val="24"/>
          <w:szCs w:val="24"/>
          <w:lang w:val="pl-PL"/>
        </w:rPr>
        <w:t xml:space="preserve"> przez sądy praktyki wydawania konkretne</w:t>
      </w:r>
      <w:r w:rsidR="00486D4F" w:rsidRPr="0057610A">
        <w:rPr>
          <w:rFonts w:asciiTheme="minorHAnsi" w:hAnsiTheme="minorHAnsi"/>
          <w:sz w:val="24"/>
          <w:szCs w:val="24"/>
          <w:lang w:val="pl-PL"/>
        </w:rPr>
        <w:t>go</w:t>
      </w:r>
      <w:r w:rsidRPr="0057610A">
        <w:rPr>
          <w:rFonts w:asciiTheme="minorHAnsi" w:hAnsiTheme="minorHAnsi"/>
          <w:sz w:val="24"/>
          <w:szCs w:val="24"/>
          <w:lang w:val="pl-PL"/>
        </w:rPr>
        <w:t xml:space="preserve"> </w:t>
      </w:r>
      <w:r w:rsidR="00486D4F" w:rsidRPr="0057610A">
        <w:rPr>
          <w:rFonts w:asciiTheme="minorHAnsi" w:hAnsiTheme="minorHAnsi"/>
          <w:sz w:val="24"/>
          <w:szCs w:val="24"/>
          <w:lang w:val="pl-PL"/>
        </w:rPr>
        <w:t xml:space="preserve">postanowienia </w:t>
      </w:r>
      <w:r w:rsidRPr="0057610A">
        <w:rPr>
          <w:rFonts w:asciiTheme="minorHAnsi" w:hAnsiTheme="minorHAnsi"/>
          <w:sz w:val="24"/>
          <w:szCs w:val="24"/>
          <w:lang w:val="pl-PL"/>
        </w:rPr>
        <w:t xml:space="preserve">w przypadku każdorazowego przedłużenia </w:t>
      </w:r>
      <w:r w:rsidR="001F09DC" w:rsidRPr="0057610A">
        <w:rPr>
          <w:rFonts w:asciiTheme="minorHAnsi" w:hAnsiTheme="minorHAnsi"/>
          <w:sz w:val="24"/>
          <w:szCs w:val="24"/>
          <w:lang w:val="pl-PL"/>
        </w:rPr>
        <w:t xml:space="preserve">umieszczenia </w:t>
      </w:r>
      <w:r w:rsidRPr="0057610A">
        <w:rPr>
          <w:rFonts w:asciiTheme="minorHAnsi" w:hAnsiTheme="minorHAnsi"/>
          <w:sz w:val="24"/>
          <w:szCs w:val="24"/>
          <w:lang w:val="pl-PL"/>
        </w:rPr>
        <w:t>w schronisku dla nieletnich, czego wymaga wyrok Trybunału w tej sprawie, wyrazili głębokie ubolewanie, że minęło ponad pięć i pół roku odkąd wyrok w tej sprawie stał się prawomocny bez przyjęcia niezbędnych zmian legislacyjnych;</w:t>
      </w:r>
    </w:p>
    <w:p w:rsidR="00CD734D" w:rsidRPr="00194E8E" w:rsidRDefault="0057610A" w:rsidP="0057610A">
      <w:pPr>
        <w:pStyle w:val="Akapitzlist"/>
        <w:numPr>
          <w:ilvl w:val="0"/>
          <w:numId w:val="17"/>
        </w:numPr>
        <w:spacing w:after="120" w:line="240" w:lineRule="auto"/>
        <w:ind w:left="1134" w:hanging="425"/>
        <w:jc w:val="both"/>
        <w:rPr>
          <w:rFonts w:asciiTheme="minorHAnsi" w:hAnsiTheme="minorHAnsi"/>
          <w:lang w:val="pl-PL"/>
        </w:rPr>
      </w:pPr>
      <w:r>
        <w:rPr>
          <w:rFonts w:asciiTheme="minorHAnsi" w:hAnsiTheme="minorHAnsi"/>
          <w:sz w:val="24"/>
          <w:szCs w:val="24"/>
          <w:lang w:val="pl-PL"/>
        </w:rPr>
        <w:t>wezwali</w:t>
      </w:r>
      <w:r w:rsidR="00D85AD0" w:rsidRPr="00194E8E">
        <w:rPr>
          <w:rFonts w:asciiTheme="minorHAnsi" w:hAnsiTheme="minorHAnsi"/>
          <w:sz w:val="24"/>
          <w:szCs w:val="24"/>
          <w:lang w:val="pl-PL"/>
        </w:rPr>
        <w:t xml:space="preserve"> władze, aby bez dalszej zwłoki zakończy</w:t>
      </w:r>
      <w:r w:rsidR="00486D4F" w:rsidRPr="00194E8E">
        <w:rPr>
          <w:rFonts w:asciiTheme="minorHAnsi" w:hAnsiTheme="minorHAnsi"/>
          <w:sz w:val="24"/>
          <w:szCs w:val="24"/>
          <w:lang w:val="pl-PL"/>
        </w:rPr>
        <w:t>ły</w:t>
      </w:r>
      <w:r w:rsidR="00D85AD0" w:rsidRPr="00194E8E">
        <w:rPr>
          <w:rFonts w:asciiTheme="minorHAnsi" w:hAnsiTheme="minorHAnsi"/>
          <w:sz w:val="24"/>
          <w:szCs w:val="24"/>
          <w:lang w:val="pl-PL"/>
        </w:rPr>
        <w:t xml:space="preserve"> proces legislacyjny w celu włączenia do ustawy o nieletnich wyraźnych przepisów dotyczących obowiązku wydania konkretnego orzeczenia sądowego w przypadku </w:t>
      </w:r>
      <w:r w:rsidR="008B4BED" w:rsidRPr="00194E8E">
        <w:rPr>
          <w:rFonts w:asciiTheme="minorHAnsi" w:hAnsiTheme="minorHAnsi"/>
          <w:sz w:val="24"/>
          <w:szCs w:val="24"/>
          <w:lang w:val="pl-PL"/>
        </w:rPr>
        <w:t xml:space="preserve">każdorazowego </w:t>
      </w:r>
      <w:r w:rsidR="00D85AD0" w:rsidRPr="00194E8E">
        <w:rPr>
          <w:rFonts w:asciiTheme="minorHAnsi" w:hAnsiTheme="minorHAnsi"/>
          <w:sz w:val="24"/>
          <w:szCs w:val="24"/>
          <w:lang w:val="pl-PL"/>
        </w:rPr>
        <w:lastRenderedPageBreak/>
        <w:t xml:space="preserve">przedłużenia umieszczenia w schronisku dla nieletnich oraz do </w:t>
      </w:r>
      <w:r w:rsidR="001F09DC" w:rsidRPr="00194E8E">
        <w:rPr>
          <w:rFonts w:asciiTheme="minorHAnsi" w:hAnsiTheme="minorHAnsi"/>
          <w:sz w:val="24"/>
          <w:szCs w:val="24"/>
          <w:lang w:val="pl-PL"/>
        </w:rPr>
        <w:t xml:space="preserve">przekazania </w:t>
      </w:r>
      <w:r w:rsidR="00D85AD0" w:rsidRPr="00194E8E">
        <w:rPr>
          <w:rFonts w:asciiTheme="minorHAnsi" w:hAnsiTheme="minorHAnsi"/>
          <w:sz w:val="24"/>
          <w:szCs w:val="24"/>
          <w:lang w:val="pl-PL"/>
        </w:rPr>
        <w:t>Komi</w:t>
      </w:r>
      <w:r w:rsidR="008B4BED" w:rsidRPr="00194E8E">
        <w:rPr>
          <w:rFonts w:asciiTheme="minorHAnsi" w:hAnsiTheme="minorHAnsi"/>
          <w:sz w:val="24"/>
          <w:szCs w:val="24"/>
          <w:lang w:val="pl-PL"/>
        </w:rPr>
        <w:t>tetowi</w:t>
      </w:r>
      <w:r w:rsidR="00D85AD0" w:rsidRPr="00194E8E">
        <w:rPr>
          <w:rFonts w:asciiTheme="minorHAnsi" w:hAnsiTheme="minorHAnsi"/>
          <w:sz w:val="24"/>
          <w:szCs w:val="24"/>
          <w:lang w:val="pl-PL"/>
        </w:rPr>
        <w:t xml:space="preserve"> aktualnych informacji na temat postęp</w:t>
      </w:r>
      <w:r w:rsidR="008B4BED" w:rsidRPr="00194E8E">
        <w:rPr>
          <w:rFonts w:asciiTheme="minorHAnsi" w:hAnsiTheme="minorHAnsi"/>
          <w:sz w:val="24"/>
          <w:szCs w:val="24"/>
          <w:lang w:val="pl-PL"/>
        </w:rPr>
        <w:t>u</w:t>
      </w:r>
      <w:r w:rsidR="00D85AD0" w:rsidRPr="00194E8E">
        <w:rPr>
          <w:rFonts w:asciiTheme="minorHAnsi" w:hAnsiTheme="minorHAnsi"/>
          <w:sz w:val="24"/>
          <w:szCs w:val="24"/>
          <w:lang w:val="pl-PL"/>
        </w:rPr>
        <w:t xml:space="preserve"> w tym procesie, do końca września 2021 r.</w:t>
      </w:r>
    </w:p>
    <w:p w:rsidR="00B54BE1" w:rsidRPr="00226AAA" w:rsidRDefault="00B54BE1" w:rsidP="00226AAA">
      <w:pPr>
        <w:pStyle w:val="Akapitzlist"/>
        <w:numPr>
          <w:ilvl w:val="0"/>
          <w:numId w:val="8"/>
        </w:numPr>
        <w:spacing w:before="240" w:after="120" w:line="240" w:lineRule="auto"/>
        <w:ind w:left="709" w:hanging="425"/>
        <w:jc w:val="both"/>
        <w:rPr>
          <w:rFonts w:asciiTheme="minorHAnsi" w:hAnsiTheme="minorHAnsi"/>
          <w:b/>
          <w:sz w:val="24"/>
          <w:szCs w:val="24"/>
          <w:lang w:val="pl-PL"/>
        </w:rPr>
      </w:pPr>
      <w:r w:rsidRPr="00226AAA">
        <w:rPr>
          <w:rFonts w:asciiTheme="minorHAnsi" w:hAnsiTheme="minorHAnsi"/>
          <w:b/>
          <w:sz w:val="24"/>
          <w:szCs w:val="24"/>
          <w:lang w:val="pl-PL"/>
        </w:rPr>
        <w:t>De</w:t>
      </w:r>
      <w:r w:rsidR="008B4BED" w:rsidRPr="00226AAA">
        <w:rPr>
          <w:rFonts w:asciiTheme="minorHAnsi" w:hAnsiTheme="minorHAnsi"/>
          <w:b/>
          <w:sz w:val="24"/>
          <w:szCs w:val="24"/>
          <w:lang w:val="pl-PL"/>
        </w:rPr>
        <w:t xml:space="preserve">cyzja z dnia 16 września </w:t>
      </w:r>
      <w:r w:rsidRPr="00226AAA">
        <w:rPr>
          <w:rFonts w:asciiTheme="minorHAnsi" w:hAnsiTheme="minorHAnsi"/>
          <w:b/>
          <w:sz w:val="24"/>
          <w:szCs w:val="24"/>
          <w:lang w:val="pl-PL"/>
        </w:rPr>
        <w:t>202</w:t>
      </w:r>
      <w:r w:rsidR="008B4BED" w:rsidRPr="00226AAA">
        <w:rPr>
          <w:rFonts w:asciiTheme="minorHAnsi" w:hAnsiTheme="minorHAnsi"/>
          <w:b/>
          <w:sz w:val="24"/>
          <w:szCs w:val="24"/>
          <w:lang w:val="pl-PL"/>
        </w:rPr>
        <w:t>1</w:t>
      </w:r>
      <w:r w:rsidRPr="00226AAA">
        <w:rPr>
          <w:rFonts w:asciiTheme="minorHAnsi" w:hAnsiTheme="minorHAnsi"/>
          <w:b/>
          <w:sz w:val="24"/>
          <w:szCs w:val="24"/>
          <w:lang w:val="pl-PL"/>
        </w:rPr>
        <w:t xml:space="preserve"> r. w sprawach </w:t>
      </w:r>
      <w:r w:rsidRPr="00226AAA">
        <w:rPr>
          <w:rFonts w:asciiTheme="minorHAnsi" w:hAnsiTheme="minorHAnsi"/>
          <w:b/>
          <w:i/>
          <w:sz w:val="24"/>
          <w:szCs w:val="24"/>
          <w:lang w:val="pl-PL"/>
        </w:rPr>
        <w:t>Al Nashiri p. Polsce</w:t>
      </w:r>
      <w:r w:rsidRPr="00226AAA">
        <w:rPr>
          <w:rFonts w:asciiTheme="minorHAnsi" w:hAnsiTheme="minorHAnsi"/>
          <w:b/>
          <w:sz w:val="24"/>
          <w:szCs w:val="24"/>
          <w:lang w:val="pl-PL"/>
        </w:rPr>
        <w:t xml:space="preserve"> i </w:t>
      </w:r>
      <w:r w:rsidRPr="00226AAA">
        <w:rPr>
          <w:rFonts w:asciiTheme="minorHAnsi" w:hAnsiTheme="minorHAnsi"/>
          <w:b/>
          <w:i/>
          <w:sz w:val="24"/>
          <w:szCs w:val="24"/>
          <w:lang w:val="pl-PL"/>
        </w:rPr>
        <w:t>Abu Zubaydah p. Polsce</w:t>
      </w:r>
      <w:r w:rsidRPr="00226AAA">
        <w:rPr>
          <w:rFonts w:asciiTheme="minorHAnsi" w:hAnsiTheme="minorHAnsi"/>
          <w:b/>
          <w:sz w:val="24"/>
          <w:szCs w:val="24"/>
          <w:lang w:val="pl-PL"/>
        </w:rPr>
        <w:t xml:space="preserve"> </w:t>
      </w:r>
      <w:r w:rsidR="008B4BED" w:rsidRPr="00226AAA">
        <w:rPr>
          <w:rFonts w:asciiTheme="minorHAnsi" w:hAnsiTheme="minorHAnsi"/>
          <w:b/>
          <w:sz w:val="24"/>
          <w:szCs w:val="24"/>
          <w:lang w:val="pl-PL"/>
        </w:rPr>
        <w:t>(CM/Del/Dec(2021)1411/H46-24</w:t>
      </w:r>
      <w:r w:rsidR="003F00C7" w:rsidRPr="00226AAA">
        <w:rPr>
          <w:rFonts w:asciiTheme="minorHAnsi" w:hAnsiTheme="minorHAnsi"/>
          <w:b/>
          <w:sz w:val="24"/>
          <w:szCs w:val="24"/>
          <w:lang w:val="pl-PL"/>
        </w:rPr>
        <w:t>), w której delegac</w:t>
      </w:r>
      <w:r w:rsidRPr="00226AAA">
        <w:rPr>
          <w:rFonts w:asciiTheme="minorHAnsi" w:hAnsiTheme="minorHAnsi"/>
          <w:b/>
          <w:sz w:val="24"/>
          <w:szCs w:val="24"/>
          <w:lang w:val="pl-PL"/>
        </w:rPr>
        <w:t xml:space="preserve">i do KM: </w:t>
      </w:r>
    </w:p>
    <w:p w:rsidR="008F4AC5" w:rsidRPr="008F4AC5" w:rsidRDefault="008F4AC5" w:rsidP="00394C22">
      <w:pPr>
        <w:spacing w:after="120"/>
        <w:ind w:left="709"/>
        <w:jc w:val="both"/>
        <w:rPr>
          <w:rFonts w:asciiTheme="minorHAnsi" w:hAnsiTheme="minorHAnsi"/>
        </w:rPr>
      </w:pPr>
      <w:r>
        <w:rPr>
          <w:rFonts w:asciiTheme="minorHAnsi" w:hAnsiTheme="minorHAnsi"/>
        </w:rPr>
        <w:t>Zastępcy</w:t>
      </w:r>
    </w:p>
    <w:p w:rsidR="009E0D13" w:rsidRPr="00194E8E" w:rsidRDefault="009E0D13" w:rsidP="00394C22">
      <w:pPr>
        <w:pStyle w:val="Akapitzlist"/>
        <w:numPr>
          <w:ilvl w:val="0"/>
          <w:numId w:val="19"/>
        </w:numPr>
        <w:spacing w:after="120" w:line="240" w:lineRule="auto"/>
        <w:ind w:left="1134" w:hanging="425"/>
        <w:jc w:val="both"/>
        <w:rPr>
          <w:rFonts w:asciiTheme="minorHAnsi" w:hAnsiTheme="minorHAnsi"/>
          <w:sz w:val="24"/>
          <w:szCs w:val="24"/>
          <w:lang w:val="pl-PL"/>
        </w:rPr>
      </w:pPr>
      <w:r w:rsidRPr="00194E8E">
        <w:rPr>
          <w:rFonts w:asciiTheme="minorHAnsi" w:hAnsiTheme="minorHAnsi"/>
          <w:sz w:val="24"/>
          <w:szCs w:val="24"/>
          <w:lang w:val="pl-PL"/>
        </w:rPr>
        <w:t xml:space="preserve">przypominając, że w tych wyrokach Trybunał stwierdził odpowiedzialność Polski wynikającą z Konwencji ze względu wiedzę władz i zaangażowanie w realizację Programu CIA „High-Value Detainees” </w:t>
      </w:r>
      <w:r w:rsidR="008F4AC5" w:rsidRPr="008F4AC5">
        <w:rPr>
          <w:rFonts w:asciiTheme="minorHAnsi" w:hAnsiTheme="minorHAnsi"/>
          <w:sz w:val="24"/>
          <w:szCs w:val="24"/>
          <w:lang w:val="pl-PL"/>
        </w:rPr>
        <w:t>[</w:t>
      </w:r>
      <w:r w:rsidRPr="008F4AC5">
        <w:rPr>
          <w:rFonts w:asciiTheme="minorHAnsi" w:hAnsiTheme="minorHAnsi"/>
          <w:sz w:val="24"/>
          <w:szCs w:val="24"/>
          <w:lang w:val="pl-PL"/>
        </w:rPr>
        <w:t>HVD - szczególnie ważnych więźniów</w:t>
      </w:r>
      <w:r w:rsidR="008F4AC5" w:rsidRPr="008F4AC5">
        <w:rPr>
          <w:rFonts w:asciiTheme="minorHAnsi" w:hAnsiTheme="minorHAnsi"/>
          <w:sz w:val="24"/>
          <w:szCs w:val="24"/>
          <w:lang w:val="pl-PL"/>
        </w:rPr>
        <w:t>]</w:t>
      </w:r>
      <w:r w:rsidRPr="00194E8E">
        <w:rPr>
          <w:rFonts w:asciiTheme="minorHAnsi" w:hAnsiTheme="minorHAnsi"/>
          <w:sz w:val="24"/>
          <w:szCs w:val="24"/>
          <w:lang w:val="pl-PL"/>
        </w:rPr>
        <w:t xml:space="preserve"> i stwierdził poważne naruszenia szeregu praw chronionych Konwencją przez Polskę w kontekście operacji „wyd</w:t>
      </w:r>
      <w:r w:rsidR="00226AAA">
        <w:rPr>
          <w:rFonts w:asciiTheme="minorHAnsi" w:hAnsiTheme="minorHAnsi"/>
          <w:sz w:val="24"/>
          <w:szCs w:val="24"/>
          <w:lang w:val="pl-PL"/>
        </w:rPr>
        <w:t xml:space="preserve">awania w trybie nadzwyczajnym” </w:t>
      </w:r>
      <w:r w:rsidR="00226AAA" w:rsidRPr="008F4AC5">
        <w:rPr>
          <w:rFonts w:asciiTheme="minorHAnsi" w:hAnsiTheme="minorHAnsi"/>
          <w:sz w:val="24"/>
          <w:szCs w:val="24"/>
          <w:lang w:val="pl-PL"/>
        </w:rPr>
        <w:t>[</w:t>
      </w:r>
      <w:r w:rsidRPr="008F4AC5">
        <w:rPr>
          <w:rFonts w:asciiTheme="minorHAnsi" w:hAnsiTheme="minorHAnsi"/>
          <w:sz w:val="24"/>
          <w:szCs w:val="24"/>
          <w:lang w:val="pl-PL"/>
        </w:rPr>
        <w:t>„extraordinary rendition”</w:t>
      </w:r>
      <w:r w:rsidR="00226AAA" w:rsidRPr="008F4AC5">
        <w:rPr>
          <w:rFonts w:asciiTheme="minorHAnsi" w:hAnsiTheme="minorHAnsi"/>
          <w:sz w:val="24"/>
          <w:szCs w:val="24"/>
          <w:lang w:val="pl-PL"/>
        </w:rPr>
        <w:t>]</w:t>
      </w:r>
      <w:r w:rsidRPr="00194E8E">
        <w:rPr>
          <w:rFonts w:asciiTheme="minorHAnsi" w:hAnsiTheme="minorHAnsi"/>
          <w:sz w:val="24"/>
          <w:szCs w:val="24"/>
          <w:lang w:val="pl-PL"/>
        </w:rPr>
        <w:t>, które umożliwiły Stanom Zjednoczonym bezprawne sprowadzenie skarżących pod jurysdykcję Stanów Zjednoczonych;</w:t>
      </w:r>
    </w:p>
    <w:p w:rsidR="009E0D13" w:rsidRPr="00194E8E" w:rsidRDefault="009E0D13" w:rsidP="00394C22">
      <w:pPr>
        <w:shd w:val="clear" w:color="auto" w:fill="FFFFFF"/>
        <w:spacing w:after="120"/>
        <w:ind w:left="709"/>
        <w:jc w:val="both"/>
        <w:rPr>
          <w:rFonts w:asciiTheme="minorHAnsi" w:hAnsiTheme="minorHAnsi"/>
          <w:i/>
        </w:rPr>
      </w:pPr>
      <w:r w:rsidRPr="00194E8E">
        <w:rPr>
          <w:rFonts w:asciiTheme="minorHAnsi" w:hAnsiTheme="minorHAnsi"/>
          <w:i/>
        </w:rPr>
        <w:t xml:space="preserve">W odniesieniu do środków indywidualnych </w:t>
      </w:r>
    </w:p>
    <w:p w:rsidR="009E0D13" w:rsidRPr="00194E8E" w:rsidRDefault="009E0D13" w:rsidP="00394C22">
      <w:pPr>
        <w:pStyle w:val="Akapitzlist"/>
        <w:numPr>
          <w:ilvl w:val="0"/>
          <w:numId w:val="19"/>
        </w:numPr>
        <w:spacing w:after="120" w:line="240" w:lineRule="auto"/>
        <w:ind w:left="1134" w:hanging="425"/>
        <w:jc w:val="both"/>
        <w:rPr>
          <w:rFonts w:asciiTheme="minorHAnsi" w:hAnsiTheme="minorHAnsi"/>
          <w:i/>
          <w:sz w:val="24"/>
          <w:szCs w:val="24"/>
          <w:lang w:val="pl-PL"/>
        </w:rPr>
      </w:pPr>
      <w:r w:rsidRPr="00194E8E">
        <w:rPr>
          <w:rFonts w:asciiTheme="minorHAnsi" w:hAnsiTheme="minorHAnsi"/>
          <w:sz w:val="24"/>
          <w:szCs w:val="24"/>
          <w:lang w:val="pl-PL"/>
        </w:rPr>
        <w:t xml:space="preserve">przypominając dalej, że konsekwencje naruszeń Konwencji dla skarżących nie zostały naprawione, ponieważ pan Al Nashiri podlega ryzyku rażącej odmowy </w:t>
      </w:r>
      <w:r w:rsidRPr="008F4AC5">
        <w:rPr>
          <w:rFonts w:asciiTheme="minorHAnsi" w:hAnsiTheme="minorHAnsi"/>
          <w:sz w:val="24"/>
          <w:szCs w:val="24"/>
          <w:lang w:val="pl-PL"/>
        </w:rPr>
        <w:t xml:space="preserve">sprawiedliwości w postępowaniu przed komisją wojskową w którym niedawno </w:t>
      </w:r>
      <w:r w:rsidR="008F4AC5">
        <w:rPr>
          <w:rFonts w:asciiTheme="minorHAnsi" w:hAnsiTheme="minorHAnsi"/>
          <w:sz w:val="24"/>
          <w:szCs w:val="24"/>
          <w:lang w:val="pl-PL"/>
        </w:rPr>
        <w:t>dopuszczono</w:t>
      </w:r>
      <w:r w:rsidRPr="008F4AC5">
        <w:rPr>
          <w:rFonts w:asciiTheme="minorHAnsi" w:hAnsiTheme="minorHAnsi"/>
          <w:sz w:val="24"/>
          <w:szCs w:val="24"/>
          <w:lang w:val="pl-PL"/>
        </w:rPr>
        <w:t>, ch</w:t>
      </w:r>
      <w:r w:rsidRPr="00194E8E">
        <w:rPr>
          <w:rFonts w:asciiTheme="minorHAnsi" w:hAnsiTheme="minorHAnsi"/>
          <w:sz w:val="24"/>
          <w:szCs w:val="24"/>
          <w:lang w:val="pl-PL"/>
        </w:rPr>
        <w:t xml:space="preserve">oć tymczasowo, wykorzystanie dowodów uzyskanych podczas jego przesłuchań przez CIA, oraz podlega ryzyku zastosowania kary śmierci, a pan Abu Zubaydah pozostaje poddany </w:t>
      </w:r>
      <w:r w:rsidRPr="008F4AC5">
        <w:rPr>
          <w:rFonts w:asciiTheme="minorHAnsi" w:hAnsiTheme="minorHAnsi"/>
          <w:sz w:val="24"/>
          <w:szCs w:val="24"/>
          <w:lang w:val="pl-PL"/>
        </w:rPr>
        <w:t>rażącej odmowie sprawiedliwości</w:t>
      </w:r>
      <w:r w:rsidRPr="00194E8E">
        <w:rPr>
          <w:rFonts w:asciiTheme="minorHAnsi" w:hAnsiTheme="minorHAnsi"/>
          <w:sz w:val="24"/>
          <w:szCs w:val="24"/>
          <w:lang w:val="pl-PL"/>
        </w:rPr>
        <w:t>, nadal jest przetrzymywany na czas nieokreślony i bez postawienia zarzutów od 2002 r., pozbawiony wszelkich zabezpieczeń przed arbitralnym zatrzymaniem;</w:t>
      </w:r>
    </w:p>
    <w:p w:rsidR="009E0D13" w:rsidRPr="00194E8E" w:rsidRDefault="009E0D13" w:rsidP="00394C22">
      <w:pPr>
        <w:pStyle w:val="Akapitzlist"/>
        <w:numPr>
          <w:ilvl w:val="0"/>
          <w:numId w:val="19"/>
        </w:numPr>
        <w:spacing w:after="120" w:line="240" w:lineRule="auto"/>
        <w:ind w:left="1134" w:hanging="425"/>
        <w:jc w:val="both"/>
        <w:rPr>
          <w:rFonts w:asciiTheme="minorHAnsi" w:hAnsiTheme="minorHAnsi"/>
          <w:sz w:val="24"/>
          <w:szCs w:val="24"/>
          <w:lang w:val="pl-PL"/>
        </w:rPr>
      </w:pPr>
      <w:r w:rsidRPr="00194E8E">
        <w:rPr>
          <w:rFonts w:asciiTheme="minorHAnsi" w:hAnsiTheme="minorHAnsi"/>
          <w:sz w:val="24"/>
          <w:szCs w:val="24"/>
          <w:lang w:val="pl-PL"/>
        </w:rPr>
        <w:t>ponownie podkreślając swój stanowczy, jednoznaczny sprzeciw wobec kary śmierci i</w:t>
      </w:r>
      <w:r w:rsidRPr="00194E8E">
        <w:rPr>
          <w:rFonts w:asciiTheme="minorHAnsi" w:hAnsiTheme="minorHAnsi"/>
          <w:i/>
          <w:sz w:val="24"/>
          <w:szCs w:val="24"/>
          <w:lang w:val="pl-PL"/>
        </w:rPr>
        <w:t xml:space="preserve"> </w:t>
      </w:r>
      <w:r w:rsidRPr="00194E8E">
        <w:rPr>
          <w:rFonts w:asciiTheme="minorHAnsi" w:hAnsiTheme="minorHAnsi"/>
          <w:sz w:val="24"/>
          <w:szCs w:val="24"/>
          <w:lang w:val="pl-PL"/>
        </w:rPr>
        <w:t xml:space="preserve">podkreślając niedopuszczalność jakiegokolwiek wykorzystania dowodów uzyskanych w wyniku tortur lub innych form złego traktowania w postępowaniu karnym, z głębokim zaniepokojeniem odnotowali, że władze Stanów Zjednoczonych utrzymują swoje stanowisko, aby nie uwzględnić wniosków o gwarancje dyplomatyczne dotyczące sytuacji skarżących; wyrazili swoje najgłębsze zaniepokojenie poważnymi </w:t>
      </w:r>
      <w:r w:rsidR="00486D4F" w:rsidRPr="00194E8E">
        <w:rPr>
          <w:rFonts w:asciiTheme="minorHAnsi" w:hAnsiTheme="minorHAnsi"/>
          <w:sz w:val="24"/>
          <w:szCs w:val="24"/>
          <w:lang w:val="pl-PL"/>
        </w:rPr>
        <w:t>zagrożeniami, które p</w:t>
      </w:r>
      <w:r w:rsidR="00DE61BD" w:rsidRPr="00194E8E">
        <w:rPr>
          <w:rFonts w:asciiTheme="minorHAnsi" w:hAnsiTheme="minorHAnsi"/>
          <w:sz w:val="24"/>
          <w:szCs w:val="24"/>
          <w:lang w:val="pl-PL"/>
        </w:rPr>
        <w:t>an Al</w:t>
      </w:r>
      <w:r w:rsidRPr="00194E8E">
        <w:rPr>
          <w:rFonts w:asciiTheme="minorHAnsi" w:hAnsiTheme="minorHAnsi"/>
          <w:sz w:val="24"/>
          <w:szCs w:val="24"/>
          <w:lang w:val="pl-PL"/>
        </w:rPr>
        <w:t xml:space="preserve"> Nashiri nadal ponosi oraz rażącą odmow</w:t>
      </w:r>
      <w:r w:rsidR="001F09DC" w:rsidRPr="00194E8E">
        <w:rPr>
          <w:rFonts w:asciiTheme="minorHAnsi" w:hAnsiTheme="minorHAnsi"/>
          <w:sz w:val="24"/>
          <w:szCs w:val="24"/>
          <w:lang w:val="pl-PL"/>
        </w:rPr>
        <w:t>ą</w:t>
      </w:r>
      <w:r w:rsidRPr="00194E8E">
        <w:rPr>
          <w:rFonts w:asciiTheme="minorHAnsi" w:hAnsiTheme="minorHAnsi"/>
          <w:sz w:val="24"/>
          <w:szCs w:val="24"/>
          <w:lang w:val="pl-PL"/>
        </w:rPr>
        <w:t xml:space="preserve"> sprawiedliwośc</w:t>
      </w:r>
      <w:r w:rsidR="00486D4F" w:rsidRPr="00194E8E">
        <w:rPr>
          <w:rFonts w:asciiTheme="minorHAnsi" w:hAnsiTheme="minorHAnsi"/>
          <w:sz w:val="24"/>
          <w:szCs w:val="24"/>
          <w:lang w:val="pl-PL"/>
        </w:rPr>
        <w:t>i, z powodu której nadal cierpi p</w:t>
      </w:r>
      <w:r w:rsidRPr="00194E8E">
        <w:rPr>
          <w:rFonts w:asciiTheme="minorHAnsi" w:hAnsiTheme="minorHAnsi"/>
          <w:sz w:val="24"/>
          <w:szCs w:val="24"/>
          <w:lang w:val="pl-PL"/>
        </w:rPr>
        <w:t>an Abu Zubaydah</w:t>
      </w:r>
      <w:r w:rsidR="001F09DC" w:rsidRPr="00194E8E">
        <w:rPr>
          <w:rFonts w:asciiTheme="minorHAnsi" w:hAnsiTheme="minorHAnsi"/>
          <w:sz w:val="24"/>
          <w:szCs w:val="24"/>
          <w:lang w:val="pl-PL"/>
        </w:rPr>
        <w:t>;</w:t>
      </w:r>
      <w:r w:rsidRPr="00194E8E">
        <w:rPr>
          <w:rFonts w:asciiTheme="minorHAnsi" w:hAnsiTheme="minorHAnsi"/>
          <w:sz w:val="24"/>
          <w:szCs w:val="24"/>
          <w:lang w:val="pl-PL"/>
        </w:rPr>
        <w:t xml:space="preserve"> </w:t>
      </w:r>
    </w:p>
    <w:p w:rsidR="009E0D13" w:rsidRPr="00194E8E" w:rsidRDefault="006D2031" w:rsidP="00394C22">
      <w:pPr>
        <w:pStyle w:val="Akapitzlist"/>
        <w:numPr>
          <w:ilvl w:val="0"/>
          <w:numId w:val="19"/>
        </w:numPr>
        <w:spacing w:after="120" w:line="240" w:lineRule="auto"/>
        <w:ind w:left="1134" w:hanging="425"/>
        <w:jc w:val="both"/>
        <w:rPr>
          <w:rFonts w:asciiTheme="minorHAnsi" w:hAnsiTheme="minorHAnsi"/>
          <w:sz w:val="24"/>
          <w:szCs w:val="24"/>
          <w:lang w:val="pl-PL"/>
        </w:rPr>
      </w:pPr>
      <w:r w:rsidRPr="00194E8E">
        <w:rPr>
          <w:rFonts w:asciiTheme="minorHAnsi" w:hAnsiTheme="minorHAnsi"/>
          <w:sz w:val="24"/>
          <w:szCs w:val="24"/>
          <w:lang w:val="pl-PL"/>
        </w:rPr>
        <w:t>odnotowując z zainteresowaniem niedawne informacje na temat działań podjętych przez władze polskie w celu uzyskania gwarancji dyplomatycznych od władz Stanów Zjednoczonych oraz stanowiska tych ostatnich w tym zakresie, uznali jednak, że sytuacja wymaga od władz polskich pilnego zaangażowania się w skuteczniejszy dialog z władzami Stanów Zjednoczonych w celu usunięcia ryzyka ponoszonego przez skarżących, a tym samym wypełnienia ich zobowiązań wynikających z art. 46 Konwencji; zwracając uwagę na gotowość do rozważenia dalszych działań, ponowili apel o jasną i spójną strategię zintensyfikowania wysiłków dyplomatycznych i zdecydowanie wezwali ich [władze] do podjęcia nowych działań bez dalszej zwłoki oraz do wyczerpania wszelkich możliwych sposobów, aby uczynić je skutecznymi, w tym na wyższym poziomie;</w:t>
      </w:r>
    </w:p>
    <w:p w:rsidR="0033208E" w:rsidRPr="00194E8E" w:rsidRDefault="00212EBF" w:rsidP="00394C22">
      <w:pPr>
        <w:pStyle w:val="Akapitzlist"/>
        <w:numPr>
          <w:ilvl w:val="0"/>
          <w:numId w:val="19"/>
        </w:numPr>
        <w:spacing w:after="120" w:line="240" w:lineRule="auto"/>
        <w:ind w:left="1134" w:hanging="425"/>
        <w:jc w:val="both"/>
        <w:rPr>
          <w:rFonts w:asciiTheme="minorHAnsi" w:hAnsiTheme="minorHAnsi"/>
          <w:sz w:val="24"/>
          <w:szCs w:val="24"/>
          <w:lang w:val="pl-PL"/>
        </w:rPr>
      </w:pPr>
      <w:r w:rsidRPr="00212EBF">
        <w:rPr>
          <w:rFonts w:asciiTheme="minorHAnsi" w:hAnsiTheme="minorHAnsi"/>
          <w:sz w:val="24"/>
          <w:szCs w:val="24"/>
          <w:lang w:val="pl-PL"/>
        </w:rPr>
        <w:t>wezwali</w:t>
      </w:r>
      <w:r w:rsidR="006D2031" w:rsidRPr="00212EBF">
        <w:rPr>
          <w:rFonts w:asciiTheme="minorHAnsi" w:hAnsiTheme="minorHAnsi"/>
          <w:sz w:val="24"/>
          <w:szCs w:val="24"/>
          <w:lang w:val="pl-PL"/>
        </w:rPr>
        <w:t>, w świetle zaistniałej sytuacji, w tym niedawnych niepokojących wydarzeń w procesie pana Al Nashiriego, aby dodatkowo polskie władze przewidziały inne możliwości, które umożliwiłyby</w:t>
      </w:r>
      <w:r w:rsidR="006D2031" w:rsidRPr="00194E8E">
        <w:rPr>
          <w:rFonts w:asciiTheme="minorHAnsi" w:hAnsiTheme="minorHAnsi"/>
          <w:sz w:val="24"/>
          <w:szCs w:val="24"/>
          <w:lang w:val="pl-PL"/>
        </w:rPr>
        <w:t xml:space="preserve"> im usunięcie ryzyka ponoszonego przez </w:t>
      </w:r>
      <w:r w:rsidR="006D2031" w:rsidRPr="00194E8E">
        <w:rPr>
          <w:rFonts w:asciiTheme="minorHAnsi" w:hAnsiTheme="minorHAnsi"/>
          <w:sz w:val="24"/>
          <w:szCs w:val="24"/>
          <w:lang w:val="pl-PL"/>
        </w:rPr>
        <w:lastRenderedPageBreak/>
        <w:t xml:space="preserve">skarżących; zwrócili się do nich o poważne rozważenie interwencji jako </w:t>
      </w:r>
      <w:r w:rsidR="006D2031" w:rsidRPr="00194E8E">
        <w:rPr>
          <w:rFonts w:asciiTheme="minorHAnsi" w:hAnsiTheme="minorHAnsi"/>
          <w:i/>
          <w:sz w:val="24"/>
          <w:szCs w:val="24"/>
          <w:lang w:val="pl-PL"/>
        </w:rPr>
        <w:t>amicus curiae</w:t>
      </w:r>
      <w:r w:rsidR="006D2031" w:rsidRPr="00194E8E">
        <w:rPr>
          <w:rFonts w:asciiTheme="minorHAnsi" w:hAnsiTheme="minorHAnsi"/>
          <w:sz w:val="24"/>
          <w:szCs w:val="24"/>
          <w:lang w:val="pl-PL"/>
        </w:rPr>
        <w:t xml:space="preserve"> we wszelkich stosownych postępowaniach toczących się w Stanach Zjednoczonych i o poinformowanie o tym Komitetu; ponownie zaapelowali do zainteresowanych państw członkowskich Rady Europy o udzielenie polskim władzom wszelkiej możliwej pomocy;</w:t>
      </w:r>
    </w:p>
    <w:p w:rsidR="009E0D13" w:rsidRPr="00194E8E" w:rsidRDefault="00212EBF" w:rsidP="00394C22">
      <w:pPr>
        <w:pStyle w:val="Akapitzlist"/>
        <w:numPr>
          <w:ilvl w:val="0"/>
          <w:numId w:val="19"/>
        </w:numPr>
        <w:spacing w:after="120" w:line="240" w:lineRule="auto"/>
        <w:ind w:left="1134" w:hanging="425"/>
        <w:jc w:val="both"/>
        <w:rPr>
          <w:rFonts w:asciiTheme="minorHAnsi" w:hAnsiTheme="minorHAnsi"/>
          <w:sz w:val="24"/>
          <w:szCs w:val="24"/>
          <w:lang w:val="pl-PL"/>
        </w:rPr>
      </w:pPr>
      <w:r w:rsidRPr="00212EBF">
        <w:rPr>
          <w:rFonts w:asciiTheme="minorHAnsi" w:hAnsiTheme="minorHAnsi"/>
          <w:sz w:val="24"/>
          <w:szCs w:val="24"/>
          <w:lang w:val="pl-PL"/>
        </w:rPr>
        <w:t>odnotowali</w:t>
      </w:r>
      <w:r w:rsidR="007F6282" w:rsidRPr="00212EBF">
        <w:rPr>
          <w:rFonts w:asciiTheme="minorHAnsi" w:hAnsiTheme="minorHAnsi"/>
          <w:sz w:val="24"/>
          <w:szCs w:val="24"/>
          <w:lang w:val="pl-PL"/>
        </w:rPr>
        <w:t>, że krajowe śledztwo zostało częściowo umorzone w listopadzie 2020</w:t>
      </w:r>
      <w:r w:rsidR="00BA7ED1" w:rsidRPr="00212EBF">
        <w:rPr>
          <w:rFonts w:asciiTheme="minorHAnsi" w:hAnsiTheme="minorHAnsi"/>
          <w:sz w:val="24"/>
          <w:szCs w:val="24"/>
          <w:lang w:val="pl-PL"/>
        </w:rPr>
        <w:t> </w:t>
      </w:r>
      <w:r w:rsidR="007F6282" w:rsidRPr="00212EBF">
        <w:rPr>
          <w:rFonts w:asciiTheme="minorHAnsi" w:hAnsiTheme="minorHAnsi"/>
          <w:sz w:val="24"/>
          <w:szCs w:val="24"/>
          <w:lang w:val="pl-PL"/>
        </w:rPr>
        <w:t>r., a pozostała część zawieszona w lutym 2021 r. w oczekiwaniu na rozpatrzenie nowego</w:t>
      </w:r>
      <w:r w:rsidR="007F6282" w:rsidRPr="00194E8E">
        <w:rPr>
          <w:rFonts w:asciiTheme="minorHAnsi" w:hAnsiTheme="minorHAnsi"/>
          <w:sz w:val="24"/>
          <w:szCs w:val="24"/>
          <w:lang w:val="pl-PL"/>
        </w:rPr>
        <w:t xml:space="preserve"> wniosku o pomoc prawną złożonego przez polskie władze do Stanów Zjednoczonych; ubolewa</w:t>
      </w:r>
      <w:r>
        <w:rPr>
          <w:rFonts w:asciiTheme="minorHAnsi" w:hAnsiTheme="minorHAnsi"/>
          <w:sz w:val="24"/>
          <w:szCs w:val="24"/>
          <w:lang w:val="pl-PL"/>
        </w:rPr>
        <w:t>jąc</w:t>
      </w:r>
      <w:r w:rsidR="007F6282" w:rsidRPr="00194E8E">
        <w:rPr>
          <w:rFonts w:asciiTheme="minorHAnsi" w:hAnsiTheme="minorHAnsi"/>
          <w:sz w:val="24"/>
          <w:szCs w:val="24"/>
          <w:lang w:val="pl-PL"/>
        </w:rPr>
        <w:t>, że polskie władze nie przedstawiły żadnych szczegółów dot</w:t>
      </w:r>
      <w:r w:rsidR="00A54BEC" w:rsidRPr="00194E8E">
        <w:rPr>
          <w:rFonts w:asciiTheme="minorHAnsi" w:hAnsiTheme="minorHAnsi"/>
          <w:sz w:val="24"/>
          <w:szCs w:val="24"/>
          <w:lang w:val="pl-PL"/>
        </w:rPr>
        <w:t xml:space="preserve">yczących tych decyzji i </w:t>
      </w:r>
      <w:r w:rsidR="007F6282" w:rsidRPr="00194E8E">
        <w:rPr>
          <w:rFonts w:asciiTheme="minorHAnsi" w:hAnsiTheme="minorHAnsi"/>
          <w:sz w:val="24"/>
          <w:szCs w:val="24"/>
          <w:lang w:val="pl-PL"/>
        </w:rPr>
        <w:t xml:space="preserve">ich uzasadnienia, </w:t>
      </w:r>
      <w:r w:rsidR="007F6282" w:rsidRPr="00212EBF">
        <w:rPr>
          <w:rFonts w:asciiTheme="minorHAnsi" w:hAnsiTheme="minorHAnsi"/>
          <w:sz w:val="24"/>
          <w:szCs w:val="24"/>
          <w:lang w:val="pl-PL"/>
        </w:rPr>
        <w:t>zwróci</w:t>
      </w:r>
      <w:r w:rsidR="00486D4F" w:rsidRPr="00212EBF">
        <w:rPr>
          <w:rFonts w:asciiTheme="minorHAnsi" w:hAnsiTheme="minorHAnsi"/>
          <w:sz w:val="24"/>
          <w:szCs w:val="24"/>
          <w:lang w:val="pl-PL"/>
        </w:rPr>
        <w:t>li</w:t>
      </w:r>
      <w:r w:rsidR="007F6282" w:rsidRPr="00194E8E">
        <w:rPr>
          <w:rFonts w:asciiTheme="minorHAnsi" w:hAnsiTheme="minorHAnsi"/>
          <w:sz w:val="24"/>
          <w:szCs w:val="24"/>
          <w:lang w:val="pl-PL"/>
        </w:rPr>
        <w:t xml:space="preserve"> się do nich o przedłożenie </w:t>
      </w:r>
      <w:r w:rsidR="00A54BEC" w:rsidRPr="00194E8E">
        <w:rPr>
          <w:rFonts w:asciiTheme="minorHAnsi" w:hAnsiTheme="minorHAnsi"/>
          <w:sz w:val="24"/>
          <w:szCs w:val="24"/>
          <w:lang w:val="pl-PL"/>
        </w:rPr>
        <w:t>kopii postanowień</w:t>
      </w:r>
      <w:r w:rsidR="007F6282" w:rsidRPr="00194E8E">
        <w:rPr>
          <w:rFonts w:asciiTheme="minorHAnsi" w:hAnsiTheme="minorHAnsi"/>
          <w:sz w:val="24"/>
          <w:szCs w:val="24"/>
          <w:lang w:val="pl-PL"/>
        </w:rPr>
        <w:t xml:space="preserve">, z zachowaniem poufności, jeśli zajdzie taka potrzeba; </w:t>
      </w:r>
      <w:r>
        <w:rPr>
          <w:rFonts w:asciiTheme="minorHAnsi" w:hAnsiTheme="minorHAnsi"/>
          <w:sz w:val="24"/>
          <w:szCs w:val="24"/>
          <w:lang w:val="pl-PL"/>
        </w:rPr>
        <w:t>odnotowując</w:t>
      </w:r>
      <w:r w:rsidR="007F6282" w:rsidRPr="00194E8E">
        <w:rPr>
          <w:rFonts w:asciiTheme="minorHAnsi" w:hAnsiTheme="minorHAnsi"/>
          <w:sz w:val="24"/>
          <w:szCs w:val="24"/>
          <w:lang w:val="pl-PL"/>
        </w:rPr>
        <w:t xml:space="preserve"> ponadto, że obie decyzje zostały zakwestionowane przed sądami krajowymi, zwróci</w:t>
      </w:r>
      <w:r w:rsidR="0033208E" w:rsidRPr="00194E8E">
        <w:rPr>
          <w:rFonts w:asciiTheme="minorHAnsi" w:hAnsiTheme="minorHAnsi"/>
          <w:sz w:val="24"/>
          <w:szCs w:val="24"/>
          <w:lang w:val="pl-PL"/>
        </w:rPr>
        <w:t>li</w:t>
      </w:r>
      <w:r w:rsidR="007F6282" w:rsidRPr="00194E8E">
        <w:rPr>
          <w:rFonts w:asciiTheme="minorHAnsi" w:hAnsiTheme="minorHAnsi"/>
          <w:sz w:val="24"/>
          <w:szCs w:val="24"/>
          <w:lang w:val="pl-PL"/>
        </w:rPr>
        <w:t xml:space="preserve"> się do władz o informowanie Komi</w:t>
      </w:r>
      <w:r w:rsidR="0033208E" w:rsidRPr="00194E8E">
        <w:rPr>
          <w:rFonts w:asciiTheme="minorHAnsi" w:hAnsiTheme="minorHAnsi"/>
          <w:sz w:val="24"/>
          <w:szCs w:val="24"/>
          <w:lang w:val="pl-PL"/>
        </w:rPr>
        <w:t>tetu</w:t>
      </w:r>
      <w:r w:rsidR="007F6282" w:rsidRPr="00194E8E">
        <w:rPr>
          <w:rFonts w:asciiTheme="minorHAnsi" w:hAnsiTheme="minorHAnsi"/>
          <w:sz w:val="24"/>
          <w:szCs w:val="24"/>
          <w:lang w:val="pl-PL"/>
        </w:rPr>
        <w:t xml:space="preserve"> o wyniku tych postępowań;</w:t>
      </w:r>
    </w:p>
    <w:p w:rsidR="007F6282" w:rsidRPr="00194E8E" w:rsidRDefault="0033208E" w:rsidP="00394C22">
      <w:pPr>
        <w:pStyle w:val="Akapitzlist"/>
        <w:numPr>
          <w:ilvl w:val="0"/>
          <w:numId w:val="19"/>
        </w:numPr>
        <w:spacing w:after="120" w:line="240" w:lineRule="auto"/>
        <w:ind w:left="1134" w:hanging="425"/>
        <w:jc w:val="both"/>
        <w:rPr>
          <w:rFonts w:asciiTheme="minorHAnsi" w:hAnsiTheme="minorHAnsi"/>
          <w:sz w:val="24"/>
          <w:szCs w:val="24"/>
          <w:lang w:val="pl-PL"/>
        </w:rPr>
      </w:pPr>
      <w:r w:rsidRPr="00212EBF">
        <w:rPr>
          <w:rFonts w:asciiTheme="minorHAnsi" w:hAnsiTheme="minorHAnsi"/>
          <w:sz w:val="24"/>
          <w:szCs w:val="24"/>
          <w:lang w:val="pl-PL"/>
        </w:rPr>
        <w:t>podkreślili</w:t>
      </w:r>
      <w:r w:rsidRPr="00194E8E">
        <w:rPr>
          <w:rFonts w:asciiTheme="minorHAnsi" w:hAnsiTheme="minorHAnsi"/>
          <w:sz w:val="24"/>
          <w:szCs w:val="24"/>
          <w:lang w:val="pl-PL"/>
        </w:rPr>
        <w:t xml:space="preserve"> kluczowe znaczenie utrzymania odpowiedniego stopnia kontroli publicznej nad tym śledztwem i jego wynikami; zwrócili się do władz o dalsze dopilnowanie, aby wydarzenia, w tym wyniki odnośnych postępowań sądowych, były przedstawiane opinii publicznej oraz o informowanie Komitetu o przyszłych działaniach podejmowanych w tym celu;</w:t>
      </w:r>
    </w:p>
    <w:p w:rsidR="0033208E" w:rsidRPr="00194E8E" w:rsidRDefault="007465C6" w:rsidP="00394C22">
      <w:pPr>
        <w:pStyle w:val="Akapitzlist"/>
        <w:numPr>
          <w:ilvl w:val="0"/>
          <w:numId w:val="19"/>
        </w:numPr>
        <w:spacing w:after="120" w:line="240" w:lineRule="auto"/>
        <w:ind w:left="1134" w:hanging="425"/>
        <w:jc w:val="both"/>
        <w:rPr>
          <w:rFonts w:asciiTheme="minorHAnsi" w:hAnsiTheme="minorHAnsi"/>
          <w:sz w:val="24"/>
          <w:szCs w:val="24"/>
          <w:lang w:val="pl-PL"/>
        </w:rPr>
      </w:pPr>
      <w:r w:rsidRPr="00194E8E">
        <w:rPr>
          <w:rFonts w:asciiTheme="minorHAnsi" w:hAnsiTheme="minorHAnsi"/>
          <w:sz w:val="24"/>
          <w:szCs w:val="24"/>
          <w:lang w:val="pl-PL"/>
        </w:rPr>
        <w:t>ponowili apel do władz o wyjaśnienie, czy dochodzenie zatwierdzone przez Izbę Apelacyjną Międzynarodowego Trybunału Karnego w dniu 5 marca 2020 r. ma jakikolwiek związek z ich własnym śledztwem;</w:t>
      </w:r>
    </w:p>
    <w:p w:rsidR="007465C6" w:rsidRPr="00194E8E" w:rsidRDefault="007465C6" w:rsidP="00394C22">
      <w:pPr>
        <w:pStyle w:val="Akapitzlist"/>
        <w:numPr>
          <w:ilvl w:val="0"/>
          <w:numId w:val="19"/>
        </w:numPr>
        <w:spacing w:after="120" w:line="240" w:lineRule="auto"/>
        <w:ind w:left="1134" w:hanging="425"/>
        <w:jc w:val="both"/>
        <w:rPr>
          <w:rFonts w:asciiTheme="minorHAnsi" w:hAnsiTheme="minorHAnsi"/>
          <w:sz w:val="24"/>
          <w:szCs w:val="24"/>
          <w:lang w:val="pl-PL"/>
        </w:rPr>
      </w:pPr>
      <w:r w:rsidRPr="00194E8E">
        <w:rPr>
          <w:rFonts w:asciiTheme="minorHAnsi" w:hAnsiTheme="minorHAnsi"/>
          <w:sz w:val="24"/>
          <w:szCs w:val="24"/>
          <w:lang w:val="pl-PL"/>
        </w:rPr>
        <w:t>w odniesieniu do wypłaty zadośćuczynienia dla pana Abu Zubaydah odnotowali informację, że niedawno uzyskano pełnomocnictwo z instrukcjami w sprawie zapłaty i zwrócili się do władz polskich o dalszą współpracę z pełnomocnikiem skarżącego i Sekretariatem w tym zakresie, jeśli to konieczne, w celu zapewnienia przekazania słusznego zadośćuczynienia do dyspozycji skarżącego bez dalszej zwłoki;</w:t>
      </w:r>
    </w:p>
    <w:p w:rsidR="00BD7FA7" w:rsidRPr="00194E8E" w:rsidRDefault="00BD7FA7" w:rsidP="00394C22">
      <w:pPr>
        <w:pStyle w:val="Akapitzlist"/>
        <w:numPr>
          <w:ilvl w:val="0"/>
          <w:numId w:val="19"/>
        </w:numPr>
        <w:spacing w:after="120" w:line="240" w:lineRule="auto"/>
        <w:ind w:left="1134" w:hanging="425"/>
        <w:jc w:val="both"/>
        <w:rPr>
          <w:rFonts w:asciiTheme="minorHAnsi" w:hAnsiTheme="minorHAnsi"/>
          <w:sz w:val="24"/>
          <w:szCs w:val="24"/>
          <w:lang w:val="pl-PL"/>
        </w:rPr>
      </w:pPr>
      <w:r w:rsidRPr="00194E8E">
        <w:rPr>
          <w:rFonts w:asciiTheme="minorHAnsi" w:hAnsiTheme="minorHAnsi"/>
          <w:sz w:val="24"/>
          <w:szCs w:val="24"/>
          <w:lang w:val="pl-PL"/>
        </w:rPr>
        <w:t xml:space="preserve">przypominając po raz kolejny, że Stany Zjednoczone mają status obserwatora przy Radzie Europy i jako takie podzielają jej ideały i wartości oraz że ten status i takie wartości zachęcają do współpracy, </w:t>
      </w:r>
      <w:r w:rsidRPr="00394C22">
        <w:rPr>
          <w:rFonts w:asciiTheme="minorHAnsi" w:hAnsiTheme="minorHAnsi"/>
          <w:sz w:val="24"/>
          <w:szCs w:val="24"/>
          <w:lang w:val="pl-PL"/>
        </w:rPr>
        <w:t>ponownie zdecydowanie wezwa</w:t>
      </w:r>
      <w:r w:rsidR="00486D4F" w:rsidRPr="00394C22">
        <w:rPr>
          <w:rFonts w:asciiTheme="minorHAnsi" w:hAnsiTheme="minorHAnsi"/>
          <w:sz w:val="24"/>
          <w:szCs w:val="24"/>
          <w:lang w:val="pl-PL"/>
        </w:rPr>
        <w:t>li</w:t>
      </w:r>
      <w:r w:rsidRPr="00394C22">
        <w:rPr>
          <w:rFonts w:asciiTheme="minorHAnsi" w:hAnsiTheme="minorHAnsi"/>
          <w:sz w:val="24"/>
          <w:szCs w:val="24"/>
          <w:lang w:val="pl-PL"/>
        </w:rPr>
        <w:t xml:space="preserve"> władze Stanów Zjednoczonych do ponownego rozważenia swojego stanowiska i zapewnienia wszelki</w:t>
      </w:r>
      <w:r w:rsidR="00486D4F" w:rsidRPr="00394C22">
        <w:rPr>
          <w:rFonts w:asciiTheme="minorHAnsi" w:hAnsiTheme="minorHAnsi"/>
          <w:sz w:val="24"/>
          <w:szCs w:val="24"/>
          <w:lang w:val="pl-PL"/>
        </w:rPr>
        <w:t>ch</w:t>
      </w:r>
      <w:r w:rsidRPr="00394C22">
        <w:rPr>
          <w:rFonts w:asciiTheme="minorHAnsi" w:hAnsiTheme="minorHAnsi"/>
          <w:sz w:val="24"/>
          <w:szCs w:val="24"/>
          <w:lang w:val="pl-PL"/>
        </w:rPr>
        <w:t xml:space="preserve"> niezbędn</w:t>
      </w:r>
      <w:r w:rsidR="00486D4F" w:rsidRPr="00394C22">
        <w:rPr>
          <w:rFonts w:asciiTheme="minorHAnsi" w:hAnsiTheme="minorHAnsi"/>
          <w:sz w:val="24"/>
          <w:szCs w:val="24"/>
          <w:lang w:val="pl-PL"/>
        </w:rPr>
        <w:t>ych</w:t>
      </w:r>
      <w:r w:rsidRPr="00394C22">
        <w:rPr>
          <w:rFonts w:asciiTheme="minorHAnsi" w:hAnsiTheme="minorHAnsi"/>
          <w:sz w:val="24"/>
          <w:szCs w:val="24"/>
          <w:lang w:val="pl-PL"/>
        </w:rPr>
        <w:t xml:space="preserve"> gwarancj</w:t>
      </w:r>
      <w:r w:rsidR="00486D4F" w:rsidRPr="00394C22">
        <w:rPr>
          <w:rFonts w:asciiTheme="minorHAnsi" w:hAnsiTheme="minorHAnsi"/>
          <w:sz w:val="24"/>
          <w:szCs w:val="24"/>
          <w:lang w:val="pl-PL"/>
        </w:rPr>
        <w:t>i</w:t>
      </w:r>
      <w:r w:rsidRPr="00194E8E">
        <w:rPr>
          <w:rFonts w:asciiTheme="minorHAnsi" w:hAnsiTheme="minorHAnsi"/>
          <w:sz w:val="24"/>
          <w:szCs w:val="24"/>
          <w:lang w:val="pl-PL"/>
        </w:rPr>
        <w:t xml:space="preserve"> i pomoc</w:t>
      </w:r>
      <w:r w:rsidR="00486D4F" w:rsidRPr="00194E8E">
        <w:rPr>
          <w:rFonts w:asciiTheme="minorHAnsi" w:hAnsiTheme="minorHAnsi"/>
          <w:sz w:val="24"/>
          <w:szCs w:val="24"/>
          <w:lang w:val="pl-PL"/>
        </w:rPr>
        <w:t>y</w:t>
      </w:r>
      <w:r w:rsidRPr="00194E8E">
        <w:rPr>
          <w:rFonts w:asciiTheme="minorHAnsi" w:hAnsiTheme="minorHAnsi"/>
          <w:sz w:val="24"/>
          <w:szCs w:val="24"/>
          <w:lang w:val="pl-PL"/>
        </w:rPr>
        <w:t>, prawne</w:t>
      </w:r>
      <w:r w:rsidR="00486D4F" w:rsidRPr="00194E8E">
        <w:rPr>
          <w:rFonts w:asciiTheme="minorHAnsi" w:hAnsiTheme="minorHAnsi"/>
          <w:sz w:val="24"/>
          <w:szCs w:val="24"/>
          <w:lang w:val="pl-PL"/>
        </w:rPr>
        <w:t>j</w:t>
      </w:r>
      <w:r w:rsidRPr="00194E8E">
        <w:rPr>
          <w:rFonts w:asciiTheme="minorHAnsi" w:hAnsiTheme="minorHAnsi"/>
          <w:sz w:val="24"/>
          <w:szCs w:val="24"/>
          <w:lang w:val="pl-PL"/>
        </w:rPr>
        <w:t xml:space="preserve"> i inne</w:t>
      </w:r>
      <w:r w:rsidR="00486D4F" w:rsidRPr="00194E8E">
        <w:rPr>
          <w:rFonts w:asciiTheme="minorHAnsi" w:hAnsiTheme="minorHAnsi"/>
          <w:sz w:val="24"/>
          <w:szCs w:val="24"/>
          <w:lang w:val="pl-PL"/>
        </w:rPr>
        <w:t>j</w:t>
      </w:r>
      <w:r w:rsidRPr="00194E8E">
        <w:rPr>
          <w:rFonts w:asciiTheme="minorHAnsi" w:hAnsiTheme="minorHAnsi"/>
          <w:sz w:val="24"/>
          <w:szCs w:val="24"/>
          <w:lang w:val="pl-PL"/>
        </w:rPr>
        <w:t>, lub podj</w:t>
      </w:r>
      <w:r w:rsidR="00486D4F" w:rsidRPr="00194E8E">
        <w:rPr>
          <w:rFonts w:asciiTheme="minorHAnsi" w:hAnsiTheme="minorHAnsi"/>
          <w:sz w:val="24"/>
          <w:szCs w:val="24"/>
          <w:lang w:val="pl-PL"/>
        </w:rPr>
        <w:t>ęli</w:t>
      </w:r>
      <w:r w:rsidRPr="00194E8E">
        <w:rPr>
          <w:rFonts w:asciiTheme="minorHAnsi" w:hAnsiTheme="minorHAnsi"/>
          <w:sz w:val="24"/>
          <w:szCs w:val="24"/>
          <w:lang w:val="pl-PL"/>
        </w:rPr>
        <w:t xml:space="preserve"> inne równoważne środki;</w:t>
      </w:r>
    </w:p>
    <w:p w:rsidR="00470EB5" w:rsidRPr="00194E8E" w:rsidRDefault="00470EB5" w:rsidP="00394C22">
      <w:pPr>
        <w:pStyle w:val="Akapitzlist"/>
        <w:numPr>
          <w:ilvl w:val="0"/>
          <w:numId w:val="19"/>
        </w:numPr>
        <w:spacing w:after="120" w:line="240" w:lineRule="auto"/>
        <w:ind w:left="1134" w:hanging="425"/>
        <w:jc w:val="both"/>
        <w:rPr>
          <w:rFonts w:asciiTheme="minorHAnsi" w:hAnsiTheme="minorHAnsi"/>
          <w:sz w:val="24"/>
          <w:szCs w:val="24"/>
          <w:lang w:val="pl-PL"/>
        </w:rPr>
      </w:pPr>
      <w:r w:rsidRPr="00194E8E">
        <w:rPr>
          <w:rFonts w:asciiTheme="minorHAnsi" w:hAnsiTheme="minorHAnsi"/>
          <w:sz w:val="24"/>
          <w:szCs w:val="24"/>
          <w:lang w:val="pl-PL"/>
        </w:rPr>
        <w:t>zgodzili się zaprosić Biuro Stałego Obserwatora Stanów Zjednoczonych Ameryki przy Radzie Europy do udziału w kolejnym badaniu tych spraw;</w:t>
      </w:r>
    </w:p>
    <w:p w:rsidR="00470EB5" w:rsidRPr="00194E8E" w:rsidRDefault="00BA7ED1" w:rsidP="00394C22">
      <w:pPr>
        <w:pStyle w:val="Akapitzlist"/>
        <w:spacing w:after="120" w:line="240" w:lineRule="auto"/>
        <w:ind w:left="709"/>
        <w:jc w:val="both"/>
        <w:rPr>
          <w:rFonts w:asciiTheme="minorHAnsi" w:hAnsiTheme="minorHAnsi"/>
          <w:i/>
          <w:sz w:val="24"/>
          <w:szCs w:val="24"/>
          <w:lang w:val="pl-PL"/>
        </w:rPr>
      </w:pPr>
      <w:r>
        <w:rPr>
          <w:rFonts w:asciiTheme="minorHAnsi" w:hAnsiTheme="minorHAnsi"/>
          <w:i/>
          <w:sz w:val="24"/>
          <w:szCs w:val="24"/>
          <w:lang w:val="pl-PL"/>
        </w:rPr>
        <w:t>W</w:t>
      </w:r>
      <w:r w:rsidR="00470EB5" w:rsidRPr="00194E8E">
        <w:rPr>
          <w:rFonts w:asciiTheme="minorHAnsi" w:hAnsiTheme="minorHAnsi"/>
          <w:i/>
          <w:sz w:val="24"/>
          <w:szCs w:val="24"/>
          <w:lang w:val="pl-PL"/>
        </w:rPr>
        <w:t xml:space="preserve"> odniesieniu do środków generalnych</w:t>
      </w:r>
    </w:p>
    <w:p w:rsidR="00470EB5" w:rsidRPr="00194E8E" w:rsidRDefault="00470EB5" w:rsidP="00394C22">
      <w:pPr>
        <w:pStyle w:val="Akapitzlist"/>
        <w:numPr>
          <w:ilvl w:val="0"/>
          <w:numId w:val="19"/>
        </w:numPr>
        <w:spacing w:after="120" w:line="240" w:lineRule="auto"/>
        <w:ind w:left="1134" w:hanging="425"/>
        <w:jc w:val="both"/>
        <w:rPr>
          <w:rFonts w:asciiTheme="minorHAnsi" w:hAnsiTheme="minorHAnsi"/>
          <w:sz w:val="24"/>
          <w:szCs w:val="24"/>
          <w:lang w:val="pl-PL"/>
        </w:rPr>
      </w:pPr>
      <w:r w:rsidRPr="00194E8E">
        <w:rPr>
          <w:rFonts w:asciiTheme="minorHAnsi" w:hAnsiTheme="minorHAnsi"/>
          <w:sz w:val="24"/>
          <w:szCs w:val="24"/>
          <w:lang w:val="pl-PL"/>
        </w:rPr>
        <w:t>w zakresie środków niezbędnych do wzmocnienia demokratycznego nadzoru nad służbami wywiadowczymi, z zainteresowaniem odnotowali niedawne powołanie Komitetu Bezpieczeństwa Narodowego i spraw Obronnych, którego celem jest w szczególności zapewnienie koordynacj</w:t>
      </w:r>
      <w:r w:rsidR="00CD4849" w:rsidRPr="00194E8E">
        <w:rPr>
          <w:rFonts w:asciiTheme="minorHAnsi" w:hAnsiTheme="minorHAnsi"/>
          <w:sz w:val="24"/>
          <w:szCs w:val="24"/>
          <w:lang w:val="pl-PL"/>
        </w:rPr>
        <w:t>i działań R</w:t>
      </w:r>
      <w:r w:rsidRPr="00194E8E">
        <w:rPr>
          <w:rFonts w:asciiTheme="minorHAnsi" w:hAnsiTheme="minorHAnsi"/>
          <w:sz w:val="24"/>
          <w:szCs w:val="24"/>
          <w:lang w:val="pl-PL"/>
        </w:rPr>
        <w:t xml:space="preserve">ządu w sprawach związanych z bezpieczeństwem państwa; zwrócili się do władz o wyjaśnienie, czy i w jaki sposób zwiększa to kontrolę nad podejmowaniem decyzji na wysokim szczeblu w tym obszarze oraz, bardziej ogólnie, o wskazanie, w jaki sposób środek ten rozwiązał </w:t>
      </w:r>
      <w:r w:rsidRPr="00194E8E">
        <w:rPr>
          <w:rFonts w:asciiTheme="minorHAnsi" w:hAnsiTheme="minorHAnsi"/>
          <w:sz w:val="24"/>
          <w:szCs w:val="24"/>
          <w:lang w:val="pl-PL"/>
        </w:rPr>
        <w:lastRenderedPageBreak/>
        <w:t>uchybienia zdiagnozowane w istniejącym systemie w wyniku kontroli zainicjowanej przez Ministra Koordynatora ds. służb specjalnych;</w:t>
      </w:r>
    </w:p>
    <w:p w:rsidR="00470EB5" w:rsidRPr="00194E8E" w:rsidRDefault="00470EB5" w:rsidP="00394C22">
      <w:pPr>
        <w:pStyle w:val="Akapitzlist"/>
        <w:numPr>
          <w:ilvl w:val="0"/>
          <w:numId w:val="19"/>
        </w:numPr>
        <w:spacing w:after="120" w:line="240" w:lineRule="auto"/>
        <w:ind w:left="1134" w:hanging="425"/>
        <w:jc w:val="both"/>
        <w:rPr>
          <w:rFonts w:asciiTheme="minorHAnsi" w:hAnsiTheme="minorHAnsi"/>
          <w:sz w:val="24"/>
          <w:szCs w:val="24"/>
          <w:lang w:val="pl-PL"/>
        </w:rPr>
      </w:pPr>
      <w:r w:rsidRPr="00194E8E">
        <w:rPr>
          <w:rFonts w:asciiTheme="minorHAnsi" w:hAnsiTheme="minorHAnsi"/>
          <w:sz w:val="24"/>
          <w:szCs w:val="24"/>
          <w:lang w:val="pl-PL"/>
        </w:rPr>
        <w:t>przypominając swoje wcześniejsze decyzje i wezwania w nich zawarte, wyrazili głębokie zaniepokojenie brakiem jakichkolwiek informacji potwierdzających rozwój sytuacji w zakresie przyjmowania innych środków niezbędnych do zagwarantowania niepowtarzania się stwierdzonych naruszeń, w tym art. 38 w odniesieniu do komunikowania się z Trybunałem, podkreślając bezwarunkowy obowiązek Polski, wynikający z Artykułu 46 ust. 1 Konwencji, do pełnego, skutecznego i niezwłocznego przestrzegania wyroków Trybunału, wezwali władze do uwzględnienia tych wezwań bez dalszej zwłoki;</w:t>
      </w:r>
    </w:p>
    <w:p w:rsidR="00470EB5" w:rsidRPr="00194E8E" w:rsidRDefault="00470EB5" w:rsidP="00394C22">
      <w:pPr>
        <w:pStyle w:val="Akapitzlist"/>
        <w:numPr>
          <w:ilvl w:val="0"/>
          <w:numId w:val="19"/>
        </w:numPr>
        <w:spacing w:after="120" w:line="240" w:lineRule="auto"/>
        <w:ind w:left="1134" w:hanging="425"/>
        <w:jc w:val="both"/>
        <w:rPr>
          <w:rFonts w:asciiTheme="minorHAnsi" w:hAnsiTheme="minorHAnsi"/>
          <w:sz w:val="24"/>
          <w:szCs w:val="24"/>
          <w:lang w:val="pl-PL"/>
        </w:rPr>
      </w:pPr>
      <w:r w:rsidRPr="00194E8E">
        <w:rPr>
          <w:rFonts w:asciiTheme="minorHAnsi" w:hAnsiTheme="minorHAnsi"/>
          <w:sz w:val="24"/>
          <w:szCs w:val="24"/>
          <w:lang w:val="pl-PL"/>
        </w:rPr>
        <w:t xml:space="preserve">poprosili władze o przekazanie informacji na wszystkie nierozwiązane kwestie najpóźniej do 15 grudnia 2021 r. i zdecydowali powrócić do omawiania tych spraw na swoim posiedzeniu w formacie ds. praw człowieka w marcu 2022 r. </w:t>
      </w:r>
    </w:p>
    <w:p w:rsidR="005653F7" w:rsidRPr="00BA7ED1" w:rsidRDefault="005653F7" w:rsidP="00BA7ED1">
      <w:pPr>
        <w:pStyle w:val="Akapitzlist"/>
        <w:numPr>
          <w:ilvl w:val="0"/>
          <w:numId w:val="20"/>
        </w:numPr>
        <w:spacing w:before="240" w:after="120" w:line="240" w:lineRule="auto"/>
        <w:ind w:left="709" w:hanging="425"/>
        <w:jc w:val="both"/>
        <w:rPr>
          <w:rFonts w:asciiTheme="minorHAnsi" w:hAnsiTheme="minorHAnsi"/>
          <w:b/>
          <w:sz w:val="24"/>
          <w:szCs w:val="24"/>
          <w:lang w:val="pl-PL"/>
        </w:rPr>
      </w:pPr>
      <w:r w:rsidRPr="00BA7ED1">
        <w:rPr>
          <w:rFonts w:asciiTheme="minorHAnsi" w:hAnsiTheme="minorHAnsi"/>
          <w:b/>
          <w:sz w:val="24"/>
          <w:szCs w:val="24"/>
          <w:lang w:val="pl-PL"/>
        </w:rPr>
        <w:t xml:space="preserve">Decyzja z dnia 2 grudnia 2021 r. </w:t>
      </w:r>
      <w:r w:rsidR="00F55982" w:rsidRPr="00BA7ED1">
        <w:rPr>
          <w:rFonts w:asciiTheme="minorHAnsi" w:hAnsiTheme="minorHAnsi"/>
          <w:b/>
          <w:sz w:val="24"/>
          <w:szCs w:val="24"/>
          <w:lang w:val="pl-PL"/>
        </w:rPr>
        <w:t xml:space="preserve">(CM/Del/Dec(2021)1419/H46-25) </w:t>
      </w:r>
      <w:r w:rsidRPr="00BA7ED1">
        <w:rPr>
          <w:rFonts w:asciiTheme="minorHAnsi" w:hAnsiTheme="minorHAnsi"/>
          <w:b/>
          <w:sz w:val="24"/>
          <w:szCs w:val="24"/>
          <w:lang w:val="pl-PL"/>
        </w:rPr>
        <w:t xml:space="preserve">w sprawach </w:t>
      </w:r>
      <w:r w:rsidR="003F00C7" w:rsidRPr="00BA7ED1">
        <w:rPr>
          <w:rFonts w:asciiTheme="minorHAnsi" w:hAnsiTheme="minorHAnsi"/>
          <w:b/>
          <w:i/>
          <w:sz w:val="24"/>
          <w:szCs w:val="24"/>
          <w:lang w:val="pl-PL"/>
        </w:rPr>
        <w:t>P i S. p. Polsce, Tysiąc p. Polsce i R.R. p. Polsce</w:t>
      </w:r>
      <w:r w:rsidRPr="00BA7ED1">
        <w:rPr>
          <w:rFonts w:asciiTheme="minorHAnsi" w:hAnsiTheme="minorHAnsi"/>
          <w:b/>
          <w:sz w:val="24"/>
          <w:szCs w:val="24"/>
          <w:lang w:val="pl-PL"/>
        </w:rPr>
        <w:t xml:space="preserve">, w której delegaci do KM: </w:t>
      </w:r>
    </w:p>
    <w:p w:rsidR="00D87515" w:rsidRDefault="00D87515" w:rsidP="00D87515">
      <w:pPr>
        <w:pStyle w:val="Akapitzlist"/>
        <w:spacing w:before="120" w:after="120" w:line="240" w:lineRule="auto"/>
        <w:ind w:left="709"/>
        <w:jc w:val="both"/>
        <w:rPr>
          <w:rFonts w:asciiTheme="minorHAnsi" w:hAnsiTheme="minorHAnsi"/>
          <w:sz w:val="24"/>
          <w:szCs w:val="24"/>
          <w:lang w:val="pl-PL"/>
        </w:rPr>
      </w:pPr>
      <w:r>
        <w:rPr>
          <w:rFonts w:asciiTheme="minorHAnsi" w:hAnsiTheme="minorHAnsi"/>
          <w:sz w:val="24"/>
          <w:szCs w:val="24"/>
          <w:lang w:val="pl-PL"/>
        </w:rPr>
        <w:t>Zastępcy</w:t>
      </w:r>
    </w:p>
    <w:p w:rsidR="00470EB5" w:rsidRPr="00194E8E" w:rsidRDefault="00394ECF" w:rsidP="00D87515">
      <w:pPr>
        <w:pStyle w:val="Akapitzlist"/>
        <w:numPr>
          <w:ilvl w:val="0"/>
          <w:numId w:val="21"/>
        </w:numPr>
        <w:spacing w:after="120" w:line="240" w:lineRule="auto"/>
        <w:ind w:left="1134" w:hanging="425"/>
        <w:jc w:val="both"/>
        <w:rPr>
          <w:rFonts w:asciiTheme="minorHAnsi" w:hAnsiTheme="minorHAnsi"/>
          <w:sz w:val="24"/>
          <w:szCs w:val="24"/>
          <w:lang w:val="pl-PL"/>
        </w:rPr>
      </w:pPr>
      <w:r w:rsidRPr="00194E8E">
        <w:rPr>
          <w:rFonts w:asciiTheme="minorHAnsi" w:hAnsiTheme="minorHAnsi"/>
          <w:sz w:val="24"/>
          <w:szCs w:val="24"/>
          <w:lang w:val="pl-PL"/>
        </w:rPr>
        <w:t>przypomnieli, że sprawy te dotyczą braku skutecznej procedury umożliwiającej kobietom skuteczny dostęp do legalnej aborcji ze względu na stan zdrowia matki lub płodu, w przypadku gdy lekarz nie zgadza się, że takie podstawy istnieją lub że badania prenatalne są konieczne do oceny tego lub podjęcia innych decyzji (</w:t>
      </w:r>
      <w:r w:rsidRPr="00D87515">
        <w:rPr>
          <w:rFonts w:asciiTheme="minorHAnsi" w:hAnsiTheme="minorHAnsi"/>
          <w:i/>
          <w:sz w:val="24"/>
          <w:szCs w:val="24"/>
          <w:lang w:val="pl-PL"/>
        </w:rPr>
        <w:t>Tysiąc</w:t>
      </w:r>
      <w:r w:rsidRPr="00194E8E">
        <w:rPr>
          <w:rFonts w:asciiTheme="minorHAnsi" w:hAnsiTheme="minorHAnsi"/>
          <w:sz w:val="24"/>
          <w:szCs w:val="24"/>
          <w:lang w:val="pl-PL"/>
        </w:rPr>
        <w:t xml:space="preserve"> i </w:t>
      </w:r>
      <w:r w:rsidRPr="00D87515">
        <w:rPr>
          <w:rFonts w:asciiTheme="minorHAnsi" w:hAnsiTheme="minorHAnsi"/>
          <w:i/>
          <w:sz w:val="24"/>
          <w:szCs w:val="24"/>
          <w:lang w:val="pl-PL"/>
        </w:rPr>
        <w:t>R</w:t>
      </w:r>
      <w:r w:rsidR="00486D4F" w:rsidRPr="00D87515">
        <w:rPr>
          <w:rFonts w:asciiTheme="minorHAnsi" w:hAnsiTheme="minorHAnsi"/>
          <w:i/>
          <w:sz w:val="24"/>
          <w:szCs w:val="24"/>
          <w:lang w:val="pl-PL"/>
        </w:rPr>
        <w:t>.</w:t>
      </w:r>
      <w:r w:rsidRPr="00D87515">
        <w:rPr>
          <w:rFonts w:asciiTheme="minorHAnsi" w:hAnsiTheme="minorHAnsi"/>
          <w:i/>
          <w:sz w:val="24"/>
          <w:szCs w:val="24"/>
          <w:lang w:val="pl-PL"/>
        </w:rPr>
        <w:t>R</w:t>
      </w:r>
      <w:r w:rsidR="00486D4F" w:rsidRPr="00D87515">
        <w:rPr>
          <w:rFonts w:asciiTheme="minorHAnsi" w:hAnsiTheme="minorHAnsi"/>
          <w:i/>
          <w:sz w:val="24"/>
          <w:szCs w:val="24"/>
          <w:lang w:val="pl-PL"/>
        </w:rPr>
        <w:t>.</w:t>
      </w:r>
      <w:r w:rsidRPr="00194E8E">
        <w:rPr>
          <w:rFonts w:asciiTheme="minorHAnsi" w:hAnsiTheme="minorHAnsi"/>
          <w:sz w:val="24"/>
          <w:szCs w:val="24"/>
          <w:lang w:val="pl-PL"/>
        </w:rPr>
        <w:t>) oraz nieudostępnienie przez władze rzetelnych informacji o warunkach i procedurach umożliwiających kobietom i dziewczętom w ciąży, w tym ofiarom gwałtu, skuteczny dostęp do legalnej aborcji (w przypadku P. i S.);</w:t>
      </w:r>
    </w:p>
    <w:p w:rsidR="00394ECF" w:rsidRPr="00194E8E" w:rsidRDefault="00394ECF" w:rsidP="00D87515">
      <w:pPr>
        <w:pStyle w:val="Akapitzlist"/>
        <w:numPr>
          <w:ilvl w:val="0"/>
          <w:numId w:val="21"/>
        </w:numPr>
        <w:spacing w:after="120" w:line="240" w:lineRule="auto"/>
        <w:ind w:left="1134" w:hanging="425"/>
        <w:jc w:val="both"/>
        <w:rPr>
          <w:rFonts w:asciiTheme="minorHAnsi" w:hAnsiTheme="minorHAnsi"/>
          <w:sz w:val="24"/>
          <w:szCs w:val="24"/>
          <w:lang w:val="pl-PL"/>
        </w:rPr>
      </w:pPr>
      <w:r w:rsidRPr="00194E8E">
        <w:rPr>
          <w:rFonts w:asciiTheme="minorHAnsi" w:hAnsiTheme="minorHAnsi"/>
          <w:sz w:val="24"/>
          <w:szCs w:val="24"/>
          <w:lang w:val="pl-PL"/>
        </w:rPr>
        <w:t>podkreślili, że potrzeba wprowadzenia jednolitych i jasnych procedur, których powinny przestrzegać wszystkie szpitale, jest obecnie tym ważniejsza, gdyż wydaje się, że po wyroku Trybunału Konstytucyjnego z października 2020 r. pojawiają się nowe sytuacje związane z zagrożeniem życia lub zdrowia kobiet w ciąży, powodujące dodatkową niepewność dla kobiet w ciąży i lekarzy; podkreślili, że takie sytuacje wymagają szczególnej uwagi władz, które muszą zapewnić, aby ocena przez lekarza zagrożenia dla zdrowia kobiety jako podstawy do legalnej aborcji kierowała się wyłącznie rzeczywistą potrzebą ochrony życia lub zdrowia kobiety i nie była zagrożona przez naciski innych możliwych czynników, takich jak ryzyko odpowiedzialności karnej za wykonanie aborcji w połączeniu z bardzo ograniczonymi sytuacjami, w których aborcja jest obecnie dozwolona;</w:t>
      </w:r>
    </w:p>
    <w:p w:rsidR="00394ECF" w:rsidRPr="00194E8E" w:rsidRDefault="00852C3F" w:rsidP="00D87515">
      <w:pPr>
        <w:pStyle w:val="Akapitzlist"/>
        <w:numPr>
          <w:ilvl w:val="0"/>
          <w:numId w:val="21"/>
        </w:numPr>
        <w:spacing w:after="120" w:line="240" w:lineRule="auto"/>
        <w:ind w:left="1134" w:hanging="425"/>
        <w:jc w:val="both"/>
        <w:rPr>
          <w:rFonts w:asciiTheme="minorHAnsi" w:hAnsiTheme="minorHAnsi"/>
          <w:sz w:val="24"/>
          <w:szCs w:val="24"/>
          <w:lang w:val="pl-PL"/>
        </w:rPr>
      </w:pPr>
      <w:r w:rsidRPr="00194E8E">
        <w:rPr>
          <w:rFonts w:asciiTheme="minorHAnsi" w:hAnsiTheme="minorHAnsi"/>
          <w:sz w:val="24"/>
          <w:szCs w:val="24"/>
          <w:lang w:val="pl-PL"/>
        </w:rPr>
        <w:t xml:space="preserve">zwrócili uwagę </w:t>
      </w:r>
      <w:r w:rsidR="00394ECF" w:rsidRPr="00194E8E">
        <w:rPr>
          <w:rFonts w:asciiTheme="minorHAnsi" w:hAnsiTheme="minorHAnsi"/>
          <w:sz w:val="24"/>
          <w:szCs w:val="24"/>
          <w:lang w:val="pl-PL"/>
        </w:rPr>
        <w:t>w tym zakresie na komunikat opublikowany na stronie Ministerstwa Zdrowia po niedawnej śmierci kobiety ciężarnej w jednym z polskich szpitali, wyjaśniający, że zagrożenie dla zdrowia kobiety stanowi wystarczającą podstawę do legalnej aborcji i że lekarze w takiej sytuacji nie mogą bać się podejmowania oczywistych decyzji w oparciu o ich doświadczenie i wiedzę; ponownie zdecydowanie wezwali władze do wprowadzenia ujednoliconych procedur dostępu do legalnej aborcji, w tym w przypadku odmowy aborcji ze względu na kwestie sumienia lub gdy życie lub zdrowie kobi</w:t>
      </w:r>
      <w:r w:rsidR="00D44B1A" w:rsidRPr="00194E8E">
        <w:rPr>
          <w:rFonts w:asciiTheme="minorHAnsi" w:hAnsiTheme="minorHAnsi"/>
          <w:sz w:val="24"/>
          <w:szCs w:val="24"/>
          <w:lang w:val="pl-PL"/>
        </w:rPr>
        <w:t>ety może być poważnie zagrożone</w:t>
      </w:r>
      <w:r w:rsidR="00394ECF" w:rsidRPr="00194E8E">
        <w:rPr>
          <w:rFonts w:asciiTheme="minorHAnsi" w:hAnsiTheme="minorHAnsi"/>
          <w:sz w:val="24"/>
          <w:szCs w:val="24"/>
          <w:lang w:val="pl-PL"/>
        </w:rPr>
        <w:t xml:space="preserve"> oraz do wcześniejszego przekazania kobietom odpowiednich informacji na ich temat;</w:t>
      </w:r>
    </w:p>
    <w:p w:rsidR="00394ECF" w:rsidRPr="00194E8E" w:rsidRDefault="00852C3F" w:rsidP="00D87515">
      <w:pPr>
        <w:pStyle w:val="Akapitzlist"/>
        <w:numPr>
          <w:ilvl w:val="0"/>
          <w:numId w:val="21"/>
        </w:numPr>
        <w:spacing w:after="120" w:line="240" w:lineRule="auto"/>
        <w:ind w:left="1134" w:hanging="425"/>
        <w:jc w:val="both"/>
        <w:rPr>
          <w:rFonts w:asciiTheme="minorHAnsi" w:hAnsiTheme="minorHAnsi"/>
          <w:sz w:val="24"/>
          <w:szCs w:val="24"/>
          <w:lang w:val="pl-PL"/>
        </w:rPr>
      </w:pPr>
      <w:r w:rsidRPr="00194E8E">
        <w:rPr>
          <w:rFonts w:asciiTheme="minorHAnsi" w:hAnsiTheme="minorHAnsi"/>
          <w:sz w:val="24"/>
          <w:szCs w:val="24"/>
          <w:lang w:val="pl-PL"/>
        </w:rPr>
        <w:lastRenderedPageBreak/>
        <w:t xml:space="preserve">odnotowali </w:t>
      </w:r>
      <w:r w:rsidR="00394ECF" w:rsidRPr="00194E8E">
        <w:rPr>
          <w:rFonts w:asciiTheme="minorHAnsi" w:hAnsiTheme="minorHAnsi"/>
          <w:sz w:val="24"/>
          <w:szCs w:val="24"/>
          <w:lang w:val="pl-PL"/>
        </w:rPr>
        <w:t xml:space="preserve">z głębokim </w:t>
      </w:r>
      <w:r w:rsidR="00D87515">
        <w:rPr>
          <w:rFonts w:asciiTheme="minorHAnsi" w:hAnsiTheme="minorHAnsi"/>
          <w:sz w:val="24"/>
          <w:szCs w:val="24"/>
          <w:lang w:val="pl-PL"/>
        </w:rPr>
        <w:t>ubolewaniem</w:t>
      </w:r>
      <w:r w:rsidR="00394ECF" w:rsidRPr="00194E8E">
        <w:rPr>
          <w:rFonts w:asciiTheme="minorHAnsi" w:hAnsiTheme="minorHAnsi"/>
          <w:sz w:val="24"/>
          <w:szCs w:val="24"/>
          <w:lang w:val="pl-PL"/>
        </w:rPr>
        <w:t xml:space="preserve"> utrzymujący się brak reform przewidujących wyraźny obowiązek szpitali skierowania pacjentów do świadczeń alternatywnych, gdy zabieg medyczny nie został wykonany z powodu zastosowania klauzuli sumienia i zdecydowanie </w:t>
      </w:r>
      <w:r>
        <w:rPr>
          <w:rFonts w:asciiTheme="minorHAnsi" w:hAnsiTheme="minorHAnsi"/>
          <w:sz w:val="24"/>
          <w:szCs w:val="24"/>
          <w:lang w:val="pl-PL"/>
        </w:rPr>
        <w:t>wezwali</w:t>
      </w:r>
      <w:r w:rsidR="00394ECF" w:rsidRPr="00194E8E">
        <w:rPr>
          <w:rFonts w:asciiTheme="minorHAnsi" w:hAnsiTheme="minorHAnsi"/>
          <w:sz w:val="24"/>
          <w:szCs w:val="24"/>
          <w:lang w:val="pl-PL"/>
        </w:rPr>
        <w:t xml:space="preserve"> władze, aby uwzględniły w ustawodawstwie taki obowiąz</w:t>
      </w:r>
      <w:r w:rsidR="005A00BF" w:rsidRPr="00194E8E">
        <w:rPr>
          <w:rFonts w:asciiTheme="minorHAnsi" w:hAnsiTheme="minorHAnsi"/>
          <w:sz w:val="24"/>
          <w:szCs w:val="24"/>
          <w:lang w:val="pl-PL"/>
        </w:rPr>
        <w:t>ek</w:t>
      </w:r>
      <w:r w:rsidR="00394ECF" w:rsidRPr="00194E8E">
        <w:rPr>
          <w:rFonts w:asciiTheme="minorHAnsi" w:hAnsiTheme="minorHAnsi"/>
          <w:sz w:val="24"/>
          <w:szCs w:val="24"/>
          <w:lang w:val="pl-PL"/>
        </w:rPr>
        <w:t xml:space="preserve"> i skutecznie monitorowały jego przestrzeganie w praktyce; zwrócili się do władz o przekazanie informacji na temat funkcjonowania klauzuli sumienia, sposobu postępowania w takich sytuacjach oraz bieżącego monitorowania obowiązku skierowania do innego świadczeniodawcy;</w:t>
      </w:r>
    </w:p>
    <w:p w:rsidR="006937B9" w:rsidRPr="00194E8E" w:rsidRDefault="00852C3F" w:rsidP="00D87515">
      <w:pPr>
        <w:pStyle w:val="Akapitzlist"/>
        <w:numPr>
          <w:ilvl w:val="0"/>
          <w:numId w:val="21"/>
        </w:numPr>
        <w:spacing w:after="120" w:line="240" w:lineRule="auto"/>
        <w:ind w:left="1134" w:hanging="425"/>
        <w:jc w:val="both"/>
        <w:rPr>
          <w:rFonts w:asciiTheme="minorHAnsi" w:hAnsiTheme="minorHAnsi"/>
          <w:sz w:val="24"/>
          <w:szCs w:val="24"/>
          <w:lang w:val="pl-PL"/>
        </w:rPr>
      </w:pPr>
      <w:r w:rsidRPr="00194E8E">
        <w:rPr>
          <w:rFonts w:asciiTheme="minorHAnsi" w:hAnsiTheme="minorHAnsi"/>
          <w:sz w:val="24"/>
          <w:szCs w:val="24"/>
          <w:lang w:val="pl-PL"/>
        </w:rPr>
        <w:t xml:space="preserve">odnotowali </w:t>
      </w:r>
      <w:r w:rsidR="006937B9" w:rsidRPr="00194E8E">
        <w:rPr>
          <w:rFonts w:asciiTheme="minorHAnsi" w:hAnsiTheme="minorHAnsi"/>
          <w:sz w:val="24"/>
          <w:szCs w:val="24"/>
          <w:lang w:val="pl-PL"/>
        </w:rPr>
        <w:t xml:space="preserve">z </w:t>
      </w:r>
      <w:r>
        <w:rPr>
          <w:rFonts w:asciiTheme="minorHAnsi" w:hAnsiTheme="minorHAnsi"/>
          <w:sz w:val="24"/>
          <w:szCs w:val="24"/>
          <w:lang w:val="pl-PL"/>
        </w:rPr>
        <w:t>ubolewaniem</w:t>
      </w:r>
      <w:r w:rsidR="006937B9" w:rsidRPr="00194E8E">
        <w:rPr>
          <w:rFonts w:asciiTheme="minorHAnsi" w:hAnsiTheme="minorHAnsi"/>
          <w:sz w:val="24"/>
          <w:szCs w:val="24"/>
          <w:lang w:val="pl-PL"/>
        </w:rPr>
        <w:t>, że nie przedstawiono żadnych wyjaśnień co do widocznych różnic regionalnych w dostępie do legalnej aborcji, ponownie nalegali na władze do zapewnienia, że legalna aborcja i badania prenatalne są skutecznie dostępne w całym kraju bez znaczących różnic regionalnych i bez opóźnień spowodowanych przez korzystanie przez lekarzy z klauzuli sumienia i prosili o informacje o środkach przewidzianych w tym zakresie oraz o dostępności badań prenatalnych w regionach;</w:t>
      </w:r>
    </w:p>
    <w:p w:rsidR="006937B9" w:rsidRPr="00194E8E" w:rsidRDefault="006937B9" w:rsidP="00D87515">
      <w:pPr>
        <w:pStyle w:val="Akapitzlist"/>
        <w:numPr>
          <w:ilvl w:val="0"/>
          <w:numId w:val="21"/>
        </w:numPr>
        <w:spacing w:after="120" w:line="240" w:lineRule="auto"/>
        <w:ind w:left="1134" w:hanging="425"/>
        <w:jc w:val="both"/>
        <w:rPr>
          <w:rFonts w:asciiTheme="minorHAnsi" w:hAnsiTheme="minorHAnsi"/>
          <w:sz w:val="24"/>
          <w:szCs w:val="24"/>
          <w:lang w:val="pl-PL"/>
        </w:rPr>
      </w:pPr>
      <w:r w:rsidRPr="00194E8E">
        <w:rPr>
          <w:rFonts w:asciiTheme="minorHAnsi" w:hAnsiTheme="minorHAnsi"/>
          <w:sz w:val="24"/>
          <w:szCs w:val="24"/>
          <w:lang w:val="pl-PL"/>
        </w:rPr>
        <w:t>odnotowali pismo Ministra Zdrowia do Prezesa Narodowego Funduszu Zdrowia z dnia 23 sierpnia 2021 r. z prośbą o aktywne monitorowanie zobowiązań umownych szpitali w zakresie legalnej aborcji; zwrócili się do władz o przekazanie informacji na temat monitoringu skutecznie prowadzonego przez Narodowy Fundusz Zdrowia w 2020</w:t>
      </w:r>
      <w:r w:rsidR="00D44B1A" w:rsidRPr="00194E8E">
        <w:rPr>
          <w:rFonts w:asciiTheme="minorHAnsi" w:hAnsiTheme="minorHAnsi"/>
          <w:sz w:val="24"/>
          <w:szCs w:val="24"/>
          <w:lang w:val="pl-PL"/>
        </w:rPr>
        <w:t xml:space="preserve"> r. i 2021 r. oraz</w:t>
      </w:r>
      <w:r w:rsidRPr="00194E8E">
        <w:rPr>
          <w:rFonts w:asciiTheme="minorHAnsi" w:hAnsiTheme="minorHAnsi"/>
          <w:sz w:val="24"/>
          <w:szCs w:val="24"/>
          <w:lang w:val="pl-PL"/>
        </w:rPr>
        <w:t xml:space="preserve"> jego wyników, w tym ewentualnych sankcji nałożonych w tym okresie, oraz o wyjaśnienie, czy Fundusz może działać z własnej inicjatywy</w:t>
      </w:r>
      <w:r w:rsidR="005C313E" w:rsidRPr="00194E8E">
        <w:rPr>
          <w:rFonts w:asciiTheme="minorHAnsi" w:hAnsiTheme="minorHAnsi"/>
          <w:sz w:val="24"/>
          <w:szCs w:val="24"/>
          <w:lang w:val="pl-PL"/>
        </w:rPr>
        <w:t>;</w:t>
      </w:r>
    </w:p>
    <w:p w:rsidR="005C313E" w:rsidRPr="00194E8E" w:rsidRDefault="005C313E" w:rsidP="00D87515">
      <w:pPr>
        <w:pStyle w:val="Akapitzlist"/>
        <w:numPr>
          <w:ilvl w:val="0"/>
          <w:numId w:val="21"/>
        </w:numPr>
        <w:spacing w:after="120" w:line="240" w:lineRule="auto"/>
        <w:ind w:left="1134" w:hanging="425"/>
        <w:jc w:val="both"/>
        <w:rPr>
          <w:rFonts w:asciiTheme="minorHAnsi" w:hAnsiTheme="minorHAnsi"/>
          <w:sz w:val="24"/>
          <w:szCs w:val="24"/>
          <w:lang w:val="pl-PL"/>
        </w:rPr>
      </w:pPr>
      <w:r w:rsidRPr="00194E8E">
        <w:rPr>
          <w:rFonts w:asciiTheme="minorHAnsi" w:hAnsiTheme="minorHAnsi"/>
          <w:sz w:val="24"/>
          <w:szCs w:val="24"/>
          <w:lang w:val="pl-PL"/>
        </w:rPr>
        <w:t xml:space="preserve">podkreślili, że obecnie </w:t>
      </w:r>
      <w:r w:rsidR="00D44B1A" w:rsidRPr="00194E8E">
        <w:rPr>
          <w:rFonts w:asciiTheme="minorHAnsi" w:hAnsiTheme="minorHAnsi"/>
          <w:sz w:val="24"/>
          <w:szCs w:val="24"/>
          <w:lang w:val="pl-PL"/>
        </w:rPr>
        <w:t xml:space="preserve">dla kobiet </w:t>
      </w:r>
      <w:r w:rsidRPr="00194E8E">
        <w:rPr>
          <w:rFonts w:asciiTheme="minorHAnsi" w:hAnsiTheme="minorHAnsi"/>
          <w:sz w:val="24"/>
          <w:szCs w:val="24"/>
          <w:lang w:val="pl-PL"/>
        </w:rPr>
        <w:t>coraz większe znaczenie</w:t>
      </w:r>
      <w:r w:rsidR="00D44B1A" w:rsidRPr="00194E8E">
        <w:rPr>
          <w:rFonts w:asciiTheme="minorHAnsi" w:hAnsiTheme="minorHAnsi"/>
          <w:sz w:val="24"/>
          <w:szCs w:val="24"/>
          <w:lang w:val="pl-PL"/>
        </w:rPr>
        <w:t xml:space="preserve"> ma możliwość </w:t>
      </w:r>
      <w:r w:rsidRPr="00194E8E">
        <w:rPr>
          <w:rFonts w:asciiTheme="minorHAnsi" w:hAnsiTheme="minorHAnsi"/>
          <w:sz w:val="24"/>
          <w:szCs w:val="24"/>
          <w:lang w:val="pl-PL"/>
        </w:rPr>
        <w:t>skuteczn</w:t>
      </w:r>
      <w:r w:rsidR="00D44B1A" w:rsidRPr="00194E8E">
        <w:rPr>
          <w:rFonts w:asciiTheme="minorHAnsi" w:hAnsiTheme="minorHAnsi"/>
          <w:sz w:val="24"/>
          <w:szCs w:val="24"/>
          <w:lang w:val="pl-PL"/>
        </w:rPr>
        <w:t>ego</w:t>
      </w:r>
      <w:r w:rsidRPr="00194E8E">
        <w:rPr>
          <w:rFonts w:asciiTheme="minorHAnsi" w:hAnsiTheme="minorHAnsi"/>
          <w:sz w:val="24"/>
          <w:szCs w:val="24"/>
          <w:lang w:val="pl-PL"/>
        </w:rPr>
        <w:t xml:space="preserve"> kwestionowa</w:t>
      </w:r>
      <w:r w:rsidR="00D44B1A" w:rsidRPr="00194E8E">
        <w:rPr>
          <w:rFonts w:asciiTheme="minorHAnsi" w:hAnsiTheme="minorHAnsi"/>
          <w:sz w:val="24"/>
          <w:szCs w:val="24"/>
          <w:lang w:val="pl-PL"/>
        </w:rPr>
        <w:t>nia</w:t>
      </w:r>
      <w:r w:rsidRPr="00194E8E">
        <w:rPr>
          <w:rFonts w:asciiTheme="minorHAnsi" w:hAnsiTheme="minorHAnsi"/>
          <w:sz w:val="24"/>
          <w:szCs w:val="24"/>
          <w:lang w:val="pl-PL"/>
        </w:rPr>
        <w:t xml:space="preserve"> decyzj</w:t>
      </w:r>
      <w:r w:rsidR="00D44B1A" w:rsidRPr="00194E8E">
        <w:rPr>
          <w:rFonts w:asciiTheme="minorHAnsi" w:hAnsiTheme="minorHAnsi"/>
          <w:sz w:val="24"/>
          <w:szCs w:val="24"/>
          <w:lang w:val="pl-PL"/>
        </w:rPr>
        <w:t>i</w:t>
      </w:r>
      <w:r w:rsidRPr="00194E8E">
        <w:rPr>
          <w:rFonts w:asciiTheme="minorHAnsi" w:hAnsiTheme="minorHAnsi"/>
          <w:sz w:val="24"/>
          <w:szCs w:val="24"/>
          <w:lang w:val="pl-PL"/>
        </w:rPr>
        <w:t xml:space="preserve"> odmawiając</w:t>
      </w:r>
      <w:r w:rsidR="00D44B1A" w:rsidRPr="00194E8E">
        <w:rPr>
          <w:rFonts w:asciiTheme="minorHAnsi" w:hAnsiTheme="minorHAnsi"/>
          <w:sz w:val="24"/>
          <w:szCs w:val="24"/>
          <w:lang w:val="pl-PL"/>
        </w:rPr>
        <w:t>ych</w:t>
      </w:r>
      <w:r w:rsidRPr="00194E8E">
        <w:rPr>
          <w:rFonts w:asciiTheme="minorHAnsi" w:hAnsiTheme="minorHAnsi"/>
          <w:sz w:val="24"/>
          <w:szCs w:val="24"/>
          <w:lang w:val="pl-PL"/>
        </w:rPr>
        <w:t xml:space="preserve"> legalnej aborcji ze względów medycznych lub badań prenatalnych, ponieważ chociaż upośledzenie płodu nie stanowi już odrębne</w:t>
      </w:r>
      <w:r w:rsidR="00D44B1A" w:rsidRPr="00194E8E">
        <w:rPr>
          <w:rFonts w:asciiTheme="minorHAnsi" w:hAnsiTheme="minorHAnsi"/>
          <w:sz w:val="24"/>
          <w:szCs w:val="24"/>
          <w:lang w:val="pl-PL"/>
        </w:rPr>
        <w:t xml:space="preserve">go warunku do przeprowadzenia </w:t>
      </w:r>
      <w:r w:rsidRPr="00194E8E">
        <w:rPr>
          <w:rFonts w:asciiTheme="minorHAnsi" w:hAnsiTheme="minorHAnsi"/>
          <w:sz w:val="24"/>
          <w:szCs w:val="24"/>
          <w:lang w:val="pl-PL"/>
        </w:rPr>
        <w:t xml:space="preserve">zgodnej z prawem aborcji, w niektórych przypadkach może być źródłem poważnego zagrożenia dla zdrowia kobiety; ponownie zdecydowanie </w:t>
      </w:r>
      <w:r w:rsidR="00852C3F">
        <w:rPr>
          <w:rFonts w:asciiTheme="minorHAnsi" w:hAnsiTheme="minorHAnsi"/>
          <w:sz w:val="24"/>
          <w:szCs w:val="24"/>
          <w:lang w:val="pl-PL"/>
        </w:rPr>
        <w:t>wezwali</w:t>
      </w:r>
      <w:r w:rsidRPr="00194E8E">
        <w:rPr>
          <w:rFonts w:asciiTheme="minorHAnsi" w:hAnsiTheme="minorHAnsi"/>
          <w:sz w:val="24"/>
          <w:szCs w:val="24"/>
          <w:lang w:val="pl-PL"/>
        </w:rPr>
        <w:t xml:space="preserve"> władze, aby przyjęły niezbędne reformy procedury sprzeciwu bez dalszej zwłoki;</w:t>
      </w:r>
    </w:p>
    <w:p w:rsidR="00394ECF" w:rsidRPr="00194E8E" w:rsidRDefault="00852C3F" w:rsidP="00D87515">
      <w:pPr>
        <w:pStyle w:val="Akapitzlist"/>
        <w:numPr>
          <w:ilvl w:val="0"/>
          <w:numId w:val="21"/>
        </w:numPr>
        <w:spacing w:after="120" w:line="240" w:lineRule="auto"/>
        <w:ind w:left="1134" w:hanging="425"/>
        <w:jc w:val="both"/>
        <w:rPr>
          <w:rFonts w:asciiTheme="minorHAnsi" w:hAnsiTheme="minorHAnsi"/>
          <w:sz w:val="24"/>
          <w:szCs w:val="24"/>
          <w:lang w:val="pl-PL"/>
        </w:rPr>
      </w:pPr>
      <w:r w:rsidRPr="00194E8E">
        <w:rPr>
          <w:rFonts w:asciiTheme="minorHAnsi" w:hAnsiTheme="minorHAnsi"/>
          <w:sz w:val="24"/>
          <w:szCs w:val="24"/>
          <w:lang w:val="pl-PL"/>
        </w:rPr>
        <w:t xml:space="preserve">odnotowali </w:t>
      </w:r>
      <w:r w:rsidR="005C313E" w:rsidRPr="00194E8E">
        <w:rPr>
          <w:rFonts w:asciiTheme="minorHAnsi" w:hAnsiTheme="minorHAnsi"/>
          <w:sz w:val="24"/>
          <w:szCs w:val="24"/>
          <w:lang w:val="pl-PL"/>
        </w:rPr>
        <w:t>z zainteresowaniem informację, że liczba kobiet w ciąży, które skorzystały z badań prenatalnych w okresie po wejściu w życie wyroku Trybunału Konstytucyjnego z dnia 22 października 2020 r. ograniczającego podstawy legalnej aborcji w Polsce, wydaje się pozostawać bez zmian; wezwali władze do zapewnienia stałego monitorowania tendencji w tym zakresie;</w:t>
      </w:r>
    </w:p>
    <w:p w:rsidR="005C313E" w:rsidRPr="00194E8E" w:rsidRDefault="005C313E" w:rsidP="00D87515">
      <w:pPr>
        <w:pStyle w:val="Akapitzlist"/>
        <w:numPr>
          <w:ilvl w:val="0"/>
          <w:numId w:val="21"/>
        </w:numPr>
        <w:spacing w:after="120" w:line="240" w:lineRule="auto"/>
        <w:ind w:left="1134" w:hanging="425"/>
        <w:jc w:val="both"/>
        <w:rPr>
          <w:rFonts w:asciiTheme="minorHAnsi" w:hAnsiTheme="minorHAnsi"/>
          <w:sz w:val="24"/>
          <w:szCs w:val="24"/>
          <w:lang w:val="pl-PL"/>
        </w:rPr>
      </w:pPr>
      <w:r w:rsidRPr="00194E8E">
        <w:rPr>
          <w:rFonts w:asciiTheme="minorHAnsi" w:hAnsiTheme="minorHAnsi"/>
          <w:sz w:val="24"/>
          <w:szCs w:val="24"/>
          <w:lang w:val="pl-PL"/>
        </w:rPr>
        <w:t>powołując się na swoje wcześniejsze decyzje oraz na Rezolucję Tymczasową CM/ResDH(2021)44 przyjętą w marcu 2021 r., zawierającą wielokrotne wezwania do przyjęcia ww. reform i procedur, podkreślili bezwarunkowy obowiązek przestrzegania przez Polskę wyroków Trybunału w pełni, skutecznie i niezwłocznie, wezwali władze do bezzwłocznego uwzględnienia tych wezwań; w związku z tym zdecydowanie zachęcili władze do podjęcia konsultacji na wysokim szczeblu z Sekretariatem w celu zbadania możliwych rozwiązań nierozstrzygniętych kwestii;</w:t>
      </w:r>
    </w:p>
    <w:p w:rsidR="009C2DCA" w:rsidRPr="00194E8E" w:rsidRDefault="005C313E" w:rsidP="00D87515">
      <w:pPr>
        <w:pStyle w:val="Akapitzlist"/>
        <w:numPr>
          <w:ilvl w:val="0"/>
          <w:numId w:val="21"/>
        </w:numPr>
        <w:spacing w:after="120" w:line="240" w:lineRule="auto"/>
        <w:ind w:left="1134" w:hanging="425"/>
        <w:jc w:val="both"/>
        <w:rPr>
          <w:rFonts w:asciiTheme="minorHAnsi" w:hAnsiTheme="minorHAnsi"/>
          <w:sz w:val="24"/>
          <w:szCs w:val="24"/>
          <w:lang w:val="pl-PL"/>
        </w:rPr>
      </w:pPr>
      <w:r w:rsidRPr="00194E8E">
        <w:rPr>
          <w:rFonts w:asciiTheme="minorHAnsi" w:hAnsiTheme="minorHAnsi"/>
          <w:sz w:val="24"/>
          <w:szCs w:val="24"/>
          <w:lang w:val="pl-PL"/>
        </w:rPr>
        <w:t>zdecydowali powrócić do omawiania tej grupy spraw na swoim 1443 posiedzeniu (wrzesień 2022</w:t>
      </w:r>
      <w:r w:rsidR="00D44B1A" w:rsidRPr="00194E8E">
        <w:rPr>
          <w:rFonts w:asciiTheme="minorHAnsi" w:hAnsiTheme="minorHAnsi"/>
          <w:sz w:val="24"/>
          <w:szCs w:val="24"/>
          <w:lang w:val="pl-PL"/>
        </w:rPr>
        <w:t xml:space="preserve"> r.</w:t>
      </w:r>
      <w:r w:rsidRPr="00194E8E">
        <w:rPr>
          <w:rFonts w:asciiTheme="minorHAnsi" w:hAnsiTheme="minorHAnsi"/>
          <w:sz w:val="24"/>
          <w:szCs w:val="24"/>
          <w:lang w:val="pl-PL"/>
        </w:rPr>
        <w:t xml:space="preserve">) w świetle informacji, które powinny zostać przekazane przez władze przed 15 czerwca 2022 r. </w:t>
      </w:r>
    </w:p>
    <w:p w:rsidR="00AB5D26" w:rsidRPr="00852C3F" w:rsidRDefault="00AB5D26" w:rsidP="00226AAA">
      <w:pPr>
        <w:pStyle w:val="Nagwek1"/>
        <w:spacing w:before="240" w:after="120"/>
        <w:ind w:left="709" w:hanging="425"/>
        <w:rPr>
          <w:rFonts w:asciiTheme="minorHAnsi" w:hAnsiTheme="minorHAnsi"/>
          <w:color w:val="000000" w:themeColor="text1"/>
          <w:lang w:val="pl-PL"/>
        </w:rPr>
      </w:pPr>
      <w:bookmarkStart w:id="5" w:name="_Toc112058303"/>
      <w:r w:rsidRPr="00852C3F">
        <w:rPr>
          <w:rFonts w:asciiTheme="minorHAnsi" w:hAnsiTheme="minorHAnsi"/>
          <w:color w:val="000000" w:themeColor="text1"/>
          <w:lang w:val="pl-PL"/>
        </w:rPr>
        <w:lastRenderedPageBreak/>
        <w:t xml:space="preserve">Informacja na temat komunikacji wniesionych do Komitetu Ministrów </w:t>
      </w:r>
      <w:r w:rsidR="0012328D" w:rsidRPr="00852C3F">
        <w:rPr>
          <w:rFonts w:asciiTheme="minorHAnsi" w:hAnsiTheme="minorHAnsi"/>
          <w:color w:val="000000" w:themeColor="text1"/>
          <w:lang w:val="pl-PL"/>
        </w:rPr>
        <w:t xml:space="preserve">RE </w:t>
      </w:r>
      <w:r w:rsidRPr="00852C3F">
        <w:rPr>
          <w:rFonts w:asciiTheme="minorHAnsi" w:hAnsiTheme="minorHAnsi"/>
          <w:color w:val="000000" w:themeColor="text1"/>
          <w:lang w:val="pl-PL"/>
        </w:rPr>
        <w:t>przez uprawnione podmioty oraz udzielonych w związku z</w:t>
      </w:r>
      <w:r w:rsidR="00CD4849" w:rsidRPr="00852C3F">
        <w:rPr>
          <w:rFonts w:asciiTheme="minorHAnsi" w:hAnsiTheme="minorHAnsi"/>
          <w:color w:val="000000" w:themeColor="text1"/>
          <w:lang w:val="pl-PL"/>
        </w:rPr>
        <w:t xml:space="preserve"> tymi komunikacjami odpowiedzi</w:t>
      </w:r>
      <w:r w:rsidR="00D44B1A" w:rsidRPr="00852C3F">
        <w:rPr>
          <w:rFonts w:asciiTheme="minorHAnsi" w:hAnsiTheme="minorHAnsi"/>
          <w:color w:val="000000" w:themeColor="text1"/>
          <w:lang w:val="pl-PL"/>
        </w:rPr>
        <w:t>ami</w:t>
      </w:r>
      <w:r w:rsidR="00CD4849" w:rsidRPr="00852C3F">
        <w:rPr>
          <w:rFonts w:asciiTheme="minorHAnsi" w:hAnsiTheme="minorHAnsi"/>
          <w:color w:val="000000" w:themeColor="text1"/>
          <w:lang w:val="pl-PL"/>
        </w:rPr>
        <w:t xml:space="preserve"> R</w:t>
      </w:r>
      <w:r w:rsidRPr="00852C3F">
        <w:rPr>
          <w:rFonts w:asciiTheme="minorHAnsi" w:hAnsiTheme="minorHAnsi"/>
          <w:color w:val="000000" w:themeColor="text1"/>
          <w:lang w:val="pl-PL"/>
        </w:rPr>
        <w:t>ządu</w:t>
      </w:r>
      <w:bookmarkEnd w:id="5"/>
    </w:p>
    <w:p w:rsidR="00D83BAC" w:rsidRPr="00194E8E" w:rsidRDefault="00D83BAC" w:rsidP="00852C3F">
      <w:pPr>
        <w:pStyle w:val="Akapitzlist"/>
        <w:spacing w:after="120" w:line="240" w:lineRule="auto"/>
        <w:ind w:left="0"/>
        <w:jc w:val="both"/>
        <w:rPr>
          <w:rFonts w:asciiTheme="minorHAnsi" w:hAnsiTheme="minorHAnsi"/>
          <w:sz w:val="24"/>
          <w:szCs w:val="24"/>
          <w:lang w:val="pl-PL"/>
        </w:rPr>
      </w:pPr>
      <w:r w:rsidRPr="00194E8E">
        <w:rPr>
          <w:rFonts w:asciiTheme="minorHAnsi" w:hAnsiTheme="minorHAnsi"/>
          <w:sz w:val="24"/>
          <w:szCs w:val="24"/>
          <w:lang w:val="pl-PL"/>
        </w:rPr>
        <w:t>W okresie sprawozdawczym uprawnione podmioty wniosły do K</w:t>
      </w:r>
      <w:r w:rsidR="00162114" w:rsidRPr="00194E8E">
        <w:rPr>
          <w:rFonts w:asciiTheme="minorHAnsi" w:hAnsiTheme="minorHAnsi"/>
          <w:sz w:val="24"/>
          <w:szCs w:val="24"/>
          <w:lang w:val="pl-PL"/>
        </w:rPr>
        <w:t xml:space="preserve">omitetu </w:t>
      </w:r>
      <w:r w:rsidRPr="00194E8E">
        <w:rPr>
          <w:rFonts w:asciiTheme="minorHAnsi" w:hAnsiTheme="minorHAnsi"/>
          <w:sz w:val="24"/>
          <w:szCs w:val="24"/>
          <w:lang w:val="pl-PL"/>
        </w:rPr>
        <w:t>M</w:t>
      </w:r>
      <w:r w:rsidR="00162114" w:rsidRPr="00194E8E">
        <w:rPr>
          <w:rFonts w:asciiTheme="minorHAnsi" w:hAnsiTheme="minorHAnsi"/>
          <w:sz w:val="24"/>
          <w:szCs w:val="24"/>
          <w:lang w:val="pl-PL"/>
        </w:rPr>
        <w:t>inistrów</w:t>
      </w:r>
      <w:r w:rsidRPr="00194E8E">
        <w:rPr>
          <w:rFonts w:asciiTheme="minorHAnsi" w:hAnsiTheme="minorHAnsi"/>
          <w:sz w:val="24"/>
          <w:szCs w:val="24"/>
          <w:lang w:val="pl-PL"/>
        </w:rPr>
        <w:t xml:space="preserve"> łącznie </w:t>
      </w:r>
      <w:r w:rsidR="00F314BC" w:rsidRPr="00194E8E">
        <w:rPr>
          <w:rFonts w:asciiTheme="minorHAnsi" w:hAnsiTheme="minorHAnsi"/>
          <w:sz w:val="24"/>
          <w:szCs w:val="24"/>
          <w:lang w:val="pl-PL"/>
        </w:rPr>
        <w:t>1</w:t>
      </w:r>
      <w:r w:rsidR="002748FB" w:rsidRPr="00194E8E">
        <w:rPr>
          <w:rFonts w:asciiTheme="minorHAnsi" w:hAnsiTheme="minorHAnsi"/>
          <w:sz w:val="24"/>
          <w:szCs w:val="24"/>
          <w:lang w:val="pl-PL"/>
        </w:rPr>
        <w:t>0</w:t>
      </w:r>
      <w:r w:rsidRPr="00194E8E">
        <w:rPr>
          <w:rFonts w:asciiTheme="minorHAnsi" w:hAnsiTheme="minorHAnsi"/>
          <w:sz w:val="24"/>
          <w:szCs w:val="24"/>
          <w:lang w:val="pl-PL"/>
        </w:rPr>
        <w:t xml:space="preserve"> komunikacji dotyczących stanu wykonania następujących wyroków wydanych w polskich sprawach: </w:t>
      </w:r>
      <w:r w:rsidR="002748FB" w:rsidRPr="00194E8E">
        <w:rPr>
          <w:rFonts w:asciiTheme="minorHAnsi" w:hAnsiTheme="minorHAnsi"/>
          <w:i/>
          <w:sz w:val="24"/>
          <w:szCs w:val="24"/>
          <w:lang w:val="pl-PL"/>
        </w:rPr>
        <w:t xml:space="preserve">Tysiąc p. Polsce </w:t>
      </w:r>
      <w:r w:rsidR="002748FB" w:rsidRPr="00852C3F">
        <w:rPr>
          <w:rFonts w:asciiTheme="minorHAnsi" w:hAnsiTheme="minorHAnsi"/>
          <w:sz w:val="24"/>
          <w:szCs w:val="24"/>
          <w:lang w:val="pl-PL"/>
        </w:rPr>
        <w:t>(</w:t>
      </w:r>
      <w:r w:rsidR="002D69D6">
        <w:rPr>
          <w:rFonts w:asciiTheme="minorHAnsi" w:hAnsiTheme="minorHAnsi"/>
          <w:sz w:val="24"/>
          <w:szCs w:val="24"/>
          <w:lang w:val="pl-PL"/>
        </w:rPr>
        <w:t xml:space="preserve">skarga nr </w:t>
      </w:r>
      <w:r w:rsidR="002748FB" w:rsidRPr="00852C3F">
        <w:rPr>
          <w:rFonts w:asciiTheme="minorHAnsi" w:hAnsiTheme="minorHAnsi"/>
          <w:sz w:val="24"/>
          <w:szCs w:val="24"/>
          <w:lang w:val="pl-PL"/>
        </w:rPr>
        <w:t>5410/03),</w:t>
      </w:r>
      <w:r w:rsidR="002748FB" w:rsidRPr="00194E8E">
        <w:rPr>
          <w:rFonts w:asciiTheme="minorHAnsi" w:hAnsiTheme="minorHAnsi"/>
          <w:i/>
          <w:sz w:val="24"/>
          <w:szCs w:val="24"/>
          <w:lang w:val="pl-PL"/>
        </w:rPr>
        <w:t xml:space="preserve"> R.R. p. Polsce </w:t>
      </w:r>
      <w:r w:rsidR="002748FB" w:rsidRPr="00852C3F">
        <w:rPr>
          <w:rFonts w:asciiTheme="minorHAnsi" w:hAnsiTheme="minorHAnsi"/>
          <w:sz w:val="24"/>
          <w:szCs w:val="24"/>
          <w:lang w:val="pl-PL"/>
        </w:rPr>
        <w:t>(</w:t>
      </w:r>
      <w:r w:rsidR="002D69D6">
        <w:rPr>
          <w:rFonts w:asciiTheme="minorHAnsi" w:hAnsiTheme="minorHAnsi"/>
          <w:sz w:val="24"/>
          <w:szCs w:val="24"/>
          <w:lang w:val="pl-PL"/>
        </w:rPr>
        <w:t>skarga nr</w:t>
      </w:r>
      <w:r w:rsidR="002D69D6" w:rsidRPr="00852C3F">
        <w:rPr>
          <w:rFonts w:asciiTheme="minorHAnsi" w:hAnsiTheme="minorHAnsi"/>
          <w:sz w:val="24"/>
          <w:szCs w:val="24"/>
          <w:lang w:val="pl-PL"/>
        </w:rPr>
        <w:t xml:space="preserve"> </w:t>
      </w:r>
      <w:r w:rsidR="002748FB" w:rsidRPr="00852C3F">
        <w:rPr>
          <w:rFonts w:asciiTheme="minorHAnsi" w:hAnsiTheme="minorHAnsi"/>
          <w:sz w:val="24"/>
          <w:szCs w:val="24"/>
          <w:lang w:val="pl-PL"/>
        </w:rPr>
        <w:t>27617/04) i</w:t>
      </w:r>
      <w:r w:rsidR="002748FB" w:rsidRPr="00194E8E">
        <w:rPr>
          <w:rFonts w:asciiTheme="minorHAnsi" w:hAnsiTheme="minorHAnsi"/>
          <w:i/>
          <w:sz w:val="24"/>
          <w:szCs w:val="24"/>
          <w:lang w:val="pl-PL"/>
        </w:rPr>
        <w:t xml:space="preserve"> P. i S. p. Polsce </w:t>
      </w:r>
      <w:r w:rsidR="002748FB" w:rsidRPr="00852C3F">
        <w:rPr>
          <w:rFonts w:asciiTheme="minorHAnsi" w:hAnsiTheme="minorHAnsi"/>
          <w:sz w:val="24"/>
          <w:szCs w:val="24"/>
          <w:lang w:val="pl-PL"/>
        </w:rPr>
        <w:t>(</w:t>
      </w:r>
      <w:r w:rsidR="002D69D6">
        <w:rPr>
          <w:rFonts w:asciiTheme="minorHAnsi" w:hAnsiTheme="minorHAnsi"/>
          <w:sz w:val="24"/>
          <w:szCs w:val="24"/>
          <w:lang w:val="pl-PL"/>
        </w:rPr>
        <w:t>skarga nr</w:t>
      </w:r>
      <w:r w:rsidR="002D69D6" w:rsidRPr="00852C3F">
        <w:rPr>
          <w:rFonts w:asciiTheme="minorHAnsi" w:hAnsiTheme="minorHAnsi"/>
          <w:sz w:val="24"/>
          <w:szCs w:val="24"/>
          <w:lang w:val="pl-PL"/>
        </w:rPr>
        <w:t xml:space="preserve"> </w:t>
      </w:r>
      <w:r w:rsidR="002748FB" w:rsidRPr="00852C3F">
        <w:rPr>
          <w:rFonts w:asciiTheme="minorHAnsi" w:hAnsiTheme="minorHAnsi"/>
          <w:sz w:val="24"/>
          <w:szCs w:val="24"/>
          <w:lang w:val="pl-PL"/>
        </w:rPr>
        <w:t>57375/08),</w:t>
      </w:r>
      <w:r w:rsidR="002748FB" w:rsidRPr="00194E8E">
        <w:rPr>
          <w:rFonts w:asciiTheme="minorHAnsi" w:hAnsiTheme="minorHAnsi"/>
          <w:i/>
          <w:sz w:val="24"/>
          <w:szCs w:val="24"/>
          <w:lang w:val="pl-PL"/>
        </w:rPr>
        <w:t xml:space="preserve"> Burża p. Polsce </w:t>
      </w:r>
      <w:r w:rsidR="002748FB" w:rsidRPr="00852C3F">
        <w:rPr>
          <w:rFonts w:asciiTheme="minorHAnsi" w:hAnsiTheme="minorHAnsi"/>
          <w:sz w:val="24"/>
          <w:szCs w:val="24"/>
          <w:lang w:val="pl-PL"/>
        </w:rPr>
        <w:t>(</w:t>
      </w:r>
      <w:r w:rsidR="002D69D6">
        <w:rPr>
          <w:rFonts w:asciiTheme="minorHAnsi" w:hAnsiTheme="minorHAnsi"/>
          <w:sz w:val="24"/>
          <w:szCs w:val="24"/>
          <w:lang w:val="pl-PL"/>
        </w:rPr>
        <w:t>skarga nr</w:t>
      </w:r>
      <w:r w:rsidR="002D69D6" w:rsidRPr="00852C3F">
        <w:rPr>
          <w:rFonts w:asciiTheme="minorHAnsi" w:hAnsiTheme="minorHAnsi"/>
          <w:sz w:val="24"/>
          <w:szCs w:val="24"/>
          <w:lang w:val="pl-PL"/>
        </w:rPr>
        <w:t xml:space="preserve"> </w:t>
      </w:r>
      <w:r w:rsidR="002748FB" w:rsidRPr="00852C3F">
        <w:rPr>
          <w:rFonts w:asciiTheme="minorHAnsi" w:hAnsiTheme="minorHAnsi"/>
          <w:sz w:val="24"/>
          <w:szCs w:val="24"/>
          <w:lang w:val="pl-PL"/>
        </w:rPr>
        <w:t>15333/16),</w:t>
      </w:r>
      <w:r w:rsidR="002748FB" w:rsidRPr="00194E8E">
        <w:rPr>
          <w:rFonts w:asciiTheme="minorHAnsi" w:hAnsiTheme="minorHAnsi"/>
          <w:i/>
          <w:sz w:val="24"/>
          <w:szCs w:val="24"/>
          <w:lang w:val="pl-PL"/>
        </w:rPr>
        <w:t xml:space="preserve"> Al Nashiri p. Polsce </w:t>
      </w:r>
      <w:r w:rsidR="002748FB" w:rsidRPr="00852C3F">
        <w:rPr>
          <w:rFonts w:asciiTheme="minorHAnsi" w:hAnsiTheme="minorHAnsi"/>
          <w:sz w:val="24"/>
          <w:szCs w:val="24"/>
          <w:lang w:val="pl-PL"/>
        </w:rPr>
        <w:t>(</w:t>
      </w:r>
      <w:r w:rsidR="002D69D6">
        <w:rPr>
          <w:rFonts w:asciiTheme="minorHAnsi" w:hAnsiTheme="minorHAnsi"/>
          <w:sz w:val="24"/>
          <w:szCs w:val="24"/>
          <w:lang w:val="pl-PL"/>
        </w:rPr>
        <w:t>skarga nr</w:t>
      </w:r>
      <w:r w:rsidR="002D69D6" w:rsidRPr="00852C3F">
        <w:rPr>
          <w:rFonts w:asciiTheme="minorHAnsi" w:hAnsiTheme="minorHAnsi"/>
          <w:sz w:val="24"/>
          <w:szCs w:val="24"/>
          <w:lang w:val="pl-PL"/>
        </w:rPr>
        <w:t xml:space="preserve"> </w:t>
      </w:r>
      <w:r w:rsidR="002748FB" w:rsidRPr="00852C3F">
        <w:rPr>
          <w:rFonts w:asciiTheme="minorHAnsi" w:hAnsiTheme="minorHAnsi"/>
          <w:sz w:val="24"/>
          <w:szCs w:val="24"/>
          <w:lang w:val="pl-PL"/>
        </w:rPr>
        <w:t>28761/11),</w:t>
      </w:r>
      <w:r w:rsidR="002748FB" w:rsidRPr="00194E8E">
        <w:rPr>
          <w:rFonts w:asciiTheme="minorHAnsi" w:hAnsiTheme="minorHAnsi"/>
          <w:i/>
          <w:sz w:val="24"/>
          <w:szCs w:val="24"/>
          <w:lang w:val="pl-PL"/>
        </w:rPr>
        <w:t xml:space="preserve"> Husayn (Abu Zubaydah) p. Polsce </w:t>
      </w:r>
      <w:r w:rsidR="002748FB" w:rsidRPr="00852C3F">
        <w:rPr>
          <w:rFonts w:asciiTheme="minorHAnsi" w:hAnsiTheme="minorHAnsi"/>
          <w:sz w:val="24"/>
          <w:szCs w:val="24"/>
          <w:lang w:val="pl-PL"/>
        </w:rPr>
        <w:t>(</w:t>
      </w:r>
      <w:r w:rsidR="002D69D6">
        <w:rPr>
          <w:rFonts w:asciiTheme="minorHAnsi" w:hAnsiTheme="minorHAnsi"/>
          <w:sz w:val="24"/>
          <w:szCs w:val="24"/>
          <w:lang w:val="pl-PL"/>
        </w:rPr>
        <w:t>skarga nr</w:t>
      </w:r>
      <w:r w:rsidR="002D69D6" w:rsidRPr="00852C3F">
        <w:rPr>
          <w:rFonts w:asciiTheme="minorHAnsi" w:hAnsiTheme="minorHAnsi"/>
          <w:sz w:val="24"/>
          <w:szCs w:val="24"/>
          <w:lang w:val="pl-PL"/>
        </w:rPr>
        <w:t xml:space="preserve"> </w:t>
      </w:r>
      <w:r w:rsidR="002748FB" w:rsidRPr="00852C3F">
        <w:rPr>
          <w:rFonts w:asciiTheme="minorHAnsi" w:hAnsiTheme="minorHAnsi"/>
          <w:sz w:val="24"/>
          <w:szCs w:val="24"/>
          <w:lang w:val="pl-PL"/>
        </w:rPr>
        <w:t>7511/13),</w:t>
      </w:r>
      <w:r w:rsidR="002748FB" w:rsidRPr="00194E8E">
        <w:rPr>
          <w:rFonts w:asciiTheme="minorHAnsi" w:hAnsiTheme="minorHAnsi"/>
          <w:i/>
          <w:sz w:val="24"/>
          <w:szCs w:val="24"/>
          <w:lang w:val="pl-PL"/>
        </w:rPr>
        <w:t xml:space="preserve"> Jezior p. Polsce </w:t>
      </w:r>
      <w:r w:rsidR="002748FB" w:rsidRPr="00852C3F">
        <w:rPr>
          <w:rFonts w:asciiTheme="minorHAnsi" w:hAnsiTheme="minorHAnsi"/>
          <w:sz w:val="24"/>
          <w:szCs w:val="24"/>
          <w:lang w:val="pl-PL"/>
        </w:rPr>
        <w:t>(</w:t>
      </w:r>
      <w:r w:rsidR="002D69D6">
        <w:rPr>
          <w:rFonts w:asciiTheme="minorHAnsi" w:hAnsiTheme="minorHAnsi"/>
          <w:sz w:val="24"/>
          <w:szCs w:val="24"/>
          <w:lang w:val="pl-PL"/>
        </w:rPr>
        <w:t>skarga nr</w:t>
      </w:r>
      <w:r w:rsidR="002D69D6" w:rsidRPr="00852C3F">
        <w:rPr>
          <w:rFonts w:asciiTheme="minorHAnsi" w:hAnsiTheme="minorHAnsi"/>
          <w:sz w:val="24"/>
          <w:szCs w:val="24"/>
          <w:lang w:val="pl-PL"/>
        </w:rPr>
        <w:t xml:space="preserve"> </w:t>
      </w:r>
      <w:r w:rsidR="002748FB" w:rsidRPr="00852C3F">
        <w:rPr>
          <w:rFonts w:asciiTheme="minorHAnsi" w:hAnsiTheme="minorHAnsi"/>
          <w:sz w:val="24"/>
          <w:szCs w:val="24"/>
          <w:lang w:val="pl-PL"/>
        </w:rPr>
        <w:t>31955/11).</w:t>
      </w:r>
      <w:r w:rsidR="002748FB" w:rsidRPr="00194E8E">
        <w:rPr>
          <w:rFonts w:asciiTheme="minorHAnsi" w:hAnsiTheme="minorHAnsi"/>
          <w:i/>
          <w:sz w:val="24"/>
          <w:szCs w:val="24"/>
          <w:lang w:val="pl-PL"/>
        </w:rPr>
        <w:t xml:space="preserve"> </w:t>
      </w:r>
      <w:r w:rsidR="002748FB" w:rsidRPr="00194E8E">
        <w:rPr>
          <w:rFonts w:asciiTheme="minorHAnsi" w:hAnsiTheme="minorHAnsi"/>
          <w:sz w:val="24"/>
          <w:szCs w:val="24"/>
          <w:lang w:val="pl-PL"/>
        </w:rPr>
        <w:t>Komunikacje przedstawiły: Helsińska Fundacja Praw Człowieka (łącznie 4 komunikacje), Naczelna Rada Adwokacka (1 komunikacja), Centrum Praw Reprodukcyjnych oraz Federacja na rzecz Kobiet i P</w:t>
      </w:r>
      <w:r w:rsidR="00536676" w:rsidRPr="00194E8E">
        <w:rPr>
          <w:rFonts w:asciiTheme="minorHAnsi" w:hAnsiTheme="minorHAnsi"/>
          <w:sz w:val="24"/>
          <w:szCs w:val="24"/>
          <w:lang w:val="pl-PL"/>
        </w:rPr>
        <w:t>lanowania Rodziny (3 komunikacje</w:t>
      </w:r>
      <w:r w:rsidR="002748FB" w:rsidRPr="00194E8E">
        <w:rPr>
          <w:rFonts w:asciiTheme="minorHAnsi" w:hAnsiTheme="minorHAnsi"/>
          <w:sz w:val="24"/>
          <w:szCs w:val="24"/>
          <w:lang w:val="pl-PL"/>
        </w:rPr>
        <w:t xml:space="preserve">), a także podmioty międzynarodowe: Human Rights in Practice i Open Society Justice Initiative (1 komunikacja) oraz European Centre for Law and Justice (1 komunikacja). </w:t>
      </w:r>
      <w:r w:rsidRPr="00194E8E">
        <w:rPr>
          <w:rFonts w:asciiTheme="minorHAnsi" w:hAnsiTheme="minorHAnsi"/>
          <w:sz w:val="24"/>
          <w:szCs w:val="24"/>
          <w:lang w:val="pl-PL"/>
        </w:rPr>
        <w:t>Komunikacje te zostały wymienione poniżej, natomiast ich pełne teksty</w:t>
      </w:r>
      <w:r w:rsidR="009C7CD6" w:rsidRPr="00194E8E">
        <w:rPr>
          <w:rFonts w:asciiTheme="minorHAnsi" w:hAnsiTheme="minorHAnsi"/>
          <w:sz w:val="24"/>
          <w:szCs w:val="24"/>
          <w:lang w:val="pl-PL"/>
        </w:rPr>
        <w:t>,</w:t>
      </w:r>
      <w:r w:rsidR="00CD4849" w:rsidRPr="00194E8E">
        <w:rPr>
          <w:rFonts w:asciiTheme="minorHAnsi" w:hAnsiTheme="minorHAnsi"/>
          <w:sz w:val="24"/>
          <w:szCs w:val="24"/>
          <w:lang w:val="pl-PL"/>
        </w:rPr>
        <w:t xml:space="preserve"> wraz z odpowiedziami R</w:t>
      </w:r>
      <w:r w:rsidRPr="00194E8E">
        <w:rPr>
          <w:rFonts w:asciiTheme="minorHAnsi" w:hAnsiTheme="minorHAnsi"/>
          <w:sz w:val="24"/>
          <w:szCs w:val="24"/>
          <w:lang w:val="pl-PL"/>
        </w:rPr>
        <w:t>ządu</w:t>
      </w:r>
      <w:r w:rsidR="009C7CD6" w:rsidRPr="00194E8E">
        <w:rPr>
          <w:rFonts w:asciiTheme="minorHAnsi" w:hAnsiTheme="minorHAnsi"/>
          <w:sz w:val="24"/>
          <w:szCs w:val="24"/>
          <w:lang w:val="pl-PL"/>
        </w:rPr>
        <w:t>,</w:t>
      </w:r>
      <w:r w:rsidRPr="00194E8E">
        <w:rPr>
          <w:rFonts w:asciiTheme="minorHAnsi" w:hAnsiTheme="minorHAnsi"/>
          <w:sz w:val="24"/>
          <w:szCs w:val="24"/>
          <w:lang w:val="pl-PL"/>
        </w:rPr>
        <w:t xml:space="preserve"> dołączone </w:t>
      </w:r>
      <w:r w:rsidR="009C7CD6" w:rsidRPr="00194E8E">
        <w:rPr>
          <w:rFonts w:asciiTheme="minorHAnsi" w:hAnsiTheme="minorHAnsi"/>
          <w:sz w:val="24"/>
          <w:szCs w:val="24"/>
          <w:lang w:val="pl-PL"/>
        </w:rPr>
        <w:t xml:space="preserve">zostały </w:t>
      </w:r>
      <w:r w:rsidRPr="00194E8E">
        <w:rPr>
          <w:rFonts w:asciiTheme="minorHAnsi" w:hAnsiTheme="minorHAnsi"/>
          <w:sz w:val="24"/>
          <w:szCs w:val="24"/>
          <w:lang w:val="pl-PL"/>
        </w:rPr>
        <w:t>do niniejszego Raportu w postaci Załącznika F.</w:t>
      </w:r>
      <w:r w:rsidR="009C7CD6" w:rsidRPr="00194E8E">
        <w:rPr>
          <w:rFonts w:asciiTheme="minorHAnsi" w:hAnsiTheme="minorHAnsi"/>
          <w:sz w:val="24"/>
          <w:szCs w:val="24"/>
          <w:lang w:val="pl-PL"/>
        </w:rPr>
        <w:t xml:space="preserve"> Wszystk</w:t>
      </w:r>
      <w:r w:rsidR="005A00BF" w:rsidRPr="00194E8E">
        <w:rPr>
          <w:rFonts w:asciiTheme="minorHAnsi" w:hAnsiTheme="minorHAnsi"/>
          <w:sz w:val="24"/>
          <w:szCs w:val="24"/>
          <w:lang w:val="pl-PL"/>
        </w:rPr>
        <w:t>ie komunikacje oraz odpowiedzi R</w:t>
      </w:r>
      <w:r w:rsidR="009C7CD6" w:rsidRPr="00194E8E">
        <w:rPr>
          <w:rFonts w:asciiTheme="minorHAnsi" w:hAnsiTheme="minorHAnsi"/>
          <w:sz w:val="24"/>
          <w:szCs w:val="24"/>
          <w:lang w:val="pl-PL"/>
        </w:rPr>
        <w:t>ządu są dostępne także na stronie KM oraz w bazie HUDOC-EXEC (w j. angielskim).</w:t>
      </w:r>
    </w:p>
    <w:p w:rsidR="00C20138" w:rsidRPr="00194E8E" w:rsidRDefault="00C20138" w:rsidP="002D69D6">
      <w:pPr>
        <w:pStyle w:val="Akapitzlist"/>
        <w:numPr>
          <w:ilvl w:val="0"/>
          <w:numId w:val="30"/>
        </w:numPr>
        <w:spacing w:after="120" w:line="240" w:lineRule="auto"/>
        <w:ind w:left="709" w:hanging="425"/>
        <w:jc w:val="both"/>
        <w:rPr>
          <w:rFonts w:asciiTheme="minorHAnsi" w:hAnsiTheme="minorHAnsi"/>
          <w:sz w:val="24"/>
          <w:szCs w:val="24"/>
          <w:lang w:val="pl-PL"/>
        </w:rPr>
      </w:pPr>
      <w:r w:rsidRPr="00194E8E">
        <w:rPr>
          <w:rFonts w:asciiTheme="minorHAnsi" w:hAnsiTheme="minorHAnsi"/>
          <w:sz w:val="24"/>
          <w:szCs w:val="24"/>
          <w:lang w:val="pl-PL"/>
        </w:rPr>
        <w:t xml:space="preserve">Komunikacja otrzymana w dniu 21 stycznia 2021 r. </w:t>
      </w:r>
      <w:r w:rsidR="002D69D6">
        <w:rPr>
          <w:rFonts w:asciiTheme="minorHAnsi" w:hAnsiTheme="minorHAnsi"/>
          <w:sz w:val="24"/>
          <w:szCs w:val="24"/>
          <w:lang w:val="pl-PL"/>
        </w:rPr>
        <w:t>dot</w:t>
      </w:r>
      <w:r w:rsidRPr="00194E8E">
        <w:rPr>
          <w:rFonts w:asciiTheme="minorHAnsi" w:hAnsiTheme="minorHAnsi"/>
          <w:sz w:val="24"/>
          <w:szCs w:val="24"/>
          <w:lang w:val="pl-PL"/>
        </w:rPr>
        <w:t xml:space="preserve">. wykonania wyroków ws. </w:t>
      </w:r>
      <w:r w:rsidRPr="00194E8E">
        <w:rPr>
          <w:rFonts w:asciiTheme="minorHAnsi" w:hAnsiTheme="minorHAnsi"/>
          <w:i/>
          <w:sz w:val="24"/>
          <w:szCs w:val="24"/>
          <w:lang w:val="pl-PL"/>
        </w:rPr>
        <w:t xml:space="preserve">P. i S. p. Polsce </w:t>
      </w:r>
      <w:r w:rsidRPr="00194E8E">
        <w:rPr>
          <w:rFonts w:asciiTheme="minorHAnsi" w:hAnsiTheme="minorHAnsi"/>
          <w:sz w:val="24"/>
          <w:szCs w:val="24"/>
          <w:lang w:val="pl-PL"/>
        </w:rPr>
        <w:t xml:space="preserve">(skarga nr 57375/08), </w:t>
      </w:r>
      <w:r w:rsidRPr="00194E8E">
        <w:rPr>
          <w:rFonts w:asciiTheme="minorHAnsi" w:hAnsiTheme="minorHAnsi"/>
          <w:i/>
          <w:sz w:val="24"/>
          <w:szCs w:val="24"/>
          <w:lang w:val="pl-PL"/>
        </w:rPr>
        <w:t>R.R. p. Polsce</w:t>
      </w:r>
      <w:r w:rsidRPr="00194E8E">
        <w:rPr>
          <w:rFonts w:asciiTheme="minorHAnsi" w:hAnsiTheme="minorHAnsi"/>
          <w:sz w:val="24"/>
          <w:szCs w:val="24"/>
          <w:lang w:val="pl-PL"/>
        </w:rPr>
        <w:t xml:space="preserve"> (skarga nr 27617/04) oraz </w:t>
      </w:r>
      <w:r w:rsidRPr="00194E8E">
        <w:rPr>
          <w:rFonts w:asciiTheme="minorHAnsi" w:hAnsiTheme="minorHAnsi"/>
          <w:i/>
          <w:sz w:val="24"/>
          <w:szCs w:val="24"/>
          <w:lang w:val="pl-PL"/>
        </w:rPr>
        <w:t>Tysiąc p. Polsce</w:t>
      </w:r>
      <w:r w:rsidRPr="00194E8E">
        <w:rPr>
          <w:rFonts w:asciiTheme="minorHAnsi" w:hAnsiTheme="minorHAnsi"/>
          <w:sz w:val="24"/>
          <w:szCs w:val="24"/>
          <w:lang w:val="pl-PL"/>
        </w:rPr>
        <w:t xml:space="preserve"> (skarga nr 5410/03)</w:t>
      </w:r>
      <w:r w:rsidR="005A00BF" w:rsidRPr="00194E8E">
        <w:rPr>
          <w:rFonts w:asciiTheme="minorHAnsi" w:hAnsiTheme="minorHAnsi"/>
          <w:sz w:val="24"/>
          <w:szCs w:val="24"/>
          <w:lang w:val="pl-PL"/>
        </w:rPr>
        <w:t>,</w:t>
      </w:r>
      <w:r w:rsidRPr="00194E8E">
        <w:rPr>
          <w:rFonts w:asciiTheme="minorHAnsi" w:hAnsiTheme="minorHAnsi"/>
          <w:sz w:val="24"/>
          <w:szCs w:val="24"/>
          <w:lang w:val="pl-PL"/>
        </w:rPr>
        <w:t xml:space="preserve"> przesłana do Komitetu Ministrów RE przez </w:t>
      </w:r>
      <w:r w:rsidR="0047689B" w:rsidRPr="00194E8E">
        <w:rPr>
          <w:rFonts w:asciiTheme="minorHAnsi" w:hAnsiTheme="minorHAnsi"/>
          <w:sz w:val="24"/>
          <w:szCs w:val="24"/>
          <w:lang w:val="pl-PL"/>
        </w:rPr>
        <w:t>Helsińską Fundację Praw Człowieka (komunikacja i odpowiedź Rządu dokument DH-DD(2021)131-rev)</w:t>
      </w:r>
      <w:r w:rsidR="000F4A87" w:rsidRPr="00194E8E">
        <w:rPr>
          <w:rFonts w:asciiTheme="minorHAnsi" w:hAnsiTheme="minorHAnsi"/>
          <w:sz w:val="24"/>
          <w:szCs w:val="24"/>
          <w:lang w:val="pl-PL"/>
        </w:rPr>
        <w:t>,</w:t>
      </w:r>
    </w:p>
    <w:p w:rsidR="00C20138" w:rsidRPr="00194E8E" w:rsidRDefault="00C20138" w:rsidP="002D69D6">
      <w:pPr>
        <w:pStyle w:val="Akapitzlist"/>
        <w:numPr>
          <w:ilvl w:val="0"/>
          <w:numId w:val="30"/>
        </w:numPr>
        <w:spacing w:after="120" w:line="240" w:lineRule="auto"/>
        <w:ind w:left="709" w:hanging="425"/>
        <w:jc w:val="both"/>
        <w:rPr>
          <w:rFonts w:asciiTheme="minorHAnsi" w:hAnsiTheme="minorHAnsi"/>
          <w:sz w:val="24"/>
          <w:szCs w:val="24"/>
          <w:lang w:val="pl-PL"/>
        </w:rPr>
      </w:pPr>
      <w:r w:rsidRPr="00194E8E">
        <w:rPr>
          <w:rFonts w:asciiTheme="minorHAnsi" w:hAnsiTheme="minorHAnsi"/>
          <w:sz w:val="24"/>
          <w:szCs w:val="24"/>
          <w:lang w:val="pl-PL"/>
        </w:rPr>
        <w:t xml:space="preserve">Komunikacja otrzymana w dniu 1 lutego 2021 r. </w:t>
      </w:r>
      <w:r w:rsidR="002D69D6">
        <w:rPr>
          <w:rFonts w:asciiTheme="minorHAnsi" w:hAnsiTheme="minorHAnsi"/>
          <w:sz w:val="24"/>
          <w:szCs w:val="24"/>
          <w:lang w:val="pl-PL"/>
        </w:rPr>
        <w:t>dot</w:t>
      </w:r>
      <w:r w:rsidRPr="00194E8E">
        <w:rPr>
          <w:rFonts w:asciiTheme="minorHAnsi" w:hAnsiTheme="minorHAnsi"/>
          <w:sz w:val="24"/>
          <w:szCs w:val="24"/>
          <w:lang w:val="pl-PL"/>
        </w:rPr>
        <w:t xml:space="preserve">. wykonania wyroków ws. </w:t>
      </w:r>
      <w:r w:rsidRPr="00194E8E">
        <w:rPr>
          <w:rFonts w:asciiTheme="minorHAnsi" w:hAnsiTheme="minorHAnsi"/>
          <w:i/>
          <w:sz w:val="24"/>
          <w:szCs w:val="24"/>
          <w:lang w:val="pl-PL"/>
        </w:rPr>
        <w:t>P. i S. p. Polsce</w:t>
      </w:r>
      <w:r w:rsidRPr="00194E8E">
        <w:rPr>
          <w:rFonts w:asciiTheme="minorHAnsi" w:hAnsiTheme="minorHAnsi"/>
          <w:sz w:val="24"/>
          <w:szCs w:val="24"/>
          <w:lang w:val="pl-PL"/>
        </w:rPr>
        <w:t xml:space="preserve"> (skarga nr 57375/08), </w:t>
      </w:r>
      <w:r w:rsidRPr="00194E8E">
        <w:rPr>
          <w:rFonts w:asciiTheme="minorHAnsi" w:hAnsiTheme="minorHAnsi"/>
          <w:i/>
          <w:sz w:val="24"/>
          <w:szCs w:val="24"/>
          <w:lang w:val="pl-PL"/>
        </w:rPr>
        <w:t>R.R. p. Polsce</w:t>
      </w:r>
      <w:r w:rsidRPr="00194E8E">
        <w:rPr>
          <w:rFonts w:asciiTheme="minorHAnsi" w:hAnsiTheme="minorHAnsi"/>
          <w:sz w:val="24"/>
          <w:szCs w:val="24"/>
          <w:lang w:val="pl-PL"/>
        </w:rPr>
        <w:t xml:space="preserve"> (skarga nr 27617/04) oraz </w:t>
      </w:r>
      <w:r w:rsidRPr="00194E8E">
        <w:rPr>
          <w:rFonts w:asciiTheme="minorHAnsi" w:hAnsiTheme="minorHAnsi"/>
          <w:i/>
          <w:sz w:val="24"/>
          <w:szCs w:val="24"/>
          <w:lang w:val="pl-PL"/>
        </w:rPr>
        <w:t>Tysiąc p. Polsce</w:t>
      </w:r>
      <w:r w:rsidRPr="00194E8E">
        <w:rPr>
          <w:rFonts w:asciiTheme="minorHAnsi" w:hAnsiTheme="minorHAnsi"/>
          <w:sz w:val="24"/>
          <w:szCs w:val="24"/>
          <w:lang w:val="pl-PL"/>
        </w:rPr>
        <w:t xml:space="preserve"> (skarga nr 5410/03)</w:t>
      </w:r>
      <w:r w:rsidR="005A00BF" w:rsidRPr="00194E8E">
        <w:rPr>
          <w:rFonts w:asciiTheme="minorHAnsi" w:hAnsiTheme="minorHAnsi"/>
          <w:sz w:val="24"/>
          <w:szCs w:val="24"/>
          <w:lang w:val="pl-PL"/>
        </w:rPr>
        <w:t>,</w:t>
      </w:r>
      <w:r w:rsidRPr="00194E8E">
        <w:rPr>
          <w:rFonts w:asciiTheme="minorHAnsi" w:hAnsiTheme="minorHAnsi"/>
          <w:sz w:val="24"/>
          <w:szCs w:val="24"/>
          <w:lang w:val="pl-PL"/>
        </w:rPr>
        <w:t xml:space="preserve"> przesłana do Komitetu Ministrów RE przez </w:t>
      </w:r>
      <w:r w:rsidR="0047689B" w:rsidRPr="00194E8E">
        <w:rPr>
          <w:rFonts w:asciiTheme="minorHAnsi" w:hAnsiTheme="minorHAnsi"/>
          <w:sz w:val="24"/>
          <w:szCs w:val="24"/>
          <w:lang w:val="pl-PL"/>
        </w:rPr>
        <w:t xml:space="preserve">Centrum Praw Reprodukcyjnych i Federację na rzecz Kobiet i Planowania Rodziny (komunikacja i odpowiedź Rządu dokument DH-DD(2021)168-rev),  </w:t>
      </w:r>
    </w:p>
    <w:p w:rsidR="00C20138" w:rsidRPr="00194E8E" w:rsidRDefault="00C20138" w:rsidP="002D69D6">
      <w:pPr>
        <w:pStyle w:val="Akapitzlist"/>
        <w:numPr>
          <w:ilvl w:val="0"/>
          <w:numId w:val="30"/>
        </w:numPr>
        <w:spacing w:after="120" w:line="240" w:lineRule="auto"/>
        <w:ind w:left="709" w:hanging="425"/>
        <w:jc w:val="both"/>
        <w:rPr>
          <w:rFonts w:asciiTheme="minorHAnsi" w:hAnsiTheme="minorHAnsi"/>
          <w:sz w:val="24"/>
          <w:szCs w:val="24"/>
          <w:lang w:val="pl-PL"/>
        </w:rPr>
      </w:pPr>
      <w:r w:rsidRPr="00194E8E">
        <w:rPr>
          <w:rFonts w:asciiTheme="minorHAnsi" w:hAnsiTheme="minorHAnsi"/>
          <w:sz w:val="24"/>
          <w:szCs w:val="24"/>
          <w:lang w:val="pl-PL"/>
        </w:rPr>
        <w:t xml:space="preserve">Komunikacja otrzymana w dniu 25 lutego 2021 r. </w:t>
      </w:r>
      <w:r w:rsidR="002D69D6">
        <w:rPr>
          <w:rFonts w:asciiTheme="minorHAnsi" w:hAnsiTheme="minorHAnsi"/>
          <w:sz w:val="24"/>
          <w:szCs w:val="24"/>
          <w:lang w:val="pl-PL"/>
        </w:rPr>
        <w:t>dot</w:t>
      </w:r>
      <w:r w:rsidRPr="00194E8E">
        <w:rPr>
          <w:rFonts w:asciiTheme="minorHAnsi" w:hAnsiTheme="minorHAnsi"/>
          <w:sz w:val="24"/>
          <w:szCs w:val="24"/>
          <w:lang w:val="pl-PL"/>
        </w:rPr>
        <w:t xml:space="preserve">. wykonania wyroków ws. </w:t>
      </w:r>
      <w:r w:rsidRPr="00194E8E">
        <w:rPr>
          <w:rFonts w:asciiTheme="minorHAnsi" w:hAnsiTheme="minorHAnsi"/>
          <w:i/>
          <w:sz w:val="24"/>
          <w:szCs w:val="24"/>
          <w:lang w:val="pl-PL"/>
        </w:rPr>
        <w:t xml:space="preserve">P. i S. p. Polsce </w:t>
      </w:r>
      <w:r w:rsidRPr="00194E8E">
        <w:rPr>
          <w:rFonts w:asciiTheme="minorHAnsi" w:hAnsiTheme="minorHAnsi"/>
          <w:sz w:val="24"/>
          <w:szCs w:val="24"/>
          <w:lang w:val="pl-PL"/>
        </w:rPr>
        <w:t xml:space="preserve">(skarga nr 57375/08), </w:t>
      </w:r>
      <w:r w:rsidRPr="00194E8E">
        <w:rPr>
          <w:rFonts w:asciiTheme="minorHAnsi" w:hAnsiTheme="minorHAnsi"/>
          <w:i/>
          <w:sz w:val="24"/>
          <w:szCs w:val="24"/>
          <w:lang w:val="pl-PL"/>
        </w:rPr>
        <w:t>R.R. p. Polsce</w:t>
      </w:r>
      <w:r w:rsidRPr="00194E8E">
        <w:rPr>
          <w:rFonts w:asciiTheme="minorHAnsi" w:hAnsiTheme="minorHAnsi"/>
          <w:sz w:val="24"/>
          <w:szCs w:val="24"/>
          <w:lang w:val="pl-PL"/>
        </w:rPr>
        <w:t xml:space="preserve"> (skarga nr 27617/04) oraz </w:t>
      </w:r>
      <w:r w:rsidRPr="00194E8E">
        <w:rPr>
          <w:rFonts w:asciiTheme="minorHAnsi" w:hAnsiTheme="minorHAnsi"/>
          <w:i/>
          <w:sz w:val="24"/>
          <w:szCs w:val="24"/>
          <w:lang w:val="pl-PL"/>
        </w:rPr>
        <w:t>Tysiąc p. Polsce</w:t>
      </w:r>
      <w:r w:rsidRPr="00194E8E">
        <w:rPr>
          <w:rFonts w:asciiTheme="minorHAnsi" w:hAnsiTheme="minorHAnsi"/>
          <w:sz w:val="24"/>
          <w:szCs w:val="24"/>
          <w:lang w:val="pl-PL"/>
        </w:rPr>
        <w:t xml:space="preserve"> (skarga nr 5410/03)</w:t>
      </w:r>
      <w:r w:rsidR="005A00BF" w:rsidRPr="00194E8E">
        <w:rPr>
          <w:rFonts w:asciiTheme="minorHAnsi" w:hAnsiTheme="minorHAnsi"/>
          <w:sz w:val="24"/>
          <w:szCs w:val="24"/>
          <w:lang w:val="pl-PL"/>
        </w:rPr>
        <w:t>,</w:t>
      </w:r>
      <w:r w:rsidRPr="00194E8E">
        <w:rPr>
          <w:rFonts w:asciiTheme="minorHAnsi" w:hAnsiTheme="minorHAnsi"/>
          <w:sz w:val="24"/>
          <w:szCs w:val="24"/>
          <w:lang w:val="pl-PL"/>
        </w:rPr>
        <w:t xml:space="preserve"> przesłana do Komitetu Ministrów RE przez Centrum Praw Reprodukcyjnych i Federację na rzecz Kobiet i Planowania Rodziny</w:t>
      </w:r>
      <w:r w:rsidR="002900A6" w:rsidRPr="00194E8E">
        <w:rPr>
          <w:rFonts w:asciiTheme="minorHAnsi" w:hAnsiTheme="minorHAnsi"/>
          <w:sz w:val="24"/>
          <w:szCs w:val="24"/>
          <w:lang w:val="pl-PL"/>
        </w:rPr>
        <w:t xml:space="preserve"> (DH-DD(2021)253-rev)</w:t>
      </w:r>
      <w:r w:rsidR="0047689B" w:rsidRPr="00194E8E">
        <w:rPr>
          <w:rFonts w:asciiTheme="minorHAnsi" w:hAnsiTheme="minorHAnsi"/>
          <w:sz w:val="24"/>
          <w:szCs w:val="24"/>
          <w:lang w:val="pl-PL"/>
        </w:rPr>
        <w:t>,</w:t>
      </w:r>
    </w:p>
    <w:p w:rsidR="00C20138" w:rsidRPr="00194E8E" w:rsidRDefault="00C20138" w:rsidP="002D69D6">
      <w:pPr>
        <w:pStyle w:val="Akapitzlist"/>
        <w:numPr>
          <w:ilvl w:val="0"/>
          <w:numId w:val="30"/>
        </w:numPr>
        <w:spacing w:after="120" w:line="240" w:lineRule="auto"/>
        <w:ind w:left="709" w:hanging="425"/>
        <w:jc w:val="both"/>
        <w:rPr>
          <w:rFonts w:asciiTheme="minorHAnsi" w:hAnsiTheme="minorHAnsi"/>
          <w:sz w:val="24"/>
          <w:szCs w:val="24"/>
          <w:lang w:val="pl-PL"/>
        </w:rPr>
      </w:pPr>
      <w:r w:rsidRPr="00194E8E">
        <w:rPr>
          <w:rFonts w:asciiTheme="minorHAnsi" w:hAnsiTheme="minorHAnsi"/>
          <w:sz w:val="24"/>
          <w:szCs w:val="24"/>
          <w:lang w:val="pl-PL"/>
        </w:rPr>
        <w:t xml:space="preserve">Komunikacja otrzymana w dniu 18 maja 2021 r. </w:t>
      </w:r>
      <w:r w:rsidR="002D69D6">
        <w:rPr>
          <w:rFonts w:asciiTheme="minorHAnsi" w:hAnsiTheme="minorHAnsi"/>
          <w:sz w:val="24"/>
          <w:szCs w:val="24"/>
          <w:lang w:val="pl-PL"/>
        </w:rPr>
        <w:t>dot</w:t>
      </w:r>
      <w:r w:rsidRPr="00194E8E">
        <w:rPr>
          <w:rFonts w:asciiTheme="minorHAnsi" w:hAnsiTheme="minorHAnsi"/>
          <w:sz w:val="24"/>
          <w:szCs w:val="24"/>
          <w:lang w:val="pl-PL"/>
        </w:rPr>
        <w:t xml:space="preserve">. wykonania wyroku </w:t>
      </w:r>
      <w:r w:rsidRPr="00194E8E">
        <w:rPr>
          <w:rFonts w:asciiTheme="minorHAnsi" w:hAnsiTheme="minorHAnsi"/>
          <w:i/>
          <w:sz w:val="24"/>
          <w:szCs w:val="24"/>
          <w:lang w:val="pl-PL"/>
        </w:rPr>
        <w:t>Jezior p. Polsce</w:t>
      </w:r>
      <w:r w:rsidRPr="00194E8E">
        <w:rPr>
          <w:rFonts w:asciiTheme="minorHAnsi" w:hAnsiTheme="minorHAnsi"/>
          <w:sz w:val="24"/>
          <w:szCs w:val="24"/>
          <w:lang w:val="pl-PL"/>
        </w:rPr>
        <w:t xml:space="preserve"> (skarga nr 31955/11), przesłana do Komitetu Ministrów RE przez Helsińską Fundację Praw Człowieka (komunikacja</w:t>
      </w:r>
      <w:r w:rsidR="00AA36AB">
        <w:rPr>
          <w:rFonts w:asciiTheme="minorHAnsi" w:hAnsiTheme="minorHAnsi"/>
          <w:sz w:val="24"/>
          <w:szCs w:val="24"/>
          <w:lang w:val="pl-PL"/>
        </w:rPr>
        <w:t xml:space="preserve"> i odpowiedź Rządu</w:t>
      </w:r>
      <w:r w:rsidRPr="00194E8E">
        <w:rPr>
          <w:rFonts w:asciiTheme="minorHAnsi" w:hAnsiTheme="minorHAnsi"/>
          <w:sz w:val="24"/>
          <w:szCs w:val="24"/>
          <w:lang w:val="pl-PL"/>
        </w:rPr>
        <w:t xml:space="preserve"> dokument </w:t>
      </w:r>
      <w:r w:rsidR="002900A6" w:rsidRPr="00194E8E">
        <w:rPr>
          <w:rFonts w:asciiTheme="minorHAnsi" w:hAnsiTheme="minorHAnsi"/>
          <w:sz w:val="24"/>
          <w:szCs w:val="24"/>
          <w:lang w:val="pl-PL"/>
        </w:rPr>
        <w:t>DH-DD(2021)531-rev</w:t>
      </w:r>
      <w:r w:rsidRPr="00194E8E">
        <w:rPr>
          <w:rFonts w:asciiTheme="minorHAnsi" w:hAnsiTheme="minorHAnsi"/>
          <w:sz w:val="24"/>
          <w:szCs w:val="24"/>
          <w:lang w:val="pl-PL"/>
        </w:rPr>
        <w:t>)</w:t>
      </w:r>
      <w:r w:rsidR="003C377F" w:rsidRPr="00194E8E">
        <w:rPr>
          <w:rFonts w:asciiTheme="minorHAnsi" w:hAnsiTheme="minorHAnsi"/>
          <w:sz w:val="24"/>
          <w:szCs w:val="24"/>
          <w:lang w:val="pl-PL"/>
        </w:rPr>
        <w:t>,</w:t>
      </w:r>
    </w:p>
    <w:p w:rsidR="00C20138" w:rsidRPr="00194E8E" w:rsidRDefault="00C20138" w:rsidP="002D69D6">
      <w:pPr>
        <w:pStyle w:val="Akapitzlist"/>
        <w:numPr>
          <w:ilvl w:val="0"/>
          <w:numId w:val="30"/>
        </w:numPr>
        <w:spacing w:after="120" w:line="240" w:lineRule="auto"/>
        <w:ind w:left="709" w:hanging="425"/>
        <w:jc w:val="both"/>
        <w:rPr>
          <w:rFonts w:asciiTheme="minorHAnsi" w:hAnsiTheme="minorHAnsi"/>
          <w:sz w:val="24"/>
          <w:szCs w:val="24"/>
          <w:lang w:val="pl-PL"/>
        </w:rPr>
      </w:pPr>
      <w:r w:rsidRPr="00194E8E">
        <w:rPr>
          <w:rFonts w:asciiTheme="minorHAnsi" w:hAnsiTheme="minorHAnsi"/>
          <w:sz w:val="24"/>
          <w:szCs w:val="24"/>
          <w:lang w:val="pl-PL"/>
        </w:rPr>
        <w:t xml:space="preserve">Komunikacja otrzymana w dniu 28 lipca 2021 r. </w:t>
      </w:r>
      <w:r w:rsidR="002D69D6">
        <w:rPr>
          <w:rFonts w:asciiTheme="minorHAnsi" w:hAnsiTheme="minorHAnsi"/>
          <w:sz w:val="24"/>
          <w:szCs w:val="24"/>
          <w:lang w:val="pl-PL"/>
        </w:rPr>
        <w:t>dot</w:t>
      </w:r>
      <w:r w:rsidRPr="00194E8E">
        <w:rPr>
          <w:rFonts w:asciiTheme="minorHAnsi" w:hAnsiTheme="minorHAnsi"/>
          <w:sz w:val="24"/>
          <w:szCs w:val="24"/>
          <w:lang w:val="pl-PL"/>
        </w:rPr>
        <w:t xml:space="preserve"> wykonania wyroków </w:t>
      </w:r>
      <w:r w:rsidRPr="00194E8E">
        <w:rPr>
          <w:rFonts w:asciiTheme="minorHAnsi" w:hAnsiTheme="minorHAnsi"/>
          <w:i/>
          <w:sz w:val="24"/>
          <w:szCs w:val="24"/>
          <w:lang w:val="pl-PL"/>
        </w:rPr>
        <w:t>Al Nashiri p. Polsce</w:t>
      </w:r>
      <w:r w:rsidRPr="00194E8E">
        <w:rPr>
          <w:rFonts w:asciiTheme="minorHAnsi" w:hAnsiTheme="minorHAnsi"/>
          <w:sz w:val="24"/>
          <w:szCs w:val="24"/>
          <w:lang w:val="pl-PL"/>
        </w:rPr>
        <w:t xml:space="preserve"> (skarga nr 28761/11) oraz </w:t>
      </w:r>
      <w:r w:rsidRPr="00194E8E">
        <w:rPr>
          <w:rFonts w:asciiTheme="minorHAnsi" w:hAnsiTheme="minorHAnsi"/>
          <w:i/>
          <w:sz w:val="24"/>
          <w:szCs w:val="24"/>
          <w:lang w:val="pl-PL"/>
        </w:rPr>
        <w:t>Abu Zubaydah p. Polsce</w:t>
      </w:r>
      <w:r w:rsidRPr="00194E8E">
        <w:rPr>
          <w:rFonts w:asciiTheme="minorHAnsi" w:hAnsiTheme="minorHAnsi"/>
          <w:sz w:val="24"/>
          <w:szCs w:val="24"/>
          <w:lang w:val="pl-PL"/>
        </w:rPr>
        <w:t xml:space="preserve"> (7511/13)</w:t>
      </w:r>
      <w:r w:rsidR="005A00BF" w:rsidRPr="00194E8E">
        <w:rPr>
          <w:rFonts w:asciiTheme="minorHAnsi" w:hAnsiTheme="minorHAnsi"/>
          <w:sz w:val="24"/>
          <w:szCs w:val="24"/>
          <w:lang w:val="pl-PL"/>
        </w:rPr>
        <w:t>,</w:t>
      </w:r>
      <w:r w:rsidRPr="00194E8E">
        <w:rPr>
          <w:rFonts w:asciiTheme="minorHAnsi" w:hAnsiTheme="minorHAnsi"/>
          <w:sz w:val="24"/>
          <w:szCs w:val="24"/>
          <w:lang w:val="pl-PL"/>
        </w:rPr>
        <w:t xml:space="preserve"> przesłana do Komitetu Ministrów RE przez Open Society Justice Initiative (dalej: OSJI) oraz Human Rights in Practice (komunikacja dokument </w:t>
      </w:r>
      <w:r w:rsidR="002900A6" w:rsidRPr="00194E8E">
        <w:rPr>
          <w:rStyle w:val="pdfoutput12"/>
          <w:rFonts w:asciiTheme="minorHAnsi" w:hAnsiTheme="minorHAnsi"/>
          <w:color w:val="000000"/>
          <w:sz w:val="24"/>
          <w:szCs w:val="24"/>
          <w:shd w:val="clear" w:color="auto" w:fill="FFFFFF"/>
          <w:lang w:val="pl-PL"/>
        </w:rPr>
        <w:t>DH-DD(2021</w:t>
      </w:r>
      <w:r w:rsidR="002900A6" w:rsidRPr="00194E8E">
        <w:rPr>
          <w:rStyle w:val="pdfoutput14"/>
          <w:rFonts w:asciiTheme="minorHAnsi" w:hAnsiTheme="minorHAnsi"/>
          <w:color w:val="000000"/>
          <w:spacing w:val="-2"/>
          <w:sz w:val="24"/>
          <w:szCs w:val="24"/>
          <w:shd w:val="clear" w:color="auto" w:fill="FFFFFF"/>
          <w:lang w:val="pl-PL"/>
        </w:rPr>
        <w:t xml:space="preserve">)779 i odpowiedź Rządu dokument </w:t>
      </w:r>
      <w:r w:rsidR="002900A6" w:rsidRPr="00194E8E">
        <w:rPr>
          <w:rStyle w:val="pdfoutput12"/>
          <w:rFonts w:asciiTheme="minorHAnsi" w:hAnsiTheme="minorHAnsi"/>
          <w:color w:val="000000"/>
          <w:sz w:val="24"/>
          <w:szCs w:val="24"/>
          <w:shd w:val="clear" w:color="auto" w:fill="FFFFFF"/>
          <w:lang w:val="pl-PL"/>
        </w:rPr>
        <w:t>DH-DD(2021</w:t>
      </w:r>
      <w:r w:rsidR="002900A6" w:rsidRPr="00194E8E">
        <w:rPr>
          <w:rStyle w:val="pdfoutput14"/>
          <w:rFonts w:asciiTheme="minorHAnsi" w:hAnsiTheme="minorHAnsi"/>
          <w:color w:val="000000"/>
          <w:spacing w:val="-2"/>
          <w:sz w:val="24"/>
          <w:szCs w:val="24"/>
          <w:shd w:val="clear" w:color="auto" w:fill="FFFFFF"/>
          <w:lang w:val="pl-PL"/>
        </w:rPr>
        <w:t>)8</w:t>
      </w:r>
      <w:r w:rsidR="002900A6" w:rsidRPr="00194E8E">
        <w:rPr>
          <w:rStyle w:val="pdfoutput15"/>
          <w:rFonts w:asciiTheme="minorHAnsi" w:hAnsiTheme="minorHAnsi"/>
          <w:color w:val="000000"/>
          <w:sz w:val="24"/>
          <w:szCs w:val="24"/>
          <w:shd w:val="clear" w:color="auto" w:fill="FFFFFF"/>
          <w:lang w:val="pl-PL"/>
        </w:rPr>
        <w:t>09)</w:t>
      </w:r>
      <w:r w:rsidR="003C377F" w:rsidRPr="00194E8E">
        <w:rPr>
          <w:rStyle w:val="pdfoutput15"/>
          <w:rFonts w:asciiTheme="minorHAnsi" w:hAnsiTheme="minorHAnsi"/>
          <w:color w:val="000000"/>
          <w:sz w:val="24"/>
          <w:szCs w:val="24"/>
          <w:shd w:val="clear" w:color="auto" w:fill="FFFFFF"/>
          <w:lang w:val="pl-PL"/>
        </w:rPr>
        <w:t>,</w:t>
      </w:r>
    </w:p>
    <w:p w:rsidR="00C20138" w:rsidRPr="00194E8E" w:rsidRDefault="00C20138" w:rsidP="002D69D6">
      <w:pPr>
        <w:pStyle w:val="Akapitzlist"/>
        <w:numPr>
          <w:ilvl w:val="0"/>
          <w:numId w:val="30"/>
        </w:numPr>
        <w:spacing w:after="120" w:line="240" w:lineRule="auto"/>
        <w:ind w:left="709" w:hanging="425"/>
        <w:jc w:val="both"/>
        <w:rPr>
          <w:rFonts w:asciiTheme="minorHAnsi" w:hAnsiTheme="minorHAnsi"/>
          <w:sz w:val="24"/>
          <w:szCs w:val="24"/>
          <w:lang w:val="pl-PL"/>
        </w:rPr>
      </w:pPr>
      <w:r w:rsidRPr="00194E8E">
        <w:rPr>
          <w:rFonts w:asciiTheme="minorHAnsi" w:hAnsiTheme="minorHAnsi"/>
          <w:sz w:val="24"/>
          <w:szCs w:val="24"/>
          <w:lang w:val="pl-PL"/>
        </w:rPr>
        <w:t xml:space="preserve">Komunikacja otrzymana w dniu 28 lipca 2021 r. </w:t>
      </w:r>
      <w:r w:rsidR="002D69D6">
        <w:rPr>
          <w:rFonts w:asciiTheme="minorHAnsi" w:hAnsiTheme="minorHAnsi"/>
          <w:sz w:val="24"/>
          <w:szCs w:val="24"/>
          <w:lang w:val="pl-PL"/>
        </w:rPr>
        <w:t>dot</w:t>
      </w:r>
      <w:r w:rsidRPr="00194E8E">
        <w:rPr>
          <w:rFonts w:asciiTheme="minorHAnsi" w:hAnsiTheme="minorHAnsi"/>
          <w:sz w:val="24"/>
          <w:szCs w:val="24"/>
          <w:lang w:val="pl-PL"/>
        </w:rPr>
        <w:t xml:space="preserve">. wykonania wyroków ws. </w:t>
      </w:r>
      <w:r w:rsidRPr="00194E8E">
        <w:rPr>
          <w:rFonts w:asciiTheme="minorHAnsi" w:hAnsiTheme="minorHAnsi"/>
          <w:i/>
          <w:sz w:val="24"/>
          <w:szCs w:val="24"/>
          <w:lang w:val="pl-PL"/>
        </w:rPr>
        <w:t>P. i S. p. Polsce</w:t>
      </w:r>
      <w:r w:rsidRPr="00194E8E">
        <w:rPr>
          <w:rFonts w:asciiTheme="minorHAnsi" w:hAnsiTheme="minorHAnsi"/>
          <w:sz w:val="24"/>
          <w:szCs w:val="24"/>
          <w:lang w:val="pl-PL"/>
        </w:rPr>
        <w:t xml:space="preserve"> (skarga nr 57375/08),</w:t>
      </w:r>
      <w:r w:rsidRPr="00194E8E">
        <w:rPr>
          <w:rFonts w:asciiTheme="minorHAnsi" w:hAnsiTheme="minorHAnsi"/>
          <w:i/>
          <w:sz w:val="24"/>
          <w:szCs w:val="24"/>
          <w:lang w:val="pl-PL"/>
        </w:rPr>
        <w:t xml:space="preserve"> R.R. p. Polsce</w:t>
      </w:r>
      <w:r w:rsidRPr="00194E8E">
        <w:rPr>
          <w:rFonts w:asciiTheme="minorHAnsi" w:hAnsiTheme="minorHAnsi"/>
          <w:sz w:val="24"/>
          <w:szCs w:val="24"/>
          <w:lang w:val="pl-PL"/>
        </w:rPr>
        <w:t xml:space="preserve"> (skarga nr 27617/04) oraz </w:t>
      </w:r>
      <w:r w:rsidRPr="00194E8E">
        <w:rPr>
          <w:rFonts w:asciiTheme="minorHAnsi" w:hAnsiTheme="minorHAnsi"/>
          <w:i/>
          <w:sz w:val="24"/>
          <w:szCs w:val="24"/>
          <w:lang w:val="pl-PL"/>
        </w:rPr>
        <w:t>Tysiąc p. Polsce</w:t>
      </w:r>
      <w:r w:rsidRPr="00194E8E">
        <w:rPr>
          <w:rFonts w:asciiTheme="minorHAnsi" w:hAnsiTheme="minorHAnsi"/>
          <w:sz w:val="24"/>
          <w:szCs w:val="24"/>
          <w:lang w:val="pl-PL"/>
        </w:rPr>
        <w:t xml:space="preserve"> (skarga nr 5410/03)</w:t>
      </w:r>
      <w:r w:rsidR="005A00BF" w:rsidRPr="00194E8E">
        <w:rPr>
          <w:rFonts w:asciiTheme="minorHAnsi" w:hAnsiTheme="minorHAnsi"/>
          <w:sz w:val="24"/>
          <w:szCs w:val="24"/>
          <w:lang w:val="pl-PL"/>
        </w:rPr>
        <w:t>,</w:t>
      </w:r>
      <w:r w:rsidRPr="00194E8E">
        <w:rPr>
          <w:rFonts w:asciiTheme="minorHAnsi" w:hAnsiTheme="minorHAnsi"/>
          <w:sz w:val="24"/>
          <w:szCs w:val="24"/>
          <w:lang w:val="pl-PL"/>
        </w:rPr>
        <w:t xml:space="preserve"> przesłana do Komitetu Ministrów RE przez European Centre for Law and Justice</w:t>
      </w:r>
      <w:r w:rsidR="002900A6" w:rsidRPr="00194E8E">
        <w:rPr>
          <w:rFonts w:asciiTheme="minorHAnsi" w:hAnsiTheme="minorHAnsi"/>
          <w:sz w:val="24"/>
          <w:szCs w:val="24"/>
          <w:lang w:val="pl-PL"/>
        </w:rPr>
        <w:t xml:space="preserve"> (komunikacja dokument </w:t>
      </w:r>
      <w:r w:rsidR="002900A6" w:rsidRPr="00194E8E">
        <w:rPr>
          <w:rStyle w:val="pdfoutput12"/>
          <w:rFonts w:asciiTheme="minorHAnsi" w:hAnsiTheme="minorHAnsi"/>
          <w:color w:val="000000"/>
          <w:sz w:val="24"/>
          <w:szCs w:val="24"/>
          <w:shd w:val="clear" w:color="auto" w:fill="FFFFFF"/>
          <w:lang w:val="pl-PL"/>
        </w:rPr>
        <w:t>DH-DD(2021</w:t>
      </w:r>
      <w:r w:rsidR="002900A6" w:rsidRPr="00194E8E">
        <w:rPr>
          <w:rStyle w:val="pdfoutput14"/>
          <w:rFonts w:asciiTheme="minorHAnsi" w:hAnsiTheme="minorHAnsi"/>
          <w:color w:val="000000"/>
          <w:spacing w:val="-2"/>
          <w:sz w:val="24"/>
          <w:szCs w:val="24"/>
          <w:shd w:val="clear" w:color="auto" w:fill="FFFFFF"/>
          <w:lang w:val="pl-PL"/>
        </w:rPr>
        <w:t>)780</w:t>
      </w:r>
      <w:r w:rsidR="002900A6" w:rsidRPr="00194E8E">
        <w:rPr>
          <w:rStyle w:val="pdfoutput16"/>
          <w:rFonts w:asciiTheme="minorHAnsi" w:hAnsiTheme="minorHAnsi"/>
          <w:color w:val="000000"/>
          <w:sz w:val="24"/>
          <w:szCs w:val="24"/>
          <w:shd w:val="clear" w:color="auto" w:fill="FFFFFF"/>
          <w:lang w:val="pl-PL"/>
        </w:rPr>
        <w:t>)</w:t>
      </w:r>
      <w:r w:rsidR="003C377F" w:rsidRPr="00194E8E">
        <w:rPr>
          <w:rStyle w:val="pdfoutput16"/>
          <w:rFonts w:asciiTheme="minorHAnsi" w:hAnsiTheme="minorHAnsi"/>
          <w:color w:val="000000"/>
          <w:sz w:val="24"/>
          <w:szCs w:val="24"/>
          <w:shd w:val="clear" w:color="auto" w:fill="FFFFFF"/>
          <w:lang w:val="pl-PL"/>
        </w:rPr>
        <w:t>,</w:t>
      </w:r>
    </w:p>
    <w:p w:rsidR="00D83BAC" w:rsidRPr="00194E8E" w:rsidRDefault="00D83BAC" w:rsidP="002D69D6">
      <w:pPr>
        <w:pStyle w:val="Akapitzlist"/>
        <w:numPr>
          <w:ilvl w:val="0"/>
          <w:numId w:val="30"/>
        </w:numPr>
        <w:spacing w:after="120" w:line="240" w:lineRule="auto"/>
        <w:ind w:left="709" w:hanging="425"/>
        <w:jc w:val="both"/>
        <w:rPr>
          <w:rFonts w:asciiTheme="minorHAnsi" w:hAnsiTheme="minorHAnsi"/>
          <w:sz w:val="24"/>
          <w:szCs w:val="24"/>
          <w:lang w:val="pl-PL"/>
        </w:rPr>
      </w:pPr>
      <w:r w:rsidRPr="00194E8E">
        <w:rPr>
          <w:rFonts w:asciiTheme="minorHAnsi" w:hAnsiTheme="minorHAnsi"/>
          <w:sz w:val="24"/>
          <w:szCs w:val="24"/>
          <w:lang w:val="pl-PL"/>
        </w:rPr>
        <w:t xml:space="preserve">Komunikacja otrzymana w dniu </w:t>
      </w:r>
      <w:r w:rsidR="00E352F4" w:rsidRPr="00194E8E">
        <w:rPr>
          <w:rFonts w:asciiTheme="minorHAnsi" w:hAnsiTheme="minorHAnsi"/>
          <w:sz w:val="24"/>
          <w:szCs w:val="24"/>
          <w:lang w:val="pl-PL"/>
        </w:rPr>
        <w:t>24 sierpnia 2021</w:t>
      </w:r>
      <w:r w:rsidR="00C20138" w:rsidRPr="00194E8E">
        <w:rPr>
          <w:rFonts w:asciiTheme="minorHAnsi" w:hAnsiTheme="minorHAnsi"/>
          <w:sz w:val="24"/>
          <w:szCs w:val="24"/>
          <w:lang w:val="pl-PL"/>
        </w:rPr>
        <w:t xml:space="preserve"> r.</w:t>
      </w:r>
      <w:r w:rsidRPr="00194E8E">
        <w:rPr>
          <w:rFonts w:asciiTheme="minorHAnsi" w:hAnsiTheme="minorHAnsi"/>
          <w:sz w:val="24"/>
          <w:szCs w:val="24"/>
          <w:lang w:val="pl-PL"/>
        </w:rPr>
        <w:t xml:space="preserve"> </w:t>
      </w:r>
      <w:r w:rsidR="002D69D6">
        <w:rPr>
          <w:rFonts w:asciiTheme="minorHAnsi" w:hAnsiTheme="minorHAnsi"/>
          <w:sz w:val="24"/>
          <w:szCs w:val="24"/>
          <w:lang w:val="pl-PL"/>
        </w:rPr>
        <w:t>dot</w:t>
      </w:r>
      <w:r w:rsidRPr="00194E8E">
        <w:rPr>
          <w:rFonts w:asciiTheme="minorHAnsi" w:hAnsiTheme="minorHAnsi"/>
          <w:sz w:val="24"/>
          <w:szCs w:val="24"/>
          <w:lang w:val="pl-PL"/>
        </w:rPr>
        <w:t xml:space="preserve">. wykonania wyroku </w:t>
      </w:r>
      <w:r w:rsidR="00E352F4" w:rsidRPr="00194E8E">
        <w:rPr>
          <w:rFonts w:asciiTheme="minorHAnsi" w:hAnsiTheme="minorHAnsi"/>
          <w:i/>
          <w:sz w:val="24"/>
          <w:szCs w:val="24"/>
          <w:lang w:val="pl-PL"/>
        </w:rPr>
        <w:t>Burża p. Polsce</w:t>
      </w:r>
      <w:r w:rsidR="00E352F4" w:rsidRPr="00194E8E">
        <w:rPr>
          <w:rFonts w:asciiTheme="minorHAnsi" w:hAnsiTheme="minorHAnsi"/>
          <w:sz w:val="24"/>
          <w:szCs w:val="24"/>
          <w:lang w:val="pl-PL"/>
        </w:rPr>
        <w:t xml:space="preserve"> (skarga nr 15333/16</w:t>
      </w:r>
      <w:r w:rsidR="00C20138" w:rsidRPr="00194E8E">
        <w:rPr>
          <w:rFonts w:asciiTheme="minorHAnsi" w:hAnsiTheme="minorHAnsi"/>
          <w:sz w:val="24"/>
          <w:szCs w:val="24"/>
          <w:lang w:val="pl-PL"/>
        </w:rPr>
        <w:t>)</w:t>
      </w:r>
      <w:r w:rsidR="005A00BF" w:rsidRPr="00194E8E">
        <w:rPr>
          <w:rFonts w:asciiTheme="minorHAnsi" w:hAnsiTheme="minorHAnsi"/>
          <w:sz w:val="24"/>
          <w:szCs w:val="24"/>
          <w:lang w:val="pl-PL"/>
        </w:rPr>
        <w:t>,</w:t>
      </w:r>
      <w:r w:rsidRPr="00194E8E">
        <w:rPr>
          <w:rFonts w:asciiTheme="minorHAnsi" w:hAnsiTheme="minorHAnsi"/>
          <w:sz w:val="24"/>
          <w:szCs w:val="24"/>
          <w:lang w:val="pl-PL"/>
        </w:rPr>
        <w:t xml:space="preserve"> przesłana do Komitetu Ministrów RE przez Helsińską </w:t>
      </w:r>
      <w:r w:rsidRPr="00194E8E">
        <w:rPr>
          <w:rFonts w:asciiTheme="minorHAnsi" w:hAnsiTheme="minorHAnsi"/>
          <w:sz w:val="24"/>
          <w:szCs w:val="24"/>
          <w:lang w:val="pl-PL"/>
        </w:rPr>
        <w:lastRenderedPageBreak/>
        <w:t>Fundację Praw Człowieka (</w:t>
      </w:r>
      <w:r w:rsidR="009C7CD6" w:rsidRPr="00194E8E">
        <w:rPr>
          <w:rFonts w:asciiTheme="minorHAnsi" w:hAnsiTheme="minorHAnsi"/>
          <w:sz w:val="24"/>
          <w:szCs w:val="24"/>
          <w:lang w:val="pl-PL"/>
        </w:rPr>
        <w:t>komunikacja i odpowiedź</w:t>
      </w:r>
      <w:r w:rsidR="00AA36AB">
        <w:rPr>
          <w:rFonts w:asciiTheme="minorHAnsi" w:hAnsiTheme="minorHAnsi"/>
          <w:sz w:val="24"/>
          <w:szCs w:val="24"/>
          <w:lang w:val="pl-PL"/>
        </w:rPr>
        <w:t xml:space="preserve"> Rządu</w:t>
      </w:r>
      <w:r w:rsidR="009C7CD6" w:rsidRPr="00194E8E">
        <w:rPr>
          <w:rFonts w:asciiTheme="minorHAnsi" w:hAnsiTheme="minorHAnsi"/>
          <w:sz w:val="24"/>
          <w:szCs w:val="24"/>
          <w:lang w:val="pl-PL"/>
        </w:rPr>
        <w:t xml:space="preserve"> </w:t>
      </w:r>
      <w:r w:rsidRPr="00194E8E">
        <w:rPr>
          <w:rFonts w:asciiTheme="minorHAnsi" w:hAnsiTheme="minorHAnsi"/>
          <w:sz w:val="24"/>
          <w:szCs w:val="24"/>
          <w:lang w:val="pl-PL"/>
        </w:rPr>
        <w:t>dokument</w:t>
      </w:r>
      <w:r w:rsidR="00C20138" w:rsidRPr="00194E8E">
        <w:rPr>
          <w:rFonts w:asciiTheme="minorHAnsi" w:hAnsiTheme="minorHAnsi"/>
          <w:sz w:val="24"/>
          <w:szCs w:val="24"/>
          <w:lang w:val="pl-PL"/>
        </w:rPr>
        <w:t xml:space="preserve"> </w:t>
      </w:r>
      <w:r w:rsidR="00C20138" w:rsidRPr="00194E8E">
        <w:rPr>
          <w:rStyle w:val="pdfoutput12"/>
          <w:rFonts w:asciiTheme="minorHAnsi" w:hAnsiTheme="minorHAnsi"/>
          <w:color w:val="000000"/>
          <w:sz w:val="24"/>
          <w:szCs w:val="24"/>
          <w:shd w:val="clear" w:color="auto" w:fill="FFFFFF"/>
          <w:lang w:val="pl-PL"/>
        </w:rPr>
        <w:t>DH-DD(2021</w:t>
      </w:r>
      <w:r w:rsidR="00C20138" w:rsidRPr="00194E8E">
        <w:rPr>
          <w:rStyle w:val="pdfoutput14"/>
          <w:rFonts w:asciiTheme="minorHAnsi" w:hAnsiTheme="minorHAnsi"/>
          <w:color w:val="000000"/>
          <w:spacing w:val="-2"/>
          <w:sz w:val="24"/>
          <w:szCs w:val="24"/>
          <w:shd w:val="clear" w:color="auto" w:fill="FFFFFF"/>
          <w:lang w:val="pl-PL"/>
        </w:rPr>
        <w:t>)8</w:t>
      </w:r>
      <w:r w:rsidR="00C20138" w:rsidRPr="00194E8E">
        <w:rPr>
          <w:rStyle w:val="pdfoutput15"/>
          <w:rFonts w:asciiTheme="minorHAnsi" w:hAnsiTheme="minorHAnsi"/>
          <w:color w:val="000000"/>
          <w:sz w:val="24"/>
          <w:szCs w:val="24"/>
          <w:shd w:val="clear" w:color="auto" w:fill="FFFFFF"/>
          <w:lang w:val="pl-PL"/>
        </w:rPr>
        <w:t>57</w:t>
      </w:r>
      <w:r w:rsidR="00C20138" w:rsidRPr="00194E8E">
        <w:rPr>
          <w:rStyle w:val="pdfoutput16"/>
          <w:rFonts w:asciiTheme="minorHAnsi" w:hAnsiTheme="minorHAnsi"/>
          <w:color w:val="000000"/>
          <w:sz w:val="24"/>
          <w:szCs w:val="24"/>
          <w:shd w:val="clear" w:color="auto" w:fill="FFFFFF"/>
          <w:lang w:val="pl-PL"/>
        </w:rPr>
        <w:t>-rev</w:t>
      </w:r>
      <w:r w:rsidR="00CC6006" w:rsidRPr="00194E8E">
        <w:rPr>
          <w:rFonts w:asciiTheme="minorHAnsi" w:hAnsiTheme="minorHAnsi"/>
          <w:sz w:val="24"/>
          <w:szCs w:val="24"/>
          <w:lang w:val="pl-PL"/>
        </w:rPr>
        <w:t>)</w:t>
      </w:r>
      <w:r w:rsidR="003C377F" w:rsidRPr="00194E8E">
        <w:rPr>
          <w:rFonts w:asciiTheme="minorHAnsi" w:hAnsiTheme="minorHAnsi"/>
          <w:sz w:val="24"/>
          <w:szCs w:val="24"/>
          <w:lang w:val="pl-PL"/>
        </w:rPr>
        <w:t>,</w:t>
      </w:r>
    </w:p>
    <w:p w:rsidR="00E352F4" w:rsidRPr="00194E8E" w:rsidRDefault="00E352F4" w:rsidP="002D69D6">
      <w:pPr>
        <w:pStyle w:val="Akapitzlist"/>
        <w:numPr>
          <w:ilvl w:val="0"/>
          <w:numId w:val="30"/>
        </w:numPr>
        <w:spacing w:after="120" w:line="240" w:lineRule="auto"/>
        <w:ind w:left="709" w:hanging="425"/>
        <w:jc w:val="both"/>
        <w:rPr>
          <w:rFonts w:asciiTheme="minorHAnsi" w:hAnsiTheme="minorHAnsi"/>
          <w:sz w:val="24"/>
          <w:szCs w:val="24"/>
          <w:lang w:val="pl-PL"/>
        </w:rPr>
      </w:pPr>
      <w:r w:rsidRPr="00194E8E">
        <w:rPr>
          <w:rFonts w:asciiTheme="minorHAnsi" w:hAnsiTheme="minorHAnsi"/>
          <w:sz w:val="24"/>
          <w:szCs w:val="24"/>
          <w:lang w:val="pl-PL"/>
        </w:rPr>
        <w:t xml:space="preserve">Komunikacja otrzymana w dniu 16 września 2021 r. </w:t>
      </w:r>
      <w:r w:rsidR="002D69D6">
        <w:rPr>
          <w:rFonts w:asciiTheme="minorHAnsi" w:hAnsiTheme="minorHAnsi"/>
          <w:sz w:val="24"/>
          <w:szCs w:val="24"/>
          <w:lang w:val="pl-PL"/>
        </w:rPr>
        <w:t>dot</w:t>
      </w:r>
      <w:r w:rsidRPr="00194E8E">
        <w:rPr>
          <w:rFonts w:asciiTheme="minorHAnsi" w:hAnsiTheme="minorHAnsi"/>
          <w:sz w:val="24"/>
          <w:szCs w:val="24"/>
          <w:lang w:val="pl-PL"/>
        </w:rPr>
        <w:t xml:space="preserve">. wykonania wyroku </w:t>
      </w:r>
      <w:r w:rsidRPr="00194E8E">
        <w:rPr>
          <w:rFonts w:asciiTheme="minorHAnsi" w:hAnsiTheme="minorHAnsi"/>
          <w:i/>
          <w:sz w:val="24"/>
          <w:szCs w:val="24"/>
          <w:lang w:val="pl-PL"/>
        </w:rPr>
        <w:t>Burża p. Polsce</w:t>
      </w:r>
      <w:r w:rsidRPr="00194E8E">
        <w:rPr>
          <w:rFonts w:asciiTheme="minorHAnsi" w:hAnsiTheme="minorHAnsi"/>
          <w:sz w:val="24"/>
          <w:szCs w:val="24"/>
          <w:lang w:val="pl-PL"/>
        </w:rPr>
        <w:t xml:space="preserve"> (skarga nr 15333/16), przesłana do Komitetu Ministrów RE przez Naczelną </w:t>
      </w:r>
      <w:r w:rsidR="003C377F" w:rsidRPr="00194E8E">
        <w:rPr>
          <w:rFonts w:asciiTheme="minorHAnsi" w:hAnsiTheme="minorHAnsi"/>
          <w:sz w:val="24"/>
          <w:szCs w:val="24"/>
          <w:lang w:val="pl-PL"/>
        </w:rPr>
        <w:t>R</w:t>
      </w:r>
      <w:r w:rsidRPr="00194E8E">
        <w:rPr>
          <w:rFonts w:asciiTheme="minorHAnsi" w:hAnsiTheme="minorHAnsi"/>
          <w:sz w:val="24"/>
          <w:szCs w:val="24"/>
          <w:lang w:val="pl-PL"/>
        </w:rPr>
        <w:t xml:space="preserve">adę Adwokacką (komunikacja dokument </w:t>
      </w:r>
      <w:r w:rsidR="00C20138" w:rsidRPr="00194E8E">
        <w:rPr>
          <w:rStyle w:val="pdfoutput12"/>
          <w:rFonts w:asciiTheme="minorHAnsi" w:hAnsiTheme="minorHAnsi"/>
          <w:color w:val="000000"/>
          <w:sz w:val="24"/>
          <w:szCs w:val="24"/>
          <w:shd w:val="clear" w:color="auto" w:fill="FFFFFF"/>
          <w:lang w:val="pl-PL"/>
        </w:rPr>
        <w:t>DH-DD(2021</w:t>
      </w:r>
      <w:r w:rsidR="00C20138" w:rsidRPr="00194E8E">
        <w:rPr>
          <w:rStyle w:val="pdfoutput14"/>
          <w:rFonts w:asciiTheme="minorHAnsi" w:hAnsiTheme="minorHAnsi"/>
          <w:color w:val="000000"/>
          <w:spacing w:val="-2"/>
          <w:sz w:val="24"/>
          <w:szCs w:val="24"/>
          <w:shd w:val="clear" w:color="auto" w:fill="FFFFFF"/>
          <w:lang w:val="pl-PL"/>
        </w:rPr>
        <w:t>)954 i</w:t>
      </w:r>
      <w:r w:rsidR="00CD4849" w:rsidRPr="00194E8E">
        <w:rPr>
          <w:rFonts w:asciiTheme="minorHAnsi" w:hAnsiTheme="minorHAnsi"/>
          <w:sz w:val="24"/>
          <w:szCs w:val="24"/>
          <w:lang w:val="pl-PL"/>
        </w:rPr>
        <w:t xml:space="preserve"> odpowiedź R</w:t>
      </w:r>
      <w:r w:rsidRPr="00194E8E">
        <w:rPr>
          <w:rFonts w:asciiTheme="minorHAnsi" w:hAnsiTheme="minorHAnsi"/>
          <w:sz w:val="24"/>
          <w:szCs w:val="24"/>
          <w:lang w:val="pl-PL"/>
        </w:rPr>
        <w:t>ządu dokument</w:t>
      </w:r>
      <w:r w:rsidR="00C20138" w:rsidRPr="00194E8E">
        <w:rPr>
          <w:rStyle w:val="Nagwek1Znak"/>
          <w:rFonts w:asciiTheme="minorHAnsi" w:hAnsiTheme="minorHAnsi"/>
          <w:color w:val="000000"/>
          <w:shd w:val="clear" w:color="auto" w:fill="FFFFFF"/>
          <w:lang w:val="pl-PL"/>
        </w:rPr>
        <w:t xml:space="preserve"> </w:t>
      </w:r>
      <w:r w:rsidR="00C20138" w:rsidRPr="00194E8E">
        <w:rPr>
          <w:rStyle w:val="pdfoutput12"/>
          <w:rFonts w:asciiTheme="minorHAnsi" w:hAnsiTheme="minorHAnsi"/>
          <w:color w:val="000000"/>
          <w:sz w:val="24"/>
          <w:szCs w:val="24"/>
          <w:shd w:val="clear" w:color="auto" w:fill="FFFFFF"/>
          <w:lang w:val="pl-PL"/>
        </w:rPr>
        <w:t>DH-DD(2021</w:t>
      </w:r>
      <w:r w:rsidR="00C20138" w:rsidRPr="00194E8E">
        <w:rPr>
          <w:rStyle w:val="pdfoutput14"/>
          <w:rFonts w:asciiTheme="minorHAnsi" w:hAnsiTheme="minorHAnsi"/>
          <w:color w:val="000000"/>
          <w:spacing w:val="-2"/>
          <w:sz w:val="24"/>
          <w:szCs w:val="24"/>
          <w:shd w:val="clear" w:color="auto" w:fill="FFFFFF"/>
          <w:lang w:val="pl-PL"/>
        </w:rPr>
        <w:t>)1072</w:t>
      </w:r>
      <w:r w:rsidRPr="00194E8E">
        <w:rPr>
          <w:rFonts w:asciiTheme="minorHAnsi" w:hAnsiTheme="minorHAnsi"/>
          <w:sz w:val="24"/>
          <w:szCs w:val="24"/>
          <w:lang w:val="pl-PL"/>
        </w:rPr>
        <w:t>)</w:t>
      </w:r>
      <w:r w:rsidR="003C377F" w:rsidRPr="00194E8E">
        <w:rPr>
          <w:rFonts w:asciiTheme="minorHAnsi" w:hAnsiTheme="minorHAnsi"/>
          <w:sz w:val="24"/>
          <w:szCs w:val="24"/>
          <w:lang w:val="pl-PL"/>
        </w:rPr>
        <w:t>,</w:t>
      </w:r>
      <w:r w:rsidRPr="00194E8E">
        <w:rPr>
          <w:rFonts w:asciiTheme="minorHAnsi" w:hAnsiTheme="minorHAnsi"/>
          <w:sz w:val="24"/>
          <w:szCs w:val="24"/>
          <w:lang w:val="pl-PL"/>
        </w:rPr>
        <w:t xml:space="preserve"> </w:t>
      </w:r>
    </w:p>
    <w:p w:rsidR="0047689B" w:rsidRPr="00194E8E" w:rsidRDefault="0047689B" w:rsidP="002D69D6">
      <w:pPr>
        <w:pStyle w:val="Akapitzlist"/>
        <w:numPr>
          <w:ilvl w:val="0"/>
          <w:numId w:val="30"/>
        </w:numPr>
        <w:spacing w:after="120" w:line="240" w:lineRule="auto"/>
        <w:ind w:left="709" w:hanging="425"/>
        <w:jc w:val="both"/>
        <w:rPr>
          <w:rFonts w:asciiTheme="minorHAnsi" w:hAnsiTheme="minorHAnsi"/>
          <w:sz w:val="24"/>
          <w:szCs w:val="24"/>
          <w:lang w:val="pl-PL"/>
        </w:rPr>
      </w:pPr>
      <w:r w:rsidRPr="00194E8E">
        <w:rPr>
          <w:rFonts w:asciiTheme="minorHAnsi" w:hAnsiTheme="minorHAnsi"/>
          <w:sz w:val="24"/>
          <w:szCs w:val="24"/>
          <w:lang w:val="pl-PL"/>
        </w:rPr>
        <w:t xml:space="preserve">Komunikacja otrzymana w dniu </w:t>
      </w:r>
      <w:r w:rsidR="003C377F" w:rsidRPr="00194E8E">
        <w:rPr>
          <w:rFonts w:asciiTheme="minorHAnsi" w:hAnsiTheme="minorHAnsi"/>
          <w:sz w:val="24"/>
          <w:szCs w:val="24"/>
          <w:lang w:val="pl-PL"/>
        </w:rPr>
        <w:t xml:space="preserve">22 października </w:t>
      </w:r>
      <w:r w:rsidRPr="00194E8E">
        <w:rPr>
          <w:rFonts w:asciiTheme="minorHAnsi" w:hAnsiTheme="minorHAnsi"/>
          <w:sz w:val="24"/>
          <w:szCs w:val="24"/>
          <w:lang w:val="pl-PL"/>
        </w:rPr>
        <w:t xml:space="preserve">2021 r. </w:t>
      </w:r>
      <w:r w:rsidR="002D69D6">
        <w:rPr>
          <w:rFonts w:asciiTheme="minorHAnsi" w:hAnsiTheme="minorHAnsi"/>
          <w:sz w:val="24"/>
          <w:szCs w:val="24"/>
          <w:lang w:val="pl-PL"/>
        </w:rPr>
        <w:t>dot</w:t>
      </w:r>
      <w:r w:rsidRPr="00194E8E">
        <w:rPr>
          <w:rFonts w:asciiTheme="minorHAnsi" w:hAnsiTheme="minorHAnsi"/>
          <w:sz w:val="24"/>
          <w:szCs w:val="24"/>
          <w:lang w:val="pl-PL"/>
        </w:rPr>
        <w:t xml:space="preserve">. wykonania wyroków ws. </w:t>
      </w:r>
      <w:r w:rsidRPr="00194E8E">
        <w:rPr>
          <w:rFonts w:asciiTheme="minorHAnsi" w:hAnsiTheme="minorHAnsi"/>
          <w:i/>
          <w:sz w:val="24"/>
          <w:szCs w:val="24"/>
          <w:lang w:val="pl-PL"/>
        </w:rPr>
        <w:t>P. i S. p. Polsce</w:t>
      </w:r>
      <w:r w:rsidRPr="00194E8E">
        <w:rPr>
          <w:rFonts w:asciiTheme="minorHAnsi" w:hAnsiTheme="minorHAnsi"/>
          <w:sz w:val="24"/>
          <w:szCs w:val="24"/>
          <w:lang w:val="pl-PL"/>
        </w:rPr>
        <w:t xml:space="preserve"> (skarga nr 57375/08), </w:t>
      </w:r>
      <w:r w:rsidRPr="00194E8E">
        <w:rPr>
          <w:rFonts w:asciiTheme="minorHAnsi" w:hAnsiTheme="minorHAnsi"/>
          <w:i/>
          <w:sz w:val="24"/>
          <w:szCs w:val="24"/>
          <w:lang w:val="pl-PL"/>
        </w:rPr>
        <w:t>R.R. p. Polsce</w:t>
      </w:r>
      <w:r w:rsidRPr="00194E8E">
        <w:rPr>
          <w:rFonts w:asciiTheme="minorHAnsi" w:hAnsiTheme="minorHAnsi"/>
          <w:sz w:val="24"/>
          <w:szCs w:val="24"/>
          <w:lang w:val="pl-PL"/>
        </w:rPr>
        <w:t xml:space="preserve"> (skarga nr 27617/04) oraz </w:t>
      </w:r>
      <w:r w:rsidRPr="00194E8E">
        <w:rPr>
          <w:rFonts w:asciiTheme="minorHAnsi" w:hAnsiTheme="minorHAnsi"/>
          <w:i/>
          <w:sz w:val="24"/>
          <w:szCs w:val="24"/>
          <w:lang w:val="pl-PL"/>
        </w:rPr>
        <w:t>Tysiąc p. Polsce</w:t>
      </w:r>
      <w:r w:rsidRPr="00194E8E">
        <w:rPr>
          <w:rFonts w:asciiTheme="minorHAnsi" w:hAnsiTheme="minorHAnsi"/>
          <w:sz w:val="24"/>
          <w:szCs w:val="24"/>
          <w:lang w:val="pl-PL"/>
        </w:rPr>
        <w:t xml:space="preserve"> (skarga nr 5410/03)</w:t>
      </w:r>
      <w:r w:rsidR="005A00BF" w:rsidRPr="00194E8E">
        <w:rPr>
          <w:rFonts w:asciiTheme="minorHAnsi" w:hAnsiTheme="minorHAnsi"/>
          <w:sz w:val="24"/>
          <w:szCs w:val="24"/>
          <w:lang w:val="pl-PL"/>
        </w:rPr>
        <w:t>,</w:t>
      </w:r>
      <w:r w:rsidRPr="00194E8E">
        <w:rPr>
          <w:rFonts w:asciiTheme="minorHAnsi" w:hAnsiTheme="minorHAnsi"/>
          <w:sz w:val="24"/>
          <w:szCs w:val="24"/>
          <w:lang w:val="pl-PL"/>
        </w:rPr>
        <w:t xml:space="preserve"> przesłana do Komitetu Ministrów RE przez Centrum Praw Reprodukcyjnych i Federację na rzecz Kobiet i Planowania Rodziny (komunikacja dokument DH-DD(2021)</w:t>
      </w:r>
      <w:r w:rsidR="003C377F" w:rsidRPr="00194E8E">
        <w:rPr>
          <w:rFonts w:asciiTheme="minorHAnsi" w:hAnsiTheme="minorHAnsi"/>
          <w:sz w:val="24"/>
          <w:szCs w:val="24"/>
          <w:lang w:val="pl-PL"/>
        </w:rPr>
        <w:t>1139</w:t>
      </w:r>
      <w:r w:rsidRPr="00194E8E">
        <w:rPr>
          <w:rFonts w:asciiTheme="minorHAnsi" w:hAnsiTheme="minorHAnsi"/>
          <w:sz w:val="24"/>
          <w:szCs w:val="24"/>
          <w:lang w:val="pl-PL"/>
        </w:rPr>
        <w:t xml:space="preserve"> i odpowiedź Rządu DH-DD(2021)1299</w:t>
      </w:r>
      <w:r w:rsidR="000F4A87" w:rsidRPr="00194E8E">
        <w:rPr>
          <w:rFonts w:asciiTheme="minorHAnsi" w:hAnsiTheme="minorHAnsi"/>
          <w:sz w:val="24"/>
          <w:szCs w:val="24"/>
          <w:lang w:val="pl-PL"/>
        </w:rPr>
        <w:t>)</w:t>
      </w:r>
      <w:r w:rsidR="003C377F" w:rsidRPr="00194E8E">
        <w:rPr>
          <w:rFonts w:asciiTheme="minorHAnsi" w:hAnsiTheme="minorHAnsi"/>
          <w:sz w:val="24"/>
          <w:szCs w:val="24"/>
          <w:lang w:val="pl-PL"/>
        </w:rPr>
        <w:t>,</w:t>
      </w:r>
    </w:p>
    <w:p w:rsidR="0041302A" w:rsidRPr="00194E8E" w:rsidRDefault="0041302A" w:rsidP="002D69D6">
      <w:pPr>
        <w:pStyle w:val="Akapitzlist"/>
        <w:numPr>
          <w:ilvl w:val="0"/>
          <w:numId w:val="30"/>
        </w:numPr>
        <w:spacing w:after="120" w:line="240" w:lineRule="auto"/>
        <w:ind w:left="709" w:hanging="425"/>
        <w:jc w:val="both"/>
        <w:rPr>
          <w:rFonts w:asciiTheme="minorHAnsi" w:hAnsiTheme="minorHAnsi"/>
          <w:lang w:val="pl-PL"/>
        </w:rPr>
      </w:pPr>
      <w:r w:rsidRPr="00194E8E">
        <w:rPr>
          <w:rFonts w:asciiTheme="minorHAnsi" w:hAnsiTheme="minorHAnsi"/>
          <w:sz w:val="24"/>
          <w:szCs w:val="24"/>
          <w:lang w:val="pl-PL"/>
        </w:rPr>
        <w:t xml:space="preserve">Komunikacja otrzymana w dniu 1 </w:t>
      </w:r>
      <w:r w:rsidR="00C20138" w:rsidRPr="00194E8E">
        <w:rPr>
          <w:rFonts w:asciiTheme="minorHAnsi" w:hAnsiTheme="minorHAnsi"/>
          <w:sz w:val="24"/>
          <w:szCs w:val="24"/>
          <w:lang w:val="pl-PL"/>
        </w:rPr>
        <w:t>grudnia 2</w:t>
      </w:r>
      <w:r w:rsidRPr="00194E8E">
        <w:rPr>
          <w:rFonts w:asciiTheme="minorHAnsi" w:hAnsiTheme="minorHAnsi"/>
          <w:sz w:val="24"/>
          <w:szCs w:val="24"/>
          <w:lang w:val="pl-PL"/>
        </w:rPr>
        <w:t xml:space="preserve">021 r. </w:t>
      </w:r>
      <w:r w:rsidR="002D69D6">
        <w:rPr>
          <w:rFonts w:asciiTheme="minorHAnsi" w:hAnsiTheme="minorHAnsi"/>
          <w:sz w:val="24"/>
          <w:szCs w:val="24"/>
          <w:lang w:val="pl-PL"/>
        </w:rPr>
        <w:t>dot</w:t>
      </w:r>
      <w:r w:rsidRPr="00194E8E">
        <w:rPr>
          <w:rFonts w:asciiTheme="minorHAnsi" w:hAnsiTheme="minorHAnsi"/>
          <w:sz w:val="24"/>
          <w:szCs w:val="24"/>
          <w:lang w:val="pl-PL"/>
        </w:rPr>
        <w:t xml:space="preserve">. wykonania wyroków ws. </w:t>
      </w:r>
      <w:r w:rsidRPr="00194E8E">
        <w:rPr>
          <w:rFonts w:asciiTheme="minorHAnsi" w:hAnsiTheme="minorHAnsi"/>
          <w:i/>
          <w:sz w:val="24"/>
          <w:szCs w:val="24"/>
          <w:lang w:val="pl-PL"/>
        </w:rPr>
        <w:t>P. i S. p. Polsce</w:t>
      </w:r>
      <w:r w:rsidRPr="00194E8E">
        <w:rPr>
          <w:rFonts w:asciiTheme="minorHAnsi" w:hAnsiTheme="minorHAnsi"/>
          <w:sz w:val="24"/>
          <w:szCs w:val="24"/>
          <w:lang w:val="pl-PL"/>
        </w:rPr>
        <w:t xml:space="preserve"> (skarga nr 57375/08), </w:t>
      </w:r>
      <w:r w:rsidRPr="00194E8E">
        <w:rPr>
          <w:rFonts w:asciiTheme="minorHAnsi" w:hAnsiTheme="minorHAnsi"/>
          <w:i/>
          <w:sz w:val="24"/>
          <w:szCs w:val="24"/>
          <w:lang w:val="pl-PL"/>
        </w:rPr>
        <w:t>R.R. p. Polsce</w:t>
      </w:r>
      <w:r w:rsidRPr="00194E8E">
        <w:rPr>
          <w:rFonts w:asciiTheme="minorHAnsi" w:hAnsiTheme="minorHAnsi"/>
          <w:sz w:val="24"/>
          <w:szCs w:val="24"/>
          <w:lang w:val="pl-PL"/>
        </w:rPr>
        <w:t xml:space="preserve"> (skarga nr 27617/04) oraz </w:t>
      </w:r>
      <w:r w:rsidRPr="00194E8E">
        <w:rPr>
          <w:rFonts w:asciiTheme="minorHAnsi" w:hAnsiTheme="minorHAnsi"/>
          <w:i/>
          <w:sz w:val="24"/>
          <w:szCs w:val="24"/>
          <w:lang w:val="pl-PL"/>
        </w:rPr>
        <w:t>Tysiąc p. Polsce</w:t>
      </w:r>
      <w:r w:rsidRPr="00194E8E">
        <w:rPr>
          <w:rFonts w:asciiTheme="minorHAnsi" w:hAnsiTheme="minorHAnsi"/>
          <w:sz w:val="24"/>
          <w:szCs w:val="24"/>
          <w:lang w:val="pl-PL"/>
        </w:rPr>
        <w:t xml:space="preserve"> (skarga nr 5410/03)</w:t>
      </w:r>
      <w:r w:rsidR="005A00BF" w:rsidRPr="00194E8E">
        <w:rPr>
          <w:rFonts w:asciiTheme="minorHAnsi" w:hAnsiTheme="minorHAnsi"/>
          <w:sz w:val="24"/>
          <w:szCs w:val="24"/>
          <w:lang w:val="pl-PL"/>
        </w:rPr>
        <w:t>,</w:t>
      </w:r>
      <w:r w:rsidRPr="00194E8E">
        <w:rPr>
          <w:rFonts w:asciiTheme="minorHAnsi" w:hAnsiTheme="minorHAnsi"/>
          <w:sz w:val="24"/>
          <w:szCs w:val="24"/>
          <w:lang w:val="pl-PL"/>
        </w:rPr>
        <w:t xml:space="preserve"> przesłana do Komitetu Ministrów RE przez Helsińską Fundację Praw Człowieka</w:t>
      </w:r>
      <w:r w:rsidR="003C377F" w:rsidRPr="00194E8E">
        <w:rPr>
          <w:rFonts w:asciiTheme="minorHAnsi" w:hAnsiTheme="minorHAnsi"/>
          <w:sz w:val="24"/>
          <w:szCs w:val="24"/>
          <w:lang w:val="pl-PL"/>
        </w:rPr>
        <w:t xml:space="preserve"> (komunikacja</w:t>
      </w:r>
      <w:r w:rsidR="0047689B" w:rsidRPr="00194E8E">
        <w:rPr>
          <w:rFonts w:asciiTheme="minorHAnsi" w:hAnsiTheme="minorHAnsi"/>
          <w:sz w:val="24"/>
          <w:szCs w:val="24"/>
          <w:lang w:val="pl-PL"/>
        </w:rPr>
        <w:t xml:space="preserve"> i odpowiedź Rz</w:t>
      </w:r>
      <w:r w:rsidR="003C377F" w:rsidRPr="00194E8E">
        <w:rPr>
          <w:rFonts w:asciiTheme="minorHAnsi" w:hAnsiTheme="minorHAnsi"/>
          <w:sz w:val="24"/>
          <w:szCs w:val="24"/>
          <w:lang w:val="pl-PL"/>
        </w:rPr>
        <w:t>ą</w:t>
      </w:r>
      <w:r w:rsidR="0047689B" w:rsidRPr="00194E8E">
        <w:rPr>
          <w:rFonts w:asciiTheme="minorHAnsi" w:hAnsiTheme="minorHAnsi"/>
          <w:sz w:val="24"/>
          <w:szCs w:val="24"/>
          <w:lang w:val="pl-PL"/>
        </w:rPr>
        <w:t>du dokument DH-DD(2021)1</w:t>
      </w:r>
      <w:r w:rsidR="003C377F" w:rsidRPr="00194E8E">
        <w:rPr>
          <w:rFonts w:asciiTheme="minorHAnsi" w:hAnsiTheme="minorHAnsi"/>
          <w:sz w:val="24"/>
          <w:szCs w:val="24"/>
          <w:lang w:val="pl-PL"/>
        </w:rPr>
        <w:t>337-rev</w:t>
      </w:r>
      <w:r w:rsidR="0047689B" w:rsidRPr="00194E8E">
        <w:rPr>
          <w:rFonts w:asciiTheme="minorHAnsi" w:hAnsiTheme="minorHAnsi"/>
          <w:sz w:val="24"/>
          <w:szCs w:val="24"/>
          <w:lang w:val="pl-PL"/>
        </w:rPr>
        <w:t>).</w:t>
      </w:r>
      <w:r w:rsidR="009C7BA7" w:rsidRPr="00194E8E">
        <w:rPr>
          <w:rFonts w:asciiTheme="minorHAnsi" w:hAnsiTheme="minorHAnsi"/>
          <w:sz w:val="24"/>
          <w:szCs w:val="24"/>
          <w:lang w:val="pl-PL"/>
        </w:rPr>
        <w:t xml:space="preserve"> </w:t>
      </w:r>
    </w:p>
    <w:p w:rsidR="00DD0730" w:rsidRPr="00194E8E" w:rsidRDefault="00DD0730" w:rsidP="002D69D6">
      <w:pPr>
        <w:pStyle w:val="Nagwek1"/>
        <w:spacing w:before="240" w:after="120"/>
        <w:ind w:left="709" w:hanging="425"/>
        <w:rPr>
          <w:rFonts w:asciiTheme="minorHAnsi" w:hAnsiTheme="minorHAnsi"/>
          <w:lang w:val="pl-PL"/>
        </w:rPr>
      </w:pPr>
      <w:bookmarkStart w:id="6" w:name="_Toc112058304"/>
      <w:r w:rsidRPr="00194E8E">
        <w:rPr>
          <w:rFonts w:asciiTheme="minorHAnsi" w:hAnsiTheme="minorHAnsi"/>
          <w:lang w:val="pl-PL"/>
        </w:rPr>
        <w:t>Działalność międzyresortowego Zespołu do spraw Europejskiego Trybunału Praw Człowieka w 20</w:t>
      </w:r>
      <w:r w:rsidR="00F314BC" w:rsidRPr="00194E8E">
        <w:rPr>
          <w:rFonts w:asciiTheme="minorHAnsi" w:hAnsiTheme="minorHAnsi"/>
          <w:lang w:val="pl-PL"/>
        </w:rPr>
        <w:t>2</w:t>
      </w:r>
      <w:r w:rsidR="002748FB" w:rsidRPr="00194E8E">
        <w:rPr>
          <w:rFonts w:asciiTheme="minorHAnsi" w:hAnsiTheme="minorHAnsi"/>
          <w:lang w:val="pl-PL"/>
        </w:rPr>
        <w:t>1</w:t>
      </w:r>
      <w:r w:rsidRPr="00194E8E">
        <w:rPr>
          <w:rFonts w:asciiTheme="minorHAnsi" w:hAnsiTheme="minorHAnsi"/>
          <w:lang w:val="pl-PL"/>
        </w:rPr>
        <w:t xml:space="preserve"> r.</w:t>
      </w:r>
      <w:bookmarkEnd w:id="6"/>
    </w:p>
    <w:p w:rsidR="00FB1DED" w:rsidRPr="00194E8E" w:rsidRDefault="00DD0730" w:rsidP="002D69D6">
      <w:pPr>
        <w:spacing w:after="120"/>
        <w:jc w:val="both"/>
        <w:rPr>
          <w:rFonts w:asciiTheme="minorHAnsi" w:hAnsiTheme="minorHAnsi"/>
        </w:rPr>
      </w:pPr>
      <w:r w:rsidRPr="00194E8E">
        <w:rPr>
          <w:rFonts w:asciiTheme="minorHAnsi" w:hAnsiTheme="minorHAnsi"/>
        </w:rPr>
        <w:t xml:space="preserve">Międzyresortowy Zespół do spraw Europejskiego Trybunału Praw Człowieka w okresie sprawozdawczym </w:t>
      </w:r>
      <w:r w:rsidR="00426319" w:rsidRPr="00194E8E">
        <w:rPr>
          <w:rFonts w:asciiTheme="minorHAnsi" w:hAnsiTheme="minorHAnsi"/>
        </w:rPr>
        <w:t xml:space="preserve">odbył </w:t>
      </w:r>
      <w:r w:rsidR="002748FB" w:rsidRPr="00194E8E">
        <w:rPr>
          <w:rFonts w:asciiTheme="minorHAnsi" w:hAnsiTheme="minorHAnsi"/>
        </w:rPr>
        <w:t>cztery</w:t>
      </w:r>
      <w:r w:rsidR="00426319" w:rsidRPr="00194E8E">
        <w:rPr>
          <w:rFonts w:asciiTheme="minorHAnsi" w:hAnsiTheme="minorHAnsi"/>
        </w:rPr>
        <w:t xml:space="preserve"> posiedzenia</w:t>
      </w:r>
      <w:r w:rsidR="00FB1DED" w:rsidRPr="00194E8E">
        <w:rPr>
          <w:rFonts w:asciiTheme="minorHAnsi" w:hAnsiTheme="minorHAnsi"/>
        </w:rPr>
        <w:t xml:space="preserve"> plenarne</w:t>
      </w:r>
      <w:r w:rsidR="00426319" w:rsidRPr="00194E8E">
        <w:rPr>
          <w:rFonts w:asciiTheme="minorHAnsi" w:hAnsiTheme="minorHAnsi"/>
        </w:rPr>
        <w:t xml:space="preserve"> </w:t>
      </w:r>
      <w:r w:rsidR="00F314BC" w:rsidRPr="00194E8E">
        <w:rPr>
          <w:rFonts w:asciiTheme="minorHAnsi" w:hAnsiTheme="minorHAnsi"/>
        </w:rPr>
        <w:t xml:space="preserve">(w dniach </w:t>
      </w:r>
      <w:r w:rsidR="002748FB" w:rsidRPr="00194E8E">
        <w:rPr>
          <w:rFonts w:asciiTheme="minorHAnsi" w:hAnsiTheme="minorHAnsi"/>
        </w:rPr>
        <w:t xml:space="preserve">29 marca, </w:t>
      </w:r>
      <w:r w:rsidR="00426319" w:rsidRPr="00194E8E">
        <w:rPr>
          <w:rFonts w:asciiTheme="minorHAnsi" w:hAnsiTheme="minorHAnsi"/>
        </w:rPr>
        <w:t>2</w:t>
      </w:r>
      <w:r w:rsidR="002748FB" w:rsidRPr="00194E8E">
        <w:rPr>
          <w:rFonts w:asciiTheme="minorHAnsi" w:hAnsiTheme="minorHAnsi"/>
        </w:rPr>
        <w:t>3</w:t>
      </w:r>
      <w:r w:rsidRPr="00194E8E">
        <w:rPr>
          <w:rFonts w:asciiTheme="minorHAnsi" w:hAnsiTheme="minorHAnsi"/>
        </w:rPr>
        <w:t xml:space="preserve"> czerwca, </w:t>
      </w:r>
      <w:r w:rsidR="00F314BC" w:rsidRPr="00194E8E">
        <w:rPr>
          <w:rFonts w:asciiTheme="minorHAnsi" w:hAnsiTheme="minorHAnsi"/>
        </w:rPr>
        <w:t>28</w:t>
      </w:r>
      <w:r w:rsidR="002748FB" w:rsidRPr="00194E8E">
        <w:rPr>
          <w:rFonts w:asciiTheme="minorHAnsi" w:hAnsiTheme="minorHAnsi"/>
        </w:rPr>
        <w:t xml:space="preserve"> września i 21</w:t>
      </w:r>
      <w:r w:rsidRPr="00194E8E">
        <w:rPr>
          <w:rFonts w:asciiTheme="minorHAnsi" w:hAnsiTheme="minorHAnsi"/>
        </w:rPr>
        <w:t xml:space="preserve"> grudnia</w:t>
      </w:r>
      <w:r w:rsidR="00426319" w:rsidRPr="00194E8E">
        <w:rPr>
          <w:rFonts w:asciiTheme="minorHAnsi" w:hAnsiTheme="minorHAnsi"/>
        </w:rPr>
        <w:t xml:space="preserve"> 202</w:t>
      </w:r>
      <w:r w:rsidR="002748FB" w:rsidRPr="00194E8E">
        <w:rPr>
          <w:rFonts w:asciiTheme="minorHAnsi" w:hAnsiTheme="minorHAnsi"/>
        </w:rPr>
        <w:t>1</w:t>
      </w:r>
      <w:r w:rsidR="00426319" w:rsidRPr="00194E8E">
        <w:rPr>
          <w:rFonts w:asciiTheme="minorHAnsi" w:hAnsiTheme="minorHAnsi"/>
        </w:rPr>
        <w:t xml:space="preserve"> r.</w:t>
      </w:r>
      <w:r w:rsidRPr="00194E8E">
        <w:rPr>
          <w:rFonts w:asciiTheme="minorHAnsi" w:hAnsiTheme="minorHAnsi"/>
        </w:rPr>
        <w:t>)</w:t>
      </w:r>
      <w:r w:rsidR="009C6EFC" w:rsidRPr="00194E8E">
        <w:rPr>
          <w:rFonts w:asciiTheme="minorHAnsi" w:hAnsiTheme="minorHAnsi"/>
        </w:rPr>
        <w:t xml:space="preserve">. </w:t>
      </w:r>
      <w:r w:rsidR="002748FB" w:rsidRPr="00194E8E">
        <w:rPr>
          <w:rFonts w:asciiTheme="minorHAnsi" w:hAnsiTheme="minorHAnsi"/>
        </w:rPr>
        <w:t>P</w:t>
      </w:r>
      <w:r w:rsidR="00FB1DED" w:rsidRPr="00194E8E">
        <w:rPr>
          <w:rFonts w:asciiTheme="minorHAnsi" w:hAnsiTheme="minorHAnsi"/>
        </w:rPr>
        <w:t>osiedzenia Zespołu odbyły się z wykorzystaniem środków umożliwiających porozumiewanie się na odległość. Sytuacja epidemiologiczna w kraju nie spowodowała zawieszenia prac Zespołu</w:t>
      </w:r>
      <w:r w:rsidR="002748FB" w:rsidRPr="00194E8E">
        <w:rPr>
          <w:rFonts w:asciiTheme="minorHAnsi" w:hAnsiTheme="minorHAnsi"/>
        </w:rPr>
        <w:t xml:space="preserve">. </w:t>
      </w:r>
      <w:r w:rsidR="00FB1DED" w:rsidRPr="00194E8E">
        <w:rPr>
          <w:rFonts w:asciiTheme="minorHAnsi" w:hAnsiTheme="minorHAnsi"/>
        </w:rPr>
        <w:t xml:space="preserve">Zespół </w:t>
      </w:r>
      <w:r w:rsidR="00482F76" w:rsidRPr="00482F76">
        <w:rPr>
          <w:rFonts w:asciiTheme="minorHAnsi" w:hAnsiTheme="minorHAnsi"/>
        </w:rPr>
        <w:t xml:space="preserve">ds. ETPC </w:t>
      </w:r>
      <w:r w:rsidR="00FB1DED" w:rsidRPr="00194E8E">
        <w:rPr>
          <w:rFonts w:asciiTheme="minorHAnsi" w:hAnsiTheme="minorHAnsi"/>
        </w:rPr>
        <w:t>realizował swoje zadania przewidziane w Zarządzeniu nr 73 Prezesa Rady Ministrów z dnia 19 lipca 2007 r. w sprawie utworzenia Zespołu ds. Europejskiego Trybunału Praw Człowieka.</w:t>
      </w:r>
    </w:p>
    <w:p w:rsidR="001B2159" w:rsidRPr="00194E8E" w:rsidRDefault="009C6EFC" w:rsidP="002D69D6">
      <w:pPr>
        <w:spacing w:after="120"/>
        <w:jc w:val="both"/>
        <w:rPr>
          <w:rFonts w:asciiTheme="minorHAnsi" w:hAnsiTheme="minorHAnsi"/>
        </w:rPr>
      </w:pPr>
      <w:r w:rsidRPr="00194E8E">
        <w:rPr>
          <w:rFonts w:asciiTheme="minorHAnsi" w:hAnsiTheme="minorHAnsi"/>
        </w:rPr>
        <w:t>Ponadto</w:t>
      </w:r>
      <w:r w:rsidR="00E11928" w:rsidRPr="00194E8E">
        <w:rPr>
          <w:rFonts w:asciiTheme="minorHAnsi" w:hAnsiTheme="minorHAnsi"/>
        </w:rPr>
        <w:t xml:space="preserve"> w 202</w:t>
      </w:r>
      <w:r w:rsidR="002748FB" w:rsidRPr="00194E8E">
        <w:rPr>
          <w:rFonts w:asciiTheme="minorHAnsi" w:hAnsiTheme="minorHAnsi"/>
        </w:rPr>
        <w:t>1</w:t>
      </w:r>
      <w:r w:rsidR="00E11928" w:rsidRPr="00194E8E">
        <w:rPr>
          <w:rFonts w:asciiTheme="minorHAnsi" w:hAnsiTheme="minorHAnsi"/>
        </w:rPr>
        <w:t xml:space="preserve"> r.</w:t>
      </w:r>
      <w:r w:rsidRPr="00194E8E">
        <w:rPr>
          <w:rFonts w:asciiTheme="minorHAnsi" w:hAnsiTheme="minorHAnsi"/>
        </w:rPr>
        <w:t xml:space="preserve"> odbyło</w:t>
      </w:r>
      <w:r w:rsidR="004C1D83" w:rsidRPr="00194E8E">
        <w:rPr>
          <w:rFonts w:asciiTheme="minorHAnsi" w:hAnsiTheme="minorHAnsi"/>
        </w:rPr>
        <w:t xml:space="preserve"> się</w:t>
      </w:r>
      <w:r w:rsidR="00DD0730" w:rsidRPr="00194E8E">
        <w:rPr>
          <w:rFonts w:asciiTheme="minorHAnsi" w:hAnsiTheme="minorHAnsi"/>
        </w:rPr>
        <w:t xml:space="preserve"> </w:t>
      </w:r>
      <w:r w:rsidR="00C13048" w:rsidRPr="00194E8E">
        <w:rPr>
          <w:rFonts w:asciiTheme="minorHAnsi" w:hAnsiTheme="minorHAnsi"/>
        </w:rPr>
        <w:t>pięć</w:t>
      </w:r>
      <w:r w:rsidR="00DD0730" w:rsidRPr="00194E8E">
        <w:rPr>
          <w:rFonts w:asciiTheme="minorHAnsi" w:hAnsiTheme="minorHAnsi"/>
        </w:rPr>
        <w:t xml:space="preserve"> posiedze</w:t>
      </w:r>
      <w:r w:rsidRPr="00194E8E">
        <w:rPr>
          <w:rFonts w:asciiTheme="minorHAnsi" w:hAnsiTheme="minorHAnsi"/>
        </w:rPr>
        <w:t>ń</w:t>
      </w:r>
      <w:r w:rsidR="00DD0730" w:rsidRPr="00194E8E">
        <w:rPr>
          <w:rFonts w:asciiTheme="minorHAnsi" w:hAnsiTheme="minorHAnsi"/>
        </w:rPr>
        <w:t xml:space="preserve"> grup robocz</w:t>
      </w:r>
      <w:r w:rsidR="004C1D83" w:rsidRPr="00194E8E">
        <w:rPr>
          <w:rFonts w:asciiTheme="minorHAnsi" w:hAnsiTheme="minorHAnsi"/>
        </w:rPr>
        <w:t xml:space="preserve">ych </w:t>
      </w:r>
      <w:r w:rsidR="00BD03E2" w:rsidRPr="00194E8E">
        <w:rPr>
          <w:rFonts w:asciiTheme="minorHAnsi" w:hAnsiTheme="minorHAnsi"/>
        </w:rPr>
        <w:t>Zespołu</w:t>
      </w:r>
      <w:r w:rsidRPr="00194E8E">
        <w:rPr>
          <w:rFonts w:asciiTheme="minorHAnsi" w:hAnsiTheme="minorHAnsi"/>
        </w:rPr>
        <w:t xml:space="preserve">: </w:t>
      </w:r>
    </w:p>
    <w:p w:rsidR="00791A7E" w:rsidRPr="00194E8E" w:rsidRDefault="00791A7E" w:rsidP="00673C49">
      <w:pPr>
        <w:pStyle w:val="Akapitzlist"/>
        <w:numPr>
          <w:ilvl w:val="0"/>
          <w:numId w:val="31"/>
        </w:numPr>
        <w:spacing w:after="120" w:line="240" w:lineRule="auto"/>
        <w:ind w:left="709" w:hanging="425"/>
        <w:jc w:val="both"/>
        <w:rPr>
          <w:rFonts w:asciiTheme="minorHAnsi" w:hAnsiTheme="minorHAnsi"/>
          <w:sz w:val="24"/>
          <w:szCs w:val="24"/>
          <w:lang w:val="pl-PL"/>
        </w:rPr>
      </w:pPr>
      <w:r w:rsidRPr="00194E8E">
        <w:rPr>
          <w:rFonts w:asciiTheme="minorHAnsi" w:hAnsiTheme="minorHAnsi"/>
          <w:sz w:val="24"/>
          <w:szCs w:val="24"/>
          <w:lang w:val="pl-PL"/>
        </w:rPr>
        <w:t xml:space="preserve">w dniu 12.07.2021 r.  - posiedzenie grupy roboczej Zespołu dotyczące </w:t>
      </w:r>
      <w:r w:rsidR="00673C49">
        <w:rPr>
          <w:rFonts w:asciiTheme="minorHAnsi" w:hAnsiTheme="minorHAnsi"/>
          <w:sz w:val="24"/>
          <w:szCs w:val="24"/>
          <w:lang w:val="pl-PL"/>
        </w:rPr>
        <w:t>wyroku</w:t>
      </w:r>
      <w:r w:rsidRPr="00194E8E">
        <w:rPr>
          <w:rFonts w:asciiTheme="minorHAnsi" w:hAnsiTheme="minorHAnsi"/>
          <w:sz w:val="24"/>
          <w:szCs w:val="24"/>
          <w:lang w:val="pl-PL"/>
        </w:rPr>
        <w:t xml:space="preserve"> </w:t>
      </w:r>
      <w:r w:rsidRPr="00194E8E">
        <w:rPr>
          <w:rFonts w:asciiTheme="minorHAnsi" w:hAnsiTheme="minorHAnsi"/>
          <w:i/>
          <w:sz w:val="24"/>
          <w:szCs w:val="24"/>
          <w:lang w:val="pl-PL"/>
        </w:rPr>
        <w:t>Potomski i Potomska p. Polsce</w:t>
      </w:r>
      <w:r w:rsidRPr="00194E8E">
        <w:rPr>
          <w:rFonts w:asciiTheme="minorHAnsi" w:hAnsiTheme="minorHAnsi"/>
          <w:sz w:val="24"/>
          <w:szCs w:val="24"/>
          <w:lang w:val="pl-PL"/>
        </w:rPr>
        <w:t xml:space="preserve">, </w:t>
      </w:r>
    </w:p>
    <w:p w:rsidR="00791A7E" w:rsidRPr="00194E8E" w:rsidRDefault="00791A7E" w:rsidP="00673C49">
      <w:pPr>
        <w:pStyle w:val="Akapitzlist"/>
        <w:numPr>
          <w:ilvl w:val="0"/>
          <w:numId w:val="31"/>
        </w:numPr>
        <w:spacing w:after="120" w:line="240" w:lineRule="auto"/>
        <w:ind w:left="709" w:hanging="425"/>
        <w:jc w:val="both"/>
        <w:rPr>
          <w:rFonts w:asciiTheme="minorHAnsi" w:hAnsiTheme="minorHAnsi"/>
          <w:sz w:val="24"/>
          <w:szCs w:val="24"/>
          <w:lang w:val="pl-PL"/>
        </w:rPr>
      </w:pPr>
      <w:r w:rsidRPr="00194E8E">
        <w:rPr>
          <w:rFonts w:asciiTheme="minorHAnsi" w:hAnsiTheme="minorHAnsi"/>
          <w:sz w:val="24"/>
          <w:szCs w:val="24"/>
          <w:lang w:val="pl-PL"/>
        </w:rPr>
        <w:t xml:space="preserve">w dniu 16.07.2021 r. - posiedzenie grupy roboczej Zespołu dotyczące skargi </w:t>
      </w:r>
      <w:r w:rsidRPr="00194E8E">
        <w:rPr>
          <w:rFonts w:asciiTheme="minorHAnsi" w:hAnsiTheme="minorHAnsi"/>
          <w:i/>
          <w:sz w:val="24"/>
          <w:szCs w:val="24"/>
          <w:lang w:val="pl-PL"/>
        </w:rPr>
        <w:t>Janusz Leszek Bieliński i 22 inne skargi p. Polsce</w:t>
      </w:r>
      <w:r w:rsidRPr="00194E8E">
        <w:rPr>
          <w:rFonts w:asciiTheme="minorHAnsi" w:hAnsiTheme="minorHAnsi"/>
          <w:sz w:val="24"/>
          <w:szCs w:val="24"/>
          <w:lang w:val="pl-PL"/>
        </w:rPr>
        <w:t xml:space="preserve">, </w:t>
      </w:r>
    </w:p>
    <w:p w:rsidR="00791A7E" w:rsidRPr="00194E8E" w:rsidRDefault="00791A7E" w:rsidP="00673C49">
      <w:pPr>
        <w:pStyle w:val="Akapitzlist"/>
        <w:numPr>
          <w:ilvl w:val="0"/>
          <w:numId w:val="31"/>
        </w:numPr>
        <w:spacing w:after="120" w:line="240" w:lineRule="auto"/>
        <w:ind w:left="709" w:hanging="425"/>
        <w:jc w:val="both"/>
        <w:rPr>
          <w:rFonts w:asciiTheme="minorHAnsi" w:hAnsiTheme="minorHAnsi"/>
          <w:sz w:val="24"/>
          <w:szCs w:val="24"/>
          <w:lang w:val="pl-PL"/>
        </w:rPr>
      </w:pPr>
      <w:r w:rsidRPr="00194E8E">
        <w:rPr>
          <w:rFonts w:asciiTheme="minorHAnsi" w:hAnsiTheme="minorHAnsi"/>
          <w:sz w:val="24"/>
          <w:szCs w:val="24"/>
          <w:lang w:val="pl-PL"/>
        </w:rPr>
        <w:t xml:space="preserve">w dniu 16.07.2021 r. - posiedzenie grupy roboczej Zespołu dotyczące wyroku w sprawie </w:t>
      </w:r>
      <w:r w:rsidRPr="00194E8E">
        <w:rPr>
          <w:rFonts w:asciiTheme="minorHAnsi" w:hAnsiTheme="minorHAnsi"/>
          <w:i/>
          <w:sz w:val="24"/>
          <w:szCs w:val="24"/>
          <w:lang w:val="pl-PL"/>
        </w:rPr>
        <w:t>Xero Flor w Polsce sp. z o.o. p. Polsce</w:t>
      </w:r>
      <w:r w:rsidRPr="00194E8E">
        <w:rPr>
          <w:rFonts w:asciiTheme="minorHAnsi" w:hAnsiTheme="minorHAnsi"/>
          <w:sz w:val="24"/>
          <w:szCs w:val="24"/>
          <w:lang w:val="pl-PL"/>
        </w:rPr>
        <w:t>,</w:t>
      </w:r>
    </w:p>
    <w:p w:rsidR="00791A7E" w:rsidRPr="00194E8E" w:rsidRDefault="00791A7E" w:rsidP="00673C49">
      <w:pPr>
        <w:pStyle w:val="Akapitzlist"/>
        <w:numPr>
          <w:ilvl w:val="0"/>
          <w:numId w:val="31"/>
        </w:numPr>
        <w:spacing w:after="120" w:line="240" w:lineRule="auto"/>
        <w:ind w:left="709" w:hanging="425"/>
        <w:jc w:val="both"/>
        <w:rPr>
          <w:rFonts w:asciiTheme="minorHAnsi" w:hAnsiTheme="minorHAnsi"/>
          <w:sz w:val="24"/>
          <w:szCs w:val="24"/>
          <w:lang w:val="pl-PL"/>
        </w:rPr>
      </w:pPr>
      <w:r w:rsidRPr="00194E8E">
        <w:rPr>
          <w:rFonts w:asciiTheme="minorHAnsi" w:hAnsiTheme="minorHAnsi"/>
          <w:sz w:val="24"/>
          <w:szCs w:val="24"/>
          <w:lang w:val="pl-PL"/>
        </w:rPr>
        <w:t xml:space="preserve">w dniu 08.09.2021 r. - posiedzenie grupy roboczej Zespołu dotyczące wyroku w sprawie </w:t>
      </w:r>
      <w:r w:rsidRPr="00194E8E">
        <w:rPr>
          <w:rFonts w:asciiTheme="minorHAnsi" w:hAnsiTheme="minorHAnsi"/>
          <w:i/>
          <w:sz w:val="24"/>
          <w:szCs w:val="24"/>
          <w:lang w:val="pl-PL"/>
        </w:rPr>
        <w:t>Grabowski p. Polsce</w:t>
      </w:r>
      <w:r w:rsidRPr="00194E8E">
        <w:rPr>
          <w:rFonts w:asciiTheme="minorHAnsi" w:hAnsiTheme="minorHAnsi"/>
          <w:sz w:val="24"/>
          <w:szCs w:val="24"/>
          <w:lang w:val="pl-PL"/>
        </w:rPr>
        <w:t xml:space="preserve">, </w:t>
      </w:r>
    </w:p>
    <w:p w:rsidR="00791A7E" w:rsidRPr="00194E8E" w:rsidRDefault="00791A7E" w:rsidP="00673C49">
      <w:pPr>
        <w:pStyle w:val="Akapitzlist"/>
        <w:numPr>
          <w:ilvl w:val="0"/>
          <w:numId w:val="31"/>
        </w:numPr>
        <w:spacing w:after="120" w:line="240" w:lineRule="auto"/>
        <w:ind w:left="709" w:hanging="425"/>
        <w:jc w:val="both"/>
        <w:rPr>
          <w:rFonts w:asciiTheme="minorHAnsi" w:hAnsiTheme="minorHAnsi"/>
          <w:sz w:val="24"/>
          <w:szCs w:val="24"/>
          <w:lang w:val="pl-PL"/>
        </w:rPr>
      </w:pPr>
      <w:r w:rsidRPr="00194E8E">
        <w:rPr>
          <w:rFonts w:asciiTheme="minorHAnsi" w:hAnsiTheme="minorHAnsi"/>
          <w:sz w:val="24"/>
          <w:szCs w:val="24"/>
          <w:lang w:val="pl-PL"/>
        </w:rPr>
        <w:t>w dniu 08.11.2021 r.</w:t>
      </w:r>
      <w:r w:rsidRPr="00194E8E">
        <w:rPr>
          <w:rFonts w:asciiTheme="minorHAnsi" w:hAnsiTheme="minorHAnsi"/>
          <w:sz w:val="24"/>
          <w:szCs w:val="24"/>
          <w:lang w:val="pl-PL"/>
        </w:rPr>
        <w:tab/>
        <w:t xml:space="preserve">- posiedzenie grupy roboczej Zespołu dotyczące wyroku w sprawie </w:t>
      </w:r>
      <w:r w:rsidRPr="00194E8E">
        <w:rPr>
          <w:rFonts w:asciiTheme="minorHAnsi" w:hAnsiTheme="minorHAnsi"/>
          <w:i/>
          <w:sz w:val="24"/>
          <w:szCs w:val="24"/>
          <w:lang w:val="pl-PL"/>
        </w:rPr>
        <w:t>Kuchta i Mętel p. Polsce</w:t>
      </w:r>
      <w:r w:rsidRPr="00194E8E">
        <w:rPr>
          <w:rFonts w:asciiTheme="minorHAnsi" w:hAnsiTheme="minorHAnsi"/>
          <w:sz w:val="24"/>
          <w:szCs w:val="24"/>
          <w:lang w:val="pl-PL"/>
        </w:rPr>
        <w:t>.</w:t>
      </w:r>
    </w:p>
    <w:p w:rsidR="00DD0730" w:rsidRPr="00194E8E" w:rsidRDefault="00DD0730" w:rsidP="002D69D6">
      <w:pPr>
        <w:spacing w:after="120"/>
        <w:jc w:val="both"/>
        <w:rPr>
          <w:rFonts w:asciiTheme="minorHAnsi" w:hAnsiTheme="minorHAnsi"/>
        </w:rPr>
      </w:pPr>
      <w:r w:rsidRPr="00194E8E">
        <w:rPr>
          <w:rFonts w:asciiTheme="minorHAnsi" w:hAnsiTheme="minorHAnsi"/>
        </w:rPr>
        <w:t xml:space="preserve">Szczegółowe sprawozdania z posiedzeń plenarnych dostępne </w:t>
      </w:r>
      <w:r w:rsidR="00092C73" w:rsidRPr="00194E8E">
        <w:rPr>
          <w:rFonts w:asciiTheme="minorHAnsi" w:hAnsiTheme="minorHAnsi"/>
        </w:rPr>
        <w:t xml:space="preserve">są </w:t>
      </w:r>
      <w:r w:rsidRPr="00194E8E">
        <w:rPr>
          <w:rFonts w:asciiTheme="minorHAnsi" w:hAnsiTheme="minorHAnsi"/>
        </w:rPr>
        <w:t>na stronie interneto</w:t>
      </w:r>
      <w:r w:rsidR="00092C73" w:rsidRPr="00194E8E">
        <w:rPr>
          <w:rFonts w:asciiTheme="minorHAnsi" w:hAnsiTheme="minorHAnsi"/>
        </w:rPr>
        <w:t>wej MSZ</w:t>
      </w:r>
      <w:r w:rsidR="00BD03E2" w:rsidRPr="00194E8E">
        <w:rPr>
          <w:rFonts w:asciiTheme="minorHAnsi" w:hAnsiTheme="minorHAnsi"/>
        </w:rPr>
        <w:t xml:space="preserve">, dołączone są również do niniejszego Raportu </w:t>
      </w:r>
      <w:r w:rsidRPr="00194E8E">
        <w:rPr>
          <w:rFonts w:asciiTheme="minorHAnsi" w:hAnsiTheme="minorHAnsi"/>
        </w:rPr>
        <w:t>jako Załącznik</w:t>
      </w:r>
      <w:r w:rsidR="009B6D29" w:rsidRPr="00194E8E">
        <w:rPr>
          <w:rFonts w:asciiTheme="minorHAnsi" w:hAnsiTheme="minorHAnsi"/>
        </w:rPr>
        <w:t xml:space="preserve"> D</w:t>
      </w:r>
      <w:r w:rsidRPr="00194E8E">
        <w:rPr>
          <w:rFonts w:asciiTheme="minorHAnsi" w:hAnsiTheme="minorHAnsi"/>
        </w:rPr>
        <w:t>.</w:t>
      </w:r>
    </w:p>
    <w:p w:rsidR="00E77514" w:rsidRPr="00194E8E" w:rsidRDefault="002748FB" w:rsidP="002D69D6">
      <w:pPr>
        <w:spacing w:after="120"/>
        <w:jc w:val="both"/>
        <w:rPr>
          <w:rFonts w:asciiTheme="minorHAnsi" w:hAnsiTheme="minorHAnsi"/>
          <w:b/>
          <w:color w:val="000000" w:themeColor="text1"/>
        </w:rPr>
      </w:pPr>
      <w:r w:rsidRPr="00194E8E">
        <w:rPr>
          <w:rFonts w:asciiTheme="minorHAnsi" w:hAnsiTheme="minorHAnsi"/>
        </w:rPr>
        <w:t xml:space="preserve">Należy wskazać, że podobnie jak w latach ubiegłych, </w:t>
      </w:r>
      <w:r w:rsidR="00FB1DED" w:rsidRPr="00194E8E">
        <w:rPr>
          <w:rFonts w:asciiTheme="minorHAnsi" w:hAnsiTheme="minorHAnsi"/>
        </w:rPr>
        <w:t>g</w:t>
      </w:r>
      <w:r w:rsidR="00AA0BA9" w:rsidRPr="00194E8E">
        <w:rPr>
          <w:rFonts w:asciiTheme="minorHAnsi" w:hAnsiTheme="minorHAnsi"/>
        </w:rPr>
        <w:t>rudniowe p</w:t>
      </w:r>
      <w:r w:rsidR="00DD0730" w:rsidRPr="00194E8E">
        <w:rPr>
          <w:rFonts w:asciiTheme="minorHAnsi" w:hAnsiTheme="minorHAnsi"/>
        </w:rPr>
        <w:t>osiedzenie Zespołu</w:t>
      </w:r>
      <w:r w:rsidR="00AA0BA9" w:rsidRPr="00194E8E">
        <w:rPr>
          <w:rFonts w:asciiTheme="minorHAnsi" w:hAnsiTheme="minorHAnsi"/>
        </w:rPr>
        <w:t>,</w:t>
      </w:r>
      <w:r w:rsidRPr="00194E8E">
        <w:rPr>
          <w:rFonts w:asciiTheme="minorHAnsi" w:hAnsiTheme="minorHAnsi"/>
        </w:rPr>
        <w:t xml:space="preserve"> </w:t>
      </w:r>
      <w:r w:rsidR="00DD0730" w:rsidRPr="00194E8E">
        <w:rPr>
          <w:rFonts w:asciiTheme="minorHAnsi" w:hAnsiTheme="minorHAnsi"/>
        </w:rPr>
        <w:t>miało rozszerzoną formułę</w:t>
      </w:r>
      <w:r w:rsidRPr="00194E8E">
        <w:rPr>
          <w:rFonts w:asciiTheme="minorHAnsi" w:hAnsiTheme="minorHAnsi"/>
        </w:rPr>
        <w:t xml:space="preserve">. Do udziału w tym posiedzeniu, oprócz stałych członków i uczestników posiedzeń, Pełnomocnik MSZ </w:t>
      </w:r>
      <w:r w:rsidR="00DD0730" w:rsidRPr="00194E8E">
        <w:rPr>
          <w:rFonts w:asciiTheme="minorHAnsi" w:hAnsiTheme="minorHAnsi"/>
        </w:rPr>
        <w:t>zapros</w:t>
      </w:r>
      <w:r w:rsidRPr="00194E8E">
        <w:rPr>
          <w:rFonts w:asciiTheme="minorHAnsi" w:hAnsiTheme="minorHAnsi"/>
        </w:rPr>
        <w:t>ił</w:t>
      </w:r>
      <w:r w:rsidR="00AA0BA9" w:rsidRPr="00194E8E">
        <w:rPr>
          <w:rFonts w:asciiTheme="minorHAnsi" w:hAnsiTheme="minorHAnsi"/>
        </w:rPr>
        <w:t>,</w:t>
      </w:r>
      <w:r w:rsidR="00DD0730" w:rsidRPr="00194E8E">
        <w:rPr>
          <w:rFonts w:asciiTheme="minorHAnsi" w:hAnsiTheme="minorHAnsi"/>
        </w:rPr>
        <w:t xml:space="preserve"> między innymi</w:t>
      </w:r>
      <w:r w:rsidR="00AA0BA9" w:rsidRPr="00194E8E">
        <w:rPr>
          <w:rFonts w:asciiTheme="minorHAnsi" w:hAnsiTheme="minorHAnsi"/>
        </w:rPr>
        <w:t>,</w:t>
      </w:r>
      <w:r w:rsidR="00DD0730" w:rsidRPr="00194E8E">
        <w:rPr>
          <w:rFonts w:asciiTheme="minorHAnsi" w:hAnsiTheme="minorHAnsi"/>
        </w:rPr>
        <w:t xml:space="preserve"> przedstawiciel</w:t>
      </w:r>
      <w:r w:rsidRPr="00194E8E">
        <w:rPr>
          <w:rFonts w:asciiTheme="minorHAnsi" w:hAnsiTheme="minorHAnsi"/>
        </w:rPr>
        <w:t>i</w:t>
      </w:r>
      <w:r w:rsidR="00DD0730" w:rsidRPr="00194E8E">
        <w:rPr>
          <w:rFonts w:asciiTheme="minorHAnsi" w:hAnsiTheme="minorHAnsi"/>
        </w:rPr>
        <w:t xml:space="preserve"> Kancelarii Prezydenta RP, Najwyższej Izby </w:t>
      </w:r>
      <w:r w:rsidR="00AA0BA9" w:rsidRPr="00194E8E">
        <w:rPr>
          <w:rFonts w:asciiTheme="minorHAnsi" w:hAnsiTheme="minorHAnsi"/>
        </w:rPr>
        <w:t>Kontroli, Rady Legislacyjnej</w:t>
      </w:r>
      <w:r w:rsidRPr="00194E8E">
        <w:rPr>
          <w:rFonts w:asciiTheme="minorHAnsi" w:hAnsiTheme="minorHAnsi"/>
        </w:rPr>
        <w:t>, przedstawicieli innych urzędów centralnych</w:t>
      </w:r>
      <w:r w:rsidR="00AA0BA9" w:rsidRPr="00194E8E">
        <w:rPr>
          <w:rFonts w:asciiTheme="minorHAnsi" w:hAnsiTheme="minorHAnsi"/>
        </w:rPr>
        <w:t xml:space="preserve"> </w:t>
      </w:r>
      <w:r w:rsidR="00DD0730" w:rsidRPr="00194E8E">
        <w:rPr>
          <w:rFonts w:asciiTheme="minorHAnsi" w:hAnsiTheme="minorHAnsi"/>
        </w:rPr>
        <w:t xml:space="preserve">oraz </w:t>
      </w:r>
      <w:r w:rsidR="00AA0BA9" w:rsidRPr="00194E8E">
        <w:rPr>
          <w:rFonts w:asciiTheme="minorHAnsi" w:hAnsiTheme="minorHAnsi"/>
        </w:rPr>
        <w:t>przedstawiciel</w:t>
      </w:r>
      <w:r w:rsidRPr="00194E8E">
        <w:rPr>
          <w:rFonts w:asciiTheme="minorHAnsi" w:hAnsiTheme="minorHAnsi"/>
        </w:rPr>
        <w:t>i</w:t>
      </w:r>
      <w:r w:rsidR="00AA0BA9" w:rsidRPr="00194E8E">
        <w:rPr>
          <w:rFonts w:asciiTheme="minorHAnsi" w:hAnsiTheme="minorHAnsi"/>
        </w:rPr>
        <w:t xml:space="preserve"> społeczeństwa obywatelskiego</w:t>
      </w:r>
      <w:r w:rsidR="00DD0730" w:rsidRPr="00194E8E">
        <w:rPr>
          <w:rFonts w:asciiTheme="minorHAnsi" w:hAnsiTheme="minorHAnsi"/>
        </w:rPr>
        <w:t xml:space="preserve"> (</w:t>
      </w:r>
      <w:r w:rsidR="00AA0BA9" w:rsidRPr="00194E8E">
        <w:rPr>
          <w:rFonts w:asciiTheme="minorHAnsi" w:hAnsiTheme="minorHAnsi"/>
        </w:rPr>
        <w:t xml:space="preserve">Amnesty International, Federacja na </w:t>
      </w:r>
      <w:r w:rsidR="00AA0BA9" w:rsidRPr="00194E8E">
        <w:rPr>
          <w:rFonts w:asciiTheme="minorHAnsi" w:hAnsiTheme="minorHAnsi"/>
        </w:rPr>
        <w:lastRenderedPageBreak/>
        <w:t xml:space="preserve">Rzecz Kobiet i Planowania Rodziny, </w:t>
      </w:r>
      <w:r w:rsidR="00DD0730" w:rsidRPr="00194E8E">
        <w:rPr>
          <w:rFonts w:asciiTheme="minorHAnsi" w:hAnsiTheme="minorHAnsi"/>
        </w:rPr>
        <w:t xml:space="preserve">Helsińska Fundacja Praw Człowieka, </w:t>
      </w:r>
      <w:r w:rsidR="00AA0BA9" w:rsidRPr="00194E8E">
        <w:rPr>
          <w:rFonts w:asciiTheme="minorHAnsi" w:hAnsiTheme="minorHAnsi"/>
        </w:rPr>
        <w:t xml:space="preserve">Instytut na rzecz Kultury Prawnej </w:t>
      </w:r>
      <w:r w:rsidR="00DD0730" w:rsidRPr="00194E8E">
        <w:rPr>
          <w:rFonts w:asciiTheme="minorHAnsi" w:hAnsiTheme="minorHAnsi"/>
        </w:rPr>
        <w:t>Ordo Iuris, Instytut na rzecz Państwa i Prawa) i przedstawicie</w:t>
      </w:r>
      <w:r w:rsidR="00AA0BA9" w:rsidRPr="00194E8E">
        <w:rPr>
          <w:rFonts w:asciiTheme="minorHAnsi" w:hAnsiTheme="minorHAnsi"/>
        </w:rPr>
        <w:t>l</w:t>
      </w:r>
      <w:r w:rsidRPr="00194E8E">
        <w:rPr>
          <w:rFonts w:asciiTheme="minorHAnsi" w:hAnsiTheme="minorHAnsi"/>
        </w:rPr>
        <w:t>i</w:t>
      </w:r>
      <w:r w:rsidR="00AA0BA9" w:rsidRPr="00194E8E">
        <w:rPr>
          <w:rFonts w:asciiTheme="minorHAnsi" w:hAnsiTheme="minorHAnsi"/>
        </w:rPr>
        <w:t xml:space="preserve"> zawodów prawniczych z Krajowej Rady Radców Prawnych</w:t>
      </w:r>
      <w:r w:rsidRPr="00194E8E">
        <w:rPr>
          <w:rFonts w:asciiTheme="minorHAnsi" w:hAnsiTheme="minorHAnsi"/>
        </w:rPr>
        <w:t>,</w:t>
      </w:r>
      <w:r w:rsidR="00AA0BA9" w:rsidRPr="00194E8E">
        <w:rPr>
          <w:rFonts w:asciiTheme="minorHAnsi" w:hAnsiTheme="minorHAnsi"/>
        </w:rPr>
        <w:t xml:space="preserve"> </w:t>
      </w:r>
      <w:r w:rsidR="00DD0730" w:rsidRPr="00194E8E">
        <w:rPr>
          <w:rFonts w:asciiTheme="minorHAnsi" w:hAnsiTheme="minorHAnsi"/>
        </w:rPr>
        <w:t>Naczelnej Rady Adwokackiej</w:t>
      </w:r>
      <w:r w:rsidRPr="00194E8E">
        <w:rPr>
          <w:rFonts w:asciiTheme="minorHAnsi" w:hAnsiTheme="minorHAnsi"/>
        </w:rPr>
        <w:t>, Krajowej Rady Komorniczej</w:t>
      </w:r>
      <w:r w:rsidR="00DD0730" w:rsidRPr="00194E8E">
        <w:rPr>
          <w:rFonts w:asciiTheme="minorHAnsi" w:hAnsiTheme="minorHAnsi"/>
        </w:rPr>
        <w:t>. Zaproszenie na posiedzenie Zespołu otrzymali również Przewodniczący Komisji Sprawiedliwości i Praw Człowieka Sejmu RP oraz Komisji Praw Człowieka, Praworządnośc</w:t>
      </w:r>
      <w:r w:rsidR="00AA0BA9" w:rsidRPr="00194E8E">
        <w:rPr>
          <w:rFonts w:asciiTheme="minorHAnsi" w:hAnsiTheme="minorHAnsi"/>
        </w:rPr>
        <w:t>i i Petycji Senatu RP</w:t>
      </w:r>
      <w:r w:rsidR="00DD0730" w:rsidRPr="00194E8E">
        <w:rPr>
          <w:rFonts w:asciiTheme="minorHAnsi" w:hAnsiTheme="minorHAnsi"/>
        </w:rPr>
        <w:t>.</w:t>
      </w:r>
      <w:r w:rsidR="00614EBF" w:rsidRPr="00194E8E">
        <w:rPr>
          <w:rFonts w:asciiTheme="minorHAnsi" w:hAnsiTheme="minorHAnsi"/>
        </w:rPr>
        <w:t xml:space="preserve"> </w:t>
      </w:r>
    </w:p>
    <w:p w:rsidR="00E77514" w:rsidRPr="00194E8E" w:rsidRDefault="00E77514" w:rsidP="00673C49">
      <w:pPr>
        <w:pStyle w:val="Nagwek1"/>
        <w:spacing w:before="240" w:after="120"/>
        <w:ind w:left="709" w:hanging="425"/>
        <w:rPr>
          <w:rFonts w:asciiTheme="minorHAnsi" w:hAnsiTheme="minorHAnsi"/>
          <w:lang w:val="pl-PL"/>
        </w:rPr>
      </w:pPr>
      <w:bookmarkStart w:id="7" w:name="_Toc112058305"/>
      <w:r w:rsidRPr="00194E8E">
        <w:rPr>
          <w:rFonts w:asciiTheme="minorHAnsi" w:hAnsiTheme="minorHAnsi"/>
          <w:lang w:val="pl-PL"/>
        </w:rPr>
        <w:t>Informacja na temat posiedzenia Komisji Praw Człowieka, Praworządności i Petycji Senatu RP</w:t>
      </w:r>
      <w:bookmarkEnd w:id="7"/>
    </w:p>
    <w:p w:rsidR="00E77514" w:rsidRPr="00194E8E" w:rsidRDefault="00E77514" w:rsidP="00673C49">
      <w:pPr>
        <w:pStyle w:val="Akapitzlist"/>
        <w:spacing w:after="120" w:line="240" w:lineRule="auto"/>
        <w:ind w:left="0"/>
        <w:jc w:val="both"/>
        <w:rPr>
          <w:rFonts w:asciiTheme="minorHAnsi" w:hAnsiTheme="minorHAnsi"/>
          <w:sz w:val="24"/>
          <w:szCs w:val="24"/>
          <w:lang w:val="pl-PL"/>
        </w:rPr>
      </w:pPr>
      <w:r w:rsidRPr="00194E8E">
        <w:rPr>
          <w:rFonts w:asciiTheme="minorHAnsi" w:hAnsiTheme="minorHAnsi"/>
          <w:sz w:val="24"/>
          <w:szCs w:val="24"/>
          <w:lang w:val="pl-PL"/>
        </w:rPr>
        <w:t xml:space="preserve">W dniu </w:t>
      </w:r>
      <w:r w:rsidR="00791A7E" w:rsidRPr="00194E8E">
        <w:rPr>
          <w:rFonts w:asciiTheme="minorHAnsi" w:hAnsiTheme="minorHAnsi"/>
          <w:sz w:val="24"/>
          <w:szCs w:val="24"/>
          <w:lang w:val="pl-PL"/>
        </w:rPr>
        <w:t xml:space="preserve">19 października </w:t>
      </w:r>
      <w:r w:rsidR="00F454BA" w:rsidRPr="00194E8E">
        <w:rPr>
          <w:rFonts w:asciiTheme="minorHAnsi" w:hAnsiTheme="minorHAnsi"/>
          <w:sz w:val="24"/>
          <w:szCs w:val="24"/>
          <w:lang w:val="pl-PL"/>
        </w:rPr>
        <w:t>202</w:t>
      </w:r>
      <w:r w:rsidR="00791A7E" w:rsidRPr="00194E8E">
        <w:rPr>
          <w:rFonts w:asciiTheme="minorHAnsi" w:hAnsiTheme="minorHAnsi"/>
          <w:sz w:val="24"/>
          <w:szCs w:val="24"/>
          <w:lang w:val="pl-PL"/>
        </w:rPr>
        <w:t>1</w:t>
      </w:r>
      <w:r w:rsidR="00F454BA" w:rsidRPr="00194E8E">
        <w:rPr>
          <w:rFonts w:asciiTheme="minorHAnsi" w:hAnsiTheme="minorHAnsi"/>
          <w:sz w:val="24"/>
          <w:szCs w:val="24"/>
          <w:lang w:val="pl-PL"/>
        </w:rPr>
        <w:t xml:space="preserve"> r. </w:t>
      </w:r>
      <w:r w:rsidRPr="00194E8E">
        <w:rPr>
          <w:rFonts w:asciiTheme="minorHAnsi" w:hAnsiTheme="minorHAnsi"/>
          <w:sz w:val="24"/>
          <w:szCs w:val="24"/>
          <w:lang w:val="pl-PL"/>
        </w:rPr>
        <w:t xml:space="preserve">odbyło się posiedzenie Komisji Praw Człowieka, Praworządności i Petycji Senatu RP, którego przedmiotem była m.in. dyskusja nad </w:t>
      </w:r>
      <w:r w:rsidRPr="00194E8E">
        <w:rPr>
          <w:rFonts w:asciiTheme="minorHAnsi" w:hAnsiTheme="minorHAnsi"/>
          <w:i/>
          <w:sz w:val="24"/>
          <w:szCs w:val="24"/>
          <w:lang w:val="pl-PL"/>
        </w:rPr>
        <w:t>Raportem z wykonywania wyroków Europejskiego Trybunału Praw Człowieka przez Polskę za 20</w:t>
      </w:r>
      <w:r w:rsidR="00791A7E" w:rsidRPr="00194E8E">
        <w:rPr>
          <w:rFonts w:asciiTheme="minorHAnsi" w:hAnsiTheme="minorHAnsi"/>
          <w:i/>
          <w:sz w:val="24"/>
          <w:szCs w:val="24"/>
          <w:lang w:val="pl-PL"/>
        </w:rPr>
        <w:t>20</w:t>
      </w:r>
      <w:r w:rsidRPr="00194E8E">
        <w:rPr>
          <w:rFonts w:asciiTheme="minorHAnsi" w:hAnsiTheme="minorHAnsi"/>
          <w:i/>
          <w:sz w:val="24"/>
          <w:szCs w:val="24"/>
          <w:lang w:val="pl-PL"/>
        </w:rPr>
        <w:t xml:space="preserve"> r.</w:t>
      </w:r>
      <w:r w:rsidRPr="00194E8E">
        <w:rPr>
          <w:rFonts w:asciiTheme="minorHAnsi" w:hAnsiTheme="minorHAnsi"/>
          <w:sz w:val="24"/>
          <w:szCs w:val="24"/>
          <w:lang w:val="pl-PL"/>
        </w:rPr>
        <w:t xml:space="preserve"> </w:t>
      </w:r>
      <w:r w:rsidRPr="00194E8E">
        <w:rPr>
          <w:rFonts w:asciiTheme="minorHAnsi" w:hAnsiTheme="minorHAnsi"/>
          <w:sz w:val="24"/>
          <w:szCs w:val="24"/>
          <w:lang w:val="pl-PL"/>
        </w:rPr>
        <w:br/>
        <w:t>W posiedzeniu tym uczestniczył Podsekretarz stanu w MSZ, pan Piotr Wawrzyk, któremu towarzyszy</w:t>
      </w:r>
      <w:r w:rsidR="00F454BA" w:rsidRPr="00194E8E">
        <w:rPr>
          <w:rFonts w:asciiTheme="minorHAnsi" w:hAnsiTheme="minorHAnsi"/>
          <w:sz w:val="24"/>
          <w:szCs w:val="24"/>
          <w:lang w:val="pl-PL"/>
        </w:rPr>
        <w:t>ł</w:t>
      </w:r>
      <w:r w:rsidRPr="00194E8E">
        <w:rPr>
          <w:rFonts w:asciiTheme="minorHAnsi" w:hAnsiTheme="minorHAnsi"/>
          <w:sz w:val="24"/>
          <w:szCs w:val="24"/>
          <w:lang w:val="pl-PL"/>
        </w:rPr>
        <w:t xml:space="preserve"> Pełnomocnik</w:t>
      </w:r>
      <w:r w:rsidR="00673C49">
        <w:rPr>
          <w:rFonts w:asciiTheme="minorHAnsi" w:hAnsiTheme="minorHAnsi"/>
          <w:sz w:val="24"/>
          <w:szCs w:val="24"/>
          <w:lang w:val="pl-PL"/>
        </w:rPr>
        <w:t>.</w:t>
      </w:r>
    </w:p>
    <w:p w:rsidR="00B17805" w:rsidRPr="00194E8E" w:rsidRDefault="00F454BA" w:rsidP="00673C49">
      <w:pPr>
        <w:spacing w:after="120"/>
        <w:jc w:val="both"/>
        <w:rPr>
          <w:rFonts w:asciiTheme="minorHAnsi" w:hAnsiTheme="minorHAnsi"/>
        </w:rPr>
      </w:pPr>
      <w:r w:rsidRPr="00194E8E">
        <w:rPr>
          <w:rFonts w:asciiTheme="minorHAnsi" w:hAnsiTheme="minorHAnsi"/>
        </w:rPr>
        <w:t xml:space="preserve">W trakcie prezentacji Raportu </w:t>
      </w:r>
      <w:r w:rsidR="00E77514" w:rsidRPr="00194E8E">
        <w:rPr>
          <w:rFonts w:asciiTheme="minorHAnsi" w:hAnsiTheme="minorHAnsi"/>
        </w:rPr>
        <w:t xml:space="preserve">Minister </w:t>
      </w:r>
      <w:r w:rsidRPr="00194E8E">
        <w:rPr>
          <w:rFonts w:asciiTheme="minorHAnsi" w:hAnsiTheme="minorHAnsi"/>
        </w:rPr>
        <w:t xml:space="preserve">P. </w:t>
      </w:r>
      <w:r w:rsidR="001A0E13" w:rsidRPr="00194E8E">
        <w:rPr>
          <w:rFonts w:asciiTheme="minorHAnsi" w:hAnsiTheme="minorHAnsi"/>
        </w:rPr>
        <w:t xml:space="preserve">Wawrzyk </w:t>
      </w:r>
      <w:r w:rsidR="00B17805" w:rsidRPr="00194E8E">
        <w:rPr>
          <w:rFonts w:asciiTheme="minorHAnsi" w:hAnsiTheme="minorHAnsi"/>
        </w:rPr>
        <w:t>zauważył, że z uwagi na sytuację epidemiologiczną panującą w kraju w 2020 r. i związane z nią restrykcje</w:t>
      </w:r>
      <w:r w:rsidR="00673C49">
        <w:rPr>
          <w:rFonts w:asciiTheme="minorHAnsi" w:hAnsiTheme="minorHAnsi"/>
        </w:rPr>
        <w:t>,</w:t>
      </w:r>
      <w:r w:rsidR="00B17805" w:rsidRPr="00194E8E">
        <w:rPr>
          <w:rFonts w:asciiTheme="minorHAnsi" w:hAnsiTheme="minorHAnsi"/>
        </w:rPr>
        <w:t xml:space="preserve"> oraz zmieniony tryb pracy administracji publicznej, rok 2020 był szczególnym okresem dla wszystkich, w tym także dla realizacji zadań przez Pełnomocnika MSZ. Z uwagi na powyższe niektóre wydarzenia, organizowane co roku przez Pełnomocnika nie odbyły się bądź odbywały się w formule zdalnej lub miały ograniczony zakres. Niemniej, pomimo tej szczególnej sytuacji w jakiej przyszło realizować zadania w 2020 r.</w:t>
      </w:r>
      <w:r w:rsidR="00673C49">
        <w:rPr>
          <w:rFonts w:asciiTheme="minorHAnsi" w:hAnsiTheme="minorHAnsi"/>
        </w:rPr>
        <w:t>,</w:t>
      </w:r>
      <w:r w:rsidR="00B17805" w:rsidRPr="00194E8E">
        <w:rPr>
          <w:rFonts w:asciiTheme="minorHAnsi" w:hAnsiTheme="minorHAnsi"/>
        </w:rPr>
        <w:t xml:space="preserve"> MSZ oraz inne resorty podjęły szereg działań w zakresie wykonywania przez Polskę orzeczeń </w:t>
      </w:r>
      <w:r w:rsidR="00BA13ED">
        <w:rPr>
          <w:rFonts w:asciiTheme="minorHAnsi" w:hAnsiTheme="minorHAnsi"/>
        </w:rPr>
        <w:t>ETPC</w:t>
      </w:r>
      <w:r w:rsidR="00B17805" w:rsidRPr="00194E8E">
        <w:rPr>
          <w:rFonts w:asciiTheme="minorHAnsi" w:hAnsiTheme="minorHAnsi"/>
        </w:rPr>
        <w:t xml:space="preserve"> i upowszechniania standardów ochrony praw człowieka wynikających z Europejskiej Konwencji Praw Człowieka, które to działania zostały szczegółowo przedstawione w Raporcie. Minister </w:t>
      </w:r>
      <w:r w:rsidR="00673C49" w:rsidRPr="00194E8E">
        <w:rPr>
          <w:rFonts w:asciiTheme="minorHAnsi" w:hAnsiTheme="minorHAnsi"/>
        </w:rPr>
        <w:t xml:space="preserve">P. Wawrzyk </w:t>
      </w:r>
      <w:r w:rsidR="00B17805" w:rsidRPr="00194E8E">
        <w:rPr>
          <w:rFonts w:asciiTheme="minorHAnsi" w:hAnsiTheme="minorHAnsi"/>
        </w:rPr>
        <w:t>ws</w:t>
      </w:r>
      <w:r w:rsidRPr="00194E8E">
        <w:rPr>
          <w:rFonts w:asciiTheme="minorHAnsi" w:hAnsiTheme="minorHAnsi"/>
        </w:rPr>
        <w:t xml:space="preserve">kazał, </w:t>
      </w:r>
      <w:r w:rsidR="00B17805" w:rsidRPr="00194E8E">
        <w:rPr>
          <w:rFonts w:asciiTheme="minorHAnsi" w:hAnsiTheme="minorHAnsi"/>
        </w:rPr>
        <w:t xml:space="preserve">że raport jest dokumentem szczegółowym. Informacje w nim zawarte oraz jego upublicznienie po przyjęciu przez Radę Ministrów służą nie tylko zapewnieniu kompleksowej informacji na temat wykonywania przez Polskę orzeczeń </w:t>
      </w:r>
      <w:r w:rsidR="00BA13ED">
        <w:rPr>
          <w:rFonts w:asciiTheme="minorHAnsi" w:hAnsiTheme="minorHAnsi"/>
        </w:rPr>
        <w:t>ETPC</w:t>
      </w:r>
      <w:r w:rsidR="00B17805" w:rsidRPr="00194E8E">
        <w:rPr>
          <w:rFonts w:asciiTheme="minorHAnsi" w:hAnsiTheme="minorHAnsi"/>
        </w:rPr>
        <w:t>, ale również zwię</w:t>
      </w:r>
      <w:r w:rsidR="00CD4849" w:rsidRPr="00194E8E">
        <w:rPr>
          <w:rFonts w:asciiTheme="minorHAnsi" w:hAnsiTheme="minorHAnsi"/>
        </w:rPr>
        <w:t>kszeniu przejrzystości działań R</w:t>
      </w:r>
      <w:r w:rsidR="00B17805" w:rsidRPr="00194E8E">
        <w:rPr>
          <w:rFonts w:asciiTheme="minorHAnsi" w:hAnsiTheme="minorHAnsi"/>
        </w:rPr>
        <w:t xml:space="preserve">ządu w tym zakresie. Minister </w:t>
      </w:r>
      <w:r w:rsidR="00673C49" w:rsidRPr="00194E8E">
        <w:rPr>
          <w:rFonts w:asciiTheme="minorHAnsi" w:hAnsiTheme="minorHAnsi"/>
        </w:rPr>
        <w:t xml:space="preserve">P. Wawrzyk </w:t>
      </w:r>
      <w:r w:rsidR="00B17805" w:rsidRPr="00194E8E">
        <w:rPr>
          <w:rFonts w:asciiTheme="minorHAnsi" w:hAnsiTheme="minorHAnsi"/>
        </w:rPr>
        <w:t xml:space="preserve">podkreślił, że na implementację orzeczeń Europejskiego </w:t>
      </w:r>
      <w:r w:rsidR="00BA13ED">
        <w:rPr>
          <w:rFonts w:asciiTheme="minorHAnsi" w:hAnsiTheme="minorHAnsi"/>
        </w:rPr>
        <w:t>ETPC</w:t>
      </w:r>
      <w:r w:rsidR="00B17805" w:rsidRPr="00194E8E">
        <w:rPr>
          <w:rFonts w:asciiTheme="minorHAnsi" w:hAnsiTheme="minorHAnsi"/>
        </w:rPr>
        <w:t xml:space="preserve"> Praw Człowieka składa się szereg działań podejmowanych zarówno przez MSZ, jak i inne resorty i tylko odpowiednia, dobra współpraca gwarantuje sukces w tym obszarze. Bardzo ważna jest także sprawna współpraca władzy wykonawczej z władzą ustawodawczą i sądowniczą. Często bowiem implementacja wyroku wymaga zmiany prawa, w której swoją rolę odgrywa zarówno administracja rządowa, jak i parlament, lub zmiany praktyki stosowania prawa, która dotyczy wymiaru sprawiedliwości oraz organów administracji publicznej. Nieoceniona jest rola parlamentu w tym procesie, który może podejmować konkretne działania skierowane na implementację poszczególnych wyroków. </w:t>
      </w:r>
    </w:p>
    <w:p w:rsidR="00DD0730" w:rsidRPr="00194E8E" w:rsidRDefault="00747984" w:rsidP="00673C49">
      <w:pPr>
        <w:spacing w:after="120"/>
        <w:jc w:val="both"/>
        <w:rPr>
          <w:rFonts w:asciiTheme="minorHAnsi" w:hAnsiTheme="minorHAnsi"/>
          <w:b/>
          <w:color w:val="000000" w:themeColor="text1"/>
          <w:highlight w:val="yellow"/>
        </w:rPr>
      </w:pPr>
      <w:r w:rsidRPr="00194E8E">
        <w:rPr>
          <w:rFonts w:asciiTheme="minorHAnsi" w:hAnsiTheme="minorHAnsi"/>
        </w:rPr>
        <w:t xml:space="preserve">Minister </w:t>
      </w:r>
      <w:r w:rsidR="00B17805" w:rsidRPr="00194E8E">
        <w:rPr>
          <w:rFonts w:asciiTheme="minorHAnsi" w:hAnsiTheme="minorHAnsi"/>
        </w:rPr>
        <w:t xml:space="preserve">P. </w:t>
      </w:r>
      <w:r w:rsidRPr="00194E8E">
        <w:rPr>
          <w:rFonts w:asciiTheme="minorHAnsi" w:hAnsiTheme="minorHAnsi"/>
        </w:rPr>
        <w:t>Wawrzyk</w:t>
      </w:r>
      <w:r w:rsidR="00265499" w:rsidRPr="00194E8E">
        <w:rPr>
          <w:rFonts w:asciiTheme="minorHAnsi" w:hAnsiTheme="minorHAnsi"/>
        </w:rPr>
        <w:t xml:space="preserve"> przekazał również informacje o danych statystycznych dotyczących wykonywania orzeczeń </w:t>
      </w:r>
      <w:r w:rsidR="00BA13ED">
        <w:rPr>
          <w:rFonts w:asciiTheme="minorHAnsi" w:hAnsiTheme="minorHAnsi"/>
        </w:rPr>
        <w:t>ETPC</w:t>
      </w:r>
      <w:r w:rsidR="00265499" w:rsidRPr="00194E8E">
        <w:rPr>
          <w:rFonts w:asciiTheme="minorHAnsi" w:hAnsiTheme="minorHAnsi"/>
        </w:rPr>
        <w:t>. P</w:t>
      </w:r>
      <w:r w:rsidRPr="00194E8E">
        <w:rPr>
          <w:rFonts w:asciiTheme="minorHAnsi" w:hAnsiTheme="minorHAnsi"/>
        </w:rPr>
        <w:t>odkreślił, że dzięki wytężonej pracy na koniec 20</w:t>
      </w:r>
      <w:r w:rsidR="00B17805" w:rsidRPr="00194E8E">
        <w:rPr>
          <w:rFonts w:asciiTheme="minorHAnsi" w:hAnsiTheme="minorHAnsi"/>
        </w:rPr>
        <w:t>20</w:t>
      </w:r>
      <w:r w:rsidRPr="00194E8E">
        <w:rPr>
          <w:rFonts w:asciiTheme="minorHAnsi" w:hAnsiTheme="minorHAnsi"/>
        </w:rPr>
        <w:t xml:space="preserve"> r. liczba orzeczeń przeciwko Polsce, których wykonywanie znajdowało się w nadzorze Komitetu Ministrów Rady Europy, spadła do </w:t>
      </w:r>
      <w:r w:rsidR="00B17805" w:rsidRPr="00194E8E">
        <w:rPr>
          <w:rFonts w:asciiTheme="minorHAnsi" w:hAnsiTheme="minorHAnsi"/>
        </w:rPr>
        <w:t>89</w:t>
      </w:r>
      <w:r w:rsidR="00265499" w:rsidRPr="00194E8E">
        <w:rPr>
          <w:rFonts w:asciiTheme="minorHAnsi" w:hAnsiTheme="minorHAnsi"/>
        </w:rPr>
        <w:t xml:space="preserve">, a </w:t>
      </w:r>
      <w:r w:rsidRPr="00194E8E">
        <w:rPr>
          <w:rFonts w:asciiTheme="minorHAnsi" w:hAnsiTheme="minorHAnsi"/>
        </w:rPr>
        <w:t xml:space="preserve">Polska </w:t>
      </w:r>
      <w:r w:rsidR="00231798" w:rsidRPr="00194E8E">
        <w:rPr>
          <w:rFonts w:asciiTheme="minorHAnsi" w:hAnsiTheme="minorHAnsi"/>
        </w:rPr>
        <w:t xml:space="preserve">nadal utrzymuje się </w:t>
      </w:r>
      <w:r w:rsidRPr="00194E8E">
        <w:rPr>
          <w:rFonts w:asciiTheme="minorHAnsi" w:hAnsiTheme="minorHAnsi"/>
        </w:rPr>
        <w:t>poza pierwszą dziesiątką krajów, które mają najwyższy wskaźnik liczby w</w:t>
      </w:r>
      <w:r w:rsidR="00673C49">
        <w:rPr>
          <w:rFonts w:asciiTheme="minorHAnsi" w:hAnsiTheme="minorHAnsi"/>
        </w:rPr>
        <w:t>yroków będących w wykonywaniu.</w:t>
      </w:r>
    </w:p>
    <w:p w:rsidR="00DD0730" w:rsidRPr="00194E8E" w:rsidRDefault="00AB5D26" w:rsidP="00673C49">
      <w:pPr>
        <w:pStyle w:val="Nagwek1"/>
        <w:spacing w:before="240" w:after="120"/>
        <w:ind w:left="709" w:hanging="425"/>
        <w:rPr>
          <w:rFonts w:asciiTheme="minorHAnsi" w:hAnsiTheme="minorHAnsi"/>
          <w:lang w:val="pl-PL"/>
        </w:rPr>
      </w:pPr>
      <w:bookmarkStart w:id="8" w:name="_Toc112058306"/>
      <w:r w:rsidRPr="00194E8E">
        <w:rPr>
          <w:rFonts w:asciiTheme="minorHAnsi" w:hAnsiTheme="minorHAnsi"/>
          <w:lang w:val="pl-PL"/>
        </w:rPr>
        <w:t>Informacja</w:t>
      </w:r>
      <w:r w:rsidR="00DD0730" w:rsidRPr="00194E8E">
        <w:rPr>
          <w:rFonts w:asciiTheme="minorHAnsi" w:hAnsiTheme="minorHAnsi"/>
          <w:lang w:val="pl-PL"/>
        </w:rPr>
        <w:t xml:space="preserve"> na temat działań Pełnomocnika mających na celu usprawnienie wykonywania wyroków </w:t>
      </w:r>
      <w:r w:rsidR="00BA13ED">
        <w:rPr>
          <w:rFonts w:asciiTheme="minorHAnsi" w:hAnsiTheme="minorHAnsi"/>
          <w:lang w:val="pl-PL"/>
        </w:rPr>
        <w:t>ETPC</w:t>
      </w:r>
      <w:r w:rsidR="00DD0730" w:rsidRPr="00194E8E">
        <w:rPr>
          <w:rFonts w:asciiTheme="minorHAnsi" w:hAnsiTheme="minorHAnsi"/>
          <w:lang w:val="pl-PL"/>
        </w:rPr>
        <w:t xml:space="preserve"> przez Polskę</w:t>
      </w:r>
      <w:r w:rsidR="00254377" w:rsidRPr="00194E8E">
        <w:rPr>
          <w:rFonts w:asciiTheme="minorHAnsi" w:hAnsiTheme="minorHAnsi"/>
          <w:lang w:val="pl-PL"/>
        </w:rPr>
        <w:t xml:space="preserve"> i przestrzeganie Konwencji</w:t>
      </w:r>
      <w:bookmarkEnd w:id="8"/>
    </w:p>
    <w:p w:rsidR="00DD0730" w:rsidRPr="00194E8E" w:rsidRDefault="00DD0730" w:rsidP="00673C49">
      <w:pPr>
        <w:pStyle w:val="Akapitzlist"/>
        <w:numPr>
          <w:ilvl w:val="0"/>
          <w:numId w:val="2"/>
        </w:numPr>
        <w:spacing w:before="240" w:after="120" w:line="240" w:lineRule="auto"/>
        <w:ind w:left="709" w:hanging="425"/>
        <w:jc w:val="both"/>
        <w:rPr>
          <w:rFonts w:asciiTheme="minorHAnsi" w:hAnsiTheme="minorHAnsi"/>
          <w:b/>
          <w:i/>
          <w:sz w:val="24"/>
          <w:szCs w:val="24"/>
          <w:lang w:val="pl-PL"/>
        </w:rPr>
      </w:pPr>
      <w:r w:rsidRPr="00194E8E">
        <w:rPr>
          <w:rFonts w:asciiTheme="minorHAnsi" w:hAnsiTheme="minorHAnsi"/>
          <w:b/>
          <w:sz w:val="24"/>
          <w:szCs w:val="24"/>
          <w:lang w:val="pl-PL"/>
        </w:rPr>
        <w:t xml:space="preserve">Funkcjonowanie </w:t>
      </w:r>
      <w:r w:rsidRPr="00194E8E">
        <w:rPr>
          <w:rFonts w:asciiTheme="minorHAnsi" w:hAnsiTheme="minorHAnsi"/>
          <w:b/>
          <w:i/>
          <w:sz w:val="24"/>
          <w:szCs w:val="24"/>
          <w:lang w:val="pl-PL"/>
        </w:rPr>
        <w:t xml:space="preserve">Zarządzenia </w:t>
      </w:r>
      <w:r w:rsidR="0069656F" w:rsidRPr="00194E8E">
        <w:rPr>
          <w:rFonts w:asciiTheme="minorHAnsi" w:hAnsiTheme="minorHAnsi"/>
          <w:b/>
          <w:i/>
          <w:sz w:val="24"/>
          <w:szCs w:val="24"/>
          <w:lang w:val="pl-PL"/>
        </w:rPr>
        <w:t xml:space="preserve">w sprawie </w:t>
      </w:r>
      <w:r w:rsidRPr="00194E8E">
        <w:rPr>
          <w:rFonts w:asciiTheme="minorHAnsi" w:hAnsiTheme="minorHAnsi"/>
          <w:b/>
          <w:i/>
          <w:sz w:val="24"/>
          <w:szCs w:val="24"/>
          <w:lang w:val="pl-PL"/>
        </w:rPr>
        <w:t>utworzeni</w:t>
      </w:r>
      <w:r w:rsidR="0069656F" w:rsidRPr="00194E8E">
        <w:rPr>
          <w:rFonts w:asciiTheme="minorHAnsi" w:hAnsiTheme="minorHAnsi"/>
          <w:b/>
          <w:i/>
          <w:sz w:val="24"/>
          <w:szCs w:val="24"/>
          <w:lang w:val="pl-PL"/>
        </w:rPr>
        <w:t>a</w:t>
      </w:r>
      <w:r w:rsidRPr="00194E8E">
        <w:rPr>
          <w:rFonts w:asciiTheme="minorHAnsi" w:hAnsiTheme="minorHAnsi"/>
          <w:b/>
          <w:i/>
          <w:sz w:val="24"/>
          <w:szCs w:val="24"/>
          <w:lang w:val="pl-PL"/>
        </w:rPr>
        <w:t xml:space="preserve"> Zespołu do spraw Europejskiego Trybunału Praw Człowieka</w:t>
      </w:r>
      <w:r w:rsidRPr="00194E8E">
        <w:rPr>
          <w:rFonts w:asciiTheme="minorHAnsi" w:hAnsiTheme="minorHAnsi"/>
          <w:b/>
          <w:sz w:val="24"/>
          <w:szCs w:val="24"/>
          <w:lang w:val="pl-PL"/>
        </w:rPr>
        <w:t xml:space="preserve"> po nowelizacji przeprowadzonej w 2015 r. </w:t>
      </w:r>
      <w:r w:rsidRPr="00194E8E">
        <w:rPr>
          <w:rFonts w:asciiTheme="minorHAnsi" w:hAnsiTheme="minorHAnsi"/>
          <w:b/>
          <w:sz w:val="24"/>
          <w:szCs w:val="24"/>
          <w:lang w:val="pl-PL"/>
        </w:rPr>
        <w:lastRenderedPageBreak/>
        <w:t>wprowadzającej nowe zasady wsp</w:t>
      </w:r>
      <w:r w:rsidR="009953E7" w:rsidRPr="00194E8E">
        <w:rPr>
          <w:rFonts w:asciiTheme="minorHAnsi" w:hAnsiTheme="minorHAnsi"/>
          <w:b/>
          <w:sz w:val="24"/>
          <w:szCs w:val="24"/>
          <w:lang w:val="pl-PL"/>
        </w:rPr>
        <w:t xml:space="preserve">ółpracy międzyinstytucjonalnej </w:t>
      </w:r>
      <w:r w:rsidR="00254377" w:rsidRPr="00194E8E">
        <w:rPr>
          <w:rFonts w:asciiTheme="minorHAnsi" w:hAnsiTheme="minorHAnsi"/>
          <w:b/>
          <w:sz w:val="24"/>
          <w:szCs w:val="24"/>
          <w:lang w:val="pl-PL"/>
        </w:rPr>
        <w:t>w</w:t>
      </w:r>
      <w:r w:rsidR="00AE587A" w:rsidRPr="00194E8E">
        <w:rPr>
          <w:rFonts w:asciiTheme="minorHAnsi" w:hAnsiTheme="minorHAnsi"/>
          <w:b/>
          <w:sz w:val="24"/>
          <w:szCs w:val="24"/>
          <w:lang w:val="pl-PL"/>
        </w:rPr>
        <w:t xml:space="preserve"> </w:t>
      </w:r>
      <w:r w:rsidR="00254377" w:rsidRPr="00194E8E">
        <w:rPr>
          <w:rFonts w:asciiTheme="minorHAnsi" w:hAnsiTheme="minorHAnsi"/>
          <w:b/>
          <w:sz w:val="24"/>
          <w:szCs w:val="24"/>
          <w:lang w:val="pl-PL"/>
        </w:rPr>
        <w:t>s</w:t>
      </w:r>
      <w:r w:rsidR="00AE587A" w:rsidRPr="00194E8E">
        <w:rPr>
          <w:rFonts w:asciiTheme="minorHAnsi" w:hAnsiTheme="minorHAnsi"/>
          <w:b/>
          <w:sz w:val="24"/>
          <w:szCs w:val="24"/>
          <w:lang w:val="pl-PL"/>
        </w:rPr>
        <w:t>prawie</w:t>
      </w:r>
      <w:r w:rsidR="00254377" w:rsidRPr="00194E8E">
        <w:rPr>
          <w:rFonts w:asciiTheme="minorHAnsi" w:hAnsiTheme="minorHAnsi"/>
          <w:b/>
          <w:sz w:val="24"/>
          <w:szCs w:val="24"/>
          <w:lang w:val="pl-PL"/>
        </w:rPr>
        <w:t xml:space="preserve"> wykonywania wyroków ETPC</w:t>
      </w:r>
    </w:p>
    <w:p w:rsidR="00A151B7" w:rsidRPr="00194E8E" w:rsidRDefault="00DD0730" w:rsidP="00673C49">
      <w:pPr>
        <w:pStyle w:val="Akapitzlist"/>
        <w:spacing w:after="120" w:line="240" w:lineRule="auto"/>
        <w:ind w:left="0"/>
        <w:jc w:val="both"/>
        <w:rPr>
          <w:rFonts w:asciiTheme="minorHAnsi" w:hAnsiTheme="minorHAnsi"/>
          <w:sz w:val="24"/>
          <w:szCs w:val="24"/>
          <w:lang w:val="pl-PL"/>
        </w:rPr>
      </w:pPr>
      <w:r w:rsidRPr="00194E8E">
        <w:rPr>
          <w:rFonts w:asciiTheme="minorHAnsi" w:hAnsiTheme="minorHAnsi"/>
          <w:sz w:val="24"/>
          <w:szCs w:val="24"/>
          <w:lang w:val="pl-PL"/>
        </w:rPr>
        <w:t>Ministerstwo Spraw Zagranicznych monitoruje realizację obowiązków wynikających z Zarządzenia</w:t>
      </w:r>
      <w:r w:rsidR="00C12044" w:rsidRPr="00194E8E">
        <w:rPr>
          <w:rFonts w:asciiTheme="minorHAnsi" w:hAnsiTheme="minorHAnsi"/>
          <w:sz w:val="24"/>
          <w:szCs w:val="24"/>
          <w:lang w:val="pl-PL"/>
        </w:rPr>
        <w:t>, a także realizuje wynikający z Zarządzenia obowiązek sprawozdawczy z działalności Zespołu</w:t>
      </w:r>
      <w:r w:rsidRPr="00194E8E">
        <w:rPr>
          <w:rFonts w:asciiTheme="minorHAnsi" w:hAnsiTheme="minorHAnsi"/>
          <w:sz w:val="24"/>
          <w:szCs w:val="24"/>
          <w:lang w:val="pl-PL"/>
        </w:rPr>
        <w:t xml:space="preserve">. </w:t>
      </w:r>
    </w:p>
    <w:p w:rsidR="009953E7" w:rsidRPr="00194E8E" w:rsidRDefault="00943787" w:rsidP="00673C49">
      <w:pPr>
        <w:pStyle w:val="Akapitzlist"/>
        <w:spacing w:after="120" w:line="240" w:lineRule="auto"/>
        <w:ind w:left="0"/>
        <w:jc w:val="both"/>
        <w:rPr>
          <w:rFonts w:asciiTheme="minorHAnsi" w:hAnsiTheme="minorHAnsi"/>
          <w:sz w:val="24"/>
          <w:szCs w:val="24"/>
          <w:lang w:val="pl-PL"/>
        </w:rPr>
      </w:pPr>
      <w:r w:rsidRPr="00194E8E">
        <w:rPr>
          <w:rFonts w:asciiTheme="minorHAnsi" w:hAnsiTheme="minorHAnsi"/>
          <w:sz w:val="24"/>
          <w:szCs w:val="24"/>
          <w:lang w:val="pl-PL"/>
        </w:rPr>
        <w:t>Należy przypomnieć, że g</w:t>
      </w:r>
      <w:r w:rsidR="00DD0730" w:rsidRPr="00194E8E">
        <w:rPr>
          <w:rFonts w:asciiTheme="minorHAnsi" w:hAnsiTheme="minorHAnsi"/>
          <w:sz w:val="24"/>
          <w:szCs w:val="24"/>
          <w:lang w:val="pl-PL"/>
        </w:rPr>
        <w:t xml:space="preserve">łównym celem nowelizacji </w:t>
      </w:r>
      <w:r w:rsidR="00C12044" w:rsidRPr="00194E8E">
        <w:rPr>
          <w:rFonts w:asciiTheme="minorHAnsi" w:hAnsiTheme="minorHAnsi"/>
          <w:sz w:val="24"/>
          <w:szCs w:val="24"/>
          <w:lang w:val="pl-PL"/>
        </w:rPr>
        <w:t xml:space="preserve">Zarządzenia z 2015 r. </w:t>
      </w:r>
      <w:r w:rsidR="00DD0730" w:rsidRPr="00194E8E">
        <w:rPr>
          <w:rFonts w:asciiTheme="minorHAnsi" w:hAnsiTheme="minorHAnsi"/>
          <w:sz w:val="24"/>
          <w:szCs w:val="24"/>
          <w:lang w:val="pl-PL"/>
        </w:rPr>
        <w:t xml:space="preserve">było doprowadzenie do terminowego przygotowywania planów działań i raportów z wykonania poszczególnych wyroków </w:t>
      </w:r>
      <w:r w:rsidR="00673C49">
        <w:rPr>
          <w:rFonts w:asciiTheme="minorHAnsi" w:hAnsiTheme="minorHAnsi"/>
          <w:sz w:val="24"/>
          <w:szCs w:val="24"/>
          <w:lang w:val="pl-PL"/>
        </w:rPr>
        <w:t>ETPC</w:t>
      </w:r>
      <w:r w:rsidR="00DD0730" w:rsidRPr="00194E8E">
        <w:rPr>
          <w:rFonts w:asciiTheme="minorHAnsi" w:hAnsiTheme="minorHAnsi"/>
          <w:sz w:val="24"/>
          <w:szCs w:val="24"/>
          <w:lang w:val="pl-PL"/>
        </w:rPr>
        <w:t xml:space="preserve"> przez podmioty za to odpowiedzialne. W tym zakresie</w:t>
      </w:r>
      <w:r w:rsidR="00673C49">
        <w:rPr>
          <w:rFonts w:asciiTheme="minorHAnsi" w:hAnsiTheme="minorHAnsi"/>
          <w:sz w:val="24"/>
          <w:szCs w:val="24"/>
          <w:lang w:val="pl-PL"/>
        </w:rPr>
        <w:t>,</w:t>
      </w:r>
      <w:r w:rsidR="00C12044" w:rsidRPr="00194E8E">
        <w:rPr>
          <w:rFonts w:asciiTheme="minorHAnsi" w:hAnsiTheme="minorHAnsi"/>
          <w:sz w:val="24"/>
          <w:szCs w:val="24"/>
          <w:lang w:val="pl-PL"/>
        </w:rPr>
        <w:t xml:space="preserve"> w 20</w:t>
      </w:r>
      <w:r w:rsidRPr="00194E8E">
        <w:rPr>
          <w:rFonts w:asciiTheme="minorHAnsi" w:hAnsiTheme="minorHAnsi"/>
          <w:sz w:val="24"/>
          <w:szCs w:val="24"/>
          <w:lang w:val="pl-PL"/>
        </w:rPr>
        <w:t>21</w:t>
      </w:r>
      <w:r w:rsidR="00C12044" w:rsidRPr="00194E8E">
        <w:rPr>
          <w:rFonts w:asciiTheme="minorHAnsi" w:hAnsiTheme="minorHAnsi"/>
          <w:sz w:val="24"/>
          <w:szCs w:val="24"/>
          <w:lang w:val="pl-PL"/>
        </w:rPr>
        <w:t xml:space="preserve"> r. </w:t>
      </w:r>
      <w:r w:rsidR="00DD0730" w:rsidRPr="00194E8E">
        <w:rPr>
          <w:rFonts w:asciiTheme="minorHAnsi" w:hAnsiTheme="minorHAnsi"/>
          <w:sz w:val="24"/>
          <w:szCs w:val="24"/>
          <w:lang w:val="pl-PL"/>
        </w:rPr>
        <w:t>podmiot</w:t>
      </w:r>
      <w:r w:rsidR="00060EDC" w:rsidRPr="00194E8E">
        <w:rPr>
          <w:rFonts w:asciiTheme="minorHAnsi" w:hAnsiTheme="minorHAnsi"/>
          <w:sz w:val="24"/>
          <w:szCs w:val="24"/>
          <w:lang w:val="pl-PL"/>
        </w:rPr>
        <w:t>ami</w:t>
      </w:r>
      <w:r w:rsidR="004507BE" w:rsidRPr="00194E8E">
        <w:rPr>
          <w:rFonts w:asciiTheme="minorHAnsi" w:hAnsiTheme="minorHAnsi"/>
          <w:sz w:val="24"/>
          <w:szCs w:val="24"/>
          <w:lang w:val="pl-PL"/>
        </w:rPr>
        <w:t xml:space="preserve"> przygotowującym</w:t>
      </w:r>
      <w:r w:rsidR="00060EDC" w:rsidRPr="00194E8E">
        <w:rPr>
          <w:rFonts w:asciiTheme="minorHAnsi" w:hAnsiTheme="minorHAnsi"/>
          <w:sz w:val="24"/>
          <w:szCs w:val="24"/>
          <w:lang w:val="pl-PL"/>
        </w:rPr>
        <w:t>i</w:t>
      </w:r>
      <w:r w:rsidR="004507BE" w:rsidRPr="00194E8E">
        <w:rPr>
          <w:rFonts w:asciiTheme="minorHAnsi" w:hAnsiTheme="minorHAnsi"/>
          <w:sz w:val="24"/>
          <w:szCs w:val="24"/>
          <w:lang w:val="pl-PL"/>
        </w:rPr>
        <w:t xml:space="preserve"> te dokumenty, zgodnie z właściwością wynikającą z problematyki wyroków będących przedmiotem egzekucji</w:t>
      </w:r>
      <w:r w:rsidR="00C12044" w:rsidRPr="00194E8E">
        <w:rPr>
          <w:rFonts w:asciiTheme="minorHAnsi" w:hAnsiTheme="minorHAnsi"/>
          <w:sz w:val="24"/>
          <w:szCs w:val="24"/>
          <w:lang w:val="pl-PL"/>
        </w:rPr>
        <w:t xml:space="preserve">, </w:t>
      </w:r>
      <w:r w:rsidR="004507BE" w:rsidRPr="00194E8E">
        <w:rPr>
          <w:rFonts w:asciiTheme="minorHAnsi" w:hAnsiTheme="minorHAnsi"/>
          <w:sz w:val="24"/>
          <w:szCs w:val="24"/>
          <w:lang w:val="pl-PL"/>
        </w:rPr>
        <w:t>był</w:t>
      </w:r>
      <w:r w:rsidR="00060EDC" w:rsidRPr="00194E8E">
        <w:rPr>
          <w:rFonts w:asciiTheme="minorHAnsi" w:hAnsiTheme="minorHAnsi"/>
          <w:sz w:val="24"/>
          <w:szCs w:val="24"/>
          <w:lang w:val="pl-PL"/>
        </w:rPr>
        <w:t>y</w:t>
      </w:r>
      <w:r w:rsidR="00DD0730" w:rsidRPr="00194E8E">
        <w:rPr>
          <w:rFonts w:asciiTheme="minorHAnsi" w:hAnsiTheme="minorHAnsi"/>
          <w:sz w:val="24"/>
          <w:szCs w:val="24"/>
          <w:lang w:val="pl-PL"/>
        </w:rPr>
        <w:t xml:space="preserve"> M</w:t>
      </w:r>
      <w:r w:rsidR="002C2963" w:rsidRPr="00194E8E">
        <w:rPr>
          <w:rFonts w:asciiTheme="minorHAnsi" w:hAnsiTheme="minorHAnsi"/>
          <w:sz w:val="24"/>
          <w:szCs w:val="24"/>
          <w:lang w:val="pl-PL"/>
        </w:rPr>
        <w:t xml:space="preserve">inisterstwo </w:t>
      </w:r>
      <w:r w:rsidR="00DD0730" w:rsidRPr="00194E8E">
        <w:rPr>
          <w:rFonts w:asciiTheme="minorHAnsi" w:hAnsiTheme="minorHAnsi"/>
          <w:sz w:val="24"/>
          <w:szCs w:val="24"/>
          <w:lang w:val="pl-PL"/>
        </w:rPr>
        <w:t>S</w:t>
      </w:r>
      <w:r w:rsidR="002C2963" w:rsidRPr="00194E8E">
        <w:rPr>
          <w:rFonts w:asciiTheme="minorHAnsi" w:hAnsiTheme="minorHAnsi"/>
          <w:sz w:val="24"/>
          <w:szCs w:val="24"/>
          <w:lang w:val="pl-PL"/>
        </w:rPr>
        <w:t>prawiedliwości</w:t>
      </w:r>
      <w:r w:rsidR="00A151B7" w:rsidRPr="00194E8E">
        <w:rPr>
          <w:rFonts w:asciiTheme="minorHAnsi" w:hAnsiTheme="minorHAnsi"/>
          <w:sz w:val="24"/>
          <w:szCs w:val="24"/>
          <w:lang w:val="pl-PL"/>
        </w:rPr>
        <w:t>, Ministerstwo Zdrowia, Ministerstwo Spraw Wewnętrznych i Administracji, oraz organy nadzorowane przez te resorty (w szczególności Prokuratura Krajowa, Komenda Główna Straży Granicznej i Komenda Główna Policji)</w:t>
      </w:r>
      <w:r w:rsidR="004507BE" w:rsidRPr="00194E8E">
        <w:rPr>
          <w:rFonts w:asciiTheme="minorHAnsi" w:hAnsiTheme="minorHAnsi"/>
          <w:sz w:val="24"/>
          <w:szCs w:val="24"/>
          <w:lang w:val="pl-PL"/>
        </w:rPr>
        <w:t xml:space="preserve">. </w:t>
      </w:r>
      <w:r w:rsidR="00231798" w:rsidRPr="00194E8E">
        <w:rPr>
          <w:rFonts w:asciiTheme="minorHAnsi" w:hAnsiTheme="minorHAnsi"/>
          <w:sz w:val="24"/>
          <w:szCs w:val="24"/>
          <w:lang w:val="pl-PL"/>
        </w:rPr>
        <w:t xml:space="preserve">Pomimo </w:t>
      </w:r>
      <w:r w:rsidR="006D6E9D" w:rsidRPr="00194E8E">
        <w:rPr>
          <w:rFonts w:asciiTheme="minorHAnsi" w:hAnsiTheme="minorHAnsi"/>
          <w:sz w:val="24"/>
          <w:szCs w:val="24"/>
          <w:lang w:val="pl-PL"/>
        </w:rPr>
        <w:t xml:space="preserve">nadal utrzymujących się ograniczeń związanych z </w:t>
      </w:r>
      <w:r w:rsidR="00231798" w:rsidRPr="00194E8E">
        <w:rPr>
          <w:rFonts w:asciiTheme="minorHAnsi" w:hAnsiTheme="minorHAnsi"/>
          <w:sz w:val="24"/>
          <w:szCs w:val="24"/>
          <w:lang w:val="pl-PL"/>
        </w:rPr>
        <w:t>epidemią wirusa SARS-Co</w:t>
      </w:r>
      <w:r w:rsidR="00571676" w:rsidRPr="00194E8E">
        <w:rPr>
          <w:rFonts w:asciiTheme="minorHAnsi" w:hAnsiTheme="minorHAnsi"/>
          <w:sz w:val="24"/>
          <w:szCs w:val="24"/>
          <w:lang w:val="pl-PL"/>
        </w:rPr>
        <w:t>V</w:t>
      </w:r>
      <w:r w:rsidR="006D6E9D" w:rsidRPr="00194E8E">
        <w:rPr>
          <w:rFonts w:asciiTheme="minorHAnsi" w:hAnsiTheme="minorHAnsi"/>
          <w:sz w:val="24"/>
          <w:szCs w:val="24"/>
          <w:lang w:val="pl-PL"/>
        </w:rPr>
        <w:t>-2</w:t>
      </w:r>
      <w:r w:rsidR="00231798" w:rsidRPr="00194E8E">
        <w:rPr>
          <w:rFonts w:asciiTheme="minorHAnsi" w:hAnsiTheme="minorHAnsi"/>
          <w:sz w:val="24"/>
          <w:szCs w:val="24"/>
          <w:lang w:val="pl-PL"/>
        </w:rPr>
        <w:t>, w</w:t>
      </w:r>
      <w:r w:rsidR="004507BE" w:rsidRPr="00194E8E">
        <w:rPr>
          <w:rFonts w:asciiTheme="minorHAnsi" w:hAnsiTheme="minorHAnsi"/>
          <w:sz w:val="24"/>
          <w:szCs w:val="24"/>
          <w:lang w:val="pl-PL"/>
        </w:rPr>
        <w:t>spółprac</w:t>
      </w:r>
      <w:r w:rsidR="00231798" w:rsidRPr="00194E8E">
        <w:rPr>
          <w:rFonts w:asciiTheme="minorHAnsi" w:hAnsiTheme="minorHAnsi"/>
          <w:sz w:val="24"/>
          <w:szCs w:val="24"/>
          <w:lang w:val="pl-PL"/>
        </w:rPr>
        <w:t xml:space="preserve">a z </w:t>
      </w:r>
      <w:r w:rsidR="008A5734" w:rsidRPr="00194E8E">
        <w:rPr>
          <w:rFonts w:asciiTheme="minorHAnsi" w:hAnsiTheme="minorHAnsi"/>
          <w:sz w:val="24"/>
          <w:szCs w:val="24"/>
          <w:lang w:val="pl-PL"/>
        </w:rPr>
        <w:t xml:space="preserve">powyższymi resortami i instytucjami przy przygotowaniu planów działań i raportów z wykonania oraz innych informacji </w:t>
      </w:r>
      <w:r w:rsidR="00231798" w:rsidRPr="00194E8E">
        <w:rPr>
          <w:rFonts w:asciiTheme="minorHAnsi" w:hAnsiTheme="minorHAnsi"/>
          <w:sz w:val="24"/>
          <w:szCs w:val="24"/>
          <w:lang w:val="pl-PL"/>
        </w:rPr>
        <w:t xml:space="preserve">przebiegała bez problemów. </w:t>
      </w:r>
      <w:r w:rsidR="006D6E9D" w:rsidRPr="00194E8E">
        <w:rPr>
          <w:rFonts w:asciiTheme="minorHAnsi" w:hAnsiTheme="minorHAnsi"/>
          <w:sz w:val="24"/>
          <w:szCs w:val="24"/>
          <w:lang w:val="pl-PL"/>
        </w:rPr>
        <w:t xml:space="preserve">W 2021 r. </w:t>
      </w:r>
      <w:r w:rsidR="008A5734" w:rsidRPr="00194E8E">
        <w:rPr>
          <w:rFonts w:asciiTheme="minorHAnsi" w:hAnsiTheme="minorHAnsi"/>
          <w:sz w:val="24"/>
          <w:szCs w:val="24"/>
          <w:lang w:val="pl-PL"/>
        </w:rPr>
        <w:t>zwoł</w:t>
      </w:r>
      <w:r w:rsidR="00590D21" w:rsidRPr="00194E8E">
        <w:rPr>
          <w:rFonts w:asciiTheme="minorHAnsi" w:hAnsiTheme="minorHAnsi"/>
          <w:sz w:val="24"/>
          <w:szCs w:val="24"/>
          <w:lang w:val="pl-PL"/>
        </w:rPr>
        <w:t xml:space="preserve">ywano także (na wniosek Pełnomocnika lub zainteresowanych instytucji) posiedzenia </w:t>
      </w:r>
      <w:r w:rsidR="008A5734" w:rsidRPr="00194E8E">
        <w:rPr>
          <w:rFonts w:asciiTheme="minorHAnsi" w:hAnsiTheme="minorHAnsi"/>
          <w:sz w:val="24"/>
          <w:szCs w:val="24"/>
          <w:lang w:val="pl-PL"/>
        </w:rPr>
        <w:t>grup roboczych</w:t>
      </w:r>
      <w:r w:rsidR="00590D21" w:rsidRPr="00194E8E">
        <w:rPr>
          <w:rFonts w:asciiTheme="minorHAnsi" w:hAnsiTheme="minorHAnsi"/>
          <w:sz w:val="24"/>
          <w:szCs w:val="24"/>
          <w:lang w:val="pl-PL"/>
        </w:rPr>
        <w:t xml:space="preserve"> Zespołu dla omówienia konkretnego zagadnienia</w:t>
      </w:r>
      <w:r w:rsidR="008A5734" w:rsidRPr="00194E8E">
        <w:rPr>
          <w:rFonts w:asciiTheme="minorHAnsi" w:hAnsiTheme="minorHAnsi"/>
          <w:sz w:val="24"/>
          <w:szCs w:val="24"/>
          <w:lang w:val="pl-PL"/>
        </w:rPr>
        <w:t xml:space="preserve">. Ponadto, tak samo jak w latach ubiegłych, pozytywnie należy ocenić </w:t>
      </w:r>
      <w:r w:rsidR="00DD0730" w:rsidRPr="00194E8E">
        <w:rPr>
          <w:rFonts w:asciiTheme="minorHAnsi" w:hAnsiTheme="minorHAnsi"/>
          <w:sz w:val="24"/>
          <w:szCs w:val="24"/>
          <w:lang w:val="pl-PL"/>
        </w:rPr>
        <w:t>dużą spr</w:t>
      </w:r>
      <w:r w:rsidR="006D6E9D" w:rsidRPr="00194E8E">
        <w:rPr>
          <w:rFonts w:asciiTheme="minorHAnsi" w:hAnsiTheme="minorHAnsi"/>
          <w:sz w:val="24"/>
          <w:szCs w:val="24"/>
          <w:lang w:val="pl-PL"/>
        </w:rPr>
        <w:t>awność tłumaczenia wyroków ETPC</w:t>
      </w:r>
      <w:r w:rsidR="00DD0730" w:rsidRPr="00194E8E">
        <w:rPr>
          <w:rFonts w:asciiTheme="minorHAnsi" w:hAnsiTheme="minorHAnsi"/>
          <w:sz w:val="24"/>
          <w:szCs w:val="24"/>
          <w:lang w:val="pl-PL"/>
        </w:rPr>
        <w:t xml:space="preserve"> stwierdzających naruszenia w sprawach dotyczących Polski</w:t>
      </w:r>
      <w:r w:rsidR="008A5734" w:rsidRPr="00194E8E">
        <w:rPr>
          <w:rFonts w:asciiTheme="minorHAnsi" w:hAnsiTheme="minorHAnsi"/>
          <w:sz w:val="24"/>
          <w:szCs w:val="24"/>
          <w:lang w:val="pl-PL"/>
        </w:rPr>
        <w:t>.</w:t>
      </w:r>
    </w:p>
    <w:p w:rsidR="00DD0730" w:rsidRPr="00194E8E" w:rsidRDefault="006D6E9D" w:rsidP="00673C49">
      <w:pPr>
        <w:pStyle w:val="Akapitzlist"/>
        <w:spacing w:after="120" w:line="240" w:lineRule="auto"/>
        <w:ind w:left="0"/>
        <w:jc w:val="both"/>
        <w:rPr>
          <w:rFonts w:asciiTheme="minorHAnsi" w:hAnsiTheme="minorHAnsi"/>
          <w:sz w:val="24"/>
          <w:szCs w:val="24"/>
          <w:lang w:val="pl-PL"/>
        </w:rPr>
      </w:pPr>
      <w:r w:rsidRPr="00194E8E">
        <w:rPr>
          <w:rFonts w:asciiTheme="minorHAnsi" w:hAnsiTheme="minorHAnsi"/>
          <w:sz w:val="24"/>
          <w:szCs w:val="24"/>
          <w:lang w:val="pl-PL"/>
        </w:rPr>
        <w:t xml:space="preserve">Zasadniczo należy wskazać, że pomimo utrzymujących się w 2021 r. ograniczeń związanych z </w:t>
      </w:r>
      <w:r w:rsidR="0044355A" w:rsidRPr="00194E8E">
        <w:rPr>
          <w:rFonts w:asciiTheme="minorHAnsi" w:hAnsiTheme="minorHAnsi"/>
          <w:sz w:val="24"/>
          <w:szCs w:val="24"/>
          <w:lang w:val="pl-PL"/>
        </w:rPr>
        <w:t>epidemi</w:t>
      </w:r>
      <w:r w:rsidR="00231798" w:rsidRPr="00194E8E">
        <w:rPr>
          <w:rFonts w:asciiTheme="minorHAnsi" w:hAnsiTheme="minorHAnsi"/>
          <w:sz w:val="24"/>
          <w:szCs w:val="24"/>
          <w:lang w:val="pl-PL"/>
        </w:rPr>
        <w:t>ą wirusa</w:t>
      </w:r>
      <w:r w:rsidR="0044355A" w:rsidRPr="00194E8E">
        <w:rPr>
          <w:rFonts w:asciiTheme="minorHAnsi" w:hAnsiTheme="minorHAnsi"/>
          <w:sz w:val="24"/>
          <w:szCs w:val="24"/>
          <w:lang w:val="pl-PL"/>
        </w:rPr>
        <w:t xml:space="preserve"> SARS-Co</w:t>
      </w:r>
      <w:r w:rsidR="00571676" w:rsidRPr="00194E8E">
        <w:rPr>
          <w:rFonts w:asciiTheme="minorHAnsi" w:hAnsiTheme="minorHAnsi"/>
          <w:sz w:val="24"/>
          <w:szCs w:val="24"/>
          <w:lang w:val="pl-PL"/>
        </w:rPr>
        <w:t>V</w:t>
      </w:r>
      <w:r w:rsidR="0044355A" w:rsidRPr="00194E8E">
        <w:rPr>
          <w:rFonts w:asciiTheme="minorHAnsi" w:hAnsiTheme="minorHAnsi"/>
          <w:sz w:val="24"/>
          <w:szCs w:val="24"/>
          <w:lang w:val="pl-PL"/>
        </w:rPr>
        <w:t>-2</w:t>
      </w:r>
      <w:r w:rsidRPr="00194E8E">
        <w:rPr>
          <w:rFonts w:asciiTheme="minorHAnsi" w:hAnsiTheme="minorHAnsi"/>
          <w:sz w:val="24"/>
          <w:szCs w:val="24"/>
          <w:lang w:val="pl-PL"/>
        </w:rPr>
        <w:t xml:space="preserve"> współpraca na </w:t>
      </w:r>
      <w:r w:rsidR="00DD0730" w:rsidRPr="00194E8E">
        <w:rPr>
          <w:rFonts w:asciiTheme="minorHAnsi" w:hAnsiTheme="minorHAnsi"/>
          <w:sz w:val="24"/>
          <w:szCs w:val="24"/>
          <w:lang w:val="pl-PL"/>
        </w:rPr>
        <w:t>forum Zespołu ds. ETPC z udziałem wszystkich właściwych w sprawie wykonania wyrok</w:t>
      </w:r>
      <w:r w:rsidRPr="00194E8E">
        <w:rPr>
          <w:rFonts w:asciiTheme="minorHAnsi" w:hAnsiTheme="minorHAnsi"/>
          <w:sz w:val="24"/>
          <w:szCs w:val="24"/>
          <w:lang w:val="pl-PL"/>
        </w:rPr>
        <w:t>ów</w:t>
      </w:r>
      <w:r w:rsidR="00DD0730" w:rsidRPr="00194E8E">
        <w:rPr>
          <w:rFonts w:asciiTheme="minorHAnsi" w:hAnsiTheme="minorHAnsi"/>
          <w:sz w:val="24"/>
          <w:szCs w:val="24"/>
          <w:lang w:val="pl-PL"/>
        </w:rPr>
        <w:t xml:space="preserve"> organów władzy wykonawczej, ustawodawczej, sądowej, a także Rzecznika Praw Obywatelskich i Rządowego Centrum Legislacji</w:t>
      </w:r>
      <w:r w:rsidR="00673C49">
        <w:rPr>
          <w:rFonts w:asciiTheme="minorHAnsi" w:hAnsiTheme="minorHAnsi"/>
          <w:sz w:val="24"/>
          <w:szCs w:val="24"/>
          <w:lang w:val="pl-PL"/>
        </w:rPr>
        <w:t>,</w:t>
      </w:r>
      <w:r w:rsidRPr="00194E8E">
        <w:rPr>
          <w:rFonts w:asciiTheme="minorHAnsi" w:hAnsiTheme="minorHAnsi"/>
          <w:sz w:val="24"/>
          <w:szCs w:val="24"/>
          <w:lang w:val="pl-PL"/>
        </w:rPr>
        <w:t xml:space="preserve"> układała się odpowiednio</w:t>
      </w:r>
      <w:r w:rsidR="00DD0730" w:rsidRPr="00194E8E">
        <w:rPr>
          <w:rFonts w:asciiTheme="minorHAnsi" w:hAnsiTheme="minorHAnsi"/>
          <w:sz w:val="24"/>
          <w:szCs w:val="24"/>
          <w:lang w:val="pl-PL"/>
        </w:rPr>
        <w:t xml:space="preserve">. </w:t>
      </w:r>
      <w:r w:rsidRPr="00194E8E">
        <w:rPr>
          <w:rFonts w:asciiTheme="minorHAnsi" w:hAnsiTheme="minorHAnsi"/>
          <w:sz w:val="24"/>
          <w:szCs w:val="24"/>
          <w:lang w:val="pl-PL"/>
        </w:rPr>
        <w:t xml:space="preserve">Przypomnienia wymaga, że takiego rodzaju współpraca </w:t>
      </w:r>
      <w:r w:rsidR="00DD0730" w:rsidRPr="00194E8E">
        <w:rPr>
          <w:rFonts w:asciiTheme="minorHAnsi" w:hAnsiTheme="minorHAnsi"/>
          <w:sz w:val="24"/>
          <w:szCs w:val="24"/>
          <w:lang w:val="pl-PL"/>
        </w:rPr>
        <w:t xml:space="preserve">pozwala w sposób </w:t>
      </w:r>
      <w:r w:rsidRPr="00194E8E">
        <w:rPr>
          <w:rFonts w:asciiTheme="minorHAnsi" w:hAnsiTheme="minorHAnsi"/>
          <w:sz w:val="24"/>
          <w:szCs w:val="24"/>
          <w:lang w:val="pl-PL"/>
        </w:rPr>
        <w:t xml:space="preserve">całościowy </w:t>
      </w:r>
      <w:r w:rsidR="00DD0730" w:rsidRPr="00194E8E">
        <w:rPr>
          <w:rFonts w:asciiTheme="minorHAnsi" w:hAnsiTheme="minorHAnsi"/>
          <w:sz w:val="24"/>
          <w:szCs w:val="24"/>
          <w:lang w:val="pl-PL"/>
        </w:rPr>
        <w:t xml:space="preserve">przeanalizować sposób wykonania poszczególnych wyroków i znacząco przyspiesza ten proces. </w:t>
      </w:r>
    </w:p>
    <w:p w:rsidR="00DD0730" w:rsidRPr="00194E8E" w:rsidRDefault="00DE61BD" w:rsidP="00673C49">
      <w:pPr>
        <w:pStyle w:val="Akapitzlist"/>
        <w:spacing w:after="120" w:line="240" w:lineRule="auto"/>
        <w:ind w:left="0"/>
        <w:jc w:val="both"/>
        <w:rPr>
          <w:rFonts w:asciiTheme="minorHAnsi" w:hAnsiTheme="minorHAnsi"/>
          <w:sz w:val="24"/>
          <w:szCs w:val="24"/>
          <w:lang w:val="pl-PL"/>
        </w:rPr>
      </w:pPr>
      <w:r w:rsidRPr="00194E8E">
        <w:rPr>
          <w:rFonts w:asciiTheme="minorHAnsi" w:hAnsiTheme="minorHAnsi"/>
          <w:sz w:val="24"/>
          <w:szCs w:val="24"/>
          <w:lang w:val="pl-PL"/>
        </w:rPr>
        <w:t xml:space="preserve">W 2021 r. wynikający z zarządzenia obowiązek przetłumaczenia wydanych przez </w:t>
      </w:r>
      <w:r w:rsidR="00BA13ED">
        <w:rPr>
          <w:rFonts w:asciiTheme="minorHAnsi" w:hAnsiTheme="minorHAnsi"/>
          <w:sz w:val="24"/>
          <w:szCs w:val="24"/>
          <w:lang w:val="pl-PL"/>
        </w:rPr>
        <w:t>ETPC</w:t>
      </w:r>
      <w:r w:rsidRPr="00194E8E">
        <w:rPr>
          <w:rFonts w:asciiTheme="minorHAnsi" w:hAnsiTheme="minorHAnsi"/>
          <w:sz w:val="24"/>
          <w:szCs w:val="24"/>
          <w:lang w:val="pl-PL"/>
        </w:rPr>
        <w:t xml:space="preserve"> wyroków stwierdzających naruszenia Konwencji dotyczył Ministerstwa Sprawiedliwości i Ministerstwa Spraw Wewnętrznych i Administracji. Według stanu na koniec grudnia 2021 r. oba te ministerstwa wywiązały się terminowo ze wszystkich obowiązków w zakresie tłumaczenia. Wykraczając poza obowiązki nałożone zarządzeniem, Ministerstwo Sprawiedliwości dokonało również dodatkowo tłumaczenia wyroku, w którym </w:t>
      </w:r>
      <w:r w:rsidR="00BA13ED">
        <w:rPr>
          <w:rFonts w:asciiTheme="minorHAnsi" w:hAnsiTheme="minorHAnsi"/>
          <w:sz w:val="24"/>
          <w:szCs w:val="24"/>
          <w:lang w:val="pl-PL"/>
        </w:rPr>
        <w:t>ETPC</w:t>
      </w:r>
      <w:r w:rsidRPr="00194E8E">
        <w:rPr>
          <w:rFonts w:asciiTheme="minorHAnsi" w:hAnsiTheme="minorHAnsi"/>
          <w:sz w:val="24"/>
          <w:szCs w:val="24"/>
          <w:lang w:val="pl-PL"/>
        </w:rPr>
        <w:t xml:space="preserve"> nie stwierdził żadnego naruszenia Konwencji przez Polskę.</w:t>
      </w:r>
    </w:p>
    <w:p w:rsidR="00DD0730" w:rsidRPr="00194E8E" w:rsidRDefault="00DD0730" w:rsidP="00673C49">
      <w:pPr>
        <w:pStyle w:val="Akapitzlist"/>
        <w:numPr>
          <w:ilvl w:val="0"/>
          <w:numId w:val="2"/>
        </w:numPr>
        <w:spacing w:before="240" w:after="120" w:line="240" w:lineRule="auto"/>
        <w:ind w:left="709" w:hanging="425"/>
        <w:jc w:val="both"/>
        <w:rPr>
          <w:rFonts w:asciiTheme="minorHAnsi" w:hAnsiTheme="minorHAnsi"/>
          <w:b/>
          <w:sz w:val="24"/>
          <w:szCs w:val="24"/>
          <w:lang w:val="pl-PL"/>
        </w:rPr>
      </w:pPr>
      <w:r w:rsidRPr="00194E8E">
        <w:rPr>
          <w:rFonts w:asciiTheme="minorHAnsi" w:hAnsiTheme="minorHAnsi"/>
          <w:b/>
          <w:sz w:val="24"/>
          <w:szCs w:val="24"/>
          <w:lang w:val="pl-PL"/>
        </w:rPr>
        <w:t xml:space="preserve">Badanie przez MSZ projektów aktów prawnych pod względem ich zgodności z </w:t>
      </w:r>
      <w:r w:rsidRPr="00194E8E">
        <w:rPr>
          <w:rFonts w:asciiTheme="minorHAnsi" w:hAnsiTheme="minorHAnsi"/>
          <w:b/>
          <w:i/>
          <w:sz w:val="24"/>
          <w:szCs w:val="24"/>
          <w:lang w:val="pl-PL"/>
        </w:rPr>
        <w:t>Konwencją o ochronie praw człowieka i podstawowych wolności</w:t>
      </w:r>
    </w:p>
    <w:p w:rsidR="00DD0730" w:rsidRPr="00194E8E" w:rsidRDefault="00D543DA" w:rsidP="00673C49">
      <w:pPr>
        <w:spacing w:after="120"/>
        <w:jc w:val="both"/>
        <w:rPr>
          <w:rFonts w:asciiTheme="minorHAnsi" w:hAnsiTheme="minorHAnsi"/>
        </w:rPr>
      </w:pPr>
      <w:r w:rsidRPr="00194E8E">
        <w:rPr>
          <w:rFonts w:asciiTheme="minorHAnsi" w:hAnsiTheme="minorHAnsi"/>
        </w:rPr>
        <w:t>W okresie sprawozdawczym Pełnomocnik zaopiniował ok</w:t>
      </w:r>
      <w:r w:rsidR="005A00BF" w:rsidRPr="00194E8E">
        <w:rPr>
          <w:rFonts w:asciiTheme="minorHAnsi" w:hAnsiTheme="minorHAnsi"/>
        </w:rPr>
        <w:t>oło</w:t>
      </w:r>
      <w:r w:rsidRPr="00194E8E">
        <w:rPr>
          <w:rFonts w:asciiTheme="minorHAnsi" w:hAnsiTheme="minorHAnsi"/>
        </w:rPr>
        <w:t xml:space="preserve"> 205 projektów aktów prawnych i innych dokumentów podlegających konsultacjom w ramach Rady Ministrów na różnych etapach procesu legislacyjnego w zakresie dot</w:t>
      </w:r>
      <w:r w:rsidR="005A00BF" w:rsidRPr="00194E8E">
        <w:rPr>
          <w:rFonts w:asciiTheme="minorHAnsi" w:hAnsiTheme="minorHAnsi"/>
        </w:rPr>
        <w:t>yczącym</w:t>
      </w:r>
      <w:r w:rsidRPr="00194E8E">
        <w:rPr>
          <w:rFonts w:asciiTheme="minorHAnsi" w:hAnsiTheme="minorHAnsi"/>
        </w:rPr>
        <w:t xml:space="preserve"> zgodności z Konwencją o ochronie praw człowieka i podstawowych wolności. Zgłoszono uwagi lub propozycje do projektów: </w:t>
      </w:r>
      <w:r w:rsidRPr="00194E8E">
        <w:rPr>
          <w:rFonts w:asciiTheme="minorHAnsi" w:hAnsiTheme="minorHAnsi"/>
          <w:i/>
        </w:rPr>
        <w:t>ustawy o zmianie ustawy – Kodeks karny oraz niektórych innych ustaw</w:t>
      </w:r>
      <w:r w:rsidRPr="00194E8E">
        <w:rPr>
          <w:rFonts w:asciiTheme="minorHAnsi" w:hAnsiTheme="minorHAnsi"/>
        </w:rPr>
        <w:t xml:space="preserve">, </w:t>
      </w:r>
      <w:r w:rsidRPr="00194E8E">
        <w:rPr>
          <w:rFonts w:asciiTheme="minorHAnsi" w:hAnsiTheme="minorHAnsi"/>
          <w:i/>
        </w:rPr>
        <w:t>ustawy o zmianie ustawy o cudzoziemcach i ustawy o udzielaniu cudzoziemcom ochrony na terytorium Rzeczypospolitej Polskiej</w:t>
      </w:r>
      <w:r w:rsidRPr="00194E8E">
        <w:rPr>
          <w:rFonts w:asciiTheme="minorHAnsi" w:hAnsiTheme="minorHAnsi"/>
        </w:rPr>
        <w:t xml:space="preserve"> (UD265), </w:t>
      </w:r>
      <w:r w:rsidRPr="00194E8E">
        <w:rPr>
          <w:rFonts w:asciiTheme="minorHAnsi" w:hAnsiTheme="minorHAnsi"/>
          <w:i/>
        </w:rPr>
        <w:t>uchwały Rady Ministrów w</w:t>
      </w:r>
      <w:r w:rsidR="005A00BF" w:rsidRPr="00194E8E">
        <w:rPr>
          <w:rFonts w:asciiTheme="minorHAnsi" w:hAnsiTheme="minorHAnsi"/>
          <w:i/>
        </w:rPr>
        <w:t xml:space="preserve"> </w:t>
      </w:r>
      <w:r w:rsidRPr="00194E8E">
        <w:rPr>
          <w:rFonts w:asciiTheme="minorHAnsi" w:hAnsiTheme="minorHAnsi"/>
          <w:i/>
        </w:rPr>
        <w:t>s</w:t>
      </w:r>
      <w:r w:rsidR="005A00BF" w:rsidRPr="00194E8E">
        <w:rPr>
          <w:rFonts w:asciiTheme="minorHAnsi" w:hAnsiTheme="minorHAnsi"/>
          <w:i/>
        </w:rPr>
        <w:t>prawie</w:t>
      </w:r>
      <w:r w:rsidRPr="00194E8E">
        <w:rPr>
          <w:rFonts w:asciiTheme="minorHAnsi" w:hAnsiTheme="minorHAnsi"/>
          <w:i/>
        </w:rPr>
        <w:t xml:space="preserve"> wniosku o wprowadzenie stanu wyjątkowego na obszarze części województwa podlaskiego oraz części województwa lubelskiego i rozporządzenia RM w sprawie ograniczeń wolności i praw w </w:t>
      </w:r>
      <w:r w:rsidRPr="00194E8E">
        <w:rPr>
          <w:rFonts w:asciiTheme="minorHAnsi" w:hAnsiTheme="minorHAnsi"/>
          <w:i/>
        </w:rPr>
        <w:lastRenderedPageBreak/>
        <w:t>związku z wprowadzeniem stanu wyjątkowego</w:t>
      </w:r>
      <w:r w:rsidRPr="00194E8E">
        <w:rPr>
          <w:rFonts w:asciiTheme="minorHAnsi" w:hAnsiTheme="minorHAnsi"/>
        </w:rPr>
        <w:t xml:space="preserve">, </w:t>
      </w:r>
      <w:r w:rsidRPr="00194E8E">
        <w:rPr>
          <w:rFonts w:asciiTheme="minorHAnsi" w:hAnsiTheme="minorHAnsi"/>
          <w:i/>
        </w:rPr>
        <w:t>rozporządzenia Ministra Spraw Wewnętrznych i Administracji w sprawie strzeżonych ośrodków i aresztów dla cudzoziemców</w:t>
      </w:r>
      <w:r w:rsidRPr="00194E8E">
        <w:rPr>
          <w:rFonts w:asciiTheme="minorHAnsi" w:hAnsiTheme="minorHAnsi"/>
        </w:rPr>
        <w:t xml:space="preserve"> oraz </w:t>
      </w:r>
      <w:r w:rsidRPr="00194E8E">
        <w:rPr>
          <w:rFonts w:asciiTheme="minorHAnsi" w:hAnsiTheme="minorHAnsi"/>
          <w:i/>
        </w:rPr>
        <w:t>rozporządzenia Rady Ministrów w sprawie szczegółowych warunków realizacji rządowego programu „Dobry start”</w:t>
      </w:r>
      <w:r w:rsidRPr="00194E8E">
        <w:rPr>
          <w:rFonts w:asciiTheme="minorHAnsi" w:hAnsiTheme="minorHAnsi"/>
        </w:rPr>
        <w:t>. Należy jednak zauważyć, że większość otrzymywanych przez Pełnomocnika do zaopiniowania projektów nie dotyczyła kwestii objętych przepisami Konwencji.</w:t>
      </w:r>
    </w:p>
    <w:p w:rsidR="00DD0730" w:rsidRPr="00194E8E" w:rsidRDefault="00DD0730" w:rsidP="002D4F07">
      <w:pPr>
        <w:pStyle w:val="Akapitzlist"/>
        <w:numPr>
          <w:ilvl w:val="0"/>
          <w:numId w:val="2"/>
        </w:numPr>
        <w:spacing w:before="240" w:after="120" w:line="240" w:lineRule="auto"/>
        <w:ind w:left="709" w:hanging="425"/>
        <w:jc w:val="both"/>
        <w:rPr>
          <w:rFonts w:asciiTheme="minorHAnsi" w:hAnsiTheme="minorHAnsi"/>
          <w:b/>
          <w:sz w:val="24"/>
          <w:szCs w:val="24"/>
          <w:lang w:val="pl-PL"/>
        </w:rPr>
      </w:pPr>
      <w:r w:rsidRPr="00194E8E">
        <w:rPr>
          <w:rFonts w:asciiTheme="minorHAnsi" w:hAnsiTheme="minorHAnsi"/>
          <w:b/>
          <w:sz w:val="24"/>
          <w:szCs w:val="24"/>
          <w:lang w:val="pl-PL"/>
        </w:rPr>
        <w:t xml:space="preserve">Informacja na temat kontynuacji inicjatywy polegającej na tłumaczeniu na język polski wyroków </w:t>
      </w:r>
      <w:r w:rsidR="00BA13ED">
        <w:rPr>
          <w:rFonts w:asciiTheme="minorHAnsi" w:hAnsiTheme="minorHAnsi"/>
          <w:b/>
          <w:sz w:val="24"/>
          <w:szCs w:val="24"/>
          <w:lang w:val="pl-PL"/>
        </w:rPr>
        <w:t>ETPC</w:t>
      </w:r>
      <w:r w:rsidRPr="00194E8E">
        <w:rPr>
          <w:rFonts w:asciiTheme="minorHAnsi" w:hAnsiTheme="minorHAnsi"/>
          <w:b/>
          <w:sz w:val="24"/>
          <w:szCs w:val="24"/>
          <w:lang w:val="pl-PL"/>
        </w:rPr>
        <w:t xml:space="preserve"> wydanych w sprawach dotyczących innych państw</w:t>
      </w:r>
    </w:p>
    <w:p w:rsidR="00D543DA" w:rsidRPr="00194E8E" w:rsidRDefault="00D543DA" w:rsidP="002D4F07">
      <w:pPr>
        <w:spacing w:after="120"/>
        <w:jc w:val="both"/>
        <w:rPr>
          <w:rFonts w:asciiTheme="minorHAnsi" w:hAnsiTheme="minorHAnsi"/>
        </w:rPr>
      </w:pPr>
      <w:r w:rsidRPr="00194E8E">
        <w:rPr>
          <w:rFonts w:asciiTheme="minorHAnsi" w:hAnsiTheme="minorHAnsi"/>
        </w:rPr>
        <w:t>W dniu 24 marca 2014 r. MSZ, Ministerstwo Sprawiedliwości, Trybunał Konstytucyjny i Naczelny Sąd Administracyjny podpisały porozumienie w sprawie tłumaczeń wyroków ETPC, wydanych w sprawach przeciwko innym państwom. Z dniem 31 sierpnia 2015 r. do Porozumienia przystąpił Prokurator Generalny, który zobowiązał się do zapewnienia tłumaczenia na język polski, od dnia 1 stycznia 2016 r., po 10 orzeczeń rocznie.</w:t>
      </w:r>
    </w:p>
    <w:p w:rsidR="00D543DA" w:rsidRPr="00194E8E" w:rsidRDefault="00D543DA" w:rsidP="002D4F07">
      <w:pPr>
        <w:spacing w:after="120"/>
        <w:jc w:val="both"/>
        <w:rPr>
          <w:rFonts w:asciiTheme="minorHAnsi" w:hAnsiTheme="minorHAnsi"/>
        </w:rPr>
      </w:pPr>
      <w:r w:rsidRPr="00194E8E">
        <w:rPr>
          <w:rFonts w:asciiTheme="minorHAnsi" w:hAnsiTheme="minorHAnsi"/>
        </w:rPr>
        <w:t xml:space="preserve">Strony Porozumienia wspólnie dokonują wyboru orzeczeń </w:t>
      </w:r>
      <w:r w:rsidR="002D4F07">
        <w:rPr>
          <w:rFonts w:asciiTheme="minorHAnsi" w:hAnsiTheme="minorHAnsi"/>
        </w:rPr>
        <w:t>ETPC</w:t>
      </w:r>
      <w:r w:rsidRPr="00194E8E">
        <w:rPr>
          <w:rFonts w:asciiTheme="minorHAnsi" w:hAnsiTheme="minorHAnsi"/>
        </w:rPr>
        <w:t xml:space="preserve"> do tłumaczenia, a także przekazują sobie wzajemnie przetłumaczone orzeczenia celem udostępnienia na stronach internetowych oraz wykorzystywania w działalności upowszechniającej i szkoleniowej. Tłumaczenia są również przekazywane do bazy orzeczeń </w:t>
      </w:r>
      <w:r w:rsidR="00BA13ED">
        <w:rPr>
          <w:rFonts w:asciiTheme="minorHAnsi" w:hAnsiTheme="minorHAnsi"/>
        </w:rPr>
        <w:t>ETPC</w:t>
      </w:r>
      <w:r w:rsidRPr="00194E8E">
        <w:rPr>
          <w:rFonts w:asciiTheme="minorHAnsi" w:hAnsiTheme="minorHAnsi"/>
        </w:rPr>
        <w:t xml:space="preserve"> HUDOC.</w:t>
      </w:r>
    </w:p>
    <w:p w:rsidR="00D543DA" w:rsidRPr="00194E8E" w:rsidRDefault="00FF11C1" w:rsidP="002D4F07">
      <w:pPr>
        <w:spacing w:after="120"/>
        <w:jc w:val="both"/>
        <w:rPr>
          <w:rFonts w:asciiTheme="minorHAnsi" w:hAnsiTheme="minorHAnsi"/>
        </w:rPr>
      </w:pPr>
      <w:r w:rsidRPr="00194E8E">
        <w:rPr>
          <w:rFonts w:asciiTheme="minorHAnsi" w:hAnsiTheme="minorHAnsi"/>
        </w:rPr>
        <w:t xml:space="preserve">W </w:t>
      </w:r>
      <w:r w:rsidR="00D543DA" w:rsidRPr="00194E8E">
        <w:rPr>
          <w:rFonts w:asciiTheme="minorHAnsi" w:hAnsiTheme="minorHAnsi"/>
        </w:rPr>
        <w:t xml:space="preserve">2021 r. </w:t>
      </w:r>
      <w:r w:rsidR="00410F65" w:rsidRPr="00194E8E">
        <w:rPr>
          <w:rFonts w:asciiTheme="minorHAnsi" w:hAnsiTheme="minorHAnsi"/>
        </w:rPr>
        <w:t>Strony Porozumienia przetłumaczyły</w:t>
      </w:r>
      <w:r w:rsidR="00D543DA" w:rsidRPr="00194E8E">
        <w:rPr>
          <w:rFonts w:asciiTheme="minorHAnsi" w:hAnsiTheme="minorHAnsi"/>
        </w:rPr>
        <w:t xml:space="preserve"> </w:t>
      </w:r>
      <w:r w:rsidRPr="00194E8E">
        <w:rPr>
          <w:rFonts w:asciiTheme="minorHAnsi" w:hAnsiTheme="minorHAnsi"/>
        </w:rPr>
        <w:t xml:space="preserve">40 nowych </w:t>
      </w:r>
      <w:r w:rsidR="00D543DA" w:rsidRPr="00194E8E">
        <w:rPr>
          <w:rFonts w:asciiTheme="minorHAnsi" w:hAnsiTheme="minorHAnsi"/>
        </w:rPr>
        <w:t>orzeczeń ETPC w sprawach dotyczących innych państw (</w:t>
      </w:r>
      <w:r w:rsidRPr="00194E8E">
        <w:rPr>
          <w:rFonts w:asciiTheme="minorHAnsi" w:hAnsiTheme="minorHAnsi"/>
        </w:rPr>
        <w:t>w sumie w ramach porozumienia przetłumaczono już ponad 260 takich orzeczeń</w:t>
      </w:r>
      <w:r w:rsidR="00D543DA" w:rsidRPr="00194E8E">
        <w:rPr>
          <w:rFonts w:asciiTheme="minorHAnsi" w:hAnsiTheme="minorHAnsi"/>
        </w:rPr>
        <w:t xml:space="preserve">). W 2021 r. MSZ zapewniło korektę tłumaczeń 38 orzeczeń ETPC przygotowanych przez inne podmioty, a także kontynuowało tłumaczenie streszczeń wyroków przygotowywanych przez Kancelarię </w:t>
      </w:r>
      <w:r w:rsidR="002D4F07">
        <w:rPr>
          <w:rFonts w:asciiTheme="minorHAnsi" w:hAnsiTheme="minorHAnsi"/>
        </w:rPr>
        <w:t>ETPC</w:t>
      </w:r>
      <w:r w:rsidR="00D543DA" w:rsidRPr="00194E8E">
        <w:rPr>
          <w:rFonts w:asciiTheme="minorHAnsi" w:hAnsiTheme="minorHAnsi"/>
        </w:rPr>
        <w:t xml:space="preserve"> (w 2021 r. przetłumaczyło ich 34). Tłumaczenia są zamieszczane najpierw na stronach internetowych tłumaczących podmiotów, a następnie, po dodatkowych korektach MSZ, w bazie HUDOC. </w:t>
      </w:r>
    </w:p>
    <w:p w:rsidR="00DD0730" w:rsidRPr="00194E8E" w:rsidRDefault="00D543DA" w:rsidP="002D4F07">
      <w:pPr>
        <w:spacing w:after="120"/>
        <w:jc w:val="both"/>
        <w:rPr>
          <w:rFonts w:asciiTheme="minorHAnsi" w:hAnsiTheme="minorHAnsi"/>
        </w:rPr>
      </w:pPr>
      <w:r w:rsidRPr="00194E8E">
        <w:rPr>
          <w:rFonts w:asciiTheme="minorHAnsi" w:hAnsiTheme="minorHAnsi"/>
        </w:rPr>
        <w:t xml:space="preserve">Pełnomocnik przygotował ponadto przegląd ponad 90 orzeczeń </w:t>
      </w:r>
      <w:r w:rsidR="002D4F07">
        <w:rPr>
          <w:rFonts w:asciiTheme="minorHAnsi" w:hAnsiTheme="minorHAnsi"/>
        </w:rPr>
        <w:t>ETPC</w:t>
      </w:r>
      <w:r w:rsidRPr="00194E8E">
        <w:rPr>
          <w:rFonts w:asciiTheme="minorHAnsi" w:hAnsiTheme="minorHAnsi"/>
        </w:rPr>
        <w:t xml:space="preserve"> za 2020 r. w sprawach dotyczących innych państw, z którego partnerzy porozumienia dokonali (lub dokonują) wyboru kolejnych orzeczeń do tłumaczenia. </w:t>
      </w:r>
    </w:p>
    <w:p w:rsidR="00DD0730" w:rsidRPr="00194E8E" w:rsidRDefault="00DD0730" w:rsidP="002D4F07">
      <w:pPr>
        <w:pStyle w:val="Akapitzlist"/>
        <w:numPr>
          <w:ilvl w:val="0"/>
          <w:numId w:val="2"/>
        </w:numPr>
        <w:spacing w:before="240" w:after="120" w:line="240" w:lineRule="auto"/>
        <w:ind w:left="709" w:hanging="425"/>
        <w:jc w:val="both"/>
        <w:rPr>
          <w:rFonts w:asciiTheme="minorHAnsi" w:hAnsiTheme="minorHAnsi"/>
          <w:b/>
          <w:sz w:val="24"/>
          <w:szCs w:val="24"/>
          <w:lang w:val="pl-PL"/>
        </w:rPr>
      </w:pPr>
      <w:r w:rsidRPr="00194E8E">
        <w:rPr>
          <w:rFonts w:asciiTheme="minorHAnsi" w:hAnsiTheme="minorHAnsi"/>
          <w:b/>
          <w:sz w:val="24"/>
          <w:szCs w:val="24"/>
          <w:lang w:val="pl-PL"/>
        </w:rPr>
        <w:t>Informacja na temat organizacji wizyt stud</w:t>
      </w:r>
      <w:r w:rsidR="00DB2723" w:rsidRPr="00194E8E">
        <w:rPr>
          <w:rFonts w:asciiTheme="minorHAnsi" w:hAnsiTheme="minorHAnsi"/>
          <w:b/>
          <w:sz w:val="24"/>
          <w:szCs w:val="24"/>
          <w:lang w:val="pl-PL"/>
        </w:rPr>
        <w:t>yjnych i delegacji (</w:t>
      </w:r>
      <w:r w:rsidR="00DB2723" w:rsidRPr="00194E8E">
        <w:rPr>
          <w:rFonts w:asciiTheme="minorHAnsi" w:hAnsiTheme="minorHAnsi"/>
          <w:b/>
          <w:i/>
          <w:sz w:val="24"/>
          <w:szCs w:val="24"/>
          <w:lang w:val="pl-PL"/>
        </w:rPr>
        <w:t>secondments</w:t>
      </w:r>
      <w:r w:rsidRPr="00194E8E">
        <w:rPr>
          <w:rFonts w:asciiTheme="minorHAnsi" w:hAnsiTheme="minorHAnsi"/>
          <w:b/>
          <w:sz w:val="24"/>
          <w:szCs w:val="24"/>
          <w:lang w:val="pl-PL"/>
        </w:rPr>
        <w:t xml:space="preserve">) do </w:t>
      </w:r>
      <w:r w:rsidR="00B64496" w:rsidRPr="00194E8E">
        <w:rPr>
          <w:rFonts w:asciiTheme="minorHAnsi" w:hAnsiTheme="minorHAnsi"/>
          <w:b/>
          <w:sz w:val="24"/>
          <w:szCs w:val="24"/>
          <w:lang w:val="pl-PL"/>
        </w:rPr>
        <w:t xml:space="preserve">Rady Europy i </w:t>
      </w:r>
      <w:r w:rsidR="00BA13ED">
        <w:rPr>
          <w:rFonts w:asciiTheme="minorHAnsi" w:hAnsiTheme="minorHAnsi"/>
          <w:b/>
          <w:sz w:val="24"/>
          <w:szCs w:val="24"/>
          <w:lang w:val="pl-PL"/>
        </w:rPr>
        <w:t>ETPC</w:t>
      </w:r>
    </w:p>
    <w:p w:rsidR="00DD0730" w:rsidRPr="00194E8E" w:rsidRDefault="007E61D4" w:rsidP="002D4F07">
      <w:pPr>
        <w:pStyle w:val="Akapitzlist"/>
        <w:spacing w:before="120" w:after="120" w:line="240" w:lineRule="auto"/>
        <w:ind w:left="0"/>
        <w:jc w:val="both"/>
        <w:rPr>
          <w:rFonts w:asciiTheme="minorHAnsi" w:hAnsiTheme="minorHAnsi"/>
          <w:sz w:val="24"/>
          <w:szCs w:val="24"/>
          <w:lang w:val="pl-PL"/>
        </w:rPr>
      </w:pPr>
      <w:r w:rsidRPr="00194E8E">
        <w:rPr>
          <w:rFonts w:asciiTheme="minorHAnsi" w:hAnsiTheme="minorHAnsi"/>
          <w:sz w:val="24"/>
          <w:szCs w:val="24"/>
          <w:lang w:val="pl-PL"/>
        </w:rPr>
        <w:t xml:space="preserve">Z uwagi na ograniczenia w podróżowaniu związane z </w:t>
      </w:r>
      <w:r w:rsidR="002013A9" w:rsidRPr="00194E8E">
        <w:rPr>
          <w:rFonts w:asciiTheme="minorHAnsi" w:hAnsiTheme="minorHAnsi"/>
          <w:sz w:val="24"/>
          <w:szCs w:val="24"/>
          <w:lang w:val="pl-PL"/>
        </w:rPr>
        <w:t>epidemią</w:t>
      </w:r>
      <w:r w:rsidRPr="00194E8E">
        <w:rPr>
          <w:rFonts w:asciiTheme="minorHAnsi" w:hAnsiTheme="minorHAnsi"/>
          <w:sz w:val="24"/>
          <w:szCs w:val="24"/>
          <w:lang w:val="pl-PL"/>
        </w:rPr>
        <w:t xml:space="preserve"> </w:t>
      </w:r>
      <w:r w:rsidR="002013A9" w:rsidRPr="00194E8E">
        <w:rPr>
          <w:rFonts w:asciiTheme="minorHAnsi" w:hAnsiTheme="minorHAnsi"/>
          <w:sz w:val="24"/>
          <w:szCs w:val="24"/>
          <w:lang w:val="pl-PL"/>
        </w:rPr>
        <w:t xml:space="preserve">wirusa </w:t>
      </w:r>
      <w:r w:rsidRPr="00194E8E">
        <w:rPr>
          <w:rFonts w:asciiTheme="minorHAnsi" w:hAnsiTheme="minorHAnsi"/>
          <w:sz w:val="24"/>
          <w:szCs w:val="24"/>
          <w:lang w:val="pl-PL"/>
        </w:rPr>
        <w:t>SARS-CoV-2 w 202</w:t>
      </w:r>
      <w:r w:rsidR="00791A7E" w:rsidRPr="00194E8E">
        <w:rPr>
          <w:rFonts w:asciiTheme="minorHAnsi" w:hAnsiTheme="minorHAnsi"/>
          <w:sz w:val="24"/>
          <w:szCs w:val="24"/>
          <w:lang w:val="pl-PL"/>
        </w:rPr>
        <w:t xml:space="preserve">1 r., podobnie jak w 2020 r. nadal </w:t>
      </w:r>
      <w:r w:rsidRPr="00194E8E">
        <w:rPr>
          <w:rFonts w:asciiTheme="minorHAnsi" w:hAnsiTheme="minorHAnsi"/>
          <w:sz w:val="24"/>
          <w:szCs w:val="24"/>
          <w:lang w:val="pl-PL"/>
        </w:rPr>
        <w:t>nie prowadzono działań związanych z organizowaniem wizyt studyjnych w Radzie Europy i Europejskim Trybunale Praw Człowieka.</w:t>
      </w:r>
    </w:p>
    <w:p w:rsidR="00DD0730" w:rsidRPr="00194E8E" w:rsidRDefault="00DD0730" w:rsidP="002D4F07">
      <w:pPr>
        <w:pStyle w:val="Akapitzlist"/>
        <w:numPr>
          <w:ilvl w:val="0"/>
          <w:numId w:val="2"/>
        </w:numPr>
        <w:spacing w:before="240" w:after="120" w:line="240" w:lineRule="auto"/>
        <w:ind w:left="709" w:hanging="425"/>
        <w:jc w:val="both"/>
        <w:rPr>
          <w:rFonts w:asciiTheme="minorHAnsi" w:hAnsiTheme="minorHAnsi"/>
          <w:b/>
          <w:sz w:val="24"/>
          <w:szCs w:val="24"/>
          <w:lang w:val="pl-PL"/>
        </w:rPr>
      </w:pPr>
      <w:r w:rsidRPr="00194E8E">
        <w:rPr>
          <w:rFonts w:asciiTheme="minorHAnsi" w:hAnsiTheme="minorHAnsi"/>
          <w:b/>
          <w:sz w:val="24"/>
          <w:szCs w:val="24"/>
          <w:lang w:val="pl-PL"/>
        </w:rPr>
        <w:t>Szkolenia</w:t>
      </w:r>
      <w:r w:rsidR="00B64496" w:rsidRPr="00194E8E">
        <w:rPr>
          <w:rFonts w:asciiTheme="minorHAnsi" w:hAnsiTheme="minorHAnsi"/>
          <w:b/>
          <w:sz w:val="24"/>
          <w:szCs w:val="24"/>
          <w:lang w:val="pl-PL"/>
        </w:rPr>
        <w:t xml:space="preserve"> i debaty</w:t>
      </w:r>
    </w:p>
    <w:p w:rsidR="00DD0730" w:rsidRPr="00194E8E" w:rsidRDefault="007E61D4" w:rsidP="002D4F07">
      <w:pPr>
        <w:pStyle w:val="Akapitzlist"/>
        <w:spacing w:before="120" w:after="120" w:line="240" w:lineRule="auto"/>
        <w:ind w:left="0"/>
        <w:jc w:val="both"/>
        <w:rPr>
          <w:rFonts w:asciiTheme="minorHAnsi" w:hAnsiTheme="minorHAnsi"/>
          <w:sz w:val="24"/>
          <w:szCs w:val="24"/>
          <w:lang w:val="pl-PL"/>
        </w:rPr>
      </w:pPr>
      <w:r w:rsidRPr="00194E8E">
        <w:rPr>
          <w:rFonts w:asciiTheme="minorHAnsi" w:hAnsiTheme="minorHAnsi"/>
          <w:sz w:val="24"/>
          <w:szCs w:val="24"/>
          <w:lang w:val="pl-PL"/>
        </w:rPr>
        <w:t xml:space="preserve">Z uwagi na ograniczenia </w:t>
      </w:r>
      <w:r w:rsidR="002013A9" w:rsidRPr="00194E8E">
        <w:rPr>
          <w:rFonts w:asciiTheme="minorHAnsi" w:hAnsiTheme="minorHAnsi"/>
          <w:sz w:val="24"/>
          <w:szCs w:val="24"/>
          <w:lang w:val="pl-PL"/>
        </w:rPr>
        <w:t xml:space="preserve">wprowadzone w związku </w:t>
      </w:r>
      <w:r w:rsidRPr="00194E8E">
        <w:rPr>
          <w:rFonts w:asciiTheme="minorHAnsi" w:hAnsiTheme="minorHAnsi"/>
          <w:sz w:val="24"/>
          <w:szCs w:val="24"/>
          <w:lang w:val="pl-PL"/>
        </w:rPr>
        <w:t xml:space="preserve">z sytuacją epidemiologiczną </w:t>
      </w:r>
      <w:r w:rsidR="002013A9" w:rsidRPr="00194E8E">
        <w:rPr>
          <w:rFonts w:asciiTheme="minorHAnsi" w:hAnsiTheme="minorHAnsi"/>
          <w:sz w:val="24"/>
          <w:szCs w:val="24"/>
          <w:lang w:val="pl-PL"/>
        </w:rPr>
        <w:t>dotyczącą wirusa</w:t>
      </w:r>
      <w:r w:rsidR="00791A7E" w:rsidRPr="00194E8E">
        <w:rPr>
          <w:rFonts w:asciiTheme="minorHAnsi" w:hAnsiTheme="minorHAnsi"/>
          <w:sz w:val="24"/>
          <w:szCs w:val="24"/>
          <w:lang w:val="pl-PL"/>
        </w:rPr>
        <w:t xml:space="preserve"> SARS-CoV-2 w 2021</w:t>
      </w:r>
      <w:r w:rsidRPr="00194E8E">
        <w:rPr>
          <w:rFonts w:asciiTheme="minorHAnsi" w:hAnsiTheme="minorHAnsi"/>
          <w:sz w:val="24"/>
          <w:szCs w:val="24"/>
          <w:lang w:val="pl-PL"/>
        </w:rPr>
        <w:t xml:space="preserve"> r. </w:t>
      </w:r>
      <w:r w:rsidR="00791A7E" w:rsidRPr="00194E8E">
        <w:rPr>
          <w:rFonts w:asciiTheme="minorHAnsi" w:hAnsiTheme="minorHAnsi"/>
          <w:sz w:val="24"/>
          <w:szCs w:val="24"/>
          <w:lang w:val="pl-PL"/>
        </w:rPr>
        <w:t xml:space="preserve">podobnie jak w 2020 r. nadal </w:t>
      </w:r>
      <w:r w:rsidRPr="00194E8E">
        <w:rPr>
          <w:rFonts w:asciiTheme="minorHAnsi" w:hAnsiTheme="minorHAnsi"/>
          <w:sz w:val="24"/>
          <w:szCs w:val="24"/>
          <w:lang w:val="pl-PL"/>
        </w:rPr>
        <w:t xml:space="preserve">nie prowadzono działań związanych z organizowaniem szkoleń i debat poświęconych tematyce Konwencji i orzecznictwa </w:t>
      </w:r>
      <w:r w:rsidR="00BA13ED">
        <w:rPr>
          <w:rFonts w:asciiTheme="minorHAnsi" w:hAnsiTheme="minorHAnsi"/>
          <w:sz w:val="24"/>
          <w:szCs w:val="24"/>
          <w:lang w:val="pl-PL"/>
        </w:rPr>
        <w:t>ETPC</w:t>
      </w:r>
      <w:r w:rsidRPr="00194E8E">
        <w:rPr>
          <w:rFonts w:asciiTheme="minorHAnsi" w:hAnsiTheme="minorHAnsi"/>
          <w:sz w:val="24"/>
          <w:szCs w:val="24"/>
          <w:lang w:val="pl-PL"/>
        </w:rPr>
        <w:t xml:space="preserve">. </w:t>
      </w:r>
    </w:p>
    <w:p w:rsidR="0069656F" w:rsidRPr="00194E8E" w:rsidRDefault="0069656F" w:rsidP="002D4F07">
      <w:pPr>
        <w:pStyle w:val="Nagwek1"/>
        <w:spacing w:before="240" w:after="120"/>
        <w:ind w:left="709" w:hanging="425"/>
        <w:rPr>
          <w:rFonts w:asciiTheme="minorHAnsi" w:hAnsiTheme="minorHAnsi"/>
          <w:lang w:val="pl-PL"/>
        </w:rPr>
      </w:pPr>
      <w:bookmarkStart w:id="9" w:name="_Toc112058307"/>
      <w:r w:rsidRPr="00194E8E">
        <w:rPr>
          <w:rFonts w:asciiTheme="minorHAnsi" w:hAnsiTheme="minorHAnsi"/>
          <w:lang w:val="pl-PL"/>
        </w:rPr>
        <w:t>Sprawy dotyczące wyborów i wyznaczenia osób na stanowiska w Europejskim Trybunale Praw Człowieka i w Radzie Europy</w:t>
      </w:r>
      <w:bookmarkEnd w:id="9"/>
      <w:r w:rsidRPr="00194E8E">
        <w:rPr>
          <w:rFonts w:asciiTheme="minorHAnsi" w:hAnsiTheme="minorHAnsi"/>
          <w:lang w:val="pl-PL"/>
        </w:rPr>
        <w:t xml:space="preserve">  </w:t>
      </w:r>
    </w:p>
    <w:p w:rsidR="00D543DA" w:rsidRPr="00194E8E" w:rsidRDefault="00D543DA" w:rsidP="00FF5333">
      <w:pPr>
        <w:spacing w:after="120"/>
        <w:jc w:val="both"/>
        <w:rPr>
          <w:rFonts w:asciiTheme="minorHAnsi" w:hAnsiTheme="minorHAnsi"/>
        </w:rPr>
      </w:pPr>
      <w:r w:rsidRPr="00194E8E">
        <w:rPr>
          <w:rFonts w:asciiTheme="minorHAnsi" w:eastAsia="Calibri" w:hAnsiTheme="minorHAnsi"/>
        </w:rPr>
        <w:t>W 2021 r. MSZ kontynuowało działania związane z wyłonieniem trojga kandydatów na urząd sędziego ETPC z ramienia Polski</w:t>
      </w:r>
      <w:r w:rsidR="00615945">
        <w:rPr>
          <w:rFonts w:asciiTheme="minorHAnsi" w:eastAsia="Calibri" w:hAnsiTheme="minorHAnsi"/>
        </w:rPr>
        <w:t>.</w:t>
      </w:r>
      <w:r w:rsidR="00024CA2">
        <w:rPr>
          <w:rFonts w:asciiTheme="minorHAnsi" w:eastAsia="Calibri" w:hAnsiTheme="minorHAnsi"/>
        </w:rPr>
        <w:t xml:space="preserve"> </w:t>
      </w:r>
      <w:r w:rsidRPr="00194E8E">
        <w:rPr>
          <w:rFonts w:asciiTheme="minorHAnsi" w:hAnsiTheme="minorHAnsi"/>
        </w:rPr>
        <w:t xml:space="preserve">W dniu 8 grudnia 2020 r. MSZ przekazało do zaopiniowania przez Doradczy Panel Ekspertów Rady Europy do spraw wyłonienia kandydatów na wybór na </w:t>
      </w:r>
      <w:r w:rsidRPr="00194E8E">
        <w:rPr>
          <w:rFonts w:asciiTheme="minorHAnsi" w:hAnsiTheme="minorHAnsi"/>
        </w:rPr>
        <w:lastRenderedPageBreak/>
        <w:t>stanowisko sędziego Europejskiego Trybunału Praw Człowieka, listę trojga kandydatów zaproponowanych przez Zespół ds. wyłonienia kandydatów na urząd sędziego Europejskiego Trybunału Praw Człowieka w Strasburgu (zwany dalej również „Zespołem”). Po zakończeniu konsultacji z Panelem, w dniu 8 marca 2021 r., w wyznaczonym terminie, Ministerstwo Spraw Zagranicznych przedłożyło Sekretarz Generalnej ZPRE ostateczną listę</w:t>
      </w:r>
      <w:r w:rsidR="00FF5333">
        <w:rPr>
          <w:rFonts w:asciiTheme="minorHAnsi" w:hAnsiTheme="minorHAnsi"/>
        </w:rPr>
        <w:t xml:space="preserve">. </w:t>
      </w:r>
    </w:p>
    <w:p w:rsidR="00D543DA" w:rsidRPr="00194E8E" w:rsidRDefault="00D543DA" w:rsidP="002D4F07">
      <w:pPr>
        <w:spacing w:after="120"/>
        <w:jc w:val="both"/>
        <w:rPr>
          <w:rFonts w:asciiTheme="minorHAnsi" w:hAnsiTheme="minorHAnsi"/>
        </w:rPr>
      </w:pPr>
      <w:r w:rsidRPr="00194E8E">
        <w:rPr>
          <w:rFonts w:asciiTheme="minorHAnsi" w:hAnsiTheme="minorHAnsi"/>
        </w:rPr>
        <w:t>W dniu 9 kwietnia 2021 r. lista została rozpatrzona przez Komisję ZPRE ds. wyboru sędziów Europejskiego Trybunału Praw Człowieka, która – bez przesłuchiwania kandydatów – postanowiła rekomendować Zgromadzeniu Parlamentarnemu jej odrzucenie. ZPRE podjęło następnie, w dniu 19 kwietnia 2021 r., decyzj</w:t>
      </w:r>
      <w:r w:rsidR="002D4F07">
        <w:rPr>
          <w:rFonts w:asciiTheme="minorHAnsi" w:hAnsiTheme="minorHAnsi"/>
        </w:rPr>
        <w:t>ę o odrzuceniu listy kandydatów</w:t>
      </w:r>
      <w:r w:rsidRPr="00194E8E">
        <w:rPr>
          <w:rFonts w:asciiTheme="minorHAnsi" w:hAnsiTheme="minorHAnsi"/>
        </w:rPr>
        <w:t xml:space="preserve"> uznając, że krajowa procedura ich wyłonienia nie była zgodna ze standardami wymaganymi przez Zgromadzenie Parlamentarne i Komitet Ministrów Rady Europy. Za taką decyzją głosowało 54 parlamentarzystów, 28 było przeciw, a 6 osób wstrzymało się od głosu. Zgromadzenie Parlamentarne Rady Europy poprosiło władze polskie o przedstawienie nowej listy kandydatów – w terminie do dnia 3 grudnia 2021 r.</w:t>
      </w:r>
      <w:r w:rsidR="00FF5333">
        <w:rPr>
          <w:rFonts w:asciiTheme="minorHAnsi" w:hAnsiTheme="minorHAnsi"/>
        </w:rPr>
        <w:t xml:space="preserve"> </w:t>
      </w:r>
      <w:r w:rsidRPr="00194E8E">
        <w:rPr>
          <w:rFonts w:asciiTheme="minorHAnsi" w:hAnsiTheme="minorHAnsi"/>
        </w:rPr>
        <w:t xml:space="preserve">Kadencja obecnego sędziego </w:t>
      </w:r>
      <w:r w:rsidR="00BA13ED">
        <w:rPr>
          <w:rFonts w:asciiTheme="minorHAnsi" w:hAnsiTheme="minorHAnsi"/>
        </w:rPr>
        <w:t>ETPC</w:t>
      </w:r>
      <w:r w:rsidRPr="00194E8E">
        <w:rPr>
          <w:rFonts w:asciiTheme="minorHAnsi" w:hAnsiTheme="minorHAnsi"/>
        </w:rPr>
        <w:t xml:space="preserve"> z ramienia Polski została przedłużona z mocy Konwencji od dnia 1 listopada 2021 r. do czasu objęcia funkcji przez nowego sędziego.</w:t>
      </w:r>
    </w:p>
    <w:p w:rsidR="00D543DA" w:rsidRPr="00194E8E" w:rsidRDefault="00D543DA" w:rsidP="002D4F07">
      <w:pPr>
        <w:spacing w:after="120"/>
        <w:jc w:val="both"/>
        <w:rPr>
          <w:rFonts w:asciiTheme="minorHAnsi" w:hAnsiTheme="minorHAnsi"/>
        </w:rPr>
      </w:pPr>
      <w:r w:rsidRPr="00194E8E">
        <w:rPr>
          <w:rFonts w:asciiTheme="minorHAnsi" w:eastAsia="Calibri" w:hAnsiTheme="minorHAnsi"/>
        </w:rPr>
        <w:t xml:space="preserve">W związku z powyższym Ministerstwo Spraw Zagranicznych przeprowadziło drugie postępowanie w celu wyłonienia kandydatów na </w:t>
      </w:r>
      <w:r w:rsidRPr="00194E8E">
        <w:rPr>
          <w:rFonts w:asciiTheme="minorHAnsi" w:hAnsiTheme="minorHAnsi"/>
        </w:rPr>
        <w:t xml:space="preserve">urząd sędziego </w:t>
      </w:r>
      <w:r w:rsidR="002D4F07">
        <w:rPr>
          <w:rFonts w:asciiTheme="minorHAnsi" w:hAnsiTheme="minorHAnsi"/>
        </w:rPr>
        <w:t>ETPC</w:t>
      </w:r>
      <w:r w:rsidRPr="00194E8E">
        <w:rPr>
          <w:rFonts w:asciiTheme="minorHAnsi" w:hAnsiTheme="minorHAnsi"/>
        </w:rPr>
        <w:t>. Podstawą prawną pozostało zarządzenie nr 1 Ministra Spraw Zagranicznych z dnia 13 stycznia 2012 r. w sprawie powołania Zespołu do spraw wyłonienia kandydatów na urząd sędziego Europejskiego Trybunału Praw Człowieka w Strasburgu (Dz. Urz. Min. Spraw Zagr. z 2012 r. poz. 1 z późn. zm., zwane dalej „zarządzeniem”), jednak w związku z uwagami ZPRE wprowadzono do niego zmiany. W szczególności w celu zwiększenia przejrzystości procesu wyłaniania kandydatów, z dniem 10 lipca 2021 r. do zarządzenia został dodany § 6a, zgodnie z którym w czasie rozmów kwalifikacyjnych z kandydatami mogą być obecne w charakterze obserwatorów, bez prawa głosu, osoby wyznaczone przez organizacje pozarządowe, których działalność statutowa obejmuje działania w sferze upowszechniania i ochrony wolności i praw człowieka oraz swobód obywatelskich.</w:t>
      </w:r>
    </w:p>
    <w:p w:rsidR="00D543DA" w:rsidRPr="00194E8E" w:rsidRDefault="00D543DA" w:rsidP="007D539C">
      <w:pPr>
        <w:pStyle w:val="Akapitzlist"/>
        <w:numPr>
          <w:ilvl w:val="0"/>
          <w:numId w:val="24"/>
        </w:numPr>
        <w:spacing w:before="240" w:after="120" w:line="240" w:lineRule="auto"/>
        <w:ind w:left="709" w:hanging="425"/>
        <w:jc w:val="both"/>
        <w:rPr>
          <w:rFonts w:asciiTheme="minorHAnsi" w:hAnsiTheme="minorHAnsi"/>
          <w:i/>
          <w:sz w:val="24"/>
          <w:szCs w:val="24"/>
          <w:lang w:val="pl-PL"/>
        </w:rPr>
      </w:pPr>
      <w:r w:rsidRPr="00194E8E">
        <w:rPr>
          <w:rFonts w:asciiTheme="minorHAnsi" w:hAnsiTheme="minorHAnsi"/>
          <w:i/>
          <w:sz w:val="24"/>
          <w:szCs w:val="24"/>
          <w:lang w:val="pl-PL"/>
        </w:rPr>
        <w:t>upowszechnienie ogłoszenia o konkursie</w:t>
      </w:r>
    </w:p>
    <w:p w:rsidR="00D543DA" w:rsidRPr="00194E8E" w:rsidRDefault="00D543DA" w:rsidP="002D4F07">
      <w:pPr>
        <w:spacing w:after="120"/>
        <w:jc w:val="both"/>
        <w:rPr>
          <w:rFonts w:asciiTheme="minorHAnsi" w:hAnsiTheme="minorHAnsi"/>
        </w:rPr>
      </w:pPr>
      <w:r w:rsidRPr="00194E8E">
        <w:rPr>
          <w:rFonts w:asciiTheme="minorHAnsi" w:hAnsiTheme="minorHAnsi"/>
        </w:rPr>
        <w:t xml:space="preserve">W dniu 6 sierpnia 2021 r. Ministerstwo Spraw Zagranicznych zamieściło ogłoszenie o konkursie w trzech dziennikach ogólnopolskich, w tym </w:t>
      </w:r>
      <w:r w:rsidR="00312755">
        <w:rPr>
          <w:rFonts w:asciiTheme="minorHAnsi" w:hAnsiTheme="minorHAnsi"/>
        </w:rPr>
        <w:t xml:space="preserve">również </w:t>
      </w:r>
      <w:r w:rsidRPr="00194E8E">
        <w:rPr>
          <w:rFonts w:asciiTheme="minorHAnsi" w:hAnsiTheme="minorHAnsi"/>
        </w:rPr>
        <w:t>w dziennikach o profilu prawniczym: Dziennik Gazeta Prawna, Rzeczpospolita, a także Gazeta Polska Codziennie. W tym samym dniu MSZ opublikowało ogłoszenie również na głó</w:t>
      </w:r>
      <w:r w:rsidR="00312755">
        <w:rPr>
          <w:rFonts w:asciiTheme="minorHAnsi" w:hAnsiTheme="minorHAnsi"/>
        </w:rPr>
        <w:t>wnej stronie internetowej MSZ.</w:t>
      </w:r>
    </w:p>
    <w:p w:rsidR="00D543DA" w:rsidRPr="00194E8E" w:rsidRDefault="00D543DA" w:rsidP="002D4F07">
      <w:pPr>
        <w:spacing w:after="120"/>
        <w:jc w:val="both"/>
        <w:rPr>
          <w:rFonts w:asciiTheme="minorHAnsi" w:hAnsiTheme="minorHAnsi"/>
        </w:rPr>
      </w:pPr>
      <w:r w:rsidRPr="00194E8E">
        <w:rPr>
          <w:rFonts w:asciiTheme="minorHAnsi" w:hAnsiTheme="minorHAnsi"/>
        </w:rPr>
        <w:t>W dniu 6 sierpnia 2021 r. MSZ wystosowało także pismo do 130 adresatów, m.in. Prezesa Rady Ministrów i wszystkich członków Rady M</w:t>
      </w:r>
      <w:r w:rsidR="00CD4849" w:rsidRPr="00194E8E">
        <w:rPr>
          <w:rFonts w:asciiTheme="minorHAnsi" w:hAnsiTheme="minorHAnsi"/>
        </w:rPr>
        <w:t>inistrów, trzech pełnomocników R</w:t>
      </w:r>
      <w:r w:rsidRPr="00194E8E">
        <w:rPr>
          <w:rFonts w:asciiTheme="minorHAnsi" w:hAnsiTheme="minorHAnsi"/>
        </w:rPr>
        <w:t xml:space="preserve">ządu zajmujących się tematyką związaną z prawami człowieka, Trybunału Konstytucyjnego, Sądu Najwyższego, Naczelnego Sądu Administracyjnego i Krajowej Rady Sądownictwa, prezesów wszystkich sądów apelacyjnych oraz wojewódzkich sądów administracyjnych, Rzecznika Praw Obywatelskich, Rzecznika Praw Dziecka i Rzecznika Praw Pacjenta, do naczelnych organów państwa, w tym Kancelarii Prezydenta RP, Sejmu RP i Senatu RP, urzędów centralnych zaangażowanych w wykonywanie wyroków ETPC, prezesów organów samorządu prawniczego (adwokatury, radców prawnych i komorników) oraz szefów komisji praw człowieka adwokatury i radców prawnych, pięciu organizacji pozarządowych reprezentujących zróżnicowane stanowiska, współpracujących na stałe z Zespołem ds. ETPC, dziekanów wydziału prawa 18 uczelni wyższych w całym kraju, szkół kształcących sędziów, prokuratorów </w:t>
      </w:r>
      <w:r w:rsidRPr="00194E8E">
        <w:rPr>
          <w:rFonts w:asciiTheme="minorHAnsi" w:hAnsiTheme="minorHAnsi"/>
        </w:rPr>
        <w:lastRenderedPageBreak/>
        <w:t xml:space="preserve">i urzędników (Krajowa Szkoła Sądownictwa i Prokuratury, Krajowa Szkoła Administracji Publicznej), Polskiej Akademii Nauk, a także do 16 regionalnych ośrodków debaty międzynarodowej. Pismo wysłano również do kilkudziesięciu osób będących członkami Zespołu ds. ETPC lub na stałe z nim współpracujących. MSZ poinformowało te podmioty o toczącej się procedurze wyłaniania kandydatów, wskazało wymogi, które należy spełnić, a także zwróciło się do tych podmiotów o upowszechnienie ogłoszenia, w tym poprzez zamieszczenie na ich stronach internetowych. </w:t>
      </w:r>
    </w:p>
    <w:p w:rsidR="00D543DA" w:rsidRPr="00194E8E" w:rsidRDefault="00D543DA" w:rsidP="002D4F07">
      <w:pPr>
        <w:spacing w:after="120"/>
        <w:jc w:val="both"/>
        <w:rPr>
          <w:rFonts w:asciiTheme="minorHAnsi" w:hAnsiTheme="minorHAnsi"/>
        </w:rPr>
      </w:pPr>
      <w:r w:rsidRPr="00194E8E">
        <w:rPr>
          <w:rFonts w:asciiTheme="minorHAnsi" w:hAnsiTheme="minorHAnsi"/>
        </w:rPr>
        <w:t>Podobnie jak w poprzedniej turze wyborów, również teraz MSZ prowadziło na swej stronie internetowej specjalną zakładkę poświęconą procedurze wyboru (skrót do tej zakładki był stale umieszczony na stronie głównej MSZ). W zakładce tej zamieszczono – oprócz ogłoszenia – m.in. tekst zarządzenia i Konwencji, formularze dla kandydatów (w tym wzór CV w językach polskim, angielskim i francuskim), szereg dokumentów Rady Europy dotyczących procedury wyboru, w tym Wytyczne KM, rezolucje i regulamin ZPRE, rezolucję KM dotyczącą ustanowienia Panelu Doradczego oraz warunków zatrudnienia sędziów, zasady dotyczące przetwarzania danych osobowych oraz materiały dla członków Zespołu wyłaniającego kandydatów. W ramach tej zakładki zamieszczano także aktualności na temat poszczególnych etapów procedury wyboru. Ministerstwo Spraw Zagranicznych ponadto przetłumaczyło na język polski i udostępniło „Memorandum Zgromadzenia Parlamentarnego RE na temat standardów wyłaniania kandydatów na urząd sędziego Europejskiego Trybunału Praw Człowieka”, a także „Krótki przewodnik dotyczący roli Doradczego Panelu Ekspertów i minimalnych kwalifikacji wymaganych od kandydatów na urząd sędziego Europejskiego Trybunału Praw Człowieka". Tłumaczenia zostały dokonane w celu zwiększenia przejrzystości informacji na temat standardów Rady Europy – zarówno wśród kandydatów, jak i członków Zespołu.</w:t>
      </w:r>
    </w:p>
    <w:p w:rsidR="00D543DA" w:rsidRPr="00194E8E" w:rsidRDefault="00D543DA" w:rsidP="007D539C">
      <w:pPr>
        <w:pStyle w:val="Akapitzlist"/>
        <w:numPr>
          <w:ilvl w:val="0"/>
          <w:numId w:val="24"/>
        </w:numPr>
        <w:spacing w:before="240" w:after="120" w:line="240" w:lineRule="auto"/>
        <w:ind w:left="709" w:hanging="425"/>
        <w:jc w:val="both"/>
        <w:rPr>
          <w:rFonts w:asciiTheme="minorHAnsi" w:hAnsiTheme="minorHAnsi"/>
          <w:i/>
          <w:sz w:val="24"/>
          <w:szCs w:val="24"/>
          <w:lang w:val="pl-PL"/>
        </w:rPr>
      </w:pPr>
      <w:r w:rsidRPr="00194E8E">
        <w:rPr>
          <w:rFonts w:asciiTheme="minorHAnsi" w:hAnsiTheme="minorHAnsi"/>
          <w:i/>
          <w:sz w:val="24"/>
          <w:szCs w:val="24"/>
          <w:lang w:val="pl-PL"/>
        </w:rPr>
        <w:t>otrzymane zgłoszenia</w:t>
      </w:r>
    </w:p>
    <w:p w:rsidR="00D543DA" w:rsidRPr="00194E8E" w:rsidRDefault="00D543DA" w:rsidP="00312755">
      <w:pPr>
        <w:spacing w:after="120"/>
        <w:jc w:val="both"/>
        <w:rPr>
          <w:rFonts w:asciiTheme="minorHAnsi" w:hAnsiTheme="minorHAnsi"/>
        </w:rPr>
      </w:pPr>
      <w:r w:rsidRPr="00194E8E">
        <w:rPr>
          <w:rFonts w:asciiTheme="minorHAnsi" w:hAnsiTheme="minorHAnsi"/>
        </w:rPr>
        <w:t xml:space="preserve">W odpowiedzi na ogłoszenie o możliwości ubiegania się o rekomendację Rządu RP na stanowisko sędziego Europejskiego Trybunału Praw Człowieka, w wyznaczonym terminie (do dnia 7 września 2021 r.) wpłynęło 19 zgłoszeń: zgłosiło się 8 kandydatek i 11 kandydatów. Troje kandydatów wycofało swe kandydatury przed rozmowami kwalifikacyjnymi. Ostatecznie w konkursie uczestniczyło 16 osób: sześć kobiet i dziesięciu mężczyzn. </w:t>
      </w:r>
    </w:p>
    <w:p w:rsidR="00D543DA" w:rsidRPr="00194E8E" w:rsidRDefault="00D543DA" w:rsidP="007D539C">
      <w:pPr>
        <w:pStyle w:val="Akapitzlist"/>
        <w:numPr>
          <w:ilvl w:val="0"/>
          <w:numId w:val="24"/>
        </w:numPr>
        <w:spacing w:before="240" w:after="120" w:line="240" w:lineRule="auto"/>
        <w:ind w:left="709" w:hanging="425"/>
        <w:jc w:val="both"/>
        <w:rPr>
          <w:rFonts w:asciiTheme="minorHAnsi" w:hAnsiTheme="minorHAnsi"/>
          <w:i/>
          <w:sz w:val="24"/>
          <w:szCs w:val="24"/>
          <w:lang w:val="pl-PL"/>
        </w:rPr>
      </w:pPr>
      <w:r w:rsidRPr="00194E8E">
        <w:rPr>
          <w:rFonts w:asciiTheme="minorHAnsi" w:hAnsiTheme="minorHAnsi"/>
          <w:i/>
          <w:sz w:val="24"/>
          <w:szCs w:val="24"/>
          <w:lang w:val="pl-PL"/>
        </w:rPr>
        <w:t>skład zespołu wyłaniającego kandydatów</w:t>
      </w:r>
    </w:p>
    <w:p w:rsidR="00D543DA" w:rsidRPr="00194E8E" w:rsidRDefault="00D543DA" w:rsidP="00312755">
      <w:pPr>
        <w:spacing w:after="120"/>
        <w:jc w:val="both"/>
        <w:rPr>
          <w:rFonts w:asciiTheme="minorHAnsi" w:hAnsiTheme="minorHAnsi"/>
        </w:rPr>
      </w:pPr>
      <w:r w:rsidRPr="00194E8E">
        <w:rPr>
          <w:rFonts w:asciiTheme="minorHAnsi" w:hAnsiTheme="minorHAnsi"/>
        </w:rPr>
        <w:t xml:space="preserve">Decyzją Ministra Spraw Zagranicznych z dnia 9 września 2021 r. (zmienioną w dniu 1 października 2021 r. w związku z rezygnacją jednej z wyznaczonych osób) powołany został Zespół do spraw wyłonienia kandydatów na urząd sędziego Europejskiego Trybunału Praw Człowieka w Strasburgu, w skład którego weszli: </w:t>
      </w:r>
    </w:p>
    <w:p w:rsidR="00D543DA" w:rsidRPr="00194E8E" w:rsidRDefault="00D543DA" w:rsidP="00312755">
      <w:pPr>
        <w:numPr>
          <w:ilvl w:val="0"/>
          <w:numId w:val="25"/>
        </w:numPr>
        <w:tabs>
          <w:tab w:val="clear" w:pos="720"/>
        </w:tabs>
        <w:spacing w:after="120"/>
        <w:ind w:left="709" w:hanging="425"/>
        <w:jc w:val="both"/>
        <w:rPr>
          <w:rFonts w:asciiTheme="minorHAnsi" w:hAnsiTheme="minorHAnsi"/>
        </w:rPr>
      </w:pPr>
      <w:r w:rsidRPr="00194E8E">
        <w:rPr>
          <w:rFonts w:asciiTheme="minorHAnsi" w:hAnsiTheme="minorHAnsi"/>
        </w:rPr>
        <w:t>dr hab. Piotr Wawrzyk, Sekretarz Stanu w Ministerstwie Spraw Zagranicznych ds. prawnych, prawno-traktatowych, Narodów Zjednoczonych oraz konsularnych i parlamentarnych</w:t>
      </w:r>
      <w:r w:rsidR="00FF5333">
        <w:rPr>
          <w:rFonts w:asciiTheme="minorHAnsi" w:hAnsiTheme="minorHAnsi"/>
        </w:rPr>
        <w:t xml:space="preserve"> </w:t>
      </w:r>
      <w:r w:rsidRPr="00194E8E">
        <w:rPr>
          <w:rStyle w:val="word"/>
          <w:rFonts w:asciiTheme="minorHAnsi" w:hAnsiTheme="minorHAnsi"/>
        </w:rPr>
        <w:t>–</w:t>
      </w:r>
      <w:r w:rsidRPr="00194E8E">
        <w:rPr>
          <w:rFonts w:asciiTheme="minorHAnsi" w:hAnsiTheme="minorHAnsi"/>
        </w:rPr>
        <w:t xml:space="preserve"> </w:t>
      </w:r>
      <w:r w:rsidRPr="00194E8E">
        <w:rPr>
          <w:rStyle w:val="word"/>
          <w:rFonts w:asciiTheme="minorHAnsi" w:hAnsiTheme="minorHAnsi"/>
        </w:rPr>
        <w:t>przewodniczący Zespołu</w:t>
      </w:r>
      <w:r w:rsidRPr="00194E8E">
        <w:rPr>
          <w:rFonts w:asciiTheme="minorHAnsi" w:hAnsiTheme="minorHAnsi"/>
        </w:rPr>
        <w:t>;</w:t>
      </w:r>
    </w:p>
    <w:p w:rsidR="00D543DA" w:rsidRPr="00194E8E" w:rsidRDefault="00D543DA" w:rsidP="00312755">
      <w:pPr>
        <w:numPr>
          <w:ilvl w:val="0"/>
          <w:numId w:val="25"/>
        </w:numPr>
        <w:tabs>
          <w:tab w:val="clear" w:pos="720"/>
        </w:tabs>
        <w:spacing w:after="120"/>
        <w:ind w:left="709" w:hanging="425"/>
        <w:jc w:val="both"/>
        <w:rPr>
          <w:rFonts w:asciiTheme="minorHAnsi" w:hAnsiTheme="minorHAnsi"/>
        </w:rPr>
      </w:pPr>
      <w:r w:rsidRPr="00194E8E">
        <w:rPr>
          <w:rFonts w:asciiTheme="minorHAnsi" w:hAnsiTheme="minorHAnsi"/>
        </w:rPr>
        <w:t>dr hab. Przemysław Saganek – wskazany przez Prezesa Prokuratorii Generalnej Rzeczypospolitej Polskiej;</w:t>
      </w:r>
    </w:p>
    <w:p w:rsidR="00D543DA" w:rsidRPr="00194E8E" w:rsidRDefault="00D543DA" w:rsidP="00312755">
      <w:pPr>
        <w:numPr>
          <w:ilvl w:val="0"/>
          <w:numId w:val="25"/>
        </w:numPr>
        <w:tabs>
          <w:tab w:val="clear" w:pos="720"/>
        </w:tabs>
        <w:spacing w:after="120"/>
        <w:ind w:left="709" w:hanging="425"/>
        <w:jc w:val="both"/>
        <w:rPr>
          <w:rFonts w:asciiTheme="minorHAnsi" w:hAnsiTheme="minorHAnsi"/>
        </w:rPr>
      </w:pPr>
      <w:r w:rsidRPr="00194E8E">
        <w:rPr>
          <w:rFonts w:asciiTheme="minorHAnsi" w:hAnsiTheme="minorHAnsi"/>
        </w:rPr>
        <w:t>dr hab. Paweł Sobczyk – wskazany przez Ministra Sprawiedliwości;</w:t>
      </w:r>
    </w:p>
    <w:p w:rsidR="00D543DA" w:rsidRPr="00194E8E" w:rsidRDefault="00D543DA" w:rsidP="00312755">
      <w:pPr>
        <w:numPr>
          <w:ilvl w:val="0"/>
          <w:numId w:val="25"/>
        </w:numPr>
        <w:tabs>
          <w:tab w:val="clear" w:pos="720"/>
        </w:tabs>
        <w:spacing w:after="120"/>
        <w:ind w:left="709" w:hanging="425"/>
        <w:jc w:val="both"/>
        <w:rPr>
          <w:rFonts w:asciiTheme="minorHAnsi" w:hAnsiTheme="minorHAnsi"/>
        </w:rPr>
      </w:pPr>
      <w:r w:rsidRPr="00194E8E">
        <w:rPr>
          <w:rFonts w:asciiTheme="minorHAnsi" w:hAnsiTheme="minorHAnsi"/>
        </w:rPr>
        <w:t>dr hab. Krzysztof Szczucki – wskazany przez Szefa Kancelarii Prezesa Rady Ministrów;</w:t>
      </w:r>
    </w:p>
    <w:p w:rsidR="00D543DA" w:rsidRPr="00194E8E" w:rsidRDefault="00D543DA" w:rsidP="00312755">
      <w:pPr>
        <w:numPr>
          <w:ilvl w:val="0"/>
          <w:numId w:val="25"/>
        </w:numPr>
        <w:tabs>
          <w:tab w:val="clear" w:pos="720"/>
        </w:tabs>
        <w:spacing w:after="120"/>
        <w:ind w:left="709" w:hanging="425"/>
        <w:jc w:val="both"/>
        <w:rPr>
          <w:rFonts w:asciiTheme="minorHAnsi" w:hAnsiTheme="minorHAnsi"/>
        </w:rPr>
      </w:pPr>
      <w:r w:rsidRPr="00194E8E">
        <w:rPr>
          <w:rFonts w:asciiTheme="minorHAnsi" w:hAnsiTheme="minorHAnsi"/>
        </w:rPr>
        <w:lastRenderedPageBreak/>
        <w:t>dr Izabela Hasińska – wskazana przez Ministra Spraw Zagranicznych;</w:t>
      </w:r>
    </w:p>
    <w:p w:rsidR="00D543DA" w:rsidRPr="00194E8E" w:rsidRDefault="00D543DA" w:rsidP="00312755">
      <w:pPr>
        <w:numPr>
          <w:ilvl w:val="0"/>
          <w:numId w:val="25"/>
        </w:numPr>
        <w:tabs>
          <w:tab w:val="clear" w:pos="720"/>
        </w:tabs>
        <w:spacing w:after="120"/>
        <w:ind w:left="709" w:hanging="425"/>
        <w:jc w:val="both"/>
        <w:rPr>
          <w:rFonts w:asciiTheme="minorHAnsi" w:hAnsiTheme="minorHAnsi"/>
        </w:rPr>
      </w:pPr>
      <w:r w:rsidRPr="00194E8E">
        <w:rPr>
          <w:rFonts w:asciiTheme="minorHAnsi" w:hAnsiTheme="minorHAnsi"/>
        </w:rPr>
        <w:t>Agnieszka Gracz – wskazana przez Ministra Spraw Zagranicznych;</w:t>
      </w:r>
    </w:p>
    <w:p w:rsidR="00D543DA" w:rsidRPr="00194E8E" w:rsidRDefault="00D543DA" w:rsidP="00312755">
      <w:pPr>
        <w:numPr>
          <w:ilvl w:val="0"/>
          <w:numId w:val="25"/>
        </w:numPr>
        <w:tabs>
          <w:tab w:val="clear" w:pos="720"/>
        </w:tabs>
        <w:spacing w:after="120"/>
        <w:ind w:left="709" w:hanging="425"/>
        <w:jc w:val="both"/>
        <w:rPr>
          <w:rFonts w:asciiTheme="minorHAnsi" w:hAnsiTheme="minorHAnsi"/>
        </w:rPr>
      </w:pPr>
      <w:r w:rsidRPr="00194E8E">
        <w:rPr>
          <w:rFonts w:asciiTheme="minorHAnsi" w:hAnsiTheme="minorHAnsi"/>
        </w:rPr>
        <w:t>Jan Sobczak, Pełnomocnik Ministra Spraw Zagranicznych do spraw postępowań przed Europejskim Trybunałem Praw Człowieka w Ministerstwie Spraw Zagranicznych  – sekretarz Zespołu bez prawa głosu.</w:t>
      </w:r>
    </w:p>
    <w:p w:rsidR="00D543DA" w:rsidRPr="00194E8E" w:rsidRDefault="00D543DA" w:rsidP="007D539C">
      <w:pPr>
        <w:pStyle w:val="Akapitzlist"/>
        <w:numPr>
          <w:ilvl w:val="0"/>
          <w:numId w:val="24"/>
        </w:numPr>
        <w:spacing w:before="240" w:after="120" w:line="240" w:lineRule="auto"/>
        <w:ind w:left="709" w:hanging="425"/>
        <w:jc w:val="both"/>
        <w:rPr>
          <w:rFonts w:asciiTheme="minorHAnsi" w:hAnsiTheme="minorHAnsi"/>
          <w:i/>
          <w:sz w:val="24"/>
          <w:szCs w:val="24"/>
          <w:lang w:val="pl-PL"/>
        </w:rPr>
      </w:pPr>
      <w:r w:rsidRPr="00194E8E">
        <w:rPr>
          <w:rFonts w:asciiTheme="minorHAnsi" w:hAnsiTheme="minorHAnsi"/>
          <w:i/>
          <w:sz w:val="24"/>
          <w:szCs w:val="24"/>
          <w:lang w:val="pl-PL"/>
        </w:rPr>
        <w:t>prace zespołu wyłaniającego listę kandydatów</w:t>
      </w:r>
    </w:p>
    <w:p w:rsidR="00D543DA" w:rsidRPr="00194E8E" w:rsidRDefault="00D543DA" w:rsidP="007D539C">
      <w:pPr>
        <w:spacing w:after="120"/>
        <w:jc w:val="both"/>
        <w:rPr>
          <w:rFonts w:asciiTheme="minorHAnsi" w:hAnsiTheme="minorHAnsi"/>
        </w:rPr>
      </w:pPr>
      <w:r w:rsidRPr="00194E8E">
        <w:rPr>
          <w:rFonts w:asciiTheme="minorHAnsi" w:hAnsiTheme="minorHAnsi"/>
        </w:rPr>
        <w:t xml:space="preserve">W dniu 17 września 2021 r. odbyło się pierwsze posiedzenie Zespołu do spraw wyłonienia kandydatów na urząd sędziego Europejskiego Trybunału Praw Człowieka w Strasburgu. </w:t>
      </w:r>
    </w:p>
    <w:p w:rsidR="00D543DA" w:rsidRPr="00194E8E" w:rsidRDefault="00D543DA" w:rsidP="007D539C">
      <w:pPr>
        <w:spacing w:after="120"/>
        <w:jc w:val="both"/>
        <w:rPr>
          <w:rFonts w:asciiTheme="minorHAnsi" w:hAnsiTheme="minorHAnsi"/>
        </w:rPr>
      </w:pPr>
      <w:r w:rsidRPr="00194E8E">
        <w:rPr>
          <w:rFonts w:asciiTheme="minorHAnsi" w:hAnsiTheme="minorHAnsi"/>
        </w:rPr>
        <w:t xml:space="preserve">Na pierwszym posiedzeniu członkowie Zespołu zapoznali się z listą 19 nadesłanych kandydatur i dokonali zbadania zgłoszeń pod względem formalnym. Jednocześnie Zespół ustalił zasady przeprowadzenia rozmów kwalifikacyjnych. Informacje o powyższych zasadach zostały zamieszczone na stronie internetowej MSZ oraz przekazane wszystkim kandydatom. </w:t>
      </w:r>
    </w:p>
    <w:p w:rsidR="00D543DA" w:rsidRPr="00194E8E" w:rsidRDefault="00D543DA" w:rsidP="007D539C">
      <w:pPr>
        <w:spacing w:after="120"/>
        <w:jc w:val="both"/>
        <w:rPr>
          <w:rFonts w:asciiTheme="minorHAnsi" w:hAnsiTheme="minorHAnsi"/>
        </w:rPr>
      </w:pPr>
      <w:r w:rsidRPr="00194E8E">
        <w:rPr>
          <w:rFonts w:asciiTheme="minorHAnsi" w:hAnsiTheme="minorHAnsi"/>
        </w:rPr>
        <w:t>W dniach 20-21 października 2021 r. odbyło się drugie posiedzenie Zespołu. Przed posiedzeniem trzy osoby (spośród 19 zgłoszonych) poinformowały o rezygnacji z udziału w konkursie. Na posiedzeniu Zespół ustalił również listę pięciu pytań, na podstawie której przeprowadził rozmowy kwalifikacyjne:</w:t>
      </w:r>
    </w:p>
    <w:p w:rsidR="00D543DA" w:rsidRPr="00194E8E" w:rsidRDefault="00D543DA" w:rsidP="007D539C">
      <w:pPr>
        <w:numPr>
          <w:ilvl w:val="0"/>
          <w:numId w:val="25"/>
        </w:numPr>
        <w:tabs>
          <w:tab w:val="clear" w:pos="720"/>
        </w:tabs>
        <w:spacing w:after="120"/>
        <w:ind w:left="709" w:hanging="425"/>
        <w:jc w:val="both"/>
        <w:rPr>
          <w:rFonts w:asciiTheme="minorHAnsi" w:hAnsiTheme="minorHAnsi"/>
        </w:rPr>
      </w:pPr>
      <w:r w:rsidRPr="00194E8E">
        <w:rPr>
          <w:rFonts w:asciiTheme="minorHAnsi" w:hAnsiTheme="minorHAnsi"/>
        </w:rPr>
        <w:t>Czy podmioty gospodarcze mogą stać się beneficjentem praw człowieka? Czy Europejski Trybunał Praw Człowieka wydawał orzeczenia w ich sprawach?</w:t>
      </w:r>
    </w:p>
    <w:p w:rsidR="00D543DA" w:rsidRPr="00194E8E" w:rsidRDefault="00D543DA" w:rsidP="007D539C">
      <w:pPr>
        <w:numPr>
          <w:ilvl w:val="0"/>
          <w:numId w:val="25"/>
        </w:numPr>
        <w:tabs>
          <w:tab w:val="clear" w:pos="720"/>
        </w:tabs>
        <w:spacing w:after="120"/>
        <w:ind w:left="709" w:hanging="425"/>
        <w:jc w:val="both"/>
        <w:rPr>
          <w:rFonts w:asciiTheme="minorHAnsi" w:hAnsiTheme="minorHAnsi"/>
        </w:rPr>
      </w:pPr>
      <w:r w:rsidRPr="00194E8E">
        <w:rPr>
          <w:rFonts w:asciiTheme="minorHAnsi" w:hAnsiTheme="minorHAnsi"/>
        </w:rPr>
        <w:t>Jakie są warunki dopuszczalności skargi do Europejskiego Trybunału Praw Człowieka? Jakie mają konsekwencje dla praktyki i roli Trybunału?</w:t>
      </w:r>
    </w:p>
    <w:p w:rsidR="00D543DA" w:rsidRPr="00194E8E" w:rsidRDefault="00D543DA" w:rsidP="007D539C">
      <w:pPr>
        <w:numPr>
          <w:ilvl w:val="0"/>
          <w:numId w:val="25"/>
        </w:numPr>
        <w:tabs>
          <w:tab w:val="clear" w:pos="720"/>
        </w:tabs>
        <w:spacing w:after="120"/>
        <w:ind w:left="709" w:hanging="425"/>
        <w:jc w:val="both"/>
        <w:rPr>
          <w:rFonts w:asciiTheme="minorHAnsi" w:hAnsiTheme="minorHAnsi"/>
        </w:rPr>
      </w:pPr>
      <w:r w:rsidRPr="00194E8E">
        <w:rPr>
          <w:rFonts w:asciiTheme="minorHAnsi" w:hAnsiTheme="minorHAnsi"/>
        </w:rPr>
        <w:t>Proszę przedstawić znaczenie dwóch wybranych przez siebie protokołów do Konwencji o ochronie praw człowieka i podstawowych wolności.</w:t>
      </w:r>
    </w:p>
    <w:p w:rsidR="00D543DA" w:rsidRPr="00194E8E" w:rsidRDefault="00D543DA" w:rsidP="007D539C">
      <w:pPr>
        <w:numPr>
          <w:ilvl w:val="0"/>
          <w:numId w:val="25"/>
        </w:numPr>
        <w:tabs>
          <w:tab w:val="clear" w:pos="720"/>
        </w:tabs>
        <w:spacing w:after="120"/>
        <w:ind w:left="709" w:hanging="425"/>
        <w:jc w:val="both"/>
        <w:rPr>
          <w:rFonts w:asciiTheme="minorHAnsi" w:hAnsiTheme="minorHAnsi"/>
        </w:rPr>
      </w:pPr>
      <w:r w:rsidRPr="00194E8E">
        <w:rPr>
          <w:rFonts w:asciiTheme="minorHAnsi" w:hAnsiTheme="minorHAnsi"/>
        </w:rPr>
        <w:t>Wykonywanie wyroków Europejskiego Trybunału Praw Człowieka w Polsce – organy odpowiedzialne, praktyka, osiągnięcia i wyzwania.</w:t>
      </w:r>
    </w:p>
    <w:p w:rsidR="00D543DA" w:rsidRPr="00194E8E" w:rsidRDefault="00D543DA" w:rsidP="007D539C">
      <w:pPr>
        <w:numPr>
          <w:ilvl w:val="0"/>
          <w:numId w:val="25"/>
        </w:numPr>
        <w:tabs>
          <w:tab w:val="clear" w:pos="720"/>
        </w:tabs>
        <w:spacing w:after="120"/>
        <w:ind w:left="709" w:hanging="425"/>
        <w:jc w:val="both"/>
        <w:rPr>
          <w:rFonts w:asciiTheme="minorHAnsi" w:hAnsiTheme="minorHAnsi"/>
        </w:rPr>
      </w:pPr>
      <w:r w:rsidRPr="00194E8E">
        <w:rPr>
          <w:rFonts w:asciiTheme="minorHAnsi" w:hAnsiTheme="minorHAnsi"/>
        </w:rPr>
        <w:t>Wzajemna relacja wartości chronionych w Konstytucji Rzeczypospolitej Polskiej i w regulacjach międzynarodowych, na których opiera się działalność Europejsk</w:t>
      </w:r>
      <w:r w:rsidR="007D539C">
        <w:rPr>
          <w:rFonts w:asciiTheme="minorHAnsi" w:hAnsiTheme="minorHAnsi"/>
        </w:rPr>
        <w:t>iego Trybunału Praw Człowieka.</w:t>
      </w:r>
    </w:p>
    <w:p w:rsidR="00D543DA" w:rsidRPr="00194E8E" w:rsidRDefault="00D543DA" w:rsidP="007D539C">
      <w:pPr>
        <w:spacing w:after="120"/>
        <w:jc w:val="both"/>
        <w:rPr>
          <w:rFonts w:asciiTheme="minorHAnsi" w:hAnsiTheme="minorHAnsi"/>
        </w:rPr>
      </w:pPr>
      <w:r w:rsidRPr="00194E8E">
        <w:rPr>
          <w:rFonts w:asciiTheme="minorHAnsi" w:hAnsiTheme="minorHAnsi"/>
        </w:rPr>
        <w:t xml:space="preserve">Na tej podstawie Zespół przeprowadził rozmowy kwalifikacyjne z 16 zgłoszonymi osobami. Czas przewidziany na rozmowę kwalifikacyjną z każdym kandydatem wynosił maksymalnie 30 minut. Na wstępie każdy kandydat otrzymał możliwość przedstawienia w ciągu 5-10 minut swojej kandydatury, wizji pełnienia funkcji sędziego Europejskiego Trybunału Praw Człowieka oraz roli i znaczenia </w:t>
      </w:r>
      <w:r w:rsidR="00BA13ED">
        <w:rPr>
          <w:rFonts w:asciiTheme="minorHAnsi" w:hAnsiTheme="minorHAnsi"/>
        </w:rPr>
        <w:t>ETPC</w:t>
      </w:r>
      <w:r w:rsidRPr="00194E8E">
        <w:rPr>
          <w:rFonts w:asciiTheme="minorHAnsi" w:hAnsiTheme="minorHAnsi"/>
        </w:rPr>
        <w:t xml:space="preserve"> i Konwencji o ochronie praw człowieka i podstawowych wolności. Następnie każdy kandydat miał ok. 4 minut</w:t>
      </w:r>
      <w:r w:rsidR="005A00BF" w:rsidRPr="00194E8E">
        <w:rPr>
          <w:rFonts w:asciiTheme="minorHAnsi" w:hAnsiTheme="minorHAnsi"/>
        </w:rPr>
        <w:t>y</w:t>
      </w:r>
      <w:r w:rsidRPr="00194E8E">
        <w:rPr>
          <w:rFonts w:asciiTheme="minorHAnsi" w:hAnsiTheme="minorHAnsi"/>
        </w:rPr>
        <w:t xml:space="preserve"> na odpowiedź na każde z pięciu pytań. Jedno z pytań zostało zadane w języku angielskim, a jedno w języku francuskim. Na pytania zadane w języku obcym kandydat miał możliwość udzielenia odpowiedzi w dowolnie wybranym przez siebie języku urzędowym </w:t>
      </w:r>
      <w:r w:rsidR="00BA13ED">
        <w:rPr>
          <w:rFonts w:asciiTheme="minorHAnsi" w:hAnsiTheme="minorHAnsi"/>
        </w:rPr>
        <w:t>ETPC</w:t>
      </w:r>
      <w:r w:rsidRPr="00194E8E">
        <w:rPr>
          <w:rFonts w:asciiTheme="minorHAnsi" w:hAnsiTheme="minorHAnsi"/>
        </w:rPr>
        <w:t>, tj. ję</w:t>
      </w:r>
      <w:r w:rsidR="007D539C">
        <w:rPr>
          <w:rFonts w:asciiTheme="minorHAnsi" w:hAnsiTheme="minorHAnsi"/>
        </w:rPr>
        <w:t xml:space="preserve">zyku angielskim lub francuskim. </w:t>
      </w:r>
      <w:r w:rsidRPr="00194E8E">
        <w:rPr>
          <w:rFonts w:asciiTheme="minorHAnsi" w:hAnsiTheme="minorHAnsi"/>
        </w:rPr>
        <w:t>Wszystkie rozmowy kwalifikacyjn</w:t>
      </w:r>
      <w:r w:rsidR="00CC0108" w:rsidRPr="00194E8E">
        <w:rPr>
          <w:rFonts w:asciiTheme="minorHAnsi" w:hAnsiTheme="minorHAnsi"/>
        </w:rPr>
        <w:t>e</w:t>
      </w:r>
      <w:r w:rsidRPr="00194E8E">
        <w:rPr>
          <w:rFonts w:asciiTheme="minorHAnsi" w:hAnsiTheme="minorHAnsi"/>
        </w:rPr>
        <w:t xml:space="preserve"> były obserwowane (w drodze transmisji prowadzonej w siedzibie MSZ) przez obserwatorów zgłoszonych z ram</w:t>
      </w:r>
      <w:r w:rsidR="00FF5333">
        <w:rPr>
          <w:rFonts w:asciiTheme="minorHAnsi" w:hAnsiTheme="minorHAnsi"/>
        </w:rPr>
        <w:t>ienia organizacji pozarządowych.</w:t>
      </w:r>
    </w:p>
    <w:p w:rsidR="00D543DA" w:rsidRPr="00194E8E" w:rsidRDefault="00D543DA" w:rsidP="007D539C">
      <w:pPr>
        <w:spacing w:after="120"/>
        <w:jc w:val="both"/>
        <w:rPr>
          <w:rFonts w:asciiTheme="minorHAnsi" w:hAnsiTheme="minorHAnsi"/>
        </w:rPr>
      </w:pPr>
      <w:r w:rsidRPr="00194E8E">
        <w:rPr>
          <w:rFonts w:asciiTheme="minorHAnsi" w:hAnsiTheme="minorHAnsi"/>
        </w:rPr>
        <w:t>Następnie</w:t>
      </w:r>
      <w:r w:rsidR="00340E9E">
        <w:rPr>
          <w:rFonts w:asciiTheme="minorHAnsi" w:hAnsiTheme="minorHAnsi"/>
        </w:rPr>
        <w:t>,</w:t>
      </w:r>
      <w:r w:rsidRPr="00194E8E">
        <w:rPr>
          <w:rFonts w:asciiTheme="minorHAnsi" w:hAnsiTheme="minorHAnsi"/>
        </w:rPr>
        <w:t xml:space="preserve"> po obradach Zespół wyłonił, w drodze uzgodnienia stanowisk, troje kandydatów. Ponadto</w:t>
      </w:r>
      <w:r w:rsidR="00340E9E">
        <w:rPr>
          <w:rFonts w:asciiTheme="minorHAnsi" w:hAnsiTheme="minorHAnsi"/>
        </w:rPr>
        <w:t>,</w:t>
      </w:r>
      <w:r w:rsidRPr="00194E8E">
        <w:rPr>
          <w:rFonts w:asciiTheme="minorHAnsi" w:hAnsiTheme="minorHAnsi"/>
        </w:rPr>
        <w:t xml:space="preserve"> dwie osoby zostały wskazane na kandydatów rezerwowych. </w:t>
      </w:r>
    </w:p>
    <w:p w:rsidR="00D543DA" w:rsidRPr="00194E8E" w:rsidRDefault="00D543DA" w:rsidP="00340E9E">
      <w:pPr>
        <w:pStyle w:val="Akapitzlist"/>
        <w:numPr>
          <w:ilvl w:val="0"/>
          <w:numId w:val="24"/>
        </w:numPr>
        <w:spacing w:before="240" w:after="120" w:line="240" w:lineRule="auto"/>
        <w:ind w:left="709" w:hanging="425"/>
        <w:jc w:val="both"/>
        <w:rPr>
          <w:rFonts w:asciiTheme="minorHAnsi" w:hAnsiTheme="minorHAnsi"/>
          <w:i/>
          <w:sz w:val="24"/>
          <w:szCs w:val="24"/>
          <w:lang w:val="pl-PL"/>
        </w:rPr>
      </w:pPr>
      <w:r w:rsidRPr="00194E8E">
        <w:rPr>
          <w:rFonts w:asciiTheme="minorHAnsi" w:hAnsiTheme="minorHAnsi"/>
          <w:i/>
          <w:sz w:val="24"/>
          <w:szCs w:val="24"/>
          <w:lang w:val="pl-PL"/>
        </w:rPr>
        <w:lastRenderedPageBreak/>
        <w:t xml:space="preserve">przekazanie listy kandydatów do zaopiniowania przez Doradczy Panel Ekspertów RE oraz przedłożenie listy Sekretarz Generalnej Zgromadzenia Parlamentarnego RE </w:t>
      </w:r>
    </w:p>
    <w:p w:rsidR="00D543DA" w:rsidRPr="00194E8E" w:rsidRDefault="00D543DA" w:rsidP="00FF5333">
      <w:pPr>
        <w:spacing w:after="120"/>
        <w:jc w:val="both"/>
        <w:rPr>
          <w:rFonts w:asciiTheme="minorHAnsi" w:hAnsiTheme="minorHAnsi"/>
        </w:rPr>
      </w:pPr>
      <w:r w:rsidRPr="00194E8E">
        <w:rPr>
          <w:rFonts w:asciiTheme="minorHAnsi" w:hAnsiTheme="minorHAnsi"/>
        </w:rPr>
        <w:t>W dniu 29 października 2021 r. Ministerstwo Spraw Zagranicznych przekazało listę trojga kandydatów z życiorysami i informacją na temat procedury ich wyłonienia do zaopiniowania przez Doradczy Panel Ekspertów Rady Europy do spraw wyłonienia kandydatów na wybór na stanowisko sędziego Europejskiego Trybunału Praw Człowieka. Panel przedstawił odpowiedź w dniu 3 grudnia 2021 r. W dniu 6 grudnia Minister Spraw Zagranicznych przedstawił Sekretarz Generalnej ZPRE listę.</w:t>
      </w:r>
    </w:p>
    <w:p w:rsidR="00D543DA" w:rsidRPr="00194E8E" w:rsidRDefault="00D543DA" w:rsidP="00340E9E">
      <w:pPr>
        <w:pStyle w:val="Akapitzlist"/>
        <w:numPr>
          <w:ilvl w:val="0"/>
          <w:numId w:val="24"/>
        </w:numPr>
        <w:spacing w:before="240" w:after="120" w:line="240" w:lineRule="auto"/>
        <w:ind w:left="709" w:hanging="425"/>
        <w:jc w:val="both"/>
        <w:rPr>
          <w:rFonts w:asciiTheme="minorHAnsi" w:hAnsiTheme="minorHAnsi"/>
          <w:i/>
          <w:sz w:val="24"/>
          <w:szCs w:val="24"/>
          <w:lang w:val="pl-PL"/>
        </w:rPr>
      </w:pPr>
      <w:r w:rsidRPr="00194E8E">
        <w:rPr>
          <w:rFonts w:asciiTheme="minorHAnsi" w:hAnsiTheme="minorHAnsi"/>
          <w:i/>
          <w:sz w:val="24"/>
          <w:szCs w:val="24"/>
          <w:lang w:val="pl-PL"/>
        </w:rPr>
        <w:t>przejrzystość procesu wyłaniania kandydatów i dialog z organizacjami pozarządowymi</w:t>
      </w:r>
    </w:p>
    <w:p w:rsidR="00D543DA" w:rsidRPr="00194E8E" w:rsidRDefault="00D543DA" w:rsidP="00340E9E">
      <w:pPr>
        <w:spacing w:after="120"/>
        <w:jc w:val="both"/>
        <w:rPr>
          <w:rFonts w:asciiTheme="minorHAnsi" w:hAnsiTheme="minorHAnsi"/>
        </w:rPr>
      </w:pPr>
      <w:r w:rsidRPr="00194E8E">
        <w:rPr>
          <w:rStyle w:val="word"/>
          <w:rFonts w:asciiTheme="minorHAnsi" w:hAnsiTheme="minorHAnsi"/>
        </w:rPr>
        <w:t>W</w:t>
      </w:r>
      <w:r w:rsidRPr="00194E8E">
        <w:rPr>
          <w:rFonts w:asciiTheme="minorHAnsi" w:hAnsiTheme="minorHAnsi"/>
        </w:rPr>
        <w:t xml:space="preserve"> </w:t>
      </w:r>
      <w:r w:rsidRPr="00194E8E">
        <w:rPr>
          <w:rStyle w:val="word"/>
          <w:rFonts w:asciiTheme="minorHAnsi" w:hAnsiTheme="minorHAnsi"/>
        </w:rPr>
        <w:t>prawie</w:t>
      </w:r>
      <w:r w:rsidRPr="00194E8E">
        <w:rPr>
          <w:rFonts w:asciiTheme="minorHAnsi" w:hAnsiTheme="minorHAnsi"/>
        </w:rPr>
        <w:t xml:space="preserve"> </w:t>
      </w:r>
      <w:r w:rsidRPr="00194E8E">
        <w:rPr>
          <w:rStyle w:val="word"/>
          <w:rFonts w:asciiTheme="minorHAnsi" w:hAnsiTheme="minorHAnsi"/>
        </w:rPr>
        <w:t>polskim</w:t>
      </w:r>
      <w:r w:rsidRPr="00194E8E">
        <w:rPr>
          <w:rFonts w:asciiTheme="minorHAnsi" w:hAnsiTheme="minorHAnsi"/>
        </w:rPr>
        <w:t xml:space="preserve"> brak jest </w:t>
      </w:r>
      <w:r w:rsidRPr="00194E8E">
        <w:rPr>
          <w:rStyle w:val="word"/>
          <w:rFonts w:asciiTheme="minorHAnsi" w:hAnsiTheme="minorHAnsi"/>
        </w:rPr>
        <w:t>przepis</w:t>
      </w:r>
      <w:r w:rsidRPr="00194E8E">
        <w:rPr>
          <w:rFonts w:asciiTheme="minorHAnsi" w:hAnsiTheme="minorHAnsi"/>
        </w:rPr>
        <w:t xml:space="preserve">u ustawowego, który </w:t>
      </w:r>
      <w:r w:rsidRPr="00194E8E">
        <w:rPr>
          <w:rStyle w:val="word"/>
          <w:rFonts w:asciiTheme="minorHAnsi" w:hAnsiTheme="minorHAnsi"/>
        </w:rPr>
        <w:t>ograniczałby</w:t>
      </w:r>
      <w:r w:rsidRPr="00194E8E">
        <w:rPr>
          <w:rFonts w:asciiTheme="minorHAnsi" w:hAnsiTheme="minorHAnsi"/>
        </w:rPr>
        <w:t xml:space="preserve"> </w:t>
      </w:r>
      <w:r w:rsidRPr="00194E8E">
        <w:rPr>
          <w:rStyle w:val="word"/>
          <w:rFonts w:asciiTheme="minorHAnsi" w:hAnsiTheme="minorHAnsi"/>
        </w:rPr>
        <w:t>prawo</w:t>
      </w:r>
      <w:r w:rsidRPr="00194E8E">
        <w:rPr>
          <w:rFonts w:asciiTheme="minorHAnsi" w:hAnsiTheme="minorHAnsi"/>
        </w:rPr>
        <w:t xml:space="preserve"> </w:t>
      </w:r>
      <w:r w:rsidRPr="00194E8E">
        <w:rPr>
          <w:rStyle w:val="word"/>
          <w:rFonts w:asciiTheme="minorHAnsi" w:hAnsiTheme="minorHAnsi"/>
        </w:rPr>
        <w:t>do</w:t>
      </w:r>
      <w:r w:rsidRPr="00194E8E">
        <w:rPr>
          <w:rFonts w:asciiTheme="minorHAnsi" w:hAnsiTheme="minorHAnsi"/>
        </w:rPr>
        <w:t xml:space="preserve"> </w:t>
      </w:r>
      <w:r w:rsidRPr="00194E8E">
        <w:rPr>
          <w:rStyle w:val="word"/>
          <w:rFonts w:asciiTheme="minorHAnsi" w:hAnsiTheme="minorHAnsi"/>
        </w:rPr>
        <w:t>poszanowania</w:t>
      </w:r>
      <w:r w:rsidRPr="00194E8E">
        <w:rPr>
          <w:rFonts w:asciiTheme="minorHAnsi" w:hAnsiTheme="minorHAnsi"/>
        </w:rPr>
        <w:t xml:space="preserve"> </w:t>
      </w:r>
      <w:r w:rsidRPr="00194E8E">
        <w:rPr>
          <w:rStyle w:val="word"/>
          <w:rFonts w:asciiTheme="minorHAnsi" w:hAnsiTheme="minorHAnsi"/>
        </w:rPr>
        <w:t>życia</w:t>
      </w:r>
      <w:r w:rsidRPr="00194E8E">
        <w:rPr>
          <w:rFonts w:asciiTheme="minorHAnsi" w:hAnsiTheme="minorHAnsi"/>
        </w:rPr>
        <w:t xml:space="preserve"> </w:t>
      </w:r>
      <w:r w:rsidRPr="00194E8E">
        <w:rPr>
          <w:rStyle w:val="word"/>
          <w:rFonts w:asciiTheme="minorHAnsi" w:hAnsiTheme="minorHAnsi"/>
        </w:rPr>
        <w:t>prywatnego</w:t>
      </w:r>
      <w:r w:rsidRPr="00194E8E">
        <w:rPr>
          <w:rFonts w:asciiTheme="minorHAnsi" w:hAnsiTheme="minorHAnsi"/>
        </w:rPr>
        <w:t xml:space="preserve"> </w:t>
      </w:r>
      <w:r w:rsidRPr="00194E8E">
        <w:rPr>
          <w:rStyle w:val="word"/>
          <w:rFonts w:asciiTheme="minorHAnsi" w:hAnsiTheme="minorHAnsi"/>
        </w:rPr>
        <w:t>kandydatów</w:t>
      </w:r>
      <w:r w:rsidRPr="00194E8E">
        <w:rPr>
          <w:rFonts w:asciiTheme="minorHAnsi" w:hAnsiTheme="minorHAnsi"/>
        </w:rPr>
        <w:t xml:space="preserve"> </w:t>
      </w:r>
      <w:r w:rsidRPr="00194E8E">
        <w:rPr>
          <w:rStyle w:val="word"/>
          <w:rFonts w:asciiTheme="minorHAnsi" w:hAnsiTheme="minorHAnsi"/>
        </w:rPr>
        <w:t>na</w:t>
      </w:r>
      <w:r w:rsidRPr="00194E8E">
        <w:rPr>
          <w:rFonts w:asciiTheme="minorHAnsi" w:hAnsiTheme="minorHAnsi"/>
        </w:rPr>
        <w:t xml:space="preserve"> </w:t>
      </w:r>
      <w:r w:rsidRPr="00194E8E">
        <w:rPr>
          <w:rStyle w:val="word"/>
          <w:rFonts w:asciiTheme="minorHAnsi" w:hAnsiTheme="minorHAnsi"/>
        </w:rPr>
        <w:t>sędziego</w:t>
      </w:r>
      <w:r w:rsidRPr="00194E8E">
        <w:rPr>
          <w:rFonts w:asciiTheme="minorHAnsi" w:hAnsiTheme="minorHAnsi"/>
        </w:rPr>
        <w:t xml:space="preserve"> </w:t>
      </w:r>
      <w:r w:rsidRPr="00194E8E">
        <w:rPr>
          <w:rStyle w:val="word"/>
          <w:rFonts w:asciiTheme="minorHAnsi" w:hAnsiTheme="minorHAnsi"/>
        </w:rPr>
        <w:t>ETPC</w:t>
      </w:r>
      <w:r w:rsidRPr="00194E8E">
        <w:rPr>
          <w:rFonts w:asciiTheme="minorHAnsi" w:hAnsiTheme="minorHAnsi"/>
        </w:rPr>
        <w:t xml:space="preserve"> </w:t>
      </w:r>
      <w:r w:rsidRPr="00194E8E">
        <w:rPr>
          <w:rStyle w:val="word"/>
          <w:rFonts w:asciiTheme="minorHAnsi" w:hAnsiTheme="minorHAnsi"/>
        </w:rPr>
        <w:t>i</w:t>
      </w:r>
      <w:r w:rsidRPr="00194E8E">
        <w:rPr>
          <w:rFonts w:asciiTheme="minorHAnsi" w:hAnsiTheme="minorHAnsi"/>
        </w:rPr>
        <w:t xml:space="preserve"> </w:t>
      </w:r>
      <w:r w:rsidRPr="00194E8E">
        <w:rPr>
          <w:rStyle w:val="word"/>
          <w:rFonts w:asciiTheme="minorHAnsi" w:hAnsiTheme="minorHAnsi"/>
        </w:rPr>
        <w:t>przewidywał</w:t>
      </w:r>
      <w:r w:rsidRPr="00194E8E">
        <w:rPr>
          <w:rFonts w:asciiTheme="minorHAnsi" w:hAnsiTheme="minorHAnsi"/>
        </w:rPr>
        <w:t xml:space="preserve"> </w:t>
      </w:r>
      <w:r w:rsidRPr="00194E8E">
        <w:rPr>
          <w:rStyle w:val="word"/>
          <w:rFonts w:asciiTheme="minorHAnsi" w:hAnsiTheme="minorHAnsi"/>
        </w:rPr>
        <w:t>publikację</w:t>
      </w:r>
      <w:r w:rsidRPr="00194E8E">
        <w:rPr>
          <w:rFonts w:asciiTheme="minorHAnsi" w:hAnsiTheme="minorHAnsi"/>
        </w:rPr>
        <w:t xml:space="preserve"> </w:t>
      </w:r>
      <w:r w:rsidRPr="00194E8E">
        <w:rPr>
          <w:rStyle w:val="word"/>
          <w:rFonts w:asciiTheme="minorHAnsi" w:hAnsiTheme="minorHAnsi"/>
        </w:rPr>
        <w:t>ich</w:t>
      </w:r>
      <w:r w:rsidRPr="00194E8E">
        <w:rPr>
          <w:rFonts w:asciiTheme="minorHAnsi" w:hAnsiTheme="minorHAnsi"/>
        </w:rPr>
        <w:t xml:space="preserve"> </w:t>
      </w:r>
      <w:r w:rsidRPr="00194E8E">
        <w:rPr>
          <w:rStyle w:val="word"/>
          <w:rFonts w:asciiTheme="minorHAnsi" w:hAnsiTheme="minorHAnsi"/>
        </w:rPr>
        <w:t>danych</w:t>
      </w:r>
      <w:r w:rsidRPr="00194E8E">
        <w:rPr>
          <w:rFonts w:asciiTheme="minorHAnsi" w:hAnsiTheme="minorHAnsi"/>
        </w:rPr>
        <w:t xml:space="preserve"> </w:t>
      </w:r>
      <w:r w:rsidRPr="00194E8E">
        <w:rPr>
          <w:rStyle w:val="word"/>
          <w:rFonts w:asciiTheme="minorHAnsi" w:hAnsiTheme="minorHAnsi"/>
        </w:rPr>
        <w:t>osobowych</w:t>
      </w:r>
      <w:r w:rsidRPr="00194E8E">
        <w:rPr>
          <w:rFonts w:asciiTheme="minorHAnsi" w:hAnsiTheme="minorHAnsi"/>
        </w:rPr>
        <w:t xml:space="preserve">. </w:t>
      </w:r>
      <w:r w:rsidRPr="00194E8E">
        <w:rPr>
          <w:rStyle w:val="word"/>
          <w:rFonts w:asciiTheme="minorHAnsi" w:hAnsiTheme="minorHAnsi"/>
        </w:rPr>
        <w:t>Prawo polskie jest w</w:t>
      </w:r>
      <w:r w:rsidRPr="00194E8E">
        <w:rPr>
          <w:rFonts w:asciiTheme="minorHAnsi" w:hAnsiTheme="minorHAnsi"/>
        </w:rPr>
        <w:t xml:space="preserve"> </w:t>
      </w:r>
      <w:r w:rsidRPr="00194E8E">
        <w:rPr>
          <w:rStyle w:val="word"/>
          <w:rFonts w:asciiTheme="minorHAnsi" w:hAnsiTheme="minorHAnsi"/>
        </w:rPr>
        <w:t>tym</w:t>
      </w:r>
      <w:r w:rsidRPr="00194E8E">
        <w:rPr>
          <w:rFonts w:asciiTheme="minorHAnsi" w:hAnsiTheme="minorHAnsi"/>
        </w:rPr>
        <w:t xml:space="preserve"> </w:t>
      </w:r>
      <w:r w:rsidRPr="00194E8E">
        <w:rPr>
          <w:rStyle w:val="word"/>
          <w:rFonts w:asciiTheme="minorHAnsi" w:hAnsiTheme="minorHAnsi"/>
        </w:rPr>
        <w:t>zakresie</w:t>
      </w:r>
      <w:r w:rsidRPr="00194E8E">
        <w:rPr>
          <w:rFonts w:asciiTheme="minorHAnsi" w:hAnsiTheme="minorHAnsi"/>
        </w:rPr>
        <w:t xml:space="preserve"> </w:t>
      </w:r>
      <w:r w:rsidRPr="00194E8E">
        <w:rPr>
          <w:rStyle w:val="word"/>
          <w:rFonts w:asciiTheme="minorHAnsi" w:hAnsiTheme="minorHAnsi"/>
        </w:rPr>
        <w:t>zgodne</w:t>
      </w:r>
      <w:r w:rsidRPr="00194E8E">
        <w:rPr>
          <w:rFonts w:asciiTheme="minorHAnsi" w:hAnsiTheme="minorHAnsi"/>
        </w:rPr>
        <w:t xml:space="preserve"> </w:t>
      </w:r>
      <w:r w:rsidRPr="00194E8E">
        <w:rPr>
          <w:rStyle w:val="word"/>
          <w:rFonts w:asciiTheme="minorHAnsi" w:hAnsiTheme="minorHAnsi"/>
        </w:rPr>
        <w:t>zarówno</w:t>
      </w:r>
      <w:r w:rsidRPr="00194E8E">
        <w:rPr>
          <w:rFonts w:asciiTheme="minorHAnsi" w:hAnsiTheme="minorHAnsi"/>
        </w:rPr>
        <w:t xml:space="preserve"> </w:t>
      </w:r>
      <w:r w:rsidRPr="00194E8E">
        <w:rPr>
          <w:rStyle w:val="word"/>
          <w:rFonts w:asciiTheme="minorHAnsi" w:hAnsiTheme="minorHAnsi"/>
        </w:rPr>
        <w:t>z</w:t>
      </w:r>
      <w:r w:rsidRPr="00194E8E">
        <w:rPr>
          <w:rFonts w:asciiTheme="minorHAnsi" w:hAnsiTheme="minorHAnsi"/>
        </w:rPr>
        <w:t xml:space="preserve"> </w:t>
      </w:r>
      <w:r w:rsidRPr="00194E8E">
        <w:rPr>
          <w:rStyle w:val="word"/>
          <w:rFonts w:asciiTheme="minorHAnsi" w:hAnsiTheme="minorHAnsi"/>
        </w:rPr>
        <w:t>ogólnym</w:t>
      </w:r>
      <w:r w:rsidRPr="00194E8E">
        <w:rPr>
          <w:rFonts w:asciiTheme="minorHAnsi" w:hAnsiTheme="minorHAnsi"/>
        </w:rPr>
        <w:t xml:space="preserve"> </w:t>
      </w:r>
      <w:r w:rsidRPr="00194E8E">
        <w:rPr>
          <w:rStyle w:val="word"/>
          <w:rFonts w:asciiTheme="minorHAnsi" w:hAnsiTheme="minorHAnsi"/>
        </w:rPr>
        <w:t>rozporządzeniem</w:t>
      </w:r>
      <w:r w:rsidRPr="00194E8E">
        <w:rPr>
          <w:rFonts w:asciiTheme="minorHAnsi" w:hAnsiTheme="minorHAnsi"/>
        </w:rPr>
        <w:t xml:space="preserve"> </w:t>
      </w:r>
      <w:r w:rsidRPr="00194E8E">
        <w:rPr>
          <w:rStyle w:val="word"/>
          <w:rFonts w:asciiTheme="minorHAnsi" w:hAnsiTheme="minorHAnsi"/>
        </w:rPr>
        <w:t>UE</w:t>
      </w:r>
      <w:r w:rsidRPr="00194E8E">
        <w:rPr>
          <w:rFonts w:asciiTheme="minorHAnsi" w:hAnsiTheme="minorHAnsi"/>
        </w:rPr>
        <w:t xml:space="preserve"> </w:t>
      </w:r>
      <w:r w:rsidRPr="00194E8E">
        <w:rPr>
          <w:rStyle w:val="word"/>
          <w:rFonts w:asciiTheme="minorHAnsi" w:hAnsiTheme="minorHAnsi"/>
        </w:rPr>
        <w:t>o</w:t>
      </w:r>
      <w:r w:rsidRPr="00194E8E">
        <w:rPr>
          <w:rFonts w:asciiTheme="minorHAnsi" w:hAnsiTheme="minorHAnsi"/>
        </w:rPr>
        <w:t xml:space="preserve"> </w:t>
      </w:r>
      <w:r w:rsidRPr="00194E8E">
        <w:rPr>
          <w:rStyle w:val="word"/>
          <w:rFonts w:asciiTheme="minorHAnsi" w:hAnsiTheme="minorHAnsi"/>
        </w:rPr>
        <w:t>ochronie</w:t>
      </w:r>
      <w:r w:rsidRPr="00194E8E">
        <w:rPr>
          <w:rFonts w:asciiTheme="minorHAnsi" w:hAnsiTheme="minorHAnsi"/>
        </w:rPr>
        <w:t xml:space="preserve"> </w:t>
      </w:r>
      <w:r w:rsidRPr="00194E8E">
        <w:rPr>
          <w:rStyle w:val="word"/>
          <w:rFonts w:asciiTheme="minorHAnsi" w:hAnsiTheme="minorHAnsi"/>
        </w:rPr>
        <w:t>danych (RODO)</w:t>
      </w:r>
      <w:r w:rsidRPr="00194E8E">
        <w:rPr>
          <w:rFonts w:asciiTheme="minorHAnsi" w:hAnsiTheme="minorHAnsi"/>
        </w:rPr>
        <w:t xml:space="preserve">, </w:t>
      </w:r>
      <w:r w:rsidRPr="00194E8E">
        <w:rPr>
          <w:rStyle w:val="word"/>
          <w:rFonts w:asciiTheme="minorHAnsi" w:hAnsiTheme="minorHAnsi"/>
        </w:rPr>
        <w:t>jak</w:t>
      </w:r>
      <w:r w:rsidRPr="00194E8E">
        <w:rPr>
          <w:rFonts w:asciiTheme="minorHAnsi" w:hAnsiTheme="minorHAnsi"/>
        </w:rPr>
        <w:t xml:space="preserve"> </w:t>
      </w:r>
      <w:r w:rsidRPr="00194E8E">
        <w:rPr>
          <w:rStyle w:val="word"/>
          <w:rFonts w:asciiTheme="minorHAnsi" w:hAnsiTheme="minorHAnsi"/>
        </w:rPr>
        <w:t>i</w:t>
      </w:r>
      <w:r w:rsidRPr="00194E8E">
        <w:rPr>
          <w:rFonts w:asciiTheme="minorHAnsi" w:hAnsiTheme="minorHAnsi"/>
        </w:rPr>
        <w:t xml:space="preserve"> </w:t>
      </w:r>
      <w:r w:rsidRPr="00194E8E">
        <w:rPr>
          <w:rStyle w:val="word"/>
          <w:rFonts w:asciiTheme="minorHAnsi" w:hAnsiTheme="minorHAnsi"/>
        </w:rPr>
        <w:t>z</w:t>
      </w:r>
      <w:r w:rsidRPr="00194E8E">
        <w:rPr>
          <w:rFonts w:asciiTheme="minorHAnsi" w:hAnsiTheme="minorHAnsi"/>
        </w:rPr>
        <w:t xml:space="preserve"> Wytycznymi Komitetu Ministrów w sprawie wyłaniania kandydatów na urząd sędziego Europejskiego Trybunału Praw Człowieka z dnia 28 marca 2012</w:t>
      </w:r>
      <w:r w:rsidR="00340E9E">
        <w:rPr>
          <w:rFonts w:asciiTheme="minorHAnsi" w:hAnsiTheme="minorHAnsi"/>
        </w:rPr>
        <w:t> </w:t>
      </w:r>
      <w:r w:rsidRPr="00194E8E">
        <w:rPr>
          <w:rFonts w:asciiTheme="minorHAnsi" w:hAnsiTheme="minorHAnsi"/>
        </w:rPr>
        <w:t xml:space="preserve">r., </w:t>
      </w:r>
      <w:r w:rsidRPr="00194E8E">
        <w:rPr>
          <w:rStyle w:val="word"/>
          <w:rFonts w:asciiTheme="minorHAnsi" w:hAnsiTheme="minorHAnsi"/>
        </w:rPr>
        <w:t>które</w:t>
      </w:r>
      <w:r w:rsidRPr="00194E8E">
        <w:rPr>
          <w:rFonts w:asciiTheme="minorHAnsi" w:hAnsiTheme="minorHAnsi"/>
        </w:rPr>
        <w:t xml:space="preserve"> </w:t>
      </w:r>
      <w:r w:rsidRPr="00194E8E">
        <w:rPr>
          <w:rStyle w:val="word"/>
          <w:rFonts w:asciiTheme="minorHAnsi" w:hAnsiTheme="minorHAnsi"/>
        </w:rPr>
        <w:t>nie</w:t>
      </w:r>
      <w:r w:rsidRPr="00194E8E">
        <w:rPr>
          <w:rFonts w:asciiTheme="minorHAnsi" w:hAnsiTheme="minorHAnsi"/>
        </w:rPr>
        <w:t xml:space="preserve"> </w:t>
      </w:r>
      <w:r w:rsidRPr="00194E8E">
        <w:rPr>
          <w:rStyle w:val="word"/>
          <w:rFonts w:asciiTheme="minorHAnsi" w:hAnsiTheme="minorHAnsi"/>
        </w:rPr>
        <w:t>zawierają</w:t>
      </w:r>
      <w:r w:rsidRPr="00194E8E">
        <w:rPr>
          <w:rFonts w:asciiTheme="minorHAnsi" w:hAnsiTheme="minorHAnsi"/>
        </w:rPr>
        <w:t xml:space="preserve"> </w:t>
      </w:r>
      <w:r w:rsidRPr="00194E8E">
        <w:rPr>
          <w:rStyle w:val="word"/>
          <w:rFonts w:asciiTheme="minorHAnsi" w:hAnsiTheme="minorHAnsi"/>
        </w:rPr>
        <w:t>zaleceń</w:t>
      </w:r>
      <w:r w:rsidRPr="00194E8E">
        <w:rPr>
          <w:rFonts w:asciiTheme="minorHAnsi" w:hAnsiTheme="minorHAnsi"/>
        </w:rPr>
        <w:t xml:space="preserve"> </w:t>
      </w:r>
      <w:r w:rsidRPr="00194E8E">
        <w:rPr>
          <w:rStyle w:val="word"/>
          <w:rFonts w:asciiTheme="minorHAnsi" w:hAnsiTheme="minorHAnsi"/>
        </w:rPr>
        <w:t>dotyczących</w:t>
      </w:r>
      <w:r w:rsidRPr="00194E8E">
        <w:rPr>
          <w:rFonts w:asciiTheme="minorHAnsi" w:hAnsiTheme="minorHAnsi"/>
        </w:rPr>
        <w:t xml:space="preserve"> </w:t>
      </w:r>
      <w:r w:rsidRPr="00194E8E">
        <w:rPr>
          <w:rStyle w:val="word"/>
          <w:rFonts w:asciiTheme="minorHAnsi" w:hAnsiTheme="minorHAnsi"/>
        </w:rPr>
        <w:t>publikacji</w:t>
      </w:r>
      <w:r w:rsidRPr="00194E8E">
        <w:rPr>
          <w:rFonts w:asciiTheme="minorHAnsi" w:hAnsiTheme="minorHAnsi"/>
        </w:rPr>
        <w:t xml:space="preserve"> </w:t>
      </w:r>
      <w:r w:rsidRPr="00194E8E">
        <w:rPr>
          <w:rStyle w:val="word"/>
          <w:rFonts w:asciiTheme="minorHAnsi" w:hAnsiTheme="minorHAnsi"/>
        </w:rPr>
        <w:t>danych</w:t>
      </w:r>
      <w:r w:rsidRPr="00194E8E">
        <w:rPr>
          <w:rFonts w:asciiTheme="minorHAnsi" w:hAnsiTheme="minorHAnsi"/>
        </w:rPr>
        <w:t xml:space="preserve"> </w:t>
      </w:r>
      <w:r w:rsidRPr="00194E8E">
        <w:rPr>
          <w:rStyle w:val="word"/>
          <w:rFonts w:asciiTheme="minorHAnsi" w:hAnsiTheme="minorHAnsi"/>
        </w:rPr>
        <w:t>osobowych</w:t>
      </w:r>
      <w:r w:rsidRPr="00194E8E">
        <w:rPr>
          <w:rFonts w:asciiTheme="minorHAnsi" w:hAnsiTheme="minorHAnsi"/>
        </w:rPr>
        <w:t xml:space="preserve"> </w:t>
      </w:r>
      <w:r w:rsidRPr="00194E8E">
        <w:rPr>
          <w:rStyle w:val="word"/>
          <w:rFonts w:asciiTheme="minorHAnsi" w:hAnsiTheme="minorHAnsi"/>
        </w:rPr>
        <w:t>wszystkich</w:t>
      </w:r>
      <w:r w:rsidRPr="00194E8E">
        <w:rPr>
          <w:rFonts w:asciiTheme="minorHAnsi" w:hAnsiTheme="minorHAnsi"/>
        </w:rPr>
        <w:t xml:space="preserve"> osób zgłaszających się do konkursu na sędziego (</w:t>
      </w:r>
      <w:r w:rsidRPr="00194E8E">
        <w:rPr>
          <w:rStyle w:val="word"/>
          <w:rFonts w:asciiTheme="minorHAnsi" w:hAnsiTheme="minorHAnsi"/>
        </w:rPr>
        <w:t>zo</w:t>
      </w:r>
      <w:r w:rsidRPr="00194E8E">
        <w:rPr>
          <w:rFonts w:asciiTheme="minorHAnsi" w:hAnsiTheme="minorHAnsi"/>
        </w:rPr>
        <w:t xml:space="preserve">b. </w:t>
      </w:r>
      <w:r w:rsidRPr="00194E8E">
        <w:rPr>
          <w:rStyle w:val="word"/>
          <w:rFonts w:asciiTheme="minorHAnsi" w:hAnsiTheme="minorHAnsi"/>
        </w:rPr>
        <w:t>pkt</w:t>
      </w:r>
      <w:r w:rsidRPr="00194E8E">
        <w:rPr>
          <w:rFonts w:asciiTheme="minorHAnsi" w:hAnsiTheme="minorHAnsi"/>
        </w:rPr>
        <w:t xml:space="preserve">. </w:t>
      </w:r>
      <w:r w:rsidRPr="00194E8E">
        <w:rPr>
          <w:rStyle w:val="word"/>
          <w:rFonts w:asciiTheme="minorHAnsi" w:hAnsiTheme="minorHAnsi"/>
        </w:rPr>
        <w:t>V.</w:t>
      </w:r>
      <w:r w:rsidRPr="00194E8E">
        <w:rPr>
          <w:rFonts w:asciiTheme="minorHAnsi" w:hAnsiTheme="minorHAnsi"/>
        </w:rPr>
        <w:t xml:space="preserve"> </w:t>
      </w:r>
      <w:r w:rsidRPr="00194E8E">
        <w:rPr>
          <w:rStyle w:val="word"/>
          <w:rFonts w:asciiTheme="minorHAnsi" w:hAnsiTheme="minorHAnsi"/>
        </w:rPr>
        <w:t>2-3</w:t>
      </w:r>
      <w:r w:rsidRPr="00194E8E">
        <w:rPr>
          <w:rFonts w:asciiTheme="minorHAnsi" w:hAnsiTheme="minorHAnsi"/>
        </w:rPr>
        <w:t xml:space="preserve">). </w:t>
      </w:r>
      <w:r w:rsidRPr="00194E8E">
        <w:rPr>
          <w:rStyle w:val="word"/>
          <w:rFonts w:asciiTheme="minorHAnsi" w:hAnsiTheme="minorHAnsi"/>
        </w:rPr>
        <w:t>Podejście</w:t>
      </w:r>
      <w:r w:rsidRPr="00194E8E">
        <w:rPr>
          <w:rFonts w:asciiTheme="minorHAnsi" w:hAnsiTheme="minorHAnsi"/>
        </w:rPr>
        <w:t xml:space="preserve"> </w:t>
      </w:r>
      <w:r w:rsidRPr="00194E8E">
        <w:rPr>
          <w:rStyle w:val="word"/>
          <w:rFonts w:asciiTheme="minorHAnsi" w:hAnsiTheme="minorHAnsi"/>
        </w:rPr>
        <w:t>przyjęte</w:t>
      </w:r>
      <w:r w:rsidRPr="00194E8E">
        <w:rPr>
          <w:rFonts w:asciiTheme="minorHAnsi" w:hAnsiTheme="minorHAnsi"/>
        </w:rPr>
        <w:t xml:space="preserve"> </w:t>
      </w:r>
      <w:r w:rsidRPr="00194E8E">
        <w:rPr>
          <w:rStyle w:val="word"/>
          <w:rFonts w:asciiTheme="minorHAnsi" w:hAnsiTheme="minorHAnsi"/>
        </w:rPr>
        <w:t>w</w:t>
      </w:r>
      <w:r w:rsidRPr="00194E8E">
        <w:rPr>
          <w:rFonts w:asciiTheme="minorHAnsi" w:hAnsiTheme="minorHAnsi"/>
        </w:rPr>
        <w:t xml:space="preserve"> </w:t>
      </w:r>
      <w:r w:rsidRPr="00194E8E">
        <w:rPr>
          <w:rStyle w:val="word"/>
          <w:rFonts w:asciiTheme="minorHAnsi" w:hAnsiTheme="minorHAnsi"/>
        </w:rPr>
        <w:t>Polsce</w:t>
      </w:r>
      <w:r w:rsidRPr="00194E8E">
        <w:rPr>
          <w:rFonts w:asciiTheme="minorHAnsi" w:hAnsiTheme="minorHAnsi"/>
        </w:rPr>
        <w:t xml:space="preserve"> </w:t>
      </w:r>
      <w:r w:rsidRPr="00194E8E">
        <w:rPr>
          <w:rStyle w:val="word"/>
          <w:rFonts w:asciiTheme="minorHAnsi" w:hAnsiTheme="minorHAnsi"/>
        </w:rPr>
        <w:t>jest</w:t>
      </w:r>
      <w:r w:rsidRPr="00194E8E">
        <w:rPr>
          <w:rFonts w:asciiTheme="minorHAnsi" w:hAnsiTheme="minorHAnsi"/>
        </w:rPr>
        <w:t xml:space="preserve"> </w:t>
      </w:r>
      <w:r w:rsidRPr="00194E8E">
        <w:rPr>
          <w:rStyle w:val="word"/>
          <w:rFonts w:asciiTheme="minorHAnsi" w:hAnsiTheme="minorHAnsi"/>
        </w:rPr>
        <w:t>podobne</w:t>
      </w:r>
      <w:r w:rsidRPr="00194E8E">
        <w:rPr>
          <w:rFonts w:asciiTheme="minorHAnsi" w:hAnsiTheme="minorHAnsi"/>
        </w:rPr>
        <w:t xml:space="preserve"> </w:t>
      </w:r>
      <w:r w:rsidRPr="00194E8E">
        <w:rPr>
          <w:rStyle w:val="word"/>
          <w:rFonts w:asciiTheme="minorHAnsi" w:hAnsiTheme="minorHAnsi"/>
        </w:rPr>
        <w:t>do modelu stosowanego w</w:t>
      </w:r>
      <w:r w:rsidRPr="00194E8E">
        <w:rPr>
          <w:rFonts w:asciiTheme="minorHAnsi" w:hAnsiTheme="minorHAnsi"/>
        </w:rPr>
        <w:t xml:space="preserve"> </w:t>
      </w:r>
      <w:r w:rsidRPr="00194E8E">
        <w:rPr>
          <w:rStyle w:val="word"/>
          <w:rFonts w:asciiTheme="minorHAnsi" w:hAnsiTheme="minorHAnsi"/>
        </w:rPr>
        <w:t>wiel</w:t>
      </w:r>
      <w:r w:rsidRPr="00194E8E">
        <w:rPr>
          <w:rFonts w:asciiTheme="minorHAnsi" w:hAnsiTheme="minorHAnsi"/>
        </w:rPr>
        <w:t xml:space="preserve">u </w:t>
      </w:r>
      <w:r w:rsidRPr="00194E8E">
        <w:rPr>
          <w:rStyle w:val="word"/>
          <w:rFonts w:asciiTheme="minorHAnsi" w:hAnsiTheme="minorHAnsi"/>
        </w:rPr>
        <w:t>innych</w:t>
      </w:r>
      <w:r w:rsidRPr="00194E8E">
        <w:rPr>
          <w:rFonts w:asciiTheme="minorHAnsi" w:hAnsiTheme="minorHAnsi"/>
        </w:rPr>
        <w:t xml:space="preserve"> </w:t>
      </w:r>
      <w:r w:rsidRPr="00194E8E">
        <w:rPr>
          <w:rStyle w:val="word"/>
          <w:rFonts w:asciiTheme="minorHAnsi" w:hAnsiTheme="minorHAnsi"/>
        </w:rPr>
        <w:t>państwach</w:t>
      </w:r>
      <w:r w:rsidR="00FF5333">
        <w:rPr>
          <w:rStyle w:val="word"/>
          <w:rFonts w:asciiTheme="minorHAnsi" w:hAnsiTheme="minorHAnsi"/>
        </w:rPr>
        <w:t>.</w:t>
      </w:r>
      <w:r w:rsidRPr="00194E8E">
        <w:rPr>
          <w:rFonts w:asciiTheme="minorHAnsi" w:hAnsiTheme="minorHAnsi"/>
        </w:rPr>
        <w:t xml:space="preserve"> </w:t>
      </w:r>
      <w:r w:rsidR="00CC0108" w:rsidRPr="00194E8E">
        <w:rPr>
          <w:rFonts w:asciiTheme="minorHAnsi" w:hAnsiTheme="minorHAnsi"/>
        </w:rPr>
        <w:t>Niemniej</w:t>
      </w:r>
      <w:r w:rsidRPr="00194E8E">
        <w:rPr>
          <w:rFonts w:asciiTheme="minorHAnsi" w:hAnsiTheme="minorHAnsi"/>
        </w:rPr>
        <w:t xml:space="preserve">, biorąc pod uwagę </w:t>
      </w:r>
      <w:r w:rsidR="00340E9E" w:rsidRPr="00194E8E">
        <w:rPr>
          <w:rFonts w:asciiTheme="minorHAnsi" w:hAnsiTheme="minorHAnsi"/>
        </w:rPr>
        <w:t>postulaty zwiększenia przejrzystości</w:t>
      </w:r>
      <w:r w:rsidR="00340E9E">
        <w:rPr>
          <w:rFonts w:asciiTheme="minorHAnsi" w:hAnsiTheme="minorHAnsi"/>
        </w:rPr>
        <w:t>,</w:t>
      </w:r>
      <w:r w:rsidR="00340E9E" w:rsidRPr="00194E8E">
        <w:rPr>
          <w:rFonts w:asciiTheme="minorHAnsi" w:hAnsiTheme="minorHAnsi"/>
        </w:rPr>
        <w:t xml:space="preserve"> </w:t>
      </w:r>
      <w:r w:rsidRPr="00194E8E">
        <w:rPr>
          <w:rFonts w:asciiTheme="minorHAnsi" w:hAnsiTheme="minorHAnsi"/>
        </w:rPr>
        <w:t xml:space="preserve">zgłaszane wcześniej przez społeczeństwo obywatelskie i niektóre media, osoby zgłaszające się do konkursu zostały tym razem na wstępie poproszone </w:t>
      </w:r>
      <w:r w:rsidRPr="00194E8E">
        <w:rPr>
          <w:rStyle w:val="word"/>
          <w:rFonts w:asciiTheme="minorHAnsi" w:hAnsiTheme="minorHAnsi"/>
        </w:rPr>
        <w:t>o</w:t>
      </w:r>
      <w:r w:rsidRPr="00194E8E">
        <w:rPr>
          <w:rFonts w:asciiTheme="minorHAnsi" w:hAnsiTheme="minorHAnsi"/>
        </w:rPr>
        <w:t xml:space="preserve"> dobrowolne </w:t>
      </w:r>
      <w:r w:rsidRPr="00194E8E">
        <w:rPr>
          <w:rStyle w:val="word"/>
          <w:rFonts w:asciiTheme="minorHAnsi" w:hAnsiTheme="minorHAnsi"/>
        </w:rPr>
        <w:t>wyrażenie</w:t>
      </w:r>
      <w:r w:rsidRPr="00194E8E">
        <w:rPr>
          <w:rFonts w:asciiTheme="minorHAnsi" w:hAnsiTheme="minorHAnsi"/>
        </w:rPr>
        <w:t xml:space="preserve"> </w:t>
      </w:r>
      <w:r w:rsidRPr="00194E8E">
        <w:rPr>
          <w:rStyle w:val="word"/>
          <w:rFonts w:asciiTheme="minorHAnsi" w:hAnsiTheme="minorHAnsi"/>
        </w:rPr>
        <w:t>zgody</w:t>
      </w:r>
      <w:r w:rsidRPr="00194E8E">
        <w:rPr>
          <w:rFonts w:asciiTheme="minorHAnsi" w:hAnsiTheme="minorHAnsi"/>
        </w:rPr>
        <w:t xml:space="preserve"> </w:t>
      </w:r>
      <w:r w:rsidRPr="00194E8E">
        <w:rPr>
          <w:rStyle w:val="word"/>
          <w:rFonts w:asciiTheme="minorHAnsi" w:hAnsiTheme="minorHAnsi"/>
        </w:rPr>
        <w:t>na</w:t>
      </w:r>
      <w:r w:rsidRPr="00194E8E">
        <w:rPr>
          <w:rFonts w:asciiTheme="minorHAnsi" w:hAnsiTheme="minorHAnsi"/>
        </w:rPr>
        <w:t xml:space="preserve"> </w:t>
      </w:r>
      <w:r w:rsidRPr="00194E8E">
        <w:rPr>
          <w:rStyle w:val="word"/>
          <w:rFonts w:asciiTheme="minorHAnsi" w:hAnsiTheme="minorHAnsi"/>
        </w:rPr>
        <w:t>publikację</w:t>
      </w:r>
      <w:r w:rsidRPr="00194E8E">
        <w:rPr>
          <w:rFonts w:asciiTheme="minorHAnsi" w:hAnsiTheme="minorHAnsi"/>
        </w:rPr>
        <w:t xml:space="preserve"> informacji o swoim zgłoszeniu </w:t>
      </w:r>
      <w:r w:rsidRPr="00194E8E">
        <w:rPr>
          <w:rStyle w:val="word"/>
          <w:rFonts w:asciiTheme="minorHAnsi" w:hAnsiTheme="minorHAnsi"/>
        </w:rPr>
        <w:t>poprzez</w:t>
      </w:r>
      <w:r w:rsidRPr="00194E8E">
        <w:rPr>
          <w:rFonts w:asciiTheme="minorHAnsi" w:hAnsiTheme="minorHAnsi"/>
        </w:rPr>
        <w:t xml:space="preserve"> </w:t>
      </w:r>
      <w:r w:rsidRPr="00194E8E">
        <w:rPr>
          <w:rStyle w:val="word"/>
          <w:rFonts w:asciiTheme="minorHAnsi" w:hAnsiTheme="minorHAnsi"/>
        </w:rPr>
        <w:t>wypełnienie</w:t>
      </w:r>
      <w:r w:rsidRPr="00194E8E">
        <w:rPr>
          <w:rFonts w:asciiTheme="minorHAnsi" w:hAnsiTheme="minorHAnsi"/>
        </w:rPr>
        <w:t xml:space="preserve"> stosownego </w:t>
      </w:r>
      <w:r w:rsidRPr="00194E8E">
        <w:rPr>
          <w:rStyle w:val="word"/>
          <w:rFonts w:asciiTheme="minorHAnsi" w:hAnsiTheme="minorHAnsi"/>
        </w:rPr>
        <w:t>formularza</w:t>
      </w:r>
      <w:r w:rsidRPr="00194E8E">
        <w:rPr>
          <w:rFonts w:asciiTheme="minorHAnsi" w:hAnsiTheme="minorHAnsi"/>
        </w:rPr>
        <w:t xml:space="preserve"> </w:t>
      </w:r>
      <w:r w:rsidRPr="00194E8E">
        <w:rPr>
          <w:rStyle w:val="word"/>
          <w:rFonts w:asciiTheme="minorHAnsi" w:hAnsiTheme="minorHAnsi"/>
        </w:rPr>
        <w:t>przygotowanego</w:t>
      </w:r>
      <w:r w:rsidRPr="00194E8E">
        <w:rPr>
          <w:rFonts w:asciiTheme="minorHAnsi" w:hAnsiTheme="minorHAnsi"/>
        </w:rPr>
        <w:t xml:space="preserve"> </w:t>
      </w:r>
      <w:r w:rsidRPr="00194E8E">
        <w:rPr>
          <w:rStyle w:val="word"/>
          <w:rFonts w:asciiTheme="minorHAnsi" w:hAnsiTheme="minorHAnsi"/>
        </w:rPr>
        <w:t>przez</w:t>
      </w:r>
      <w:r w:rsidRPr="00194E8E">
        <w:rPr>
          <w:rFonts w:asciiTheme="minorHAnsi" w:hAnsiTheme="minorHAnsi"/>
        </w:rPr>
        <w:t xml:space="preserve"> </w:t>
      </w:r>
      <w:r w:rsidRPr="00194E8E">
        <w:rPr>
          <w:rStyle w:val="word"/>
          <w:rFonts w:asciiTheme="minorHAnsi" w:hAnsiTheme="minorHAnsi"/>
        </w:rPr>
        <w:t>MSZ</w:t>
      </w:r>
      <w:r w:rsidRPr="00194E8E">
        <w:rPr>
          <w:rFonts w:asciiTheme="minorHAnsi" w:hAnsiTheme="minorHAnsi"/>
        </w:rPr>
        <w:t xml:space="preserve">. </w:t>
      </w:r>
      <w:r w:rsidRPr="00194E8E">
        <w:rPr>
          <w:rStyle w:val="word"/>
          <w:rFonts w:asciiTheme="minorHAnsi" w:hAnsiTheme="minorHAnsi"/>
        </w:rPr>
        <w:t>W</w:t>
      </w:r>
      <w:r w:rsidRPr="00194E8E">
        <w:rPr>
          <w:rFonts w:asciiTheme="minorHAnsi" w:hAnsiTheme="minorHAnsi"/>
        </w:rPr>
        <w:t xml:space="preserve"> </w:t>
      </w:r>
      <w:r w:rsidRPr="00194E8E">
        <w:rPr>
          <w:rStyle w:val="word"/>
          <w:rFonts w:asciiTheme="minorHAnsi" w:hAnsiTheme="minorHAnsi"/>
        </w:rPr>
        <w:t>rezultacie</w:t>
      </w:r>
      <w:r w:rsidRPr="00194E8E">
        <w:rPr>
          <w:rFonts w:asciiTheme="minorHAnsi" w:hAnsiTheme="minorHAnsi"/>
        </w:rPr>
        <w:t xml:space="preserve"> </w:t>
      </w:r>
      <w:r w:rsidRPr="00194E8E">
        <w:rPr>
          <w:rStyle w:val="word"/>
          <w:rFonts w:asciiTheme="minorHAnsi" w:hAnsiTheme="minorHAnsi"/>
        </w:rPr>
        <w:t>7</w:t>
      </w:r>
      <w:r w:rsidRPr="00194E8E">
        <w:rPr>
          <w:rFonts w:asciiTheme="minorHAnsi" w:hAnsiTheme="minorHAnsi"/>
        </w:rPr>
        <w:t xml:space="preserve"> osób </w:t>
      </w:r>
      <w:r w:rsidRPr="00194E8E">
        <w:rPr>
          <w:rStyle w:val="word"/>
          <w:rFonts w:asciiTheme="minorHAnsi" w:hAnsiTheme="minorHAnsi"/>
        </w:rPr>
        <w:t>(spośród 16</w:t>
      </w:r>
      <w:r w:rsidRPr="00194E8E">
        <w:rPr>
          <w:rFonts w:asciiTheme="minorHAnsi" w:hAnsiTheme="minorHAnsi"/>
        </w:rPr>
        <w:t xml:space="preserve"> </w:t>
      </w:r>
      <w:r w:rsidRPr="00194E8E">
        <w:rPr>
          <w:rStyle w:val="word"/>
          <w:rFonts w:asciiTheme="minorHAnsi" w:hAnsiTheme="minorHAnsi"/>
        </w:rPr>
        <w:t>kandydatów</w:t>
      </w:r>
      <w:r w:rsidRPr="00194E8E">
        <w:rPr>
          <w:rFonts w:asciiTheme="minorHAnsi" w:hAnsiTheme="minorHAnsi"/>
        </w:rPr>
        <w:t xml:space="preserve">, </w:t>
      </w:r>
      <w:r w:rsidRPr="00194E8E">
        <w:rPr>
          <w:rStyle w:val="word"/>
          <w:rFonts w:asciiTheme="minorHAnsi" w:hAnsiTheme="minorHAnsi"/>
        </w:rPr>
        <w:t>którzy</w:t>
      </w:r>
      <w:r w:rsidRPr="00194E8E">
        <w:rPr>
          <w:rFonts w:asciiTheme="minorHAnsi" w:hAnsiTheme="minorHAnsi"/>
        </w:rPr>
        <w:t xml:space="preserve"> </w:t>
      </w:r>
      <w:r w:rsidRPr="00194E8E">
        <w:rPr>
          <w:rStyle w:val="word"/>
          <w:rFonts w:asciiTheme="minorHAnsi" w:hAnsiTheme="minorHAnsi"/>
        </w:rPr>
        <w:t>ostatecznie</w:t>
      </w:r>
      <w:r w:rsidRPr="00194E8E">
        <w:rPr>
          <w:rFonts w:asciiTheme="minorHAnsi" w:hAnsiTheme="minorHAnsi"/>
        </w:rPr>
        <w:t xml:space="preserve"> uczestniczyli </w:t>
      </w:r>
      <w:r w:rsidRPr="00194E8E">
        <w:rPr>
          <w:rStyle w:val="word"/>
          <w:rFonts w:asciiTheme="minorHAnsi" w:hAnsiTheme="minorHAnsi"/>
        </w:rPr>
        <w:t>w</w:t>
      </w:r>
      <w:r w:rsidRPr="00194E8E">
        <w:rPr>
          <w:rFonts w:asciiTheme="minorHAnsi" w:hAnsiTheme="minorHAnsi"/>
        </w:rPr>
        <w:t xml:space="preserve"> </w:t>
      </w:r>
      <w:r w:rsidRPr="00194E8E">
        <w:rPr>
          <w:rStyle w:val="word"/>
          <w:rFonts w:asciiTheme="minorHAnsi" w:hAnsiTheme="minorHAnsi"/>
        </w:rPr>
        <w:t>rozmowach</w:t>
      </w:r>
      <w:r w:rsidRPr="00194E8E">
        <w:rPr>
          <w:rFonts w:asciiTheme="minorHAnsi" w:hAnsiTheme="minorHAnsi"/>
        </w:rPr>
        <w:t xml:space="preserve"> </w:t>
      </w:r>
      <w:r w:rsidRPr="00194E8E">
        <w:rPr>
          <w:rStyle w:val="word"/>
          <w:rFonts w:asciiTheme="minorHAnsi" w:hAnsiTheme="minorHAnsi"/>
        </w:rPr>
        <w:t>kwalifikacyjnych</w:t>
      </w:r>
      <w:r w:rsidRPr="00194E8E">
        <w:rPr>
          <w:rFonts w:asciiTheme="minorHAnsi" w:hAnsiTheme="minorHAnsi"/>
        </w:rPr>
        <w:t xml:space="preserve">) </w:t>
      </w:r>
      <w:r w:rsidRPr="00194E8E">
        <w:rPr>
          <w:rStyle w:val="word"/>
          <w:rFonts w:asciiTheme="minorHAnsi" w:hAnsiTheme="minorHAnsi"/>
        </w:rPr>
        <w:t>wyraziło</w:t>
      </w:r>
      <w:r w:rsidRPr="00194E8E">
        <w:rPr>
          <w:rFonts w:asciiTheme="minorHAnsi" w:hAnsiTheme="minorHAnsi"/>
        </w:rPr>
        <w:t xml:space="preserve"> taką </w:t>
      </w:r>
      <w:r w:rsidRPr="00194E8E">
        <w:rPr>
          <w:rStyle w:val="word"/>
          <w:rFonts w:asciiTheme="minorHAnsi" w:hAnsiTheme="minorHAnsi"/>
        </w:rPr>
        <w:t>zgodę</w:t>
      </w:r>
      <w:r w:rsidRPr="00194E8E">
        <w:rPr>
          <w:rFonts w:asciiTheme="minorHAnsi" w:hAnsiTheme="minorHAnsi"/>
        </w:rPr>
        <w:t xml:space="preserve">, </w:t>
      </w:r>
      <w:r w:rsidRPr="00194E8E">
        <w:rPr>
          <w:rStyle w:val="word"/>
          <w:rFonts w:asciiTheme="minorHAnsi" w:hAnsiTheme="minorHAnsi"/>
        </w:rPr>
        <w:t>a</w:t>
      </w:r>
      <w:r w:rsidRPr="00194E8E">
        <w:rPr>
          <w:rFonts w:asciiTheme="minorHAnsi" w:hAnsiTheme="minorHAnsi"/>
        </w:rPr>
        <w:t xml:space="preserve"> </w:t>
      </w:r>
      <w:r w:rsidRPr="00194E8E">
        <w:rPr>
          <w:rStyle w:val="word"/>
          <w:rFonts w:asciiTheme="minorHAnsi" w:hAnsiTheme="minorHAnsi"/>
        </w:rPr>
        <w:t>MSZ</w:t>
      </w:r>
      <w:r w:rsidRPr="00194E8E">
        <w:rPr>
          <w:rFonts w:asciiTheme="minorHAnsi" w:hAnsiTheme="minorHAnsi"/>
        </w:rPr>
        <w:t xml:space="preserve"> u</w:t>
      </w:r>
      <w:r w:rsidRPr="00194E8E">
        <w:rPr>
          <w:rStyle w:val="word"/>
          <w:rFonts w:asciiTheme="minorHAnsi" w:hAnsiTheme="minorHAnsi"/>
        </w:rPr>
        <w:t>jawniło</w:t>
      </w:r>
      <w:r w:rsidRPr="00194E8E">
        <w:rPr>
          <w:rFonts w:asciiTheme="minorHAnsi" w:hAnsiTheme="minorHAnsi"/>
        </w:rPr>
        <w:t xml:space="preserve"> </w:t>
      </w:r>
      <w:r w:rsidRPr="00194E8E">
        <w:rPr>
          <w:rStyle w:val="word"/>
          <w:rFonts w:asciiTheme="minorHAnsi" w:hAnsiTheme="minorHAnsi"/>
        </w:rPr>
        <w:t>ich</w:t>
      </w:r>
      <w:r w:rsidRPr="00194E8E">
        <w:rPr>
          <w:rFonts w:asciiTheme="minorHAnsi" w:hAnsiTheme="minorHAnsi"/>
        </w:rPr>
        <w:t xml:space="preserve"> </w:t>
      </w:r>
      <w:r w:rsidRPr="00194E8E">
        <w:rPr>
          <w:rStyle w:val="word"/>
          <w:rFonts w:asciiTheme="minorHAnsi" w:hAnsiTheme="minorHAnsi"/>
        </w:rPr>
        <w:t>dane</w:t>
      </w:r>
      <w:r w:rsidRPr="00194E8E">
        <w:rPr>
          <w:rFonts w:asciiTheme="minorHAnsi" w:hAnsiTheme="minorHAnsi"/>
        </w:rPr>
        <w:t xml:space="preserve"> </w:t>
      </w:r>
      <w:r w:rsidRPr="00194E8E">
        <w:rPr>
          <w:rStyle w:val="word"/>
          <w:rFonts w:asciiTheme="minorHAnsi" w:hAnsiTheme="minorHAnsi"/>
        </w:rPr>
        <w:t>osobom</w:t>
      </w:r>
      <w:r w:rsidRPr="00194E8E">
        <w:rPr>
          <w:rFonts w:asciiTheme="minorHAnsi" w:hAnsiTheme="minorHAnsi"/>
        </w:rPr>
        <w:t xml:space="preserve"> wnioskującym o taką </w:t>
      </w:r>
      <w:r w:rsidRPr="00194E8E">
        <w:rPr>
          <w:rStyle w:val="word"/>
          <w:rFonts w:asciiTheme="minorHAnsi" w:hAnsiTheme="minorHAnsi"/>
        </w:rPr>
        <w:t>informację</w:t>
      </w:r>
      <w:r w:rsidRPr="00194E8E">
        <w:rPr>
          <w:rFonts w:asciiTheme="minorHAnsi" w:hAnsiTheme="minorHAnsi"/>
        </w:rPr>
        <w:t xml:space="preserve">. Ponadto </w:t>
      </w:r>
      <w:r w:rsidRPr="00194E8E">
        <w:rPr>
          <w:rStyle w:val="word"/>
          <w:rFonts w:asciiTheme="minorHAnsi" w:hAnsiTheme="minorHAnsi"/>
        </w:rPr>
        <w:t>obserwatorzy</w:t>
      </w:r>
      <w:r w:rsidRPr="00194E8E">
        <w:rPr>
          <w:rFonts w:asciiTheme="minorHAnsi" w:hAnsiTheme="minorHAnsi"/>
        </w:rPr>
        <w:t xml:space="preserve"> z organizacji pozarządowych </w:t>
      </w:r>
      <w:r w:rsidRPr="00194E8E">
        <w:rPr>
          <w:rStyle w:val="word"/>
          <w:rFonts w:asciiTheme="minorHAnsi" w:hAnsiTheme="minorHAnsi"/>
        </w:rPr>
        <w:t>uzyskali pełny</w:t>
      </w:r>
      <w:r w:rsidRPr="00194E8E">
        <w:rPr>
          <w:rFonts w:asciiTheme="minorHAnsi" w:hAnsiTheme="minorHAnsi"/>
        </w:rPr>
        <w:t xml:space="preserve"> </w:t>
      </w:r>
      <w:r w:rsidRPr="00194E8E">
        <w:rPr>
          <w:rStyle w:val="word"/>
          <w:rFonts w:asciiTheme="minorHAnsi" w:hAnsiTheme="minorHAnsi"/>
        </w:rPr>
        <w:t>dostęp</w:t>
      </w:r>
      <w:r w:rsidRPr="00194E8E">
        <w:rPr>
          <w:rFonts w:asciiTheme="minorHAnsi" w:hAnsiTheme="minorHAnsi"/>
        </w:rPr>
        <w:t xml:space="preserve"> </w:t>
      </w:r>
      <w:r w:rsidRPr="00194E8E">
        <w:rPr>
          <w:rStyle w:val="word"/>
          <w:rFonts w:asciiTheme="minorHAnsi" w:hAnsiTheme="minorHAnsi"/>
        </w:rPr>
        <w:t>do</w:t>
      </w:r>
      <w:r w:rsidRPr="00194E8E">
        <w:rPr>
          <w:rFonts w:asciiTheme="minorHAnsi" w:hAnsiTheme="minorHAnsi"/>
        </w:rPr>
        <w:t xml:space="preserve"> </w:t>
      </w:r>
      <w:r w:rsidRPr="00194E8E">
        <w:rPr>
          <w:rStyle w:val="word"/>
          <w:rFonts w:asciiTheme="minorHAnsi" w:hAnsiTheme="minorHAnsi"/>
        </w:rPr>
        <w:t>informacji</w:t>
      </w:r>
      <w:r w:rsidRPr="00194E8E">
        <w:rPr>
          <w:rFonts w:asciiTheme="minorHAnsi" w:hAnsiTheme="minorHAnsi"/>
        </w:rPr>
        <w:t xml:space="preserve"> na temat imion i </w:t>
      </w:r>
      <w:r w:rsidRPr="00194E8E">
        <w:rPr>
          <w:rStyle w:val="word"/>
          <w:rFonts w:asciiTheme="minorHAnsi" w:hAnsiTheme="minorHAnsi"/>
        </w:rPr>
        <w:t>nazwisk</w:t>
      </w:r>
      <w:r w:rsidRPr="00194E8E">
        <w:rPr>
          <w:rFonts w:asciiTheme="minorHAnsi" w:hAnsiTheme="minorHAnsi"/>
        </w:rPr>
        <w:t xml:space="preserve"> </w:t>
      </w:r>
      <w:r w:rsidRPr="00194E8E">
        <w:rPr>
          <w:rStyle w:val="word"/>
          <w:rFonts w:asciiTheme="minorHAnsi" w:hAnsiTheme="minorHAnsi"/>
        </w:rPr>
        <w:t>kandydatów podczas</w:t>
      </w:r>
      <w:r w:rsidRPr="00194E8E">
        <w:rPr>
          <w:rFonts w:asciiTheme="minorHAnsi" w:hAnsiTheme="minorHAnsi"/>
        </w:rPr>
        <w:t xml:space="preserve"> </w:t>
      </w:r>
      <w:r w:rsidRPr="00194E8E">
        <w:rPr>
          <w:rStyle w:val="word"/>
          <w:rFonts w:asciiTheme="minorHAnsi" w:hAnsiTheme="minorHAnsi"/>
        </w:rPr>
        <w:t>rozmów</w:t>
      </w:r>
      <w:r w:rsidRPr="00194E8E">
        <w:rPr>
          <w:rFonts w:asciiTheme="minorHAnsi" w:hAnsiTheme="minorHAnsi"/>
        </w:rPr>
        <w:t xml:space="preserve"> </w:t>
      </w:r>
      <w:r w:rsidRPr="00194E8E">
        <w:rPr>
          <w:rStyle w:val="word"/>
          <w:rFonts w:asciiTheme="minorHAnsi" w:hAnsiTheme="minorHAnsi"/>
        </w:rPr>
        <w:t>kwalifikacyjnych</w:t>
      </w:r>
      <w:r w:rsidRPr="00194E8E">
        <w:rPr>
          <w:rFonts w:asciiTheme="minorHAnsi" w:hAnsiTheme="minorHAnsi"/>
        </w:rPr>
        <w:t>.</w:t>
      </w:r>
    </w:p>
    <w:p w:rsidR="00D543DA" w:rsidRPr="00194E8E" w:rsidRDefault="00D543DA" w:rsidP="00340E9E">
      <w:pPr>
        <w:spacing w:after="120"/>
        <w:jc w:val="both"/>
        <w:rPr>
          <w:rFonts w:asciiTheme="minorHAnsi" w:hAnsiTheme="minorHAnsi"/>
        </w:rPr>
      </w:pPr>
      <w:r w:rsidRPr="00194E8E">
        <w:rPr>
          <w:rStyle w:val="word"/>
          <w:rFonts w:asciiTheme="minorHAnsi" w:hAnsiTheme="minorHAnsi"/>
        </w:rPr>
        <w:t>W istniejących ramach prawnych MSZ starało się zapewnić przejrzystość proces</w:t>
      </w:r>
      <w:r w:rsidRPr="00194E8E">
        <w:rPr>
          <w:rFonts w:asciiTheme="minorHAnsi" w:hAnsiTheme="minorHAnsi"/>
        </w:rPr>
        <w:t xml:space="preserve">u wyłaniania kandydatów. Informacja o naborze kandydatów </w:t>
      </w:r>
      <w:r w:rsidRPr="00194E8E">
        <w:rPr>
          <w:rStyle w:val="word"/>
          <w:rFonts w:asciiTheme="minorHAnsi" w:hAnsiTheme="minorHAnsi"/>
        </w:rPr>
        <w:t>zostało</w:t>
      </w:r>
      <w:r w:rsidRPr="00194E8E">
        <w:rPr>
          <w:rFonts w:asciiTheme="minorHAnsi" w:hAnsiTheme="minorHAnsi"/>
        </w:rPr>
        <w:t xml:space="preserve"> </w:t>
      </w:r>
      <w:r w:rsidRPr="00194E8E">
        <w:rPr>
          <w:rStyle w:val="word"/>
          <w:rFonts w:asciiTheme="minorHAnsi" w:hAnsiTheme="minorHAnsi"/>
        </w:rPr>
        <w:t>szeroko</w:t>
      </w:r>
      <w:r w:rsidRPr="00194E8E">
        <w:rPr>
          <w:rFonts w:asciiTheme="minorHAnsi" w:hAnsiTheme="minorHAnsi"/>
        </w:rPr>
        <w:t xml:space="preserve"> rozesłana, a także też umieszczona na </w:t>
      </w:r>
      <w:r w:rsidRPr="00194E8E">
        <w:rPr>
          <w:rStyle w:val="word"/>
          <w:rFonts w:asciiTheme="minorHAnsi" w:hAnsiTheme="minorHAnsi"/>
        </w:rPr>
        <w:t>specjalnej</w:t>
      </w:r>
      <w:r w:rsidRPr="00194E8E">
        <w:rPr>
          <w:rFonts w:asciiTheme="minorHAnsi" w:hAnsiTheme="minorHAnsi"/>
        </w:rPr>
        <w:t xml:space="preserve"> </w:t>
      </w:r>
      <w:r w:rsidRPr="00194E8E">
        <w:rPr>
          <w:rStyle w:val="word"/>
          <w:rFonts w:asciiTheme="minorHAnsi" w:hAnsiTheme="minorHAnsi"/>
        </w:rPr>
        <w:t>stronie</w:t>
      </w:r>
      <w:r w:rsidRPr="00194E8E">
        <w:rPr>
          <w:rFonts w:asciiTheme="minorHAnsi" w:hAnsiTheme="minorHAnsi"/>
        </w:rPr>
        <w:t xml:space="preserve"> </w:t>
      </w:r>
      <w:r w:rsidRPr="00194E8E">
        <w:rPr>
          <w:rStyle w:val="word"/>
          <w:rFonts w:asciiTheme="minorHAnsi" w:hAnsiTheme="minorHAnsi"/>
        </w:rPr>
        <w:t>internetowej</w:t>
      </w:r>
      <w:r w:rsidR="00340E9E">
        <w:rPr>
          <w:rStyle w:val="Odwoanieprzypisudolnego"/>
          <w:rFonts w:asciiTheme="minorHAnsi" w:hAnsiTheme="minorHAnsi"/>
        </w:rPr>
        <w:footnoteReference w:id="1"/>
      </w:r>
      <w:r w:rsidRPr="00194E8E">
        <w:rPr>
          <w:rFonts w:asciiTheme="minorHAnsi" w:hAnsiTheme="minorHAnsi"/>
        </w:rPr>
        <w:t xml:space="preserve">, </w:t>
      </w:r>
      <w:r w:rsidRPr="00194E8E">
        <w:rPr>
          <w:rStyle w:val="word"/>
          <w:rFonts w:asciiTheme="minorHAnsi" w:hAnsiTheme="minorHAnsi"/>
        </w:rPr>
        <w:t>na</w:t>
      </w:r>
      <w:r w:rsidRPr="00194E8E">
        <w:rPr>
          <w:rFonts w:asciiTheme="minorHAnsi" w:hAnsiTheme="minorHAnsi"/>
        </w:rPr>
        <w:t xml:space="preserve"> </w:t>
      </w:r>
      <w:r w:rsidRPr="00194E8E">
        <w:rPr>
          <w:rStyle w:val="word"/>
          <w:rFonts w:asciiTheme="minorHAnsi" w:hAnsiTheme="minorHAnsi"/>
        </w:rPr>
        <w:t>której</w:t>
      </w:r>
      <w:r w:rsidRPr="00194E8E">
        <w:rPr>
          <w:rFonts w:asciiTheme="minorHAnsi" w:hAnsiTheme="minorHAnsi"/>
        </w:rPr>
        <w:t xml:space="preserve"> </w:t>
      </w:r>
      <w:r w:rsidRPr="00194E8E">
        <w:rPr>
          <w:rStyle w:val="word"/>
          <w:rFonts w:asciiTheme="minorHAnsi" w:hAnsiTheme="minorHAnsi"/>
        </w:rPr>
        <w:t>regularnie</w:t>
      </w:r>
      <w:r w:rsidRPr="00194E8E">
        <w:rPr>
          <w:rFonts w:asciiTheme="minorHAnsi" w:hAnsiTheme="minorHAnsi"/>
        </w:rPr>
        <w:t xml:space="preserve"> </w:t>
      </w:r>
      <w:r w:rsidRPr="00194E8E">
        <w:rPr>
          <w:rStyle w:val="word"/>
          <w:rFonts w:asciiTheme="minorHAnsi" w:hAnsiTheme="minorHAnsi"/>
        </w:rPr>
        <w:t>publikowano</w:t>
      </w:r>
      <w:r w:rsidRPr="00194E8E">
        <w:rPr>
          <w:rFonts w:asciiTheme="minorHAnsi" w:hAnsiTheme="minorHAnsi"/>
        </w:rPr>
        <w:t xml:space="preserve"> wiadomości </w:t>
      </w:r>
      <w:r w:rsidRPr="00194E8E">
        <w:rPr>
          <w:rStyle w:val="word"/>
          <w:rFonts w:asciiTheme="minorHAnsi" w:hAnsiTheme="minorHAnsi"/>
        </w:rPr>
        <w:t>na</w:t>
      </w:r>
      <w:r w:rsidRPr="00194E8E">
        <w:rPr>
          <w:rFonts w:asciiTheme="minorHAnsi" w:hAnsiTheme="minorHAnsi"/>
        </w:rPr>
        <w:t xml:space="preserve"> </w:t>
      </w:r>
      <w:r w:rsidRPr="00194E8E">
        <w:rPr>
          <w:rStyle w:val="word"/>
          <w:rFonts w:asciiTheme="minorHAnsi" w:hAnsiTheme="minorHAnsi"/>
        </w:rPr>
        <w:t>temat</w:t>
      </w:r>
      <w:r w:rsidRPr="00194E8E">
        <w:rPr>
          <w:rFonts w:asciiTheme="minorHAnsi" w:hAnsiTheme="minorHAnsi"/>
        </w:rPr>
        <w:t xml:space="preserve"> </w:t>
      </w:r>
      <w:r w:rsidRPr="00194E8E">
        <w:rPr>
          <w:rStyle w:val="word"/>
          <w:rFonts w:asciiTheme="minorHAnsi" w:hAnsiTheme="minorHAnsi"/>
        </w:rPr>
        <w:t>poszczególnych</w:t>
      </w:r>
      <w:r w:rsidRPr="00194E8E">
        <w:rPr>
          <w:rFonts w:asciiTheme="minorHAnsi" w:hAnsiTheme="minorHAnsi"/>
        </w:rPr>
        <w:t xml:space="preserve"> </w:t>
      </w:r>
      <w:r w:rsidRPr="00194E8E">
        <w:rPr>
          <w:rStyle w:val="word"/>
          <w:rFonts w:asciiTheme="minorHAnsi" w:hAnsiTheme="minorHAnsi"/>
        </w:rPr>
        <w:t>etapów</w:t>
      </w:r>
      <w:r w:rsidRPr="00194E8E">
        <w:rPr>
          <w:rFonts w:asciiTheme="minorHAnsi" w:hAnsiTheme="minorHAnsi"/>
        </w:rPr>
        <w:t xml:space="preserve"> </w:t>
      </w:r>
      <w:r w:rsidRPr="00194E8E">
        <w:rPr>
          <w:rStyle w:val="word"/>
          <w:rFonts w:asciiTheme="minorHAnsi" w:hAnsiTheme="minorHAnsi"/>
        </w:rPr>
        <w:t>procedury</w:t>
      </w:r>
      <w:r w:rsidRPr="00194E8E">
        <w:rPr>
          <w:rFonts w:asciiTheme="minorHAnsi" w:hAnsiTheme="minorHAnsi"/>
        </w:rPr>
        <w:t xml:space="preserve"> </w:t>
      </w:r>
      <w:r w:rsidRPr="00194E8E">
        <w:rPr>
          <w:rStyle w:val="word"/>
          <w:rFonts w:asciiTheme="minorHAnsi" w:hAnsiTheme="minorHAnsi"/>
        </w:rPr>
        <w:t>selekcji</w:t>
      </w:r>
      <w:r w:rsidRPr="00194E8E">
        <w:rPr>
          <w:rFonts w:asciiTheme="minorHAnsi" w:hAnsiTheme="minorHAnsi"/>
        </w:rPr>
        <w:t xml:space="preserve">, </w:t>
      </w:r>
      <w:r w:rsidRPr="00194E8E">
        <w:rPr>
          <w:rStyle w:val="word"/>
          <w:rFonts w:asciiTheme="minorHAnsi" w:hAnsiTheme="minorHAnsi"/>
        </w:rPr>
        <w:t>osó</w:t>
      </w:r>
      <w:r w:rsidRPr="00194E8E">
        <w:rPr>
          <w:rFonts w:asciiTheme="minorHAnsi" w:hAnsiTheme="minorHAnsi"/>
        </w:rPr>
        <w:t xml:space="preserve">b </w:t>
      </w:r>
      <w:r w:rsidRPr="00194E8E">
        <w:rPr>
          <w:rStyle w:val="word"/>
          <w:rFonts w:asciiTheme="minorHAnsi" w:hAnsiTheme="minorHAnsi"/>
        </w:rPr>
        <w:t>wyznaczonych</w:t>
      </w:r>
      <w:r w:rsidRPr="00194E8E">
        <w:rPr>
          <w:rFonts w:asciiTheme="minorHAnsi" w:hAnsiTheme="minorHAnsi"/>
        </w:rPr>
        <w:t xml:space="preserve"> </w:t>
      </w:r>
      <w:r w:rsidRPr="00194E8E">
        <w:rPr>
          <w:rStyle w:val="word"/>
          <w:rFonts w:asciiTheme="minorHAnsi" w:hAnsiTheme="minorHAnsi"/>
        </w:rPr>
        <w:t>na</w:t>
      </w:r>
      <w:r w:rsidRPr="00194E8E">
        <w:rPr>
          <w:rFonts w:asciiTheme="minorHAnsi" w:hAnsiTheme="minorHAnsi"/>
        </w:rPr>
        <w:t xml:space="preserve"> </w:t>
      </w:r>
      <w:r w:rsidRPr="00194E8E">
        <w:rPr>
          <w:rStyle w:val="word"/>
          <w:rFonts w:asciiTheme="minorHAnsi" w:hAnsiTheme="minorHAnsi"/>
        </w:rPr>
        <w:t>członków</w:t>
      </w:r>
      <w:r w:rsidRPr="00194E8E">
        <w:rPr>
          <w:rFonts w:asciiTheme="minorHAnsi" w:hAnsiTheme="minorHAnsi"/>
        </w:rPr>
        <w:t xml:space="preserve"> Zespołu, przebiegu </w:t>
      </w:r>
      <w:r w:rsidRPr="00194E8E">
        <w:rPr>
          <w:rStyle w:val="word"/>
          <w:rFonts w:asciiTheme="minorHAnsi" w:hAnsiTheme="minorHAnsi"/>
        </w:rPr>
        <w:t>dwóch</w:t>
      </w:r>
      <w:r w:rsidRPr="00194E8E">
        <w:rPr>
          <w:rFonts w:asciiTheme="minorHAnsi" w:hAnsiTheme="minorHAnsi"/>
        </w:rPr>
        <w:t xml:space="preserve"> </w:t>
      </w:r>
      <w:r w:rsidRPr="00194E8E">
        <w:rPr>
          <w:rStyle w:val="word"/>
          <w:rFonts w:asciiTheme="minorHAnsi" w:hAnsiTheme="minorHAnsi"/>
        </w:rPr>
        <w:t>posiedzeń</w:t>
      </w:r>
      <w:r w:rsidRPr="00194E8E">
        <w:rPr>
          <w:rFonts w:asciiTheme="minorHAnsi" w:hAnsiTheme="minorHAnsi"/>
        </w:rPr>
        <w:t xml:space="preserve"> Zespołu, </w:t>
      </w:r>
      <w:r w:rsidRPr="00194E8E">
        <w:rPr>
          <w:rStyle w:val="word"/>
          <w:rFonts w:asciiTheme="minorHAnsi" w:hAnsiTheme="minorHAnsi"/>
        </w:rPr>
        <w:t>zasad</w:t>
      </w:r>
      <w:r w:rsidRPr="00194E8E">
        <w:rPr>
          <w:rFonts w:asciiTheme="minorHAnsi" w:hAnsiTheme="minorHAnsi"/>
        </w:rPr>
        <w:t xml:space="preserve"> </w:t>
      </w:r>
      <w:r w:rsidRPr="00194E8E">
        <w:rPr>
          <w:rStyle w:val="word"/>
          <w:rFonts w:asciiTheme="minorHAnsi" w:hAnsiTheme="minorHAnsi"/>
        </w:rPr>
        <w:t>przeprowadzania</w:t>
      </w:r>
      <w:r w:rsidRPr="00194E8E">
        <w:rPr>
          <w:rFonts w:asciiTheme="minorHAnsi" w:hAnsiTheme="minorHAnsi"/>
        </w:rPr>
        <w:t xml:space="preserve"> </w:t>
      </w:r>
      <w:r w:rsidRPr="00194E8E">
        <w:rPr>
          <w:rStyle w:val="word"/>
          <w:rFonts w:asciiTheme="minorHAnsi" w:hAnsiTheme="minorHAnsi"/>
        </w:rPr>
        <w:t>rozmów</w:t>
      </w:r>
      <w:r w:rsidRPr="00194E8E">
        <w:rPr>
          <w:rFonts w:asciiTheme="minorHAnsi" w:hAnsiTheme="minorHAnsi"/>
        </w:rPr>
        <w:t xml:space="preserve"> </w:t>
      </w:r>
      <w:r w:rsidRPr="00194E8E">
        <w:rPr>
          <w:rStyle w:val="word"/>
          <w:rFonts w:asciiTheme="minorHAnsi" w:hAnsiTheme="minorHAnsi"/>
        </w:rPr>
        <w:t>kwalifikacyjnych</w:t>
      </w:r>
      <w:r w:rsidRPr="00194E8E">
        <w:rPr>
          <w:rFonts w:asciiTheme="minorHAnsi" w:hAnsiTheme="minorHAnsi"/>
        </w:rPr>
        <w:t xml:space="preserve"> </w:t>
      </w:r>
      <w:r w:rsidRPr="00194E8E">
        <w:rPr>
          <w:rStyle w:val="word"/>
          <w:rFonts w:asciiTheme="minorHAnsi" w:hAnsiTheme="minorHAnsi"/>
        </w:rPr>
        <w:t>oraz</w:t>
      </w:r>
      <w:r w:rsidRPr="00194E8E">
        <w:rPr>
          <w:rFonts w:asciiTheme="minorHAnsi" w:hAnsiTheme="minorHAnsi"/>
        </w:rPr>
        <w:t xml:space="preserve"> </w:t>
      </w:r>
      <w:r w:rsidRPr="00194E8E">
        <w:rPr>
          <w:rStyle w:val="word"/>
          <w:rFonts w:asciiTheme="minorHAnsi" w:hAnsiTheme="minorHAnsi"/>
        </w:rPr>
        <w:t>–</w:t>
      </w:r>
      <w:r w:rsidRPr="00194E8E">
        <w:rPr>
          <w:rFonts w:asciiTheme="minorHAnsi" w:hAnsiTheme="minorHAnsi"/>
        </w:rPr>
        <w:t xml:space="preserve"> </w:t>
      </w:r>
      <w:r w:rsidRPr="00194E8E">
        <w:rPr>
          <w:rStyle w:val="word"/>
          <w:rFonts w:asciiTheme="minorHAnsi" w:hAnsiTheme="minorHAnsi"/>
        </w:rPr>
        <w:t>po</w:t>
      </w:r>
      <w:r w:rsidRPr="00194E8E">
        <w:rPr>
          <w:rFonts w:asciiTheme="minorHAnsi" w:hAnsiTheme="minorHAnsi"/>
        </w:rPr>
        <w:t xml:space="preserve"> </w:t>
      </w:r>
      <w:r w:rsidRPr="00194E8E">
        <w:rPr>
          <w:rStyle w:val="word"/>
          <w:rFonts w:asciiTheme="minorHAnsi" w:hAnsiTheme="minorHAnsi"/>
        </w:rPr>
        <w:t>rozmowach</w:t>
      </w:r>
      <w:r w:rsidRPr="00194E8E">
        <w:rPr>
          <w:rFonts w:asciiTheme="minorHAnsi" w:hAnsiTheme="minorHAnsi"/>
        </w:rPr>
        <w:t xml:space="preserve"> </w:t>
      </w:r>
      <w:r w:rsidRPr="00194E8E">
        <w:rPr>
          <w:rStyle w:val="word"/>
          <w:rFonts w:asciiTheme="minorHAnsi" w:hAnsiTheme="minorHAnsi"/>
        </w:rPr>
        <w:t>kwalifikacyjnych</w:t>
      </w:r>
      <w:r w:rsidRPr="00194E8E">
        <w:rPr>
          <w:rFonts w:asciiTheme="minorHAnsi" w:hAnsiTheme="minorHAnsi"/>
        </w:rPr>
        <w:t xml:space="preserve"> </w:t>
      </w:r>
      <w:r w:rsidRPr="00194E8E">
        <w:rPr>
          <w:rStyle w:val="word"/>
          <w:rFonts w:asciiTheme="minorHAnsi" w:hAnsiTheme="minorHAnsi"/>
        </w:rPr>
        <w:t>–</w:t>
      </w:r>
      <w:r w:rsidRPr="00194E8E">
        <w:rPr>
          <w:rFonts w:asciiTheme="minorHAnsi" w:hAnsiTheme="minorHAnsi"/>
        </w:rPr>
        <w:t xml:space="preserve"> </w:t>
      </w:r>
      <w:r w:rsidRPr="00194E8E">
        <w:rPr>
          <w:rStyle w:val="word"/>
          <w:rFonts w:asciiTheme="minorHAnsi" w:hAnsiTheme="minorHAnsi"/>
        </w:rPr>
        <w:t>pytań</w:t>
      </w:r>
      <w:r w:rsidRPr="00194E8E">
        <w:rPr>
          <w:rFonts w:asciiTheme="minorHAnsi" w:hAnsiTheme="minorHAnsi"/>
        </w:rPr>
        <w:t xml:space="preserve"> zadawanych </w:t>
      </w:r>
      <w:r w:rsidRPr="00194E8E">
        <w:rPr>
          <w:rStyle w:val="word"/>
          <w:rFonts w:asciiTheme="minorHAnsi" w:hAnsiTheme="minorHAnsi"/>
        </w:rPr>
        <w:t>kandydatom</w:t>
      </w:r>
      <w:r w:rsidRPr="00194E8E">
        <w:rPr>
          <w:rFonts w:asciiTheme="minorHAnsi" w:hAnsiTheme="minorHAnsi"/>
        </w:rPr>
        <w:t xml:space="preserve">. </w:t>
      </w:r>
      <w:r w:rsidRPr="00194E8E">
        <w:rPr>
          <w:rStyle w:val="word"/>
          <w:rFonts w:asciiTheme="minorHAnsi" w:hAnsiTheme="minorHAnsi"/>
        </w:rPr>
        <w:t>Wszystkie</w:t>
      </w:r>
      <w:r w:rsidRPr="00194E8E">
        <w:rPr>
          <w:rFonts w:asciiTheme="minorHAnsi" w:hAnsiTheme="minorHAnsi"/>
        </w:rPr>
        <w:t xml:space="preserve"> istotne uregulowania prawne i </w:t>
      </w:r>
      <w:r w:rsidRPr="00194E8E">
        <w:rPr>
          <w:rStyle w:val="word"/>
          <w:rFonts w:asciiTheme="minorHAnsi" w:hAnsiTheme="minorHAnsi"/>
        </w:rPr>
        <w:t>dokumenty</w:t>
      </w:r>
      <w:r w:rsidRPr="00194E8E">
        <w:rPr>
          <w:rFonts w:asciiTheme="minorHAnsi" w:hAnsiTheme="minorHAnsi"/>
        </w:rPr>
        <w:t xml:space="preserve"> </w:t>
      </w:r>
      <w:r w:rsidRPr="00194E8E">
        <w:rPr>
          <w:rStyle w:val="word"/>
          <w:rFonts w:asciiTheme="minorHAnsi" w:hAnsiTheme="minorHAnsi"/>
        </w:rPr>
        <w:t>Rady</w:t>
      </w:r>
      <w:r w:rsidRPr="00194E8E">
        <w:rPr>
          <w:rFonts w:asciiTheme="minorHAnsi" w:hAnsiTheme="minorHAnsi"/>
        </w:rPr>
        <w:t xml:space="preserve"> </w:t>
      </w:r>
      <w:r w:rsidRPr="00194E8E">
        <w:rPr>
          <w:rStyle w:val="word"/>
          <w:rFonts w:asciiTheme="minorHAnsi" w:hAnsiTheme="minorHAnsi"/>
        </w:rPr>
        <w:t>Europy również</w:t>
      </w:r>
      <w:r w:rsidRPr="00194E8E">
        <w:rPr>
          <w:rFonts w:asciiTheme="minorHAnsi" w:hAnsiTheme="minorHAnsi"/>
        </w:rPr>
        <w:t xml:space="preserve"> zostały zamieszczone na </w:t>
      </w:r>
      <w:r w:rsidRPr="00194E8E">
        <w:rPr>
          <w:rStyle w:val="word"/>
          <w:rFonts w:asciiTheme="minorHAnsi" w:hAnsiTheme="minorHAnsi"/>
        </w:rPr>
        <w:t>stronie</w:t>
      </w:r>
      <w:r w:rsidRPr="00194E8E">
        <w:rPr>
          <w:rFonts w:asciiTheme="minorHAnsi" w:hAnsiTheme="minorHAnsi"/>
        </w:rPr>
        <w:t xml:space="preserve"> </w:t>
      </w:r>
      <w:r w:rsidRPr="00194E8E">
        <w:rPr>
          <w:rStyle w:val="word"/>
          <w:rFonts w:asciiTheme="minorHAnsi" w:hAnsiTheme="minorHAnsi"/>
        </w:rPr>
        <w:t>internetowej</w:t>
      </w:r>
      <w:r w:rsidRPr="00194E8E">
        <w:rPr>
          <w:rFonts w:asciiTheme="minorHAnsi" w:hAnsiTheme="minorHAnsi"/>
        </w:rPr>
        <w:t xml:space="preserve">. </w:t>
      </w:r>
      <w:r w:rsidRPr="00194E8E">
        <w:rPr>
          <w:rStyle w:val="word"/>
          <w:rFonts w:asciiTheme="minorHAnsi" w:hAnsiTheme="minorHAnsi"/>
        </w:rPr>
        <w:t>Aby</w:t>
      </w:r>
      <w:r w:rsidRPr="00194E8E">
        <w:rPr>
          <w:rFonts w:asciiTheme="minorHAnsi" w:hAnsiTheme="minorHAnsi"/>
        </w:rPr>
        <w:t xml:space="preserve"> u</w:t>
      </w:r>
      <w:r w:rsidRPr="00194E8E">
        <w:rPr>
          <w:rStyle w:val="word"/>
          <w:rFonts w:asciiTheme="minorHAnsi" w:hAnsiTheme="minorHAnsi"/>
        </w:rPr>
        <w:t>łatwić</w:t>
      </w:r>
      <w:r w:rsidRPr="00194E8E">
        <w:rPr>
          <w:rFonts w:asciiTheme="minorHAnsi" w:hAnsiTheme="minorHAnsi"/>
        </w:rPr>
        <w:t xml:space="preserve"> zgłaszanie się kandydatów, na stronie udostępniono również </w:t>
      </w:r>
      <w:r w:rsidRPr="00194E8E">
        <w:rPr>
          <w:rStyle w:val="word"/>
          <w:rFonts w:asciiTheme="minorHAnsi" w:hAnsiTheme="minorHAnsi"/>
        </w:rPr>
        <w:t>wszystkie</w:t>
      </w:r>
      <w:r w:rsidRPr="00194E8E">
        <w:rPr>
          <w:rFonts w:asciiTheme="minorHAnsi" w:hAnsiTheme="minorHAnsi"/>
        </w:rPr>
        <w:t xml:space="preserve"> </w:t>
      </w:r>
      <w:r w:rsidRPr="00194E8E">
        <w:rPr>
          <w:rStyle w:val="word"/>
          <w:rFonts w:asciiTheme="minorHAnsi" w:hAnsiTheme="minorHAnsi"/>
        </w:rPr>
        <w:t>niezbędne</w:t>
      </w:r>
      <w:r w:rsidRPr="00194E8E">
        <w:rPr>
          <w:rFonts w:asciiTheme="minorHAnsi" w:hAnsiTheme="minorHAnsi"/>
        </w:rPr>
        <w:t xml:space="preserve"> </w:t>
      </w:r>
      <w:r w:rsidRPr="00194E8E">
        <w:rPr>
          <w:rStyle w:val="word"/>
          <w:rFonts w:asciiTheme="minorHAnsi" w:hAnsiTheme="minorHAnsi"/>
        </w:rPr>
        <w:t>dokumenty</w:t>
      </w:r>
      <w:r w:rsidRPr="00194E8E">
        <w:rPr>
          <w:rFonts w:asciiTheme="minorHAnsi" w:hAnsiTheme="minorHAnsi"/>
        </w:rPr>
        <w:t xml:space="preserve"> </w:t>
      </w:r>
      <w:r w:rsidRPr="00194E8E">
        <w:rPr>
          <w:rStyle w:val="word"/>
          <w:rFonts w:asciiTheme="minorHAnsi" w:hAnsiTheme="minorHAnsi"/>
        </w:rPr>
        <w:t>i</w:t>
      </w:r>
      <w:r w:rsidRPr="00194E8E">
        <w:rPr>
          <w:rFonts w:asciiTheme="minorHAnsi" w:hAnsiTheme="minorHAnsi"/>
        </w:rPr>
        <w:t xml:space="preserve"> </w:t>
      </w:r>
      <w:r w:rsidRPr="00194E8E">
        <w:rPr>
          <w:rStyle w:val="word"/>
          <w:rFonts w:asciiTheme="minorHAnsi" w:hAnsiTheme="minorHAnsi"/>
        </w:rPr>
        <w:t>formularze</w:t>
      </w:r>
      <w:r w:rsidRPr="00194E8E">
        <w:rPr>
          <w:rFonts w:asciiTheme="minorHAnsi" w:hAnsiTheme="minorHAnsi"/>
        </w:rPr>
        <w:t xml:space="preserve">. </w:t>
      </w:r>
    </w:p>
    <w:p w:rsidR="00D543DA" w:rsidRPr="00194E8E" w:rsidRDefault="00D543DA" w:rsidP="00340E9E">
      <w:pPr>
        <w:spacing w:after="120"/>
        <w:jc w:val="both"/>
        <w:rPr>
          <w:rFonts w:asciiTheme="minorHAnsi" w:hAnsiTheme="minorHAnsi"/>
        </w:rPr>
      </w:pPr>
      <w:r w:rsidRPr="00194E8E">
        <w:rPr>
          <w:rStyle w:val="word"/>
          <w:rFonts w:asciiTheme="minorHAnsi" w:hAnsiTheme="minorHAnsi"/>
        </w:rPr>
        <w:t>Wszystkie</w:t>
      </w:r>
      <w:r w:rsidRPr="00194E8E">
        <w:rPr>
          <w:rFonts w:asciiTheme="minorHAnsi" w:hAnsiTheme="minorHAnsi"/>
        </w:rPr>
        <w:t xml:space="preserve"> </w:t>
      </w:r>
      <w:r w:rsidRPr="00194E8E">
        <w:rPr>
          <w:rStyle w:val="word"/>
          <w:rFonts w:asciiTheme="minorHAnsi" w:hAnsiTheme="minorHAnsi"/>
        </w:rPr>
        <w:t>organizacje</w:t>
      </w:r>
      <w:r w:rsidRPr="00194E8E">
        <w:rPr>
          <w:rFonts w:asciiTheme="minorHAnsi" w:hAnsiTheme="minorHAnsi"/>
        </w:rPr>
        <w:t xml:space="preserve"> </w:t>
      </w:r>
      <w:r w:rsidRPr="00194E8E">
        <w:rPr>
          <w:rStyle w:val="word"/>
          <w:rFonts w:asciiTheme="minorHAnsi" w:hAnsiTheme="minorHAnsi"/>
        </w:rPr>
        <w:t>pozarządowe</w:t>
      </w:r>
      <w:r w:rsidRPr="00194E8E">
        <w:rPr>
          <w:rFonts w:asciiTheme="minorHAnsi" w:hAnsiTheme="minorHAnsi"/>
        </w:rPr>
        <w:t xml:space="preserve">, </w:t>
      </w:r>
      <w:r w:rsidRPr="00194E8E">
        <w:rPr>
          <w:rStyle w:val="word"/>
          <w:rFonts w:asciiTheme="minorHAnsi" w:hAnsiTheme="minorHAnsi"/>
        </w:rPr>
        <w:t>których</w:t>
      </w:r>
      <w:r w:rsidRPr="00194E8E">
        <w:rPr>
          <w:rFonts w:asciiTheme="minorHAnsi" w:hAnsiTheme="minorHAnsi"/>
        </w:rPr>
        <w:t xml:space="preserve"> </w:t>
      </w:r>
      <w:r w:rsidRPr="00194E8E">
        <w:rPr>
          <w:rStyle w:val="word"/>
          <w:rFonts w:asciiTheme="minorHAnsi" w:hAnsiTheme="minorHAnsi"/>
        </w:rPr>
        <w:t>działalność</w:t>
      </w:r>
      <w:r w:rsidRPr="00194E8E">
        <w:rPr>
          <w:rFonts w:asciiTheme="minorHAnsi" w:hAnsiTheme="minorHAnsi"/>
        </w:rPr>
        <w:t xml:space="preserve"> </w:t>
      </w:r>
      <w:r w:rsidRPr="00194E8E">
        <w:rPr>
          <w:rStyle w:val="word"/>
          <w:rFonts w:asciiTheme="minorHAnsi" w:hAnsiTheme="minorHAnsi"/>
        </w:rPr>
        <w:t>statutowa</w:t>
      </w:r>
      <w:r w:rsidRPr="00194E8E">
        <w:rPr>
          <w:rFonts w:asciiTheme="minorHAnsi" w:hAnsiTheme="minorHAnsi"/>
        </w:rPr>
        <w:t xml:space="preserve"> </w:t>
      </w:r>
      <w:r w:rsidRPr="00194E8E">
        <w:rPr>
          <w:rStyle w:val="word"/>
          <w:rFonts w:asciiTheme="minorHAnsi" w:hAnsiTheme="minorHAnsi"/>
        </w:rPr>
        <w:t>obejmuje</w:t>
      </w:r>
      <w:r w:rsidRPr="00194E8E">
        <w:rPr>
          <w:rFonts w:asciiTheme="minorHAnsi" w:hAnsiTheme="minorHAnsi"/>
        </w:rPr>
        <w:t xml:space="preserve"> </w:t>
      </w:r>
      <w:r w:rsidRPr="00194E8E">
        <w:rPr>
          <w:rStyle w:val="word"/>
          <w:rFonts w:asciiTheme="minorHAnsi" w:hAnsiTheme="minorHAnsi"/>
        </w:rPr>
        <w:t>działania</w:t>
      </w:r>
      <w:r w:rsidRPr="00194E8E">
        <w:rPr>
          <w:rFonts w:asciiTheme="minorHAnsi" w:hAnsiTheme="minorHAnsi"/>
        </w:rPr>
        <w:t xml:space="preserve"> </w:t>
      </w:r>
      <w:r w:rsidRPr="00194E8E">
        <w:rPr>
          <w:rStyle w:val="word"/>
          <w:rFonts w:asciiTheme="minorHAnsi" w:hAnsiTheme="minorHAnsi"/>
        </w:rPr>
        <w:t>w</w:t>
      </w:r>
      <w:r w:rsidRPr="00194E8E">
        <w:rPr>
          <w:rFonts w:asciiTheme="minorHAnsi" w:hAnsiTheme="minorHAnsi"/>
        </w:rPr>
        <w:t xml:space="preserve"> </w:t>
      </w:r>
      <w:r w:rsidRPr="00194E8E">
        <w:rPr>
          <w:rStyle w:val="word"/>
          <w:rFonts w:asciiTheme="minorHAnsi" w:hAnsiTheme="minorHAnsi"/>
        </w:rPr>
        <w:t>zakresie</w:t>
      </w:r>
      <w:r w:rsidRPr="00194E8E">
        <w:rPr>
          <w:rFonts w:asciiTheme="minorHAnsi" w:hAnsiTheme="minorHAnsi"/>
        </w:rPr>
        <w:t xml:space="preserve"> upowszechniania i ochrony wolności i praw człowieka oraz swobód obywatelskich, uzyskały możliwość wyznaczenia (w terminie </w:t>
      </w:r>
      <w:r w:rsidRPr="00194E8E">
        <w:rPr>
          <w:rStyle w:val="word"/>
          <w:rFonts w:asciiTheme="minorHAnsi" w:hAnsiTheme="minorHAnsi"/>
        </w:rPr>
        <w:t>do</w:t>
      </w:r>
      <w:r w:rsidRPr="00194E8E">
        <w:rPr>
          <w:rFonts w:asciiTheme="minorHAnsi" w:hAnsiTheme="minorHAnsi"/>
        </w:rPr>
        <w:t xml:space="preserve"> </w:t>
      </w:r>
      <w:r w:rsidRPr="00194E8E">
        <w:rPr>
          <w:rStyle w:val="word"/>
          <w:rFonts w:asciiTheme="minorHAnsi" w:hAnsiTheme="minorHAnsi"/>
        </w:rPr>
        <w:t>dnia</w:t>
      </w:r>
      <w:r w:rsidRPr="00194E8E">
        <w:rPr>
          <w:rFonts w:asciiTheme="minorHAnsi" w:hAnsiTheme="minorHAnsi"/>
        </w:rPr>
        <w:t xml:space="preserve"> </w:t>
      </w:r>
      <w:r w:rsidRPr="00194E8E">
        <w:rPr>
          <w:rStyle w:val="word"/>
          <w:rFonts w:asciiTheme="minorHAnsi" w:hAnsiTheme="minorHAnsi"/>
        </w:rPr>
        <w:t>7</w:t>
      </w:r>
      <w:r w:rsidRPr="00194E8E">
        <w:rPr>
          <w:rFonts w:asciiTheme="minorHAnsi" w:hAnsiTheme="minorHAnsi"/>
        </w:rPr>
        <w:t xml:space="preserve"> </w:t>
      </w:r>
      <w:r w:rsidRPr="00194E8E">
        <w:rPr>
          <w:rStyle w:val="word"/>
          <w:rFonts w:asciiTheme="minorHAnsi" w:hAnsiTheme="minorHAnsi"/>
        </w:rPr>
        <w:t>września</w:t>
      </w:r>
      <w:r w:rsidRPr="00194E8E">
        <w:rPr>
          <w:rFonts w:asciiTheme="minorHAnsi" w:hAnsiTheme="minorHAnsi"/>
        </w:rPr>
        <w:t xml:space="preserve"> </w:t>
      </w:r>
      <w:r w:rsidRPr="00194E8E">
        <w:rPr>
          <w:rStyle w:val="word"/>
          <w:rFonts w:asciiTheme="minorHAnsi" w:hAnsiTheme="minorHAnsi"/>
        </w:rPr>
        <w:t>2021</w:t>
      </w:r>
      <w:r w:rsidRPr="00194E8E">
        <w:rPr>
          <w:rFonts w:asciiTheme="minorHAnsi" w:hAnsiTheme="minorHAnsi"/>
        </w:rPr>
        <w:t xml:space="preserve"> </w:t>
      </w:r>
      <w:r w:rsidRPr="00194E8E">
        <w:rPr>
          <w:rStyle w:val="word"/>
          <w:rFonts w:asciiTheme="minorHAnsi" w:hAnsiTheme="minorHAnsi"/>
        </w:rPr>
        <w:t>r.)</w:t>
      </w:r>
      <w:r w:rsidRPr="00194E8E">
        <w:rPr>
          <w:rFonts w:asciiTheme="minorHAnsi" w:hAnsiTheme="minorHAnsi"/>
        </w:rPr>
        <w:t xml:space="preserve"> </w:t>
      </w:r>
      <w:r w:rsidRPr="00194E8E">
        <w:rPr>
          <w:rStyle w:val="word"/>
          <w:rFonts w:asciiTheme="minorHAnsi" w:hAnsiTheme="minorHAnsi"/>
        </w:rPr>
        <w:t>obserwatora</w:t>
      </w:r>
      <w:r w:rsidRPr="00194E8E">
        <w:rPr>
          <w:rFonts w:asciiTheme="minorHAnsi" w:hAnsiTheme="minorHAnsi"/>
        </w:rPr>
        <w:t xml:space="preserve"> </w:t>
      </w:r>
      <w:r w:rsidRPr="00194E8E">
        <w:rPr>
          <w:rStyle w:val="word"/>
          <w:rFonts w:asciiTheme="minorHAnsi" w:hAnsiTheme="minorHAnsi"/>
        </w:rPr>
        <w:t>rozmów</w:t>
      </w:r>
      <w:r w:rsidRPr="00194E8E">
        <w:rPr>
          <w:rFonts w:asciiTheme="minorHAnsi" w:hAnsiTheme="minorHAnsi"/>
        </w:rPr>
        <w:t xml:space="preserve"> </w:t>
      </w:r>
      <w:r w:rsidRPr="00194E8E">
        <w:rPr>
          <w:rStyle w:val="word"/>
          <w:rFonts w:asciiTheme="minorHAnsi" w:hAnsiTheme="minorHAnsi"/>
        </w:rPr>
        <w:t>kwalifikacyjnych</w:t>
      </w:r>
      <w:r w:rsidRPr="00194E8E">
        <w:rPr>
          <w:rFonts w:asciiTheme="minorHAnsi" w:hAnsiTheme="minorHAnsi"/>
        </w:rPr>
        <w:t xml:space="preserve">. </w:t>
      </w:r>
      <w:r w:rsidRPr="00194E8E">
        <w:rPr>
          <w:rStyle w:val="word"/>
          <w:rFonts w:asciiTheme="minorHAnsi" w:hAnsiTheme="minorHAnsi"/>
        </w:rPr>
        <w:t>Z</w:t>
      </w:r>
      <w:r w:rsidRPr="00194E8E">
        <w:rPr>
          <w:rFonts w:asciiTheme="minorHAnsi" w:hAnsiTheme="minorHAnsi"/>
        </w:rPr>
        <w:t xml:space="preserve"> </w:t>
      </w:r>
      <w:r w:rsidRPr="00194E8E">
        <w:rPr>
          <w:rStyle w:val="word"/>
          <w:rFonts w:asciiTheme="minorHAnsi" w:hAnsiTheme="minorHAnsi"/>
        </w:rPr>
        <w:t>możliwości</w:t>
      </w:r>
      <w:r w:rsidRPr="00194E8E">
        <w:rPr>
          <w:rFonts w:asciiTheme="minorHAnsi" w:hAnsiTheme="minorHAnsi"/>
        </w:rPr>
        <w:t xml:space="preserve"> tej </w:t>
      </w:r>
      <w:r w:rsidRPr="00194E8E">
        <w:rPr>
          <w:rStyle w:val="word"/>
          <w:rFonts w:asciiTheme="minorHAnsi" w:hAnsiTheme="minorHAnsi"/>
        </w:rPr>
        <w:t>skorzystały</w:t>
      </w:r>
      <w:r w:rsidRPr="00194E8E">
        <w:rPr>
          <w:rFonts w:asciiTheme="minorHAnsi" w:hAnsiTheme="minorHAnsi"/>
        </w:rPr>
        <w:t xml:space="preserve"> </w:t>
      </w:r>
      <w:r w:rsidRPr="00194E8E">
        <w:rPr>
          <w:rStyle w:val="word"/>
          <w:rFonts w:asciiTheme="minorHAnsi" w:hAnsiTheme="minorHAnsi"/>
        </w:rPr>
        <w:t>następujące</w:t>
      </w:r>
      <w:r w:rsidRPr="00194E8E">
        <w:rPr>
          <w:rFonts w:asciiTheme="minorHAnsi" w:hAnsiTheme="minorHAnsi"/>
        </w:rPr>
        <w:t xml:space="preserve"> </w:t>
      </w:r>
      <w:r w:rsidRPr="00194E8E">
        <w:rPr>
          <w:rStyle w:val="word"/>
          <w:rFonts w:asciiTheme="minorHAnsi" w:hAnsiTheme="minorHAnsi"/>
        </w:rPr>
        <w:t>organizacje</w:t>
      </w:r>
      <w:r w:rsidRPr="00194E8E">
        <w:rPr>
          <w:rFonts w:asciiTheme="minorHAnsi" w:hAnsiTheme="minorHAnsi"/>
        </w:rPr>
        <w:t xml:space="preserve"> </w:t>
      </w:r>
      <w:r w:rsidRPr="00194E8E">
        <w:rPr>
          <w:rStyle w:val="word"/>
          <w:rFonts w:asciiTheme="minorHAnsi" w:hAnsiTheme="minorHAnsi"/>
        </w:rPr>
        <w:t>pozarządowe</w:t>
      </w:r>
      <w:r w:rsidR="00FF5333">
        <w:rPr>
          <w:rStyle w:val="Odwoanieprzypisudolnego"/>
          <w:rFonts w:asciiTheme="minorHAnsi" w:hAnsiTheme="minorHAnsi"/>
        </w:rPr>
        <w:footnoteReference w:id="2"/>
      </w:r>
      <w:r w:rsidRPr="00194E8E">
        <w:rPr>
          <w:rFonts w:asciiTheme="minorHAnsi" w:hAnsiTheme="minorHAnsi"/>
        </w:rPr>
        <w:t>:</w:t>
      </w:r>
    </w:p>
    <w:p w:rsidR="00D543DA" w:rsidRPr="00194E8E" w:rsidRDefault="00D543DA" w:rsidP="00340E9E">
      <w:pPr>
        <w:numPr>
          <w:ilvl w:val="0"/>
          <w:numId w:val="26"/>
        </w:numPr>
        <w:tabs>
          <w:tab w:val="clear" w:pos="720"/>
        </w:tabs>
        <w:spacing w:after="120"/>
        <w:ind w:left="721" w:hanging="437"/>
        <w:rPr>
          <w:rFonts w:asciiTheme="minorHAnsi" w:hAnsiTheme="minorHAnsi"/>
        </w:rPr>
      </w:pPr>
      <w:r w:rsidRPr="00194E8E">
        <w:rPr>
          <w:rFonts w:asciiTheme="minorHAnsi" w:hAnsiTheme="minorHAnsi"/>
        </w:rPr>
        <w:t>Federacja na rzecz Kobiet i Planowania Rodziny</w:t>
      </w:r>
      <w:r w:rsidR="00CC0108" w:rsidRPr="00194E8E">
        <w:rPr>
          <w:rFonts w:asciiTheme="minorHAnsi" w:hAnsiTheme="minorHAnsi"/>
        </w:rPr>
        <w:t>,</w:t>
      </w:r>
    </w:p>
    <w:p w:rsidR="00D543DA" w:rsidRPr="00194E8E" w:rsidRDefault="00D543DA" w:rsidP="00340E9E">
      <w:pPr>
        <w:numPr>
          <w:ilvl w:val="0"/>
          <w:numId w:val="26"/>
        </w:numPr>
        <w:tabs>
          <w:tab w:val="clear" w:pos="720"/>
        </w:tabs>
        <w:spacing w:after="120"/>
        <w:ind w:left="721" w:hanging="437"/>
        <w:rPr>
          <w:rFonts w:asciiTheme="minorHAnsi" w:hAnsiTheme="minorHAnsi"/>
        </w:rPr>
      </w:pPr>
      <w:r w:rsidRPr="00194E8E">
        <w:rPr>
          <w:rFonts w:asciiTheme="minorHAnsi" w:hAnsiTheme="minorHAnsi"/>
        </w:rPr>
        <w:t>Fundacja Akcja Demokracja</w:t>
      </w:r>
      <w:r w:rsidR="00CC0108" w:rsidRPr="00194E8E">
        <w:rPr>
          <w:rFonts w:asciiTheme="minorHAnsi" w:hAnsiTheme="minorHAnsi"/>
        </w:rPr>
        <w:t>,</w:t>
      </w:r>
    </w:p>
    <w:p w:rsidR="00D543DA" w:rsidRPr="00194E8E" w:rsidRDefault="00D543DA" w:rsidP="00340E9E">
      <w:pPr>
        <w:numPr>
          <w:ilvl w:val="0"/>
          <w:numId w:val="26"/>
        </w:numPr>
        <w:tabs>
          <w:tab w:val="clear" w:pos="720"/>
        </w:tabs>
        <w:spacing w:after="120"/>
        <w:ind w:left="721" w:hanging="437"/>
        <w:rPr>
          <w:rFonts w:asciiTheme="minorHAnsi" w:hAnsiTheme="minorHAnsi"/>
        </w:rPr>
      </w:pPr>
      <w:r w:rsidRPr="00194E8E">
        <w:rPr>
          <w:rFonts w:asciiTheme="minorHAnsi" w:hAnsiTheme="minorHAnsi"/>
        </w:rPr>
        <w:lastRenderedPageBreak/>
        <w:t>Fundacja Frank Bold</w:t>
      </w:r>
      <w:r w:rsidR="00CC0108" w:rsidRPr="00194E8E">
        <w:rPr>
          <w:rFonts w:asciiTheme="minorHAnsi" w:hAnsiTheme="minorHAnsi"/>
        </w:rPr>
        <w:t>,</w:t>
      </w:r>
    </w:p>
    <w:p w:rsidR="00D543DA" w:rsidRPr="00194E8E" w:rsidRDefault="00D543DA" w:rsidP="00340E9E">
      <w:pPr>
        <w:numPr>
          <w:ilvl w:val="0"/>
          <w:numId w:val="26"/>
        </w:numPr>
        <w:tabs>
          <w:tab w:val="clear" w:pos="720"/>
        </w:tabs>
        <w:spacing w:after="120"/>
        <w:ind w:left="721" w:hanging="437"/>
        <w:rPr>
          <w:rFonts w:asciiTheme="minorHAnsi" w:hAnsiTheme="minorHAnsi"/>
        </w:rPr>
      </w:pPr>
      <w:r w:rsidRPr="00194E8E">
        <w:rPr>
          <w:rFonts w:asciiTheme="minorHAnsi" w:hAnsiTheme="minorHAnsi"/>
        </w:rPr>
        <w:t>Fundacja Instytut na rzecz Kultury Prawnej Ordo Iuris</w:t>
      </w:r>
      <w:r w:rsidR="00CC0108" w:rsidRPr="00194E8E">
        <w:rPr>
          <w:rFonts w:asciiTheme="minorHAnsi" w:hAnsiTheme="minorHAnsi"/>
        </w:rPr>
        <w:t>,</w:t>
      </w:r>
    </w:p>
    <w:p w:rsidR="00D543DA" w:rsidRPr="00194E8E" w:rsidRDefault="00D543DA" w:rsidP="00340E9E">
      <w:pPr>
        <w:numPr>
          <w:ilvl w:val="0"/>
          <w:numId w:val="26"/>
        </w:numPr>
        <w:tabs>
          <w:tab w:val="clear" w:pos="720"/>
        </w:tabs>
        <w:spacing w:after="120"/>
        <w:ind w:left="721" w:hanging="437"/>
        <w:rPr>
          <w:rFonts w:asciiTheme="minorHAnsi" w:hAnsiTheme="minorHAnsi"/>
        </w:rPr>
      </w:pPr>
      <w:r w:rsidRPr="00194E8E">
        <w:rPr>
          <w:rFonts w:asciiTheme="minorHAnsi" w:hAnsiTheme="minorHAnsi"/>
        </w:rPr>
        <w:t>Helsińska Fundacja Praw Człowieka</w:t>
      </w:r>
      <w:r w:rsidR="00CC0108" w:rsidRPr="00194E8E">
        <w:rPr>
          <w:rFonts w:asciiTheme="minorHAnsi" w:hAnsiTheme="minorHAnsi"/>
        </w:rPr>
        <w:t>,</w:t>
      </w:r>
    </w:p>
    <w:p w:rsidR="00D543DA" w:rsidRPr="00194E8E" w:rsidRDefault="00D543DA" w:rsidP="00340E9E">
      <w:pPr>
        <w:numPr>
          <w:ilvl w:val="0"/>
          <w:numId w:val="26"/>
        </w:numPr>
        <w:tabs>
          <w:tab w:val="clear" w:pos="720"/>
        </w:tabs>
        <w:spacing w:after="120"/>
        <w:ind w:left="721" w:hanging="437"/>
        <w:rPr>
          <w:rFonts w:asciiTheme="minorHAnsi" w:hAnsiTheme="minorHAnsi"/>
        </w:rPr>
      </w:pPr>
      <w:r w:rsidRPr="00194E8E">
        <w:rPr>
          <w:rFonts w:asciiTheme="minorHAnsi" w:hAnsiTheme="minorHAnsi"/>
        </w:rPr>
        <w:t>Polskie Towarzystwo Prawa Antydyskryminacyjnego</w:t>
      </w:r>
      <w:r w:rsidR="00CC0108" w:rsidRPr="00194E8E">
        <w:rPr>
          <w:rFonts w:asciiTheme="minorHAnsi" w:hAnsiTheme="minorHAnsi"/>
        </w:rPr>
        <w:t>,</w:t>
      </w:r>
      <w:r w:rsidRPr="00194E8E">
        <w:rPr>
          <w:rFonts w:asciiTheme="minorHAnsi" w:hAnsiTheme="minorHAnsi"/>
        </w:rPr>
        <w:t xml:space="preserve"> </w:t>
      </w:r>
    </w:p>
    <w:p w:rsidR="00D543DA" w:rsidRPr="00194E8E" w:rsidRDefault="00D543DA" w:rsidP="00340E9E">
      <w:pPr>
        <w:numPr>
          <w:ilvl w:val="0"/>
          <w:numId w:val="26"/>
        </w:numPr>
        <w:tabs>
          <w:tab w:val="clear" w:pos="720"/>
        </w:tabs>
        <w:spacing w:after="120"/>
        <w:ind w:left="721" w:hanging="437"/>
        <w:rPr>
          <w:rFonts w:asciiTheme="minorHAnsi" w:hAnsiTheme="minorHAnsi"/>
        </w:rPr>
      </w:pPr>
      <w:r w:rsidRPr="00194E8E">
        <w:rPr>
          <w:rFonts w:asciiTheme="minorHAnsi" w:hAnsiTheme="minorHAnsi"/>
        </w:rPr>
        <w:t>Sieć Obywatelska Watchdog Polska</w:t>
      </w:r>
      <w:r w:rsidR="00CC0108" w:rsidRPr="00194E8E">
        <w:rPr>
          <w:rFonts w:asciiTheme="minorHAnsi" w:hAnsiTheme="minorHAnsi"/>
        </w:rPr>
        <w:t>,</w:t>
      </w:r>
    </w:p>
    <w:p w:rsidR="00D543DA" w:rsidRPr="00194E8E" w:rsidRDefault="00D543DA" w:rsidP="00340E9E">
      <w:pPr>
        <w:numPr>
          <w:ilvl w:val="0"/>
          <w:numId w:val="26"/>
        </w:numPr>
        <w:tabs>
          <w:tab w:val="clear" w:pos="720"/>
        </w:tabs>
        <w:spacing w:after="120"/>
        <w:ind w:left="721" w:hanging="437"/>
        <w:rPr>
          <w:rFonts w:asciiTheme="minorHAnsi" w:hAnsiTheme="minorHAnsi"/>
        </w:rPr>
      </w:pPr>
      <w:r w:rsidRPr="00194E8E">
        <w:rPr>
          <w:rFonts w:asciiTheme="minorHAnsi" w:hAnsiTheme="minorHAnsi"/>
        </w:rPr>
        <w:t>Stowarzyszenie im. Prof. Zbigniewa Hołdy</w:t>
      </w:r>
      <w:r w:rsidR="00CC0108" w:rsidRPr="00194E8E">
        <w:rPr>
          <w:rFonts w:asciiTheme="minorHAnsi" w:hAnsiTheme="minorHAnsi"/>
        </w:rPr>
        <w:t>,</w:t>
      </w:r>
    </w:p>
    <w:p w:rsidR="00D543DA" w:rsidRPr="00194E8E" w:rsidRDefault="00D543DA" w:rsidP="00340E9E">
      <w:pPr>
        <w:numPr>
          <w:ilvl w:val="0"/>
          <w:numId w:val="26"/>
        </w:numPr>
        <w:tabs>
          <w:tab w:val="clear" w:pos="720"/>
        </w:tabs>
        <w:spacing w:after="120"/>
        <w:ind w:left="721" w:hanging="437"/>
        <w:rPr>
          <w:rFonts w:asciiTheme="minorHAnsi" w:hAnsiTheme="minorHAnsi"/>
        </w:rPr>
      </w:pPr>
      <w:r w:rsidRPr="00194E8E">
        <w:rPr>
          <w:rFonts w:asciiTheme="minorHAnsi" w:hAnsiTheme="minorHAnsi"/>
        </w:rPr>
        <w:t>Stowarzyszenie Interwencji Prawnej</w:t>
      </w:r>
      <w:r w:rsidR="00CC0108" w:rsidRPr="00194E8E">
        <w:rPr>
          <w:rFonts w:asciiTheme="minorHAnsi" w:hAnsiTheme="minorHAnsi"/>
        </w:rPr>
        <w:t>,</w:t>
      </w:r>
    </w:p>
    <w:p w:rsidR="00D543DA" w:rsidRPr="00194E8E" w:rsidRDefault="00D543DA" w:rsidP="00340E9E">
      <w:pPr>
        <w:spacing w:after="120"/>
        <w:ind w:hanging="11"/>
        <w:jc w:val="both"/>
        <w:rPr>
          <w:rFonts w:asciiTheme="minorHAnsi" w:hAnsiTheme="minorHAnsi"/>
        </w:rPr>
      </w:pPr>
      <w:r w:rsidRPr="00194E8E">
        <w:rPr>
          <w:rStyle w:val="word"/>
          <w:rFonts w:asciiTheme="minorHAnsi" w:hAnsiTheme="minorHAnsi"/>
        </w:rPr>
        <w:t>w</w:t>
      </w:r>
      <w:r w:rsidRPr="00194E8E">
        <w:rPr>
          <w:rFonts w:asciiTheme="minorHAnsi" w:hAnsiTheme="minorHAnsi"/>
        </w:rPr>
        <w:t xml:space="preserve"> </w:t>
      </w:r>
      <w:r w:rsidRPr="00194E8E">
        <w:rPr>
          <w:rStyle w:val="word"/>
          <w:rFonts w:asciiTheme="minorHAnsi" w:hAnsiTheme="minorHAnsi"/>
        </w:rPr>
        <w:t>tym</w:t>
      </w:r>
      <w:r w:rsidRPr="00194E8E">
        <w:rPr>
          <w:rFonts w:asciiTheme="minorHAnsi" w:hAnsiTheme="minorHAnsi"/>
        </w:rPr>
        <w:t xml:space="preserve"> </w:t>
      </w:r>
      <w:r w:rsidRPr="00194E8E">
        <w:rPr>
          <w:rStyle w:val="word"/>
          <w:rFonts w:asciiTheme="minorHAnsi" w:hAnsiTheme="minorHAnsi"/>
        </w:rPr>
        <w:t>organizacje</w:t>
      </w:r>
      <w:r w:rsidRPr="00194E8E">
        <w:rPr>
          <w:rFonts w:asciiTheme="minorHAnsi" w:hAnsiTheme="minorHAnsi"/>
        </w:rPr>
        <w:t xml:space="preserve"> </w:t>
      </w:r>
      <w:r w:rsidRPr="00194E8E">
        <w:rPr>
          <w:rStyle w:val="word"/>
          <w:rFonts w:asciiTheme="minorHAnsi" w:hAnsiTheme="minorHAnsi"/>
        </w:rPr>
        <w:t>zawodów</w:t>
      </w:r>
      <w:r w:rsidRPr="00194E8E">
        <w:rPr>
          <w:rFonts w:asciiTheme="minorHAnsi" w:hAnsiTheme="minorHAnsi"/>
        </w:rPr>
        <w:t xml:space="preserve"> </w:t>
      </w:r>
      <w:r w:rsidRPr="00194E8E">
        <w:rPr>
          <w:rStyle w:val="word"/>
          <w:rFonts w:asciiTheme="minorHAnsi" w:hAnsiTheme="minorHAnsi"/>
        </w:rPr>
        <w:t>prawniczych</w:t>
      </w:r>
      <w:r w:rsidRPr="00194E8E">
        <w:rPr>
          <w:rFonts w:asciiTheme="minorHAnsi" w:hAnsiTheme="minorHAnsi"/>
        </w:rPr>
        <w:t>:</w:t>
      </w:r>
    </w:p>
    <w:p w:rsidR="00D543DA" w:rsidRPr="00194E8E" w:rsidRDefault="00D543DA" w:rsidP="00340E9E">
      <w:pPr>
        <w:numPr>
          <w:ilvl w:val="0"/>
          <w:numId w:val="26"/>
        </w:numPr>
        <w:tabs>
          <w:tab w:val="clear" w:pos="720"/>
        </w:tabs>
        <w:spacing w:after="120"/>
        <w:ind w:left="721" w:hanging="437"/>
        <w:rPr>
          <w:rFonts w:asciiTheme="minorHAnsi" w:hAnsiTheme="minorHAnsi"/>
        </w:rPr>
      </w:pPr>
      <w:r w:rsidRPr="00194E8E">
        <w:rPr>
          <w:rFonts w:asciiTheme="minorHAnsi" w:hAnsiTheme="minorHAnsi"/>
        </w:rPr>
        <w:t>Krajowa Izba Radców Prawnych</w:t>
      </w:r>
      <w:r w:rsidR="00CC0108" w:rsidRPr="00194E8E">
        <w:rPr>
          <w:rFonts w:asciiTheme="minorHAnsi" w:hAnsiTheme="minorHAnsi"/>
        </w:rPr>
        <w:t>,</w:t>
      </w:r>
    </w:p>
    <w:p w:rsidR="00D543DA" w:rsidRPr="00194E8E" w:rsidRDefault="00D543DA" w:rsidP="00340E9E">
      <w:pPr>
        <w:numPr>
          <w:ilvl w:val="0"/>
          <w:numId w:val="26"/>
        </w:numPr>
        <w:tabs>
          <w:tab w:val="clear" w:pos="720"/>
        </w:tabs>
        <w:spacing w:after="120"/>
        <w:ind w:left="721" w:hanging="437"/>
        <w:rPr>
          <w:rFonts w:asciiTheme="minorHAnsi" w:hAnsiTheme="minorHAnsi"/>
        </w:rPr>
      </w:pPr>
      <w:r w:rsidRPr="00194E8E">
        <w:rPr>
          <w:rFonts w:asciiTheme="minorHAnsi" w:hAnsiTheme="minorHAnsi"/>
        </w:rPr>
        <w:t>Naczelna Rada Adwokacka</w:t>
      </w:r>
      <w:r w:rsidR="00CC0108" w:rsidRPr="00194E8E">
        <w:rPr>
          <w:rFonts w:asciiTheme="minorHAnsi" w:hAnsiTheme="minorHAnsi"/>
        </w:rPr>
        <w:t>,</w:t>
      </w:r>
    </w:p>
    <w:p w:rsidR="00D543DA" w:rsidRPr="00194E8E" w:rsidRDefault="00D543DA" w:rsidP="00340E9E">
      <w:pPr>
        <w:numPr>
          <w:ilvl w:val="0"/>
          <w:numId w:val="26"/>
        </w:numPr>
        <w:tabs>
          <w:tab w:val="clear" w:pos="720"/>
        </w:tabs>
        <w:spacing w:after="120"/>
        <w:ind w:left="721" w:hanging="437"/>
        <w:rPr>
          <w:rFonts w:asciiTheme="minorHAnsi" w:hAnsiTheme="minorHAnsi"/>
        </w:rPr>
      </w:pPr>
      <w:r w:rsidRPr="00194E8E">
        <w:rPr>
          <w:rFonts w:asciiTheme="minorHAnsi" w:hAnsiTheme="minorHAnsi"/>
        </w:rPr>
        <w:t>Sekcja Praw Człowieka przy Okręgowej Radzie Adwokackiej w Warszawie</w:t>
      </w:r>
      <w:r w:rsidR="00CC0108" w:rsidRPr="00194E8E">
        <w:rPr>
          <w:rFonts w:asciiTheme="minorHAnsi" w:hAnsiTheme="minorHAnsi"/>
        </w:rPr>
        <w:t>,</w:t>
      </w:r>
    </w:p>
    <w:p w:rsidR="00D543DA" w:rsidRPr="00194E8E" w:rsidRDefault="00D543DA" w:rsidP="00340E9E">
      <w:pPr>
        <w:numPr>
          <w:ilvl w:val="0"/>
          <w:numId w:val="26"/>
        </w:numPr>
        <w:tabs>
          <w:tab w:val="clear" w:pos="720"/>
        </w:tabs>
        <w:spacing w:after="120"/>
        <w:ind w:left="721" w:hanging="437"/>
        <w:rPr>
          <w:rFonts w:asciiTheme="minorHAnsi" w:hAnsiTheme="minorHAnsi"/>
        </w:rPr>
      </w:pPr>
      <w:r w:rsidRPr="00194E8E">
        <w:rPr>
          <w:rFonts w:asciiTheme="minorHAnsi" w:hAnsiTheme="minorHAnsi"/>
        </w:rPr>
        <w:t>Stowarzyszenie Adwokackie „Defensor Iuris”</w:t>
      </w:r>
      <w:r w:rsidR="00CC0108" w:rsidRPr="00194E8E">
        <w:rPr>
          <w:rFonts w:asciiTheme="minorHAnsi" w:hAnsiTheme="minorHAnsi"/>
        </w:rPr>
        <w:t>,</w:t>
      </w:r>
    </w:p>
    <w:p w:rsidR="00D543DA" w:rsidRPr="00194E8E" w:rsidRDefault="00D543DA" w:rsidP="00340E9E">
      <w:pPr>
        <w:numPr>
          <w:ilvl w:val="0"/>
          <w:numId w:val="26"/>
        </w:numPr>
        <w:tabs>
          <w:tab w:val="clear" w:pos="720"/>
        </w:tabs>
        <w:spacing w:after="120"/>
        <w:ind w:left="721" w:hanging="437"/>
        <w:rPr>
          <w:rFonts w:asciiTheme="minorHAnsi" w:hAnsiTheme="minorHAnsi"/>
        </w:rPr>
      </w:pPr>
      <w:r w:rsidRPr="00194E8E">
        <w:rPr>
          <w:rFonts w:asciiTheme="minorHAnsi" w:hAnsiTheme="minorHAnsi"/>
        </w:rPr>
        <w:t xml:space="preserve">Stowarzyszenia Sędziów Polskich </w:t>
      </w:r>
      <w:r w:rsidR="00340E9E">
        <w:rPr>
          <w:rFonts w:asciiTheme="minorHAnsi" w:hAnsiTheme="minorHAnsi"/>
        </w:rPr>
        <w:t>„</w:t>
      </w:r>
      <w:r w:rsidRPr="00194E8E">
        <w:rPr>
          <w:rFonts w:asciiTheme="minorHAnsi" w:hAnsiTheme="minorHAnsi"/>
        </w:rPr>
        <w:t>IUSTITIA</w:t>
      </w:r>
      <w:r w:rsidR="00340E9E">
        <w:rPr>
          <w:rFonts w:asciiTheme="minorHAnsi" w:hAnsiTheme="minorHAnsi"/>
        </w:rPr>
        <w:t>”</w:t>
      </w:r>
      <w:r w:rsidR="00CC0108" w:rsidRPr="00194E8E">
        <w:rPr>
          <w:rFonts w:asciiTheme="minorHAnsi" w:hAnsiTheme="minorHAnsi"/>
        </w:rPr>
        <w:t>,</w:t>
      </w:r>
    </w:p>
    <w:p w:rsidR="00D543DA" w:rsidRPr="00194E8E" w:rsidRDefault="00D543DA" w:rsidP="00340E9E">
      <w:pPr>
        <w:numPr>
          <w:ilvl w:val="0"/>
          <w:numId w:val="26"/>
        </w:numPr>
        <w:tabs>
          <w:tab w:val="clear" w:pos="720"/>
        </w:tabs>
        <w:spacing w:after="120"/>
        <w:ind w:left="721" w:hanging="437"/>
        <w:rPr>
          <w:rFonts w:asciiTheme="minorHAnsi" w:hAnsiTheme="minorHAnsi"/>
        </w:rPr>
      </w:pPr>
      <w:r w:rsidRPr="00194E8E">
        <w:rPr>
          <w:rFonts w:asciiTheme="minorHAnsi" w:hAnsiTheme="minorHAnsi"/>
        </w:rPr>
        <w:t>Stowa</w:t>
      </w:r>
      <w:r w:rsidR="00340E9E">
        <w:rPr>
          <w:rFonts w:asciiTheme="minorHAnsi" w:hAnsiTheme="minorHAnsi"/>
        </w:rPr>
        <w:t>rzyszenie Sędziów „</w:t>
      </w:r>
      <w:r w:rsidRPr="00194E8E">
        <w:rPr>
          <w:rFonts w:asciiTheme="minorHAnsi" w:hAnsiTheme="minorHAnsi"/>
        </w:rPr>
        <w:t>Themis</w:t>
      </w:r>
      <w:r w:rsidR="00340E9E">
        <w:rPr>
          <w:rFonts w:asciiTheme="minorHAnsi" w:hAnsiTheme="minorHAnsi"/>
        </w:rPr>
        <w:t>”</w:t>
      </w:r>
      <w:r w:rsidR="00CC0108" w:rsidRPr="00194E8E">
        <w:rPr>
          <w:rFonts w:asciiTheme="minorHAnsi" w:hAnsiTheme="minorHAnsi"/>
        </w:rPr>
        <w:t>.</w:t>
      </w:r>
    </w:p>
    <w:p w:rsidR="0097084E" w:rsidRPr="00194E8E" w:rsidRDefault="0097084E" w:rsidP="00024CA2">
      <w:pPr>
        <w:pStyle w:val="Nagwek1"/>
        <w:spacing w:before="240" w:after="120"/>
        <w:ind w:left="709" w:hanging="425"/>
        <w:rPr>
          <w:rFonts w:asciiTheme="minorHAnsi" w:hAnsiTheme="minorHAnsi"/>
          <w:lang w:val="pl-PL"/>
        </w:rPr>
      </w:pPr>
      <w:bookmarkStart w:id="10" w:name="_Toc36475951"/>
      <w:bookmarkStart w:id="11" w:name="_Toc112058308"/>
      <w:r w:rsidRPr="00194E8E">
        <w:rPr>
          <w:rFonts w:asciiTheme="minorHAnsi" w:hAnsiTheme="minorHAnsi"/>
          <w:lang w:val="pl-PL"/>
        </w:rPr>
        <w:t>Organizacja Seminarium Warszawskiego</w:t>
      </w:r>
      <w:bookmarkEnd w:id="10"/>
      <w:bookmarkEnd w:id="11"/>
    </w:p>
    <w:p w:rsidR="00DD0730" w:rsidRPr="00194E8E" w:rsidRDefault="0097084E" w:rsidP="00024CA2">
      <w:pPr>
        <w:spacing w:after="120"/>
        <w:jc w:val="both"/>
        <w:rPr>
          <w:rFonts w:asciiTheme="minorHAnsi" w:hAnsiTheme="minorHAnsi"/>
        </w:rPr>
      </w:pPr>
      <w:r w:rsidRPr="00194E8E">
        <w:rPr>
          <w:rFonts w:asciiTheme="minorHAnsi" w:hAnsiTheme="minorHAnsi"/>
        </w:rPr>
        <w:t xml:space="preserve">Z uwagi na ograniczenia związane z sytuacją epidemiologiczną </w:t>
      </w:r>
      <w:r w:rsidR="0066432B" w:rsidRPr="00194E8E">
        <w:rPr>
          <w:rFonts w:asciiTheme="minorHAnsi" w:hAnsiTheme="minorHAnsi"/>
        </w:rPr>
        <w:t>dotyczącą wirusa</w:t>
      </w:r>
      <w:r w:rsidRPr="00194E8E">
        <w:rPr>
          <w:rFonts w:asciiTheme="minorHAnsi" w:hAnsiTheme="minorHAnsi"/>
        </w:rPr>
        <w:t xml:space="preserve"> SARS-CoV-2 w 202</w:t>
      </w:r>
      <w:r w:rsidR="00791A7E" w:rsidRPr="00194E8E">
        <w:rPr>
          <w:rFonts w:asciiTheme="minorHAnsi" w:hAnsiTheme="minorHAnsi"/>
        </w:rPr>
        <w:t>1</w:t>
      </w:r>
      <w:r w:rsidRPr="00194E8E">
        <w:rPr>
          <w:rFonts w:asciiTheme="minorHAnsi" w:hAnsiTheme="minorHAnsi"/>
        </w:rPr>
        <w:t xml:space="preserve"> r. nie zorganizowano kolejnej edycji Seminarium Warszawskiego</w:t>
      </w:r>
      <w:r w:rsidR="001F5C68" w:rsidRPr="00194E8E">
        <w:rPr>
          <w:rFonts w:asciiTheme="minorHAnsi" w:hAnsiTheme="minorHAnsi"/>
        </w:rPr>
        <w:t>.</w:t>
      </w:r>
    </w:p>
    <w:p w:rsidR="009A31F0" w:rsidRPr="00194E8E" w:rsidRDefault="007151DE" w:rsidP="00024CA2">
      <w:pPr>
        <w:pStyle w:val="Nagwek1"/>
        <w:spacing w:before="240" w:after="120"/>
        <w:ind w:left="709" w:hanging="425"/>
        <w:rPr>
          <w:rFonts w:asciiTheme="minorHAnsi" w:hAnsiTheme="minorHAnsi"/>
          <w:lang w:val="pl-PL"/>
        </w:rPr>
      </w:pPr>
      <w:bookmarkStart w:id="12" w:name="_Toc509233244"/>
      <w:bookmarkStart w:id="13" w:name="_Toc509233245"/>
      <w:bookmarkStart w:id="14" w:name="_Toc509233246"/>
      <w:bookmarkStart w:id="15" w:name="_Toc509233247"/>
      <w:bookmarkStart w:id="16" w:name="_Toc112058309"/>
      <w:bookmarkEnd w:id="12"/>
      <w:bookmarkEnd w:id="13"/>
      <w:bookmarkEnd w:id="14"/>
      <w:bookmarkEnd w:id="15"/>
      <w:r w:rsidRPr="00194E8E">
        <w:rPr>
          <w:rFonts w:asciiTheme="minorHAnsi" w:hAnsiTheme="minorHAnsi"/>
          <w:lang w:val="pl-PL"/>
        </w:rPr>
        <w:t>Działalność</w:t>
      </w:r>
      <w:r w:rsidR="00B802A2" w:rsidRPr="00194E8E">
        <w:rPr>
          <w:rFonts w:asciiTheme="minorHAnsi" w:hAnsiTheme="minorHAnsi"/>
          <w:lang w:val="pl-PL"/>
        </w:rPr>
        <w:t xml:space="preserve"> Pełnomocnika w </w:t>
      </w:r>
      <w:r w:rsidRPr="00194E8E">
        <w:rPr>
          <w:rFonts w:asciiTheme="minorHAnsi" w:hAnsiTheme="minorHAnsi"/>
          <w:lang w:val="pl-PL"/>
        </w:rPr>
        <w:t xml:space="preserve">odniesieniu do procesu reformy </w:t>
      </w:r>
      <w:r w:rsidR="00BA13ED">
        <w:rPr>
          <w:rFonts w:asciiTheme="minorHAnsi" w:hAnsiTheme="minorHAnsi"/>
          <w:lang w:val="pl-PL"/>
        </w:rPr>
        <w:t>ETPC</w:t>
      </w:r>
      <w:r w:rsidRPr="00194E8E">
        <w:rPr>
          <w:rFonts w:asciiTheme="minorHAnsi" w:hAnsiTheme="minorHAnsi"/>
          <w:lang w:val="pl-PL"/>
        </w:rPr>
        <w:t xml:space="preserve"> i systemu </w:t>
      </w:r>
      <w:r w:rsidR="00D91035" w:rsidRPr="00194E8E">
        <w:rPr>
          <w:rFonts w:asciiTheme="minorHAnsi" w:hAnsiTheme="minorHAnsi"/>
          <w:lang w:val="pl-PL"/>
        </w:rPr>
        <w:t xml:space="preserve">Konwencji oraz w </w:t>
      </w:r>
      <w:r w:rsidR="00B802A2" w:rsidRPr="00194E8E">
        <w:rPr>
          <w:rFonts w:asciiTheme="minorHAnsi" w:hAnsiTheme="minorHAnsi"/>
          <w:lang w:val="pl-PL"/>
        </w:rPr>
        <w:t>pracach komitetów i grup roboczych Rady Europy z zakresu praw człowieka</w:t>
      </w:r>
      <w:bookmarkEnd w:id="16"/>
    </w:p>
    <w:p w:rsidR="009A31F0" w:rsidRPr="00194E8E" w:rsidRDefault="007151DE" w:rsidP="00BA13ED">
      <w:pPr>
        <w:pStyle w:val="Nagwek2"/>
        <w:numPr>
          <w:ilvl w:val="0"/>
          <w:numId w:val="6"/>
        </w:numPr>
        <w:spacing w:before="240" w:after="120"/>
        <w:ind w:left="721" w:hanging="437"/>
        <w:jc w:val="both"/>
      </w:pPr>
      <w:r w:rsidRPr="00194E8E">
        <w:t>Działalność Pełnomocnika w odniesieniu do</w:t>
      </w:r>
      <w:r w:rsidR="009A31F0" w:rsidRPr="00194E8E">
        <w:t xml:space="preserve"> procesu reformy </w:t>
      </w:r>
      <w:r w:rsidR="00BA13ED">
        <w:t>ETPC</w:t>
      </w:r>
      <w:r w:rsidR="009A31F0" w:rsidRPr="00194E8E">
        <w:t xml:space="preserve"> i systemu Konwencji o ochronie praw człowieka i podstawowych wolności</w:t>
      </w:r>
    </w:p>
    <w:p w:rsidR="00D543DA" w:rsidRPr="00194E8E" w:rsidRDefault="00D543DA" w:rsidP="00024CA2">
      <w:pPr>
        <w:spacing w:after="120"/>
        <w:jc w:val="both"/>
        <w:rPr>
          <w:rFonts w:asciiTheme="minorHAnsi" w:hAnsiTheme="minorHAnsi"/>
        </w:rPr>
      </w:pPr>
      <w:r w:rsidRPr="00194E8E">
        <w:rPr>
          <w:rFonts w:asciiTheme="minorHAnsi" w:hAnsiTheme="minorHAnsi"/>
        </w:rPr>
        <w:t xml:space="preserve">W pierwszej połowie 2021 r. </w:t>
      </w:r>
      <w:r w:rsidR="00615945">
        <w:rPr>
          <w:rFonts w:asciiTheme="minorHAnsi" w:hAnsiTheme="minorHAnsi"/>
        </w:rPr>
        <w:t>ETPC</w:t>
      </w:r>
      <w:r w:rsidRPr="00194E8E">
        <w:rPr>
          <w:rFonts w:asciiTheme="minorHAnsi" w:hAnsiTheme="minorHAnsi"/>
        </w:rPr>
        <w:t xml:space="preserve"> poinformował o przyjęciu nowej strategii procedowania skarg opartej na utworzeniu nowej kategorii spraw. Spośród spraw należących do dotychczasowej kategorii IV, a więc spośród tzw. zwykłych spraw potencjalnie uzasadnionych, </w:t>
      </w:r>
      <w:r w:rsidR="00615945">
        <w:rPr>
          <w:rFonts w:asciiTheme="minorHAnsi" w:hAnsiTheme="minorHAnsi"/>
        </w:rPr>
        <w:t>ETPC</w:t>
      </w:r>
      <w:r w:rsidRPr="00194E8E">
        <w:rPr>
          <w:rFonts w:asciiTheme="minorHAnsi" w:hAnsiTheme="minorHAnsi"/>
        </w:rPr>
        <w:t xml:space="preserve"> postanowił wyodrębnić grupę tzw. </w:t>
      </w:r>
      <w:r w:rsidRPr="00194E8E">
        <w:rPr>
          <w:rFonts w:asciiTheme="minorHAnsi" w:hAnsiTheme="minorHAnsi"/>
          <w:i/>
          <w:iCs/>
        </w:rPr>
        <w:t xml:space="preserve">impact cases </w:t>
      </w:r>
      <w:r w:rsidRPr="00194E8E">
        <w:rPr>
          <w:rFonts w:asciiTheme="minorHAnsi" w:hAnsiTheme="minorHAnsi"/>
        </w:rPr>
        <w:t>(kat. IV-High)</w:t>
      </w:r>
      <w:r w:rsidRPr="00194E8E">
        <w:rPr>
          <w:rFonts w:asciiTheme="minorHAnsi" w:hAnsiTheme="minorHAnsi"/>
          <w:i/>
          <w:iCs/>
        </w:rPr>
        <w:t>,</w:t>
      </w:r>
      <w:r w:rsidRPr="00194E8E">
        <w:rPr>
          <w:rFonts w:asciiTheme="minorHAnsi" w:hAnsiTheme="minorHAnsi"/>
        </w:rPr>
        <w:t xml:space="preserve"> czyli spraw które podnoszą bardzo istotne kwestie mające znaczenie dla pozwanego państwa i systemu Konwencji jako takiego i uzasadniają szybsze rozpoznanie. </w:t>
      </w:r>
      <w:r w:rsidR="00615945">
        <w:rPr>
          <w:rFonts w:asciiTheme="minorHAnsi" w:hAnsiTheme="minorHAnsi"/>
        </w:rPr>
        <w:t>ETPC</w:t>
      </w:r>
      <w:r w:rsidRPr="00194E8E">
        <w:rPr>
          <w:rFonts w:asciiTheme="minorHAnsi" w:hAnsiTheme="minorHAnsi"/>
        </w:rPr>
        <w:t xml:space="preserve"> zidentyfikował ok. 650 takich spraw w ramach kat. IV,</w:t>
      </w:r>
      <w:r w:rsidR="00D75D6C" w:rsidRPr="00194E8E">
        <w:rPr>
          <w:rFonts w:asciiTheme="minorHAnsi" w:hAnsiTheme="minorHAnsi"/>
        </w:rPr>
        <w:t xml:space="preserve"> która jako całość liczy ok. 17 </w:t>
      </w:r>
      <w:r w:rsidRPr="00194E8E">
        <w:rPr>
          <w:rFonts w:asciiTheme="minorHAnsi" w:hAnsiTheme="minorHAnsi"/>
        </w:rPr>
        <w:t xml:space="preserve">800 skarg. Podkreślił, że dotychczas rozpoznawanie spraw z grupy IV wymagało 5-6 lat procedowania i </w:t>
      </w:r>
      <w:r w:rsidR="00D75D6C" w:rsidRPr="00194E8E">
        <w:rPr>
          <w:rFonts w:asciiTheme="minorHAnsi" w:hAnsiTheme="minorHAnsi"/>
        </w:rPr>
        <w:t xml:space="preserve">powinno zostać </w:t>
      </w:r>
      <w:r w:rsidRPr="00194E8E">
        <w:rPr>
          <w:rFonts w:asciiTheme="minorHAnsi" w:hAnsiTheme="minorHAnsi"/>
        </w:rPr>
        <w:t>usprawni</w:t>
      </w:r>
      <w:r w:rsidR="00D75D6C" w:rsidRPr="00194E8E">
        <w:rPr>
          <w:rFonts w:asciiTheme="minorHAnsi" w:hAnsiTheme="minorHAnsi"/>
        </w:rPr>
        <w:t>one</w:t>
      </w:r>
      <w:r w:rsidRPr="00194E8E">
        <w:rPr>
          <w:rFonts w:asciiTheme="minorHAnsi" w:hAnsiTheme="minorHAnsi"/>
        </w:rPr>
        <w:t xml:space="preserve">. </w:t>
      </w:r>
    </w:p>
    <w:p w:rsidR="00D543DA" w:rsidRPr="00194E8E" w:rsidRDefault="00D543DA" w:rsidP="00024CA2">
      <w:pPr>
        <w:spacing w:after="120"/>
        <w:jc w:val="both"/>
        <w:rPr>
          <w:rFonts w:asciiTheme="minorHAnsi" w:hAnsiTheme="minorHAnsi"/>
        </w:rPr>
      </w:pPr>
      <w:r w:rsidRPr="00194E8E">
        <w:rPr>
          <w:rFonts w:asciiTheme="minorHAnsi" w:hAnsiTheme="minorHAnsi"/>
        </w:rPr>
        <w:t xml:space="preserve">Tzw. </w:t>
      </w:r>
      <w:r w:rsidRPr="00194E8E">
        <w:rPr>
          <w:rFonts w:asciiTheme="minorHAnsi" w:hAnsiTheme="minorHAnsi"/>
          <w:i/>
          <w:iCs/>
        </w:rPr>
        <w:t>impact cases</w:t>
      </w:r>
      <w:r w:rsidRPr="00194E8E">
        <w:rPr>
          <w:rFonts w:asciiTheme="minorHAnsi" w:hAnsiTheme="minorHAnsi"/>
        </w:rPr>
        <w:t xml:space="preserve"> mają być identyfikowane na postawie następujących kryteriów: </w:t>
      </w:r>
    </w:p>
    <w:p w:rsidR="00D543DA" w:rsidRPr="00194E8E" w:rsidRDefault="00D543DA" w:rsidP="00024CA2">
      <w:pPr>
        <w:pStyle w:val="Akapitzlist"/>
        <w:numPr>
          <w:ilvl w:val="0"/>
          <w:numId w:val="32"/>
        </w:numPr>
        <w:spacing w:after="120" w:line="240" w:lineRule="auto"/>
        <w:ind w:left="709" w:hanging="425"/>
        <w:jc w:val="both"/>
        <w:rPr>
          <w:rFonts w:asciiTheme="minorHAnsi" w:hAnsiTheme="minorHAnsi"/>
          <w:sz w:val="24"/>
          <w:szCs w:val="24"/>
          <w:lang w:val="pl-PL"/>
        </w:rPr>
      </w:pPr>
      <w:r w:rsidRPr="00194E8E">
        <w:rPr>
          <w:rFonts w:asciiTheme="minorHAnsi" w:hAnsiTheme="minorHAnsi"/>
          <w:sz w:val="24"/>
          <w:szCs w:val="24"/>
          <w:lang w:val="pl-PL"/>
        </w:rPr>
        <w:t>rozstrzygnięcie sprawy może doprowadzić do zmiany lub doprecyzowania międzynarodowego lub krajowego ustawodawstwa lub praktyki</w:t>
      </w:r>
      <w:r w:rsidR="005A00BF" w:rsidRPr="00194E8E">
        <w:rPr>
          <w:rFonts w:asciiTheme="minorHAnsi" w:hAnsiTheme="minorHAnsi"/>
          <w:sz w:val="24"/>
          <w:szCs w:val="24"/>
          <w:lang w:val="pl-PL"/>
        </w:rPr>
        <w:t>,</w:t>
      </w:r>
    </w:p>
    <w:p w:rsidR="00D543DA" w:rsidRPr="00194E8E" w:rsidRDefault="00D543DA" w:rsidP="00024CA2">
      <w:pPr>
        <w:pStyle w:val="Akapitzlist"/>
        <w:numPr>
          <w:ilvl w:val="0"/>
          <w:numId w:val="32"/>
        </w:numPr>
        <w:spacing w:after="120" w:line="240" w:lineRule="auto"/>
        <w:ind w:left="709" w:hanging="425"/>
        <w:jc w:val="both"/>
        <w:rPr>
          <w:rFonts w:asciiTheme="minorHAnsi" w:hAnsiTheme="minorHAnsi"/>
          <w:sz w:val="24"/>
          <w:szCs w:val="24"/>
          <w:lang w:val="pl-PL"/>
        </w:rPr>
      </w:pPr>
      <w:r w:rsidRPr="00194E8E">
        <w:rPr>
          <w:rFonts w:asciiTheme="minorHAnsi" w:hAnsiTheme="minorHAnsi"/>
          <w:sz w:val="24"/>
          <w:szCs w:val="24"/>
          <w:lang w:val="pl-PL"/>
        </w:rPr>
        <w:t>sprawa dotyczy kwestii moralnych lub społecznych</w:t>
      </w:r>
      <w:r w:rsidR="005A00BF" w:rsidRPr="00194E8E">
        <w:rPr>
          <w:rFonts w:asciiTheme="minorHAnsi" w:hAnsiTheme="minorHAnsi"/>
          <w:sz w:val="24"/>
          <w:szCs w:val="24"/>
          <w:lang w:val="pl-PL"/>
        </w:rPr>
        <w:t>,</w:t>
      </w:r>
    </w:p>
    <w:p w:rsidR="00D543DA" w:rsidRPr="00194E8E" w:rsidRDefault="00D543DA" w:rsidP="00024CA2">
      <w:pPr>
        <w:pStyle w:val="Akapitzlist"/>
        <w:numPr>
          <w:ilvl w:val="0"/>
          <w:numId w:val="32"/>
        </w:numPr>
        <w:spacing w:after="120" w:line="240" w:lineRule="auto"/>
        <w:ind w:left="709" w:hanging="425"/>
        <w:jc w:val="both"/>
        <w:rPr>
          <w:rFonts w:asciiTheme="minorHAnsi" w:hAnsiTheme="minorHAnsi"/>
          <w:sz w:val="24"/>
          <w:szCs w:val="24"/>
          <w:lang w:val="pl-PL"/>
        </w:rPr>
      </w:pPr>
      <w:r w:rsidRPr="00194E8E">
        <w:rPr>
          <w:rFonts w:asciiTheme="minorHAnsi" w:hAnsiTheme="minorHAnsi"/>
          <w:sz w:val="24"/>
          <w:szCs w:val="24"/>
          <w:lang w:val="pl-PL"/>
        </w:rPr>
        <w:t>sprawa dotyczy wyłaniających się lub z innych względów istotn</w:t>
      </w:r>
      <w:r w:rsidR="005A00BF" w:rsidRPr="00194E8E">
        <w:rPr>
          <w:rFonts w:asciiTheme="minorHAnsi" w:hAnsiTheme="minorHAnsi"/>
          <w:sz w:val="24"/>
          <w:szCs w:val="24"/>
          <w:lang w:val="pl-PL"/>
        </w:rPr>
        <w:t>ych kwestii prawno-człowieczych,</w:t>
      </w:r>
    </w:p>
    <w:p w:rsidR="00D543DA" w:rsidRPr="00194E8E" w:rsidRDefault="00D543DA" w:rsidP="00024CA2">
      <w:pPr>
        <w:pStyle w:val="Akapitzlist"/>
        <w:numPr>
          <w:ilvl w:val="0"/>
          <w:numId w:val="32"/>
        </w:numPr>
        <w:spacing w:after="120" w:line="240" w:lineRule="auto"/>
        <w:ind w:left="709" w:hanging="425"/>
        <w:jc w:val="both"/>
        <w:rPr>
          <w:rFonts w:asciiTheme="minorHAnsi" w:hAnsiTheme="minorHAnsi"/>
          <w:sz w:val="24"/>
          <w:szCs w:val="24"/>
          <w:lang w:val="pl-PL"/>
        </w:rPr>
      </w:pPr>
      <w:r w:rsidRPr="00194E8E">
        <w:rPr>
          <w:rFonts w:asciiTheme="minorHAnsi" w:hAnsiTheme="minorHAnsi"/>
          <w:sz w:val="24"/>
          <w:szCs w:val="24"/>
          <w:lang w:val="pl-PL"/>
        </w:rPr>
        <w:lastRenderedPageBreak/>
        <w:t>ewentualnie sprawa ma znaczny wydźwięk medialny lub polityczny w danym kraju.</w:t>
      </w:r>
    </w:p>
    <w:p w:rsidR="00D543DA" w:rsidRPr="00194E8E" w:rsidRDefault="00615945" w:rsidP="00024CA2">
      <w:pPr>
        <w:spacing w:after="120"/>
        <w:jc w:val="both"/>
        <w:rPr>
          <w:rFonts w:asciiTheme="minorHAnsi" w:hAnsiTheme="minorHAnsi"/>
        </w:rPr>
      </w:pPr>
      <w:r>
        <w:rPr>
          <w:rFonts w:asciiTheme="minorHAnsi" w:hAnsiTheme="minorHAnsi"/>
        </w:rPr>
        <w:t>ETPC</w:t>
      </w:r>
      <w:r w:rsidR="00D543DA" w:rsidRPr="00194E8E">
        <w:rPr>
          <w:rFonts w:asciiTheme="minorHAnsi" w:hAnsiTheme="minorHAnsi"/>
        </w:rPr>
        <w:t xml:space="preserve"> chce, by dzięki wprowadzeniu nowej kategorii sprawy były rozpoznawane szybciej. Zamierza przeznaczyć na nie większą ilość swych zasobów i ściślej monitorować ich przebieg. </w:t>
      </w:r>
    </w:p>
    <w:p w:rsidR="00D543DA" w:rsidRPr="00194E8E" w:rsidRDefault="00D543DA" w:rsidP="00024CA2">
      <w:pPr>
        <w:spacing w:after="120"/>
        <w:jc w:val="both"/>
        <w:rPr>
          <w:rFonts w:asciiTheme="minorHAnsi" w:hAnsiTheme="minorHAnsi"/>
        </w:rPr>
      </w:pPr>
      <w:r w:rsidRPr="00194E8E">
        <w:rPr>
          <w:rFonts w:asciiTheme="minorHAnsi" w:hAnsiTheme="minorHAnsi"/>
        </w:rPr>
        <w:t xml:space="preserve">Jednocześnie w odniesieniu do pozostałych spraw z kategorii IV, tj. </w:t>
      </w:r>
      <w:r w:rsidRPr="00194E8E">
        <w:rPr>
          <w:rFonts w:asciiTheme="minorHAnsi" w:hAnsiTheme="minorHAnsi"/>
          <w:i/>
          <w:iCs/>
        </w:rPr>
        <w:t>non-impact category IV cases</w:t>
      </w:r>
      <w:r w:rsidRPr="00194E8E">
        <w:rPr>
          <w:rFonts w:asciiTheme="minorHAnsi" w:hAnsiTheme="minorHAnsi"/>
        </w:rPr>
        <w:t xml:space="preserve">, </w:t>
      </w:r>
      <w:r w:rsidR="00615945">
        <w:rPr>
          <w:rFonts w:asciiTheme="minorHAnsi" w:hAnsiTheme="minorHAnsi"/>
        </w:rPr>
        <w:t>ETPC</w:t>
      </w:r>
      <w:r w:rsidRPr="00194E8E">
        <w:rPr>
          <w:rFonts w:asciiTheme="minorHAnsi" w:hAnsiTheme="minorHAnsi"/>
        </w:rPr>
        <w:t xml:space="preserve"> chce zwiększyć standaryzację i uprościć procedowanie, wykorzystując już istniejące metody pracy i narzędzia IT. Sprawy te będą rozpoznawane w składzie 3 sędziów w oparciu o szersze stosowanie kryterium ugruntowanego orzecznictwa (</w:t>
      </w:r>
      <w:r w:rsidRPr="00194E8E">
        <w:rPr>
          <w:rFonts w:asciiTheme="minorHAnsi" w:hAnsiTheme="minorHAnsi"/>
          <w:i/>
          <w:iCs/>
        </w:rPr>
        <w:t>broader WECL</w:t>
      </w:r>
      <w:r w:rsidRPr="00194E8E">
        <w:rPr>
          <w:rFonts w:asciiTheme="minorHAnsi" w:hAnsiTheme="minorHAnsi"/>
        </w:rPr>
        <w:t xml:space="preserve">) i z wykorzystaniem szybkiej ścieżki dla spraw o ugruntowanym </w:t>
      </w:r>
      <w:r w:rsidR="00D84761" w:rsidRPr="00194E8E">
        <w:rPr>
          <w:rFonts w:asciiTheme="minorHAnsi" w:hAnsiTheme="minorHAnsi"/>
        </w:rPr>
        <w:t>orzecznictwie (</w:t>
      </w:r>
      <w:r w:rsidR="00D84761" w:rsidRPr="00615945">
        <w:rPr>
          <w:rFonts w:asciiTheme="minorHAnsi" w:hAnsiTheme="minorHAnsi"/>
          <w:i/>
        </w:rPr>
        <w:t>WECL Fast-Track</w:t>
      </w:r>
      <w:r w:rsidRPr="00194E8E">
        <w:rPr>
          <w:rFonts w:asciiTheme="minorHAnsi" w:hAnsiTheme="minorHAnsi"/>
        </w:rPr>
        <w:t xml:space="preserve">). </w:t>
      </w:r>
    </w:p>
    <w:p w:rsidR="00D543DA" w:rsidRPr="00194E8E" w:rsidRDefault="00615945" w:rsidP="00024CA2">
      <w:pPr>
        <w:spacing w:after="120"/>
        <w:jc w:val="both"/>
        <w:rPr>
          <w:rFonts w:asciiTheme="minorHAnsi" w:hAnsiTheme="minorHAnsi"/>
        </w:rPr>
      </w:pPr>
      <w:r>
        <w:rPr>
          <w:rFonts w:asciiTheme="minorHAnsi" w:hAnsiTheme="minorHAnsi"/>
        </w:rPr>
        <w:t>ETPC</w:t>
      </w:r>
      <w:r w:rsidR="00D543DA" w:rsidRPr="00194E8E">
        <w:rPr>
          <w:rFonts w:asciiTheme="minorHAnsi" w:hAnsiTheme="minorHAnsi"/>
        </w:rPr>
        <w:t xml:space="preserve"> zamierza też wydawać krótsze i bardziej skondensowane wyroki w tego typu sprawach niemających wpływu na kształt obowiązujących standardów. Nowy format orzeczeń ma zakładać zwiększoną standaryzację. </w:t>
      </w:r>
      <w:r>
        <w:rPr>
          <w:rFonts w:asciiTheme="minorHAnsi" w:hAnsiTheme="minorHAnsi"/>
        </w:rPr>
        <w:t>ETPC</w:t>
      </w:r>
      <w:r w:rsidR="00D543DA" w:rsidRPr="00194E8E">
        <w:rPr>
          <w:rFonts w:asciiTheme="minorHAnsi" w:hAnsiTheme="minorHAnsi"/>
        </w:rPr>
        <w:t xml:space="preserve"> deklaruje, że wydawanie wyroków i decyzji w formie uproszczonej nie pociągnie za sobą żadnych zmian w procedurze i będzie stosowane z poszanowaniem praw procesowych stron. We wszystkich takich sprawach strona rządowa będzie nadal proszona o przedstawienie stanu faktycznego i obserwacji. Nowy format wyroków i decyzji będzie stosowany w zasadzie we wszystkich sprawach należących do kategorii tzw. </w:t>
      </w:r>
      <w:r w:rsidR="00D543DA" w:rsidRPr="00194E8E">
        <w:rPr>
          <w:rFonts w:asciiTheme="minorHAnsi" w:hAnsiTheme="minorHAnsi"/>
          <w:i/>
        </w:rPr>
        <w:t>broader-WECL</w:t>
      </w:r>
      <w:r w:rsidR="00D543DA" w:rsidRPr="00194E8E">
        <w:rPr>
          <w:rFonts w:asciiTheme="minorHAnsi" w:hAnsiTheme="minorHAnsi"/>
        </w:rPr>
        <w:t>, zarówno nowych, jak i już zakomunikowanych, rozpatrywanych przez komitety trzech sędziów. Nie będzie miał wpływu na procedowanie spraw repetytywnych, które nadal będą podlegać up</w:t>
      </w:r>
      <w:r w:rsidR="00D75D6C" w:rsidRPr="00194E8E">
        <w:rPr>
          <w:rFonts w:asciiTheme="minorHAnsi" w:hAnsiTheme="minorHAnsi"/>
        </w:rPr>
        <w:t xml:space="preserve">roszczonej procedurze tzw. </w:t>
      </w:r>
      <w:r w:rsidR="00D75D6C" w:rsidRPr="00615945">
        <w:rPr>
          <w:rFonts w:asciiTheme="minorHAnsi" w:hAnsiTheme="minorHAnsi"/>
          <w:i/>
        </w:rPr>
        <w:t xml:space="preserve">WECL </w:t>
      </w:r>
      <w:r w:rsidR="00D543DA" w:rsidRPr="00615945">
        <w:rPr>
          <w:rFonts w:asciiTheme="minorHAnsi" w:hAnsiTheme="minorHAnsi"/>
          <w:i/>
        </w:rPr>
        <w:t>Fast-Track</w:t>
      </w:r>
      <w:r w:rsidR="00D543DA" w:rsidRPr="00194E8E">
        <w:rPr>
          <w:rFonts w:asciiTheme="minorHAnsi" w:hAnsiTheme="minorHAnsi"/>
        </w:rPr>
        <w:t xml:space="preserve"> Nowy format orzeczeń </w:t>
      </w:r>
      <w:r w:rsidR="00D84761" w:rsidRPr="00194E8E">
        <w:rPr>
          <w:rFonts w:asciiTheme="minorHAnsi" w:hAnsiTheme="minorHAnsi"/>
        </w:rPr>
        <w:t xml:space="preserve">będzie wprowadzone </w:t>
      </w:r>
      <w:r w:rsidR="00D543DA" w:rsidRPr="00194E8E">
        <w:rPr>
          <w:rFonts w:asciiTheme="minorHAnsi" w:hAnsiTheme="minorHAnsi"/>
        </w:rPr>
        <w:t>na dwuletni okres próbny, począwszy od 1 września 2021 r.</w:t>
      </w:r>
    </w:p>
    <w:p w:rsidR="00D543DA" w:rsidRPr="00194E8E" w:rsidRDefault="00D543DA" w:rsidP="00024CA2">
      <w:pPr>
        <w:spacing w:after="120"/>
        <w:jc w:val="both"/>
        <w:rPr>
          <w:rFonts w:asciiTheme="minorHAnsi" w:hAnsiTheme="minorHAnsi"/>
          <w:lang w:eastAsia="en-US"/>
        </w:rPr>
      </w:pPr>
      <w:r w:rsidRPr="00194E8E">
        <w:rPr>
          <w:rFonts w:asciiTheme="minorHAnsi" w:hAnsiTheme="minorHAnsi"/>
          <w:lang w:eastAsia="en-US"/>
        </w:rPr>
        <w:t xml:space="preserve">W trakcie konsultacji prowadzonych przez </w:t>
      </w:r>
      <w:r w:rsidR="00615945">
        <w:rPr>
          <w:rFonts w:asciiTheme="minorHAnsi" w:hAnsiTheme="minorHAnsi"/>
          <w:lang w:eastAsia="en-US"/>
        </w:rPr>
        <w:t>ETPC</w:t>
      </w:r>
      <w:r w:rsidRPr="00194E8E">
        <w:rPr>
          <w:rFonts w:asciiTheme="minorHAnsi" w:hAnsiTheme="minorHAnsi"/>
          <w:lang w:eastAsia="en-US"/>
        </w:rPr>
        <w:t xml:space="preserve"> z państwami w sprawie wyodrębnienia nowej kategorii spraw Pełnomocnik wskazał, że kryteria identyfikowania tzw. </w:t>
      </w:r>
      <w:r w:rsidRPr="00194E8E">
        <w:rPr>
          <w:rFonts w:asciiTheme="minorHAnsi" w:hAnsiTheme="minorHAnsi"/>
          <w:i/>
          <w:lang w:eastAsia="en-US"/>
        </w:rPr>
        <w:t>impact cases</w:t>
      </w:r>
      <w:r w:rsidRPr="00194E8E">
        <w:rPr>
          <w:rFonts w:asciiTheme="minorHAnsi" w:hAnsiTheme="minorHAnsi"/>
          <w:lang w:eastAsia="en-US"/>
        </w:rPr>
        <w:t xml:space="preserve"> są dość ogólne i uznaniowe, a </w:t>
      </w:r>
      <w:r w:rsidRPr="00194E8E">
        <w:rPr>
          <w:rFonts w:asciiTheme="minorHAnsi" w:hAnsiTheme="minorHAnsi"/>
          <w:i/>
          <w:lang w:eastAsia="en-US"/>
        </w:rPr>
        <w:t>de facto</w:t>
      </w:r>
      <w:r w:rsidRPr="00194E8E">
        <w:rPr>
          <w:rFonts w:asciiTheme="minorHAnsi" w:hAnsiTheme="minorHAnsi"/>
          <w:lang w:eastAsia="en-US"/>
        </w:rPr>
        <w:t xml:space="preserve"> zależą od oceny </w:t>
      </w:r>
      <w:r w:rsidR="00615945">
        <w:rPr>
          <w:rFonts w:asciiTheme="minorHAnsi" w:hAnsiTheme="minorHAnsi"/>
          <w:lang w:eastAsia="en-US"/>
        </w:rPr>
        <w:t>ETPC</w:t>
      </w:r>
      <w:r w:rsidRPr="00194E8E">
        <w:rPr>
          <w:rFonts w:asciiTheme="minorHAnsi" w:hAnsiTheme="minorHAnsi"/>
          <w:lang w:eastAsia="en-US"/>
        </w:rPr>
        <w:t>. Niejasne jest w szczególności kryterium dotyczące „kwestii społecznych” (</w:t>
      </w:r>
      <w:r w:rsidRPr="00194E8E">
        <w:rPr>
          <w:rFonts w:asciiTheme="minorHAnsi" w:hAnsiTheme="minorHAnsi"/>
          <w:i/>
          <w:lang w:eastAsia="en-US"/>
        </w:rPr>
        <w:t>social issues)</w:t>
      </w:r>
      <w:r w:rsidRPr="00194E8E">
        <w:rPr>
          <w:rFonts w:asciiTheme="minorHAnsi" w:hAnsiTheme="minorHAnsi"/>
          <w:lang w:eastAsia="en-US"/>
        </w:rPr>
        <w:t xml:space="preserve">. W opinii Pełnomocnika najistotniejszym kryterium wyodrębniania </w:t>
      </w:r>
      <w:r w:rsidRPr="00194E8E">
        <w:rPr>
          <w:rFonts w:asciiTheme="minorHAnsi" w:hAnsiTheme="minorHAnsi"/>
          <w:i/>
          <w:lang w:eastAsia="en-US"/>
        </w:rPr>
        <w:t>impact cases</w:t>
      </w:r>
      <w:r w:rsidRPr="00194E8E">
        <w:rPr>
          <w:rFonts w:asciiTheme="minorHAnsi" w:hAnsiTheme="minorHAnsi"/>
          <w:lang w:eastAsia="en-US"/>
        </w:rPr>
        <w:t xml:space="preserve"> powinno być to, czy dane zagadnienie prawne jest czy nie jest już przedmiotem ugruntowanego orzecznictwa </w:t>
      </w:r>
      <w:r w:rsidR="00615945">
        <w:rPr>
          <w:rFonts w:asciiTheme="minorHAnsi" w:hAnsiTheme="minorHAnsi"/>
          <w:lang w:eastAsia="en-US"/>
        </w:rPr>
        <w:t>ETPC</w:t>
      </w:r>
      <w:r w:rsidRPr="00194E8E">
        <w:rPr>
          <w:rFonts w:asciiTheme="minorHAnsi" w:hAnsiTheme="minorHAnsi"/>
          <w:lang w:eastAsia="en-US"/>
        </w:rPr>
        <w:t xml:space="preserve"> w odniesieniu do danego państwa lub ogółu państw RE. </w:t>
      </w:r>
      <w:r w:rsidR="00615945">
        <w:rPr>
          <w:rFonts w:asciiTheme="minorHAnsi" w:hAnsiTheme="minorHAnsi"/>
          <w:lang w:eastAsia="en-US"/>
        </w:rPr>
        <w:t>ETPC</w:t>
      </w:r>
      <w:r w:rsidRPr="00194E8E">
        <w:rPr>
          <w:rFonts w:asciiTheme="minorHAnsi" w:hAnsiTheme="minorHAnsi"/>
          <w:lang w:eastAsia="en-US"/>
        </w:rPr>
        <w:t xml:space="preserve"> nie powinien natomiast zbytnio kierować się kryteriami politycznymi. Może to bowiem spowodować, że będzie zbytnio koncentrował się na ogólnych uwarunkowaniach, a nie na tym, co konkretnie wydarzyło się w danej sprawie indywidualnej, albo że będzie chciał „wywrzeć wpływ” na sytuację państwa, a nie rozpoznać daną konkretną sprawę, która niekoniecznie musi być odpowiednia do „wywierania wpływu”. </w:t>
      </w:r>
    </w:p>
    <w:p w:rsidR="00D543DA" w:rsidRPr="00194E8E" w:rsidRDefault="00D543DA" w:rsidP="00024CA2">
      <w:pPr>
        <w:spacing w:after="120"/>
        <w:jc w:val="both"/>
        <w:rPr>
          <w:rFonts w:asciiTheme="minorHAnsi" w:hAnsiTheme="minorHAnsi"/>
          <w:lang w:eastAsia="en-US"/>
        </w:rPr>
      </w:pPr>
      <w:r w:rsidRPr="00194E8E">
        <w:rPr>
          <w:rFonts w:asciiTheme="minorHAnsi" w:hAnsiTheme="minorHAnsi"/>
          <w:lang w:eastAsia="en-US"/>
        </w:rPr>
        <w:t xml:space="preserve">Szczególnie istotną kwestią jest też to, w jaki sposób </w:t>
      </w:r>
      <w:r w:rsidR="00615945">
        <w:rPr>
          <w:rFonts w:asciiTheme="minorHAnsi" w:hAnsiTheme="minorHAnsi"/>
          <w:lang w:eastAsia="en-US"/>
        </w:rPr>
        <w:t>ETPC</w:t>
      </w:r>
      <w:r w:rsidRPr="00194E8E">
        <w:rPr>
          <w:rFonts w:asciiTheme="minorHAnsi" w:hAnsiTheme="minorHAnsi"/>
          <w:lang w:eastAsia="en-US"/>
        </w:rPr>
        <w:t xml:space="preserve"> zamierza procedować tzw. </w:t>
      </w:r>
      <w:r w:rsidRPr="00194E8E">
        <w:rPr>
          <w:rFonts w:asciiTheme="minorHAnsi" w:hAnsiTheme="minorHAnsi"/>
          <w:i/>
          <w:lang w:eastAsia="en-US"/>
        </w:rPr>
        <w:t>impact cases</w:t>
      </w:r>
      <w:r w:rsidRPr="00194E8E">
        <w:rPr>
          <w:rFonts w:asciiTheme="minorHAnsi" w:hAnsiTheme="minorHAnsi"/>
          <w:lang w:eastAsia="en-US"/>
        </w:rPr>
        <w:t xml:space="preserve">. Pełnomocnik wskazał, że w dokumentach dotyczących nowej strategii jest niewiele informacji na ten temat, poza ogólnym stwierdzeniem, że </w:t>
      </w:r>
      <w:r w:rsidR="00615945">
        <w:rPr>
          <w:rFonts w:asciiTheme="minorHAnsi" w:hAnsiTheme="minorHAnsi"/>
          <w:lang w:eastAsia="en-US"/>
        </w:rPr>
        <w:t>ETPC</w:t>
      </w:r>
      <w:r w:rsidRPr="00194E8E">
        <w:rPr>
          <w:rFonts w:asciiTheme="minorHAnsi" w:hAnsiTheme="minorHAnsi"/>
          <w:lang w:eastAsia="en-US"/>
        </w:rPr>
        <w:t xml:space="preserve"> zamierza przeznaczyć na te sprawy zwiększone zasoby i generalnie przyspieszyć ich procedowanie. W opinii Pełnomocnika zamiar taki jest słuszny, niemniej konieczne jest respektowanie prawa pozwanych rządów do obrony, w tym poprzez zapewnienie im odpowiednio długich terminów na przygotowywanie i konsultowanie stanowisk procesowych. Jest to kluczowe dla wiarygodności całego procesu i rozstrzygnięć </w:t>
      </w:r>
      <w:r w:rsidR="00615945">
        <w:rPr>
          <w:rFonts w:asciiTheme="minorHAnsi" w:hAnsiTheme="minorHAnsi"/>
          <w:lang w:eastAsia="en-US"/>
        </w:rPr>
        <w:t>ETPC</w:t>
      </w:r>
      <w:r w:rsidRPr="00194E8E">
        <w:rPr>
          <w:rFonts w:asciiTheme="minorHAnsi" w:hAnsiTheme="minorHAnsi"/>
          <w:lang w:eastAsia="en-US"/>
        </w:rPr>
        <w:t xml:space="preserve">. </w:t>
      </w:r>
    </w:p>
    <w:p w:rsidR="00D543DA" w:rsidRPr="00194E8E" w:rsidRDefault="00D543DA" w:rsidP="00024CA2">
      <w:pPr>
        <w:spacing w:after="120"/>
        <w:jc w:val="both"/>
        <w:rPr>
          <w:rFonts w:asciiTheme="minorHAnsi" w:hAnsiTheme="minorHAnsi"/>
          <w:lang w:eastAsia="en-US"/>
        </w:rPr>
      </w:pPr>
      <w:r w:rsidRPr="00194E8E">
        <w:rPr>
          <w:rFonts w:asciiTheme="minorHAnsi" w:hAnsiTheme="minorHAnsi"/>
          <w:lang w:eastAsia="en-US"/>
        </w:rPr>
        <w:t>W tym kontekście Pełnomocnik podkreślił również, że priorytetowe traktowanie</w:t>
      </w:r>
      <w:r w:rsidR="00615945">
        <w:rPr>
          <w:rFonts w:asciiTheme="minorHAnsi" w:hAnsiTheme="minorHAnsi"/>
          <w:lang w:eastAsia="en-US"/>
        </w:rPr>
        <w:t>,</w:t>
      </w:r>
      <w:r w:rsidRPr="00194E8E">
        <w:rPr>
          <w:rFonts w:asciiTheme="minorHAnsi" w:hAnsiTheme="minorHAnsi"/>
          <w:lang w:eastAsia="en-US"/>
        </w:rPr>
        <w:t xml:space="preserve"> zakładające skrócone terminy</w:t>
      </w:r>
      <w:r w:rsidR="00615945">
        <w:rPr>
          <w:rFonts w:asciiTheme="minorHAnsi" w:hAnsiTheme="minorHAnsi"/>
          <w:lang w:eastAsia="en-US"/>
        </w:rPr>
        <w:t>,</w:t>
      </w:r>
      <w:r w:rsidRPr="00194E8E">
        <w:rPr>
          <w:rFonts w:asciiTheme="minorHAnsi" w:hAnsiTheme="minorHAnsi"/>
          <w:lang w:eastAsia="en-US"/>
        </w:rPr>
        <w:t xml:space="preserve"> powinno być przyznawane głównie w sprawach, gdzie zachodzi konkretne zagrożenie życia lub zdrowia skarżących, bądź gdy jest to uzasadnione z uwagi na ich podeszły wiek itp., a nie z tego względu, że sprawa budzi duże zainteresowanie w kraju bądź dany wyrok może mieć ogólnie duży wpływ na sytuację danego kraju. W opinii Pełnomocnika nadawanie priorytetowego traktowania większości spraw należących do kategorii </w:t>
      </w:r>
      <w:r w:rsidRPr="00194E8E">
        <w:rPr>
          <w:rFonts w:asciiTheme="minorHAnsi" w:hAnsiTheme="minorHAnsi"/>
          <w:i/>
          <w:lang w:eastAsia="en-US"/>
        </w:rPr>
        <w:t>impact cases</w:t>
      </w:r>
      <w:r w:rsidRPr="00194E8E">
        <w:rPr>
          <w:rFonts w:asciiTheme="minorHAnsi" w:hAnsiTheme="minorHAnsi"/>
          <w:lang w:eastAsia="en-US"/>
        </w:rPr>
        <w:t xml:space="preserve"> nie byłoby </w:t>
      </w:r>
      <w:r w:rsidRPr="00194E8E">
        <w:rPr>
          <w:rFonts w:asciiTheme="minorHAnsi" w:hAnsiTheme="minorHAnsi"/>
          <w:lang w:eastAsia="en-US"/>
        </w:rPr>
        <w:lastRenderedPageBreak/>
        <w:t>u</w:t>
      </w:r>
      <w:r w:rsidR="004D4FD2" w:rsidRPr="00194E8E">
        <w:rPr>
          <w:rFonts w:asciiTheme="minorHAnsi" w:hAnsiTheme="minorHAnsi"/>
          <w:lang w:eastAsia="en-US"/>
        </w:rPr>
        <w:t>zasadnione i mogłoby utrudniać R</w:t>
      </w:r>
      <w:r w:rsidRPr="00194E8E">
        <w:rPr>
          <w:rFonts w:asciiTheme="minorHAnsi" w:hAnsiTheme="minorHAnsi"/>
          <w:lang w:eastAsia="en-US"/>
        </w:rPr>
        <w:t xml:space="preserve">ządowi prowadzenie konsultacji z organami krajowymi i pogłębioną analizę skomplikowanych kwestii prawnych, jakie zachodzą w takich sprawach. Co więcej, w sprawach tych niejednokrotnie skarżący na bieżąco korzystają z kolejnych środków krajowych, co może dodatkowo sprawiać wrażenie wywierania nacisku na organy krajowe poprzez uruchamianie pilnych procedur międzynarodowych. </w:t>
      </w:r>
    </w:p>
    <w:p w:rsidR="00DD0730" w:rsidRPr="00194E8E" w:rsidRDefault="00D543DA" w:rsidP="00024CA2">
      <w:pPr>
        <w:spacing w:after="120"/>
        <w:jc w:val="both"/>
        <w:rPr>
          <w:rFonts w:asciiTheme="minorHAnsi" w:hAnsiTheme="minorHAnsi"/>
          <w:highlight w:val="yellow"/>
        </w:rPr>
      </w:pPr>
      <w:r w:rsidRPr="00194E8E">
        <w:rPr>
          <w:rFonts w:asciiTheme="minorHAnsi" w:hAnsiTheme="minorHAnsi"/>
          <w:lang w:eastAsia="en-US"/>
        </w:rPr>
        <w:t xml:space="preserve">Pełnomocnik wyraził również przypuszczenie, że efektem nowej strategii </w:t>
      </w:r>
      <w:r w:rsidR="00BA13ED">
        <w:rPr>
          <w:rFonts w:asciiTheme="minorHAnsi" w:hAnsiTheme="minorHAnsi"/>
          <w:lang w:eastAsia="en-US"/>
        </w:rPr>
        <w:t>ETPC</w:t>
      </w:r>
      <w:r w:rsidRPr="00194E8E">
        <w:rPr>
          <w:rFonts w:asciiTheme="minorHAnsi" w:hAnsiTheme="minorHAnsi"/>
          <w:lang w:eastAsia="en-US"/>
        </w:rPr>
        <w:t xml:space="preserve"> może być poddanie większości spraw z obecnej kategorii IV procedurom uproszczonym. W tym kontekście nowa strategia </w:t>
      </w:r>
      <w:r w:rsidR="00BA13ED">
        <w:rPr>
          <w:rFonts w:asciiTheme="minorHAnsi" w:hAnsiTheme="minorHAnsi"/>
          <w:lang w:eastAsia="en-US"/>
        </w:rPr>
        <w:t>ETPC</w:t>
      </w:r>
      <w:r w:rsidRPr="00194E8E">
        <w:rPr>
          <w:rFonts w:asciiTheme="minorHAnsi" w:hAnsiTheme="minorHAnsi"/>
          <w:lang w:eastAsia="en-US"/>
        </w:rPr>
        <w:t xml:space="preserve"> może mieć plusy i minusy. Może ułatwić zarówno </w:t>
      </w:r>
      <w:r w:rsidR="00BA13ED">
        <w:rPr>
          <w:rFonts w:asciiTheme="minorHAnsi" w:hAnsiTheme="minorHAnsi"/>
          <w:lang w:eastAsia="en-US"/>
        </w:rPr>
        <w:t>ETPC</w:t>
      </w:r>
      <w:r w:rsidRPr="00194E8E">
        <w:rPr>
          <w:rFonts w:asciiTheme="minorHAnsi" w:hAnsiTheme="minorHAnsi"/>
          <w:lang w:eastAsia="en-US"/>
        </w:rPr>
        <w:t xml:space="preserve">, jak i stronie rządowej procedowanie całego szeregu spraw, promując ugody i deklaracje jednostronne. Zmniejszy też obciążenie </w:t>
      </w:r>
      <w:r w:rsidR="00BA13ED">
        <w:rPr>
          <w:rFonts w:asciiTheme="minorHAnsi" w:hAnsiTheme="minorHAnsi"/>
          <w:lang w:eastAsia="en-US"/>
        </w:rPr>
        <w:t>ETPC</w:t>
      </w:r>
      <w:r w:rsidRPr="00194E8E">
        <w:rPr>
          <w:rFonts w:asciiTheme="minorHAnsi" w:hAnsiTheme="minorHAnsi"/>
          <w:lang w:eastAsia="en-US"/>
        </w:rPr>
        <w:t xml:space="preserve"> związane z pisaniem wyroków, a państw – z ich tłumaczeniem. Z drugiej strony niezbędne są odpowiednie gwarancje dla stron umożliwiające im domaganie się pełnego rozpoznania takich spraw, a korzystanie z prawa do przedłożenia przez rząd obserwacji nie powinno być utrudniane, np. poprzez nadmiernie krótkie terminy. Należy się też liczyć z tym, że nadmierne uproszczenie przez </w:t>
      </w:r>
      <w:r w:rsidR="00BA13ED">
        <w:rPr>
          <w:rFonts w:asciiTheme="minorHAnsi" w:hAnsiTheme="minorHAnsi"/>
          <w:lang w:eastAsia="en-US"/>
        </w:rPr>
        <w:t>ETPC</w:t>
      </w:r>
      <w:r w:rsidRPr="00194E8E">
        <w:rPr>
          <w:rFonts w:asciiTheme="minorHAnsi" w:hAnsiTheme="minorHAnsi"/>
          <w:lang w:eastAsia="en-US"/>
        </w:rPr>
        <w:t xml:space="preserve"> wyroków może mieć negatywne skutki dla tzw. dialogu </w:t>
      </w:r>
      <w:r w:rsidR="00BA13ED">
        <w:rPr>
          <w:rFonts w:asciiTheme="minorHAnsi" w:hAnsiTheme="minorHAnsi"/>
          <w:lang w:eastAsia="en-US"/>
        </w:rPr>
        <w:t>ETPC</w:t>
      </w:r>
      <w:r w:rsidRPr="00194E8E">
        <w:rPr>
          <w:rFonts w:asciiTheme="minorHAnsi" w:hAnsiTheme="minorHAnsi"/>
          <w:lang w:eastAsia="en-US"/>
        </w:rPr>
        <w:t xml:space="preserve"> z sądami krajowymi i zmniejszyć rozumienie przez organy i sądy krajowe przesłanek, jakimi kierował się </w:t>
      </w:r>
      <w:r w:rsidR="00BA13ED">
        <w:rPr>
          <w:rFonts w:asciiTheme="minorHAnsi" w:hAnsiTheme="minorHAnsi"/>
          <w:lang w:eastAsia="en-US"/>
        </w:rPr>
        <w:t>ETPC</w:t>
      </w:r>
      <w:r w:rsidRPr="00194E8E">
        <w:rPr>
          <w:rFonts w:asciiTheme="minorHAnsi" w:hAnsiTheme="minorHAnsi"/>
          <w:lang w:eastAsia="en-US"/>
        </w:rPr>
        <w:t xml:space="preserve">, wydając rozstrzygnięcie. Może to być niepożądane zwłaszcza w przypadku zagadnień, których </w:t>
      </w:r>
      <w:r w:rsidR="00BA13ED">
        <w:rPr>
          <w:rFonts w:asciiTheme="minorHAnsi" w:hAnsiTheme="minorHAnsi"/>
          <w:lang w:eastAsia="en-US"/>
        </w:rPr>
        <w:t>ETPC</w:t>
      </w:r>
      <w:r w:rsidRPr="00194E8E">
        <w:rPr>
          <w:rFonts w:asciiTheme="minorHAnsi" w:hAnsiTheme="minorHAnsi"/>
          <w:lang w:eastAsia="en-US"/>
        </w:rPr>
        <w:t xml:space="preserve"> nie rozpoznawał dotychczas wobec danego państwa, gdyż jego orzecznictwo wobec innych państw jest siłą rzeczy mniej znane. </w:t>
      </w:r>
      <w:r w:rsidRPr="00194E8E">
        <w:rPr>
          <w:rFonts w:asciiTheme="minorHAnsi" w:hAnsiTheme="minorHAnsi"/>
        </w:rPr>
        <w:t xml:space="preserve">Nowa strategia może też generalnie skutkować zwiększeniem obciążeń dla rządów w związku z szybszym komunikowaniem i procedowaniem przez </w:t>
      </w:r>
      <w:r w:rsidR="00BA13ED">
        <w:rPr>
          <w:rFonts w:asciiTheme="minorHAnsi" w:hAnsiTheme="minorHAnsi"/>
        </w:rPr>
        <w:t>ETPC</w:t>
      </w:r>
      <w:r w:rsidRPr="00194E8E">
        <w:rPr>
          <w:rFonts w:asciiTheme="minorHAnsi" w:hAnsiTheme="minorHAnsi"/>
        </w:rPr>
        <w:t xml:space="preserve"> spraw trudnych i odnoszących się do nowych zagadnień prawnych. </w:t>
      </w:r>
      <w:r w:rsidR="00DD0730" w:rsidRPr="00194E8E">
        <w:rPr>
          <w:rFonts w:asciiTheme="minorHAnsi" w:hAnsiTheme="minorHAnsi"/>
          <w:highlight w:val="yellow"/>
        </w:rPr>
        <w:t xml:space="preserve"> </w:t>
      </w:r>
    </w:p>
    <w:p w:rsidR="00491F43" w:rsidRPr="00194E8E" w:rsidRDefault="00491F43" w:rsidP="001F1EF6">
      <w:pPr>
        <w:pStyle w:val="Nagwek2"/>
        <w:spacing w:before="240" w:after="120"/>
        <w:ind w:left="709" w:hanging="425"/>
      </w:pPr>
      <w:r w:rsidRPr="00194E8E">
        <w:t>Udział Pełnomocnika w posiedzeniach Komitetu Ministrów Rady Europy w formacie do spraw Praw Człowieka (KM-DH)</w:t>
      </w:r>
    </w:p>
    <w:p w:rsidR="00491F43" w:rsidRPr="00194E8E" w:rsidRDefault="00491F43" w:rsidP="001F1EF6">
      <w:pPr>
        <w:spacing w:after="120"/>
        <w:jc w:val="both"/>
        <w:rPr>
          <w:rFonts w:asciiTheme="minorHAnsi" w:hAnsiTheme="minorHAnsi"/>
          <w:lang w:eastAsia="en-US"/>
        </w:rPr>
      </w:pPr>
      <w:r w:rsidRPr="00194E8E">
        <w:rPr>
          <w:rFonts w:asciiTheme="minorHAnsi" w:hAnsiTheme="minorHAnsi"/>
          <w:lang w:eastAsia="en-US"/>
        </w:rPr>
        <w:t>W okresie sprawozdawczym Pełnomocnik zapewni</w:t>
      </w:r>
      <w:r w:rsidR="0066432B" w:rsidRPr="00194E8E">
        <w:rPr>
          <w:rFonts w:asciiTheme="minorHAnsi" w:hAnsiTheme="minorHAnsi"/>
          <w:lang w:eastAsia="en-US"/>
        </w:rPr>
        <w:t>a</w:t>
      </w:r>
      <w:r w:rsidRPr="00194E8E">
        <w:rPr>
          <w:rFonts w:asciiTheme="minorHAnsi" w:hAnsiTheme="minorHAnsi"/>
          <w:lang w:eastAsia="en-US"/>
        </w:rPr>
        <w:t xml:space="preserve">ł obsługę posiedzeń Komitetu Ministrów RE poświęconych realizacji funkcji nadzorczej nad wykonywaniem orzeczeń Europejskiego Trybunału Praw Człowieka, wynikającej z art. 46 ust. 2 Konwencji (tzw. posiedzenia w formacie do spraw praw człowieka, posiedzenia KM-DH - od fr. </w:t>
      </w:r>
      <w:r w:rsidRPr="00194E8E">
        <w:rPr>
          <w:rFonts w:asciiTheme="minorHAnsi" w:hAnsiTheme="minorHAnsi"/>
          <w:i/>
          <w:lang w:eastAsia="en-US"/>
        </w:rPr>
        <w:t>droits de l’homme</w:t>
      </w:r>
      <w:r w:rsidR="00D84761" w:rsidRPr="00194E8E">
        <w:rPr>
          <w:rFonts w:asciiTheme="minorHAnsi" w:hAnsiTheme="minorHAnsi"/>
          <w:lang w:eastAsia="en-US"/>
        </w:rPr>
        <w:t>). P</w:t>
      </w:r>
      <w:r w:rsidRPr="00194E8E">
        <w:rPr>
          <w:rFonts w:asciiTheme="minorHAnsi" w:hAnsiTheme="minorHAnsi"/>
          <w:lang w:eastAsia="en-US"/>
        </w:rPr>
        <w:t xml:space="preserve">osiedzenia </w:t>
      </w:r>
      <w:r w:rsidR="0066432B" w:rsidRPr="00194E8E">
        <w:rPr>
          <w:rFonts w:asciiTheme="minorHAnsi" w:hAnsiTheme="minorHAnsi"/>
          <w:lang w:eastAsia="en-US"/>
        </w:rPr>
        <w:t xml:space="preserve">co do zasady </w:t>
      </w:r>
      <w:r w:rsidRPr="00194E8E">
        <w:rPr>
          <w:rFonts w:asciiTheme="minorHAnsi" w:hAnsiTheme="minorHAnsi"/>
          <w:lang w:eastAsia="en-US"/>
        </w:rPr>
        <w:t>odbywają się cztery razy do roku</w:t>
      </w:r>
      <w:r w:rsidR="0066432B" w:rsidRPr="00194E8E">
        <w:rPr>
          <w:rFonts w:asciiTheme="minorHAnsi" w:hAnsiTheme="minorHAnsi"/>
          <w:lang w:eastAsia="en-US"/>
        </w:rPr>
        <w:t xml:space="preserve"> w Strasburgu</w:t>
      </w:r>
      <w:r w:rsidR="00E474FA" w:rsidRPr="00194E8E">
        <w:rPr>
          <w:rFonts w:asciiTheme="minorHAnsi" w:hAnsiTheme="minorHAnsi"/>
          <w:lang w:eastAsia="en-US"/>
        </w:rPr>
        <w:t xml:space="preserve">. </w:t>
      </w:r>
      <w:r w:rsidR="001F5C68" w:rsidRPr="00194E8E">
        <w:rPr>
          <w:rFonts w:asciiTheme="minorHAnsi" w:hAnsiTheme="minorHAnsi"/>
          <w:lang w:eastAsia="en-US"/>
        </w:rPr>
        <w:t>W</w:t>
      </w:r>
      <w:r w:rsidR="00E474FA" w:rsidRPr="00194E8E">
        <w:rPr>
          <w:rFonts w:asciiTheme="minorHAnsi" w:hAnsiTheme="minorHAnsi"/>
          <w:lang w:eastAsia="en-US"/>
        </w:rPr>
        <w:t xml:space="preserve"> 20</w:t>
      </w:r>
      <w:r w:rsidR="0066432B" w:rsidRPr="00194E8E">
        <w:rPr>
          <w:rFonts w:asciiTheme="minorHAnsi" w:hAnsiTheme="minorHAnsi"/>
          <w:lang w:eastAsia="en-US"/>
        </w:rPr>
        <w:t>2</w:t>
      </w:r>
      <w:r w:rsidR="001F5C68" w:rsidRPr="00194E8E">
        <w:rPr>
          <w:rFonts w:asciiTheme="minorHAnsi" w:hAnsiTheme="minorHAnsi"/>
          <w:lang w:eastAsia="en-US"/>
        </w:rPr>
        <w:t>1</w:t>
      </w:r>
      <w:r w:rsidR="00E474FA" w:rsidRPr="00194E8E">
        <w:rPr>
          <w:rFonts w:asciiTheme="minorHAnsi" w:hAnsiTheme="minorHAnsi"/>
          <w:lang w:eastAsia="en-US"/>
        </w:rPr>
        <w:t xml:space="preserve"> r.</w:t>
      </w:r>
      <w:r w:rsidR="00712099">
        <w:rPr>
          <w:rFonts w:asciiTheme="minorHAnsi" w:hAnsiTheme="minorHAnsi"/>
          <w:lang w:eastAsia="en-US"/>
        </w:rPr>
        <w:t>,</w:t>
      </w:r>
      <w:r w:rsidR="00E474FA" w:rsidRPr="00194E8E">
        <w:rPr>
          <w:rFonts w:asciiTheme="minorHAnsi" w:hAnsiTheme="minorHAnsi"/>
          <w:lang w:eastAsia="en-US"/>
        </w:rPr>
        <w:t xml:space="preserve"> </w:t>
      </w:r>
      <w:r w:rsidR="0066432B" w:rsidRPr="00194E8E">
        <w:rPr>
          <w:rFonts w:asciiTheme="minorHAnsi" w:hAnsiTheme="minorHAnsi"/>
          <w:lang w:eastAsia="en-US"/>
        </w:rPr>
        <w:t>z uwagi na szczególną sytuację związaną z wirusem SARS-Co</w:t>
      </w:r>
      <w:r w:rsidR="004B0FD9" w:rsidRPr="00194E8E">
        <w:rPr>
          <w:rFonts w:asciiTheme="minorHAnsi" w:hAnsiTheme="minorHAnsi"/>
          <w:lang w:eastAsia="en-US"/>
        </w:rPr>
        <w:t>V</w:t>
      </w:r>
      <w:r w:rsidR="0066432B" w:rsidRPr="00194E8E">
        <w:rPr>
          <w:rFonts w:asciiTheme="minorHAnsi" w:hAnsiTheme="minorHAnsi"/>
          <w:lang w:eastAsia="en-US"/>
        </w:rPr>
        <w:t xml:space="preserve">-2 i wprowadzone ograniczenia, </w:t>
      </w:r>
      <w:r w:rsidR="00E474FA" w:rsidRPr="00194E8E">
        <w:rPr>
          <w:rFonts w:asciiTheme="minorHAnsi" w:hAnsiTheme="minorHAnsi"/>
          <w:lang w:eastAsia="en-US"/>
        </w:rPr>
        <w:t xml:space="preserve">KM-DH obradował </w:t>
      </w:r>
      <w:r w:rsidR="0066432B" w:rsidRPr="00194E8E">
        <w:rPr>
          <w:rFonts w:asciiTheme="minorHAnsi" w:hAnsiTheme="minorHAnsi"/>
          <w:lang w:eastAsia="en-US"/>
        </w:rPr>
        <w:t xml:space="preserve">częściowo w Strasburgu i częściowo w formie wideokonferencji </w:t>
      </w:r>
      <w:r w:rsidR="00E474FA" w:rsidRPr="00194E8E">
        <w:rPr>
          <w:rFonts w:asciiTheme="minorHAnsi" w:hAnsiTheme="minorHAnsi"/>
          <w:lang w:eastAsia="en-US"/>
        </w:rPr>
        <w:t xml:space="preserve">w następujących datach: </w:t>
      </w:r>
      <w:r w:rsidR="001255D9" w:rsidRPr="00194E8E">
        <w:rPr>
          <w:rFonts w:asciiTheme="minorHAnsi" w:hAnsiTheme="minorHAnsi"/>
          <w:lang w:eastAsia="en-US"/>
        </w:rPr>
        <w:t>9-11</w:t>
      </w:r>
      <w:r w:rsidR="00E474FA" w:rsidRPr="00194E8E">
        <w:rPr>
          <w:rFonts w:asciiTheme="minorHAnsi" w:hAnsiTheme="minorHAnsi"/>
          <w:lang w:eastAsia="en-US"/>
        </w:rPr>
        <w:t xml:space="preserve"> marca, </w:t>
      </w:r>
      <w:r w:rsidR="001255D9" w:rsidRPr="00194E8E">
        <w:rPr>
          <w:rFonts w:asciiTheme="minorHAnsi" w:hAnsiTheme="minorHAnsi"/>
          <w:lang w:eastAsia="en-US"/>
        </w:rPr>
        <w:t>7-9</w:t>
      </w:r>
      <w:r w:rsidR="00E474FA" w:rsidRPr="00194E8E">
        <w:rPr>
          <w:rFonts w:asciiTheme="minorHAnsi" w:hAnsiTheme="minorHAnsi"/>
          <w:lang w:eastAsia="en-US"/>
        </w:rPr>
        <w:t xml:space="preserve"> czerwca</w:t>
      </w:r>
      <w:r w:rsidR="001F5C68" w:rsidRPr="00194E8E">
        <w:rPr>
          <w:rFonts w:asciiTheme="minorHAnsi" w:hAnsiTheme="minorHAnsi"/>
          <w:lang w:eastAsia="en-US"/>
        </w:rPr>
        <w:t>,</w:t>
      </w:r>
      <w:r w:rsidR="0066432B" w:rsidRPr="00194E8E">
        <w:rPr>
          <w:rFonts w:asciiTheme="minorHAnsi" w:hAnsiTheme="minorHAnsi"/>
          <w:lang w:eastAsia="en-US"/>
        </w:rPr>
        <w:t xml:space="preserve"> </w:t>
      </w:r>
      <w:r w:rsidR="001255D9" w:rsidRPr="00194E8E">
        <w:rPr>
          <w:rFonts w:asciiTheme="minorHAnsi" w:hAnsiTheme="minorHAnsi"/>
          <w:lang w:eastAsia="en-US"/>
        </w:rPr>
        <w:t xml:space="preserve">14-16 </w:t>
      </w:r>
      <w:r w:rsidR="00E474FA" w:rsidRPr="00194E8E">
        <w:rPr>
          <w:rFonts w:asciiTheme="minorHAnsi" w:hAnsiTheme="minorHAnsi"/>
          <w:lang w:eastAsia="en-US"/>
        </w:rPr>
        <w:t>września</w:t>
      </w:r>
      <w:r w:rsidR="0066432B" w:rsidRPr="00194E8E">
        <w:rPr>
          <w:rFonts w:asciiTheme="minorHAnsi" w:hAnsiTheme="minorHAnsi"/>
          <w:lang w:eastAsia="en-US"/>
        </w:rPr>
        <w:t xml:space="preserve"> </w:t>
      </w:r>
      <w:r w:rsidR="00E474FA" w:rsidRPr="00194E8E">
        <w:rPr>
          <w:rFonts w:asciiTheme="minorHAnsi" w:hAnsiTheme="minorHAnsi"/>
          <w:lang w:eastAsia="en-US"/>
        </w:rPr>
        <w:t xml:space="preserve">i </w:t>
      </w:r>
      <w:r w:rsidR="001F5C68" w:rsidRPr="00194E8E">
        <w:rPr>
          <w:rFonts w:asciiTheme="minorHAnsi" w:hAnsiTheme="minorHAnsi"/>
          <w:lang w:eastAsia="en-US"/>
        </w:rPr>
        <w:t>30 listopada - 2</w:t>
      </w:r>
      <w:r w:rsidR="00E474FA" w:rsidRPr="00194E8E">
        <w:rPr>
          <w:rFonts w:asciiTheme="minorHAnsi" w:hAnsiTheme="minorHAnsi"/>
          <w:lang w:eastAsia="en-US"/>
        </w:rPr>
        <w:t xml:space="preserve"> grudnia 20</w:t>
      </w:r>
      <w:r w:rsidR="0066432B" w:rsidRPr="00194E8E">
        <w:rPr>
          <w:rFonts w:asciiTheme="minorHAnsi" w:hAnsiTheme="minorHAnsi"/>
          <w:lang w:eastAsia="en-US"/>
        </w:rPr>
        <w:t>2</w:t>
      </w:r>
      <w:r w:rsidR="001F5C68" w:rsidRPr="00194E8E">
        <w:rPr>
          <w:rFonts w:asciiTheme="minorHAnsi" w:hAnsiTheme="minorHAnsi"/>
          <w:lang w:eastAsia="en-US"/>
        </w:rPr>
        <w:t>1</w:t>
      </w:r>
      <w:r w:rsidR="00E474FA" w:rsidRPr="00194E8E">
        <w:rPr>
          <w:rFonts w:asciiTheme="minorHAnsi" w:hAnsiTheme="minorHAnsi"/>
          <w:lang w:eastAsia="en-US"/>
        </w:rPr>
        <w:t xml:space="preserve"> r. Wszystkie decyzje przyjęte na posiedzeniach oraz dokumen</w:t>
      </w:r>
      <w:r w:rsidR="00D84761" w:rsidRPr="00194E8E">
        <w:rPr>
          <w:rFonts w:asciiTheme="minorHAnsi" w:hAnsiTheme="minorHAnsi"/>
          <w:lang w:eastAsia="en-US"/>
        </w:rPr>
        <w:t>tacja badanych na</w:t>
      </w:r>
      <w:r w:rsidR="00E474FA" w:rsidRPr="00194E8E">
        <w:rPr>
          <w:rFonts w:asciiTheme="minorHAnsi" w:hAnsiTheme="minorHAnsi"/>
          <w:lang w:eastAsia="en-US"/>
        </w:rPr>
        <w:t xml:space="preserve"> posiedzeniach spraw, dostępne są publicznie na stronie Komitetu oraz w bazie HUDOC-EXEC.</w:t>
      </w:r>
    </w:p>
    <w:p w:rsidR="00B802A2" w:rsidRPr="00194E8E" w:rsidRDefault="00B802A2" w:rsidP="00712099">
      <w:pPr>
        <w:pStyle w:val="Nagwek2"/>
        <w:spacing w:before="240" w:after="120"/>
        <w:ind w:left="709" w:hanging="425"/>
      </w:pPr>
      <w:r w:rsidRPr="00194E8E">
        <w:t>Udział Pełnomocnika w pracach Komitetu Zarządzającego Praw Człowieka Rady Europy (CDDH) i jego grup roboczych</w:t>
      </w:r>
    </w:p>
    <w:p w:rsidR="00D543DA" w:rsidRPr="00194E8E" w:rsidRDefault="00D543DA" w:rsidP="00712099">
      <w:pPr>
        <w:spacing w:after="120"/>
        <w:jc w:val="both"/>
        <w:rPr>
          <w:rFonts w:asciiTheme="minorHAnsi" w:hAnsiTheme="minorHAnsi"/>
          <w:lang w:eastAsia="en-US"/>
        </w:rPr>
      </w:pPr>
      <w:r w:rsidRPr="00194E8E">
        <w:rPr>
          <w:rFonts w:asciiTheme="minorHAnsi" w:hAnsiTheme="minorHAnsi"/>
          <w:lang w:eastAsia="en-US"/>
        </w:rPr>
        <w:t xml:space="preserve">Pełnomocnik i jego </w:t>
      </w:r>
      <w:r w:rsidR="00482F76">
        <w:rPr>
          <w:rFonts w:asciiTheme="minorHAnsi" w:hAnsiTheme="minorHAnsi"/>
          <w:lang w:eastAsia="en-US"/>
        </w:rPr>
        <w:t>z</w:t>
      </w:r>
      <w:r w:rsidRPr="00194E8E">
        <w:rPr>
          <w:rFonts w:asciiTheme="minorHAnsi" w:hAnsiTheme="minorHAnsi"/>
          <w:lang w:eastAsia="en-US"/>
        </w:rPr>
        <w:t>espół zapewnili obsługę prac i koordynowa</w:t>
      </w:r>
      <w:r w:rsidR="00D84761" w:rsidRPr="00194E8E">
        <w:rPr>
          <w:rFonts w:asciiTheme="minorHAnsi" w:hAnsiTheme="minorHAnsi"/>
          <w:lang w:eastAsia="en-US"/>
        </w:rPr>
        <w:t>li</w:t>
      </w:r>
      <w:r w:rsidRPr="00194E8E">
        <w:rPr>
          <w:rFonts w:asciiTheme="minorHAnsi" w:hAnsiTheme="minorHAnsi"/>
          <w:lang w:eastAsia="en-US"/>
        </w:rPr>
        <w:t xml:space="preserve"> stanowiska Polski w 2 komitetach międzyrządowych Rady Europy właściwych ds. praw człowieka – Komitecie Zarządzającym Praw Człowieka (CDDH) i jego Biurze oraz Komitecie Ekspertów ds. systemu Europejskiej Konwencji Praw Człowieka (DH-SYSC) oraz w 4 podległych im grupach roboczych (DH-SYSC IV, DH-SYSC V, CDDH-ENV, CDDH-47+1) zajmujących się tematyką odpowiednio: skutecznego procedowania i rozstrzygania skarg dotyczących sporów i konfliktów międzypaństwowych, implementacji Konwencji na poziomie krajowym, praw człowieka w kontekście ochrony środowiska oraz przystąpienia UE do Konwencji. Uczestniczyli w 17 posiedzeniach organów Rady Europy i 16 posiedzeniach organów UE. W 2021 r. Polska została </w:t>
      </w:r>
      <w:r w:rsidRPr="00194E8E">
        <w:rPr>
          <w:rFonts w:asciiTheme="minorHAnsi" w:hAnsiTheme="minorHAnsi"/>
          <w:lang w:eastAsia="en-US"/>
        </w:rPr>
        <w:lastRenderedPageBreak/>
        <w:t>też wybrana do nowej grupy redakcyjnej CDDH ds. praw człowieka i sytuacji kryzysowych (CDDH-SCR)</w:t>
      </w:r>
      <w:r w:rsidR="00712099">
        <w:rPr>
          <w:rFonts w:asciiTheme="minorHAnsi" w:hAnsiTheme="minorHAnsi"/>
          <w:lang w:eastAsia="en-US"/>
        </w:rPr>
        <w:t>, a Pełnomocnik</w:t>
      </w:r>
      <w:r w:rsidRPr="00194E8E">
        <w:rPr>
          <w:rFonts w:asciiTheme="minorHAnsi" w:hAnsiTheme="minorHAnsi"/>
          <w:lang w:eastAsia="en-US"/>
        </w:rPr>
        <w:t xml:space="preserve"> </w:t>
      </w:r>
      <w:r w:rsidR="00712099">
        <w:rPr>
          <w:rFonts w:asciiTheme="minorHAnsi" w:hAnsiTheme="minorHAnsi"/>
          <w:lang w:eastAsia="en-US"/>
        </w:rPr>
        <w:t>został wybrany przewodniczącym</w:t>
      </w:r>
      <w:r w:rsidRPr="00194E8E">
        <w:rPr>
          <w:rFonts w:asciiTheme="minorHAnsi" w:hAnsiTheme="minorHAnsi"/>
          <w:lang w:eastAsia="en-US"/>
        </w:rPr>
        <w:t xml:space="preserve"> tej grupy.</w:t>
      </w:r>
    </w:p>
    <w:p w:rsidR="00BB614F" w:rsidRPr="00194E8E" w:rsidRDefault="00D543DA" w:rsidP="00712099">
      <w:pPr>
        <w:spacing w:after="120"/>
        <w:jc w:val="both"/>
        <w:rPr>
          <w:rFonts w:asciiTheme="minorHAnsi" w:hAnsiTheme="minorHAnsi"/>
          <w:highlight w:val="yellow"/>
        </w:rPr>
      </w:pPr>
      <w:r w:rsidRPr="00194E8E">
        <w:rPr>
          <w:rFonts w:asciiTheme="minorHAnsi" w:hAnsiTheme="minorHAnsi"/>
        </w:rPr>
        <w:t xml:space="preserve">Pełnomocnik uczestniczył ponadto w konsultacjach prowadzonych w grupie pełnomocników rządów przed Europejskim Trybunałem Praw Człowieka, a także przedstawiał informacje na temat prawa i praktyki krajowej na zapytania pełnomocników innych państw w związku z ich postępowaniami przed </w:t>
      </w:r>
      <w:r w:rsidR="00BA13ED">
        <w:rPr>
          <w:rFonts w:asciiTheme="minorHAnsi" w:hAnsiTheme="minorHAnsi"/>
        </w:rPr>
        <w:t>ETPC</w:t>
      </w:r>
      <w:r w:rsidRPr="00194E8E">
        <w:rPr>
          <w:rFonts w:asciiTheme="minorHAnsi" w:hAnsiTheme="minorHAnsi"/>
        </w:rPr>
        <w:t>.</w:t>
      </w:r>
    </w:p>
    <w:p w:rsidR="00DD0730" w:rsidRPr="00194E8E" w:rsidRDefault="00DD0730" w:rsidP="00712099">
      <w:pPr>
        <w:pStyle w:val="Nagwek1"/>
        <w:spacing w:before="240" w:after="120"/>
        <w:ind w:left="709" w:hanging="425"/>
        <w:rPr>
          <w:rFonts w:asciiTheme="minorHAnsi" w:hAnsiTheme="minorHAnsi"/>
          <w:lang w:val="pl-PL"/>
        </w:rPr>
      </w:pPr>
      <w:bookmarkStart w:id="17" w:name="_Toc112058310"/>
      <w:r w:rsidRPr="00194E8E">
        <w:rPr>
          <w:rFonts w:asciiTheme="minorHAnsi" w:hAnsiTheme="minorHAnsi"/>
          <w:lang w:val="pl-PL"/>
        </w:rPr>
        <w:t>Informacje statystyczne</w:t>
      </w:r>
      <w:bookmarkEnd w:id="17"/>
    </w:p>
    <w:p w:rsidR="00260C5C" w:rsidRPr="00194E8E" w:rsidRDefault="00260C5C" w:rsidP="00712099">
      <w:pPr>
        <w:keepNext/>
        <w:keepLines/>
        <w:numPr>
          <w:ilvl w:val="0"/>
          <w:numId w:val="10"/>
        </w:numPr>
        <w:spacing w:before="240" w:after="120"/>
        <w:ind w:left="709" w:hanging="425"/>
        <w:outlineLvl w:val="2"/>
        <w:rPr>
          <w:rFonts w:asciiTheme="minorHAnsi" w:eastAsiaTheme="majorEastAsia" w:hAnsiTheme="minorHAnsi" w:cstheme="majorBidi"/>
          <w:b/>
          <w:bCs/>
          <w:color w:val="4F81BD" w:themeColor="accent1"/>
          <w:lang w:eastAsia="en-US"/>
        </w:rPr>
      </w:pPr>
      <w:r w:rsidRPr="00194E8E">
        <w:rPr>
          <w:rFonts w:asciiTheme="minorHAnsi" w:eastAsiaTheme="majorEastAsia" w:hAnsiTheme="minorHAnsi" w:cstheme="majorBidi"/>
          <w:b/>
          <w:bCs/>
          <w:lang w:eastAsia="en-US"/>
        </w:rPr>
        <w:t>Sprawy w toku przed Europejskim Trybunałem Praw Człowieka</w:t>
      </w:r>
    </w:p>
    <w:p w:rsidR="00260C5C" w:rsidRPr="00194E8E" w:rsidRDefault="00260C5C" w:rsidP="00712099">
      <w:pPr>
        <w:numPr>
          <w:ilvl w:val="1"/>
          <w:numId w:val="4"/>
        </w:numPr>
        <w:spacing w:before="240" w:after="120"/>
        <w:ind w:left="709" w:hanging="425"/>
        <w:jc w:val="both"/>
        <w:rPr>
          <w:rFonts w:asciiTheme="minorHAnsi" w:hAnsiTheme="minorHAnsi"/>
          <w:i/>
        </w:rPr>
      </w:pPr>
      <w:r w:rsidRPr="00194E8E">
        <w:rPr>
          <w:rFonts w:asciiTheme="minorHAnsi" w:hAnsiTheme="minorHAnsi"/>
          <w:i/>
        </w:rPr>
        <w:t>Nowe skargi przeciwko Polsce, które wpłynęły do ETPC</w:t>
      </w:r>
    </w:p>
    <w:p w:rsidR="00260C5C" w:rsidRPr="00194E8E" w:rsidRDefault="00260C5C" w:rsidP="00712099">
      <w:pPr>
        <w:spacing w:after="120"/>
        <w:jc w:val="both"/>
        <w:rPr>
          <w:rFonts w:asciiTheme="minorHAnsi" w:hAnsiTheme="minorHAnsi"/>
        </w:rPr>
      </w:pPr>
      <w:r w:rsidRPr="00194E8E">
        <w:rPr>
          <w:rFonts w:asciiTheme="minorHAnsi" w:hAnsiTheme="minorHAnsi"/>
        </w:rPr>
        <w:t xml:space="preserve">W 2021 r. do składów sędziowskich </w:t>
      </w:r>
      <w:r w:rsidR="00BA13ED">
        <w:rPr>
          <w:rFonts w:asciiTheme="minorHAnsi" w:hAnsiTheme="minorHAnsi"/>
        </w:rPr>
        <w:t>ETPC</w:t>
      </w:r>
      <w:r w:rsidRPr="00194E8E">
        <w:rPr>
          <w:rFonts w:asciiTheme="minorHAnsi" w:hAnsiTheme="minorHAnsi"/>
        </w:rPr>
        <w:t xml:space="preserve"> skierowano do rozpoznania </w:t>
      </w:r>
      <w:r w:rsidRPr="00194E8E">
        <w:rPr>
          <w:rFonts w:asciiTheme="minorHAnsi" w:hAnsiTheme="minorHAnsi"/>
          <w:b/>
        </w:rPr>
        <w:t>2889</w:t>
      </w:r>
      <w:r w:rsidRPr="00194E8E">
        <w:rPr>
          <w:rFonts w:asciiTheme="minorHAnsi" w:hAnsiTheme="minorHAnsi"/>
        </w:rPr>
        <w:t xml:space="preserve"> </w:t>
      </w:r>
      <w:r w:rsidRPr="00194E8E">
        <w:rPr>
          <w:rFonts w:asciiTheme="minorHAnsi" w:hAnsiTheme="minorHAnsi"/>
          <w:b/>
        </w:rPr>
        <w:t>nowych skarg</w:t>
      </w:r>
      <w:r w:rsidRPr="00194E8E">
        <w:rPr>
          <w:rFonts w:asciiTheme="minorHAnsi" w:hAnsiTheme="minorHAnsi"/>
        </w:rPr>
        <w:t xml:space="preserve"> </w:t>
      </w:r>
      <w:r w:rsidRPr="00194E8E">
        <w:rPr>
          <w:rFonts w:asciiTheme="minorHAnsi" w:hAnsiTheme="minorHAnsi"/>
          <w:b/>
        </w:rPr>
        <w:t>wniesionych</w:t>
      </w:r>
      <w:r w:rsidRPr="00194E8E">
        <w:rPr>
          <w:rFonts w:asciiTheme="minorHAnsi" w:hAnsiTheme="minorHAnsi"/>
        </w:rPr>
        <w:t xml:space="preserve"> przeciwko Polsce, a więc ok. </w:t>
      </w:r>
      <w:r w:rsidRPr="00194E8E">
        <w:rPr>
          <w:rFonts w:asciiTheme="minorHAnsi" w:hAnsiTheme="minorHAnsi"/>
          <w:b/>
        </w:rPr>
        <w:t>126</w:t>
      </w:r>
      <w:r w:rsidRPr="00194E8E">
        <w:rPr>
          <w:rFonts w:asciiTheme="minorHAnsi" w:hAnsiTheme="minorHAnsi"/>
          <w:b/>
          <w:bCs/>
        </w:rPr>
        <w:t xml:space="preserve">0 więcej </w:t>
      </w:r>
      <w:r w:rsidRPr="00194E8E">
        <w:rPr>
          <w:rFonts w:asciiTheme="minorHAnsi" w:hAnsiTheme="minorHAnsi"/>
        </w:rPr>
        <w:t xml:space="preserve">niż w 2020 r., kiedy sędziom </w:t>
      </w:r>
      <w:r w:rsidR="00BA13ED">
        <w:rPr>
          <w:rFonts w:asciiTheme="minorHAnsi" w:hAnsiTheme="minorHAnsi"/>
        </w:rPr>
        <w:t>ETPC</w:t>
      </w:r>
      <w:r w:rsidRPr="00194E8E">
        <w:rPr>
          <w:rFonts w:asciiTheme="minorHAnsi" w:hAnsiTheme="minorHAnsi"/>
        </w:rPr>
        <w:t xml:space="preserve"> przydzielono </w:t>
      </w:r>
      <w:r w:rsidRPr="00194E8E">
        <w:rPr>
          <w:rFonts w:asciiTheme="minorHAnsi" w:hAnsiTheme="minorHAnsi"/>
          <w:b/>
        </w:rPr>
        <w:t>1628</w:t>
      </w:r>
      <w:r w:rsidRPr="00194E8E">
        <w:rPr>
          <w:rFonts w:asciiTheme="minorHAnsi" w:hAnsiTheme="minorHAnsi"/>
        </w:rPr>
        <w:t xml:space="preserve"> now</w:t>
      </w:r>
      <w:r w:rsidR="005A00BF" w:rsidRPr="00194E8E">
        <w:rPr>
          <w:rFonts w:asciiTheme="minorHAnsi" w:hAnsiTheme="minorHAnsi"/>
        </w:rPr>
        <w:t>ych</w:t>
      </w:r>
      <w:r w:rsidRPr="00194E8E">
        <w:rPr>
          <w:rFonts w:asciiTheme="minorHAnsi" w:hAnsiTheme="minorHAnsi"/>
        </w:rPr>
        <w:t xml:space="preserve"> skarg (dla porównania w 2019 r. wniesiono przeciwko Polsce 1834, a w 2010 r. 5678 skarg). </w:t>
      </w:r>
    </w:p>
    <w:p w:rsidR="00260C5C" w:rsidRPr="00194E8E" w:rsidRDefault="00260C5C" w:rsidP="00712099">
      <w:pPr>
        <w:spacing w:after="120"/>
        <w:jc w:val="both"/>
        <w:rPr>
          <w:rFonts w:asciiTheme="minorHAnsi" w:hAnsiTheme="minorHAnsi"/>
        </w:rPr>
      </w:pPr>
      <w:r w:rsidRPr="00194E8E">
        <w:rPr>
          <w:rFonts w:asciiTheme="minorHAnsi" w:hAnsiTheme="minorHAnsi"/>
        </w:rPr>
        <w:t xml:space="preserve">Liczba napływających z Polski </w:t>
      </w:r>
      <w:r w:rsidRPr="00194E8E">
        <w:rPr>
          <w:rFonts w:asciiTheme="minorHAnsi" w:hAnsiTheme="minorHAnsi"/>
          <w:b/>
        </w:rPr>
        <w:t>nowych</w:t>
      </w:r>
      <w:r w:rsidRPr="00194E8E">
        <w:rPr>
          <w:rFonts w:asciiTheme="minorHAnsi" w:hAnsiTheme="minorHAnsi"/>
        </w:rPr>
        <w:t xml:space="preserve"> </w:t>
      </w:r>
      <w:r w:rsidRPr="00194E8E">
        <w:rPr>
          <w:rFonts w:asciiTheme="minorHAnsi" w:hAnsiTheme="minorHAnsi"/>
          <w:b/>
          <w:bCs/>
        </w:rPr>
        <w:t xml:space="preserve">skarg w stosunku do liczby mieszkańców </w:t>
      </w:r>
      <w:r w:rsidRPr="00194E8E">
        <w:rPr>
          <w:rFonts w:asciiTheme="minorHAnsi" w:hAnsiTheme="minorHAnsi"/>
        </w:rPr>
        <w:t xml:space="preserve">w 2021 r. wzrosła i po raz pierwszy od wielu lat była </w:t>
      </w:r>
      <w:r w:rsidRPr="00194E8E">
        <w:rPr>
          <w:rFonts w:asciiTheme="minorHAnsi" w:hAnsiTheme="minorHAnsi"/>
          <w:b/>
          <w:bCs/>
        </w:rPr>
        <w:t>powyżej średniej europejskie</w:t>
      </w:r>
      <w:r w:rsidRPr="00194E8E">
        <w:rPr>
          <w:rFonts w:asciiTheme="minorHAnsi" w:hAnsiTheme="minorHAnsi"/>
        </w:rPr>
        <w:t xml:space="preserve">j. Stosowany przez </w:t>
      </w:r>
      <w:r w:rsidR="00BA13ED">
        <w:rPr>
          <w:rFonts w:asciiTheme="minorHAnsi" w:hAnsiTheme="minorHAnsi"/>
        </w:rPr>
        <w:t>ETPC</w:t>
      </w:r>
      <w:r w:rsidRPr="00194E8E">
        <w:rPr>
          <w:rFonts w:asciiTheme="minorHAnsi" w:hAnsiTheme="minorHAnsi"/>
        </w:rPr>
        <w:t xml:space="preserve"> wskaźnik liczby skarg w stosunku do ludności wzrósł wobec naszego kraju do 0,76 (w 2020 r. - 0,43, w 2019 r. – 0,48, a w 2010 r. – 1,51), przy czym średnia europejska wyniosła 0,53. Polska awansowała na</w:t>
      </w:r>
      <w:r w:rsidRPr="00194E8E">
        <w:rPr>
          <w:rFonts w:asciiTheme="minorHAnsi" w:hAnsiTheme="minorHAnsi"/>
          <w:b/>
          <w:bCs/>
        </w:rPr>
        <w:t xml:space="preserve"> 23 miejsce </w:t>
      </w:r>
      <w:r w:rsidRPr="00194E8E">
        <w:rPr>
          <w:rFonts w:asciiTheme="minorHAnsi" w:hAnsiTheme="minorHAnsi"/>
        </w:rPr>
        <w:t>wśród 47 państw Rady Europy pod względem liczby nowych skarg w stosunku do liczby ludności.</w:t>
      </w:r>
    </w:p>
    <w:p w:rsidR="00260C5C" w:rsidRPr="00194E8E" w:rsidRDefault="00260C5C" w:rsidP="00712099">
      <w:pPr>
        <w:numPr>
          <w:ilvl w:val="1"/>
          <w:numId w:val="4"/>
        </w:numPr>
        <w:spacing w:before="240" w:after="120"/>
        <w:ind w:left="709" w:hanging="425"/>
        <w:jc w:val="both"/>
        <w:rPr>
          <w:rFonts w:asciiTheme="minorHAnsi" w:hAnsiTheme="minorHAnsi"/>
          <w:i/>
        </w:rPr>
      </w:pPr>
      <w:r w:rsidRPr="00194E8E">
        <w:rPr>
          <w:rFonts w:asciiTheme="minorHAnsi" w:hAnsiTheme="minorHAnsi"/>
          <w:i/>
        </w:rPr>
        <w:t>Skargi przeciwko Polsce zawisłe przed ETPC</w:t>
      </w:r>
    </w:p>
    <w:p w:rsidR="00260C5C" w:rsidRPr="00194E8E" w:rsidRDefault="00260C5C" w:rsidP="00712099">
      <w:pPr>
        <w:spacing w:after="120"/>
        <w:jc w:val="both"/>
        <w:rPr>
          <w:rFonts w:asciiTheme="minorHAnsi" w:hAnsiTheme="minorHAnsi"/>
        </w:rPr>
      </w:pPr>
      <w:r w:rsidRPr="00194E8E">
        <w:rPr>
          <w:rFonts w:asciiTheme="minorHAnsi" w:hAnsiTheme="minorHAnsi"/>
        </w:rPr>
        <w:t xml:space="preserve">Doszło do wzrostu statystyk pod względem ogólnej </w:t>
      </w:r>
      <w:r w:rsidRPr="00194E8E">
        <w:rPr>
          <w:rFonts w:asciiTheme="minorHAnsi" w:eastAsiaTheme="minorHAnsi" w:hAnsiTheme="minorHAnsi" w:cstheme="minorBidi"/>
          <w:lang w:eastAsia="en-US"/>
        </w:rPr>
        <w:t>liczby skarg</w:t>
      </w:r>
      <w:r w:rsidRPr="00A85C8D">
        <w:rPr>
          <w:rFonts w:asciiTheme="minorHAnsi" w:hAnsiTheme="minorHAnsi"/>
          <w:bCs/>
        </w:rPr>
        <w:t xml:space="preserve"> </w:t>
      </w:r>
      <w:r w:rsidRPr="00194E8E">
        <w:rPr>
          <w:rFonts w:asciiTheme="minorHAnsi" w:eastAsiaTheme="minorHAnsi" w:hAnsiTheme="minorHAnsi" w:cstheme="minorBidi"/>
          <w:lang w:eastAsia="en-US"/>
        </w:rPr>
        <w:t>zawisłych</w:t>
      </w:r>
      <w:r w:rsidRPr="00194E8E">
        <w:rPr>
          <w:rFonts w:asciiTheme="minorHAnsi" w:hAnsiTheme="minorHAnsi"/>
        </w:rPr>
        <w:t xml:space="preserve"> przed </w:t>
      </w:r>
      <w:r w:rsidR="00BA13ED">
        <w:rPr>
          <w:rFonts w:asciiTheme="minorHAnsi" w:hAnsiTheme="minorHAnsi"/>
        </w:rPr>
        <w:t>ETPC</w:t>
      </w:r>
      <w:r w:rsidRPr="00194E8E">
        <w:rPr>
          <w:rFonts w:asciiTheme="minorHAnsi" w:hAnsiTheme="minorHAnsi"/>
        </w:rPr>
        <w:t xml:space="preserve">: na koniec 2021 r. </w:t>
      </w:r>
      <w:r w:rsidRPr="00194E8E">
        <w:rPr>
          <w:rFonts w:asciiTheme="minorHAnsi" w:hAnsiTheme="minorHAnsi"/>
          <w:b/>
        </w:rPr>
        <w:t>zawisłych</w:t>
      </w:r>
      <w:r w:rsidRPr="00194E8E">
        <w:rPr>
          <w:rFonts w:asciiTheme="minorHAnsi" w:hAnsiTheme="minorHAnsi"/>
        </w:rPr>
        <w:t xml:space="preserve"> przeciwko Polsce było </w:t>
      </w:r>
      <w:r w:rsidRPr="00194E8E">
        <w:rPr>
          <w:rFonts w:asciiTheme="minorHAnsi" w:hAnsiTheme="minorHAnsi"/>
          <w:b/>
        </w:rPr>
        <w:t>2250</w:t>
      </w:r>
      <w:r w:rsidRPr="00194E8E">
        <w:rPr>
          <w:rFonts w:asciiTheme="minorHAnsi" w:hAnsiTheme="minorHAnsi"/>
        </w:rPr>
        <w:t xml:space="preserve"> skarg (o 1100 więcej niż w 2020 r., kiedy ich liczba wynosiła 1150), a skargi przeciwko Polsce stanowiły </w:t>
      </w:r>
      <w:r w:rsidRPr="00194E8E">
        <w:rPr>
          <w:rFonts w:asciiTheme="minorHAnsi" w:hAnsiTheme="minorHAnsi"/>
          <w:b/>
        </w:rPr>
        <w:t>3,2</w:t>
      </w:r>
      <w:r w:rsidRPr="00194E8E">
        <w:rPr>
          <w:rFonts w:asciiTheme="minorHAnsi" w:hAnsiTheme="minorHAnsi"/>
        </w:rPr>
        <w:t xml:space="preserve"> </w:t>
      </w:r>
      <w:r w:rsidRPr="00194E8E">
        <w:rPr>
          <w:rFonts w:asciiTheme="minorHAnsi" w:hAnsiTheme="minorHAnsi"/>
          <w:b/>
        </w:rPr>
        <w:t>%</w:t>
      </w:r>
      <w:r w:rsidRPr="00194E8E">
        <w:rPr>
          <w:rFonts w:asciiTheme="minorHAnsi" w:hAnsiTheme="minorHAnsi"/>
        </w:rPr>
        <w:t xml:space="preserve"> wszystkich spraw zawisłych przed ETPC. W rezultacie Polska awansowała na </w:t>
      </w:r>
      <w:r w:rsidRPr="00194E8E">
        <w:rPr>
          <w:rFonts w:asciiTheme="minorHAnsi" w:hAnsiTheme="minorHAnsi"/>
          <w:b/>
        </w:rPr>
        <w:t>6 miejsce</w:t>
      </w:r>
      <w:r w:rsidRPr="00194E8E">
        <w:rPr>
          <w:rFonts w:asciiTheme="minorHAnsi" w:hAnsiTheme="minorHAnsi"/>
        </w:rPr>
        <w:t xml:space="preserve"> w Radzie Europy pod wzg</w:t>
      </w:r>
      <w:r w:rsidR="00A85C8D">
        <w:rPr>
          <w:rFonts w:asciiTheme="minorHAnsi" w:hAnsiTheme="minorHAnsi"/>
        </w:rPr>
        <w:t xml:space="preserve">lędem liczby zawisłych skarg (w </w:t>
      </w:r>
      <w:r w:rsidRPr="00194E8E">
        <w:rPr>
          <w:rFonts w:asciiTheme="minorHAnsi" w:hAnsiTheme="minorHAnsi"/>
        </w:rPr>
        <w:t xml:space="preserve">2020 r. była na 9 miejscu, w 2019 r. – na 10 miejscu, a w 2013 r. – na 12 miejscu), mając </w:t>
      </w:r>
      <w:r w:rsidRPr="00194E8E">
        <w:rPr>
          <w:rFonts w:asciiTheme="minorHAnsi" w:eastAsiaTheme="minorHAnsi" w:hAnsiTheme="minorHAnsi" w:cstheme="minorBidi"/>
          <w:lang w:eastAsia="en-US"/>
        </w:rPr>
        <w:t>o ok. 1400 skarg mniej niż Włochy, któr</w:t>
      </w:r>
      <w:r w:rsidR="00D84761" w:rsidRPr="00194E8E">
        <w:rPr>
          <w:rFonts w:asciiTheme="minorHAnsi" w:eastAsiaTheme="minorHAnsi" w:hAnsiTheme="minorHAnsi" w:cstheme="minorBidi"/>
          <w:lang w:eastAsia="en-US"/>
        </w:rPr>
        <w:t>e</w:t>
      </w:r>
      <w:r w:rsidRPr="00194E8E">
        <w:rPr>
          <w:rFonts w:asciiTheme="minorHAnsi" w:eastAsiaTheme="minorHAnsi" w:hAnsiTheme="minorHAnsi" w:cstheme="minorBidi"/>
          <w:lang w:eastAsia="en-US"/>
        </w:rPr>
        <w:t xml:space="preserve"> znalazły się na 5 pozycji, a o ok. 150 więcej niż Azerbejdżan, który był na 7 miejscu</w:t>
      </w:r>
      <w:r w:rsidRPr="00194E8E">
        <w:rPr>
          <w:rFonts w:asciiTheme="minorHAnsi" w:hAnsiTheme="minorHAnsi"/>
        </w:rPr>
        <w:t>.</w:t>
      </w:r>
    </w:p>
    <w:p w:rsidR="00260C5C" w:rsidRPr="00194E8E" w:rsidRDefault="00260C5C" w:rsidP="00712099">
      <w:pPr>
        <w:spacing w:after="120"/>
        <w:jc w:val="both"/>
        <w:rPr>
          <w:rFonts w:asciiTheme="minorHAnsi" w:hAnsiTheme="minorHAnsi"/>
          <w:color w:val="000000"/>
        </w:rPr>
      </w:pPr>
      <w:r w:rsidRPr="00194E8E">
        <w:rPr>
          <w:rFonts w:asciiTheme="minorHAnsi" w:hAnsiTheme="minorHAnsi"/>
        </w:rPr>
        <w:t xml:space="preserve">Najwięcej skarg zawisłych przed ETPC na koniec 2021 r. było przeciwko </w:t>
      </w:r>
      <w:r w:rsidR="00A85C8D">
        <w:rPr>
          <w:rFonts w:asciiTheme="minorHAnsi" w:hAnsiTheme="minorHAnsi"/>
          <w:color w:val="000000"/>
        </w:rPr>
        <w:t>Rosji (17 000 -</w:t>
      </w:r>
      <w:r w:rsidRPr="00194E8E">
        <w:rPr>
          <w:rFonts w:asciiTheme="minorHAnsi" w:hAnsiTheme="minorHAnsi"/>
          <w:color w:val="000000"/>
        </w:rPr>
        <w:t xml:space="preserve"> 24,2%, wzrost o 3350 zawisłych skarg). </w:t>
      </w:r>
      <w:r w:rsidRPr="00194E8E">
        <w:rPr>
          <w:rFonts w:asciiTheme="minorHAnsi" w:hAnsiTheme="minorHAnsi"/>
        </w:rPr>
        <w:t xml:space="preserve">Polskę wyprzedziły także </w:t>
      </w:r>
      <w:r w:rsidRPr="00194E8E">
        <w:rPr>
          <w:rFonts w:asciiTheme="minorHAnsi" w:hAnsiTheme="minorHAnsi"/>
          <w:color w:val="000000"/>
        </w:rPr>
        <w:t>Turcja (15</w:t>
      </w:r>
      <w:r w:rsidR="00A85C8D">
        <w:rPr>
          <w:rFonts w:asciiTheme="minorHAnsi" w:hAnsiTheme="minorHAnsi"/>
          <w:color w:val="000000"/>
        </w:rPr>
        <w:t> </w:t>
      </w:r>
      <w:r w:rsidRPr="00194E8E">
        <w:rPr>
          <w:rFonts w:asciiTheme="minorHAnsi" w:hAnsiTheme="minorHAnsi"/>
          <w:color w:val="000000"/>
        </w:rPr>
        <w:t>250</w:t>
      </w:r>
      <w:r w:rsidR="00A85C8D">
        <w:rPr>
          <w:rFonts w:asciiTheme="minorHAnsi" w:hAnsiTheme="minorHAnsi"/>
          <w:color w:val="000000"/>
        </w:rPr>
        <w:t xml:space="preserve"> -</w:t>
      </w:r>
      <w:r w:rsidRPr="00194E8E">
        <w:rPr>
          <w:rFonts w:asciiTheme="minorHAnsi" w:hAnsiTheme="minorHAnsi"/>
          <w:color w:val="000000"/>
        </w:rPr>
        <w:t xml:space="preserve"> 21,7%, wzrost o 3500 skarg), Ukraina (11</w:t>
      </w:r>
      <w:r w:rsidR="00A85C8D">
        <w:rPr>
          <w:rFonts w:asciiTheme="minorHAnsi" w:hAnsiTheme="minorHAnsi"/>
          <w:color w:val="000000"/>
        </w:rPr>
        <w:t> </w:t>
      </w:r>
      <w:r w:rsidRPr="00194E8E">
        <w:rPr>
          <w:rFonts w:asciiTheme="minorHAnsi" w:hAnsiTheme="minorHAnsi"/>
          <w:color w:val="000000"/>
        </w:rPr>
        <w:t>350</w:t>
      </w:r>
      <w:r w:rsidR="00A85C8D">
        <w:rPr>
          <w:rFonts w:asciiTheme="minorHAnsi" w:hAnsiTheme="minorHAnsi"/>
          <w:color w:val="000000"/>
        </w:rPr>
        <w:t xml:space="preserve"> -</w:t>
      </w:r>
      <w:r w:rsidRPr="00194E8E">
        <w:rPr>
          <w:rFonts w:asciiTheme="minorHAnsi" w:hAnsiTheme="minorHAnsi"/>
          <w:color w:val="000000"/>
        </w:rPr>
        <w:t xml:space="preserve"> 16,2%, wzrost o 950 skarg), Rumunia (5700</w:t>
      </w:r>
      <w:r w:rsidR="00A85C8D">
        <w:rPr>
          <w:rFonts w:asciiTheme="minorHAnsi" w:hAnsiTheme="minorHAnsi"/>
          <w:color w:val="000000"/>
        </w:rPr>
        <w:t xml:space="preserve"> -</w:t>
      </w:r>
      <w:r w:rsidRPr="00194E8E">
        <w:rPr>
          <w:rFonts w:asciiTheme="minorHAnsi" w:hAnsiTheme="minorHAnsi"/>
          <w:color w:val="000000"/>
        </w:rPr>
        <w:t xml:space="preserve"> 8,1%, spadek o 1850 skarg) i Włochy (3650</w:t>
      </w:r>
      <w:r w:rsidR="00A85C8D">
        <w:rPr>
          <w:rFonts w:asciiTheme="minorHAnsi" w:hAnsiTheme="minorHAnsi"/>
          <w:color w:val="000000"/>
        </w:rPr>
        <w:t xml:space="preserve"> -</w:t>
      </w:r>
      <w:r w:rsidRPr="00194E8E">
        <w:rPr>
          <w:rFonts w:asciiTheme="minorHAnsi" w:hAnsiTheme="minorHAnsi"/>
          <w:color w:val="000000"/>
        </w:rPr>
        <w:t xml:space="preserve"> 5,2%). W pierwszej dziesiątce państw mniej niż Polska skarg zawisłych przed ETPC miały: Azerbejdżan (2100</w:t>
      </w:r>
      <w:r w:rsidR="00A85C8D">
        <w:rPr>
          <w:rFonts w:asciiTheme="minorHAnsi" w:hAnsiTheme="minorHAnsi"/>
          <w:color w:val="000000"/>
        </w:rPr>
        <w:t xml:space="preserve"> -</w:t>
      </w:r>
      <w:r w:rsidRPr="00194E8E">
        <w:rPr>
          <w:rFonts w:asciiTheme="minorHAnsi" w:hAnsiTheme="minorHAnsi"/>
          <w:color w:val="000000"/>
        </w:rPr>
        <w:t xml:space="preserve"> 3%), Serbia (1800</w:t>
      </w:r>
      <w:r w:rsidR="00A85C8D">
        <w:rPr>
          <w:rFonts w:asciiTheme="minorHAnsi" w:hAnsiTheme="minorHAnsi"/>
          <w:color w:val="000000"/>
        </w:rPr>
        <w:t xml:space="preserve"> -</w:t>
      </w:r>
      <w:r w:rsidRPr="00194E8E">
        <w:rPr>
          <w:rFonts w:asciiTheme="minorHAnsi" w:hAnsiTheme="minorHAnsi"/>
          <w:color w:val="000000"/>
        </w:rPr>
        <w:t xml:space="preserve"> 2,6%), Grecja (1400</w:t>
      </w:r>
      <w:r w:rsidR="00A85C8D">
        <w:rPr>
          <w:rFonts w:asciiTheme="minorHAnsi" w:hAnsiTheme="minorHAnsi"/>
          <w:color w:val="000000"/>
        </w:rPr>
        <w:t xml:space="preserve"> -</w:t>
      </w:r>
      <w:r w:rsidRPr="00194E8E">
        <w:rPr>
          <w:rFonts w:asciiTheme="minorHAnsi" w:hAnsiTheme="minorHAnsi"/>
          <w:color w:val="000000"/>
        </w:rPr>
        <w:t xml:space="preserve"> 2%, wzrost o ok. 370 skarg) i Armenia (1350</w:t>
      </w:r>
      <w:r w:rsidR="00A85C8D">
        <w:rPr>
          <w:rFonts w:asciiTheme="minorHAnsi" w:hAnsiTheme="minorHAnsi"/>
          <w:color w:val="000000"/>
        </w:rPr>
        <w:t xml:space="preserve"> -</w:t>
      </w:r>
      <w:r w:rsidRPr="00194E8E">
        <w:rPr>
          <w:rFonts w:asciiTheme="minorHAnsi" w:hAnsiTheme="minorHAnsi"/>
          <w:color w:val="000000"/>
        </w:rPr>
        <w:t xml:space="preserve"> 1,9%).</w:t>
      </w:r>
    </w:p>
    <w:p w:rsidR="00260C5C" w:rsidRPr="00194E8E" w:rsidRDefault="004D4FD2" w:rsidP="00712099">
      <w:pPr>
        <w:numPr>
          <w:ilvl w:val="1"/>
          <w:numId w:val="4"/>
        </w:numPr>
        <w:spacing w:before="240" w:after="120"/>
        <w:ind w:left="709" w:hanging="425"/>
        <w:jc w:val="both"/>
        <w:rPr>
          <w:rFonts w:asciiTheme="minorHAnsi" w:hAnsiTheme="minorHAnsi"/>
          <w:i/>
        </w:rPr>
      </w:pPr>
      <w:r w:rsidRPr="00194E8E">
        <w:rPr>
          <w:rFonts w:asciiTheme="minorHAnsi" w:hAnsiTheme="minorHAnsi"/>
          <w:i/>
        </w:rPr>
        <w:t>Nowe skargi zakomunikowane R</w:t>
      </w:r>
      <w:r w:rsidR="00260C5C" w:rsidRPr="00194E8E">
        <w:rPr>
          <w:rFonts w:asciiTheme="minorHAnsi" w:hAnsiTheme="minorHAnsi"/>
          <w:i/>
        </w:rPr>
        <w:t>ządowi celem zajęcia stanowiska</w:t>
      </w:r>
    </w:p>
    <w:p w:rsidR="00260C5C" w:rsidRPr="00194E8E" w:rsidRDefault="00260C5C" w:rsidP="00712099">
      <w:pPr>
        <w:spacing w:after="120"/>
        <w:jc w:val="both"/>
        <w:rPr>
          <w:rFonts w:asciiTheme="minorHAnsi" w:hAnsiTheme="minorHAnsi"/>
        </w:rPr>
      </w:pPr>
      <w:r w:rsidRPr="00194E8E">
        <w:rPr>
          <w:rFonts w:asciiTheme="minorHAnsi" w:hAnsiTheme="minorHAnsi"/>
        </w:rPr>
        <w:t xml:space="preserve">W </w:t>
      </w:r>
      <w:r w:rsidR="004D4FD2" w:rsidRPr="00194E8E">
        <w:rPr>
          <w:rFonts w:asciiTheme="minorHAnsi" w:hAnsiTheme="minorHAnsi"/>
        </w:rPr>
        <w:t xml:space="preserve">2021 r. </w:t>
      </w:r>
      <w:r w:rsidR="00A85C8D">
        <w:rPr>
          <w:rFonts w:asciiTheme="minorHAnsi" w:hAnsiTheme="minorHAnsi"/>
        </w:rPr>
        <w:t>ETPC</w:t>
      </w:r>
      <w:r w:rsidR="004D4FD2" w:rsidRPr="00194E8E">
        <w:rPr>
          <w:rFonts w:asciiTheme="minorHAnsi" w:hAnsiTheme="minorHAnsi"/>
        </w:rPr>
        <w:t xml:space="preserve"> zakomunikował R</w:t>
      </w:r>
      <w:r w:rsidRPr="00194E8E">
        <w:rPr>
          <w:rFonts w:asciiTheme="minorHAnsi" w:hAnsiTheme="minorHAnsi"/>
        </w:rPr>
        <w:t xml:space="preserve">ządowi </w:t>
      </w:r>
      <w:r w:rsidRPr="00194E8E">
        <w:rPr>
          <w:rFonts w:asciiTheme="minorHAnsi" w:hAnsiTheme="minorHAnsi"/>
          <w:b/>
        </w:rPr>
        <w:t>277 nowych skarg</w:t>
      </w:r>
      <w:r w:rsidRPr="00194E8E">
        <w:rPr>
          <w:rFonts w:asciiTheme="minorHAnsi" w:hAnsiTheme="minorHAnsi"/>
        </w:rPr>
        <w:t xml:space="preserve"> (dla porównania w </w:t>
      </w:r>
      <w:r w:rsidR="00A85C8D" w:rsidRPr="00194E8E">
        <w:rPr>
          <w:rFonts w:asciiTheme="minorHAnsi" w:hAnsiTheme="minorHAnsi"/>
        </w:rPr>
        <w:t>2020 r.</w:t>
      </w:r>
      <w:r w:rsidR="00A85C8D">
        <w:rPr>
          <w:rFonts w:asciiTheme="minorHAnsi" w:hAnsiTheme="minorHAnsi"/>
        </w:rPr>
        <w:t xml:space="preserve"> </w:t>
      </w:r>
      <w:r w:rsidR="00A85C8D" w:rsidRPr="00194E8E">
        <w:rPr>
          <w:rFonts w:asciiTheme="minorHAnsi" w:hAnsiTheme="minorHAnsi"/>
        </w:rPr>
        <w:t>Rząd otrzymał 126 nowych skarg</w:t>
      </w:r>
      <w:r w:rsidR="00A85C8D">
        <w:rPr>
          <w:rFonts w:asciiTheme="minorHAnsi" w:hAnsiTheme="minorHAnsi"/>
        </w:rPr>
        <w:t>, w</w:t>
      </w:r>
      <w:r w:rsidR="00A85C8D" w:rsidRPr="00194E8E">
        <w:rPr>
          <w:rFonts w:asciiTheme="minorHAnsi" w:hAnsiTheme="minorHAnsi"/>
        </w:rPr>
        <w:t xml:space="preserve"> </w:t>
      </w:r>
      <w:r w:rsidRPr="00194E8E">
        <w:rPr>
          <w:rFonts w:asciiTheme="minorHAnsi" w:hAnsiTheme="minorHAnsi"/>
        </w:rPr>
        <w:t>2019 r. nowych komunikacji było 251,</w:t>
      </w:r>
      <w:r w:rsidRPr="00A85C8D">
        <w:rPr>
          <w:rFonts w:asciiTheme="minorHAnsi" w:hAnsiTheme="minorHAnsi"/>
        </w:rPr>
        <w:t xml:space="preserve"> </w:t>
      </w:r>
      <w:r w:rsidRPr="00194E8E">
        <w:rPr>
          <w:rFonts w:asciiTheme="minorHAnsi" w:hAnsiTheme="minorHAnsi"/>
        </w:rPr>
        <w:t xml:space="preserve">w 2017 r. - 396, a w 2015 r. – 761). Sprawy zakomunikowane Polsce stanowiły ok. 2,6% wszystkich skarg przesłanych przez </w:t>
      </w:r>
      <w:r w:rsidR="00A85C8D">
        <w:rPr>
          <w:rFonts w:asciiTheme="minorHAnsi" w:hAnsiTheme="minorHAnsi"/>
        </w:rPr>
        <w:t>ETPC</w:t>
      </w:r>
      <w:r w:rsidRPr="00194E8E">
        <w:rPr>
          <w:rFonts w:asciiTheme="minorHAnsi" w:hAnsiTheme="minorHAnsi"/>
        </w:rPr>
        <w:t xml:space="preserve"> państwom-stronom Europejskiej Konwencji Praw Człowieka celem zajęcia stanowiska (10 630). </w:t>
      </w:r>
    </w:p>
    <w:p w:rsidR="00260C5C" w:rsidRPr="00194E8E" w:rsidRDefault="00260C5C" w:rsidP="00712099">
      <w:pPr>
        <w:spacing w:after="120"/>
        <w:jc w:val="both"/>
        <w:rPr>
          <w:rFonts w:asciiTheme="minorHAnsi" w:hAnsiTheme="minorHAnsi"/>
        </w:rPr>
      </w:pPr>
      <w:r w:rsidRPr="00194E8E">
        <w:rPr>
          <w:rFonts w:asciiTheme="minorHAnsi" w:hAnsiTheme="minorHAnsi"/>
        </w:rPr>
        <w:lastRenderedPageBreak/>
        <w:t xml:space="preserve">Dodatkowo </w:t>
      </w:r>
      <w:r w:rsidR="00FF11C1" w:rsidRPr="00194E8E">
        <w:rPr>
          <w:rFonts w:asciiTheme="minorHAnsi" w:hAnsiTheme="minorHAnsi"/>
        </w:rPr>
        <w:t xml:space="preserve">w </w:t>
      </w:r>
      <w:r w:rsidR="00FF11C1" w:rsidRPr="00194E8E">
        <w:rPr>
          <w:rFonts w:asciiTheme="minorHAnsi" w:hAnsiTheme="minorHAnsi"/>
          <w:b/>
        </w:rPr>
        <w:t>51</w:t>
      </w:r>
      <w:r w:rsidR="00FF11C1" w:rsidRPr="00194E8E">
        <w:rPr>
          <w:rFonts w:asciiTheme="minorHAnsi" w:hAnsiTheme="minorHAnsi"/>
        </w:rPr>
        <w:t xml:space="preserve"> sprawach </w:t>
      </w:r>
      <w:r w:rsidR="00A85C8D">
        <w:rPr>
          <w:rFonts w:asciiTheme="minorHAnsi" w:hAnsiTheme="minorHAnsi"/>
        </w:rPr>
        <w:t xml:space="preserve">ETPC </w:t>
      </w:r>
      <w:r w:rsidRPr="00194E8E">
        <w:rPr>
          <w:rFonts w:asciiTheme="minorHAnsi" w:hAnsiTheme="minorHAnsi"/>
        </w:rPr>
        <w:t>wyda</w:t>
      </w:r>
      <w:r w:rsidR="004968F1" w:rsidRPr="00194E8E">
        <w:rPr>
          <w:rFonts w:asciiTheme="minorHAnsi" w:hAnsiTheme="minorHAnsi"/>
        </w:rPr>
        <w:t>ł</w:t>
      </w:r>
      <w:r w:rsidRPr="00194E8E">
        <w:rPr>
          <w:rFonts w:asciiTheme="minorHAnsi" w:hAnsiTheme="minorHAnsi"/>
        </w:rPr>
        <w:t xml:space="preserve"> </w:t>
      </w:r>
      <w:r w:rsidR="004968F1" w:rsidRPr="00194E8E">
        <w:rPr>
          <w:rFonts w:asciiTheme="minorHAnsi" w:hAnsiTheme="minorHAnsi"/>
          <w:b/>
        </w:rPr>
        <w:t>zarządzenia tymczasowe</w:t>
      </w:r>
      <w:r w:rsidR="004968F1" w:rsidRPr="00194E8E">
        <w:rPr>
          <w:rFonts w:asciiTheme="minorHAnsi" w:hAnsiTheme="minorHAnsi"/>
        </w:rPr>
        <w:t xml:space="preserve"> </w:t>
      </w:r>
      <w:r w:rsidR="00FF11C1" w:rsidRPr="00194E8E">
        <w:rPr>
          <w:rFonts w:asciiTheme="minorHAnsi" w:hAnsiTheme="minorHAnsi"/>
        </w:rPr>
        <w:t>(</w:t>
      </w:r>
      <w:r w:rsidR="00FF11C1" w:rsidRPr="00194E8E">
        <w:rPr>
          <w:rFonts w:asciiTheme="minorHAnsi" w:hAnsiTheme="minorHAnsi"/>
          <w:i/>
        </w:rPr>
        <w:t>interim measures</w:t>
      </w:r>
      <w:r w:rsidR="00FF11C1" w:rsidRPr="00194E8E">
        <w:rPr>
          <w:rFonts w:asciiTheme="minorHAnsi" w:hAnsiTheme="minorHAnsi"/>
        </w:rPr>
        <w:t xml:space="preserve">) </w:t>
      </w:r>
      <w:r w:rsidR="004968F1" w:rsidRPr="00194E8E">
        <w:rPr>
          <w:rFonts w:asciiTheme="minorHAnsi" w:eastAsiaTheme="minorHAnsi" w:hAnsiTheme="minorHAnsi" w:cstheme="minorBidi"/>
          <w:lang w:eastAsia="en-US"/>
        </w:rPr>
        <w:t>dotyczące</w:t>
      </w:r>
      <w:r w:rsidRPr="00194E8E">
        <w:rPr>
          <w:rFonts w:asciiTheme="minorHAnsi" w:eastAsiaTheme="minorHAnsi" w:hAnsiTheme="minorHAnsi" w:cstheme="minorBidi"/>
          <w:lang w:eastAsia="en-US"/>
        </w:rPr>
        <w:t xml:space="preserve"> w sumie 173 osób (61 obywateli Syrii, 46 obywateli Iraku, 38 obywateli Afganistanu, 9 obywateli Demokratycznej Republiki Konga, po 4 obywateli Jemenu i Etiopii, po 2 obywateli Kuby i Turcji</w:t>
      </w:r>
      <w:r w:rsidR="00A85C8D">
        <w:rPr>
          <w:rFonts w:asciiTheme="minorHAnsi" w:eastAsiaTheme="minorHAnsi" w:hAnsiTheme="minorHAnsi" w:cstheme="minorBidi"/>
          <w:lang w:eastAsia="en-US"/>
        </w:rPr>
        <w:t>,</w:t>
      </w:r>
      <w:r w:rsidRPr="00194E8E">
        <w:rPr>
          <w:rFonts w:asciiTheme="minorHAnsi" w:eastAsiaTheme="minorHAnsi" w:hAnsiTheme="minorHAnsi" w:cstheme="minorBidi"/>
          <w:lang w:eastAsia="en-US"/>
        </w:rPr>
        <w:t xml:space="preserve"> po 1 obywatelu Kamerunu, Nigerii i Republiki Wybrzeża Kości Słoniowej). Zarządzenia te zostały wydane na </w:t>
      </w:r>
      <w:r w:rsidRPr="00194E8E">
        <w:rPr>
          <w:rFonts w:asciiTheme="minorHAnsi" w:hAnsiTheme="minorHAnsi"/>
        </w:rPr>
        <w:t xml:space="preserve">podstawie </w:t>
      </w:r>
      <w:r w:rsidR="00A85C8D">
        <w:rPr>
          <w:rFonts w:asciiTheme="minorHAnsi" w:hAnsiTheme="minorHAnsi"/>
        </w:rPr>
        <w:t>art.</w:t>
      </w:r>
      <w:r w:rsidRPr="00194E8E">
        <w:rPr>
          <w:rFonts w:asciiTheme="minorHAnsi" w:hAnsiTheme="minorHAnsi"/>
        </w:rPr>
        <w:t xml:space="preserve"> 39 Regulaminu </w:t>
      </w:r>
      <w:r w:rsidR="00BA13ED">
        <w:rPr>
          <w:rFonts w:asciiTheme="minorHAnsi" w:hAnsiTheme="minorHAnsi"/>
        </w:rPr>
        <w:t>ETPC</w:t>
      </w:r>
      <w:r w:rsidRPr="00194E8E">
        <w:rPr>
          <w:rFonts w:asciiTheme="minorHAnsi" w:hAnsiTheme="minorHAnsi"/>
        </w:rPr>
        <w:t xml:space="preserve"> na etapie rozpoznawania sprawy i najczęściej dotyczyły wstrzymania wydaleń na Białoruś, ewentualnie zapewnienia pomocy humanitarnej lub medycznej oraz dostępu do pomocy prawnej dla osób przekraczających lub usiłujących przekroczyć granicę polsko-białoruską. </w:t>
      </w:r>
    </w:p>
    <w:p w:rsidR="00260C5C" w:rsidRPr="00194E8E" w:rsidRDefault="00260C5C" w:rsidP="00712099">
      <w:pPr>
        <w:numPr>
          <w:ilvl w:val="1"/>
          <w:numId w:val="4"/>
        </w:numPr>
        <w:spacing w:before="240" w:after="120"/>
        <w:ind w:left="709" w:hanging="425"/>
        <w:jc w:val="both"/>
        <w:rPr>
          <w:rFonts w:asciiTheme="minorHAnsi" w:hAnsiTheme="minorHAnsi"/>
          <w:i/>
        </w:rPr>
      </w:pPr>
      <w:r w:rsidRPr="00194E8E">
        <w:rPr>
          <w:rFonts w:asciiTheme="minorHAnsi" w:hAnsiTheme="minorHAnsi"/>
          <w:i/>
        </w:rPr>
        <w:t xml:space="preserve">Przedmiot skarg zakomunikowanych w 2021 r. </w:t>
      </w:r>
    </w:p>
    <w:p w:rsidR="00260C5C" w:rsidRPr="004070B0" w:rsidRDefault="00260C5C" w:rsidP="004070B0">
      <w:pPr>
        <w:spacing w:after="120"/>
        <w:jc w:val="both"/>
        <w:rPr>
          <w:rFonts w:asciiTheme="minorHAnsi" w:hAnsiTheme="minorHAnsi"/>
        </w:rPr>
      </w:pPr>
      <w:r w:rsidRPr="004070B0">
        <w:rPr>
          <w:rFonts w:asciiTheme="minorHAnsi" w:hAnsiTheme="minorHAnsi"/>
        </w:rPr>
        <w:t xml:space="preserve">W 2021 r. </w:t>
      </w:r>
      <w:r w:rsidR="00A85C8D" w:rsidRPr="004070B0">
        <w:rPr>
          <w:rFonts w:asciiTheme="minorHAnsi" w:hAnsiTheme="minorHAnsi"/>
        </w:rPr>
        <w:t>ETPC</w:t>
      </w:r>
      <w:r w:rsidRPr="004070B0">
        <w:rPr>
          <w:rFonts w:asciiTheme="minorHAnsi" w:hAnsiTheme="minorHAnsi"/>
        </w:rPr>
        <w:t xml:space="preserve"> zakomunikował Rządowi RP </w:t>
      </w:r>
      <w:r w:rsidRPr="004070B0">
        <w:rPr>
          <w:rFonts w:asciiTheme="minorHAnsi" w:hAnsiTheme="minorHAnsi"/>
          <w:b/>
        </w:rPr>
        <w:t>277 skarg</w:t>
      </w:r>
      <w:r w:rsidRPr="004070B0">
        <w:rPr>
          <w:rFonts w:asciiTheme="minorHAnsi" w:hAnsiTheme="minorHAnsi"/>
        </w:rPr>
        <w:t>, które można usystematyzować w następujące grupy tematyczne</w:t>
      </w:r>
      <w:r w:rsidRPr="004070B0">
        <w:rPr>
          <w:rFonts w:asciiTheme="minorHAnsi" w:hAnsiTheme="minorHAnsi"/>
          <w:vertAlign w:val="superscript"/>
        </w:rPr>
        <w:footnoteReference w:id="3"/>
      </w:r>
      <w:r w:rsidRPr="004070B0">
        <w:rPr>
          <w:rFonts w:asciiTheme="minorHAnsi" w:hAnsiTheme="minorHAnsi"/>
        </w:rPr>
        <w:t>:</w:t>
      </w:r>
    </w:p>
    <w:p w:rsidR="00260C5C" w:rsidRPr="004070B0" w:rsidRDefault="00260C5C" w:rsidP="004070B0">
      <w:pPr>
        <w:spacing w:after="120"/>
        <w:jc w:val="both"/>
        <w:rPr>
          <w:rFonts w:asciiTheme="minorHAnsi" w:hAnsiTheme="minorHAnsi" w:cs="Arial"/>
        </w:rPr>
      </w:pPr>
      <w:r w:rsidRPr="004070B0">
        <w:rPr>
          <w:rFonts w:asciiTheme="minorHAnsi" w:eastAsiaTheme="minorHAnsi" w:hAnsiTheme="minorHAnsi" w:cstheme="minorBidi"/>
          <w:b/>
          <w:lang w:eastAsia="en-US"/>
        </w:rPr>
        <w:t>169</w:t>
      </w:r>
      <w:r w:rsidRPr="004070B0">
        <w:rPr>
          <w:rFonts w:asciiTheme="minorHAnsi" w:eastAsiaTheme="minorHAnsi" w:hAnsiTheme="minorHAnsi" w:cstheme="minorBidi"/>
          <w:lang w:eastAsia="en-US"/>
        </w:rPr>
        <w:t xml:space="preserve"> skarg dotyczących zarzutu </w:t>
      </w:r>
      <w:r w:rsidRPr="004070B0">
        <w:rPr>
          <w:rFonts w:asciiTheme="minorHAnsi" w:eastAsiaTheme="minorHAnsi" w:hAnsiTheme="minorHAnsi" w:cstheme="minorBidi"/>
          <w:u w:val="single"/>
          <w:lang w:eastAsia="en-US"/>
        </w:rPr>
        <w:t>przewlekłości postępowań sądowych</w:t>
      </w:r>
      <w:r w:rsidRPr="004070B0">
        <w:rPr>
          <w:rFonts w:asciiTheme="minorHAnsi" w:eastAsiaTheme="minorHAnsi" w:hAnsiTheme="minorHAnsi" w:cstheme="minorBidi"/>
          <w:lang w:eastAsia="en-US"/>
        </w:rPr>
        <w:t xml:space="preserve"> </w:t>
      </w:r>
      <w:r w:rsidRPr="004070B0">
        <w:rPr>
          <w:rFonts w:asciiTheme="minorHAnsi" w:hAnsiTheme="minorHAnsi" w:cs="Arial"/>
        </w:rPr>
        <w:t>i braku skutecznego środka odwoławczego umożliwiających skarżenie się na przewlekłość (art. 6 ust. 1 i art. 13 Konwencji), w tym:</w:t>
      </w:r>
    </w:p>
    <w:p w:rsidR="00260C5C" w:rsidRPr="004070B0" w:rsidRDefault="00260C5C" w:rsidP="004070B0">
      <w:pPr>
        <w:numPr>
          <w:ilvl w:val="0"/>
          <w:numId w:val="22"/>
        </w:numPr>
        <w:spacing w:after="120"/>
        <w:ind w:left="709" w:hanging="425"/>
        <w:jc w:val="both"/>
        <w:rPr>
          <w:rFonts w:asciiTheme="minorHAnsi" w:hAnsiTheme="minorHAnsi" w:cs="Arial"/>
        </w:rPr>
      </w:pPr>
      <w:r w:rsidRPr="004070B0">
        <w:rPr>
          <w:rFonts w:asciiTheme="minorHAnsi" w:hAnsiTheme="minorHAnsi" w:cs="Arial"/>
        </w:rPr>
        <w:t xml:space="preserve">27 skarg dotyczących m.in. przewlekłości postępowań w sprawie emerytur byłych funkcjonariuszy Służb Bezpieczeństwa PRL w związku z ich zawieszeniem do czasu zakończenia postępowania </w:t>
      </w:r>
      <w:r w:rsidR="00957E8C">
        <w:rPr>
          <w:rFonts w:asciiTheme="minorHAnsi" w:hAnsiTheme="minorHAnsi" w:cs="Arial"/>
        </w:rPr>
        <w:t>przed Trybunałem Konstytucyjnym.</w:t>
      </w:r>
    </w:p>
    <w:p w:rsidR="00260C5C" w:rsidRPr="004070B0" w:rsidRDefault="00260C5C" w:rsidP="004070B0">
      <w:pPr>
        <w:spacing w:after="120"/>
        <w:rPr>
          <w:rFonts w:asciiTheme="minorHAnsi" w:eastAsiaTheme="minorHAnsi" w:hAnsiTheme="minorHAnsi" w:cstheme="minorBidi"/>
          <w:lang w:eastAsia="en-US"/>
        </w:rPr>
      </w:pPr>
      <w:r w:rsidRPr="004070B0">
        <w:rPr>
          <w:rFonts w:asciiTheme="minorHAnsi" w:eastAsiaTheme="minorHAnsi" w:hAnsiTheme="minorHAnsi" w:cstheme="minorBidi"/>
          <w:b/>
          <w:lang w:eastAsia="en-US"/>
        </w:rPr>
        <w:t>30</w:t>
      </w:r>
      <w:r w:rsidRPr="004070B0">
        <w:rPr>
          <w:rFonts w:asciiTheme="minorHAnsi" w:eastAsiaTheme="minorHAnsi" w:hAnsiTheme="minorHAnsi" w:cstheme="minorBidi"/>
          <w:lang w:eastAsia="en-US"/>
        </w:rPr>
        <w:t xml:space="preserve"> skarg dotyczących </w:t>
      </w:r>
      <w:r w:rsidRPr="004070B0">
        <w:rPr>
          <w:rFonts w:asciiTheme="minorHAnsi" w:eastAsiaTheme="minorHAnsi" w:hAnsiTheme="minorHAnsi" w:cstheme="minorBidi"/>
          <w:u w:val="single"/>
          <w:lang w:eastAsia="en-US"/>
        </w:rPr>
        <w:t>wolności wyrażania opinii lub publicznych zgromadzeń</w:t>
      </w:r>
      <w:r w:rsidRPr="004070B0">
        <w:rPr>
          <w:rFonts w:asciiTheme="minorHAnsi" w:eastAsiaTheme="minorHAnsi" w:hAnsiTheme="minorHAnsi" w:cstheme="minorBidi"/>
          <w:lang w:eastAsia="en-US"/>
        </w:rPr>
        <w:t>, w tym:</w:t>
      </w:r>
    </w:p>
    <w:p w:rsidR="00260C5C" w:rsidRPr="004070B0" w:rsidRDefault="00260C5C" w:rsidP="004070B0">
      <w:pPr>
        <w:numPr>
          <w:ilvl w:val="0"/>
          <w:numId w:val="22"/>
        </w:numPr>
        <w:spacing w:after="120"/>
        <w:ind w:left="709" w:hanging="425"/>
        <w:jc w:val="both"/>
        <w:rPr>
          <w:rFonts w:asciiTheme="minorHAnsi" w:hAnsiTheme="minorHAnsi"/>
        </w:rPr>
      </w:pPr>
      <w:r w:rsidRPr="004070B0">
        <w:rPr>
          <w:rFonts w:asciiTheme="minorHAnsi" w:hAnsiTheme="minorHAnsi"/>
        </w:rPr>
        <w:t>18 skarg dotyczących interwencji Straży Granicznej na statku Greenpeace Rainbow Warrior w związku z protestem dotyczącym zmian klimatycznych (art. 5 ust. 1, 2 i 4, art. 10, art. 11 i art. 13 K</w:t>
      </w:r>
      <w:r w:rsidR="00D84761" w:rsidRPr="004070B0">
        <w:rPr>
          <w:rFonts w:asciiTheme="minorHAnsi" w:hAnsiTheme="minorHAnsi"/>
        </w:rPr>
        <w:t>onwencji, art. 2 Protokołu nr 4</w:t>
      </w:r>
      <w:r w:rsidR="008D590E">
        <w:rPr>
          <w:rFonts w:asciiTheme="minorHAnsi" w:hAnsiTheme="minorHAnsi"/>
        </w:rPr>
        <w:t xml:space="preserve"> do Konwencji</w:t>
      </w:r>
      <w:r w:rsidR="00957E8C">
        <w:rPr>
          <w:rFonts w:asciiTheme="minorHAnsi" w:hAnsiTheme="minorHAnsi"/>
        </w:rPr>
        <w:t>);</w:t>
      </w:r>
    </w:p>
    <w:p w:rsidR="00260C5C" w:rsidRPr="004070B0" w:rsidRDefault="00260C5C" w:rsidP="004070B0">
      <w:pPr>
        <w:numPr>
          <w:ilvl w:val="0"/>
          <w:numId w:val="22"/>
        </w:numPr>
        <w:spacing w:after="120"/>
        <w:ind w:left="709" w:hanging="425"/>
        <w:jc w:val="both"/>
        <w:rPr>
          <w:rFonts w:asciiTheme="minorHAnsi" w:hAnsiTheme="minorHAnsi"/>
        </w:rPr>
      </w:pPr>
      <w:r w:rsidRPr="004070B0">
        <w:rPr>
          <w:rFonts w:asciiTheme="minorHAnsi" w:hAnsiTheme="minorHAnsi"/>
        </w:rPr>
        <w:t>2 skargi dotyczące zatrzymania działaczek Greenpeace podczas manifestacji (art</w:t>
      </w:r>
      <w:r w:rsidR="00957E8C">
        <w:rPr>
          <w:rFonts w:asciiTheme="minorHAnsi" w:hAnsiTheme="minorHAnsi"/>
        </w:rPr>
        <w:t>. 5 ust. 1 i art. 10 Konwencji);</w:t>
      </w:r>
    </w:p>
    <w:p w:rsidR="00260C5C" w:rsidRPr="004070B0" w:rsidRDefault="00260C5C" w:rsidP="004070B0">
      <w:pPr>
        <w:numPr>
          <w:ilvl w:val="0"/>
          <w:numId w:val="22"/>
        </w:numPr>
        <w:spacing w:after="120"/>
        <w:ind w:left="709" w:hanging="425"/>
        <w:jc w:val="both"/>
        <w:rPr>
          <w:rFonts w:asciiTheme="minorHAnsi" w:hAnsiTheme="minorHAnsi"/>
        </w:rPr>
      </w:pPr>
      <w:r w:rsidRPr="004070B0">
        <w:rPr>
          <w:rFonts w:asciiTheme="minorHAnsi" w:hAnsiTheme="minorHAnsi"/>
        </w:rPr>
        <w:t>2 skargi dotyczące skazania za zn</w:t>
      </w:r>
      <w:r w:rsidR="00957E8C">
        <w:rPr>
          <w:rFonts w:asciiTheme="minorHAnsi" w:hAnsiTheme="minorHAnsi"/>
        </w:rPr>
        <w:t>iesławienie (art. 10 Konwencji);</w:t>
      </w:r>
    </w:p>
    <w:p w:rsidR="00260C5C" w:rsidRPr="004070B0" w:rsidRDefault="00260C5C" w:rsidP="004070B0">
      <w:pPr>
        <w:numPr>
          <w:ilvl w:val="0"/>
          <w:numId w:val="22"/>
        </w:numPr>
        <w:spacing w:after="120"/>
        <w:ind w:left="709" w:hanging="425"/>
        <w:jc w:val="both"/>
        <w:rPr>
          <w:rFonts w:asciiTheme="minorHAnsi" w:hAnsiTheme="minorHAnsi"/>
        </w:rPr>
      </w:pPr>
      <w:r w:rsidRPr="004070B0">
        <w:rPr>
          <w:rFonts w:asciiTheme="minorHAnsi" w:hAnsiTheme="minorHAnsi"/>
        </w:rPr>
        <w:t>1 skarga dotycząca skazania za wykroczenie w związku z udziałem w pokojowym zgromadzeniu – Mas</w:t>
      </w:r>
      <w:r w:rsidR="00957E8C">
        <w:rPr>
          <w:rFonts w:asciiTheme="minorHAnsi" w:hAnsiTheme="minorHAnsi"/>
        </w:rPr>
        <w:t>a Krytyczna (art. 11 Konwencji);</w:t>
      </w:r>
    </w:p>
    <w:p w:rsidR="00260C5C" w:rsidRPr="004070B0" w:rsidRDefault="00260C5C" w:rsidP="004070B0">
      <w:pPr>
        <w:numPr>
          <w:ilvl w:val="0"/>
          <w:numId w:val="22"/>
        </w:numPr>
        <w:spacing w:after="120"/>
        <w:ind w:left="709" w:hanging="425"/>
        <w:jc w:val="both"/>
        <w:rPr>
          <w:rFonts w:asciiTheme="minorHAnsi" w:hAnsiTheme="minorHAnsi"/>
        </w:rPr>
      </w:pPr>
      <w:r w:rsidRPr="004070B0">
        <w:rPr>
          <w:rFonts w:asciiTheme="minorHAnsi" w:hAnsiTheme="minorHAnsi"/>
        </w:rPr>
        <w:t xml:space="preserve">1 skarga dotycząca skazania za złośliwe przeszkadzanie publicznemu wykonywaniu aktu </w:t>
      </w:r>
      <w:r w:rsidR="00957E8C">
        <w:rPr>
          <w:rFonts w:asciiTheme="minorHAnsi" w:hAnsiTheme="minorHAnsi"/>
        </w:rPr>
        <w:t>religijnego (art. 10 Konwencji);</w:t>
      </w:r>
    </w:p>
    <w:p w:rsidR="00260C5C" w:rsidRPr="004070B0" w:rsidRDefault="00260C5C" w:rsidP="004070B0">
      <w:pPr>
        <w:numPr>
          <w:ilvl w:val="0"/>
          <w:numId w:val="22"/>
        </w:numPr>
        <w:spacing w:after="120"/>
        <w:ind w:left="709" w:hanging="425"/>
        <w:jc w:val="both"/>
        <w:rPr>
          <w:rFonts w:asciiTheme="minorHAnsi" w:hAnsiTheme="minorHAnsi"/>
        </w:rPr>
      </w:pPr>
      <w:r w:rsidRPr="004070B0">
        <w:rPr>
          <w:rFonts w:asciiTheme="minorHAnsi" w:hAnsiTheme="minorHAnsi"/>
        </w:rPr>
        <w:t xml:space="preserve">1 skarga dotycząca skazania za organizację Strajku Kobiet - Czarny Protest w Kielcach, w trakcie którego uczestnicy </w:t>
      </w:r>
      <w:r w:rsidR="004070B0">
        <w:rPr>
          <w:rFonts w:asciiTheme="minorHAnsi" w:hAnsiTheme="minorHAnsi"/>
        </w:rPr>
        <w:t>używali symbolu „Polka Walcząca”</w:t>
      </w:r>
      <w:r w:rsidR="00957E8C">
        <w:rPr>
          <w:rFonts w:asciiTheme="minorHAnsi" w:hAnsiTheme="minorHAnsi"/>
        </w:rPr>
        <w:t xml:space="preserve"> (art. 10 i art. 11 Konwencji);</w:t>
      </w:r>
    </w:p>
    <w:p w:rsidR="00260C5C" w:rsidRPr="004070B0" w:rsidRDefault="00260C5C" w:rsidP="004070B0">
      <w:pPr>
        <w:numPr>
          <w:ilvl w:val="0"/>
          <w:numId w:val="22"/>
        </w:numPr>
        <w:spacing w:after="120"/>
        <w:ind w:left="709" w:hanging="425"/>
        <w:jc w:val="both"/>
        <w:rPr>
          <w:rFonts w:asciiTheme="minorHAnsi" w:hAnsiTheme="minorHAnsi"/>
        </w:rPr>
      </w:pPr>
      <w:r w:rsidRPr="004070B0">
        <w:rPr>
          <w:rFonts w:asciiTheme="minorHAnsi" w:hAnsiTheme="minorHAnsi"/>
        </w:rPr>
        <w:t>1 skarga dotycząca uniemożliwiania organizowania kontrmanifestacji miesięcznicy smoleńskiej (art. 1</w:t>
      </w:r>
      <w:r w:rsidR="00957E8C">
        <w:rPr>
          <w:rFonts w:asciiTheme="minorHAnsi" w:hAnsiTheme="minorHAnsi"/>
        </w:rPr>
        <w:t>1, art. 13 i art. 18 Konwencji);</w:t>
      </w:r>
    </w:p>
    <w:p w:rsidR="00260C5C" w:rsidRPr="004070B0" w:rsidRDefault="00260C5C" w:rsidP="004070B0">
      <w:pPr>
        <w:numPr>
          <w:ilvl w:val="0"/>
          <w:numId w:val="22"/>
        </w:numPr>
        <w:spacing w:after="120"/>
        <w:ind w:left="709" w:hanging="425"/>
        <w:jc w:val="both"/>
        <w:rPr>
          <w:rFonts w:asciiTheme="minorHAnsi" w:hAnsiTheme="minorHAnsi"/>
        </w:rPr>
      </w:pPr>
      <w:r w:rsidRPr="004070B0">
        <w:rPr>
          <w:rFonts w:asciiTheme="minorHAnsi" w:hAnsiTheme="minorHAnsi"/>
        </w:rPr>
        <w:t>1 skarga dotycząca zakazu zgromadzenia publicznego powyżej 150 osób w sierpniu 2020 r. w związku z pandem</w:t>
      </w:r>
      <w:r w:rsidR="00957E8C">
        <w:rPr>
          <w:rFonts w:asciiTheme="minorHAnsi" w:hAnsiTheme="minorHAnsi"/>
        </w:rPr>
        <w:t>ią COVID-19 (art. 11 Konwencji);</w:t>
      </w:r>
    </w:p>
    <w:p w:rsidR="00260C5C" w:rsidRPr="004070B0" w:rsidRDefault="00260C5C" w:rsidP="004070B0">
      <w:pPr>
        <w:numPr>
          <w:ilvl w:val="0"/>
          <w:numId w:val="22"/>
        </w:numPr>
        <w:spacing w:after="120"/>
        <w:ind w:left="709" w:hanging="425"/>
        <w:jc w:val="both"/>
        <w:rPr>
          <w:rFonts w:asciiTheme="minorHAnsi" w:hAnsiTheme="minorHAnsi"/>
        </w:rPr>
      </w:pPr>
      <w:r w:rsidRPr="004070B0">
        <w:rPr>
          <w:rFonts w:asciiTheme="minorHAnsi" w:hAnsiTheme="minorHAnsi"/>
        </w:rPr>
        <w:lastRenderedPageBreak/>
        <w:t>1 skarga dotycząca naruszenia prawa do otrzymywania i przekazywania informacji na skutek odmowy dostępu do dostęp do kalendarza spotkań prezesa i</w:t>
      </w:r>
      <w:r w:rsidR="00957E8C">
        <w:rPr>
          <w:rFonts w:asciiTheme="minorHAnsi" w:hAnsiTheme="minorHAnsi"/>
        </w:rPr>
        <w:t xml:space="preserve"> sędziów TK (art. 10 Konwencji).</w:t>
      </w:r>
    </w:p>
    <w:p w:rsidR="00260C5C" w:rsidRPr="004070B0" w:rsidRDefault="00260C5C" w:rsidP="004070B0">
      <w:pPr>
        <w:spacing w:after="120"/>
        <w:rPr>
          <w:rFonts w:asciiTheme="minorHAnsi" w:eastAsiaTheme="minorHAnsi" w:hAnsiTheme="minorHAnsi" w:cstheme="minorBidi"/>
          <w:lang w:eastAsia="en-US"/>
        </w:rPr>
      </w:pPr>
      <w:r w:rsidRPr="004070B0">
        <w:rPr>
          <w:rFonts w:asciiTheme="minorHAnsi" w:eastAsiaTheme="minorHAnsi" w:hAnsiTheme="minorHAnsi" w:cstheme="minorBidi"/>
          <w:b/>
          <w:lang w:eastAsia="en-US"/>
        </w:rPr>
        <w:t>25</w:t>
      </w:r>
      <w:r w:rsidRPr="004070B0">
        <w:rPr>
          <w:rFonts w:asciiTheme="minorHAnsi" w:eastAsiaTheme="minorHAnsi" w:hAnsiTheme="minorHAnsi" w:cstheme="minorBidi"/>
          <w:lang w:eastAsia="en-US"/>
        </w:rPr>
        <w:t xml:space="preserve"> skarg związanych z </w:t>
      </w:r>
      <w:r w:rsidRPr="004070B0">
        <w:rPr>
          <w:rFonts w:asciiTheme="minorHAnsi" w:eastAsiaTheme="minorHAnsi" w:hAnsiTheme="minorHAnsi" w:cstheme="minorBidi"/>
          <w:u w:val="single"/>
          <w:lang w:eastAsia="en-US"/>
        </w:rPr>
        <w:t>funkcjonowaniem i organizacją wymiaru sprawiedliwości</w:t>
      </w:r>
      <w:r w:rsidRPr="004070B0">
        <w:rPr>
          <w:rFonts w:asciiTheme="minorHAnsi" w:eastAsiaTheme="minorHAnsi" w:hAnsiTheme="minorHAnsi" w:cstheme="minorBidi"/>
          <w:lang w:eastAsia="en-US"/>
        </w:rPr>
        <w:t>, w tym:</w:t>
      </w:r>
    </w:p>
    <w:p w:rsidR="00260C5C" w:rsidRPr="004070B0" w:rsidRDefault="00260C5C" w:rsidP="008D590E">
      <w:pPr>
        <w:numPr>
          <w:ilvl w:val="0"/>
          <w:numId w:val="22"/>
        </w:numPr>
        <w:spacing w:after="120"/>
        <w:ind w:left="709" w:hanging="425"/>
        <w:jc w:val="both"/>
        <w:rPr>
          <w:rFonts w:asciiTheme="minorHAnsi" w:hAnsiTheme="minorHAnsi"/>
        </w:rPr>
      </w:pPr>
      <w:r w:rsidRPr="004070B0">
        <w:rPr>
          <w:rFonts w:asciiTheme="minorHAnsi" w:hAnsiTheme="minorHAnsi"/>
        </w:rPr>
        <w:t>13 skarg kwestionujących skład Trybunału Konstytucyjnego, który wydał wyrok z dnia 22 października 2020 r.</w:t>
      </w:r>
      <w:r w:rsidR="008D590E">
        <w:rPr>
          <w:rFonts w:asciiTheme="minorHAnsi" w:hAnsiTheme="minorHAnsi"/>
        </w:rPr>
        <w:t>,</w:t>
      </w:r>
      <w:r w:rsidRPr="004070B0">
        <w:rPr>
          <w:rFonts w:asciiTheme="minorHAnsi" w:hAnsiTheme="minorHAnsi"/>
        </w:rPr>
        <w:t xml:space="preserve"> sygn. K 1/20 ws. </w:t>
      </w:r>
      <w:r w:rsidR="008D590E">
        <w:rPr>
          <w:rFonts w:asciiTheme="minorHAnsi" w:hAnsiTheme="minorHAnsi"/>
        </w:rPr>
        <w:t xml:space="preserve">tzw. </w:t>
      </w:r>
      <w:r w:rsidRPr="004070B0">
        <w:rPr>
          <w:rFonts w:asciiTheme="minorHAnsi" w:hAnsiTheme="minorHAnsi"/>
        </w:rPr>
        <w:t>eugenicznej przesłanki przerywania ciąży (art. 8 ust. 2 Konwencji – aspekt</w:t>
      </w:r>
      <w:r w:rsidR="00957E8C">
        <w:rPr>
          <w:rFonts w:asciiTheme="minorHAnsi" w:hAnsiTheme="minorHAnsi"/>
        </w:rPr>
        <w:t xml:space="preserve"> zgodności ingerencji z prawem);</w:t>
      </w:r>
    </w:p>
    <w:p w:rsidR="00260C5C" w:rsidRPr="004070B0" w:rsidRDefault="00260C5C" w:rsidP="008D590E">
      <w:pPr>
        <w:numPr>
          <w:ilvl w:val="0"/>
          <w:numId w:val="22"/>
        </w:numPr>
        <w:spacing w:after="120"/>
        <w:ind w:left="709" w:hanging="425"/>
        <w:jc w:val="both"/>
        <w:rPr>
          <w:rFonts w:asciiTheme="minorHAnsi" w:hAnsiTheme="minorHAnsi"/>
        </w:rPr>
      </w:pPr>
      <w:r w:rsidRPr="004070B0">
        <w:rPr>
          <w:rFonts w:asciiTheme="minorHAnsi" w:hAnsiTheme="minorHAnsi"/>
        </w:rPr>
        <w:t>1 skarga dotycząca postępowania przed Trybunałem Konstytucyjnym (m.in. ws. składu TK, zawieszenia przez TK wykonania nakazów powrotu dziecka do skarżącego i braku dostępu skarżącego do postępowania przed TK) (art. 6 ust. 1 Konwencji – aspekty dostępu do sądu ustanow</w:t>
      </w:r>
      <w:r w:rsidR="00957E8C">
        <w:rPr>
          <w:rFonts w:asciiTheme="minorHAnsi" w:hAnsiTheme="minorHAnsi"/>
        </w:rPr>
        <w:t>ionego ustawą i równości stron);</w:t>
      </w:r>
    </w:p>
    <w:p w:rsidR="00260C5C" w:rsidRPr="004070B0" w:rsidRDefault="00260C5C" w:rsidP="008D590E">
      <w:pPr>
        <w:numPr>
          <w:ilvl w:val="0"/>
          <w:numId w:val="22"/>
        </w:numPr>
        <w:spacing w:after="120"/>
        <w:ind w:left="709" w:hanging="425"/>
        <w:jc w:val="both"/>
        <w:rPr>
          <w:rFonts w:asciiTheme="minorHAnsi" w:hAnsiTheme="minorHAnsi"/>
        </w:rPr>
      </w:pPr>
      <w:r w:rsidRPr="004070B0">
        <w:rPr>
          <w:rFonts w:asciiTheme="minorHAnsi" w:hAnsiTheme="minorHAnsi"/>
        </w:rPr>
        <w:t xml:space="preserve">3 skargi dotyczące uchylenia immunitetu prokuratora lub sędziego przez Izbę Dyscyplinarną Sądu Najwyższego (art. 6 ust. 1 </w:t>
      </w:r>
      <w:r w:rsidR="008D590E" w:rsidRPr="004070B0">
        <w:rPr>
          <w:rFonts w:asciiTheme="minorHAnsi" w:hAnsiTheme="minorHAnsi"/>
        </w:rPr>
        <w:t xml:space="preserve">Konwencji </w:t>
      </w:r>
      <w:r w:rsidR="008D590E">
        <w:rPr>
          <w:rFonts w:asciiTheme="minorHAnsi" w:hAnsiTheme="minorHAnsi"/>
        </w:rPr>
        <w:t>–</w:t>
      </w:r>
      <w:r w:rsidRPr="004070B0">
        <w:rPr>
          <w:rFonts w:asciiTheme="minorHAnsi" w:hAnsiTheme="minorHAnsi"/>
        </w:rPr>
        <w:t xml:space="preserve"> aspekty</w:t>
      </w:r>
      <w:r w:rsidR="008D590E">
        <w:rPr>
          <w:rFonts w:asciiTheme="minorHAnsi" w:hAnsiTheme="minorHAnsi"/>
        </w:rPr>
        <w:t xml:space="preserve"> </w:t>
      </w:r>
      <w:r w:rsidRPr="004070B0">
        <w:rPr>
          <w:rFonts w:asciiTheme="minorHAnsi" w:hAnsiTheme="minorHAnsi"/>
        </w:rPr>
        <w:t>dostępu do sądu ustanowio</w:t>
      </w:r>
      <w:r w:rsidR="00957E8C">
        <w:rPr>
          <w:rFonts w:asciiTheme="minorHAnsi" w:hAnsiTheme="minorHAnsi"/>
        </w:rPr>
        <w:t>nego ustawą i art. 8 Konwencji);</w:t>
      </w:r>
    </w:p>
    <w:p w:rsidR="00260C5C" w:rsidRPr="004070B0" w:rsidRDefault="00260C5C" w:rsidP="008D590E">
      <w:pPr>
        <w:numPr>
          <w:ilvl w:val="0"/>
          <w:numId w:val="22"/>
        </w:numPr>
        <w:spacing w:after="120"/>
        <w:ind w:left="709" w:hanging="425"/>
        <w:jc w:val="both"/>
        <w:rPr>
          <w:rFonts w:asciiTheme="minorHAnsi" w:hAnsiTheme="minorHAnsi"/>
        </w:rPr>
      </w:pPr>
      <w:r w:rsidRPr="004070B0">
        <w:rPr>
          <w:rFonts w:asciiTheme="minorHAnsi" w:hAnsiTheme="minorHAnsi"/>
        </w:rPr>
        <w:t xml:space="preserve">2 skargi dotyczące rozpoznania sprawy skarżącego przez sędziego powołanego przy udziale </w:t>
      </w:r>
      <w:r w:rsidR="008D590E">
        <w:rPr>
          <w:rFonts w:asciiTheme="minorHAnsi" w:hAnsiTheme="minorHAnsi"/>
        </w:rPr>
        <w:t>zreformowanej</w:t>
      </w:r>
      <w:r w:rsidRPr="004070B0">
        <w:rPr>
          <w:rFonts w:asciiTheme="minorHAnsi" w:hAnsiTheme="minorHAnsi"/>
        </w:rPr>
        <w:t xml:space="preserve"> KRS (art. 6 ust. 1 Konwencji </w:t>
      </w:r>
      <w:r w:rsidR="00C718B8">
        <w:rPr>
          <w:rFonts w:asciiTheme="minorHAnsi" w:hAnsiTheme="minorHAnsi"/>
        </w:rPr>
        <w:t>–</w:t>
      </w:r>
      <w:r w:rsidRPr="004070B0">
        <w:rPr>
          <w:rFonts w:asciiTheme="minorHAnsi" w:hAnsiTheme="minorHAnsi"/>
        </w:rPr>
        <w:t xml:space="preserve"> aspekty</w:t>
      </w:r>
      <w:r w:rsidR="00C718B8">
        <w:rPr>
          <w:rFonts w:asciiTheme="minorHAnsi" w:hAnsiTheme="minorHAnsi"/>
        </w:rPr>
        <w:t xml:space="preserve"> </w:t>
      </w:r>
      <w:r w:rsidRPr="004070B0">
        <w:rPr>
          <w:rFonts w:asciiTheme="minorHAnsi" w:hAnsiTheme="minorHAnsi"/>
        </w:rPr>
        <w:t>dostępu do sądu ustanowionego u</w:t>
      </w:r>
      <w:r w:rsidR="00957E8C">
        <w:rPr>
          <w:rFonts w:asciiTheme="minorHAnsi" w:hAnsiTheme="minorHAnsi"/>
        </w:rPr>
        <w:t>stawą i niezawisłości sądu);</w:t>
      </w:r>
    </w:p>
    <w:p w:rsidR="00260C5C" w:rsidRPr="004070B0" w:rsidRDefault="00260C5C" w:rsidP="008D590E">
      <w:pPr>
        <w:numPr>
          <w:ilvl w:val="0"/>
          <w:numId w:val="22"/>
        </w:numPr>
        <w:spacing w:after="120"/>
        <w:ind w:left="709" w:hanging="425"/>
        <w:jc w:val="both"/>
        <w:rPr>
          <w:rFonts w:asciiTheme="minorHAnsi" w:hAnsiTheme="minorHAnsi"/>
        </w:rPr>
      </w:pPr>
      <w:r w:rsidRPr="004070B0">
        <w:rPr>
          <w:rFonts w:asciiTheme="minorHAnsi" w:hAnsiTheme="minorHAnsi"/>
        </w:rPr>
        <w:t>2 skargi dotyczące oświadczeń majątkowych sędziów (art. 6 ust. 1 Konwencji – wyłączenie drogi sądowej, art. 8 i art. 13</w:t>
      </w:r>
      <w:r w:rsidR="00C718B8" w:rsidRPr="00C718B8">
        <w:rPr>
          <w:rFonts w:asciiTheme="minorHAnsi" w:hAnsiTheme="minorHAnsi"/>
        </w:rPr>
        <w:t xml:space="preserve"> </w:t>
      </w:r>
      <w:r w:rsidR="00C718B8" w:rsidRPr="004070B0">
        <w:rPr>
          <w:rFonts w:asciiTheme="minorHAnsi" w:hAnsiTheme="minorHAnsi"/>
        </w:rPr>
        <w:t>Konwencji</w:t>
      </w:r>
      <w:r w:rsidR="00957E8C">
        <w:rPr>
          <w:rFonts w:asciiTheme="minorHAnsi" w:hAnsiTheme="minorHAnsi"/>
        </w:rPr>
        <w:t>);</w:t>
      </w:r>
    </w:p>
    <w:p w:rsidR="00260C5C" w:rsidRPr="004070B0" w:rsidRDefault="00260C5C" w:rsidP="008D590E">
      <w:pPr>
        <w:numPr>
          <w:ilvl w:val="0"/>
          <w:numId w:val="22"/>
        </w:numPr>
        <w:spacing w:after="120"/>
        <w:ind w:left="709" w:hanging="425"/>
        <w:jc w:val="both"/>
        <w:rPr>
          <w:rFonts w:asciiTheme="minorHAnsi" w:hAnsiTheme="minorHAnsi"/>
        </w:rPr>
      </w:pPr>
      <w:r w:rsidRPr="004070B0">
        <w:rPr>
          <w:rFonts w:asciiTheme="minorHAnsi" w:hAnsiTheme="minorHAnsi"/>
        </w:rPr>
        <w:t xml:space="preserve">1 skarga dotycząca odwołania prezesa SR w związku z likwidacją sądu (art. 6 ust. 1 </w:t>
      </w:r>
      <w:r w:rsidR="00C718B8" w:rsidRPr="004070B0">
        <w:rPr>
          <w:rFonts w:asciiTheme="minorHAnsi" w:hAnsiTheme="minorHAnsi"/>
        </w:rPr>
        <w:t xml:space="preserve">Konwencji </w:t>
      </w:r>
      <w:r w:rsidRPr="004070B0">
        <w:rPr>
          <w:rFonts w:asciiTheme="minorHAnsi" w:hAnsiTheme="minorHAnsi"/>
        </w:rPr>
        <w:t>– dostęp do sądu oraz</w:t>
      </w:r>
      <w:r w:rsidR="00957E8C">
        <w:rPr>
          <w:rFonts w:asciiTheme="minorHAnsi" w:hAnsiTheme="minorHAnsi"/>
        </w:rPr>
        <w:t xml:space="preserve"> art. 13 Konwencji);</w:t>
      </w:r>
    </w:p>
    <w:p w:rsidR="00260C5C" w:rsidRPr="004070B0" w:rsidRDefault="00260C5C" w:rsidP="008D590E">
      <w:pPr>
        <w:numPr>
          <w:ilvl w:val="0"/>
          <w:numId w:val="22"/>
        </w:numPr>
        <w:spacing w:after="120"/>
        <w:ind w:left="709" w:hanging="425"/>
        <w:jc w:val="both"/>
        <w:rPr>
          <w:rFonts w:asciiTheme="minorHAnsi" w:hAnsiTheme="minorHAnsi"/>
        </w:rPr>
      </w:pPr>
      <w:r w:rsidRPr="004070B0">
        <w:rPr>
          <w:rFonts w:asciiTheme="minorHAnsi" w:hAnsiTheme="minorHAnsi"/>
        </w:rPr>
        <w:t>1 skarga dotycząca przeniesienia sędziego do innego wydziału, rzekomo w odpowiedzi na jego działalność orzeczniczą (art. 6 ust. 1 Konwencji – aspekty dostępu do sądu ustanowione</w:t>
      </w:r>
      <w:r w:rsidR="00957E8C">
        <w:rPr>
          <w:rFonts w:asciiTheme="minorHAnsi" w:hAnsiTheme="minorHAnsi"/>
        </w:rPr>
        <w:t>go ustawą i niezawisłości sądu);</w:t>
      </w:r>
    </w:p>
    <w:p w:rsidR="00260C5C" w:rsidRPr="004070B0" w:rsidRDefault="00260C5C" w:rsidP="008D590E">
      <w:pPr>
        <w:numPr>
          <w:ilvl w:val="0"/>
          <w:numId w:val="22"/>
        </w:numPr>
        <w:spacing w:after="120"/>
        <w:ind w:left="709" w:hanging="425"/>
        <w:jc w:val="both"/>
        <w:rPr>
          <w:rFonts w:asciiTheme="minorHAnsi" w:hAnsiTheme="minorHAnsi"/>
        </w:rPr>
      </w:pPr>
      <w:r w:rsidRPr="004070B0">
        <w:rPr>
          <w:rFonts w:asciiTheme="minorHAnsi" w:hAnsiTheme="minorHAnsi"/>
        </w:rPr>
        <w:t xml:space="preserve">1 skarga dotycząca postępowania dyscyplinarnego i zawieszenia sędziego (art. 6 ust. 1 </w:t>
      </w:r>
      <w:r w:rsidR="00957E8C" w:rsidRPr="004070B0">
        <w:rPr>
          <w:rFonts w:asciiTheme="minorHAnsi" w:hAnsiTheme="minorHAnsi"/>
        </w:rPr>
        <w:t xml:space="preserve">Konwencji </w:t>
      </w:r>
      <w:r w:rsidRPr="004070B0">
        <w:rPr>
          <w:rFonts w:asciiTheme="minorHAnsi" w:hAnsiTheme="minorHAnsi"/>
        </w:rPr>
        <w:t>– dostęp do sądu ustanowionego ustawą, art. 8, art. 18 Konwencji i art. 1 Protokołu nr 1</w:t>
      </w:r>
      <w:r w:rsidR="00957E8C">
        <w:rPr>
          <w:rFonts w:asciiTheme="minorHAnsi" w:hAnsiTheme="minorHAnsi"/>
        </w:rPr>
        <w:t xml:space="preserve"> do </w:t>
      </w:r>
      <w:r w:rsidR="00957E8C" w:rsidRPr="004070B0">
        <w:rPr>
          <w:rFonts w:asciiTheme="minorHAnsi" w:hAnsiTheme="minorHAnsi"/>
        </w:rPr>
        <w:t>Konwencji</w:t>
      </w:r>
      <w:r w:rsidR="00957E8C">
        <w:rPr>
          <w:rFonts w:asciiTheme="minorHAnsi" w:hAnsiTheme="minorHAnsi"/>
        </w:rPr>
        <w:t>);</w:t>
      </w:r>
    </w:p>
    <w:p w:rsidR="00260C5C" w:rsidRPr="004070B0" w:rsidRDefault="00260C5C" w:rsidP="008D590E">
      <w:pPr>
        <w:numPr>
          <w:ilvl w:val="0"/>
          <w:numId w:val="22"/>
        </w:numPr>
        <w:spacing w:after="120"/>
        <w:ind w:left="709" w:hanging="425"/>
        <w:jc w:val="both"/>
        <w:rPr>
          <w:rFonts w:asciiTheme="minorHAnsi" w:hAnsiTheme="minorHAnsi"/>
        </w:rPr>
      </w:pPr>
      <w:r w:rsidRPr="004070B0">
        <w:rPr>
          <w:rFonts w:asciiTheme="minorHAnsi" w:hAnsiTheme="minorHAnsi"/>
        </w:rPr>
        <w:t xml:space="preserve">1 skarga dotycząca wcześniejszego przejścia sędziów na emeryturę i dyskryminacji kobiet (art. 6 ust. 1 </w:t>
      </w:r>
      <w:r w:rsidR="00957E8C" w:rsidRPr="004070B0">
        <w:rPr>
          <w:rFonts w:asciiTheme="minorHAnsi" w:hAnsiTheme="minorHAnsi"/>
        </w:rPr>
        <w:t xml:space="preserve">Konwencji </w:t>
      </w:r>
      <w:r w:rsidRPr="004070B0">
        <w:rPr>
          <w:rFonts w:asciiTheme="minorHAnsi" w:hAnsiTheme="minorHAnsi"/>
        </w:rPr>
        <w:t>– wyłączenie ścieżki sądow</w:t>
      </w:r>
      <w:r w:rsidR="00957E8C">
        <w:rPr>
          <w:rFonts w:asciiTheme="minorHAnsi" w:hAnsiTheme="minorHAnsi"/>
        </w:rPr>
        <w:t>ej, art. 8 i art. 13 Konwencji).</w:t>
      </w:r>
    </w:p>
    <w:p w:rsidR="00260C5C" w:rsidRPr="004070B0" w:rsidRDefault="00260C5C" w:rsidP="00957E8C">
      <w:pPr>
        <w:spacing w:after="120"/>
        <w:jc w:val="both"/>
        <w:rPr>
          <w:rFonts w:asciiTheme="minorHAnsi" w:eastAsiaTheme="minorHAnsi" w:hAnsiTheme="minorHAnsi" w:cstheme="minorBidi"/>
          <w:lang w:eastAsia="en-US"/>
        </w:rPr>
      </w:pPr>
      <w:r w:rsidRPr="004070B0">
        <w:rPr>
          <w:rFonts w:asciiTheme="minorHAnsi" w:eastAsiaTheme="minorHAnsi" w:hAnsiTheme="minorHAnsi" w:cstheme="minorBidi"/>
          <w:b/>
          <w:lang w:eastAsia="en-US"/>
        </w:rPr>
        <w:t>17</w:t>
      </w:r>
      <w:r w:rsidRPr="004070B0">
        <w:rPr>
          <w:rFonts w:asciiTheme="minorHAnsi" w:eastAsiaTheme="minorHAnsi" w:hAnsiTheme="minorHAnsi" w:cstheme="minorBidi"/>
          <w:lang w:eastAsia="en-US"/>
        </w:rPr>
        <w:t xml:space="preserve"> skarg dotyczących różnych kwestii związanych z </w:t>
      </w:r>
      <w:r w:rsidRPr="004070B0">
        <w:rPr>
          <w:rFonts w:asciiTheme="minorHAnsi" w:eastAsiaTheme="minorHAnsi" w:hAnsiTheme="minorHAnsi" w:cstheme="minorBidi"/>
          <w:u w:val="single"/>
          <w:lang w:eastAsia="en-US"/>
        </w:rPr>
        <w:t>prowadzeniem postępowań karnych</w:t>
      </w:r>
      <w:r w:rsidRPr="004070B0">
        <w:rPr>
          <w:rFonts w:asciiTheme="minorHAnsi" w:eastAsiaTheme="minorHAnsi" w:hAnsiTheme="minorHAnsi" w:cstheme="minorBidi"/>
          <w:lang w:eastAsia="en-US"/>
        </w:rPr>
        <w:t>, w tym:</w:t>
      </w:r>
    </w:p>
    <w:p w:rsidR="00260C5C" w:rsidRPr="004070B0" w:rsidRDefault="00260C5C" w:rsidP="00957E8C">
      <w:pPr>
        <w:numPr>
          <w:ilvl w:val="0"/>
          <w:numId w:val="22"/>
        </w:numPr>
        <w:spacing w:after="120"/>
        <w:ind w:left="709" w:hanging="425"/>
        <w:jc w:val="both"/>
        <w:rPr>
          <w:rFonts w:asciiTheme="minorHAnsi" w:hAnsiTheme="minorHAnsi"/>
        </w:rPr>
      </w:pPr>
      <w:r w:rsidRPr="004070B0">
        <w:rPr>
          <w:rFonts w:asciiTheme="minorHAnsi" w:hAnsiTheme="minorHAnsi"/>
        </w:rPr>
        <w:t>6 skarg dotyczących wpisu do rejestru przestępców seksualnych (art. 7 ust</w:t>
      </w:r>
      <w:r w:rsidR="00957E8C">
        <w:rPr>
          <w:rFonts w:asciiTheme="minorHAnsi" w:hAnsiTheme="minorHAnsi"/>
        </w:rPr>
        <w:t>. 1, art. 8, art. 13 Konwencji);</w:t>
      </w:r>
    </w:p>
    <w:p w:rsidR="00260C5C" w:rsidRPr="004070B0" w:rsidRDefault="00260C5C" w:rsidP="00957E8C">
      <w:pPr>
        <w:numPr>
          <w:ilvl w:val="0"/>
          <w:numId w:val="22"/>
        </w:numPr>
        <w:spacing w:after="120"/>
        <w:ind w:left="709" w:hanging="425"/>
        <w:jc w:val="both"/>
        <w:rPr>
          <w:rFonts w:asciiTheme="minorHAnsi" w:hAnsiTheme="minorHAnsi"/>
        </w:rPr>
      </w:pPr>
      <w:r w:rsidRPr="004070B0">
        <w:rPr>
          <w:rFonts w:asciiTheme="minorHAnsi" w:hAnsiTheme="minorHAnsi"/>
        </w:rPr>
        <w:t xml:space="preserve">2 skargi dotyczące braku przesłuchania świadków oskarżenia w obecności oskarżonych (art. 6 ust. 1 i </w:t>
      </w:r>
      <w:r w:rsidR="00957E8C">
        <w:rPr>
          <w:rFonts w:asciiTheme="minorHAnsi" w:hAnsiTheme="minorHAnsi"/>
        </w:rPr>
        <w:t>art. 6 ust. 3 lit. d Konwencji);</w:t>
      </w:r>
    </w:p>
    <w:p w:rsidR="00260C5C" w:rsidRPr="004070B0" w:rsidRDefault="00260C5C" w:rsidP="00957E8C">
      <w:pPr>
        <w:numPr>
          <w:ilvl w:val="0"/>
          <w:numId w:val="22"/>
        </w:numPr>
        <w:spacing w:after="120"/>
        <w:ind w:left="709" w:hanging="425"/>
        <w:jc w:val="both"/>
        <w:rPr>
          <w:rFonts w:asciiTheme="minorHAnsi" w:hAnsiTheme="minorHAnsi"/>
        </w:rPr>
      </w:pPr>
      <w:r w:rsidRPr="004070B0">
        <w:rPr>
          <w:rFonts w:asciiTheme="minorHAnsi" w:hAnsiTheme="minorHAnsi"/>
        </w:rPr>
        <w:t>2 skargi dotyczące zajęcia rzeczy lub konta bankowego w postępowaniu karnym (art. 1 Protokołu nr 1</w:t>
      </w:r>
      <w:r w:rsidR="00957E8C">
        <w:rPr>
          <w:rFonts w:asciiTheme="minorHAnsi" w:hAnsiTheme="minorHAnsi"/>
        </w:rPr>
        <w:t xml:space="preserve"> do </w:t>
      </w:r>
      <w:r w:rsidR="00957E8C" w:rsidRPr="004070B0">
        <w:rPr>
          <w:rFonts w:asciiTheme="minorHAnsi" w:hAnsiTheme="minorHAnsi"/>
        </w:rPr>
        <w:t>Konwencji</w:t>
      </w:r>
      <w:r w:rsidR="00957E8C">
        <w:rPr>
          <w:rFonts w:asciiTheme="minorHAnsi" w:hAnsiTheme="minorHAnsi"/>
        </w:rPr>
        <w:t>, art. 8 Konwencji);</w:t>
      </w:r>
    </w:p>
    <w:p w:rsidR="00260C5C" w:rsidRPr="004070B0" w:rsidRDefault="00260C5C" w:rsidP="00957E8C">
      <w:pPr>
        <w:numPr>
          <w:ilvl w:val="0"/>
          <w:numId w:val="22"/>
        </w:numPr>
        <w:spacing w:after="120"/>
        <w:ind w:left="709" w:hanging="425"/>
        <w:jc w:val="both"/>
        <w:rPr>
          <w:rFonts w:asciiTheme="minorHAnsi" w:hAnsiTheme="minorHAnsi"/>
        </w:rPr>
      </w:pPr>
      <w:r w:rsidRPr="004070B0">
        <w:rPr>
          <w:rFonts w:asciiTheme="minorHAnsi" w:hAnsiTheme="minorHAnsi"/>
        </w:rPr>
        <w:t>1 skarga dotycząca zastosowania konfiskaty rozszerzonej (art. 1 Protokołu nr 1</w:t>
      </w:r>
      <w:r w:rsidR="00957E8C">
        <w:rPr>
          <w:rFonts w:asciiTheme="minorHAnsi" w:hAnsiTheme="minorHAnsi"/>
        </w:rPr>
        <w:t xml:space="preserve"> do </w:t>
      </w:r>
      <w:r w:rsidR="00957E8C" w:rsidRPr="004070B0">
        <w:rPr>
          <w:rFonts w:asciiTheme="minorHAnsi" w:hAnsiTheme="minorHAnsi"/>
        </w:rPr>
        <w:t>Konwencji</w:t>
      </w:r>
      <w:r w:rsidR="00957E8C">
        <w:rPr>
          <w:rFonts w:asciiTheme="minorHAnsi" w:hAnsiTheme="minorHAnsi"/>
        </w:rPr>
        <w:t>);</w:t>
      </w:r>
    </w:p>
    <w:p w:rsidR="00260C5C" w:rsidRPr="004070B0" w:rsidRDefault="00260C5C" w:rsidP="00957E8C">
      <w:pPr>
        <w:numPr>
          <w:ilvl w:val="0"/>
          <w:numId w:val="22"/>
        </w:numPr>
        <w:spacing w:after="120"/>
        <w:ind w:left="709" w:hanging="425"/>
        <w:jc w:val="both"/>
        <w:rPr>
          <w:rFonts w:asciiTheme="minorHAnsi" w:hAnsiTheme="minorHAnsi"/>
        </w:rPr>
      </w:pPr>
      <w:r w:rsidRPr="004070B0">
        <w:rPr>
          <w:rFonts w:asciiTheme="minorHAnsi" w:hAnsiTheme="minorHAnsi"/>
        </w:rPr>
        <w:t>1 skarga dotycząca wykorzystania dokumentacji medycznej dotyczącej świadka w postępowaniu karnym i innych po</w:t>
      </w:r>
      <w:r w:rsidR="00957E8C">
        <w:rPr>
          <w:rFonts w:asciiTheme="minorHAnsi" w:hAnsiTheme="minorHAnsi"/>
        </w:rPr>
        <w:t>stępowaniach (art. 8 Konwencji);</w:t>
      </w:r>
    </w:p>
    <w:p w:rsidR="00260C5C" w:rsidRPr="004070B0" w:rsidRDefault="00260C5C" w:rsidP="00957E8C">
      <w:pPr>
        <w:numPr>
          <w:ilvl w:val="0"/>
          <w:numId w:val="22"/>
        </w:numPr>
        <w:spacing w:after="120"/>
        <w:ind w:left="709" w:hanging="425"/>
        <w:jc w:val="both"/>
        <w:rPr>
          <w:rFonts w:asciiTheme="minorHAnsi" w:hAnsiTheme="minorHAnsi"/>
        </w:rPr>
      </w:pPr>
      <w:r w:rsidRPr="004070B0">
        <w:rPr>
          <w:rFonts w:asciiTheme="minorHAnsi" w:hAnsiTheme="minorHAnsi"/>
        </w:rPr>
        <w:lastRenderedPageBreak/>
        <w:t>1 skarga dotycząca przeszukania mieszkan</w:t>
      </w:r>
      <w:r w:rsidR="00957E8C">
        <w:rPr>
          <w:rFonts w:asciiTheme="minorHAnsi" w:hAnsiTheme="minorHAnsi"/>
        </w:rPr>
        <w:t>ia (art. 8 Konwencji);</w:t>
      </w:r>
    </w:p>
    <w:p w:rsidR="00260C5C" w:rsidRPr="004070B0" w:rsidRDefault="00260C5C" w:rsidP="00957E8C">
      <w:pPr>
        <w:numPr>
          <w:ilvl w:val="0"/>
          <w:numId w:val="22"/>
        </w:numPr>
        <w:spacing w:after="120"/>
        <w:ind w:left="709" w:hanging="425"/>
        <w:jc w:val="both"/>
        <w:rPr>
          <w:rFonts w:asciiTheme="minorHAnsi" w:hAnsiTheme="minorHAnsi"/>
        </w:rPr>
      </w:pPr>
      <w:r w:rsidRPr="004070B0">
        <w:rPr>
          <w:rFonts w:asciiTheme="minorHAnsi" w:hAnsiTheme="minorHAnsi"/>
        </w:rPr>
        <w:t xml:space="preserve">1 skarga dotycząca braku udziału oskarżonego w rozprawie apelacyjnej (art. 6 ust. 1 i </w:t>
      </w:r>
      <w:r w:rsidR="00957E8C">
        <w:rPr>
          <w:rFonts w:asciiTheme="minorHAnsi" w:hAnsiTheme="minorHAnsi"/>
        </w:rPr>
        <w:t>art. 6 ust. 3 lit. c Konwencji);</w:t>
      </w:r>
    </w:p>
    <w:p w:rsidR="00260C5C" w:rsidRPr="004070B0" w:rsidRDefault="00260C5C" w:rsidP="00957E8C">
      <w:pPr>
        <w:numPr>
          <w:ilvl w:val="0"/>
          <w:numId w:val="22"/>
        </w:numPr>
        <w:spacing w:after="120"/>
        <w:ind w:left="709" w:hanging="425"/>
        <w:jc w:val="both"/>
        <w:rPr>
          <w:rFonts w:asciiTheme="minorHAnsi" w:hAnsiTheme="minorHAnsi"/>
        </w:rPr>
      </w:pPr>
      <w:r w:rsidRPr="004070B0">
        <w:rPr>
          <w:rFonts w:asciiTheme="minorHAnsi" w:hAnsiTheme="minorHAnsi"/>
        </w:rPr>
        <w:t>1 skarga dotycząca braku ochrony skarżących i ich krewnego przez policję przed przemocą domową oraz braku skutecznego śledztwa w sprawie przemocy, która doprowadziła do śmierci krewnego skarżący</w:t>
      </w:r>
      <w:r w:rsidR="00957E8C">
        <w:rPr>
          <w:rFonts w:asciiTheme="minorHAnsi" w:hAnsiTheme="minorHAnsi"/>
        </w:rPr>
        <w:t>ch (art. 2 i art. 3 Konwencji);</w:t>
      </w:r>
    </w:p>
    <w:p w:rsidR="00260C5C" w:rsidRPr="004070B0" w:rsidRDefault="00260C5C" w:rsidP="00957E8C">
      <w:pPr>
        <w:numPr>
          <w:ilvl w:val="0"/>
          <w:numId w:val="22"/>
        </w:numPr>
        <w:spacing w:after="120"/>
        <w:ind w:left="709" w:hanging="425"/>
        <w:jc w:val="both"/>
        <w:rPr>
          <w:rFonts w:asciiTheme="minorHAnsi" w:hAnsiTheme="minorHAnsi"/>
        </w:rPr>
      </w:pPr>
      <w:r w:rsidRPr="004070B0">
        <w:rPr>
          <w:rFonts w:asciiTheme="minorHAnsi" w:hAnsiTheme="minorHAnsi"/>
        </w:rPr>
        <w:t>1 skarga dotycząca orzeczenia kolejnej surowszej kary po uchyleniu wyroku skazującego przez Sąd Najwyższy mimo wcześniejszego zastosowania wobec skarżącego warunkowego przedterminowego zwolnienia (art. 6 ust. 1 Kon</w:t>
      </w:r>
      <w:r w:rsidR="00957E8C">
        <w:rPr>
          <w:rFonts w:asciiTheme="minorHAnsi" w:hAnsiTheme="minorHAnsi"/>
        </w:rPr>
        <w:t>wencji i art. 4 Protokołu nr 7);</w:t>
      </w:r>
    </w:p>
    <w:p w:rsidR="00260C5C" w:rsidRPr="004070B0" w:rsidRDefault="00260C5C" w:rsidP="00957E8C">
      <w:pPr>
        <w:numPr>
          <w:ilvl w:val="0"/>
          <w:numId w:val="22"/>
        </w:numPr>
        <w:spacing w:after="120"/>
        <w:ind w:left="709" w:hanging="425"/>
        <w:jc w:val="both"/>
        <w:rPr>
          <w:rFonts w:asciiTheme="minorHAnsi" w:hAnsiTheme="minorHAnsi"/>
        </w:rPr>
      </w:pPr>
      <w:r w:rsidRPr="004070B0">
        <w:rPr>
          <w:rFonts w:asciiTheme="minorHAnsi" w:hAnsiTheme="minorHAnsi"/>
        </w:rPr>
        <w:t>1 skarga dotycząca skazania za przestępstwo po uniewinnieniu w postępowaniu wykroczen</w:t>
      </w:r>
      <w:r w:rsidR="00957E8C">
        <w:rPr>
          <w:rFonts w:asciiTheme="minorHAnsi" w:hAnsiTheme="minorHAnsi"/>
        </w:rPr>
        <w:t>iowym (art. 7 ust. 1 Konwencji).</w:t>
      </w:r>
    </w:p>
    <w:p w:rsidR="00260C5C" w:rsidRPr="004070B0" w:rsidRDefault="00260C5C" w:rsidP="004070B0">
      <w:pPr>
        <w:spacing w:after="120"/>
        <w:jc w:val="both"/>
        <w:rPr>
          <w:rFonts w:asciiTheme="minorHAnsi" w:hAnsiTheme="minorHAnsi" w:cs="Arial"/>
        </w:rPr>
      </w:pPr>
      <w:r w:rsidRPr="004070B0">
        <w:rPr>
          <w:rFonts w:asciiTheme="minorHAnsi" w:hAnsiTheme="minorHAnsi" w:cs="Arial"/>
          <w:b/>
        </w:rPr>
        <w:t>13</w:t>
      </w:r>
      <w:r w:rsidRPr="004070B0">
        <w:rPr>
          <w:rFonts w:asciiTheme="minorHAnsi" w:hAnsiTheme="minorHAnsi" w:cs="Arial"/>
        </w:rPr>
        <w:t xml:space="preserve"> skarg dotyczących </w:t>
      </w:r>
      <w:r w:rsidRPr="004070B0">
        <w:rPr>
          <w:rFonts w:asciiTheme="minorHAnsi" w:hAnsiTheme="minorHAnsi" w:cs="Arial"/>
          <w:u w:val="single"/>
        </w:rPr>
        <w:t>dostępu do zabiegu przerwania ciąży</w:t>
      </w:r>
      <w:r w:rsidRPr="004070B0">
        <w:rPr>
          <w:rFonts w:asciiTheme="minorHAnsi" w:hAnsiTheme="minorHAnsi" w:cs="Arial"/>
        </w:rPr>
        <w:t xml:space="preserve"> z powodu wad płodu oraz skutków wyroku Trybunału Konstytucyjnego z dnia 22 października 2020 r.</w:t>
      </w:r>
      <w:r w:rsidR="00957E8C">
        <w:rPr>
          <w:rFonts w:asciiTheme="minorHAnsi" w:hAnsiTheme="minorHAnsi" w:cs="Arial"/>
        </w:rPr>
        <w:t>,</w:t>
      </w:r>
      <w:r w:rsidRPr="004070B0">
        <w:rPr>
          <w:rFonts w:asciiTheme="minorHAnsi" w:hAnsiTheme="minorHAnsi" w:cs="Arial"/>
        </w:rPr>
        <w:t xml:space="preserve"> sygn. K 1/20</w:t>
      </w:r>
      <w:r w:rsidR="00957E8C">
        <w:rPr>
          <w:rFonts w:asciiTheme="minorHAnsi" w:hAnsiTheme="minorHAnsi" w:cs="Arial"/>
        </w:rPr>
        <w:t>,</w:t>
      </w:r>
      <w:r w:rsidRPr="004070B0">
        <w:rPr>
          <w:rFonts w:asciiTheme="minorHAnsi" w:hAnsiTheme="minorHAnsi" w:cs="Arial"/>
        </w:rPr>
        <w:t xml:space="preserve"> dotyczącego </w:t>
      </w:r>
      <w:r w:rsidR="00957E8C">
        <w:rPr>
          <w:rFonts w:asciiTheme="minorHAnsi" w:hAnsiTheme="minorHAnsi" w:cs="Arial"/>
        </w:rPr>
        <w:t xml:space="preserve">tzw. </w:t>
      </w:r>
      <w:r w:rsidRPr="004070B0">
        <w:rPr>
          <w:rFonts w:asciiTheme="minorHAnsi" w:hAnsiTheme="minorHAnsi" w:cs="Arial"/>
        </w:rPr>
        <w:t>eugenicznej przesłanki przerywania ciąży (art. 8 i art. 3</w:t>
      </w:r>
      <w:r w:rsidRPr="004070B0">
        <w:rPr>
          <w:rFonts w:asciiTheme="minorHAnsi" w:hAnsiTheme="minorHAnsi"/>
        </w:rPr>
        <w:t xml:space="preserve"> Konwencji</w:t>
      </w:r>
      <w:r w:rsidRPr="004070B0">
        <w:rPr>
          <w:rFonts w:asciiTheme="minorHAnsi" w:hAnsiTheme="minorHAnsi" w:cs="Arial"/>
        </w:rPr>
        <w:t>), w tym:</w:t>
      </w:r>
    </w:p>
    <w:p w:rsidR="00260C5C" w:rsidRPr="004070B0" w:rsidRDefault="00260C5C" w:rsidP="00957E8C">
      <w:pPr>
        <w:numPr>
          <w:ilvl w:val="0"/>
          <w:numId w:val="22"/>
        </w:numPr>
        <w:spacing w:after="120"/>
        <w:ind w:left="709" w:hanging="425"/>
        <w:jc w:val="both"/>
        <w:rPr>
          <w:rFonts w:asciiTheme="minorHAnsi" w:hAnsiTheme="minorHAnsi"/>
        </w:rPr>
      </w:pPr>
      <w:r w:rsidRPr="004070B0">
        <w:rPr>
          <w:rFonts w:asciiTheme="minorHAnsi" w:hAnsiTheme="minorHAnsi"/>
        </w:rPr>
        <w:t>12 skarg kobiet twierdzących, że są potencja</w:t>
      </w:r>
      <w:r w:rsidR="00957E8C">
        <w:rPr>
          <w:rFonts w:asciiTheme="minorHAnsi" w:hAnsiTheme="minorHAnsi"/>
        </w:rPr>
        <w:t>lnie dotknięte skutkami wyroku;</w:t>
      </w:r>
    </w:p>
    <w:p w:rsidR="00260C5C" w:rsidRPr="004070B0" w:rsidRDefault="00260C5C" w:rsidP="00957E8C">
      <w:pPr>
        <w:numPr>
          <w:ilvl w:val="0"/>
          <w:numId w:val="22"/>
        </w:numPr>
        <w:spacing w:after="120"/>
        <w:ind w:left="709" w:hanging="425"/>
        <w:jc w:val="both"/>
        <w:rPr>
          <w:rFonts w:asciiTheme="minorHAnsi" w:hAnsiTheme="minorHAnsi" w:cs="Arial"/>
        </w:rPr>
      </w:pPr>
      <w:r w:rsidRPr="004070B0">
        <w:rPr>
          <w:rFonts w:asciiTheme="minorHAnsi" w:hAnsiTheme="minorHAnsi"/>
        </w:rPr>
        <w:t>1 skarga kobiety, która udała się za granicę, by poddać się zabiegowi przerwania ciąży z powodu wady wrodzonej</w:t>
      </w:r>
      <w:r w:rsidR="00957E8C">
        <w:rPr>
          <w:rFonts w:asciiTheme="minorHAnsi" w:hAnsiTheme="minorHAnsi" w:cs="Arial"/>
        </w:rPr>
        <w:t xml:space="preserve"> dziecka.</w:t>
      </w:r>
    </w:p>
    <w:p w:rsidR="00260C5C" w:rsidRPr="004070B0" w:rsidRDefault="00260C5C" w:rsidP="004070B0">
      <w:pPr>
        <w:spacing w:after="120"/>
        <w:rPr>
          <w:rFonts w:asciiTheme="minorHAnsi" w:hAnsiTheme="minorHAnsi" w:cs="Arial"/>
        </w:rPr>
      </w:pPr>
      <w:r w:rsidRPr="004070B0">
        <w:rPr>
          <w:rFonts w:asciiTheme="minorHAnsi" w:hAnsiTheme="minorHAnsi" w:cs="Arial"/>
          <w:b/>
        </w:rPr>
        <w:t>12</w:t>
      </w:r>
      <w:r w:rsidRPr="004070B0">
        <w:rPr>
          <w:rFonts w:asciiTheme="minorHAnsi" w:hAnsiTheme="minorHAnsi" w:cs="Arial"/>
        </w:rPr>
        <w:t xml:space="preserve"> skarg dotyczących </w:t>
      </w:r>
      <w:r w:rsidRPr="004070B0">
        <w:rPr>
          <w:rFonts w:asciiTheme="minorHAnsi" w:hAnsiTheme="minorHAnsi" w:cs="Arial"/>
          <w:u w:val="single"/>
        </w:rPr>
        <w:t>przewlekłości w kontekście pozbawienia wolności</w:t>
      </w:r>
      <w:r w:rsidRPr="004070B0">
        <w:rPr>
          <w:rFonts w:asciiTheme="minorHAnsi" w:hAnsiTheme="minorHAnsi" w:cs="Arial"/>
        </w:rPr>
        <w:t>, w tym:</w:t>
      </w:r>
    </w:p>
    <w:p w:rsidR="00260C5C" w:rsidRPr="004070B0" w:rsidRDefault="00260C5C" w:rsidP="00957E8C">
      <w:pPr>
        <w:numPr>
          <w:ilvl w:val="0"/>
          <w:numId w:val="22"/>
        </w:numPr>
        <w:spacing w:after="120"/>
        <w:ind w:left="709" w:hanging="425"/>
        <w:jc w:val="both"/>
        <w:rPr>
          <w:rFonts w:asciiTheme="minorHAnsi" w:hAnsiTheme="minorHAnsi"/>
        </w:rPr>
      </w:pPr>
      <w:r w:rsidRPr="004070B0">
        <w:rPr>
          <w:rFonts w:asciiTheme="minorHAnsi" w:hAnsiTheme="minorHAnsi"/>
        </w:rPr>
        <w:t>8 skarg dotyczących zarzutu przewlekłości tymczasowego areszto</w:t>
      </w:r>
      <w:r w:rsidR="00957E8C">
        <w:rPr>
          <w:rFonts w:asciiTheme="minorHAnsi" w:hAnsiTheme="minorHAnsi"/>
        </w:rPr>
        <w:t>wania (art. 5 ust. 3 Konwencji);</w:t>
      </w:r>
    </w:p>
    <w:p w:rsidR="00260C5C" w:rsidRPr="004070B0" w:rsidRDefault="00260C5C" w:rsidP="00957E8C">
      <w:pPr>
        <w:numPr>
          <w:ilvl w:val="0"/>
          <w:numId w:val="22"/>
        </w:numPr>
        <w:spacing w:after="120"/>
        <w:ind w:left="709" w:hanging="425"/>
        <w:jc w:val="both"/>
        <w:rPr>
          <w:rFonts w:asciiTheme="minorHAnsi" w:hAnsiTheme="minorHAnsi"/>
        </w:rPr>
      </w:pPr>
      <w:r w:rsidRPr="004070B0">
        <w:rPr>
          <w:rFonts w:asciiTheme="minorHAnsi" w:hAnsiTheme="minorHAnsi"/>
        </w:rPr>
        <w:t xml:space="preserve">4 skargi dotyczące braku niezwłocznego postawienia przed sędzią lub bezzwłoczności procedury </w:t>
      </w:r>
      <w:r w:rsidRPr="004070B0">
        <w:rPr>
          <w:rFonts w:asciiTheme="minorHAnsi" w:hAnsiTheme="minorHAnsi"/>
          <w:i/>
        </w:rPr>
        <w:t>habeas corpus</w:t>
      </w:r>
      <w:r w:rsidRPr="004070B0">
        <w:rPr>
          <w:rFonts w:asciiTheme="minorHAnsi" w:hAnsiTheme="minorHAnsi"/>
        </w:rPr>
        <w:t xml:space="preserve"> (art. 5 u</w:t>
      </w:r>
      <w:r w:rsidR="00957E8C">
        <w:rPr>
          <w:rFonts w:asciiTheme="minorHAnsi" w:hAnsiTheme="minorHAnsi"/>
        </w:rPr>
        <w:t>st 3 i art. 5 ust. 4 Konwencji).</w:t>
      </w:r>
    </w:p>
    <w:p w:rsidR="00260C5C" w:rsidRPr="004070B0" w:rsidRDefault="00260C5C" w:rsidP="004070B0">
      <w:pPr>
        <w:spacing w:after="120"/>
        <w:rPr>
          <w:rFonts w:asciiTheme="minorHAnsi" w:eastAsiaTheme="minorHAnsi" w:hAnsiTheme="minorHAnsi" w:cstheme="minorBidi"/>
          <w:lang w:eastAsia="en-US"/>
        </w:rPr>
      </w:pPr>
      <w:r w:rsidRPr="004070B0">
        <w:rPr>
          <w:rFonts w:asciiTheme="minorHAnsi" w:eastAsiaTheme="minorHAnsi" w:hAnsiTheme="minorHAnsi" w:cstheme="minorBidi"/>
          <w:b/>
          <w:lang w:eastAsia="en-US"/>
        </w:rPr>
        <w:t xml:space="preserve">9 </w:t>
      </w:r>
      <w:r w:rsidRPr="004070B0">
        <w:rPr>
          <w:rFonts w:asciiTheme="minorHAnsi" w:eastAsiaTheme="minorHAnsi" w:hAnsiTheme="minorHAnsi" w:cstheme="minorBidi"/>
          <w:lang w:eastAsia="en-US"/>
        </w:rPr>
        <w:t xml:space="preserve">skarg dotyczących </w:t>
      </w:r>
      <w:r w:rsidRPr="004070B0">
        <w:rPr>
          <w:rFonts w:asciiTheme="minorHAnsi" w:eastAsiaTheme="minorHAnsi" w:hAnsiTheme="minorHAnsi" w:cstheme="minorBidi"/>
          <w:u w:val="single"/>
          <w:lang w:eastAsia="en-US"/>
        </w:rPr>
        <w:t>praw osób osadzonych,</w:t>
      </w:r>
      <w:r w:rsidRPr="004070B0">
        <w:rPr>
          <w:rFonts w:asciiTheme="minorHAnsi" w:eastAsiaTheme="minorHAnsi" w:hAnsiTheme="minorHAnsi" w:cstheme="minorBidi"/>
          <w:lang w:eastAsia="en-US"/>
        </w:rPr>
        <w:t xml:space="preserve"> w tym:</w:t>
      </w:r>
    </w:p>
    <w:p w:rsidR="00260C5C" w:rsidRPr="004070B0" w:rsidRDefault="00260C5C" w:rsidP="00957E8C">
      <w:pPr>
        <w:numPr>
          <w:ilvl w:val="0"/>
          <w:numId w:val="22"/>
        </w:numPr>
        <w:spacing w:after="120"/>
        <w:ind w:left="709" w:hanging="425"/>
        <w:jc w:val="both"/>
        <w:rPr>
          <w:rFonts w:asciiTheme="minorHAnsi" w:hAnsiTheme="minorHAnsi"/>
        </w:rPr>
      </w:pPr>
      <w:r w:rsidRPr="004070B0">
        <w:rPr>
          <w:rFonts w:asciiTheme="minorHAnsi" w:hAnsiTheme="minorHAnsi"/>
        </w:rPr>
        <w:t>3 skargi dotyczące odmowy przepustki na pogrzeb lub uroczystość religijn</w:t>
      </w:r>
      <w:r w:rsidR="00957E8C">
        <w:rPr>
          <w:rFonts w:asciiTheme="minorHAnsi" w:hAnsiTheme="minorHAnsi"/>
        </w:rPr>
        <w:t>ą w rodzinie (art. 8 Konwencji);</w:t>
      </w:r>
    </w:p>
    <w:p w:rsidR="00260C5C" w:rsidRPr="004070B0" w:rsidRDefault="00260C5C" w:rsidP="00957E8C">
      <w:pPr>
        <w:numPr>
          <w:ilvl w:val="0"/>
          <w:numId w:val="22"/>
        </w:numPr>
        <w:spacing w:after="120"/>
        <w:ind w:left="709" w:hanging="425"/>
        <w:jc w:val="both"/>
        <w:rPr>
          <w:rFonts w:asciiTheme="minorHAnsi" w:hAnsiTheme="minorHAnsi"/>
        </w:rPr>
      </w:pPr>
      <w:r w:rsidRPr="004070B0">
        <w:rPr>
          <w:rFonts w:asciiTheme="minorHAnsi" w:hAnsiTheme="minorHAnsi"/>
        </w:rPr>
        <w:t>2 skargi dotyczące dostępu do odpowiedniego leczenia w zakładzie karnym (art. 3 Konwencji), w tym skarga osoby transseksualnej (pat</w:t>
      </w:r>
      <w:r w:rsidR="00957E8C">
        <w:rPr>
          <w:rFonts w:asciiTheme="minorHAnsi" w:hAnsiTheme="minorHAnsi"/>
        </w:rPr>
        <w:t>rz niżej);</w:t>
      </w:r>
    </w:p>
    <w:p w:rsidR="00260C5C" w:rsidRPr="004070B0" w:rsidRDefault="00260C5C" w:rsidP="00957E8C">
      <w:pPr>
        <w:numPr>
          <w:ilvl w:val="0"/>
          <w:numId w:val="22"/>
        </w:numPr>
        <w:spacing w:after="120"/>
        <w:ind w:left="709" w:hanging="425"/>
        <w:jc w:val="both"/>
        <w:rPr>
          <w:rFonts w:asciiTheme="minorHAnsi" w:hAnsiTheme="minorHAnsi"/>
        </w:rPr>
      </w:pPr>
      <w:r w:rsidRPr="004070B0">
        <w:rPr>
          <w:rFonts w:asciiTheme="minorHAnsi" w:hAnsiTheme="minorHAnsi"/>
        </w:rPr>
        <w:t>1 skarga dotycząca nieludzkiego lub poniżającego traktowania w związku ze stosowaniem reżimu „więźnia niebezpi</w:t>
      </w:r>
      <w:r w:rsidR="00957E8C">
        <w:rPr>
          <w:rFonts w:asciiTheme="minorHAnsi" w:hAnsiTheme="minorHAnsi"/>
        </w:rPr>
        <w:t>ecznego” „N” (art. 3 Konwencji);</w:t>
      </w:r>
    </w:p>
    <w:p w:rsidR="00260C5C" w:rsidRPr="004070B0" w:rsidRDefault="00260C5C" w:rsidP="00957E8C">
      <w:pPr>
        <w:numPr>
          <w:ilvl w:val="0"/>
          <w:numId w:val="22"/>
        </w:numPr>
        <w:spacing w:after="120"/>
        <w:ind w:left="709" w:hanging="425"/>
        <w:jc w:val="both"/>
        <w:rPr>
          <w:rFonts w:asciiTheme="minorHAnsi" w:hAnsiTheme="minorHAnsi"/>
        </w:rPr>
      </w:pPr>
      <w:r w:rsidRPr="004070B0">
        <w:rPr>
          <w:rFonts w:asciiTheme="minorHAnsi" w:hAnsiTheme="minorHAnsi"/>
        </w:rPr>
        <w:t>1 skarga dotycząca zapewnienia diety wyznaniowej w zakł</w:t>
      </w:r>
      <w:r w:rsidR="00957E8C">
        <w:rPr>
          <w:rFonts w:asciiTheme="minorHAnsi" w:hAnsiTheme="minorHAnsi"/>
        </w:rPr>
        <w:t>adzie karnym (art. 9 Konwencji);</w:t>
      </w:r>
    </w:p>
    <w:p w:rsidR="00260C5C" w:rsidRPr="004070B0" w:rsidRDefault="00260C5C" w:rsidP="00957E8C">
      <w:pPr>
        <w:numPr>
          <w:ilvl w:val="0"/>
          <w:numId w:val="22"/>
        </w:numPr>
        <w:spacing w:after="120"/>
        <w:ind w:left="709" w:hanging="425"/>
        <w:jc w:val="both"/>
        <w:rPr>
          <w:rFonts w:asciiTheme="minorHAnsi" w:hAnsiTheme="minorHAnsi"/>
        </w:rPr>
      </w:pPr>
      <w:r w:rsidRPr="004070B0">
        <w:rPr>
          <w:rFonts w:asciiTheme="minorHAnsi" w:hAnsiTheme="minorHAnsi"/>
        </w:rPr>
        <w:t>1 skarga dotycząca braku dostępu do sądu pracy dla więźnia, któremu uniemożliwiono dalsze zatrudnienie w przedsiębiorstwie zewnętrznym, w celu dochodzenia od przedsiębiorstwa świadczeń z tzw. tarczy antycovidowej (art</w:t>
      </w:r>
      <w:r w:rsidR="00957E8C">
        <w:rPr>
          <w:rFonts w:asciiTheme="minorHAnsi" w:hAnsiTheme="minorHAnsi"/>
        </w:rPr>
        <w:t>. 6 ust. 1 i art. 14 Konwencji);</w:t>
      </w:r>
    </w:p>
    <w:p w:rsidR="00260C5C" w:rsidRPr="004070B0" w:rsidRDefault="00260C5C" w:rsidP="00957E8C">
      <w:pPr>
        <w:numPr>
          <w:ilvl w:val="0"/>
          <w:numId w:val="22"/>
        </w:numPr>
        <w:spacing w:after="120"/>
        <w:ind w:left="709" w:hanging="425"/>
        <w:jc w:val="both"/>
        <w:rPr>
          <w:rFonts w:asciiTheme="minorHAnsi" w:hAnsiTheme="minorHAnsi"/>
        </w:rPr>
      </w:pPr>
      <w:r w:rsidRPr="004070B0">
        <w:rPr>
          <w:rFonts w:asciiTheme="minorHAnsi" w:hAnsiTheme="minorHAnsi"/>
        </w:rPr>
        <w:t>1 skarga dotycząca długotrwałego zakazu wizyt rodziny w zakładzie karnym z uwagi na pande</w:t>
      </w:r>
      <w:r w:rsidR="00957E8C">
        <w:rPr>
          <w:rFonts w:asciiTheme="minorHAnsi" w:hAnsiTheme="minorHAnsi"/>
        </w:rPr>
        <w:t>mię COVID-19 (art. 8 Konwencji).</w:t>
      </w:r>
    </w:p>
    <w:p w:rsidR="00260C5C" w:rsidRPr="004070B0" w:rsidRDefault="00260C5C" w:rsidP="004070B0">
      <w:pPr>
        <w:spacing w:after="120"/>
        <w:rPr>
          <w:rFonts w:asciiTheme="minorHAnsi" w:eastAsiaTheme="minorHAnsi" w:hAnsiTheme="minorHAnsi" w:cstheme="minorBidi"/>
          <w:lang w:eastAsia="en-US"/>
        </w:rPr>
      </w:pPr>
      <w:r w:rsidRPr="004070B0">
        <w:rPr>
          <w:rFonts w:asciiTheme="minorHAnsi" w:eastAsiaTheme="minorHAnsi" w:hAnsiTheme="minorHAnsi" w:cstheme="minorBidi"/>
          <w:b/>
          <w:lang w:eastAsia="en-US"/>
        </w:rPr>
        <w:t>8</w:t>
      </w:r>
      <w:r w:rsidRPr="004070B0">
        <w:rPr>
          <w:rFonts w:asciiTheme="minorHAnsi" w:eastAsiaTheme="minorHAnsi" w:hAnsiTheme="minorHAnsi" w:cstheme="minorBidi"/>
          <w:lang w:eastAsia="en-US"/>
        </w:rPr>
        <w:t xml:space="preserve"> skarg dotyczących </w:t>
      </w:r>
      <w:r w:rsidRPr="004070B0">
        <w:rPr>
          <w:rFonts w:asciiTheme="minorHAnsi" w:eastAsiaTheme="minorHAnsi" w:hAnsiTheme="minorHAnsi" w:cstheme="minorBidi"/>
          <w:u w:val="single"/>
          <w:lang w:eastAsia="en-US"/>
        </w:rPr>
        <w:t>postępowań w sprawach cudzoziemców</w:t>
      </w:r>
      <w:r w:rsidRPr="004070B0">
        <w:rPr>
          <w:rFonts w:asciiTheme="minorHAnsi" w:eastAsiaTheme="minorHAnsi" w:hAnsiTheme="minorHAnsi" w:cstheme="minorBidi"/>
          <w:lang w:eastAsia="en-US"/>
        </w:rPr>
        <w:t>, w tym:</w:t>
      </w:r>
    </w:p>
    <w:p w:rsidR="00260C5C" w:rsidRPr="004070B0" w:rsidRDefault="00260C5C" w:rsidP="00957E8C">
      <w:pPr>
        <w:numPr>
          <w:ilvl w:val="0"/>
          <w:numId w:val="22"/>
        </w:numPr>
        <w:spacing w:after="120"/>
        <w:ind w:left="709" w:hanging="425"/>
        <w:jc w:val="both"/>
        <w:rPr>
          <w:rFonts w:asciiTheme="minorHAnsi" w:hAnsiTheme="minorHAnsi"/>
        </w:rPr>
      </w:pPr>
      <w:r w:rsidRPr="004070B0">
        <w:rPr>
          <w:rFonts w:asciiTheme="minorHAnsi" w:hAnsiTheme="minorHAnsi"/>
        </w:rPr>
        <w:lastRenderedPageBreak/>
        <w:t xml:space="preserve">3 skargi z 2017 </w:t>
      </w:r>
      <w:r w:rsidR="00B0346B" w:rsidRPr="004070B0">
        <w:rPr>
          <w:rFonts w:asciiTheme="minorHAnsi" w:hAnsiTheme="minorHAnsi"/>
        </w:rPr>
        <w:t xml:space="preserve">r. </w:t>
      </w:r>
      <w:r w:rsidRPr="004070B0">
        <w:rPr>
          <w:rFonts w:asciiTheme="minorHAnsi" w:hAnsiTheme="minorHAnsi"/>
        </w:rPr>
        <w:t>dotyczące zawrócenia cudzoziemców na Białoruś i odmowy przyjęcia wniosków o ochronę międzynarodową na granicy w Terespolu (różne zarzuty w poszczególnych skargach: art. 3, art. 13, art. 34 Konwencji, art.</w:t>
      </w:r>
      <w:r w:rsidR="00B0346B" w:rsidRPr="004070B0">
        <w:rPr>
          <w:rFonts w:asciiTheme="minorHAnsi" w:hAnsiTheme="minorHAnsi"/>
        </w:rPr>
        <w:t xml:space="preserve"> 4</w:t>
      </w:r>
      <w:r w:rsidRPr="004070B0">
        <w:rPr>
          <w:rFonts w:asciiTheme="minorHAnsi" w:hAnsiTheme="minorHAnsi"/>
        </w:rPr>
        <w:t xml:space="preserve"> Protokołu nr 4</w:t>
      </w:r>
      <w:r w:rsidR="00AF6A15">
        <w:rPr>
          <w:rFonts w:asciiTheme="minorHAnsi" w:hAnsiTheme="minorHAnsi"/>
        </w:rPr>
        <w:t xml:space="preserve"> do </w:t>
      </w:r>
      <w:r w:rsidR="00AF6A15" w:rsidRPr="004070B0">
        <w:rPr>
          <w:rFonts w:asciiTheme="minorHAnsi" w:hAnsiTheme="minorHAnsi"/>
        </w:rPr>
        <w:t>Konwencji</w:t>
      </w:r>
      <w:r w:rsidR="00AF6A15">
        <w:rPr>
          <w:rFonts w:asciiTheme="minorHAnsi" w:hAnsiTheme="minorHAnsi"/>
        </w:rPr>
        <w:t>);</w:t>
      </w:r>
    </w:p>
    <w:p w:rsidR="00260C5C" w:rsidRPr="004070B0" w:rsidRDefault="00260C5C" w:rsidP="00957E8C">
      <w:pPr>
        <w:numPr>
          <w:ilvl w:val="0"/>
          <w:numId w:val="22"/>
        </w:numPr>
        <w:spacing w:after="120"/>
        <w:ind w:left="709" w:hanging="425"/>
        <w:jc w:val="both"/>
        <w:rPr>
          <w:rFonts w:asciiTheme="minorHAnsi" w:hAnsiTheme="minorHAnsi"/>
        </w:rPr>
      </w:pPr>
      <w:r w:rsidRPr="004070B0">
        <w:rPr>
          <w:rFonts w:asciiTheme="minorHAnsi" w:hAnsiTheme="minorHAnsi"/>
        </w:rPr>
        <w:t>2 skargi dotyczące niezasadności i niezgodności z prawem umieszczenia rodzin z dziećmi w strzeżonym ośrodku dla cudzoziemców (art. 5 ust. 1 lit. f, art. 5 us</w:t>
      </w:r>
      <w:r w:rsidR="00AF6A15">
        <w:rPr>
          <w:rFonts w:asciiTheme="minorHAnsi" w:hAnsiTheme="minorHAnsi"/>
        </w:rPr>
        <w:t>t. 4, art. 3, art. 8 Konwencji);</w:t>
      </w:r>
    </w:p>
    <w:p w:rsidR="00260C5C" w:rsidRPr="004070B0" w:rsidRDefault="00260C5C" w:rsidP="00957E8C">
      <w:pPr>
        <w:numPr>
          <w:ilvl w:val="0"/>
          <w:numId w:val="22"/>
        </w:numPr>
        <w:spacing w:after="120"/>
        <w:ind w:left="709" w:hanging="425"/>
        <w:jc w:val="both"/>
        <w:rPr>
          <w:rFonts w:asciiTheme="minorHAnsi" w:hAnsiTheme="minorHAnsi"/>
        </w:rPr>
      </w:pPr>
      <w:r w:rsidRPr="004070B0">
        <w:rPr>
          <w:rFonts w:asciiTheme="minorHAnsi" w:hAnsiTheme="minorHAnsi"/>
        </w:rPr>
        <w:t>1 skarga na brak możliwości powrotu cudzoziemca do Polski, gdzie wcześniej mieszkał zgodnie z prawem z żoną i córką, z uwagi na wpisanie go do wykazu cudzoziemców, których</w:t>
      </w:r>
      <w:r w:rsidR="00AF6A15">
        <w:rPr>
          <w:rFonts w:asciiTheme="minorHAnsi" w:hAnsiTheme="minorHAnsi"/>
        </w:rPr>
        <w:t xml:space="preserve"> </w:t>
      </w:r>
      <w:r w:rsidRPr="004070B0">
        <w:rPr>
          <w:rFonts w:asciiTheme="minorHAnsi" w:hAnsiTheme="minorHAnsi"/>
        </w:rPr>
        <w:t>pobyt na</w:t>
      </w:r>
      <w:r w:rsidR="00AF6A15">
        <w:rPr>
          <w:rFonts w:asciiTheme="minorHAnsi" w:hAnsiTheme="minorHAnsi"/>
        </w:rPr>
        <w:t xml:space="preserve"> </w:t>
      </w:r>
      <w:r w:rsidRPr="004070B0">
        <w:rPr>
          <w:rFonts w:asciiTheme="minorHAnsi" w:hAnsiTheme="minorHAnsi"/>
        </w:rPr>
        <w:t>terytorium Polski jest niepożądany, dokonane w postępowaniu nierespektującym gwarancji procesowych (art. 8, art. 13 Konwencji, art. 1 Protokołu nr 7</w:t>
      </w:r>
      <w:r w:rsidR="00AF6A15">
        <w:rPr>
          <w:rFonts w:asciiTheme="minorHAnsi" w:hAnsiTheme="minorHAnsi"/>
        </w:rPr>
        <w:t xml:space="preserve"> do </w:t>
      </w:r>
      <w:r w:rsidR="00AF6A15" w:rsidRPr="004070B0">
        <w:rPr>
          <w:rFonts w:asciiTheme="minorHAnsi" w:hAnsiTheme="minorHAnsi"/>
        </w:rPr>
        <w:t>Konwencji</w:t>
      </w:r>
      <w:r w:rsidR="00AF6A15">
        <w:rPr>
          <w:rFonts w:asciiTheme="minorHAnsi" w:hAnsiTheme="minorHAnsi"/>
        </w:rPr>
        <w:t>);</w:t>
      </w:r>
    </w:p>
    <w:p w:rsidR="00260C5C" w:rsidRPr="004070B0" w:rsidRDefault="00260C5C" w:rsidP="00957E8C">
      <w:pPr>
        <w:numPr>
          <w:ilvl w:val="0"/>
          <w:numId w:val="22"/>
        </w:numPr>
        <w:spacing w:after="120"/>
        <w:ind w:left="709" w:hanging="425"/>
        <w:jc w:val="both"/>
        <w:rPr>
          <w:rFonts w:asciiTheme="minorHAnsi" w:hAnsiTheme="minorHAnsi"/>
        </w:rPr>
      </w:pPr>
      <w:r w:rsidRPr="004070B0">
        <w:rPr>
          <w:rFonts w:asciiTheme="minorHAnsi" w:hAnsiTheme="minorHAnsi"/>
        </w:rPr>
        <w:t>1 skarga dotycząca wydalenia skarżącego do Iraku przy braku poszanowania mających zastosowanie gwarancji proceduralnych (art. 13 Konwencji, art. 1 Protokołu nr 7</w:t>
      </w:r>
      <w:r w:rsidR="00AF6A15">
        <w:rPr>
          <w:rFonts w:asciiTheme="minorHAnsi" w:hAnsiTheme="minorHAnsi"/>
        </w:rPr>
        <w:t xml:space="preserve"> do </w:t>
      </w:r>
      <w:r w:rsidR="00AF6A15" w:rsidRPr="004070B0">
        <w:rPr>
          <w:rFonts w:asciiTheme="minorHAnsi" w:hAnsiTheme="minorHAnsi"/>
        </w:rPr>
        <w:t>Konwencji</w:t>
      </w:r>
      <w:r w:rsidR="00AF6A15">
        <w:rPr>
          <w:rFonts w:asciiTheme="minorHAnsi" w:hAnsiTheme="minorHAnsi"/>
        </w:rPr>
        <w:t>);</w:t>
      </w:r>
    </w:p>
    <w:p w:rsidR="00260C5C" w:rsidRPr="004070B0" w:rsidRDefault="00260C5C" w:rsidP="00957E8C">
      <w:pPr>
        <w:numPr>
          <w:ilvl w:val="0"/>
          <w:numId w:val="22"/>
        </w:numPr>
        <w:spacing w:after="120"/>
        <w:ind w:left="709" w:hanging="425"/>
        <w:jc w:val="both"/>
        <w:rPr>
          <w:rFonts w:asciiTheme="minorHAnsi" w:eastAsiaTheme="minorHAnsi" w:hAnsiTheme="minorHAnsi" w:cstheme="minorBidi"/>
          <w:lang w:eastAsia="en-US"/>
        </w:rPr>
      </w:pPr>
      <w:r w:rsidRPr="004070B0">
        <w:rPr>
          <w:rFonts w:asciiTheme="minorHAnsi" w:hAnsiTheme="minorHAnsi"/>
        </w:rPr>
        <w:t>1 skarga dotycząca braku dostępu do procedur azylowych w Polsce, zawrócenia na Białoruś, możliwej deportacji do Afganistanu oraz braku pomocy humanitarnej w trakcie kryzysu na granicy polsko-białoruskiej w drugiej połowie 2021 r. (art. 2, art. 3, art. 13 i art. 34 Konwencji, art. 4 Protokołu nr</w:t>
      </w:r>
      <w:r w:rsidR="00AF6A15">
        <w:rPr>
          <w:rFonts w:asciiTheme="minorHAnsi" w:hAnsiTheme="minorHAnsi"/>
        </w:rPr>
        <w:t xml:space="preserve"> </w:t>
      </w:r>
      <w:r w:rsidRPr="004070B0">
        <w:rPr>
          <w:rFonts w:asciiTheme="minorHAnsi" w:hAnsiTheme="minorHAnsi"/>
        </w:rPr>
        <w:t>4</w:t>
      </w:r>
      <w:r w:rsidR="00AF6A15">
        <w:rPr>
          <w:rFonts w:asciiTheme="minorHAnsi" w:hAnsiTheme="minorHAnsi"/>
        </w:rPr>
        <w:t xml:space="preserve"> do </w:t>
      </w:r>
      <w:r w:rsidR="00AF6A15" w:rsidRPr="004070B0">
        <w:rPr>
          <w:rFonts w:asciiTheme="minorHAnsi" w:hAnsiTheme="minorHAnsi"/>
        </w:rPr>
        <w:t>Konwencji</w:t>
      </w:r>
      <w:r w:rsidR="00AF6A15">
        <w:rPr>
          <w:rFonts w:asciiTheme="minorHAnsi" w:hAnsiTheme="minorHAnsi"/>
        </w:rPr>
        <w:t>).</w:t>
      </w:r>
    </w:p>
    <w:p w:rsidR="00260C5C" w:rsidRPr="004070B0" w:rsidRDefault="00260C5C" w:rsidP="004070B0">
      <w:pPr>
        <w:spacing w:after="120"/>
        <w:rPr>
          <w:rFonts w:asciiTheme="minorHAnsi" w:eastAsiaTheme="minorHAnsi" w:hAnsiTheme="minorHAnsi" w:cstheme="minorBidi"/>
          <w:lang w:eastAsia="en-US"/>
        </w:rPr>
      </w:pPr>
      <w:r w:rsidRPr="004070B0">
        <w:rPr>
          <w:rFonts w:asciiTheme="minorHAnsi" w:eastAsiaTheme="minorHAnsi" w:hAnsiTheme="minorHAnsi" w:cstheme="minorBidi"/>
          <w:b/>
          <w:lang w:eastAsia="en-US"/>
        </w:rPr>
        <w:t>7</w:t>
      </w:r>
      <w:r w:rsidRPr="004070B0">
        <w:rPr>
          <w:rFonts w:asciiTheme="minorHAnsi" w:eastAsiaTheme="minorHAnsi" w:hAnsiTheme="minorHAnsi" w:cstheme="minorBidi"/>
          <w:lang w:eastAsia="en-US"/>
        </w:rPr>
        <w:t xml:space="preserve"> skarg odnoszących się do </w:t>
      </w:r>
      <w:r w:rsidRPr="004070B0">
        <w:rPr>
          <w:rFonts w:asciiTheme="minorHAnsi" w:eastAsiaTheme="minorHAnsi" w:hAnsiTheme="minorHAnsi" w:cstheme="minorBidi"/>
          <w:u w:val="single"/>
          <w:lang w:eastAsia="en-US"/>
        </w:rPr>
        <w:t>ochrony własności</w:t>
      </w:r>
      <w:r w:rsidRPr="004070B0">
        <w:rPr>
          <w:rFonts w:asciiTheme="minorHAnsi" w:eastAsiaTheme="minorHAnsi" w:hAnsiTheme="minorHAnsi" w:cstheme="minorBidi"/>
          <w:lang w:eastAsia="en-US"/>
        </w:rPr>
        <w:t>, w tym:</w:t>
      </w:r>
    </w:p>
    <w:p w:rsidR="00260C5C" w:rsidRPr="004070B0" w:rsidRDefault="00260C5C" w:rsidP="00AF6A15">
      <w:pPr>
        <w:numPr>
          <w:ilvl w:val="0"/>
          <w:numId w:val="22"/>
        </w:numPr>
        <w:spacing w:after="120"/>
        <w:ind w:left="709" w:hanging="425"/>
        <w:jc w:val="both"/>
        <w:rPr>
          <w:rFonts w:asciiTheme="minorHAnsi" w:hAnsiTheme="minorHAnsi"/>
        </w:rPr>
      </w:pPr>
      <w:r w:rsidRPr="004070B0">
        <w:rPr>
          <w:rFonts w:asciiTheme="minorHAnsi" w:hAnsiTheme="minorHAnsi"/>
        </w:rPr>
        <w:t xml:space="preserve">1 skarga dotycząca przewlekłości postępowania w sprawie wywłaszczenia działki pod budowę drogi i faktycznego zajęcia nieruchomości bez odszkodowania </w:t>
      </w:r>
      <w:r w:rsidRPr="004070B0">
        <w:rPr>
          <w:rFonts w:asciiTheme="minorHAnsi" w:eastAsiaTheme="minorHAnsi" w:hAnsiTheme="minorHAnsi" w:cstheme="minorBidi"/>
          <w:lang w:eastAsia="en-US"/>
        </w:rPr>
        <w:t>(art. 1 Protokołu nr 1</w:t>
      </w:r>
      <w:r w:rsidR="00AF6A15">
        <w:rPr>
          <w:rFonts w:asciiTheme="minorHAnsi" w:eastAsiaTheme="minorHAnsi" w:hAnsiTheme="minorHAnsi" w:cstheme="minorBidi"/>
          <w:lang w:eastAsia="en-US"/>
        </w:rPr>
        <w:t xml:space="preserve"> do </w:t>
      </w:r>
      <w:r w:rsidR="00AF6A15" w:rsidRPr="004070B0">
        <w:rPr>
          <w:rFonts w:asciiTheme="minorHAnsi" w:hAnsiTheme="minorHAnsi"/>
        </w:rPr>
        <w:t>Konwencji</w:t>
      </w:r>
      <w:r w:rsidR="00AF6A15">
        <w:rPr>
          <w:rFonts w:asciiTheme="minorHAnsi" w:eastAsiaTheme="minorHAnsi" w:hAnsiTheme="minorHAnsi" w:cstheme="minorBidi"/>
          <w:lang w:eastAsia="en-US"/>
        </w:rPr>
        <w:t>);</w:t>
      </w:r>
    </w:p>
    <w:p w:rsidR="00260C5C" w:rsidRPr="004070B0" w:rsidRDefault="00260C5C" w:rsidP="00AF6A15">
      <w:pPr>
        <w:numPr>
          <w:ilvl w:val="0"/>
          <w:numId w:val="22"/>
        </w:numPr>
        <w:spacing w:after="120"/>
        <w:ind w:left="709" w:hanging="425"/>
        <w:jc w:val="both"/>
        <w:rPr>
          <w:rFonts w:asciiTheme="minorHAnsi" w:hAnsiTheme="minorHAnsi"/>
        </w:rPr>
      </w:pPr>
      <w:r w:rsidRPr="004070B0">
        <w:rPr>
          <w:rFonts w:asciiTheme="minorHAnsi" w:hAnsiTheme="minorHAnsi"/>
        </w:rPr>
        <w:t xml:space="preserve">1 skarga dotycząca braku zwrotu nadpłaty podatku </w:t>
      </w:r>
      <w:r w:rsidRPr="004070B0">
        <w:rPr>
          <w:rFonts w:asciiTheme="minorHAnsi" w:eastAsiaTheme="minorHAnsi" w:hAnsiTheme="minorHAnsi" w:cstheme="minorBidi"/>
          <w:lang w:eastAsia="en-US"/>
        </w:rPr>
        <w:t>(art. 1 Protokołu nr 1</w:t>
      </w:r>
      <w:r w:rsidR="00AF6A15">
        <w:rPr>
          <w:rFonts w:asciiTheme="minorHAnsi" w:eastAsiaTheme="minorHAnsi" w:hAnsiTheme="minorHAnsi" w:cstheme="minorBidi"/>
          <w:lang w:eastAsia="en-US"/>
        </w:rPr>
        <w:t xml:space="preserve"> do </w:t>
      </w:r>
      <w:r w:rsidR="00AF6A15" w:rsidRPr="004070B0">
        <w:rPr>
          <w:rFonts w:asciiTheme="minorHAnsi" w:hAnsiTheme="minorHAnsi"/>
        </w:rPr>
        <w:t>Konwencji</w:t>
      </w:r>
      <w:r w:rsidR="00AF6A15">
        <w:rPr>
          <w:rFonts w:asciiTheme="minorHAnsi" w:eastAsiaTheme="minorHAnsi" w:hAnsiTheme="minorHAnsi" w:cstheme="minorBidi"/>
          <w:lang w:eastAsia="en-US"/>
        </w:rPr>
        <w:t>);</w:t>
      </w:r>
    </w:p>
    <w:p w:rsidR="00260C5C" w:rsidRPr="004070B0" w:rsidRDefault="00260C5C" w:rsidP="00AF6A15">
      <w:pPr>
        <w:numPr>
          <w:ilvl w:val="0"/>
          <w:numId w:val="22"/>
        </w:numPr>
        <w:spacing w:after="120"/>
        <w:ind w:left="709" w:hanging="425"/>
        <w:jc w:val="both"/>
        <w:rPr>
          <w:rFonts w:asciiTheme="minorHAnsi" w:hAnsiTheme="minorHAnsi"/>
        </w:rPr>
      </w:pPr>
      <w:r w:rsidRPr="004070B0">
        <w:rPr>
          <w:rFonts w:asciiTheme="minorHAnsi" w:hAnsiTheme="minorHAnsi"/>
        </w:rPr>
        <w:t xml:space="preserve">1 skarga dotycząca braku wykonania przez gminę orzeczenia sądu nakazującego przyznanie lokalu zastępczego skarżącemu, który stał się bezdomny na skutek eksmisji </w:t>
      </w:r>
      <w:r w:rsidRPr="004070B0">
        <w:rPr>
          <w:rFonts w:asciiTheme="minorHAnsi" w:eastAsiaTheme="minorHAnsi" w:hAnsiTheme="minorHAnsi" w:cstheme="minorBidi"/>
          <w:lang w:eastAsia="en-US"/>
        </w:rPr>
        <w:t>(art. 1 Protokołu nr 1</w:t>
      </w:r>
      <w:r w:rsidR="00AF6A15">
        <w:rPr>
          <w:rFonts w:asciiTheme="minorHAnsi" w:eastAsiaTheme="minorHAnsi" w:hAnsiTheme="minorHAnsi" w:cstheme="minorBidi"/>
          <w:lang w:eastAsia="en-US"/>
        </w:rPr>
        <w:t xml:space="preserve"> do </w:t>
      </w:r>
      <w:r w:rsidR="00AF6A15" w:rsidRPr="004070B0">
        <w:rPr>
          <w:rFonts w:asciiTheme="minorHAnsi" w:hAnsiTheme="minorHAnsi"/>
        </w:rPr>
        <w:t>Konwencji</w:t>
      </w:r>
      <w:r w:rsidR="00AF6A15">
        <w:rPr>
          <w:rFonts w:asciiTheme="minorHAnsi" w:eastAsiaTheme="minorHAnsi" w:hAnsiTheme="minorHAnsi" w:cstheme="minorBidi"/>
          <w:lang w:eastAsia="en-US"/>
        </w:rPr>
        <w:t>);</w:t>
      </w:r>
    </w:p>
    <w:p w:rsidR="00260C5C" w:rsidRPr="004070B0" w:rsidRDefault="00260C5C" w:rsidP="00AF6A15">
      <w:pPr>
        <w:numPr>
          <w:ilvl w:val="0"/>
          <w:numId w:val="22"/>
        </w:numPr>
        <w:spacing w:after="120"/>
        <w:ind w:left="709" w:hanging="425"/>
        <w:jc w:val="both"/>
        <w:rPr>
          <w:rFonts w:asciiTheme="minorHAnsi" w:eastAsiaTheme="minorHAnsi" w:hAnsiTheme="minorHAnsi" w:cstheme="minorBidi"/>
          <w:lang w:eastAsia="en-US"/>
        </w:rPr>
      </w:pPr>
      <w:r w:rsidRPr="004070B0">
        <w:rPr>
          <w:rFonts w:asciiTheme="minorHAnsi" w:eastAsiaTheme="minorHAnsi" w:hAnsiTheme="minorHAnsi" w:cstheme="minorBidi"/>
          <w:lang w:eastAsia="en-US"/>
        </w:rPr>
        <w:t>1 skarga dotycząca zmiany charakteru drogi i wpływu generowanych przez nią zwiększonych immisji na prawo skarżącego do ochrony własności i prawo do poszanowania mieszkania (art. 8</w:t>
      </w:r>
      <w:r w:rsidRPr="004070B0">
        <w:rPr>
          <w:rFonts w:asciiTheme="minorHAnsi" w:hAnsiTheme="minorHAnsi"/>
        </w:rPr>
        <w:t xml:space="preserve"> Konwencji</w:t>
      </w:r>
      <w:r w:rsidRPr="004070B0">
        <w:rPr>
          <w:rFonts w:asciiTheme="minorHAnsi" w:eastAsiaTheme="minorHAnsi" w:hAnsiTheme="minorHAnsi" w:cstheme="minorBidi"/>
          <w:lang w:eastAsia="en-US"/>
        </w:rPr>
        <w:t>, art. 1 Protokołu nr 1</w:t>
      </w:r>
      <w:r w:rsidR="00AF6A15">
        <w:rPr>
          <w:rFonts w:asciiTheme="minorHAnsi" w:eastAsiaTheme="minorHAnsi" w:hAnsiTheme="minorHAnsi" w:cstheme="minorBidi"/>
          <w:lang w:eastAsia="en-US"/>
        </w:rPr>
        <w:t xml:space="preserve"> do </w:t>
      </w:r>
      <w:r w:rsidR="00AF6A15" w:rsidRPr="004070B0">
        <w:rPr>
          <w:rFonts w:asciiTheme="minorHAnsi" w:hAnsiTheme="minorHAnsi"/>
        </w:rPr>
        <w:t>Konwencji</w:t>
      </w:r>
      <w:r w:rsidRPr="004070B0">
        <w:rPr>
          <w:rFonts w:asciiTheme="minorHAnsi" w:eastAsiaTheme="minorHAnsi" w:hAnsiTheme="minorHAnsi" w:cstheme="minorBidi"/>
          <w:lang w:eastAsia="en-US"/>
        </w:rPr>
        <w:t>)</w:t>
      </w:r>
      <w:r w:rsidR="00AF6A15">
        <w:rPr>
          <w:rFonts w:asciiTheme="minorHAnsi" w:eastAsiaTheme="minorHAnsi" w:hAnsiTheme="minorHAnsi" w:cstheme="minorBidi"/>
          <w:lang w:eastAsia="en-US"/>
        </w:rPr>
        <w:t>.</w:t>
      </w:r>
      <w:r w:rsidRPr="004070B0">
        <w:rPr>
          <w:rFonts w:asciiTheme="minorHAnsi" w:eastAsiaTheme="minorHAnsi" w:hAnsiTheme="minorHAnsi" w:cstheme="minorBidi"/>
          <w:vertAlign w:val="superscript"/>
          <w:lang w:eastAsia="en-US"/>
        </w:rPr>
        <w:footnoteReference w:id="4"/>
      </w:r>
    </w:p>
    <w:p w:rsidR="00260C5C" w:rsidRPr="004070B0" w:rsidRDefault="00260C5C" w:rsidP="004070B0">
      <w:pPr>
        <w:spacing w:after="120"/>
        <w:rPr>
          <w:rFonts w:asciiTheme="minorHAnsi" w:eastAsiaTheme="minorHAnsi" w:hAnsiTheme="minorHAnsi" w:cstheme="minorBidi"/>
          <w:lang w:eastAsia="en-US"/>
        </w:rPr>
      </w:pPr>
      <w:r w:rsidRPr="004070B0">
        <w:rPr>
          <w:rFonts w:asciiTheme="minorHAnsi" w:eastAsiaTheme="minorHAnsi" w:hAnsiTheme="minorHAnsi" w:cstheme="minorBidi"/>
          <w:b/>
          <w:lang w:eastAsia="en-US"/>
        </w:rPr>
        <w:t>4</w:t>
      </w:r>
      <w:r w:rsidRPr="004070B0">
        <w:rPr>
          <w:rFonts w:asciiTheme="minorHAnsi" w:eastAsiaTheme="minorHAnsi" w:hAnsiTheme="minorHAnsi" w:cstheme="minorBidi"/>
          <w:lang w:eastAsia="en-US"/>
        </w:rPr>
        <w:t xml:space="preserve"> skargi dotyczące </w:t>
      </w:r>
      <w:r w:rsidRPr="004070B0">
        <w:rPr>
          <w:rFonts w:asciiTheme="minorHAnsi" w:eastAsiaTheme="minorHAnsi" w:hAnsiTheme="minorHAnsi" w:cstheme="minorBidi"/>
          <w:u w:val="single"/>
          <w:lang w:eastAsia="en-US"/>
        </w:rPr>
        <w:t>kontaktów lub pieczy nad dzieckiem,</w:t>
      </w:r>
      <w:r w:rsidRPr="004070B0">
        <w:rPr>
          <w:rFonts w:asciiTheme="minorHAnsi" w:eastAsiaTheme="minorHAnsi" w:hAnsiTheme="minorHAnsi" w:cstheme="minorBidi"/>
          <w:lang w:eastAsia="en-US"/>
        </w:rPr>
        <w:t xml:space="preserve"> w tym:</w:t>
      </w:r>
    </w:p>
    <w:p w:rsidR="00260C5C" w:rsidRPr="004070B0" w:rsidRDefault="00260C5C" w:rsidP="00AF6A15">
      <w:pPr>
        <w:numPr>
          <w:ilvl w:val="0"/>
          <w:numId w:val="22"/>
        </w:numPr>
        <w:spacing w:after="120"/>
        <w:ind w:left="709" w:hanging="425"/>
        <w:jc w:val="both"/>
        <w:rPr>
          <w:rFonts w:asciiTheme="minorHAnsi" w:hAnsiTheme="minorHAnsi"/>
        </w:rPr>
      </w:pPr>
      <w:r w:rsidRPr="004070B0">
        <w:rPr>
          <w:rFonts w:asciiTheme="minorHAnsi" w:hAnsiTheme="minorHAnsi"/>
        </w:rPr>
        <w:t>2 skargi dotyczące postępowań prowadzonych na podstawie Konwencji haskiej dotyczącej cywilnych aspektów uprowadzenia dziecka za granicę (art. 8 K</w:t>
      </w:r>
      <w:r w:rsidR="00AF6A15">
        <w:rPr>
          <w:rFonts w:asciiTheme="minorHAnsi" w:hAnsiTheme="minorHAnsi"/>
        </w:rPr>
        <w:t>onwencji);</w:t>
      </w:r>
    </w:p>
    <w:p w:rsidR="00260C5C" w:rsidRPr="004070B0" w:rsidRDefault="00260C5C" w:rsidP="00AF6A15">
      <w:pPr>
        <w:numPr>
          <w:ilvl w:val="0"/>
          <w:numId w:val="22"/>
        </w:numPr>
        <w:spacing w:after="120"/>
        <w:ind w:left="709" w:hanging="425"/>
        <w:jc w:val="both"/>
        <w:rPr>
          <w:rFonts w:asciiTheme="minorHAnsi" w:hAnsiTheme="minorHAnsi"/>
        </w:rPr>
      </w:pPr>
      <w:r w:rsidRPr="004070B0">
        <w:rPr>
          <w:rFonts w:asciiTheme="minorHAnsi" w:hAnsiTheme="minorHAnsi"/>
        </w:rPr>
        <w:t>1 skarga dotycząca niewykonania orzeczenia sądu o nakazaniu wydania dziecka i dyskryminacji ojca-cudzoziemca (art. 6 ust.</w:t>
      </w:r>
      <w:r w:rsidR="00AF6A15">
        <w:rPr>
          <w:rFonts w:asciiTheme="minorHAnsi" w:hAnsiTheme="minorHAnsi"/>
        </w:rPr>
        <w:t xml:space="preserve"> 1, art. 8 i art. 14 Konwencji);</w:t>
      </w:r>
    </w:p>
    <w:p w:rsidR="00260C5C" w:rsidRPr="004070B0" w:rsidRDefault="00260C5C" w:rsidP="00AF6A15">
      <w:pPr>
        <w:numPr>
          <w:ilvl w:val="0"/>
          <w:numId w:val="22"/>
        </w:numPr>
        <w:spacing w:after="120"/>
        <w:ind w:left="709" w:hanging="425"/>
        <w:jc w:val="both"/>
        <w:rPr>
          <w:rFonts w:asciiTheme="minorHAnsi" w:hAnsiTheme="minorHAnsi"/>
        </w:rPr>
      </w:pPr>
      <w:r w:rsidRPr="004070B0">
        <w:rPr>
          <w:rFonts w:asciiTheme="minorHAnsi" w:hAnsiTheme="minorHAnsi"/>
        </w:rPr>
        <w:t>1 skarga dotycząca przewlekłości postępowania w sp</w:t>
      </w:r>
      <w:r w:rsidR="00AF6A15">
        <w:rPr>
          <w:rFonts w:asciiTheme="minorHAnsi" w:hAnsiTheme="minorHAnsi"/>
        </w:rPr>
        <w:t>r</w:t>
      </w:r>
      <w:r w:rsidRPr="004070B0">
        <w:rPr>
          <w:rFonts w:asciiTheme="minorHAnsi" w:hAnsiTheme="minorHAnsi"/>
        </w:rPr>
        <w:t>awie kontaktów z dzieckiem (art. 8 Konwen</w:t>
      </w:r>
      <w:r w:rsidR="00AF6A15">
        <w:rPr>
          <w:rFonts w:asciiTheme="minorHAnsi" w:hAnsiTheme="minorHAnsi"/>
        </w:rPr>
        <w:t>cji).</w:t>
      </w:r>
    </w:p>
    <w:p w:rsidR="00260C5C" w:rsidRPr="004070B0" w:rsidRDefault="00260C5C" w:rsidP="004070B0">
      <w:pPr>
        <w:spacing w:after="120"/>
        <w:rPr>
          <w:rFonts w:asciiTheme="minorHAnsi" w:eastAsiaTheme="minorHAnsi" w:hAnsiTheme="minorHAnsi" w:cstheme="minorBidi"/>
          <w:lang w:eastAsia="en-US"/>
        </w:rPr>
      </w:pPr>
      <w:r w:rsidRPr="004070B0">
        <w:rPr>
          <w:rFonts w:asciiTheme="minorHAnsi" w:eastAsiaTheme="minorHAnsi" w:hAnsiTheme="minorHAnsi" w:cstheme="minorBidi"/>
          <w:b/>
          <w:lang w:eastAsia="en-US"/>
        </w:rPr>
        <w:lastRenderedPageBreak/>
        <w:t>4</w:t>
      </w:r>
      <w:r w:rsidRPr="004070B0">
        <w:rPr>
          <w:rFonts w:asciiTheme="minorHAnsi" w:eastAsiaTheme="minorHAnsi" w:hAnsiTheme="minorHAnsi" w:cstheme="minorBidi"/>
          <w:lang w:eastAsia="en-US"/>
        </w:rPr>
        <w:t xml:space="preserve"> skargi dotyczące </w:t>
      </w:r>
      <w:r w:rsidRPr="004070B0">
        <w:rPr>
          <w:rFonts w:asciiTheme="minorHAnsi" w:eastAsiaTheme="minorHAnsi" w:hAnsiTheme="minorHAnsi" w:cstheme="minorBidi"/>
          <w:u w:val="single"/>
          <w:lang w:eastAsia="en-US"/>
        </w:rPr>
        <w:t>praw osób LGBT</w:t>
      </w:r>
      <w:r w:rsidRPr="004070B0">
        <w:rPr>
          <w:rFonts w:asciiTheme="minorHAnsi" w:eastAsiaTheme="minorHAnsi" w:hAnsiTheme="minorHAnsi" w:cstheme="minorBidi"/>
          <w:lang w:eastAsia="en-US"/>
        </w:rPr>
        <w:t>, w tym:</w:t>
      </w:r>
    </w:p>
    <w:p w:rsidR="00260C5C" w:rsidRPr="004070B0" w:rsidRDefault="00260C5C" w:rsidP="00AF6A15">
      <w:pPr>
        <w:numPr>
          <w:ilvl w:val="0"/>
          <w:numId w:val="22"/>
        </w:numPr>
        <w:spacing w:after="120"/>
        <w:ind w:left="709" w:hanging="425"/>
        <w:jc w:val="both"/>
        <w:rPr>
          <w:rFonts w:asciiTheme="minorHAnsi" w:hAnsiTheme="minorHAnsi"/>
        </w:rPr>
      </w:pPr>
      <w:r w:rsidRPr="004070B0">
        <w:rPr>
          <w:rFonts w:asciiTheme="minorHAnsi" w:hAnsiTheme="minorHAnsi"/>
        </w:rPr>
        <w:t xml:space="preserve">1 skarga dotycząca ochrony osoby LGBT przed przestępstwami z nienawiści (art. </w:t>
      </w:r>
      <w:r w:rsidR="00AF6A15">
        <w:rPr>
          <w:rFonts w:asciiTheme="minorHAnsi" w:hAnsiTheme="minorHAnsi"/>
        </w:rPr>
        <w:t>3, art. 13 i art. 14 Konwencji);</w:t>
      </w:r>
    </w:p>
    <w:p w:rsidR="00260C5C" w:rsidRPr="004070B0" w:rsidRDefault="00260C5C" w:rsidP="00AF6A15">
      <w:pPr>
        <w:numPr>
          <w:ilvl w:val="0"/>
          <w:numId w:val="22"/>
        </w:numPr>
        <w:spacing w:after="120"/>
        <w:ind w:left="709" w:hanging="425"/>
        <w:jc w:val="both"/>
        <w:rPr>
          <w:rFonts w:asciiTheme="minorHAnsi" w:hAnsiTheme="minorHAnsi"/>
        </w:rPr>
      </w:pPr>
      <w:r w:rsidRPr="004070B0">
        <w:rPr>
          <w:rFonts w:asciiTheme="minorHAnsi" w:hAnsiTheme="minorHAnsi"/>
        </w:rPr>
        <w:t xml:space="preserve">1 skarga dotycząca braku dostępu osoby transseksualnej do terapii hormonalnej w zakładzie karnym i dyskryminacji (art. 2, art. 3, art. </w:t>
      </w:r>
      <w:r w:rsidR="00AF6A15">
        <w:rPr>
          <w:rFonts w:asciiTheme="minorHAnsi" w:hAnsiTheme="minorHAnsi"/>
        </w:rPr>
        <w:t>8, art. 13 i art. 14 Konwencji);</w:t>
      </w:r>
    </w:p>
    <w:p w:rsidR="00260C5C" w:rsidRPr="004070B0" w:rsidRDefault="00260C5C" w:rsidP="00AF6A15">
      <w:pPr>
        <w:numPr>
          <w:ilvl w:val="0"/>
          <w:numId w:val="22"/>
        </w:numPr>
        <w:spacing w:after="120"/>
        <w:ind w:left="709" w:hanging="425"/>
        <w:jc w:val="both"/>
        <w:rPr>
          <w:rFonts w:asciiTheme="minorHAnsi" w:hAnsiTheme="minorHAnsi"/>
        </w:rPr>
      </w:pPr>
      <w:r w:rsidRPr="004070B0">
        <w:rPr>
          <w:rFonts w:asciiTheme="minorHAnsi" w:hAnsiTheme="minorHAnsi"/>
        </w:rPr>
        <w:t xml:space="preserve">1 skarga dotycząca dyscyplinarnego zwolnienia z pracy nauczyciela za publikowanie treści uznanych za nieetyczne na anonimowym blogu i dyskryminacyjnego traktowania z uwagi na orientację seksualną i posiadanie partnera tej samej płci (art. </w:t>
      </w:r>
      <w:r w:rsidR="00AF6A15">
        <w:rPr>
          <w:rFonts w:asciiTheme="minorHAnsi" w:hAnsiTheme="minorHAnsi"/>
        </w:rPr>
        <w:t>8, art. 10 i art. 14 Konwencji);</w:t>
      </w:r>
    </w:p>
    <w:p w:rsidR="00260C5C" w:rsidRPr="004070B0" w:rsidRDefault="00260C5C" w:rsidP="00AF6A15">
      <w:pPr>
        <w:numPr>
          <w:ilvl w:val="0"/>
          <w:numId w:val="22"/>
        </w:numPr>
        <w:spacing w:after="120"/>
        <w:ind w:left="709" w:hanging="425"/>
        <w:jc w:val="both"/>
        <w:rPr>
          <w:rFonts w:asciiTheme="minorHAnsi" w:hAnsiTheme="minorHAnsi"/>
        </w:rPr>
      </w:pPr>
      <w:r w:rsidRPr="004070B0">
        <w:rPr>
          <w:rFonts w:asciiTheme="minorHAnsi" w:hAnsiTheme="minorHAnsi"/>
        </w:rPr>
        <w:t>1 skarga dotycząca odmowy potwierdzenia posiadania obywatelstwa polskiego przez skarżącego – adoptowanego przez partnerkę matki, posiadającą obywatelstwo polskie (art. 8</w:t>
      </w:r>
      <w:r w:rsidR="00AF6A15">
        <w:rPr>
          <w:rFonts w:asciiTheme="minorHAnsi" w:hAnsiTheme="minorHAnsi"/>
        </w:rPr>
        <w:t xml:space="preserve"> i art. 14 Konwencji).</w:t>
      </w:r>
    </w:p>
    <w:p w:rsidR="00260C5C" w:rsidRPr="004070B0" w:rsidRDefault="00260C5C" w:rsidP="004070B0">
      <w:pPr>
        <w:spacing w:after="120"/>
        <w:jc w:val="both"/>
        <w:rPr>
          <w:rFonts w:asciiTheme="minorHAnsi" w:hAnsiTheme="minorHAnsi" w:cs="Arial"/>
        </w:rPr>
      </w:pPr>
      <w:r w:rsidRPr="004070B0">
        <w:rPr>
          <w:rFonts w:asciiTheme="minorHAnsi" w:eastAsiaTheme="minorHAnsi" w:hAnsiTheme="minorHAnsi" w:cstheme="minorBidi"/>
          <w:lang w:eastAsia="en-US"/>
        </w:rPr>
        <w:t xml:space="preserve">1 skarga dotycząca </w:t>
      </w:r>
      <w:r w:rsidRPr="004070B0">
        <w:rPr>
          <w:rFonts w:asciiTheme="minorHAnsi" w:eastAsiaTheme="minorHAnsi" w:hAnsiTheme="minorHAnsi" w:cstheme="minorBidi"/>
          <w:u w:val="single"/>
          <w:lang w:eastAsia="en-US"/>
        </w:rPr>
        <w:t>wolności zrzeszania się</w:t>
      </w:r>
      <w:r w:rsidRPr="004070B0">
        <w:rPr>
          <w:rFonts w:asciiTheme="minorHAnsi" w:eastAsiaTheme="minorHAnsi" w:hAnsiTheme="minorHAnsi" w:cstheme="minorBidi"/>
          <w:lang w:eastAsia="en-US"/>
        </w:rPr>
        <w:t xml:space="preserve"> w związku z odrzuceniem sprawozdania finansowego </w:t>
      </w:r>
      <w:r w:rsidRPr="004070B0">
        <w:rPr>
          <w:rFonts w:asciiTheme="minorHAnsi" w:hAnsiTheme="minorHAnsi" w:cs="Arial"/>
        </w:rPr>
        <w:t>Funduszu Wyborczego „Nowoczesnej” Ryszarda Petru (art. 11</w:t>
      </w:r>
      <w:r w:rsidRPr="004070B0">
        <w:rPr>
          <w:rFonts w:asciiTheme="minorHAnsi" w:hAnsiTheme="minorHAnsi"/>
        </w:rPr>
        <w:t xml:space="preserve"> Konwencji</w:t>
      </w:r>
      <w:r w:rsidR="00AF6A15">
        <w:rPr>
          <w:rFonts w:asciiTheme="minorHAnsi" w:hAnsiTheme="minorHAnsi"/>
        </w:rPr>
        <w:t>)</w:t>
      </w:r>
      <w:r w:rsidR="00AF6A15">
        <w:rPr>
          <w:rFonts w:asciiTheme="minorHAnsi" w:hAnsiTheme="minorHAnsi" w:cs="Arial"/>
        </w:rPr>
        <w:t>.</w:t>
      </w:r>
    </w:p>
    <w:p w:rsidR="00260C5C" w:rsidRPr="004070B0" w:rsidRDefault="00260C5C" w:rsidP="004070B0">
      <w:pPr>
        <w:spacing w:after="120"/>
        <w:jc w:val="both"/>
        <w:rPr>
          <w:rFonts w:asciiTheme="minorHAnsi" w:eastAsiaTheme="minorHAnsi" w:hAnsiTheme="minorHAnsi" w:cstheme="minorBidi"/>
          <w:lang w:eastAsia="en-US"/>
        </w:rPr>
      </w:pPr>
      <w:r w:rsidRPr="004070B0">
        <w:rPr>
          <w:rFonts w:asciiTheme="minorHAnsi" w:eastAsiaTheme="minorHAnsi" w:hAnsiTheme="minorHAnsi" w:cstheme="minorBidi"/>
          <w:lang w:eastAsia="en-US"/>
        </w:rPr>
        <w:t>1 skarga dotycząca nieskuteczności pomocy prawnej i dostępu do sądu (art. 6 ust. 1</w:t>
      </w:r>
      <w:r w:rsidRPr="004070B0">
        <w:rPr>
          <w:rFonts w:asciiTheme="minorHAnsi" w:hAnsiTheme="minorHAnsi"/>
        </w:rPr>
        <w:t xml:space="preserve"> Konwencji</w:t>
      </w:r>
      <w:r w:rsidR="00B0346B" w:rsidRPr="004070B0">
        <w:rPr>
          <w:rFonts w:asciiTheme="minorHAnsi" w:eastAsiaTheme="minorHAnsi" w:hAnsiTheme="minorHAnsi" w:cstheme="minorBidi"/>
          <w:lang w:eastAsia="en-US"/>
        </w:rPr>
        <w:t>).</w:t>
      </w:r>
    </w:p>
    <w:p w:rsidR="00260C5C" w:rsidRPr="00194E8E" w:rsidRDefault="00260C5C" w:rsidP="00AF6A15">
      <w:pPr>
        <w:keepNext/>
        <w:keepLines/>
        <w:numPr>
          <w:ilvl w:val="0"/>
          <w:numId w:val="10"/>
        </w:numPr>
        <w:spacing w:before="240" w:after="120"/>
        <w:ind w:left="709" w:hanging="430"/>
        <w:outlineLvl w:val="2"/>
        <w:rPr>
          <w:rFonts w:asciiTheme="minorHAnsi" w:eastAsiaTheme="majorEastAsia" w:hAnsiTheme="minorHAnsi" w:cstheme="majorBidi"/>
          <w:b/>
          <w:bCs/>
          <w:lang w:eastAsia="en-US"/>
        </w:rPr>
      </w:pPr>
      <w:r w:rsidRPr="00194E8E">
        <w:rPr>
          <w:rFonts w:asciiTheme="minorHAnsi" w:eastAsiaTheme="majorEastAsia" w:hAnsiTheme="minorHAnsi" w:cstheme="majorBidi"/>
          <w:b/>
          <w:bCs/>
          <w:lang w:eastAsia="en-US"/>
        </w:rPr>
        <w:t>Sprawy zakończone przed Europejskim Trybunałem Praw Człowieka w 2021 r. </w:t>
      </w:r>
    </w:p>
    <w:p w:rsidR="00260C5C" w:rsidRPr="00194E8E" w:rsidRDefault="00AF6A15" w:rsidP="009C7BA7">
      <w:pPr>
        <w:spacing w:before="120" w:after="120"/>
        <w:jc w:val="both"/>
        <w:rPr>
          <w:rFonts w:asciiTheme="minorHAnsi" w:hAnsiTheme="minorHAnsi"/>
        </w:rPr>
      </w:pPr>
      <w:r>
        <w:rPr>
          <w:rFonts w:asciiTheme="minorHAnsi" w:hAnsiTheme="minorHAnsi"/>
        </w:rPr>
        <w:t>ETPC</w:t>
      </w:r>
      <w:r w:rsidR="00260C5C" w:rsidRPr="00194E8E">
        <w:rPr>
          <w:rFonts w:asciiTheme="minorHAnsi" w:hAnsiTheme="minorHAnsi"/>
        </w:rPr>
        <w:t xml:space="preserve"> wydał w 2021 r. w sumie:</w:t>
      </w:r>
    </w:p>
    <w:p w:rsidR="00260C5C" w:rsidRPr="00AF6A15" w:rsidRDefault="00260C5C" w:rsidP="00AF6A15">
      <w:pPr>
        <w:pStyle w:val="Akapitzlist"/>
        <w:numPr>
          <w:ilvl w:val="0"/>
          <w:numId w:val="33"/>
        </w:numPr>
        <w:spacing w:before="120" w:after="120"/>
        <w:ind w:left="709" w:hanging="425"/>
        <w:jc w:val="both"/>
        <w:rPr>
          <w:rFonts w:asciiTheme="minorHAnsi" w:eastAsiaTheme="minorHAnsi" w:hAnsiTheme="minorHAnsi" w:cstheme="minorBidi"/>
          <w:sz w:val="24"/>
          <w:szCs w:val="24"/>
        </w:rPr>
      </w:pPr>
      <w:r w:rsidRPr="00AF6A15">
        <w:rPr>
          <w:rFonts w:asciiTheme="minorHAnsi" w:eastAsiaTheme="minorHAnsi" w:hAnsiTheme="minorHAnsi" w:cstheme="minorBidi"/>
          <w:b/>
          <w:sz w:val="24"/>
          <w:szCs w:val="24"/>
        </w:rPr>
        <w:t>29 orzeczeń korzystnych</w:t>
      </w:r>
      <w:r w:rsidR="00CD4849" w:rsidRPr="00AF6A15">
        <w:rPr>
          <w:rFonts w:asciiTheme="minorHAnsi" w:eastAsiaTheme="minorHAnsi" w:hAnsiTheme="minorHAnsi" w:cstheme="minorBidi"/>
          <w:sz w:val="24"/>
          <w:szCs w:val="24"/>
        </w:rPr>
        <w:t xml:space="preserve"> dla R</w:t>
      </w:r>
      <w:r w:rsidRPr="00AF6A15">
        <w:rPr>
          <w:rFonts w:asciiTheme="minorHAnsi" w:eastAsiaTheme="minorHAnsi" w:hAnsiTheme="minorHAnsi" w:cstheme="minorBidi"/>
          <w:sz w:val="24"/>
          <w:szCs w:val="24"/>
        </w:rPr>
        <w:t xml:space="preserve">ządu ws. </w:t>
      </w:r>
      <w:r w:rsidRPr="00AF6A15">
        <w:rPr>
          <w:rFonts w:asciiTheme="minorHAnsi" w:eastAsiaTheme="minorHAnsi" w:hAnsiTheme="minorHAnsi" w:cstheme="minorBidi"/>
          <w:b/>
          <w:sz w:val="24"/>
          <w:szCs w:val="24"/>
        </w:rPr>
        <w:t xml:space="preserve">33 </w:t>
      </w:r>
      <w:r w:rsidRPr="00AF6A15">
        <w:rPr>
          <w:rFonts w:asciiTheme="minorHAnsi" w:eastAsiaTheme="minorHAnsi" w:hAnsiTheme="minorHAnsi" w:cstheme="minorBidi"/>
          <w:sz w:val="24"/>
          <w:szCs w:val="24"/>
        </w:rPr>
        <w:t>skarg (3 wyroki stwierdzające brak naruszenia ws. 3 skarg, 19 decyzji o niedopuszczalności 23 skarg i 7 decyzji skreślających z przyczyn</w:t>
      </w:r>
      <w:r w:rsidR="004D4FD2" w:rsidRPr="00AF6A15">
        <w:rPr>
          <w:rFonts w:asciiTheme="minorHAnsi" w:eastAsiaTheme="minorHAnsi" w:hAnsiTheme="minorHAnsi" w:cstheme="minorBidi"/>
          <w:sz w:val="24"/>
          <w:szCs w:val="24"/>
        </w:rPr>
        <w:t xml:space="preserve"> formalnych 7 zakomunikowanych R</w:t>
      </w:r>
      <w:r w:rsidRPr="00AF6A15">
        <w:rPr>
          <w:rFonts w:asciiTheme="minorHAnsi" w:eastAsiaTheme="minorHAnsi" w:hAnsiTheme="minorHAnsi" w:cstheme="minorBidi"/>
          <w:sz w:val="24"/>
          <w:szCs w:val="24"/>
        </w:rPr>
        <w:t>ządowi skarg),</w:t>
      </w:r>
    </w:p>
    <w:p w:rsidR="00260C5C" w:rsidRPr="00AF6A15" w:rsidRDefault="00260C5C" w:rsidP="00AF6A15">
      <w:pPr>
        <w:pStyle w:val="Akapitzlist"/>
        <w:numPr>
          <w:ilvl w:val="0"/>
          <w:numId w:val="33"/>
        </w:numPr>
        <w:spacing w:before="120" w:after="120"/>
        <w:ind w:left="709" w:hanging="425"/>
        <w:jc w:val="both"/>
        <w:rPr>
          <w:rFonts w:asciiTheme="minorHAnsi" w:hAnsiTheme="minorHAnsi"/>
          <w:b/>
          <w:sz w:val="24"/>
          <w:szCs w:val="24"/>
        </w:rPr>
      </w:pPr>
      <w:r w:rsidRPr="00AF6A15">
        <w:rPr>
          <w:rFonts w:asciiTheme="minorHAnsi" w:eastAsiaTheme="minorHAnsi" w:hAnsiTheme="minorHAnsi" w:cstheme="minorBidi"/>
          <w:b/>
          <w:sz w:val="24"/>
          <w:szCs w:val="24"/>
        </w:rPr>
        <w:t>57 orzeczeń niekorzystnych</w:t>
      </w:r>
      <w:r w:rsidR="00CD4849" w:rsidRPr="00AF6A15">
        <w:rPr>
          <w:rFonts w:asciiTheme="minorHAnsi" w:eastAsiaTheme="minorHAnsi" w:hAnsiTheme="minorHAnsi" w:cstheme="minorBidi"/>
          <w:sz w:val="24"/>
          <w:szCs w:val="24"/>
        </w:rPr>
        <w:t xml:space="preserve"> dla R</w:t>
      </w:r>
      <w:r w:rsidRPr="00AF6A15">
        <w:rPr>
          <w:rFonts w:asciiTheme="minorHAnsi" w:eastAsiaTheme="minorHAnsi" w:hAnsiTheme="minorHAnsi" w:cstheme="minorBidi"/>
          <w:sz w:val="24"/>
          <w:szCs w:val="24"/>
        </w:rPr>
        <w:t xml:space="preserve">ządu ws. </w:t>
      </w:r>
      <w:r w:rsidRPr="00AF6A15">
        <w:rPr>
          <w:rFonts w:asciiTheme="minorHAnsi" w:eastAsiaTheme="minorHAnsi" w:hAnsiTheme="minorHAnsi" w:cstheme="minorBidi"/>
          <w:b/>
          <w:sz w:val="24"/>
          <w:szCs w:val="24"/>
        </w:rPr>
        <w:t xml:space="preserve">211 </w:t>
      </w:r>
      <w:r w:rsidRPr="00AF6A15">
        <w:rPr>
          <w:rFonts w:asciiTheme="minorHAnsi" w:eastAsiaTheme="minorHAnsi" w:hAnsiTheme="minorHAnsi" w:cstheme="minorBidi"/>
          <w:sz w:val="24"/>
          <w:szCs w:val="24"/>
        </w:rPr>
        <w:t xml:space="preserve">skarg (20 wyroków </w:t>
      </w:r>
      <w:r w:rsidR="00AF6A15">
        <w:rPr>
          <w:rFonts w:asciiTheme="minorHAnsi" w:eastAsiaTheme="minorHAnsi" w:hAnsiTheme="minorHAnsi" w:cstheme="minorBidi"/>
          <w:sz w:val="24"/>
          <w:szCs w:val="24"/>
          <w:lang w:val="pl-PL"/>
        </w:rPr>
        <w:t>dot</w:t>
      </w:r>
      <w:r w:rsidRPr="00AF6A15">
        <w:rPr>
          <w:rFonts w:asciiTheme="minorHAnsi" w:eastAsiaTheme="minorHAnsi" w:hAnsiTheme="minorHAnsi" w:cstheme="minorBidi"/>
          <w:sz w:val="24"/>
          <w:szCs w:val="24"/>
        </w:rPr>
        <w:t xml:space="preserve">. naruszenia ws. 25 skarg, 26 decyzji </w:t>
      </w:r>
      <w:r w:rsidR="005105D0">
        <w:rPr>
          <w:rFonts w:asciiTheme="minorHAnsi" w:eastAsiaTheme="minorHAnsi" w:hAnsiTheme="minorHAnsi" w:cstheme="minorBidi"/>
          <w:sz w:val="24"/>
          <w:szCs w:val="24"/>
          <w:lang w:val="pl-PL"/>
        </w:rPr>
        <w:t>dot</w:t>
      </w:r>
      <w:r w:rsidRPr="00AF6A15">
        <w:rPr>
          <w:rFonts w:asciiTheme="minorHAnsi" w:eastAsiaTheme="minorHAnsi" w:hAnsiTheme="minorHAnsi" w:cstheme="minorBidi"/>
          <w:sz w:val="24"/>
          <w:szCs w:val="24"/>
        </w:rPr>
        <w:t xml:space="preserve">. </w:t>
      </w:r>
      <w:r w:rsidR="005105D0">
        <w:rPr>
          <w:rFonts w:asciiTheme="minorHAnsi" w:eastAsiaTheme="minorHAnsi" w:hAnsiTheme="minorHAnsi" w:cstheme="minorBidi"/>
          <w:sz w:val="24"/>
          <w:szCs w:val="24"/>
          <w:lang w:val="pl-PL"/>
        </w:rPr>
        <w:t xml:space="preserve">zatwierdzenia </w:t>
      </w:r>
      <w:r w:rsidRPr="00AF6A15">
        <w:rPr>
          <w:rFonts w:asciiTheme="minorHAnsi" w:eastAsiaTheme="minorHAnsi" w:hAnsiTheme="minorHAnsi" w:cstheme="minorBidi"/>
          <w:sz w:val="24"/>
          <w:szCs w:val="24"/>
        </w:rPr>
        <w:t>ugody ws. 131 skarg i 11 decyzji ws. deklaracji jednostronnych w 55 skargach), w których zasądził 624 538 EUR oraz 1 743 642 PLN.</w:t>
      </w:r>
    </w:p>
    <w:p w:rsidR="00260C5C" w:rsidRPr="00AF6A15" w:rsidRDefault="00260C5C" w:rsidP="00AF6A15">
      <w:pPr>
        <w:pStyle w:val="Akapitzlist"/>
        <w:numPr>
          <w:ilvl w:val="0"/>
          <w:numId w:val="33"/>
        </w:numPr>
        <w:spacing w:before="120" w:after="120"/>
        <w:ind w:left="709" w:hanging="425"/>
        <w:jc w:val="both"/>
        <w:rPr>
          <w:rFonts w:asciiTheme="minorHAnsi" w:hAnsiTheme="minorHAnsi"/>
          <w:b/>
          <w:sz w:val="24"/>
          <w:szCs w:val="24"/>
        </w:rPr>
      </w:pPr>
      <w:r w:rsidRPr="00AF6A15">
        <w:rPr>
          <w:rFonts w:asciiTheme="minorHAnsi" w:hAnsiTheme="minorHAnsi"/>
          <w:b/>
          <w:sz w:val="24"/>
          <w:szCs w:val="24"/>
        </w:rPr>
        <w:t>1 decyzję częściowo korzystną</w:t>
      </w:r>
      <w:r w:rsidRPr="00AF6A15">
        <w:rPr>
          <w:rFonts w:asciiTheme="minorHAnsi" w:hAnsiTheme="minorHAnsi"/>
          <w:sz w:val="24"/>
          <w:szCs w:val="24"/>
        </w:rPr>
        <w:t xml:space="preserve"> (skreślenie sprawy z listy) i </w:t>
      </w:r>
      <w:r w:rsidRPr="00AF6A15">
        <w:rPr>
          <w:rFonts w:asciiTheme="minorHAnsi" w:hAnsiTheme="minorHAnsi"/>
          <w:b/>
          <w:sz w:val="24"/>
          <w:szCs w:val="24"/>
        </w:rPr>
        <w:t>częściowo niekorzystną</w:t>
      </w:r>
      <w:r w:rsidRPr="00AF6A15">
        <w:rPr>
          <w:rFonts w:asciiTheme="minorHAnsi" w:hAnsiTheme="minorHAnsi"/>
          <w:sz w:val="24"/>
          <w:szCs w:val="24"/>
        </w:rPr>
        <w:t xml:space="preserve"> (zasądzenie kosztów dla skarżącego),</w:t>
      </w:r>
    </w:p>
    <w:p w:rsidR="00260C5C" w:rsidRPr="00AF6A15" w:rsidRDefault="00260C5C" w:rsidP="00AF6A15">
      <w:pPr>
        <w:pStyle w:val="Akapitzlist"/>
        <w:numPr>
          <w:ilvl w:val="0"/>
          <w:numId w:val="33"/>
        </w:numPr>
        <w:spacing w:before="120" w:after="120"/>
        <w:ind w:left="709" w:hanging="425"/>
        <w:jc w:val="both"/>
        <w:rPr>
          <w:rFonts w:asciiTheme="minorHAnsi" w:eastAsiaTheme="minorHAnsi" w:hAnsiTheme="minorHAnsi" w:cstheme="minorBidi"/>
          <w:sz w:val="24"/>
          <w:szCs w:val="24"/>
        </w:rPr>
      </w:pPr>
      <w:r w:rsidRPr="00AF6A15">
        <w:rPr>
          <w:rFonts w:asciiTheme="minorHAnsi" w:hAnsiTheme="minorHAnsi"/>
          <w:b/>
          <w:sz w:val="24"/>
          <w:szCs w:val="24"/>
        </w:rPr>
        <w:t>1 decyzję o charakterze wznowieniowym</w:t>
      </w:r>
      <w:r w:rsidRPr="00AF6A15">
        <w:rPr>
          <w:rFonts w:asciiTheme="minorHAnsi" w:hAnsiTheme="minorHAnsi"/>
          <w:sz w:val="24"/>
          <w:szCs w:val="24"/>
        </w:rPr>
        <w:t xml:space="preserve"> (zmiana osoby uprawnionej do otrzymania kwoty ugody zawartej i zatwierdzonej decyzją ETPC w 2020 r.);</w:t>
      </w:r>
    </w:p>
    <w:p w:rsidR="00260C5C" w:rsidRPr="00194E8E" w:rsidRDefault="00260C5C" w:rsidP="005105D0">
      <w:pPr>
        <w:numPr>
          <w:ilvl w:val="1"/>
          <w:numId w:val="9"/>
        </w:numPr>
        <w:spacing w:before="240" w:after="120"/>
        <w:ind w:left="709" w:hanging="425"/>
        <w:jc w:val="both"/>
        <w:rPr>
          <w:rFonts w:asciiTheme="minorHAnsi" w:hAnsiTheme="minorHAnsi"/>
          <w:i/>
        </w:rPr>
      </w:pPr>
      <w:r w:rsidRPr="00194E8E">
        <w:rPr>
          <w:rFonts w:asciiTheme="minorHAnsi" w:hAnsiTheme="minorHAnsi"/>
          <w:i/>
        </w:rPr>
        <w:t>Wyroki</w:t>
      </w:r>
    </w:p>
    <w:p w:rsidR="00260C5C" w:rsidRPr="00194E8E" w:rsidRDefault="00260C5C" w:rsidP="005105D0">
      <w:pPr>
        <w:spacing w:after="120"/>
        <w:jc w:val="both"/>
        <w:rPr>
          <w:rFonts w:asciiTheme="minorHAnsi" w:hAnsiTheme="minorHAnsi"/>
        </w:rPr>
      </w:pPr>
      <w:r w:rsidRPr="00194E8E">
        <w:rPr>
          <w:rFonts w:asciiTheme="minorHAnsi" w:hAnsiTheme="minorHAnsi"/>
        </w:rPr>
        <w:t xml:space="preserve">W 2021 r. </w:t>
      </w:r>
      <w:r w:rsidR="00D80931">
        <w:rPr>
          <w:rFonts w:asciiTheme="minorHAnsi" w:hAnsiTheme="minorHAnsi"/>
        </w:rPr>
        <w:t>ETPC</w:t>
      </w:r>
      <w:r w:rsidRPr="00194E8E">
        <w:rPr>
          <w:rFonts w:asciiTheme="minorHAnsi" w:hAnsiTheme="minorHAnsi"/>
        </w:rPr>
        <w:t xml:space="preserve"> wydał wobec Polski </w:t>
      </w:r>
      <w:r w:rsidRPr="00194E8E">
        <w:rPr>
          <w:rFonts w:asciiTheme="minorHAnsi" w:eastAsiaTheme="minorHAnsi" w:hAnsiTheme="minorHAnsi" w:cstheme="minorBidi"/>
          <w:b/>
          <w:lang w:eastAsia="en-US"/>
        </w:rPr>
        <w:t>23 wyrok</w:t>
      </w:r>
      <w:r w:rsidR="00EB0C83" w:rsidRPr="00194E8E">
        <w:rPr>
          <w:rFonts w:asciiTheme="minorHAnsi" w:eastAsiaTheme="minorHAnsi" w:hAnsiTheme="minorHAnsi" w:cstheme="minorBidi"/>
          <w:b/>
          <w:lang w:eastAsia="en-US"/>
        </w:rPr>
        <w:t xml:space="preserve">i </w:t>
      </w:r>
      <w:r w:rsidRPr="00194E8E">
        <w:rPr>
          <w:rFonts w:asciiTheme="minorHAnsi" w:eastAsiaTheme="minorHAnsi" w:hAnsiTheme="minorHAnsi" w:cstheme="minorBidi"/>
          <w:b/>
          <w:lang w:eastAsia="en-US"/>
        </w:rPr>
        <w:t>ws. 28 skarg</w:t>
      </w:r>
      <w:r w:rsidRPr="00194E8E">
        <w:rPr>
          <w:rFonts w:asciiTheme="minorHAnsi" w:eastAsiaTheme="minorHAnsi" w:hAnsiTheme="minorHAnsi" w:cstheme="minorBidi"/>
          <w:lang w:eastAsia="en-US"/>
        </w:rPr>
        <w:t>, a więc o 4 wyroki więcej niż w 2020 r., kiedy zapadło 19 wyroków (</w:t>
      </w:r>
      <w:r w:rsidRPr="00194E8E">
        <w:rPr>
          <w:rFonts w:asciiTheme="minorHAnsi" w:hAnsiTheme="minorHAnsi"/>
        </w:rPr>
        <w:t>dla</w:t>
      </w:r>
      <w:r w:rsidR="005105D0">
        <w:rPr>
          <w:rFonts w:asciiTheme="minorHAnsi" w:hAnsiTheme="minorHAnsi"/>
        </w:rPr>
        <w:t xml:space="preserve"> </w:t>
      </w:r>
      <w:r w:rsidRPr="00194E8E">
        <w:rPr>
          <w:rFonts w:asciiTheme="minorHAnsi" w:hAnsiTheme="minorHAnsi"/>
        </w:rPr>
        <w:t xml:space="preserve">porównania w 2019 r. – 12 wyroków, w 2018 – 21 wyroków, w 2012 r. </w:t>
      </w:r>
      <w:r w:rsidR="005105D0">
        <w:rPr>
          <w:rFonts w:asciiTheme="minorHAnsi" w:hAnsiTheme="minorHAnsi"/>
        </w:rPr>
        <w:t>–</w:t>
      </w:r>
      <w:r w:rsidR="00B0346B" w:rsidRPr="00194E8E">
        <w:rPr>
          <w:rFonts w:asciiTheme="minorHAnsi" w:hAnsiTheme="minorHAnsi"/>
        </w:rPr>
        <w:t xml:space="preserve"> </w:t>
      </w:r>
      <w:r w:rsidRPr="00194E8E">
        <w:rPr>
          <w:rFonts w:asciiTheme="minorHAnsi" w:hAnsiTheme="minorHAnsi"/>
        </w:rPr>
        <w:t>74</w:t>
      </w:r>
      <w:r w:rsidR="005105D0">
        <w:rPr>
          <w:rFonts w:asciiTheme="minorHAnsi" w:hAnsiTheme="minorHAnsi"/>
        </w:rPr>
        <w:t xml:space="preserve"> </w:t>
      </w:r>
      <w:r w:rsidRPr="00194E8E">
        <w:rPr>
          <w:rFonts w:asciiTheme="minorHAnsi" w:hAnsiTheme="minorHAnsi"/>
        </w:rPr>
        <w:t>wyroki, a w 2008 r. – najwyższa dotąd liczba wyroków – 141). Od 2013 r. liczba wyroków wydawanych rocznie przeciwko Polsce utr</w:t>
      </w:r>
      <w:r w:rsidR="00D80931">
        <w:rPr>
          <w:rFonts w:asciiTheme="minorHAnsi" w:hAnsiTheme="minorHAnsi"/>
        </w:rPr>
        <w:t>zymuje się poniżej trzydziestu.</w:t>
      </w:r>
    </w:p>
    <w:p w:rsidR="00260C5C" w:rsidRPr="00194E8E" w:rsidRDefault="00260C5C" w:rsidP="005105D0">
      <w:pPr>
        <w:spacing w:after="120"/>
        <w:jc w:val="both"/>
        <w:rPr>
          <w:rFonts w:asciiTheme="minorHAnsi" w:hAnsiTheme="minorHAnsi"/>
        </w:rPr>
      </w:pPr>
      <w:r w:rsidRPr="00194E8E">
        <w:rPr>
          <w:rFonts w:asciiTheme="minorHAnsi" w:hAnsiTheme="minorHAnsi"/>
        </w:rPr>
        <w:t xml:space="preserve">Liczba </w:t>
      </w:r>
      <w:r w:rsidRPr="00194E8E">
        <w:rPr>
          <w:rFonts w:asciiTheme="minorHAnsi" w:hAnsiTheme="minorHAnsi"/>
          <w:b/>
          <w:bCs/>
        </w:rPr>
        <w:t xml:space="preserve">wyroków stwierdzających naruszenia </w:t>
      </w:r>
      <w:r w:rsidRPr="00194E8E">
        <w:rPr>
          <w:rFonts w:asciiTheme="minorHAnsi" w:hAnsiTheme="minorHAnsi"/>
        </w:rPr>
        <w:t xml:space="preserve">Konwencji przez Polskę </w:t>
      </w:r>
      <w:r w:rsidR="00D80931">
        <w:rPr>
          <w:rFonts w:asciiTheme="minorHAnsi" w:hAnsiTheme="minorHAnsi"/>
        </w:rPr>
        <w:t>wynosiła</w:t>
      </w:r>
      <w:r w:rsidRPr="00194E8E">
        <w:rPr>
          <w:rFonts w:asciiTheme="minorHAnsi" w:hAnsiTheme="minorHAnsi"/>
        </w:rPr>
        <w:t xml:space="preserve"> 20 i dotyczyła 25 skarg (w 2020 r. liczba takich wyroków wyniosła 18,</w:t>
      </w:r>
      <w:r w:rsidRPr="00194E8E">
        <w:rPr>
          <w:rFonts w:asciiTheme="minorHAnsi" w:hAnsiTheme="minorHAnsi"/>
          <w:b/>
        </w:rPr>
        <w:t xml:space="preserve"> </w:t>
      </w:r>
      <w:r w:rsidRPr="00194E8E">
        <w:rPr>
          <w:rFonts w:asciiTheme="minorHAnsi" w:hAnsiTheme="minorHAnsi"/>
        </w:rPr>
        <w:t>w 2019 r. – 11, w 2018 r. – 20, a w 2008</w:t>
      </w:r>
      <w:r w:rsidR="00D80931">
        <w:rPr>
          <w:rFonts w:asciiTheme="minorHAnsi" w:hAnsiTheme="minorHAnsi"/>
        </w:rPr>
        <w:t> </w:t>
      </w:r>
      <w:r w:rsidRPr="00194E8E">
        <w:rPr>
          <w:rFonts w:asciiTheme="minorHAnsi" w:hAnsiTheme="minorHAnsi"/>
        </w:rPr>
        <w:t>r. – 129). Od 2013 r. liczba wyroków stwierdzających naruszenia Konwencji wobec Polski nie przekracza 20 rocznie.</w:t>
      </w:r>
    </w:p>
    <w:p w:rsidR="00260C5C" w:rsidRPr="00194E8E" w:rsidRDefault="00260C5C" w:rsidP="005105D0">
      <w:pPr>
        <w:spacing w:after="120"/>
        <w:jc w:val="both"/>
        <w:rPr>
          <w:rFonts w:asciiTheme="minorHAnsi" w:hAnsiTheme="minorHAnsi"/>
        </w:rPr>
      </w:pPr>
      <w:r w:rsidRPr="00194E8E">
        <w:rPr>
          <w:rFonts w:asciiTheme="minorHAnsi" w:hAnsiTheme="minorHAnsi"/>
        </w:rPr>
        <w:lastRenderedPageBreak/>
        <w:t xml:space="preserve">Ponadto </w:t>
      </w:r>
      <w:r w:rsidR="00D80931">
        <w:rPr>
          <w:rFonts w:asciiTheme="minorHAnsi" w:hAnsiTheme="minorHAnsi"/>
        </w:rPr>
        <w:t>ETPC</w:t>
      </w:r>
      <w:r w:rsidRPr="00194E8E">
        <w:rPr>
          <w:rFonts w:asciiTheme="minorHAnsi" w:hAnsiTheme="minorHAnsi"/>
        </w:rPr>
        <w:t xml:space="preserve"> wydał </w:t>
      </w:r>
      <w:r w:rsidRPr="00194E8E">
        <w:rPr>
          <w:rFonts w:asciiTheme="minorHAnsi" w:hAnsiTheme="minorHAnsi"/>
          <w:b/>
        </w:rPr>
        <w:t xml:space="preserve">3 wyroki stwierdzające </w:t>
      </w:r>
      <w:r w:rsidRPr="00194E8E">
        <w:rPr>
          <w:rFonts w:asciiTheme="minorHAnsi" w:eastAsiaTheme="minorHAnsi" w:hAnsiTheme="minorHAnsi" w:cstheme="minorBidi"/>
          <w:b/>
          <w:lang w:eastAsia="en-US"/>
        </w:rPr>
        <w:t>brak jakiegokolwiek naruszenia</w:t>
      </w:r>
      <w:r w:rsidRPr="00194E8E">
        <w:rPr>
          <w:rFonts w:asciiTheme="minorHAnsi" w:eastAsiaTheme="minorHAnsi" w:hAnsiTheme="minorHAnsi" w:cstheme="minorBidi"/>
          <w:lang w:eastAsia="en-US"/>
        </w:rPr>
        <w:t xml:space="preserve"> Konwencji przez Polskę ws. 3 skarg.</w:t>
      </w:r>
    </w:p>
    <w:p w:rsidR="00260C5C" w:rsidRPr="00194E8E" w:rsidRDefault="00260C5C" w:rsidP="00B67A8E">
      <w:pPr>
        <w:spacing w:before="240" w:after="120"/>
        <w:ind w:left="709"/>
        <w:jc w:val="both"/>
        <w:rPr>
          <w:rFonts w:asciiTheme="minorHAnsi" w:hAnsiTheme="minorHAnsi"/>
          <w:i/>
        </w:rPr>
      </w:pPr>
      <w:r w:rsidRPr="00194E8E">
        <w:rPr>
          <w:rFonts w:asciiTheme="minorHAnsi" w:hAnsiTheme="minorHAnsi"/>
          <w:i/>
        </w:rPr>
        <w:t>Przedmiot wyroków</w:t>
      </w:r>
      <w:r w:rsidRPr="00194E8E">
        <w:rPr>
          <w:rFonts w:asciiTheme="minorHAnsi" w:hAnsiTheme="minorHAnsi"/>
          <w:vertAlign w:val="superscript"/>
        </w:rPr>
        <w:footnoteReference w:id="5"/>
      </w:r>
    </w:p>
    <w:p w:rsidR="00260C5C" w:rsidRPr="00194E8E" w:rsidRDefault="00260C5C" w:rsidP="00D80931">
      <w:pPr>
        <w:spacing w:after="120"/>
        <w:jc w:val="both"/>
        <w:rPr>
          <w:rFonts w:asciiTheme="minorHAnsi" w:hAnsiTheme="minorHAnsi"/>
        </w:rPr>
      </w:pPr>
      <w:r w:rsidRPr="00194E8E">
        <w:rPr>
          <w:rFonts w:asciiTheme="minorHAnsi" w:hAnsiTheme="minorHAnsi"/>
        </w:rPr>
        <w:t>Pod względem meritum</w:t>
      </w:r>
      <w:r w:rsidR="00D80931">
        <w:rPr>
          <w:rFonts w:asciiTheme="minorHAnsi" w:hAnsiTheme="minorHAnsi"/>
        </w:rPr>
        <w:t>,</w:t>
      </w:r>
      <w:r w:rsidRPr="00194E8E">
        <w:rPr>
          <w:rFonts w:asciiTheme="minorHAnsi" w:hAnsiTheme="minorHAnsi"/>
        </w:rPr>
        <w:t xml:space="preserve"> w 2021 r. </w:t>
      </w:r>
      <w:r w:rsidR="00D80931">
        <w:rPr>
          <w:rFonts w:asciiTheme="minorHAnsi" w:hAnsiTheme="minorHAnsi"/>
        </w:rPr>
        <w:t>ETPC</w:t>
      </w:r>
      <w:r w:rsidRPr="00194E8E">
        <w:rPr>
          <w:rFonts w:asciiTheme="minorHAnsi" w:hAnsiTheme="minorHAnsi"/>
        </w:rPr>
        <w:t xml:space="preserve"> stwierdził 20 wyrokami </w:t>
      </w:r>
      <w:r w:rsidRPr="00194E8E">
        <w:rPr>
          <w:rFonts w:asciiTheme="minorHAnsi" w:hAnsiTheme="minorHAnsi"/>
          <w:b/>
        </w:rPr>
        <w:t>następujące naruszenia</w:t>
      </w:r>
      <w:r w:rsidRPr="00194E8E">
        <w:rPr>
          <w:rFonts w:asciiTheme="minorHAnsi" w:hAnsiTheme="minorHAnsi"/>
        </w:rPr>
        <w:t xml:space="preserve"> Konwencji: </w:t>
      </w:r>
    </w:p>
    <w:p w:rsidR="00260C5C" w:rsidRPr="00194E8E" w:rsidRDefault="00260C5C" w:rsidP="00D80931">
      <w:pPr>
        <w:spacing w:after="120"/>
        <w:jc w:val="both"/>
        <w:rPr>
          <w:rFonts w:asciiTheme="minorHAnsi" w:hAnsiTheme="minorHAnsi"/>
        </w:rPr>
      </w:pPr>
      <w:r w:rsidRPr="00194E8E">
        <w:rPr>
          <w:rFonts w:asciiTheme="minorHAnsi" w:hAnsiTheme="minorHAnsi"/>
          <w:b/>
        </w:rPr>
        <w:t xml:space="preserve">6 </w:t>
      </w:r>
      <w:r w:rsidRPr="00194E8E">
        <w:rPr>
          <w:rFonts w:asciiTheme="minorHAnsi" w:hAnsiTheme="minorHAnsi"/>
        </w:rPr>
        <w:t xml:space="preserve">naruszeń prawa do </w:t>
      </w:r>
      <w:r w:rsidRPr="00194E8E">
        <w:rPr>
          <w:rFonts w:asciiTheme="minorHAnsi" w:hAnsiTheme="minorHAnsi"/>
          <w:u w:val="single"/>
        </w:rPr>
        <w:t>rzetelnego procesu</w:t>
      </w:r>
      <w:r w:rsidRPr="00194E8E">
        <w:rPr>
          <w:rFonts w:asciiTheme="minorHAnsi" w:hAnsiTheme="minorHAnsi"/>
        </w:rPr>
        <w:t xml:space="preserve"> sądowego, w tym z uwagi na:</w:t>
      </w:r>
    </w:p>
    <w:p w:rsidR="00260C5C" w:rsidRPr="00194E8E" w:rsidRDefault="00260C5C" w:rsidP="00D80931">
      <w:pPr>
        <w:numPr>
          <w:ilvl w:val="0"/>
          <w:numId w:val="12"/>
        </w:numPr>
        <w:spacing w:after="120"/>
        <w:ind w:left="709" w:hanging="425"/>
        <w:jc w:val="both"/>
        <w:rPr>
          <w:rFonts w:asciiTheme="minorHAnsi" w:hAnsiTheme="minorHAnsi"/>
        </w:rPr>
      </w:pPr>
      <w:r w:rsidRPr="00194E8E">
        <w:rPr>
          <w:rFonts w:asciiTheme="minorHAnsi" w:hAnsiTheme="minorHAnsi"/>
        </w:rPr>
        <w:t>zbyt formalistyczne odrzuce</w:t>
      </w:r>
      <w:r w:rsidR="00D80931">
        <w:rPr>
          <w:rFonts w:asciiTheme="minorHAnsi" w:hAnsiTheme="minorHAnsi"/>
        </w:rPr>
        <w:t>nie kasacji przez Sąd Najwyższy;</w:t>
      </w:r>
    </w:p>
    <w:p w:rsidR="00260C5C" w:rsidRPr="00194E8E" w:rsidRDefault="00260C5C" w:rsidP="00D80931">
      <w:pPr>
        <w:numPr>
          <w:ilvl w:val="0"/>
          <w:numId w:val="12"/>
        </w:numPr>
        <w:spacing w:after="120"/>
        <w:ind w:left="709" w:hanging="425"/>
        <w:jc w:val="both"/>
        <w:rPr>
          <w:rFonts w:asciiTheme="minorHAnsi" w:hAnsiTheme="minorHAnsi"/>
        </w:rPr>
      </w:pPr>
      <w:r w:rsidRPr="00194E8E">
        <w:rPr>
          <w:rFonts w:asciiTheme="minorHAnsi" w:hAnsiTheme="minorHAnsi"/>
        </w:rPr>
        <w:t>nieodpowiedni sposób zbadania przez sąd cywilny wniosku o skierowanie pytania prawne</w:t>
      </w:r>
      <w:r w:rsidR="00D80931">
        <w:rPr>
          <w:rFonts w:asciiTheme="minorHAnsi" w:hAnsiTheme="minorHAnsi"/>
        </w:rPr>
        <w:t>go do Trybunału Konstytucyjnego;</w:t>
      </w:r>
    </w:p>
    <w:p w:rsidR="00260C5C" w:rsidRPr="00194E8E" w:rsidRDefault="00260C5C" w:rsidP="00D80931">
      <w:pPr>
        <w:numPr>
          <w:ilvl w:val="0"/>
          <w:numId w:val="12"/>
        </w:numPr>
        <w:spacing w:after="120"/>
        <w:ind w:left="709" w:hanging="425"/>
        <w:jc w:val="both"/>
        <w:rPr>
          <w:rFonts w:asciiTheme="minorHAnsi" w:hAnsiTheme="minorHAnsi"/>
        </w:rPr>
      </w:pPr>
      <w:r w:rsidRPr="00194E8E">
        <w:rPr>
          <w:rFonts w:asciiTheme="minorHAnsi" w:hAnsiTheme="minorHAnsi"/>
        </w:rPr>
        <w:t xml:space="preserve">naruszenia prawa do rozpatrzenia sprawy przez sąd ustanowiony ustawą ze względu na skład Trybunału Konstytucyjnego rozpoznającego </w:t>
      </w:r>
      <w:r w:rsidR="00D80931">
        <w:rPr>
          <w:rFonts w:asciiTheme="minorHAnsi" w:hAnsiTheme="minorHAnsi"/>
        </w:rPr>
        <w:t>skargę konstytucyjną skarżącego;</w:t>
      </w:r>
    </w:p>
    <w:p w:rsidR="00260C5C" w:rsidRPr="00194E8E" w:rsidRDefault="00260C5C" w:rsidP="00D80931">
      <w:pPr>
        <w:numPr>
          <w:ilvl w:val="0"/>
          <w:numId w:val="12"/>
        </w:numPr>
        <w:spacing w:after="120"/>
        <w:ind w:left="709" w:hanging="425"/>
        <w:jc w:val="both"/>
        <w:rPr>
          <w:rFonts w:asciiTheme="minorHAnsi" w:hAnsiTheme="minorHAnsi"/>
        </w:rPr>
      </w:pPr>
      <w:r w:rsidRPr="00194E8E">
        <w:rPr>
          <w:rFonts w:asciiTheme="minorHAnsi" w:hAnsiTheme="minorHAnsi"/>
        </w:rPr>
        <w:t>2 naruszenia prawa do rozpatrzenia sprawy przez sąd ustanowiony ustawą z uwagi na rozpatrzenie spraw skarżących przez Izbę Kontroli Nadzwyczajnej i Spr</w:t>
      </w:r>
      <w:r w:rsidR="00D80931">
        <w:rPr>
          <w:rFonts w:asciiTheme="minorHAnsi" w:hAnsiTheme="minorHAnsi"/>
        </w:rPr>
        <w:t>aw Publicznych Sądu Najwyższego;</w:t>
      </w:r>
    </w:p>
    <w:p w:rsidR="00260C5C" w:rsidRPr="00194E8E" w:rsidRDefault="00260C5C" w:rsidP="00D80931">
      <w:pPr>
        <w:numPr>
          <w:ilvl w:val="0"/>
          <w:numId w:val="12"/>
        </w:numPr>
        <w:spacing w:after="120"/>
        <w:ind w:left="709" w:hanging="425"/>
        <w:jc w:val="both"/>
        <w:rPr>
          <w:rFonts w:asciiTheme="minorHAnsi" w:hAnsiTheme="minorHAnsi"/>
        </w:rPr>
      </w:pPr>
      <w:r w:rsidRPr="00194E8E">
        <w:rPr>
          <w:rFonts w:asciiTheme="minorHAnsi" w:hAnsiTheme="minorHAnsi"/>
        </w:rPr>
        <w:t>brak drogi sądowej od odwołania wiceprezesów sądów</w:t>
      </w:r>
      <w:r w:rsidR="00D80931">
        <w:rPr>
          <w:rFonts w:asciiTheme="minorHAnsi" w:hAnsiTheme="minorHAnsi"/>
        </w:rPr>
        <w:t xml:space="preserve"> przez Ministra Sprawiedliwości.</w:t>
      </w:r>
    </w:p>
    <w:p w:rsidR="00260C5C" w:rsidRPr="00194E8E" w:rsidRDefault="00260C5C" w:rsidP="00D80931">
      <w:pPr>
        <w:spacing w:after="120"/>
        <w:jc w:val="both"/>
        <w:rPr>
          <w:rFonts w:asciiTheme="minorHAnsi" w:hAnsiTheme="minorHAnsi"/>
          <w:u w:val="single"/>
        </w:rPr>
      </w:pPr>
      <w:r w:rsidRPr="00194E8E">
        <w:rPr>
          <w:rFonts w:asciiTheme="minorHAnsi" w:hAnsiTheme="minorHAnsi"/>
          <w:b/>
        </w:rPr>
        <w:t>5</w:t>
      </w:r>
      <w:r w:rsidRPr="00194E8E">
        <w:rPr>
          <w:rFonts w:asciiTheme="minorHAnsi" w:hAnsiTheme="minorHAnsi"/>
        </w:rPr>
        <w:t xml:space="preserve"> naruszeń zakazu </w:t>
      </w:r>
      <w:r w:rsidRPr="00194E8E">
        <w:rPr>
          <w:rFonts w:asciiTheme="minorHAnsi" w:hAnsiTheme="minorHAnsi"/>
          <w:u w:val="single"/>
        </w:rPr>
        <w:t>nieludzkiego lub poniżającego traktowania w aspekcie materialnym</w:t>
      </w:r>
      <w:r w:rsidRPr="00194E8E">
        <w:rPr>
          <w:rFonts w:asciiTheme="minorHAnsi" w:hAnsiTheme="minorHAnsi"/>
        </w:rPr>
        <w:t xml:space="preserve"> z uwagi na:</w:t>
      </w:r>
    </w:p>
    <w:p w:rsidR="00260C5C" w:rsidRPr="00194E8E" w:rsidRDefault="00260C5C" w:rsidP="00D80931">
      <w:pPr>
        <w:numPr>
          <w:ilvl w:val="0"/>
          <w:numId w:val="13"/>
        </w:numPr>
        <w:spacing w:after="120"/>
        <w:ind w:left="709" w:hanging="425"/>
        <w:jc w:val="both"/>
        <w:rPr>
          <w:rFonts w:asciiTheme="minorHAnsi" w:hAnsiTheme="minorHAnsi"/>
        </w:rPr>
      </w:pPr>
      <w:r w:rsidRPr="00194E8E">
        <w:rPr>
          <w:rFonts w:asciiTheme="minorHAnsi" w:hAnsiTheme="minorHAnsi"/>
        </w:rPr>
        <w:t>długotrwałe stosowanie statusu wię</w:t>
      </w:r>
      <w:r w:rsidR="00D80931">
        <w:rPr>
          <w:rFonts w:asciiTheme="minorHAnsi" w:hAnsiTheme="minorHAnsi"/>
        </w:rPr>
        <w:t>źnia niebezpiecznego (3 wyroki);</w:t>
      </w:r>
    </w:p>
    <w:p w:rsidR="00260C5C" w:rsidRPr="00194E8E" w:rsidRDefault="00260C5C" w:rsidP="00D80931">
      <w:pPr>
        <w:numPr>
          <w:ilvl w:val="0"/>
          <w:numId w:val="13"/>
        </w:numPr>
        <w:spacing w:after="120"/>
        <w:ind w:left="709" w:hanging="425"/>
        <w:jc w:val="both"/>
        <w:rPr>
          <w:rFonts w:asciiTheme="minorHAnsi" w:hAnsiTheme="minorHAnsi"/>
        </w:rPr>
      </w:pPr>
      <w:r w:rsidRPr="00194E8E">
        <w:rPr>
          <w:rFonts w:asciiTheme="minorHAnsi" w:hAnsiTheme="minorHAnsi"/>
        </w:rPr>
        <w:t>złe traktowanie w czasie zatrzymania przez pol</w:t>
      </w:r>
      <w:r w:rsidR="00D80931">
        <w:rPr>
          <w:rFonts w:asciiTheme="minorHAnsi" w:hAnsiTheme="minorHAnsi"/>
        </w:rPr>
        <w:t>icję i przesłuchania na policji;</w:t>
      </w:r>
    </w:p>
    <w:p w:rsidR="00260C5C" w:rsidRPr="00194E8E" w:rsidRDefault="00260C5C" w:rsidP="00D80931">
      <w:pPr>
        <w:numPr>
          <w:ilvl w:val="0"/>
          <w:numId w:val="13"/>
        </w:numPr>
        <w:spacing w:after="120"/>
        <w:ind w:left="709" w:hanging="425"/>
        <w:jc w:val="both"/>
        <w:rPr>
          <w:rFonts w:asciiTheme="minorHAnsi" w:hAnsiTheme="minorHAnsi"/>
        </w:rPr>
      </w:pPr>
      <w:r w:rsidRPr="00194E8E">
        <w:rPr>
          <w:rFonts w:asciiTheme="minorHAnsi" w:hAnsiTheme="minorHAnsi"/>
        </w:rPr>
        <w:t xml:space="preserve">z uwagi na naruszenie zakazu </w:t>
      </w:r>
      <w:r w:rsidRPr="00194E8E">
        <w:rPr>
          <w:rFonts w:asciiTheme="minorHAnsi" w:hAnsiTheme="minorHAnsi"/>
          <w:i/>
        </w:rPr>
        <w:t>refoulement</w:t>
      </w:r>
      <w:r w:rsidRPr="00194E8E">
        <w:rPr>
          <w:rFonts w:asciiTheme="minorHAnsi" w:hAnsiTheme="minorHAnsi"/>
        </w:rPr>
        <w:t xml:space="preserve"> na</w:t>
      </w:r>
      <w:r w:rsidR="00D80931">
        <w:rPr>
          <w:rFonts w:asciiTheme="minorHAnsi" w:hAnsiTheme="minorHAnsi"/>
        </w:rPr>
        <w:t xml:space="preserve"> granicy.</w:t>
      </w:r>
    </w:p>
    <w:p w:rsidR="00260C5C" w:rsidRPr="00194E8E" w:rsidRDefault="00260C5C" w:rsidP="00D80931">
      <w:pPr>
        <w:spacing w:after="120"/>
        <w:jc w:val="both"/>
        <w:rPr>
          <w:rFonts w:asciiTheme="minorHAnsi" w:hAnsiTheme="minorHAnsi"/>
        </w:rPr>
      </w:pPr>
      <w:r w:rsidRPr="00194E8E">
        <w:rPr>
          <w:rFonts w:asciiTheme="minorHAnsi" w:hAnsiTheme="minorHAnsi"/>
          <w:b/>
        </w:rPr>
        <w:t>3</w:t>
      </w:r>
      <w:r w:rsidRPr="00194E8E">
        <w:rPr>
          <w:rFonts w:asciiTheme="minorHAnsi" w:hAnsiTheme="minorHAnsi"/>
        </w:rPr>
        <w:t xml:space="preserve"> naruszenia prawa do </w:t>
      </w:r>
      <w:r w:rsidRPr="00194E8E">
        <w:rPr>
          <w:rFonts w:asciiTheme="minorHAnsi" w:hAnsiTheme="minorHAnsi"/>
          <w:u w:val="single"/>
        </w:rPr>
        <w:t>skutecznego środka odwoławczego</w:t>
      </w:r>
      <w:r w:rsidRPr="00194E8E">
        <w:rPr>
          <w:rFonts w:asciiTheme="minorHAnsi" w:hAnsiTheme="minorHAnsi"/>
        </w:rPr>
        <w:t>:</w:t>
      </w:r>
    </w:p>
    <w:p w:rsidR="00260C5C" w:rsidRPr="00194E8E" w:rsidRDefault="00260C5C" w:rsidP="00D80931">
      <w:pPr>
        <w:numPr>
          <w:ilvl w:val="0"/>
          <w:numId w:val="14"/>
        </w:numPr>
        <w:spacing w:after="120"/>
        <w:ind w:left="709" w:hanging="425"/>
        <w:jc w:val="both"/>
        <w:rPr>
          <w:rFonts w:asciiTheme="minorHAnsi" w:hAnsiTheme="minorHAnsi"/>
        </w:rPr>
      </w:pPr>
      <w:r w:rsidRPr="00194E8E">
        <w:rPr>
          <w:rFonts w:asciiTheme="minorHAnsi" w:hAnsiTheme="minorHAnsi"/>
        </w:rPr>
        <w:t>do skarżenia przewlekło</w:t>
      </w:r>
      <w:r w:rsidR="00D80931">
        <w:rPr>
          <w:rFonts w:asciiTheme="minorHAnsi" w:hAnsiTheme="minorHAnsi"/>
        </w:rPr>
        <w:t>ści postępowania karnego;</w:t>
      </w:r>
    </w:p>
    <w:p w:rsidR="00260C5C" w:rsidRPr="00194E8E" w:rsidRDefault="00260C5C" w:rsidP="00D80931">
      <w:pPr>
        <w:numPr>
          <w:ilvl w:val="0"/>
          <w:numId w:val="14"/>
        </w:numPr>
        <w:spacing w:after="120"/>
        <w:ind w:left="709" w:hanging="425"/>
        <w:jc w:val="both"/>
        <w:rPr>
          <w:rFonts w:asciiTheme="minorHAnsi" w:hAnsiTheme="minorHAnsi"/>
        </w:rPr>
      </w:pPr>
      <w:r w:rsidRPr="00194E8E">
        <w:rPr>
          <w:rFonts w:asciiTheme="minorHAnsi" w:hAnsiTheme="minorHAnsi"/>
        </w:rPr>
        <w:t>do skarżenia odmowy dostępu do procedury och</w:t>
      </w:r>
      <w:r w:rsidR="00D80931">
        <w:rPr>
          <w:rFonts w:asciiTheme="minorHAnsi" w:hAnsiTheme="minorHAnsi"/>
        </w:rPr>
        <w:t>rony międzynarodowej na granicy.</w:t>
      </w:r>
    </w:p>
    <w:p w:rsidR="00260C5C" w:rsidRPr="00194E8E" w:rsidRDefault="00260C5C" w:rsidP="00D80931">
      <w:pPr>
        <w:spacing w:after="120"/>
        <w:jc w:val="both"/>
        <w:rPr>
          <w:rFonts w:asciiTheme="minorHAnsi" w:hAnsiTheme="minorHAnsi"/>
        </w:rPr>
      </w:pPr>
      <w:r w:rsidRPr="00194E8E">
        <w:rPr>
          <w:rFonts w:asciiTheme="minorHAnsi" w:hAnsiTheme="minorHAnsi"/>
          <w:b/>
        </w:rPr>
        <w:t>2</w:t>
      </w:r>
      <w:r w:rsidRPr="00194E8E">
        <w:rPr>
          <w:rFonts w:asciiTheme="minorHAnsi" w:hAnsiTheme="minorHAnsi"/>
        </w:rPr>
        <w:t xml:space="preserve"> naruszenia z uwagi na </w:t>
      </w:r>
      <w:r w:rsidRPr="00194E8E">
        <w:rPr>
          <w:rFonts w:asciiTheme="minorHAnsi" w:hAnsiTheme="minorHAnsi"/>
          <w:u w:val="single"/>
        </w:rPr>
        <w:t>przewlekłość postępowania karnego</w:t>
      </w:r>
      <w:r w:rsidR="00D80931">
        <w:rPr>
          <w:rFonts w:asciiTheme="minorHAnsi" w:hAnsiTheme="minorHAnsi"/>
        </w:rPr>
        <w:t>.</w:t>
      </w:r>
    </w:p>
    <w:p w:rsidR="00260C5C" w:rsidRPr="00194E8E" w:rsidRDefault="00260C5C" w:rsidP="00D80931">
      <w:pPr>
        <w:spacing w:after="120"/>
        <w:jc w:val="both"/>
        <w:rPr>
          <w:rFonts w:asciiTheme="minorHAnsi" w:hAnsiTheme="minorHAnsi"/>
        </w:rPr>
      </w:pPr>
      <w:r w:rsidRPr="00194E8E">
        <w:rPr>
          <w:rFonts w:asciiTheme="minorHAnsi" w:hAnsiTheme="minorHAnsi"/>
          <w:b/>
        </w:rPr>
        <w:t>2</w:t>
      </w:r>
      <w:r w:rsidRPr="00194E8E">
        <w:rPr>
          <w:rFonts w:asciiTheme="minorHAnsi" w:hAnsiTheme="minorHAnsi"/>
        </w:rPr>
        <w:t xml:space="preserve"> naruszenia prawa do </w:t>
      </w:r>
      <w:r w:rsidRPr="00194E8E">
        <w:rPr>
          <w:rFonts w:asciiTheme="minorHAnsi" w:hAnsiTheme="minorHAnsi"/>
          <w:u w:val="single"/>
        </w:rPr>
        <w:t>wolności i bezpieczeństwa osobistego</w:t>
      </w:r>
      <w:r w:rsidRPr="00194E8E">
        <w:rPr>
          <w:rFonts w:asciiTheme="minorHAnsi" w:hAnsiTheme="minorHAnsi"/>
        </w:rPr>
        <w:t xml:space="preserve"> z uwagi na:</w:t>
      </w:r>
    </w:p>
    <w:p w:rsidR="00260C5C" w:rsidRPr="00194E8E" w:rsidRDefault="00260C5C" w:rsidP="00D80931">
      <w:pPr>
        <w:numPr>
          <w:ilvl w:val="0"/>
          <w:numId w:val="13"/>
        </w:numPr>
        <w:spacing w:after="120"/>
        <w:ind w:left="709" w:hanging="425"/>
        <w:jc w:val="both"/>
        <w:rPr>
          <w:rFonts w:asciiTheme="minorHAnsi" w:hAnsiTheme="minorHAnsi"/>
        </w:rPr>
      </w:pPr>
      <w:r w:rsidRPr="00194E8E">
        <w:rPr>
          <w:rFonts w:asciiTheme="minorHAnsi" w:hAnsiTheme="minorHAnsi"/>
        </w:rPr>
        <w:t>nadmierną długość tymcz</w:t>
      </w:r>
      <w:r w:rsidR="00D80931">
        <w:rPr>
          <w:rFonts w:asciiTheme="minorHAnsi" w:hAnsiTheme="minorHAnsi"/>
        </w:rPr>
        <w:t>asowego aresztowania;</w:t>
      </w:r>
    </w:p>
    <w:p w:rsidR="00260C5C" w:rsidRPr="00194E8E" w:rsidRDefault="00260C5C" w:rsidP="00D80931">
      <w:pPr>
        <w:numPr>
          <w:ilvl w:val="0"/>
          <w:numId w:val="13"/>
        </w:numPr>
        <w:spacing w:after="120"/>
        <w:ind w:left="709" w:hanging="425"/>
        <w:jc w:val="both"/>
        <w:rPr>
          <w:rFonts w:asciiTheme="minorHAnsi" w:hAnsiTheme="minorHAnsi"/>
        </w:rPr>
      </w:pPr>
      <w:r w:rsidRPr="00194E8E">
        <w:rPr>
          <w:rFonts w:asciiTheme="minorHAnsi" w:hAnsiTheme="minorHAnsi"/>
        </w:rPr>
        <w:t>zarządzenie przez sąd karny umieszczenia skarżącego w szpitalu psychiatrycznym w oparciu o ni</w:t>
      </w:r>
      <w:r w:rsidR="00D80931">
        <w:rPr>
          <w:rFonts w:asciiTheme="minorHAnsi" w:hAnsiTheme="minorHAnsi"/>
        </w:rPr>
        <w:t>eaktualną opinię psychiatryczną.</w:t>
      </w:r>
    </w:p>
    <w:p w:rsidR="00260C5C" w:rsidRPr="00194E8E" w:rsidRDefault="00260C5C" w:rsidP="00D80931">
      <w:pPr>
        <w:spacing w:after="120"/>
        <w:jc w:val="both"/>
        <w:rPr>
          <w:rFonts w:asciiTheme="minorHAnsi" w:eastAsiaTheme="minorHAnsi" w:hAnsiTheme="minorHAnsi" w:cstheme="minorBidi"/>
          <w:u w:val="single"/>
          <w:lang w:eastAsia="en-US"/>
        </w:rPr>
      </w:pPr>
      <w:r w:rsidRPr="00194E8E">
        <w:rPr>
          <w:rFonts w:asciiTheme="minorHAnsi" w:eastAsiaTheme="minorHAnsi" w:hAnsiTheme="minorHAnsi" w:cstheme="minorBidi"/>
          <w:b/>
          <w:lang w:eastAsia="en-US"/>
        </w:rPr>
        <w:t>2</w:t>
      </w:r>
      <w:r w:rsidRPr="00194E8E">
        <w:rPr>
          <w:rFonts w:asciiTheme="minorHAnsi" w:eastAsiaTheme="minorHAnsi" w:hAnsiTheme="minorHAnsi" w:cstheme="minorBidi"/>
          <w:lang w:eastAsia="en-US"/>
        </w:rPr>
        <w:t xml:space="preserve"> naruszenia </w:t>
      </w:r>
      <w:r w:rsidRPr="00194E8E">
        <w:rPr>
          <w:rFonts w:asciiTheme="minorHAnsi" w:eastAsiaTheme="minorHAnsi" w:hAnsiTheme="minorHAnsi" w:cstheme="minorBidi"/>
          <w:u w:val="single"/>
          <w:lang w:eastAsia="en-US"/>
        </w:rPr>
        <w:t>prawa do poszanowania życia prywatnego lub rodzinnego</w:t>
      </w:r>
      <w:r w:rsidRPr="00194E8E">
        <w:rPr>
          <w:rFonts w:asciiTheme="minorHAnsi" w:eastAsiaTheme="minorHAnsi" w:hAnsiTheme="minorHAnsi" w:cstheme="minorBidi"/>
          <w:lang w:eastAsia="en-US"/>
        </w:rPr>
        <w:t>, w tym z uwagi na:</w:t>
      </w:r>
    </w:p>
    <w:p w:rsidR="00260C5C" w:rsidRPr="00194E8E" w:rsidRDefault="00260C5C" w:rsidP="00D80931">
      <w:pPr>
        <w:numPr>
          <w:ilvl w:val="0"/>
          <w:numId w:val="12"/>
        </w:numPr>
        <w:spacing w:after="120"/>
        <w:ind w:left="709" w:hanging="425"/>
        <w:jc w:val="both"/>
        <w:rPr>
          <w:rFonts w:asciiTheme="minorHAnsi" w:hAnsiTheme="minorHAnsi"/>
        </w:rPr>
      </w:pPr>
      <w:r w:rsidRPr="00194E8E">
        <w:rPr>
          <w:rFonts w:asciiTheme="minorHAnsi" w:hAnsiTheme="minorHAnsi"/>
        </w:rPr>
        <w:t xml:space="preserve">przewlekłość i nieskuteczność postępowania na podstawie Konwencji haskiej dotyczącej cywilnych aspektów </w:t>
      </w:r>
      <w:r w:rsidR="00D80931">
        <w:rPr>
          <w:rFonts w:asciiTheme="minorHAnsi" w:hAnsiTheme="minorHAnsi"/>
        </w:rPr>
        <w:t>uprowadzenia dziecka za granicę;</w:t>
      </w:r>
    </w:p>
    <w:p w:rsidR="00260C5C" w:rsidRPr="00194E8E" w:rsidRDefault="00260C5C" w:rsidP="00D80931">
      <w:pPr>
        <w:numPr>
          <w:ilvl w:val="0"/>
          <w:numId w:val="12"/>
        </w:numPr>
        <w:spacing w:after="120"/>
        <w:ind w:left="709" w:hanging="425"/>
        <w:jc w:val="both"/>
        <w:rPr>
          <w:rFonts w:asciiTheme="minorHAnsi" w:hAnsiTheme="minorHAnsi"/>
        </w:rPr>
      </w:pPr>
      <w:r w:rsidRPr="00194E8E">
        <w:rPr>
          <w:rFonts w:asciiTheme="minorHAnsi" w:hAnsiTheme="minorHAnsi"/>
        </w:rPr>
        <w:t xml:space="preserve">przeprowadzenie </w:t>
      </w:r>
      <w:r w:rsidR="00D80931">
        <w:rPr>
          <w:rFonts w:asciiTheme="minorHAnsi" w:hAnsiTheme="minorHAnsi"/>
        </w:rPr>
        <w:t>głośnej</w:t>
      </w:r>
      <w:r w:rsidRPr="00194E8E">
        <w:rPr>
          <w:rFonts w:asciiTheme="minorHAnsi" w:hAnsiTheme="minorHAnsi"/>
        </w:rPr>
        <w:t xml:space="preserve"> drogi szybkiego </w:t>
      </w:r>
      <w:r w:rsidR="00D80931">
        <w:rPr>
          <w:rFonts w:asciiTheme="minorHAnsi" w:hAnsiTheme="minorHAnsi"/>
        </w:rPr>
        <w:t>ruchu w pobliżu domu skarżących.</w:t>
      </w:r>
    </w:p>
    <w:p w:rsidR="00260C5C" w:rsidRPr="00194E8E" w:rsidRDefault="00260C5C" w:rsidP="00D80931">
      <w:pPr>
        <w:spacing w:after="120"/>
        <w:jc w:val="both"/>
        <w:rPr>
          <w:rFonts w:asciiTheme="minorHAnsi" w:hAnsiTheme="minorHAnsi"/>
        </w:rPr>
      </w:pPr>
      <w:r w:rsidRPr="00194E8E">
        <w:rPr>
          <w:rFonts w:asciiTheme="minorHAnsi" w:hAnsiTheme="minorHAnsi"/>
          <w:b/>
        </w:rPr>
        <w:lastRenderedPageBreak/>
        <w:t>2</w:t>
      </w:r>
      <w:r w:rsidRPr="00194E8E">
        <w:rPr>
          <w:rFonts w:asciiTheme="minorHAnsi" w:hAnsiTheme="minorHAnsi"/>
        </w:rPr>
        <w:t xml:space="preserve"> naruszenia prawa do </w:t>
      </w:r>
      <w:r w:rsidRPr="00194E8E">
        <w:rPr>
          <w:rFonts w:asciiTheme="minorHAnsi" w:hAnsiTheme="minorHAnsi"/>
          <w:u w:val="single"/>
        </w:rPr>
        <w:t>ochrony własności</w:t>
      </w:r>
      <w:r w:rsidRPr="00194E8E">
        <w:rPr>
          <w:rFonts w:asciiTheme="minorHAnsi" w:hAnsiTheme="minorHAnsi"/>
        </w:rPr>
        <w:t xml:space="preserve"> z uwagi na długotrwałe i nieuzasadnione zajęcie rzeczy skarżących n</w:t>
      </w:r>
      <w:r w:rsidR="00222815">
        <w:rPr>
          <w:rFonts w:asciiTheme="minorHAnsi" w:hAnsiTheme="minorHAnsi"/>
        </w:rPr>
        <w:t>a potrzeby postępowania karnego.</w:t>
      </w:r>
    </w:p>
    <w:p w:rsidR="00260C5C" w:rsidRPr="00194E8E" w:rsidRDefault="00260C5C" w:rsidP="00D80931">
      <w:pPr>
        <w:spacing w:after="120"/>
        <w:jc w:val="both"/>
        <w:rPr>
          <w:rFonts w:asciiTheme="minorHAnsi" w:hAnsiTheme="minorHAnsi"/>
        </w:rPr>
      </w:pPr>
      <w:r w:rsidRPr="00194E8E">
        <w:rPr>
          <w:rFonts w:asciiTheme="minorHAnsi" w:hAnsiTheme="minorHAnsi"/>
          <w:b/>
        </w:rPr>
        <w:t>1</w:t>
      </w:r>
      <w:r w:rsidRPr="00194E8E">
        <w:rPr>
          <w:rFonts w:asciiTheme="minorHAnsi" w:hAnsiTheme="minorHAnsi"/>
        </w:rPr>
        <w:t xml:space="preserve"> naruszenie prawa do </w:t>
      </w:r>
      <w:r w:rsidRPr="00194E8E">
        <w:rPr>
          <w:rFonts w:asciiTheme="minorHAnsi" w:hAnsiTheme="minorHAnsi"/>
          <w:u w:val="single"/>
        </w:rPr>
        <w:t>wolności wyrażania opinii</w:t>
      </w:r>
      <w:r w:rsidRPr="00194E8E">
        <w:rPr>
          <w:rFonts w:asciiTheme="minorHAnsi" w:hAnsiTheme="minorHAnsi"/>
        </w:rPr>
        <w:t xml:space="preserve"> w związk</w:t>
      </w:r>
      <w:r w:rsidR="00222815">
        <w:rPr>
          <w:rFonts w:asciiTheme="minorHAnsi" w:hAnsiTheme="minorHAnsi"/>
        </w:rPr>
        <w:t>u ze skazaniem za zniesławienie.</w:t>
      </w:r>
    </w:p>
    <w:p w:rsidR="00260C5C" w:rsidRPr="00194E8E" w:rsidRDefault="00260C5C" w:rsidP="00D80931">
      <w:pPr>
        <w:spacing w:after="120"/>
        <w:jc w:val="both"/>
        <w:rPr>
          <w:rFonts w:asciiTheme="minorHAnsi" w:hAnsiTheme="minorHAnsi"/>
          <w:u w:val="single"/>
        </w:rPr>
      </w:pPr>
      <w:r w:rsidRPr="00194E8E">
        <w:rPr>
          <w:rFonts w:asciiTheme="minorHAnsi" w:hAnsiTheme="minorHAnsi"/>
          <w:b/>
        </w:rPr>
        <w:t>1</w:t>
      </w:r>
      <w:r w:rsidRPr="00194E8E">
        <w:rPr>
          <w:rFonts w:asciiTheme="minorHAnsi" w:hAnsiTheme="minorHAnsi"/>
        </w:rPr>
        <w:t xml:space="preserve"> naruszenie zakazu </w:t>
      </w:r>
      <w:r w:rsidRPr="00194E8E">
        <w:rPr>
          <w:rFonts w:asciiTheme="minorHAnsi" w:hAnsiTheme="minorHAnsi"/>
          <w:u w:val="single"/>
        </w:rPr>
        <w:t>nieludzkiego lub poniżającego traktowania w aspekcie proceduralnym</w:t>
      </w:r>
      <w:r w:rsidRPr="00194E8E">
        <w:rPr>
          <w:rFonts w:asciiTheme="minorHAnsi" w:hAnsiTheme="minorHAnsi"/>
        </w:rPr>
        <w:t xml:space="preserve"> z uwagi na brak skutecznego śledztwa w sprawie zarzutów złego traktowania w czasie zatrzymania i prze</w:t>
      </w:r>
      <w:r w:rsidR="00222815">
        <w:rPr>
          <w:rFonts w:asciiTheme="minorHAnsi" w:hAnsiTheme="minorHAnsi"/>
        </w:rPr>
        <w:t>słuchania skarżących na policji.</w:t>
      </w:r>
    </w:p>
    <w:p w:rsidR="00260C5C" w:rsidRPr="00194E8E" w:rsidRDefault="00260C5C" w:rsidP="00D80931">
      <w:pPr>
        <w:spacing w:after="120"/>
        <w:jc w:val="both"/>
        <w:rPr>
          <w:rFonts w:asciiTheme="minorHAnsi" w:hAnsiTheme="minorHAnsi"/>
        </w:rPr>
      </w:pPr>
      <w:r w:rsidRPr="00194E8E">
        <w:rPr>
          <w:rFonts w:asciiTheme="minorHAnsi" w:hAnsiTheme="minorHAnsi"/>
          <w:b/>
        </w:rPr>
        <w:t>1</w:t>
      </w:r>
      <w:r w:rsidRPr="00194E8E">
        <w:rPr>
          <w:rFonts w:asciiTheme="minorHAnsi" w:hAnsiTheme="minorHAnsi"/>
        </w:rPr>
        <w:t xml:space="preserve"> naruszenie zakazu </w:t>
      </w:r>
      <w:r w:rsidRPr="00194E8E">
        <w:rPr>
          <w:rFonts w:asciiTheme="minorHAnsi" w:hAnsiTheme="minorHAnsi"/>
          <w:u w:val="single"/>
        </w:rPr>
        <w:t>zbiorowego wydalania cudzoziemców</w:t>
      </w:r>
      <w:r w:rsidRPr="00194E8E">
        <w:rPr>
          <w:rFonts w:asciiTheme="minorHAnsi" w:hAnsiTheme="minorHAnsi"/>
        </w:rPr>
        <w:t xml:space="preserve"> z uwagi na sposób podejmowania na</w:t>
      </w:r>
      <w:r w:rsidR="00222815">
        <w:rPr>
          <w:rFonts w:asciiTheme="minorHAnsi" w:hAnsiTheme="minorHAnsi"/>
        </w:rPr>
        <w:t xml:space="preserve"> </w:t>
      </w:r>
      <w:r w:rsidRPr="00194E8E">
        <w:rPr>
          <w:rFonts w:asciiTheme="minorHAnsi" w:hAnsiTheme="minorHAnsi"/>
        </w:rPr>
        <w:t>granicy decyzji o odmowie wjazdu osób ubiegającyc</w:t>
      </w:r>
      <w:r w:rsidR="00222815">
        <w:rPr>
          <w:rFonts w:asciiTheme="minorHAnsi" w:hAnsiTheme="minorHAnsi"/>
        </w:rPr>
        <w:t>h się o ochronę międzynarodową.</w:t>
      </w:r>
    </w:p>
    <w:p w:rsidR="00260C5C" w:rsidRPr="00194E8E" w:rsidRDefault="00260C5C" w:rsidP="00D80931">
      <w:pPr>
        <w:spacing w:after="120"/>
        <w:jc w:val="both"/>
        <w:rPr>
          <w:rFonts w:asciiTheme="minorHAnsi" w:hAnsiTheme="minorHAnsi"/>
        </w:rPr>
      </w:pPr>
      <w:r w:rsidRPr="00194E8E">
        <w:rPr>
          <w:rFonts w:asciiTheme="minorHAnsi" w:hAnsiTheme="minorHAnsi"/>
          <w:b/>
        </w:rPr>
        <w:t>1</w:t>
      </w:r>
      <w:r w:rsidRPr="00194E8E">
        <w:rPr>
          <w:rFonts w:asciiTheme="minorHAnsi" w:hAnsiTheme="minorHAnsi"/>
        </w:rPr>
        <w:t xml:space="preserve"> naruszenie </w:t>
      </w:r>
      <w:r w:rsidRPr="00194E8E">
        <w:rPr>
          <w:rFonts w:asciiTheme="minorHAnsi" w:hAnsiTheme="minorHAnsi"/>
          <w:u w:val="single"/>
        </w:rPr>
        <w:t>prawa do skargi indywidualnej</w:t>
      </w:r>
      <w:r w:rsidRPr="00194E8E">
        <w:rPr>
          <w:rFonts w:asciiTheme="minorHAnsi" w:hAnsiTheme="minorHAnsi"/>
        </w:rPr>
        <w:t xml:space="preserve"> do ETPC z uwagi na nierespektowanie zarządzeń tymczasowych </w:t>
      </w:r>
      <w:r w:rsidR="00222815">
        <w:rPr>
          <w:rFonts w:asciiTheme="minorHAnsi" w:hAnsiTheme="minorHAnsi"/>
        </w:rPr>
        <w:t>ETPC</w:t>
      </w:r>
      <w:r w:rsidRPr="00194E8E">
        <w:rPr>
          <w:rFonts w:asciiTheme="minorHAnsi" w:hAnsiTheme="minorHAnsi"/>
        </w:rPr>
        <w:t xml:space="preserve"> ws. nieodsyłania na granicy cudzoziemców ubiegający</w:t>
      </w:r>
      <w:r w:rsidR="00222815">
        <w:rPr>
          <w:rFonts w:asciiTheme="minorHAnsi" w:hAnsiTheme="minorHAnsi"/>
        </w:rPr>
        <w:t>ch się o ochronę międzynarodową.</w:t>
      </w:r>
    </w:p>
    <w:p w:rsidR="00260C5C" w:rsidRPr="00194E8E" w:rsidRDefault="00260C5C" w:rsidP="00D80931">
      <w:pPr>
        <w:spacing w:after="120"/>
        <w:jc w:val="both"/>
        <w:rPr>
          <w:rFonts w:asciiTheme="minorHAnsi" w:hAnsiTheme="minorHAnsi"/>
        </w:rPr>
      </w:pPr>
      <w:r w:rsidRPr="00194E8E">
        <w:rPr>
          <w:rFonts w:asciiTheme="minorHAnsi" w:hAnsiTheme="minorHAnsi"/>
          <w:b/>
        </w:rPr>
        <w:t>1</w:t>
      </w:r>
      <w:r w:rsidRPr="00194E8E">
        <w:rPr>
          <w:rFonts w:asciiTheme="minorHAnsi" w:hAnsiTheme="minorHAnsi"/>
        </w:rPr>
        <w:t xml:space="preserve"> naruszenie </w:t>
      </w:r>
      <w:r w:rsidRPr="00194E8E">
        <w:rPr>
          <w:rFonts w:asciiTheme="minorHAnsi" w:hAnsiTheme="minorHAnsi"/>
          <w:u w:val="single"/>
        </w:rPr>
        <w:t>zakazu dyskryminacji</w:t>
      </w:r>
      <w:r w:rsidRPr="00194E8E">
        <w:rPr>
          <w:rFonts w:asciiTheme="minorHAnsi" w:hAnsiTheme="minorHAnsi"/>
        </w:rPr>
        <w:t xml:space="preserve"> z uwagi na odmowę przyznania matce opieki nad dziećmi z powodu jej orientacji seksualnej.</w:t>
      </w:r>
    </w:p>
    <w:p w:rsidR="00260C5C" w:rsidRPr="00194E8E" w:rsidRDefault="00260C5C" w:rsidP="00D80931">
      <w:pPr>
        <w:spacing w:after="120"/>
        <w:jc w:val="both"/>
        <w:rPr>
          <w:rFonts w:asciiTheme="minorHAnsi" w:hAnsiTheme="minorHAnsi"/>
        </w:rPr>
      </w:pPr>
      <w:r w:rsidRPr="00194E8E">
        <w:rPr>
          <w:rFonts w:asciiTheme="minorHAnsi" w:hAnsiTheme="minorHAnsi"/>
        </w:rPr>
        <w:t xml:space="preserve">Ponadto </w:t>
      </w:r>
      <w:r w:rsidR="00222815">
        <w:rPr>
          <w:rFonts w:asciiTheme="minorHAnsi" w:hAnsiTheme="minorHAnsi"/>
        </w:rPr>
        <w:t>ETPC</w:t>
      </w:r>
      <w:r w:rsidRPr="00194E8E">
        <w:rPr>
          <w:rFonts w:asciiTheme="minorHAnsi" w:hAnsiTheme="minorHAnsi"/>
        </w:rPr>
        <w:t xml:space="preserve"> wydał </w:t>
      </w:r>
      <w:r w:rsidR="00CD4849" w:rsidRPr="00194E8E">
        <w:rPr>
          <w:rFonts w:asciiTheme="minorHAnsi" w:hAnsiTheme="minorHAnsi"/>
          <w:b/>
        </w:rPr>
        <w:t>następujące korzystne dla R</w:t>
      </w:r>
      <w:r w:rsidRPr="00194E8E">
        <w:rPr>
          <w:rFonts w:asciiTheme="minorHAnsi" w:hAnsiTheme="minorHAnsi"/>
          <w:b/>
        </w:rPr>
        <w:t>ządu rozstrzygnięcia</w:t>
      </w:r>
      <w:r w:rsidRPr="00194E8E">
        <w:rPr>
          <w:rFonts w:asciiTheme="minorHAnsi" w:hAnsiTheme="minorHAnsi"/>
        </w:rPr>
        <w:t xml:space="preserve"> w wyrokach</w:t>
      </w:r>
      <w:r w:rsidRPr="00194E8E">
        <w:rPr>
          <w:rFonts w:asciiTheme="minorHAnsi" w:hAnsiTheme="minorHAnsi"/>
          <w:vertAlign w:val="superscript"/>
        </w:rPr>
        <w:footnoteReference w:id="6"/>
      </w:r>
      <w:r w:rsidRPr="00194E8E">
        <w:rPr>
          <w:rFonts w:asciiTheme="minorHAnsi" w:hAnsiTheme="minorHAnsi"/>
        </w:rPr>
        <w:t>:</w:t>
      </w:r>
    </w:p>
    <w:p w:rsidR="00260C5C" w:rsidRPr="00194E8E" w:rsidRDefault="00260C5C" w:rsidP="00D80931">
      <w:pPr>
        <w:spacing w:after="120"/>
        <w:jc w:val="both"/>
        <w:rPr>
          <w:rFonts w:asciiTheme="minorHAnsi" w:eastAsiaTheme="minorHAnsi" w:hAnsiTheme="minorHAnsi" w:cstheme="minorBidi"/>
          <w:lang w:eastAsia="en-US"/>
        </w:rPr>
      </w:pPr>
      <w:r w:rsidRPr="00194E8E">
        <w:rPr>
          <w:rFonts w:asciiTheme="minorHAnsi" w:eastAsiaTheme="minorHAnsi" w:hAnsiTheme="minorHAnsi" w:cstheme="minorBidi"/>
          <w:b/>
          <w:lang w:eastAsia="en-US"/>
        </w:rPr>
        <w:t>2</w:t>
      </w:r>
      <w:r w:rsidRPr="00194E8E">
        <w:rPr>
          <w:rFonts w:asciiTheme="minorHAnsi" w:eastAsiaTheme="minorHAnsi" w:hAnsiTheme="minorHAnsi" w:cstheme="minorBidi"/>
          <w:lang w:eastAsia="en-US"/>
        </w:rPr>
        <w:t xml:space="preserve"> stwierdzenia braku naruszenia </w:t>
      </w:r>
      <w:r w:rsidRPr="00194E8E">
        <w:rPr>
          <w:rFonts w:asciiTheme="minorHAnsi" w:eastAsiaTheme="minorHAnsi" w:hAnsiTheme="minorHAnsi" w:cstheme="minorBidi"/>
          <w:u w:val="single"/>
          <w:lang w:eastAsia="en-US"/>
        </w:rPr>
        <w:t>prawa do wolności wyrażania opinii</w:t>
      </w:r>
      <w:r w:rsidRPr="00194E8E">
        <w:rPr>
          <w:rFonts w:asciiTheme="minorHAnsi" w:eastAsiaTheme="minorHAnsi" w:hAnsiTheme="minorHAnsi" w:cstheme="minorBidi"/>
          <w:lang w:eastAsia="en-US"/>
        </w:rPr>
        <w:t xml:space="preserve"> w odniesieniu do:</w:t>
      </w:r>
    </w:p>
    <w:p w:rsidR="00260C5C" w:rsidRPr="00194E8E" w:rsidRDefault="00260C5C" w:rsidP="00222815">
      <w:pPr>
        <w:numPr>
          <w:ilvl w:val="0"/>
          <w:numId w:val="12"/>
        </w:numPr>
        <w:spacing w:after="120"/>
        <w:ind w:left="709" w:hanging="425"/>
        <w:jc w:val="both"/>
        <w:rPr>
          <w:rFonts w:asciiTheme="minorHAnsi" w:hAnsiTheme="minorHAnsi"/>
        </w:rPr>
      </w:pPr>
      <w:r w:rsidRPr="00194E8E">
        <w:rPr>
          <w:rFonts w:asciiTheme="minorHAnsi" w:hAnsiTheme="minorHAnsi"/>
        </w:rPr>
        <w:t>środków zastosowanych wobec dziennikarza w postępowaniu przeprowadzonym w trybie wyborczym za opubliko</w:t>
      </w:r>
      <w:r w:rsidR="00222815">
        <w:rPr>
          <w:rFonts w:asciiTheme="minorHAnsi" w:hAnsiTheme="minorHAnsi"/>
        </w:rPr>
        <w:t>wanie nieprawdziwych informacji;</w:t>
      </w:r>
    </w:p>
    <w:p w:rsidR="00260C5C" w:rsidRPr="00194E8E" w:rsidRDefault="00260C5C" w:rsidP="00222815">
      <w:pPr>
        <w:numPr>
          <w:ilvl w:val="0"/>
          <w:numId w:val="12"/>
        </w:numPr>
        <w:spacing w:after="120"/>
        <w:ind w:left="709" w:hanging="425"/>
        <w:jc w:val="both"/>
        <w:rPr>
          <w:rFonts w:asciiTheme="minorHAnsi" w:hAnsiTheme="minorHAnsi"/>
        </w:rPr>
      </w:pPr>
      <w:r w:rsidRPr="00194E8E">
        <w:rPr>
          <w:rFonts w:asciiTheme="minorHAnsi" w:hAnsiTheme="minorHAnsi"/>
        </w:rPr>
        <w:t>skazania za zniesławienie dyrektora muzeu</w:t>
      </w:r>
      <w:r w:rsidR="00222815">
        <w:rPr>
          <w:rFonts w:asciiTheme="minorHAnsi" w:hAnsiTheme="minorHAnsi"/>
        </w:rPr>
        <w:t>m.</w:t>
      </w:r>
    </w:p>
    <w:p w:rsidR="00260C5C" w:rsidRPr="00194E8E" w:rsidRDefault="00260C5C" w:rsidP="00D80931">
      <w:pPr>
        <w:spacing w:after="120"/>
        <w:jc w:val="both"/>
        <w:rPr>
          <w:rFonts w:asciiTheme="minorHAnsi" w:eastAsiaTheme="minorHAnsi" w:hAnsiTheme="minorHAnsi" w:cstheme="minorBidi"/>
          <w:lang w:eastAsia="en-US"/>
        </w:rPr>
      </w:pPr>
      <w:r w:rsidRPr="00194E8E">
        <w:rPr>
          <w:rFonts w:asciiTheme="minorHAnsi" w:eastAsiaTheme="minorHAnsi" w:hAnsiTheme="minorHAnsi" w:cstheme="minorBidi"/>
          <w:b/>
          <w:lang w:eastAsia="en-US"/>
        </w:rPr>
        <w:t>1</w:t>
      </w:r>
      <w:r w:rsidRPr="00194E8E">
        <w:rPr>
          <w:rFonts w:asciiTheme="minorHAnsi" w:eastAsiaTheme="minorHAnsi" w:hAnsiTheme="minorHAnsi" w:cstheme="minorBidi"/>
          <w:lang w:eastAsia="en-US"/>
        </w:rPr>
        <w:t xml:space="preserve"> stwierdzenie braku naruszenia </w:t>
      </w:r>
      <w:r w:rsidRPr="00194E8E">
        <w:rPr>
          <w:rFonts w:asciiTheme="minorHAnsi" w:eastAsiaTheme="minorHAnsi" w:hAnsiTheme="minorHAnsi" w:cstheme="minorBidi"/>
          <w:u w:val="single"/>
          <w:lang w:eastAsia="en-US"/>
        </w:rPr>
        <w:t>prawa do poszanowania życia rodzinnego</w:t>
      </w:r>
      <w:r w:rsidRPr="00194E8E">
        <w:rPr>
          <w:rFonts w:asciiTheme="minorHAnsi" w:eastAsiaTheme="minorHAnsi" w:hAnsiTheme="minorHAnsi" w:cstheme="minorBidi"/>
          <w:lang w:eastAsia="en-US"/>
        </w:rPr>
        <w:t xml:space="preserve"> w odniesieniu do odmów przyznania prawa do wizyt</w:t>
      </w:r>
      <w:r w:rsidR="00222815">
        <w:rPr>
          <w:rFonts w:asciiTheme="minorHAnsi" w:eastAsiaTheme="minorHAnsi" w:hAnsiTheme="minorHAnsi" w:cstheme="minorBidi"/>
          <w:lang w:eastAsia="en-US"/>
        </w:rPr>
        <w:t xml:space="preserve"> małżeńskich w zakładzie karnym.</w:t>
      </w:r>
    </w:p>
    <w:p w:rsidR="00260C5C" w:rsidRPr="00194E8E" w:rsidRDefault="00260C5C" w:rsidP="00D80931">
      <w:pPr>
        <w:spacing w:after="120"/>
        <w:jc w:val="both"/>
        <w:rPr>
          <w:rFonts w:asciiTheme="minorHAnsi" w:eastAsiaTheme="minorHAnsi" w:hAnsiTheme="minorHAnsi" w:cstheme="minorBidi"/>
          <w:lang w:eastAsia="en-US"/>
        </w:rPr>
      </w:pPr>
      <w:r w:rsidRPr="00194E8E">
        <w:rPr>
          <w:rFonts w:asciiTheme="minorHAnsi" w:eastAsiaTheme="minorHAnsi" w:hAnsiTheme="minorHAnsi" w:cstheme="minorBidi"/>
          <w:b/>
          <w:lang w:eastAsia="en-US"/>
        </w:rPr>
        <w:t>1</w:t>
      </w:r>
      <w:r w:rsidRPr="00194E8E">
        <w:rPr>
          <w:rFonts w:asciiTheme="minorHAnsi" w:eastAsiaTheme="minorHAnsi" w:hAnsiTheme="minorHAnsi" w:cstheme="minorBidi"/>
          <w:lang w:eastAsia="en-US"/>
        </w:rPr>
        <w:t xml:space="preserve"> stwierdzenie braku naruszenia </w:t>
      </w:r>
      <w:r w:rsidRPr="00194E8E">
        <w:rPr>
          <w:rFonts w:asciiTheme="minorHAnsi" w:eastAsiaTheme="minorHAnsi" w:hAnsiTheme="minorHAnsi" w:cstheme="minorBidi"/>
          <w:u w:val="single"/>
          <w:lang w:eastAsia="en-US"/>
        </w:rPr>
        <w:t>prawa do zawarcia małżeństwa</w:t>
      </w:r>
      <w:r w:rsidRPr="00194E8E">
        <w:rPr>
          <w:rFonts w:asciiTheme="minorHAnsi" w:eastAsiaTheme="minorHAnsi" w:hAnsiTheme="minorHAnsi" w:cstheme="minorBidi"/>
          <w:lang w:eastAsia="en-US"/>
        </w:rPr>
        <w:t xml:space="preserve"> w odniesieniu do odmów przyznania prawa do wizyt</w:t>
      </w:r>
      <w:r w:rsidR="00222815">
        <w:rPr>
          <w:rFonts w:asciiTheme="minorHAnsi" w:eastAsiaTheme="minorHAnsi" w:hAnsiTheme="minorHAnsi" w:cstheme="minorBidi"/>
          <w:lang w:eastAsia="en-US"/>
        </w:rPr>
        <w:t xml:space="preserve"> małżeńskich w zakładzie karnym.</w:t>
      </w:r>
    </w:p>
    <w:p w:rsidR="00260C5C" w:rsidRPr="00194E8E" w:rsidRDefault="00260C5C" w:rsidP="00D80931">
      <w:pPr>
        <w:spacing w:after="120"/>
        <w:jc w:val="both"/>
        <w:rPr>
          <w:rFonts w:asciiTheme="minorHAnsi" w:eastAsiaTheme="minorHAnsi" w:hAnsiTheme="minorHAnsi" w:cstheme="minorBidi"/>
          <w:lang w:eastAsia="en-US"/>
        </w:rPr>
      </w:pPr>
      <w:r w:rsidRPr="00194E8E">
        <w:rPr>
          <w:rFonts w:asciiTheme="minorHAnsi" w:eastAsiaTheme="minorHAnsi" w:hAnsiTheme="minorHAnsi" w:cstheme="minorBidi"/>
          <w:b/>
          <w:lang w:eastAsia="en-US"/>
        </w:rPr>
        <w:t>1</w:t>
      </w:r>
      <w:r w:rsidRPr="00194E8E">
        <w:rPr>
          <w:rFonts w:asciiTheme="minorHAnsi" w:eastAsiaTheme="minorHAnsi" w:hAnsiTheme="minorHAnsi" w:cstheme="minorBidi"/>
          <w:lang w:eastAsia="en-US"/>
        </w:rPr>
        <w:t xml:space="preserve"> stwierdzenie braku naruszenia </w:t>
      </w:r>
      <w:r w:rsidRPr="00194E8E">
        <w:rPr>
          <w:rFonts w:asciiTheme="minorHAnsi" w:eastAsiaTheme="minorHAnsi" w:hAnsiTheme="minorHAnsi" w:cstheme="minorBidi"/>
          <w:u w:val="single"/>
          <w:lang w:eastAsia="en-US"/>
        </w:rPr>
        <w:t>zakazu nieludzkiego lub poniżającego traktowania</w:t>
      </w:r>
      <w:r w:rsidRPr="00194E8E">
        <w:rPr>
          <w:rFonts w:asciiTheme="minorHAnsi" w:eastAsiaTheme="minorHAnsi" w:hAnsiTheme="minorHAnsi" w:cstheme="minorBidi"/>
          <w:lang w:eastAsia="en-US"/>
        </w:rPr>
        <w:t xml:space="preserve"> w odniesieniu do tymczasowego aresztowania osoby w podeszłym wie</w:t>
      </w:r>
      <w:r w:rsidR="00222815">
        <w:rPr>
          <w:rFonts w:asciiTheme="minorHAnsi" w:eastAsiaTheme="minorHAnsi" w:hAnsiTheme="minorHAnsi" w:cstheme="minorBidi"/>
          <w:lang w:eastAsia="en-US"/>
        </w:rPr>
        <w:t>ku i mającej problemy zdrowotne.</w:t>
      </w:r>
    </w:p>
    <w:p w:rsidR="00260C5C" w:rsidRPr="00194E8E" w:rsidRDefault="00260C5C" w:rsidP="00D80931">
      <w:pPr>
        <w:spacing w:after="120"/>
        <w:jc w:val="both"/>
        <w:rPr>
          <w:rFonts w:asciiTheme="minorHAnsi" w:eastAsiaTheme="minorHAnsi" w:hAnsiTheme="minorHAnsi" w:cstheme="minorBidi"/>
          <w:lang w:eastAsia="en-US"/>
        </w:rPr>
      </w:pPr>
      <w:r w:rsidRPr="00194E8E">
        <w:rPr>
          <w:rFonts w:asciiTheme="minorHAnsi" w:eastAsiaTheme="minorHAnsi" w:hAnsiTheme="minorHAnsi" w:cstheme="minorBidi"/>
          <w:b/>
          <w:lang w:eastAsia="en-US"/>
        </w:rPr>
        <w:t>1</w:t>
      </w:r>
      <w:r w:rsidRPr="00194E8E">
        <w:rPr>
          <w:rFonts w:asciiTheme="minorHAnsi" w:eastAsiaTheme="minorHAnsi" w:hAnsiTheme="minorHAnsi" w:cstheme="minorBidi"/>
          <w:lang w:eastAsia="en-US"/>
        </w:rPr>
        <w:t xml:space="preserve"> stwierdzenie braku naruszenia </w:t>
      </w:r>
      <w:r w:rsidRPr="00194E8E">
        <w:rPr>
          <w:rFonts w:asciiTheme="minorHAnsi" w:eastAsiaTheme="minorHAnsi" w:hAnsiTheme="minorHAnsi" w:cstheme="minorBidi"/>
          <w:u w:val="single"/>
          <w:lang w:eastAsia="en-US"/>
        </w:rPr>
        <w:t>prawa do wolności i bezpieczeństwa osobistego</w:t>
      </w:r>
      <w:r w:rsidRPr="00194E8E">
        <w:rPr>
          <w:rFonts w:asciiTheme="minorHAnsi" w:eastAsiaTheme="minorHAnsi" w:hAnsiTheme="minorHAnsi" w:cstheme="minorBidi"/>
          <w:lang w:eastAsia="en-US"/>
        </w:rPr>
        <w:t xml:space="preserve"> w odniesieniu do umieszczenia w zakładzie psychiatrycznym w oparciu o sporządzane co 6 miesięcy opinie psychiatryczne.</w:t>
      </w:r>
    </w:p>
    <w:p w:rsidR="00260C5C" w:rsidRPr="00194E8E" w:rsidRDefault="00260C5C" w:rsidP="00222815">
      <w:pPr>
        <w:numPr>
          <w:ilvl w:val="1"/>
          <w:numId w:val="9"/>
        </w:numPr>
        <w:spacing w:before="240" w:after="120"/>
        <w:ind w:left="709" w:hanging="425"/>
        <w:jc w:val="both"/>
        <w:rPr>
          <w:rFonts w:asciiTheme="minorHAnsi" w:hAnsiTheme="minorHAnsi"/>
          <w:i/>
        </w:rPr>
      </w:pPr>
      <w:r w:rsidRPr="00194E8E">
        <w:rPr>
          <w:rFonts w:asciiTheme="minorHAnsi" w:hAnsiTheme="minorHAnsi"/>
          <w:i/>
        </w:rPr>
        <w:t>Decyzje</w:t>
      </w:r>
    </w:p>
    <w:p w:rsidR="00260C5C" w:rsidRPr="00194E8E" w:rsidRDefault="00260C5C" w:rsidP="00222815">
      <w:pPr>
        <w:spacing w:after="120"/>
        <w:jc w:val="both"/>
        <w:rPr>
          <w:rFonts w:asciiTheme="minorHAnsi" w:hAnsiTheme="minorHAnsi"/>
        </w:rPr>
      </w:pPr>
      <w:r w:rsidRPr="00194E8E">
        <w:rPr>
          <w:rFonts w:asciiTheme="minorHAnsi" w:hAnsiTheme="minorHAnsi"/>
        </w:rPr>
        <w:t xml:space="preserve">W 2020 r. </w:t>
      </w:r>
      <w:r w:rsidR="00B67A8E">
        <w:rPr>
          <w:rFonts w:asciiTheme="minorHAnsi" w:hAnsiTheme="minorHAnsi"/>
        </w:rPr>
        <w:t>ETPC</w:t>
      </w:r>
      <w:r w:rsidRPr="00194E8E">
        <w:rPr>
          <w:rFonts w:asciiTheme="minorHAnsi" w:hAnsiTheme="minorHAnsi"/>
        </w:rPr>
        <w:t xml:space="preserve"> wydał </w:t>
      </w:r>
      <w:r w:rsidRPr="00194E8E">
        <w:rPr>
          <w:rFonts w:asciiTheme="minorHAnsi" w:hAnsiTheme="minorHAnsi"/>
          <w:b/>
        </w:rPr>
        <w:t>65 decyzji w</w:t>
      </w:r>
      <w:r w:rsidR="005A00BF" w:rsidRPr="00194E8E">
        <w:rPr>
          <w:rFonts w:asciiTheme="minorHAnsi" w:hAnsiTheme="minorHAnsi"/>
          <w:b/>
        </w:rPr>
        <w:t xml:space="preserve"> sprawie</w:t>
      </w:r>
      <w:r w:rsidRPr="00194E8E">
        <w:rPr>
          <w:rFonts w:asciiTheme="minorHAnsi" w:hAnsiTheme="minorHAnsi"/>
          <w:b/>
        </w:rPr>
        <w:t xml:space="preserve"> 218 skarg</w:t>
      </w:r>
      <w:r w:rsidRPr="00194E8E">
        <w:rPr>
          <w:rFonts w:asciiTheme="minorHAnsi" w:hAnsiTheme="minorHAnsi"/>
        </w:rPr>
        <w:t xml:space="preserve"> dotyczących Polski (dla porównania w 2020 r. </w:t>
      </w:r>
      <w:r w:rsidR="00B67A8E">
        <w:rPr>
          <w:rFonts w:asciiTheme="minorHAnsi" w:hAnsiTheme="minorHAnsi"/>
        </w:rPr>
        <w:t xml:space="preserve">ETPC </w:t>
      </w:r>
      <w:r w:rsidRPr="00194E8E">
        <w:rPr>
          <w:rFonts w:asciiTheme="minorHAnsi" w:hAnsiTheme="minorHAnsi"/>
        </w:rPr>
        <w:t>przyjął 43 decyzje w</w:t>
      </w:r>
      <w:r w:rsidR="005A00BF" w:rsidRPr="00194E8E">
        <w:rPr>
          <w:rFonts w:asciiTheme="minorHAnsi" w:hAnsiTheme="minorHAnsi"/>
        </w:rPr>
        <w:t xml:space="preserve"> </w:t>
      </w:r>
      <w:r w:rsidRPr="00194E8E">
        <w:rPr>
          <w:rFonts w:asciiTheme="minorHAnsi" w:hAnsiTheme="minorHAnsi"/>
        </w:rPr>
        <w:t>s</w:t>
      </w:r>
      <w:r w:rsidR="005A00BF" w:rsidRPr="00194E8E">
        <w:rPr>
          <w:rFonts w:asciiTheme="minorHAnsi" w:hAnsiTheme="minorHAnsi"/>
        </w:rPr>
        <w:t>prawie</w:t>
      </w:r>
      <w:r w:rsidRPr="00194E8E">
        <w:rPr>
          <w:rFonts w:asciiTheme="minorHAnsi" w:hAnsiTheme="minorHAnsi"/>
        </w:rPr>
        <w:t xml:space="preserve"> 68 skarg, w 2019 r. </w:t>
      </w:r>
      <w:r w:rsidR="00222815">
        <w:rPr>
          <w:rFonts w:asciiTheme="minorHAnsi" w:hAnsiTheme="minorHAnsi"/>
        </w:rPr>
        <w:t xml:space="preserve">– </w:t>
      </w:r>
      <w:r w:rsidRPr="00194E8E">
        <w:rPr>
          <w:rFonts w:asciiTheme="minorHAnsi" w:hAnsiTheme="minorHAnsi"/>
        </w:rPr>
        <w:t>85</w:t>
      </w:r>
      <w:r w:rsidR="00222815">
        <w:rPr>
          <w:rFonts w:asciiTheme="minorHAnsi" w:hAnsiTheme="minorHAnsi"/>
        </w:rPr>
        <w:t xml:space="preserve"> </w:t>
      </w:r>
      <w:r w:rsidRPr="00194E8E">
        <w:rPr>
          <w:rFonts w:asciiTheme="minorHAnsi" w:hAnsiTheme="minorHAnsi"/>
        </w:rPr>
        <w:t>decyzji w 102 sprawach, 106 decyzji w 2018 r., 87</w:t>
      </w:r>
      <w:r w:rsidR="00222815">
        <w:rPr>
          <w:rFonts w:asciiTheme="minorHAnsi" w:hAnsiTheme="minorHAnsi"/>
        </w:rPr>
        <w:t xml:space="preserve"> w 2017 r., 191 w 2015 r., 388</w:t>
      </w:r>
      <w:r w:rsidRPr="00194E8E">
        <w:rPr>
          <w:rFonts w:asciiTheme="minorHAnsi" w:hAnsiTheme="minorHAnsi"/>
        </w:rPr>
        <w:t xml:space="preserve"> w 2008 r.). W</w:t>
      </w:r>
      <w:r w:rsidR="00222815">
        <w:rPr>
          <w:rFonts w:asciiTheme="minorHAnsi" w:hAnsiTheme="minorHAnsi"/>
        </w:rPr>
        <w:t xml:space="preserve"> </w:t>
      </w:r>
      <w:r w:rsidRPr="00194E8E">
        <w:rPr>
          <w:rFonts w:asciiTheme="minorHAnsi" w:hAnsiTheme="minorHAnsi"/>
        </w:rPr>
        <w:t>2021 r. wydane zostały następujące decyzje:</w:t>
      </w:r>
    </w:p>
    <w:p w:rsidR="00260C5C" w:rsidRPr="00222815" w:rsidRDefault="00260C5C" w:rsidP="00222815">
      <w:pPr>
        <w:pStyle w:val="Akapitzlist"/>
        <w:numPr>
          <w:ilvl w:val="0"/>
          <w:numId w:val="34"/>
        </w:numPr>
        <w:spacing w:after="120"/>
        <w:ind w:left="714" w:hanging="430"/>
        <w:jc w:val="both"/>
        <w:rPr>
          <w:rFonts w:asciiTheme="minorHAnsi" w:eastAsiaTheme="minorHAnsi" w:hAnsiTheme="minorHAnsi" w:cstheme="minorBidi"/>
          <w:sz w:val="24"/>
          <w:szCs w:val="24"/>
        </w:rPr>
      </w:pPr>
      <w:r w:rsidRPr="00222815">
        <w:rPr>
          <w:rFonts w:asciiTheme="minorHAnsi" w:eastAsiaTheme="minorHAnsi" w:hAnsiTheme="minorHAnsi" w:cstheme="minorBidi"/>
          <w:b/>
          <w:sz w:val="24"/>
          <w:szCs w:val="24"/>
        </w:rPr>
        <w:t xml:space="preserve">19 </w:t>
      </w:r>
      <w:r w:rsidRPr="00222815">
        <w:rPr>
          <w:rFonts w:asciiTheme="minorHAnsi" w:eastAsiaTheme="minorHAnsi" w:hAnsiTheme="minorHAnsi" w:cstheme="minorBidi"/>
          <w:sz w:val="24"/>
          <w:szCs w:val="24"/>
        </w:rPr>
        <w:t xml:space="preserve">decyzji o </w:t>
      </w:r>
      <w:r w:rsidRPr="00222815">
        <w:rPr>
          <w:rFonts w:asciiTheme="minorHAnsi" w:eastAsiaTheme="minorHAnsi" w:hAnsiTheme="minorHAnsi" w:cstheme="minorBidi"/>
          <w:b/>
          <w:sz w:val="24"/>
          <w:szCs w:val="24"/>
        </w:rPr>
        <w:t>niedopuszczalności</w:t>
      </w:r>
      <w:r w:rsidRPr="00222815">
        <w:rPr>
          <w:rFonts w:asciiTheme="minorHAnsi" w:eastAsiaTheme="minorHAnsi" w:hAnsiTheme="minorHAnsi" w:cstheme="minorBidi"/>
          <w:sz w:val="24"/>
          <w:szCs w:val="24"/>
        </w:rPr>
        <w:t xml:space="preserve"> 23 skarg, w tym </w:t>
      </w:r>
      <w:r w:rsidRPr="00222815">
        <w:rPr>
          <w:rFonts w:asciiTheme="minorHAnsi" w:eastAsiaTheme="minorHAnsi" w:hAnsiTheme="minorHAnsi" w:cstheme="minorBidi"/>
          <w:b/>
          <w:sz w:val="24"/>
          <w:szCs w:val="24"/>
        </w:rPr>
        <w:t>15</w:t>
      </w:r>
      <w:r w:rsidRPr="00222815">
        <w:rPr>
          <w:rFonts w:asciiTheme="minorHAnsi" w:eastAsiaTheme="minorHAnsi" w:hAnsiTheme="minorHAnsi" w:cstheme="minorBidi"/>
          <w:sz w:val="24"/>
          <w:szCs w:val="24"/>
        </w:rPr>
        <w:t xml:space="preserve"> decyzji o niedopuszczalności 19 zakomunikowanyc</w:t>
      </w:r>
      <w:r w:rsidR="00CD4849" w:rsidRPr="00222815">
        <w:rPr>
          <w:rFonts w:asciiTheme="minorHAnsi" w:eastAsiaTheme="minorHAnsi" w:hAnsiTheme="minorHAnsi" w:cstheme="minorBidi"/>
          <w:sz w:val="24"/>
          <w:szCs w:val="24"/>
        </w:rPr>
        <w:t>h skarg</w:t>
      </w:r>
      <w:r w:rsidR="00B0346B" w:rsidRPr="00222815">
        <w:rPr>
          <w:rFonts w:asciiTheme="minorHAnsi" w:eastAsiaTheme="minorHAnsi" w:hAnsiTheme="minorHAnsi" w:cstheme="minorBidi"/>
          <w:sz w:val="24"/>
          <w:szCs w:val="24"/>
        </w:rPr>
        <w:t>,</w:t>
      </w:r>
      <w:r w:rsidR="00CD4849" w:rsidRPr="00222815">
        <w:rPr>
          <w:rFonts w:asciiTheme="minorHAnsi" w:eastAsiaTheme="minorHAnsi" w:hAnsiTheme="minorHAnsi" w:cstheme="minorBidi"/>
          <w:sz w:val="24"/>
          <w:szCs w:val="24"/>
        </w:rPr>
        <w:t xml:space="preserve"> wydane po obserwacjach R</w:t>
      </w:r>
      <w:r w:rsidR="00222815">
        <w:rPr>
          <w:rFonts w:asciiTheme="minorHAnsi" w:eastAsiaTheme="minorHAnsi" w:hAnsiTheme="minorHAnsi" w:cstheme="minorBidi"/>
          <w:sz w:val="24"/>
          <w:szCs w:val="24"/>
        </w:rPr>
        <w:t>ządu;</w:t>
      </w:r>
    </w:p>
    <w:p w:rsidR="00260C5C" w:rsidRPr="00222815" w:rsidRDefault="00260C5C" w:rsidP="00222815">
      <w:pPr>
        <w:pStyle w:val="Akapitzlist"/>
        <w:numPr>
          <w:ilvl w:val="0"/>
          <w:numId w:val="34"/>
        </w:numPr>
        <w:spacing w:after="120"/>
        <w:ind w:left="714" w:hanging="430"/>
        <w:jc w:val="both"/>
        <w:rPr>
          <w:rFonts w:asciiTheme="minorHAnsi" w:hAnsiTheme="minorHAnsi"/>
          <w:color w:val="000000"/>
          <w:sz w:val="24"/>
          <w:szCs w:val="24"/>
        </w:rPr>
      </w:pPr>
      <w:r w:rsidRPr="00222815">
        <w:rPr>
          <w:rFonts w:asciiTheme="minorHAnsi" w:hAnsiTheme="minorHAnsi"/>
          <w:b/>
          <w:color w:val="000000"/>
          <w:sz w:val="24"/>
          <w:szCs w:val="24"/>
        </w:rPr>
        <w:lastRenderedPageBreak/>
        <w:t>26</w:t>
      </w:r>
      <w:r w:rsidRPr="00222815">
        <w:rPr>
          <w:rFonts w:asciiTheme="minorHAnsi" w:hAnsiTheme="minorHAnsi"/>
          <w:color w:val="000000"/>
          <w:sz w:val="24"/>
          <w:szCs w:val="24"/>
        </w:rPr>
        <w:t xml:space="preserve"> decyzji zatwierdzających </w:t>
      </w:r>
      <w:r w:rsidRPr="00222815">
        <w:rPr>
          <w:rFonts w:asciiTheme="minorHAnsi" w:hAnsiTheme="minorHAnsi"/>
          <w:b/>
          <w:color w:val="000000"/>
          <w:sz w:val="24"/>
          <w:szCs w:val="24"/>
        </w:rPr>
        <w:t>ugody</w:t>
      </w:r>
      <w:r w:rsidR="00222815">
        <w:rPr>
          <w:rFonts w:asciiTheme="minorHAnsi" w:hAnsiTheme="minorHAnsi"/>
          <w:color w:val="000000"/>
          <w:sz w:val="24"/>
          <w:szCs w:val="24"/>
        </w:rPr>
        <w:t xml:space="preserve"> w 131 skargach;</w:t>
      </w:r>
    </w:p>
    <w:p w:rsidR="00260C5C" w:rsidRPr="00222815" w:rsidRDefault="00260C5C" w:rsidP="00222815">
      <w:pPr>
        <w:pStyle w:val="Akapitzlist"/>
        <w:numPr>
          <w:ilvl w:val="0"/>
          <w:numId w:val="34"/>
        </w:numPr>
        <w:spacing w:after="120"/>
        <w:ind w:left="714" w:hanging="430"/>
        <w:jc w:val="both"/>
        <w:rPr>
          <w:rFonts w:asciiTheme="minorHAnsi" w:hAnsiTheme="minorHAnsi"/>
          <w:color w:val="000000"/>
          <w:sz w:val="24"/>
          <w:szCs w:val="24"/>
        </w:rPr>
      </w:pPr>
      <w:r w:rsidRPr="00222815">
        <w:rPr>
          <w:rFonts w:asciiTheme="minorHAnsi" w:hAnsiTheme="minorHAnsi"/>
          <w:b/>
          <w:color w:val="000000"/>
          <w:sz w:val="24"/>
          <w:szCs w:val="24"/>
        </w:rPr>
        <w:t>11</w:t>
      </w:r>
      <w:r w:rsidRPr="00222815">
        <w:rPr>
          <w:rFonts w:asciiTheme="minorHAnsi" w:hAnsiTheme="minorHAnsi"/>
          <w:color w:val="000000"/>
          <w:sz w:val="24"/>
          <w:szCs w:val="24"/>
        </w:rPr>
        <w:t xml:space="preserve"> decyzji zatwierdzających </w:t>
      </w:r>
      <w:r w:rsidRPr="00222815">
        <w:rPr>
          <w:rFonts w:asciiTheme="minorHAnsi" w:hAnsiTheme="minorHAnsi"/>
          <w:b/>
          <w:color w:val="000000"/>
          <w:sz w:val="24"/>
          <w:szCs w:val="24"/>
        </w:rPr>
        <w:t>deklaracje jednostronne</w:t>
      </w:r>
      <w:r w:rsidR="00222815">
        <w:rPr>
          <w:rFonts w:asciiTheme="minorHAnsi" w:hAnsiTheme="minorHAnsi"/>
          <w:color w:val="000000"/>
          <w:sz w:val="24"/>
          <w:szCs w:val="24"/>
        </w:rPr>
        <w:t xml:space="preserve"> w 55 skargach;</w:t>
      </w:r>
    </w:p>
    <w:p w:rsidR="00260C5C" w:rsidRPr="00222815" w:rsidRDefault="00260C5C" w:rsidP="00222815">
      <w:pPr>
        <w:pStyle w:val="Akapitzlist"/>
        <w:numPr>
          <w:ilvl w:val="0"/>
          <w:numId w:val="34"/>
        </w:numPr>
        <w:spacing w:after="120"/>
        <w:ind w:left="714" w:hanging="430"/>
        <w:jc w:val="both"/>
        <w:rPr>
          <w:rFonts w:asciiTheme="minorHAnsi" w:hAnsiTheme="minorHAnsi"/>
          <w:color w:val="000000"/>
          <w:sz w:val="24"/>
          <w:szCs w:val="24"/>
        </w:rPr>
      </w:pPr>
      <w:r w:rsidRPr="00222815">
        <w:rPr>
          <w:rFonts w:asciiTheme="minorHAnsi" w:hAnsiTheme="minorHAnsi"/>
          <w:b/>
          <w:color w:val="000000"/>
          <w:sz w:val="24"/>
          <w:szCs w:val="24"/>
        </w:rPr>
        <w:t>7</w:t>
      </w:r>
      <w:r w:rsidRPr="00222815">
        <w:rPr>
          <w:rFonts w:asciiTheme="minorHAnsi" w:hAnsiTheme="minorHAnsi"/>
          <w:color w:val="000000"/>
          <w:sz w:val="24"/>
          <w:szCs w:val="24"/>
        </w:rPr>
        <w:t xml:space="preserve"> decyzji </w:t>
      </w:r>
      <w:r w:rsidRPr="00222815">
        <w:rPr>
          <w:rFonts w:asciiTheme="minorHAnsi" w:hAnsiTheme="minorHAnsi"/>
          <w:b/>
          <w:color w:val="000000"/>
          <w:sz w:val="24"/>
          <w:szCs w:val="24"/>
        </w:rPr>
        <w:t>skreślających z przyczyn formalnych</w:t>
      </w:r>
      <w:r w:rsidR="004D4FD2" w:rsidRPr="00222815">
        <w:rPr>
          <w:rFonts w:asciiTheme="minorHAnsi" w:hAnsiTheme="minorHAnsi"/>
          <w:color w:val="000000"/>
          <w:sz w:val="24"/>
          <w:szCs w:val="24"/>
        </w:rPr>
        <w:t xml:space="preserve"> 7 zakomunikowanych R</w:t>
      </w:r>
      <w:r w:rsidRPr="00222815">
        <w:rPr>
          <w:rFonts w:asciiTheme="minorHAnsi" w:hAnsiTheme="minorHAnsi"/>
          <w:color w:val="000000"/>
          <w:sz w:val="24"/>
          <w:szCs w:val="24"/>
        </w:rPr>
        <w:t>ządowi skarg, w tym 4 decyzje skreślające 4 skargi z powodu niepodtrzymywania ich przez skarżących po p</w:t>
      </w:r>
      <w:r w:rsidR="00B0346B" w:rsidRPr="00222815">
        <w:rPr>
          <w:rFonts w:asciiTheme="minorHAnsi" w:hAnsiTheme="minorHAnsi"/>
          <w:color w:val="000000"/>
          <w:sz w:val="24"/>
          <w:szCs w:val="24"/>
        </w:rPr>
        <w:t>rzedstawieniu obserwacji przez R</w:t>
      </w:r>
      <w:r w:rsidRPr="00222815">
        <w:rPr>
          <w:rFonts w:asciiTheme="minorHAnsi" w:hAnsiTheme="minorHAnsi"/>
          <w:color w:val="000000"/>
          <w:sz w:val="24"/>
          <w:szCs w:val="24"/>
        </w:rPr>
        <w:t xml:space="preserve">ząd oraz 2 decyzje skreślające 2 skargi, w których </w:t>
      </w:r>
      <w:r w:rsidR="00BA13ED">
        <w:rPr>
          <w:rFonts w:asciiTheme="minorHAnsi" w:hAnsiTheme="minorHAnsi"/>
          <w:color w:val="000000"/>
          <w:sz w:val="24"/>
          <w:szCs w:val="24"/>
          <w:lang w:val="pl-PL"/>
        </w:rPr>
        <w:t>ETPC</w:t>
      </w:r>
      <w:r w:rsidRPr="00222815">
        <w:rPr>
          <w:rFonts w:asciiTheme="minorHAnsi" w:hAnsiTheme="minorHAnsi"/>
          <w:color w:val="000000"/>
          <w:sz w:val="24"/>
          <w:szCs w:val="24"/>
        </w:rPr>
        <w:t xml:space="preserve"> wcześniej wydał decyzje zatwierdzające </w:t>
      </w:r>
      <w:r w:rsidR="00B67A8E">
        <w:rPr>
          <w:rFonts w:asciiTheme="minorHAnsi" w:hAnsiTheme="minorHAnsi"/>
          <w:color w:val="000000"/>
          <w:sz w:val="24"/>
          <w:szCs w:val="24"/>
        </w:rPr>
        <w:t>ugodę i deklarację jednostronną;</w:t>
      </w:r>
    </w:p>
    <w:p w:rsidR="00260C5C" w:rsidRPr="00222815" w:rsidRDefault="00260C5C" w:rsidP="00222815">
      <w:pPr>
        <w:pStyle w:val="Akapitzlist"/>
        <w:numPr>
          <w:ilvl w:val="0"/>
          <w:numId w:val="34"/>
        </w:numPr>
        <w:spacing w:after="120"/>
        <w:ind w:left="714" w:hanging="430"/>
        <w:jc w:val="both"/>
        <w:rPr>
          <w:rFonts w:asciiTheme="minorHAnsi" w:hAnsiTheme="minorHAnsi"/>
          <w:color w:val="000000"/>
          <w:sz w:val="24"/>
          <w:szCs w:val="24"/>
        </w:rPr>
      </w:pPr>
      <w:r w:rsidRPr="00222815">
        <w:rPr>
          <w:rFonts w:asciiTheme="minorHAnsi" w:hAnsiTheme="minorHAnsi"/>
          <w:b/>
          <w:color w:val="000000"/>
          <w:sz w:val="24"/>
          <w:szCs w:val="24"/>
        </w:rPr>
        <w:t>1</w:t>
      </w:r>
      <w:r w:rsidRPr="00222815">
        <w:rPr>
          <w:rFonts w:asciiTheme="minorHAnsi" w:hAnsiTheme="minorHAnsi"/>
          <w:color w:val="000000"/>
          <w:sz w:val="24"/>
          <w:szCs w:val="24"/>
        </w:rPr>
        <w:t xml:space="preserve"> decyzja </w:t>
      </w:r>
      <w:r w:rsidRPr="00222815">
        <w:rPr>
          <w:rFonts w:asciiTheme="minorHAnsi" w:hAnsiTheme="minorHAnsi"/>
          <w:b/>
          <w:color w:val="000000"/>
          <w:sz w:val="24"/>
          <w:szCs w:val="24"/>
        </w:rPr>
        <w:t>inna</w:t>
      </w:r>
      <w:r w:rsidRPr="00222815">
        <w:rPr>
          <w:rFonts w:asciiTheme="minorHAnsi" w:hAnsiTheme="minorHAnsi"/>
          <w:color w:val="000000"/>
          <w:sz w:val="24"/>
          <w:szCs w:val="24"/>
        </w:rPr>
        <w:t xml:space="preserve"> (skreślająca skargę z powodu braku potrzeby dalszego jej badania z zasądzeni</w:t>
      </w:r>
      <w:r w:rsidR="00B67A8E">
        <w:rPr>
          <w:rFonts w:asciiTheme="minorHAnsi" w:hAnsiTheme="minorHAnsi"/>
          <w:color w:val="000000"/>
          <w:sz w:val="24"/>
          <w:szCs w:val="24"/>
        </w:rPr>
        <w:t>em kosztów na rzecz skarżącego);</w:t>
      </w:r>
    </w:p>
    <w:p w:rsidR="00260C5C" w:rsidRPr="00222815" w:rsidRDefault="00260C5C" w:rsidP="00222815">
      <w:pPr>
        <w:pStyle w:val="Akapitzlist"/>
        <w:numPr>
          <w:ilvl w:val="0"/>
          <w:numId w:val="34"/>
        </w:numPr>
        <w:spacing w:after="120"/>
        <w:ind w:left="714" w:hanging="430"/>
        <w:jc w:val="both"/>
        <w:rPr>
          <w:rFonts w:asciiTheme="minorHAnsi" w:hAnsiTheme="minorHAnsi"/>
          <w:sz w:val="24"/>
          <w:szCs w:val="24"/>
        </w:rPr>
      </w:pPr>
      <w:r w:rsidRPr="00222815">
        <w:rPr>
          <w:rFonts w:asciiTheme="minorHAnsi" w:hAnsiTheme="minorHAnsi"/>
          <w:color w:val="000000"/>
          <w:sz w:val="24"/>
          <w:szCs w:val="24"/>
        </w:rPr>
        <w:t xml:space="preserve">1 </w:t>
      </w:r>
      <w:r w:rsidRPr="00222815">
        <w:rPr>
          <w:rFonts w:asciiTheme="minorHAnsi" w:hAnsiTheme="minorHAnsi"/>
          <w:sz w:val="24"/>
          <w:szCs w:val="24"/>
        </w:rPr>
        <w:t>decyzja w</w:t>
      </w:r>
      <w:r w:rsidR="005A00BF" w:rsidRPr="00222815">
        <w:rPr>
          <w:rFonts w:asciiTheme="minorHAnsi" w:hAnsiTheme="minorHAnsi"/>
          <w:sz w:val="24"/>
          <w:szCs w:val="24"/>
        </w:rPr>
        <w:t xml:space="preserve"> </w:t>
      </w:r>
      <w:r w:rsidRPr="00222815">
        <w:rPr>
          <w:rFonts w:asciiTheme="minorHAnsi" w:hAnsiTheme="minorHAnsi"/>
          <w:sz w:val="24"/>
          <w:szCs w:val="24"/>
        </w:rPr>
        <w:t>s</w:t>
      </w:r>
      <w:r w:rsidR="005A00BF" w:rsidRPr="00222815">
        <w:rPr>
          <w:rFonts w:asciiTheme="minorHAnsi" w:hAnsiTheme="minorHAnsi"/>
          <w:sz w:val="24"/>
          <w:szCs w:val="24"/>
        </w:rPr>
        <w:t>prawie</w:t>
      </w:r>
      <w:r w:rsidRPr="00222815">
        <w:rPr>
          <w:rFonts w:asciiTheme="minorHAnsi" w:hAnsiTheme="minorHAnsi"/>
          <w:sz w:val="24"/>
          <w:szCs w:val="24"/>
        </w:rPr>
        <w:t xml:space="preserve"> </w:t>
      </w:r>
      <w:r w:rsidRPr="00222815">
        <w:rPr>
          <w:rFonts w:asciiTheme="minorHAnsi" w:hAnsiTheme="minorHAnsi"/>
          <w:b/>
          <w:sz w:val="24"/>
          <w:szCs w:val="24"/>
        </w:rPr>
        <w:t>zmiany osoby uprawnionej</w:t>
      </w:r>
      <w:r w:rsidRPr="00222815">
        <w:rPr>
          <w:rFonts w:asciiTheme="minorHAnsi" w:hAnsiTheme="minorHAnsi"/>
          <w:sz w:val="24"/>
          <w:szCs w:val="24"/>
        </w:rPr>
        <w:t xml:space="preserve"> do otrzymania kwoty ugody zawartej i zatwierdzonej decyzją ETPC w 2020 r.</w:t>
      </w:r>
    </w:p>
    <w:p w:rsidR="00260C5C" w:rsidRPr="00194E8E" w:rsidRDefault="00260C5C" w:rsidP="00B67A8E">
      <w:pPr>
        <w:spacing w:before="240" w:after="120"/>
        <w:ind w:left="709"/>
        <w:jc w:val="both"/>
        <w:rPr>
          <w:rFonts w:asciiTheme="minorHAnsi" w:hAnsiTheme="minorHAnsi"/>
          <w:i/>
        </w:rPr>
      </w:pPr>
      <w:r w:rsidRPr="00194E8E">
        <w:rPr>
          <w:rFonts w:asciiTheme="minorHAnsi" w:hAnsiTheme="minorHAnsi"/>
          <w:i/>
        </w:rPr>
        <w:t xml:space="preserve">2.2.1 Przedmiot ugód i deklaracji jednostronnych </w:t>
      </w:r>
      <w:r w:rsidR="00CD4849" w:rsidRPr="00194E8E">
        <w:rPr>
          <w:rFonts w:asciiTheme="minorHAnsi" w:hAnsiTheme="minorHAnsi"/>
          <w:i/>
        </w:rPr>
        <w:t>R</w:t>
      </w:r>
      <w:r w:rsidRPr="00194E8E">
        <w:rPr>
          <w:rFonts w:asciiTheme="minorHAnsi" w:hAnsiTheme="minorHAnsi"/>
          <w:i/>
        </w:rPr>
        <w:t>ządu</w:t>
      </w:r>
      <w:r w:rsidRPr="00194E8E">
        <w:rPr>
          <w:rFonts w:asciiTheme="minorHAnsi" w:hAnsiTheme="minorHAnsi"/>
          <w:vertAlign w:val="superscript"/>
        </w:rPr>
        <w:footnoteReference w:id="7"/>
      </w:r>
    </w:p>
    <w:p w:rsidR="00260C5C" w:rsidRPr="00194E8E" w:rsidRDefault="00260C5C" w:rsidP="00B67A8E">
      <w:pPr>
        <w:spacing w:after="120"/>
        <w:jc w:val="both"/>
        <w:rPr>
          <w:rFonts w:asciiTheme="minorHAnsi" w:hAnsiTheme="minorHAnsi"/>
        </w:rPr>
      </w:pPr>
      <w:r w:rsidRPr="00194E8E">
        <w:rPr>
          <w:rFonts w:asciiTheme="minorHAnsi" w:hAnsiTheme="minorHAnsi"/>
        </w:rPr>
        <w:t xml:space="preserve">Wśród decyzji </w:t>
      </w:r>
      <w:r w:rsidR="00B67A8E">
        <w:rPr>
          <w:rFonts w:asciiTheme="minorHAnsi" w:hAnsiTheme="minorHAnsi"/>
        </w:rPr>
        <w:t>ETPC</w:t>
      </w:r>
      <w:r w:rsidRPr="00194E8E">
        <w:rPr>
          <w:rFonts w:asciiTheme="minorHAnsi" w:hAnsiTheme="minorHAnsi"/>
        </w:rPr>
        <w:t xml:space="preserve"> zatwierdzających ugody lub deklaracje jednostronne było:</w:t>
      </w:r>
    </w:p>
    <w:p w:rsidR="00260C5C" w:rsidRPr="00194E8E" w:rsidRDefault="00260C5C" w:rsidP="00B67A8E">
      <w:pPr>
        <w:spacing w:after="120"/>
        <w:jc w:val="both"/>
        <w:rPr>
          <w:rFonts w:asciiTheme="minorHAnsi" w:hAnsiTheme="minorHAnsi"/>
        </w:rPr>
      </w:pPr>
      <w:r w:rsidRPr="00194E8E">
        <w:rPr>
          <w:rFonts w:asciiTheme="minorHAnsi" w:hAnsiTheme="minorHAnsi"/>
          <w:b/>
        </w:rPr>
        <w:t>22</w:t>
      </w:r>
      <w:r w:rsidRPr="00194E8E">
        <w:rPr>
          <w:rFonts w:asciiTheme="minorHAnsi" w:hAnsiTheme="minorHAnsi"/>
        </w:rPr>
        <w:t xml:space="preserve"> decyzji w sprawie 173 skarg dotyczących problemu </w:t>
      </w:r>
      <w:r w:rsidRPr="00194E8E">
        <w:rPr>
          <w:rFonts w:asciiTheme="minorHAnsi" w:hAnsiTheme="minorHAnsi"/>
          <w:u w:val="single"/>
        </w:rPr>
        <w:t>przewlekłego działania</w:t>
      </w:r>
      <w:r w:rsidRPr="00194E8E">
        <w:rPr>
          <w:rFonts w:asciiTheme="minorHAnsi" w:hAnsiTheme="minorHAnsi"/>
        </w:rPr>
        <w:t xml:space="preserve"> organów, w tym: </w:t>
      </w:r>
    </w:p>
    <w:p w:rsidR="00260C5C" w:rsidRPr="00194E8E" w:rsidRDefault="00260C5C" w:rsidP="00B67A8E">
      <w:pPr>
        <w:numPr>
          <w:ilvl w:val="0"/>
          <w:numId w:val="11"/>
        </w:numPr>
        <w:spacing w:after="120"/>
        <w:ind w:left="709" w:hanging="425"/>
        <w:jc w:val="both"/>
        <w:rPr>
          <w:rFonts w:asciiTheme="minorHAnsi" w:hAnsiTheme="minorHAnsi"/>
        </w:rPr>
      </w:pPr>
      <w:r w:rsidRPr="00194E8E">
        <w:rPr>
          <w:rFonts w:asciiTheme="minorHAnsi" w:hAnsiTheme="minorHAnsi"/>
        </w:rPr>
        <w:t>15 decyzji w</w:t>
      </w:r>
      <w:r w:rsidR="005A00BF" w:rsidRPr="00194E8E">
        <w:rPr>
          <w:rFonts w:asciiTheme="minorHAnsi" w:hAnsiTheme="minorHAnsi"/>
        </w:rPr>
        <w:t xml:space="preserve"> </w:t>
      </w:r>
      <w:r w:rsidRPr="00194E8E">
        <w:rPr>
          <w:rFonts w:asciiTheme="minorHAnsi" w:hAnsiTheme="minorHAnsi"/>
        </w:rPr>
        <w:t>s</w:t>
      </w:r>
      <w:r w:rsidR="005A00BF" w:rsidRPr="00194E8E">
        <w:rPr>
          <w:rFonts w:asciiTheme="minorHAnsi" w:hAnsiTheme="minorHAnsi"/>
        </w:rPr>
        <w:t>prawie</w:t>
      </w:r>
      <w:r w:rsidRPr="00194E8E">
        <w:rPr>
          <w:rFonts w:asciiTheme="minorHAnsi" w:hAnsiTheme="minorHAnsi"/>
        </w:rPr>
        <w:t xml:space="preserve"> 166 skarg dotyczących przewlekłego postępowania sądowego w</w:t>
      </w:r>
      <w:r w:rsidR="00B67A8E">
        <w:rPr>
          <w:rFonts w:asciiTheme="minorHAnsi" w:hAnsiTheme="minorHAnsi"/>
        </w:rPr>
        <w:t xml:space="preserve"> sprawach karnych lub cywilnych;</w:t>
      </w:r>
    </w:p>
    <w:p w:rsidR="00260C5C" w:rsidRPr="00194E8E" w:rsidRDefault="00260C5C" w:rsidP="00B67A8E">
      <w:pPr>
        <w:numPr>
          <w:ilvl w:val="0"/>
          <w:numId w:val="11"/>
        </w:numPr>
        <w:spacing w:after="120"/>
        <w:ind w:left="709" w:hanging="425"/>
        <w:jc w:val="both"/>
        <w:rPr>
          <w:rFonts w:asciiTheme="minorHAnsi" w:hAnsiTheme="minorHAnsi"/>
        </w:rPr>
      </w:pPr>
      <w:r w:rsidRPr="00194E8E">
        <w:rPr>
          <w:rFonts w:asciiTheme="minorHAnsi" w:hAnsiTheme="minorHAnsi"/>
        </w:rPr>
        <w:t>14 decyzji w</w:t>
      </w:r>
      <w:r w:rsidR="005A00BF" w:rsidRPr="00194E8E">
        <w:rPr>
          <w:rFonts w:asciiTheme="minorHAnsi" w:hAnsiTheme="minorHAnsi"/>
        </w:rPr>
        <w:t xml:space="preserve"> </w:t>
      </w:r>
      <w:r w:rsidRPr="00194E8E">
        <w:rPr>
          <w:rFonts w:asciiTheme="minorHAnsi" w:hAnsiTheme="minorHAnsi"/>
        </w:rPr>
        <w:t>s</w:t>
      </w:r>
      <w:r w:rsidR="005A00BF" w:rsidRPr="00194E8E">
        <w:rPr>
          <w:rFonts w:asciiTheme="minorHAnsi" w:hAnsiTheme="minorHAnsi"/>
        </w:rPr>
        <w:t>prawie</w:t>
      </w:r>
      <w:r w:rsidRPr="00194E8E">
        <w:rPr>
          <w:rFonts w:asciiTheme="minorHAnsi" w:hAnsiTheme="minorHAnsi"/>
        </w:rPr>
        <w:t xml:space="preserve"> 165 skarg dotyczących braku skutecznego środka do zaskarżenia prze</w:t>
      </w:r>
      <w:r w:rsidR="00B67A8E">
        <w:rPr>
          <w:rFonts w:asciiTheme="minorHAnsi" w:hAnsiTheme="minorHAnsi"/>
        </w:rPr>
        <w:t>wlekłości postępowania sądowego;</w:t>
      </w:r>
    </w:p>
    <w:p w:rsidR="00260C5C" w:rsidRPr="00194E8E" w:rsidRDefault="00260C5C" w:rsidP="00B67A8E">
      <w:pPr>
        <w:numPr>
          <w:ilvl w:val="0"/>
          <w:numId w:val="11"/>
        </w:numPr>
        <w:spacing w:after="120"/>
        <w:ind w:left="709" w:hanging="425"/>
        <w:jc w:val="both"/>
        <w:rPr>
          <w:rFonts w:asciiTheme="minorHAnsi" w:hAnsiTheme="minorHAnsi"/>
        </w:rPr>
      </w:pPr>
      <w:r w:rsidRPr="00194E8E">
        <w:rPr>
          <w:rFonts w:asciiTheme="minorHAnsi" w:hAnsiTheme="minorHAnsi"/>
        </w:rPr>
        <w:t>7 decyzji dotyczących nadmiernej dłu</w:t>
      </w:r>
      <w:r w:rsidR="00B67A8E">
        <w:rPr>
          <w:rFonts w:asciiTheme="minorHAnsi" w:hAnsiTheme="minorHAnsi"/>
        </w:rPr>
        <w:t>gości tymczasowego aresztowania.</w:t>
      </w:r>
    </w:p>
    <w:p w:rsidR="00260C5C" w:rsidRPr="00194E8E" w:rsidRDefault="00260C5C" w:rsidP="00B67A8E">
      <w:pPr>
        <w:spacing w:after="120"/>
        <w:jc w:val="both"/>
        <w:rPr>
          <w:rFonts w:asciiTheme="minorHAnsi" w:hAnsiTheme="minorHAnsi"/>
        </w:rPr>
      </w:pPr>
      <w:r w:rsidRPr="00194E8E">
        <w:rPr>
          <w:rFonts w:asciiTheme="minorHAnsi" w:hAnsiTheme="minorHAnsi"/>
          <w:b/>
        </w:rPr>
        <w:t>6</w:t>
      </w:r>
      <w:r w:rsidRPr="00194E8E">
        <w:rPr>
          <w:rFonts w:asciiTheme="minorHAnsi" w:hAnsiTheme="minorHAnsi"/>
        </w:rPr>
        <w:t xml:space="preserve"> decyzji dotyczących różnych aspektów </w:t>
      </w:r>
      <w:r w:rsidRPr="00194E8E">
        <w:rPr>
          <w:rFonts w:asciiTheme="minorHAnsi" w:hAnsiTheme="minorHAnsi"/>
          <w:u w:val="single"/>
        </w:rPr>
        <w:t>pozbawienia wolności w zakładach karnych</w:t>
      </w:r>
      <w:r w:rsidRPr="00194E8E">
        <w:rPr>
          <w:rFonts w:asciiTheme="minorHAnsi" w:hAnsiTheme="minorHAnsi"/>
        </w:rPr>
        <w:t xml:space="preserve">, w tym: </w:t>
      </w:r>
    </w:p>
    <w:p w:rsidR="00260C5C" w:rsidRPr="00194E8E" w:rsidRDefault="00260C5C" w:rsidP="00B67A8E">
      <w:pPr>
        <w:numPr>
          <w:ilvl w:val="0"/>
          <w:numId w:val="11"/>
        </w:numPr>
        <w:spacing w:after="120"/>
        <w:jc w:val="both"/>
        <w:rPr>
          <w:rFonts w:asciiTheme="minorHAnsi" w:hAnsiTheme="minorHAnsi"/>
        </w:rPr>
      </w:pPr>
      <w:r w:rsidRPr="00194E8E">
        <w:rPr>
          <w:rFonts w:asciiTheme="minorHAnsi" w:hAnsiTheme="minorHAnsi"/>
        </w:rPr>
        <w:t>3 decyzje dotycząca braku wydzielenia kącików</w:t>
      </w:r>
      <w:r w:rsidR="00B67A8E">
        <w:rPr>
          <w:rFonts w:asciiTheme="minorHAnsi" w:hAnsiTheme="minorHAnsi"/>
        </w:rPr>
        <w:t xml:space="preserve"> sanitarnych w zakładzie karnym;</w:t>
      </w:r>
    </w:p>
    <w:p w:rsidR="00260C5C" w:rsidRPr="00194E8E" w:rsidRDefault="00260C5C" w:rsidP="00B67A8E">
      <w:pPr>
        <w:numPr>
          <w:ilvl w:val="0"/>
          <w:numId w:val="11"/>
        </w:numPr>
        <w:spacing w:after="120"/>
        <w:jc w:val="both"/>
        <w:rPr>
          <w:rFonts w:asciiTheme="minorHAnsi" w:hAnsiTheme="minorHAnsi"/>
        </w:rPr>
      </w:pPr>
      <w:r w:rsidRPr="00194E8E">
        <w:rPr>
          <w:rFonts w:asciiTheme="minorHAnsi" w:hAnsiTheme="minorHAnsi"/>
        </w:rPr>
        <w:t>1 decyzja dotycząca odmowy przepustki na u</w:t>
      </w:r>
      <w:r w:rsidR="00B67A8E">
        <w:rPr>
          <w:rFonts w:asciiTheme="minorHAnsi" w:hAnsiTheme="minorHAnsi"/>
        </w:rPr>
        <w:t>roczystość religijną w rodzinie;</w:t>
      </w:r>
    </w:p>
    <w:p w:rsidR="00260C5C" w:rsidRPr="00194E8E" w:rsidRDefault="00260C5C" w:rsidP="00B67A8E">
      <w:pPr>
        <w:numPr>
          <w:ilvl w:val="0"/>
          <w:numId w:val="11"/>
        </w:numPr>
        <w:spacing w:after="120"/>
        <w:jc w:val="both"/>
        <w:rPr>
          <w:rFonts w:asciiTheme="minorHAnsi" w:hAnsiTheme="minorHAnsi"/>
        </w:rPr>
      </w:pPr>
      <w:r w:rsidRPr="00194E8E">
        <w:rPr>
          <w:rFonts w:asciiTheme="minorHAnsi" w:hAnsiTheme="minorHAnsi"/>
        </w:rPr>
        <w:t>1 decyzja dotycząca naruszenia poufno</w:t>
      </w:r>
      <w:r w:rsidR="00B67A8E">
        <w:rPr>
          <w:rFonts w:asciiTheme="minorHAnsi" w:hAnsiTheme="minorHAnsi"/>
        </w:rPr>
        <w:t>ści korespondencji z prawnikiem;</w:t>
      </w:r>
    </w:p>
    <w:p w:rsidR="00260C5C" w:rsidRPr="00194E8E" w:rsidRDefault="00260C5C" w:rsidP="00B67A8E">
      <w:pPr>
        <w:numPr>
          <w:ilvl w:val="0"/>
          <w:numId w:val="11"/>
        </w:numPr>
        <w:spacing w:after="120"/>
        <w:ind w:left="708"/>
        <w:jc w:val="both"/>
        <w:rPr>
          <w:rFonts w:asciiTheme="minorHAnsi" w:hAnsiTheme="minorHAnsi"/>
        </w:rPr>
      </w:pPr>
      <w:r w:rsidRPr="00194E8E">
        <w:rPr>
          <w:rFonts w:asciiTheme="minorHAnsi" w:hAnsiTheme="minorHAnsi"/>
        </w:rPr>
        <w:t>1 decyzja dotycząca braku dostępu do akt postępowania przygotowawczego utrudniającego zaskar</w:t>
      </w:r>
      <w:r w:rsidR="00B67A8E">
        <w:rPr>
          <w:rFonts w:asciiTheme="minorHAnsi" w:hAnsiTheme="minorHAnsi"/>
        </w:rPr>
        <w:t>żanie tymczasowego aresztowania.</w:t>
      </w:r>
    </w:p>
    <w:p w:rsidR="00260C5C" w:rsidRPr="00194E8E" w:rsidRDefault="00260C5C" w:rsidP="00B67A8E">
      <w:pPr>
        <w:spacing w:after="120"/>
        <w:jc w:val="both"/>
        <w:rPr>
          <w:rFonts w:asciiTheme="minorHAnsi" w:hAnsiTheme="minorHAnsi"/>
        </w:rPr>
      </w:pPr>
      <w:r w:rsidRPr="00194E8E">
        <w:rPr>
          <w:rFonts w:asciiTheme="minorHAnsi" w:hAnsiTheme="minorHAnsi"/>
          <w:b/>
        </w:rPr>
        <w:t>4</w:t>
      </w:r>
      <w:r w:rsidRPr="00194E8E">
        <w:rPr>
          <w:rFonts w:asciiTheme="minorHAnsi" w:hAnsiTheme="minorHAnsi"/>
        </w:rPr>
        <w:t xml:space="preserve"> decyzje dotyczące naruszenia prawa do </w:t>
      </w:r>
      <w:r w:rsidRPr="00194E8E">
        <w:rPr>
          <w:rFonts w:asciiTheme="minorHAnsi" w:hAnsiTheme="minorHAnsi"/>
          <w:u w:val="single"/>
        </w:rPr>
        <w:t>wolności wyrażania opinii</w:t>
      </w:r>
      <w:r w:rsidRPr="00194E8E">
        <w:rPr>
          <w:rFonts w:asciiTheme="minorHAnsi" w:hAnsiTheme="minorHAnsi"/>
        </w:rPr>
        <w:t xml:space="preserve"> z uwagi na środki zastosowane odpowiednio: </w:t>
      </w:r>
    </w:p>
    <w:p w:rsidR="00260C5C" w:rsidRPr="00194E8E" w:rsidRDefault="00260C5C" w:rsidP="00B67A8E">
      <w:pPr>
        <w:numPr>
          <w:ilvl w:val="0"/>
          <w:numId w:val="11"/>
        </w:numPr>
        <w:spacing w:after="120"/>
        <w:jc w:val="both"/>
        <w:rPr>
          <w:rFonts w:asciiTheme="minorHAnsi" w:hAnsiTheme="minorHAnsi"/>
        </w:rPr>
      </w:pPr>
      <w:r w:rsidRPr="00194E8E">
        <w:rPr>
          <w:rFonts w:asciiTheme="minorHAnsi" w:hAnsiTheme="minorHAnsi"/>
        </w:rPr>
        <w:t>w postępowaniu karnym o znies</w:t>
      </w:r>
      <w:r w:rsidR="00B67A8E">
        <w:rPr>
          <w:rFonts w:asciiTheme="minorHAnsi" w:hAnsiTheme="minorHAnsi"/>
        </w:rPr>
        <w:t>ławienie (warunkowe umorzenie);</w:t>
      </w:r>
    </w:p>
    <w:p w:rsidR="00260C5C" w:rsidRPr="00194E8E" w:rsidRDefault="00260C5C" w:rsidP="00B67A8E">
      <w:pPr>
        <w:numPr>
          <w:ilvl w:val="0"/>
          <w:numId w:val="11"/>
        </w:numPr>
        <w:spacing w:after="120"/>
        <w:jc w:val="both"/>
        <w:rPr>
          <w:rFonts w:asciiTheme="minorHAnsi" w:hAnsiTheme="minorHAnsi"/>
        </w:rPr>
      </w:pPr>
      <w:r w:rsidRPr="00194E8E">
        <w:rPr>
          <w:rFonts w:asciiTheme="minorHAnsi" w:hAnsiTheme="minorHAnsi"/>
        </w:rPr>
        <w:t>w postępowaniu cywilnym o ochronę dóbr osobistyc</w:t>
      </w:r>
      <w:r w:rsidR="00B67A8E">
        <w:rPr>
          <w:rFonts w:asciiTheme="minorHAnsi" w:hAnsiTheme="minorHAnsi"/>
        </w:rPr>
        <w:t>h oraz w postępowaniu wyborczym;</w:t>
      </w:r>
    </w:p>
    <w:p w:rsidR="00260C5C" w:rsidRPr="00194E8E" w:rsidRDefault="00260C5C" w:rsidP="00B67A8E">
      <w:pPr>
        <w:numPr>
          <w:ilvl w:val="0"/>
          <w:numId w:val="11"/>
        </w:numPr>
        <w:spacing w:after="120"/>
        <w:jc w:val="both"/>
        <w:rPr>
          <w:rFonts w:asciiTheme="minorHAnsi" w:hAnsiTheme="minorHAnsi"/>
        </w:rPr>
      </w:pPr>
      <w:r w:rsidRPr="00194E8E">
        <w:rPr>
          <w:rFonts w:asciiTheme="minorHAnsi" w:hAnsiTheme="minorHAnsi"/>
        </w:rPr>
        <w:t xml:space="preserve">w postępowaniu cywilnym o ochronę dóbr osobistych (środek tymczasowy w postaci rocznego zakazu publikowania przez związek zawodowy materiałów zarzucających pozywającemu przedsiębiorstwu wykorzystywanie i zastraszanie członków związku zawodowego, a także publikowania biuletynu </w:t>
      </w:r>
      <w:r w:rsidR="00B67A8E">
        <w:rPr>
          <w:rFonts w:asciiTheme="minorHAnsi" w:hAnsiTheme="minorHAnsi"/>
        </w:rPr>
        <w:t>związku zawodowego).</w:t>
      </w:r>
    </w:p>
    <w:p w:rsidR="00260C5C" w:rsidRPr="00194E8E" w:rsidRDefault="00260C5C" w:rsidP="00B67A8E">
      <w:pPr>
        <w:spacing w:after="120"/>
        <w:jc w:val="both"/>
        <w:rPr>
          <w:rFonts w:asciiTheme="minorHAnsi" w:hAnsiTheme="minorHAnsi"/>
        </w:rPr>
      </w:pPr>
      <w:r w:rsidRPr="00194E8E">
        <w:rPr>
          <w:rFonts w:asciiTheme="minorHAnsi" w:hAnsiTheme="minorHAnsi"/>
          <w:b/>
        </w:rPr>
        <w:lastRenderedPageBreak/>
        <w:t>2</w:t>
      </w:r>
      <w:r w:rsidRPr="00194E8E">
        <w:rPr>
          <w:rFonts w:asciiTheme="minorHAnsi" w:hAnsiTheme="minorHAnsi"/>
        </w:rPr>
        <w:t xml:space="preserve"> decyzje dotyczące różnych aspektów </w:t>
      </w:r>
      <w:r w:rsidRPr="00194E8E">
        <w:rPr>
          <w:rFonts w:asciiTheme="minorHAnsi" w:hAnsiTheme="minorHAnsi"/>
          <w:u w:val="single"/>
        </w:rPr>
        <w:t>pozbawienia wolności cudzoziemców</w:t>
      </w:r>
      <w:r w:rsidRPr="00194E8E">
        <w:rPr>
          <w:rFonts w:asciiTheme="minorHAnsi" w:hAnsiTheme="minorHAnsi"/>
        </w:rPr>
        <w:t xml:space="preserve"> w</w:t>
      </w:r>
      <w:r w:rsidR="00FC69CC">
        <w:rPr>
          <w:rFonts w:asciiTheme="minorHAnsi" w:hAnsiTheme="minorHAnsi"/>
        </w:rPr>
        <w:t xml:space="preserve"> </w:t>
      </w:r>
      <w:r w:rsidRPr="00194E8E">
        <w:rPr>
          <w:rFonts w:asciiTheme="minorHAnsi" w:hAnsiTheme="minorHAnsi"/>
        </w:rPr>
        <w:t xml:space="preserve">kontekście wydalenia (legalności umieszczenia rodziny w strzeżonym ośrodku dla cudzoziemców, prawa do sądu celem zbadania legalności pozbawienia wolności, warunków pozbawienia wolności, </w:t>
      </w:r>
      <w:r w:rsidRPr="00194E8E">
        <w:rPr>
          <w:rFonts w:asciiTheme="minorHAnsi" w:hAnsiTheme="minorHAnsi"/>
          <w:bCs/>
        </w:rPr>
        <w:t>prawa do poszanowania życia rodzinnego w związku z długością okresu detencji</w:t>
      </w:r>
      <w:r w:rsidR="00FC69CC">
        <w:rPr>
          <w:rFonts w:asciiTheme="minorHAnsi" w:hAnsiTheme="minorHAnsi"/>
        </w:rPr>
        <w:t>.</w:t>
      </w:r>
    </w:p>
    <w:p w:rsidR="00260C5C" w:rsidRPr="00194E8E" w:rsidRDefault="00260C5C" w:rsidP="00B67A8E">
      <w:pPr>
        <w:spacing w:after="120"/>
        <w:jc w:val="both"/>
        <w:rPr>
          <w:rFonts w:asciiTheme="minorHAnsi" w:hAnsiTheme="minorHAnsi"/>
        </w:rPr>
      </w:pPr>
      <w:r w:rsidRPr="00194E8E">
        <w:rPr>
          <w:rFonts w:asciiTheme="minorHAnsi" w:hAnsiTheme="minorHAnsi"/>
          <w:b/>
        </w:rPr>
        <w:t>2</w:t>
      </w:r>
      <w:r w:rsidRPr="00194E8E">
        <w:rPr>
          <w:rFonts w:asciiTheme="minorHAnsi" w:hAnsiTheme="minorHAnsi"/>
        </w:rPr>
        <w:t xml:space="preserve"> decyzje dotyczące różnych aspektów prawa </w:t>
      </w:r>
      <w:r w:rsidRPr="00194E8E">
        <w:rPr>
          <w:rFonts w:asciiTheme="minorHAnsi" w:hAnsiTheme="minorHAnsi"/>
          <w:u w:val="single"/>
        </w:rPr>
        <w:t>dostępu do sądu</w:t>
      </w:r>
      <w:r w:rsidRPr="00194E8E">
        <w:rPr>
          <w:rFonts w:asciiTheme="minorHAnsi" w:hAnsiTheme="minorHAnsi"/>
        </w:rPr>
        <w:t>, w tym:</w:t>
      </w:r>
    </w:p>
    <w:p w:rsidR="00260C5C" w:rsidRPr="00194E8E" w:rsidRDefault="00260C5C" w:rsidP="00B67A8E">
      <w:pPr>
        <w:numPr>
          <w:ilvl w:val="0"/>
          <w:numId w:val="11"/>
        </w:numPr>
        <w:spacing w:after="120"/>
        <w:jc w:val="both"/>
        <w:rPr>
          <w:rFonts w:asciiTheme="minorHAnsi" w:hAnsiTheme="minorHAnsi"/>
        </w:rPr>
      </w:pPr>
      <w:r w:rsidRPr="00194E8E">
        <w:rPr>
          <w:rFonts w:asciiTheme="minorHAnsi" w:hAnsiTheme="minorHAnsi"/>
        </w:rPr>
        <w:t xml:space="preserve">1 decyzja w związku ze </w:t>
      </w:r>
      <w:r w:rsidR="00FC69CC">
        <w:rPr>
          <w:rFonts w:asciiTheme="minorHAnsi" w:hAnsiTheme="minorHAnsi"/>
        </w:rPr>
        <w:t>zbyt wysokimi kosztami sądowymi;</w:t>
      </w:r>
    </w:p>
    <w:p w:rsidR="00260C5C" w:rsidRPr="00194E8E" w:rsidRDefault="00260C5C" w:rsidP="00B67A8E">
      <w:pPr>
        <w:numPr>
          <w:ilvl w:val="0"/>
          <w:numId w:val="11"/>
        </w:numPr>
        <w:spacing w:after="120"/>
        <w:jc w:val="both"/>
        <w:rPr>
          <w:rFonts w:asciiTheme="minorHAnsi" w:hAnsiTheme="minorHAnsi"/>
        </w:rPr>
      </w:pPr>
      <w:r w:rsidRPr="00194E8E">
        <w:rPr>
          <w:rFonts w:asciiTheme="minorHAnsi" w:hAnsiTheme="minorHAnsi"/>
        </w:rPr>
        <w:t>1 decyzja dotycząca niewłaściwego i formalistycznego rozpoznania wniosku o zwolnienie z kosztów sądowy</w:t>
      </w:r>
      <w:r w:rsidR="00FC69CC">
        <w:rPr>
          <w:rFonts w:asciiTheme="minorHAnsi" w:hAnsiTheme="minorHAnsi"/>
        </w:rPr>
        <w:t>ch i przyznanie pomocy prawnej.</w:t>
      </w:r>
    </w:p>
    <w:p w:rsidR="00260C5C" w:rsidRPr="00194E8E" w:rsidRDefault="00260C5C" w:rsidP="00B67A8E">
      <w:pPr>
        <w:spacing w:after="120"/>
        <w:jc w:val="both"/>
        <w:rPr>
          <w:rFonts w:asciiTheme="minorHAnsi" w:hAnsiTheme="minorHAnsi"/>
        </w:rPr>
      </w:pPr>
      <w:r w:rsidRPr="00194E8E">
        <w:rPr>
          <w:rFonts w:asciiTheme="minorHAnsi" w:hAnsiTheme="minorHAnsi"/>
          <w:b/>
        </w:rPr>
        <w:t>1</w:t>
      </w:r>
      <w:r w:rsidRPr="00194E8E">
        <w:rPr>
          <w:rFonts w:asciiTheme="minorHAnsi" w:hAnsiTheme="minorHAnsi"/>
        </w:rPr>
        <w:t xml:space="preserve"> decyzja dotycząca </w:t>
      </w:r>
      <w:r w:rsidRPr="00194E8E">
        <w:rPr>
          <w:rFonts w:asciiTheme="minorHAnsi" w:hAnsiTheme="minorHAnsi"/>
          <w:u w:val="single"/>
        </w:rPr>
        <w:t>braku rzetelności postępowania sądowego</w:t>
      </w:r>
      <w:r w:rsidRPr="00194E8E">
        <w:rPr>
          <w:rFonts w:asciiTheme="minorHAnsi" w:hAnsiTheme="minorHAnsi"/>
        </w:rPr>
        <w:t xml:space="preserve"> prowadzonego w trybie wyborczym na podstawie art. </w:t>
      </w:r>
      <w:r w:rsidR="00FC69CC">
        <w:rPr>
          <w:rFonts w:asciiTheme="minorHAnsi" w:eastAsiaTheme="minorHAnsi" w:hAnsiTheme="minorHAnsi" w:cstheme="minorBidi"/>
          <w:lang w:eastAsia="en-US"/>
        </w:rPr>
        <w:t>111 § 1 Kodeksu wyborczego.</w:t>
      </w:r>
    </w:p>
    <w:p w:rsidR="00260C5C" w:rsidRPr="00194E8E" w:rsidRDefault="00260C5C" w:rsidP="00B67A8E">
      <w:pPr>
        <w:spacing w:after="120"/>
        <w:jc w:val="both"/>
        <w:rPr>
          <w:rFonts w:asciiTheme="minorHAnsi" w:hAnsiTheme="minorHAnsi"/>
        </w:rPr>
      </w:pPr>
      <w:r w:rsidRPr="00194E8E">
        <w:rPr>
          <w:rFonts w:asciiTheme="minorHAnsi" w:eastAsiaTheme="minorHAnsi" w:hAnsiTheme="minorHAnsi" w:cstheme="minorBidi"/>
          <w:b/>
          <w:lang w:eastAsia="en-US"/>
        </w:rPr>
        <w:t>1</w:t>
      </w:r>
      <w:r w:rsidRPr="00194E8E">
        <w:rPr>
          <w:rFonts w:asciiTheme="minorHAnsi" w:eastAsiaTheme="minorHAnsi" w:hAnsiTheme="minorHAnsi" w:cstheme="minorBidi"/>
          <w:lang w:eastAsia="en-US"/>
        </w:rPr>
        <w:t xml:space="preserve"> decyzja dotycząca zarzutu naruszenia prawa do </w:t>
      </w:r>
      <w:r w:rsidRPr="00194E8E">
        <w:rPr>
          <w:rFonts w:asciiTheme="minorHAnsi" w:eastAsiaTheme="minorHAnsi" w:hAnsiTheme="minorHAnsi" w:cstheme="minorBidi"/>
          <w:u w:val="single"/>
          <w:lang w:eastAsia="en-US"/>
        </w:rPr>
        <w:t>poszanowania życia prywatnego i mieszkania</w:t>
      </w:r>
      <w:r w:rsidRPr="00194E8E">
        <w:rPr>
          <w:rFonts w:asciiTheme="minorHAnsi" w:eastAsiaTheme="minorHAnsi" w:hAnsiTheme="minorHAnsi" w:cstheme="minorBidi"/>
          <w:lang w:eastAsia="en-US"/>
        </w:rPr>
        <w:t xml:space="preserve"> z uwagi na brak ochrony przed uciążliwymi immisjami związanymi z funkcjonowaniem m</w:t>
      </w:r>
      <w:r w:rsidR="00FC69CC">
        <w:rPr>
          <w:rFonts w:asciiTheme="minorHAnsi" w:eastAsiaTheme="minorHAnsi" w:hAnsiTheme="minorHAnsi" w:cstheme="minorBidi"/>
          <w:lang w:eastAsia="en-US"/>
        </w:rPr>
        <w:t>yjni samochodowej w sąsiedztwie.</w:t>
      </w:r>
    </w:p>
    <w:p w:rsidR="00260C5C" w:rsidRPr="00194E8E" w:rsidRDefault="00260C5C" w:rsidP="00B67A8E">
      <w:pPr>
        <w:spacing w:after="120"/>
        <w:jc w:val="both"/>
        <w:rPr>
          <w:rFonts w:asciiTheme="minorHAnsi" w:hAnsiTheme="minorHAnsi"/>
        </w:rPr>
      </w:pPr>
      <w:r w:rsidRPr="00194E8E">
        <w:rPr>
          <w:rFonts w:asciiTheme="minorHAnsi" w:hAnsiTheme="minorHAnsi"/>
          <w:b/>
        </w:rPr>
        <w:t>1</w:t>
      </w:r>
      <w:r w:rsidRPr="00194E8E">
        <w:rPr>
          <w:rFonts w:asciiTheme="minorHAnsi" w:hAnsiTheme="minorHAnsi"/>
        </w:rPr>
        <w:t xml:space="preserve"> decyzja dotycząca naruszenia prawa do poszanowania </w:t>
      </w:r>
      <w:r w:rsidRPr="00194E8E">
        <w:rPr>
          <w:rFonts w:asciiTheme="minorHAnsi" w:hAnsiTheme="minorHAnsi"/>
          <w:u w:val="single"/>
        </w:rPr>
        <w:t>życia prywatnego i rodzinnego</w:t>
      </w:r>
      <w:r w:rsidRPr="00194E8E">
        <w:rPr>
          <w:rFonts w:asciiTheme="minorHAnsi" w:hAnsiTheme="minorHAnsi"/>
        </w:rPr>
        <w:t xml:space="preserve"> z uwagi na przewlekłość i nieskuteczność postępowania na podstawie Konwencji haskiej dotyczącej cywilnych aspektów </w:t>
      </w:r>
      <w:r w:rsidR="00FC69CC">
        <w:rPr>
          <w:rFonts w:asciiTheme="minorHAnsi" w:hAnsiTheme="minorHAnsi"/>
        </w:rPr>
        <w:t>uprowadzenia dziecka za granicę.</w:t>
      </w:r>
    </w:p>
    <w:p w:rsidR="00DE61BD" w:rsidRPr="00194E8E" w:rsidRDefault="00260C5C" w:rsidP="00B67A8E">
      <w:pPr>
        <w:spacing w:after="120"/>
        <w:jc w:val="both"/>
        <w:rPr>
          <w:rFonts w:asciiTheme="minorHAnsi" w:hAnsiTheme="minorHAnsi"/>
          <w:i/>
        </w:rPr>
      </w:pPr>
      <w:r w:rsidRPr="00194E8E">
        <w:rPr>
          <w:rFonts w:asciiTheme="minorHAnsi" w:hAnsiTheme="minorHAnsi"/>
          <w:b/>
        </w:rPr>
        <w:t>1</w:t>
      </w:r>
      <w:r w:rsidRPr="00194E8E">
        <w:rPr>
          <w:rFonts w:asciiTheme="minorHAnsi" w:hAnsiTheme="minorHAnsi"/>
        </w:rPr>
        <w:t xml:space="preserve"> decyzja dotycząca zarzutu naruszenia </w:t>
      </w:r>
      <w:r w:rsidRPr="00194E8E">
        <w:rPr>
          <w:rFonts w:asciiTheme="minorHAnsi" w:hAnsiTheme="minorHAnsi"/>
          <w:u w:val="single"/>
        </w:rPr>
        <w:t>wolności zgromadzeń publicznych</w:t>
      </w:r>
      <w:r w:rsidRPr="00FC69CC">
        <w:rPr>
          <w:rFonts w:asciiTheme="minorHAnsi" w:hAnsiTheme="minorHAnsi"/>
        </w:rPr>
        <w:t xml:space="preserve"> </w:t>
      </w:r>
      <w:r w:rsidRPr="00194E8E">
        <w:rPr>
          <w:rFonts w:asciiTheme="minorHAnsi" w:hAnsiTheme="minorHAnsi"/>
        </w:rPr>
        <w:t>(z uwagi na nałożony na wniosek powoda w postępowaniu cywilnym o ochronę dóbr osobistych środek tymczasowy zakazujący związkowi zawodowemu organizowania pikiet dotyczących zarzutu wykorzystywania, represji i zastraszan</w:t>
      </w:r>
      <w:r w:rsidR="00393791" w:rsidRPr="00194E8E">
        <w:rPr>
          <w:rFonts w:asciiTheme="minorHAnsi" w:hAnsiTheme="minorHAnsi"/>
        </w:rPr>
        <w:t>ia członków związku zawodowego).</w:t>
      </w:r>
    </w:p>
    <w:p w:rsidR="00260C5C" w:rsidRPr="00194E8E" w:rsidRDefault="00260C5C" w:rsidP="00FC69CC">
      <w:pPr>
        <w:spacing w:before="240" w:after="120"/>
        <w:ind w:left="720"/>
        <w:jc w:val="both"/>
        <w:rPr>
          <w:rFonts w:asciiTheme="minorHAnsi" w:hAnsiTheme="minorHAnsi"/>
          <w:i/>
        </w:rPr>
      </w:pPr>
      <w:r w:rsidRPr="00194E8E">
        <w:rPr>
          <w:rFonts w:asciiTheme="minorHAnsi" w:hAnsiTheme="minorHAnsi"/>
          <w:i/>
        </w:rPr>
        <w:t>2.2.2 Przedmiot decyzji o niedopuszczalności</w:t>
      </w:r>
      <w:r w:rsidRPr="00194E8E">
        <w:rPr>
          <w:rFonts w:asciiTheme="minorHAnsi" w:hAnsiTheme="minorHAnsi"/>
          <w:vertAlign w:val="superscript"/>
        </w:rPr>
        <w:footnoteReference w:id="8"/>
      </w:r>
    </w:p>
    <w:p w:rsidR="00260C5C" w:rsidRPr="00194E8E" w:rsidRDefault="00260C5C" w:rsidP="00FC69CC">
      <w:pPr>
        <w:spacing w:after="120"/>
        <w:jc w:val="both"/>
        <w:rPr>
          <w:rFonts w:asciiTheme="minorHAnsi" w:hAnsiTheme="minorHAnsi"/>
        </w:rPr>
      </w:pPr>
      <w:r w:rsidRPr="00194E8E">
        <w:rPr>
          <w:rFonts w:asciiTheme="minorHAnsi" w:eastAsiaTheme="minorHAnsi" w:hAnsiTheme="minorHAnsi" w:cstheme="minorBidi"/>
          <w:bCs/>
          <w:lang w:eastAsia="en-US"/>
        </w:rPr>
        <w:t xml:space="preserve">Wśród zakomunikowanych </w:t>
      </w:r>
      <w:r w:rsidRPr="00194E8E">
        <w:rPr>
          <w:rFonts w:asciiTheme="minorHAnsi" w:eastAsiaTheme="minorHAnsi" w:hAnsiTheme="minorHAnsi" w:cstheme="minorBidi"/>
          <w:b/>
          <w:bCs/>
          <w:lang w:eastAsia="en-US"/>
        </w:rPr>
        <w:t xml:space="preserve">spraw wygranych przez </w:t>
      </w:r>
      <w:r w:rsidR="00FC69CC">
        <w:rPr>
          <w:rFonts w:asciiTheme="minorHAnsi" w:eastAsiaTheme="minorHAnsi" w:hAnsiTheme="minorHAnsi" w:cstheme="minorBidi"/>
          <w:b/>
          <w:bCs/>
          <w:lang w:eastAsia="en-US"/>
        </w:rPr>
        <w:t>R</w:t>
      </w:r>
      <w:r w:rsidRPr="00194E8E">
        <w:rPr>
          <w:rFonts w:asciiTheme="minorHAnsi" w:eastAsiaTheme="minorHAnsi" w:hAnsiTheme="minorHAnsi" w:cstheme="minorBidi"/>
          <w:b/>
          <w:bCs/>
          <w:lang w:eastAsia="en-US"/>
        </w:rPr>
        <w:t>ząd</w:t>
      </w:r>
      <w:r w:rsidRPr="00194E8E">
        <w:rPr>
          <w:rFonts w:asciiTheme="minorHAnsi" w:eastAsiaTheme="minorHAnsi" w:hAnsiTheme="minorHAnsi" w:cstheme="minorBidi"/>
          <w:bCs/>
          <w:lang w:eastAsia="en-US"/>
        </w:rPr>
        <w:t xml:space="preserve"> na podstawie 15 decyzji o niedopuszczalności należy wskazać następujące sprawy</w:t>
      </w:r>
      <w:r w:rsidRPr="00194E8E">
        <w:rPr>
          <w:rFonts w:asciiTheme="minorHAnsi" w:eastAsiaTheme="minorHAnsi" w:hAnsiTheme="minorHAnsi" w:cstheme="minorBidi"/>
          <w:bCs/>
          <w:vertAlign w:val="superscript"/>
          <w:lang w:eastAsia="en-US"/>
        </w:rPr>
        <w:footnoteReference w:id="9"/>
      </w:r>
      <w:r w:rsidRPr="00194E8E">
        <w:rPr>
          <w:rFonts w:asciiTheme="minorHAnsi" w:hAnsiTheme="minorHAnsi"/>
        </w:rPr>
        <w:t>:</w:t>
      </w:r>
    </w:p>
    <w:p w:rsidR="00260C5C" w:rsidRPr="00194E8E" w:rsidRDefault="00260C5C" w:rsidP="00FC69CC">
      <w:pPr>
        <w:spacing w:after="120"/>
        <w:jc w:val="both"/>
        <w:rPr>
          <w:rFonts w:asciiTheme="minorHAnsi" w:hAnsiTheme="minorHAnsi"/>
        </w:rPr>
      </w:pPr>
      <w:r w:rsidRPr="00194E8E">
        <w:rPr>
          <w:rFonts w:asciiTheme="minorHAnsi" w:hAnsiTheme="minorHAnsi"/>
          <w:b/>
        </w:rPr>
        <w:t>5</w:t>
      </w:r>
      <w:r w:rsidRPr="00194E8E">
        <w:rPr>
          <w:rFonts w:asciiTheme="minorHAnsi" w:hAnsiTheme="minorHAnsi"/>
        </w:rPr>
        <w:t xml:space="preserve"> decyzji dotyczących różnych aspektów prawa do </w:t>
      </w:r>
      <w:r w:rsidRPr="00194E8E">
        <w:rPr>
          <w:rFonts w:asciiTheme="minorHAnsi" w:hAnsiTheme="minorHAnsi"/>
          <w:u w:val="single"/>
        </w:rPr>
        <w:t>rzetelnego procesu sądowego</w:t>
      </w:r>
      <w:r w:rsidRPr="00194E8E">
        <w:rPr>
          <w:rFonts w:asciiTheme="minorHAnsi" w:hAnsiTheme="minorHAnsi"/>
        </w:rPr>
        <w:t>, w tym:</w:t>
      </w:r>
    </w:p>
    <w:p w:rsidR="00260C5C" w:rsidRPr="00194E8E" w:rsidRDefault="00260C5C" w:rsidP="00FC69CC">
      <w:pPr>
        <w:numPr>
          <w:ilvl w:val="0"/>
          <w:numId w:val="11"/>
        </w:numPr>
        <w:spacing w:after="120"/>
        <w:ind w:left="709" w:hanging="425"/>
        <w:jc w:val="both"/>
        <w:rPr>
          <w:rFonts w:asciiTheme="minorHAnsi" w:hAnsiTheme="minorHAnsi"/>
        </w:rPr>
      </w:pPr>
      <w:r w:rsidRPr="00194E8E">
        <w:rPr>
          <w:rFonts w:asciiTheme="minorHAnsi" w:hAnsiTheme="minorHAnsi"/>
        </w:rPr>
        <w:t>1 decyzja dotycząca braku pomocy prawnej na wstęp</w:t>
      </w:r>
      <w:r w:rsidR="00FC69CC">
        <w:rPr>
          <w:rFonts w:asciiTheme="minorHAnsi" w:hAnsiTheme="minorHAnsi"/>
        </w:rPr>
        <w:t>nym etapie postępowania karnego;</w:t>
      </w:r>
    </w:p>
    <w:p w:rsidR="00260C5C" w:rsidRPr="00194E8E" w:rsidRDefault="00260C5C" w:rsidP="00FC69CC">
      <w:pPr>
        <w:numPr>
          <w:ilvl w:val="0"/>
          <w:numId w:val="11"/>
        </w:numPr>
        <w:spacing w:after="120"/>
        <w:ind w:left="709" w:hanging="425"/>
        <w:jc w:val="both"/>
        <w:rPr>
          <w:rFonts w:asciiTheme="minorHAnsi" w:hAnsiTheme="minorHAnsi"/>
        </w:rPr>
      </w:pPr>
      <w:r w:rsidRPr="00194E8E">
        <w:rPr>
          <w:rFonts w:asciiTheme="minorHAnsi" w:hAnsiTheme="minorHAnsi"/>
        </w:rPr>
        <w:t xml:space="preserve">1 decyzja dotycząca braku przesłuchania domniemanej małoletniej ofiary molestowania seksualnego </w:t>
      </w:r>
      <w:r w:rsidR="00FC69CC">
        <w:rPr>
          <w:rFonts w:asciiTheme="minorHAnsi" w:hAnsiTheme="minorHAnsi"/>
        </w:rPr>
        <w:t>na etapie postępowania sądowego;</w:t>
      </w:r>
    </w:p>
    <w:p w:rsidR="00260C5C" w:rsidRPr="00194E8E" w:rsidRDefault="00260C5C" w:rsidP="00FC69CC">
      <w:pPr>
        <w:numPr>
          <w:ilvl w:val="0"/>
          <w:numId w:val="11"/>
        </w:numPr>
        <w:spacing w:after="120"/>
        <w:ind w:left="709" w:hanging="425"/>
        <w:jc w:val="both"/>
        <w:rPr>
          <w:rFonts w:asciiTheme="minorHAnsi" w:hAnsiTheme="minorHAnsi"/>
        </w:rPr>
      </w:pPr>
      <w:r w:rsidRPr="00194E8E">
        <w:rPr>
          <w:rFonts w:asciiTheme="minorHAnsi" w:hAnsiTheme="minorHAnsi"/>
        </w:rPr>
        <w:t xml:space="preserve">1 decyzja dotycząca wręczenia skarżącemu mandatu za wykroczenie drogowe w czasie, gdy po wypadku był pod </w:t>
      </w:r>
      <w:r w:rsidR="00FC69CC">
        <w:rPr>
          <w:rFonts w:asciiTheme="minorHAnsi" w:hAnsiTheme="minorHAnsi"/>
        </w:rPr>
        <w:t>wpływem środków przeciwbólowych;</w:t>
      </w:r>
    </w:p>
    <w:p w:rsidR="00260C5C" w:rsidRPr="00194E8E" w:rsidRDefault="00260C5C" w:rsidP="00FC69CC">
      <w:pPr>
        <w:numPr>
          <w:ilvl w:val="0"/>
          <w:numId w:val="11"/>
        </w:numPr>
        <w:spacing w:after="120"/>
        <w:ind w:left="709" w:hanging="425"/>
        <w:jc w:val="both"/>
        <w:rPr>
          <w:rFonts w:asciiTheme="minorHAnsi" w:hAnsiTheme="minorHAnsi"/>
        </w:rPr>
      </w:pPr>
      <w:r w:rsidRPr="00194E8E">
        <w:rPr>
          <w:rFonts w:asciiTheme="minorHAnsi" w:hAnsiTheme="minorHAnsi"/>
        </w:rPr>
        <w:t xml:space="preserve">1 decyzja dotycząca braku środka sądowego w odniesieniu do przymusowego umorzenia posiadanych przez skarżących akcji w spółce (niezgodność skargi </w:t>
      </w:r>
      <w:r w:rsidRPr="00194E8E">
        <w:rPr>
          <w:rFonts w:asciiTheme="minorHAnsi" w:hAnsiTheme="minorHAnsi"/>
          <w:i/>
        </w:rPr>
        <w:t xml:space="preserve">ratione materiae </w:t>
      </w:r>
      <w:r w:rsidR="00FC69CC">
        <w:rPr>
          <w:rFonts w:asciiTheme="minorHAnsi" w:hAnsiTheme="minorHAnsi"/>
        </w:rPr>
        <w:t>z Konwencją);</w:t>
      </w:r>
    </w:p>
    <w:p w:rsidR="00260C5C" w:rsidRPr="00194E8E" w:rsidRDefault="00260C5C" w:rsidP="00FC69CC">
      <w:pPr>
        <w:numPr>
          <w:ilvl w:val="0"/>
          <w:numId w:val="11"/>
        </w:numPr>
        <w:spacing w:after="120"/>
        <w:ind w:left="709" w:hanging="425"/>
        <w:jc w:val="both"/>
        <w:rPr>
          <w:rFonts w:asciiTheme="minorHAnsi" w:hAnsiTheme="minorHAnsi"/>
        </w:rPr>
      </w:pPr>
      <w:r w:rsidRPr="00194E8E">
        <w:rPr>
          <w:rFonts w:asciiTheme="minorHAnsi" w:hAnsiTheme="minorHAnsi"/>
        </w:rPr>
        <w:t>1 decyzja dotycząca zarzutu naruszenia domniemania niewinności</w:t>
      </w:r>
      <w:r w:rsidR="00FC69CC">
        <w:rPr>
          <w:rFonts w:asciiTheme="minorHAnsi" w:hAnsiTheme="minorHAnsi"/>
        </w:rPr>
        <w:t xml:space="preserve"> w związku z artykułem prasowym.</w:t>
      </w:r>
    </w:p>
    <w:p w:rsidR="00260C5C" w:rsidRPr="00194E8E" w:rsidRDefault="00260C5C" w:rsidP="00FC69CC">
      <w:pPr>
        <w:spacing w:after="120"/>
        <w:jc w:val="both"/>
        <w:rPr>
          <w:rFonts w:asciiTheme="minorHAnsi" w:hAnsiTheme="minorHAnsi"/>
        </w:rPr>
      </w:pPr>
      <w:r w:rsidRPr="00194E8E">
        <w:rPr>
          <w:rFonts w:asciiTheme="minorHAnsi" w:hAnsiTheme="minorHAnsi"/>
          <w:b/>
        </w:rPr>
        <w:t>4</w:t>
      </w:r>
      <w:r w:rsidRPr="00194E8E">
        <w:rPr>
          <w:rFonts w:asciiTheme="minorHAnsi" w:hAnsiTheme="minorHAnsi"/>
        </w:rPr>
        <w:t xml:space="preserve"> decyzje dotyczące różnych aspektów prawa do </w:t>
      </w:r>
      <w:r w:rsidRPr="00194E8E">
        <w:rPr>
          <w:rFonts w:asciiTheme="minorHAnsi" w:hAnsiTheme="minorHAnsi"/>
          <w:u w:val="single"/>
        </w:rPr>
        <w:t>ochrony własności</w:t>
      </w:r>
      <w:r w:rsidRPr="00194E8E">
        <w:rPr>
          <w:rFonts w:asciiTheme="minorHAnsi" w:hAnsiTheme="minorHAnsi"/>
        </w:rPr>
        <w:t>, w tym:</w:t>
      </w:r>
    </w:p>
    <w:p w:rsidR="00260C5C" w:rsidRPr="00194E8E" w:rsidRDefault="00260C5C" w:rsidP="00FC69CC">
      <w:pPr>
        <w:numPr>
          <w:ilvl w:val="0"/>
          <w:numId w:val="11"/>
        </w:numPr>
        <w:spacing w:after="120"/>
        <w:ind w:left="709" w:hanging="425"/>
        <w:jc w:val="both"/>
        <w:rPr>
          <w:rFonts w:asciiTheme="minorHAnsi" w:hAnsiTheme="minorHAnsi"/>
        </w:rPr>
      </w:pPr>
      <w:r w:rsidRPr="00194E8E">
        <w:rPr>
          <w:rFonts w:asciiTheme="minorHAnsi" w:hAnsiTheme="minorHAnsi"/>
        </w:rPr>
        <w:lastRenderedPageBreak/>
        <w:t>1 decyzja dotycząca obowiązku zwrotu części bonifikaty od ceny sprzedaży lokalu udzielonej przez gminę – w zakresie niewyk</w:t>
      </w:r>
      <w:r w:rsidR="00FC69CC">
        <w:rPr>
          <w:rFonts w:asciiTheme="minorHAnsi" w:hAnsiTheme="minorHAnsi"/>
        </w:rPr>
        <w:t>orzystanym na cele mieszkaniowe;</w:t>
      </w:r>
    </w:p>
    <w:p w:rsidR="00260C5C" w:rsidRPr="00194E8E" w:rsidRDefault="00260C5C" w:rsidP="00FC69CC">
      <w:pPr>
        <w:numPr>
          <w:ilvl w:val="0"/>
          <w:numId w:val="11"/>
        </w:numPr>
        <w:spacing w:after="120"/>
        <w:ind w:left="709" w:hanging="425"/>
        <w:jc w:val="both"/>
        <w:rPr>
          <w:rFonts w:asciiTheme="minorHAnsi" w:hAnsiTheme="minorHAnsi"/>
        </w:rPr>
      </w:pPr>
      <w:r w:rsidRPr="00194E8E">
        <w:rPr>
          <w:rFonts w:asciiTheme="minorHAnsi" w:hAnsiTheme="minorHAnsi"/>
        </w:rPr>
        <w:t>1 decyzja dotycząca braku odpowiedniego odszkodowania w związku z zaprzestaniem prowadzenia działalności gospodarczej</w:t>
      </w:r>
      <w:r w:rsidR="00FC69CC">
        <w:rPr>
          <w:rFonts w:asciiTheme="minorHAnsi" w:hAnsiTheme="minorHAnsi"/>
        </w:rPr>
        <w:t xml:space="preserve"> na wywłaszczonej nieruchomości;</w:t>
      </w:r>
    </w:p>
    <w:p w:rsidR="00260C5C" w:rsidRPr="00194E8E" w:rsidRDefault="00260C5C" w:rsidP="00FC69CC">
      <w:pPr>
        <w:numPr>
          <w:ilvl w:val="0"/>
          <w:numId w:val="11"/>
        </w:numPr>
        <w:spacing w:after="120"/>
        <w:ind w:left="709" w:hanging="425"/>
        <w:jc w:val="both"/>
        <w:rPr>
          <w:rFonts w:asciiTheme="minorHAnsi" w:hAnsiTheme="minorHAnsi"/>
        </w:rPr>
      </w:pPr>
      <w:r w:rsidRPr="00194E8E">
        <w:rPr>
          <w:rFonts w:asciiTheme="minorHAnsi" w:hAnsiTheme="minorHAnsi"/>
        </w:rPr>
        <w:t>1 decyzja dotycząca przymusowego umorzenia akcji w spół</w:t>
      </w:r>
      <w:r w:rsidR="00FC69CC">
        <w:rPr>
          <w:rFonts w:asciiTheme="minorHAnsi" w:hAnsiTheme="minorHAnsi"/>
        </w:rPr>
        <w:t>ce posiadanych przez skarżących;</w:t>
      </w:r>
    </w:p>
    <w:p w:rsidR="00260C5C" w:rsidRPr="00194E8E" w:rsidRDefault="00260C5C" w:rsidP="00FC69CC">
      <w:pPr>
        <w:numPr>
          <w:ilvl w:val="0"/>
          <w:numId w:val="11"/>
        </w:numPr>
        <w:spacing w:after="120"/>
        <w:ind w:left="709" w:hanging="425"/>
        <w:jc w:val="both"/>
        <w:rPr>
          <w:rFonts w:asciiTheme="minorHAnsi" w:hAnsiTheme="minorHAnsi"/>
        </w:rPr>
      </w:pPr>
      <w:r w:rsidRPr="00194E8E">
        <w:rPr>
          <w:rFonts w:asciiTheme="minorHAnsi" w:hAnsiTheme="minorHAnsi"/>
        </w:rPr>
        <w:t>1 decyzja dotycząca braku możliwości eksmisji lokatorów uprawnionych do lokalu socjalnego z uwagi na brak zapewnienia im zakwaterowania przez gminę (niewykorzystanie krajowych środków odwoławczych oraz oczywis</w:t>
      </w:r>
      <w:r w:rsidR="00FC69CC">
        <w:rPr>
          <w:rFonts w:asciiTheme="minorHAnsi" w:hAnsiTheme="minorHAnsi"/>
        </w:rPr>
        <w:t>ta niezasadność skargi).</w:t>
      </w:r>
    </w:p>
    <w:p w:rsidR="00260C5C" w:rsidRPr="00194E8E" w:rsidRDefault="00260C5C" w:rsidP="00FC69CC">
      <w:pPr>
        <w:spacing w:after="120"/>
        <w:jc w:val="both"/>
        <w:rPr>
          <w:rFonts w:asciiTheme="minorHAnsi" w:hAnsiTheme="minorHAnsi"/>
        </w:rPr>
      </w:pPr>
      <w:r w:rsidRPr="00194E8E">
        <w:rPr>
          <w:rFonts w:asciiTheme="minorHAnsi" w:hAnsiTheme="minorHAnsi"/>
          <w:b/>
        </w:rPr>
        <w:t>3</w:t>
      </w:r>
      <w:r w:rsidRPr="00194E8E">
        <w:rPr>
          <w:rFonts w:asciiTheme="minorHAnsi" w:hAnsiTheme="minorHAnsi"/>
        </w:rPr>
        <w:t xml:space="preserve"> decyzje dotyczące prawa do </w:t>
      </w:r>
      <w:r w:rsidRPr="00194E8E">
        <w:rPr>
          <w:rFonts w:asciiTheme="minorHAnsi" w:hAnsiTheme="minorHAnsi"/>
          <w:u w:val="single"/>
        </w:rPr>
        <w:t>wolności wyrażania opinii</w:t>
      </w:r>
      <w:r w:rsidR="00B0346B" w:rsidRPr="00FC69CC">
        <w:rPr>
          <w:rFonts w:asciiTheme="minorHAnsi" w:hAnsiTheme="minorHAnsi"/>
        </w:rPr>
        <w:t>:</w:t>
      </w:r>
      <w:r w:rsidRPr="00194E8E">
        <w:rPr>
          <w:rFonts w:asciiTheme="minorHAnsi" w:hAnsiTheme="minorHAnsi"/>
        </w:rPr>
        <w:t xml:space="preserve"> </w:t>
      </w:r>
    </w:p>
    <w:p w:rsidR="00260C5C" w:rsidRPr="00194E8E" w:rsidRDefault="00260C5C" w:rsidP="00FC69CC">
      <w:pPr>
        <w:numPr>
          <w:ilvl w:val="0"/>
          <w:numId w:val="11"/>
        </w:numPr>
        <w:spacing w:after="120"/>
        <w:ind w:left="709" w:hanging="425"/>
        <w:jc w:val="both"/>
        <w:rPr>
          <w:rFonts w:asciiTheme="minorHAnsi" w:hAnsiTheme="minorHAnsi"/>
        </w:rPr>
      </w:pPr>
      <w:r w:rsidRPr="00194E8E">
        <w:rPr>
          <w:rFonts w:asciiTheme="minorHAnsi" w:hAnsiTheme="minorHAnsi"/>
        </w:rPr>
        <w:t>1 decyzja dotycząca środków orzeczonych w postępowaniu o ochronę dóbr osobistych (zarzut w sposób oczywisty nieuzasadniony) oraz skazania w postępowaniu karnym (zarzut po ter</w:t>
      </w:r>
      <w:r w:rsidR="003263ED">
        <w:rPr>
          <w:rFonts w:asciiTheme="minorHAnsi" w:hAnsiTheme="minorHAnsi"/>
        </w:rPr>
        <w:t>minie);</w:t>
      </w:r>
    </w:p>
    <w:p w:rsidR="00260C5C" w:rsidRPr="00194E8E" w:rsidRDefault="00260C5C" w:rsidP="00FC69CC">
      <w:pPr>
        <w:numPr>
          <w:ilvl w:val="0"/>
          <w:numId w:val="11"/>
        </w:numPr>
        <w:spacing w:after="120"/>
        <w:ind w:left="709" w:hanging="425"/>
        <w:jc w:val="both"/>
        <w:rPr>
          <w:rFonts w:asciiTheme="minorHAnsi" w:hAnsiTheme="minorHAnsi"/>
        </w:rPr>
      </w:pPr>
      <w:r w:rsidRPr="00194E8E">
        <w:rPr>
          <w:rFonts w:asciiTheme="minorHAnsi" w:hAnsiTheme="minorHAnsi"/>
        </w:rPr>
        <w:t>1 decyzja dotycząca środków orzeczonych w postępowaniu o ochronę dóbr osobistych wobec organizatora demonstracji za o</w:t>
      </w:r>
      <w:r w:rsidR="003263ED">
        <w:rPr>
          <w:rFonts w:asciiTheme="minorHAnsi" w:hAnsiTheme="minorHAnsi"/>
        </w:rPr>
        <w:t>braźliwe wypowiedzi na banerach;</w:t>
      </w:r>
    </w:p>
    <w:p w:rsidR="00260C5C" w:rsidRPr="00194E8E" w:rsidRDefault="00260C5C" w:rsidP="00FC69CC">
      <w:pPr>
        <w:numPr>
          <w:ilvl w:val="0"/>
          <w:numId w:val="11"/>
        </w:numPr>
        <w:spacing w:after="120"/>
        <w:ind w:left="709" w:hanging="425"/>
        <w:jc w:val="both"/>
        <w:rPr>
          <w:rFonts w:asciiTheme="minorHAnsi" w:hAnsiTheme="minorHAnsi"/>
        </w:rPr>
      </w:pPr>
      <w:r w:rsidRPr="00194E8E">
        <w:rPr>
          <w:rFonts w:asciiTheme="minorHAnsi" w:hAnsiTheme="minorHAnsi"/>
        </w:rPr>
        <w:t>1 decyzja dotycząca skazania za obraźliwą wypow</w:t>
      </w:r>
      <w:r w:rsidR="003263ED">
        <w:rPr>
          <w:rFonts w:asciiTheme="minorHAnsi" w:hAnsiTheme="minorHAnsi"/>
        </w:rPr>
        <w:t>iedź o charakterze rasistowskim.</w:t>
      </w:r>
    </w:p>
    <w:p w:rsidR="00260C5C" w:rsidRPr="00194E8E" w:rsidRDefault="00260C5C" w:rsidP="00FC69CC">
      <w:pPr>
        <w:spacing w:after="120"/>
        <w:jc w:val="both"/>
        <w:rPr>
          <w:rFonts w:asciiTheme="minorHAnsi" w:hAnsiTheme="minorHAnsi"/>
        </w:rPr>
      </w:pPr>
      <w:r w:rsidRPr="00194E8E">
        <w:rPr>
          <w:rFonts w:asciiTheme="minorHAnsi" w:hAnsiTheme="minorHAnsi"/>
          <w:b/>
        </w:rPr>
        <w:t>2</w:t>
      </w:r>
      <w:r w:rsidRPr="00194E8E">
        <w:rPr>
          <w:rFonts w:asciiTheme="minorHAnsi" w:hAnsiTheme="minorHAnsi"/>
        </w:rPr>
        <w:t xml:space="preserve"> decyzje dotyczące </w:t>
      </w:r>
      <w:r w:rsidRPr="00194E8E">
        <w:rPr>
          <w:rFonts w:asciiTheme="minorHAnsi" w:hAnsiTheme="minorHAnsi"/>
          <w:u w:val="single"/>
        </w:rPr>
        <w:t>prawa do poszanowania życia prywatnego lub rodzinnego</w:t>
      </w:r>
      <w:r w:rsidRPr="00194E8E">
        <w:rPr>
          <w:rFonts w:asciiTheme="minorHAnsi" w:hAnsiTheme="minorHAnsi"/>
        </w:rPr>
        <w:t>:</w:t>
      </w:r>
    </w:p>
    <w:p w:rsidR="00260C5C" w:rsidRPr="00194E8E" w:rsidRDefault="00260C5C" w:rsidP="003263ED">
      <w:pPr>
        <w:numPr>
          <w:ilvl w:val="0"/>
          <w:numId w:val="11"/>
        </w:numPr>
        <w:spacing w:after="120"/>
        <w:ind w:left="709" w:hanging="425"/>
        <w:jc w:val="both"/>
        <w:rPr>
          <w:rFonts w:asciiTheme="minorHAnsi" w:hAnsiTheme="minorHAnsi"/>
        </w:rPr>
      </w:pPr>
      <w:r w:rsidRPr="00194E8E">
        <w:rPr>
          <w:rFonts w:asciiTheme="minorHAnsi" w:hAnsiTheme="minorHAnsi"/>
        </w:rPr>
        <w:t>1 decyzja dotycząca rzekomo długotrwałego pozbawienia kontaktu z synem w czasie tymczasowego aresztowania (nadużycie prawa do skargi z uwagi na zatajenie kluczowy</w:t>
      </w:r>
      <w:r w:rsidR="003263ED">
        <w:rPr>
          <w:rFonts w:asciiTheme="minorHAnsi" w:hAnsiTheme="minorHAnsi"/>
        </w:rPr>
        <w:t xml:space="preserve">ch informacji przed </w:t>
      </w:r>
      <w:r w:rsidR="00BA13ED">
        <w:rPr>
          <w:rFonts w:asciiTheme="minorHAnsi" w:hAnsiTheme="minorHAnsi"/>
        </w:rPr>
        <w:t>ETPC</w:t>
      </w:r>
      <w:r w:rsidR="003263ED">
        <w:rPr>
          <w:rFonts w:asciiTheme="minorHAnsi" w:hAnsiTheme="minorHAnsi"/>
        </w:rPr>
        <w:t>);</w:t>
      </w:r>
    </w:p>
    <w:p w:rsidR="00260C5C" w:rsidRPr="00194E8E" w:rsidRDefault="00260C5C" w:rsidP="003263ED">
      <w:pPr>
        <w:numPr>
          <w:ilvl w:val="0"/>
          <w:numId w:val="11"/>
        </w:numPr>
        <w:spacing w:after="120"/>
        <w:ind w:left="709" w:hanging="425"/>
        <w:jc w:val="both"/>
        <w:rPr>
          <w:rFonts w:asciiTheme="minorHAnsi" w:hAnsiTheme="minorHAnsi"/>
        </w:rPr>
      </w:pPr>
      <w:r w:rsidRPr="00194E8E">
        <w:rPr>
          <w:rFonts w:asciiTheme="minorHAnsi" w:hAnsiTheme="minorHAnsi"/>
        </w:rPr>
        <w:t xml:space="preserve">1 decyzja dotycząca braku </w:t>
      </w:r>
      <w:r w:rsidRPr="00194E8E">
        <w:rPr>
          <w:rFonts w:asciiTheme="minorHAnsi" w:eastAsiaTheme="minorHAnsi" w:hAnsiTheme="minorHAnsi" w:cstheme="minorBidi"/>
          <w:lang w:eastAsia="en-US"/>
        </w:rPr>
        <w:t>uznania przez władze prawnego stosunku rodzicielskiego między dziećmi a ich biologicznym ojcem i oparcia odmowy potwierdzenia ich obywatelstwa polskiego na względach związanych z ori</w:t>
      </w:r>
      <w:r w:rsidR="003263ED">
        <w:rPr>
          <w:rFonts w:asciiTheme="minorHAnsi" w:eastAsiaTheme="minorHAnsi" w:hAnsiTheme="minorHAnsi" w:cstheme="minorBidi"/>
          <w:lang w:eastAsia="en-US"/>
        </w:rPr>
        <w:t xml:space="preserve">entacją seksualną ich rodziców </w:t>
      </w:r>
      <w:r w:rsidRPr="00194E8E">
        <w:rPr>
          <w:rFonts w:asciiTheme="minorHAnsi" w:eastAsiaTheme="minorHAnsi" w:hAnsiTheme="minorHAnsi" w:cstheme="minorBidi"/>
          <w:lang w:eastAsia="en-US"/>
        </w:rPr>
        <w:t xml:space="preserve">(niezgodność skargi z Konwencją </w:t>
      </w:r>
      <w:r w:rsidRPr="00194E8E">
        <w:rPr>
          <w:rFonts w:asciiTheme="minorHAnsi" w:eastAsiaTheme="minorHAnsi" w:hAnsiTheme="minorHAnsi" w:cstheme="minorBidi"/>
          <w:i/>
          <w:lang w:eastAsia="en-US"/>
        </w:rPr>
        <w:t>ratione materiae</w:t>
      </w:r>
      <w:r w:rsidR="003263ED">
        <w:rPr>
          <w:rFonts w:asciiTheme="minorHAnsi" w:eastAsiaTheme="minorHAnsi" w:hAnsiTheme="minorHAnsi" w:cstheme="minorBidi"/>
          <w:lang w:eastAsia="en-US"/>
        </w:rPr>
        <w:t>).</w:t>
      </w:r>
    </w:p>
    <w:p w:rsidR="00260C5C" w:rsidRPr="00194E8E" w:rsidRDefault="00260C5C" w:rsidP="00FC69CC">
      <w:pPr>
        <w:spacing w:after="120"/>
        <w:jc w:val="both"/>
        <w:rPr>
          <w:rFonts w:asciiTheme="minorHAnsi" w:hAnsiTheme="minorHAnsi"/>
        </w:rPr>
      </w:pPr>
      <w:r w:rsidRPr="00194E8E">
        <w:rPr>
          <w:rFonts w:asciiTheme="minorHAnsi" w:hAnsiTheme="minorHAnsi"/>
          <w:b/>
        </w:rPr>
        <w:t>2</w:t>
      </w:r>
      <w:r w:rsidRPr="00194E8E">
        <w:rPr>
          <w:rFonts w:asciiTheme="minorHAnsi" w:hAnsiTheme="minorHAnsi"/>
        </w:rPr>
        <w:t xml:space="preserve"> decyzje dotyczące różnych aspektów pozbawienia wolności </w:t>
      </w:r>
      <w:r w:rsidRPr="00194E8E">
        <w:rPr>
          <w:rFonts w:asciiTheme="minorHAnsi" w:hAnsiTheme="minorHAnsi"/>
          <w:u w:val="single"/>
        </w:rPr>
        <w:t>w zakładach karnych</w:t>
      </w:r>
      <w:r w:rsidRPr="00194E8E">
        <w:rPr>
          <w:rFonts w:asciiTheme="minorHAnsi" w:hAnsiTheme="minorHAnsi"/>
        </w:rPr>
        <w:t xml:space="preserve">, w tym: </w:t>
      </w:r>
    </w:p>
    <w:p w:rsidR="00260C5C" w:rsidRPr="00194E8E" w:rsidRDefault="00260C5C" w:rsidP="003263ED">
      <w:pPr>
        <w:numPr>
          <w:ilvl w:val="0"/>
          <w:numId w:val="11"/>
        </w:numPr>
        <w:spacing w:after="120"/>
        <w:ind w:left="709" w:hanging="425"/>
        <w:jc w:val="both"/>
        <w:rPr>
          <w:rFonts w:asciiTheme="minorHAnsi" w:hAnsiTheme="minorHAnsi"/>
        </w:rPr>
      </w:pPr>
      <w:r w:rsidRPr="00194E8E">
        <w:rPr>
          <w:rFonts w:asciiTheme="minorHAnsi" w:hAnsiTheme="minorHAnsi"/>
        </w:rPr>
        <w:t>1 decyzja dotycząca zarzutu braku odpowiedniej opieki i nadzoru nad osob</w:t>
      </w:r>
      <w:r w:rsidR="00B0346B" w:rsidRPr="00194E8E">
        <w:rPr>
          <w:rFonts w:asciiTheme="minorHAnsi" w:hAnsiTheme="minorHAnsi"/>
        </w:rPr>
        <w:t>ą</w:t>
      </w:r>
      <w:r w:rsidRPr="00194E8E">
        <w:rPr>
          <w:rFonts w:asciiTheme="minorHAnsi" w:hAnsiTheme="minorHAnsi"/>
        </w:rPr>
        <w:t xml:space="preserve"> zmarłą w zakładzie karnym i braku skutecznego śledztwa w sprawie </w:t>
      </w:r>
      <w:r w:rsidR="003263ED">
        <w:rPr>
          <w:rFonts w:asciiTheme="minorHAnsi" w:hAnsiTheme="minorHAnsi"/>
        </w:rPr>
        <w:t>okoliczności śmierci osadzonego;</w:t>
      </w:r>
    </w:p>
    <w:p w:rsidR="00260C5C" w:rsidRPr="00194E8E" w:rsidRDefault="00260C5C" w:rsidP="003263ED">
      <w:pPr>
        <w:numPr>
          <w:ilvl w:val="0"/>
          <w:numId w:val="11"/>
        </w:numPr>
        <w:spacing w:after="120"/>
        <w:ind w:left="709" w:hanging="425"/>
        <w:jc w:val="both"/>
        <w:rPr>
          <w:rFonts w:asciiTheme="minorHAnsi" w:hAnsiTheme="minorHAnsi"/>
        </w:rPr>
      </w:pPr>
      <w:r w:rsidRPr="00194E8E">
        <w:rPr>
          <w:rFonts w:asciiTheme="minorHAnsi" w:hAnsiTheme="minorHAnsi"/>
        </w:rPr>
        <w:t>1 decyzja dotycząc</w:t>
      </w:r>
      <w:r w:rsidR="00B0346B" w:rsidRPr="00194E8E">
        <w:rPr>
          <w:rFonts w:asciiTheme="minorHAnsi" w:hAnsiTheme="minorHAnsi"/>
        </w:rPr>
        <w:t>a</w:t>
      </w:r>
      <w:r w:rsidRPr="00194E8E">
        <w:rPr>
          <w:rFonts w:asciiTheme="minorHAnsi" w:hAnsiTheme="minorHAnsi"/>
        </w:rPr>
        <w:t xml:space="preserve"> prawa do poszanowania życia prywatnego z uwagi na odmowę przepu</w:t>
      </w:r>
      <w:r w:rsidR="003263ED">
        <w:rPr>
          <w:rFonts w:asciiTheme="minorHAnsi" w:hAnsiTheme="minorHAnsi"/>
        </w:rPr>
        <w:t>stki na pogrzeb członka rodziny.</w:t>
      </w:r>
    </w:p>
    <w:p w:rsidR="00260C5C" w:rsidRPr="00194E8E" w:rsidRDefault="00260C5C" w:rsidP="00FC69CC">
      <w:pPr>
        <w:spacing w:after="120"/>
        <w:jc w:val="both"/>
        <w:rPr>
          <w:rFonts w:asciiTheme="minorHAnsi" w:hAnsiTheme="minorHAnsi"/>
        </w:rPr>
      </w:pPr>
      <w:r w:rsidRPr="00194E8E">
        <w:rPr>
          <w:rFonts w:asciiTheme="minorHAnsi" w:hAnsiTheme="minorHAnsi"/>
          <w:b/>
        </w:rPr>
        <w:t>2</w:t>
      </w:r>
      <w:r w:rsidRPr="00194E8E">
        <w:rPr>
          <w:rFonts w:asciiTheme="minorHAnsi" w:hAnsiTheme="minorHAnsi"/>
        </w:rPr>
        <w:t xml:space="preserve"> decyzje dotyczące </w:t>
      </w:r>
      <w:r w:rsidRPr="00194E8E">
        <w:rPr>
          <w:rFonts w:asciiTheme="minorHAnsi" w:hAnsiTheme="minorHAnsi"/>
          <w:u w:val="single"/>
        </w:rPr>
        <w:t>przewlekłego działania organów</w:t>
      </w:r>
      <w:r w:rsidRPr="00194E8E">
        <w:rPr>
          <w:rFonts w:asciiTheme="minorHAnsi" w:hAnsiTheme="minorHAnsi"/>
        </w:rPr>
        <w:t>, w tym:</w:t>
      </w:r>
    </w:p>
    <w:p w:rsidR="00260C5C" w:rsidRPr="00194E8E" w:rsidRDefault="00260C5C" w:rsidP="00FC69CC">
      <w:pPr>
        <w:numPr>
          <w:ilvl w:val="0"/>
          <w:numId w:val="11"/>
        </w:numPr>
        <w:spacing w:after="120"/>
        <w:jc w:val="both"/>
        <w:rPr>
          <w:rFonts w:asciiTheme="minorHAnsi" w:hAnsiTheme="minorHAnsi"/>
        </w:rPr>
      </w:pPr>
      <w:r w:rsidRPr="00194E8E">
        <w:rPr>
          <w:rFonts w:asciiTheme="minorHAnsi" w:hAnsiTheme="minorHAnsi"/>
        </w:rPr>
        <w:t>1 decyzja dotycząca zarzutu nadmiernej długości tymczasowego aresztowania (skarga uznana za nadużycie prawa do skargi z uwagi na za</w:t>
      </w:r>
      <w:r w:rsidR="003263ED">
        <w:rPr>
          <w:rFonts w:asciiTheme="minorHAnsi" w:hAnsiTheme="minorHAnsi"/>
        </w:rPr>
        <w:t>tajenie kluczowych informacji);</w:t>
      </w:r>
    </w:p>
    <w:p w:rsidR="00260C5C" w:rsidRPr="00194E8E" w:rsidRDefault="00260C5C" w:rsidP="00FC69CC">
      <w:pPr>
        <w:numPr>
          <w:ilvl w:val="0"/>
          <w:numId w:val="11"/>
        </w:numPr>
        <w:spacing w:after="120"/>
        <w:jc w:val="both"/>
        <w:rPr>
          <w:rFonts w:asciiTheme="minorHAnsi" w:hAnsiTheme="minorHAnsi"/>
        </w:rPr>
      </w:pPr>
      <w:r w:rsidRPr="00194E8E">
        <w:rPr>
          <w:rFonts w:asciiTheme="minorHAnsi" w:hAnsiTheme="minorHAnsi"/>
        </w:rPr>
        <w:t xml:space="preserve">1 decyzja dotycząca przewlekłego i nieskutecznego prowadzenia dochodzenia w sprawie błędu lekarskiego (niezgodność skargi z Konwencją </w:t>
      </w:r>
      <w:r w:rsidRPr="00194E8E">
        <w:rPr>
          <w:rFonts w:asciiTheme="minorHAnsi" w:hAnsiTheme="minorHAnsi"/>
          <w:i/>
        </w:rPr>
        <w:t>ratione personae</w:t>
      </w:r>
      <w:r w:rsidRPr="00194E8E">
        <w:rPr>
          <w:rFonts w:asciiTheme="minorHAnsi" w:hAnsiTheme="minorHAnsi"/>
        </w:rPr>
        <w:t xml:space="preserve"> z uwagi brak legitymacji procesowej skarżącej do złożenia skargi w imieniu jej pełnoletniego syna, przy uwzględnieniu przez </w:t>
      </w:r>
      <w:r w:rsidR="003263ED">
        <w:rPr>
          <w:rFonts w:asciiTheme="minorHAnsi" w:hAnsiTheme="minorHAnsi"/>
        </w:rPr>
        <w:t>ETPC</w:t>
      </w:r>
      <w:r w:rsidRPr="00194E8E">
        <w:rPr>
          <w:rFonts w:asciiTheme="minorHAnsi" w:hAnsiTheme="minorHAnsi"/>
        </w:rPr>
        <w:t xml:space="preserve"> faktu zasądzenia maksymalnej kwoty za przewlekłość pos</w:t>
      </w:r>
      <w:r w:rsidR="003263ED">
        <w:rPr>
          <w:rFonts w:asciiTheme="minorHAnsi" w:hAnsiTheme="minorHAnsi"/>
        </w:rPr>
        <w:t>tępowania na poziomie krajowym).</w:t>
      </w:r>
    </w:p>
    <w:p w:rsidR="00260C5C" w:rsidRPr="00194E8E" w:rsidRDefault="00260C5C" w:rsidP="00FC69CC">
      <w:pPr>
        <w:spacing w:after="120"/>
        <w:jc w:val="both"/>
        <w:rPr>
          <w:rFonts w:asciiTheme="minorHAnsi" w:hAnsiTheme="minorHAnsi"/>
        </w:rPr>
      </w:pPr>
      <w:r w:rsidRPr="00194E8E">
        <w:rPr>
          <w:rFonts w:asciiTheme="minorHAnsi" w:hAnsiTheme="minorHAnsi"/>
          <w:b/>
        </w:rPr>
        <w:lastRenderedPageBreak/>
        <w:t>1</w:t>
      </w:r>
      <w:r w:rsidRPr="00194E8E">
        <w:rPr>
          <w:rFonts w:asciiTheme="minorHAnsi" w:hAnsiTheme="minorHAnsi"/>
        </w:rPr>
        <w:t xml:space="preserve"> decyzja dotycząca zarzutu naruszenia </w:t>
      </w:r>
      <w:r w:rsidRPr="00194E8E">
        <w:rPr>
          <w:rFonts w:asciiTheme="minorHAnsi" w:hAnsiTheme="minorHAnsi"/>
          <w:u w:val="single"/>
        </w:rPr>
        <w:t>wolności zgromadzeń</w:t>
      </w:r>
      <w:r w:rsidRPr="00194E8E">
        <w:rPr>
          <w:rFonts w:asciiTheme="minorHAnsi" w:hAnsiTheme="minorHAnsi"/>
        </w:rPr>
        <w:t xml:space="preserve"> w związku ze środkami orzeczonymi w postępowaniu o ochronę dóbr osobistych dotyczącym organizacj</w:t>
      </w:r>
      <w:r w:rsidR="003263ED">
        <w:rPr>
          <w:rFonts w:asciiTheme="minorHAnsi" w:hAnsiTheme="minorHAnsi"/>
        </w:rPr>
        <w:t>i demonstracji pod domem powoda.</w:t>
      </w:r>
    </w:p>
    <w:p w:rsidR="00260C5C" w:rsidRPr="00194E8E" w:rsidRDefault="00260C5C" w:rsidP="00FC69CC">
      <w:pPr>
        <w:spacing w:after="120"/>
        <w:jc w:val="both"/>
        <w:rPr>
          <w:rFonts w:asciiTheme="minorHAnsi" w:hAnsiTheme="minorHAnsi"/>
        </w:rPr>
      </w:pPr>
      <w:r w:rsidRPr="00194E8E">
        <w:rPr>
          <w:rFonts w:asciiTheme="minorHAnsi" w:hAnsiTheme="minorHAnsi"/>
          <w:b/>
        </w:rPr>
        <w:t>1</w:t>
      </w:r>
      <w:r w:rsidRPr="00194E8E">
        <w:rPr>
          <w:rFonts w:asciiTheme="minorHAnsi" w:hAnsiTheme="minorHAnsi"/>
        </w:rPr>
        <w:t xml:space="preserve"> decyzja dotycząca </w:t>
      </w:r>
      <w:r w:rsidRPr="00194E8E">
        <w:rPr>
          <w:rFonts w:asciiTheme="minorHAnsi" w:hAnsiTheme="minorHAnsi"/>
          <w:u w:val="single"/>
        </w:rPr>
        <w:t>zarzutu dyskryminacji</w:t>
      </w:r>
      <w:r w:rsidRPr="00194E8E">
        <w:rPr>
          <w:rFonts w:asciiTheme="minorHAnsi" w:hAnsiTheme="minorHAnsi"/>
        </w:rPr>
        <w:t xml:space="preserve"> w związku z brakiem </w:t>
      </w:r>
      <w:r w:rsidRPr="00194E8E">
        <w:rPr>
          <w:rFonts w:asciiTheme="minorHAnsi" w:eastAsiaTheme="minorHAnsi" w:hAnsiTheme="minorHAnsi" w:cstheme="minorBidi"/>
          <w:lang w:eastAsia="en-US"/>
        </w:rPr>
        <w:t xml:space="preserve">uznania przez władze prawnego stosunku rodzicielskiego między dziećmi a ich biologicznym ojcem i oparcia decyzji o odmowie potwierdzenia ich obywatelstwa polskiego na względach związanych z orientacją seksualną ich rodziców (niezgodność skargi z Konwencją </w:t>
      </w:r>
      <w:r w:rsidRPr="00194E8E">
        <w:rPr>
          <w:rFonts w:asciiTheme="minorHAnsi" w:eastAsiaTheme="minorHAnsi" w:hAnsiTheme="minorHAnsi" w:cstheme="minorBidi"/>
          <w:i/>
          <w:lang w:eastAsia="en-US"/>
        </w:rPr>
        <w:t>ratione materiae</w:t>
      </w:r>
      <w:r w:rsidR="003263ED">
        <w:rPr>
          <w:rFonts w:asciiTheme="minorHAnsi" w:eastAsiaTheme="minorHAnsi" w:hAnsiTheme="minorHAnsi" w:cstheme="minorBidi"/>
          <w:lang w:eastAsia="en-US"/>
        </w:rPr>
        <w:t>).</w:t>
      </w:r>
    </w:p>
    <w:p w:rsidR="00260C5C" w:rsidRPr="00194E8E" w:rsidRDefault="00260C5C" w:rsidP="00FC69CC">
      <w:pPr>
        <w:spacing w:after="120"/>
        <w:jc w:val="both"/>
        <w:rPr>
          <w:rFonts w:asciiTheme="minorHAnsi" w:hAnsiTheme="minorHAnsi"/>
          <w:b/>
        </w:rPr>
      </w:pPr>
      <w:r w:rsidRPr="00194E8E">
        <w:rPr>
          <w:rFonts w:asciiTheme="minorHAnsi" w:hAnsiTheme="minorHAnsi"/>
        </w:rPr>
        <w:t xml:space="preserve">Ponadto </w:t>
      </w:r>
      <w:r w:rsidR="003263ED">
        <w:rPr>
          <w:rFonts w:asciiTheme="minorHAnsi" w:hAnsiTheme="minorHAnsi"/>
        </w:rPr>
        <w:t>ETPC</w:t>
      </w:r>
      <w:r w:rsidRPr="00194E8E">
        <w:rPr>
          <w:rFonts w:asciiTheme="minorHAnsi" w:hAnsiTheme="minorHAnsi"/>
        </w:rPr>
        <w:t xml:space="preserve"> odrzucił następujące zarzuty w 4 decyzjach </w:t>
      </w:r>
      <w:r w:rsidR="003263ED">
        <w:rPr>
          <w:rFonts w:asciiTheme="minorHAnsi" w:hAnsiTheme="minorHAnsi"/>
        </w:rPr>
        <w:t xml:space="preserve">o niedopuszczalności wydanych w </w:t>
      </w:r>
      <w:r w:rsidRPr="00194E8E">
        <w:rPr>
          <w:rFonts w:asciiTheme="minorHAnsi" w:hAnsiTheme="minorHAnsi"/>
        </w:rPr>
        <w:t xml:space="preserve">sprawach </w:t>
      </w:r>
      <w:r w:rsidR="004D4FD2" w:rsidRPr="00194E8E">
        <w:rPr>
          <w:rFonts w:asciiTheme="minorHAnsi" w:hAnsiTheme="minorHAnsi"/>
          <w:b/>
        </w:rPr>
        <w:t>niekomunikowanych R</w:t>
      </w:r>
      <w:r w:rsidRPr="00194E8E">
        <w:rPr>
          <w:rFonts w:asciiTheme="minorHAnsi" w:hAnsiTheme="minorHAnsi"/>
          <w:b/>
        </w:rPr>
        <w:t>ządowi:</w:t>
      </w:r>
    </w:p>
    <w:p w:rsidR="00260C5C" w:rsidRPr="00194E8E" w:rsidRDefault="00260C5C" w:rsidP="00FC69CC">
      <w:pPr>
        <w:spacing w:after="120"/>
        <w:jc w:val="both"/>
        <w:rPr>
          <w:rFonts w:asciiTheme="minorHAnsi" w:hAnsiTheme="minorHAnsi"/>
        </w:rPr>
      </w:pPr>
      <w:r w:rsidRPr="00194E8E">
        <w:rPr>
          <w:rFonts w:asciiTheme="minorHAnsi" w:hAnsiTheme="minorHAnsi"/>
          <w:b/>
        </w:rPr>
        <w:t>3</w:t>
      </w:r>
      <w:r w:rsidRPr="00194E8E">
        <w:rPr>
          <w:rFonts w:asciiTheme="minorHAnsi" w:hAnsiTheme="minorHAnsi"/>
        </w:rPr>
        <w:t xml:space="preserve"> zarzuty naruszenia </w:t>
      </w:r>
      <w:r w:rsidRPr="00194E8E">
        <w:rPr>
          <w:rFonts w:asciiTheme="minorHAnsi" w:hAnsiTheme="minorHAnsi"/>
          <w:u w:val="single"/>
        </w:rPr>
        <w:t>prawa do rzetelnego procesu sądowego</w:t>
      </w:r>
      <w:r w:rsidR="003263ED">
        <w:rPr>
          <w:rFonts w:asciiTheme="minorHAnsi" w:hAnsiTheme="minorHAnsi"/>
        </w:rPr>
        <w:t xml:space="preserve"> z uwagi na:</w:t>
      </w:r>
    </w:p>
    <w:p w:rsidR="00260C5C" w:rsidRPr="00194E8E" w:rsidRDefault="00260C5C" w:rsidP="003263ED">
      <w:pPr>
        <w:numPr>
          <w:ilvl w:val="0"/>
          <w:numId w:val="11"/>
        </w:numPr>
        <w:spacing w:after="120"/>
        <w:ind w:hanging="436"/>
        <w:jc w:val="both"/>
        <w:rPr>
          <w:rFonts w:asciiTheme="minorHAnsi" w:hAnsiTheme="minorHAnsi"/>
        </w:rPr>
      </w:pPr>
      <w:r w:rsidRPr="00194E8E">
        <w:rPr>
          <w:rFonts w:asciiTheme="minorHAnsi" w:hAnsiTheme="minorHAnsi"/>
        </w:rPr>
        <w:t xml:space="preserve">oddalenie wniosku o wznowienie postępowania karnego po wyroku ETPC (niezgodność skargi z Konwencją </w:t>
      </w:r>
      <w:r w:rsidRPr="00194E8E">
        <w:rPr>
          <w:rFonts w:asciiTheme="minorHAnsi" w:hAnsiTheme="minorHAnsi"/>
          <w:i/>
        </w:rPr>
        <w:t>ratione materiae</w:t>
      </w:r>
      <w:r w:rsidR="003263ED">
        <w:rPr>
          <w:rFonts w:asciiTheme="minorHAnsi" w:hAnsiTheme="minorHAnsi"/>
        </w:rPr>
        <w:t>);</w:t>
      </w:r>
    </w:p>
    <w:p w:rsidR="00260C5C" w:rsidRPr="00194E8E" w:rsidRDefault="00260C5C" w:rsidP="003263ED">
      <w:pPr>
        <w:numPr>
          <w:ilvl w:val="0"/>
          <w:numId w:val="11"/>
        </w:numPr>
        <w:spacing w:after="120"/>
        <w:ind w:left="709" w:hanging="425"/>
        <w:jc w:val="both"/>
        <w:rPr>
          <w:rFonts w:asciiTheme="minorHAnsi" w:hAnsiTheme="minorHAnsi"/>
        </w:rPr>
      </w:pPr>
      <w:r w:rsidRPr="00194E8E">
        <w:rPr>
          <w:rFonts w:asciiTheme="minorHAnsi" w:hAnsiTheme="minorHAnsi"/>
        </w:rPr>
        <w:t>wydanie orzeczenia sądowego potwierdzającego obowiązek spłaty kredytu denominow</w:t>
      </w:r>
      <w:r w:rsidR="003263ED">
        <w:rPr>
          <w:rFonts w:asciiTheme="minorHAnsi" w:hAnsiTheme="minorHAnsi"/>
        </w:rPr>
        <w:t>anego we frankach szwajcarskich;</w:t>
      </w:r>
    </w:p>
    <w:p w:rsidR="00260C5C" w:rsidRPr="00194E8E" w:rsidRDefault="00260C5C" w:rsidP="003263ED">
      <w:pPr>
        <w:numPr>
          <w:ilvl w:val="0"/>
          <w:numId w:val="11"/>
        </w:numPr>
        <w:spacing w:after="120"/>
        <w:ind w:hanging="436"/>
        <w:jc w:val="both"/>
        <w:rPr>
          <w:rFonts w:asciiTheme="minorHAnsi" w:hAnsiTheme="minorHAnsi"/>
        </w:rPr>
      </w:pPr>
      <w:r w:rsidRPr="00194E8E">
        <w:rPr>
          <w:rFonts w:asciiTheme="minorHAnsi" w:hAnsiTheme="minorHAnsi"/>
        </w:rPr>
        <w:t>odmowę przyjęcia kasacji do</w:t>
      </w:r>
      <w:r w:rsidR="003263ED">
        <w:rPr>
          <w:rFonts w:asciiTheme="minorHAnsi" w:hAnsiTheme="minorHAnsi"/>
        </w:rPr>
        <w:t xml:space="preserve"> rozpoznania w sprawie cywilnej.</w:t>
      </w:r>
    </w:p>
    <w:p w:rsidR="00260C5C" w:rsidRPr="00194E8E" w:rsidRDefault="00260C5C" w:rsidP="00FC69CC">
      <w:pPr>
        <w:spacing w:after="120"/>
        <w:jc w:val="both"/>
        <w:rPr>
          <w:rFonts w:asciiTheme="minorHAnsi" w:hAnsiTheme="minorHAnsi"/>
        </w:rPr>
      </w:pPr>
      <w:r w:rsidRPr="00194E8E">
        <w:rPr>
          <w:rFonts w:asciiTheme="minorHAnsi" w:hAnsiTheme="minorHAnsi"/>
          <w:b/>
        </w:rPr>
        <w:t>1</w:t>
      </w:r>
      <w:r w:rsidRPr="00194E8E">
        <w:rPr>
          <w:rFonts w:asciiTheme="minorHAnsi" w:hAnsiTheme="minorHAnsi"/>
        </w:rPr>
        <w:t xml:space="preserve"> zarzut naruszenia </w:t>
      </w:r>
      <w:r w:rsidRPr="00194E8E">
        <w:rPr>
          <w:rFonts w:asciiTheme="minorHAnsi" w:hAnsiTheme="minorHAnsi"/>
          <w:u w:val="single"/>
        </w:rPr>
        <w:t>prawa do poszanowania życia prywatnego</w:t>
      </w:r>
      <w:r w:rsidRPr="00194E8E">
        <w:rPr>
          <w:rFonts w:asciiTheme="minorHAnsi" w:hAnsiTheme="minorHAnsi"/>
        </w:rPr>
        <w:t xml:space="preserve"> z uwagi na ujawnienie na rozprawie informacji o chorobie oskarżonego w związku z badaniem przez </w:t>
      </w:r>
      <w:r w:rsidR="003263ED">
        <w:rPr>
          <w:rFonts w:asciiTheme="minorHAnsi" w:hAnsiTheme="minorHAnsi"/>
        </w:rPr>
        <w:t>sąd jego zwolnienia lekarskiego.</w:t>
      </w:r>
    </w:p>
    <w:p w:rsidR="00260C5C" w:rsidRPr="00194E8E" w:rsidRDefault="00260C5C" w:rsidP="00FC69CC">
      <w:pPr>
        <w:spacing w:after="120"/>
        <w:jc w:val="both"/>
        <w:rPr>
          <w:rFonts w:asciiTheme="minorHAnsi" w:hAnsiTheme="minorHAnsi"/>
        </w:rPr>
      </w:pPr>
      <w:r w:rsidRPr="00194E8E">
        <w:rPr>
          <w:rFonts w:asciiTheme="minorHAnsi" w:hAnsiTheme="minorHAnsi"/>
          <w:b/>
        </w:rPr>
        <w:t>1</w:t>
      </w:r>
      <w:r w:rsidRPr="00194E8E">
        <w:rPr>
          <w:rFonts w:asciiTheme="minorHAnsi" w:hAnsiTheme="minorHAnsi"/>
        </w:rPr>
        <w:t xml:space="preserve"> zarzut </w:t>
      </w:r>
      <w:r w:rsidRPr="00194E8E">
        <w:rPr>
          <w:rFonts w:asciiTheme="minorHAnsi" w:hAnsiTheme="minorHAnsi"/>
          <w:u w:val="single"/>
        </w:rPr>
        <w:t>braku skutecznego krajowego środka odwoławczego</w:t>
      </w:r>
      <w:r w:rsidRPr="00194E8E">
        <w:rPr>
          <w:rFonts w:asciiTheme="minorHAnsi" w:hAnsiTheme="minorHAnsi"/>
        </w:rPr>
        <w:t xml:space="preserve"> pozwalającego zaskarżyć ujawnienie na rozprawie danych medycznych zawartych w zwolnieniu lekarskim oskarżonego (niezgodność skargi </w:t>
      </w:r>
      <w:r w:rsidRPr="00194E8E">
        <w:rPr>
          <w:rFonts w:asciiTheme="minorHAnsi" w:hAnsiTheme="minorHAnsi"/>
          <w:i/>
        </w:rPr>
        <w:t xml:space="preserve">ratione materiae </w:t>
      </w:r>
      <w:r w:rsidRPr="00194E8E">
        <w:rPr>
          <w:rFonts w:asciiTheme="minorHAnsi" w:hAnsiTheme="minorHAnsi"/>
        </w:rPr>
        <w:t>z uwagi na oczywistą niezasadność zarzutu narusz</w:t>
      </w:r>
      <w:r w:rsidR="003263ED">
        <w:rPr>
          <w:rFonts w:asciiTheme="minorHAnsi" w:hAnsiTheme="minorHAnsi"/>
        </w:rPr>
        <w:t>enia prawa do życia prywatnego).</w:t>
      </w:r>
    </w:p>
    <w:p w:rsidR="00260C5C" w:rsidRPr="00194E8E" w:rsidRDefault="00260C5C" w:rsidP="00FC69CC">
      <w:pPr>
        <w:spacing w:after="120"/>
        <w:jc w:val="both"/>
        <w:rPr>
          <w:rFonts w:asciiTheme="minorHAnsi" w:hAnsiTheme="minorHAnsi"/>
        </w:rPr>
      </w:pPr>
      <w:r w:rsidRPr="00194E8E">
        <w:rPr>
          <w:rFonts w:asciiTheme="minorHAnsi" w:hAnsiTheme="minorHAnsi"/>
          <w:b/>
        </w:rPr>
        <w:t>1</w:t>
      </w:r>
      <w:r w:rsidRPr="00194E8E">
        <w:rPr>
          <w:rFonts w:asciiTheme="minorHAnsi" w:hAnsiTheme="minorHAnsi"/>
        </w:rPr>
        <w:t xml:space="preserve"> zarzut dotyczący zarzutu naruszenia </w:t>
      </w:r>
      <w:r w:rsidRPr="00194E8E">
        <w:rPr>
          <w:rFonts w:asciiTheme="minorHAnsi" w:hAnsiTheme="minorHAnsi"/>
          <w:u w:val="single"/>
        </w:rPr>
        <w:t>ochrony własności</w:t>
      </w:r>
      <w:r w:rsidRPr="00194E8E">
        <w:rPr>
          <w:rFonts w:asciiTheme="minorHAnsi" w:hAnsiTheme="minorHAnsi"/>
        </w:rPr>
        <w:t xml:space="preserve"> z uwagi na obowiązek zapłaty akcyzy od importowanych pojazdów (niewykorzystanie krajowych środków odwoławczych i niezgodność skargi z Konwencją </w:t>
      </w:r>
      <w:r w:rsidRPr="00194E8E">
        <w:rPr>
          <w:rFonts w:asciiTheme="minorHAnsi" w:hAnsiTheme="minorHAnsi"/>
          <w:i/>
        </w:rPr>
        <w:t>ratione materiae</w:t>
      </w:r>
      <w:r w:rsidR="003263ED">
        <w:rPr>
          <w:rFonts w:asciiTheme="minorHAnsi" w:hAnsiTheme="minorHAnsi"/>
        </w:rPr>
        <w:t>).</w:t>
      </w:r>
    </w:p>
    <w:p w:rsidR="00260C5C" w:rsidRPr="00194E8E" w:rsidRDefault="00260C5C" w:rsidP="00FC69CC">
      <w:pPr>
        <w:spacing w:after="120"/>
        <w:jc w:val="both"/>
        <w:rPr>
          <w:rFonts w:asciiTheme="minorHAnsi" w:hAnsiTheme="minorHAnsi"/>
        </w:rPr>
      </w:pPr>
      <w:r w:rsidRPr="00194E8E">
        <w:rPr>
          <w:rFonts w:asciiTheme="minorHAnsi" w:hAnsiTheme="minorHAnsi"/>
          <w:b/>
        </w:rPr>
        <w:t>1</w:t>
      </w:r>
      <w:r w:rsidRPr="00194E8E">
        <w:rPr>
          <w:rFonts w:asciiTheme="minorHAnsi" w:hAnsiTheme="minorHAnsi"/>
        </w:rPr>
        <w:t xml:space="preserve"> zarzut </w:t>
      </w:r>
      <w:r w:rsidRPr="00194E8E">
        <w:rPr>
          <w:rFonts w:asciiTheme="minorHAnsi" w:hAnsiTheme="minorHAnsi"/>
          <w:u w:val="single"/>
        </w:rPr>
        <w:t>braku wykonania wyroku ETPC</w:t>
      </w:r>
      <w:r w:rsidRPr="00194E8E">
        <w:rPr>
          <w:rFonts w:asciiTheme="minorHAnsi" w:hAnsiTheme="minorHAnsi"/>
        </w:rPr>
        <w:t xml:space="preserve"> z uwagi na oddalenie wniosku o wznowienie postępowania karnego na podstawie wyroku ETPC (brak jurysdykcji ETPC w sprawie zarzutu).</w:t>
      </w:r>
    </w:p>
    <w:p w:rsidR="00260C5C" w:rsidRPr="00194E8E" w:rsidRDefault="00260C5C" w:rsidP="003263ED">
      <w:pPr>
        <w:spacing w:before="240" w:after="120"/>
        <w:ind w:left="709"/>
        <w:jc w:val="both"/>
        <w:rPr>
          <w:rFonts w:asciiTheme="minorHAnsi" w:hAnsiTheme="minorHAnsi"/>
          <w:i/>
        </w:rPr>
      </w:pPr>
      <w:r w:rsidRPr="00194E8E">
        <w:rPr>
          <w:rFonts w:asciiTheme="minorHAnsi" w:hAnsiTheme="minorHAnsi"/>
          <w:i/>
        </w:rPr>
        <w:t xml:space="preserve">2.2.3 Inna decyzja </w:t>
      </w:r>
    </w:p>
    <w:p w:rsidR="00260C5C" w:rsidRPr="00194E8E" w:rsidRDefault="00BA13ED" w:rsidP="00393791">
      <w:pPr>
        <w:spacing w:before="120" w:after="120"/>
        <w:jc w:val="both"/>
        <w:rPr>
          <w:rFonts w:asciiTheme="minorHAnsi" w:hAnsiTheme="minorHAnsi"/>
        </w:rPr>
      </w:pPr>
      <w:r>
        <w:rPr>
          <w:rFonts w:asciiTheme="minorHAnsi" w:hAnsiTheme="minorHAnsi"/>
        </w:rPr>
        <w:t>ETPC</w:t>
      </w:r>
      <w:r w:rsidR="00260C5C" w:rsidRPr="00194E8E">
        <w:rPr>
          <w:rFonts w:asciiTheme="minorHAnsi" w:hAnsiTheme="minorHAnsi"/>
        </w:rPr>
        <w:t xml:space="preserve"> skreślił ponadto skargę dotyczącą planowanej sprzedaży rzeczy skarżącego w postępowaniu egzekucyjnym poniżej jej wartości (skreślenie z powodu rozwiązania sprawy na poziomie krajowym, przyznanie skarżącemu zwrotu kosztów).</w:t>
      </w:r>
    </w:p>
    <w:p w:rsidR="00260C5C" w:rsidRPr="00194E8E" w:rsidRDefault="00260C5C" w:rsidP="003263ED">
      <w:pPr>
        <w:numPr>
          <w:ilvl w:val="1"/>
          <w:numId w:val="28"/>
        </w:numPr>
        <w:spacing w:before="240" w:after="120"/>
        <w:ind w:left="709" w:hanging="437"/>
        <w:jc w:val="both"/>
        <w:rPr>
          <w:rFonts w:asciiTheme="minorHAnsi" w:hAnsiTheme="minorHAnsi"/>
          <w:i/>
        </w:rPr>
      </w:pPr>
      <w:r w:rsidRPr="00261901">
        <w:rPr>
          <w:rFonts w:asciiTheme="minorHAnsi" w:eastAsiaTheme="majorEastAsia" w:hAnsiTheme="minorHAnsi" w:cstheme="majorBidi"/>
          <w:b/>
          <w:color w:val="000000" w:themeColor="text1"/>
          <w:lang w:eastAsia="en-US"/>
        </w:rPr>
        <w:t>Wykonywanie orzeczeń Europejskiego Trybunału Praw Człowieka</w:t>
      </w:r>
      <w:r w:rsidRPr="00194E8E">
        <w:rPr>
          <w:rFonts w:asciiTheme="minorHAnsi" w:hAnsiTheme="minorHAnsi"/>
          <w:i/>
        </w:rPr>
        <w:t xml:space="preserve">Sprawy uznane za wykonane </w:t>
      </w:r>
    </w:p>
    <w:p w:rsidR="00260C5C" w:rsidRPr="00194E8E" w:rsidRDefault="00260C5C" w:rsidP="003263ED">
      <w:pPr>
        <w:spacing w:after="120"/>
        <w:jc w:val="both"/>
        <w:rPr>
          <w:rFonts w:asciiTheme="minorHAnsi" w:hAnsiTheme="minorHAnsi"/>
        </w:rPr>
      </w:pPr>
      <w:r w:rsidRPr="00194E8E">
        <w:rPr>
          <w:rFonts w:asciiTheme="minorHAnsi" w:hAnsiTheme="minorHAnsi"/>
        </w:rPr>
        <w:t xml:space="preserve">W 2021 r. Komitet Ministrów Rady Europy </w:t>
      </w:r>
      <w:r w:rsidRPr="00194E8E">
        <w:rPr>
          <w:rFonts w:asciiTheme="minorHAnsi" w:hAnsiTheme="minorHAnsi"/>
          <w:b/>
          <w:bCs/>
        </w:rPr>
        <w:t xml:space="preserve">zamknął nadzór nad wykonywaniem 35 orzeczeń </w:t>
      </w:r>
      <w:r w:rsidR="00261901">
        <w:rPr>
          <w:rFonts w:asciiTheme="minorHAnsi" w:hAnsiTheme="minorHAnsi"/>
        </w:rPr>
        <w:t>ETPC</w:t>
      </w:r>
      <w:r w:rsidRPr="00194E8E">
        <w:rPr>
          <w:rFonts w:asciiTheme="minorHAnsi" w:hAnsiTheme="minorHAnsi"/>
        </w:rPr>
        <w:t xml:space="preserve"> w sprawach polskich</w:t>
      </w:r>
      <w:r w:rsidRPr="00194E8E">
        <w:rPr>
          <w:rFonts w:asciiTheme="minorHAnsi" w:hAnsiTheme="minorHAnsi"/>
          <w:bCs/>
        </w:rPr>
        <w:t xml:space="preserve"> (w tym </w:t>
      </w:r>
      <w:r w:rsidRPr="00194E8E">
        <w:rPr>
          <w:rFonts w:asciiTheme="minorHAnsi" w:eastAsiaTheme="minorHAnsi" w:hAnsiTheme="minorHAnsi" w:cstheme="minorBidi"/>
          <w:lang w:eastAsia="en-US"/>
        </w:rPr>
        <w:t>w</w:t>
      </w:r>
      <w:r w:rsidR="005A00BF" w:rsidRPr="00194E8E">
        <w:rPr>
          <w:rFonts w:asciiTheme="minorHAnsi" w:eastAsiaTheme="minorHAnsi" w:hAnsiTheme="minorHAnsi" w:cstheme="minorBidi"/>
          <w:lang w:eastAsia="en-US"/>
        </w:rPr>
        <w:t xml:space="preserve"> </w:t>
      </w:r>
      <w:r w:rsidRPr="00194E8E">
        <w:rPr>
          <w:rFonts w:asciiTheme="minorHAnsi" w:eastAsiaTheme="minorHAnsi" w:hAnsiTheme="minorHAnsi" w:cstheme="minorBidi"/>
          <w:lang w:eastAsia="en-US"/>
        </w:rPr>
        <w:t>s</w:t>
      </w:r>
      <w:r w:rsidR="005A00BF" w:rsidRPr="00194E8E">
        <w:rPr>
          <w:rFonts w:asciiTheme="minorHAnsi" w:eastAsiaTheme="minorHAnsi" w:hAnsiTheme="minorHAnsi" w:cstheme="minorBidi"/>
          <w:lang w:eastAsia="en-US"/>
        </w:rPr>
        <w:t>prawie</w:t>
      </w:r>
      <w:r w:rsidRPr="00194E8E">
        <w:rPr>
          <w:rFonts w:asciiTheme="minorHAnsi" w:eastAsiaTheme="minorHAnsi" w:hAnsiTheme="minorHAnsi" w:cstheme="minorBidi"/>
          <w:lang w:eastAsia="en-US"/>
        </w:rPr>
        <w:t xml:space="preserve"> 10 wyroków i 25 decyzji zatwierdzających ugody</w:t>
      </w:r>
      <w:r w:rsidRPr="00194E8E">
        <w:rPr>
          <w:rFonts w:asciiTheme="minorHAnsi" w:hAnsiTheme="minorHAnsi"/>
          <w:bCs/>
        </w:rPr>
        <w:t>)</w:t>
      </w:r>
      <w:r w:rsidRPr="00194E8E">
        <w:rPr>
          <w:rFonts w:asciiTheme="minorHAnsi" w:hAnsiTheme="minorHAnsi"/>
        </w:rPr>
        <w:t>, uznając, że</w:t>
      </w:r>
      <w:r w:rsidR="00494B9D">
        <w:rPr>
          <w:rFonts w:asciiTheme="minorHAnsi" w:hAnsiTheme="minorHAnsi"/>
        </w:rPr>
        <w:t xml:space="preserve"> </w:t>
      </w:r>
      <w:r w:rsidRPr="00194E8E">
        <w:rPr>
          <w:rFonts w:asciiTheme="minorHAnsi" w:hAnsiTheme="minorHAnsi"/>
        </w:rPr>
        <w:t xml:space="preserve">Polska podjęła niezbędne do ich wykonania środki indywidualne lub generalne celem usunięcia stanu naruszeń Konwencji i ich źródeł (dla porównania w 2020 r. nadzór został zamknięty w 31 sprawach, w 2019 r. – w 41, a w 2014 r. – 357). </w:t>
      </w:r>
    </w:p>
    <w:p w:rsidR="00260C5C" w:rsidRPr="00194E8E" w:rsidRDefault="00260C5C" w:rsidP="003263ED">
      <w:pPr>
        <w:spacing w:after="120"/>
        <w:jc w:val="both"/>
        <w:rPr>
          <w:rFonts w:asciiTheme="minorHAnsi" w:hAnsiTheme="minorHAnsi"/>
        </w:rPr>
      </w:pPr>
      <w:r w:rsidRPr="00194E8E">
        <w:rPr>
          <w:rFonts w:asciiTheme="minorHAnsi" w:hAnsiTheme="minorHAnsi"/>
        </w:rPr>
        <w:t xml:space="preserve">Polska tym samym znalazła się na </w:t>
      </w:r>
      <w:r w:rsidRPr="00194E8E">
        <w:rPr>
          <w:rFonts w:asciiTheme="minorHAnsi" w:hAnsiTheme="minorHAnsi"/>
          <w:b/>
        </w:rPr>
        <w:t>11</w:t>
      </w:r>
      <w:r w:rsidRPr="00194E8E">
        <w:rPr>
          <w:rFonts w:asciiTheme="minorHAnsi" w:hAnsiTheme="minorHAnsi"/>
        </w:rPr>
        <w:t xml:space="preserve"> miejscu wśród państw RE pod względem liczby spraw wykonanych w ubiegłym roku (w 2020 r. była pod tym względem na 9 pozycji).</w:t>
      </w:r>
      <w:r w:rsidRPr="00194E8E">
        <w:rPr>
          <w:rFonts w:asciiTheme="minorHAnsi" w:eastAsiaTheme="minorHAnsi" w:hAnsiTheme="minorHAnsi" w:cstheme="minorBidi"/>
          <w:lang w:eastAsia="en-US"/>
        </w:rPr>
        <w:t xml:space="preserve"> </w:t>
      </w:r>
      <w:r w:rsidRPr="00194E8E">
        <w:rPr>
          <w:rFonts w:asciiTheme="minorHAnsi" w:hAnsiTheme="minorHAnsi"/>
        </w:rPr>
        <w:t xml:space="preserve">Najwięcej </w:t>
      </w:r>
      <w:r w:rsidRPr="00194E8E">
        <w:rPr>
          <w:rFonts w:asciiTheme="minorHAnsi" w:hAnsiTheme="minorHAnsi"/>
        </w:rPr>
        <w:lastRenderedPageBreak/>
        <w:t>spraw w nadzorze KM zamknięto wobec Turcji (222), Rosji (133), Ukrainy (126), Włoch (73), Węgier (66), Grecji (57), Bułgarii (49), Rumunii (45), Chorwacji (41) i Mołdawii (40).</w:t>
      </w:r>
    </w:p>
    <w:p w:rsidR="00260C5C" w:rsidRPr="00194E8E" w:rsidRDefault="00260C5C" w:rsidP="003263ED">
      <w:pPr>
        <w:numPr>
          <w:ilvl w:val="1"/>
          <w:numId w:val="28"/>
        </w:numPr>
        <w:spacing w:before="240" w:after="120"/>
        <w:ind w:left="709" w:hanging="425"/>
        <w:jc w:val="both"/>
        <w:rPr>
          <w:rFonts w:asciiTheme="minorHAnsi" w:hAnsiTheme="minorHAnsi"/>
          <w:i/>
        </w:rPr>
      </w:pPr>
      <w:r w:rsidRPr="00194E8E">
        <w:rPr>
          <w:rFonts w:asciiTheme="minorHAnsi" w:hAnsiTheme="minorHAnsi"/>
          <w:i/>
        </w:rPr>
        <w:t>Sprawy znajdujące się w fazie wykonywania</w:t>
      </w:r>
    </w:p>
    <w:p w:rsidR="00260C5C" w:rsidRPr="00194E8E" w:rsidRDefault="00260C5C" w:rsidP="003263ED">
      <w:pPr>
        <w:spacing w:after="120"/>
        <w:jc w:val="both"/>
        <w:rPr>
          <w:rFonts w:asciiTheme="minorHAnsi" w:hAnsiTheme="minorHAnsi"/>
        </w:rPr>
      </w:pPr>
      <w:r w:rsidRPr="00194E8E">
        <w:rPr>
          <w:rFonts w:asciiTheme="minorHAnsi" w:hAnsiTheme="minorHAnsi"/>
        </w:rPr>
        <w:t xml:space="preserve">Na koniec 2021 r. liczba orzeczeń </w:t>
      </w:r>
      <w:r w:rsidR="00BA13ED">
        <w:rPr>
          <w:rFonts w:asciiTheme="minorHAnsi" w:hAnsiTheme="minorHAnsi"/>
        </w:rPr>
        <w:t>ETPC</w:t>
      </w:r>
      <w:r w:rsidRPr="00194E8E">
        <w:rPr>
          <w:rFonts w:asciiTheme="minorHAnsi" w:hAnsiTheme="minorHAnsi"/>
        </w:rPr>
        <w:t xml:space="preserve"> przeciwko Polsce znajdujących się w procedurze wykonywania Komitetu Ministrów Rady Europy wzrosła do </w:t>
      </w:r>
      <w:r w:rsidRPr="00194E8E">
        <w:rPr>
          <w:rFonts w:asciiTheme="minorHAnsi" w:hAnsiTheme="minorHAnsi"/>
          <w:b/>
        </w:rPr>
        <w:t xml:space="preserve">97 </w:t>
      </w:r>
      <w:r w:rsidRPr="00194E8E">
        <w:rPr>
          <w:rFonts w:asciiTheme="minorHAnsi" w:hAnsiTheme="minorHAnsi"/>
          <w:b/>
          <w:bCs/>
        </w:rPr>
        <w:t>orzeczeń wymagających wykonania</w:t>
      </w:r>
      <w:r w:rsidRPr="00194E8E">
        <w:rPr>
          <w:rFonts w:asciiTheme="minorHAnsi" w:hAnsiTheme="minorHAnsi"/>
        </w:rPr>
        <w:t xml:space="preserve"> </w:t>
      </w:r>
      <w:r w:rsidR="00494B9D">
        <w:rPr>
          <w:rFonts w:asciiTheme="minorHAnsi" w:eastAsiaTheme="minorHAnsi" w:hAnsiTheme="minorHAnsi" w:cstheme="minorBidi"/>
          <w:lang w:eastAsia="en-US"/>
        </w:rPr>
        <w:t xml:space="preserve">(w tym 78 wyroków i </w:t>
      </w:r>
      <w:r w:rsidRPr="00194E8E">
        <w:rPr>
          <w:rFonts w:asciiTheme="minorHAnsi" w:eastAsiaTheme="minorHAnsi" w:hAnsiTheme="minorHAnsi" w:cstheme="minorBidi"/>
          <w:lang w:eastAsia="en-US"/>
        </w:rPr>
        <w:t>19</w:t>
      </w:r>
      <w:r w:rsidR="00494B9D">
        <w:rPr>
          <w:rFonts w:asciiTheme="minorHAnsi" w:eastAsiaTheme="minorHAnsi" w:hAnsiTheme="minorHAnsi" w:cstheme="minorBidi"/>
          <w:lang w:eastAsia="en-US"/>
        </w:rPr>
        <w:t xml:space="preserve"> </w:t>
      </w:r>
      <w:r w:rsidRPr="00194E8E">
        <w:rPr>
          <w:rFonts w:asciiTheme="minorHAnsi" w:eastAsiaTheme="minorHAnsi" w:hAnsiTheme="minorHAnsi" w:cstheme="minorBidi"/>
          <w:lang w:eastAsia="en-US"/>
        </w:rPr>
        <w:t>decyzji zatwierdzających ugody; 23 wyroki dotyczyły przewlekłości postępowań sądowych),</w:t>
      </w:r>
      <w:r w:rsidRPr="00194E8E">
        <w:rPr>
          <w:rFonts w:asciiTheme="minorHAnsi" w:hAnsiTheme="minorHAnsi"/>
        </w:rPr>
        <w:t xml:space="preserve"> a więc wyniosła o 8 spraw więcej niż na koniec 2020 r., kiedy sięgała 89</w:t>
      </w:r>
      <w:r w:rsidR="00261901">
        <w:rPr>
          <w:rFonts w:asciiTheme="minorHAnsi" w:hAnsiTheme="minorHAnsi"/>
        </w:rPr>
        <w:t xml:space="preserve"> </w:t>
      </w:r>
      <w:r w:rsidRPr="00194E8E">
        <w:rPr>
          <w:rFonts w:asciiTheme="minorHAnsi" w:hAnsiTheme="minorHAnsi"/>
          <w:bCs/>
        </w:rPr>
        <w:t>orzeczeń</w:t>
      </w:r>
      <w:r w:rsidR="00261901">
        <w:rPr>
          <w:rFonts w:asciiTheme="minorHAnsi" w:hAnsiTheme="minorHAnsi"/>
          <w:bCs/>
        </w:rPr>
        <w:t xml:space="preserve"> </w:t>
      </w:r>
      <w:r w:rsidRPr="00194E8E">
        <w:rPr>
          <w:rFonts w:asciiTheme="minorHAnsi" w:hAnsiTheme="minorHAnsi"/>
        </w:rPr>
        <w:t>(w tym 72 wyrok</w:t>
      </w:r>
      <w:r w:rsidR="00B0346B" w:rsidRPr="00194E8E">
        <w:rPr>
          <w:rFonts w:asciiTheme="minorHAnsi" w:hAnsiTheme="minorHAnsi"/>
        </w:rPr>
        <w:t>i</w:t>
      </w:r>
      <w:r w:rsidRPr="00194E8E">
        <w:rPr>
          <w:rFonts w:asciiTheme="minorHAnsi" w:hAnsiTheme="minorHAnsi"/>
        </w:rPr>
        <w:t xml:space="preserve"> i 17 decyzji zatwierdzających ugody). Dla porównania 98 spraw było zawisłych przed Komitetem Ministrów na koniec 2019 r., 100 – na koniec 2018 r., 124 – na koniec 2017 r., 223 – na koniec 2016 r., 313 – na koniec 2015 r., a w 2011 r. – ponad 900).</w:t>
      </w:r>
    </w:p>
    <w:p w:rsidR="00260C5C" w:rsidRPr="00194E8E" w:rsidRDefault="00260C5C" w:rsidP="003263ED">
      <w:pPr>
        <w:spacing w:after="120"/>
        <w:jc w:val="both"/>
        <w:rPr>
          <w:rFonts w:asciiTheme="minorHAnsi" w:eastAsiaTheme="minorHAnsi" w:hAnsiTheme="minorHAnsi" w:cstheme="minorBidi"/>
          <w:lang w:eastAsia="en-US"/>
        </w:rPr>
      </w:pPr>
      <w:r w:rsidRPr="00194E8E">
        <w:rPr>
          <w:rFonts w:asciiTheme="minorHAnsi" w:hAnsiTheme="minorHAnsi"/>
        </w:rPr>
        <w:t xml:space="preserve">Polska znalazła się na </w:t>
      </w:r>
      <w:r w:rsidRPr="00194E8E">
        <w:rPr>
          <w:rFonts w:asciiTheme="minorHAnsi" w:hAnsiTheme="minorHAnsi"/>
          <w:b/>
        </w:rPr>
        <w:t>10 miejscu</w:t>
      </w:r>
      <w:r w:rsidRPr="00194E8E">
        <w:rPr>
          <w:rFonts w:asciiTheme="minorHAnsi" w:hAnsiTheme="minorHAnsi"/>
        </w:rPr>
        <w:t xml:space="preserve"> wśród państw Rady Europy pod względem liczby orzeczeń w fazie wykonywania i odpowiadała za ok. 1,7 % wszystkich spraw zawisłych w procedurze wykonywania orzeczeń </w:t>
      </w:r>
      <w:r w:rsidR="00BA13ED">
        <w:rPr>
          <w:rFonts w:asciiTheme="minorHAnsi" w:hAnsiTheme="minorHAnsi"/>
        </w:rPr>
        <w:t>ETPC</w:t>
      </w:r>
      <w:r w:rsidRPr="00194E8E">
        <w:rPr>
          <w:rFonts w:asciiTheme="minorHAnsi" w:hAnsiTheme="minorHAnsi"/>
        </w:rPr>
        <w:t xml:space="preserve"> (takich spraw na koniec 2021 r. było łącznie 5527). </w:t>
      </w:r>
      <w:r w:rsidRPr="00194E8E">
        <w:rPr>
          <w:rFonts w:asciiTheme="minorHAnsi" w:eastAsiaTheme="minorHAnsi" w:hAnsiTheme="minorHAnsi" w:cstheme="minorBidi"/>
          <w:lang w:eastAsia="en-US"/>
        </w:rPr>
        <w:t>Różnica pomiędzy Polską a</w:t>
      </w:r>
      <w:r w:rsidR="00494B9D">
        <w:rPr>
          <w:rFonts w:asciiTheme="minorHAnsi" w:eastAsiaTheme="minorHAnsi" w:hAnsiTheme="minorHAnsi" w:cstheme="minorBidi"/>
          <w:lang w:eastAsia="en-US"/>
        </w:rPr>
        <w:t xml:space="preserve"> </w:t>
      </w:r>
      <w:r w:rsidRPr="00194E8E">
        <w:rPr>
          <w:rFonts w:asciiTheme="minorHAnsi" w:eastAsiaTheme="minorHAnsi" w:hAnsiTheme="minorHAnsi" w:cstheme="minorBidi"/>
          <w:lang w:eastAsia="en-US"/>
        </w:rPr>
        <w:t xml:space="preserve">Grecją, znajdującą się na 11 miejscu, wynosiła </w:t>
      </w:r>
      <w:r w:rsidR="006422A5" w:rsidRPr="00194E8E">
        <w:rPr>
          <w:rFonts w:asciiTheme="minorHAnsi" w:eastAsiaTheme="minorHAnsi" w:hAnsiTheme="minorHAnsi" w:cstheme="minorBidi"/>
          <w:lang w:eastAsia="en-US"/>
        </w:rPr>
        <w:t xml:space="preserve">4 </w:t>
      </w:r>
      <w:r w:rsidRPr="00194E8E">
        <w:rPr>
          <w:rFonts w:asciiTheme="minorHAnsi" w:eastAsiaTheme="minorHAnsi" w:hAnsiTheme="minorHAnsi" w:cstheme="minorBidi"/>
          <w:lang w:eastAsia="en-US"/>
        </w:rPr>
        <w:t>orzecze</w:t>
      </w:r>
      <w:r w:rsidR="006422A5" w:rsidRPr="00194E8E">
        <w:rPr>
          <w:rFonts w:asciiTheme="minorHAnsi" w:eastAsiaTheme="minorHAnsi" w:hAnsiTheme="minorHAnsi" w:cstheme="minorBidi"/>
          <w:lang w:eastAsia="en-US"/>
        </w:rPr>
        <w:t>nia</w:t>
      </w:r>
      <w:r w:rsidRPr="00194E8E">
        <w:rPr>
          <w:rFonts w:asciiTheme="minorHAnsi" w:eastAsiaTheme="minorHAnsi" w:hAnsiTheme="minorHAnsi" w:cstheme="minorBidi"/>
          <w:lang w:eastAsia="en-US"/>
        </w:rPr>
        <w:t xml:space="preserve">, podczas gdy znajdujące się na 8-9 miejscu Bułgaria i Włochy miały w wykonywaniu </w:t>
      </w:r>
      <w:r w:rsidR="006422A5" w:rsidRPr="00194E8E">
        <w:rPr>
          <w:rFonts w:asciiTheme="minorHAnsi" w:eastAsiaTheme="minorHAnsi" w:hAnsiTheme="minorHAnsi" w:cstheme="minorBidi"/>
          <w:lang w:eastAsia="en-US"/>
        </w:rPr>
        <w:t>73</w:t>
      </w:r>
      <w:r w:rsidRPr="00194E8E">
        <w:rPr>
          <w:rFonts w:asciiTheme="minorHAnsi" w:eastAsiaTheme="minorHAnsi" w:hAnsiTheme="minorHAnsi" w:cstheme="minorBidi"/>
          <w:lang w:eastAsia="en-US"/>
        </w:rPr>
        <w:t xml:space="preserve"> orzecze</w:t>
      </w:r>
      <w:r w:rsidR="006422A5" w:rsidRPr="00194E8E">
        <w:rPr>
          <w:rFonts w:asciiTheme="minorHAnsi" w:eastAsiaTheme="minorHAnsi" w:hAnsiTheme="minorHAnsi" w:cstheme="minorBidi"/>
          <w:lang w:eastAsia="en-US"/>
        </w:rPr>
        <w:t>nia</w:t>
      </w:r>
      <w:r w:rsidRPr="00194E8E">
        <w:rPr>
          <w:rFonts w:asciiTheme="minorHAnsi" w:eastAsiaTheme="minorHAnsi" w:hAnsiTheme="minorHAnsi" w:cstheme="minorBidi"/>
          <w:lang w:eastAsia="en-US"/>
        </w:rPr>
        <w:t xml:space="preserve"> więcej niż Polska.</w:t>
      </w:r>
    </w:p>
    <w:p w:rsidR="00260C5C" w:rsidRPr="00194E8E" w:rsidRDefault="00260C5C" w:rsidP="003263ED">
      <w:pPr>
        <w:spacing w:after="120"/>
        <w:jc w:val="both"/>
        <w:rPr>
          <w:rFonts w:asciiTheme="minorHAnsi" w:hAnsiTheme="minorHAnsi"/>
        </w:rPr>
      </w:pPr>
      <w:r w:rsidRPr="00194E8E">
        <w:rPr>
          <w:rFonts w:asciiTheme="minorHAnsi" w:hAnsiTheme="minorHAnsi"/>
        </w:rPr>
        <w:t>Najwięcej orzeczeń wymagających wykonania miały na koniec 2021 r.: Rosja (</w:t>
      </w:r>
      <w:r w:rsidR="003051F8" w:rsidRPr="00194E8E">
        <w:rPr>
          <w:rFonts w:asciiTheme="minorHAnsi" w:hAnsiTheme="minorHAnsi"/>
        </w:rPr>
        <w:t>1942</w:t>
      </w:r>
      <w:r w:rsidRPr="00194E8E">
        <w:rPr>
          <w:rFonts w:asciiTheme="minorHAnsi" w:hAnsiTheme="minorHAnsi"/>
        </w:rPr>
        <w:t>), Ukraina (63</w:t>
      </w:r>
      <w:r w:rsidR="003051F8" w:rsidRPr="00194E8E">
        <w:rPr>
          <w:rFonts w:asciiTheme="minorHAnsi" w:hAnsiTheme="minorHAnsi"/>
        </w:rPr>
        <w:t>8</w:t>
      </w:r>
      <w:r w:rsidRPr="00194E8E">
        <w:rPr>
          <w:rFonts w:asciiTheme="minorHAnsi" w:hAnsiTheme="minorHAnsi"/>
        </w:rPr>
        <w:t>), Turcja (</w:t>
      </w:r>
      <w:r w:rsidR="003051F8" w:rsidRPr="00194E8E">
        <w:rPr>
          <w:rFonts w:asciiTheme="minorHAnsi" w:hAnsiTheme="minorHAnsi"/>
        </w:rPr>
        <w:t>510</w:t>
      </w:r>
      <w:r w:rsidRPr="00194E8E">
        <w:rPr>
          <w:rFonts w:asciiTheme="minorHAnsi" w:hAnsiTheme="minorHAnsi"/>
        </w:rPr>
        <w:t>), Rumunia (</w:t>
      </w:r>
      <w:r w:rsidR="003051F8" w:rsidRPr="00194E8E">
        <w:rPr>
          <w:rFonts w:asciiTheme="minorHAnsi" w:hAnsiTheme="minorHAnsi"/>
        </w:rPr>
        <w:t>409</w:t>
      </w:r>
      <w:r w:rsidRPr="00194E8E">
        <w:rPr>
          <w:rFonts w:asciiTheme="minorHAnsi" w:hAnsiTheme="minorHAnsi"/>
        </w:rPr>
        <w:t>), Azerbejdżan (</w:t>
      </w:r>
      <w:r w:rsidR="003051F8" w:rsidRPr="00194E8E">
        <w:rPr>
          <w:rFonts w:asciiTheme="minorHAnsi" w:hAnsiTheme="minorHAnsi"/>
        </w:rPr>
        <w:t>271</w:t>
      </w:r>
      <w:r w:rsidRPr="00194E8E">
        <w:rPr>
          <w:rFonts w:asciiTheme="minorHAnsi" w:hAnsiTheme="minorHAnsi"/>
        </w:rPr>
        <w:t>), Węgry (</w:t>
      </w:r>
      <w:r w:rsidR="003051F8" w:rsidRPr="00194E8E">
        <w:rPr>
          <w:rFonts w:asciiTheme="minorHAnsi" w:hAnsiTheme="minorHAnsi"/>
        </w:rPr>
        <w:t>265</w:t>
      </w:r>
      <w:r w:rsidRPr="00194E8E">
        <w:rPr>
          <w:rFonts w:asciiTheme="minorHAnsi" w:hAnsiTheme="minorHAnsi"/>
        </w:rPr>
        <w:t>), Mołdawia (</w:t>
      </w:r>
      <w:r w:rsidR="003051F8" w:rsidRPr="00194E8E">
        <w:rPr>
          <w:rFonts w:asciiTheme="minorHAnsi" w:hAnsiTheme="minorHAnsi"/>
        </w:rPr>
        <w:t xml:space="preserve">170) i </w:t>
      </w:r>
      <w:r w:rsidRPr="00194E8E">
        <w:rPr>
          <w:rFonts w:asciiTheme="minorHAnsi" w:hAnsiTheme="minorHAnsi"/>
        </w:rPr>
        <w:t>Włochy (</w:t>
      </w:r>
      <w:r w:rsidR="003051F8" w:rsidRPr="00194E8E">
        <w:rPr>
          <w:rFonts w:asciiTheme="minorHAnsi" w:hAnsiTheme="minorHAnsi"/>
        </w:rPr>
        <w:t>170</w:t>
      </w:r>
      <w:r w:rsidRPr="00194E8E">
        <w:rPr>
          <w:rFonts w:asciiTheme="minorHAnsi" w:hAnsiTheme="minorHAnsi"/>
        </w:rPr>
        <w:t>), Bułgaria (</w:t>
      </w:r>
      <w:r w:rsidR="003051F8" w:rsidRPr="00194E8E">
        <w:rPr>
          <w:rFonts w:asciiTheme="minorHAnsi" w:hAnsiTheme="minorHAnsi"/>
        </w:rPr>
        <w:t>164</w:t>
      </w:r>
      <w:r w:rsidRPr="00194E8E">
        <w:rPr>
          <w:rFonts w:asciiTheme="minorHAnsi" w:hAnsiTheme="minorHAnsi"/>
        </w:rPr>
        <w:t xml:space="preserve">), </w:t>
      </w:r>
      <w:r w:rsidR="006422A5" w:rsidRPr="00194E8E">
        <w:rPr>
          <w:rFonts w:asciiTheme="minorHAnsi" w:hAnsiTheme="minorHAnsi"/>
        </w:rPr>
        <w:t xml:space="preserve">Polska (97) i </w:t>
      </w:r>
      <w:r w:rsidRPr="00194E8E">
        <w:rPr>
          <w:rFonts w:asciiTheme="minorHAnsi" w:hAnsiTheme="minorHAnsi"/>
        </w:rPr>
        <w:t>Grecja (</w:t>
      </w:r>
      <w:r w:rsidR="003051F8" w:rsidRPr="00194E8E">
        <w:rPr>
          <w:rFonts w:asciiTheme="minorHAnsi" w:hAnsiTheme="minorHAnsi"/>
        </w:rPr>
        <w:t>93</w:t>
      </w:r>
      <w:r w:rsidRPr="00194E8E">
        <w:rPr>
          <w:rFonts w:asciiTheme="minorHAnsi" w:hAnsiTheme="minorHAnsi"/>
        </w:rPr>
        <w:t xml:space="preserve">).  </w:t>
      </w:r>
    </w:p>
    <w:p w:rsidR="00260C5C" w:rsidRPr="00194E8E" w:rsidRDefault="00260C5C" w:rsidP="003263ED">
      <w:pPr>
        <w:numPr>
          <w:ilvl w:val="0"/>
          <w:numId w:val="9"/>
        </w:numPr>
        <w:spacing w:before="240" w:after="120"/>
        <w:ind w:left="709" w:hanging="425"/>
        <w:jc w:val="both"/>
        <w:rPr>
          <w:rFonts w:asciiTheme="minorHAnsi" w:hAnsiTheme="minorHAnsi"/>
          <w:b/>
        </w:rPr>
      </w:pPr>
      <w:r w:rsidRPr="00194E8E">
        <w:rPr>
          <w:rFonts w:asciiTheme="minorHAnsi" w:hAnsiTheme="minorHAnsi"/>
          <w:b/>
        </w:rPr>
        <w:t>Zbiorcze statystyki dotyczące wszystkich państw Rady Europy</w:t>
      </w:r>
    </w:p>
    <w:p w:rsidR="00260C5C" w:rsidRPr="00194E8E" w:rsidRDefault="00260C5C" w:rsidP="003263ED">
      <w:pPr>
        <w:spacing w:after="120"/>
        <w:jc w:val="both"/>
        <w:rPr>
          <w:rFonts w:asciiTheme="minorHAnsi" w:hAnsiTheme="minorHAnsi"/>
        </w:rPr>
      </w:pPr>
      <w:r w:rsidRPr="00194E8E">
        <w:rPr>
          <w:rFonts w:asciiTheme="minorHAnsi" w:hAnsiTheme="minorHAnsi"/>
        </w:rPr>
        <w:t xml:space="preserve">Biorąc pod uwagę statystyki dotyczące wszystkich 47 państw Rady Europy, liczba wszystkich </w:t>
      </w:r>
      <w:r w:rsidRPr="00194E8E">
        <w:rPr>
          <w:rFonts w:asciiTheme="minorHAnsi" w:hAnsiTheme="minorHAnsi"/>
          <w:b/>
        </w:rPr>
        <w:t>nowych skarg</w:t>
      </w:r>
      <w:r w:rsidRPr="00194E8E">
        <w:rPr>
          <w:rFonts w:asciiTheme="minorHAnsi" w:hAnsiTheme="minorHAnsi"/>
        </w:rPr>
        <w:t xml:space="preserve"> przydzielonych do rozpoznania </w:t>
      </w:r>
      <w:r w:rsidR="009D524C">
        <w:rPr>
          <w:rFonts w:asciiTheme="minorHAnsi" w:hAnsiTheme="minorHAnsi"/>
        </w:rPr>
        <w:t>ETPC</w:t>
      </w:r>
      <w:r w:rsidRPr="00194E8E">
        <w:rPr>
          <w:rFonts w:asciiTheme="minorHAnsi" w:hAnsiTheme="minorHAnsi"/>
        </w:rPr>
        <w:t xml:space="preserve"> wyniosła w 2021 r </w:t>
      </w:r>
      <w:r w:rsidRPr="00194E8E">
        <w:rPr>
          <w:rFonts w:asciiTheme="minorHAnsi" w:hAnsiTheme="minorHAnsi"/>
          <w:b/>
        </w:rPr>
        <w:t>44,2 tysiąca</w:t>
      </w:r>
      <w:r w:rsidRPr="00194E8E">
        <w:rPr>
          <w:rFonts w:asciiTheme="minorHAnsi" w:hAnsiTheme="minorHAnsi"/>
        </w:rPr>
        <w:t xml:space="preserve"> (a więc o 6% więcej niż w 2020 r., gdy liczba nowych skarg sięgnęła r. 41,7 tysiąca, a była na podobnym poziomie jak w 2019 r. </w:t>
      </w:r>
      <w:r w:rsidR="003B06E2">
        <w:rPr>
          <w:rFonts w:asciiTheme="minorHAnsi" w:hAnsiTheme="minorHAnsi"/>
        </w:rPr>
        <w:t>–</w:t>
      </w:r>
      <w:r w:rsidRPr="00194E8E">
        <w:rPr>
          <w:rFonts w:asciiTheme="minorHAnsi" w:hAnsiTheme="minorHAnsi"/>
        </w:rPr>
        <w:t xml:space="preserve"> 44,5 tysiąca, dla porównania w 2017 r. wynosiła prawie 63,5 tysiąca nowych skarg). Od 2018 r. liczba napływających nowych skarg do </w:t>
      </w:r>
      <w:r w:rsidR="009D524C">
        <w:rPr>
          <w:rFonts w:asciiTheme="minorHAnsi" w:hAnsiTheme="minorHAnsi"/>
        </w:rPr>
        <w:t>ETPC</w:t>
      </w:r>
      <w:r w:rsidRPr="00194E8E">
        <w:rPr>
          <w:rFonts w:asciiTheme="minorHAnsi" w:hAnsiTheme="minorHAnsi"/>
        </w:rPr>
        <w:t xml:space="preserve"> ustabilizowała się na poziomie ok. 40-45 tysięcy rocznie. Prawie dwie trzecie nowych skarg (27,1 tysiąca) wniesionych w 2021 r. zostało wstępnie zakwalifikowane jako skargi oczywiście niedopuszczalne i przydzielone do rozpoznania w składzie jednego sędziego. </w:t>
      </w:r>
    </w:p>
    <w:p w:rsidR="00260C5C" w:rsidRPr="00194E8E" w:rsidRDefault="00260C5C" w:rsidP="003263ED">
      <w:pPr>
        <w:spacing w:after="120"/>
        <w:jc w:val="both"/>
        <w:rPr>
          <w:rFonts w:asciiTheme="minorHAnsi" w:hAnsiTheme="minorHAnsi"/>
        </w:rPr>
      </w:pPr>
      <w:r w:rsidRPr="00194E8E">
        <w:rPr>
          <w:rFonts w:asciiTheme="minorHAnsi" w:hAnsiTheme="minorHAnsi"/>
        </w:rPr>
        <w:t xml:space="preserve">W porównaniu do 2021 r. spadła o 8% liczba skarg rozstrzygniętych przez </w:t>
      </w:r>
      <w:r w:rsidR="009D524C">
        <w:rPr>
          <w:rFonts w:asciiTheme="minorHAnsi" w:hAnsiTheme="minorHAnsi"/>
        </w:rPr>
        <w:t>ETPC</w:t>
      </w:r>
      <w:r w:rsidRPr="00194E8E">
        <w:rPr>
          <w:rFonts w:asciiTheme="minorHAnsi" w:hAnsiTheme="minorHAnsi"/>
        </w:rPr>
        <w:t xml:space="preserve">: w 2021 r. </w:t>
      </w:r>
      <w:r w:rsidR="009D524C">
        <w:rPr>
          <w:rFonts w:asciiTheme="minorHAnsi" w:hAnsiTheme="minorHAnsi"/>
        </w:rPr>
        <w:t>ETPC</w:t>
      </w:r>
      <w:r w:rsidRPr="00194E8E">
        <w:rPr>
          <w:rFonts w:asciiTheme="minorHAnsi" w:hAnsiTheme="minorHAnsi"/>
        </w:rPr>
        <w:t xml:space="preserve"> </w:t>
      </w:r>
      <w:r w:rsidRPr="00194E8E">
        <w:rPr>
          <w:rFonts w:asciiTheme="minorHAnsi" w:hAnsiTheme="minorHAnsi"/>
          <w:b/>
        </w:rPr>
        <w:t>rozstrzygnął</w:t>
      </w:r>
      <w:r w:rsidRPr="00194E8E">
        <w:rPr>
          <w:rFonts w:asciiTheme="minorHAnsi" w:hAnsiTheme="minorHAnsi"/>
        </w:rPr>
        <w:t xml:space="preserve"> bowiem ok. 36 tysięcy skarg, podczas gdy w 2020 r. – prawie </w:t>
      </w:r>
      <w:r w:rsidRPr="00194E8E">
        <w:rPr>
          <w:rFonts w:asciiTheme="minorHAnsi" w:hAnsiTheme="minorHAnsi"/>
          <w:b/>
        </w:rPr>
        <w:t>39,2 tysiąca</w:t>
      </w:r>
      <w:r w:rsidRPr="00194E8E">
        <w:rPr>
          <w:rFonts w:asciiTheme="minorHAnsi" w:hAnsiTheme="minorHAnsi"/>
        </w:rPr>
        <w:t xml:space="preserve"> skarg, natomiast w 2019 r. – 40,6 tysiąca skarg, a</w:t>
      </w:r>
      <w:r w:rsidR="00A841A3">
        <w:rPr>
          <w:rFonts w:asciiTheme="minorHAnsi" w:hAnsiTheme="minorHAnsi"/>
        </w:rPr>
        <w:t xml:space="preserve"> </w:t>
      </w:r>
      <w:r w:rsidRPr="00194E8E">
        <w:rPr>
          <w:rFonts w:asciiTheme="minorHAnsi" w:hAnsiTheme="minorHAnsi"/>
        </w:rPr>
        <w:t xml:space="preserve">w 2018 r. – 42,7 tysiąca skarg. Liczba skarg rozstrzygniętych w 2021 r. była także o ponad połowę niższa niż 2017 r., kiedy to </w:t>
      </w:r>
      <w:r w:rsidR="009D524C">
        <w:rPr>
          <w:rFonts w:asciiTheme="minorHAnsi" w:hAnsiTheme="minorHAnsi"/>
        </w:rPr>
        <w:t>ETPC</w:t>
      </w:r>
      <w:r w:rsidRPr="00194E8E">
        <w:rPr>
          <w:rFonts w:asciiTheme="minorHAnsi" w:hAnsiTheme="minorHAnsi"/>
        </w:rPr>
        <w:t xml:space="preserve"> wydał rozstrzygnięcia w sprawie ok. 86 tysięcy skarg (tamta liczba wynikała jednak z faktu, że w 2017</w:t>
      </w:r>
      <w:r w:rsidR="009D524C" w:rsidRPr="00194E8E">
        <w:rPr>
          <w:rFonts w:asciiTheme="minorHAnsi" w:hAnsiTheme="minorHAnsi"/>
        </w:rPr>
        <w:t> </w:t>
      </w:r>
      <w:r w:rsidRPr="00194E8E">
        <w:rPr>
          <w:rFonts w:asciiTheme="minorHAnsi" w:hAnsiTheme="minorHAnsi"/>
        </w:rPr>
        <w:t xml:space="preserve">r. </w:t>
      </w:r>
      <w:r w:rsidR="009D524C">
        <w:rPr>
          <w:rFonts w:asciiTheme="minorHAnsi" w:hAnsiTheme="minorHAnsi"/>
        </w:rPr>
        <w:t>ETPC</w:t>
      </w:r>
      <w:r w:rsidRPr="00194E8E">
        <w:rPr>
          <w:rFonts w:asciiTheme="minorHAnsi" w:hAnsiTheme="minorHAnsi"/>
        </w:rPr>
        <w:t xml:space="preserve"> zastosował szczególne tryby rozstrzygania, przekazując bardzo duże grupy skarg do procedur krajowych lub do Komitetu Ministrów RE). Można zatem odnotować, że od 2017</w:t>
      </w:r>
      <w:r w:rsidR="009D524C" w:rsidRPr="00194E8E">
        <w:rPr>
          <w:rFonts w:asciiTheme="minorHAnsi" w:hAnsiTheme="minorHAnsi"/>
        </w:rPr>
        <w:t> </w:t>
      </w:r>
      <w:r w:rsidRPr="00194E8E">
        <w:rPr>
          <w:rFonts w:asciiTheme="minorHAnsi" w:hAnsiTheme="minorHAnsi"/>
        </w:rPr>
        <w:t xml:space="preserve">r. liczba spraw zamykanych rocznie przez </w:t>
      </w:r>
      <w:r w:rsidR="009D524C">
        <w:rPr>
          <w:rFonts w:asciiTheme="minorHAnsi" w:hAnsiTheme="minorHAnsi"/>
        </w:rPr>
        <w:t>ETPC</w:t>
      </w:r>
      <w:r w:rsidRPr="00194E8E">
        <w:rPr>
          <w:rFonts w:asciiTheme="minorHAnsi" w:hAnsiTheme="minorHAnsi"/>
        </w:rPr>
        <w:t xml:space="preserve"> systematycznie spada. </w:t>
      </w:r>
    </w:p>
    <w:p w:rsidR="00260C5C" w:rsidRPr="00194E8E" w:rsidRDefault="00260C5C" w:rsidP="003263ED">
      <w:pPr>
        <w:spacing w:after="120"/>
        <w:jc w:val="both"/>
        <w:rPr>
          <w:rFonts w:asciiTheme="minorHAnsi" w:hAnsiTheme="minorHAnsi"/>
        </w:rPr>
      </w:pPr>
      <w:r w:rsidRPr="00194E8E">
        <w:rPr>
          <w:rFonts w:asciiTheme="minorHAnsi" w:hAnsiTheme="minorHAnsi"/>
        </w:rPr>
        <w:t xml:space="preserve">Z drugiej jednak strony wzrosła o 38% liczba spraw </w:t>
      </w:r>
      <w:r w:rsidRPr="00194E8E">
        <w:rPr>
          <w:rFonts w:asciiTheme="minorHAnsi" w:hAnsiTheme="minorHAnsi"/>
          <w:b/>
        </w:rPr>
        <w:t>zakomunikowanych</w:t>
      </w:r>
      <w:r w:rsidRPr="00194E8E">
        <w:rPr>
          <w:rFonts w:asciiTheme="minorHAnsi" w:hAnsiTheme="minorHAnsi"/>
        </w:rPr>
        <w:t xml:space="preserve"> państwom przez </w:t>
      </w:r>
      <w:r w:rsidR="009D524C">
        <w:rPr>
          <w:rFonts w:asciiTheme="minorHAnsi" w:hAnsiTheme="minorHAnsi"/>
        </w:rPr>
        <w:t>ETPC</w:t>
      </w:r>
      <w:r w:rsidRPr="00194E8E">
        <w:rPr>
          <w:rFonts w:asciiTheme="minorHAnsi" w:hAnsiTheme="minorHAnsi"/>
        </w:rPr>
        <w:t>: w</w:t>
      </w:r>
      <w:r w:rsidR="009D524C">
        <w:rPr>
          <w:rFonts w:asciiTheme="minorHAnsi" w:hAnsiTheme="minorHAnsi"/>
        </w:rPr>
        <w:t xml:space="preserve"> </w:t>
      </w:r>
      <w:r w:rsidRPr="00194E8E">
        <w:rPr>
          <w:rFonts w:asciiTheme="minorHAnsi" w:hAnsiTheme="minorHAnsi"/>
        </w:rPr>
        <w:t xml:space="preserve">2021 r. </w:t>
      </w:r>
      <w:r w:rsidR="009D524C">
        <w:rPr>
          <w:rFonts w:asciiTheme="minorHAnsi" w:hAnsiTheme="minorHAnsi"/>
        </w:rPr>
        <w:t>ETPC</w:t>
      </w:r>
      <w:r w:rsidRPr="00194E8E">
        <w:rPr>
          <w:rFonts w:asciiTheme="minorHAnsi" w:hAnsiTheme="minorHAnsi"/>
        </w:rPr>
        <w:t xml:space="preserve"> wezwał państwa do zajęcia stanowiska w odniesieniu do </w:t>
      </w:r>
      <w:r w:rsidRPr="00194E8E">
        <w:rPr>
          <w:rFonts w:asciiTheme="minorHAnsi" w:hAnsiTheme="minorHAnsi"/>
          <w:b/>
        </w:rPr>
        <w:t>10,6 tysiąca</w:t>
      </w:r>
      <w:r w:rsidRPr="00194E8E">
        <w:rPr>
          <w:rFonts w:asciiTheme="minorHAnsi" w:hAnsiTheme="minorHAnsi"/>
        </w:rPr>
        <w:t xml:space="preserve"> skarg, podczas gdy w 2020 r. liczba zakomunikowanych skarg wynosiła 7681, a w 2019</w:t>
      </w:r>
      <w:r w:rsidR="009D524C" w:rsidRPr="00194E8E">
        <w:rPr>
          <w:rFonts w:asciiTheme="minorHAnsi" w:hAnsiTheme="minorHAnsi"/>
        </w:rPr>
        <w:t> </w:t>
      </w:r>
      <w:r w:rsidRPr="00194E8E">
        <w:rPr>
          <w:rFonts w:asciiTheme="minorHAnsi" w:hAnsiTheme="minorHAnsi"/>
        </w:rPr>
        <w:t>r. – 6442.</w:t>
      </w:r>
    </w:p>
    <w:p w:rsidR="00260C5C" w:rsidRPr="00194E8E" w:rsidRDefault="00260C5C" w:rsidP="003263ED">
      <w:pPr>
        <w:spacing w:after="120"/>
        <w:jc w:val="both"/>
        <w:rPr>
          <w:rFonts w:asciiTheme="minorHAnsi" w:hAnsiTheme="minorHAnsi"/>
        </w:rPr>
      </w:pPr>
      <w:r w:rsidRPr="00194E8E">
        <w:rPr>
          <w:rFonts w:asciiTheme="minorHAnsi" w:hAnsiTheme="minorHAnsi"/>
        </w:rPr>
        <w:t xml:space="preserve">Ogólna </w:t>
      </w:r>
      <w:r w:rsidRPr="00194E8E">
        <w:rPr>
          <w:rFonts w:asciiTheme="minorHAnsi" w:hAnsiTheme="minorHAnsi"/>
          <w:b/>
        </w:rPr>
        <w:t>liczba skarg</w:t>
      </w:r>
      <w:r w:rsidRPr="00194E8E">
        <w:rPr>
          <w:rFonts w:asciiTheme="minorHAnsi" w:hAnsiTheme="minorHAnsi"/>
        </w:rPr>
        <w:t xml:space="preserve"> </w:t>
      </w:r>
      <w:r w:rsidRPr="00194E8E">
        <w:rPr>
          <w:rFonts w:asciiTheme="minorHAnsi" w:hAnsiTheme="minorHAnsi"/>
          <w:b/>
        </w:rPr>
        <w:t>zawisłych</w:t>
      </w:r>
      <w:r w:rsidRPr="00194E8E">
        <w:rPr>
          <w:rFonts w:asciiTheme="minorHAnsi" w:hAnsiTheme="minorHAnsi"/>
        </w:rPr>
        <w:t xml:space="preserve"> przed </w:t>
      </w:r>
      <w:r w:rsidR="009D524C">
        <w:rPr>
          <w:rFonts w:asciiTheme="minorHAnsi" w:hAnsiTheme="minorHAnsi"/>
        </w:rPr>
        <w:t>ETPC</w:t>
      </w:r>
      <w:r w:rsidRPr="00194E8E">
        <w:rPr>
          <w:rFonts w:asciiTheme="minorHAnsi" w:hAnsiTheme="minorHAnsi"/>
        </w:rPr>
        <w:t xml:space="preserve"> w sprawie wszystkich państw Rady Europy na</w:t>
      </w:r>
      <w:r w:rsidR="009D524C">
        <w:rPr>
          <w:rFonts w:asciiTheme="minorHAnsi" w:hAnsiTheme="minorHAnsi"/>
        </w:rPr>
        <w:t xml:space="preserve"> </w:t>
      </w:r>
      <w:r w:rsidRPr="00194E8E">
        <w:rPr>
          <w:rFonts w:asciiTheme="minorHAnsi" w:hAnsiTheme="minorHAnsi"/>
        </w:rPr>
        <w:t xml:space="preserve">koniec 2021 r. wyniosła </w:t>
      </w:r>
      <w:r w:rsidRPr="00194E8E">
        <w:rPr>
          <w:rFonts w:asciiTheme="minorHAnsi" w:hAnsiTheme="minorHAnsi"/>
          <w:b/>
        </w:rPr>
        <w:t>70,5 tysiąca</w:t>
      </w:r>
      <w:r w:rsidRPr="00194E8E">
        <w:rPr>
          <w:rFonts w:asciiTheme="minorHAnsi" w:hAnsiTheme="minorHAnsi"/>
        </w:rPr>
        <w:t>, czyli wzrosła o 13 % w porównaniu do 2020 r., kiedy sięgała 62 tysięcy (w 2019 r. - 59,8</w:t>
      </w:r>
      <w:r w:rsidR="009D524C">
        <w:rPr>
          <w:rFonts w:asciiTheme="minorHAnsi" w:hAnsiTheme="minorHAnsi"/>
        </w:rPr>
        <w:t xml:space="preserve"> </w:t>
      </w:r>
      <w:r w:rsidRPr="00194E8E">
        <w:rPr>
          <w:rFonts w:asciiTheme="minorHAnsi" w:hAnsiTheme="minorHAnsi"/>
        </w:rPr>
        <w:t xml:space="preserve">tysiąca). Oznacza to kolejny od 2017 r. rok zwiększania się liczby spraw </w:t>
      </w:r>
      <w:r w:rsidRPr="00194E8E">
        <w:rPr>
          <w:rFonts w:asciiTheme="minorHAnsi" w:hAnsiTheme="minorHAnsi"/>
        </w:rPr>
        <w:lastRenderedPageBreak/>
        <w:t>zawisłych przed ETPC (w</w:t>
      </w:r>
      <w:r w:rsidR="009D524C">
        <w:rPr>
          <w:rFonts w:asciiTheme="minorHAnsi" w:hAnsiTheme="minorHAnsi"/>
        </w:rPr>
        <w:t xml:space="preserve"> </w:t>
      </w:r>
      <w:r w:rsidRPr="00194E8E">
        <w:rPr>
          <w:rFonts w:asciiTheme="minorHAnsi" w:hAnsiTheme="minorHAnsi"/>
        </w:rPr>
        <w:t xml:space="preserve">latach 2017-2018 r. liczba ta oscylowała na poziomie ok. 56,3 tysiąca). Dla porównania we wrześniu 2011 r. liczba zawisłych skarg sięgała jednak aż 160 tysięcy. </w:t>
      </w:r>
    </w:p>
    <w:p w:rsidR="00260C5C" w:rsidRPr="00194E8E" w:rsidRDefault="00260C5C" w:rsidP="003263ED">
      <w:pPr>
        <w:spacing w:after="120"/>
        <w:jc w:val="both"/>
        <w:rPr>
          <w:rFonts w:asciiTheme="minorHAnsi" w:hAnsiTheme="minorHAnsi"/>
        </w:rPr>
      </w:pPr>
      <w:r w:rsidRPr="00194E8E">
        <w:rPr>
          <w:rFonts w:asciiTheme="minorHAnsi" w:hAnsiTheme="minorHAnsi"/>
        </w:rPr>
        <w:t xml:space="preserve">W 2021 r. Komitet Ministrów Rady Europy </w:t>
      </w:r>
      <w:r w:rsidRPr="00194E8E">
        <w:rPr>
          <w:rFonts w:asciiTheme="minorHAnsi" w:hAnsiTheme="minorHAnsi"/>
          <w:b/>
        </w:rPr>
        <w:t>zamknął procedurę nadzoru</w:t>
      </w:r>
      <w:r w:rsidRPr="00194E8E">
        <w:rPr>
          <w:rFonts w:asciiTheme="minorHAnsi" w:hAnsiTheme="minorHAnsi"/>
        </w:rPr>
        <w:t xml:space="preserve"> nad wykonywaniem w odniesieniu do </w:t>
      </w:r>
      <w:r w:rsidRPr="00194E8E">
        <w:rPr>
          <w:rFonts w:asciiTheme="minorHAnsi" w:hAnsiTheme="minorHAnsi"/>
          <w:b/>
        </w:rPr>
        <w:t>1122</w:t>
      </w:r>
      <w:r w:rsidRPr="00194E8E">
        <w:rPr>
          <w:rFonts w:asciiTheme="minorHAnsi" w:hAnsiTheme="minorHAnsi"/>
        </w:rPr>
        <w:t xml:space="preserve"> spraw (dla porównania w 2020 r. zakończono nadzór w sprawie 983 spraw, a w 2019 r. – 2080 spraw). W nadzorze pozostawało na koniec 2021 r. 55</w:t>
      </w:r>
      <w:r w:rsidR="003051F8" w:rsidRPr="00194E8E">
        <w:rPr>
          <w:rFonts w:asciiTheme="minorHAnsi" w:hAnsiTheme="minorHAnsi"/>
        </w:rPr>
        <w:t>33</w:t>
      </w:r>
      <w:r w:rsidRPr="00194E8E">
        <w:rPr>
          <w:rFonts w:asciiTheme="minorHAnsi" w:hAnsiTheme="minorHAnsi"/>
        </w:rPr>
        <w:t xml:space="preserve"> orzecze</w:t>
      </w:r>
      <w:r w:rsidR="00991184" w:rsidRPr="00194E8E">
        <w:rPr>
          <w:rFonts w:asciiTheme="minorHAnsi" w:hAnsiTheme="minorHAnsi"/>
        </w:rPr>
        <w:t>nia</w:t>
      </w:r>
      <w:r w:rsidRPr="00194E8E">
        <w:rPr>
          <w:rFonts w:asciiTheme="minorHAnsi" w:hAnsiTheme="minorHAnsi"/>
        </w:rPr>
        <w:t xml:space="preserve"> </w:t>
      </w:r>
      <w:r w:rsidR="009D524C">
        <w:rPr>
          <w:rFonts w:asciiTheme="minorHAnsi" w:hAnsiTheme="minorHAnsi"/>
        </w:rPr>
        <w:t>ETPC</w:t>
      </w:r>
      <w:r w:rsidRPr="00194E8E">
        <w:rPr>
          <w:rFonts w:asciiTheme="minorHAnsi" w:hAnsiTheme="minorHAnsi"/>
        </w:rPr>
        <w:t xml:space="preserve"> (na koniec 2020 r. – 5231).</w:t>
      </w:r>
    </w:p>
    <w:p w:rsidR="00DE61BD" w:rsidRPr="00194E8E" w:rsidRDefault="00DE61BD" w:rsidP="003263ED">
      <w:pPr>
        <w:numPr>
          <w:ilvl w:val="0"/>
          <w:numId w:val="9"/>
        </w:numPr>
        <w:spacing w:before="240" w:after="120"/>
        <w:ind w:left="721" w:hanging="437"/>
        <w:jc w:val="both"/>
        <w:rPr>
          <w:rFonts w:asciiTheme="minorHAnsi" w:hAnsiTheme="minorHAnsi"/>
          <w:b/>
        </w:rPr>
      </w:pPr>
      <w:r w:rsidRPr="00194E8E">
        <w:rPr>
          <w:rFonts w:asciiTheme="minorHAnsi" w:hAnsiTheme="minorHAnsi"/>
          <w:b/>
        </w:rPr>
        <w:t>Dane statystyczne – wykresy</w:t>
      </w:r>
    </w:p>
    <w:p w:rsidR="00DE61BD" w:rsidRPr="00194E8E" w:rsidRDefault="00DE61BD" w:rsidP="003263ED">
      <w:pPr>
        <w:pStyle w:val="Nagwek2"/>
        <w:numPr>
          <w:ilvl w:val="0"/>
          <w:numId w:val="0"/>
        </w:numPr>
        <w:spacing w:before="240" w:after="240"/>
        <w:ind w:left="721" w:hanging="437"/>
        <w:jc w:val="both"/>
        <w:rPr>
          <w:rFonts w:eastAsiaTheme="minorHAnsi" w:cstheme="minorBidi"/>
          <w:sz w:val="22"/>
          <w:szCs w:val="22"/>
        </w:rPr>
      </w:pPr>
      <w:r w:rsidRPr="00194E8E">
        <w:t xml:space="preserve">5.1. Liczba polskich skarg przydzielonych do rozpoznania składom orzekającym </w:t>
      </w:r>
      <w:r w:rsidR="00BA13ED">
        <w:t>ETPC</w:t>
      </w:r>
    </w:p>
    <w:p w:rsidR="00260C5C" w:rsidRPr="00194E8E" w:rsidRDefault="00260C5C" w:rsidP="00260C5C">
      <w:pPr>
        <w:spacing w:after="120"/>
        <w:jc w:val="both"/>
        <w:rPr>
          <w:rFonts w:asciiTheme="minorHAnsi" w:eastAsiaTheme="minorHAnsi" w:hAnsiTheme="minorHAnsi" w:cstheme="minorBidi"/>
          <w:sz w:val="22"/>
          <w:szCs w:val="22"/>
          <w:lang w:eastAsia="en-US"/>
        </w:rPr>
      </w:pPr>
      <w:r w:rsidRPr="00194E8E">
        <w:rPr>
          <w:rFonts w:asciiTheme="minorHAnsi" w:eastAsiaTheme="minorHAnsi" w:hAnsiTheme="minorHAnsi" w:cstheme="minorBidi"/>
          <w:noProof/>
          <w:sz w:val="22"/>
          <w:szCs w:val="22"/>
        </w:rPr>
        <w:drawing>
          <wp:inline distT="0" distB="0" distL="0" distR="0" wp14:anchorId="0646593F" wp14:editId="53DA6D13">
            <wp:extent cx="5783580" cy="4320540"/>
            <wp:effectExtent l="0" t="0" r="7620" b="3810"/>
            <wp:docPr id="1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263ED" w:rsidRPr="00194E8E" w:rsidRDefault="003263ED" w:rsidP="00260C5C">
      <w:pPr>
        <w:spacing w:after="120"/>
        <w:jc w:val="both"/>
        <w:rPr>
          <w:rFonts w:asciiTheme="minorHAnsi" w:eastAsiaTheme="minorHAnsi" w:hAnsiTheme="minorHAnsi" w:cstheme="minorBidi"/>
          <w:sz w:val="22"/>
          <w:szCs w:val="22"/>
          <w:lang w:eastAsia="en-US"/>
        </w:rPr>
      </w:pPr>
    </w:p>
    <w:p w:rsidR="00DE61BD" w:rsidRPr="00194E8E" w:rsidRDefault="00DE61BD" w:rsidP="003263ED">
      <w:pPr>
        <w:pStyle w:val="Nagwek2"/>
        <w:numPr>
          <w:ilvl w:val="0"/>
          <w:numId w:val="0"/>
        </w:numPr>
        <w:spacing w:before="120" w:after="240"/>
        <w:ind w:left="709"/>
      </w:pPr>
      <w:r w:rsidRPr="00194E8E">
        <w:lastRenderedPageBreak/>
        <w:t>5.</w:t>
      </w:r>
      <w:r w:rsidR="008E05D4">
        <w:t>2</w:t>
      </w:r>
      <w:r w:rsidRPr="00194E8E">
        <w:t>.</w:t>
      </w:r>
      <w:r w:rsidR="004D4FD2" w:rsidRPr="00194E8E">
        <w:t xml:space="preserve"> Liczba skarg zakomunikowanych R</w:t>
      </w:r>
      <w:r w:rsidRPr="00194E8E">
        <w:t>ządowi</w:t>
      </w:r>
    </w:p>
    <w:p w:rsidR="00260C5C" w:rsidRPr="00194E8E" w:rsidRDefault="00260C5C" w:rsidP="00260C5C">
      <w:pPr>
        <w:spacing w:after="120"/>
        <w:jc w:val="both"/>
        <w:rPr>
          <w:rFonts w:asciiTheme="minorHAnsi" w:eastAsiaTheme="minorHAnsi" w:hAnsiTheme="minorHAnsi" w:cstheme="minorBidi"/>
          <w:sz w:val="22"/>
          <w:szCs w:val="22"/>
          <w:lang w:eastAsia="en-US"/>
        </w:rPr>
      </w:pPr>
      <w:r w:rsidRPr="00194E8E">
        <w:rPr>
          <w:rFonts w:asciiTheme="minorHAnsi" w:eastAsiaTheme="minorHAnsi" w:hAnsiTheme="minorHAnsi" w:cstheme="minorBidi"/>
          <w:noProof/>
          <w:sz w:val="22"/>
          <w:szCs w:val="22"/>
        </w:rPr>
        <w:drawing>
          <wp:inline distT="0" distB="0" distL="0" distR="0" wp14:anchorId="6F05E13C" wp14:editId="4F9EB5FA">
            <wp:extent cx="5760720" cy="4107180"/>
            <wp:effectExtent l="0" t="0" r="11430" b="762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E61BD" w:rsidRPr="00194E8E" w:rsidRDefault="00DE61BD" w:rsidP="00260C5C">
      <w:pPr>
        <w:spacing w:after="120"/>
        <w:jc w:val="both"/>
        <w:rPr>
          <w:rFonts w:asciiTheme="minorHAnsi" w:eastAsiaTheme="minorHAnsi" w:hAnsiTheme="minorHAnsi" w:cstheme="minorBidi"/>
          <w:sz w:val="22"/>
          <w:szCs w:val="22"/>
          <w:lang w:eastAsia="en-US"/>
        </w:rPr>
      </w:pPr>
    </w:p>
    <w:p w:rsidR="00DE61BD" w:rsidRPr="00194E8E" w:rsidRDefault="00DE61BD" w:rsidP="003263ED">
      <w:pPr>
        <w:pStyle w:val="Nagwek2"/>
        <w:numPr>
          <w:ilvl w:val="0"/>
          <w:numId w:val="0"/>
        </w:numPr>
        <w:spacing w:before="120" w:after="240"/>
        <w:ind w:left="720" w:hanging="11"/>
      </w:pPr>
      <w:r w:rsidRPr="00194E8E">
        <w:t>5.</w:t>
      </w:r>
      <w:r w:rsidR="008E05D4">
        <w:t>3</w:t>
      </w:r>
      <w:r w:rsidRPr="00194E8E">
        <w:t>. Liczba wyroków wydanych w polskich sprawach</w:t>
      </w:r>
    </w:p>
    <w:p w:rsidR="00260C5C" w:rsidRPr="00194E8E" w:rsidRDefault="00260C5C" w:rsidP="00260C5C">
      <w:pPr>
        <w:spacing w:after="120"/>
        <w:jc w:val="both"/>
        <w:rPr>
          <w:rFonts w:asciiTheme="minorHAnsi" w:eastAsiaTheme="minorHAnsi" w:hAnsiTheme="minorHAnsi" w:cstheme="minorBidi"/>
          <w:sz w:val="22"/>
          <w:szCs w:val="22"/>
          <w:lang w:eastAsia="en-US"/>
        </w:rPr>
      </w:pPr>
      <w:r w:rsidRPr="00194E8E">
        <w:rPr>
          <w:rFonts w:asciiTheme="minorHAnsi" w:eastAsiaTheme="minorHAnsi" w:hAnsiTheme="minorHAnsi" w:cstheme="minorBidi"/>
          <w:noProof/>
          <w:sz w:val="22"/>
          <w:szCs w:val="22"/>
        </w:rPr>
        <w:drawing>
          <wp:inline distT="0" distB="0" distL="0" distR="0" wp14:anchorId="16B82957" wp14:editId="3216A933">
            <wp:extent cx="5760720" cy="3482340"/>
            <wp:effectExtent l="0" t="0" r="11430" b="3810"/>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E61BD" w:rsidRPr="00194E8E" w:rsidRDefault="00DE61BD" w:rsidP="00260C5C">
      <w:pPr>
        <w:spacing w:after="120"/>
        <w:jc w:val="both"/>
        <w:rPr>
          <w:rFonts w:asciiTheme="minorHAnsi" w:eastAsiaTheme="minorHAnsi" w:hAnsiTheme="minorHAnsi" w:cstheme="minorBidi"/>
          <w:sz w:val="22"/>
          <w:szCs w:val="22"/>
          <w:lang w:eastAsia="en-US"/>
        </w:rPr>
      </w:pPr>
    </w:p>
    <w:p w:rsidR="00DE61BD" w:rsidRPr="00194E8E" w:rsidRDefault="00DE61BD" w:rsidP="003263ED">
      <w:pPr>
        <w:pStyle w:val="Nagwek2"/>
        <w:numPr>
          <w:ilvl w:val="0"/>
          <w:numId w:val="0"/>
        </w:numPr>
        <w:spacing w:before="120" w:after="240"/>
        <w:ind w:left="720" w:hanging="11"/>
      </w:pPr>
      <w:r w:rsidRPr="00194E8E">
        <w:lastRenderedPageBreak/>
        <w:t>5.</w:t>
      </w:r>
      <w:r w:rsidR="008E05D4">
        <w:t>4</w:t>
      </w:r>
      <w:r w:rsidRPr="00194E8E">
        <w:t>. Liczba decyzji zatwierdzających ugody i deklaracje jednostronne</w:t>
      </w:r>
    </w:p>
    <w:p w:rsidR="00260C5C" w:rsidRPr="00194E8E" w:rsidRDefault="00260C5C" w:rsidP="00260C5C">
      <w:pPr>
        <w:spacing w:after="120"/>
        <w:jc w:val="both"/>
        <w:rPr>
          <w:rFonts w:asciiTheme="minorHAnsi" w:eastAsiaTheme="minorHAnsi" w:hAnsiTheme="minorHAnsi" w:cstheme="minorBidi"/>
          <w:sz w:val="22"/>
          <w:szCs w:val="22"/>
          <w:lang w:eastAsia="en-US"/>
        </w:rPr>
      </w:pPr>
      <w:r w:rsidRPr="00194E8E">
        <w:rPr>
          <w:rFonts w:asciiTheme="minorHAnsi" w:eastAsiaTheme="minorHAnsi" w:hAnsiTheme="minorHAnsi" w:cstheme="minorBidi"/>
          <w:noProof/>
          <w:sz w:val="22"/>
          <w:szCs w:val="22"/>
        </w:rPr>
        <w:drawing>
          <wp:inline distT="0" distB="0" distL="0" distR="0" wp14:anchorId="2A65E504" wp14:editId="220F9BFA">
            <wp:extent cx="5760720" cy="4594860"/>
            <wp:effectExtent l="0" t="0" r="11430" b="15240"/>
            <wp:docPr id="5" name="Wykres 5" descr="liczba decyzji ws. ugód i deklaracji jednostronnych" title="liczba decyzji ws. ugód i deklaracji jednostronnych"/>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60C5C" w:rsidRPr="008E05D4" w:rsidRDefault="00260C5C" w:rsidP="00260C5C">
      <w:pPr>
        <w:spacing w:after="120"/>
        <w:jc w:val="both"/>
        <w:rPr>
          <w:rFonts w:asciiTheme="minorHAnsi" w:eastAsiaTheme="minorHAnsi" w:hAnsiTheme="minorHAnsi" w:cstheme="minorBidi"/>
          <w:sz w:val="20"/>
          <w:szCs w:val="20"/>
          <w:lang w:eastAsia="en-US"/>
        </w:rPr>
      </w:pPr>
      <w:r w:rsidRPr="008E05D4">
        <w:rPr>
          <w:rFonts w:asciiTheme="minorHAnsi" w:eastAsiaTheme="minorHAnsi" w:hAnsiTheme="minorHAnsi" w:cstheme="minorBidi"/>
          <w:sz w:val="20"/>
          <w:szCs w:val="20"/>
          <w:lang w:eastAsia="en-US"/>
        </w:rPr>
        <w:t>* uwaga: decyzje za 2017 r. o</w:t>
      </w:r>
      <w:r w:rsidR="00EB0C83" w:rsidRPr="008E05D4">
        <w:rPr>
          <w:rFonts w:asciiTheme="minorHAnsi" w:eastAsiaTheme="minorHAnsi" w:hAnsiTheme="minorHAnsi" w:cstheme="minorBidi"/>
          <w:sz w:val="20"/>
          <w:szCs w:val="20"/>
          <w:lang w:eastAsia="en-US"/>
        </w:rPr>
        <w:t>bejmowały również 4 decyzje ws.</w:t>
      </w:r>
      <w:r w:rsidRPr="008E05D4">
        <w:rPr>
          <w:rFonts w:asciiTheme="minorHAnsi" w:eastAsiaTheme="minorHAnsi" w:hAnsiTheme="minorHAnsi" w:cstheme="minorBidi"/>
          <w:sz w:val="20"/>
          <w:szCs w:val="20"/>
          <w:lang w:eastAsia="en-US"/>
        </w:rPr>
        <w:t xml:space="preserve"> 490 skarg (procedura pilotażowa), decyzje za 2018</w:t>
      </w:r>
      <w:r w:rsidR="008E05D4">
        <w:rPr>
          <w:rFonts w:asciiTheme="minorHAnsi" w:eastAsiaTheme="minorHAnsi" w:hAnsiTheme="minorHAnsi" w:cstheme="minorBidi"/>
          <w:sz w:val="20"/>
          <w:szCs w:val="20"/>
          <w:lang w:eastAsia="en-US"/>
        </w:rPr>
        <w:t> </w:t>
      </w:r>
      <w:r w:rsidRPr="008E05D4">
        <w:rPr>
          <w:rFonts w:asciiTheme="minorHAnsi" w:eastAsiaTheme="minorHAnsi" w:hAnsiTheme="minorHAnsi" w:cstheme="minorBidi"/>
          <w:sz w:val="20"/>
          <w:szCs w:val="20"/>
          <w:lang w:eastAsia="en-US"/>
        </w:rPr>
        <w:t>r. obejmowały zaś 10 decyzji ws. 364 skarg - procedura pilotażowa. Ponadto w 2017 r. 2 decyzje ws. zatwierdzenia deklaracji jednostronnych obejmują także zatwierdzenie ugód.</w:t>
      </w:r>
      <w:r w:rsidR="008E05D4">
        <w:rPr>
          <w:rFonts w:asciiTheme="minorHAnsi" w:eastAsiaTheme="minorHAnsi" w:hAnsiTheme="minorHAnsi" w:cstheme="minorBidi"/>
          <w:sz w:val="20"/>
          <w:szCs w:val="20"/>
          <w:lang w:eastAsia="en-US"/>
        </w:rPr>
        <w:t xml:space="preserve"> </w:t>
      </w:r>
    </w:p>
    <w:p w:rsidR="00DE61BD" w:rsidRPr="00194E8E" w:rsidRDefault="00DE61BD" w:rsidP="003263ED">
      <w:pPr>
        <w:pStyle w:val="Nagwek2"/>
        <w:numPr>
          <w:ilvl w:val="0"/>
          <w:numId w:val="0"/>
        </w:numPr>
        <w:spacing w:before="120" w:after="240"/>
        <w:ind w:left="709"/>
        <w:rPr>
          <w:strike/>
        </w:rPr>
      </w:pPr>
      <w:r w:rsidRPr="00194E8E">
        <w:lastRenderedPageBreak/>
        <w:t>5.</w:t>
      </w:r>
      <w:r w:rsidR="008E05D4">
        <w:t>5</w:t>
      </w:r>
      <w:r w:rsidRPr="00194E8E">
        <w:t>. Liczba decyzji o niedopuszczalności</w:t>
      </w:r>
    </w:p>
    <w:p w:rsidR="00260C5C" w:rsidRPr="00194E8E" w:rsidRDefault="00260C5C" w:rsidP="00260C5C">
      <w:pPr>
        <w:spacing w:after="120"/>
        <w:jc w:val="both"/>
        <w:rPr>
          <w:rFonts w:asciiTheme="minorHAnsi" w:eastAsiaTheme="minorHAnsi" w:hAnsiTheme="minorHAnsi" w:cstheme="minorBidi"/>
          <w:sz w:val="22"/>
          <w:szCs w:val="22"/>
          <w:lang w:eastAsia="en-US"/>
        </w:rPr>
      </w:pPr>
      <w:r w:rsidRPr="00194E8E">
        <w:rPr>
          <w:rFonts w:asciiTheme="minorHAnsi" w:eastAsiaTheme="minorHAnsi" w:hAnsiTheme="minorHAnsi" w:cstheme="minorBidi"/>
          <w:noProof/>
          <w:sz w:val="22"/>
          <w:szCs w:val="22"/>
        </w:rPr>
        <w:drawing>
          <wp:inline distT="0" distB="0" distL="0" distR="0" wp14:anchorId="4BDF9146" wp14:editId="5AD500E5">
            <wp:extent cx="5760720" cy="3246120"/>
            <wp:effectExtent l="0" t="0" r="11430" b="11430"/>
            <wp:docPr id="17"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E61BD" w:rsidRPr="00194E8E" w:rsidRDefault="00DE61BD" w:rsidP="00260C5C">
      <w:pPr>
        <w:spacing w:after="120"/>
        <w:jc w:val="both"/>
        <w:rPr>
          <w:rFonts w:asciiTheme="minorHAnsi" w:eastAsiaTheme="minorHAnsi" w:hAnsiTheme="minorHAnsi" w:cstheme="minorBidi"/>
          <w:sz w:val="22"/>
          <w:szCs w:val="22"/>
          <w:lang w:eastAsia="en-US"/>
        </w:rPr>
      </w:pPr>
    </w:p>
    <w:p w:rsidR="00DE61BD" w:rsidRPr="008E05D4" w:rsidRDefault="00DE61BD" w:rsidP="008E05D4">
      <w:pPr>
        <w:pStyle w:val="Nagwek2"/>
        <w:numPr>
          <w:ilvl w:val="0"/>
          <w:numId w:val="0"/>
        </w:numPr>
        <w:spacing w:before="120" w:after="240"/>
        <w:ind w:left="714" w:hanging="5"/>
        <w:rPr>
          <w:strike/>
          <w:color w:val="000000" w:themeColor="text1"/>
        </w:rPr>
      </w:pPr>
      <w:r w:rsidRPr="00194E8E">
        <w:t>5.</w:t>
      </w:r>
      <w:r w:rsidR="008E05D4">
        <w:t>6</w:t>
      </w:r>
      <w:r w:rsidRPr="00194E8E">
        <w:t xml:space="preserve">. Liczba całkowicie wygranych spraw (wyroki i decyzje o </w:t>
      </w:r>
      <w:r w:rsidRPr="008E05D4">
        <w:rPr>
          <w:color w:val="000000" w:themeColor="text1"/>
        </w:rPr>
        <w:t>niedopuszczalności)</w:t>
      </w:r>
    </w:p>
    <w:p w:rsidR="00260C5C" w:rsidRPr="00194E8E" w:rsidRDefault="00260C5C" w:rsidP="00260C5C">
      <w:pPr>
        <w:spacing w:after="120"/>
        <w:jc w:val="both"/>
        <w:rPr>
          <w:rFonts w:asciiTheme="minorHAnsi" w:eastAsiaTheme="minorHAnsi" w:hAnsiTheme="minorHAnsi" w:cstheme="minorBidi"/>
          <w:sz w:val="22"/>
          <w:szCs w:val="22"/>
          <w:lang w:eastAsia="en-US"/>
        </w:rPr>
      </w:pPr>
      <w:r w:rsidRPr="00194E8E">
        <w:rPr>
          <w:rFonts w:asciiTheme="minorHAnsi" w:eastAsiaTheme="minorHAnsi" w:hAnsiTheme="minorHAnsi" w:cstheme="minorBidi"/>
          <w:noProof/>
          <w:sz w:val="22"/>
          <w:szCs w:val="22"/>
        </w:rPr>
        <w:drawing>
          <wp:inline distT="0" distB="0" distL="0" distR="0" wp14:anchorId="3890428F" wp14:editId="11563AF9">
            <wp:extent cx="5760720" cy="3916680"/>
            <wp:effectExtent l="0" t="0" r="11430" b="7620"/>
            <wp:docPr id="1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E61BD" w:rsidRPr="00194E8E" w:rsidRDefault="00DE61BD" w:rsidP="00260C5C">
      <w:pPr>
        <w:spacing w:after="120"/>
        <w:jc w:val="both"/>
        <w:rPr>
          <w:rFonts w:asciiTheme="minorHAnsi" w:eastAsiaTheme="minorHAnsi" w:hAnsiTheme="minorHAnsi" w:cstheme="minorBidi"/>
          <w:sz w:val="22"/>
          <w:szCs w:val="22"/>
          <w:lang w:eastAsia="en-US"/>
        </w:rPr>
      </w:pPr>
    </w:p>
    <w:p w:rsidR="00DE61BD" w:rsidRPr="00194E8E" w:rsidRDefault="00DE61BD" w:rsidP="008E05D4">
      <w:pPr>
        <w:pStyle w:val="Nagwek2"/>
        <w:numPr>
          <w:ilvl w:val="0"/>
          <w:numId w:val="0"/>
        </w:numPr>
        <w:spacing w:before="120" w:after="240"/>
        <w:ind w:left="714" w:hanging="5"/>
      </w:pPr>
      <w:r w:rsidRPr="00194E8E">
        <w:lastRenderedPageBreak/>
        <w:t>5.</w:t>
      </w:r>
      <w:r w:rsidR="008E05D4">
        <w:t>7</w:t>
      </w:r>
      <w:r w:rsidRPr="00194E8E">
        <w:t>. Liczba orzeczeń</w:t>
      </w:r>
      <w:r w:rsidR="00CD4849" w:rsidRPr="00194E8E">
        <w:t xml:space="preserve"> negatywnych i pozytywnych dla R</w:t>
      </w:r>
      <w:r w:rsidRPr="00194E8E">
        <w:t>ządu</w:t>
      </w:r>
    </w:p>
    <w:p w:rsidR="00260C5C" w:rsidRPr="00194E8E" w:rsidRDefault="00260C5C" w:rsidP="00260C5C">
      <w:pPr>
        <w:spacing w:after="120"/>
        <w:jc w:val="both"/>
        <w:rPr>
          <w:rFonts w:asciiTheme="minorHAnsi" w:eastAsiaTheme="minorHAnsi" w:hAnsiTheme="minorHAnsi" w:cstheme="minorBidi"/>
          <w:sz w:val="22"/>
          <w:szCs w:val="22"/>
          <w:lang w:eastAsia="en-US"/>
        </w:rPr>
      </w:pPr>
      <w:r w:rsidRPr="00194E8E">
        <w:rPr>
          <w:rFonts w:asciiTheme="minorHAnsi" w:eastAsiaTheme="minorHAnsi" w:hAnsiTheme="minorHAnsi" w:cstheme="minorBidi"/>
          <w:noProof/>
          <w:sz w:val="22"/>
          <w:szCs w:val="22"/>
        </w:rPr>
        <w:drawing>
          <wp:inline distT="0" distB="0" distL="0" distR="0" wp14:anchorId="34211FD3" wp14:editId="75CEB26C">
            <wp:extent cx="5760720" cy="4625340"/>
            <wp:effectExtent l="0" t="0" r="11430" b="3810"/>
            <wp:docPr id="21"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D3E5A" w:rsidRPr="00194E8E" w:rsidRDefault="00FD3E5A" w:rsidP="00260C5C">
      <w:pPr>
        <w:spacing w:after="120"/>
        <w:jc w:val="both"/>
        <w:rPr>
          <w:rFonts w:asciiTheme="minorHAnsi" w:eastAsiaTheme="minorHAnsi" w:hAnsiTheme="minorHAnsi" w:cstheme="minorBidi"/>
          <w:sz w:val="22"/>
          <w:szCs w:val="22"/>
          <w:lang w:eastAsia="en-US"/>
        </w:rPr>
      </w:pPr>
    </w:p>
    <w:p w:rsidR="00FD3E5A" w:rsidRPr="00194E8E" w:rsidRDefault="00FD3E5A" w:rsidP="008E05D4">
      <w:pPr>
        <w:pStyle w:val="Nagwek2"/>
        <w:numPr>
          <w:ilvl w:val="0"/>
          <w:numId w:val="0"/>
        </w:numPr>
        <w:spacing w:before="120" w:after="120"/>
        <w:ind w:left="709"/>
      </w:pPr>
      <w:r w:rsidRPr="00194E8E">
        <w:lastRenderedPageBreak/>
        <w:t>5.</w:t>
      </w:r>
      <w:r w:rsidR="008E05D4">
        <w:t>8</w:t>
      </w:r>
      <w:r w:rsidRPr="00194E8E">
        <w:t>. Liczba orzeczeń znajdujących się w fazie wykonywania pod nadzorem KM wg stanu na koniec roku w poszczególnych latach</w:t>
      </w:r>
    </w:p>
    <w:p w:rsidR="00260C5C" w:rsidRPr="00194E8E" w:rsidRDefault="00260C5C" w:rsidP="00260C5C">
      <w:pPr>
        <w:spacing w:after="120"/>
        <w:jc w:val="both"/>
        <w:rPr>
          <w:rFonts w:asciiTheme="minorHAnsi" w:eastAsiaTheme="minorHAnsi" w:hAnsiTheme="minorHAnsi" w:cstheme="minorBidi"/>
          <w:sz w:val="22"/>
          <w:szCs w:val="22"/>
          <w:lang w:eastAsia="en-US"/>
        </w:rPr>
      </w:pPr>
      <w:r w:rsidRPr="00194E8E">
        <w:rPr>
          <w:rFonts w:asciiTheme="minorHAnsi" w:eastAsiaTheme="minorHAnsi" w:hAnsiTheme="minorHAnsi" w:cstheme="minorBidi"/>
          <w:noProof/>
          <w:sz w:val="22"/>
          <w:szCs w:val="22"/>
        </w:rPr>
        <w:drawing>
          <wp:inline distT="0" distB="0" distL="0" distR="0" wp14:anchorId="159FD219" wp14:editId="2F4BBC1C">
            <wp:extent cx="5760720" cy="4747260"/>
            <wp:effectExtent l="0" t="0" r="11430" b="15240"/>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D3E5A" w:rsidRPr="00194E8E" w:rsidRDefault="00FD3E5A" w:rsidP="008E05D4">
      <w:pPr>
        <w:pStyle w:val="Nagwek2"/>
        <w:numPr>
          <w:ilvl w:val="0"/>
          <w:numId w:val="0"/>
        </w:numPr>
        <w:spacing w:before="120" w:after="240"/>
        <w:ind w:left="709" w:hanging="11"/>
        <w:rPr>
          <w:rFonts w:eastAsia="Calibri"/>
        </w:rPr>
      </w:pPr>
      <w:r w:rsidRPr="00194E8E">
        <w:rPr>
          <w:rFonts w:eastAsia="Calibri"/>
        </w:rPr>
        <w:lastRenderedPageBreak/>
        <w:t>5.</w:t>
      </w:r>
      <w:r w:rsidR="008E05D4">
        <w:rPr>
          <w:rFonts w:eastAsia="Calibri"/>
        </w:rPr>
        <w:t>9</w:t>
      </w:r>
      <w:r w:rsidRPr="00194E8E">
        <w:rPr>
          <w:rFonts w:eastAsia="Calibri"/>
        </w:rPr>
        <w:t>. Liczba orzeczeń uznanych przez KM za wykonane</w:t>
      </w:r>
      <w:r w:rsidR="00D33407">
        <w:rPr>
          <w:rFonts w:eastAsia="Calibri"/>
        </w:rPr>
        <w:t xml:space="preserve"> przez Polskę</w:t>
      </w:r>
    </w:p>
    <w:p w:rsidR="00260C5C" w:rsidRPr="00194E8E" w:rsidRDefault="00260C5C" w:rsidP="00260C5C">
      <w:pPr>
        <w:spacing w:after="120"/>
        <w:rPr>
          <w:rFonts w:asciiTheme="minorHAnsi" w:eastAsiaTheme="minorHAnsi" w:hAnsiTheme="minorHAnsi" w:cstheme="minorBidi"/>
          <w:b/>
          <w:sz w:val="22"/>
          <w:szCs w:val="22"/>
          <w:lang w:eastAsia="en-US"/>
        </w:rPr>
      </w:pPr>
      <w:r w:rsidRPr="00194E8E">
        <w:rPr>
          <w:rFonts w:asciiTheme="minorHAnsi" w:eastAsiaTheme="minorHAnsi" w:hAnsiTheme="minorHAnsi" w:cstheme="minorBidi"/>
          <w:noProof/>
          <w:sz w:val="22"/>
          <w:szCs w:val="22"/>
        </w:rPr>
        <w:drawing>
          <wp:inline distT="0" distB="0" distL="0" distR="0" wp14:anchorId="077C4C67" wp14:editId="468BB0CF">
            <wp:extent cx="5760720" cy="3863340"/>
            <wp:effectExtent l="0" t="0" r="11430" b="3810"/>
            <wp:docPr id="20"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D3E5A" w:rsidRPr="00194E8E" w:rsidRDefault="00FD3E5A" w:rsidP="00260C5C">
      <w:pPr>
        <w:spacing w:after="120"/>
        <w:rPr>
          <w:rFonts w:asciiTheme="minorHAnsi" w:eastAsiaTheme="minorHAnsi" w:hAnsiTheme="minorHAnsi" w:cstheme="minorBidi"/>
          <w:b/>
          <w:sz w:val="22"/>
          <w:szCs w:val="22"/>
          <w:lang w:eastAsia="en-US"/>
        </w:rPr>
      </w:pPr>
    </w:p>
    <w:p w:rsidR="00DD0730" w:rsidRPr="00194E8E" w:rsidRDefault="00DD0730" w:rsidP="00D33407">
      <w:pPr>
        <w:pStyle w:val="Nagwek1"/>
        <w:spacing w:before="240" w:after="120"/>
        <w:ind w:left="709" w:hanging="425"/>
        <w:rPr>
          <w:rFonts w:asciiTheme="minorHAnsi" w:hAnsiTheme="minorHAnsi"/>
          <w:lang w:val="pl-PL"/>
        </w:rPr>
      </w:pPr>
      <w:bookmarkStart w:id="18" w:name="_Toc112058311"/>
      <w:r w:rsidRPr="00194E8E">
        <w:rPr>
          <w:rFonts w:asciiTheme="minorHAnsi" w:hAnsiTheme="minorHAnsi"/>
          <w:lang w:val="pl-PL"/>
        </w:rPr>
        <w:t>Podsumowanie</w:t>
      </w:r>
      <w:bookmarkEnd w:id="18"/>
    </w:p>
    <w:p w:rsidR="00F75E0B" w:rsidRPr="00194E8E" w:rsidRDefault="00DD0730" w:rsidP="00D33407">
      <w:pPr>
        <w:pStyle w:val="Akapitzlist"/>
        <w:spacing w:after="120" w:line="240" w:lineRule="auto"/>
        <w:ind w:left="0"/>
        <w:jc w:val="both"/>
        <w:rPr>
          <w:rFonts w:asciiTheme="minorHAnsi" w:hAnsiTheme="minorHAnsi"/>
          <w:sz w:val="24"/>
          <w:szCs w:val="24"/>
          <w:lang w:val="pl-PL"/>
        </w:rPr>
      </w:pPr>
      <w:r w:rsidRPr="00194E8E">
        <w:rPr>
          <w:rFonts w:asciiTheme="minorHAnsi" w:hAnsiTheme="minorHAnsi"/>
          <w:sz w:val="24"/>
          <w:szCs w:val="24"/>
          <w:lang w:val="pl-PL"/>
        </w:rPr>
        <w:t>Raport za 20</w:t>
      </w:r>
      <w:r w:rsidR="001F5C68" w:rsidRPr="00194E8E">
        <w:rPr>
          <w:rFonts w:asciiTheme="minorHAnsi" w:hAnsiTheme="minorHAnsi"/>
          <w:sz w:val="24"/>
          <w:szCs w:val="24"/>
          <w:lang w:val="pl-PL"/>
        </w:rPr>
        <w:t>21</w:t>
      </w:r>
      <w:r w:rsidR="00807BB7" w:rsidRPr="00194E8E">
        <w:rPr>
          <w:rFonts w:asciiTheme="minorHAnsi" w:hAnsiTheme="minorHAnsi"/>
          <w:sz w:val="24"/>
          <w:szCs w:val="24"/>
          <w:lang w:val="pl-PL"/>
        </w:rPr>
        <w:t xml:space="preserve"> r., tak jak Raporty za lata ubiegłe, jest podsumowaniem </w:t>
      </w:r>
      <w:r w:rsidRPr="00194E8E">
        <w:rPr>
          <w:rFonts w:asciiTheme="minorHAnsi" w:hAnsiTheme="minorHAnsi"/>
          <w:sz w:val="24"/>
          <w:szCs w:val="24"/>
          <w:lang w:val="pl-PL"/>
        </w:rPr>
        <w:t>działa</w:t>
      </w:r>
      <w:r w:rsidR="00807BB7" w:rsidRPr="00194E8E">
        <w:rPr>
          <w:rFonts w:asciiTheme="minorHAnsi" w:hAnsiTheme="minorHAnsi"/>
          <w:sz w:val="24"/>
          <w:szCs w:val="24"/>
          <w:lang w:val="pl-PL"/>
        </w:rPr>
        <w:t xml:space="preserve">ń podejmowanych w trakcie ostatniego roku zarówno przez Ministerstwo Spraw Zagranicznych, jak również przez inne instytucje </w:t>
      </w:r>
      <w:r w:rsidRPr="00194E8E">
        <w:rPr>
          <w:rFonts w:asciiTheme="minorHAnsi" w:hAnsiTheme="minorHAnsi"/>
          <w:sz w:val="24"/>
          <w:szCs w:val="24"/>
          <w:lang w:val="pl-PL"/>
        </w:rPr>
        <w:t>odpowiedzialne</w:t>
      </w:r>
      <w:r w:rsidR="00807BB7" w:rsidRPr="00194E8E">
        <w:rPr>
          <w:rFonts w:asciiTheme="minorHAnsi" w:hAnsiTheme="minorHAnsi"/>
          <w:sz w:val="24"/>
          <w:szCs w:val="24"/>
          <w:lang w:val="pl-PL"/>
        </w:rPr>
        <w:t xml:space="preserve"> i zaangażowane w </w:t>
      </w:r>
      <w:r w:rsidRPr="00194E8E">
        <w:rPr>
          <w:rFonts w:asciiTheme="minorHAnsi" w:hAnsiTheme="minorHAnsi"/>
          <w:sz w:val="24"/>
          <w:szCs w:val="24"/>
          <w:lang w:val="pl-PL"/>
        </w:rPr>
        <w:t xml:space="preserve">wykonanie poszczególnych wyroków </w:t>
      </w:r>
      <w:r w:rsidR="008E05D4">
        <w:rPr>
          <w:rFonts w:asciiTheme="minorHAnsi" w:hAnsiTheme="minorHAnsi"/>
          <w:sz w:val="24"/>
          <w:szCs w:val="24"/>
          <w:lang w:val="pl-PL"/>
        </w:rPr>
        <w:t>ETPC</w:t>
      </w:r>
      <w:r w:rsidRPr="00194E8E">
        <w:rPr>
          <w:rFonts w:asciiTheme="minorHAnsi" w:hAnsiTheme="minorHAnsi"/>
          <w:sz w:val="24"/>
          <w:szCs w:val="24"/>
          <w:lang w:val="pl-PL"/>
        </w:rPr>
        <w:t xml:space="preserve">. </w:t>
      </w:r>
    </w:p>
    <w:p w:rsidR="007F54DB" w:rsidRPr="00194E8E" w:rsidRDefault="001D34B8" w:rsidP="00D33407">
      <w:pPr>
        <w:pStyle w:val="Akapitzlist"/>
        <w:spacing w:after="120" w:line="240" w:lineRule="auto"/>
        <w:ind w:left="0"/>
        <w:jc w:val="both"/>
        <w:rPr>
          <w:rFonts w:asciiTheme="minorHAnsi" w:hAnsiTheme="minorHAnsi"/>
          <w:sz w:val="24"/>
          <w:szCs w:val="24"/>
          <w:lang w:val="pl-PL"/>
        </w:rPr>
      </w:pPr>
      <w:r w:rsidRPr="00194E8E">
        <w:rPr>
          <w:rFonts w:asciiTheme="minorHAnsi" w:hAnsiTheme="minorHAnsi"/>
          <w:sz w:val="24"/>
          <w:szCs w:val="24"/>
          <w:lang w:val="pl-PL"/>
        </w:rPr>
        <w:t>Dzięki szczegółowym i</w:t>
      </w:r>
      <w:r w:rsidR="00807BB7" w:rsidRPr="00194E8E">
        <w:rPr>
          <w:rFonts w:asciiTheme="minorHAnsi" w:hAnsiTheme="minorHAnsi"/>
          <w:sz w:val="24"/>
          <w:szCs w:val="24"/>
          <w:lang w:val="pl-PL"/>
        </w:rPr>
        <w:t>nformacj</w:t>
      </w:r>
      <w:r w:rsidRPr="00194E8E">
        <w:rPr>
          <w:rFonts w:asciiTheme="minorHAnsi" w:hAnsiTheme="minorHAnsi"/>
          <w:sz w:val="24"/>
          <w:szCs w:val="24"/>
          <w:lang w:val="pl-PL"/>
        </w:rPr>
        <w:t>om</w:t>
      </w:r>
      <w:r w:rsidR="00807BB7" w:rsidRPr="00194E8E">
        <w:rPr>
          <w:rFonts w:asciiTheme="minorHAnsi" w:hAnsiTheme="minorHAnsi"/>
          <w:sz w:val="24"/>
          <w:szCs w:val="24"/>
          <w:lang w:val="pl-PL"/>
        </w:rPr>
        <w:t xml:space="preserve"> zawart</w:t>
      </w:r>
      <w:r w:rsidRPr="00194E8E">
        <w:rPr>
          <w:rFonts w:asciiTheme="minorHAnsi" w:hAnsiTheme="minorHAnsi"/>
          <w:sz w:val="24"/>
          <w:szCs w:val="24"/>
          <w:lang w:val="pl-PL"/>
        </w:rPr>
        <w:t>ym</w:t>
      </w:r>
      <w:r w:rsidR="00807BB7" w:rsidRPr="00194E8E">
        <w:rPr>
          <w:rFonts w:asciiTheme="minorHAnsi" w:hAnsiTheme="minorHAnsi"/>
          <w:sz w:val="24"/>
          <w:szCs w:val="24"/>
          <w:lang w:val="pl-PL"/>
        </w:rPr>
        <w:t xml:space="preserve"> w </w:t>
      </w:r>
      <w:r w:rsidR="007F54DB" w:rsidRPr="00194E8E">
        <w:rPr>
          <w:rFonts w:asciiTheme="minorHAnsi" w:hAnsiTheme="minorHAnsi"/>
          <w:sz w:val="24"/>
          <w:szCs w:val="24"/>
          <w:lang w:val="pl-PL"/>
        </w:rPr>
        <w:t>R</w:t>
      </w:r>
      <w:r w:rsidR="00DD0730" w:rsidRPr="00194E8E">
        <w:rPr>
          <w:rFonts w:asciiTheme="minorHAnsi" w:hAnsiTheme="minorHAnsi"/>
          <w:sz w:val="24"/>
          <w:szCs w:val="24"/>
          <w:lang w:val="pl-PL"/>
        </w:rPr>
        <w:t>apor</w:t>
      </w:r>
      <w:r w:rsidR="00807BB7" w:rsidRPr="00194E8E">
        <w:rPr>
          <w:rFonts w:asciiTheme="minorHAnsi" w:hAnsiTheme="minorHAnsi"/>
          <w:sz w:val="24"/>
          <w:szCs w:val="24"/>
          <w:lang w:val="pl-PL"/>
        </w:rPr>
        <w:t xml:space="preserve">cie </w:t>
      </w:r>
      <w:r w:rsidR="00DD0730" w:rsidRPr="00194E8E">
        <w:rPr>
          <w:rFonts w:asciiTheme="minorHAnsi" w:hAnsiTheme="minorHAnsi"/>
          <w:sz w:val="24"/>
          <w:szCs w:val="24"/>
          <w:lang w:val="pl-PL"/>
        </w:rPr>
        <w:t xml:space="preserve">oraz jego </w:t>
      </w:r>
      <w:r w:rsidR="00807BB7" w:rsidRPr="00194E8E">
        <w:rPr>
          <w:rFonts w:asciiTheme="minorHAnsi" w:hAnsiTheme="minorHAnsi"/>
          <w:sz w:val="24"/>
          <w:szCs w:val="24"/>
          <w:lang w:val="pl-PL"/>
        </w:rPr>
        <w:t>upublicznieni</w:t>
      </w:r>
      <w:r w:rsidRPr="00194E8E">
        <w:rPr>
          <w:rFonts w:asciiTheme="minorHAnsi" w:hAnsiTheme="minorHAnsi"/>
          <w:sz w:val="24"/>
          <w:szCs w:val="24"/>
          <w:lang w:val="pl-PL"/>
        </w:rPr>
        <w:t xml:space="preserve">u po przyjęciu przez Radę Ministrów zapewniona jest kompleksowa informacja na temat działań podejmowanych przez Polskę w celu wykonania wyroków </w:t>
      </w:r>
      <w:r w:rsidR="008E05D4">
        <w:rPr>
          <w:rFonts w:asciiTheme="minorHAnsi" w:hAnsiTheme="minorHAnsi"/>
          <w:sz w:val="24"/>
          <w:szCs w:val="24"/>
          <w:lang w:val="pl-PL"/>
        </w:rPr>
        <w:t>ETPC</w:t>
      </w:r>
      <w:r w:rsidRPr="00194E8E">
        <w:rPr>
          <w:rFonts w:asciiTheme="minorHAnsi" w:hAnsiTheme="minorHAnsi"/>
          <w:sz w:val="24"/>
          <w:szCs w:val="24"/>
          <w:lang w:val="pl-PL"/>
        </w:rPr>
        <w:t xml:space="preserve">. Ponadto, co ważne, dzięki Raportowi, zwiększa się </w:t>
      </w:r>
      <w:r w:rsidR="00807BB7" w:rsidRPr="00194E8E">
        <w:rPr>
          <w:rFonts w:asciiTheme="minorHAnsi" w:hAnsiTheme="minorHAnsi"/>
          <w:sz w:val="24"/>
          <w:szCs w:val="24"/>
          <w:lang w:val="pl-PL"/>
        </w:rPr>
        <w:t>przejrzystoś</w:t>
      </w:r>
      <w:r w:rsidRPr="00194E8E">
        <w:rPr>
          <w:rFonts w:asciiTheme="minorHAnsi" w:hAnsiTheme="minorHAnsi"/>
          <w:sz w:val="24"/>
          <w:szCs w:val="24"/>
          <w:lang w:val="pl-PL"/>
        </w:rPr>
        <w:t>ć</w:t>
      </w:r>
      <w:r w:rsidR="00807BB7" w:rsidRPr="00194E8E">
        <w:rPr>
          <w:rFonts w:asciiTheme="minorHAnsi" w:hAnsiTheme="minorHAnsi"/>
          <w:sz w:val="24"/>
          <w:szCs w:val="24"/>
          <w:lang w:val="pl-PL"/>
        </w:rPr>
        <w:t xml:space="preserve"> </w:t>
      </w:r>
      <w:r w:rsidR="00DD0730" w:rsidRPr="00194E8E">
        <w:rPr>
          <w:rFonts w:asciiTheme="minorHAnsi" w:hAnsiTheme="minorHAnsi"/>
          <w:sz w:val="24"/>
          <w:szCs w:val="24"/>
          <w:lang w:val="pl-PL"/>
        </w:rPr>
        <w:t xml:space="preserve">działań </w:t>
      </w:r>
      <w:r w:rsidRPr="00194E8E">
        <w:rPr>
          <w:rFonts w:asciiTheme="minorHAnsi" w:hAnsiTheme="minorHAnsi"/>
          <w:sz w:val="24"/>
          <w:szCs w:val="24"/>
          <w:lang w:val="pl-PL"/>
        </w:rPr>
        <w:t xml:space="preserve">wszystkich podmiotów zaangażowanych w ten proces. </w:t>
      </w:r>
      <w:r w:rsidR="00DD0730" w:rsidRPr="00194E8E">
        <w:rPr>
          <w:rFonts w:asciiTheme="minorHAnsi" w:hAnsiTheme="minorHAnsi"/>
          <w:sz w:val="24"/>
          <w:szCs w:val="24"/>
          <w:lang w:val="pl-PL"/>
        </w:rPr>
        <w:t>Informacje zawarte</w:t>
      </w:r>
      <w:r w:rsidR="007F54DB" w:rsidRPr="00194E8E">
        <w:rPr>
          <w:rFonts w:asciiTheme="minorHAnsi" w:hAnsiTheme="minorHAnsi"/>
          <w:sz w:val="24"/>
          <w:szCs w:val="24"/>
          <w:lang w:val="pl-PL"/>
        </w:rPr>
        <w:t xml:space="preserve"> w Raporcie</w:t>
      </w:r>
      <w:r w:rsidR="00DD0730" w:rsidRPr="00194E8E">
        <w:rPr>
          <w:rFonts w:asciiTheme="minorHAnsi" w:hAnsiTheme="minorHAnsi"/>
          <w:sz w:val="24"/>
          <w:szCs w:val="24"/>
          <w:lang w:val="pl-PL"/>
        </w:rPr>
        <w:t xml:space="preserve">, a zwłaszcza przedstawione statystyki, pozwalają na stwierdzenie, że podejmowane w ostatnich latach działania na rzecz realizacji orzeczeń </w:t>
      </w:r>
      <w:r w:rsidR="008E05D4">
        <w:rPr>
          <w:rFonts w:asciiTheme="minorHAnsi" w:hAnsiTheme="minorHAnsi"/>
          <w:sz w:val="24"/>
          <w:szCs w:val="24"/>
          <w:lang w:val="pl-PL"/>
        </w:rPr>
        <w:t>ETPC</w:t>
      </w:r>
      <w:r w:rsidR="00DD0730" w:rsidRPr="00194E8E">
        <w:rPr>
          <w:rFonts w:asciiTheme="minorHAnsi" w:hAnsiTheme="minorHAnsi"/>
          <w:sz w:val="24"/>
          <w:szCs w:val="24"/>
          <w:lang w:val="pl-PL"/>
        </w:rPr>
        <w:t xml:space="preserve"> w polskich sprawach przynoszą pozytywne rezultaty.</w:t>
      </w:r>
      <w:r w:rsidR="007F54DB" w:rsidRPr="00194E8E">
        <w:rPr>
          <w:rFonts w:asciiTheme="minorHAnsi" w:hAnsiTheme="minorHAnsi"/>
          <w:sz w:val="24"/>
          <w:szCs w:val="24"/>
          <w:lang w:val="pl-PL"/>
        </w:rPr>
        <w:t xml:space="preserve"> Warto podkreślić, że działania </w:t>
      </w:r>
      <w:r w:rsidR="00807BB7" w:rsidRPr="00194E8E">
        <w:rPr>
          <w:rFonts w:asciiTheme="minorHAnsi" w:hAnsiTheme="minorHAnsi"/>
          <w:sz w:val="24"/>
          <w:szCs w:val="24"/>
          <w:lang w:val="pl-PL"/>
        </w:rPr>
        <w:t xml:space="preserve">krajowe </w:t>
      </w:r>
      <w:r w:rsidR="007F54DB" w:rsidRPr="00194E8E">
        <w:rPr>
          <w:rFonts w:asciiTheme="minorHAnsi" w:hAnsiTheme="minorHAnsi"/>
          <w:sz w:val="24"/>
          <w:szCs w:val="24"/>
          <w:lang w:val="pl-PL"/>
        </w:rPr>
        <w:t xml:space="preserve">nie były oderwane od szerszego kontekstu </w:t>
      </w:r>
      <w:r w:rsidR="00E25285" w:rsidRPr="00194E8E">
        <w:rPr>
          <w:rFonts w:asciiTheme="minorHAnsi" w:hAnsiTheme="minorHAnsi"/>
          <w:sz w:val="24"/>
          <w:szCs w:val="24"/>
          <w:lang w:val="pl-PL"/>
        </w:rPr>
        <w:t xml:space="preserve">wysiłków podejmowanych na forum Rady Europy, </w:t>
      </w:r>
      <w:r w:rsidR="00807BB7" w:rsidRPr="00194E8E">
        <w:rPr>
          <w:rFonts w:asciiTheme="minorHAnsi" w:hAnsiTheme="minorHAnsi"/>
          <w:sz w:val="24"/>
          <w:szCs w:val="24"/>
          <w:lang w:val="pl-PL"/>
        </w:rPr>
        <w:t xml:space="preserve">które zmierzają do </w:t>
      </w:r>
      <w:r w:rsidR="00E25285" w:rsidRPr="00194E8E">
        <w:rPr>
          <w:rFonts w:asciiTheme="minorHAnsi" w:hAnsiTheme="minorHAnsi"/>
          <w:sz w:val="24"/>
          <w:szCs w:val="24"/>
          <w:lang w:val="pl-PL"/>
        </w:rPr>
        <w:t>zwiększeni</w:t>
      </w:r>
      <w:r w:rsidR="00807BB7" w:rsidRPr="00194E8E">
        <w:rPr>
          <w:rFonts w:asciiTheme="minorHAnsi" w:hAnsiTheme="minorHAnsi"/>
          <w:sz w:val="24"/>
          <w:szCs w:val="24"/>
          <w:lang w:val="pl-PL"/>
        </w:rPr>
        <w:t>a</w:t>
      </w:r>
      <w:r w:rsidR="00E25285" w:rsidRPr="00194E8E">
        <w:rPr>
          <w:rFonts w:asciiTheme="minorHAnsi" w:hAnsiTheme="minorHAnsi"/>
          <w:sz w:val="24"/>
          <w:szCs w:val="24"/>
          <w:lang w:val="pl-PL"/>
        </w:rPr>
        <w:t xml:space="preserve"> wydajności i wzmocnieni</w:t>
      </w:r>
      <w:r w:rsidR="00807BB7" w:rsidRPr="00194E8E">
        <w:rPr>
          <w:rFonts w:asciiTheme="minorHAnsi" w:hAnsiTheme="minorHAnsi"/>
          <w:sz w:val="24"/>
          <w:szCs w:val="24"/>
          <w:lang w:val="pl-PL"/>
        </w:rPr>
        <w:t>a</w:t>
      </w:r>
      <w:r w:rsidR="00E25285" w:rsidRPr="00194E8E">
        <w:rPr>
          <w:rFonts w:asciiTheme="minorHAnsi" w:hAnsiTheme="minorHAnsi"/>
          <w:sz w:val="24"/>
          <w:szCs w:val="24"/>
          <w:lang w:val="pl-PL"/>
        </w:rPr>
        <w:t xml:space="preserve"> systemu ustanowionego Europejską Konwencją Praw Człowieka. Pełnomocnik bierze aktywny udział w przedmiotowych pracach RE. </w:t>
      </w:r>
    </w:p>
    <w:p w:rsidR="001D34B8" w:rsidRPr="00194E8E" w:rsidRDefault="001D34B8" w:rsidP="00D33407">
      <w:pPr>
        <w:spacing w:after="120"/>
        <w:jc w:val="both"/>
        <w:rPr>
          <w:rFonts w:asciiTheme="minorHAnsi" w:hAnsiTheme="minorHAnsi"/>
        </w:rPr>
      </w:pPr>
      <w:r w:rsidRPr="00194E8E">
        <w:rPr>
          <w:rFonts w:asciiTheme="minorHAnsi" w:hAnsiTheme="minorHAnsi"/>
        </w:rPr>
        <w:t xml:space="preserve">Należy mieć na uwadze, że wykonywanie </w:t>
      </w:r>
      <w:r w:rsidR="00E40C25" w:rsidRPr="00194E8E">
        <w:rPr>
          <w:rFonts w:asciiTheme="minorHAnsi" w:hAnsiTheme="minorHAnsi"/>
        </w:rPr>
        <w:t xml:space="preserve">orzeczeń Europejskiego Trybunału Praw Człowieka </w:t>
      </w:r>
      <w:r w:rsidRPr="00194E8E">
        <w:rPr>
          <w:rFonts w:asciiTheme="minorHAnsi" w:hAnsiTheme="minorHAnsi"/>
        </w:rPr>
        <w:t xml:space="preserve">jest </w:t>
      </w:r>
      <w:r w:rsidR="00E40C25" w:rsidRPr="00194E8E">
        <w:rPr>
          <w:rFonts w:asciiTheme="minorHAnsi" w:hAnsiTheme="minorHAnsi"/>
        </w:rPr>
        <w:t>proces</w:t>
      </w:r>
      <w:r w:rsidRPr="00194E8E">
        <w:rPr>
          <w:rFonts w:asciiTheme="minorHAnsi" w:hAnsiTheme="minorHAnsi"/>
        </w:rPr>
        <w:t>em</w:t>
      </w:r>
      <w:r w:rsidR="00E40C25" w:rsidRPr="00194E8E">
        <w:rPr>
          <w:rFonts w:asciiTheme="minorHAnsi" w:hAnsiTheme="minorHAnsi"/>
        </w:rPr>
        <w:t xml:space="preserve"> złożony</w:t>
      </w:r>
      <w:r w:rsidRPr="00194E8E">
        <w:rPr>
          <w:rFonts w:asciiTheme="minorHAnsi" w:hAnsiTheme="minorHAnsi"/>
        </w:rPr>
        <w:t xml:space="preserve">m. Działania w tym zakresie podejmowane są przez </w:t>
      </w:r>
      <w:r w:rsidR="00E40C25" w:rsidRPr="00194E8E">
        <w:rPr>
          <w:rFonts w:asciiTheme="minorHAnsi" w:hAnsiTheme="minorHAnsi"/>
        </w:rPr>
        <w:t xml:space="preserve">wiele podmiotów administracji rządowej, wobec których Ministerstwo Spraw Zagranicznych pełni rolę koordynacyjną i reprezentacyjną względem Komitetu Ministrów Rady Europy. Kluczem do </w:t>
      </w:r>
      <w:r w:rsidR="00E40C25" w:rsidRPr="00194E8E">
        <w:rPr>
          <w:rFonts w:asciiTheme="minorHAnsi" w:hAnsiTheme="minorHAnsi"/>
        </w:rPr>
        <w:lastRenderedPageBreak/>
        <w:t>sukcesu w skutecznym wykonywaniu wyroków jest dobra współpraca pomiędzy MSZ a podmiotami bezpośrednio odpowiedzialnymi za wykonanie orzeczenia.</w:t>
      </w:r>
      <w:r w:rsidRPr="00194E8E">
        <w:rPr>
          <w:rFonts w:asciiTheme="minorHAnsi" w:hAnsiTheme="minorHAnsi"/>
        </w:rPr>
        <w:t xml:space="preserve"> </w:t>
      </w:r>
    </w:p>
    <w:p w:rsidR="001D34B8" w:rsidRPr="00194E8E" w:rsidRDefault="001D34B8" w:rsidP="00D33407">
      <w:pPr>
        <w:spacing w:after="120"/>
        <w:jc w:val="both"/>
        <w:rPr>
          <w:rFonts w:asciiTheme="minorHAnsi" w:hAnsiTheme="minorHAnsi"/>
        </w:rPr>
      </w:pPr>
      <w:r w:rsidRPr="00194E8E">
        <w:rPr>
          <w:rFonts w:asciiTheme="minorHAnsi" w:hAnsiTheme="minorHAnsi"/>
        </w:rPr>
        <w:t>Należy też podkreślić, że pomimo nadal utrzymującej się szczególnej sytuacji jaka miała miejsce w 2021 r.</w:t>
      </w:r>
      <w:r w:rsidR="008E05D4">
        <w:rPr>
          <w:rFonts w:asciiTheme="minorHAnsi" w:hAnsiTheme="minorHAnsi"/>
        </w:rPr>
        <w:t>,</w:t>
      </w:r>
      <w:r w:rsidRPr="00194E8E">
        <w:rPr>
          <w:rFonts w:asciiTheme="minorHAnsi" w:hAnsiTheme="minorHAnsi"/>
        </w:rPr>
        <w:t xml:space="preserve"> związanej z epidemią wirusa SARS-CoV-2, podjęto szereg działań mających na celu wykonanie wyroków i decyzji </w:t>
      </w:r>
      <w:r w:rsidR="008E05D4">
        <w:rPr>
          <w:rFonts w:asciiTheme="minorHAnsi" w:hAnsiTheme="minorHAnsi"/>
        </w:rPr>
        <w:t>ETPC</w:t>
      </w:r>
      <w:r w:rsidRPr="00194E8E">
        <w:rPr>
          <w:rFonts w:asciiTheme="minorHAnsi" w:hAnsiTheme="minorHAnsi"/>
        </w:rPr>
        <w:t xml:space="preserve">, co skutkowało 35 orzeczeniami, nad którymi zamknięto nadzór Komitetu Ministrów. </w:t>
      </w:r>
    </w:p>
    <w:p w:rsidR="00DD0730" w:rsidRPr="00194E8E" w:rsidRDefault="00DD0730" w:rsidP="00D33407">
      <w:pPr>
        <w:pStyle w:val="Akapitzlist"/>
        <w:spacing w:after="120" w:line="240" w:lineRule="auto"/>
        <w:ind w:left="0"/>
        <w:jc w:val="both"/>
        <w:rPr>
          <w:rFonts w:asciiTheme="minorHAnsi" w:hAnsiTheme="minorHAnsi"/>
          <w:sz w:val="24"/>
          <w:szCs w:val="24"/>
          <w:lang w:val="pl-PL"/>
        </w:rPr>
      </w:pPr>
      <w:r w:rsidRPr="00194E8E">
        <w:rPr>
          <w:rFonts w:asciiTheme="minorHAnsi" w:hAnsiTheme="minorHAnsi"/>
          <w:sz w:val="24"/>
          <w:szCs w:val="24"/>
          <w:lang w:val="pl-PL"/>
        </w:rPr>
        <w:t xml:space="preserve">Wśród </w:t>
      </w:r>
      <w:r w:rsidR="001D34B8" w:rsidRPr="00194E8E">
        <w:rPr>
          <w:rFonts w:asciiTheme="minorHAnsi" w:hAnsiTheme="minorHAnsi"/>
          <w:sz w:val="24"/>
          <w:szCs w:val="24"/>
          <w:lang w:val="pl-PL"/>
        </w:rPr>
        <w:t>97</w:t>
      </w:r>
      <w:r w:rsidR="006A5C13" w:rsidRPr="00194E8E">
        <w:rPr>
          <w:rFonts w:asciiTheme="minorHAnsi" w:hAnsiTheme="minorHAnsi"/>
          <w:sz w:val="24"/>
          <w:szCs w:val="24"/>
          <w:lang w:val="pl-PL"/>
        </w:rPr>
        <w:t xml:space="preserve"> </w:t>
      </w:r>
      <w:r w:rsidR="006753AD" w:rsidRPr="00194E8E">
        <w:rPr>
          <w:rFonts w:asciiTheme="minorHAnsi" w:hAnsiTheme="minorHAnsi"/>
          <w:sz w:val="24"/>
          <w:szCs w:val="24"/>
          <w:lang w:val="pl-PL"/>
        </w:rPr>
        <w:t>spraw</w:t>
      </w:r>
      <w:r w:rsidR="001D34B8" w:rsidRPr="00194E8E">
        <w:rPr>
          <w:rFonts w:asciiTheme="minorHAnsi" w:hAnsiTheme="minorHAnsi"/>
          <w:sz w:val="24"/>
          <w:szCs w:val="24"/>
          <w:lang w:val="pl-PL"/>
        </w:rPr>
        <w:t xml:space="preserve"> pozostających w nadzorze na koniec 2021 r. </w:t>
      </w:r>
      <w:r w:rsidRPr="00194E8E">
        <w:rPr>
          <w:rFonts w:asciiTheme="minorHAnsi" w:hAnsiTheme="minorHAnsi"/>
          <w:sz w:val="24"/>
          <w:szCs w:val="24"/>
          <w:lang w:val="pl-PL"/>
        </w:rPr>
        <w:t xml:space="preserve">największą grupę </w:t>
      </w:r>
      <w:r w:rsidR="006A5C13" w:rsidRPr="00194E8E">
        <w:rPr>
          <w:rFonts w:asciiTheme="minorHAnsi" w:hAnsiTheme="minorHAnsi"/>
          <w:sz w:val="24"/>
          <w:szCs w:val="24"/>
          <w:lang w:val="pl-PL"/>
        </w:rPr>
        <w:t xml:space="preserve">nadal </w:t>
      </w:r>
      <w:r w:rsidRPr="00194E8E">
        <w:rPr>
          <w:rFonts w:asciiTheme="minorHAnsi" w:hAnsiTheme="minorHAnsi"/>
          <w:sz w:val="24"/>
          <w:szCs w:val="24"/>
          <w:lang w:val="pl-PL"/>
        </w:rPr>
        <w:t xml:space="preserve">stanowią wyroki dotyczące przewlekłości postępowań administracyjnych i sądowo-administracyjnych </w:t>
      </w:r>
      <w:r w:rsidR="006753AD" w:rsidRPr="00194E8E">
        <w:rPr>
          <w:rFonts w:asciiTheme="minorHAnsi" w:hAnsiTheme="minorHAnsi"/>
          <w:sz w:val="24"/>
          <w:szCs w:val="24"/>
          <w:lang w:val="pl-PL"/>
        </w:rPr>
        <w:t>oraz</w:t>
      </w:r>
      <w:r w:rsidRPr="00194E8E">
        <w:rPr>
          <w:rFonts w:asciiTheme="minorHAnsi" w:hAnsiTheme="minorHAnsi"/>
          <w:sz w:val="24"/>
          <w:szCs w:val="24"/>
          <w:lang w:val="pl-PL"/>
        </w:rPr>
        <w:t xml:space="preserve"> przewle</w:t>
      </w:r>
      <w:r w:rsidR="006753AD" w:rsidRPr="00194E8E">
        <w:rPr>
          <w:rFonts w:asciiTheme="minorHAnsi" w:hAnsiTheme="minorHAnsi"/>
          <w:sz w:val="24"/>
          <w:szCs w:val="24"/>
          <w:lang w:val="pl-PL"/>
        </w:rPr>
        <w:t xml:space="preserve">kłości postępowań cywilnych </w:t>
      </w:r>
      <w:r w:rsidRPr="00194E8E">
        <w:rPr>
          <w:rFonts w:asciiTheme="minorHAnsi" w:hAnsiTheme="minorHAnsi"/>
          <w:sz w:val="24"/>
          <w:szCs w:val="24"/>
          <w:lang w:val="pl-PL"/>
        </w:rPr>
        <w:t xml:space="preserve">i karnych. </w:t>
      </w:r>
      <w:r w:rsidR="00604102" w:rsidRPr="00194E8E">
        <w:rPr>
          <w:rFonts w:asciiTheme="minorHAnsi" w:hAnsiTheme="minorHAnsi"/>
          <w:sz w:val="24"/>
          <w:szCs w:val="24"/>
          <w:lang w:val="pl-PL"/>
        </w:rPr>
        <w:t>Mimo zamknięcia wielu spraw w tych grupach w latach 2017-20</w:t>
      </w:r>
      <w:r w:rsidR="00AF6ADF" w:rsidRPr="00194E8E">
        <w:rPr>
          <w:rFonts w:asciiTheme="minorHAnsi" w:hAnsiTheme="minorHAnsi"/>
          <w:sz w:val="24"/>
          <w:szCs w:val="24"/>
          <w:lang w:val="pl-PL"/>
        </w:rPr>
        <w:t>2</w:t>
      </w:r>
      <w:r w:rsidR="001D34B8" w:rsidRPr="00194E8E">
        <w:rPr>
          <w:rFonts w:asciiTheme="minorHAnsi" w:hAnsiTheme="minorHAnsi"/>
          <w:sz w:val="24"/>
          <w:szCs w:val="24"/>
          <w:lang w:val="pl-PL"/>
        </w:rPr>
        <w:t>1</w:t>
      </w:r>
      <w:r w:rsidR="00604102" w:rsidRPr="00194E8E">
        <w:rPr>
          <w:rFonts w:asciiTheme="minorHAnsi" w:hAnsiTheme="minorHAnsi"/>
          <w:sz w:val="24"/>
          <w:szCs w:val="24"/>
          <w:lang w:val="pl-PL"/>
        </w:rPr>
        <w:t xml:space="preserve">, </w:t>
      </w:r>
      <w:r w:rsidRPr="00194E8E">
        <w:rPr>
          <w:rFonts w:asciiTheme="minorHAnsi" w:hAnsiTheme="minorHAnsi"/>
          <w:sz w:val="24"/>
          <w:szCs w:val="24"/>
          <w:lang w:val="pl-PL"/>
        </w:rPr>
        <w:t xml:space="preserve">KM nadal </w:t>
      </w:r>
      <w:r w:rsidR="002F22AF" w:rsidRPr="00194E8E">
        <w:rPr>
          <w:rFonts w:asciiTheme="minorHAnsi" w:hAnsiTheme="minorHAnsi"/>
          <w:sz w:val="24"/>
          <w:szCs w:val="24"/>
          <w:lang w:val="pl-PL"/>
        </w:rPr>
        <w:t xml:space="preserve">będzie </w:t>
      </w:r>
      <w:r w:rsidRPr="00194E8E">
        <w:rPr>
          <w:rFonts w:asciiTheme="minorHAnsi" w:hAnsiTheme="minorHAnsi"/>
          <w:sz w:val="24"/>
          <w:szCs w:val="24"/>
          <w:lang w:val="pl-PL"/>
        </w:rPr>
        <w:t xml:space="preserve">nadzorował realizację </w:t>
      </w:r>
      <w:r w:rsidR="00604102" w:rsidRPr="00194E8E">
        <w:rPr>
          <w:rFonts w:asciiTheme="minorHAnsi" w:hAnsiTheme="minorHAnsi"/>
          <w:sz w:val="24"/>
          <w:szCs w:val="24"/>
          <w:lang w:val="pl-PL"/>
        </w:rPr>
        <w:t>środków generalnych</w:t>
      </w:r>
      <w:r w:rsidR="002F22AF" w:rsidRPr="00194E8E">
        <w:rPr>
          <w:rFonts w:asciiTheme="minorHAnsi" w:hAnsiTheme="minorHAnsi"/>
          <w:sz w:val="24"/>
          <w:szCs w:val="24"/>
          <w:lang w:val="pl-PL"/>
        </w:rPr>
        <w:t xml:space="preserve"> w ramach grupy </w:t>
      </w:r>
      <w:r w:rsidR="002F22AF" w:rsidRPr="00194E8E">
        <w:rPr>
          <w:rFonts w:asciiTheme="minorHAnsi" w:hAnsiTheme="minorHAnsi"/>
          <w:i/>
          <w:sz w:val="24"/>
          <w:szCs w:val="24"/>
          <w:lang w:val="pl-PL"/>
        </w:rPr>
        <w:t>Beller</w:t>
      </w:r>
      <w:r w:rsidR="002F22AF" w:rsidRPr="00194E8E">
        <w:rPr>
          <w:rFonts w:asciiTheme="minorHAnsi" w:hAnsiTheme="minorHAnsi"/>
          <w:sz w:val="24"/>
          <w:szCs w:val="24"/>
          <w:lang w:val="pl-PL"/>
        </w:rPr>
        <w:t xml:space="preserve"> oraz grupy </w:t>
      </w:r>
      <w:r w:rsidR="002F22AF" w:rsidRPr="00194E8E">
        <w:rPr>
          <w:rFonts w:asciiTheme="minorHAnsi" w:hAnsiTheme="minorHAnsi"/>
          <w:i/>
          <w:sz w:val="24"/>
          <w:szCs w:val="24"/>
          <w:lang w:val="pl-PL"/>
        </w:rPr>
        <w:t>Bąk, Majewski i Rutkowski i inni</w:t>
      </w:r>
      <w:r w:rsidRPr="00194E8E">
        <w:rPr>
          <w:rFonts w:asciiTheme="minorHAnsi" w:hAnsiTheme="minorHAnsi"/>
          <w:sz w:val="24"/>
          <w:szCs w:val="24"/>
          <w:lang w:val="pl-PL"/>
        </w:rPr>
        <w:t xml:space="preserve">. </w:t>
      </w:r>
      <w:r w:rsidR="00CD4849" w:rsidRPr="00194E8E">
        <w:rPr>
          <w:rFonts w:asciiTheme="minorHAnsi" w:hAnsiTheme="minorHAnsi"/>
          <w:sz w:val="24"/>
          <w:szCs w:val="24"/>
          <w:lang w:val="pl-PL"/>
        </w:rPr>
        <w:t xml:space="preserve">Dlatego też działania </w:t>
      </w:r>
      <w:r w:rsidR="00604102" w:rsidRPr="00194E8E">
        <w:rPr>
          <w:rFonts w:asciiTheme="minorHAnsi" w:hAnsiTheme="minorHAnsi"/>
          <w:sz w:val="24"/>
          <w:szCs w:val="24"/>
          <w:lang w:val="pl-PL"/>
        </w:rPr>
        <w:t xml:space="preserve">na rzecz przeciwdziałania przewlekłości postępowań przed sądami (zarówno cywilnymi, karnymi, jak i administracyjnymi) i organami administracyjnymi oraz zapewnienia skuteczności środków zaskarżenia długości tych postępowań, </w:t>
      </w:r>
      <w:r w:rsidR="00BA13ED">
        <w:rPr>
          <w:rFonts w:asciiTheme="minorHAnsi" w:hAnsiTheme="minorHAnsi"/>
          <w:sz w:val="24"/>
          <w:szCs w:val="24"/>
          <w:lang w:val="pl-PL"/>
        </w:rPr>
        <w:t>powinny</w:t>
      </w:r>
      <w:r w:rsidR="00604102" w:rsidRPr="00194E8E">
        <w:rPr>
          <w:rFonts w:asciiTheme="minorHAnsi" w:hAnsiTheme="minorHAnsi"/>
          <w:sz w:val="24"/>
          <w:szCs w:val="24"/>
          <w:lang w:val="pl-PL"/>
        </w:rPr>
        <w:t xml:space="preserve"> być kontynuowane</w:t>
      </w:r>
      <w:r w:rsidR="002F22AF" w:rsidRPr="00194E8E">
        <w:rPr>
          <w:rFonts w:asciiTheme="minorHAnsi" w:hAnsiTheme="minorHAnsi"/>
          <w:sz w:val="24"/>
          <w:szCs w:val="24"/>
          <w:lang w:val="pl-PL"/>
        </w:rPr>
        <w:t xml:space="preserve"> </w:t>
      </w:r>
      <w:r w:rsidR="00BA13ED">
        <w:rPr>
          <w:rFonts w:asciiTheme="minorHAnsi" w:hAnsiTheme="minorHAnsi"/>
          <w:sz w:val="24"/>
          <w:szCs w:val="24"/>
          <w:lang w:val="pl-PL"/>
        </w:rPr>
        <w:t>–</w:t>
      </w:r>
      <w:r w:rsidR="00604102" w:rsidRPr="00194E8E">
        <w:rPr>
          <w:rFonts w:asciiTheme="minorHAnsi" w:hAnsiTheme="minorHAnsi"/>
          <w:sz w:val="24"/>
          <w:szCs w:val="24"/>
          <w:lang w:val="pl-PL"/>
        </w:rPr>
        <w:t xml:space="preserve"> przede</w:t>
      </w:r>
      <w:r w:rsidR="00BA13ED">
        <w:rPr>
          <w:rFonts w:asciiTheme="minorHAnsi" w:hAnsiTheme="minorHAnsi"/>
          <w:sz w:val="24"/>
          <w:szCs w:val="24"/>
          <w:lang w:val="pl-PL"/>
        </w:rPr>
        <w:t xml:space="preserve"> </w:t>
      </w:r>
      <w:r w:rsidR="00604102" w:rsidRPr="00194E8E">
        <w:rPr>
          <w:rFonts w:asciiTheme="minorHAnsi" w:hAnsiTheme="minorHAnsi"/>
          <w:sz w:val="24"/>
          <w:szCs w:val="24"/>
          <w:lang w:val="pl-PL"/>
        </w:rPr>
        <w:t xml:space="preserve">wszystkim w zakresie skutecznej realizacji w praktyce przyjętych zmian w prawie. </w:t>
      </w:r>
      <w:r w:rsidR="00BA13ED">
        <w:rPr>
          <w:rFonts w:asciiTheme="minorHAnsi" w:hAnsiTheme="minorHAnsi"/>
          <w:sz w:val="24"/>
          <w:szCs w:val="24"/>
          <w:lang w:val="pl-PL"/>
        </w:rPr>
        <w:t>W</w:t>
      </w:r>
      <w:r w:rsidR="00604102" w:rsidRPr="00194E8E">
        <w:rPr>
          <w:rFonts w:asciiTheme="minorHAnsi" w:hAnsiTheme="minorHAnsi"/>
          <w:sz w:val="24"/>
          <w:szCs w:val="24"/>
          <w:lang w:val="pl-PL"/>
        </w:rPr>
        <w:t xml:space="preserve">ysiłki </w:t>
      </w:r>
      <w:r w:rsidR="00BA13ED">
        <w:rPr>
          <w:rFonts w:asciiTheme="minorHAnsi" w:hAnsiTheme="minorHAnsi"/>
          <w:sz w:val="24"/>
          <w:szCs w:val="24"/>
          <w:lang w:val="pl-PL"/>
        </w:rPr>
        <w:t xml:space="preserve">Rządu </w:t>
      </w:r>
      <w:r w:rsidR="00604102" w:rsidRPr="00194E8E">
        <w:rPr>
          <w:rFonts w:asciiTheme="minorHAnsi" w:hAnsiTheme="minorHAnsi"/>
          <w:sz w:val="24"/>
          <w:szCs w:val="24"/>
          <w:lang w:val="pl-PL"/>
        </w:rPr>
        <w:t xml:space="preserve">powinny być wspierane przez władzę sądowniczą, </w:t>
      </w:r>
      <w:r w:rsidR="002F22AF" w:rsidRPr="00194E8E">
        <w:rPr>
          <w:rFonts w:asciiTheme="minorHAnsi" w:hAnsiTheme="minorHAnsi"/>
          <w:sz w:val="24"/>
          <w:szCs w:val="24"/>
          <w:lang w:val="pl-PL"/>
        </w:rPr>
        <w:t xml:space="preserve">inne </w:t>
      </w:r>
      <w:r w:rsidR="00604102" w:rsidRPr="00194E8E">
        <w:rPr>
          <w:rFonts w:asciiTheme="minorHAnsi" w:hAnsiTheme="minorHAnsi"/>
          <w:sz w:val="24"/>
          <w:szCs w:val="24"/>
          <w:lang w:val="pl-PL"/>
        </w:rPr>
        <w:t xml:space="preserve">organy stosujące prawo oraz </w:t>
      </w:r>
      <w:r w:rsidR="00BA13ED">
        <w:rPr>
          <w:rFonts w:asciiTheme="minorHAnsi" w:hAnsiTheme="minorHAnsi"/>
          <w:sz w:val="24"/>
          <w:szCs w:val="24"/>
          <w:lang w:val="pl-PL"/>
        </w:rPr>
        <w:t>P</w:t>
      </w:r>
      <w:r w:rsidR="00604102" w:rsidRPr="00194E8E">
        <w:rPr>
          <w:rFonts w:asciiTheme="minorHAnsi" w:hAnsiTheme="minorHAnsi"/>
          <w:sz w:val="24"/>
          <w:szCs w:val="24"/>
          <w:lang w:val="pl-PL"/>
        </w:rPr>
        <w:t xml:space="preserve">arlament. </w:t>
      </w:r>
    </w:p>
    <w:p w:rsidR="00DD0730" w:rsidRPr="00194E8E" w:rsidRDefault="00FD2CAE" w:rsidP="00D33407">
      <w:pPr>
        <w:pStyle w:val="Akapitzlist"/>
        <w:spacing w:after="120" w:line="240" w:lineRule="auto"/>
        <w:ind w:left="0"/>
        <w:jc w:val="both"/>
        <w:rPr>
          <w:rFonts w:asciiTheme="minorHAnsi" w:hAnsiTheme="minorHAnsi"/>
          <w:sz w:val="24"/>
          <w:szCs w:val="24"/>
          <w:lang w:val="pl-PL"/>
        </w:rPr>
      </w:pPr>
      <w:r w:rsidRPr="00194E8E">
        <w:rPr>
          <w:rFonts w:asciiTheme="minorHAnsi" w:hAnsiTheme="minorHAnsi"/>
          <w:sz w:val="24"/>
          <w:szCs w:val="24"/>
          <w:lang w:val="pl-PL"/>
        </w:rPr>
        <w:t>Ponownie należy przypomnieć, że s</w:t>
      </w:r>
      <w:r w:rsidR="00E40C25" w:rsidRPr="00194E8E">
        <w:rPr>
          <w:rFonts w:asciiTheme="minorHAnsi" w:hAnsiTheme="minorHAnsi"/>
          <w:sz w:val="24"/>
          <w:szCs w:val="24"/>
          <w:lang w:val="pl-PL"/>
        </w:rPr>
        <w:t xml:space="preserve">kuteczne wykonanie orzeczeń Europejskiego Trybunału Praw Człowieka możliwe jest wyłącznie przy ścisłej i sprawnej współpracy władzy wykonawczej z władzą ustawodawczą i sądowniczą. </w:t>
      </w:r>
      <w:r w:rsidR="00153309" w:rsidRPr="00194E8E">
        <w:rPr>
          <w:rFonts w:asciiTheme="minorHAnsi" w:hAnsiTheme="minorHAnsi"/>
          <w:sz w:val="24"/>
          <w:szCs w:val="24"/>
          <w:lang w:val="pl-PL"/>
        </w:rPr>
        <w:t>Należy bowiem pamiętać, że za naruszenia Europejskiej Konwencji Praw Człowieka</w:t>
      </w:r>
      <w:r w:rsidR="00F75E0B" w:rsidRPr="00194E8E">
        <w:rPr>
          <w:rFonts w:asciiTheme="minorHAnsi" w:hAnsiTheme="minorHAnsi"/>
          <w:sz w:val="24"/>
          <w:szCs w:val="24"/>
          <w:lang w:val="pl-PL"/>
        </w:rPr>
        <w:t>,</w:t>
      </w:r>
      <w:r w:rsidR="00153309" w:rsidRPr="00194E8E">
        <w:rPr>
          <w:rFonts w:asciiTheme="minorHAnsi" w:hAnsiTheme="minorHAnsi"/>
          <w:sz w:val="24"/>
          <w:szCs w:val="24"/>
          <w:lang w:val="pl-PL"/>
        </w:rPr>
        <w:t xml:space="preserve"> stwierdzone przez </w:t>
      </w:r>
      <w:r w:rsidR="00BA13ED">
        <w:rPr>
          <w:rFonts w:asciiTheme="minorHAnsi" w:hAnsiTheme="minorHAnsi"/>
          <w:sz w:val="24"/>
          <w:szCs w:val="24"/>
          <w:lang w:val="pl-PL"/>
        </w:rPr>
        <w:t>ETPC</w:t>
      </w:r>
      <w:r w:rsidR="00153309" w:rsidRPr="00194E8E">
        <w:rPr>
          <w:rFonts w:asciiTheme="minorHAnsi" w:hAnsiTheme="minorHAnsi"/>
          <w:sz w:val="24"/>
          <w:szCs w:val="24"/>
          <w:lang w:val="pl-PL"/>
        </w:rPr>
        <w:t xml:space="preserve"> w poszczególnych wyrokach</w:t>
      </w:r>
      <w:r w:rsidR="00F75E0B" w:rsidRPr="00194E8E">
        <w:rPr>
          <w:rFonts w:asciiTheme="minorHAnsi" w:hAnsiTheme="minorHAnsi"/>
          <w:sz w:val="24"/>
          <w:szCs w:val="24"/>
          <w:lang w:val="pl-PL"/>
        </w:rPr>
        <w:t>,</w:t>
      </w:r>
      <w:r w:rsidR="00153309" w:rsidRPr="00194E8E">
        <w:rPr>
          <w:rFonts w:asciiTheme="minorHAnsi" w:hAnsiTheme="minorHAnsi"/>
          <w:sz w:val="24"/>
          <w:szCs w:val="24"/>
          <w:lang w:val="pl-PL"/>
        </w:rPr>
        <w:t xml:space="preserve"> odpowiada nie tylko władza wykonawcza, ale też sądownicza i ustawodawcza. Stąd też tylko bliska współpraca przedstawicieli wszystkich trzech władz pozwoli na skuteczn</w:t>
      </w:r>
      <w:r w:rsidR="006E7818" w:rsidRPr="00194E8E">
        <w:rPr>
          <w:rFonts w:asciiTheme="minorHAnsi" w:hAnsiTheme="minorHAnsi"/>
          <w:sz w:val="24"/>
          <w:szCs w:val="24"/>
          <w:lang w:val="pl-PL"/>
        </w:rPr>
        <w:t>ą</w:t>
      </w:r>
      <w:r w:rsidR="00153309" w:rsidRPr="00194E8E">
        <w:rPr>
          <w:rFonts w:asciiTheme="minorHAnsi" w:hAnsiTheme="minorHAnsi"/>
          <w:sz w:val="24"/>
          <w:szCs w:val="24"/>
          <w:lang w:val="pl-PL"/>
        </w:rPr>
        <w:t xml:space="preserve"> implementację wyroków. </w:t>
      </w:r>
      <w:r w:rsidR="00E40C25" w:rsidRPr="00194E8E">
        <w:rPr>
          <w:rFonts w:asciiTheme="minorHAnsi" w:hAnsiTheme="minorHAnsi"/>
          <w:sz w:val="24"/>
          <w:szCs w:val="24"/>
          <w:lang w:val="pl-PL"/>
        </w:rPr>
        <w:t>Z</w:t>
      </w:r>
      <w:r w:rsidR="002F22AF" w:rsidRPr="00194E8E">
        <w:rPr>
          <w:rFonts w:asciiTheme="minorHAnsi" w:hAnsiTheme="minorHAnsi"/>
          <w:sz w:val="24"/>
          <w:szCs w:val="24"/>
          <w:lang w:val="pl-PL"/>
        </w:rPr>
        <w:t xml:space="preserve">naczenie w tym zakresie mają </w:t>
      </w:r>
      <w:r w:rsidR="00153309" w:rsidRPr="00194E8E">
        <w:rPr>
          <w:rFonts w:asciiTheme="minorHAnsi" w:hAnsiTheme="minorHAnsi"/>
          <w:sz w:val="24"/>
          <w:szCs w:val="24"/>
          <w:lang w:val="pl-PL"/>
        </w:rPr>
        <w:t>m.in.</w:t>
      </w:r>
      <w:r w:rsidR="002F22AF" w:rsidRPr="00194E8E">
        <w:rPr>
          <w:rFonts w:asciiTheme="minorHAnsi" w:hAnsiTheme="minorHAnsi"/>
          <w:sz w:val="24"/>
          <w:szCs w:val="24"/>
          <w:lang w:val="pl-PL"/>
        </w:rPr>
        <w:t xml:space="preserve"> działania upowszechniające standardy wynikające z Konwencji i orzecznictwa </w:t>
      </w:r>
      <w:r w:rsidR="00BA13ED">
        <w:rPr>
          <w:rFonts w:asciiTheme="minorHAnsi" w:hAnsiTheme="minorHAnsi"/>
          <w:sz w:val="24"/>
          <w:szCs w:val="24"/>
          <w:lang w:val="pl-PL"/>
        </w:rPr>
        <w:t>ETPC</w:t>
      </w:r>
      <w:r w:rsidR="002F22AF" w:rsidRPr="00194E8E">
        <w:rPr>
          <w:rFonts w:asciiTheme="minorHAnsi" w:hAnsiTheme="minorHAnsi"/>
          <w:sz w:val="24"/>
          <w:szCs w:val="24"/>
          <w:lang w:val="pl-PL"/>
        </w:rPr>
        <w:t xml:space="preserve"> oraz działalność szkoleniowa, skierowana do praktyków stosowania prawa. </w:t>
      </w:r>
      <w:r w:rsidR="00153309" w:rsidRPr="00194E8E">
        <w:rPr>
          <w:rFonts w:asciiTheme="minorHAnsi" w:hAnsiTheme="minorHAnsi"/>
          <w:sz w:val="24"/>
          <w:szCs w:val="24"/>
          <w:lang w:val="pl-PL"/>
        </w:rPr>
        <w:t xml:space="preserve">Ponadto niezwykle istotny dla skutecznego przeciwdziałania naruszeniom Konwencji w przyszłości jest proces tworzenia prawa w sposób zgodny ze standardami strasburskimi. </w:t>
      </w:r>
    </w:p>
    <w:p w:rsidR="00DD0730" w:rsidRPr="00194E8E" w:rsidRDefault="00153309" w:rsidP="00D33407">
      <w:pPr>
        <w:pStyle w:val="Akapitzlist"/>
        <w:spacing w:after="120" w:line="240" w:lineRule="auto"/>
        <w:ind w:left="0"/>
        <w:jc w:val="both"/>
        <w:rPr>
          <w:rFonts w:asciiTheme="minorHAnsi" w:hAnsiTheme="minorHAnsi"/>
          <w:sz w:val="24"/>
          <w:szCs w:val="24"/>
          <w:lang w:val="pl-PL"/>
        </w:rPr>
      </w:pPr>
      <w:r w:rsidRPr="00194E8E">
        <w:rPr>
          <w:rFonts w:asciiTheme="minorHAnsi" w:hAnsiTheme="minorHAnsi"/>
          <w:sz w:val="24"/>
          <w:szCs w:val="24"/>
          <w:lang w:val="pl-PL"/>
        </w:rPr>
        <w:t>Na zakończenie warto podkreślić</w:t>
      </w:r>
      <w:r w:rsidR="00FD2CAE" w:rsidRPr="00194E8E">
        <w:rPr>
          <w:rFonts w:asciiTheme="minorHAnsi" w:hAnsiTheme="minorHAnsi"/>
          <w:sz w:val="24"/>
          <w:szCs w:val="24"/>
          <w:lang w:val="pl-PL"/>
        </w:rPr>
        <w:t xml:space="preserve"> także</w:t>
      </w:r>
      <w:r w:rsidRPr="00194E8E">
        <w:rPr>
          <w:rFonts w:asciiTheme="minorHAnsi" w:hAnsiTheme="minorHAnsi"/>
          <w:sz w:val="24"/>
          <w:szCs w:val="24"/>
          <w:lang w:val="pl-PL"/>
        </w:rPr>
        <w:t>, że</w:t>
      </w:r>
      <w:r w:rsidR="006A5C13" w:rsidRPr="00194E8E">
        <w:rPr>
          <w:rFonts w:asciiTheme="minorHAnsi" w:hAnsiTheme="minorHAnsi"/>
          <w:sz w:val="24"/>
          <w:szCs w:val="24"/>
          <w:lang w:val="pl-PL"/>
        </w:rPr>
        <w:t xml:space="preserve"> wypracowany w Polsce model instytucjonalnej współpracy administracji państwowej w celu wykonania orzeczeń ETPC funkcjonuje sprawnie i należy ocenić go pozytywnie. </w:t>
      </w:r>
      <w:r w:rsidR="00FD2CAE" w:rsidRPr="00194E8E">
        <w:rPr>
          <w:rFonts w:asciiTheme="minorHAnsi" w:hAnsiTheme="minorHAnsi"/>
          <w:sz w:val="24"/>
          <w:szCs w:val="24"/>
          <w:lang w:val="pl-PL"/>
        </w:rPr>
        <w:t>A</w:t>
      </w:r>
      <w:r w:rsidR="00984AC7" w:rsidRPr="00194E8E">
        <w:rPr>
          <w:rFonts w:asciiTheme="minorHAnsi" w:hAnsiTheme="minorHAnsi"/>
          <w:sz w:val="24"/>
          <w:szCs w:val="24"/>
          <w:lang w:val="pl-PL"/>
        </w:rPr>
        <w:t xml:space="preserve">ktywna działalność Pełnomocnika zarówno w kraju, jak i w ramach </w:t>
      </w:r>
      <w:r w:rsidR="00DD0730" w:rsidRPr="00194E8E">
        <w:rPr>
          <w:rFonts w:asciiTheme="minorHAnsi" w:hAnsiTheme="minorHAnsi"/>
          <w:sz w:val="24"/>
          <w:szCs w:val="24"/>
          <w:lang w:val="pl-PL"/>
        </w:rPr>
        <w:t>reprezentacji procesowej MSZ</w:t>
      </w:r>
      <w:r w:rsidR="00984AC7" w:rsidRPr="00194E8E">
        <w:rPr>
          <w:rFonts w:asciiTheme="minorHAnsi" w:hAnsiTheme="minorHAnsi"/>
          <w:sz w:val="24"/>
          <w:szCs w:val="24"/>
          <w:lang w:val="pl-PL"/>
        </w:rPr>
        <w:t xml:space="preserve"> na zewnątrz oraz działalność</w:t>
      </w:r>
      <w:r w:rsidR="00DD0730" w:rsidRPr="00194E8E">
        <w:rPr>
          <w:rFonts w:asciiTheme="minorHAnsi" w:hAnsiTheme="minorHAnsi"/>
          <w:sz w:val="24"/>
          <w:szCs w:val="24"/>
          <w:lang w:val="pl-PL"/>
        </w:rPr>
        <w:t xml:space="preserve"> </w:t>
      </w:r>
      <w:r w:rsidR="00292854" w:rsidRPr="00194E8E">
        <w:rPr>
          <w:rFonts w:asciiTheme="minorHAnsi" w:hAnsiTheme="minorHAnsi"/>
          <w:sz w:val="24"/>
          <w:szCs w:val="24"/>
          <w:lang w:val="pl-PL"/>
        </w:rPr>
        <w:t>Zespołu ds. Europejskiego Trybunału Praw Człowieka</w:t>
      </w:r>
      <w:r w:rsidR="00984AC7" w:rsidRPr="00194E8E">
        <w:rPr>
          <w:rFonts w:asciiTheme="minorHAnsi" w:hAnsiTheme="minorHAnsi"/>
          <w:sz w:val="24"/>
          <w:szCs w:val="24"/>
          <w:lang w:val="pl-PL"/>
        </w:rPr>
        <w:t xml:space="preserve"> </w:t>
      </w:r>
      <w:r w:rsidR="00DD0730" w:rsidRPr="00194E8E">
        <w:rPr>
          <w:rFonts w:asciiTheme="minorHAnsi" w:hAnsiTheme="minorHAnsi"/>
          <w:sz w:val="24"/>
          <w:szCs w:val="24"/>
          <w:lang w:val="pl-PL"/>
        </w:rPr>
        <w:t>na rzecz wykonywania wyroków</w:t>
      </w:r>
      <w:r w:rsidR="00984AC7" w:rsidRPr="00194E8E">
        <w:rPr>
          <w:rFonts w:asciiTheme="minorHAnsi" w:hAnsiTheme="minorHAnsi"/>
          <w:sz w:val="24"/>
          <w:szCs w:val="24"/>
          <w:lang w:val="pl-PL"/>
        </w:rPr>
        <w:t xml:space="preserve"> </w:t>
      </w:r>
      <w:r w:rsidR="00292854" w:rsidRPr="00194E8E">
        <w:rPr>
          <w:rFonts w:asciiTheme="minorHAnsi" w:hAnsiTheme="minorHAnsi"/>
          <w:sz w:val="24"/>
          <w:szCs w:val="24"/>
          <w:lang w:val="pl-PL"/>
        </w:rPr>
        <w:t>będą kontynuowane w 20</w:t>
      </w:r>
      <w:r w:rsidR="00984AC7" w:rsidRPr="00194E8E">
        <w:rPr>
          <w:rFonts w:asciiTheme="minorHAnsi" w:hAnsiTheme="minorHAnsi"/>
          <w:sz w:val="24"/>
          <w:szCs w:val="24"/>
          <w:lang w:val="pl-PL"/>
        </w:rPr>
        <w:t>2</w:t>
      </w:r>
      <w:r w:rsidR="00FD2CAE" w:rsidRPr="00194E8E">
        <w:rPr>
          <w:rFonts w:asciiTheme="minorHAnsi" w:hAnsiTheme="minorHAnsi"/>
          <w:sz w:val="24"/>
          <w:szCs w:val="24"/>
          <w:lang w:val="pl-PL"/>
        </w:rPr>
        <w:t>2</w:t>
      </w:r>
      <w:r w:rsidR="00292854" w:rsidRPr="00194E8E">
        <w:rPr>
          <w:rFonts w:asciiTheme="minorHAnsi" w:hAnsiTheme="minorHAnsi"/>
          <w:sz w:val="24"/>
          <w:szCs w:val="24"/>
          <w:lang w:val="pl-PL"/>
        </w:rPr>
        <w:t xml:space="preserve"> r., a informacja o nich </w:t>
      </w:r>
      <w:r w:rsidR="00984AC7" w:rsidRPr="00194E8E">
        <w:rPr>
          <w:rFonts w:asciiTheme="minorHAnsi" w:hAnsiTheme="minorHAnsi"/>
          <w:sz w:val="24"/>
          <w:szCs w:val="24"/>
          <w:lang w:val="pl-PL"/>
        </w:rPr>
        <w:t xml:space="preserve">zostanie </w:t>
      </w:r>
      <w:r w:rsidR="00292854" w:rsidRPr="00194E8E">
        <w:rPr>
          <w:rFonts w:asciiTheme="minorHAnsi" w:hAnsiTheme="minorHAnsi"/>
          <w:sz w:val="24"/>
          <w:szCs w:val="24"/>
          <w:lang w:val="pl-PL"/>
        </w:rPr>
        <w:t>przedstawiona w kolejnym Raporcie.</w:t>
      </w:r>
    </w:p>
    <w:p w:rsidR="00D33407" w:rsidRDefault="00D33407" w:rsidP="00BA13ED">
      <w:pPr>
        <w:pStyle w:val="Akapitzlist"/>
        <w:spacing w:before="120" w:after="0" w:line="240" w:lineRule="auto"/>
        <w:ind w:left="0"/>
        <w:jc w:val="center"/>
        <w:rPr>
          <w:rFonts w:asciiTheme="minorHAnsi" w:hAnsiTheme="minorHAnsi"/>
          <w:sz w:val="24"/>
          <w:szCs w:val="24"/>
          <w:lang w:val="pl-PL"/>
        </w:rPr>
      </w:pPr>
    </w:p>
    <w:p w:rsidR="00FF5333" w:rsidRPr="00194E8E" w:rsidRDefault="00FF5333" w:rsidP="00BA13ED">
      <w:pPr>
        <w:pStyle w:val="Akapitzlist"/>
        <w:spacing w:before="120" w:after="0" w:line="240" w:lineRule="auto"/>
        <w:ind w:left="0"/>
        <w:jc w:val="center"/>
        <w:rPr>
          <w:rFonts w:asciiTheme="minorHAnsi" w:hAnsiTheme="minorHAnsi"/>
          <w:sz w:val="24"/>
          <w:szCs w:val="24"/>
          <w:lang w:val="pl-PL"/>
        </w:rPr>
      </w:pPr>
    </w:p>
    <w:p w:rsidR="00DD0730" w:rsidRPr="00194E8E" w:rsidRDefault="00DD0730" w:rsidP="00BA13ED">
      <w:pPr>
        <w:pStyle w:val="Akapitzlist"/>
        <w:spacing w:after="0" w:line="240" w:lineRule="auto"/>
        <w:ind w:left="0"/>
        <w:jc w:val="center"/>
        <w:rPr>
          <w:rFonts w:asciiTheme="minorHAnsi" w:eastAsia="Times New Roman" w:hAnsiTheme="minorHAnsi"/>
          <w:sz w:val="24"/>
          <w:szCs w:val="24"/>
          <w:lang w:val="pl-PL" w:eastAsia="pl-PL"/>
        </w:rPr>
      </w:pPr>
      <w:r w:rsidRPr="00194E8E">
        <w:rPr>
          <w:rFonts w:asciiTheme="minorHAnsi" w:eastAsia="Times New Roman" w:hAnsiTheme="minorHAnsi"/>
          <w:sz w:val="24"/>
          <w:szCs w:val="24"/>
          <w:lang w:val="pl-PL" w:eastAsia="pl-PL"/>
        </w:rPr>
        <w:t>Jan Sobczak</w:t>
      </w:r>
    </w:p>
    <w:p w:rsidR="00BA13ED" w:rsidRDefault="00DD0730" w:rsidP="00BA13ED">
      <w:pPr>
        <w:pStyle w:val="Akapitzlist"/>
        <w:spacing w:after="0" w:line="240" w:lineRule="auto"/>
        <w:ind w:left="0"/>
        <w:jc w:val="center"/>
        <w:rPr>
          <w:rFonts w:asciiTheme="minorHAnsi" w:eastAsia="Times New Roman" w:hAnsiTheme="minorHAnsi"/>
          <w:sz w:val="24"/>
          <w:szCs w:val="24"/>
          <w:lang w:val="pl-PL" w:eastAsia="pl-PL"/>
        </w:rPr>
      </w:pPr>
      <w:r w:rsidRPr="00194E8E">
        <w:rPr>
          <w:rFonts w:asciiTheme="minorHAnsi" w:eastAsia="Times New Roman" w:hAnsiTheme="minorHAnsi"/>
          <w:sz w:val="24"/>
          <w:szCs w:val="24"/>
          <w:lang w:val="pl-PL" w:eastAsia="pl-PL"/>
        </w:rPr>
        <w:t>Pełnomocnik Ministra</w:t>
      </w:r>
    </w:p>
    <w:p w:rsidR="00DC1381" w:rsidRPr="00194E8E" w:rsidRDefault="00DD0730" w:rsidP="00D33407">
      <w:pPr>
        <w:pStyle w:val="Akapitzlist"/>
        <w:spacing w:after="0" w:line="240" w:lineRule="auto"/>
        <w:ind w:left="0" w:firstLine="6"/>
        <w:jc w:val="center"/>
        <w:rPr>
          <w:rFonts w:asciiTheme="minorHAnsi" w:hAnsiTheme="minorHAnsi"/>
          <w:b/>
          <w:sz w:val="24"/>
          <w:szCs w:val="24"/>
          <w:highlight w:val="yellow"/>
          <w:lang w:val="pl-PL"/>
        </w:rPr>
      </w:pPr>
      <w:r w:rsidRPr="00194E8E">
        <w:rPr>
          <w:rFonts w:asciiTheme="minorHAnsi" w:hAnsiTheme="minorHAnsi"/>
          <w:highlight w:val="yellow"/>
          <w:lang w:val="pl-PL"/>
        </w:rPr>
        <w:br w:type="page"/>
      </w:r>
    </w:p>
    <w:p w:rsidR="00DD0730" w:rsidRPr="00194E8E" w:rsidRDefault="00DD0730" w:rsidP="00D33407">
      <w:pPr>
        <w:pStyle w:val="Nagwek1"/>
        <w:numPr>
          <w:ilvl w:val="0"/>
          <w:numId w:val="0"/>
        </w:numPr>
        <w:spacing w:before="120"/>
        <w:rPr>
          <w:rFonts w:asciiTheme="minorHAnsi" w:hAnsiTheme="minorHAnsi"/>
          <w:lang w:val="pl-PL"/>
        </w:rPr>
      </w:pPr>
      <w:bookmarkStart w:id="19" w:name="_Toc112058312"/>
      <w:r w:rsidRPr="00194E8E">
        <w:rPr>
          <w:rFonts w:asciiTheme="minorHAnsi" w:hAnsiTheme="minorHAnsi"/>
          <w:lang w:val="pl-PL"/>
        </w:rPr>
        <w:lastRenderedPageBreak/>
        <w:t>WYKAZ SKRÓTÓW</w:t>
      </w:r>
      <w:bookmarkEnd w:id="19"/>
    </w:p>
    <w:p w:rsidR="00DD0730" w:rsidRPr="00194E8E" w:rsidRDefault="00DD0730" w:rsidP="00D33407">
      <w:pPr>
        <w:pStyle w:val="Akapitzlist"/>
        <w:spacing w:before="120" w:after="0" w:line="240" w:lineRule="auto"/>
        <w:ind w:left="0"/>
        <w:jc w:val="both"/>
        <w:rPr>
          <w:rFonts w:asciiTheme="minorHAnsi" w:hAnsiTheme="minorHAnsi"/>
          <w:sz w:val="24"/>
          <w:szCs w:val="24"/>
          <w:lang w:val="pl-PL"/>
        </w:rPr>
      </w:pPr>
      <w:r w:rsidRPr="00194E8E">
        <w:rPr>
          <w:rFonts w:asciiTheme="minorHAnsi" w:hAnsiTheme="minorHAnsi"/>
          <w:b/>
          <w:sz w:val="24"/>
          <w:szCs w:val="24"/>
          <w:lang w:val="pl-PL"/>
        </w:rPr>
        <w:t>Pełnomocnik</w:t>
      </w:r>
      <w:r w:rsidR="00FC7A39" w:rsidRPr="00194E8E">
        <w:rPr>
          <w:rFonts w:asciiTheme="minorHAnsi" w:hAnsiTheme="minorHAnsi"/>
          <w:b/>
          <w:sz w:val="24"/>
          <w:szCs w:val="24"/>
          <w:lang w:val="pl-PL"/>
        </w:rPr>
        <w:t>, Pełnomocnik Ministra</w:t>
      </w:r>
      <w:r w:rsidRPr="00194E8E">
        <w:rPr>
          <w:rFonts w:asciiTheme="minorHAnsi" w:hAnsiTheme="minorHAnsi"/>
          <w:b/>
          <w:sz w:val="24"/>
          <w:szCs w:val="24"/>
          <w:lang w:val="pl-PL"/>
        </w:rPr>
        <w:t xml:space="preserve"> </w:t>
      </w:r>
      <w:r w:rsidRPr="00194E8E">
        <w:rPr>
          <w:rFonts w:asciiTheme="minorHAnsi" w:hAnsiTheme="minorHAnsi"/>
          <w:sz w:val="24"/>
          <w:szCs w:val="24"/>
          <w:lang w:val="pl-PL"/>
        </w:rPr>
        <w:t>– Pełnomocnik Ministra Spraw Zagranicznych do spraw Postępowań przed Europejskim Trybunałem Praw Człowieka</w:t>
      </w:r>
    </w:p>
    <w:p w:rsidR="00DD0730" w:rsidRPr="00194E8E" w:rsidRDefault="000F3E2F" w:rsidP="00D33407">
      <w:pPr>
        <w:pStyle w:val="Akapitzlist"/>
        <w:spacing w:before="120" w:after="0" w:line="240" w:lineRule="auto"/>
        <w:ind w:left="0"/>
        <w:jc w:val="both"/>
        <w:rPr>
          <w:rFonts w:asciiTheme="minorHAnsi" w:hAnsiTheme="minorHAnsi"/>
          <w:sz w:val="24"/>
          <w:szCs w:val="24"/>
          <w:lang w:val="pl-PL"/>
        </w:rPr>
      </w:pPr>
      <w:r w:rsidRPr="00194E8E">
        <w:rPr>
          <w:rFonts w:asciiTheme="minorHAnsi" w:hAnsiTheme="minorHAnsi"/>
          <w:b/>
          <w:sz w:val="24"/>
          <w:szCs w:val="24"/>
          <w:lang w:val="pl-PL"/>
        </w:rPr>
        <w:t>Zespół ds. ETPC</w:t>
      </w:r>
      <w:r w:rsidR="00DD0730" w:rsidRPr="00194E8E">
        <w:rPr>
          <w:rFonts w:asciiTheme="minorHAnsi" w:hAnsiTheme="minorHAnsi"/>
          <w:b/>
          <w:sz w:val="24"/>
          <w:szCs w:val="24"/>
          <w:lang w:val="pl-PL"/>
        </w:rPr>
        <w:t xml:space="preserve"> </w:t>
      </w:r>
      <w:r w:rsidR="00DD0730" w:rsidRPr="00194E8E">
        <w:rPr>
          <w:rFonts w:asciiTheme="minorHAnsi" w:hAnsiTheme="minorHAnsi"/>
          <w:sz w:val="24"/>
          <w:szCs w:val="24"/>
          <w:lang w:val="pl-PL"/>
        </w:rPr>
        <w:t>– Zespół do spraw Europejskiego Trybunału Praw Człowieka</w:t>
      </w:r>
    </w:p>
    <w:p w:rsidR="00DD0730" w:rsidRPr="00194E8E" w:rsidRDefault="000F3E2F" w:rsidP="00D33407">
      <w:pPr>
        <w:pStyle w:val="Akapitzlist"/>
        <w:spacing w:before="120" w:after="0" w:line="240" w:lineRule="auto"/>
        <w:ind w:left="0"/>
        <w:jc w:val="both"/>
        <w:rPr>
          <w:rFonts w:asciiTheme="minorHAnsi" w:hAnsiTheme="minorHAnsi"/>
          <w:sz w:val="24"/>
          <w:szCs w:val="24"/>
          <w:lang w:val="pl-PL"/>
        </w:rPr>
      </w:pPr>
      <w:r w:rsidRPr="00194E8E">
        <w:rPr>
          <w:rFonts w:asciiTheme="minorHAnsi" w:hAnsiTheme="minorHAnsi"/>
          <w:b/>
          <w:sz w:val="24"/>
          <w:szCs w:val="24"/>
          <w:lang w:val="pl-PL"/>
        </w:rPr>
        <w:t>ETPC</w:t>
      </w:r>
      <w:r w:rsidR="00DD0730" w:rsidRPr="00194E8E">
        <w:rPr>
          <w:rFonts w:asciiTheme="minorHAnsi" w:hAnsiTheme="minorHAnsi"/>
          <w:b/>
          <w:sz w:val="24"/>
          <w:szCs w:val="24"/>
          <w:lang w:val="pl-PL"/>
        </w:rPr>
        <w:t xml:space="preserve"> </w:t>
      </w:r>
      <w:r w:rsidR="00DD0730" w:rsidRPr="00194E8E">
        <w:rPr>
          <w:rFonts w:asciiTheme="minorHAnsi" w:hAnsiTheme="minorHAnsi"/>
          <w:sz w:val="24"/>
          <w:szCs w:val="24"/>
          <w:lang w:val="pl-PL"/>
        </w:rPr>
        <w:t>–</w:t>
      </w:r>
      <w:r w:rsidR="00DD0730" w:rsidRPr="00194E8E">
        <w:rPr>
          <w:rFonts w:asciiTheme="minorHAnsi" w:hAnsiTheme="minorHAnsi"/>
          <w:b/>
          <w:sz w:val="24"/>
          <w:szCs w:val="24"/>
          <w:lang w:val="pl-PL"/>
        </w:rPr>
        <w:t xml:space="preserve"> </w:t>
      </w:r>
      <w:r w:rsidR="00DD0730" w:rsidRPr="00194E8E">
        <w:rPr>
          <w:rFonts w:asciiTheme="minorHAnsi" w:hAnsiTheme="minorHAnsi"/>
          <w:sz w:val="24"/>
          <w:szCs w:val="24"/>
          <w:lang w:val="pl-PL"/>
        </w:rPr>
        <w:t>Europejski Trybunał Praw Człowieka</w:t>
      </w:r>
    </w:p>
    <w:p w:rsidR="00DD0730" w:rsidRPr="00194E8E" w:rsidRDefault="00DD0730" w:rsidP="00D33407">
      <w:pPr>
        <w:pStyle w:val="Akapitzlist"/>
        <w:spacing w:before="120" w:after="0" w:line="240" w:lineRule="auto"/>
        <w:ind w:left="0"/>
        <w:jc w:val="both"/>
        <w:rPr>
          <w:rFonts w:asciiTheme="minorHAnsi" w:hAnsiTheme="minorHAnsi"/>
          <w:b/>
          <w:sz w:val="24"/>
          <w:szCs w:val="24"/>
          <w:lang w:val="pl-PL"/>
        </w:rPr>
      </w:pPr>
      <w:r w:rsidRPr="00194E8E">
        <w:rPr>
          <w:rFonts w:asciiTheme="minorHAnsi" w:hAnsiTheme="minorHAnsi"/>
          <w:b/>
          <w:sz w:val="24"/>
          <w:szCs w:val="24"/>
          <w:lang w:val="pl-PL"/>
        </w:rPr>
        <w:t xml:space="preserve">RE </w:t>
      </w:r>
      <w:r w:rsidRPr="00194E8E">
        <w:rPr>
          <w:rFonts w:asciiTheme="minorHAnsi" w:hAnsiTheme="minorHAnsi"/>
          <w:sz w:val="24"/>
          <w:szCs w:val="24"/>
          <w:lang w:val="pl-PL"/>
        </w:rPr>
        <w:t>–</w:t>
      </w:r>
      <w:r w:rsidRPr="00194E8E">
        <w:rPr>
          <w:rFonts w:asciiTheme="minorHAnsi" w:hAnsiTheme="minorHAnsi"/>
          <w:b/>
          <w:sz w:val="24"/>
          <w:szCs w:val="24"/>
          <w:lang w:val="pl-PL"/>
        </w:rPr>
        <w:t xml:space="preserve"> </w:t>
      </w:r>
      <w:r w:rsidRPr="00194E8E">
        <w:rPr>
          <w:rFonts w:asciiTheme="minorHAnsi" w:hAnsiTheme="minorHAnsi"/>
          <w:sz w:val="24"/>
          <w:szCs w:val="24"/>
          <w:lang w:val="pl-PL"/>
        </w:rPr>
        <w:t>Rada Europy</w:t>
      </w:r>
    </w:p>
    <w:p w:rsidR="00DD0730" w:rsidRPr="00194E8E" w:rsidRDefault="00DD0730" w:rsidP="00D33407">
      <w:pPr>
        <w:pStyle w:val="Akapitzlist"/>
        <w:spacing w:before="120" w:after="0" w:line="240" w:lineRule="auto"/>
        <w:ind w:left="0"/>
        <w:jc w:val="both"/>
        <w:rPr>
          <w:rFonts w:asciiTheme="minorHAnsi" w:hAnsiTheme="minorHAnsi"/>
          <w:sz w:val="24"/>
          <w:szCs w:val="24"/>
          <w:lang w:val="pl-PL"/>
        </w:rPr>
      </w:pPr>
      <w:r w:rsidRPr="00194E8E">
        <w:rPr>
          <w:rFonts w:asciiTheme="minorHAnsi" w:hAnsiTheme="minorHAnsi"/>
          <w:b/>
          <w:sz w:val="24"/>
          <w:szCs w:val="24"/>
          <w:lang w:val="pl-PL"/>
        </w:rPr>
        <w:t xml:space="preserve">Raport z wykonania </w:t>
      </w:r>
      <w:r w:rsidRPr="00194E8E">
        <w:rPr>
          <w:rFonts w:asciiTheme="minorHAnsi" w:hAnsiTheme="minorHAnsi"/>
          <w:sz w:val="24"/>
          <w:szCs w:val="24"/>
          <w:lang w:val="pl-PL"/>
        </w:rPr>
        <w:t xml:space="preserve">– raport z działań podjętych w celu wykonania wyroku Trybunału </w:t>
      </w:r>
    </w:p>
    <w:p w:rsidR="00DD0730" w:rsidRPr="00194E8E" w:rsidRDefault="004B4866" w:rsidP="00D33407">
      <w:pPr>
        <w:pStyle w:val="Akapitzlist"/>
        <w:spacing w:before="120" w:after="0" w:line="240" w:lineRule="auto"/>
        <w:ind w:left="0"/>
        <w:jc w:val="both"/>
        <w:rPr>
          <w:rFonts w:asciiTheme="minorHAnsi" w:hAnsiTheme="minorHAnsi"/>
          <w:b/>
          <w:sz w:val="24"/>
          <w:szCs w:val="24"/>
          <w:lang w:val="pl-PL"/>
        </w:rPr>
      </w:pPr>
      <w:r w:rsidRPr="00194E8E">
        <w:rPr>
          <w:rFonts w:asciiTheme="minorHAnsi" w:hAnsiTheme="minorHAnsi"/>
          <w:b/>
          <w:sz w:val="24"/>
          <w:szCs w:val="24"/>
          <w:lang w:val="pl-PL"/>
        </w:rPr>
        <w:t xml:space="preserve">Komitet Ministrów, </w:t>
      </w:r>
      <w:r w:rsidR="00DD0730" w:rsidRPr="00194E8E">
        <w:rPr>
          <w:rFonts w:asciiTheme="minorHAnsi" w:hAnsiTheme="minorHAnsi"/>
          <w:b/>
          <w:sz w:val="24"/>
          <w:szCs w:val="24"/>
          <w:lang w:val="pl-PL"/>
        </w:rPr>
        <w:t xml:space="preserve">KM </w:t>
      </w:r>
      <w:r w:rsidR="00DD0730" w:rsidRPr="00194E8E">
        <w:rPr>
          <w:rFonts w:asciiTheme="minorHAnsi" w:hAnsiTheme="minorHAnsi"/>
          <w:sz w:val="24"/>
          <w:szCs w:val="24"/>
          <w:lang w:val="pl-PL"/>
        </w:rPr>
        <w:t>– Komitet Ministrów Rady Europy</w:t>
      </w:r>
    </w:p>
    <w:p w:rsidR="00DD0730" w:rsidRPr="00194E8E" w:rsidRDefault="000F26D4" w:rsidP="00D33407">
      <w:pPr>
        <w:pStyle w:val="Akapitzlist"/>
        <w:spacing w:before="120" w:after="0" w:line="240" w:lineRule="auto"/>
        <w:ind w:left="0"/>
        <w:jc w:val="both"/>
        <w:rPr>
          <w:rFonts w:asciiTheme="minorHAnsi" w:hAnsiTheme="minorHAnsi"/>
          <w:sz w:val="24"/>
          <w:szCs w:val="24"/>
          <w:lang w:val="pl-PL"/>
        </w:rPr>
      </w:pPr>
      <w:r w:rsidRPr="00194E8E">
        <w:rPr>
          <w:rFonts w:asciiTheme="minorHAnsi" w:hAnsiTheme="minorHAnsi"/>
          <w:b/>
          <w:sz w:val="24"/>
          <w:szCs w:val="24"/>
          <w:lang w:val="pl-PL"/>
        </w:rPr>
        <w:t>D</w:t>
      </w:r>
      <w:r w:rsidR="00DD0730" w:rsidRPr="00194E8E">
        <w:rPr>
          <w:rFonts w:asciiTheme="minorHAnsi" w:hAnsiTheme="minorHAnsi"/>
          <w:b/>
          <w:sz w:val="24"/>
          <w:szCs w:val="24"/>
          <w:lang w:val="pl-PL"/>
        </w:rPr>
        <w:t xml:space="preserve">WW </w:t>
      </w:r>
      <w:r w:rsidR="00DD0730" w:rsidRPr="00194E8E">
        <w:rPr>
          <w:rFonts w:asciiTheme="minorHAnsi" w:hAnsiTheme="minorHAnsi"/>
          <w:sz w:val="24"/>
          <w:szCs w:val="24"/>
          <w:lang w:val="pl-PL"/>
        </w:rPr>
        <w:t xml:space="preserve">– </w:t>
      </w:r>
      <w:r w:rsidRPr="00194E8E">
        <w:rPr>
          <w:rFonts w:asciiTheme="minorHAnsi" w:hAnsiTheme="minorHAnsi"/>
          <w:sz w:val="24"/>
          <w:szCs w:val="24"/>
          <w:lang w:val="pl-PL"/>
        </w:rPr>
        <w:t>Departament</w:t>
      </w:r>
      <w:r w:rsidR="00DD0730" w:rsidRPr="00194E8E">
        <w:rPr>
          <w:rFonts w:asciiTheme="minorHAnsi" w:hAnsiTheme="minorHAnsi"/>
          <w:sz w:val="24"/>
          <w:szCs w:val="24"/>
          <w:lang w:val="pl-PL"/>
        </w:rPr>
        <w:t xml:space="preserve"> Wykonywania Wyroków Europejskiego </w:t>
      </w:r>
      <w:r w:rsidR="00167149" w:rsidRPr="00194E8E">
        <w:rPr>
          <w:rFonts w:asciiTheme="minorHAnsi" w:hAnsiTheme="minorHAnsi"/>
          <w:sz w:val="24"/>
          <w:szCs w:val="24"/>
          <w:lang w:val="pl-PL"/>
        </w:rPr>
        <w:t>T</w:t>
      </w:r>
      <w:r w:rsidR="00DD0730" w:rsidRPr="00194E8E">
        <w:rPr>
          <w:rFonts w:asciiTheme="minorHAnsi" w:hAnsiTheme="minorHAnsi"/>
          <w:sz w:val="24"/>
          <w:szCs w:val="24"/>
          <w:lang w:val="pl-PL"/>
        </w:rPr>
        <w:t>rybunału Praw Człowieka Sekretariatu Rady Europy</w:t>
      </w:r>
    </w:p>
    <w:p w:rsidR="00DD0730" w:rsidRPr="00194E8E" w:rsidRDefault="00DD0730" w:rsidP="00D33407">
      <w:pPr>
        <w:pStyle w:val="Akapitzlist"/>
        <w:spacing w:before="120" w:after="0" w:line="240" w:lineRule="auto"/>
        <w:ind w:left="0"/>
        <w:jc w:val="both"/>
        <w:rPr>
          <w:rFonts w:asciiTheme="minorHAnsi" w:hAnsiTheme="minorHAnsi"/>
          <w:sz w:val="24"/>
          <w:szCs w:val="24"/>
          <w:lang w:val="pl-PL"/>
        </w:rPr>
      </w:pPr>
      <w:r w:rsidRPr="00194E8E">
        <w:rPr>
          <w:rFonts w:asciiTheme="minorHAnsi" w:hAnsiTheme="minorHAnsi"/>
          <w:b/>
          <w:sz w:val="24"/>
          <w:szCs w:val="24"/>
          <w:lang w:val="pl-PL"/>
        </w:rPr>
        <w:t>Konwencja</w:t>
      </w:r>
      <w:r w:rsidR="000F26D4" w:rsidRPr="00194E8E">
        <w:rPr>
          <w:rFonts w:asciiTheme="minorHAnsi" w:hAnsiTheme="minorHAnsi"/>
          <w:b/>
          <w:sz w:val="24"/>
          <w:szCs w:val="24"/>
          <w:lang w:val="pl-PL"/>
        </w:rPr>
        <w:t>, Europejska Konwencja Praw Człowieka</w:t>
      </w:r>
      <w:r w:rsidRPr="00194E8E">
        <w:rPr>
          <w:rFonts w:asciiTheme="minorHAnsi" w:hAnsiTheme="minorHAnsi"/>
          <w:sz w:val="24"/>
          <w:szCs w:val="24"/>
          <w:lang w:val="pl-PL"/>
        </w:rPr>
        <w:t xml:space="preserve"> – Konwencja o ochronie praw człowieka i podstawowych wolności </w:t>
      </w:r>
    </w:p>
    <w:p w:rsidR="00DD0730" w:rsidRPr="00194E8E" w:rsidRDefault="00167149" w:rsidP="00D33407">
      <w:pPr>
        <w:pStyle w:val="Akapitzlist"/>
        <w:spacing w:before="120" w:after="0" w:line="240" w:lineRule="auto"/>
        <w:ind w:left="0"/>
        <w:jc w:val="both"/>
        <w:rPr>
          <w:rFonts w:asciiTheme="minorHAnsi" w:hAnsiTheme="minorHAnsi"/>
          <w:b/>
          <w:sz w:val="24"/>
          <w:szCs w:val="24"/>
          <w:lang w:val="pl-PL"/>
        </w:rPr>
      </w:pPr>
      <w:r w:rsidRPr="00194E8E">
        <w:rPr>
          <w:rFonts w:asciiTheme="minorHAnsi" w:hAnsiTheme="minorHAnsi"/>
          <w:b/>
          <w:sz w:val="24"/>
          <w:szCs w:val="24"/>
          <w:lang w:val="pl-PL"/>
        </w:rPr>
        <w:t>ZPRE – Zgromadzenie Parlamentarne Rady Europy</w:t>
      </w:r>
    </w:p>
    <w:p w:rsidR="00DD0730" w:rsidRPr="00194E8E" w:rsidRDefault="00DD0730" w:rsidP="002C2D40">
      <w:pPr>
        <w:pStyle w:val="Akapitzlist"/>
        <w:spacing w:before="120" w:after="0" w:line="240" w:lineRule="auto"/>
        <w:ind w:left="426"/>
        <w:jc w:val="both"/>
        <w:rPr>
          <w:rFonts w:asciiTheme="minorHAnsi" w:hAnsiTheme="minorHAnsi"/>
          <w:b/>
          <w:sz w:val="24"/>
          <w:szCs w:val="24"/>
          <w:lang w:val="pl-PL"/>
        </w:rPr>
      </w:pPr>
    </w:p>
    <w:p w:rsidR="00DD0730" w:rsidRPr="00194E8E" w:rsidRDefault="00665061" w:rsidP="00D33407">
      <w:pPr>
        <w:pStyle w:val="Nagwek1"/>
        <w:numPr>
          <w:ilvl w:val="0"/>
          <w:numId w:val="0"/>
        </w:numPr>
        <w:spacing w:before="120"/>
        <w:rPr>
          <w:rFonts w:asciiTheme="minorHAnsi" w:hAnsiTheme="minorHAnsi"/>
          <w:lang w:val="pl-PL"/>
        </w:rPr>
      </w:pPr>
      <w:bookmarkStart w:id="20" w:name="_Toc112058313"/>
      <w:r w:rsidRPr="00194E8E">
        <w:rPr>
          <w:rFonts w:asciiTheme="minorHAnsi" w:hAnsiTheme="minorHAnsi"/>
          <w:lang w:val="pl-PL"/>
        </w:rPr>
        <w:t>WYKAZ ZAŁĄCZNIKÓW</w:t>
      </w:r>
      <w:bookmarkEnd w:id="20"/>
      <w:r w:rsidR="00863A62" w:rsidRPr="00194E8E">
        <w:rPr>
          <w:rFonts w:asciiTheme="minorHAnsi" w:hAnsiTheme="minorHAnsi"/>
          <w:lang w:val="pl-PL"/>
        </w:rPr>
        <w:t xml:space="preserve"> </w:t>
      </w:r>
    </w:p>
    <w:p w:rsidR="00E02164" w:rsidRPr="00194E8E" w:rsidRDefault="00DD0730" w:rsidP="00D33407">
      <w:pPr>
        <w:pStyle w:val="Akapitzlist"/>
        <w:spacing w:before="120" w:after="0" w:line="240" w:lineRule="auto"/>
        <w:ind w:left="0"/>
        <w:jc w:val="both"/>
        <w:rPr>
          <w:rFonts w:asciiTheme="minorHAnsi" w:hAnsiTheme="minorHAnsi"/>
          <w:sz w:val="24"/>
          <w:szCs w:val="24"/>
          <w:lang w:val="pl-PL"/>
        </w:rPr>
      </w:pPr>
      <w:r w:rsidRPr="00194E8E">
        <w:rPr>
          <w:rFonts w:asciiTheme="minorHAnsi" w:hAnsiTheme="minorHAnsi"/>
          <w:b/>
          <w:sz w:val="24"/>
          <w:szCs w:val="24"/>
          <w:lang w:val="pl-PL"/>
        </w:rPr>
        <w:t xml:space="preserve">A. </w:t>
      </w:r>
      <w:r w:rsidR="00E02164" w:rsidRPr="00194E8E">
        <w:rPr>
          <w:rFonts w:asciiTheme="minorHAnsi" w:hAnsiTheme="minorHAnsi"/>
          <w:sz w:val="24"/>
          <w:szCs w:val="24"/>
          <w:lang w:val="pl-PL"/>
        </w:rPr>
        <w:t>Wykaz orzeczeń wydanych w 20</w:t>
      </w:r>
      <w:r w:rsidR="004B4866" w:rsidRPr="00194E8E">
        <w:rPr>
          <w:rFonts w:asciiTheme="minorHAnsi" w:hAnsiTheme="minorHAnsi"/>
          <w:sz w:val="24"/>
          <w:szCs w:val="24"/>
          <w:lang w:val="pl-PL"/>
        </w:rPr>
        <w:t>2</w:t>
      </w:r>
      <w:r w:rsidR="00536676" w:rsidRPr="00194E8E">
        <w:rPr>
          <w:rFonts w:asciiTheme="minorHAnsi" w:hAnsiTheme="minorHAnsi"/>
          <w:sz w:val="24"/>
          <w:szCs w:val="24"/>
          <w:lang w:val="pl-PL"/>
        </w:rPr>
        <w:t>1</w:t>
      </w:r>
      <w:r w:rsidR="00E02164" w:rsidRPr="00194E8E">
        <w:rPr>
          <w:rFonts w:asciiTheme="minorHAnsi" w:hAnsiTheme="minorHAnsi"/>
          <w:sz w:val="24"/>
          <w:szCs w:val="24"/>
          <w:lang w:val="pl-PL"/>
        </w:rPr>
        <w:t xml:space="preserve"> r. przez Europejski Trybunał Praw Człowieka w sprawach polskich</w:t>
      </w:r>
    </w:p>
    <w:p w:rsidR="00DD0730" w:rsidRPr="00194E8E" w:rsidRDefault="00E02164" w:rsidP="00D33407">
      <w:pPr>
        <w:pStyle w:val="Akapitzlist"/>
        <w:spacing w:before="120" w:after="0" w:line="240" w:lineRule="auto"/>
        <w:ind w:left="0"/>
        <w:jc w:val="both"/>
        <w:rPr>
          <w:rFonts w:asciiTheme="minorHAnsi" w:hAnsiTheme="minorHAnsi"/>
          <w:b/>
          <w:sz w:val="24"/>
          <w:szCs w:val="24"/>
          <w:lang w:val="pl-PL"/>
        </w:rPr>
      </w:pPr>
      <w:r w:rsidRPr="00194E8E">
        <w:rPr>
          <w:rFonts w:asciiTheme="minorHAnsi" w:hAnsiTheme="minorHAnsi"/>
          <w:b/>
          <w:sz w:val="24"/>
          <w:szCs w:val="24"/>
          <w:lang w:val="pl-PL"/>
        </w:rPr>
        <w:t xml:space="preserve">B. </w:t>
      </w:r>
      <w:r w:rsidR="00DD0730" w:rsidRPr="00194E8E">
        <w:rPr>
          <w:rFonts w:asciiTheme="minorHAnsi" w:hAnsiTheme="minorHAnsi"/>
          <w:sz w:val="24"/>
          <w:szCs w:val="24"/>
          <w:lang w:val="pl-PL"/>
        </w:rPr>
        <w:t xml:space="preserve">Wykaz planów działań i raportów z wykonania wysłanych do Komitetu Ministrów </w:t>
      </w:r>
      <w:r w:rsidRPr="00194E8E">
        <w:rPr>
          <w:rFonts w:asciiTheme="minorHAnsi" w:hAnsiTheme="minorHAnsi"/>
          <w:sz w:val="24"/>
          <w:szCs w:val="24"/>
          <w:lang w:val="pl-PL"/>
        </w:rPr>
        <w:t xml:space="preserve">RE </w:t>
      </w:r>
      <w:r w:rsidR="004B4866" w:rsidRPr="00194E8E">
        <w:rPr>
          <w:rFonts w:asciiTheme="minorHAnsi" w:hAnsiTheme="minorHAnsi"/>
          <w:sz w:val="24"/>
          <w:szCs w:val="24"/>
          <w:lang w:val="pl-PL"/>
        </w:rPr>
        <w:t>w 202</w:t>
      </w:r>
      <w:r w:rsidR="00536676" w:rsidRPr="00194E8E">
        <w:rPr>
          <w:rFonts w:asciiTheme="minorHAnsi" w:hAnsiTheme="minorHAnsi"/>
          <w:sz w:val="24"/>
          <w:szCs w:val="24"/>
          <w:lang w:val="pl-PL"/>
        </w:rPr>
        <w:t>1</w:t>
      </w:r>
      <w:r w:rsidR="00025D47">
        <w:rPr>
          <w:rFonts w:asciiTheme="minorHAnsi" w:hAnsiTheme="minorHAnsi"/>
          <w:sz w:val="24"/>
          <w:szCs w:val="24"/>
          <w:lang w:val="pl-PL"/>
        </w:rPr>
        <w:t> </w:t>
      </w:r>
      <w:r w:rsidR="00DD0730" w:rsidRPr="00194E8E">
        <w:rPr>
          <w:rFonts w:asciiTheme="minorHAnsi" w:hAnsiTheme="minorHAnsi"/>
          <w:sz w:val="24"/>
          <w:szCs w:val="24"/>
          <w:lang w:val="pl-PL"/>
        </w:rPr>
        <w:t>r.</w:t>
      </w:r>
    </w:p>
    <w:p w:rsidR="00DD0730" w:rsidRPr="00194E8E" w:rsidRDefault="00E02164" w:rsidP="00D33407">
      <w:pPr>
        <w:pStyle w:val="Akapitzlist"/>
        <w:spacing w:before="120" w:after="0" w:line="240" w:lineRule="auto"/>
        <w:ind w:left="0"/>
        <w:jc w:val="both"/>
        <w:rPr>
          <w:rFonts w:asciiTheme="minorHAnsi" w:hAnsiTheme="minorHAnsi"/>
          <w:sz w:val="24"/>
          <w:szCs w:val="24"/>
          <w:lang w:val="pl-PL"/>
        </w:rPr>
      </w:pPr>
      <w:r w:rsidRPr="00194E8E">
        <w:rPr>
          <w:rFonts w:asciiTheme="minorHAnsi" w:hAnsiTheme="minorHAnsi"/>
          <w:b/>
          <w:sz w:val="24"/>
          <w:szCs w:val="24"/>
          <w:lang w:val="pl-PL"/>
        </w:rPr>
        <w:t>C</w:t>
      </w:r>
      <w:r w:rsidR="00DD0730" w:rsidRPr="00194E8E">
        <w:rPr>
          <w:rFonts w:asciiTheme="minorHAnsi" w:hAnsiTheme="minorHAnsi"/>
          <w:b/>
          <w:sz w:val="24"/>
          <w:szCs w:val="24"/>
          <w:lang w:val="pl-PL"/>
        </w:rPr>
        <w:t xml:space="preserve">. </w:t>
      </w:r>
      <w:r w:rsidR="00DD0730" w:rsidRPr="00194E8E">
        <w:rPr>
          <w:rFonts w:asciiTheme="minorHAnsi" w:hAnsiTheme="minorHAnsi"/>
          <w:sz w:val="24"/>
          <w:szCs w:val="24"/>
          <w:lang w:val="pl-PL"/>
        </w:rPr>
        <w:t xml:space="preserve">Pełne teksty planów działań i raportów z wykonania wysłanych do Komitetu Ministrów </w:t>
      </w:r>
      <w:r w:rsidRPr="00194E8E">
        <w:rPr>
          <w:rFonts w:asciiTheme="minorHAnsi" w:hAnsiTheme="minorHAnsi"/>
          <w:sz w:val="24"/>
          <w:szCs w:val="24"/>
          <w:lang w:val="pl-PL"/>
        </w:rPr>
        <w:t xml:space="preserve">RE </w:t>
      </w:r>
      <w:r w:rsidR="00DD0730" w:rsidRPr="00194E8E">
        <w:rPr>
          <w:rFonts w:asciiTheme="minorHAnsi" w:hAnsiTheme="minorHAnsi"/>
          <w:sz w:val="24"/>
          <w:szCs w:val="24"/>
          <w:lang w:val="pl-PL"/>
        </w:rPr>
        <w:t>w 20</w:t>
      </w:r>
      <w:r w:rsidR="004B4866" w:rsidRPr="00194E8E">
        <w:rPr>
          <w:rFonts w:asciiTheme="minorHAnsi" w:hAnsiTheme="minorHAnsi"/>
          <w:sz w:val="24"/>
          <w:szCs w:val="24"/>
          <w:lang w:val="pl-PL"/>
        </w:rPr>
        <w:t>2</w:t>
      </w:r>
      <w:r w:rsidR="00536676" w:rsidRPr="00194E8E">
        <w:rPr>
          <w:rFonts w:asciiTheme="minorHAnsi" w:hAnsiTheme="minorHAnsi"/>
          <w:sz w:val="24"/>
          <w:szCs w:val="24"/>
          <w:lang w:val="pl-PL"/>
        </w:rPr>
        <w:t>1</w:t>
      </w:r>
      <w:r w:rsidR="00DD0730" w:rsidRPr="00194E8E">
        <w:rPr>
          <w:rFonts w:asciiTheme="minorHAnsi" w:hAnsiTheme="minorHAnsi"/>
          <w:sz w:val="24"/>
          <w:szCs w:val="24"/>
          <w:lang w:val="pl-PL"/>
        </w:rPr>
        <w:t xml:space="preserve"> r.</w:t>
      </w:r>
      <w:r w:rsidR="00025D47">
        <w:rPr>
          <w:rFonts w:asciiTheme="minorHAnsi" w:hAnsiTheme="minorHAnsi"/>
          <w:sz w:val="24"/>
          <w:szCs w:val="24"/>
          <w:lang w:val="pl-PL"/>
        </w:rPr>
        <w:t xml:space="preserve"> </w:t>
      </w:r>
    </w:p>
    <w:p w:rsidR="00DD0730" w:rsidRPr="00194E8E" w:rsidRDefault="00E02164" w:rsidP="00D33407">
      <w:pPr>
        <w:pStyle w:val="Akapitzlist"/>
        <w:spacing w:before="120" w:after="0" w:line="240" w:lineRule="auto"/>
        <w:ind w:left="0"/>
        <w:jc w:val="both"/>
        <w:rPr>
          <w:rFonts w:asciiTheme="minorHAnsi" w:hAnsiTheme="minorHAnsi"/>
          <w:sz w:val="24"/>
          <w:szCs w:val="24"/>
          <w:lang w:val="pl-PL"/>
        </w:rPr>
      </w:pPr>
      <w:r w:rsidRPr="00194E8E">
        <w:rPr>
          <w:rFonts w:asciiTheme="minorHAnsi" w:hAnsiTheme="minorHAnsi"/>
          <w:b/>
          <w:sz w:val="24"/>
          <w:szCs w:val="24"/>
          <w:lang w:val="pl-PL"/>
        </w:rPr>
        <w:t>D</w:t>
      </w:r>
      <w:r w:rsidR="00DD0730" w:rsidRPr="00194E8E">
        <w:rPr>
          <w:rFonts w:asciiTheme="minorHAnsi" w:hAnsiTheme="minorHAnsi"/>
          <w:b/>
          <w:sz w:val="24"/>
          <w:szCs w:val="24"/>
          <w:lang w:val="pl-PL"/>
        </w:rPr>
        <w:t xml:space="preserve">. </w:t>
      </w:r>
      <w:r w:rsidR="00DD0730" w:rsidRPr="00194E8E">
        <w:rPr>
          <w:rFonts w:asciiTheme="minorHAnsi" w:hAnsiTheme="minorHAnsi"/>
          <w:sz w:val="24"/>
          <w:szCs w:val="24"/>
          <w:lang w:val="pl-PL"/>
        </w:rPr>
        <w:t>Sprawozdania z posiedzeń plenarnych Zespołu do spraw Europejskiego Trybunału Praw Cz</w:t>
      </w:r>
      <w:r w:rsidR="000F26D4" w:rsidRPr="00194E8E">
        <w:rPr>
          <w:rFonts w:asciiTheme="minorHAnsi" w:hAnsiTheme="minorHAnsi"/>
          <w:sz w:val="24"/>
          <w:szCs w:val="24"/>
          <w:lang w:val="pl-PL"/>
        </w:rPr>
        <w:t>łowieka, które odbyły się w 20</w:t>
      </w:r>
      <w:r w:rsidR="004B4866" w:rsidRPr="00194E8E">
        <w:rPr>
          <w:rFonts w:asciiTheme="minorHAnsi" w:hAnsiTheme="minorHAnsi"/>
          <w:sz w:val="24"/>
          <w:szCs w:val="24"/>
          <w:lang w:val="pl-PL"/>
        </w:rPr>
        <w:t>2</w:t>
      </w:r>
      <w:r w:rsidR="00536676" w:rsidRPr="00194E8E">
        <w:rPr>
          <w:rFonts w:asciiTheme="minorHAnsi" w:hAnsiTheme="minorHAnsi"/>
          <w:sz w:val="24"/>
          <w:szCs w:val="24"/>
          <w:lang w:val="pl-PL"/>
        </w:rPr>
        <w:t>1</w:t>
      </w:r>
      <w:r w:rsidR="00DD0730" w:rsidRPr="00194E8E">
        <w:rPr>
          <w:rFonts w:asciiTheme="minorHAnsi" w:hAnsiTheme="minorHAnsi"/>
          <w:sz w:val="24"/>
          <w:szCs w:val="24"/>
          <w:lang w:val="pl-PL"/>
        </w:rPr>
        <w:t xml:space="preserve"> r.</w:t>
      </w:r>
    </w:p>
    <w:p w:rsidR="00DD0730" w:rsidRPr="00194E8E" w:rsidRDefault="00DD0730" w:rsidP="00D33407">
      <w:pPr>
        <w:pStyle w:val="Akapitzlist"/>
        <w:spacing w:before="120" w:after="0" w:line="240" w:lineRule="auto"/>
        <w:ind w:left="0"/>
        <w:jc w:val="both"/>
        <w:rPr>
          <w:rFonts w:asciiTheme="minorHAnsi" w:hAnsiTheme="minorHAnsi"/>
          <w:sz w:val="24"/>
          <w:szCs w:val="24"/>
          <w:lang w:val="pl-PL"/>
        </w:rPr>
      </w:pPr>
      <w:r w:rsidRPr="00194E8E">
        <w:rPr>
          <w:rFonts w:asciiTheme="minorHAnsi" w:hAnsiTheme="minorHAnsi"/>
          <w:b/>
          <w:sz w:val="24"/>
          <w:szCs w:val="24"/>
          <w:lang w:val="pl-PL"/>
        </w:rPr>
        <w:t xml:space="preserve">E. </w:t>
      </w:r>
      <w:r w:rsidRPr="00194E8E">
        <w:rPr>
          <w:rFonts w:asciiTheme="minorHAnsi" w:hAnsiTheme="minorHAnsi"/>
          <w:sz w:val="24"/>
          <w:szCs w:val="24"/>
          <w:lang w:val="pl-PL"/>
        </w:rPr>
        <w:t>Wykaz zmian w prawie polskim i w praktyce jego stosowania koniecznych dla wykonania wyroków Europejskiego Trybunału Praw Człowieka</w:t>
      </w:r>
      <w:r w:rsidR="00D07CD3" w:rsidRPr="00194E8E">
        <w:rPr>
          <w:rFonts w:asciiTheme="minorHAnsi" w:hAnsiTheme="minorHAnsi"/>
          <w:sz w:val="24"/>
          <w:szCs w:val="24"/>
          <w:lang w:val="pl-PL"/>
        </w:rPr>
        <w:t xml:space="preserve"> wraz z wykazem wyroków w procesie wykonywania</w:t>
      </w:r>
    </w:p>
    <w:p w:rsidR="00E02164" w:rsidRPr="00194E8E" w:rsidRDefault="00DD0730" w:rsidP="00D33407">
      <w:pPr>
        <w:pStyle w:val="Akapitzlist"/>
        <w:spacing w:before="120" w:after="0" w:line="240" w:lineRule="auto"/>
        <w:ind w:left="0"/>
        <w:contextualSpacing/>
        <w:jc w:val="both"/>
        <w:rPr>
          <w:rFonts w:asciiTheme="minorHAnsi" w:hAnsiTheme="minorHAnsi"/>
          <w:b/>
          <w:sz w:val="24"/>
          <w:szCs w:val="24"/>
          <w:lang w:val="pl-PL"/>
        </w:rPr>
      </w:pPr>
      <w:r w:rsidRPr="00194E8E">
        <w:rPr>
          <w:rFonts w:asciiTheme="minorHAnsi" w:hAnsiTheme="minorHAnsi"/>
          <w:b/>
          <w:sz w:val="24"/>
          <w:szCs w:val="24"/>
          <w:lang w:val="pl-PL"/>
        </w:rPr>
        <w:t xml:space="preserve">F. </w:t>
      </w:r>
      <w:r w:rsidRPr="00194E8E">
        <w:rPr>
          <w:rFonts w:asciiTheme="minorHAnsi" w:hAnsiTheme="minorHAnsi"/>
          <w:sz w:val="24"/>
          <w:szCs w:val="24"/>
          <w:lang w:val="pl-PL"/>
        </w:rPr>
        <w:t xml:space="preserve">Pełne teksty komunikacji przesłanych do Komitetu Ministrów </w:t>
      </w:r>
      <w:r w:rsidR="00E02164" w:rsidRPr="00194E8E">
        <w:rPr>
          <w:rFonts w:asciiTheme="minorHAnsi" w:hAnsiTheme="minorHAnsi"/>
          <w:sz w:val="24"/>
          <w:szCs w:val="24"/>
          <w:lang w:val="pl-PL"/>
        </w:rPr>
        <w:t xml:space="preserve">RE, </w:t>
      </w:r>
      <w:r w:rsidRPr="00194E8E">
        <w:rPr>
          <w:rFonts w:asciiTheme="minorHAnsi" w:hAnsiTheme="minorHAnsi"/>
          <w:sz w:val="24"/>
          <w:szCs w:val="24"/>
          <w:lang w:val="pl-PL"/>
        </w:rPr>
        <w:t xml:space="preserve">wraz z odpowiedziami </w:t>
      </w:r>
      <w:r w:rsidR="00CD4849" w:rsidRPr="00194E8E">
        <w:rPr>
          <w:rFonts w:asciiTheme="minorHAnsi" w:hAnsiTheme="minorHAnsi"/>
          <w:sz w:val="24"/>
          <w:szCs w:val="24"/>
          <w:lang w:val="pl-PL"/>
        </w:rPr>
        <w:t>R</w:t>
      </w:r>
      <w:r w:rsidR="00E02164" w:rsidRPr="00194E8E">
        <w:rPr>
          <w:rFonts w:asciiTheme="minorHAnsi" w:hAnsiTheme="minorHAnsi"/>
          <w:sz w:val="24"/>
          <w:szCs w:val="24"/>
          <w:lang w:val="pl-PL"/>
        </w:rPr>
        <w:t>ządu</w:t>
      </w:r>
    </w:p>
    <w:sectPr w:rsidR="00E02164" w:rsidRPr="00194E8E" w:rsidSect="00194E8E">
      <w:headerReference w:type="even" r:id="rId17"/>
      <w:headerReference w:type="default" r:id="rId18"/>
      <w:footerReference w:type="even" r:id="rId19"/>
      <w:footerReference w:type="default" r:id="rId20"/>
      <w:headerReference w:type="first" r:id="rId21"/>
      <w:footerReference w:type="first" r:id="rId22"/>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4BC" w:rsidRDefault="006764BC" w:rsidP="00DD0730">
      <w:r>
        <w:separator/>
      </w:r>
    </w:p>
    <w:p w:rsidR="006764BC" w:rsidRDefault="006764BC"/>
  </w:endnote>
  <w:endnote w:type="continuationSeparator" w:id="0">
    <w:p w:rsidR="006764BC" w:rsidRDefault="006764BC" w:rsidP="00DD0730">
      <w:r>
        <w:continuationSeparator/>
      </w:r>
    </w:p>
    <w:p w:rsidR="006764BC" w:rsidRDefault="00676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inion Pro">
    <w:charset w:val="00"/>
    <w:family w:val="auto"/>
    <w:pitch w:val="variable"/>
    <w:sig w:usb0="E00002AF" w:usb1="5000607B"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BF5" w:rsidRDefault="005C0B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A0A" w:rsidRPr="0035339C" w:rsidRDefault="008A0A0A" w:rsidP="0035339C">
    <w:pPr>
      <w:pStyle w:val="Stopka"/>
      <w:jc w:val="center"/>
      <w:rPr>
        <w:rFonts w:ascii="Calibri" w:hAnsi="Calibri"/>
        <w:sz w:val="22"/>
        <w:szCs w:val="22"/>
        <w:lang w:val="pl-PL"/>
      </w:rPr>
    </w:pPr>
    <w:r w:rsidRPr="0035339C">
      <w:rPr>
        <w:rFonts w:ascii="Calibri" w:hAnsi="Calibri"/>
        <w:sz w:val="22"/>
        <w:szCs w:val="22"/>
      </w:rPr>
      <w:fldChar w:fldCharType="begin"/>
    </w:r>
    <w:r w:rsidRPr="0035339C">
      <w:rPr>
        <w:rFonts w:ascii="Calibri" w:hAnsi="Calibri"/>
        <w:sz w:val="22"/>
        <w:szCs w:val="22"/>
      </w:rPr>
      <w:instrText>PAGE   \* MERGEFORMAT</w:instrText>
    </w:r>
    <w:r w:rsidRPr="0035339C">
      <w:rPr>
        <w:rFonts w:ascii="Calibri" w:hAnsi="Calibri"/>
        <w:sz w:val="22"/>
        <w:szCs w:val="22"/>
      </w:rPr>
      <w:fldChar w:fldCharType="separate"/>
    </w:r>
    <w:r w:rsidR="00110A2D">
      <w:rPr>
        <w:rFonts w:ascii="Calibri" w:hAnsi="Calibri"/>
        <w:noProof/>
        <w:sz w:val="22"/>
        <w:szCs w:val="22"/>
      </w:rPr>
      <w:t>50</w:t>
    </w:r>
    <w:r w:rsidRPr="0035339C">
      <w:rPr>
        <w:rFonts w:ascii="Calibri" w:hAnsi="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1003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7626"/>
    </w:tblGrid>
    <w:tr w:rsidR="008A0A0A" w:rsidTr="00FE679B">
      <w:tc>
        <w:tcPr>
          <w:tcW w:w="2406" w:type="dxa"/>
        </w:tcPr>
        <w:p w:rsidR="008A0A0A" w:rsidRDefault="008A0A0A" w:rsidP="00DD0730">
          <w:pPr>
            <w:pStyle w:val="Stopka"/>
            <w:rPr>
              <w:noProof/>
              <w:lang w:val="pl-PL" w:eastAsia="pl-PL"/>
            </w:rPr>
          </w:pPr>
        </w:p>
        <w:p w:rsidR="008A0A0A" w:rsidRDefault="008A0A0A" w:rsidP="00DD0730">
          <w:pPr>
            <w:pStyle w:val="Stopka"/>
            <w:rPr>
              <w:lang w:val="pl-PL"/>
            </w:rPr>
          </w:pPr>
        </w:p>
      </w:tc>
      <w:tc>
        <w:tcPr>
          <w:tcW w:w="7626" w:type="dxa"/>
        </w:tcPr>
        <w:p w:rsidR="008A0A0A" w:rsidRDefault="008A0A0A" w:rsidP="00DD0730">
          <w:pPr>
            <w:pStyle w:val="Stopka"/>
            <w:rPr>
              <w:lang w:val="pl-PL"/>
            </w:rPr>
          </w:pPr>
        </w:p>
      </w:tc>
    </w:tr>
  </w:tbl>
  <w:p w:rsidR="008A0A0A" w:rsidRPr="00BB21DD" w:rsidRDefault="008A0A0A" w:rsidP="003C2C26">
    <w:pPr>
      <w:pStyle w:val="Stopka"/>
      <w:ind w:left="-168"/>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4BC" w:rsidRDefault="006764BC" w:rsidP="00DD0730">
      <w:r>
        <w:separator/>
      </w:r>
    </w:p>
    <w:p w:rsidR="006764BC" w:rsidRDefault="006764BC"/>
  </w:footnote>
  <w:footnote w:type="continuationSeparator" w:id="0">
    <w:p w:rsidR="006764BC" w:rsidRDefault="006764BC" w:rsidP="00DD0730">
      <w:r>
        <w:continuationSeparator/>
      </w:r>
    </w:p>
    <w:p w:rsidR="006764BC" w:rsidRDefault="006764BC"/>
  </w:footnote>
  <w:footnote w:id="1">
    <w:p w:rsidR="008A0A0A" w:rsidRDefault="008A0A0A">
      <w:pPr>
        <w:pStyle w:val="Tekstprzypisudolnego"/>
      </w:pPr>
      <w:r>
        <w:rPr>
          <w:rStyle w:val="Odwoanieprzypisudolnego"/>
        </w:rPr>
        <w:footnoteRef/>
      </w:r>
      <w:r>
        <w:t xml:space="preserve"> </w:t>
      </w:r>
      <w:r w:rsidRPr="00991184">
        <w:rPr>
          <w:rFonts w:asciiTheme="minorHAnsi" w:hAnsiTheme="minorHAnsi"/>
        </w:rPr>
        <w:t>https://www.gov.pl/web/dyplomacja/wybor-sedziego-etpc</w:t>
      </w:r>
    </w:p>
  </w:footnote>
  <w:footnote w:id="2">
    <w:p w:rsidR="008A0A0A" w:rsidRDefault="008A0A0A">
      <w:pPr>
        <w:pStyle w:val="Tekstprzypisudolnego"/>
      </w:pPr>
      <w:r>
        <w:rPr>
          <w:rStyle w:val="Odwoanieprzypisudolnego"/>
        </w:rPr>
        <w:footnoteRef/>
      </w:r>
      <w:r>
        <w:t xml:space="preserve"> </w:t>
      </w:r>
      <w:r w:rsidRPr="00194E8E">
        <w:rPr>
          <w:rStyle w:val="word"/>
          <w:rFonts w:asciiTheme="minorHAnsi" w:hAnsiTheme="minorHAnsi"/>
        </w:rPr>
        <w:t>Pierwszego</w:t>
      </w:r>
      <w:r w:rsidRPr="00194E8E">
        <w:rPr>
          <w:rFonts w:asciiTheme="minorHAnsi" w:hAnsiTheme="minorHAnsi"/>
        </w:rPr>
        <w:t xml:space="preserve"> </w:t>
      </w:r>
      <w:r w:rsidRPr="00194E8E">
        <w:rPr>
          <w:rStyle w:val="word"/>
          <w:rFonts w:asciiTheme="minorHAnsi" w:hAnsiTheme="minorHAnsi"/>
        </w:rPr>
        <w:t>dnia</w:t>
      </w:r>
      <w:r w:rsidRPr="00194E8E">
        <w:rPr>
          <w:rFonts w:asciiTheme="minorHAnsi" w:hAnsiTheme="minorHAnsi"/>
        </w:rPr>
        <w:t xml:space="preserve"> przesłuchania obserwowało dwunastu</w:t>
      </w:r>
      <w:r w:rsidRPr="00194E8E">
        <w:rPr>
          <w:rStyle w:val="word"/>
          <w:rFonts w:asciiTheme="minorHAnsi" w:hAnsiTheme="minorHAnsi"/>
        </w:rPr>
        <w:t xml:space="preserve"> obserwatorów</w:t>
      </w:r>
      <w:r w:rsidRPr="00194E8E">
        <w:rPr>
          <w:rFonts w:asciiTheme="minorHAnsi" w:hAnsiTheme="minorHAnsi"/>
        </w:rPr>
        <w:t xml:space="preserve">, </w:t>
      </w:r>
      <w:r w:rsidRPr="00194E8E">
        <w:rPr>
          <w:rStyle w:val="word"/>
          <w:rFonts w:asciiTheme="minorHAnsi" w:hAnsiTheme="minorHAnsi"/>
        </w:rPr>
        <w:t>drugiego</w:t>
      </w:r>
      <w:r w:rsidRPr="00194E8E">
        <w:rPr>
          <w:rFonts w:asciiTheme="minorHAnsi" w:hAnsiTheme="minorHAnsi"/>
        </w:rPr>
        <w:t xml:space="preserve"> </w:t>
      </w:r>
      <w:r w:rsidRPr="00194E8E">
        <w:rPr>
          <w:rStyle w:val="word"/>
          <w:rFonts w:asciiTheme="minorHAnsi" w:hAnsiTheme="minorHAnsi"/>
        </w:rPr>
        <w:t>dnia</w:t>
      </w:r>
      <w:r w:rsidRPr="00194E8E">
        <w:rPr>
          <w:rFonts w:asciiTheme="minorHAnsi" w:hAnsiTheme="minorHAnsi"/>
        </w:rPr>
        <w:t xml:space="preserve"> – dziewięciu.</w:t>
      </w:r>
    </w:p>
  </w:footnote>
  <w:footnote w:id="3">
    <w:p w:rsidR="008A0A0A" w:rsidRPr="00D84761" w:rsidRDefault="008A0A0A" w:rsidP="00260C5C">
      <w:pPr>
        <w:pStyle w:val="Tekstprzypisudolnego"/>
        <w:jc w:val="both"/>
        <w:rPr>
          <w:rFonts w:asciiTheme="minorHAnsi" w:hAnsiTheme="minorHAnsi"/>
        </w:rPr>
      </w:pPr>
      <w:r w:rsidRPr="00D84761">
        <w:rPr>
          <w:rStyle w:val="Odwoanieprzypisudolnego"/>
          <w:rFonts w:asciiTheme="minorHAnsi" w:hAnsiTheme="minorHAnsi"/>
        </w:rPr>
        <w:footnoteRef/>
      </w:r>
      <w:r w:rsidRPr="00D84761">
        <w:rPr>
          <w:rFonts w:asciiTheme="minorHAnsi" w:hAnsiTheme="minorHAnsi"/>
        </w:rPr>
        <w:t xml:space="preserve"> Uwaga, dane liczbowe się nie sumują, gdyż jedna zakomunikowana skarga może dotyczyć kilku różnych zarzutów naruszenia Konwencji.</w:t>
      </w:r>
    </w:p>
  </w:footnote>
  <w:footnote w:id="4">
    <w:p w:rsidR="008A0A0A" w:rsidRPr="005A00BF" w:rsidRDefault="008A0A0A" w:rsidP="00260C5C">
      <w:pPr>
        <w:pStyle w:val="Tekstprzypisudolnego"/>
        <w:jc w:val="both"/>
        <w:rPr>
          <w:rFonts w:asciiTheme="minorHAnsi" w:hAnsiTheme="minorHAnsi"/>
        </w:rPr>
      </w:pPr>
      <w:r w:rsidRPr="005A00BF">
        <w:rPr>
          <w:rStyle w:val="Odwoanieprzypisudolnego"/>
          <w:rFonts w:asciiTheme="minorHAnsi" w:hAnsiTheme="minorHAnsi"/>
        </w:rPr>
        <w:footnoteRef/>
      </w:r>
      <w:r w:rsidRPr="005A00BF">
        <w:rPr>
          <w:rFonts w:asciiTheme="minorHAnsi" w:hAnsiTheme="minorHAnsi"/>
        </w:rPr>
        <w:t xml:space="preserve"> Pozostałe skargi dotyczące art. 1 Protokołu nr 1 są wymienione w sekcjach dotyczących funkcjonowania i organizacji wymiaru sprawiedliwości oraz prowadzenia postępowań karnych.</w:t>
      </w:r>
    </w:p>
  </w:footnote>
  <w:footnote w:id="5">
    <w:p w:rsidR="008A0A0A" w:rsidRPr="005A00BF" w:rsidRDefault="008A0A0A" w:rsidP="00260C5C">
      <w:pPr>
        <w:pStyle w:val="Tekstprzypisudolnego"/>
        <w:jc w:val="both"/>
        <w:rPr>
          <w:rFonts w:asciiTheme="minorHAnsi" w:hAnsiTheme="minorHAnsi"/>
        </w:rPr>
      </w:pPr>
      <w:r w:rsidRPr="005A00BF">
        <w:rPr>
          <w:rStyle w:val="Odwoanieprzypisudolnego"/>
          <w:rFonts w:asciiTheme="minorHAnsi" w:hAnsiTheme="minorHAnsi"/>
        </w:rPr>
        <w:footnoteRef/>
      </w:r>
      <w:r w:rsidRPr="005A00BF">
        <w:rPr>
          <w:rFonts w:asciiTheme="minorHAnsi" w:hAnsiTheme="minorHAnsi"/>
        </w:rPr>
        <w:t xml:space="preserve"> Uwaga, dane liczbowe się nie sumują, gdyż jeden wyrok Trybunału może dotyczyć kilku różnych zarzutów naruszenia Konwencji.</w:t>
      </w:r>
    </w:p>
  </w:footnote>
  <w:footnote w:id="6">
    <w:p w:rsidR="008A0A0A" w:rsidRPr="00B0346B" w:rsidRDefault="008A0A0A" w:rsidP="00260C5C">
      <w:pPr>
        <w:pStyle w:val="Tekstprzypisudolnego"/>
        <w:jc w:val="both"/>
        <w:rPr>
          <w:rFonts w:asciiTheme="minorHAnsi" w:hAnsiTheme="minorHAnsi"/>
        </w:rPr>
      </w:pPr>
      <w:r w:rsidRPr="00B0346B">
        <w:rPr>
          <w:rStyle w:val="Odwoanieprzypisudolnego"/>
          <w:rFonts w:asciiTheme="minorHAnsi" w:hAnsiTheme="minorHAnsi"/>
        </w:rPr>
        <w:footnoteRef/>
      </w:r>
      <w:r w:rsidRPr="00B0346B">
        <w:rPr>
          <w:rFonts w:asciiTheme="minorHAnsi" w:hAnsiTheme="minorHAnsi"/>
        </w:rPr>
        <w:t xml:space="preserve"> Rozstrzygnięcia korzystne dla Rządu znalazły się zarówno w 3 wyrokach stwierdzających brak jakiegokolwiek naruszenia, jak też w wyrokach, w których Trybunał stwierdzał naruszenia Konwencji w odniesieniu do poszczególnych zarzutów. </w:t>
      </w:r>
    </w:p>
  </w:footnote>
  <w:footnote w:id="7">
    <w:p w:rsidR="008A0A0A" w:rsidRPr="005A00BF" w:rsidRDefault="008A0A0A" w:rsidP="00260C5C">
      <w:pPr>
        <w:pStyle w:val="Tekstprzypisudolnego"/>
        <w:jc w:val="both"/>
        <w:rPr>
          <w:rFonts w:asciiTheme="minorHAnsi" w:hAnsiTheme="minorHAnsi"/>
        </w:rPr>
      </w:pPr>
      <w:r w:rsidRPr="005A00BF">
        <w:rPr>
          <w:rStyle w:val="Odwoanieprzypisudolnego"/>
          <w:rFonts w:asciiTheme="minorHAnsi" w:hAnsiTheme="minorHAnsi"/>
        </w:rPr>
        <w:footnoteRef/>
      </w:r>
      <w:r w:rsidRPr="005A00BF">
        <w:rPr>
          <w:rFonts w:asciiTheme="minorHAnsi" w:hAnsiTheme="minorHAnsi"/>
        </w:rPr>
        <w:t xml:space="preserve"> Uwaga, dane liczbowe się nie sumują, gdyż jedna decyzja </w:t>
      </w:r>
      <w:r>
        <w:rPr>
          <w:rFonts w:asciiTheme="minorHAnsi" w:hAnsiTheme="minorHAnsi"/>
        </w:rPr>
        <w:t>ETPC</w:t>
      </w:r>
      <w:r w:rsidRPr="005A00BF">
        <w:rPr>
          <w:rFonts w:asciiTheme="minorHAnsi" w:hAnsiTheme="minorHAnsi"/>
        </w:rPr>
        <w:t xml:space="preserve"> może dotyczyć kilku różnych zarzutów naruszenia Konwencji.</w:t>
      </w:r>
    </w:p>
  </w:footnote>
  <w:footnote w:id="8">
    <w:p w:rsidR="008A0A0A" w:rsidRPr="005A00BF" w:rsidRDefault="008A0A0A" w:rsidP="00260C5C">
      <w:pPr>
        <w:pStyle w:val="Tekstprzypisudolnego"/>
        <w:jc w:val="both"/>
        <w:rPr>
          <w:rFonts w:asciiTheme="minorHAnsi" w:hAnsiTheme="minorHAnsi"/>
        </w:rPr>
      </w:pPr>
      <w:r w:rsidRPr="005A00BF">
        <w:rPr>
          <w:rStyle w:val="Odwoanieprzypisudolnego"/>
          <w:rFonts w:asciiTheme="minorHAnsi" w:hAnsiTheme="minorHAnsi"/>
        </w:rPr>
        <w:footnoteRef/>
      </w:r>
      <w:r w:rsidRPr="005A00BF">
        <w:rPr>
          <w:rFonts w:asciiTheme="minorHAnsi" w:hAnsiTheme="minorHAnsi"/>
        </w:rPr>
        <w:t xml:space="preserve"> Uwaga, dane liczbowe się nie sumują, gdyż jedna decyzja </w:t>
      </w:r>
      <w:r>
        <w:rPr>
          <w:rFonts w:asciiTheme="minorHAnsi" w:hAnsiTheme="minorHAnsi"/>
        </w:rPr>
        <w:t>ETPC</w:t>
      </w:r>
      <w:r w:rsidRPr="005A00BF">
        <w:rPr>
          <w:rFonts w:asciiTheme="minorHAnsi" w:hAnsiTheme="minorHAnsi"/>
        </w:rPr>
        <w:t xml:space="preserve"> może dotyczyć kilku różnych zarzutów naruszenia Konwencji.</w:t>
      </w:r>
    </w:p>
  </w:footnote>
  <w:footnote w:id="9">
    <w:p w:rsidR="008A0A0A" w:rsidRPr="005A00BF" w:rsidRDefault="008A0A0A" w:rsidP="00260C5C">
      <w:pPr>
        <w:pStyle w:val="Tekstprzypisudolnego"/>
        <w:jc w:val="both"/>
        <w:rPr>
          <w:rFonts w:asciiTheme="minorHAnsi" w:hAnsiTheme="minorHAnsi"/>
        </w:rPr>
      </w:pPr>
      <w:r w:rsidRPr="005A00BF">
        <w:rPr>
          <w:rStyle w:val="Odwoanieprzypisudolnego"/>
          <w:rFonts w:asciiTheme="minorHAnsi" w:hAnsiTheme="minorHAnsi"/>
        </w:rPr>
        <w:footnoteRef/>
      </w:r>
      <w:r w:rsidRPr="005A00BF">
        <w:rPr>
          <w:rFonts w:asciiTheme="minorHAnsi" w:hAnsiTheme="minorHAnsi"/>
        </w:rPr>
        <w:t xml:space="preserve"> Jeśli nie wskazano inaczej, </w:t>
      </w:r>
      <w:r>
        <w:rPr>
          <w:rFonts w:asciiTheme="minorHAnsi" w:hAnsiTheme="minorHAnsi"/>
        </w:rPr>
        <w:t>ETPC</w:t>
      </w:r>
      <w:r w:rsidRPr="005A00BF">
        <w:rPr>
          <w:rFonts w:asciiTheme="minorHAnsi" w:hAnsiTheme="minorHAnsi"/>
        </w:rPr>
        <w:t xml:space="preserve"> stwierdzał niedopuszczalność skargi z uwagi na jej oczywistą niezasadność.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BF5" w:rsidRDefault="005C0B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BF5" w:rsidRDefault="005C0BF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A0A" w:rsidRDefault="008A0A0A" w:rsidP="00FD2CAE">
    <w:pPr>
      <w:pStyle w:val="Nagwek"/>
      <w:ind w:left="-168"/>
    </w:pPr>
    <w:r w:rsidRPr="002C2D40">
      <w:rPr>
        <w:noProof/>
        <w:lang w:val="pl-PL" w:eastAsia="pl-PL"/>
      </w:rPr>
      <w:drawing>
        <wp:anchor distT="0" distB="0" distL="114300" distR="114300" simplePos="0" relativeHeight="251659264" behindDoc="1" locked="0" layoutInCell="1" allowOverlap="1" wp14:anchorId="5D859BED" wp14:editId="69BBB1A8">
          <wp:simplePos x="0" y="0"/>
          <wp:positionH relativeFrom="page">
            <wp:posOffset>24130</wp:posOffset>
          </wp:positionH>
          <wp:positionV relativeFrom="page">
            <wp:posOffset>7620</wp:posOffset>
          </wp:positionV>
          <wp:extent cx="2527935" cy="2608580"/>
          <wp:effectExtent l="0" t="0" r="5715" b="127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935" cy="26085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6F55"/>
    <w:multiLevelType w:val="hybridMultilevel"/>
    <w:tmpl w:val="D7BC0A2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78063C"/>
    <w:multiLevelType w:val="hybridMultilevel"/>
    <w:tmpl w:val="FC700EE8"/>
    <w:lvl w:ilvl="0" w:tplc="2F14945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DD7B9C"/>
    <w:multiLevelType w:val="hybridMultilevel"/>
    <w:tmpl w:val="E5BC1998"/>
    <w:lvl w:ilvl="0" w:tplc="35AECC2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18E23BBE"/>
    <w:multiLevelType w:val="hybridMultilevel"/>
    <w:tmpl w:val="4E64B72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C52003"/>
    <w:multiLevelType w:val="hybridMultilevel"/>
    <w:tmpl w:val="E15ADDEA"/>
    <w:lvl w:ilvl="0" w:tplc="FB3020A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744859"/>
    <w:multiLevelType w:val="hybridMultilevel"/>
    <w:tmpl w:val="9C2CC29C"/>
    <w:lvl w:ilvl="0" w:tplc="3F6442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AC0C47"/>
    <w:multiLevelType w:val="hybridMultilevel"/>
    <w:tmpl w:val="952052DC"/>
    <w:lvl w:ilvl="0" w:tplc="3D904538">
      <w:start w:val="1"/>
      <w:numFmt w:val="upperRoman"/>
      <w:pStyle w:val="Nagwek1"/>
      <w:lvlText w:val="%1."/>
      <w:lvlJc w:val="left"/>
      <w:pPr>
        <w:ind w:left="1080" w:hanging="720"/>
      </w:pPr>
      <w:rPr>
        <w:rFonts w:hint="default"/>
      </w:rPr>
    </w:lvl>
    <w:lvl w:ilvl="1" w:tplc="F82AE810">
      <w:numFmt w:val="bullet"/>
      <w:lvlText w:val="•"/>
      <w:lvlJc w:val="left"/>
      <w:pPr>
        <w:ind w:left="1440" w:hanging="360"/>
      </w:pPr>
      <w:rPr>
        <w:rFonts w:ascii="Calibri" w:eastAsia="Calibri" w:hAnsi="Calibri" w:cs="Times New Roman" w:hint="default"/>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611CB2"/>
    <w:multiLevelType w:val="hybridMultilevel"/>
    <w:tmpl w:val="037C2224"/>
    <w:lvl w:ilvl="0" w:tplc="3F6442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2FE28DC"/>
    <w:multiLevelType w:val="hybridMultilevel"/>
    <w:tmpl w:val="84CACC4A"/>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2FE2C70"/>
    <w:multiLevelType w:val="hybridMultilevel"/>
    <w:tmpl w:val="0FE076F0"/>
    <w:lvl w:ilvl="0" w:tplc="35AECC20">
      <w:start w:val="1"/>
      <w:numFmt w:val="bullet"/>
      <w:lvlText w:val=""/>
      <w:lvlJc w:val="left"/>
      <w:pPr>
        <w:ind w:left="294" w:hanging="360"/>
      </w:pPr>
      <w:rPr>
        <w:rFonts w:ascii="Symbol" w:hAnsi="Symbol" w:hint="default"/>
        <w:i w:val="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0" w15:restartNumberingAfterBreak="0">
    <w:nsid w:val="26E02283"/>
    <w:multiLevelType w:val="multilevel"/>
    <w:tmpl w:val="EAE604E0"/>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8D72D1"/>
    <w:multiLevelType w:val="hybridMultilevel"/>
    <w:tmpl w:val="08A28AA8"/>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5BE7BC6"/>
    <w:multiLevelType w:val="hybridMultilevel"/>
    <w:tmpl w:val="7564FD1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6A347B7"/>
    <w:multiLevelType w:val="multilevel"/>
    <w:tmpl w:val="7A72EE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951126D"/>
    <w:multiLevelType w:val="multilevel"/>
    <w:tmpl w:val="EAE604E0"/>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9B77329"/>
    <w:multiLevelType w:val="hybridMultilevel"/>
    <w:tmpl w:val="9790EFEC"/>
    <w:lvl w:ilvl="0" w:tplc="3F6442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9E00AFF"/>
    <w:multiLevelType w:val="hybridMultilevel"/>
    <w:tmpl w:val="17EAE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091F92"/>
    <w:multiLevelType w:val="hybridMultilevel"/>
    <w:tmpl w:val="439E7B0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15:restartNumberingAfterBreak="0">
    <w:nsid w:val="42FD30A7"/>
    <w:multiLevelType w:val="multilevel"/>
    <w:tmpl w:val="7D56F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563A0E"/>
    <w:multiLevelType w:val="hybridMultilevel"/>
    <w:tmpl w:val="C36C9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93348D"/>
    <w:multiLevelType w:val="hybridMultilevel"/>
    <w:tmpl w:val="B288A9CC"/>
    <w:lvl w:ilvl="0" w:tplc="870C495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075340"/>
    <w:multiLevelType w:val="hybridMultilevel"/>
    <w:tmpl w:val="FC888716"/>
    <w:lvl w:ilvl="0" w:tplc="35AECC2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D2407CB"/>
    <w:multiLevelType w:val="hybridMultilevel"/>
    <w:tmpl w:val="70AE398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F690C82"/>
    <w:multiLevelType w:val="multilevel"/>
    <w:tmpl w:val="649C506E"/>
    <w:lvl w:ilvl="0">
      <w:start w:val="1"/>
      <w:numFmt w:val="decimal"/>
      <w:pStyle w:val="Nagwek2"/>
      <w:lvlText w:val="%1."/>
      <w:lvlJc w:val="left"/>
      <w:pPr>
        <w:ind w:left="720" w:hanging="360"/>
      </w:pPr>
      <w:rPr>
        <w:rFonts w:hint="default"/>
        <w:strike w:val="0"/>
        <w:color w:val="auto"/>
      </w:rPr>
    </w:lvl>
    <w:lvl w:ilvl="1">
      <w:start w:val="1"/>
      <w:numFmt w:val="decimal"/>
      <w:isLgl/>
      <w:lvlText w:val="%1.%2."/>
      <w:lvlJc w:val="left"/>
      <w:pPr>
        <w:ind w:left="720" w:hanging="360"/>
      </w:pPr>
      <w:rPr>
        <w:rFonts w:hint="default"/>
        <w:b w:val="0"/>
        <w:i/>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052746A"/>
    <w:multiLevelType w:val="hybridMultilevel"/>
    <w:tmpl w:val="7FF0BA50"/>
    <w:lvl w:ilvl="0" w:tplc="CED09968">
      <w:start w:val="1"/>
      <w:numFmt w:val="bullet"/>
      <w:lvlText w:val=""/>
      <w:lvlJc w:val="center"/>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64334A3F"/>
    <w:multiLevelType w:val="hybridMultilevel"/>
    <w:tmpl w:val="4FF246A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6A46EEF"/>
    <w:multiLevelType w:val="hybridMultilevel"/>
    <w:tmpl w:val="1EA4BF0E"/>
    <w:lvl w:ilvl="0" w:tplc="3F644234">
      <w:start w:val="1"/>
      <w:numFmt w:val="bullet"/>
      <w:lvlText w:val="-"/>
      <w:lvlJc w:val="left"/>
      <w:pPr>
        <w:ind w:left="294" w:hanging="360"/>
      </w:pPr>
      <w:rPr>
        <w:rFonts w:ascii="Calibri" w:hAnsi="Calibri" w:hint="default"/>
        <w:i w:val="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7" w15:restartNumberingAfterBreak="0">
    <w:nsid w:val="6A7B3BA9"/>
    <w:multiLevelType w:val="hybridMultilevel"/>
    <w:tmpl w:val="68BA1AB8"/>
    <w:lvl w:ilvl="0" w:tplc="5E30BED6">
      <w:start w:val="1"/>
      <w:numFmt w:val="decimal"/>
      <w:lvlText w:val="%1."/>
      <w:lvlJc w:val="left"/>
      <w:pPr>
        <w:ind w:left="720" w:hanging="360"/>
      </w:pPr>
      <w:rPr>
        <w:rFonts w:asciiTheme="minorHAnsi" w:hAnsiTheme="minorHAnsi"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D253BB"/>
    <w:multiLevelType w:val="multilevel"/>
    <w:tmpl w:val="0D06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BC6F90"/>
    <w:multiLevelType w:val="multilevel"/>
    <w:tmpl w:val="68143240"/>
    <w:lvl w:ilvl="0">
      <w:start w:val="2"/>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6F43CDD"/>
    <w:multiLevelType w:val="hybridMultilevel"/>
    <w:tmpl w:val="566AA302"/>
    <w:lvl w:ilvl="0" w:tplc="3F644234">
      <w:start w:val="1"/>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78ED7938"/>
    <w:multiLevelType w:val="hybridMultilevel"/>
    <w:tmpl w:val="335A5C66"/>
    <w:lvl w:ilvl="0" w:tplc="3F64423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988234C"/>
    <w:multiLevelType w:val="hybridMultilevel"/>
    <w:tmpl w:val="C4043E8A"/>
    <w:lvl w:ilvl="0" w:tplc="3F6442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27"/>
  </w:num>
  <w:num w:numId="4">
    <w:abstractNumId w:val="13"/>
  </w:num>
  <w:num w:numId="5">
    <w:abstractNumId w:val="23"/>
  </w:num>
  <w:num w:numId="6">
    <w:abstractNumId w:val="23"/>
    <w:lvlOverride w:ilvl="0">
      <w:startOverride w:val="1"/>
    </w:lvlOverride>
  </w:num>
  <w:num w:numId="7">
    <w:abstractNumId w:val="21"/>
  </w:num>
  <w:num w:numId="8">
    <w:abstractNumId w:val="17"/>
  </w:num>
  <w:num w:numId="9">
    <w:abstractNumId w:val="29"/>
  </w:num>
  <w:num w:numId="10">
    <w:abstractNumId w:val="4"/>
  </w:num>
  <w:num w:numId="11">
    <w:abstractNumId w:val="22"/>
  </w:num>
  <w:num w:numId="12">
    <w:abstractNumId w:val="3"/>
  </w:num>
  <w:num w:numId="13">
    <w:abstractNumId w:val="12"/>
  </w:num>
  <w:num w:numId="14">
    <w:abstractNumId w:val="0"/>
  </w:num>
  <w:num w:numId="15">
    <w:abstractNumId w:val="2"/>
  </w:num>
  <w:num w:numId="16">
    <w:abstractNumId w:val="9"/>
  </w:num>
  <w:num w:numId="17">
    <w:abstractNumId w:val="1"/>
  </w:num>
  <w:num w:numId="18">
    <w:abstractNumId w:val="19"/>
  </w:num>
  <w:num w:numId="19">
    <w:abstractNumId w:val="20"/>
  </w:num>
  <w:num w:numId="20">
    <w:abstractNumId w:val="24"/>
  </w:num>
  <w:num w:numId="21">
    <w:abstractNumId w:val="16"/>
  </w:num>
  <w:num w:numId="22">
    <w:abstractNumId w:val="8"/>
  </w:num>
  <w:num w:numId="23">
    <w:abstractNumId w:val="10"/>
  </w:num>
  <w:num w:numId="24">
    <w:abstractNumId w:val="15"/>
  </w:num>
  <w:num w:numId="25">
    <w:abstractNumId w:val="28"/>
  </w:num>
  <w:num w:numId="26">
    <w:abstractNumId w:val="18"/>
  </w:num>
  <w:num w:numId="27">
    <w:abstractNumId w:val="11"/>
  </w:num>
  <w:num w:numId="28">
    <w:abstractNumId w:val="14"/>
  </w:num>
  <w:num w:numId="29">
    <w:abstractNumId w:val="31"/>
  </w:num>
  <w:num w:numId="30">
    <w:abstractNumId w:val="26"/>
  </w:num>
  <w:num w:numId="31">
    <w:abstractNumId w:val="30"/>
  </w:num>
  <w:num w:numId="32">
    <w:abstractNumId w:val="5"/>
  </w:num>
  <w:num w:numId="33">
    <w:abstractNumId w:val="32"/>
  </w:num>
  <w:num w:numId="34">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730"/>
    <w:rsid w:val="000003DE"/>
    <w:rsid w:val="00006EF8"/>
    <w:rsid w:val="00010E69"/>
    <w:rsid w:val="00024CA2"/>
    <w:rsid w:val="00025D47"/>
    <w:rsid w:val="0005497E"/>
    <w:rsid w:val="00057378"/>
    <w:rsid w:val="00060EDC"/>
    <w:rsid w:val="00082ACE"/>
    <w:rsid w:val="00092C73"/>
    <w:rsid w:val="00093381"/>
    <w:rsid w:val="00096100"/>
    <w:rsid w:val="000A1627"/>
    <w:rsid w:val="000A23D6"/>
    <w:rsid w:val="000A7A36"/>
    <w:rsid w:val="000A7C3A"/>
    <w:rsid w:val="000C34B8"/>
    <w:rsid w:val="000C53E0"/>
    <w:rsid w:val="000C7166"/>
    <w:rsid w:val="000D57B1"/>
    <w:rsid w:val="000E4AC2"/>
    <w:rsid w:val="000F26D4"/>
    <w:rsid w:val="000F3CC4"/>
    <w:rsid w:val="000F3E2F"/>
    <w:rsid w:val="000F4A87"/>
    <w:rsid w:val="000F64F1"/>
    <w:rsid w:val="000F66EF"/>
    <w:rsid w:val="00100269"/>
    <w:rsid w:val="00104CA0"/>
    <w:rsid w:val="00110A2D"/>
    <w:rsid w:val="0012328D"/>
    <w:rsid w:val="001237CA"/>
    <w:rsid w:val="001239AE"/>
    <w:rsid w:val="0012517E"/>
    <w:rsid w:val="001255D9"/>
    <w:rsid w:val="00130622"/>
    <w:rsid w:val="00133EDD"/>
    <w:rsid w:val="0013537F"/>
    <w:rsid w:val="00141658"/>
    <w:rsid w:val="00141A92"/>
    <w:rsid w:val="0014201D"/>
    <w:rsid w:val="00145667"/>
    <w:rsid w:val="00153309"/>
    <w:rsid w:val="00153C99"/>
    <w:rsid w:val="00155798"/>
    <w:rsid w:val="00155944"/>
    <w:rsid w:val="0015620F"/>
    <w:rsid w:val="00162114"/>
    <w:rsid w:val="00167149"/>
    <w:rsid w:val="00173C6B"/>
    <w:rsid w:val="00194E8E"/>
    <w:rsid w:val="00194FFC"/>
    <w:rsid w:val="001972F9"/>
    <w:rsid w:val="001A0E13"/>
    <w:rsid w:val="001A7CD8"/>
    <w:rsid w:val="001B2159"/>
    <w:rsid w:val="001B218F"/>
    <w:rsid w:val="001B38BB"/>
    <w:rsid w:val="001B5489"/>
    <w:rsid w:val="001B65F3"/>
    <w:rsid w:val="001C1D2F"/>
    <w:rsid w:val="001C4B4F"/>
    <w:rsid w:val="001C6244"/>
    <w:rsid w:val="001D34B8"/>
    <w:rsid w:val="001D4EB7"/>
    <w:rsid w:val="001D5505"/>
    <w:rsid w:val="001E58EC"/>
    <w:rsid w:val="001E6B15"/>
    <w:rsid w:val="001F09DC"/>
    <w:rsid w:val="001F1B7B"/>
    <w:rsid w:val="001F1EF6"/>
    <w:rsid w:val="001F1F05"/>
    <w:rsid w:val="001F5C68"/>
    <w:rsid w:val="002013A9"/>
    <w:rsid w:val="00206AEA"/>
    <w:rsid w:val="0021199C"/>
    <w:rsid w:val="00212722"/>
    <w:rsid w:val="00212EBF"/>
    <w:rsid w:val="0021355D"/>
    <w:rsid w:val="00222815"/>
    <w:rsid w:val="00226AAA"/>
    <w:rsid w:val="00230669"/>
    <w:rsid w:val="00231798"/>
    <w:rsid w:val="0023346C"/>
    <w:rsid w:val="0024461F"/>
    <w:rsid w:val="00247FB9"/>
    <w:rsid w:val="00254377"/>
    <w:rsid w:val="00260C5C"/>
    <w:rsid w:val="002614A4"/>
    <w:rsid w:val="00261901"/>
    <w:rsid w:val="00264F5E"/>
    <w:rsid w:val="00265499"/>
    <w:rsid w:val="00270818"/>
    <w:rsid w:val="002748FB"/>
    <w:rsid w:val="00274DE6"/>
    <w:rsid w:val="00275D8B"/>
    <w:rsid w:val="00276845"/>
    <w:rsid w:val="00282A83"/>
    <w:rsid w:val="00283348"/>
    <w:rsid w:val="002900A6"/>
    <w:rsid w:val="00292854"/>
    <w:rsid w:val="002944A0"/>
    <w:rsid w:val="00297924"/>
    <w:rsid w:val="002A194B"/>
    <w:rsid w:val="002A19F6"/>
    <w:rsid w:val="002A6608"/>
    <w:rsid w:val="002B15F5"/>
    <w:rsid w:val="002B1B70"/>
    <w:rsid w:val="002B747C"/>
    <w:rsid w:val="002C071A"/>
    <w:rsid w:val="002C2963"/>
    <w:rsid w:val="002C2D40"/>
    <w:rsid w:val="002C33AF"/>
    <w:rsid w:val="002D3D75"/>
    <w:rsid w:val="002D4F07"/>
    <w:rsid w:val="002D69D6"/>
    <w:rsid w:val="002F22AF"/>
    <w:rsid w:val="002F686B"/>
    <w:rsid w:val="002F7824"/>
    <w:rsid w:val="003012B3"/>
    <w:rsid w:val="003051F8"/>
    <w:rsid w:val="00312755"/>
    <w:rsid w:val="00312E44"/>
    <w:rsid w:val="0031497C"/>
    <w:rsid w:val="00317B1C"/>
    <w:rsid w:val="003200F9"/>
    <w:rsid w:val="00321D40"/>
    <w:rsid w:val="00321E88"/>
    <w:rsid w:val="00322267"/>
    <w:rsid w:val="00326225"/>
    <w:rsid w:val="003263ED"/>
    <w:rsid w:val="00330D49"/>
    <w:rsid w:val="0033208E"/>
    <w:rsid w:val="003355AF"/>
    <w:rsid w:val="00340E9E"/>
    <w:rsid w:val="003438C1"/>
    <w:rsid w:val="00346C84"/>
    <w:rsid w:val="0035339C"/>
    <w:rsid w:val="003634CB"/>
    <w:rsid w:val="00376367"/>
    <w:rsid w:val="003828CD"/>
    <w:rsid w:val="00393791"/>
    <w:rsid w:val="00394C22"/>
    <w:rsid w:val="00394ECF"/>
    <w:rsid w:val="003978A5"/>
    <w:rsid w:val="00397A4F"/>
    <w:rsid w:val="003B06E2"/>
    <w:rsid w:val="003B2C95"/>
    <w:rsid w:val="003C26C4"/>
    <w:rsid w:val="003C27D8"/>
    <w:rsid w:val="003C2C26"/>
    <w:rsid w:val="003C377F"/>
    <w:rsid w:val="003C4BCD"/>
    <w:rsid w:val="003D3665"/>
    <w:rsid w:val="003E6F41"/>
    <w:rsid w:val="003F00C7"/>
    <w:rsid w:val="003F1A52"/>
    <w:rsid w:val="003F2CAA"/>
    <w:rsid w:val="003F4E45"/>
    <w:rsid w:val="003F6779"/>
    <w:rsid w:val="00402BF7"/>
    <w:rsid w:val="004070B0"/>
    <w:rsid w:val="00410F65"/>
    <w:rsid w:val="0041302A"/>
    <w:rsid w:val="0041414F"/>
    <w:rsid w:val="0041618A"/>
    <w:rsid w:val="00416503"/>
    <w:rsid w:val="004230C4"/>
    <w:rsid w:val="004256D3"/>
    <w:rsid w:val="00426319"/>
    <w:rsid w:val="00427407"/>
    <w:rsid w:val="00441DA2"/>
    <w:rsid w:val="0044355A"/>
    <w:rsid w:val="0044366D"/>
    <w:rsid w:val="00444520"/>
    <w:rsid w:val="004507BE"/>
    <w:rsid w:val="00451A73"/>
    <w:rsid w:val="00454A68"/>
    <w:rsid w:val="004575DB"/>
    <w:rsid w:val="00463438"/>
    <w:rsid w:val="004636AF"/>
    <w:rsid w:val="00470EB5"/>
    <w:rsid w:val="00472667"/>
    <w:rsid w:val="004747D5"/>
    <w:rsid w:val="0047689B"/>
    <w:rsid w:val="00481BE1"/>
    <w:rsid w:val="00482F76"/>
    <w:rsid w:val="00484290"/>
    <w:rsid w:val="0048447F"/>
    <w:rsid w:val="00486D4F"/>
    <w:rsid w:val="00491F43"/>
    <w:rsid w:val="004949A2"/>
    <w:rsid w:val="00494B9D"/>
    <w:rsid w:val="004968F1"/>
    <w:rsid w:val="004A19D9"/>
    <w:rsid w:val="004A2137"/>
    <w:rsid w:val="004B0816"/>
    <w:rsid w:val="004B0FD9"/>
    <w:rsid w:val="004B100A"/>
    <w:rsid w:val="004B28DA"/>
    <w:rsid w:val="004B4866"/>
    <w:rsid w:val="004B48B7"/>
    <w:rsid w:val="004B639D"/>
    <w:rsid w:val="004C1D83"/>
    <w:rsid w:val="004C47B5"/>
    <w:rsid w:val="004D3A74"/>
    <w:rsid w:val="004D4FD2"/>
    <w:rsid w:val="004F29B6"/>
    <w:rsid w:val="004F584A"/>
    <w:rsid w:val="004F6992"/>
    <w:rsid w:val="004F7C2F"/>
    <w:rsid w:val="00503647"/>
    <w:rsid w:val="0050515C"/>
    <w:rsid w:val="00505632"/>
    <w:rsid w:val="005105D0"/>
    <w:rsid w:val="00516395"/>
    <w:rsid w:val="00520F39"/>
    <w:rsid w:val="0052112F"/>
    <w:rsid w:val="00536676"/>
    <w:rsid w:val="00540E00"/>
    <w:rsid w:val="005432BB"/>
    <w:rsid w:val="005467A4"/>
    <w:rsid w:val="00546F72"/>
    <w:rsid w:val="00557661"/>
    <w:rsid w:val="00557A2B"/>
    <w:rsid w:val="00560D12"/>
    <w:rsid w:val="0056170E"/>
    <w:rsid w:val="00561A09"/>
    <w:rsid w:val="00561EC4"/>
    <w:rsid w:val="005653F7"/>
    <w:rsid w:val="00571676"/>
    <w:rsid w:val="005725E0"/>
    <w:rsid w:val="00572C81"/>
    <w:rsid w:val="00573B08"/>
    <w:rsid w:val="00574396"/>
    <w:rsid w:val="00574F4E"/>
    <w:rsid w:val="0057610A"/>
    <w:rsid w:val="00582689"/>
    <w:rsid w:val="00582E85"/>
    <w:rsid w:val="00584F21"/>
    <w:rsid w:val="005871F9"/>
    <w:rsid w:val="00590D21"/>
    <w:rsid w:val="00592498"/>
    <w:rsid w:val="00596821"/>
    <w:rsid w:val="00596C4C"/>
    <w:rsid w:val="005A00BF"/>
    <w:rsid w:val="005A27C6"/>
    <w:rsid w:val="005A4892"/>
    <w:rsid w:val="005B2B93"/>
    <w:rsid w:val="005C01B9"/>
    <w:rsid w:val="005C0BF5"/>
    <w:rsid w:val="005C313E"/>
    <w:rsid w:val="005C43F6"/>
    <w:rsid w:val="005D22C1"/>
    <w:rsid w:val="005D6FA3"/>
    <w:rsid w:val="005D70CF"/>
    <w:rsid w:val="005D727E"/>
    <w:rsid w:val="005E6FC3"/>
    <w:rsid w:val="00600D0B"/>
    <w:rsid w:val="00601788"/>
    <w:rsid w:val="006035FA"/>
    <w:rsid w:val="006037D7"/>
    <w:rsid w:val="00604102"/>
    <w:rsid w:val="006055B6"/>
    <w:rsid w:val="0060697D"/>
    <w:rsid w:val="00614EBF"/>
    <w:rsid w:val="00615945"/>
    <w:rsid w:val="006164E4"/>
    <w:rsid w:val="00616AEF"/>
    <w:rsid w:val="00617981"/>
    <w:rsid w:val="00633AE0"/>
    <w:rsid w:val="00636BDE"/>
    <w:rsid w:val="006422A5"/>
    <w:rsid w:val="00643711"/>
    <w:rsid w:val="00650332"/>
    <w:rsid w:val="00654001"/>
    <w:rsid w:val="0066432B"/>
    <w:rsid w:val="00665061"/>
    <w:rsid w:val="00665CB9"/>
    <w:rsid w:val="00671D5C"/>
    <w:rsid w:val="00673C49"/>
    <w:rsid w:val="00674D7A"/>
    <w:rsid w:val="006753AD"/>
    <w:rsid w:val="006758E7"/>
    <w:rsid w:val="006764BC"/>
    <w:rsid w:val="0068005B"/>
    <w:rsid w:val="006815FC"/>
    <w:rsid w:val="00681A0E"/>
    <w:rsid w:val="006851CE"/>
    <w:rsid w:val="006937B9"/>
    <w:rsid w:val="00693B32"/>
    <w:rsid w:val="0069656F"/>
    <w:rsid w:val="006A0C4E"/>
    <w:rsid w:val="006A356F"/>
    <w:rsid w:val="006A4579"/>
    <w:rsid w:val="006A5C13"/>
    <w:rsid w:val="006C3EF4"/>
    <w:rsid w:val="006C4216"/>
    <w:rsid w:val="006C5A34"/>
    <w:rsid w:val="006C64D5"/>
    <w:rsid w:val="006C6E4B"/>
    <w:rsid w:val="006D2031"/>
    <w:rsid w:val="006D45E3"/>
    <w:rsid w:val="006D6E9D"/>
    <w:rsid w:val="006D7009"/>
    <w:rsid w:val="006E193F"/>
    <w:rsid w:val="006E5117"/>
    <w:rsid w:val="006E71EA"/>
    <w:rsid w:val="006E7818"/>
    <w:rsid w:val="006E7C5B"/>
    <w:rsid w:val="006F1D97"/>
    <w:rsid w:val="006F29A2"/>
    <w:rsid w:val="00701953"/>
    <w:rsid w:val="00702813"/>
    <w:rsid w:val="00702CDC"/>
    <w:rsid w:val="00712099"/>
    <w:rsid w:val="0071237F"/>
    <w:rsid w:val="00714FFF"/>
    <w:rsid w:val="007151DE"/>
    <w:rsid w:val="00717621"/>
    <w:rsid w:val="00720282"/>
    <w:rsid w:val="00722243"/>
    <w:rsid w:val="00735F7F"/>
    <w:rsid w:val="007401CF"/>
    <w:rsid w:val="007465C6"/>
    <w:rsid w:val="00747984"/>
    <w:rsid w:val="007517F0"/>
    <w:rsid w:val="00752DA9"/>
    <w:rsid w:val="00756068"/>
    <w:rsid w:val="00763593"/>
    <w:rsid w:val="00766A88"/>
    <w:rsid w:val="00770D94"/>
    <w:rsid w:val="00784DAF"/>
    <w:rsid w:val="00785BFD"/>
    <w:rsid w:val="00786A58"/>
    <w:rsid w:val="00791A7E"/>
    <w:rsid w:val="00792015"/>
    <w:rsid w:val="007968D1"/>
    <w:rsid w:val="007A10A2"/>
    <w:rsid w:val="007A6B81"/>
    <w:rsid w:val="007D049E"/>
    <w:rsid w:val="007D20A8"/>
    <w:rsid w:val="007D399F"/>
    <w:rsid w:val="007D3FCE"/>
    <w:rsid w:val="007D539C"/>
    <w:rsid w:val="007D55BC"/>
    <w:rsid w:val="007E1064"/>
    <w:rsid w:val="007E4415"/>
    <w:rsid w:val="007E61D4"/>
    <w:rsid w:val="007F4797"/>
    <w:rsid w:val="007F54DB"/>
    <w:rsid w:val="007F6282"/>
    <w:rsid w:val="00802012"/>
    <w:rsid w:val="00807BB7"/>
    <w:rsid w:val="00810D02"/>
    <w:rsid w:val="00815075"/>
    <w:rsid w:val="00817D92"/>
    <w:rsid w:val="00831780"/>
    <w:rsid w:val="008401F1"/>
    <w:rsid w:val="00852C3F"/>
    <w:rsid w:val="008577FE"/>
    <w:rsid w:val="00862F27"/>
    <w:rsid w:val="0086340F"/>
    <w:rsid w:val="008635B8"/>
    <w:rsid w:val="00863A62"/>
    <w:rsid w:val="00864722"/>
    <w:rsid w:val="00864912"/>
    <w:rsid w:val="0086510C"/>
    <w:rsid w:val="0086592B"/>
    <w:rsid w:val="00882285"/>
    <w:rsid w:val="00885175"/>
    <w:rsid w:val="00886B81"/>
    <w:rsid w:val="008A0A0A"/>
    <w:rsid w:val="008A5734"/>
    <w:rsid w:val="008A67F5"/>
    <w:rsid w:val="008B088B"/>
    <w:rsid w:val="008B18F4"/>
    <w:rsid w:val="008B1C22"/>
    <w:rsid w:val="008B4BED"/>
    <w:rsid w:val="008C3DAB"/>
    <w:rsid w:val="008D590E"/>
    <w:rsid w:val="008D7CCC"/>
    <w:rsid w:val="008E05D4"/>
    <w:rsid w:val="008E3A52"/>
    <w:rsid w:val="008E410A"/>
    <w:rsid w:val="008F4AC5"/>
    <w:rsid w:val="00901308"/>
    <w:rsid w:val="00910C15"/>
    <w:rsid w:val="00916927"/>
    <w:rsid w:val="0092120C"/>
    <w:rsid w:val="00922747"/>
    <w:rsid w:val="009313E8"/>
    <w:rsid w:val="00931616"/>
    <w:rsid w:val="00932307"/>
    <w:rsid w:val="009408EF"/>
    <w:rsid w:val="00943251"/>
    <w:rsid w:val="00943787"/>
    <w:rsid w:val="00956A69"/>
    <w:rsid w:val="00957009"/>
    <w:rsid w:val="00957E8C"/>
    <w:rsid w:val="009633F9"/>
    <w:rsid w:val="009656DF"/>
    <w:rsid w:val="0097084E"/>
    <w:rsid w:val="00971859"/>
    <w:rsid w:val="009724AA"/>
    <w:rsid w:val="00973FF7"/>
    <w:rsid w:val="009767C5"/>
    <w:rsid w:val="00984AC7"/>
    <w:rsid w:val="0098734A"/>
    <w:rsid w:val="00991184"/>
    <w:rsid w:val="00991CC5"/>
    <w:rsid w:val="00994D84"/>
    <w:rsid w:val="009953E7"/>
    <w:rsid w:val="009A31F0"/>
    <w:rsid w:val="009A7D00"/>
    <w:rsid w:val="009B6D29"/>
    <w:rsid w:val="009C2DCA"/>
    <w:rsid w:val="009C6EFC"/>
    <w:rsid w:val="009C7BA7"/>
    <w:rsid w:val="009C7CD6"/>
    <w:rsid w:val="009D1B12"/>
    <w:rsid w:val="009D524C"/>
    <w:rsid w:val="009D6847"/>
    <w:rsid w:val="009E0CEB"/>
    <w:rsid w:val="009E0D13"/>
    <w:rsid w:val="009E2019"/>
    <w:rsid w:val="009E2781"/>
    <w:rsid w:val="009E4907"/>
    <w:rsid w:val="009E4986"/>
    <w:rsid w:val="009F0915"/>
    <w:rsid w:val="009F0BAF"/>
    <w:rsid w:val="009F424C"/>
    <w:rsid w:val="00A151B7"/>
    <w:rsid w:val="00A207BE"/>
    <w:rsid w:val="00A24131"/>
    <w:rsid w:val="00A340AB"/>
    <w:rsid w:val="00A3595B"/>
    <w:rsid w:val="00A3623C"/>
    <w:rsid w:val="00A368C8"/>
    <w:rsid w:val="00A40BCD"/>
    <w:rsid w:val="00A503A4"/>
    <w:rsid w:val="00A5040F"/>
    <w:rsid w:val="00A54BEC"/>
    <w:rsid w:val="00A66AA6"/>
    <w:rsid w:val="00A72993"/>
    <w:rsid w:val="00A776E0"/>
    <w:rsid w:val="00A77B53"/>
    <w:rsid w:val="00A841A3"/>
    <w:rsid w:val="00A85C8D"/>
    <w:rsid w:val="00A87B0F"/>
    <w:rsid w:val="00A90D37"/>
    <w:rsid w:val="00A94493"/>
    <w:rsid w:val="00A97DE7"/>
    <w:rsid w:val="00AA0BA9"/>
    <w:rsid w:val="00AA1F1F"/>
    <w:rsid w:val="00AA36AB"/>
    <w:rsid w:val="00AA68DC"/>
    <w:rsid w:val="00AB2243"/>
    <w:rsid w:val="00AB5D26"/>
    <w:rsid w:val="00AB6A32"/>
    <w:rsid w:val="00AC37DA"/>
    <w:rsid w:val="00AC7008"/>
    <w:rsid w:val="00AD13EE"/>
    <w:rsid w:val="00AD7349"/>
    <w:rsid w:val="00AE587A"/>
    <w:rsid w:val="00AE5A88"/>
    <w:rsid w:val="00AF15AE"/>
    <w:rsid w:val="00AF6A15"/>
    <w:rsid w:val="00AF6ADF"/>
    <w:rsid w:val="00AF72C1"/>
    <w:rsid w:val="00B0346B"/>
    <w:rsid w:val="00B053C8"/>
    <w:rsid w:val="00B10908"/>
    <w:rsid w:val="00B10CF8"/>
    <w:rsid w:val="00B17805"/>
    <w:rsid w:val="00B20E48"/>
    <w:rsid w:val="00B43681"/>
    <w:rsid w:val="00B4528B"/>
    <w:rsid w:val="00B4543A"/>
    <w:rsid w:val="00B46BED"/>
    <w:rsid w:val="00B545CF"/>
    <w:rsid w:val="00B54BE1"/>
    <w:rsid w:val="00B54E93"/>
    <w:rsid w:val="00B55D5F"/>
    <w:rsid w:val="00B55EEE"/>
    <w:rsid w:val="00B56577"/>
    <w:rsid w:val="00B61641"/>
    <w:rsid w:val="00B630EA"/>
    <w:rsid w:val="00B64496"/>
    <w:rsid w:val="00B64A1B"/>
    <w:rsid w:val="00B6585E"/>
    <w:rsid w:val="00B6782D"/>
    <w:rsid w:val="00B67A8E"/>
    <w:rsid w:val="00B802A2"/>
    <w:rsid w:val="00B8438B"/>
    <w:rsid w:val="00B96722"/>
    <w:rsid w:val="00B97300"/>
    <w:rsid w:val="00B97E30"/>
    <w:rsid w:val="00BA0836"/>
    <w:rsid w:val="00BA13ED"/>
    <w:rsid w:val="00BA2F7F"/>
    <w:rsid w:val="00BA547B"/>
    <w:rsid w:val="00BA7ED1"/>
    <w:rsid w:val="00BB21DD"/>
    <w:rsid w:val="00BB614F"/>
    <w:rsid w:val="00BC724C"/>
    <w:rsid w:val="00BD03E2"/>
    <w:rsid w:val="00BD7FA7"/>
    <w:rsid w:val="00BE5E49"/>
    <w:rsid w:val="00BF02B1"/>
    <w:rsid w:val="00BF6A38"/>
    <w:rsid w:val="00C05815"/>
    <w:rsid w:val="00C12044"/>
    <w:rsid w:val="00C121BB"/>
    <w:rsid w:val="00C13048"/>
    <w:rsid w:val="00C13150"/>
    <w:rsid w:val="00C150CF"/>
    <w:rsid w:val="00C15E9C"/>
    <w:rsid w:val="00C17BBB"/>
    <w:rsid w:val="00C20138"/>
    <w:rsid w:val="00C27481"/>
    <w:rsid w:val="00C3041A"/>
    <w:rsid w:val="00C335D6"/>
    <w:rsid w:val="00C5042D"/>
    <w:rsid w:val="00C51C84"/>
    <w:rsid w:val="00C54E77"/>
    <w:rsid w:val="00C656BF"/>
    <w:rsid w:val="00C718B8"/>
    <w:rsid w:val="00C83CD1"/>
    <w:rsid w:val="00C8631E"/>
    <w:rsid w:val="00C90D51"/>
    <w:rsid w:val="00C94396"/>
    <w:rsid w:val="00C97683"/>
    <w:rsid w:val="00CA145F"/>
    <w:rsid w:val="00CB159E"/>
    <w:rsid w:val="00CB46E6"/>
    <w:rsid w:val="00CB75F3"/>
    <w:rsid w:val="00CC0108"/>
    <w:rsid w:val="00CC26A0"/>
    <w:rsid w:val="00CC54CB"/>
    <w:rsid w:val="00CC6006"/>
    <w:rsid w:val="00CD13B9"/>
    <w:rsid w:val="00CD3001"/>
    <w:rsid w:val="00CD4849"/>
    <w:rsid w:val="00CD4F45"/>
    <w:rsid w:val="00CD525E"/>
    <w:rsid w:val="00CD734D"/>
    <w:rsid w:val="00CE0ABD"/>
    <w:rsid w:val="00CE1029"/>
    <w:rsid w:val="00CE3CD8"/>
    <w:rsid w:val="00CE4751"/>
    <w:rsid w:val="00CE56B0"/>
    <w:rsid w:val="00CF7C7E"/>
    <w:rsid w:val="00D06C33"/>
    <w:rsid w:val="00D07CD3"/>
    <w:rsid w:val="00D07F92"/>
    <w:rsid w:val="00D120A7"/>
    <w:rsid w:val="00D12FCF"/>
    <w:rsid w:val="00D14E85"/>
    <w:rsid w:val="00D16AD9"/>
    <w:rsid w:val="00D175E8"/>
    <w:rsid w:val="00D25D77"/>
    <w:rsid w:val="00D33407"/>
    <w:rsid w:val="00D4209C"/>
    <w:rsid w:val="00D42A26"/>
    <w:rsid w:val="00D43389"/>
    <w:rsid w:val="00D4341D"/>
    <w:rsid w:val="00D44B1A"/>
    <w:rsid w:val="00D45AB5"/>
    <w:rsid w:val="00D5399C"/>
    <w:rsid w:val="00D543DA"/>
    <w:rsid w:val="00D55B04"/>
    <w:rsid w:val="00D608B7"/>
    <w:rsid w:val="00D60D01"/>
    <w:rsid w:val="00D650B0"/>
    <w:rsid w:val="00D70A4E"/>
    <w:rsid w:val="00D737F1"/>
    <w:rsid w:val="00D75D6C"/>
    <w:rsid w:val="00D80931"/>
    <w:rsid w:val="00D8235D"/>
    <w:rsid w:val="00D83BAC"/>
    <w:rsid w:val="00D84761"/>
    <w:rsid w:val="00D85AD0"/>
    <w:rsid w:val="00D87515"/>
    <w:rsid w:val="00D91035"/>
    <w:rsid w:val="00D95923"/>
    <w:rsid w:val="00D95ED2"/>
    <w:rsid w:val="00DA060C"/>
    <w:rsid w:val="00DB1508"/>
    <w:rsid w:val="00DB1CFC"/>
    <w:rsid w:val="00DB2723"/>
    <w:rsid w:val="00DB3784"/>
    <w:rsid w:val="00DB40C1"/>
    <w:rsid w:val="00DB63A5"/>
    <w:rsid w:val="00DC1381"/>
    <w:rsid w:val="00DD0730"/>
    <w:rsid w:val="00DD257C"/>
    <w:rsid w:val="00DE518C"/>
    <w:rsid w:val="00DE559B"/>
    <w:rsid w:val="00DE61BD"/>
    <w:rsid w:val="00DF224D"/>
    <w:rsid w:val="00DF316E"/>
    <w:rsid w:val="00E01E36"/>
    <w:rsid w:val="00E02164"/>
    <w:rsid w:val="00E07CF8"/>
    <w:rsid w:val="00E11928"/>
    <w:rsid w:val="00E141CB"/>
    <w:rsid w:val="00E16417"/>
    <w:rsid w:val="00E17372"/>
    <w:rsid w:val="00E22A30"/>
    <w:rsid w:val="00E233FC"/>
    <w:rsid w:val="00E25285"/>
    <w:rsid w:val="00E34A09"/>
    <w:rsid w:val="00E352F4"/>
    <w:rsid w:val="00E40C25"/>
    <w:rsid w:val="00E4386C"/>
    <w:rsid w:val="00E474FA"/>
    <w:rsid w:val="00E50A57"/>
    <w:rsid w:val="00E5258B"/>
    <w:rsid w:val="00E533F5"/>
    <w:rsid w:val="00E53923"/>
    <w:rsid w:val="00E54466"/>
    <w:rsid w:val="00E5551D"/>
    <w:rsid w:val="00E66C4A"/>
    <w:rsid w:val="00E73FF5"/>
    <w:rsid w:val="00E77514"/>
    <w:rsid w:val="00E77804"/>
    <w:rsid w:val="00E822CE"/>
    <w:rsid w:val="00E82F28"/>
    <w:rsid w:val="00E83A08"/>
    <w:rsid w:val="00E868EC"/>
    <w:rsid w:val="00E9305C"/>
    <w:rsid w:val="00E97BE9"/>
    <w:rsid w:val="00EA2F65"/>
    <w:rsid w:val="00EA6788"/>
    <w:rsid w:val="00EB0C83"/>
    <w:rsid w:val="00EB4FD0"/>
    <w:rsid w:val="00EC2F56"/>
    <w:rsid w:val="00EC5248"/>
    <w:rsid w:val="00EC5677"/>
    <w:rsid w:val="00ED0BCD"/>
    <w:rsid w:val="00ED178A"/>
    <w:rsid w:val="00ED18B2"/>
    <w:rsid w:val="00ED4816"/>
    <w:rsid w:val="00EE0C32"/>
    <w:rsid w:val="00EE67E4"/>
    <w:rsid w:val="00EF275E"/>
    <w:rsid w:val="00F032FC"/>
    <w:rsid w:val="00F04CDE"/>
    <w:rsid w:val="00F0681D"/>
    <w:rsid w:val="00F10705"/>
    <w:rsid w:val="00F14CEE"/>
    <w:rsid w:val="00F17EAD"/>
    <w:rsid w:val="00F208EC"/>
    <w:rsid w:val="00F21973"/>
    <w:rsid w:val="00F258DE"/>
    <w:rsid w:val="00F314BC"/>
    <w:rsid w:val="00F3180D"/>
    <w:rsid w:val="00F325DA"/>
    <w:rsid w:val="00F34369"/>
    <w:rsid w:val="00F35D74"/>
    <w:rsid w:val="00F369C2"/>
    <w:rsid w:val="00F417DE"/>
    <w:rsid w:val="00F42596"/>
    <w:rsid w:val="00F445AF"/>
    <w:rsid w:val="00F44CD3"/>
    <w:rsid w:val="00F454BA"/>
    <w:rsid w:val="00F51BD6"/>
    <w:rsid w:val="00F52487"/>
    <w:rsid w:val="00F53227"/>
    <w:rsid w:val="00F532FD"/>
    <w:rsid w:val="00F55982"/>
    <w:rsid w:val="00F55E95"/>
    <w:rsid w:val="00F6111A"/>
    <w:rsid w:val="00F64E03"/>
    <w:rsid w:val="00F66EBD"/>
    <w:rsid w:val="00F66F63"/>
    <w:rsid w:val="00F67E00"/>
    <w:rsid w:val="00F712C4"/>
    <w:rsid w:val="00F74DC5"/>
    <w:rsid w:val="00F75E0B"/>
    <w:rsid w:val="00F7631E"/>
    <w:rsid w:val="00F834BB"/>
    <w:rsid w:val="00F85D1E"/>
    <w:rsid w:val="00F87C2D"/>
    <w:rsid w:val="00F93140"/>
    <w:rsid w:val="00F9795A"/>
    <w:rsid w:val="00FA4262"/>
    <w:rsid w:val="00FB1DED"/>
    <w:rsid w:val="00FB2D80"/>
    <w:rsid w:val="00FB2E12"/>
    <w:rsid w:val="00FC0814"/>
    <w:rsid w:val="00FC35B3"/>
    <w:rsid w:val="00FC69CC"/>
    <w:rsid w:val="00FC7A39"/>
    <w:rsid w:val="00FD2CAE"/>
    <w:rsid w:val="00FD3E5A"/>
    <w:rsid w:val="00FD4573"/>
    <w:rsid w:val="00FD4FB1"/>
    <w:rsid w:val="00FD5268"/>
    <w:rsid w:val="00FE362B"/>
    <w:rsid w:val="00FE4439"/>
    <w:rsid w:val="00FE5B3B"/>
    <w:rsid w:val="00FE679B"/>
    <w:rsid w:val="00FE67B7"/>
    <w:rsid w:val="00FE70E1"/>
    <w:rsid w:val="00FE7399"/>
    <w:rsid w:val="00FF11C1"/>
    <w:rsid w:val="00FF5333"/>
    <w:rsid w:val="00FF79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073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Akapitzlist"/>
    <w:next w:val="Normalny"/>
    <w:link w:val="Nagwek1Znak"/>
    <w:qFormat/>
    <w:rsid w:val="00454A68"/>
    <w:pPr>
      <w:numPr>
        <w:numId w:val="1"/>
      </w:numPr>
      <w:spacing w:after="0" w:line="240" w:lineRule="auto"/>
      <w:jc w:val="both"/>
      <w:outlineLvl w:val="0"/>
    </w:pPr>
    <w:rPr>
      <w:b/>
      <w:sz w:val="24"/>
      <w:szCs w:val="24"/>
    </w:rPr>
  </w:style>
  <w:style w:type="paragraph" w:styleId="Nagwek2">
    <w:name w:val="heading 2"/>
    <w:basedOn w:val="Nagwek3"/>
    <w:next w:val="Normalny"/>
    <w:link w:val="Nagwek2Znak"/>
    <w:uiPriority w:val="9"/>
    <w:unhideWhenUsed/>
    <w:qFormat/>
    <w:rsid w:val="00454A68"/>
    <w:pPr>
      <w:numPr>
        <w:numId w:val="5"/>
      </w:numPr>
      <w:spacing w:before="0" w:line="240" w:lineRule="auto"/>
      <w:outlineLvl w:val="1"/>
    </w:pPr>
    <w:rPr>
      <w:rFonts w:asciiTheme="minorHAnsi" w:hAnsiTheme="minorHAnsi"/>
      <w:color w:val="auto"/>
      <w:sz w:val="24"/>
      <w:szCs w:val="24"/>
    </w:rPr>
  </w:style>
  <w:style w:type="paragraph" w:styleId="Nagwek3">
    <w:name w:val="heading 3"/>
    <w:basedOn w:val="Normalny"/>
    <w:next w:val="Normalny"/>
    <w:link w:val="Nagwek3Znak"/>
    <w:uiPriority w:val="9"/>
    <w:unhideWhenUsed/>
    <w:qFormat/>
    <w:rsid w:val="00E822CE"/>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Nagwek4">
    <w:name w:val="heading 4"/>
    <w:basedOn w:val="Normalny"/>
    <w:next w:val="Normalny"/>
    <w:link w:val="Nagwek4Znak"/>
    <w:uiPriority w:val="9"/>
    <w:unhideWhenUsed/>
    <w:qFormat/>
    <w:rsid w:val="00260C5C"/>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54A68"/>
    <w:rPr>
      <w:rFonts w:ascii="Calibri" w:eastAsia="Calibri" w:hAnsi="Calibri" w:cs="Times New Roman"/>
      <w:b/>
      <w:sz w:val="24"/>
      <w:szCs w:val="24"/>
      <w:lang w:val="x-none"/>
    </w:rPr>
  </w:style>
  <w:style w:type="paragraph" w:styleId="Nagwek">
    <w:name w:val="header"/>
    <w:basedOn w:val="Normalny"/>
    <w:link w:val="NagwekZnak"/>
    <w:uiPriority w:val="99"/>
    <w:rsid w:val="00DD0730"/>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DD0730"/>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DD0730"/>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DD0730"/>
    <w:rPr>
      <w:rFonts w:ascii="Times New Roman" w:eastAsia="Times New Roman" w:hAnsi="Times New Roman" w:cs="Times New Roman"/>
      <w:sz w:val="24"/>
      <w:szCs w:val="24"/>
      <w:lang w:val="x-none" w:eastAsia="x-none"/>
    </w:rPr>
  </w:style>
  <w:style w:type="paragraph" w:styleId="Listapunktowana">
    <w:name w:val="List Bullet"/>
    <w:basedOn w:val="Normalny"/>
    <w:autoRedefine/>
    <w:rsid w:val="00DD0730"/>
    <w:pPr>
      <w:spacing w:line="360" w:lineRule="auto"/>
      <w:jc w:val="both"/>
    </w:pPr>
    <w:rPr>
      <w:rFonts w:ascii="Calibri" w:hAnsi="Calibri" w:cs="Arial"/>
      <w:i/>
      <w:color w:val="000000"/>
    </w:rPr>
  </w:style>
  <w:style w:type="character" w:styleId="Hipercze">
    <w:name w:val="Hyperlink"/>
    <w:uiPriority w:val="99"/>
    <w:rsid w:val="00DD0730"/>
    <w:rPr>
      <w:color w:val="0000FF"/>
      <w:u w:val="single"/>
    </w:rPr>
  </w:style>
  <w:style w:type="paragraph" w:styleId="Akapitzlist">
    <w:name w:val="List Paragraph"/>
    <w:aliases w:val="Numbered Para 1,No Spacing1,Indicator Text,Bullet 1,2,List Paragraph Char Char Char,Akapit z list¹1,Dot pt,F5 List Paragraph,List Paragraph1,Recommendation,List Paragraph11,List Paragraph,Kolorowa lista — akcent 11,Akapit z listą1,3,LISTA"/>
    <w:basedOn w:val="Normalny"/>
    <w:link w:val="AkapitzlistZnak"/>
    <w:uiPriority w:val="34"/>
    <w:qFormat/>
    <w:rsid w:val="00DD0730"/>
    <w:pPr>
      <w:spacing w:after="200" w:line="276" w:lineRule="auto"/>
      <w:ind w:left="708"/>
    </w:pPr>
    <w:rPr>
      <w:rFonts w:ascii="Calibri" w:eastAsia="Calibri" w:hAnsi="Calibri"/>
      <w:sz w:val="22"/>
      <w:szCs w:val="22"/>
      <w:lang w:val="x-none" w:eastAsia="en-US"/>
    </w:rPr>
  </w:style>
  <w:style w:type="character" w:customStyle="1" w:styleId="AkapitzlistZnak">
    <w:name w:val="Akapit z listą Znak"/>
    <w:aliases w:val="Numbered Para 1 Znak,No Spacing1 Znak,Indicator Text Znak,Bullet 1 Znak,2 Znak,List Paragraph Char Char Char Znak,Akapit z list¹1 Znak,Dot pt Znak,F5 List Paragraph Znak,List Paragraph1 Znak,Recommendation Znak,List Paragraph11 Znak"/>
    <w:link w:val="Akapitzlist"/>
    <w:uiPriority w:val="34"/>
    <w:locked/>
    <w:rsid w:val="00DD0730"/>
    <w:rPr>
      <w:rFonts w:ascii="Calibri" w:eastAsia="Calibri" w:hAnsi="Calibri" w:cs="Times New Roman"/>
      <w:lang w:val="x-none"/>
    </w:rPr>
  </w:style>
  <w:style w:type="paragraph" w:styleId="Tekstprzypisudolnego">
    <w:name w:val="footnote text"/>
    <w:aliases w:val="Footnote Text Char1,Footnote Text Char Char,Footnote Text Char1 Char Char,Footnote Text Char Char Char Char,Footnote Text Char1 Char Char1 Char Char,Footnote Text Char Char Char Char1 Char Char"/>
    <w:basedOn w:val="Normalny"/>
    <w:link w:val="TekstprzypisudolnegoZnak"/>
    <w:uiPriority w:val="99"/>
    <w:rsid w:val="00DD0730"/>
    <w:rPr>
      <w:sz w:val="20"/>
      <w:szCs w:val="20"/>
    </w:rPr>
  </w:style>
  <w:style w:type="character" w:customStyle="1" w:styleId="TekstprzypisudolnegoZnak">
    <w:name w:val="Tekst przypisu dolnego Znak"/>
    <w:aliases w:val="Footnote Text Char1 Znak,Footnote Text Char Char Znak,Footnote Text Char1 Char Char Znak,Footnote Text Char Char Char Char Znak,Footnote Text Char1 Char Char1 Char Char Znak,Footnote Text Char Char Char Char1 Char Char Znak"/>
    <w:basedOn w:val="Domylnaczcionkaakapitu"/>
    <w:link w:val="Tekstprzypisudolnego"/>
    <w:uiPriority w:val="99"/>
    <w:rsid w:val="00DD0730"/>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DD0730"/>
    <w:pPr>
      <w:spacing w:line="360" w:lineRule="auto"/>
      <w:ind w:firstLine="708"/>
      <w:jc w:val="both"/>
    </w:pPr>
    <w:rPr>
      <w:b/>
      <w:szCs w:val="20"/>
      <w:lang w:val="x-none" w:eastAsia="x-none"/>
    </w:rPr>
  </w:style>
  <w:style w:type="character" w:customStyle="1" w:styleId="Tekstpodstawowywcity2Znak">
    <w:name w:val="Tekst podstawowy wcięty 2 Znak"/>
    <w:basedOn w:val="Domylnaczcionkaakapitu"/>
    <w:link w:val="Tekstpodstawowywcity2"/>
    <w:rsid w:val="00DD0730"/>
    <w:rPr>
      <w:rFonts w:ascii="Times New Roman" w:eastAsia="Times New Roman" w:hAnsi="Times New Roman" w:cs="Times New Roman"/>
      <w:b/>
      <w:sz w:val="24"/>
      <w:szCs w:val="20"/>
      <w:lang w:val="x-none" w:eastAsia="x-none"/>
    </w:rPr>
  </w:style>
  <w:style w:type="character" w:styleId="Odwoanieprzypisudolnego">
    <w:name w:val="footnote reference"/>
    <w:aliases w:val="Footnotes refss"/>
    <w:uiPriority w:val="99"/>
    <w:rsid w:val="00DD0730"/>
    <w:rPr>
      <w:vertAlign w:val="superscript"/>
    </w:rPr>
  </w:style>
  <w:style w:type="paragraph" w:customStyle="1" w:styleId="celp">
    <w:name w:val="cel_p"/>
    <w:basedOn w:val="Normalny"/>
    <w:rsid w:val="00DD0730"/>
    <w:pPr>
      <w:spacing w:after="15"/>
      <w:ind w:left="15" w:right="15"/>
      <w:jc w:val="both"/>
    </w:pPr>
  </w:style>
  <w:style w:type="paragraph" w:styleId="NormalnyWeb">
    <w:name w:val="Normal (Web)"/>
    <w:basedOn w:val="Normalny"/>
    <w:uiPriority w:val="99"/>
    <w:unhideWhenUsed/>
    <w:rsid w:val="00DD0730"/>
    <w:pPr>
      <w:spacing w:before="100" w:beforeAutospacing="1" w:after="100" w:afterAutospacing="1"/>
    </w:pPr>
    <w:rPr>
      <w:rFonts w:ascii="Verdana" w:hAnsi="Verdana"/>
      <w:color w:val="000000"/>
      <w:sz w:val="29"/>
      <w:szCs w:val="29"/>
    </w:rPr>
  </w:style>
  <w:style w:type="character" w:customStyle="1" w:styleId="FontStyle26">
    <w:name w:val="Font Style26"/>
    <w:rsid w:val="00DD0730"/>
    <w:rPr>
      <w:rFonts w:ascii="Arial" w:hAnsi="Arial" w:cs="Arial" w:hint="default"/>
      <w:sz w:val="24"/>
      <w:szCs w:val="24"/>
    </w:rPr>
  </w:style>
  <w:style w:type="paragraph" w:customStyle="1" w:styleId="JuPara">
    <w:name w:val="Ju_Para"/>
    <w:aliases w:val="Left,First line:  0 cm"/>
    <w:basedOn w:val="Normalny"/>
    <w:link w:val="JuParaChar"/>
    <w:rsid w:val="00DD0730"/>
    <w:pPr>
      <w:suppressAutoHyphens/>
      <w:ind w:firstLine="284"/>
      <w:jc w:val="both"/>
    </w:pPr>
    <w:rPr>
      <w:szCs w:val="20"/>
      <w:lang w:val="en-GB" w:eastAsia="fr-FR"/>
    </w:rPr>
  </w:style>
  <w:style w:type="character" w:customStyle="1" w:styleId="JuParaChar">
    <w:name w:val="Ju_Para Char"/>
    <w:link w:val="JuPara"/>
    <w:rsid w:val="00DD0730"/>
    <w:rPr>
      <w:rFonts w:ascii="Times New Roman" w:eastAsia="Times New Roman" w:hAnsi="Times New Roman" w:cs="Times New Roman"/>
      <w:sz w:val="24"/>
      <w:szCs w:val="20"/>
      <w:lang w:val="en-GB" w:eastAsia="fr-FR"/>
    </w:rPr>
  </w:style>
  <w:style w:type="character" w:customStyle="1" w:styleId="s3f2dd4c6">
    <w:name w:val="s3f2dd4c6"/>
    <w:rsid w:val="00DD0730"/>
  </w:style>
  <w:style w:type="paragraph" w:styleId="Bezodstpw">
    <w:name w:val="No Spacing"/>
    <w:uiPriority w:val="1"/>
    <w:qFormat/>
    <w:rsid w:val="00DD0730"/>
    <w:pPr>
      <w:spacing w:after="0" w:line="240" w:lineRule="auto"/>
    </w:pPr>
    <w:rPr>
      <w:rFonts w:ascii="Calibri" w:eastAsia="Calibri" w:hAnsi="Calibri" w:cs="Times New Roman"/>
    </w:rPr>
  </w:style>
  <w:style w:type="character" w:customStyle="1" w:styleId="sdfc50a6a">
    <w:name w:val="sdfc50a6a"/>
    <w:rsid w:val="00DD0730"/>
  </w:style>
  <w:style w:type="paragraph" w:styleId="Tekstdymka">
    <w:name w:val="Balloon Text"/>
    <w:basedOn w:val="Normalny"/>
    <w:link w:val="TekstdymkaZnak"/>
    <w:uiPriority w:val="99"/>
    <w:rsid w:val="00DD0730"/>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DD0730"/>
    <w:rPr>
      <w:rFonts w:ascii="Tahoma" w:eastAsia="Times New Roman" w:hAnsi="Tahoma" w:cs="Times New Roman"/>
      <w:sz w:val="16"/>
      <w:szCs w:val="16"/>
      <w:lang w:val="x-none" w:eastAsia="x-none"/>
    </w:rPr>
  </w:style>
  <w:style w:type="character" w:styleId="Odwoaniedokomentarza">
    <w:name w:val="annotation reference"/>
    <w:uiPriority w:val="99"/>
    <w:rsid w:val="00DD0730"/>
    <w:rPr>
      <w:sz w:val="16"/>
      <w:szCs w:val="16"/>
    </w:rPr>
  </w:style>
  <w:style w:type="paragraph" w:styleId="Tekstkomentarza">
    <w:name w:val="annotation text"/>
    <w:basedOn w:val="Normalny"/>
    <w:link w:val="TekstkomentarzaZnak"/>
    <w:uiPriority w:val="99"/>
    <w:rsid w:val="00DD0730"/>
    <w:rPr>
      <w:sz w:val="20"/>
      <w:szCs w:val="20"/>
    </w:rPr>
  </w:style>
  <w:style w:type="character" w:customStyle="1" w:styleId="TekstkomentarzaZnak">
    <w:name w:val="Tekst komentarza Znak"/>
    <w:basedOn w:val="Domylnaczcionkaakapitu"/>
    <w:link w:val="Tekstkomentarza"/>
    <w:uiPriority w:val="99"/>
    <w:rsid w:val="00DD073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DD0730"/>
    <w:rPr>
      <w:b/>
      <w:bCs/>
      <w:lang w:val="x-none" w:eastAsia="x-none"/>
    </w:rPr>
  </w:style>
  <w:style w:type="character" w:customStyle="1" w:styleId="TematkomentarzaZnak">
    <w:name w:val="Temat komentarza Znak"/>
    <w:basedOn w:val="TekstkomentarzaZnak"/>
    <w:link w:val="Tematkomentarza"/>
    <w:uiPriority w:val="99"/>
    <w:rsid w:val="00DD0730"/>
    <w:rPr>
      <w:rFonts w:ascii="Times New Roman" w:eastAsia="Times New Roman" w:hAnsi="Times New Roman" w:cs="Times New Roman"/>
      <w:b/>
      <w:bCs/>
      <w:sz w:val="20"/>
      <w:szCs w:val="20"/>
      <w:lang w:val="x-none" w:eastAsia="x-none"/>
    </w:rPr>
  </w:style>
  <w:style w:type="paragraph" w:styleId="Tekstprzypisukocowego">
    <w:name w:val="endnote text"/>
    <w:basedOn w:val="Normalny"/>
    <w:link w:val="TekstprzypisukocowegoZnak"/>
    <w:rsid w:val="00DD0730"/>
    <w:rPr>
      <w:sz w:val="20"/>
      <w:szCs w:val="20"/>
    </w:rPr>
  </w:style>
  <w:style w:type="character" w:customStyle="1" w:styleId="TekstprzypisukocowegoZnak">
    <w:name w:val="Tekst przypisu końcowego Znak"/>
    <w:basedOn w:val="Domylnaczcionkaakapitu"/>
    <w:link w:val="Tekstprzypisukocowego"/>
    <w:rsid w:val="00DD0730"/>
    <w:rPr>
      <w:rFonts w:ascii="Times New Roman" w:eastAsia="Times New Roman" w:hAnsi="Times New Roman" w:cs="Times New Roman"/>
      <w:sz w:val="20"/>
      <w:szCs w:val="20"/>
      <w:lang w:eastAsia="pl-PL"/>
    </w:rPr>
  </w:style>
  <w:style w:type="character" w:styleId="Odwoanieprzypisukocowego">
    <w:name w:val="endnote reference"/>
    <w:rsid w:val="00DD0730"/>
    <w:rPr>
      <w:vertAlign w:val="superscript"/>
    </w:rPr>
  </w:style>
  <w:style w:type="paragraph" w:styleId="Spistreci1">
    <w:name w:val="toc 1"/>
    <w:basedOn w:val="Normalny"/>
    <w:next w:val="Normalny"/>
    <w:autoRedefine/>
    <w:uiPriority w:val="39"/>
    <w:rsid w:val="00DD0730"/>
    <w:pPr>
      <w:tabs>
        <w:tab w:val="left" w:pos="440"/>
        <w:tab w:val="right" w:leader="dot" w:pos="9072"/>
      </w:tabs>
      <w:spacing w:before="240" w:after="240"/>
      <w:ind w:right="-1"/>
      <w:jc w:val="both"/>
    </w:pPr>
    <w:rPr>
      <w:rFonts w:ascii="Calibri" w:hAnsi="Calibri"/>
      <w:b/>
      <w:noProof/>
      <w:sz w:val="20"/>
      <w:szCs w:val="20"/>
    </w:rPr>
  </w:style>
  <w:style w:type="character" w:styleId="UyteHipercze">
    <w:name w:val="FollowedHyperlink"/>
    <w:rsid w:val="00DD0730"/>
    <w:rPr>
      <w:color w:val="800080"/>
      <w:u w:val="single"/>
    </w:rPr>
  </w:style>
  <w:style w:type="character" w:customStyle="1" w:styleId="iceouttxt69">
    <w:name w:val="iceouttxt69"/>
    <w:rsid w:val="00DD0730"/>
    <w:rPr>
      <w:color w:val="6D6E71"/>
      <w:sz w:val="18"/>
      <w:szCs w:val="18"/>
    </w:rPr>
  </w:style>
  <w:style w:type="character" w:styleId="Pogrubienie">
    <w:name w:val="Strong"/>
    <w:uiPriority w:val="22"/>
    <w:qFormat/>
    <w:rsid w:val="00DD0730"/>
    <w:rPr>
      <w:b/>
      <w:bCs/>
    </w:rPr>
  </w:style>
  <w:style w:type="character" w:customStyle="1" w:styleId="txt-new">
    <w:name w:val="txt-new"/>
    <w:rsid w:val="00DD0730"/>
  </w:style>
  <w:style w:type="character" w:customStyle="1" w:styleId="luchili">
    <w:name w:val="luc_hili"/>
    <w:rsid w:val="00DD0730"/>
  </w:style>
  <w:style w:type="character" w:customStyle="1" w:styleId="tabulatory">
    <w:name w:val="tabulatory"/>
    <w:rsid w:val="00DD0730"/>
  </w:style>
  <w:style w:type="character" w:styleId="Uwydatnienie">
    <w:name w:val="Emphasis"/>
    <w:uiPriority w:val="20"/>
    <w:qFormat/>
    <w:rsid w:val="00DD0730"/>
    <w:rPr>
      <w:i/>
      <w:iCs/>
    </w:rPr>
  </w:style>
  <w:style w:type="paragraph" w:customStyle="1" w:styleId="s6e50bd9a">
    <w:name w:val="s6e50bd9a"/>
    <w:basedOn w:val="Normalny"/>
    <w:rsid w:val="00DD0730"/>
    <w:pPr>
      <w:spacing w:before="100" w:beforeAutospacing="1" w:after="100" w:afterAutospacing="1"/>
    </w:pPr>
  </w:style>
  <w:style w:type="character" w:customStyle="1" w:styleId="s1a844bc0">
    <w:name w:val="s1a844bc0"/>
    <w:rsid w:val="00DD0730"/>
  </w:style>
  <w:style w:type="character" w:customStyle="1" w:styleId="sfbbfee58">
    <w:name w:val="sfbbfee58"/>
    <w:rsid w:val="00DD0730"/>
  </w:style>
  <w:style w:type="character" w:customStyle="1" w:styleId="wordhighlighted">
    <w:name w:val="wordhighlighted"/>
    <w:rsid w:val="00DD0730"/>
  </w:style>
  <w:style w:type="character" w:customStyle="1" w:styleId="s2a6cf492">
    <w:name w:val="s2a6cf492"/>
    <w:rsid w:val="00DD0730"/>
  </w:style>
  <w:style w:type="character" w:customStyle="1" w:styleId="s52c23de3">
    <w:name w:val="s52c23de3"/>
    <w:rsid w:val="00DD0730"/>
  </w:style>
  <w:style w:type="character" w:customStyle="1" w:styleId="s7d2086b4">
    <w:name w:val="s7d2086b4"/>
    <w:rsid w:val="00DD0730"/>
  </w:style>
  <w:style w:type="table" w:styleId="Tabela-Siatka">
    <w:name w:val="Table Grid"/>
    <w:basedOn w:val="Standardowy"/>
    <w:uiPriority w:val="59"/>
    <w:rsid w:val="00DD0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E822CE"/>
    <w:rPr>
      <w:rFonts w:asciiTheme="majorHAnsi" w:eastAsiaTheme="majorEastAsia" w:hAnsiTheme="majorHAnsi" w:cstheme="majorBidi"/>
      <w:b/>
      <w:bCs/>
      <w:color w:val="4F81BD" w:themeColor="accent1"/>
    </w:rPr>
  </w:style>
  <w:style w:type="character" w:styleId="Wyrnienieintensywne">
    <w:name w:val="Intense Emphasis"/>
    <w:basedOn w:val="Domylnaczcionkaakapitu"/>
    <w:uiPriority w:val="21"/>
    <w:qFormat/>
    <w:rsid w:val="00C8631E"/>
    <w:rPr>
      <w:b/>
      <w:bCs/>
      <w:i/>
      <w:iCs/>
      <w:color w:val="4F81BD" w:themeColor="accent1"/>
    </w:rPr>
  </w:style>
  <w:style w:type="paragraph" w:styleId="Zwykytekst">
    <w:name w:val="Plain Text"/>
    <w:basedOn w:val="Normalny"/>
    <w:link w:val="ZwykytekstZnak"/>
    <w:uiPriority w:val="99"/>
    <w:semiHidden/>
    <w:unhideWhenUsed/>
    <w:rsid w:val="00BB614F"/>
    <w:rPr>
      <w:rFonts w:ascii="Calibri" w:eastAsiaTheme="minorHAnsi" w:hAnsi="Calibri" w:cs="Consolas"/>
      <w:sz w:val="22"/>
      <w:szCs w:val="21"/>
      <w:lang w:eastAsia="en-US"/>
    </w:rPr>
  </w:style>
  <w:style w:type="character" w:customStyle="1" w:styleId="ZwykytekstZnak">
    <w:name w:val="Zwykły tekst Znak"/>
    <w:basedOn w:val="Domylnaczcionkaakapitu"/>
    <w:link w:val="Zwykytekst"/>
    <w:uiPriority w:val="99"/>
    <w:semiHidden/>
    <w:rsid w:val="00BB614F"/>
    <w:rPr>
      <w:rFonts w:ascii="Calibri" w:hAnsi="Calibri" w:cs="Consolas"/>
      <w:szCs w:val="21"/>
    </w:rPr>
  </w:style>
  <w:style w:type="paragraph" w:customStyle="1" w:styleId="Paragraphestandard">
    <w:name w:val="[Paragraphe standard]"/>
    <w:basedOn w:val="Normalny"/>
    <w:uiPriority w:val="99"/>
    <w:rsid w:val="00932307"/>
    <w:pPr>
      <w:autoSpaceDE w:val="0"/>
      <w:autoSpaceDN w:val="0"/>
      <w:adjustRightInd w:val="0"/>
      <w:spacing w:line="288" w:lineRule="auto"/>
      <w:textAlignment w:val="center"/>
    </w:pPr>
    <w:rPr>
      <w:rFonts w:ascii="Minion Pro" w:eastAsia="Calibri" w:hAnsi="Minion Pro" w:cs="Minion Pro"/>
      <w:color w:val="000000"/>
      <w:lang w:val="en-GB" w:eastAsia="en-US"/>
    </w:rPr>
  </w:style>
  <w:style w:type="character" w:customStyle="1" w:styleId="vsmall">
    <w:name w:val="vsmall"/>
    <w:basedOn w:val="Domylnaczcionkaakapitu"/>
    <w:rsid w:val="00932307"/>
  </w:style>
  <w:style w:type="character" w:customStyle="1" w:styleId="textcolumn">
    <w:name w:val="textcolumn"/>
    <w:basedOn w:val="Domylnaczcionkaakapitu"/>
    <w:rsid w:val="00BF02B1"/>
  </w:style>
  <w:style w:type="character" w:customStyle="1" w:styleId="sb6c4b58f">
    <w:name w:val="sb6c4b58f"/>
    <w:basedOn w:val="Domylnaczcionkaakapitu"/>
    <w:rsid w:val="0041414F"/>
  </w:style>
  <w:style w:type="paragraph" w:customStyle="1" w:styleId="sfb943b7b">
    <w:name w:val="sfb943b7b"/>
    <w:basedOn w:val="Normalny"/>
    <w:rsid w:val="00CD13B9"/>
    <w:pPr>
      <w:spacing w:before="100" w:beforeAutospacing="1" w:after="100" w:afterAutospacing="1"/>
    </w:pPr>
  </w:style>
  <w:style w:type="character" w:customStyle="1" w:styleId="column">
    <w:name w:val="column"/>
    <w:basedOn w:val="Domylnaczcionkaakapitu"/>
    <w:rsid w:val="0024461F"/>
  </w:style>
  <w:style w:type="character" w:customStyle="1" w:styleId="sb8d990e2">
    <w:name w:val="sb8d990e2"/>
    <w:basedOn w:val="Domylnaczcionkaakapitu"/>
    <w:rsid w:val="0024461F"/>
  </w:style>
  <w:style w:type="character" w:customStyle="1" w:styleId="Nagwek2Znak">
    <w:name w:val="Nagłówek 2 Znak"/>
    <w:basedOn w:val="Domylnaczcionkaakapitu"/>
    <w:link w:val="Nagwek2"/>
    <w:uiPriority w:val="9"/>
    <w:rsid w:val="00454A68"/>
    <w:rPr>
      <w:rFonts w:eastAsiaTheme="majorEastAsia" w:cstheme="majorBidi"/>
      <w:b/>
      <w:bCs/>
      <w:sz w:val="24"/>
      <w:szCs w:val="24"/>
    </w:rPr>
  </w:style>
  <w:style w:type="character" w:customStyle="1" w:styleId="pdfoutput11">
    <w:name w:val="pdfoutput_11"/>
    <w:basedOn w:val="Domylnaczcionkaakapitu"/>
    <w:rsid w:val="00330D49"/>
  </w:style>
  <w:style w:type="paragraph" w:styleId="Tekstpodstawowy2">
    <w:name w:val="Body Text 2"/>
    <w:basedOn w:val="Normalny"/>
    <w:link w:val="Tekstpodstawowy2Znak"/>
    <w:uiPriority w:val="99"/>
    <w:semiHidden/>
    <w:unhideWhenUsed/>
    <w:rsid w:val="0097084E"/>
    <w:pPr>
      <w:spacing w:after="120" w:line="480" w:lineRule="auto"/>
    </w:pPr>
  </w:style>
  <w:style w:type="character" w:customStyle="1" w:styleId="Tekstpodstawowy2Znak">
    <w:name w:val="Tekst podstawowy 2 Znak"/>
    <w:basedOn w:val="Domylnaczcionkaakapitu"/>
    <w:link w:val="Tekstpodstawowy2"/>
    <w:uiPriority w:val="99"/>
    <w:semiHidden/>
    <w:rsid w:val="0097084E"/>
    <w:rPr>
      <w:rFonts w:ascii="Times New Roman" w:eastAsia="Times New Roman" w:hAnsi="Times New Roman" w:cs="Times New Roman"/>
      <w:sz w:val="24"/>
      <w:szCs w:val="24"/>
      <w:lang w:eastAsia="pl-PL"/>
    </w:rPr>
  </w:style>
  <w:style w:type="character" w:customStyle="1" w:styleId="s50d62cfe">
    <w:name w:val="s50d62cfe"/>
    <w:basedOn w:val="Domylnaczcionkaakapitu"/>
    <w:rsid w:val="00F35D74"/>
  </w:style>
  <w:style w:type="character" w:customStyle="1" w:styleId="pdfoutput12">
    <w:name w:val="pdfoutput_12"/>
    <w:basedOn w:val="Domylnaczcionkaakapitu"/>
    <w:rsid w:val="00C20138"/>
  </w:style>
  <w:style w:type="character" w:customStyle="1" w:styleId="pdfoutput14">
    <w:name w:val="pdfoutput_14"/>
    <w:basedOn w:val="Domylnaczcionkaakapitu"/>
    <w:rsid w:val="00C20138"/>
  </w:style>
  <w:style w:type="character" w:customStyle="1" w:styleId="pdfoutput15">
    <w:name w:val="pdfoutput_15"/>
    <w:basedOn w:val="Domylnaczcionkaakapitu"/>
    <w:rsid w:val="00C20138"/>
  </w:style>
  <w:style w:type="character" w:customStyle="1" w:styleId="pdfoutput16">
    <w:name w:val="pdfoutput_16"/>
    <w:basedOn w:val="Domylnaczcionkaakapitu"/>
    <w:rsid w:val="00C20138"/>
  </w:style>
  <w:style w:type="paragraph" w:customStyle="1" w:styleId="COELignes">
    <w:name w:val="COE_Lignes"/>
    <w:basedOn w:val="Normalny"/>
    <w:rsid w:val="005C313E"/>
    <w:rPr>
      <w:rFonts w:ascii="Arial" w:hAnsi="Arial"/>
      <w:sz w:val="20"/>
      <w:lang w:val="en-US" w:eastAsia="en-US"/>
    </w:rPr>
  </w:style>
  <w:style w:type="character" w:customStyle="1" w:styleId="Nagwek4Znak">
    <w:name w:val="Nagłówek 4 Znak"/>
    <w:basedOn w:val="Domylnaczcionkaakapitu"/>
    <w:link w:val="Nagwek4"/>
    <w:uiPriority w:val="9"/>
    <w:rsid w:val="00260C5C"/>
    <w:rPr>
      <w:rFonts w:asciiTheme="majorHAnsi" w:eastAsiaTheme="majorEastAsia" w:hAnsiTheme="majorHAnsi" w:cstheme="majorBidi"/>
      <w:b/>
      <w:bCs/>
      <w:i/>
      <w:iCs/>
      <w:color w:val="4F81BD" w:themeColor="accent1"/>
    </w:rPr>
  </w:style>
  <w:style w:type="numbering" w:customStyle="1" w:styleId="Bezlisty1">
    <w:name w:val="Bez listy1"/>
    <w:next w:val="Bezlisty"/>
    <w:uiPriority w:val="99"/>
    <w:semiHidden/>
    <w:unhideWhenUsed/>
    <w:rsid w:val="00260C5C"/>
  </w:style>
  <w:style w:type="character" w:customStyle="1" w:styleId="word">
    <w:name w:val="word"/>
    <w:basedOn w:val="Domylnaczcionkaakapitu"/>
    <w:rsid w:val="00260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8692">
      <w:bodyDiv w:val="1"/>
      <w:marLeft w:val="0"/>
      <w:marRight w:val="0"/>
      <w:marTop w:val="0"/>
      <w:marBottom w:val="0"/>
      <w:divBdr>
        <w:top w:val="none" w:sz="0" w:space="0" w:color="auto"/>
        <w:left w:val="none" w:sz="0" w:space="0" w:color="auto"/>
        <w:bottom w:val="none" w:sz="0" w:space="0" w:color="auto"/>
        <w:right w:val="none" w:sz="0" w:space="0" w:color="auto"/>
      </w:divBdr>
      <w:divsChild>
        <w:div w:id="1623726048">
          <w:marLeft w:val="0"/>
          <w:marRight w:val="0"/>
          <w:marTop w:val="0"/>
          <w:marBottom w:val="0"/>
          <w:divBdr>
            <w:top w:val="none" w:sz="0" w:space="0" w:color="auto"/>
            <w:left w:val="none" w:sz="0" w:space="0" w:color="auto"/>
            <w:bottom w:val="none" w:sz="0" w:space="0" w:color="auto"/>
            <w:right w:val="none" w:sz="0" w:space="0" w:color="auto"/>
          </w:divBdr>
          <w:divsChild>
            <w:div w:id="911082465">
              <w:marLeft w:val="0"/>
              <w:marRight w:val="0"/>
              <w:marTop w:val="0"/>
              <w:marBottom w:val="0"/>
              <w:divBdr>
                <w:top w:val="none" w:sz="0" w:space="0" w:color="auto"/>
                <w:left w:val="none" w:sz="0" w:space="0" w:color="auto"/>
                <w:bottom w:val="none" w:sz="0" w:space="0" w:color="auto"/>
                <w:right w:val="none" w:sz="0" w:space="0" w:color="auto"/>
              </w:divBdr>
              <w:divsChild>
                <w:div w:id="1141771867">
                  <w:marLeft w:val="0"/>
                  <w:marRight w:val="0"/>
                  <w:marTop w:val="0"/>
                  <w:marBottom w:val="0"/>
                  <w:divBdr>
                    <w:top w:val="none" w:sz="0" w:space="0" w:color="auto"/>
                    <w:left w:val="none" w:sz="0" w:space="0" w:color="auto"/>
                    <w:bottom w:val="none" w:sz="0" w:space="0" w:color="auto"/>
                    <w:right w:val="none" w:sz="0" w:space="0" w:color="auto"/>
                  </w:divBdr>
                  <w:divsChild>
                    <w:div w:id="2087728317">
                      <w:marLeft w:val="0"/>
                      <w:marRight w:val="0"/>
                      <w:marTop w:val="0"/>
                      <w:marBottom w:val="0"/>
                      <w:divBdr>
                        <w:top w:val="none" w:sz="0" w:space="0" w:color="auto"/>
                        <w:left w:val="none" w:sz="0" w:space="0" w:color="auto"/>
                        <w:bottom w:val="none" w:sz="0" w:space="0" w:color="auto"/>
                        <w:right w:val="none" w:sz="0" w:space="0" w:color="auto"/>
                      </w:divBdr>
                      <w:divsChild>
                        <w:div w:id="2706914">
                          <w:marLeft w:val="0"/>
                          <w:marRight w:val="0"/>
                          <w:marTop w:val="0"/>
                          <w:marBottom w:val="0"/>
                          <w:divBdr>
                            <w:top w:val="none" w:sz="0" w:space="0" w:color="auto"/>
                            <w:left w:val="none" w:sz="0" w:space="0" w:color="auto"/>
                            <w:bottom w:val="none" w:sz="0" w:space="0" w:color="auto"/>
                            <w:right w:val="none" w:sz="0" w:space="0" w:color="auto"/>
                          </w:divBdr>
                          <w:divsChild>
                            <w:div w:id="109806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44122">
      <w:bodyDiv w:val="1"/>
      <w:marLeft w:val="0"/>
      <w:marRight w:val="0"/>
      <w:marTop w:val="0"/>
      <w:marBottom w:val="0"/>
      <w:divBdr>
        <w:top w:val="none" w:sz="0" w:space="0" w:color="auto"/>
        <w:left w:val="none" w:sz="0" w:space="0" w:color="auto"/>
        <w:bottom w:val="none" w:sz="0" w:space="0" w:color="auto"/>
        <w:right w:val="none" w:sz="0" w:space="0" w:color="auto"/>
      </w:divBdr>
    </w:div>
    <w:div w:id="218395626">
      <w:bodyDiv w:val="1"/>
      <w:marLeft w:val="0"/>
      <w:marRight w:val="0"/>
      <w:marTop w:val="0"/>
      <w:marBottom w:val="0"/>
      <w:divBdr>
        <w:top w:val="none" w:sz="0" w:space="0" w:color="auto"/>
        <w:left w:val="none" w:sz="0" w:space="0" w:color="auto"/>
        <w:bottom w:val="none" w:sz="0" w:space="0" w:color="auto"/>
        <w:right w:val="none" w:sz="0" w:space="0" w:color="auto"/>
      </w:divBdr>
    </w:div>
    <w:div w:id="246306628">
      <w:bodyDiv w:val="1"/>
      <w:marLeft w:val="0"/>
      <w:marRight w:val="0"/>
      <w:marTop w:val="0"/>
      <w:marBottom w:val="0"/>
      <w:divBdr>
        <w:top w:val="none" w:sz="0" w:space="0" w:color="auto"/>
        <w:left w:val="none" w:sz="0" w:space="0" w:color="auto"/>
        <w:bottom w:val="none" w:sz="0" w:space="0" w:color="auto"/>
        <w:right w:val="none" w:sz="0" w:space="0" w:color="auto"/>
      </w:divBdr>
    </w:div>
    <w:div w:id="513880904">
      <w:bodyDiv w:val="1"/>
      <w:marLeft w:val="0"/>
      <w:marRight w:val="0"/>
      <w:marTop w:val="0"/>
      <w:marBottom w:val="0"/>
      <w:divBdr>
        <w:top w:val="none" w:sz="0" w:space="0" w:color="auto"/>
        <w:left w:val="none" w:sz="0" w:space="0" w:color="auto"/>
        <w:bottom w:val="none" w:sz="0" w:space="0" w:color="auto"/>
        <w:right w:val="none" w:sz="0" w:space="0" w:color="auto"/>
      </w:divBdr>
      <w:divsChild>
        <w:div w:id="1194002063">
          <w:marLeft w:val="0"/>
          <w:marRight w:val="0"/>
          <w:marTop w:val="0"/>
          <w:marBottom w:val="0"/>
          <w:divBdr>
            <w:top w:val="none" w:sz="0" w:space="0" w:color="auto"/>
            <w:left w:val="none" w:sz="0" w:space="0" w:color="auto"/>
            <w:bottom w:val="none" w:sz="0" w:space="0" w:color="auto"/>
            <w:right w:val="none" w:sz="0" w:space="0" w:color="auto"/>
          </w:divBdr>
          <w:divsChild>
            <w:div w:id="684330544">
              <w:marLeft w:val="0"/>
              <w:marRight w:val="0"/>
              <w:marTop w:val="0"/>
              <w:marBottom w:val="0"/>
              <w:divBdr>
                <w:top w:val="none" w:sz="0" w:space="0" w:color="auto"/>
                <w:left w:val="none" w:sz="0" w:space="0" w:color="auto"/>
                <w:bottom w:val="none" w:sz="0" w:space="0" w:color="auto"/>
                <w:right w:val="none" w:sz="0" w:space="0" w:color="auto"/>
              </w:divBdr>
              <w:divsChild>
                <w:div w:id="1937056928">
                  <w:marLeft w:val="0"/>
                  <w:marRight w:val="0"/>
                  <w:marTop w:val="0"/>
                  <w:marBottom w:val="0"/>
                  <w:divBdr>
                    <w:top w:val="none" w:sz="0" w:space="0" w:color="auto"/>
                    <w:left w:val="none" w:sz="0" w:space="0" w:color="auto"/>
                    <w:bottom w:val="none" w:sz="0" w:space="0" w:color="auto"/>
                    <w:right w:val="none" w:sz="0" w:space="0" w:color="auto"/>
                  </w:divBdr>
                  <w:divsChild>
                    <w:div w:id="702364609">
                      <w:marLeft w:val="0"/>
                      <w:marRight w:val="0"/>
                      <w:marTop w:val="0"/>
                      <w:marBottom w:val="0"/>
                      <w:divBdr>
                        <w:top w:val="none" w:sz="0" w:space="0" w:color="auto"/>
                        <w:left w:val="none" w:sz="0" w:space="0" w:color="auto"/>
                        <w:bottom w:val="none" w:sz="0" w:space="0" w:color="auto"/>
                        <w:right w:val="none" w:sz="0" w:space="0" w:color="auto"/>
                      </w:divBdr>
                      <w:divsChild>
                        <w:div w:id="1728138066">
                          <w:marLeft w:val="0"/>
                          <w:marRight w:val="0"/>
                          <w:marTop w:val="0"/>
                          <w:marBottom w:val="0"/>
                          <w:divBdr>
                            <w:top w:val="none" w:sz="0" w:space="0" w:color="auto"/>
                            <w:left w:val="none" w:sz="0" w:space="0" w:color="auto"/>
                            <w:bottom w:val="none" w:sz="0" w:space="0" w:color="auto"/>
                            <w:right w:val="none" w:sz="0" w:space="0" w:color="auto"/>
                          </w:divBdr>
                          <w:divsChild>
                            <w:div w:id="51114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205316">
      <w:bodyDiv w:val="1"/>
      <w:marLeft w:val="0"/>
      <w:marRight w:val="0"/>
      <w:marTop w:val="0"/>
      <w:marBottom w:val="0"/>
      <w:divBdr>
        <w:top w:val="none" w:sz="0" w:space="0" w:color="auto"/>
        <w:left w:val="none" w:sz="0" w:space="0" w:color="auto"/>
        <w:bottom w:val="none" w:sz="0" w:space="0" w:color="auto"/>
        <w:right w:val="none" w:sz="0" w:space="0" w:color="auto"/>
      </w:divBdr>
    </w:div>
    <w:div w:id="983318379">
      <w:bodyDiv w:val="1"/>
      <w:marLeft w:val="0"/>
      <w:marRight w:val="0"/>
      <w:marTop w:val="0"/>
      <w:marBottom w:val="0"/>
      <w:divBdr>
        <w:top w:val="none" w:sz="0" w:space="0" w:color="auto"/>
        <w:left w:val="none" w:sz="0" w:space="0" w:color="auto"/>
        <w:bottom w:val="none" w:sz="0" w:space="0" w:color="auto"/>
        <w:right w:val="none" w:sz="0" w:space="0" w:color="auto"/>
      </w:divBdr>
      <w:divsChild>
        <w:div w:id="805662576">
          <w:marLeft w:val="0"/>
          <w:marRight w:val="0"/>
          <w:marTop w:val="0"/>
          <w:marBottom w:val="0"/>
          <w:divBdr>
            <w:top w:val="none" w:sz="0" w:space="0" w:color="auto"/>
            <w:left w:val="none" w:sz="0" w:space="0" w:color="auto"/>
            <w:bottom w:val="none" w:sz="0" w:space="0" w:color="auto"/>
            <w:right w:val="none" w:sz="0" w:space="0" w:color="auto"/>
          </w:divBdr>
          <w:divsChild>
            <w:div w:id="744568266">
              <w:marLeft w:val="0"/>
              <w:marRight w:val="0"/>
              <w:marTop w:val="0"/>
              <w:marBottom w:val="0"/>
              <w:divBdr>
                <w:top w:val="none" w:sz="0" w:space="0" w:color="auto"/>
                <w:left w:val="none" w:sz="0" w:space="0" w:color="auto"/>
                <w:bottom w:val="none" w:sz="0" w:space="0" w:color="auto"/>
                <w:right w:val="none" w:sz="0" w:space="0" w:color="auto"/>
              </w:divBdr>
              <w:divsChild>
                <w:div w:id="141778588">
                  <w:marLeft w:val="0"/>
                  <w:marRight w:val="0"/>
                  <w:marTop w:val="0"/>
                  <w:marBottom w:val="0"/>
                  <w:divBdr>
                    <w:top w:val="none" w:sz="0" w:space="0" w:color="auto"/>
                    <w:left w:val="none" w:sz="0" w:space="0" w:color="auto"/>
                    <w:bottom w:val="none" w:sz="0" w:space="0" w:color="auto"/>
                    <w:right w:val="none" w:sz="0" w:space="0" w:color="auto"/>
                  </w:divBdr>
                  <w:divsChild>
                    <w:div w:id="2092770784">
                      <w:marLeft w:val="0"/>
                      <w:marRight w:val="0"/>
                      <w:marTop w:val="0"/>
                      <w:marBottom w:val="0"/>
                      <w:divBdr>
                        <w:top w:val="none" w:sz="0" w:space="0" w:color="auto"/>
                        <w:left w:val="none" w:sz="0" w:space="0" w:color="auto"/>
                        <w:bottom w:val="none" w:sz="0" w:space="0" w:color="auto"/>
                        <w:right w:val="none" w:sz="0" w:space="0" w:color="auto"/>
                      </w:divBdr>
                      <w:divsChild>
                        <w:div w:id="2072537175">
                          <w:marLeft w:val="0"/>
                          <w:marRight w:val="0"/>
                          <w:marTop w:val="0"/>
                          <w:marBottom w:val="0"/>
                          <w:divBdr>
                            <w:top w:val="none" w:sz="0" w:space="0" w:color="auto"/>
                            <w:left w:val="none" w:sz="0" w:space="0" w:color="auto"/>
                            <w:bottom w:val="none" w:sz="0" w:space="0" w:color="auto"/>
                            <w:right w:val="none" w:sz="0" w:space="0" w:color="auto"/>
                          </w:divBdr>
                          <w:divsChild>
                            <w:div w:id="2145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666038">
      <w:bodyDiv w:val="1"/>
      <w:marLeft w:val="0"/>
      <w:marRight w:val="0"/>
      <w:marTop w:val="0"/>
      <w:marBottom w:val="0"/>
      <w:divBdr>
        <w:top w:val="none" w:sz="0" w:space="0" w:color="auto"/>
        <w:left w:val="none" w:sz="0" w:space="0" w:color="auto"/>
        <w:bottom w:val="none" w:sz="0" w:space="0" w:color="auto"/>
        <w:right w:val="none" w:sz="0" w:space="0" w:color="auto"/>
      </w:divBdr>
      <w:divsChild>
        <w:div w:id="1028407779">
          <w:marLeft w:val="0"/>
          <w:marRight w:val="0"/>
          <w:marTop w:val="0"/>
          <w:marBottom w:val="0"/>
          <w:divBdr>
            <w:top w:val="none" w:sz="0" w:space="0" w:color="auto"/>
            <w:left w:val="none" w:sz="0" w:space="0" w:color="auto"/>
            <w:bottom w:val="none" w:sz="0" w:space="0" w:color="auto"/>
            <w:right w:val="none" w:sz="0" w:space="0" w:color="auto"/>
          </w:divBdr>
          <w:divsChild>
            <w:div w:id="990138338">
              <w:marLeft w:val="0"/>
              <w:marRight w:val="0"/>
              <w:marTop w:val="0"/>
              <w:marBottom w:val="0"/>
              <w:divBdr>
                <w:top w:val="none" w:sz="0" w:space="0" w:color="auto"/>
                <w:left w:val="none" w:sz="0" w:space="0" w:color="auto"/>
                <w:bottom w:val="none" w:sz="0" w:space="0" w:color="auto"/>
                <w:right w:val="none" w:sz="0" w:space="0" w:color="auto"/>
              </w:divBdr>
              <w:divsChild>
                <w:div w:id="2000887752">
                  <w:marLeft w:val="0"/>
                  <w:marRight w:val="0"/>
                  <w:marTop w:val="0"/>
                  <w:marBottom w:val="0"/>
                  <w:divBdr>
                    <w:top w:val="none" w:sz="0" w:space="0" w:color="auto"/>
                    <w:left w:val="none" w:sz="0" w:space="0" w:color="auto"/>
                    <w:bottom w:val="none" w:sz="0" w:space="0" w:color="auto"/>
                    <w:right w:val="none" w:sz="0" w:space="0" w:color="auto"/>
                  </w:divBdr>
                  <w:divsChild>
                    <w:div w:id="569383357">
                      <w:marLeft w:val="0"/>
                      <w:marRight w:val="0"/>
                      <w:marTop w:val="0"/>
                      <w:marBottom w:val="0"/>
                      <w:divBdr>
                        <w:top w:val="none" w:sz="0" w:space="0" w:color="auto"/>
                        <w:left w:val="none" w:sz="0" w:space="0" w:color="auto"/>
                        <w:bottom w:val="none" w:sz="0" w:space="0" w:color="auto"/>
                        <w:right w:val="none" w:sz="0" w:space="0" w:color="auto"/>
                      </w:divBdr>
                      <w:divsChild>
                        <w:div w:id="169179939">
                          <w:marLeft w:val="0"/>
                          <w:marRight w:val="0"/>
                          <w:marTop w:val="0"/>
                          <w:marBottom w:val="0"/>
                          <w:divBdr>
                            <w:top w:val="none" w:sz="0" w:space="0" w:color="auto"/>
                            <w:left w:val="none" w:sz="0" w:space="0" w:color="auto"/>
                            <w:bottom w:val="none" w:sz="0" w:space="0" w:color="auto"/>
                            <w:right w:val="none" w:sz="0" w:space="0" w:color="auto"/>
                          </w:divBdr>
                          <w:divsChild>
                            <w:div w:id="1010525298">
                              <w:marLeft w:val="0"/>
                              <w:marRight w:val="0"/>
                              <w:marTop w:val="0"/>
                              <w:marBottom w:val="0"/>
                              <w:divBdr>
                                <w:top w:val="none" w:sz="0" w:space="0" w:color="auto"/>
                                <w:left w:val="none" w:sz="0" w:space="0" w:color="auto"/>
                                <w:bottom w:val="none" w:sz="0" w:space="0" w:color="auto"/>
                                <w:right w:val="none" w:sz="0" w:space="0" w:color="auto"/>
                              </w:divBdr>
                              <w:divsChild>
                                <w:div w:id="830609178">
                                  <w:marLeft w:val="0"/>
                                  <w:marRight w:val="0"/>
                                  <w:marTop w:val="0"/>
                                  <w:marBottom w:val="0"/>
                                  <w:divBdr>
                                    <w:top w:val="none" w:sz="0" w:space="0" w:color="auto"/>
                                    <w:left w:val="none" w:sz="0" w:space="0" w:color="auto"/>
                                    <w:bottom w:val="none" w:sz="0" w:space="0" w:color="auto"/>
                                    <w:right w:val="none" w:sz="0" w:space="0" w:color="auto"/>
                                  </w:divBdr>
                                  <w:divsChild>
                                    <w:div w:id="1469546082">
                                      <w:marLeft w:val="0"/>
                                      <w:marRight w:val="0"/>
                                      <w:marTop w:val="0"/>
                                      <w:marBottom w:val="0"/>
                                      <w:divBdr>
                                        <w:top w:val="none" w:sz="0" w:space="0" w:color="auto"/>
                                        <w:left w:val="none" w:sz="0" w:space="0" w:color="auto"/>
                                        <w:bottom w:val="none" w:sz="0" w:space="0" w:color="auto"/>
                                        <w:right w:val="none" w:sz="0" w:space="0" w:color="auto"/>
                                      </w:divBdr>
                                      <w:divsChild>
                                        <w:div w:id="1067534290">
                                          <w:marLeft w:val="0"/>
                                          <w:marRight w:val="0"/>
                                          <w:marTop w:val="0"/>
                                          <w:marBottom w:val="0"/>
                                          <w:divBdr>
                                            <w:top w:val="none" w:sz="0" w:space="0" w:color="auto"/>
                                            <w:left w:val="none" w:sz="0" w:space="0" w:color="auto"/>
                                            <w:bottom w:val="none" w:sz="0" w:space="0" w:color="auto"/>
                                            <w:right w:val="none" w:sz="0" w:space="0" w:color="auto"/>
                                          </w:divBdr>
                                          <w:divsChild>
                                            <w:div w:id="10567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5265992">
      <w:bodyDiv w:val="1"/>
      <w:marLeft w:val="0"/>
      <w:marRight w:val="0"/>
      <w:marTop w:val="0"/>
      <w:marBottom w:val="0"/>
      <w:divBdr>
        <w:top w:val="none" w:sz="0" w:space="0" w:color="auto"/>
        <w:left w:val="none" w:sz="0" w:space="0" w:color="auto"/>
        <w:bottom w:val="none" w:sz="0" w:space="0" w:color="auto"/>
        <w:right w:val="none" w:sz="0" w:space="0" w:color="auto"/>
      </w:divBdr>
    </w:div>
    <w:div w:id="1254556920">
      <w:bodyDiv w:val="1"/>
      <w:marLeft w:val="0"/>
      <w:marRight w:val="0"/>
      <w:marTop w:val="0"/>
      <w:marBottom w:val="0"/>
      <w:divBdr>
        <w:top w:val="none" w:sz="0" w:space="0" w:color="auto"/>
        <w:left w:val="none" w:sz="0" w:space="0" w:color="auto"/>
        <w:bottom w:val="none" w:sz="0" w:space="0" w:color="auto"/>
        <w:right w:val="none" w:sz="0" w:space="0" w:color="auto"/>
      </w:divBdr>
    </w:div>
    <w:div w:id="1556090192">
      <w:bodyDiv w:val="1"/>
      <w:marLeft w:val="0"/>
      <w:marRight w:val="0"/>
      <w:marTop w:val="0"/>
      <w:marBottom w:val="0"/>
      <w:divBdr>
        <w:top w:val="none" w:sz="0" w:space="0" w:color="auto"/>
        <w:left w:val="none" w:sz="0" w:space="0" w:color="auto"/>
        <w:bottom w:val="none" w:sz="0" w:space="0" w:color="auto"/>
        <w:right w:val="none" w:sz="0" w:space="0" w:color="auto"/>
      </w:divBdr>
    </w:div>
    <w:div w:id="1684892804">
      <w:bodyDiv w:val="1"/>
      <w:marLeft w:val="0"/>
      <w:marRight w:val="0"/>
      <w:marTop w:val="0"/>
      <w:marBottom w:val="0"/>
      <w:divBdr>
        <w:top w:val="none" w:sz="0" w:space="0" w:color="auto"/>
        <w:left w:val="none" w:sz="0" w:space="0" w:color="auto"/>
        <w:bottom w:val="none" w:sz="0" w:space="0" w:color="auto"/>
        <w:right w:val="none" w:sz="0" w:space="0" w:color="auto"/>
      </w:divBdr>
    </w:div>
    <w:div w:id="1824394001">
      <w:bodyDiv w:val="1"/>
      <w:marLeft w:val="0"/>
      <w:marRight w:val="0"/>
      <w:marTop w:val="0"/>
      <w:marBottom w:val="0"/>
      <w:divBdr>
        <w:top w:val="none" w:sz="0" w:space="0" w:color="auto"/>
        <w:left w:val="none" w:sz="0" w:space="0" w:color="auto"/>
        <w:bottom w:val="none" w:sz="0" w:space="0" w:color="auto"/>
        <w:right w:val="none" w:sz="0" w:space="0" w:color="auto"/>
      </w:divBdr>
      <w:divsChild>
        <w:div w:id="2096514366">
          <w:marLeft w:val="0"/>
          <w:marRight w:val="0"/>
          <w:marTop w:val="0"/>
          <w:marBottom w:val="0"/>
          <w:divBdr>
            <w:top w:val="none" w:sz="0" w:space="0" w:color="auto"/>
            <w:left w:val="none" w:sz="0" w:space="0" w:color="auto"/>
            <w:bottom w:val="none" w:sz="0" w:space="0" w:color="auto"/>
            <w:right w:val="none" w:sz="0" w:space="0" w:color="auto"/>
          </w:divBdr>
          <w:divsChild>
            <w:div w:id="73211672">
              <w:marLeft w:val="0"/>
              <w:marRight w:val="0"/>
              <w:marTop w:val="0"/>
              <w:marBottom w:val="0"/>
              <w:divBdr>
                <w:top w:val="none" w:sz="0" w:space="0" w:color="auto"/>
                <w:left w:val="none" w:sz="0" w:space="0" w:color="auto"/>
                <w:bottom w:val="none" w:sz="0" w:space="0" w:color="auto"/>
                <w:right w:val="none" w:sz="0" w:space="0" w:color="auto"/>
              </w:divBdr>
              <w:divsChild>
                <w:div w:id="2042315597">
                  <w:marLeft w:val="0"/>
                  <w:marRight w:val="0"/>
                  <w:marTop w:val="0"/>
                  <w:marBottom w:val="0"/>
                  <w:divBdr>
                    <w:top w:val="none" w:sz="0" w:space="0" w:color="auto"/>
                    <w:left w:val="none" w:sz="0" w:space="0" w:color="auto"/>
                    <w:bottom w:val="none" w:sz="0" w:space="0" w:color="auto"/>
                    <w:right w:val="none" w:sz="0" w:space="0" w:color="auto"/>
                  </w:divBdr>
                  <w:divsChild>
                    <w:div w:id="1530028949">
                      <w:marLeft w:val="0"/>
                      <w:marRight w:val="0"/>
                      <w:marTop w:val="0"/>
                      <w:marBottom w:val="0"/>
                      <w:divBdr>
                        <w:top w:val="none" w:sz="0" w:space="0" w:color="auto"/>
                        <w:left w:val="none" w:sz="0" w:space="0" w:color="auto"/>
                        <w:bottom w:val="none" w:sz="0" w:space="0" w:color="auto"/>
                        <w:right w:val="none" w:sz="0" w:space="0" w:color="auto"/>
                      </w:divBdr>
                      <w:divsChild>
                        <w:div w:id="1485775289">
                          <w:marLeft w:val="0"/>
                          <w:marRight w:val="0"/>
                          <w:marTop w:val="0"/>
                          <w:marBottom w:val="0"/>
                          <w:divBdr>
                            <w:top w:val="none" w:sz="0" w:space="0" w:color="auto"/>
                            <w:left w:val="none" w:sz="0" w:space="0" w:color="auto"/>
                            <w:bottom w:val="none" w:sz="0" w:space="0" w:color="auto"/>
                            <w:right w:val="none" w:sz="0" w:space="0" w:color="auto"/>
                          </w:divBdr>
                          <w:divsChild>
                            <w:div w:id="8561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file:///\\plwar-fs01\public\BPdsPpMOOPC\private\STATYSTYKI%20I%20teksty%20orzecze&#324;%20ETPCz%20ws.%20Polski\Kwoty%20zas&#261;dze&#324;%20i%20statystyki%20ETPCz%20-%2094-202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plwar-fs01\public\BPdsPpMOOPC\private\STATYSTYKI%20I%20teksty%20orzecze&#324;%20ETPCz%20ws.%20Polski\Kwoty%20zas&#261;dze&#324;%20i%20statystyki%20ETPCz%20-%2094-202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plwar-fs01\public\BPdsPpMOOPC\private\STATYSTYKI%20I%20teksty%20orzecze&#324;%20ETPCz%20ws.%20Polski\Kwoty%20zas&#261;dze&#324;%20i%20statystyki%20ETPCz%20-%2094-202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plwar-fs01\public\BPdsPpMOOPC\private\STATYSTYKI%20I%20teksty%20orzecze&#324;%20ETPCz%20ws.%20Polski\Kwoty%20zas&#261;dze&#324;%20i%20statystyki%20ETPCz%20-%2094-2021.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plwar-fs01\public\BPdsPpMOOPC\private\STATYSTYKI%20I%20teksty%20orzecze&#324;%20ETPCz%20ws.%20Polski\Kwoty%20zas&#261;dze&#324;%20i%20statystyki%20ETPCz%20-%2094-2021.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plwar-fs01\public\BPdsPpMOOPC\private\STATYSTYKI%20I%20teksty%20orzecze&#324;%20ETPCz%20ws.%20Polski\Kwoty%20zas&#261;dze&#324;%20i%20statystyki%20ETPCz%20-%2094-2021.xlsx" TargetMode="External"/></Relationships>
</file>

<file path=word/charts/_rels/chart7.xml.rels><?xml version="1.0" encoding="UTF-8" standalone="yes"?>
<Relationships xmlns="http://schemas.openxmlformats.org/package/2006/relationships"><Relationship Id="rId2" Type="http://schemas.openxmlformats.org/officeDocument/2006/relationships/oleObject" Target="file:///\\plwar-fs01\public\BPdsPpMOOPC\private\STATYSTYKI%20I%20teksty%20orzecze&#324;%20ETPCz%20ws.%20Polski\Kwoty%20zas&#261;dze&#324;%20i%20statystyki%20ETPCz%20-%2094-2021.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plwar-fs01\public\BPdsPpMOOPC\private\STATYSTYKI%20I%20teksty%20orzecze&#324;%20ETPCz%20ws.%20Polski\Kwoty%20zas&#261;dze&#324;%20i%20statystyki%20ETPCz%20-%2094-2021.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plwar-fs01\public\BPdsPpMOOPC\private\STATYSTYKI%20I%20teksty%20orzecze&#324;%20ETPCz%20ws.%20Polski\Kwoty%20zas&#261;dze&#324;%20i%20statystyki%20ETPCz%20-%2094-2021.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sz="1000" kern="0" baseline="0">
                <a:latin typeface="+mn-lt"/>
              </a:defRPr>
            </a:pPr>
            <a:r>
              <a:rPr lang="en-US" sz="1000" b="1" i="0" baseline="0">
                <a:effectLst/>
                <a:latin typeface="+mn-lt"/>
              </a:rPr>
              <a:t>liczba </a:t>
            </a:r>
            <a:r>
              <a:rPr lang="pl-PL" sz="1000" b="1" i="0" baseline="0">
                <a:effectLst/>
                <a:latin typeface="+mn-lt"/>
              </a:rPr>
              <a:t>nowych </a:t>
            </a:r>
            <a:r>
              <a:rPr lang="en-US" sz="1000" b="1" i="0" baseline="0">
                <a:effectLst/>
                <a:latin typeface="+mn-lt"/>
              </a:rPr>
              <a:t>skarg </a:t>
            </a:r>
            <a:r>
              <a:rPr lang="pl-PL" sz="1000" b="1" i="0" baseline="0">
                <a:effectLst/>
                <a:latin typeface="+mn-lt"/>
              </a:rPr>
              <a:t>p. Polsce </a:t>
            </a:r>
            <a:r>
              <a:rPr lang="en-US" sz="1000" b="1" i="0" baseline="0">
                <a:effectLst/>
                <a:latin typeface="+mn-lt"/>
              </a:rPr>
              <a:t>przydzielonych do rozpoznania </a:t>
            </a:r>
            <a:r>
              <a:rPr lang="pl-PL" sz="1000" b="1" i="0" baseline="0">
                <a:effectLst/>
                <a:latin typeface="+mn-lt"/>
              </a:rPr>
              <a:t/>
            </a:r>
            <a:br>
              <a:rPr lang="pl-PL" sz="1000" b="1" i="0" baseline="0">
                <a:effectLst/>
                <a:latin typeface="+mn-lt"/>
              </a:rPr>
            </a:br>
            <a:r>
              <a:rPr lang="en-US" sz="1000" b="1" i="0" baseline="0">
                <a:effectLst/>
                <a:latin typeface="+mn-lt"/>
              </a:rPr>
              <a:t>skład</a:t>
            </a:r>
            <a:r>
              <a:rPr lang="pl-PL" sz="1000" b="1" i="0" baseline="0">
                <a:effectLst/>
                <a:latin typeface="+mn-lt"/>
              </a:rPr>
              <a:t>om</a:t>
            </a:r>
            <a:r>
              <a:rPr lang="en-US" sz="1000" b="1" i="0" baseline="0">
                <a:effectLst/>
                <a:latin typeface="+mn-lt"/>
              </a:rPr>
              <a:t> sędziowski</a:t>
            </a:r>
            <a:r>
              <a:rPr lang="pl-PL" sz="1000" b="1" i="0" baseline="0">
                <a:effectLst/>
                <a:latin typeface="+mn-lt"/>
              </a:rPr>
              <a:t>m ETPC w poszczególnych latach</a:t>
            </a:r>
            <a:endParaRPr lang="en-US" sz="1000" kern="0" baseline="0">
              <a:latin typeface="+mn-lt"/>
            </a:endParaRPr>
          </a:p>
        </c:rich>
      </c:tx>
      <c:layout>
        <c:manualLayout>
          <c:xMode val="edge"/>
          <c:yMode val="edge"/>
          <c:x val="0.20398849809835118"/>
          <c:y val="2.4980663394162921E-3"/>
        </c:manualLayout>
      </c:layout>
      <c:overlay val="1"/>
    </c:title>
    <c:autoTitleDeleted val="0"/>
    <c:plotArea>
      <c:layout>
        <c:manualLayout>
          <c:layoutTarget val="inner"/>
          <c:xMode val="edge"/>
          <c:yMode val="edge"/>
          <c:x val="5.7662363480882231E-2"/>
          <c:y val="0.21391134544197257"/>
          <c:w val="0.92557501058814295"/>
          <c:h val="0.75292799516088227"/>
        </c:manualLayout>
      </c:layout>
      <c:barChart>
        <c:barDir val="bar"/>
        <c:grouping val="clustered"/>
        <c:varyColors val="0"/>
        <c:ser>
          <c:idx val="1"/>
          <c:order val="0"/>
          <c:tx>
            <c:v>liczba skarg przydzielonych do rozpoznania przez skład sędziowski</c:v>
          </c:tx>
          <c:spPr>
            <a:solidFill>
              <a:schemeClr val="accent6"/>
            </a:solidFill>
          </c:spPr>
          <c:invertIfNegative val="0"/>
          <c:dLbls>
            <c:spPr>
              <a:noFill/>
              <a:ln>
                <a:noFill/>
              </a:ln>
              <a:effectLst/>
            </c:spPr>
            <c:txPr>
              <a:bodyPr/>
              <a:lstStyle/>
              <a:p>
                <a:pPr>
                  <a:defRPr baseline="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'statystyki raporty wykonywanie'!$D$19:$D$29</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'statystyki raporty wykonywanie'!$G$19:$G$29</c:f>
              <c:numCache>
                <c:formatCode>General</c:formatCode>
                <c:ptCount val="11"/>
                <c:pt idx="0">
                  <c:v>5022</c:v>
                </c:pt>
                <c:pt idx="1">
                  <c:v>4071</c:v>
                </c:pt>
                <c:pt idx="2">
                  <c:v>3968</c:v>
                </c:pt>
                <c:pt idx="3">
                  <c:v>2747</c:v>
                </c:pt>
                <c:pt idx="4">
                  <c:v>2182</c:v>
                </c:pt>
                <c:pt idx="5">
                  <c:v>2424</c:v>
                </c:pt>
                <c:pt idx="6">
                  <c:v>2066</c:v>
                </c:pt>
                <c:pt idx="7">
                  <c:v>1941</c:v>
                </c:pt>
                <c:pt idx="8">
                  <c:v>1834</c:v>
                </c:pt>
                <c:pt idx="9">
                  <c:v>1628</c:v>
                </c:pt>
                <c:pt idx="10">
                  <c:v>2889</c:v>
                </c:pt>
              </c:numCache>
            </c:numRef>
          </c:val>
          <c:extLst>
            <c:ext xmlns:c16="http://schemas.microsoft.com/office/drawing/2014/chart" uri="{C3380CC4-5D6E-409C-BE32-E72D297353CC}">
              <c16:uniqueId val="{00000000-8464-4559-9472-745D5DDA28C6}"/>
            </c:ext>
          </c:extLst>
        </c:ser>
        <c:dLbls>
          <c:showLegendKey val="0"/>
          <c:showVal val="0"/>
          <c:showCatName val="0"/>
          <c:showSerName val="0"/>
          <c:showPercent val="0"/>
          <c:showBubbleSize val="0"/>
        </c:dLbls>
        <c:gapWidth val="150"/>
        <c:axId val="133808896"/>
        <c:axId val="133810432"/>
      </c:barChart>
      <c:catAx>
        <c:axId val="133808896"/>
        <c:scaling>
          <c:orientation val="maxMin"/>
        </c:scaling>
        <c:delete val="0"/>
        <c:axPos val="l"/>
        <c:numFmt formatCode="General" sourceLinked="1"/>
        <c:majorTickMark val="none"/>
        <c:minorTickMark val="none"/>
        <c:tickLblPos val="nextTo"/>
        <c:txPr>
          <a:bodyPr/>
          <a:lstStyle/>
          <a:p>
            <a:pPr>
              <a:defRPr sz="1300" baseline="0"/>
            </a:pPr>
            <a:endParaRPr lang="pl-PL"/>
          </a:p>
        </c:txPr>
        <c:crossAx val="133810432"/>
        <c:crosses val="autoZero"/>
        <c:auto val="1"/>
        <c:lblAlgn val="ctr"/>
        <c:lblOffset val="100"/>
        <c:noMultiLvlLbl val="0"/>
      </c:catAx>
      <c:valAx>
        <c:axId val="133810432"/>
        <c:scaling>
          <c:orientation val="minMax"/>
        </c:scaling>
        <c:delete val="0"/>
        <c:axPos val="t"/>
        <c:majorGridlines/>
        <c:numFmt formatCode="General" sourceLinked="1"/>
        <c:majorTickMark val="none"/>
        <c:minorTickMark val="none"/>
        <c:tickLblPos val="nextTo"/>
        <c:crossAx val="133808896"/>
        <c:crosses val="autoZero"/>
        <c:crossBetween val="between"/>
      </c:valAx>
    </c:plotArea>
    <c:plotVisOnly val="1"/>
    <c:dispBlanksAs val="gap"/>
    <c:showDLblsOverMax val="0"/>
  </c:chart>
  <c:txPr>
    <a:bodyPr/>
    <a:lstStyle/>
    <a:p>
      <a:pPr>
        <a:defRPr sz="1200" baseline="0"/>
      </a:pPr>
      <a:endParaRPr lang="pl-PL"/>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9"/>
    </mc:Choice>
    <mc:Fallback>
      <c:style val="19"/>
    </mc:Fallback>
  </mc:AlternateContent>
  <c:clrMapOvr bg1="lt1" tx1="dk1" bg2="lt2" tx2="dk2" accent1="accent1" accent2="accent2" accent3="accent3" accent4="accent4" accent5="accent5" accent6="accent6" hlink="hlink" folHlink="folHlink"/>
  <c:chart>
    <c:title>
      <c:tx>
        <c:rich>
          <a:bodyPr/>
          <a:lstStyle/>
          <a:p>
            <a:pPr>
              <a:defRPr sz="1000"/>
            </a:pPr>
            <a:r>
              <a:rPr lang="pl-PL" sz="1000" b="1" i="0" baseline="0">
                <a:effectLst/>
              </a:rPr>
              <a:t>liczba skarg zakomunikowanych Rządowi RP </a:t>
            </a:r>
            <a:br>
              <a:rPr lang="pl-PL" sz="1000" b="1" i="0" baseline="0">
                <a:effectLst/>
              </a:rPr>
            </a:br>
            <a:r>
              <a:rPr lang="pl-PL" sz="1000" b="1" i="0" baseline="0">
                <a:effectLst/>
              </a:rPr>
              <a:t>przez ETPC w danym roku</a:t>
            </a:r>
            <a:endParaRPr lang="pl-PL" sz="1000">
              <a:effectLst/>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6.0661828591069104E-2"/>
          <c:y val="0.14189541242409634"/>
          <c:w val="0.92505876524470587"/>
          <c:h val="0.63012066673484002"/>
        </c:manualLayout>
      </c:layout>
      <c:bar3DChart>
        <c:barDir val="col"/>
        <c:grouping val="clustered"/>
        <c:varyColors val="0"/>
        <c:ser>
          <c:idx val="1"/>
          <c:order val="0"/>
          <c:spPr>
            <a:solidFill>
              <a:srgbClr val="0070C0"/>
            </a:solidFill>
          </c:spPr>
          <c:invertIfNegative val="0"/>
          <c:dPt>
            <c:idx val="5"/>
            <c:invertIfNegative val="0"/>
            <c:bubble3D val="0"/>
            <c:extLst>
              <c:ext xmlns:c16="http://schemas.microsoft.com/office/drawing/2014/chart" uri="{C3380CC4-5D6E-409C-BE32-E72D297353CC}">
                <c16:uniqueId val="{00000000-04DF-4E92-A2CE-01A81992C3CD}"/>
              </c:ext>
            </c:extLst>
          </c:dPt>
          <c:dPt>
            <c:idx val="6"/>
            <c:invertIfNegative val="0"/>
            <c:bubble3D val="0"/>
            <c:spPr>
              <a:solidFill>
                <a:schemeClr val="tx2">
                  <a:lumMod val="40000"/>
                  <a:lumOff val="60000"/>
                </a:schemeClr>
              </a:solidFill>
            </c:spPr>
            <c:extLst>
              <c:ext xmlns:c16="http://schemas.microsoft.com/office/drawing/2014/chart" uri="{C3380CC4-5D6E-409C-BE32-E72D297353CC}">
                <c16:uniqueId val="{00000002-04DF-4E92-A2CE-01A81992C3CD}"/>
              </c:ext>
            </c:extLst>
          </c:dPt>
          <c:dPt>
            <c:idx val="8"/>
            <c:invertIfNegative val="0"/>
            <c:bubble3D val="0"/>
            <c:spPr>
              <a:solidFill>
                <a:schemeClr val="tx2">
                  <a:lumMod val="40000"/>
                  <a:lumOff val="60000"/>
                </a:schemeClr>
              </a:solidFill>
            </c:spPr>
            <c:extLst>
              <c:ext xmlns:c16="http://schemas.microsoft.com/office/drawing/2014/chart" uri="{C3380CC4-5D6E-409C-BE32-E72D297353CC}">
                <c16:uniqueId val="{00000004-04DF-4E92-A2CE-01A81992C3CD}"/>
              </c:ext>
            </c:extLst>
          </c:dPt>
          <c:dPt>
            <c:idx val="11"/>
            <c:invertIfNegative val="0"/>
            <c:bubble3D val="0"/>
            <c:spPr>
              <a:solidFill>
                <a:schemeClr val="tx2">
                  <a:lumMod val="40000"/>
                  <a:lumOff val="60000"/>
                </a:schemeClr>
              </a:solidFill>
            </c:spPr>
            <c:extLst>
              <c:ext xmlns:c16="http://schemas.microsoft.com/office/drawing/2014/chart" uri="{C3380CC4-5D6E-409C-BE32-E72D297353CC}">
                <c16:uniqueId val="{00000006-04DF-4E92-A2CE-01A81992C3CD}"/>
              </c:ext>
            </c:extLst>
          </c:dPt>
          <c:dLbls>
            <c:dLbl>
              <c:idx val="0"/>
              <c:layout>
                <c:manualLayout>
                  <c:x val="0"/>
                  <c:y val="7.12643678160919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4DF-4E92-A2CE-01A81992C3CD}"/>
                </c:ext>
              </c:extLst>
            </c:dLbl>
            <c:dLbl>
              <c:idx val="1"/>
              <c:layout>
                <c:manualLayout>
                  <c:x val="0"/>
                  <c:y val="6.89655172413793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4DF-4E92-A2CE-01A81992C3CD}"/>
                </c:ext>
              </c:extLst>
            </c:dLbl>
            <c:dLbl>
              <c:idx val="2"/>
              <c:layout>
                <c:manualLayout>
                  <c:x val="0"/>
                  <c:y val="6.43678160919540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4DF-4E92-A2CE-01A81992C3CD}"/>
                </c:ext>
              </c:extLst>
            </c:dLbl>
            <c:dLbl>
              <c:idx val="3"/>
              <c:layout>
                <c:manualLayout>
                  <c:x val="8.4290214011718579E-17"/>
                  <c:y val="6.89655172413793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4DF-4E92-A2CE-01A81992C3CD}"/>
                </c:ext>
              </c:extLst>
            </c:dLbl>
            <c:dLbl>
              <c:idx val="4"/>
              <c:layout>
                <c:manualLayout>
                  <c:x val="0"/>
                  <c:y val="7.35632183908045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4DF-4E92-A2CE-01A81992C3CD}"/>
                </c:ext>
              </c:extLst>
            </c:dLbl>
            <c:dLbl>
              <c:idx val="5"/>
              <c:layout>
                <c:manualLayout>
                  <c:x val="2.0255672234225051E-3"/>
                  <c:y val="0.125749286425666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4DF-4E92-A2CE-01A81992C3CD}"/>
                </c:ext>
              </c:extLst>
            </c:dLbl>
            <c:dLbl>
              <c:idx val="6"/>
              <c:layout>
                <c:manualLayout>
                  <c:x val="1.1549011641039987E-3"/>
                  <c:y val="7.35632183908045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4DF-4E92-A2CE-01A81992C3CD}"/>
                </c:ext>
              </c:extLst>
            </c:dLbl>
            <c:dLbl>
              <c:idx val="7"/>
              <c:layout>
                <c:manualLayout>
                  <c:x val="2.0257488670823698E-3"/>
                  <c:y val="7.47279468602198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4DF-4E92-A2CE-01A81992C3CD}"/>
                </c:ext>
              </c:extLst>
            </c:dLbl>
            <c:dLbl>
              <c:idx val="8"/>
              <c:layout>
                <c:manualLayout>
                  <c:x val="2.0257267294641955E-3"/>
                  <c:y val="8.13835198372329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4DF-4E92-A2CE-01A81992C3CD}"/>
                </c:ext>
              </c:extLst>
            </c:dLbl>
            <c:dLbl>
              <c:idx val="9"/>
              <c:layout>
                <c:manualLayout>
                  <c:x val="0"/>
                  <c:y val="8.13835198372329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4DF-4E92-A2CE-01A81992C3CD}"/>
                </c:ext>
              </c:extLst>
            </c:dLbl>
            <c:dLbl>
              <c:idx val="10"/>
              <c:layout>
                <c:manualLayout>
                  <c:x val="4.0492658553468322E-3"/>
                  <c:y val="8.6522462562396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4DF-4E92-A2CE-01A81992C3CD}"/>
                </c:ext>
              </c:extLst>
            </c:dLbl>
            <c:dLbl>
              <c:idx val="11"/>
              <c:layout>
                <c:manualLayout>
                  <c:x val="2.0246329276734161E-3"/>
                  <c:y val="7.98668885191347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4DF-4E92-A2CE-01A81992C3CD}"/>
                </c:ext>
              </c:extLst>
            </c:dLbl>
            <c:dLbl>
              <c:idx val="12"/>
              <c:layout>
                <c:manualLayout>
                  <c:x val="2.0246329276734161E-3"/>
                  <c:y val="6.98835274542429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4DF-4E92-A2CE-01A81992C3CD}"/>
                </c:ext>
              </c:extLst>
            </c:dLbl>
            <c:dLbl>
              <c:idx val="13"/>
              <c:layout>
                <c:manualLayout>
                  <c:x val="2.0246329276734161E-3"/>
                  <c:y val="9.98336106489184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4DF-4E92-A2CE-01A81992C3CD}"/>
                </c:ext>
              </c:extLst>
            </c:dLbl>
            <c:dLbl>
              <c:idx val="14"/>
              <c:layout>
                <c:manualLayout>
                  <c:x val="3.9068856860628269E-3"/>
                  <c:y val="0.10648918469217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4DF-4E92-A2CE-01A81992C3CD}"/>
                </c:ext>
              </c:extLst>
            </c:dLbl>
            <c:spPr>
              <a:noFill/>
              <a:ln>
                <a:noFill/>
              </a:ln>
              <a:effectLst/>
            </c:spPr>
            <c:txPr>
              <a:bodyPr/>
              <a:lstStyle/>
              <a:p>
                <a:pPr>
                  <a:defRPr sz="1200" b="1" i="0" baseline="0">
                    <a:solidFill>
                      <a:schemeClr val="bg1"/>
                    </a:solidFill>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'statystyki raporty wykonywanie'!$A$18:$A$32</c:f>
              <c:strCache>
                <c:ptCount val="15"/>
                <c:pt idx="0">
                  <c:v>2010</c:v>
                </c:pt>
                <c:pt idx="1">
                  <c:v>2011</c:v>
                </c:pt>
                <c:pt idx="2">
                  <c:v>2012</c:v>
                </c:pt>
                <c:pt idx="3">
                  <c:v>2013</c:v>
                </c:pt>
                <c:pt idx="4">
                  <c:v>2014</c:v>
                </c:pt>
                <c:pt idx="5">
                  <c:v>2015</c:v>
                </c:pt>
                <c:pt idx="6">
                  <c:v>2015 - pilotaż przewlekłość</c:v>
                </c:pt>
                <c:pt idx="7">
                  <c:v>2016</c:v>
                </c:pt>
                <c:pt idx="8">
                  <c:v>2017 - pilotaż przewlekłość</c:v>
                </c:pt>
                <c:pt idx="9">
                  <c:v>2017</c:v>
                </c:pt>
                <c:pt idx="10">
                  <c:v>2018</c:v>
                </c:pt>
                <c:pt idx="11">
                  <c:v>2019 - pilotaż przewlekłość</c:v>
                </c:pt>
                <c:pt idx="12">
                  <c:v>2019</c:v>
                </c:pt>
                <c:pt idx="13">
                  <c:v>2020</c:v>
                </c:pt>
                <c:pt idx="14">
                  <c:v>2021</c:v>
                </c:pt>
              </c:strCache>
            </c:strRef>
          </c:cat>
          <c:val>
            <c:numRef>
              <c:f>'statystyki raporty wykonywanie'!$B$18:$B$32</c:f>
              <c:numCache>
                <c:formatCode>General</c:formatCode>
                <c:ptCount val="15"/>
                <c:pt idx="0">
                  <c:v>316</c:v>
                </c:pt>
                <c:pt idx="1">
                  <c:v>246</c:v>
                </c:pt>
                <c:pt idx="2">
                  <c:v>193</c:v>
                </c:pt>
                <c:pt idx="3">
                  <c:v>154</c:v>
                </c:pt>
                <c:pt idx="4">
                  <c:v>191</c:v>
                </c:pt>
                <c:pt idx="5">
                  <c:v>170</c:v>
                </c:pt>
                <c:pt idx="6">
                  <c:v>591</c:v>
                </c:pt>
                <c:pt idx="7">
                  <c:v>69</c:v>
                </c:pt>
                <c:pt idx="8">
                  <c:v>309</c:v>
                </c:pt>
                <c:pt idx="9">
                  <c:v>87</c:v>
                </c:pt>
                <c:pt idx="10">
                  <c:v>117</c:v>
                </c:pt>
                <c:pt idx="11">
                  <c:v>166</c:v>
                </c:pt>
                <c:pt idx="12">
                  <c:v>85</c:v>
                </c:pt>
                <c:pt idx="13">
                  <c:v>126</c:v>
                </c:pt>
                <c:pt idx="14">
                  <c:v>277</c:v>
                </c:pt>
              </c:numCache>
            </c:numRef>
          </c:val>
          <c:extLst>
            <c:ext xmlns:c16="http://schemas.microsoft.com/office/drawing/2014/chart" uri="{C3380CC4-5D6E-409C-BE32-E72D297353CC}">
              <c16:uniqueId val="{00000012-04DF-4E92-A2CE-01A81992C3CD}"/>
            </c:ext>
          </c:extLst>
        </c:ser>
        <c:dLbls>
          <c:showLegendKey val="0"/>
          <c:showVal val="0"/>
          <c:showCatName val="0"/>
          <c:showSerName val="0"/>
          <c:showPercent val="0"/>
          <c:showBubbleSize val="0"/>
        </c:dLbls>
        <c:gapWidth val="55"/>
        <c:gapDepth val="55"/>
        <c:shape val="box"/>
        <c:axId val="124952576"/>
        <c:axId val="124954112"/>
        <c:axId val="0"/>
      </c:bar3DChart>
      <c:catAx>
        <c:axId val="124952576"/>
        <c:scaling>
          <c:orientation val="minMax"/>
        </c:scaling>
        <c:delete val="0"/>
        <c:axPos val="b"/>
        <c:numFmt formatCode="General" sourceLinked="1"/>
        <c:majorTickMark val="none"/>
        <c:minorTickMark val="none"/>
        <c:tickLblPos val="nextTo"/>
        <c:txPr>
          <a:bodyPr/>
          <a:lstStyle/>
          <a:p>
            <a:pPr>
              <a:defRPr sz="670" kern="1000" normalizeH="0" baseline="0"/>
            </a:pPr>
            <a:endParaRPr lang="pl-PL"/>
          </a:p>
        </c:txPr>
        <c:crossAx val="124954112"/>
        <c:crosses val="autoZero"/>
        <c:auto val="1"/>
        <c:lblAlgn val="ctr"/>
        <c:lblOffset val="100"/>
        <c:noMultiLvlLbl val="0"/>
      </c:catAx>
      <c:valAx>
        <c:axId val="124954112"/>
        <c:scaling>
          <c:orientation val="minMax"/>
        </c:scaling>
        <c:delete val="0"/>
        <c:axPos val="l"/>
        <c:majorGridlines/>
        <c:numFmt formatCode="General" sourceLinked="1"/>
        <c:majorTickMark val="none"/>
        <c:minorTickMark val="none"/>
        <c:tickLblPos val="nextTo"/>
        <c:crossAx val="124952576"/>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b="1" i="0" baseline="0">
                <a:effectLst/>
              </a:rPr>
              <a:t>liczba wyroków </a:t>
            </a:r>
            <a:r>
              <a:rPr lang="pl-PL" sz="1000" b="1" i="0" baseline="0">
                <a:effectLst/>
              </a:rPr>
              <a:t>ETPC wobec Polski w poszczególnych latach</a:t>
            </a:r>
            <a:endParaRPr lang="pl-PL" sz="1000">
              <a:effectLst/>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1"/>
          <c:order val="0"/>
          <c:tx>
            <c:v>liczba wyroków wydanych w roku</c:v>
          </c:tx>
          <c:spPr>
            <a:solidFill>
              <a:srgbClr val="3FC1D3"/>
            </a:solidFill>
          </c:spPr>
          <c:invertIfNegative val="0"/>
          <c:dLbls>
            <c:dLbl>
              <c:idx val="0"/>
              <c:layout>
                <c:manualLayout>
                  <c:x val="0"/>
                  <c:y val="0.103031903044545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FD0-40A7-9153-7FB172EFE76F}"/>
                </c:ext>
              </c:extLst>
            </c:dLbl>
            <c:dLbl>
              <c:idx val="1"/>
              <c:layout>
                <c:manualLayout>
                  <c:x val="0"/>
                  <c:y val="0.115910890925113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FD0-40A7-9153-7FB172EFE76F}"/>
                </c:ext>
              </c:extLst>
            </c:dLbl>
            <c:dLbl>
              <c:idx val="2"/>
              <c:layout>
                <c:manualLayout>
                  <c:x val="0"/>
                  <c:y val="0.1008854050644507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FD0-40A7-9153-7FB172EFE76F}"/>
                </c:ext>
              </c:extLst>
            </c:dLbl>
            <c:dLbl>
              <c:idx val="3"/>
              <c:layout>
                <c:manualLayout>
                  <c:x val="-1.3008130081300813E-3"/>
                  <c:y val="0.1116178949649241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FD0-40A7-9153-7FB172EFE76F}"/>
                </c:ext>
              </c:extLst>
            </c:dLbl>
            <c:dLbl>
              <c:idx val="4"/>
              <c:layout>
                <c:manualLayout>
                  <c:x val="0"/>
                  <c:y val="0.115910890925113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FD0-40A7-9153-7FB172EFE76F}"/>
                </c:ext>
              </c:extLst>
            </c:dLbl>
            <c:dLbl>
              <c:idx val="5"/>
              <c:layout>
                <c:manualLayout>
                  <c:x val="-1.1777695715163012E-3"/>
                  <c:y val="0.115910890925113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FD0-40A7-9153-7FB172EFE76F}"/>
                </c:ext>
              </c:extLst>
            </c:dLbl>
            <c:dLbl>
              <c:idx val="6"/>
              <c:layout>
                <c:manualLayout>
                  <c:x val="1.4312294260770001E-3"/>
                  <c:y val="0.1123799166213521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FD0-40A7-9153-7FB172EFE76F}"/>
                </c:ext>
              </c:extLst>
            </c:dLbl>
            <c:dLbl>
              <c:idx val="7"/>
              <c:layout>
                <c:manualLayout>
                  <c:x val="0"/>
                  <c:y val="0.1067932264504117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FD0-40A7-9153-7FB172EFE76F}"/>
                </c:ext>
              </c:extLst>
            </c:dLbl>
            <c:dLbl>
              <c:idx val="8"/>
              <c:layout>
                <c:manualLayout>
                  <c:x val="-2.8578233984402211E-3"/>
                  <c:y val="9.61139038053706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FD0-40A7-9153-7FB172EFE76F}"/>
                </c:ext>
              </c:extLst>
            </c:dLbl>
            <c:dLbl>
              <c:idx val="9"/>
              <c:layout>
                <c:manualLayout>
                  <c:x val="1.4289116992200583E-3"/>
                  <c:y val="0.1281518717404941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FD0-40A7-9153-7FB172EFE76F}"/>
                </c:ext>
              </c:extLst>
            </c:dLbl>
            <c:dLbl>
              <c:idx val="10"/>
              <c:layout>
                <c:manualLayout>
                  <c:x val="0"/>
                  <c:y val="0.1281519076611127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FD0-40A7-9153-7FB172EFE76F}"/>
                </c:ext>
              </c:extLst>
            </c:dLbl>
            <c:spPr>
              <a:noFill/>
              <a:ln>
                <a:noFill/>
              </a:ln>
              <a:effectLst/>
            </c:spPr>
            <c:txPr>
              <a:bodyPr/>
              <a:lstStyle/>
              <a:p>
                <a:pPr>
                  <a:defRPr sz="1200" b="1" i="0" baseline="0">
                    <a:solidFill>
                      <a:schemeClr val="bg1"/>
                    </a:solidFill>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'staystyki cd.'!$A$19:$A$29</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'staystyki cd.'!$B$19:$B$29</c:f>
              <c:numCache>
                <c:formatCode>General</c:formatCode>
                <c:ptCount val="11"/>
                <c:pt idx="0">
                  <c:v>71</c:v>
                </c:pt>
                <c:pt idx="1">
                  <c:v>74</c:v>
                </c:pt>
                <c:pt idx="2">
                  <c:v>23</c:v>
                </c:pt>
                <c:pt idx="3">
                  <c:v>28</c:v>
                </c:pt>
                <c:pt idx="4">
                  <c:v>29</c:v>
                </c:pt>
                <c:pt idx="5">
                  <c:v>26</c:v>
                </c:pt>
                <c:pt idx="6">
                  <c:v>20</c:v>
                </c:pt>
                <c:pt idx="7">
                  <c:v>21</c:v>
                </c:pt>
                <c:pt idx="8">
                  <c:v>12</c:v>
                </c:pt>
                <c:pt idx="9">
                  <c:v>19</c:v>
                </c:pt>
                <c:pt idx="10">
                  <c:v>23</c:v>
                </c:pt>
              </c:numCache>
            </c:numRef>
          </c:val>
          <c:extLst>
            <c:ext xmlns:c16="http://schemas.microsoft.com/office/drawing/2014/chart" uri="{C3380CC4-5D6E-409C-BE32-E72D297353CC}">
              <c16:uniqueId val="{0000000B-BFD0-40A7-9153-7FB172EFE76F}"/>
            </c:ext>
          </c:extLst>
        </c:ser>
        <c:dLbls>
          <c:showLegendKey val="0"/>
          <c:showVal val="0"/>
          <c:showCatName val="0"/>
          <c:showSerName val="0"/>
          <c:showPercent val="0"/>
          <c:showBubbleSize val="0"/>
        </c:dLbls>
        <c:gapWidth val="55"/>
        <c:gapDepth val="55"/>
        <c:shape val="box"/>
        <c:axId val="133770240"/>
        <c:axId val="133772032"/>
        <c:axId val="0"/>
      </c:bar3DChart>
      <c:catAx>
        <c:axId val="133770240"/>
        <c:scaling>
          <c:orientation val="minMax"/>
        </c:scaling>
        <c:delete val="0"/>
        <c:axPos val="b"/>
        <c:numFmt formatCode="General" sourceLinked="1"/>
        <c:majorTickMark val="none"/>
        <c:minorTickMark val="none"/>
        <c:tickLblPos val="nextTo"/>
        <c:txPr>
          <a:bodyPr/>
          <a:lstStyle/>
          <a:p>
            <a:pPr>
              <a:defRPr sz="1200" baseline="0"/>
            </a:pPr>
            <a:endParaRPr lang="pl-PL"/>
          </a:p>
        </c:txPr>
        <c:crossAx val="133772032"/>
        <c:crosses val="autoZero"/>
        <c:auto val="1"/>
        <c:lblAlgn val="ctr"/>
        <c:lblOffset val="100"/>
        <c:noMultiLvlLbl val="0"/>
      </c:catAx>
      <c:valAx>
        <c:axId val="133772032"/>
        <c:scaling>
          <c:orientation val="minMax"/>
        </c:scaling>
        <c:delete val="0"/>
        <c:axPos val="l"/>
        <c:majorGridlines/>
        <c:numFmt formatCode="General" sourceLinked="1"/>
        <c:majorTickMark val="none"/>
        <c:minorTickMark val="none"/>
        <c:tickLblPos val="nextTo"/>
        <c:txPr>
          <a:bodyPr/>
          <a:lstStyle/>
          <a:p>
            <a:pPr>
              <a:defRPr sz="1200" baseline="0"/>
            </a:pPr>
            <a:endParaRPr lang="pl-PL"/>
          </a:p>
        </c:txPr>
        <c:crossAx val="133770240"/>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lgn="ctr">
              <a:defRPr sz="1000"/>
            </a:pPr>
            <a:r>
              <a:rPr lang="pl-PL" sz="1000" b="1" i="0" baseline="0">
                <a:effectLst/>
              </a:rPr>
              <a:t>liczba decyzji ETPC zatwierdzających ugody </a:t>
            </a:r>
            <a:br>
              <a:rPr lang="pl-PL" sz="1000" b="1" i="0" baseline="0">
                <a:effectLst/>
              </a:rPr>
            </a:br>
            <a:r>
              <a:rPr lang="pl-PL" sz="1000" b="1" i="0" baseline="0">
                <a:effectLst/>
              </a:rPr>
              <a:t>i deklaracje jednostronne w sprawach polskich</a:t>
            </a:r>
            <a:endParaRPr lang="pl-PL" sz="1000">
              <a:effectLst/>
            </a:endParaRPr>
          </a:p>
        </c:rich>
      </c:tx>
      <c:layout>
        <c:manualLayout>
          <c:xMode val="edge"/>
          <c:yMode val="edge"/>
          <c:x val="0.33634359384873391"/>
          <c:y val="7.0953436807095344E-3"/>
        </c:manualLayout>
      </c:layout>
      <c:overlay val="0"/>
    </c:title>
    <c:autoTitleDeleted val="0"/>
    <c:view3D>
      <c:rotX val="0"/>
      <c:rotY val="0"/>
      <c:rAngAx val="0"/>
      <c:perspective val="0"/>
    </c:view3D>
    <c:floor>
      <c:thickness val="0"/>
    </c:floor>
    <c:sideWall>
      <c:thickness val="0"/>
    </c:sideWall>
    <c:backWall>
      <c:thickness val="0"/>
    </c:backWall>
    <c:plotArea>
      <c:layout/>
      <c:bar3DChart>
        <c:barDir val="col"/>
        <c:grouping val="stacked"/>
        <c:varyColors val="0"/>
        <c:ser>
          <c:idx val="0"/>
          <c:order val="0"/>
          <c:tx>
            <c:strRef>
              <c:f>'statystyki raporty wykonywanie'!$E$1</c:f>
              <c:strCache>
                <c:ptCount val="1"/>
                <c:pt idx="0">
                  <c:v>liczba decyzji w sprawie ugód</c:v>
                </c:pt>
              </c:strCache>
            </c:strRef>
          </c:tx>
          <c:invertIfNegative val="0"/>
          <c:dLbls>
            <c:spPr>
              <a:noFill/>
              <a:ln>
                <a:noFill/>
              </a:ln>
              <a:effectLst/>
            </c:spPr>
            <c:txPr>
              <a:bodyPr/>
              <a:lstStyle/>
              <a:p>
                <a:pPr>
                  <a:defRPr sz="1200" b="1" i="0" baseline="0">
                    <a:solidFill>
                      <a:schemeClr val="bg1"/>
                    </a:solidFill>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'statystyki raporty wykonywanie'!$D$19:$D$29</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'statystyki raporty wykonywanie'!$E$19:$E$29</c:f>
              <c:numCache>
                <c:formatCode>General</c:formatCode>
                <c:ptCount val="11"/>
                <c:pt idx="0">
                  <c:v>153</c:v>
                </c:pt>
                <c:pt idx="1">
                  <c:v>108</c:v>
                </c:pt>
                <c:pt idx="2">
                  <c:v>93</c:v>
                </c:pt>
                <c:pt idx="3">
                  <c:v>81</c:v>
                </c:pt>
                <c:pt idx="4">
                  <c:v>110</c:v>
                </c:pt>
                <c:pt idx="5">
                  <c:v>27</c:v>
                </c:pt>
                <c:pt idx="6">
                  <c:v>19</c:v>
                </c:pt>
                <c:pt idx="7">
                  <c:v>28</c:v>
                </c:pt>
                <c:pt idx="8">
                  <c:v>22</c:v>
                </c:pt>
                <c:pt idx="9">
                  <c:v>8</c:v>
                </c:pt>
                <c:pt idx="10">
                  <c:v>26</c:v>
                </c:pt>
              </c:numCache>
            </c:numRef>
          </c:val>
          <c:extLst>
            <c:ext xmlns:c16="http://schemas.microsoft.com/office/drawing/2014/chart" uri="{C3380CC4-5D6E-409C-BE32-E72D297353CC}">
              <c16:uniqueId val="{00000000-A6C1-4831-A236-5033C9A6F9C5}"/>
            </c:ext>
          </c:extLst>
        </c:ser>
        <c:ser>
          <c:idx val="1"/>
          <c:order val="1"/>
          <c:tx>
            <c:strRef>
              <c:f>'statystyki raporty wykonywanie'!$F$1</c:f>
              <c:strCache>
                <c:ptCount val="1"/>
                <c:pt idx="0">
                  <c:v>liczba decyzji ws. deklaracji jednostronnych</c:v>
                </c:pt>
              </c:strCache>
            </c:strRef>
          </c:tx>
          <c:invertIfNegative val="0"/>
          <c:dLbls>
            <c:spPr>
              <a:noFill/>
              <a:ln>
                <a:noFill/>
              </a:ln>
              <a:effectLst/>
            </c:spPr>
            <c:txPr>
              <a:bodyPr/>
              <a:lstStyle/>
              <a:p>
                <a:pPr>
                  <a:defRPr sz="1200" b="1" i="0" baseline="0">
                    <a:solidFill>
                      <a:schemeClr val="bg1"/>
                    </a:solidFill>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'statystyki raporty wykonywanie'!$D$19:$D$29</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'statystyki raporty wykonywanie'!$F$19:$F$29</c:f>
              <c:numCache>
                <c:formatCode>General</c:formatCode>
                <c:ptCount val="11"/>
                <c:pt idx="0">
                  <c:v>30</c:v>
                </c:pt>
                <c:pt idx="1">
                  <c:v>38</c:v>
                </c:pt>
                <c:pt idx="2">
                  <c:v>38</c:v>
                </c:pt>
                <c:pt idx="3">
                  <c:v>23</c:v>
                </c:pt>
                <c:pt idx="4">
                  <c:v>32</c:v>
                </c:pt>
                <c:pt idx="5">
                  <c:v>12</c:v>
                </c:pt>
                <c:pt idx="6">
                  <c:v>10</c:v>
                </c:pt>
                <c:pt idx="7">
                  <c:v>17</c:v>
                </c:pt>
                <c:pt idx="8">
                  <c:v>13</c:v>
                </c:pt>
                <c:pt idx="9">
                  <c:v>10</c:v>
                </c:pt>
                <c:pt idx="10">
                  <c:v>11</c:v>
                </c:pt>
              </c:numCache>
            </c:numRef>
          </c:val>
          <c:extLst>
            <c:ext xmlns:c16="http://schemas.microsoft.com/office/drawing/2014/chart" uri="{C3380CC4-5D6E-409C-BE32-E72D297353CC}">
              <c16:uniqueId val="{00000001-A6C1-4831-A236-5033C9A6F9C5}"/>
            </c:ext>
          </c:extLst>
        </c:ser>
        <c:dLbls>
          <c:showLegendKey val="0"/>
          <c:showVal val="0"/>
          <c:showCatName val="0"/>
          <c:showSerName val="0"/>
          <c:showPercent val="0"/>
          <c:showBubbleSize val="0"/>
        </c:dLbls>
        <c:gapWidth val="75"/>
        <c:shape val="box"/>
        <c:axId val="124865536"/>
        <c:axId val="124871424"/>
        <c:axId val="0"/>
      </c:bar3DChart>
      <c:catAx>
        <c:axId val="124865536"/>
        <c:scaling>
          <c:orientation val="minMax"/>
        </c:scaling>
        <c:delete val="0"/>
        <c:axPos val="b"/>
        <c:numFmt formatCode="General" sourceLinked="1"/>
        <c:majorTickMark val="none"/>
        <c:minorTickMark val="none"/>
        <c:tickLblPos val="nextTo"/>
        <c:txPr>
          <a:bodyPr/>
          <a:lstStyle/>
          <a:p>
            <a:pPr>
              <a:defRPr sz="1200" baseline="0"/>
            </a:pPr>
            <a:endParaRPr lang="pl-PL"/>
          </a:p>
        </c:txPr>
        <c:crossAx val="124871424"/>
        <c:crosses val="autoZero"/>
        <c:auto val="1"/>
        <c:lblAlgn val="ctr"/>
        <c:lblOffset val="100"/>
        <c:noMultiLvlLbl val="0"/>
      </c:catAx>
      <c:valAx>
        <c:axId val="124871424"/>
        <c:scaling>
          <c:orientation val="minMax"/>
        </c:scaling>
        <c:delete val="0"/>
        <c:axPos val="l"/>
        <c:majorGridlines/>
        <c:numFmt formatCode="General" sourceLinked="1"/>
        <c:majorTickMark val="none"/>
        <c:minorTickMark val="none"/>
        <c:tickLblPos val="nextTo"/>
        <c:txPr>
          <a:bodyPr/>
          <a:lstStyle/>
          <a:p>
            <a:pPr>
              <a:defRPr sz="1200" baseline="0"/>
            </a:pPr>
            <a:endParaRPr lang="pl-PL"/>
          </a:p>
        </c:txPr>
        <c:crossAx val="124865536"/>
        <c:crosses val="autoZero"/>
        <c:crossBetween val="between"/>
      </c:valAx>
    </c:plotArea>
    <c:legend>
      <c:legendPos val="b"/>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9"/>
    </mc:Choice>
    <mc:Fallback>
      <c:style val="19"/>
    </mc:Fallback>
  </mc:AlternateContent>
  <c:clrMapOvr bg1="lt1" tx1="dk1" bg2="lt2" tx2="dk2" accent1="accent1" accent2="accent2" accent3="accent3" accent4="accent4" accent5="accent5" accent6="accent6" hlink="hlink" folHlink="folHlink"/>
  <c:chart>
    <c:title>
      <c:tx>
        <c:rich>
          <a:bodyPr/>
          <a:lstStyle/>
          <a:p>
            <a:pPr algn="ctr">
              <a:defRPr sz="1000"/>
            </a:pPr>
            <a:r>
              <a:rPr lang="pl-PL" sz="1000"/>
              <a:t>Liczba decyzji ETPC o niedopuszczalności w sprawach polskich</a:t>
            </a:r>
          </a:p>
        </c:rich>
      </c:tx>
      <c:overlay val="0"/>
      <c:spPr>
        <a:solidFill>
          <a:schemeClr val="bg1"/>
        </a:solidFill>
      </c:sp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1"/>
          <c:order val="0"/>
          <c:tx>
            <c:strRef>
              <c:f>'statystyki raporty wykonywanie'!$H$1</c:f>
              <c:strCache>
                <c:ptCount val="1"/>
                <c:pt idx="0">
                  <c:v>liczba decyzji o niedopuszczalności</c:v>
                </c:pt>
              </c:strCache>
            </c:strRef>
          </c:tx>
          <c:spPr>
            <a:solidFill>
              <a:srgbClr val="0070C0"/>
            </a:solidFill>
          </c:spPr>
          <c:invertIfNegative val="0"/>
          <c:dLbls>
            <c:dLbl>
              <c:idx val="0"/>
              <c:layout>
                <c:manualLayout>
                  <c:x val="0"/>
                  <c:y val="0.112643678160919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6A0-4291-B7F0-43A933F3C644}"/>
                </c:ext>
              </c:extLst>
            </c:dLbl>
            <c:dLbl>
              <c:idx val="1"/>
              <c:layout>
                <c:manualLayout>
                  <c:x val="0"/>
                  <c:y val="0.121839080459770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6A0-4291-B7F0-43A933F3C644}"/>
                </c:ext>
              </c:extLst>
            </c:dLbl>
            <c:dLbl>
              <c:idx val="2"/>
              <c:layout>
                <c:manualLayout>
                  <c:x val="0"/>
                  <c:y val="0.108045795999637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0-4291-B7F0-43A933F3C644}"/>
                </c:ext>
              </c:extLst>
            </c:dLbl>
            <c:dLbl>
              <c:idx val="3"/>
              <c:layout>
                <c:manualLayout>
                  <c:x val="0"/>
                  <c:y val="0.117241379310344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6A0-4291-B7F0-43A933F3C644}"/>
                </c:ext>
              </c:extLst>
            </c:dLbl>
            <c:dLbl>
              <c:idx val="4"/>
              <c:layout>
                <c:manualLayout>
                  <c:x val="0"/>
                  <c:y val="0.121839080459770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6A0-4291-B7F0-43A933F3C644}"/>
                </c:ext>
              </c:extLst>
            </c:dLbl>
            <c:dLbl>
              <c:idx val="5"/>
              <c:layout>
                <c:manualLayout>
                  <c:x val="1.2318115029661923E-3"/>
                  <c:y val="0.10395480225988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6A0-4291-B7F0-43A933F3C644}"/>
                </c:ext>
              </c:extLst>
            </c:dLbl>
            <c:dLbl>
              <c:idx val="6"/>
              <c:layout>
                <c:manualLayout>
                  <c:x val="2.9252596167909902E-3"/>
                  <c:y val="0.1352339181286549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6A0-4291-B7F0-43A933F3C644}"/>
                </c:ext>
              </c:extLst>
            </c:dLbl>
            <c:dLbl>
              <c:idx val="7"/>
              <c:layout>
                <c:manualLayout>
                  <c:x val="1.4626238720313915E-3"/>
                  <c:y val="0.1102471357564013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6A0-4291-B7F0-43A933F3C644}"/>
                </c:ext>
              </c:extLst>
            </c:dLbl>
            <c:dLbl>
              <c:idx val="8"/>
              <c:layout>
                <c:manualLayout>
                  <c:x val="1.4600943755151328E-3"/>
                  <c:y val="0.11483252506946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6A0-4291-B7F0-43A933F3C644}"/>
                </c:ext>
              </c:extLst>
            </c:dLbl>
            <c:dLbl>
              <c:idx val="9"/>
              <c:layout>
                <c:manualLayout>
                  <c:x val="1.4602093526294058E-3"/>
                  <c:y val="0.11483252506946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6A0-4291-B7F0-43A933F3C644}"/>
                </c:ext>
              </c:extLst>
            </c:dLbl>
            <c:dLbl>
              <c:idx val="10"/>
              <c:layout>
                <c:manualLayout>
                  <c:x val="-1.0708078218648972E-16"/>
                  <c:y val="0.1004784594357777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6A0-4291-B7F0-43A933F3C644}"/>
                </c:ext>
              </c:extLst>
            </c:dLbl>
            <c:spPr>
              <a:noFill/>
              <a:ln>
                <a:noFill/>
              </a:ln>
              <a:effectLst/>
            </c:spPr>
            <c:txPr>
              <a:bodyPr/>
              <a:lstStyle/>
              <a:p>
                <a:pPr>
                  <a:defRPr sz="1200" b="1" i="0" baseline="0">
                    <a:solidFill>
                      <a:schemeClr val="bg1"/>
                    </a:solidFill>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'statystyki raporty wykonywanie'!$D$19:$D$29</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'statystyki raporty wykonywanie'!$H$19:$H$29</c:f>
              <c:numCache>
                <c:formatCode>General</c:formatCode>
                <c:ptCount val="11"/>
                <c:pt idx="0">
                  <c:v>16</c:v>
                </c:pt>
                <c:pt idx="1">
                  <c:v>26</c:v>
                </c:pt>
                <c:pt idx="2">
                  <c:v>36</c:v>
                </c:pt>
                <c:pt idx="3">
                  <c:v>31</c:v>
                </c:pt>
                <c:pt idx="4">
                  <c:v>32</c:v>
                </c:pt>
                <c:pt idx="5">
                  <c:v>25</c:v>
                </c:pt>
                <c:pt idx="6">
                  <c:v>24</c:v>
                </c:pt>
                <c:pt idx="7">
                  <c:v>35</c:v>
                </c:pt>
                <c:pt idx="8">
                  <c:v>31</c:v>
                </c:pt>
                <c:pt idx="9">
                  <c:v>25</c:v>
                </c:pt>
                <c:pt idx="10">
                  <c:v>19</c:v>
                </c:pt>
              </c:numCache>
            </c:numRef>
          </c:val>
          <c:extLst>
            <c:ext xmlns:c16="http://schemas.microsoft.com/office/drawing/2014/chart" uri="{C3380CC4-5D6E-409C-BE32-E72D297353CC}">
              <c16:uniqueId val="{0000000B-16A0-4291-B7F0-43A933F3C644}"/>
            </c:ext>
          </c:extLst>
        </c:ser>
        <c:dLbls>
          <c:showLegendKey val="0"/>
          <c:showVal val="0"/>
          <c:showCatName val="0"/>
          <c:showSerName val="0"/>
          <c:showPercent val="0"/>
          <c:showBubbleSize val="0"/>
        </c:dLbls>
        <c:gapWidth val="55"/>
        <c:gapDepth val="55"/>
        <c:shape val="box"/>
        <c:axId val="133501696"/>
        <c:axId val="133503232"/>
        <c:axId val="0"/>
      </c:bar3DChart>
      <c:catAx>
        <c:axId val="133501696"/>
        <c:scaling>
          <c:orientation val="minMax"/>
        </c:scaling>
        <c:delete val="0"/>
        <c:axPos val="b"/>
        <c:numFmt formatCode="General" sourceLinked="1"/>
        <c:majorTickMark val="none"/>
        <c:minorTickMark val="none"/>
        <c:tickLblPos val="nextTo"/>
        <c:crossAx val="133503232"/>
        <c:crosses val="autoZero"/>
        <c:auto val="1"/>
        <c:lblAlgn val="ctr"/>
        <c:lblOffset val="100"/>
        <c:noMultiLvlLbl val="0"/>
      </c:catAx>
      <c:valAx>
        <c:axId val="133503232"/>
        <c:scaling>
          <c:orientation val="minMax"/>
        </c:scaling>
        <c:delete val="0"/>
        <c:axPos val="l"/>
        <c:majorGridlines/>
        <c:numFmt formatCode="General" sourceLinked="1"/>
        <c:majorTickMark val="none"/>
        <c:minorTickMark val="none"/>
        <c:tickLblPos val="nextTo"/>
        <c:crossAx val="133501696"/>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000" b="1" i="0" u="none" strike="noStrike" kern="1200" baseline="0">
                <a:solidFill>
                  <a:schemeClr val="tx1"/>
                </a:solidFill>
                <a:latin typeface="+mn-lt"/>
                <a:ea typeface="+mn-ea"/>
                <a:cs typeface="+mn-cs"/>
              </a:defRPr>
            </a:pPr>
            <a:r>
              <a:rPr lang="pl-PL" sz="1000"/>
              <a:t>Liczba całkowicie wygranych spraw - </a:t>
            </a:r>
            <a:r>
              <a:rPr lang="pl-PL" sz="1000" baseline="0"/>
              <a:t> orzeczenia </a:t>
            </a:r>
            <a:r>
              <a:rPr lang="pl-PL" sz="1000"/>
              <a:t>merytoryczne</a:t>
            </a:r>
          </a:p>
          <a:p>
            <a:pPr algn="ctr">
              <a:defRPr sz="1000"/>
            </a:pPr>
            <a:r>
              <a:rPr lang="pl-PL" sz="1000"/>
              <a:t>(wyroki i decyzje o niedopuszczalności)</a:t>
            </a:r>
          </a:p>
          <a:p>
            <a:pPr algn="ctr">
              <a:defRPr sz="1000"/>
            </a:pPr>
            <a:endParaRPr lang="pl-PL" sz="1000"/>
          </a:p>
        </c:rich>
      </c:tx>
      <c:layout>
        <c:manualLayout>
          <c:xMode val="edge"/>
          <c:yMode val="edge"/>
          <c:x val="0.25649960885808498"/>
          <c:y val="3.6622856353482128E-2"/>
        </c:manualLayout>
      </c:layout>
      <c:overlay val="0"/>
      <c:spPr>
        <a:noFill/>
        <a:ln>
          <a:noFill/>
        </a:ln>
        <a:effectLst/>
      </c:spPr>
      <c:txPr>
        <a:bodyPr rot="0" spcFirstLastPara="1" vertOverflow="ellipsis" vert="horz" wrap="square" anchor="ctr" anchorCtr="1"/>
        <a:lstStyle/>
        <a:p>
          <a:pPr algn="ctr">
            <a:defRPr sz="1000" b="1" i="0" u="none" strike="noStrike" kern="1200" baseline="0">
              <a:solidFill>
                <a:schemeClr val="tx1"/>
              </a:solidFill>
              <a:latin typeface="+mn-lt"/>
              <a:ea typeface="+mn-ea"/>
              <a:cs typeface="+mn-cs"/>
            </a:defRPr>
          </a:pPr>
          <a:endParaRPr lang="pl-PL"/>
        </a:p>
      </c:txPr>
    </c:title>
    <c:autoTitleDeleted val="0"/>
    <c:view3D>
      <c:rotX val="15"/>
      <c:rotY val="20"/>
      <c:rAngAx val="1"/>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0"/>
          <c:tx>
            <c:strRef>
              <c:f>'statystyki raporty wykonywanie'!$I$1</c:f>
              <c:strCache>
                <c:ptCount val="1"/>
                <c:pt idx="0">
                  <c:v>liczba całkowicie wygranych spraw (wyroki i decyzje o niedopuszczalności)</c:v>
                </c:pt>
              </c:strCache>
            </c:strRef>
          </c:tx>
          <c:spPr>
            <a:solidFill>
              <a:schemeClr val="accent2">
                <a:tint val="77000"/>
              </a:schemeClr>
            </a:solidFill>
            <a:ln>
              <a:noFill/>
            </a:ln>
            <a:effectLst>
              <a:outerShdw blurRad="40000" dist="23000" dir="5400000" rotWithShape="0">
                <a:srgbClr val="000000">
                  <a:alpha val="35000"/>
                </a:srgbClr>
              </a:outerShdw>
            </a:effectLst>
            <a:sp3d/>
          </c:spPr>
          <c:invertIfNegative val="0"/>
          <c:dPt>
            <c:idx val="0"/>
            <c:invertIfNegative val="0"/>
            <c:bubble3D val="0"/>
            <c:extLst>
              <c:ext xmlns:c16="http://schemas.microsoft.com/office/drawing/2014/chart" uri="{C3380CC4-5D6E-409C-BE32-E72D297353CC}">
                <c16:uniqueId val="{00000000-68A8-46E1-95C6-422D59308B4B}"/>
              </c:ext>
            </c:extLst>
          </c:dPt>
          <c:dPt>
            <c:idx val="1"/>
            <c:invertIfNegative val="0"/>
            <c:bubble3D val="0"/>
            <c:spPr>
              <a:solidFill>
                <a:schemeClr val="accent2">
                  <a:tint val="77000"/>
                </a:schemeClr>
              </a:soli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2-68A8-46E1-95C6-422D59308B4B}"/>
              </c:ext>
            </c:extLst>
          </c:dPt>
          <c:dPt>
            <c:idx val="2"/>
            <c:invertIfNegative val="0"/>
            <c:bubble3D val="0"/>
            <c:spPr>
              <a:solidFill>
                <a:schemeClr val="accent2">
                  <a:tint val="77000"/>
                </a:schemeClr>
              </a:soli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4-68A8-46E1-95C6-422D59308B4B}"/>
              </c:ext>
            </c:extLst>
          </c:dPt>
          <c:dPt>
            <c:idx val="3"/>
            <c:invertIfNegative val="0"/>
            <c:bubble3D val="0"/>
            <c:spPr>
              <a:solidFill>
                <a:schemeClr val="accent2">
                  <a:tint val="77000"/>
                </a:schemeClr>
              </a:soli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6-68A8-46E1-95C6-422D59308B4B}"/>
              </c:ext>
            </c:extLst>
          </c:dPt>
          <c:dPt>
            <c:idx val="4"/>
            <c:invertIfNegative val="0"/>
            <c:bubble3D val="0"/>
            <c:spPr>
              <a:solidFill>
                <a:schemeClr val="accent2">
                  <a:tint val="77000"/>
                </a:schemeClr>
              </a:soli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8-68A8-46E1-95C6-422D59308B4B}"/>
              </c:ext>
            </c:extLst>
          </c:dPt>
          <c:dPt>
            <c:idx val="5"/>
            <c:invertIfNegative val="0"/>
            <c:bubble3D val="0"/>
            <c:spPr>
              <a:solidFill>
                <a:schemeClr val="accent2">
                  <a:tint val="77000"/>
                </a:schemeClr>
              </a:soli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A-68A8-46E1-95C6-422D59308B4B}"/>
              </c:ext>
            </c:extLst>
          </c:dPt>
          <c:dPt>
            <c:idx val="6"/>
            <c:invertIfNegative val="0"/>
            <c:bubble3D val="0"/>
            <c:spPr>
              <a:solidFill>
                <a:schemeClr val="accent2">
                  <a:tint val="77000"/>
                </a:schemeClr>
              </a:soli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C-68A8-46E1-95C6-422D59308B4B}"/>
              </c:ext>
            </c:extLst>
          </c:dPt>
          <c:dPt>
            <c:idx val="7"/>
            <c:invertIfNegative val="0"/>
            <c:bubble3D val="0"/>
            <c:spPr>
              <a:solidFill>
                <a:schemeClr val="accent2">
                  <a:tint val="77000"/>
                </a:schemeClr>
              </a:soli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E-68A8-46E1-95C6-422D59308B4B}"/>
              </c:ext>
            </c:extLst>
          </c:dPt>
          <c:dPt>
            <c:idx val="8"/>
            <c:invertIfNegative val="0"/>
            <c:bubble3D val="0"/>
            <c:spPr>
              <a:solidFill>
                <a:schemeClr val="accent2">
                  <a:tint val="77000"/>
                </a:schemeClr>
              </a:soli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0-68A8-46E1-95C6-422D59308B4B}"/>
              </c:ext>
            </c:extLst>
          </c:dPt>
          <c:dLbls>
            <c:dLbl>
              <c:idx val="0"/>
              <c:layout>
                <c:manualLayout>
                  <c:x val="0"/>
                  <c:y val="0.112643678160919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A8-46E1-95C6-422D59308B4B}"/>
                </c:ext>
              </c:extLst>
            </c:dLbl>
            <c:dLbl>
              <c:idx val="1"/>
              <c:layout>
                <c:manualLayout>
                  <c:x val="0"/>
                  <c:y val="0.121839080459770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A8-46E1-95C6-422D59308B4B}"/>
                </c:ext>
              </c:extLst>
            </c:dLbl>
            <c:dLbl>
              <c:idx val="2"/>
              <c:layout>
                <c:manualLayout>
                  <c:x val="0"/>
                  <c:y val="0.108045795999637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8A8-46E1-95C6-422D59308B4B}"/>
                </c:ext>
              </c:extLst>
            </c:dLbl>
            <c:dLbl>
              <c:idx val="3"/>
              <c:layout>
                <c:manualLayout>
                  <c:x val="0"/>
                  <c:y val="0.117241379310344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8A8-46E1-95C6-422D59308B4B}"/>
                </c:ext>
              </c:extLst>
            </c:dLbl>
            <c:dLbl>
              <c:idx val="4"/>
              <c:layout>
                <c:manualLayout>
                  <c:x val="0"/>
                  <c:y val="0.121839080459770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8A8-46E1-95C6-422D59308B4B}"/>
                </c:ext>
              </c:extLst>
            </c:dLbl>
            <c:dLbl>
              <c:idx val="5"/>
              <c:layout>
                <c:manualLayout>
                  <c:x val="0"/>
                  <c:y val="9.46626384692849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8A8-46E1-95C6-422D59308B4B}"/>
                </c:ext>
              </c:extLst>
            </c:dLbl>
            <c:dLbl>
              <c:idx val="6"/>
              <c:layout>
                <c:manualLayout>
                  <c:x val="0"/>
                  <c:y val="0.104662200313612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8A8-46E1-95C6-422D59308B4B}"/>
                </c:ext>
              </c:extLst>
            </c:dLbl>
            <c:dLbl>
              <c:idx val="7"/>
              <c:layout>
                <c:manualLayout>
                  <c:x val="2.9397358774625494E-3"/>
                  <c:y val="0.1556823951650686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8A8-46E1-95C6-422D59308B4B}"/>
                </c:ext>
              </c:extLst>
            </c:dLbl>
            <c:dLbl>
              <c:idx val="8"/>
              <c:layout>
                <c:manualLayout>
                  <c:x val="1.4698679387312747E-3"/>
                  <c:y val="0.1743642825848769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8A8-46E1-95C6-422D59308B4B}"/>
                </c:ext>
              </c:extLst>
            </c:dLbl>
            <c:dLbl>
              <c:idx val="9"/>
              <c:layout>
                <c:manualLayout>
                  <c:x val="1.0778907031842184E-16"/>
                  <c:y val="0.1370004741569739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8A8-46E1-95C6-422D59308B4B}"/>
                </c:ext>
              </c:extLst>
            </c:dLbl>
            <c:dLbl>
              <c:idx val="10"/>
              <c:layout>
                <c:manualLayout>
                  <c:x val="0"/>
                  <c:y val="0.124545885597248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68A8-46E1-95C6-422D59308B4B}"/>
                </c:ext>
              </c:extLst>
            </c:dLbl>
            <c:spPr>
              <a:noFill/>
              <a:ln>
                <a:noFill/>
              </a:ln>
              <a:effectLst/>
            </c:spPr>
            <c:txPr>
              <a:bodyPr rot="0" spcFirstLastPara="1" vertOverflow="ellipsis" vert="horz" wrap="square" anchor="ctr" anchorCtr="1"/>
              <a:lstStyle/>
              <a:p>
                <a:pPr>
                  <a:defRPr sz="1200" b="1"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'statystyki raporty wykonywanie'!$D$19:$D$29</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'statystyki raporty wykonywanie'!$I$19:$I$29</c:f>
              <c:numCache>
                <c:formatCode>General</c:formatCode>
                <c:ptCount val="11"/>
                <c:pt idx="0">
                  <c:v>32</c:v>
                </c:pt>
                <c:pt idx="1">
                  <c:v>42</c:v>
                </c:pt>
                <c:pt idx="2">
                  <c:v>44</c:v>
                </c:pt>
                <c:pt idx="3">
                  <c:v>37</c:v>
                </c:pt>
                <c:pt idx="4">
                  <c:v>41</c:v>
                </c:pt>
                <c:pt idx="5">
                  <c:v>32</c:v>
                </c:pt>
                <c:pt idx="6">
                  <c:v>29</c:v>
                </c:pt>
                <c:pt idx="7">
                  <c:v>36</c:v>
                </c:pt>
                <c:pt idx="8">
                  <c:v>32</c:v>
                </c:pt>
                <c:pt idx="9">
                  <c:v>25</c:v>
                </c:pt>
                <c:pt idx="10">
                  <c:v>22</c:v>
                </c:pt>
              </c:numCache>
            </c:numRef>
          </c:val>
          <c:extLst>
            <c:ext xmlns:c16="http://schemas.microsoft.com/office/drawing/2014/chart" uri="{C3380CC4-5D6E-409C-BE32-E72D297353CC}">
              <c16:uniqueId val="{00000013-68A8-46E1-95C6-422D59308B4B}"/>
            </c:ext>
          </c:extLst>
        </c:ser>
        <c:dLbls>
          <c:showLegendKey val="0"/>
          <c:showVal val="0"/>
          <c:showCatName val="0"/>
          <c:showSerName val="0"/>
          <c:showPercent val="0"/>
          <c:showBubbleSize val="0"/>
        </c:dLbls>
        <c:gapWidth val="55"/>
        <c:gapDepth val="55"/>
        <c:shape val="box"/>
        <c:axId val="133564672"/>
        <c:axId val="133578752"/>
        <c:axId val="0"/>
      </c:bar3DChart>
      <c:catAx>
        <c:axId val="133564672"/>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pl-PL"/>
          </a:p>
        </c:txPr>
        <c:crossAx val="133578752"/>
        <c:crosses val="autoZero"/>
        <c:auto val="1"/>
        <c:lblAlgn val="ctr"/>
        <c:lblOffset val="100"/>
        <c:noMultiLvlLbl val="0"/>
      </c:catAx>
      <c:valAx>
        <c:axId val="133578752"/>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pl-PL"/>
          </a:p>
        </c:txPr>
        <c:crossAx val="133564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pl-PL"/>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000"/>
            </a:pPr>
            <a:r>
              <a:rPr lang="pl-PL" sz="1000"/>
              <a:t>liczba orzeczeń ETPC negatywnych i pozytywnych dla Rządu</a:t>
            </a:r>
          </a:p>
          <a:p>
            <a:pPr>
              <a:defRPr sz="1000"/>
            </a:pPr>
            <a:r>
              <a:rPr lang="pl-PL" sz="1000"/>
              <a:t>w danym roku</a:t>
            </a:r>
          </a:p>
          <a:p>
            <a:pPr>
              <a:defRPr sz="1000"/>
            </a:pPr>
            <a:endParaRPr lang="pl-PL" sz="1000"/>
          </a:p>
        </c:rich>
      </c:tx>
      <c:layout>
        <c:manualLayout>
          <c:xMode val="edge"/>
          <c:yMode val="edge"/>
          <c:x val="0.27055645822050023"/>
          <c:y val="1.3064580896345828E-2"/>
        </c:manualLayout>
      </c:layout>
      <c:overlay val="0"/>
    </c:title>
    <c:autoTitleDeleted val="0"/>
    <c:plotArea>
      <c:layout>
        <c:manualLayout>
          <c:layoutTarget val="inner"/>
          <c:xMode val="edge"/>
          <c:yMode val="edge"/>
          <c:x val="5.7287977891652429E-2"/>
          <c:y val="0.11563600281672108"/>
          <c:w val="0.93076783776739225"/>
          <c:h val="0.74966552333253977"/>
        </c:manualLayout>
      </c:layout>
      <c:lineChart>
        <c:grouping val="standard"/>
        <c:varyColors val="0"/>
        <c:ser>
          <c:idx val="0"/>
          <c:order val="0"/>
          <c:tx>
            <c:v>liczba orzeczeń negatywnych dla rządu</c:v>
          </c:tx>
          <c:spPr>
            <a:ln w="25400" cap="flat" cmpd="sng" algn="ctr">
              <a:solidFill>
                <a:schemeClr val="accent2"/>
              </a:solidFill>
              <a:prstDash val="solid"/>
            </a:ln>
            <a:effectLst/>
          </c:spPr>
          <c:marker>
            <c:spPr>
              <a:solidFill>
                <a:schemeClr val="lt1"/>
              </a:solidFill>
              <a:ln w="25400" cap="flat" cmpd="sng" algn="ctr">
                <a:solidFill>
                  <a:schemeClr val="accent2"/>
                </a:solidFill>
                <a:prstDash val="solid"/>
              </a:ln>
              <a:effectLst/>
            </c:spPr>
          </c:marker>
          <c:dLbls>
            <c:dLbl>
              <c:idx val="5"/>
              <c:layout>
                <c:manualLayout>
                  <c:x val="9.5785440613026815E-4"/>
                  <c:y val="-3.73273609555804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7AB-492D-B36E-BA2849F66E2F}"/>
                </c:ext>
              </c:extLst>
            </c:dLbl>
            <c:dLbl>
              <c:idx val="6"/>
              <c:layout>
                <c:manualLayout>
                  <c:x val="0"/>
                  <c:y val="1.86636804777902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7AB-492D-B36E-BA2849F66E2F}"/>
                </c:ext>
              </c:extLst>
            </c:dLbl>
            <c:dLbl>
              <c:idx val="7"/>
              <c:layout>
                <c:manualLayout>
                  <c:x val="-9.5785440613026815E-4"/>
                  <c:y val="-1.67973124300111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7AB-492D-B36E-BA2849F66E2F}"/>
                </c:ext>
              </c:extLst>
            </c:dLbl>
            <c:dLbl>
              <c:idx val="8"/>
              <c:layout>
                <c:manualLayout>
                  <c:x val="-1.1691941285117137E-2"/>
                  <c:y val="4.83766025920817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7AB-492D-B36E-BA2849F66E2F}"/>
                </c:ext>
              </c:extLst>
            </c:dLbl>
            <c:dLbl>
              <c:idx val="9"/>
              <c:layout>
                <c:manualLayout>
                  <c:x val="-6.613756613756613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7AB-492D-B36E-BA2849F66E2F}"/>
                </c:ext>
              </c:extLst>
            </c:dLbl>
            <c:spPr>
              <a:noFill/>
              <a:ln>
                <a:noFill/>
              </a:ln>
              <a:effectLst/>
            </c:spPr>
            <c:txPr>
              <a:bodyPr/>
              <a:lstStyle/>
              <a:p>
                <a:pPr>
                  <a:defRPr sz="1200" b="1">
                    <a:solidFill>
                      <a:srgbClr val="A50021"/>
                    </a:solidFill>
                    <a:latin typeface="+mn-lt"/>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'staystyki cd.'!$A$18:$A$29</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'staystyki cd.'!$N$19:$N$29</c:f>
              <c:numCache>
                <c:formatCode>General</c:formatCode>
                <c:ptCount val="11"/>
                <c:pt idx="0">
                  <c:v>238</c:v>
                </c:pt>
                <c:pt idx="1">
                  <c:v>201</c:v>
                </c:pt>
                <c:pt idx="2">
                  <c:v>144</c:v>
                </c:pt>
                <c:pt idx="3">
                  <c:v>124</c:v>
                </c:pt>
                <c:pt idx="4">
                  <c:v>162</c:v>
                </c:pt>
                <c:pt idx="5">
                  <c:v>58</c:v>
                </c:pt>
                <c:pt idx="6">
                  <c:v>43</c:v>
                </c:pt>
                <c:pt idx="7">
                  <c:v>65</c:v>
                </c:pt>
                <c:pt idx="8">
                  <c:v>46</c:v>
                </c:pt>
                <c:pt idx="9">
                  <c:v>36</c:v>
                </c:pt>
                <c:pt idx="10">
                  <c:v>57</c:v>
                </c:pt>
              </c:numCache>
            </c:numRef>
          </c:val>
          <c:smooth val="0"/>
          <c:extLst>
            <c:ext xmlns:c16="http://schemas.microsoft.com/office/drawing/2014/chart" uri="{C3380CC4-5D6E-409C-BE32-E72D297353CC}">
              <c16:uniqueId val="{00000005-E7AB-492D-B36E-BA2849F66E2F}"/>
            </c:ext>
          </c:extLst>
        </c:ser>
        <c:ser>
          <c:idx val="1"/>
          <c:order val="1"/>
          <c:tx>
            <c:v>liczba orzeczeń pozytywnych dla rządu</c:v>
          </c:tx>
          <c:dLbls>
            <c:dLbl>
              <c:idx val="5"/>
              <c:layout>
                <c:manualLayout>
                  <c:x val="-3.8314176245210726E-3"/>
                  <c:y val="3.91937290033594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7AB-492D-B36E-BA2849F66E2F}"/>
                </c:ext>
              </c:extLst>
            </c:dLbl>
            <c:dLbl>
              <c:idx val="7"/>
              <c:layout>
                <c:manualLayout>
                  <c:x val="-2.2045855379188711E-3"/>
                  <c:y val="5.02429712915597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7AB-492D-B36E-BA2849F66E2F}"/>
                </c:ext>
              </c:extLst>
            </c:dLbl>
            <c:dLbl>
              <c:idx val="8"/>
              <c:layout>
                <c:manualLayout>
                  <c:x val="-6.6137566137566134E-3"/>
                  <c:y val="-2.60174240969324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7AB-492D-B36E-BA2849F66E2F}"/>
                </c:ext>
              </c:extLst>
            </c:dLbl>
            <c:dLbl>
              <c:idx val="9"/>
              <c:layout>
                <c:manualLayout>
                  <c:x val="-4.4091710758377423E-3"/>
                  <c:y val="2.21729490022172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7AB-492D-B36E-BA2849F66E2F}"/>
                </c:ext>
              </c:extLst>
            </c:dLbl>
            <c:spPr>
              <a:noFill/>
              <a:ln>
                <a:noFill/>
              </a:ln>
              <a:effectLst/>
            </c:spPr>
            <c:txPr>
              <a:bodyPr/>
              <a:lstStyle/>
              <a:p>
                <a:pPr>
                  <a:defRPr sz="1200" b="1">
                    <a:solidFill>
                      <a:schemeClr val="tx2"/>
                    </a:solidFill>
                    <a:latin typeface="+mn-lt"/>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'staystyki cd.'!$A$18:$A$29</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'staystyki cd.'!$O$19:$O$29</c:f>
              <c:numCache>
                <c:formatCode>#,##0</c:formatCode>
                <c:ptCount val="11"/>
                <c:pt idx="0">
                  <c:v>85</c:v>
                </c:pt>
                <c:pt idx="1">
                  <c:v>50</c:v>
                </c:pt>
                <c:pt idx="2">
                  <c:v>60</c:v>
                </c:pt>
                <c:pt idx="3">
                  <c:v>54</c:v>
                </c:pt>
                <c:pt idx="4">
                  <c:v>58</c:v>
                </c:pt>
                <c:pt idx="5">
                  <c:v>57</c:v>
                </c:pt>
                <c:pt idx="6">
                  <c:v>63</c:v>
                </c:pt>
                <c:pt idx="7">
                  <c:v>62</c:v>
                </c:pt>
                <c:pt idx="8">
                  <c:v>51</c:v>
                </c:pt>
                <c:pt idx="9">
                  <c:v>25</c:v>
                </c:pt>
                <c:pt idx="10">
                  <c:v>29</c:v>
                </c:pt>
              </c:numCache>
            </c:numRef>
          </c:val>
          <c:smooth val="0"/>
          <c:extLst>
            <c:ext xmlns:c16="http://schemas.microsoft.com/office/drawing/2014/chart" uri="{C3380CC4-5D6E-409C-BE32-E72D297353CC}">
              <c16:uniqueId val="{0000000A-E7AB-492D-B36E-BA2849F66E2F}"/>
            </c:ext>
          </c:extLst>
        </c:ser>
        <c:dLbls>
          <c:showLegendKey val="0"/>
          <c:showVal val="0"/>
          <c:showCatName val="0"/>
          <c:showSerName val="0"/>
          <c:showPercent val="0"/>
          <c:showBubbleSize val="0"/>
        </c:dLbls>
        <c:marker val="1"/>
        <c:smooth val="0"/>
        <c:axId val="159153152"/>
        <c:axId val="159458048"/>
      </c:lineChart>
      <c:catAx>
        <c:axId val="159153152"/>
        <c:scaling>
          <c:orientation val="minMax"/>
        </c:scaling>
        <c:delete val="0"/>
        <c:axPos val="b"/>
        <c:numFmt formatCode="General" sourceLinked="1"/>
        <c:majorTickMark val="out"/>
        <c:minorTickMark val="none"/>
        <c:tickLblPos val="nextTo"/>
        <c:crossAx val="159458048"/>
        <c:crosses val="autoZero"/>
        <c:auto val="1"/>
        <c:lblAlgn val="ctr"/>
        <c:lblOffset val="100"/>
        <c:noMultiLvlLbl val="0"/>
      </c:catAx>
      <c:valAx>
        <c:axId val="159458048"/>
        <c:scaling>
          <c:orientation val="minMax"/>
        </c:scaling>
        <c:delete val="0"/>
        <c:axPos val="l"/>
        <c:majorGridlines/>
        <c:numFmt formatCode="General" sourceLinked="1"/>
        <c:majorTickMark val="out"/>
        <c:minorTickMark val="none"/>
        <c:tickLblPos val="nextTo"/>
        <c:crossAx val="159153152"/>
        <c:crosses val="autoZero"/>
        <c:crossBetween val="between"/>
      </c:valAx>
    </c:plotArea>
    <c:legend>
      <c:legendPos val="b"/>
      <c:layout>
        <c:manualLayout>
          <c:xMode val="edge"/>
          <c:yMode val="edge"/>
          <c:x val="4.9819640600480462E-2"/>
          <c:y val="0.9305537737866153"/>
          <c:w val="0.9485817745004097"/>
          <c:h val="4.494758004073679E-2"/>
        </c:manualLayout>
      </c:layout>
      <c:overlay val="0"/>
      <c:txPr>
        <a:bodyPr/>
        <a:lstStyle/>
        <a:p>
          <a:pPr>
            <a:defRPr sz="1100"/>
          </a:pPr>
          <a:endParaRPr lang="pl-PL"/>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000"/>
            </a:pPr>
            <a:r>
              <a:rPr lang="pl-PL" sz="1000" b="1" i="0" baseline="0">
                <a:effectLst/>
              </a:rPr>
              <a:t>liczba orzeczeń ETPC w sprawach polskich </a:t>
            </a:r>
            <a:br>
              <a:rPr lang="pl-PL" sz="1000" b="1" i="0" baseline="0">
                <a:effectLst/>
              </a:rPr>
            </a:br>
            <a:r>
              <a:rPr lang="pl-PL" sz="1000" b="1" i="0" baseline="0">
                <a:effectLst/>
              </a:rPr>
              <a:t>w nadzorze Komitetu Ministrów Rady Europy na koniec roku </a:t>
            </a:r>
            <a:endParaRPr lang="pl-PL" sz="1000">
              <a:effectLst/>
            </a:endParaRPr>
          </a:p>
        </c:rich>
      </c:tx>
      <c:overlay val="0"/>
    </c:title>
    <c:autoTitleDeleted val="0"/>
    <c:plotArea>
      <c:layout/>
      <c:lineChart>
        <c:grouping val="standard"/>
        <c:varyColors val="0"/>
        <c:ser>
          <c:idx val="1"/>
          <c:order val="0"/>
          <c:tx>
            <c:strRef>
              <c:f>'staystyki cd.'!$AF$1</c:f>
              <c:strCache>
                <c:ptCount val="1"/>
                <c:pt idx="0">
                  <c:v>liczba spraw w egzekucji na koniec roku</c:v>
                </c:pt>
              </c:strCache>
            </c:strRef>
          </c:tx>
          <c:dLbls>
            <c:dLbl>
              <c:idx val="0"/>
              <c:layout>
                <c:manualLayout>
                  <c:x val="1.6789587600136008E-3"/>
                  <c:y val="-2.09973753280839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49E-4E97-9BA9-0F4BB178DB38}"/>
                </c:ext>
              </c:extLst>
            </c:dLbl>
            <c:dLbl>
              <c:idx val="1"/>
              <c:layout>
                <c:manualLayout>
                  <c:x val="1.6789587600136008E-3"/>
                  <c:y val="-2.09973753280839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49E-4E97-9BA9-0F4BB178DB38}"/>
                </c:ext>
              </c:extLst>
            </c:dLbl>
            <c:dLbl>
              <c:idx val="2"/>
              <c:layout>
                <c:manualLayout>
                  <c:x val="-6.1561110041302285E-17"/>
                  <c:y val="-2.62467191601049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49E-4E97-9BA9-0F4BB178DB38}"/>
                </c:ext>
              </c:extLst>
            </c:dLbl>
            <c:dLbl>
              <c:idx val="3"/>
              <c:layout>
                <c:manualLayout>
                  <c:x val="0"/>
                  <c:y val="-2.09973753280839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49E-4E97-9BA9-0F4BB178DB38}"/>
                </c:ext>
              </c:extLst>
            </c:dLbl>
            <c:dLbl>
              <c:idx val="6"/>
              <c:layout>
                <c:manualLayout>
                  <c:x val="0"/>
                  <c:y val="-1.0700909577314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49E-4E97-9BA9-0F4BB178DB38}"/>
                </c:ext>
              </c:extLst>
            </c:dLbl>
            <c:dLbl>
              <c:idx val="7"/>
              <c:layout>
                <c:manualLayout>
                  <c:x val="-8.0833869257269799E-17"/>
                  <c:y val="-2.40770465489566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49E-4E97-9BA9-0F4BB178DB38}"/>
                </c:ext>
              </c:extLst>
            </c:dLbl>
            <c:dLbl>
              <c:idx val="8"/>
              <c:layout>
                <c:manualLayout>
                  <c:x val="-1.616677385145396E-16"/>
                  <c:y val="-1.3376136971642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49E-4E97-9BA9-0F4BB178DB38}"/>
                </c:ext>
              </c:extLst>
            </c:dLbl>
            <c:dLbl>
              <c:idx val="9"/>
              <c:layout>
                <c:manualLayout>
                  <c:x val="-6.6137566137566134E-3"/>
                  <c:y val="2.67522739432851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49E-4E97-9BA9-0F4BB178DB38}"/>
                </c:ext>
              </c:extLst>
            </c:dLbl>
            <c:spPr>
              <a:noFill/>
              <a:ln>
                <a:noFill/>
              </a:ln>
              <a:effectLst/>
            </c:spPr>
            <c:txPr>
              <a:bodyPr/>
              <a:lstStyle/>
              <a:p>
                <a:pPr>
                  <a:defRPr sz="1200" b="0" i="0" baseline="0">
                    <a:solidFill>
                      <a:sysClr val="windowText" lastClr="000000"/>
                    </a:solidFill>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'staystyki cd.'!$AB$19:$AB$29</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'staystyki cd.'!$AF$19:$AF$29</c:f>
              <c:numCache>
                <c:formatCode>General</c:formatCode>
                <c:ptCount val="11"/>
                <c:pt idx="0">
                  <c:v>924</c:v>
                </c:pt>
                <c:pt idx="1">
                  <c:v>872</c:v>
                </c:pt>
                <c:pt idx="2">
                  <c:v>705</c:v>
                </c:pt>
                <c:pt idx="3">
                  <c:v>498</c:v>
                </c:pt>
                <c:pt idx="4">
                  <c:v>313</c:v>
                </c:pt>
                <c:pt idx="5">
                  <c:v>223</c:v>
                </c:pt>
                <c:pt idx="6">
                  <c:v>124</c:v>
                </c:pt>
                <c:pt idx="7">
                  <c:v>100</c:v>
                </c:pt>
                <c:pt idx="8">
                  <c:v>98</c:v>
                </c:pt>
                <c:pt idx="9">
                  <c:v>89</c:v>
                </c:pt>
                <c:pt idx="10">
                  <c:v>97</c:v>
                </c:pt>
              </c:numCache>
            </c:numRef>
          </c:val>
          <c:smooth val="0"/>
          <c:extLst>
            <c:ext xmlns:c16="http://schemas.microsoft.com/office/drawing/2014/chart" uri="{C3380CC4-5D6E-409C-BE32-E72D297353CC}">
              <c16:uniqueId val="{00000008-249E-4E97-9BA9-0F4BB178DB38}"/>
            </c:ext>
          </c:extLst>
        </c:ser>
        <c:dLbls>
          <c:showLegendKey val="0"/>
          <c:showVal val="0"/>
          <c:showCatName val="0"/>
          <c:showSerName val="0"/>
          <c:showPercent val="0"/>
          <c:showBubbleSize val="0"/>
        </c:dLbls>
        <c:marker val="1"/>
        <c:smooth val="0"/>
        <c:axId val="133591040"/>
        <c:axId val="133592576"/>
      </c:lineChart>
      <c:catAx>
        <c:axId val="133591040"/>
        <c:scaling>
          <c:orientation val="minMax"/>
        </c:scaling>
        <c:delete val="0"/>
        <c:axPos val="b"/>
        <c:numFmt formatCode="General" sourceLinked="1"/>
        <c:majorTickMark val="out"/>
        <c:minorTickMark val="none"/>
        <c:tickLblPos val="nextTo"/>
        <c:txPr>
          <a:bodyPr/>
          <a:lstStyle/>
          <a:p>
            <a:pPr>
              <a:defRPr sz="1200" baseline="0"/>
            </a:pPr>
            <a:endParaRPr lang="pl-PL"/>
          </a:p>
        </c:txPr>
        <c:crossAx val="133592576"/>
        <c:crosses val="autoZero"/>
        <c:auto val="1"/>
        <c:lblAlgn val="ctr"/>
        <c:lblOffset val="100"/>
        <c:noMultiLvlLbl val="0"/>
      </c:catAx>
      <c:valAx>
        <c:axId val="133592576"/>
        <c:scaling>
          <c:orientation val="minMax"/>
        </c:scaling>
        <c:delete val="0"/>
        <c:axPos val="l"/>
        <c:majorGridlines/>
        <c:numFmt formatCode="General" sourceLinked="1"/>
        <c:majorTickMark val="out"/>
        <c:minorTickMark val="none"/>
        <c:tickLblPos val="nextTo"/>
        <c:txPr>
          <a:bodyPr/>
          <a:lstStyle/>
          <a:p>
            <a:pPr>
              <a:defRPr sz="1200" baseline="0"/>
            </a:pPr>
            <a:endParaRPr lang="pl-PL"/>
          </a:p>
        </c:txPr>
        <c:crossAx val="133591040"/>
        <c:crosses val="autoZero"/>
        <c:crossBetween val="between"/>
      </c:valAx>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1"/>
    </mc:Choice>
    <mc:Fallback>
      <c:style val="21"/>
    </mc:Fallback>
  </mc:AlternateContent>
  <c:clrMapOvr bg1="lt1" tx1="dk1" bg2="lt2" tx2="dk2" accent1="accent1" accent2="accent2" accent3="accent3" accent4="accent4" accent5="accent5" accent6="accent6" hlink="hlink" folHlink="folHlink"/>
  <c:chart>
    <c:title>
      <c:tx>
        <c:rich>
          <a:bodyPr/>
          <a:lstStyle/>
          <a:p>
            <a:pPr>
              <a:defRPr sz="1000"/>
            </a:pPr>
            <a:r>
              <a:rPr lang="en-GB" sz="1000"/>
              <a:t>liczba </a:t>
            </a:r>
            <a:r>
              <a:rPr lang="pl-PL" sz="1000"/>
              <a:t>orzeczeń ETPC w sprawach polskich </a:t>
            </a:r>
            <a:r>
              <a:rPr lang="en-GB" sz="1000"/>
              <a:t>uznanych za wykonane </a:t>
            </a:r>
            <a:r>
              <a:rPr lang="pl-PL" sz="1000"/>
              <a:t/>
            </a:r>
            <a:br>
              <a:rPr lang="pl-PL" sz="1000"/>
            </a:br>
            <a:r>
              <a:rPr lang="pl-PL" sz="1000"/>
              <a:t>p</a:t>
            </a:r>
            <a:r>
              <a:rPr lang="en-GB" sz="1000"/>
              <a:t>rzez Komitet Ministrów Rady Europy</a:t>
            </a:r>
          </a:p>
        </c:rich>
      </c:tx>
      <c:overlay val="0"/>
    </c:title>
    <c:autoTitleDeleted val="0"/>
    <c:plotArea>
      <c:layout/>
      <c:lineChart>
        <c:grouping val="standard"/>
        <c:varyColors val="0"/>
        <c:ser>
          <c:idx val="0"/>
          <c:order val="0"/>
          <c:tx>
            <c:v>liczba spraw uznanych za wykonane przez Komitet Ministrów Rady Europy</c:v>
          </c:tx>
          <c:dLbls>
            <c:dLbl>
              <c:idx val="8"/>
              <c:layout>
                <c:manualLayout>
                  <c:x val="-2.2045855379190329E-3"/>
                  <c:y val="-1.2578616352201259E-2"/>
                </c:manualLayout>
              </c:layout>
              <c:spPr/>
              <c:txPr>
                <a:bodyPr/>
                <a:lstStyle/>
                <a:p>
                  <a:pPr>
                    <a:defRPr sz="1200">
                      <a:solidFill>
                        <a:sysClr val="windowText" lastClr="000000"/>
                      </a:solidFill>
                    </a:defRPr>
                  </a:pPr>
                  <a:endParaRPr lang="pl-PL"/>
                </a:p>
              </c:txPr>
              <c:showLegendKey val="0"/>
              <c:showVal val="1"/>
              <c:showCatName val="0"/>
              <c:showSerName val="0"/>
              <c:showPercent val="0"/>
              <c:showBubbleSize val="0"/>
              <c:extLst>
                <c:ext xmlns:c15="http://schemas.microsoft.com/office/drawing/2012/chart" uri="{CE6537A1-D6FC-4f65-9D91-7224C49458BB}">
                  <c15:layout>
                    <c:manualLayout>
                      <c:w val="4.0035273368606704E-2"/>
                      <c:h val="5.5503144654088052E-2"/>
                    </c:manualLayout>
                  </c15:layout>
                </c:ext>
                <c:ext xmlns:c16="http://schemas.microsoft.com/office/drawing/2014/chart" uri="{C3380CC4-5D6E-409C-BE32-E72D297353CC}">
                  <c16:uniqueId val="{00000000-F610-4C7E-BEF4-0C6DC34DCAA6}"/>
                </c:ext>
              </c:extLst>
            </c:dLbl>
            <c:dLbl>
              <c:idx val="9"/>
              <c:layout>
                <c:manualLayout>
                  <c:x val="0"/>
                  <c:y val="1.88679245283018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610-4C7E-BEF4-0C6DC34DCAA6}"/>
                </c:ext>
              </c:extLst>
            </c:dLbl>
            <c:spPr>
              <a:noFill/>
              <a:ln>
                <a:noFill/>
              </a:ln>
              <a:effectLst/>
            </c:spPr>
            <c:txPr>
              <a:bodyPr wrap="square" lIns="38100" tIns="19050" rIns="38100" bIns="19050" anchor="ctr">
                <a:spAutoFit/>
              </a:bodyPr>
              <a:lstStyle/>
              <a:p>
                <a:pPr>
                  <a:defRPr sz="120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'staystyki cd.'!$AB$19:$AB$29</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'staystyki cd.'!$AD$19:$AD$29</c:f>
              <c:numCache>
                <c:formatCode>General</c:formatCode>
                <c:ptCount val="11"/>
                <c:pt idx="0">
                  <c:v>58</c:v>
                </c:pt>
                <c:pt idx="1">
                  <c:v>164</c:v>
                </c:pt>
                <c:pt idx="2">
                  <c:v>278</c:v>
                </c:pt>
                <c:pt idx="3">
                  <c:v>357</c:v>
                </c:pt>
                <c:pt idx="4">
                  <c:v>289</c:v>
                </c:pt>
                <c:pt idx="5">
                  <c:v>170</c:v>
                </c:pt>
                <c:pt idx="6">
                  <c:v>133</c:v>
                </c:pt>
                <c:pt idx="7">
                  <c:v>69</c:v>
                </c:pt>
                <c:pt idx="8">
                  <c:v>41</c:v>
                </c:pt>
                <c:pt idx="9">
                  <c:v>31</c:v>
                </c:pt>
                <c:pt idx="10">
                  <c:v>35</c:v>
                </c:pt>
              </c:numCache>
            </c:numRef>
          </c:val>
          <c:smooth val="0"/>
          <c:extLst>
            <c:ext xmlns:c16="http://schemas.microsoft.com/office/drawing/2014/chart" uri="{C3380CC4-5D6E-409C-BE32-E72D297353CC}">
              <c16:uniqueId val="{00000002-F610-4C7E-BEF4-0C6DC34DCAA6}"/>
            </c:ext>
          </c:extLst>
        </c:ser>
        <c:dLbls>
          <c:showLegendKey val="0"/>
          <c:showVal val="0"/>
          <c:showCatName val="0"/>
          <c:showSerName val="0"/>
          <c:showPercent val="0"/>
          <c:showBubbleSize val="0"/>
        </c:dLbls>
        <c:marker val="1"/>
        <c:smooth val="0"/>
        <c:axId val="133642112"/>
        <c:axId val="133643648"/>
      </c:lineChart>
      <c:catAx>
        <c:axId val="133642112"/>
        <c:scaling>
          <c:orientation val="minMax"/>
        </c:scaling>
        <c:delete val="0"/>
        <c:axPos val="b"/>
        <c:numFmt formatCode="General" sourceLinked="1"/>
        <c:majorTickMark val="out"/>
        <c:minorTickMark val="none"/>
        <c:tickLblPos val="nextTo"/>
        <c:txPr>
          <a:bodyPr/>
          <a:lstStyle/>
          <a:p>
            <a:pPr>
              <a:defRPr sz="1200" baseline="0"/>
            </a:pPr>
            <a:endParaRPr lang="pl-PL"/>
          </a:p>
        </c:txPr>
        <c:crossAx val="133643648"/>
        <c:crosses val="autoZero"/>
        <c:auto val="1"/>
        <c:lblAlgn val="ctr"/>
        <c:lblOffset val="100"/>
        <c:noMultiLvlLbl val="0"/>
      </c:catAx>
      <c:valAx>
        <c:axId val="133643648"/>
        <c:scaling>
          <c:orientation val="minMax"/>
        </c:scaling>
        <c:delete val="0"/>
        <c:axPos val="l"/>
        <c:majorGridlines/>
        <c:numFmt formatCode="General" sourceLinked="1"/>
        <c:majorTickMark val="out"/>
        <c:minorTickMark val="none"/>
        <c:tickLblPos val="nextTo"/>
        <c:txPr>
          <a:bodyPr/>
          <a:lstStyle/>
          <a:p>
            <a:pPr>
              <a:defRPr sz="1200" baseline="0"/>
            </a:pPr>
            <a:endParaRPr lang="pl-PL"/>
          </a:p>
        </c:txPr>
        <c:crossAx val="133642112"/>
        <c:crosses val="autoZero"/>
        <c:crossBetween val="between"/>
      </c:valAx>
    </c:plotArea>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119">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2">
      <a:schemeClr val="dk1"/>
    </cs:effectRef>
    <cs:fontRef idx="minor">
      <a:schemeClr val="tx1"/>
    </cs:fontRef>
  </cs:dataPoint>
  <cs:dataPoint3D>
    <cs:lnRef idx="0"/>
    <cs:fillRef idx="1">
      <cs:styleClr val="auto"/>
    </cs:fillRef>
    <cs:effectRef idx="2">
      <a:schemeClr val="dk1"/>
    </cs:effectRef>
    <cs:fontRef idx="minor">
      <a:schemeClr val="tx1"/>
    </cs:fontRef>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3">
      <cs:styleClr val="auto"/>
    </cs:fillRef>
    <cs:effectRef idx="2">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mods="ignoreCSTransforms">
      <cs:styleClr val="0">
        <a:shade val="25000"/>
      </cs:styleClr>
    </cs:fillRef>
    <cs:effectRef idx="2">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mods="ignoreCSTransforms">
      <cs:styleClr val="0">
        <a:tint val="25000"/>
      </cs:styleClr>
    </cs:fillRef>
    <cs:effectRef idx="2">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DAFB1-C96D-465F-87DA-F8688F428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18315</Words>
  <Characters>109894</Characters>
  <Application>Microsoft Office Word</Application>
  <DocSecurity>0</DocSecurity>
  <Lines>915</Lines>
  <Paragraphs>255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2022-09-12T08:20:00Z</dcterms:created>
  <dcterms:modified xsi:type="dcterms:W3CDTF">2022-10-04T12:21:00Z</dcterms:modified>
</cp:coreProperties>
</file>