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99" w:rsidRPr="007C2456" w:rsidRDefault="009D4499">
      <w:pPr>
        <w:rPr>
          <w:rFonts w:asciiTheme="minorHAnsi" w:hAnsiTheme="minorHAnsi" w:cstheme="minorHAnsi"/>
          <w:sz w:val="22"/>
          <w:szCs w:val="22"/>
        </w:rPr>
      </w:pPr>
    </w:p>
    <w:p w:rsidR="006102D0" w:rsidRPr="007C2456" w:rsidRDefault="006102D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542"/>
        <w:gridCol w:w="2268"/>
      </w:tblGrid>
      <w:tr w:rsidR="006102D0" w:rsidRPr="007C2456" w:rsidTr="007C2456">
        <w:tc>
          <w:tcPr>
            <w:tcW w:w="15027" w:type="dxa"/>
            <w:gridSpan w:val="6"/>
            <w:shd w:val="clear" w:color="auto" w:fill="auto"/>
            <w:vAlign w:val="center"/>
          </w:tcPr>
          <w:p w:rsidR="006102D0" w:rsidRPr="007C2456" w:rsidRDefault="006102D0" w:rsidP="00DA112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7C245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7C2456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projekt uchwały Rady Ministrów w sprawie przyjęcia programu „Pomoc Techniczna dla Funduszy Europejskich” na lata 2021 – 2027 </w:t>
            </w:r>
          </w:p>
          <w:p w:rsidR="006102D0" w:rsidRPr="007C2456" w:rsidRDefault="006102D0" w:rsidP="00DA112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:rsidR="006102D0" w:rsidRPr="007C2456" w:rsidRDefault="006102D0" w:rsidP="00DA112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6102D0" w:rsidRPr="007C2456" w:rsidTr="007C2456">
        <w:tc>
          <w:tcPr>
            <w:tcW w:w="562" w:type="dxa"/>
            <w:shd w:val="clear" w:color="auto" w:fill="auto"/>
            <w:vAlign w:val="center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68" w:type="dxa"/>
            <w:vAlign w:val="center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102D0" w:rsidRPr="007C2456" w:rsidTr="007C2456">
        <w:tc>
          <w:tcPr>
            <w:tcW w:w="562" w:type="dxa"/>
            <w:shd w:val="clear" w:color="auto" w:fill="auto"/>
          </w:tcPr>
          <w:p w:rsidR="006102D0" w:rsidRPr="007C2456" w:rsidRDefault="006102D0" w:rsidP="00DA112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02D0" w:rsidRPr="007C2456" w:rsidRDefault="006102D0" w:rsidP="00DA112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MEIN</w:t>
            </w:r>
          </w:p>
          <w:p w:rsidR="006102D0" w:rsidRPr="007C2456" w:rsidRDefault="006102D0" w:rsidP="00DA112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(DN)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Wzrost efektywności procesów ZZL, w tym - budowanie wizerunku</w:t>
            </w:r>
          </w:p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Str. 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102D0" w:rsidRPr="007C2456" w:rsidRDefault="006102D0" w:rsidP="00DA112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Zasadnym wydaje się rozszerzenie katalogu grup osób o doktorantów, jako osób o potencjalnie wysokim stopniu zainteresowania wykorzystaniem FE:</w:t>
            </w:r>
          </w:p>
          <w:p w:rsidR="006102D0" w:rsidRPr="007C2456" w:rsidRDefault="006102D0" w:rsidP="00DA1129">
            <w:pPr>
              <w:pStyle w:val="Defaul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i/>
                <w:sz w:val="22"/>
                <w:szCs w:val="22"/>
              </w:rPr>
              <w:t>„(...) potencjalnych przyszłych pracowników (</w:t>
            </w:r>
            <w:r w:rsidRPr="007C2456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studentów</w:t>
            </w:r>
            <w:r w:rsidRPr="007C2456">
              <w:rPr>
                <w:rFonts w:asciiTheme="minorHAnsi" w:hAnsiTheme="minorHAnsi" w:cstheme="minorHAnsi"/>
                <w:i/>
                <w:sz w:val="22"/>
                <w:szCs w:val="22"/>
              </w:rPr>
              <w:t>, osób rozpoczynających karierę zawodową)”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6102D0" w:rsidRPr="001D1B79" w:rsidRDefault="006102D0" w:rsidP="00DA11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1B79">
              <w:rPr>
                <w:rFonts w:asciiTheme="minorHAnsi" w:hAnsiTheme="minorHAnsi" w:cstheme="minorHAnsi"/>
                <w:sz w:val="22"/>
                <w:szCs w:val="22"/>
              </w:rPr>
              <w:t>Proponuje się uzupełnienie katalogu grup osób o doktorantów:</w:t>
            </w:r>
          </w:p>
          <w:p w:rsidR="006102D0" w:rsidRPr="001D1B79" w:rsidRDefault="006102D0" w:rsidP="00DA112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1B79">
              <w:rPr>
                <w:rFonts w:asciiTheme="minorHAnsi" w:hAnsiTheme="minorHAnsi" w:cstheme="minorHAnsi"/>
                <w:i/>
                <w:sz w:val="22"/>
                <w:szCs w:val="22"/>
              </w:rPr>
              <w:t>„(...) potencjalnych przyszłych pracowników (studentów, doktorantów, osób rozpoczynających karierę zawodową)”</w:t>
            </w:r>
          </w:p>
        </w:tc>
        <w:tc>
          <w:tcPr>
            <w:tcW w:w="2268" w:type="dxa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Uwaga przyjęta</w:t>
            </w:r>
          </w:p>
        </w:tc>
      </w:tr>
      <w:tr w:rsidR="006102D0" w:rsidRPr="007C2456" w:rsidTr="007C2456">
        <w:tc>
          <w:tcPr>
            <w:tcW w:w="562" w:type="dxa"/>
            <w:shd w:val="clear" w:color="auto" w:fill="auto"/>
          </w:tcPr>
          <w:p w:rsidR="006102D0" w:rsidRPr="007C2456" w:rsidRDefault="006102D0" w:rsidP="00DA112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02D0" w:rsidRPr="007C2456" w:rsidRDefault="006102D0" w:rsidP="00DA112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MEIN (DN)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Str. 19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102D0" w:rsidRPr="007C2456" w:rsidRDefault="006102D0" w:rsidP="00DA112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Sformułowanie</w:t>
            </w:r>
            <w:r w:rsidRPr="007C2456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:</w:t>
            </w:r>
            <w:r w:rsidRPr="007C245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„szkoły wyższe i instytuty naukowe” </w:t>
            </w: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nie funkcjonuje w </w:t>
            </w:r>
            <w:r w:rsidRPr="007C2456">
              <w:rPr>
                <w:rFonts w:asciiTheme="minorHAnsi" w:hAnsiTheme="minorHAnsi" w:cstheme="minorHAnsi"/>
                <w:i/>
                <w:sz w:val="22"/>
                <w:szCs w:val="22"/>
              </w:rPr>
              <w:t>ustawie – Prawo o szkolnictwie wyższym i nauce</w:t>
            </w: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6102D0" w:rsidRPr="001D1B79" w:rsidRDefault="006102D0" w:rsidP="00DA112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1B7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Proponuje się użycie sformułowania:</w:t>
            </w:r>
          </w:p>
          <w:p w:rsidR="006102D0" w:rsidRPr="001D1B79" w:rsidRDefault="006102D0" w:rsidP="00DA11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1B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1B79">
              <w:rPr>
                <w:rFonts w:asciiTheme="minorHAnsi" w:hAnsiTheme="minorHAnsi" w:cstheme="minorHAnsi"/>
                <w:i/>
                <w:sz w:val="22"/>
                <w:szCs w:val="22"/>
              </w:rPr>
              <w:t>„podmioty systemu szkolnictwa wyższego i nauki”</w:t>
            </w:r>
          </w:p>
        </w:tc>
        <w:tc>
          <w:tcPr>
            <w:tcW w:w="2268" w:type="dxa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Uwaga przyjęta</w:t>
            </w:r>
          </w:p>
        </w:tc>
      </w:tr>
      <w:tr w:rsidR="006102D0" w:rsidRPr="007C2456" w:rsidTr="007C2456">
        <w:tc>
          <w:tcPr>
            <w:tcW w:w="562" w:type="dxa"/>
            <w:shd w:val="clear" w:color="auto" w:fill="auto"/>
          </w:tcPr>
          <w:p w:rsidR="006102D0" w:rsidRPr="007C2456" w:rsidRDefault="006102D0" w:rsidP="00DA112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102D0" w:rsidRPr="007C2456" w:rsidRDefault="006102D0" w:rsidP="00DA11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6102D0" w:rsidRPr="007C2456" w:rsidRDefault="006102D0" w:rsidP="007C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Toc364424782"/>
            <w:bookmarkStart w:id="1" w:name="_Toc353888231"/>
            <w:bookmarkStart w:id="2" w:name="_Toc80002720"/>
            <w:r w:rsidRPr="007C24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1.2.1. Opis p</w:t>
            </w:r>
            <w:bookmarkEnd w:id="0"/>
            <w:bookmarkEnd w:id="1"/>
            <w:r w:rsidRPr="007C24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lanowanych działań</w:t>
            </w:r>
            <w:bookmarkEnd w:id="2"/>
            <w:r w:rsidRPr="007C24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pkt 1.</w:t>
            </w:r>
          </w:p>
        </w:tc>
        <w:tc>
          <w:tcPr>
            <w:tcW w:w="4678" w:type="dxa"/>
            <w:shd w:val="clear" w:color="auto" w:fill="auto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W dokumencie Projekt Programu, w pozycji: 1.2 Priorytet 2: Skuteczni beneficjenci 1.2.1 Opis planowanych działań 1. Zwiększenie potencjału beneficjentów FE: na końcu akapitu, po słowach "na terenie całego kraju" kropkę zastąpić przecinkiem i dodać: "w tym także zapewnienie usług w formie elektronicznej (np. e-usług, </w:t>
            </w:r>
            <w:proofErr w:type="spellStart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call</w:t>
            </w:r>
            <w:proofErr w:type="spellEnd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center</w:t>
            </w:r>
            <w:proofErr w:type="spellEnd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, udostępnienia bazy wiedzy wspartej sztuczną inteligencją i systemem dystrybucji wewnętrznej tych informacji), w szczególności w zakresie dotyczącym przedsiębiorców. "</w:t>
            </w:r>
          </w:p>
        </w:tc>
        <w:tc>
          <w:tcPr>
            <w:tcW w:w="4542" w:type="dxa"/>
            <w:shd w:val="clear" w:color="auto" w:fill="auto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(…) Podstawowym działaniem mającym na celu przygotowanie beneficjentów do realizacji takich projektów będzie funkcjonowanie sieci punktów informacyjnych na terenie całego kraju, w tym także zapewnienie usług w formie elektronicznej (np. e-usług, </w:t>
            </w:r>
            <w:proofErr w:type="spellStart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call</w:t>
            </w:r>
            <w:proofErr w:type="spellEnd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center</w:t>
            </w:r>
            <w:proofErr w:type="spellEnd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, udostępnienia bazy wiedzy wspartej sztuczną inteligencją i systemem dystrybucji wewnętrznej tych informacji), w szczególności w zakresie dotyczącym przedsiębiorców.</w:t>
            </w:r>
          </w:p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Uwaga c</w:t>
            </w:r>
            <w:r w:rsidR="001D1B79">
              <w:rPr>
                <w:rFonts w:asciiTheme="minorHAnsi" w:hAnsiTheme="minorHAnsi" w:cstheme="minorHAnsi"/>
                <w:sz w:val="22"/>
                <w:szCs w:val="22"/>
              </w:rPr>
              <w:t>zęściowo uwzględniona: dodano</w:t>
            </w: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 zapis „w tym także zapewnienie usług w formie elektronicznej.”. Proponujemy nie podawać konkretnych rozwiązań gdyż będzie to zależało od możliwości finansowych. </w:t>
            </w:r>
          </w:p>
        </w:tc>
      </w:tr>
      <w:tr w:rsidR="006102D0" w:rsidRPr="007C2456" w:rsidTr="007C2456">
        <w:tc>
          <w:tcPr>
            <w:tcW w:w="562" w:type="dxa"/>
            <w:shd w:val="clear" w:color="auto" w:fill="auto"/>
          </w:tcPr>
          <w:p w:rsidR="006102D0" w:rsidRPr="007C2456" w:rsidRDefault="007C2456" w:rsidP="00DA112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6102D0" w:rsidRPr="007C2456" w:rsidRDefault="006102D0" w:rsidP="00DA11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Priorytet 1</w:t>
            </w:r>
          </w:p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Priorytet 2 s.19</w:t>
            </w:r>
          </w:p>
        </w:tc>
        <w:tc>
          <w:tcPr>
            <w:tcW w:w="4678" w:type="dxa"/>
            <w:shd w:val="clear" w:color="auto" w:fill="auto"/>
          </w:tcPr>
          <w:p w:rsidR="006102D0" w:rsidRPr="007C2456" w:rsidRDefault="006102D0" w:rsidP="00DA112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Projekt uchwały RM w sprawie przyjęcia programu "Pomoc Techniczna dla Funduszy Europejskich" na lata 2021 – 2027 </w:t>
            </w: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został skonsultowany z Departamentem Gwarancji i Poręczeń w Banku Gospodarstwa Krajowego (BGK DGP), odpowiedzialnym m.in. za udzielanie poręczeń i gwarancji w ramach rządowych programów </w:t>
            </w:r>
            <w:proofErr w:type="spellStart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poręczeniowo</w:t>
            </w:r>
            <w:proofErr w:type="spellEnd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-gwarancyjnych realizowanych z wykorzystaniem środków pochodzących z funduszy Unii Europejskiej. Poniżej przekazujemy opinię BGK DGP w omawianej sprawie. „Odnosząc się do </w:t>
            </w:r>
            <w:r w:rsidRPr="007C24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Programu Pomoc Techniczna </w:t>
            </w: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należałoby zauważyć, że w systemie wdrażania polityki spójności funkcjonujemy (BGK DGP) jako beneficjent w formie podmiotu wdrażającego instrument finansowy i tym samym nasze koszty operacyjne mogą być finansowane bezpośrednio z</w:t>
            </w:r>
          </w:p>
          <w:p w:rsidR="006102D0" w:rsidRPr="007C2456" w:rsidRDefault="006102D0" w:rsidP="00DA112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alokacji instrumentu finansowego w formie opłaty za zarządzanie. Nie możemy natomiast tych kosztów finansować w ramach Priorytetu 1 Programu Pomoc Techniczna.</w:t>
            </w:r>
          </w:p>
          <w:p w:rsidR="006102D0" w:rsidRPr="007C2456" w:rsidRDefault="006102D0" w:rsidP="00DA112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102D0" w:rsidRPr="007C2456" w:rsidRDefault="006102D0" w:rsidP="00DA112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Nieco inaczej wygląda zakres finansowania ujęty w Priorytecie 2 Programu</w:t>
            </w: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, gdzie wsparcie ma</w:t>
            </w:r>
          </w:p>
          <w:p w:rsidR="006102D0" w:rsidRPr="007C2456" w:rsidRDefault="006102D0" w:rsidP="00DA112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zostać skierowane do beneficjentów funduszy europejskich (m.in. na doradztwo, ekspertyzy,</w:t>
            </w:r>
          </w:p>
          <w:p w:rsidR="006102D0" w:rsidRPr="007C2456" w:rsidRDefault="006102D0" w:rsidP="00DA112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szkolenia). Głównym mechanizmem wdrożeniowym będą projekty grantowe lub konkursy dotacji w wybranych obszarach skierowane do ostatecznych odbiorców lub beneficjentów. Z opisu grupy docelowej Priorytetu 2 </w:t>
            </w:r>
            <w:r w:rsidRPr="007C24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(str. 19) </w:t>
            </w: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nie wynika, że uprawnieni są </w:t>
            </w:r>
            <w:r w:rsidRPr="007C245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również beneficjenci instytucjonalni, którzy wdrażają instrumenty finansowe. W związku z tym należy to doprecyzować. Wówczas</w:t>
            </w:r>
          </w:p>
          <w:p w:rsidR="006102D0" w:rsidRPr="007C2456" w:rsidRDefault="006102D0" w:rsidP="00DA112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pojawiłaby się szansa na realizację dodatkowych projektów podnoszących kompetencje związane z wdrażaniem produktów gwarancyjnych, w tym w szczególności na poziomie instytucji finansowych.</w:t>
            </w:r>
          </w:p>
        </w:tc>
        <w:tc>
          <w:tcPr>
            <w:tcW w:w="4542" w:type="dxa"/>
            <w:shd w:val="clear" w:color="auto" w:fill="auto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Uwaga odrzucona.</w:t>
            </w:r>
          </w:p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W Priorytecie drugim wpierani będą wszyscy potencjalni beneficjenci FE. Jest to katalog nie wykluczający żadnej z grup. Natomiast wymienione zostały grupy wymagające wsparcia szczególnego, bo od ich aktywności w aplikowaniu o środki, zależy skuteczne wdrażanie funduszy. </w:t>
            </w:r>
          </w:p>
        </w:tc>
      </w:tr>
      <w:tr w:rsidR="006102D0" w:rsidRPr="007C2456" w:rsidTr="007C2456">
        <w:tc>
          <w:tcPr>
            <w:tcW w:w="562" w:type="dxa"/>
            <w:shd w:val="clear" w:color="auto" w:fill="auto"/>
          </w:tcPr>
          <w:p w:rsidR="006102D0" w:rsidRPr="007C2456" w:rsidRDefault="007C2456" w:rsidP="00DA112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:rsidR="006102D0" w:rsidRPr="007C2456" w:rsidRDefault="006102D0" w:rsidP="00DA11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MF </w:t>
            </w:r>
          </w:p>
        </w:tc>
        <w:tc>
          <w:tcPr>
            <w:tcW w:w="1843" w:type="dxa"/>
            <w:shd w:val="clear" w:color="auto" w:fill="auto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Ogólna </w:t>
            </w:r>
          </w:p>
        </w:tc>
        <w:tc>
          <w:tcPr>
            <w:tcW w:w="4678" w:type="dxa"/>
            <w:shd w:val="clear" w:color="auto" w:fill="auto"/>
          </w:tcPr>
          <w:p w:rsidR="006102D0" w:rsidRPr="007C2456" w:rsidRDefault="006102D0" w:rsidP="00DA112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Zgodnie z art. 3 pkt 5 ustawy z dnia 6 maja 2005 r. Ustawy o Komisji Wspólnej Rządu i Samorządu Terytorialnego oraz o przedstawicielach Rzeczypospolitej Polskiej w Komitecie Regionów</w:t>
            </w:r>
          </w:p>
          <w:p w:rsidR="006102D0" w:rsidRPr="007C2456" w:rsidRDefault="006102D0" w:rsidP="00DA112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Unii Europejskiej, do zadań </w:t>
            </w:r>
            <w:proofErr w:type="spellStart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KWRiST</w:t>
            </w:r>
            <w:proofErr w:type="spellEnd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 należy opiniowanie programów i innych dokumentów rządowych dotyczących problematyki samorządu terytorialnego. Ponadto, zgodnie z art. 2 ust. 2 </w:t>
            </w:r>
            <w:proofErr w:type="spellStart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KWRiST</w:t>
            </w:r>
            <w:proofErr w:type="spellEnd"/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 rozpatruje także sprawy dotyczące samorządu terytorialnego znajdujące się w zakresie działania Unii Europejskiej i organizacji międzynarodowych, do których Rzeczpospolita Polska należy.</w:t>
            </w:r>
          </w:p>
        </w:tc>
        <w:tc>
          <w:tcPr>
            <w:tcW w:w="4542" w:type="dxa"/>
            <w:shd w:val="clear" w:color="auto" w:fill="auto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>Projekt uchwały dotyczy samorządu terytorialnego, zdaniem MF powinien zostać przedłożony do zaopiniowania Komisji Wspólnej Rządu i Samorządu Terytorialnego.</w:t>
            </w:r>
          </w:p>
        </w:tc>
        <w:tc>
          <w:tcPr>
            <w:tcW w:w="2268" w:type="dxa"/>
          </w:tcPr>
          <w:p w:rsidR="006102D0" w:rsidRPr="001D1B79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B79">
              <w:rPr>
                <w:rFonts w:asciiTheme="minorHAnsi" w:hAnsiTheme="minorHAnsi" w:cstheme="minorHAnsi"/>
                <w:sz w:val="22"/>
                <w:szCs w:val="22"/>
              </w:rPr>
              <w:t xml:space="preserve">Projekt programu uzyskał pozytywną opinię </w:t>
            </w:r>
            <w:proofErr w:type="spellStart"/>
            <w:r w:rsidRPr="001D1B79">
              <w:rPr>
                <w:rFonts w:asciiTheme="minorHAnsi" w:hAnsiTheme="minorHAnsi" w:cstheme="minorHAnsi"/>
                <w:sz w:val="22"/>
                <w:szCs w:val="22"/>
              </w:rPr>
              <w:t>KWRiST</w:t>
            </w:r>
            <w:proofErr w:type="spellEnd"/>
            <w:r w:rsidR="00334F5B" w:rsidRPr="001D1B79">
              <w:rPr>
                <w:rFonts w:asciiTheme="minorHAnsi" w:hAnsiTheme="minorHAnsi" w:cstheme="minorHAnsi"/>
                <w:sz w:val="22"/>
                <w:szCs w:val="22"/>
              </w:rPr>
              <w:t xml:space="preserve"> w dniu 25 sierpnia 2021 r.</w:t>
            </w:r>
          </w:p>
        </w:tc>
      </w:tr>
      <w:tr w:rsidR="006102D0" w:rsidRPr="007C2456" w:rsidTr="007C2456">
        <w:tc>
          <w:tcPr>
            <w:tcW w:w="562" w:type="dxa"/>
            <w:shd w:val="clear" w:color="auto" w:fill="auto"/>
          </w:tcPr>
          <w:p w:rsidR="006102D0" w:rsidRPr="007C2456" w:rsidRDefault="007C2456" w:rsidP="00DA112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102D0" w:rsidRPr="007C2456" w:rsidRDefault="006102D0" w:rsidP="00DA11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MF </w:t>
            </w:r>
          </w:p>
        </w:tc>
        <w:tc>
          <w:tcPr>
            <w:tcW w:w="1843" w:type="dxa"/>
            <w:shd w:val="clear" w:color="auto" w:fill="auto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Uzasadnienie </w:t>
            </w:r>
          </w:p>
        </w:tc>
        <w:tc>
          <w:tcPr>
            <w:tcW w:w="4678" w:type="dxa"/>
            <w:shd w:val="clear" w:color="auto" w:fill="auto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t xml:space="preserve">Zgodnie z §27 ust.3 pkt 4 a) Uchwały nr 190 Rady Ministrów „Regulamin pracy Rady Ministrów”, uzasadnienie do projektu aktu normatywnego powinno zawierać: oświadczenie organu wnioskującego co do zgodności projektu z prawem Unii Europejskiej. Natomiast zgodnie z ust.4 w projekcie dokumentu rządowego albo jego uzasadnieniu, jeżeli jest sporządzane, przedstawia się informację dotyczącą przedstawienia projektu właściwym organom i instytucjom Unii Europejskiej, w tym Europejskiemu Bankowi Centralnemu, w celu uzyskania opinii, dokonania powiadomienia, </w:t>
            </w:r>
            <w:r w:rsidRPr="007C245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konsultacji albo uzgodnienia. W uzasadnieniu do tego projektu zabrakło informacji w tym zakresie.</w:t>
            </w:r>
          </w:p>
        </w:tc>
        <w:tc>
          <w:tcPr>
            <w:tcW w:w="4542" w:type="dxa"/>
            <w:shd w:val="clear" w:color="auto" w:fill="auto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Uzupełnienie przez Autorów o brakujące informacje.</w:t>
            </w:r>
          </w:p>
        </w:tc>
        <w:tc>
          <w:tcPr>
            <w:tcW w:w="2268" w:type="dxa"/>
          </w:tcPr>
          <w:p w:rsidR="006102D0" w:rsidRPr="001D1B79" w:rsidRDefault="00B21CCA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B79">
              <w:rPr>
                <w:rFonts w:asciiTheme="minorHAnsi" w:hAnsiTheme="minorHAnsi" w:cstheme="minorHAnsi"/>
                <w:sz w:val="22"/>
                <w:szCs w:val="22"/>
              </w:rPr>
              <w:t>Uzupełniono uzasadnienie do uchwały.</w:t>
            </w:r>
          </w:p>
        </w:tc>
      </w:tr>
      <w:tr w:rsidR="006102D0" w:rsidRPr="007C2456" w:rsidTr="007C2456">
        <w:tc>
          <w:tcPr>
            <w:tcW w:w="562" w:type="dxa"/>
            <w:shd w:val="clear" w:color="auto" w:fill="auto"/>
          </w:tcPr>
          <w:p w:rsidR="006102D0" w:rsidRPr="007C2456" w:rsidRDefault="007C2456" w:rsidP="00DA112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245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:rsidR="006102D0" w:rsidRPr="007C2456" w:rsidRDefault="007C2456" w:rsidP="00DA11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</w:t>
            </w:r>
          </w:p>
        </w:tc>
        <w:tc>
          <w:tcPr>
            <w:tcW w:w="1843" w:type="dxa"/>
            <w:shd w:val="clear" w:color="auto" w:fill="auto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6102D0" w:rsidRPr="007C2456" w:rsidRDefault="007C2456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Podtrzymanie uwag </w:t>
            </w:r>
            <w:r w:rsidR="00B21CCA">
              <w:rPr>
                <w:rFonts w:asciiTheme="minorHAnsi" w:hAnsiTheme="minorHAnsi" w:cstheme="minorHAnsi"/>
                <w:sz w:val="22"/>
                <w:szCs w:val="22"/>
              </w:rPr>
              <w:t>z uzgodnień międzyresortowych.</w:t>
            </w:r>
          </w:p>
        </w:tc>
        <w:tc>
          <w:tcPr>
            <w:tcW w:w="4542" w:type="dxa"/>
            <w:shd w:val="clear" w:color="auto" w:fill="auto"/>
          </w:tcPr>
          <w:p w:rsidR="006102D0" w:rsidRPr="007C2456" w:rsidRDefault="006102D0" w:rsidP="00DA11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6102D0" w:rsidRPr="001D1B79" w:rsidRDefault="00334F5B" w:rsidP="009976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1B79">
              <w:rPr>
                <w:rFonts w:asciiTheme="minorHAnsi" w:hAnsiTheme="minorHAnsi" w:cstheme="minorHAnsi"/>
                <w:sz w:val="22"/>
                <w:szCs w:val="22"/>
              </w:rPr>
              <w:t>Podtrzymanie stanowiska odnośnie  uwag zgłoszonych</w:t>
            </w:r>
            <w:r w:rsidR="00B21CCA" w:rsidRPr="001D1B79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Pr="001D1B79">
              <w:rPr>
                <w:rFonts w:asciiTheme="minorHAnsi" w:hAnsiTheme="minorHAnsi" w:cstheme="minorHAnsi"/>
                <w:sz w:val="22"/>
                <w:szCs w:val="22"/>
              </w:rPr>
              <w:t>ramach uzgodnień</w:t>
            </w:r>
            <w:r w:rsidR="00B21CCA" w:rsidRPr="001D1B79">
              <w:rPr>
                <w:rFonts w:asciiTheme="minorHAnsi" w:hAnsiTheme="minorHAnsi" w:cstheme="minorHAnsi"/>
                <w:sz w:val="22"/>
                <w:szCs w:val="22"/>
              </w:rPr>
              <w:t xml:space="preserve"> międzyresortowych</w:t>
            </w:r>
            <w:r w:rsidRPr="001D1B79">
              <w:rPr>
                <w:rFonts w:asciiTheme="minorHAnsi" w:hAnsiTheme="minorHAnsi" w:cstheme="minorHAnsi"/>
                <w:sz w:val="22"/>
                <w:szCs w:val="22"/>
              </w:rPr>
              <w:t xml:space="preserve">.  Stanowisko </w:t>
            </w:r>
            <w:proofErr w:type="spellStart"/>
            <w:r w:rsidRPr="001D1B79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  <w:bookmarkStart w:id="3" w:name="_GoBack"/>
            <w:bookmarkEnd w:id="3"/>
            <w:r w:rsidRPr="001D1B79">
              <w:rPr>
                <w:rFonts w:asciiTheme="minorHAnsi" w:hAnsiTheme="minorHAnsi" w:cstheme="minorHAnsi"/>
                <w:sz w:val="22"/>
                <w:szCs w:val="22"/>
              </w:rPr>
              <w:t>iPR</w:t>
            </w:r>
            <w:proofErr w:type="spellEnd"/>
            <w:r w:rsidRPr="001D1B79">
              <w:rPr>
                <w:rFonts w:asciiTheme="minorHAnsi" w:hAnsiTheme="minorHAnsi" w:cstheme="minorHAnsi"/>
                <w:sz w:val="22"/>
                <w:szCs w:val="22"/>
              </w:rPr>
              <w:t xml:space="preserve"> co do sposobu odniesienia się do poszczególnych uwag z uzgodnień międzyresortowych – pozostaje aktualne. </w:t>
            </w:r>
            <w:r w:rsidR="00B21CCA" w:rsidRPr="001D1B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6102D0" w:rsidRPr="007C2456" w:rsidRDefault="006102D0">
      <w:pPr>
        <w:rPr>
          <w:rFonts w:asciiTheme="minorHAnsi" w:hAnsiTheme="minorHAnsi" w:cstheme="minorHAnsi"/>
          <w:sz w:val="22"/>
          <w:szCs w:val="22"/>
        </w:rPr>
      </w:pPr>
    </w:p>
    <w:p w:rsidR="006102D0" w:rsidRPr="007C2456" w:rsidRDefault="006102D0">
      <w:pPr>
        <w:rPr>
          <w:rFonts w:asciiTheme="minorHAnsi" w:hAnsiTheme="minorHAnsi" w:cstheme="minorHAnsi"/>
          <w:sz w:val="22"/>
          <w:szCs w:val="22"/>
        </w:rPr>
      </w:pPr>
    </w:p>
    <w:p w:rsidR="006102D0" w:rsidRPr="007C2456" w:rsidRDefault="006102D0">
      <w:pPr>
        <w:rPr>
          <w:rFonts w:asciiTheme="minorHAnsi" w:hAnsiTheme="minorHAnsi" w:cstheme="minorHAnsi"/>
          <w:sz w:val="22"/>
          <w:szCs w:val="22"/>
        </w:rPr>
      </w:pPr>
    </w:p>
    <w:p w:rsidR="006102D0" w:rsidRPr="007C2456" w:rsidRDefault="006102D0">
      <w:pPr>
        <w:rPr>
          <w:rFonts w:asciiTheme="minorHAnsi" w:hAnsiTheme="minorHAnsi" w:cstheme="minorHAnsi"/>
          <w:sz w:val="22"/>
          <w:szCs w:val="22"/>
        </w:rPr>
      </w:pPr>
    </w:p>
    <w:sectPr w:rsidR="006102D0" w:rsidRPr="007C2456" w:rsidSect="006102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3A3"/>
    <w:rsid w:val="001D1B79"/>
    <w:rsid w:val="00334F5B"/>
    <w:rsid w:val="003E1423"/>
    <w:rsid w:val="006102D0"/>
    <w:rsid w:val="006D13A3"/>
    <w:rsid w:val="007C2456"/>
    <w:rsid w:val="007D5E7A"/>
    <w:rsid w:val="009976BC"/>
    <w:rsid w:val="009D4499"/>
    <w:rsid w:val="00B2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02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02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Lacinski</dc:creator>
  <cp:keywords/>
  <dc:description/>
  <cp:lastModifiedBy>Konrad Lacinski</cp:lastModifiedBy>
  <cp:revision>7</cp:revision>
  <dcterms:created xsi:type="dcterms:W3CDTF">2021-10-04T06:11:00Z</dcterms:created>
  <dcterms:modified xsi:type="dcterms:W3CDTF">2021-10-04T09:23:00Z</dcterms:modified>
</cp:coreProperties>
</file>