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349A" w14:textId="57CDBB6A" w:rsidR="00043CA9" w:rsidRPr="00774C5B" w:rsidRDefault="00A85427" w:rsidP="00774C5B">
      <w:pPr>
        <w:spacing w:before="120" w:line="240" w:lineRule="auto"/>
        <w:jc w:val="both"/>
        <w:rPr>
          <w:rFonts w:ascii="Lato" w:hAnsi="Lato"/>
          <w:b/>
          <w:bCs/>
          <w:iCs/>
          <w:sz w:val="20"/>
        </w:rPr>
      </w:pPr>
      <w:r w:rsidRPr="00774C5B">
        <w:rPr>
          <w:rFonts w:ascii="Lato" w:hAnsi="Lato"/>
          <w:b/>
          <w:bCs/>
          <w:iCs/>
          <w:sz w:val="20"/>
        </w:rPr>
        <w:t xml:space="preserve">Ocena funkcjonowania </w:t>
      </w:r>
      <w:r w:rsidRPr="00774C5B">
        <w:rPr>
          <w:rFonts w:ascii="Lato" w:hAnsi="Lato"/>
          <w:b/>
          <w:bCs/>
          <w:i/>
          <w:sz w:val="20"/>
        </w:rPr>
        <w:t>ustawy o zarządzie sukcesyjnym przedsiębiorstwem osoby fizycznej i innych ułatwieniach związanych z sukcesją przedsiębiorstw</w:t>
      </w:r>
    </w:p>
    <w:p w14:paraId="095D5E0F" w14:textId="5CB593D1" w:rsidR="00A85427" w:rsidRPr="00B84475" w:rsidRDefault="00A85427" w:rsidP="00774C5B">
      <w:pPr>
        <w:spacing w:before="120" w:after="120" w:line="240" w:lineRule="auto"/>
        <w:jc w:val="both"/>
        <w:rPr>
          <w:rFonts w:ascii="Lato" w:hAnsi="Lato"/>
          <w:i/>
          <w:sz w:val="20"/>
        </w:rPr>
      </w:pPr>
      <w:r w:rsidRPr="00774C5B">
        <w:rPr>
          <w:rFonts w:ascii="Lato" w:hAnsi="Lato"/>
          <w:iCs/>
          <w:sz w:val="20"/>
        </w:rPr>
        <w:t>W</w:t>
      </w:r>
      <w:r w:rsidRPr="00B84475">
        <w:rPr>
          <w:rFonts w:ascii="Lato" w:hAnsi="Lato"/>
          <w:iCs/>
          <w:sz w:val="20"/>
        </w:rPr>
        <w:t xml:space="preserve"> dniu 9 stycznia 2023 r. Rada Ministrów przyjęła opracowaną w Ministerstwie Rozwoju i Technologii ocenę funkcjonowania</w:t>
      </w:r>
      <w:r w:rsidRPr="00627A39">
        <w:rPr>
          <w:rFonts w:ascii="Lato" w:hAnsi="Lato"/>
          <w:i/>
          <w:sz w:val="20"/>
        </w:rPr>
        <w:t xml:space="preserve"> ustawy o zarządzie sukcesyjnym przedsiębiorstwem osoby fizycznej i innych ułatwieniach związanych z sukcesją przedsiębiorstw (OSR ex-post</w:t>
      </w:r>
      <w:r w:rsidRPr="00B84475">
        <w:rPr>
          <w:rFonts w:ascii="Lato" w:hAnsi="Lato"/>
          <w:i/>
          <w:sz w:val="20"/>
        </w:rPr>
        <w:t>).</w:t>
      </w:r>
    </w:p>
    <w:p w14:paraId="21D4C82A" w14:textId="34654A9E" w:rsidR="00B84475" w:rsidRDefault="00B84475" w:rsidP="00774C5B">
      <w:pPr>
        <w:spacing w:before="120" w:after="120" w:line="240" w:lineRule="auto"/>
        <w:jc w:val="both"/>
        <w:rPr>
          <w:rFonts w:ascii="Lato" w:hAnsi="Lato"/>
          <w:iCs/>
          <w:sz w:val="20"/>
        </w:rPr>
      </w:pPr>
      <w:r w:rsidRPr="00B84475">
        <w:rPr>
          <w:rFonts w:ascii="Lato" w:hAnsi="Lato"/>
          <w:iCs/>
          <w:sz w:val="20"/>
        </w:rPr>
        <w:t xml:space="preserve">Ustawa z dnia 5 lipca 2018 r. o zarządzie sukcesyjnym przedsiębiorstwem osoby fizycznej i innych ułatwieniach związanych z sukcesją przedsiębiorstw uregulowała zasady tymczasowego zarządzania przedsiębiorstwem po śmierci przedsiębiorcy. Zasadniczym celem ustawy było wprowadzenie mechanizmów umożliwiających zapewnienie ciągłości funkcjonowania przedsiębiorstwa po śmierci przedsiębiorcy oraz wzmocnienie ochrony praw osób trzecich związanych z prowadzeniem przedsiębiorstwa, w tym przede wszystkim kontrahentów, kooperantów, konsumentów i pracowników. </w:t>
      </w:r>
      <w:r w:rsidR="00DF792A">
        <w:rPr>
          <w:rFonts w:ascii="Lato" w:hAnsi="Lato"/>
          <w:iCs/>
          <w:sz w:val="20"/>
        </w:rPr>
        <w:t>Wprowadzone przepisy miały zapewnić</w:t>
      </w:r>
      <w:r w:rsidRPr="00B84475">
        <w:rPr>
          <w:rFonts w:ascii="Lato" w:hAnsi="Lato"/>
          <w:iCs/>
          <w:sz w:val="20"/>
        </w:rPr>
        <w:t xml:space="preserve"> kontynuacj</w:t>
      </w:r>
      <w:r w:rsidR="00DF792A">
        <w:rPr>
          <w:rFonts w:ascii="Lato" w:hAnsi="Lato"/>
          <w:iCs/>
          <w:sz w:val="20"/>
        </w:rPr>
        <w:t>ę</w:t>
      </w:r>
      <w:r w:rsidRPr="00B84475">
        <w:rPr>
          <w:rFonts w:ascii="Lato" w:hAnsi="Lato"/>
          <w:iCs/>
          <w:sz w:val="20"/>
        </w:rPr>
        <w:t xml:space="preserve"> funkcjonowania przedsiębiorstwa, zachowanie miejsc pracy, regulowanie zobowiązań wobec pracowników i kontrahentów oraz zobowiązań publicznoprawnych, a tym samym generowanie zysków i rozwój przedsiębiorstwa.</w:t>
      </w:r>
    </w:p>
    <w:p w14:paraId="4E1C8DD3" w14:textId="37F1054E" w:rsidR="00DF792A" w:rsidRPr="00B826FC" w:rsidRDefault="00DF792A" w:rsidP="00774C5B">
      <w:pPr>
        <w:autoSpaceDE w:val="0"/>
        <w:autoSpaceDN w:val="0"/>
        <w:adjustRightInd w:val="0"/>
        <w:spacing w:before="120" w:after="120" w:line="240" w:lineRule="auto"/>
        <w:jc w:val="both"/>
        <w:rPr>
          <w:rFonts w:ascii="Lato" w:hAnsi="Lato"/>
          <w:b/>
          <w:bCs/>
          <w:iCs/>
          <w:sz w:val="20"/>
        </w:rPr>
      </w:pPr>
      <w:r w:rsidRPr="00B826FC">
        <w:rPr>
          <w:rFonts w:ascii="Lato" w:hAnsi="Lato"/>
          <w:b/>
          <w:bCs/>
          <w:iCs/>
          <w:sz w:val="20"/>
        </w:rPr>
        <w:t xml:space="preserve">Wyniki oceny funkcjonowania ustawy </w:t>
      </w:r>
    </w:p>
    <w:p w14:paraId="307C5D42" w14:textId="6AF237F8" w:rsidR="00AC6E67" w:rsidRPr="008F44EE" w:rsidRDefault="00DF792A" w:rsidP="00774C5B">
      <w:pPr>
        <w:spacing w:before="120" w:line="240" w:lineRule="auto"/>
        <w:jc w:val="both"/>
        <w:rPr>
          <w:rFonts w:ascii="Lato" w:hAnsi="Lato"/>
          <w:iCs/>
          <w:sz w:val="20"/>
        </w:rPr>
      </w:pPr>
      <w:r w:rsidRPr="00DF792A">
        <w:rPr>
          <w:rFonts w:ascii="Lato" w:hAnsi="Lato"/>
          <w:iCs/>
          <w:sz w:val="20"/>
        </w:rPr>
        <w:t xml:space="preserve">Przeprowadzona w resorcie analiza funkcjonowania ustawy </w:t>
      </w:r>
      <w:r w:rsidR="00DA0052">
        <w:rPr>
          <w:rFonts w:ascii="Lato" w:hAnsi="Lato"/>
          <w:iCs/>
          <w:sz w:val="20"/>
        </w:rPr>
        <w:t>wy</w:t>
      </w:r>
      <w:r w:rsidRPr="00DF792A">
        <w:rPr>
          <w:rFonts w:ascii="Lato" w:hAnsi="Lato"/>
          <w:iCs/>
          <w:sz w:val="20"/>
        </w:rPr>
        <w:t>kazała, że wprowadzone rozwiązania funkcjonują zgodnie z intencją Wnioskodawcy.</w:t>
      </w:r>
      <w:r w:rsidR="008F44EE">
        <w:rPr>
          <w:rFonts w:ascii="Lato" w:hAnsi="Lato"/>
          <w:iCs/>
          <w:sz w:val="20"/>
        </w:rPr>
        <w:t xml:space="preserve"> </w:t>
      </w:r>
      <w:r w:rsidR="00537FAB" w:rsidRPr="008F44EE">
        <w:rPr>
          <w:rFonts w:ascii="Lato" w:hAnsi="Lato"/>
          <w:iCs/>
          <w:sz w:val="20"/>
        </w:rPr>
        <w:t xml:space="preserve">Przepisy pozwalają zachować ciągłość prawidłowego funkcjonowania przedsiębiorstwa, zapewniają ochronę majątku spadkobierców, ale także chronią pracowników przed utratą zatrudnienia. </w:t>
      </w:r>
      <w:r w:rsidR="00AC6E67" w:rsidRPr="008F44EE">
        <w:rPr>
          <w:rFonts w:ascii="Lato" w:hAnsi="Lato"/>
          <w:iCs/>
          <w:sz w:val="20"/>
        </w:rPr>
        <w:t xml:space="preserve">W wielu wypadkach instytucja zarządcy sukcesyjnego uchroniła przed bankructwem, a co najmniej znacznymi stratami finansowymi. </w:t>
      </w:r>
    </w:p>
    <w:p w14:paraId="79A27FEF" w14:textId="24E93637" w:rsidR="00AC6E67" w:rsidRPr="00774C5B" w:rsidRDefault="00AC6E67" w:rsidP="00774C5B">
      <w:pPr>
        <w:pStyle w:val="Akapitzlist"/>
        <w:numPr>
          <w:ilvl w:val="0"/>
          <w:numId w:val="2"/>
        </w:numPr>
        <w:spacing w:before="120" w:after="120" w:line="240" w:lineRule="auto"/>
        <w:ind w:left="284" w:hanging="284"/>
        <w:jc w:val="both"/>
        <w:rPr>
          <w:rFonts w:ascii="Lato" w:hAnsi="Lato"/>
          <w:iCs/>
          <w:sz w:val="20"/>
        </w:rPr>
      </w:pPr>
      <w:r w:rsidRPr="00774C5B">
        <w:rPr>
          <w:rFonts w:ascii="Lato" w:hAnsi="Lato"/>
          <w:iCs/>
          <w:sz w:val="20"/>
        </w:rPr>
        <w:t xml:space="preserve">Po ponad trzech latach funkcjonowania ustawy, wpłynęło blisko </w:t>
      </w:r>
      <w:r w:rsidRPr="00B826FC">
        <w:rPr>
          <w:rFonts w:ascii="Lato" w:hAnsi="Lato"/>
          <w:b/>
          <w:bCs/>
          <w:iCs/>
          <w:sz w:val="20"/>
        </w:rPr>
        <w:t>38 tys. wniosków</w:t>
      </w:r>
      <w:r w:rsidRPr="00774C5B">
        <w:rPr>
          <w:rFonts w:ascii="Lato" w:hAnsi="Lato"/>
          <w:iCs/>
          <w:sz w:val="20"/>
        </w:rPr>
        <w:t xml:space="preserve"> o wpisanie zarządcy sukcesyjnego do Centralnej Ewidencji i Informacji o Działalności Gospodarczej. </w:t>
      </w:r>
    </w:p>
    <w:p w14:paraId="4141E898" w14:textId="1A0C2624" w:rsidR="00AC6E67" w:rsidRPr="00774C5B" w:rsidRDefault="00AC6E67" w:rsidP="00774C5B">
      <w:pPr>
        <w:pStyle w:val="Akapitzlist"/>
        <w:numPr>
          <w:ilvl w:val="0"/>
          <w:numId w:val="2"/>
        </w:numPr>
        <w:spacing w:before="120" w:after="120" w:line="240" w:lineRule="auto"/>
        <w:ind w:left="284" w:hanging="284"/>
        <w:jc w:val="both"/>
        <w:rPr>
          <w:rFonts w:ascii="Lato" w:hAnsi="Lato"/>
          <w:iCs/>
          <w:sz w:val="20"/>
        </w:rPr>
      </w:pPr>
      <w:r w:rsidRPr="00774C5B">
        <w:rPr>
          <w:rFonts w:ascii="Lato" w:hAnsi="Lato"/>
          <w:iCs/>
          <w:sz w:val="20"/>
        </w:rPr>
        <w:t xml:space="preserve">Do końca 2021 r. </w:t>
      </w:r>
      <w:r w:rsidRPr="00B826FC">
        <w:rPr>
          <w:rFonts w:ascii="Lato" w:hAnsi="Lato"/>
          <w:b/>
          <w:bCs/>
          <w:iCs/>
          <w:sz w:val="20"/>
        </w:rPr>
        <w:t>4033</w:t>
      </w:r>
      <w:r w:rsidRPr="00774C5B">
        <w:rPr>
          <w:rFonts w:ascii="Lato" w:hAnsi="Lato"/>
          <w:iCs/>
          <w:sz w:val="20"/>
        </w:rPr>
        <w:t xml:space="preserve"> zarządców sukcesyjnych zarządzało przedsiębiorstwami po śmierci przedsiębiorców</w:t>
      </w:r>
      <w:r w:rsidR="008B0DB4">
        <w:rPr>
          <w:rFonts w:ascii="Lato" w:hAnsi="Lato"/>
          <w:iCs/>
          <w:sz w:val="20"/>
        </w:rPr>
        <w:t xml:space="preserve">. </w:t>
      </w:r>
      <w:r w:rsidRPr="00774C5B">
        <w:rPr>
          <w:rFonts w:ascii="Lato" w:hAnsi="Lato"/>
          <w:iCs/>
          <w:sz w:val="20"/>
        </w:rPr>
        <w:t xml:space="preserve"> </w:t>
      </w:r>
    </w:p>
    <w:p w14:paraId="28B3419A" w14:textId="39F1D9E3" w:rsidR="008F44EE" w:rsidRDefault="00AC6E67" w:rsidP="00774C5B">
      <w:pPr>
        <w:pStyle w:val="Akapitzlist"/>
        <w:numPr>
          <w:ilvl w:val="0"/>
          <w:numId w:val="2"/>
        </w:numPr>
        <w:spacing w:before="120" w:after="120" w:line="240" w:lineRule="auto"/>
        <w:ind w:left="284" w:hanging="284"/>
        <w:jc w:val="both"/>
        <w:rPr>
          <w:rFonts w:ascii="Lato" w:hAnsi="Lato"/>
          <w:iCs/>
          <w:sz w:val="20"/>
        </w:rPr>
      </w:pPr>
      <w:r w:rsidRPr="00774C5B">
        <w:rPr>
          <w:rFonts w:ascii="Lato" w:hAnsi="Lato"/>
          <w:iCs/>
          <w:sz w:val="20"/>
        </w:rPr>
        <w:t>P</w:t>
      </w:r>
      <w:r w:rsidR="008F44EE" w:rsidRPr="00774C5B">
        <w:rPr>
          <w:rFonts w:ascii="Lato" w:hAnsi="Lato"/>
          <w:iCs/>
          <w:sz w:val="20"/>
        </w:rPr>
        <w:t>owołanie zarządcy sukcesyjnego i dalsze prowadzenie działalności gospodarczej umożliwiło zachowanie ciągłości pracy dla </w:t>
      </w:r>
      <w:r w:rsidR="008F44EE" w:rsidRPr="00B826FC">
        <w:rPr>
          <w:rFonts w:ascii="Lato" w:hAnsi="Lato"/>
          <w:b/>
          <w:bCs/>
          <w:iCs/>
          <w:sz w:val="20"/>
        </w:rPr>
        <w:t>11 430 pracowników</w:t>
      </w:r>
      <w:r w:rsidR="008F44EE" w:rsidRPr="00774C5B">
        <w:rPr>
          <w:rFonts w:ascii="Lato" w:hAnsi="Lato"/>
          <w:iCs/>
          <w:sz w:val="20"/>
        </w:rPr>
        <w:t xml:space="preserve"> oraz </w:t>
      </w:r>
      <w:r w:rsidR="008F44EE" w:rsidRPr="00B826FC">
        <w:rPr>
          <w:rFonts w:ascii="Lato" w:hAnsi="Lato"/>
          <w:b/>
          <w:bCs/>
          <w:iCs/>
          <w:sz w:val="20"/>
        </w:rPr>
        <w:t>6 385 zleceniobiorców</w:t>
      </w:r>
      <w:r w:rsidR="008F44EE" w:rsidRPr="00774C5B">
        <w:rPr>
          <w:rFonts w:ascii="Lato" w:hAnsi="Lato"/>
          <w:iCs/>
          <w:sz w:val="20"/>
        </w:rPr>
        <w:t>.</w:t>
      </w:r>
    </w:p>
    <w:p w14:paraId="0E40A153" w14:textId="7E896CF9" w:rsidR="008B0DB4" w:rsidRPr="008B0DB4" w:rsidRDefault="008B0DB4" w:rsidP="00774C5B">
      <w:pPr>
        <w:pStyle w:val="Akapitzlist"/>
        <w:numPr>
          <w:ilvl w:val="0"/>
          <w:numId w:val="2"/>
        </w:numPr>
        <w:spacing w:before="120" w:after="120" w:line="240" w:lineRule="auto"/>
        <w:ind w:left="284" w:hanging="284"/>
        <w:jc w:val="both"/>
        <w:rPr>
          <w:rFonts w:ascii="Lato" w:eastAsiaTheme="minorHAnsi" w:hAnsi="Lato" w:cstheme="minorBidi"/>
          <w:iCs/>
          <w:sz w:val="20"/>
        </w:rPr>
      </w:pPr>
      <w:r>
        <w:rPr>
          <w:rFonts w:ascii="Lato" w:eastAsiaTheme="minorHAnsi" w:hAnsi="Lato" w:cstheme="minorBidi"/>
          <w:iCs/>
          <w:sz w:val="20"/>
        </w:rPr>
        <w:t>Ł</w:t>
      </w:r>
      <w:r w:rsidRPr="008B0DB4">
        <w:rPr>
          <w:rFonts w:ascii="Lato" w:eastAsiaTheme="minorHAnsi" w:hAnsi="Lato" w:cstheme="minorBidi"/>
          <w:iCs/>
          <w:sz w:val="20"/>
        </w:rPr>
        <w:t xml:space="preserve">ączna wysokość wpływów związanych z regulowaniem zobowiązań publicznoprawnych od przedsiębiorców korzystających z ustawy do końca grudnia 2021 r. wynosiła </w:t>
      </w:r>
      <w:r w:rsidRPr="008B0DB4">
        <w:rPr>
          <w:rFonts w:ascii="Lato" w:eastAsiaTheme="minorHAnsi" w:hAnsi="Lato" w:cstheme="minorBidi"/>
          <w:b/>
          <w:bCs/>
          <w:iCs/>
          <w:sz w:val="20"/>
        </w:rPr>
        <w:t>ok. 650 mln zł.</w:t>
      </w:r>
    </w:p>
    <w:p w14:paraId="0908B98F" w14:textId="3B9E01BD" w:rsidR="00537FAB" w:rsidRPr="008F44EE" w:rsidRDefault="00AC6E67" w:rsidP="00774C5B">
      <w:pPr>
        <w:spacing w:before="120" w:after="120" w:line="240" w:lineRule="auto"/>
        <w:jc w:val="both"/>
        <w:rPr>
          <w:rFonts w:ascii="Lato" w:hAnsi="Lato"/>
          <w:iCs/>
          <w:sz w:val="20"/>
        </w:rPr>
      </w:pPr>
      <w:r w:rsidRPr="00AB7589">
        <w:rPr>
          <w:rFonts w:ascii="Lato" w:hAnsi="Lato"/>
          <w:iCs/>
          <w:sz w:val="20"/>
        </w:rPr>
        <w:t>Przeprowadzon</w:t>
      </w:r>
      <w:r w:rsidR="00774C5B">
        <w:rPr>
          <w:rFonts w:ascii="Lato" w:hAnsi="Lato"/>
          <w:iCs/>
          <w:sz w:val="20"/>
        </w:rPr>
        <w:t>a ewaluacja wskazuje,</w:t>
      </w:r>
      <w:r w:rsidRPr="00AB7589">
        <w:rPr>
          <w:rFonts w:ascii="Lato" w:hAnsi="Lato"/>
          <w:iCs/>
          <w:sz w:val="20"/>
        </w:rPr>
        <w:t xml:space="preserve"> że z roku na rok przybywa przedsiębiorców korzystających </w:t>
      </w:r>
      <w:r w:rsidR="00B826FC">
        <w:rPr>
          <w:rFonts w:ascii="Lato" w:hAnsi="Lato"/>
          <w:iCs/>
          <w:sz w:val="20"/>
        </w:rPr>
        <w:br/>
      </w:r>
      <w:r w:rsidRPr="00AB7589">
        <w:rPr>
          <w:rFonts w:ascii="Lato" w:hAnsi="Lato"/>
          <w:iCs/>
          <w:sz w:val="20"/>
        </w:rPr>
        <w:t xml:space="preserve">z instytucji zarządu sukcesyjnego. Zwiększa się również stosunek przedsiębiorców zmarłych, których przedsiębiorstwa po śmierci były zarządzane przez zarządców sukcesyjnych, do przedsiębiorców, których działalności z powodu śmierci zostały wykreślone z bazy CEIDG. </w:t>
      </w:r>
      <w:r>
        <w:rPr>
          <w:rFonts w:ascii="Lato" w:hAnsi="Lato"/>
          <w:iCs/>
          <w:sz w:val="20"/>
        </w:rPr>
        <w:t>Niemniej jednak</w:t>
      </w:r>
      <w:r w:rsidR="007130B2">
        <w:rPr>
          <w:rFonts w:ascii="Lato" w:hAnsi="Lato"/>
          <w:iCs/>
          <w:sz w:val="20"/>
        </w:rPr>
        <w:t>,</w:t>
      </w:r>
      <w:r>
        <w:rPr>
          <w:rFonts w:ascii="Lato" w:hAnsi="Lato"/>
          <w:iCs/>
          <w:sz w:val="20"/>
        </w:rPr>
        <w:t xml:space="preserve"> pomimo iż, wprowadzone </w:t>
      </w:r>
      <w:r w:rsidR="00AB7589">
        <w:rPr>
          <w:rFonts w:ascii="Lato" w:hAnsi="Lato"/>
          <w:iCs/>
          <w:sz w:val="20"/>
        </w:rPr>
        <w:t xml:space="preserve">regulacje umożliwiające kontynuowanie działalności firmy po śmierci przedsiębiorcy były wyczekiwanym rozwiązaniem, to </w:t>
      </w:r>
      <w:r w:rsidR="00537FAB" w:rsidRPr="008F44EE">
        <w:rPr>
          <w:rFonts w:ascii="Lato" w:hAnsi="Lato"/>
          <w:iCs/>
          <w:sz w:val="20"/>
        </w:rPr>
        <w:t>instrument jest wykorzystywany w niewielkim stopniu</w:t>
      </w:r>
      <w:r w:rsidR="00AB7589">
        <w:rPr>
          <w:rFonts w:ascii="Lato" w:hAnsi="Lato"/>
          <w:iCs/>
          <w:sz w:val="20"/>
        </w:rPr>
        <w:t xml:space="preserve">. </w:t>
      </w:r>
      <w:r w:rsidR="00537FAB" w:rsidRPr="008F44EE">
        <w:rPr>
          <w:rFonts w:ascii="Lato" w:hAnsi="Lato"/>
          <w:iCs/>
          <w:sz w:val="20"/>
        </w:rPr>
        <w:t xml:space="preserve"> </w:t>
      </w:r>
    </w:p>
    <w:p w14:paraId="7D0297DB" w14:textId="4C1318F2" w:rsidR="00AB7589" w:rsidRDefault="00774C5B" w:rsidP="00774C5B">
      <w:pPr>
        <w:spacing w:before="120" w:line="240" w:lineRule="auto"/>
        <w:jc w:val="both"/>
        <w:rPr>
          <w:rFonts w:ascii="Lato" w:hAnsi="Lato"/>
          <w:iCs/>
          <w:sz w:val="20"/>
        </w:rPr>
      </w:pPr>
      <w:r>
        <w:rPr>
          <w:rFonts w:ascii="Lato" w:hAnsi="Lato"/>
          <w:iCs/>
          <w:sz w:val="20"/>
        </w:rPr>
        <w:t>J</w:t>
      </w:r>
      <w:r w:rsidR="00AB7589" w:rsidRPr="00AB7589">
        <w:rPr>
          <w:rFonts w:ascii="Lato" w:hAnsi="Lato"/>
          <w:iCs/>
          <w:sz w:val="20"/>
        </w:rPr>
        <w:t xml:space="preserve">ednym z najważniejszych wniosków wynikających z przeprowadzonej analizy jest </w:t>
      </w:r>
      <w:r>
        <w:rPr>
          <w:rFonts w:ascii="Lato" w:hAnsi="Lato"/>
          <w:iCs/>
          <w:sz w:val="20"/>
        </w:rPr>
        <w:t xml:space="preserve">zatem </w:t>
      </w:r>
      <w:r w:rsidR="00AB7589" w:rsidRPr="00AB7589">
        <w:rPr>
          <w:rFonts w:ascii="Lato" w:hAnsi="Lato"/>
          <w:iCs/>
          <w:sz w:val="20"/>
        </w:rPr>
        <w:t>potrzeba dalszego rozpropagowania instytucji zarządu sukcesyjnego, aby coraz większa liczba przedsiębiorców korzystała z wprowadzonych w ustawie rozwiązań.</w:t>
      </w:r>
      <w:r w:rsidR="00AB7589">
        <w:rPr>
          <w:rFonts w:ascii="Lato" w:hAnsi="Lato"/>
          <w:iCs/>
          <w:sz w:val="20"/>
        </w:rPr>
        <w:t xml:space="preserve"> Ponadto zidentyfikowano kilka problemów </w:t>
      </w:r>
      <w:r w:rsidR="00B826FC">
        <w:rPr>
          <w:rFonts w:ascii="Lato" w:hAnsi="Lato"/>
          <w:iCs/>
          <w:sz w:val="20"/>
        </w:rPr>
        <w:br/>
      </w:r>
      <w:r w:rsidR="00A16CE7" w:rsidRPr="00AB7589">
        <w:rPr>
          <w:rFonts w:ascii="Lato" w:hAnsi="Lato"/>
          <w:iCs/>
          <w:sz w:val="20"/>
        </w:rPr>
        <w:t>w obszarze zarządu sukcesyjnego</w:t>
      </w:r>
      <w:r w:rsidR="00A16CE7">
        <w:rPr>
          <w:rFonts w:ascii="Lato" w:hAnsi="Lato"/>
          <w:iCs/>
          <w:sz w:val="20"/>
        </w:rPr>
        <w:t>, które wymagają podjęcia działań legislacyjnych</w:t>
      </w:r>
      <w:r w:rsidR="00DA0052">
        <w:rPr>
          <w:rFonts w:ascii="Lato" w:hAnsi="Lato"/>
          <w:iCs/>
          <w:sz w:val="20"/>
        </w:rPr>
        <w:t xml:space="preserve"> i zostaną uwzględnione w projekcie ustawy opracowywanym w Ministerstwie Rozwoju i Technologii,</w:t>
      </w:r>
      <w:r w:rsidR="00DA0052" w:rsidRPr="00DA0052">
        <w:rPr>
          <w:rFonts w:ascii="Lato" w:hAnsi="Lato"/>
          <w:iCs/>
          <w:sz w:val="20"/>
        </w:rPr>
        <w:t xml:space="preserve"> </w:t>
      </w:r>
      <w:r w:rsidR="00DA0052">
        <w:rPr>
          <w:rFonts w:ascii="Lato" w:hAnsi="Lato"/>
          <w:iCs/>
          <w:sz w:val="20"/>
        </w:rPr>
        <w:t>w tym w szczególności:</w:t>
      </w:r>
      <w:r w:rsidR="00A16CE7">
        <w:rPr>
          <w:rFonts w:ascii="Lato" w:hAnsi="Lato"/>
          <w:iCs/>
          <w:sz w:val="20"/>
        </w:rPr>
        <w:t xml:space="preserve">  </w:t>
      </w:r>
    </w:p>
    <w:p w14:paraId="06D46553" w14:textId="5B3BB065" w:rsidR="00727910" w:rsidRPr="008B0DB4" w:rsidRDefault="006F78DB" w:rsidP="007130B2">
      <w:pPr>
        <w:pStyle w:val="Akapitzlist"/>
        <w:numPr>
          <w:ilvl w:val="0"/>
          <w:numId w:val="3"/>
        </w:numPr>
        <w:spacing w:before="120" w:line="240" w:lineRule="auto"/>
        <w:ind w:left="284" w:hanging="284"/>
        <w:jc w:val="both"/>
        <w:rPr>
          <w:rFonts w:ascii="Lato" w:hAnsi="Lato"/>
          <w:iCs/>
          <w:sz w:val="20"/>
        </w:rPr>
      </w:pPr>
      <w:r w:rsidRPr="008B0DB4">
        <w:rPr>
          <w:rFonts w:ascii="Lato" w:hAnsi="Lato"/>
          <w:iCs/>
          <w:sz w:val="20"/>
        </w:rPr>
        <w:t xml:space="preserve">zmiany procedury przedłużania zarządu sukcesyjnego przez sąd, </w:t>
      </w:r>
    </w:p>
    <w:p w14:paraId="088CC992" w14:textId="00A66E91" w:rsidR="00727910" w:rsidRPr="008B0DB4" w:rsidRDefault="00727910" w:rsidP="007130B2">
      <w:pPr>
        <w:pStyle w:val="Akapitzlist"/>
        <w:numPr>
          <w:ilvl w:val="0"/>
          <w:numId w:val="3"/>
        </w:numPr>
        <w:spacing w:before="120" w:line="240" w:lineRule="auto"/>
        <w:ind w:left="284" w:hanging="284"/>
        <w:jc w:val="both"/>
        <w:rPr>
          <w:rFonts w:ascii="Lato" w:hAnsi="Lato"/>
          <w:iCs/>
          <w:sz w:val="20"/>
        </w:rPr>
      </w:pPr>
      <w:r w:rsidRPr="008B0DB4">
        <w:rPr>
          <w:rFonts w:ascii="Lato" w:hAnsi="Lato"/>
          <w:iCs/>
          <w:sz w:val="20"/>
        </w:rPr>
        <w:t>doprecyzowani</w:t>
      </w:r>
      <w:r w:rsidR="00DA0052">
        <w:rPr>
          <w:rFonts w:ascii="Lato" w:hAnsi="Lato"/>
          <w:iCs/>
          <w:sz w:val="20"/>
        </w:rPr>
        <w:t>e</w:t>
      </w:r>
      <w:r w:rsidRPr="008B0DB4">
        <w:rPr>
          <w:rFonts w:ascii="Lato" w:hAnsi="Lato"/>
          <w:iCs/>
          <w:sz w:val="20"/>
        </w:rPr>
        <w:t xml:space="preserve"> przepisów dotyczących wynagradzania i oskładkowania wynagrodzeń zarządców sukcesyjnych,</w:t>
      </w:r>
    </w:p>
    <w:p w14:paraId="789237A8" w14:textId="0754F7A3" w:rsidR="00727910" w:rsidRPr="008B0DB4" w:rsidRDefault="006F78DB" w:rsidP="007130B2">
      <w:pPr>
        <w:pStyle w:val="Akapitzlist"/>
        <w:numPr>
          <w:ilvl w:val="0"/>
          <w:numId w:val="3"/>
        </w:numPr>
        <w:spacing w:before="120" w:line="240" w:lineRule="auto"/>
        <w:ind w:left="284" w:hanging="284"/>
        <w:jc w:val="both"/>
        <w:rPr>
          <w:rFonts w:ascii="Lato" w:hAnsi="Lato"/>
          <w:iCs/>
          <w:sz w:val="20"/>
        </w:rPr>
      </w:pPr>
      <w:r w:rsidRPr="008B0DB4">
        <w:rPr>
          <w:rFonts w:ascii="Lato" w:hAnsi="Lato"/>
          <w:iCs/>
          <w:sz w:val="20"/>
        </w:rPr>
        <w:t>doprecyzowani</w:t>
      </w:r>
      <w:r w:rsidR="00DA0052">
        <w:rPr>
          <w:rFonts w:ascii="Lato" w:hAnsi="Lato"/>
          <w:iCs/>
          <w:sz w:val="20"/>
        </w:rPr>
        <w:t>e</w:t>
      </w:r>
      <w:r w:rsidRPr="008B0DB4">
        <w:rPr>
          <w:rFonts w:ascii="Lato" w:hAnsi="Lato"/>
          <w:iCs/>
          <w:sz w:val="20"/>
        </w:rPr>
        <w:t xml:space="preserve"> przepisów przesądzających o możliwości dostępu do rachunku bankowego zmarłego przedsiębiorcy, </w:t>
      </w:r>
    </w:p>
    <w:p w14:paraId="6E63B474" w14:textId="339B7E05" w:rsidR="007130B2" w:rsidRPr="007130B2" w:rsidRDefault="007130B2" w:rsidP="007130B2">
      <w:pPr>
        <w:pStyle w:val="Akapitzlist"/>
        <w:numPr>
          <w:ilvl w:val="0"/>
          <w:numId w:val="3"/>
        </w:numPr>
        <w:spacing w:before="120" w:line="240" w:lineRule="auto"/>
        <w:ind w:left="284"/>
        <w:jc w:val="both"/>
        <w:rPr>
          <w:rFonts w:ascii="Lato" w:hAnsi="Lato"/>
          <w:iCs/>
          <w:sz w:val="20"/>
        </w:rPr>
      </w:pPr>
      <w:r w:rsidRPr="007130B2">
        <w:rPr>
          <w:rFonts w:ascii="Lato" w:hAnsi="Lato"/>
          <w:iCs/>
          <w:sz w:val="20"/>
        </w:rPr>
        <w:t>wyłączenie niektórych regulacji przepisów ustawy o zarządzie sukcesyjnym w związku z</w:t>
      </w:r>
      <w:r>
        <w:rPr>
          <w:rFonts w:ascii="Lato" w:hAnsi="Lato"/>
          <w:iCs/>
          <w:sz w:val="20"/>
        </w:rPr>
        <w:t> </w:t>
      </w:r>
      <w:r w:rsidRPr="007130B2">
        <w:rPr>
          <w:rFonts w:ascii="Lato" w:hAnsi="Lato"/>
          <w:iCs/>
          <w:sz w:val="20"/>
        </w:rPr>
        <w:t>wątpliwościami w zakresie procedur dotyczących potwierdzenia wykonywania decyzji i</w:t>
      </w:r>
      <w:r>
        <w:rPr>
          <w:rFonts w:ascii="Lato" w:hAnsi="Lato"/>
          <w:iCs/>
          <w:sz w:val="20"/>
        </w:rPr>
        <w:t> </w:t>
      </w:r>
      <w:r w:rsidRPr="007130B2">
        <w:rPr>
          <w:rFonts w:ascii="Lato" w:hAnsi="Lato"/>
          <w:iCs/>
          <w:sz w:val="20"/>
        </w:rPr>
        <w:t>przenoszenia decyzji umożliwiających obrót napojami alkoholowymi</w:t>
      </w:r>
      <w:r w:rsidR="00DA0052">
        <w:rPr>
          <w:rFonts w:ascii="Lato" w:hAnsi="Lato"/>
          <w:iCs/>
          <w:sz w:val="20"/>
        </w:rPr>
        <w:t>,</w:t>
      </w:r>
    </w:p>
    <w:p w14:paraId="0CBF7832" w14:textId="47D18B46" w:rsidR="00727910" w:rsidRPr="008B0DB4" w:rsidRDefault="007130B2" w:rsidP="007130B2">
      <w:pPr>
        <w:pStyle w:val="Akapitzlist"/>
        <w:numPr>
          <w:ilvl w:val="0"/>
          <w:numId w:val="3"/>
        </w:numPr>
        <w:spacing w:before="120" w:line="240" w:lineRule="auto"/>
        <w:ind w:left="284"/>
        <w:jc w:val="both"/>
        <w:rPr>
          <w:rFonts w:ascii="Lato" w:hAnsi="Lato"/>
          <w:iCs/>
          <w:sz w:val="20"/>
        </w:rPr>
      </w:pPr>
      <w:r w:rsidRPr="007130B2">
        <w:rPr>
          <w:rFonts w:ascii="Lato" w:hAnsi="Lato"/>
          <w:iCs/>
          <w:sz w:val="20"/>
        </w:rPr>
        <w:t>nowelizacj</w:t>
      </w:r>
      <w:r w:rsidR="00DA0052">
        <w:rPr>
          <w:rFonts w:ascii="Lato" w:hAnsi="Lato"/>
          <w:iCs/>
          <w:sz w:val="20"/>
        </w:rPr>
        <w:t>a</w:t>
      </w:r>
      <w:r w:rsidRPr="007130B2">
        <w:rPr>
          <w:rFonts w:ascii="Lato" w:hAnsi="Lato"/>
          <w:iCs/>
          <w:sz w:val="20"/>
        </w:rPr>
        <w:t xml:space="preserve"> przepisów dotyczących wygaśnięcia zezwoleń na obrót napojami alkoholowymi w</w:t>
      </w:r>
      <w:r>
        <w:rPr>
          <w:rFonts w:ascii="Lato" w:hAnsi="Lato"/>
          <w:iCs/>
          <w:sz w:val="20"/>
        </w:rPr>
        <w:t> </w:t>
      </w:r>
      <w:r w:rsidRPr="007130B2">
        <w:rPr>
          <w:rFonts w:ascii="Lato" w:hAnsi="Lato"/>
          <w:iCs/>
          <w:sz w:val="20"/>
        </w:rPr>
        <w:t>przypadku zmiany składu spółki cywilnej, w tym śmierci wspólnika</w:t>
      </w:r>
      <w:r>
        <w:rPr>
          <w:rFonts w:ascii="Lato" w:hAnsi="Lato"/>
          <w:iCs/>
          <w:sz w:val="20"/>
        </w:rPr>
        <w:t>,</w:t>
      </w:r>
    </w:p>
    <w:p w14:paraId="65330D7F" w14:textId="47B083CF" w:rsidR="006F78DB" w:rsidRPr="008B0DB4" w:rsidRDefault="006F78DB" w:rsidP="007130B2">
      <w:pPr>
        <w:pStyle w:val="Akapitzlist"/>
        <w:numPr>
          <w:ilvl w:val="0"/>
          <w:numId w:val="3"/>
        </w:numPr>
        <w:spacing w:before="120" w:line="240" w:lineRule="auto"/>
        <w:ind w:left="284" w:hanging="284"/>
        <w:jc w:val="both"/>
        <w:rPr>
          <w:rFonts w:ascii="Lato" w:hAnsi="Lato"/>
          <w:iCs/>
          <w:sz w:val="20"/>
        </w:rPr>
      </w:pPr>
      <w:r w:rsidRPr="008B0DB4">
        <w:rPr>
          <w:rFonts w:ascii="Lato" w:hAnsi="Lato"/>
          <w:iCs/>
          <w:sz w:val="20"/>
        </w:rPr>
        <w:t>uelastycznieni</w:t>
      </w:r>
      <w:r w:rsidR="00DA0052">
        <w:rPr>
          <w:rFonts w:ascii="Lato" w:hAnsi="Lato"/>
          <w:iCs/>
          <w:sz w:val="20"/>
        </w:rPr>
        <w:t>e</w:t>
      </w:r>
      <w:r w:rsidRPr="008B0DB4">
        <w:rPr>
          <w:rFonts w:ascii="Lato" w:hAnsi="Lato"/>
          <w:iCs/>
          <w:sz w:val="20"/>
        </w:rPr>
        <w:t xml:space="preserve"> </w:t>
      </w:r>
      <w:r w:rsidR="00727910" w:rsidRPr="008B0DB4">
        <w:rPr>
          <w:rFonts w:ascii="Lato" w:hAnsi="Lato"/>
          <w:iCs/>
          <w:sz w:val="20"/>
        </w:rPr>
        <w:t>przepisów dotyczących powołania zarządcy sukcesyjnego po śmierci przedsiębiorcy przez jego spadkobierców</w:t>
      </w:r>
      <w:r w:rsidR="00535609" w:rsidRPr="008B0DB4">
        <w:rPr>
          <w:rFonts w:ascii="Lato" w:hAnsi="Lato"/>
          <w:iCs/>
          <w:sz w:val="20"/>
        </w:rPr>
        <w:t>,</w:t>
      </w:r>
    </w:p>
    <w:p w14:paraId="262C9C01" w14:textId="5457CFF3" w:rsidR="00DF792A" w:rsidRPr="00DA0052" w:rsidRDefault="00535609" w:rsidP="00DA0052">
      <w:pPr>
        <w:pStyle w:val="Akapitzlist"/>
        <w:numPr>
          <w:ilvl w:val="0"/>
          <w:numId w:val="3"/>
        </w:numPr>
        <w:spacing w:before="120" w:line="240" w:lineRule="auto"/>
        <w:ind w:left="284" w:hanging="284"/>
        <w:jc w:val="both"/>
        <w:rPr>
          <w:rFonts w:ascii="Lato" w:hAnsi="Lato"/>
          <w:iCs/>
          <w:sz w:val="20"/>
        </w:rPr>
      </w:pPr>
      <w:r w:rsidRPr="00DA0052">
        <w:rPr>
          <w:rFonts w:ascii="Lato" w:hAnsi="Lato"/>
          <w:iCs/>
          <w:sz w:val="20"/>
        </w:rPr>
        <w:t>doprecyzowani</w:t>
      </w:r>
      <w:r w:rsidR="00DA0052">
        <w:rPr>
          <w:rFonts w:ascii="Lato" w:hAnsi="Lato"/>
          <w:iCs/>
          <w:sz w:val="20"/>
        </w:rPr>
        <w:t>e</w:t>
      </w:r>
      <w:r w:rsidRPr="00DA0052">
        <w:rPr>
          <w:rFonts w:ascii="Lato" w:hAnsi="Lato"/>
          <w:iCs/>
          <w:sz w:val="20"/>
        </w:rPr>
        <w:t xml:space="preserve"> przepisów podatkowych w zakresie sukcesji praw i obowiązków przedsiębiorcy. </w:t>
      </w:r>
    </w:p>
    <w:sectPr w:rsidR="00DF792A" w:rsidRPr="00DA00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15181"/>
    <w:multiLevelType w:val="hybridMultilevel"/>
    <w:tmpl w:val="240425B4"/>
    <w:lvl w:ilvl="0" w:tplc="69A0A64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BF571EA"/>
    <w:multiLevelType w:val="hybridMultilevel"/>
    <w:tmpl w:val="D4A40E86"/>
    <w:lvl w:ilvl="0" w:tplc="69A0A64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205F20"/>
    <w:multiLevelType w:val="hybridMultilevel"/>
    <w:tmpl w:val="A7F27CFA"/>
    <w:lvl w:ilvl="0" w:tplc="55D0A6AC">
      <w:start w:val="1"/>
      <w:numFmt w:val="bullet"/>
      <w:lvlText w:val=""/>
      <w:lvlJc w:val="left"/>
      <w:pPr>
        <w:ind w:left="720" w:hanging="360"/>
      </w:pPr>
      <w:rPr>
        <w:rFonts w:ascii="Symbol" w:hAnsi="Symbol" w:hint="default"/>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326356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3241235">
    <w:abstractNumId w:val="1"/>
  </w:num>
  <w:num w:numId="3" w16cid:durableId="1586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27"/>
    <w:rsid w:val="00043CA9"/>
    <w:rsid w:val="0006549A"/>
    <w:rsid w:val="004E2EEC"/>
    <w:rsid w:val="00535609"/>
    <w:rsid w:val="00537FAB"/>
    <w:rsid w:val="006F78DB"/>
    <w:rsid w:val="007130B2"/>
    <w:rsid w:val="00727910"/>
    <w:rsid w:val="00774C5B"/>
    <w:rsid w:val="00805830"/>
    <w:rsid w:val="008B0DB4"/>
    <w:rsid w:val="008F44EE"/>
    <w:rsid w:val="00A16CE7"/>
    <w:rsid w:val="00A85427"/>
    <w:rsid w:val="00AB7589"/>
    <w:rsid w:val="00AC6E67"/>
    <w:rsid w:val="00B025B9"/>
    <w:rsid w:val="00B826FC"/>
    <w:rsid w:val="00B84475"/>
    <w:rsid w:val="00DA0052"/>
    <w:rsid w:val="00DF7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3ADD"/>
  <w15:chartTrackingRefBased/>
  <w15:docId w15:val="{7B2BD267-4A77-4735-9AF7-26275093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16CE7"/>
    <w:rPr>
      <w:color w:val="0000FF"/>
      <w:u w:val="single"/>
    </w:rPr>
  </w:style>
  <w:style w:type="character" w:styleId="Pogrubienie">
    <w:name w:val="Strong"/>
    <w:basedOn w:val="Domylnaczcionkaakapitu"/>
    <w:uiPriority w:val="22"/>
    <w:qFormat/>
    <w:rsid w:val="00A16CE7"/>
    <w:rPr>
      <w:b/>
      <w:bCs/>
    </w:rPr>
  </w:style>
  <w:style w:type="paragraph" w:styleId="Akapitzlist">
    <w:name w:val="List Paragraph"/>
    <w:basedOn w:val="Normalny"/>
    <w:link w:val="AkapitzlistZnak"/>
    <w:uiPriority w:val="34"/>
    <w:qFormat/>
    <w:rsid w:val="006F78DB"/>
    <w:pPr>
      <w:spacing w:after="0" w:line="276" w:lineRule="auto"/>
      <w:ind w:left="720"/>
      <w:contextualSpacing/>
    </w:pPr>
    <w:rPr>
      <w:rFonts w:ascii="Calibri" w:eastAsia="Calibri" w:hAnsi="Calibri" w:cs="Times New Roman"/>
    </w:rPr>
  </w:style>
  <w:style w:type="character" w:customStyle="1" w:styleId="AkapitzlistZnak">
    <w:name w:val="Akapit z listą Znak"/>
    <w:link w:val="Akapitzlist"/>
    <w:uiPriority w:val="34"/>
    <w:locked/>
    <w:rsid w:val="006F78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5599">
      <w:bodyDiv w:val="1"/>
      <w:marLeft w:val="0"/>
      <w:marRight w:val="0"/>
      <w:marTop w:val="0"/>
      <w:marBottom w:val="0"/>
      <w:divBdr>
        <w:top w:val="none" w:sz="0" w:space="0" w:color="auto"/>
        <w:left w:val="none" w:sz="0" w:space="0" w:color="auto"/>
        <w:bottom w:val="none" w:sz="0" w:space="0" w:color="auto"/>
        <w:right w:val="none" w:sz="0" w:space="0" w:color="auto"/>
      </w:divBdr>
    </w:div>
    <w:div w:id="1105079802">
      <w:bodyDiv w:val="1"/>
      <w:marLeft w:val="0"/>
      <w:marRight w:val="0"/>
      <w:marTop w:val="0"/>
      <w:marBottom w:val="0"/>
      <w:divBdr>
        <w:top w:val="none" w:sz="0" w:space="0" w:color="auto"/>
        <w:left w:val="none" w:sz="0" w:space="0" w:color="auto"/>
        <w:bottom w:val="none" w:sz="0" w:space="0" w:color="auto"/>
        <w:right w:val="none" w:sz="0" w:space="0" w:color="auto"/>
      </w:divBdr>
    </w:div>
    <w:div w:id="16774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3643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Brzeska Anna</dc:creator>
  <cp:keywords/>
  <dc:description/>
  <cp:lastModifiedBy>Pohl Joanna</cp:lastModifiedBy>
  <cp:revision>2</cp:revision>
  <dcterms:created xsi:type="dcterms:W3CDTF">2023-02-27T09:48:00Z</dcterms:created>
  <dcterms:modified xsi:type="dcterms:W3CDTF">2023-02-27T09:48:00Z</dcterms:modified>
</cp:coreProperties>
</file>