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C7E153" w14:textId="77777777" w:rsidR="00C45693" w:rsidRPr="00723799" w:rsidRDefault="00C45693" w:rsidP="00A9191A">
      <w:pPr>
        <w:pStyle w:val="Tytu"/>
        <w:jc w:val="both"/>
      </w:pPr>
    </w:p>
    <w:p w14:paraId="701C0903" w14:textId="77777777" w:rsidR="00C45693" w:rsidRPr="00E356CE" w:rsidRDefault="00C45693" w:rsidP="00A9191A">
      <w:pPr>
        <w:pStyle w:val="Tytu"/>
        <w:jc w:val="both"/>
      </w:pPr>
      <w:r w:rsidRPr="00E356CE">
        <w:t>TABELA ZGODNOŚCI</w:t>
      </w:r>
    </w:p>
    <w:p w14:paraId="7E92AC73" w14:textId="7F0E9589" w:rsidR="00C45693" w:rsidRPr="00E356CE" w:rsidRDefault="002069D4" w:rsidP="00A9191A">
      <w:pPr>
        <w:jc w:val="both"/>
      </w:pPr>
      <w:r w:rsidRPr="00E356CE">
        <w:t>1</w:t>
      </w:r>
      <w:r w:rsidR="2C40A20E" w:rsidRPr="00E356CE">
        <w:t>2</w:t>
      </w:r>
      <w:r w:rsidRPr="00E356CE">
        <w:t>.02.21</w:t>
      </w:r>
    </w:p>
    <w:tbl>
      <w:tblPr>
        <w:tblW w:w="14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5"/>
        <w:gridCol w:w="4719"/>
        <w:gridCol w:w="886"/>
        <w:gridCol w:w="29"/>
        <w:gridCol w:w="857"/>
        <w:gridCol w:w="14"/>
        <w:gridCol w:w="14"/>
        <w:gridCol w:w="7396"/>
      </w:tblGrid>
      <w:tr w:rsidR="00723799" w:rsidRPr="00E356CE" w14:paraId="19137972" w14:textId="77777777" w:rsidTr="56856880">
        <w:trPr>
          <w:cantSplit/>
          <w:trHeight w:val="550"/>
        </w:trPr>
        <w:tc>
          <w:tcPr>
            <w:tcW w:w="5514" w:type="dxa"/>
            <w:gridSpan w:val="2"/>
            <w:shd w:val="clear" w:color="auto" w:fill="E0E0E0"/>
          </w:tcPr>
          <w:p w14:paraId="709923FB" w14:textId="77777777" w:rsidR="00C45693" w:rsidRPr="00E356CE" w:rsidRDefault="00C45693" w:rsidP="00A9191A">
            <w:pPr>
              <w:pStyle w:val="Nagwek1"/>
            </w:pPr>
            <w:r w:rsidRPr="00E356CE">
              <w:lastRenderedPageBreak/>
              <w:t>TYTUŁ USTAWY:</w:t>
            </w:r>
          </w:p>
        </w:tc>
        <w:tc>
          <w:tcPr>
            <w:tcW w:w="9196" w:type="dxa"/>
            <w:gridSpan w:val="6"/>
          </w:tcPr>
          <w:p w14:paraId="3E0636CA" w14:textId="58E33A33" w:rsidR="00430830" w:rsidRPr="00E356CE" w:rsidRDefault="00C45693" w:rsidP="00430830">
            <w:pPr>
              <w:pStyle w:val="Akapitzlist"/>
              <w:numPr>
                <w:ilvl w:val="0"/>
                <w:numId w:val="9"/>
              </w:numPr>
              <w:jc w:val="both"/>
            </w:pPr>
            <w:r w:rsidRPr="00E356CE">
              <w:rPr>
                <w:b/>
                <w:bCs/>
              </w:rPr>
              <w:t xml:space="preserve">Projekt ustawy </w:t>
            </w:r>
            <w:r w:rsidR="6A1ADC2B" w:rsidRPr="00E356CE">
              <w:rPr>
                <w:b/>
                <w:bCs/>
              </w:rPr>
              <w:t xml:space="preserve">- </w:t>
            </w:r>
            <w:r w:rsidRPr="00E356CE">
              <w:rPr>
                <w:b/>
                <w:bCs/>
              </w:rPr>
              <w:t>Prawo komunikacji elektronicznej</w:t>
            </w:r>
            <w:r w:rsidR="00430830" w:rsidRPr="00E356CE">
              <w:rPr>
                <w:b/>
                <w:bCs/>
              </w:rPr>
              <w:t>;</w:t>
            </w:r>
          </w:p>
          <w:p w14:paraId="0F70BEB9" w14:textId="77777777" w:rsidR="00C45693" w:rsidRPr="00E356CE" w:rsidRDefault="00430830" w:rsidP="00430830">
            <w:pPr>
              <w:pStyle w:val="Akapitzlist"/>
              <w:numPr>
                <w:ilvl w:val="0"/>
                <w:numId w:val="9"/>
              </w:numPr>
              <w:jc w:val="both"/>
            </w:pPr>
            <w:r w:rsidRPr="00E356CE">
              <w:rPr>
                <w:b/>
                <w:bCs/>
              </w:rPr>
              <w:t xml:space="preserve">Projekt ustawy wprowadzającej ustawę – Prawo komunikacji elektronicznej </w:t>
            </w:r>
          </w:p>
          <w:p w14:paraId="735182CA" w14:textId="77777777" w:rsidR="00430830" w:rsidRPr="00E356CE" w:rsidRDefault="00430830" w:rsidP="00430830">
            <w:pPr>
              <w:pStyle w:val="Akapitzlist"/>
              <w:jc w:val="both"/>
            </w:pPr>
          </w:p>
        </w:tc>
      </w:tr>
      <w:tr w:rsidR="00723799" w:rsidRPr="00E356CE" w14:paraId="3C51D305" w14:textId="77777777" w:rsidTr="56856880">
        <w:trPr>
          <w:cantSplit/>
          <w:trHeight w:val="550"/>
        </w:trPr>
        <w:tc>
          <w:tcPr>
            <w:tcW w:w="5514" w:type="dxa"/>
            <w:gridSpan w:val="2"/>
            <w:shd w:val="clear" w:color="auto" w:fill="E0E0E0"/>
          </w:tcPr>
          <w:p w14:paraId="1B26B9D9" w14:textId="77777777" w:rsidR="00C45693" w:rsidRPr="00E356CE" w:rsidRDefault="00C45693" w:rsidP="00A9191A">
            <w:pPr>
              <w:jc w:val="both"/>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2D9E2FEF" w14:textId="76BCAFF6" w:rsidR="3992447F" w:rsidRPr="00E356CE" w:rsidRDefault="3992447F" w:rsidP="40F0662F">
            <w:pPr>
              <w:pStyle w:val="NormalnyWeb"/>
              <w:numPr>
                <w:ilvl w:val="0"/>
                <w:numId w:val="1"/>
              </w:numPr>
              <w:spacing w:before="0" w:beforeAutospacing="0" w:after="0" w:afterAutospacing="0"/>
              <w:jc w:val="both"/>
              <w:rPr>
                <w:b/>
                <w:bCs/>
              </w:rPr>
            </w:pPr>
            <w:r w:rsidRPr="00E356CE">
              <w:rPr>
                <w:rStyle w:val="normaltextrun"/>
                <w:b/>
                <w:bCs/>
              </w:rPr>
              <w:t>Wdrożenie dyrektywy 2000/31/WE Parlamentu Europejskiego i Rady z dnia 8 czerwca 2000 r. w sprawie niektórych aspektów prawnych usług społeczeństwa informacyjnego, w szczególności handlu elektronicznego w ramach rynku wewnętrznego (dyrektywa o handlu elektronicznym)</w:t>
            </w:r>
          </w:p>
          <w:p w14:paraId="37B46C7C" w14:textId="77777777" w:rsidR="008132F8" w:rsidRPr="00E356CE" w:rsidRDefault="008132F8" w:rsidP="40F0662F">
            <w:pPr>
              <w:pStyle w:val="NormalnyWeb"/>
              <w:numPr>
                <w:ilvl w:val="0"/>
                <w:numId w:val="1"/>
              </w:numPr>
              <w:spacing w:before="0" w:beforeAutospacing="0" w:after="0" w:afterAutospacing="0"/>
              <w:jc w:val="both"/>
              <w:rPr>
                <w:b/>
                <w:bCs/>
              </w:rPr>
            </w:pPr>
            <w:r w:rsidRPr="00E356CE">
              <w:rPr>
                <w:b/>
                <w:bCs/>
              </w:rPr>
              <w:t>Wdrożenie dyrektywy 2002/77/WE z dnia 16 września 2002 r. w sprawie konkurencji na rynkach sieci i usług łączności elektronicznej (Dz. Urz. WE L 249 z 17.09.2002);</w:t>
            </w:r>
          </w:p>
          <w:p w14:paraId="1FB2A2CC" w14:textId="77777777" w:rsidR="00C45693" w:rsidRPr="00E356CE" w:rsidRDefault="00C45693" w:rsidP="40F0662F">
            <w:pPr>
              <w:pStyle w:val="NormalnyWeb"/>
              <w:numPr>
                <w:ilvl w:val="0"/>
                <w:numId w:val="1"/>
              </w:numPr>
              <w:spacing w:before="0" w:beforeAutospacing="0" w:after="0" w:afterAutospacing="0"/>
              <w:jc w:val="both"/>
              <w:rPr>
                <w:b/>
                <w:bCs/>
              </w:rPr>
            </w:pPr>
            <w:r w:rsidRPr="00E356CE">
              <w:rPr>
                <w:b/>
                <w:bCs/>
              </w:rPr>
              <w:t>Wdrożenie dyrektywy 2002/58/WE z dnia 12 lipca 2002 r. w sprawie przetwarzania danych osobowych i ochrony prywatności w sektorze łączności elektronicznej (Dz. Urz. WE L 201 z 31.07.2002);</w:t>
            </w:r>
          </w:p>
          <w:p w14:paraId="231C261B" w14:textId="77777777" w:rsidR="00C45693" w:rsidRPr="00E356CE" w:rsidRDefault="00C45693" w:rsidP="40F0662F">
            <w:pPr>
              <w:pStyle w:val="NormalnyWeb"/>
              <w:numPr>
                <w:ilvl w:val="0"/>
                <w:numId w:val="1"/>
              </w:numPr>
              <w:spacing w:before="0" w:beforeAutospacing="0" w:after="0" w:afterAutospacing="0"/>
              <w:jc w:val="both"/>
              <w:rPr>
                <w:b/>
                <w:bCs/>
              </w:rPr>
            </w:pPr>
            <w:r w:rsidRPr="00E356CE">
              <w:rPr>
                <w:b/>
                <w:bCs/>
              </w:rPr>
              <w:t>Wdrożenie dyrektywy 2014/53/UE z dnia 16 kwietnia 2014 r. w sprawie harmonizacji ustawodawstw państw członkowskich dotyczących udostępniania na rynku urządzeń radiowych i uchylającej dyrektywę 1999/5/UE (Dz. Urz. UE L 153 z 22.05.2014, str. 62);</w:t>
            </w:r>
          </w:p>
          <w:p w14:paraId="09EEA3EB" w14:textId="77777777" w:rsidR="00C45693" w:rsidRPr="00E356CE" w:rsidRDefault="00C45693" w:rsidP="40F0662F">
            <w:pPr>
              <w:pStyle w:val="NormalnyWeb"/>
              <w:numPr>
                <w:ilvl w:val="0"/>
                <w:numId w:val="1"/>
              </w:numPr>
              <w:spacing w:before="0" w:beforeAutospacing="0" w:after="0" w:afterAutospacing="0"/>
              <w:jc w:val="both"/>
              <w:rPr>
                <w:b/>
                <w:bCs/>
              </w:rPr>
            </w:pPr>
            <w:r w:rsidRPr="00E356CE">
              <w:rPr>
                <w:b/>
                <w:bCs/>
              </w:rPr>
              <w:t>Wdrożenie dyrektywy 89/336/EWG z dnia 3 maja 1989 r. o zbliżeniu praw państw członkowskich dotyczących kompatybilności elektromagnetycznej (Dz. Urz. L 139 z 23.05.89);</w:t>
            </w:r>
          </w:p>
          <w:p w14:paraId="23131423" w14:textId="77777777" w:rsidR="00C45693" w:rsidRPr="00E356CE" w:rsidRDefault="005863C8" w:rsidP="40F0662F">
            <w:pPr>
              <w:pStyle w:val="NormalnyWeb"/>
              <w:numPr>
                <w:ilvl w:val="0"/>
                <w:numId w:val="1"/>
              </w:numPr>
              <w:spacing w:before="0" w:beforeAutospacing="0" w:after="0" w:afterAutospacing="0"/>
              <w:jc w:val="both"/>
              <w:rPr>
                <w:b/>
                <w:bCs/>
              </w:rPr>
            </w:pPr>
            <w:r w:rsidRPr="00E356CE">
              <w:rPr>
                <w:b/>
                <w:bCs/>
              </w:rPr>
              <w:t>Wdrożenie dyrektywy 2002/65/WE Parlamentu Europejskiego i Rady z dnia 23 września 2002 r. dotycząca sprzedaży konsumentom usług finansowych na odległość oraz zmieniająca dyrektywę Rady 90/619/EWG oraz dyrektywy 97/7/WE i 98/27/W;</w:t>
            </w:r>
          </w:p>
          <w:p w14:paraId="2DF84B2C" w14:textId="1E7575D4" w:rsidR="005863C8" w:rsidRPr="00E356CE" w:rsidRDefault="00A14FF2" w:rsidP="00A9191A">
            <w:pPr>
              <w:pStyle w:val="NormalnyWeb"/>
              <w:numPr>
                <w:ilvl w:val="0"/>
                <w:numId w:val="1"/>
              </w:numPr>
              <w:spacing w:before="0" w:beforeAutospacing="0" w:after="0" w:afterAutospacing="0"/>
              <w:jc w:val="both"/>
            </w:pPr>
            <w:r w:rsidRPr="00E356CE">
              <w:rPr>
                <w:b/>
                <w:bCs/>
              </w:rPr>
              <w:t xml:space="preserve">Wdrożenie rozporządzeń UE dotyczących wymagań w zakresie </w:t>
            </w:r>
            <w:proofErr w:type="spellStart"/>
            <w:r w:rsidRPr="00E356CE">
              <w:rPr>
                <w:b/>
                <w:bCs/>
              </w:rPr>
              <w:t>ekoprojektów</w:t>
            </w:r>
            <w:proofErr w:type="spellEnd"/>
            <w:r w:rsidR="0013367C" w:rsidRPr="00E356CE">
              <w:rPr>
                <w:b/>
                <w:bCs/>
              </w:rPr>
              <w:t>;</w:t>
            </w:r>
          </w:p>
          <w:p w14:paraId="2968A343" w14:textId="77777777" w:rsidR="00A14FF2" w:rsidRPr="00E356CE" w:rsidRDefault="00A14FF2" w:rsidP="00A9191A">
            <w:pPr>
              <w:pStyle w:val="NormalnyWeb"/>
              <w:numPr>
                <w:ilvl w:val="0"/>
                <w:numId w:val="1"/>
              </w:numPr>
              <w:spacing w:before="0" w:beforeAutospacing="0" w:after="0" w:afterAutospacing="0"/>
              <w:jc w:val="both"/>
            </w:pPr>
            <w:r w:rsidRPr="00E356CE">
              <w:rPr>
                <w:b/>
                <w:bCs/>
              </w:rPr>
              <w:t xml:space="preserve">Wdrożenie rozporządzeń UE dotyczących </w:t>
            </w:r>
            <w:r w:rsidR="006F45B7" w:rsidRPr="00E356CE">
              <w:rPr>
                <w:b/>
                <w:bCs/>
              </w:rPr>
              <w:t>etykietowania energetycznego;</w:t>
            </w:r>
          </w:p>
          <w:p w14:paraId="2E4C17BC" w14:textId="77777777" w:rsidR="006F45B7" w:rsidRPr="00E356CE" w:rsidRDefault="006F45B7" w:rsidP="00A9191A">
            <w:pPr>
              <w:pStyle w:val="NormalnyWeb"/>
              <w:numPr>
                <w:ilvl w:val="0"/>
                <w:numId w:val="1"/>
              </w:numPr>
              <w:spacing w:before="0" w:beforeAutospacing="0" w:after="0" w:afterAutospacing="0"/>
              <w:jc w:val="both"/>
            </w:pPr>
            <w:r w:rsidRPr="00E356CE">
              <w:rPr>
                <w:b/>
                <w:bCs/>
              </w:rPr>
              <w:t xml:space="preserve">Wdrożenie decyzji </w:t>
            </w:r>
            <w:r w:rsidRPr="00E356CE">
              <w:rPr>
                <w:b/>
                <w:bCs/>
                <w:shd w:val="clear" w:color="auto" w:fill="FFFFFF"/>
              </w:rPr>
              <w:t>Komisji Europejskiej 2000/299/WE z 6.4.2000 r. ustanawiającej wstępną klasyfikację urządzeń radiowych i końcowych urządzeń telekomunikacyjnych oraz związanych z nimi znaków identyfikacyjnych (</w:t>
            </w:r>
            <w:proofErr w:type="spellStart"/>
            <w:r w:rsidRPr="00E356CE">
              <w:rPr>
                <w:b/>
                <w:bCs/>
                <w:shd w:val="clear" w:color="auto" w:fill="FFFFFF"/>
              </w:rPr>
              <w:t>Dz.Urz</w:t>
            </w:r>
            <w:proofErr w:type="spellEnd"/>
            <w:r w:rsidRPr="00E356CE">
              <w:rPr>
                <w:b/>
                <w:bCs/>
                <w:shd w:val="clear" w:color="auto" w:fill="FFFFFF"/>
              </w:rPr>
              <w:t>. WE L Nr 97, s. 13)</w:t>
            </w:r>
            <w:r w:rsidR="009D7355" w:rsidRPr="00E356CE">
              <w:rPr>
                <w:b/>
                <w:bCs/>
                <w:shd w:val="clear" w:color="auto" w:fill="FFFFFF"/>
              </w:rPr>
              <w:t>;</w:t>
            </w:r>
          </w:p>
          <w:p w14:paraId="0ED38EF6" w14:textId="7B2AA728" w:rsidR="009D7355" w:rsidRPr="00E356CE" w:rsidRDefault="009D7355" w:rsidP="00A9191A">
            <w:pPr>
              <w:pStyle w:val="NormalnyWeb"/>
              <w:numPr>
                <w:ilvl w:val="0"/>
                <w:numId w:val="1"/>
              </w:numPr>
              <w:spacing w:before="0" w:beforeAutospacing="0" w:after="0" w:afterAutospacing="0"/>
              <w:jc w:val="both"/>
            </w:pPr>
            <w:r w:rsidRPr="00E356CE">
              <w:rPr>
                <w:b/>
                <w:bCs/>
              </w:rPr>
              <w:t>Wdrożenie rozporządzenia Parlamentu Europejskiego i Rady (UE) nr 1285/2013 z dnia 11 grudnia 2013 r. w sprawie realizacji i eksploatacji europejskich systemów nawigacji satelitarnej oraz uchylające rozporządzenie Rady (WE) nr 876/2002 i rozporządzenie Parlamentu Europejskiego i Rady (WE) nr 683/2008 (Dz. Urz. UE L Nr 347, str. 1)</w:t>
            </w:r>
            <w:r w:rsidR="00EE68B1" w:rsidRPr="00E356CE">
              <w:rPr>
                <w:b/>
                <w:bCs/>
              </w:rPr>
              <w:t>;</w:t>
            </w:r>
          </w:p>
          <w:p w14:paraId="28B6781D" w14:textId="4F1CC778" w:rsidR="00EE68B1" w:rsidRPr="00E356CE" w:rsidRDefault="00EE68B1" w:rsidP="40F0662F">
            <w:pPr>
              <w:pStyle w:val="NormalnyWeb"/>
              <w:numPr>
                <w:ilvl w:val="0"/>
                <w:numId w:val="1"/>
              </w:numPr>
              <w:spacing w:before="0" w:beforeAutospacing="0" w:after="0" w:afterAutospacing="0"/>
              <w:jc w:val="both"/>
              <w:rPr>
                <w:b/>
                <w:bCs/>
              </w:rPr>
            </w:pPr>
            <w:r w:rsidRPr="00E356CE">
              <w:rPr>
                <w:b/>
                <w:bCs/>
              </w:rPr>
              <w:lastRenderedPageBreak/>
              <w:t>Dyrektywa Parlamentu Europejskiego i Rady 2013/11/UE z dnia 21 maja 2013 r. w sprawie alternatywnych metod rozstrzygania sporów konsumenckich oraz zmiany rozporządzenia (WE) nr 2006/2004 i dyrektywy 2009/22/WE (dyrektywa w sprawie ADR w sporach konsumenckich)</w:t>
            </w:r>
          </w:p>
          <w:p w14:paraId="38374B55" w14:textId="77777777" w:rsidR="00A14FF2" w:rsidRPr="00E356CE" w:rsidRDefault="00A14FF2" w:rsidP="00A9191A">
            <w:pPr>
              <w:pStyle w:val="NormalnyWeb"/>
              <w:spacing w:before="0" w:beforeAutospacing="0" w:after="0" w:afterAutospacing="0"/>
              <w:jc w:val="both"/>
            </w:pPr>
          </w:p>
        </w:tc>
      </w:tr>
      <w:tr w:rsidR="00723799" w:rsidRPr="00E356CE" w14:paraId="273F4E48" w14:textId="77777777" w:rsidTr="56856880">
        <w:trPr>
          <w:cantSplit/>
        </w:trPr>
        <w:tc>
          <w:tcPr>
            <w:tcW w:w="14710" w:type="dxa"/>
            <w:gridSpan w:val="8"/>
            <w:shd w:val="clear" w:color="auto" w:fill="A0A0A0"/>
          </w:tcPr>
          <w:p w14:paraId="2A194A2C" w14:textId="65202F62" w:rsidR="00C45693" w:rsidRPr="00E356CE" w:rsidRDefault="00C45693" w:rsidP="00A9191A">
            <w:pPr>
              <w:jc w:val="both"/>
              <w:rPr>
                <w:b/>
                <w:bCs/>
              </w:rPr>
            </w:pPr>
            <w:r w:rsidRPr="00E356CE">
              <w:rPr>
                <w:b/>
                <w:bCs/>
              </w:rPr>
              <w:lastRenderedPageBreak/>
              <w:t>--------------------------------------------------------------------------------------------------------------------------------------------------------------------------------------</w:t>
            </w:r>
          </w:p>
        </w:tc>
      </w:tr>
      <w:tr w:rsidR="00723799" w:rsidRPr="00E356CE" w14:paraId="308288A2" w14:textId="77777777" w:rsidTr="56856880">
        <w:trPr>
          <w:trHeight w:val="550"/>
        </w:trPr>
        <w:tc>
          <w:tcPr>
            <w:tcW w:w="14710" w:type="dxa"/>
            <w:gridSpan w:val="8"/>
            <w:shd w:val="clear" w:color="auto" w:fill="D9D9D9" w:themeFill="background1" w:themeFillShade="D9"/>
          </w:tcPr>
          <w:p w14:paraId="42AAE0E5" w14:textId="77777777" w:rsidR="00C45693" w:rsidRPr="00E356CE" w:rsidRDefault="00C45693" w:rsidP="00A9191A">
            <w:pPr>
              <w:pStyle w:val="Nagwek2"/>
              <w:jc w:val="both"/>
              <w:rPr>
                <w:vertAlign w:val="superscript"/>
              </w:rPr>
            </w:pPr>
            <w:r w:rsidRPr="00E356CE">
              <w:t xml:space="preserve">PRZEPISY UNII EUROPEJSKIEJ </w:t>
            </w:r>
            <w:r w:rsidRPr="00E356CE">
              <w:rPr>
                <w:vertAlign w:val="superscript"/>
              </w:rPr>
              <w:t>2)</w:t>
            </w:r>
          </w:p>
        </w:tc>
      </w:tr>
      <w:tr w:rsidR="00723799" w:rsidRPr="00E356CE" w14:paraId="6C47685E" w14:textId="77777777" w:rsidTr="56856880">
        <w:tc>
          <w:tcPr>
            <w:tcW w:w="795" w:type="dxa"/>
            <w:shd w:val="clear" w:color="auto" w:fill="D9D9D9" w:themeFill="background1" w:themeFillShade="D9"/>
          </w:tcPr>
          <w:p w14:paraId="1AC087B8" w14:textId="77777777" w:rsidR="00C45693" w:rsidRPr="00E356CE" w:rsidRDefault="00C45693" w:rsidP="00A9191A">
            <w:pPr>
              <w:jc w:val="both"/>
              <w:rPr>
                <w:b/>
                <w:bCs/>
              </w:rPr>
            </w:pPr>
            <w:r w:rsidRPr="00E356CE">
              <w:rPr>
                <w:b/>
                <w:bCs/>
              </w:rPr>
              <w:t xml:space="preserve">Jedn. red. </w:t>
            </w:r>
          </w:p>
        </w:tc>
        <w:tc>
          <w:tcPr>
            <w:tcW w:w="4719" w:type="dxa"/>
            <w:shd w:val="clear" w:color="auto" w:fill="D9D9D9" w:themeFill="background1" w:themeFillShade="D9"/>
          </w:tcPr>
          <w:p w14:paraId="672361A7" w14:textId="77777777" w:rsidR="00C45693" w:rsidRPr="00E356CE" w:rsidRDefault="00C45693" w:rsidP="00A9191A">
            <w:pPr>
              <w:jc w:val="both"/>
              <w:rPr>
                <w:b/>
                <w:bCs/>
              </w:rPr>
            </w:pPr>
            <w:r w:rsidRPr="00E356CE">
              <w:rPr>
                <w:b/>
                <w:bCs/>
              </w:rPr>
              <w:t xml:space="preserve">Treść przepisu UE </w:t>
            </w:r>
            <w:r w:rsidRPr="00E356CE">
              <w:rPr>
                <w:b/>
                <w:bCs/>
                <w:vertAlign w:val="superscript"/>
              </w:rPr>
              <w:t>3)</w:t>
            </w:r>
            <w:r w:rsidRPr="00E356CE">
              <w:rPr>
                <w:b/>
                <w:bCs/>
              </w:rPr>
              <w:t xml:space="preserve"> </w:t>
            </w:r>
          </w:p>
        </w:tc>
        <w:tc>
          <w:tcPr>
            <w:tcW w:w="886" w:type="dxa"/>
            <w:shd w:val="clear" w:color="auto" w:fill="D9D9D9" w:themeFill="background1" w:themeFillShade="D9"/>
          </w:tcPr>
          <w:p w14:paraId="53662C44" w14:textId="77777777" w:rsidR="00C45693" w:rsidRPr="00E356CE" w:rsidRDefault="00C45693" w:rsidP="00A9191A">
            <w:pPr>
              <w:pStyle w:val="Tekstpodstawowy"/>
              <w:rPr>
                <w:b/>
                <w:bCs/>
                <w:sz w:val="24"/>
                <w:szCs w:val="24"/>
              </w:rPr>
            </w:pPr>
            <w:proofErr w:type="spellStart"/>
            <w:r w:rsidRPr="00E356CE">
              <w:rPr>
                <w:b/>
                <w:bCs/>
                <w:sz w:val="24"/>
                <w:szCs w:val="24"/>
              </w:rPr>
              <w:t>Koniecz</w:t>
            </w:r>
            <w:proofErr w:type="spellEnd"/>
            <w:r w:rsidRPr="00E356CE">
              <w:rPr>
                <w:b/>
                <w:bCs/>
                <w:sz w:val="24"/>
                <w:szCs w:val="24"/>
              </w:rPr>
              <w:t xml:space="preserve">    -</w:t>
            </w:r>
            <w:proofErr w:type="spellStart"/>
            <w:r w:rsidRPr="00E356CE">
              <w:rPr>
                <w:b/>
                <w:bCs/>
                <w:sz w:val="24"/>
                <w:szCs w:val="24"/>
              </w:rPr>
              <w:t>ność</w:t>
            </w:r>
            <w:proofErr w:type="spellEnd"/>
          </w:p>
          <w:p w14:paraId="11BD1C6D" w14:textId="77777777" w:rsidR="00C45693" w:rsidRPr="00E356CE" w:rsidRDefault="00C45693" w:rsidP="00A9191A">
            <w:pPr>
              <w:jc w:val="both"/>
              <w:rPr>
                <w:b/>
                <w:bCs/>
              </w:rPr>
            </w:pPr>
            <w:r w:rsidRPr="00E356CE">
              <w:rPr>
                <w:b/>
                <w:bCs/>
              </w:rPr>
              <w:t>wdrożenia</w:t>
            </w:r>
          </w:p>
          <w:p w14:paraId="1EF82E68" w14:textId="77777777" w:rsidR="00C45693" w:rsidRPr="00E356CE" w:rsidRDefault="00C45693" w:rsidP="00A9191A">
            <w:pPr>
              <w:jc w:val="both"/>
            </w:pPr>
          </w:p>
          <w:p w14:paraId="32191716" w14:textId="77777777" w:rsidR="00C45693" w:rsidRPr="00E356CE" w:rsidRDefault="00C45693" w:rsidP="00A9191A">
            <w:pPr>
              <w:jc w:val="both"/>
              <w:rPr>
                <w:b/>
                <w:bCs/>
              </w:rPr>
            </w:pPr>
            <w:r w:rsidRPr="00E356CE">
              <w:t xml:space="preserve"> T / N</w:t>
            </w:r>
          </w:p>
        </w:tc>
        <w:tc>
          <w:tcPr>
            <w:tcW w:w="886" w:type="dxa"/>
            <w:gridSpan w:val="2"/>
            <w:shd w:val="clear" w:color="auto" w:fill="D9D9D9" w:themeFill="background1" w:themeFillShade="D9"/>
          </w:tcPr>
          <w:p w14:paraId="07976F87" w14:textId="77777777" w:rsidR="00C45693" w:rsidRPr="00E356CE" w:rsidRDefault="00C45693" w:rsidP="00A9191A">
            <w:pPr>
              <w:jc w:val="both"/>
              <w:rPr>
                <w:b/>
                <w:bCs/>
              </w:rPr>
            </w:pPr>
            <w:r w:rsidRPr="00E356CE">
              <w:rPr>
                <w:b/>
                <w:bCs/>
              </w:rPr>
              <w:t>Jedn. red. (*)</w:t>
            </w:r>
          </w:p>
        </w:tc>
        <w:tc>
          <w:tcPr>
            <w:tcW w:w="7424" w:type="dxa"/>
            <w:gridSpan w:val="3"/>
            <w:shd w:val="clear" w:color="auto" w:fill="D9D9D9" w:themeFill="background1" w:themeFillShade="D9"/>
          </w:tcPr>
          <w:p w14:paraId="579E3AED" w14:textId="77777777" w:rsidR="00C45693" w:rsidRPr="00E356CE" w:rsidRDefault="00C45693" w:rsidP="00A9191A">
            <w:pPr>
              <w:jc w:val="both"/>
              <w:rPr>
                <w:bCs/>
              </w:rPr>
            </w:pPr>
            <w:r w:rsidRPr="00E356CE">
              <w:rPr>
                <w:bCs/>
              </w:rPr>
              <w:t>Treść przepisu/ów ustawy (*)</w:t>
            </w:r>
          </w:p>
        </w:tc>
      </w:tr>
      <w:tr w:rsidR="00723799" w:rsidRPr="00E356CE" w14:paraId="78BD26AD" w14:textId="77777777" w:rsidTr="56856880">
        <w:tc>
          <w:tcPr>
            <w:tcW w:w="5514" w:type="dxa"/>
            <w:gridSpan w:val="2"/>
            <w:shd w:val="clear" w:color="auto" w:fill="E0E0E0"/>
          </w:tcPr>
          <w:p w14:paraId="0A7BC8ED" w14:textId="77777777" w:rsidR="00C45693" w:rsidRPr="00E356CE" w:rsidRDefault="00C45693" w:rsidP="00A9191A">
            <w:pPr>
              <w:jc w:val="both"/>
              <w:rPr>
                <w:b/>
                <w:bCs/>
              </w:rPr>
            </w:pPr>
            <w:r w:rsidRPr="00E356CE">
              <w:rPr>
                <w:b/>
                <w:bCs/>
              </w:rPr>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49D7D96E" w14:textId="43AECB26" w:rsidR="00C45693" w:rsidRPr="00E356CE" w:rsidRDefault="004A138C" w:rsidP="00A9191A">
            <w:pPr>
              <w:jc w:val="both"/>
              <w:rPr>
                <w:b/>
              </w:rPr>
            </w:pPr>
            <w:r w:rsidRPr="00E356CE">
              <w:rPr>
                <w:rStyle w:val="normaltextrun"/>
                <w:b/>
              </w:rPr>
              <w:t>Dyrektywa 2000/31/WE Parlamentu Europejskiego i Rady z dnia 8 czerwca 2000 r. w sprawie niektórych aspektów prawnych usług społeczeństwa informacyjnego, w szczególności handlu elektronicznego w ramach rynku wewnętrznego (dyrektywa o handlu elektronicznym)</w:t>
            </w:r>
          </w:p>
        </w:tc>
      </w:tr>
      <w:tr w:rsidR="00723799" w:rsidRPr="00E356CE" w14:paraId="56BF5523" w14:textId="77777777" w:rsidTr="56856880">
        <w:tc>
          <w:tcPr>
            <w:tcW w:w="795" w:type="dxa"/>
          </w:tcPr>
          <w:p w14:paraId="0B81B343" w14:textId="6C1160EE" w:rsidR="00C45693" w:rsidRPr="00E356CE" w:rsidRDefault="00C45693" w:rsidP="00A9191A">
            <w:pPr>
              <w:jc w:val="both"/>
              <w:rPr>
                <w:b/>
              </w:rPr>
            </w:pPr>
            <w:r w:rsidRPr="00E356CE">
              <w:rPr>
                <w:b/>
              </w:rPr>
              <w:t>Art. 1</w:t>
            </w:r>
            <w:r w:rsidR="00765FEA" w:rsidRPr="00E356CE">
              <w:rPr>
                <w:b/>
              </w:rPr>
              <w:t>2 ust. 1</w:t>
            </w:r>
          </w:p>
        </w:tc>
        <w:tc>
          <w:tcPr>
            <w:tcW w:w="4719" w:type="dxa"/>
          </w:tcPr>
          <w:p w14:paraId="70FD81F0" w14:textId="77777777" w:rsidR="00765FEA" w:rsidRPr="00E356CE" w:rsidRDefault="00765FEA" w:rsidP="00765FEA">
            <w:pPr>
              <w:spacing w:before="60" w:after="120"/>
              <w:jc w:val="both"/>
            </w:pPr>
            <w:r w:rsidRPr="00E356CE">
              <w:t>1. Państwa Członkowskie zapewniają, żeby w przypadku świadczenia usługi społeczeństwa informacyjnego polegającej na transmisji w sieci telekomunikacyjnej informacji przekazanych przez usługobiorcę lub na zapewnianiu dostępu do sieci telekomunikacyjnej usługodawca nie był odpowiedzialny za przekazywane informacje, jeżeli:</w:t>
            </w:r>
          </w:p>
          <w:p w14:paraId="486ECF72" w14:textId="77777777" w:rsidR="00765FEA" w:rsidRPr="00E356CE" w:rsidRDefault="00765FEA" w:rsidP="00765FEA">
            <w:pPr>
              <w:spacing w:before="60" w:after="120"/>
              <w:jc w:val="both"/>
            </w:pPr>
            <w:r w:rsidRPr="00E356CE">
              <w:t>a) nie jest inicjatorem przekazu;</w:t>
            </w:r>
          </w:p>
          <w:p w14:paraId="5E191A9C" w14:textId="77777777" w:rsidR="00765FEA" w:rsidRPr="00E356CE" w:rsidRDefault="00765FEA" w:rsidP="00765FEA">
            <w:pPr>
              <w:spacing w:before="60" w:after="120"/>
              <w:jc w:val="both"/>
            </w:pPr>
            <w:r w:rsidRPr="00E356CE">
              <w:t>b) nie wybiera odbiorcy przekazu; oraz</w:t>
            </w:r>
          </w:p>
          <w:p w14:paraId="09C6C0EC" w14:textId="041EB67B" w:rsidR="00C45693" w:rsidRPr="00E356CE" w:rsidRDefault="00765FEA" w:rsidP="00765FEA">
            <w:pPr>
              <w:spacing w:before="60" w:after="120"/>
              <w:jc w:val="both"/>
              <w:rPr>
                <w:b/>
                <w:bCs/>
              </w:rPr>
            </w:pPr>
            <w:r w:rsidRPr="00E356CE">
              <w:lastRenderedPageBreak/>
              <w:t>c) nie wybiera oraz nie modyfikuje informacji zawartych w przekazie.</w:t>
            </w:r>
          </w:p>
        </w:tc>
        <w:tc>
          <w:tcPr>
            <w:tcW w:w="886" w:type="dxa"/>
          </w:tcPr>
          <w:p w14:paraId="28E3DE53" w14:textId="559CA0D6" w:rsidR="00C45693" w:rsidRPr="00E356CE" w:rsidRDefault="002A6036" w:rsidP="00A9191A">
            <w:pPr>
              <w:jc w:val="both"/>
              <w:rPr>
                <w:b/>
              </w:rPr>
            </w:pPr>
            <w:r w:rsidRPr="00E356CE">
              <w:rPr>
                <w:b/>
              </w:rPr>
              <w:lastRenderedPageBreak/>
              <w:t>T</w:t>
            </w:r>
          </w:p>
        </w:tc>
        <w:tc>
          <w:tcPr>
            <w:tcW w:w="900" w:type="dxa"/>
            <w:gridSpan w:val="3"/>
          </w:tcPr>
          <w:p w14:paraId="48D4DFA8" w14:textId="0D0F5F4E" w:rsidR="00C45693" w:rsidRPr="00E356CE" w:rsidRDefault="002A6036" w:rsidP="00A9191A">
            <w:pPr>
              <w:pStyle w:val="Tekstpodstawowy"/>
              <w:rPr>
                <w:noProof/>
                <w:sz w:val="24"/>
                <w:szCs w:val="24"/>
              </w:rPr>
            </w:pPr>
            <w:r w:rsidRPr="00E356CE">
              <w:rPr>
                <w:noProof/>
                <w:sz w:val="24"/>
                <w:szCs w:val="24"/>
              </w:rPr>
              <w:t>Art. 383</w:t>
            </w:r>
          </w:p>
        </w:tc>
        <w:tc>
          <w:tcPr>
            <w:tcW w:w="7410" w:type="dxa"/>
            <w:gridSpan w:val="2"/>
          </w:tcPr>
          <w:p w14:paraId="07849932" w14:textId="77777777" w:rsidR="00FC43E2" w:rsidRPr="00E356CE" w:rsidRDefault="00FC43E2" w:rsidP="00FC43E2">
            <w:pPr>
              <w:pStyle w:val="ARTartustawynprozporzdzenia"/>
              <w:keepNext/>
              <w:rPr>
                <w:rFonts w:ascii="Times New Roman" w:hAnsi="Times New Roman" w:cs="Times New Roman"/>
                <w:szCs w:val="24"/>
              </w:rPr>
            </w:pPr>
            <w:r w:rsidRPr="00E356CE">
              <w:rPr>
                <w:rStyle w:val="Ppogrubienie"/>
                <w:rFonts w:ascii="Times New Roman" w:hAnsi="Times New Roman"/>
                <w:szCs w:val="24"/>
              </w:rPr>
              <w:t>Art. 383.</w:t>
            </w:r>
            <w:r w:rsidRPr="00E356CE">
              <w:rPr>
                <w:rFonts w:ascii="Times New Roman" w:hAnsi="Times New Roman" w:cs="Times New Roman"/>
                <w:szCs w:val="24"/>
              </w:rPr>
              <w:t> Dostawca usług komunikacji elektronicznej oraz podmiot umożliwiający korzystanie z dostępu do publicznej sieci telekomunikacyjnej za pośrednictwem lokalnej sieci radiowej, nie odpowiada za treść komunikatów elektronicznych, jeżeli:</w:t>
            </w:r>
          </w:p>
          <w:p w14:paraId="04F5D362" w14:textId="77777777" w:rsidR="00FC43E2" w:rsidRPr="00E356CE" w:rsidRDefault="00FC43E2" w:rsidP="00FC43E2">
            <w:pPr>
              <w:pStyle w:val="PKTpunkt"/>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nie jest inicjatorem przekazu tych komunikatów elektronicznych;</w:t>
            </w:r>
          </w:p>
          <w:p w14:paraId="65BAFD43" w14:textId="77777777" w:rsidR="00FC43E2" w:rsidRPr="00E356CE" w:rsidRDefault="00FC43E2" w:rsidP="00FC43E2">
            <w:pPr>
              <w:pStyle w:val="PKTpunkt"/>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nie wybiera odbiorcy tych komunikatów elektronicznych lub</w:t>
            </w:r>
          </w:p>
          <w:p w14:paraId="5192E90D" w14:textId="77777777" w:rsidR="00FC43E2" w:rsidRPr="00E356CE" w:rsidRDefault="00FC43E2" w:rsidP="00FC43E2">
            <w:pPr>
              <w:pStyle w:val="PKTpunkt"/>
              <w:rPr>
                <w:rFonts w:ascii="Times New Roman" w:hAnsi="Times New Roman" w:cs="Times New Roman"/>
                <w:szCs w:val="24"/>
              </w:rPr>
            </w:pPr>
            <w:r w:rsidRPr="00E356CE">
              <w:rPr>
                <w:rFonts w:ascii="Times New Roman" w:hAnsi="Times New Roman" w:cs="Times New Roman"/>
                <w:szCs w:val="24"/>
              </w:rPr>
              <w:t>3)</w:t>
            </w:r>
            <w:r w:rsidRPr="00E356CE">
              <w:rPr>
                <w:rFonts w:ascii="Times New Roman" w:hAnsi="Times New Roman" w:cs="Times New Roman"/>
                <w:szCs w:val="24"/>
              </w:rPr>
              <w:tab/>
              <w:t>nie wybiera oraz nie przekształca treści komunikatów elektronicznych.</w:t>
            </w:r>
          </w:p>
          <w:p w14:paraId="29951124" w14:textId="77777777" w:rsidR="00C45693" w:rsidRPr="00E356CE" w:rsidRDefault="00C45693" w:rsidP="00A9191A">
            <w:pPr>
              <w:jc w:val="both"/>
            </w:pPr>
          </w:p>
        </w:tc>
      </w:tr>
      <w:tr w:rsidR="000B7F0D" w:rsidRPr="00E356CE" w14:paraId="06A236AC" w14:textId="77777777" w:rsidTr="56856880">
        <w:tc>
          <w:tcPr>
            <w:tcW w:w="795" w:type="dxa"/>
          </w:tcPr>
          <w:p w14:paraId="6E72B5B1" w14:textId="77777777" w:rsidR="000B7F0D" w:rsidRPr="00E356CE" w:rsidRDefault="000B7F0D" w:rsidP="00A9191A">
            <w:pPr>
              <w:jc w:val="both"/>
              <w:rPr>
                <w:b/>
              </w:rPr>
            </w:pPr>
          </w:p>
        </w:tc>
        <w:tc>
          <w:tcPr>
            <w:tcW w:w="4719" w:type="dxa"/>
          </w:tcPr>
          <w:p w14:paraId="41B14C39" w14:textId="77777777" w:rsidR="000B7F0D" w:rsidRPr="00E356CE" w:rsidRDefault="000B7F0D" w:rsidP="00A9191A">
            <w:pPr>
              <w:spacing w:before="60" w:after="120"/>
              <w:jc w:val="both"/>
              <w:rPr>
                <w:b/>
                <w:bCs/>
              </w:rPr>
            </w:pPr>
          </w:p>
        </w:tc>
        <w:tc>
          <w:tcPr>
            <w:tcW w:w="886" w:type="dxa"/>
          </w:tcPr>
          <w:p w14:paraId="49C6098A" w14:textId="77777777" w:rsidR="000B7F0D" w:rsidRPr="00E356CE" w:rsidRDefault="000B7F0D" w:rsidP="00A9191A">
            <w:pPr>
              <w:jc w:val="both"/>
              <w:rPr>
                <w:b/>
              </w:rPr>
            </w:pPr>
          </w:p>
        </w:tc>
        <w:tc>
          <w:tcPr>
            <w:tcW w:w="900" w:type="dxa"/>
            <w:gridSpan w:val="3"/>
          </w:tcPr>
          <w:p w14:paraId="4D68BD03" w14:textId="77777777" w:rsidR="000B7F0D" w:rsidRPr="00E356CE" w:rsidRDefault="000B7F0D" w:rsidP="00A9191A">
            <w:pPr>
              <w:pStyle w:val="Tekstpodstawowy"/>
              <w:rPr>
                <w:noProof/>
                <w:sz w:val="24"/>
                <w:szCs w:val="24"/>
              </w:rPr>
            </w:pPr>
          </w:p>
        </w:tc>
        <w:tc>
          <w:tcPr>
            <w:tcW w:w="7410" w:type="dxa"/>
            <w:gridSpan w:val="2"/>
          </w:tcPr>
          <w:p w14:paraId="4627F9AD" w14:textId="77777777" w:rsidR="000B7F0D" w:rsidRPr="00E356CE" w:rsidRDefault="000B7F0D" w:rsidP="00A9191A">
            <w:pPr>
              <w:jc w:val="both"/>
            </w:pPr>
          </w:p>
        </w:tc>
      </w:tr>
      <w:tr w:rsidR="000B7F0D" w:rsidRPr="00E356CE" w14:paraId="66926B27" w14:textId="77777777" w:rsidTr="56856880">
        <w:tc>
          <w:tcPr>
            <w:tcW w:w="5514" w:type="dxa"/>
            <w:gridSpan w:val="2"/>
            <w:shd w:val="clear" w:color="auto" w:fill="E0E0E0"/>
          </w:tcPr>
          <w:p w14:paraId="725D0710" w14:textId="77777777" w:rsidR="000B7F0D" w:rsidRPr="00E356CE" w:rsidRDefault="000B7F0D" w:rsidP="002657AA">
            <w:pPr>
              <w:jc w:val="both"/>
              <w:rPr>
                <w:b/>
                <w:bCs/>
              </w:rPr>
            </w:pPr>
            <w:r w:rsidRPr="00E356CE">
              <w:rPr>
                <w:b/>
                <w:bCs/>
              </w:rPr>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75E4D37D" w14:textId="77777777" w:rsidR="000B7F0D" w:rsidRPr="00E356CE" w:rsidRDefault="000B7F0D" w:rsidP="002657AA">
            <w:pPr>
              <w:jc w:val="both"/>
              <w:rPr>
                <w:b/>
              </w:rPr>
            </w:pPr>
            <w:r w:rsidRPr="00E356CE">
              <w:rPr>
                <w:rStyle w:val="normaltextrun"/>
                <w:b/>
              </w:rPr>
              <w:t>Dyrektywa Komisji 2002/77/WE z dnia 16 września 2002 r. w sprawie konkurencji na rynkach sieci i usług łączności elektronicznej</w:t>
            </w:r>
            <w:r w:rsidRPr="00E356CE">
              <w:rPr>
                <w:rStyle w:val="eop"/>
                <w:b/>
              </w:rPr>
              <w:t> </w:t>
            </w:r>
          </w:p>
        </w:tc>
      </w:tr>
      <w:tr w:rsidR="000B7F0D" w:rsidRPr="00E356CE" w14:paraId="0F730E18" w14:textId="77777777" w:rsidTr="56856880">
        <w:tc>
          <w:tcPr>
            <w:tcW w:w="795" w:type="dxa"/>
          </w:tcPr>
          <w:p w14:paraId="1A25A40B" w14:textId="77777777" w:rsidR="000B7F0D" w:rsidRPr="00E356CE" w:rsidRDefault="000B7F0D" w:rsidP="002657AA">
            <w:pPr>
              <w:jc w:val="both"/>
              <w:rPr>
                <w:b/>
              </w:rPr>
            </w:pPr>
            <w:r w:rsidRPr="00E356CE">
              <w:rPr>
                <w:b/>
              </w:rPr>
              <w:t>Art. 1</w:t>
            </w:r>
          </w:p>
        </w:tc>
        <w:tc>
          <w:tcPr>
            <w:tcW w:w="4719" w:type="dxa"/>
          </w:tcPr>
          <w:p w14:paraId="3112EA8D" w14:textId="77777777" w:rsidR="000B7F0D" w:rsidRPr="00E356CE" w:rsidRDefault="000B7F0D" w:rsidP="002657AA">
            <w:pPr>
              <w:spacing w:before="60" w:after="120"/>
              <w:jc w:val="both"/>
              <w:rPr>
                <w:b/>
                <w:bCs/>
              </w:rPr>
            </w:pPr>
            <w:r w:rsidRPr="00E356CE">
              <w:rPr>
                <w:b/>
                <w:bCs/>
              </w:rPr>
              <w:t xml:space="preserve">Definicje. </w:t>
            </w:r>
            <w:r w:rsidRPr="00E356CE">
              <w:t>Do celów niniejszej dyrektywy stosuje się następujące definicje:</w:t>
            </w:r>
          </w:p>
        </w:tc>
        <w:tc>
          <w:tcPr>
            <w:tcW w:w="886" w:type="dxa"/>
          </w:tcPr>
          <w:p w14:paraId="3DBCF1AC" w14:textId="77777777" w:rsidR="000B7F0D" w:rsidRPr="00E356CE" w:rsidRDefault="000B7F0D" w:rsidP="002657AA">
            <w:pPr>
              <w:jc w:val="both"/>
              <w:rPr>
                <w:b/>
              </w:rPr>
            </w:pPr>
          </w:p>
        </w:tc>
        <w:tc>
          <w:tcPr>
            <w:tcW w:w="900" w:type="dxa"/>
            <w:gridSpan w:val="3"/>
          </w:tcPr>
          <w:p w14:paraId="14903425" w14:textId="77777777" w:rsidR="000B7F0D" w:rsidRPr="00E356CE" w:rsidRDefault="000B7F0D" w:rsidP="002657AA">
            <w:pPr>
              <w:pStyle w:val="Tekstpodstawowy"/>
              <w:rPr>
                <w:noProof/>
                <w:sz w:val="24"/>
                <w:szCs w:val="24"/>
              </w:rPr>
            </w:pPr>
          </w:p>
        </w:tc>
        <w:tc>
          <w:tcPr>
            <w:tcW w:w="7410" w:type="dxa"/>
            <w:gridSpan w:val="2"/>
          </w:tcPr>
          <w:p w14:paraId="7B2D2F0D" w14:textId="77777777" w:rsidR="000B7F0D" w:rsidRPr="00E356CE" w:rsidRDefault="000B7F0D" w:rsidP="002657AA">
            <w:pPr>
              <w:jc w:val="both"/>
            </w:pPr>
          </w:p>
        </w:tc>
      </w:tr>
      <w:tr w:rsidR="00723799" w:rsidRPr="00E356CE" w14:paraId="7FD4340E" w14:textId="77777777" w:rsidTr="56856880">
        <w:tc>
          <w:tcPr>
            <w:tcW w:w="795" w:type="dxa"/>
          </w:tcPr>
          <w:p w14:paraId="05320F5D" w14:textId="77777777" w:rsidR="00C45693" w:rsidRPr="00E356CE" w:rsidRDefault="00C45693" w:rsidP="00A9191A">
            <w:pPr>
              <w:jc w:val="both"/>
            </w:pPr>
            <w:r w:rsidRPr="00E356CE">
              <w:t>Pkt 1</w:t>
            </w:r>
          </w:p>
        </w:tc>
        <w:tc>
          <w:tcPr>
            <w:tcW w:w="4719" w:type="dxa"/>
          </w:tcPr>
          <w:p w14:paraId="6C84089F" w14:textId="77777777" w:rsidR="00C45693" w:rsidRPr="00E356CE" w:rsidRDefault="00C45693" w:rsidP="00A9191A">
            <w:pPr>
              <w:spacing w:before="120"/>
              <w:jc w:val="both"/>
            </w:pPr>
            <w:r w:rsidRPr="00E356CE">
              <w:t xml:space="preserve">„sieć łączności elektronicznej” oznacza systemy przekazu i, w stosownych przypadkach, urządzenia przełączające lub </w:t>
            </w:r>
            <w:proofErr w:type="spellStart"/>
            <w:r w:rsidRPr="00E356CE">
              <w:t>routingowe</w:t>
            </w:r>
            <w:proofErr w:type="spellEnd"/>
            <w:r w:rsidRPr="00E356CE">
              <w:t xml:space="preserve"> oraz inne urządzenia pozwalające na przekazywanie sygnałów za pomocą kabla, drogą radiową, optyczną lub innymi środkami elektromagnetycznymi, w tym sieci satelitarne, stałe (komutacja łączy i pakietów, w tym Internet) oraz ruchome sieci naziemne, a także okablowanie elektryczne w zakresie, w jakim są wykorzystywane do celów przesyłania sygnałów, sieci wykorzystywane do nadawania programów radiowych i telewizyjnych oraz sieci telewizji kablowej, bez względu na rodzaj przesyłanych informacji;</w:t>
            </w:r>
          </w:p>
        </w:tc>
        <w:tc>
          <w:tcPr>
            <w:tcW w:w="886" w:type="dxa"/>
          </w:tcPr>
          <w:p w14:paraId="204BB18D" w14:textId="77777777" w:rsidR="00C45693" w:rsidRPr="00E356CE" w:rsidRDefault="00C45693" w:rsidP="00A9191A">
            <w:pPr>
              <w:jc w:val="both"/>
            </w:pPr>
            <w:r w:rsidRPr="00E356CE">
              <w:t>T</w:t>
            </w:r>
          </w:p>
          <w:p w14:paraId="12E73662" w14:textId="77777777" w:rsidR="00C45693" w:rsidRPr="00E356CE" w:rsidRDefault="00C45693" w:rsidP="00A9191A">
            <w:pPr>
              <w:jc w:val="both"/>
            </w:pPr>
            <w:r w:rsidRPr="00E356CE">
              <w:t>Zbliżona do EKŁE art. 2 pkt 1</w:t>
            </w:r>
          </w:p>
        </w:tc>
        <w:tc>
          <w:tcPr>
            <w:tcW w:w="900" w:type="dxa"/>
            <w:gridSpan w:val="3"/>
          </w:tcPr>
          <w:p w14:paraId="4B1DFE01" w14:textId="77777777" w:rsidR="00C45693" w:rsidRPr="00E356CE" w:rsidRDefault="00C45693" w:rsidP="00A9191A">
            <w:pPr>
              <w:pStyle w:val="Tekstpodstawowy"/>
              <w:rPr>
                <w:b/>
                <w:bCs/>
                <w:noProof/>
                <w:sz w:val="24"/>
                <w:szCs w:val="24"/>
              </w:rPr>
            </w:pPr>
            <w:r w:rsidRPr="00E356CE">
              <w:rPr>
                <w:b/>
                <w:bCs/>
                <w:noProof/>
                <w:sz w:val="24"/>
                <w:szCs w:val="24"/>
              </w:rPr>
              <w:t>Art. 2 pkt 59</w:t>
            </w:r>
          </w:p>
        </w:tc>
        <w:tc>
          <w:tcPr>
            <w:tcW w:w="7410" w:type="dxa"/>
            <w:gridSpan w:val="2"/>
          </w:tcPr>
          <w:p w14:paraId="58A6533D" w14:textId="42C20DC9" w:rsidR="00C45693" w:rsidRPr="00E356CE" w:rsidRDefault="00C45693" w:rsidP="00A9191A">
            <w:pPr>
              <w:jc w:val="both"/>
            </w:pPr>
            <w:r w:rsidRPr="00E356CE">
              <w:t xml:space="preserve">59)       sieć telekomunikacyjna – </w:t>
            </w:r>
            <w:r w:rsidR="0041088C" w:rsidRPr="00E356CE">
              <w:t>systemy transmisyjne, a także urządzenia telekomunikacyjne, oprócz telekomunikacyjnych urządzeń końcowych, oraz inne zasoby, w tym nieaktywne elementy sieci, które umożliwiają przekazywanie sygnałów za pomocą przewodów, fal radiowych, optycznych lub innych środków wykorzystujących energię elektromagnetyczną, niezależnie od rodzaju przekazywanej informacji</w:t>
            </w:r>
          </w:p>
        </w:tc>
      </w:tr>
      <w:tr w:rsidR="00723799" w:rsidRPr="00E356CE" w14:paraId="6BF8D3F4" w14:textId="77777777" w:rsidTr="56856880">
        <w:tc>
          <w:tcPr>
            <w:tcW w:w="795" w:type="dxa"/>
          </w:tcPr>
          <w:p w14:paraId="0ADE08AE" w14:textId="77777777" w:rsidR="00C45693" w:rsidRPr="00E356CE" w:rsidRDefault="00C45693" w:rsidP="00A9191A">
            <w:pPr>
              <w:jc w:val="both"/>
            </w:pPr>
            <w:r w:rsidRPr="00E356CE">
              <w:t>Pkt 2</w:t>
            </w:r>
          </w:p>
        </w:tc>
        <w:tc>
          <w:tcPr>
            <w:tcW w:w="4719" w:type="dxa"/>
          </w:tcPr>
          <w:p w14:paraId="02FFBDFA" w14:textId="77777777" w:rsidR="00C45693" w:rsidRPr="00E356CE" w:rsidRDefault="00C45693" w:rsidP="00A9191A">
            <w:pPr>
              <w:autoSpaceDE w:val="0"/>
              <w:autoSpaceDN w:val="0"/>
              <w:adjustRightInd w:val="0"/>
              <w:jc w:val="both"/>
              <w:rPr>
                <w:rFonts w:eastAsia="EUAlbertina-Regular-Identity-H"/>
              </w:rPr>
            </w:pPr>
            <w:r w:rsidRPr="00E356CE">
              <w:t>„publiczna sieć łączności” oznacza sieć łączności elektronicznej wykorzystywaną w całości lub głównie do świadczenia publicznych usług łączności elektronicznej;</w:t>
            </w:r>
          </w:p>
        </w:tc>
        <w:tc>
          <w:tcPr>
            <w:tcW w:w="886" w:type="dxa"/>
          </w:tcPr>
          <w:p w14:paraId="2827CD3B" w14:textId="77777777" w:rsidR="00C45693" w:rsidRPr="00E356CE" w:rsidRDefault="00C45693" w:rsidP="00A9191A">
            <w:pPr>
              <w:jc w:val="both"/>
            </w:pPr>
            <w:r w:rsidRPr="00E356CE">
              <w:t>T</w:t>
            </w:r>
          </w:p>
        </w:tc>
        <w:tc>
          <w:tcPr>
            <w:tcW w:w="900" w:type="dxa"/>
            <w:gridSpan w:val="3"/>
          </w:tcPr>
          <w:p w14:paraId="19F906C3" w14:textId="6E2DC2A3" w:rsidR="00C45693" w:rsidRPr="00E356CE" w:rsidRDefault="0041088C" w:rsidP="00A9191A">
            <w:pPr>
              <w:pStyle w:val="Tekstpodstawowy"/>
              <w:rPr>
                <w:b/>
                <w:bCs/>
                <w:noProof/>
                <w:sz w:val="24"/>
                <w:szCs w:val="24"/>
              </w:rPr>
            </w:pPr>
            <w:r w:rsidRPr="00E356CE">
              <w:rPr>
                <w:b/>
                <w:bCs/>
                <w:noProof/>
                <w:sz w:val="24"/>
                <w:szCs w:val="24"/>
              </w:rPr>
              <w:t>Art. 2 pkt 44</w:t>
            </w:r>
          </w:p>
        </w:tc>
        <w:tc>
          <w:tcPr>
            <w:tcW w:w="7410" w:type="dxa"/>
            <w:gridSpan w:val="2"/>
          </w:tcPr>
          <w:p w14:paraId="01852569" w14:textId="269B7017" w:rsidR="00C45693" w:rsidRPr="00E356CE" w:rsidRDefault="0041088C" w:rsidP="00A9191A">
            <w:pPr>
              <w:jc w:val="both"/>
            </w:pPr>
            <w:r w:rsidRPr="00E356CE">
              <w:t>44</w:t>
            </w:r>
            <w:r w:rsidR="00C45693" w:rsidRPr="00E356CE">
              <w:t xml:space="preserve">)       publiczna sieć telekomunikacyjna – </w:t>
            </w:r>
            <w:r w:rsidRPr="00E356CE">
              <w:t>sieć telekomunikacyjną wykorzystywaną głównie do świadczenia publicznie dostępnych usług telekomunikacyjnych;</w:t>
            </w:r>
          </w:p>
        </w:tc>
      </w:tr>
      <w:tr w:rsidR="00723799" w:rsidRPr="00E356CE" w14:paraId="11BD05F2" w14:textId="77777777" w:rsidTr="56856880">
        <w:tc>
          <w:tcPr>
            <w:tcW w:w="795" w:type="dxa"/>
          </w:tcPr>
          <w:p w14:paraId="43E83B4A" w14:textId="77777777" w:rsidR="00C45693" w:rsidRPr="00E356CE" w:rsidRDefault="00C45693" w:rsidP="00A9191A">
            <w:pPr>
              <w:jc w:val="both"/>
            </w:pPr>
            <w:r w:rsidRPr="00E356CE">
              <w:t>Pkt 3</w:t>
            </w:r>
          </w:p>
        </w:tc>
        <w:tc>
          <w:tcPr>
            <w:tcW w:w="4719" w:type="dxa"/>
          </w:tcPr>
          <w:p w14:paraId="3F3770CE" w14:textId="77777777" w:rsidR="00C45693" w:rsidRPr="00E356CE" w:rsidRDefault="00C45693" w:rsidP="00A9191A">
            <w:pPr>
              <w:autoSpaceDE w:val="0"/>
              <w:autoSpaceDN w:val="0"/>
              <w:adjustRightInd w:val="0"/>
              <w:jc w:val="both"/>
              <w:rPr>
                <w:rFonts w:eastAsia="EUAlbertina-Regular-Identity-H"/>
              </w:rPr>
            </w:pPr>
            <w:r w:rsidRPr="00E356CE">
              <w:t xml:space="preserve">„usługi łączności elektronicznej” oznaczają usługi normalnie świadczone za wynagrodzeniem, które obejmują w całości lub głównie przesyłanie sygnałów za pomocą sieci </w:t>
            </w:r>
            <w:r w:rsidRPr="00E356CE">
              <w:lastRenderedPageBreak/>
              <w:t>łączności elektronicznej, w tym usługi telekomunikacyjne i usługi transmisji w sieciach używanych do nadawania, ale z wyłączeniem usług polegających na zapewnianiu lub wykonywaniu kontroli redaktorskiej nad treścią przekazywaną za pomocą sieci i usług łączności elektronicznej; nie obejmuje to usług społeczeństwa informacyjnego, określonych w art. 1 dyrektywy 98/34/WE, które nie polegają w całości lub głównie na przesyłaniu sygnałów w sieciach łączności elektronicznej;</w:t>
            </w:r>
          </w:p>
        </w:tc>
        <w:tc>
          <w:tcPr>
            <w:tcW w:w="886" w:type="dxa"/>
          </w:tcPr>
          <w:p w14:paraId="4CEF7064" w14:textId="77777777" w:rsidR="00C45693" w:rsidRPr="00E356CE" w:rsidRDefault="00C45693" w:rsidP="00A9191A">
            <w:pPr>
              <w:jc w:val="both"/>
            </w:pPr>
            <w:r w:rsidRPr="00E356CE">
              <w:lastRenderedPageBreak/>
              <w:t>T</w:t>
            </w:r>
          </w:p>
          <w:p w14:paraId="18B79934" w14:textId="77777777" w:rsidR="00C45693" w:rsidRPr="00E356CE" w:rsidRDefault="00C45693" w:rsidP="00A9191A">
            <w:pPr>
              <w:jc w:val="both"/>
            </w:pPr>
            <w:r w:rsidRPr="00E356CE">
              <w:t>- rozbież</w:t>
            </w:r>
            <w:r w:rsidRPr="00E356CE">
              <w:lastRenderedPageBreak/>
              <w:t>ność z EKŁE</w:t>
            </w:r>
          </w:p>
        </w:tc>
        <w:tc>
          <w:tcPr>
            <w:tcW w:w="900" w:type="dxa"/>
            <w:gridSpan w:val="3"/>
          </w:tcPr>
          <w:p w14:paraId="567D1071" w14:textId="77777777" w:rsidR="00C45693" w:rsidRPr="00E356CE" w:rsidRDefault="00C45693" w:rsidP="00A9191A">
            <w:pPr>
              <w:pStyle w:val="Tekstpodstawowy"/>
              <w:rPr>
                <w:b/>
                <w:bCs/>
                <w:noProof/>
                <w:sz w:val="24"/>
                <w:szCs w:val="24"/>
              </w:rPr>
            </w:pPr>
          </w:p>
        </w:tc>
        <w:tc>
          <w:tcPr>
            <w:tcW w:w="7410" w:type="dxa"/>
            <w:gridSpan w:val="2"/>
          </w:tcPr>
          <w:p w14:paraId="16ECB3DE" w14:textId="77777777" w:rsidR="00C45693" w:rsidRPr="00E356CE" w:rsidRDefault="00C45693" w:rsidP="00A9191A">
            <w:pPr>
              <w:jc w:val="both"/>
            </w:pPr>
          </w:p>
        </w:tc>
      </w:tr>
      <w:tr w:rsidR="00723799" w:rsidRPr="00E356CE" w14:paraId="30D8AA78" w14:textId="77777777" w:rsidTr="56856880">
        <w:tc>
          <w:tcPr>
            <w:tcW w:w="795" w:type="dxa"/>
          </w:tcPr>
          <w:p w14:paraId="1B99D488" w14:textId="77777777" w:rsidR="00C45693" w:rsidRPr="00E356CE" w:rsidRDefault="00C45693" w:rsidP="00A9191A">
            <w:pPr>
              <w:jc w:val="both"/>
            </w:pPr>
            <w:r w:rsidRPr="00E356CE">
              <w:lastRenderedPageBreak/>
              <w:t>Pkt 4</w:t>
            </w:r>
          </w:p>
        </w:tc>
        <w:tc>
          <w:tcPr>
            <w:tcW w:w="4719" w:type="dxa"/>
          </w:tcPr>
          <w:p w14:paraId="777B210C" w14:textId="77777777" w:rsidR="00C45693" w:rsidRPr="00E356CE" w:rsidRDefault="00C45693" w:rsidP="00A9191A">
            <w:pPr>
              <w:spacing w:before="120"/>
              <w:jc w:val="both"/>
            </w:pPr>
            <w:r w:rsidRPr="00E356CE">
              <w:t>„publicznie dostępne usługi łączności elektronicznej” oznaczają usługi łączności elektronicznej dostępne ogółowi społeczeństwa;</w:t>
            </w:r>
          </w:p>
        </w:tc>
        <w:tc>
          <w:tcPr>
            <w:tcW w:w="886" w:type="dxa"/>
          </w:tcPr>
          <w:p w14:paraId="49AFB9AD" w14:textId="77777777" w:rsidR="00C45693" w:rsidRPr="00E356CE" w:rsidRDefault="00C45693" w:rsidP="00A9191A">
            <w:pPr>
              <w:jc w:val="both"/>
            </w:pPr>
            <w:r w:rsidRPr="00E356CE">
              <w:t>T</w:t>
            </w:r>
          </w:p>
        </w:tc>
        <w:tc>
          <w:tcPr>
            <w:tcW w:w="900" w:type="dxa"/>
            <w:gridSpan w:val="3"/>
          </w:tcPr>
          <w:p w14:paraId="75730679" w14:textId="042A086B" w:rsidR="00C45693" w:rsidRPr="00E356CE" w:rsidRDefault="00813DC8" w:rsidP="00A9191A">
            <w:pPr>
              <w:pStyle w:val="Tekstpodstawowy"/>
              <w:rPr>
                <w:b/>
                <w:bCs/>
                <w:noProof/>
                <w:sz w:val="24"/>
                <w:szCs w:val="24"/>
              </w:rPr>
            </w:pPr>
            <w:r w:rsidRPr="00E356CE">
              <w:rPr>
                <w:b/>
                <w:bCs/>
                <w:noProof/>
                <w:sz w:val="24"/>
                <w:szCs w:val="24"/>
              </w:rPr>
              <w:t>Art. 2 pkt 48</w:t>
            </w:r>
          </w:p>
        </w:tc>
        <w:tc>
          <w:tcPr>
            <w:tcW w:w="7410" w:type="dxa"/>
            <w:gridSpan w:val="2"/>
          </w:tcPr>
          <w:p w14:paraId="58CC4DFC" w14:textId="5E5B3236" w:rsidR="00C45693" w:rsidRPr="00E356CE" w:rsidRDefault="00813DC8" w:rsidP="00A9191A">
            <w:pPr>
              <w:jc w:val="both"/>
            </w:pPr>
            <w:r w:rsidRPr="00E356CE">
              <w:t>48</w:t>
            </w:r>
            <w:r w:rsidR="003C4E86" w:rsidRPr="00E356CE">
              <w:t xml:space="preserve">) </w:t>
            </w:r>
            <w:r w:rsidRPr="00E356CE">
              <w:t>publicznie dostępna usługa telekomunikacyjna – usługę telekomunikacyjną dostępną dla ogółu użytkowników;</w:t>
            </w:r>
          </w:p>
        </w:tc>
      </w:tr>
      <w:tr w:rsidR="00723799" w:rsidRPr="00E356CE" w14:paraId="478A462B" w14:textId="77777777" w:rsidTr="56856880">
        <w:tc>
          <w:tcPr>
            <w:tcW w:w="795" w:type="dxa"/>
          </w:tcPr>
          <w:p w14:paraId="031082FB" w14:textId="77777777" w:rsidR="00C45693" w:rsidRPr="00E356CE" w:rsidRDefault="00C45693" w:rsidP="00A9191A">
            <w:pPr>
              <w:jc w:val="both"/>
              <w:rPr>
                <w:b/>
              </w:rPr>
            </w:pPr>
            <w:r w:rsidRPr="00E356CE">
              <w:rPr>
                <w:b/>
              </w:rPr>
              <w:t>Pkt 5</w:t>
            </w:r>
          </w:p>
        </w:tc>
        <w:tc>
          <w:tcPr>
            <w:tcW w:w="4719" w:type="dxa"/>
          </w:tcPr>
          <w:p w14:paraId="2B7D924E" w14:textId="77777777" w:rsidR="00C45693" w:rsidRPr="00E356CE" w:rsidRDefault="00C45693" w:rsidP="00A9191A">
            <w:pPr>
              <w:pStyle w:val="divpkt"/>
              <w:spacing w:line="240" w:lineRule="auto"/>
              <w:ind w:left="0"/>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„prawa wyłączne” oznaczają prawa przyznane przez Państwo Członkowskie jednemu przedsiębiorstwu poprzez jakikolwiek instrument prawny, regulacyjny lub administracyjny, zastrzegając dla niego prawo do świadczenia usług łączności elektronicznej lub podjęcia działalności w zakresie łączności elektronicznej w obrębie określonego obszaru geograficznego; </w:t>
            </w:r>
          </w:p>
          <w:p w14:paraId="0B6279E2"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5BEA786A" w14:textId="77777777" w:rsidR="00C45693" w:rsidRPr="00E356CE" w:rsidRDefault="00C45693" w:rsidP="00A9191A">
            <w:pPr>
              <w:jc w:val="both"/>
            </w:pPr>
            <w:r w:rsidRPr="00E356CE">
              <w:t>N</w:t>
            </w:r>
          </w:p>
        </w:tc>
        <w:tc>
          <w:tcPr>
            <w:tcW w:w="900" w:type="dxa"/>
            <w:gridSpan w:val="3"/>
          </w:tcPr>
          <w:p w14:paraId="4D1A65E1" w14:textId="77777777" w:rsidR="00C45693" w:rsidRPr="00E356CE" w:rsidRDefault="00C45693" w:rsidP="00A9191A">
            <w:pPr>
              <w:pStyle w:val="Tekstpodstawowy"/>
              <w:rPr>
                <w:b/>
                <w:noProof/>
                <w:sz w:val="24"/>
                <w:szCs w:val="24"/>
              </w:rPr>
            </w:pPr>
          </w:p>
        </w:tc>
        <w:tc>
          <w:tcPr>
            <w:tcW w:w="7410" w:type="dxa"/>
            <w:gridSpan w:val="2"/>
          </w:tcPr>
          <w:p w14:paraId="08C34DBF" w14:textId="77777777" w:rsidR="00C45693" w:rsidRPr="00E356CE" w:rsidRDefault="00C45693" w:rsidP="00A9191A">
            <w:pPr>
              <w:jc w:val="both"/>
            </w:pPr>
          </w:p>
        </w:tc>
      </w:tr>
      <w:tr w:rsidR="00723799" w:rsidRPr="00E356CE" w14:paraId="708A4360" w14:textId="77777777" w:rsidTr="56856880">
        <w:tc>
          <w:tcPr>
            <w:tcW w:w="795" w:type="dxa"/>
          </w:tcPr>
          <w:p w14:paraId="1EB2B8CA" w14:textId="77777777" w:rsidR="00C45693" w:rsidRPr="00E356CE" w:rsidRDefault="00C45693" w:rsidP="00A9191A">
            <w:pPr>
              <w:jc w:val="both"/>
            </w:pPr>
            <w:r w:rsidRPr="00E356CE">
              <w:t>Pkt 6</w:t>
            </w:r>
          </w:p>
        </w:tc>
        <w:tc>
          <w:tcPr>
            <w:tcW w:w="4719" w:type="dxa"/>
          </w:tcPr>
          <w:p w14:paraId="4967D6B4" w14:textId="77777777" w:rsidR="00C45693" w:rsidRPr="00E356CE" w:rsidRDefault="00C45693" w:rsidP="00A9191A">
            <w:pPr>
              <w:pStyle w:val="divpkt"/>
              <w:spacing w:line="240" w:lineRule="auto"/>
              <w:ind w:left="0"/>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„prawa specjalne” oznaczają prawa przyznane przez Państwo Członkowskie ograniczonej liczbie przedsiębiorstw poprzez jakikolwiek instrument prawny, regulacyjny lub administracyjny, który w obrębie określonego obszaru geograficznego: </w:t>
            </w:r>
          </w:p>
          <w:p w14:paraId="2FA48F82"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57223914" w14:textId="77777777" w:rsidR="00C45693" w:rsidRPr="00E356CE" w:rsidRDefault="00C45693" w:rsidP="00A9191A">
            <w:pPr>
              <w:jc w:val="both"/>
            </w:pPr>
            <w:r w:rsidRPr="00E356CE">
              <w:lastRenderedPageBreak/>
              <w:t>N</w:t>
            </w:r>
          </w:p>
        </w:tc>
        <w:tc>
          <w:tcPr>
            <w:tcW w:w="900" w:type="dxa"/>
            <w:gridSpan w:val="3"/>
          </w:tcPr>
          <w:p w14:paraId="56F49FB6" w14:textId="77777777" w:rsidR="00C45693" w:rsidRPr="00E356CE" w:rsidRDefault="00C45693" w:rsidP="00A9191A">
            <w:pPr>
              <w:pStyle w:val="Tekstpodstawowy"/>
              <w:rPr>
                <w:b/>
                <w:noProof/>
                <w:sz w:val="24"/>
                <w:szCs w:val="24"/>
              </w:rPr>
            </w:pPr>
          </w:p>
        </w:tc>
        <w:tc>
          <w:tcPr>
            <w:tcW w:w="7410" w:type="dxa"/>
            <w:gridSpan w:val="2"/>
          </w:tcPr>
          <w:p w14:paraId="019FF518" w14:textId="77777777" w:rsidR="00C45693" w:rsidRPr="00E356CE" w:rsidRDefault="00C45693" w:rsidP="00A9191A">
            <w:pPr>
              <w:jc w:val="both"/>
            </w:pPr>
          </w:p>
        </w:tc>
      </w:tr>
      <w:tr w:rsidR="00723799" w:rsidRPr="00E356CE" w14:paraId="42D63446" w14:textId="77777777" w:rsidTr="56856880">
        <w:tc>
          <w:tcPr>
            <w:tcW w:w="795" w:type="dxa"/>
          </w:tcPr>
          <w:p w14:paraId="0347B9C8" w14:textId="77777777" w:rsidR="00C45693" w:rsidRPr="00E356CE" w:rsidRDefault="00C45693" w:rsidP="00A9191A">
            <w:pPr>
              <w:jc w:val="both"/>
            </w:pPr>
            <w:r w:rsidRPr="00E356CE">
              <w:lastRenderedPageBreak/>
              <w:t>a)</w:t>
            </w:r>
          </w:p>
        </w:tc>
        <w:tc>
          <w:tcPr>
            <w:tcW w:w="4719" w:type="dxa"/>
          </w:tcPr>
          <w:p w14:paraId="71AEEF11" w14:textId="77777777" w:rsidR="00C45693" w:rsidRPr="00E356CE" w:rsidRDefault="00C45693" w:rsidP="00A9191A">
            <w:pPr>
              <w:pStyle w:val="divpkt"/>
              <w:spacing w:line="240" w:lineRule="auto"/>
              <w:ind w:left="0"/>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wyznacza lub ogranicza do dwu lub więcej liczbę przedsiębiorstw, które uzyskały zezwolenie na świadczenie usług łączności elektronicznej lub podejmowanie działalności w zakresie łączności elektronicznej, inaczej niż zgodnie z obiektywnymi, proporcjonalnymi i niedyskryminacyjnymi kryteriami, lub </w:t>
            </w:r>
          </w:p>
          <w:p w14:paraId="5F164EF8"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75E0714F" w14:textId="77777777" w:rsidR="00C45693" w:rsidRPr="00E356CE" w:rsidRDefault="00C45693" w:rsidP="00A9191A">
            <w:pPr>
              <w:jc w:val="both"/>
            </w:pPr>
            <w:r w:rsidRPr="00E356CE">
              <w:t>N</w:t>
            </w:r>
          </w:p>
        </w:tc>
        <w:tc>
          <w:tcPr>
            <w:tcW w:w="900" w:type="dxa"/>
            <w:gridSpan w:val="3"/>
          </w:tcPr>
          <w:p w14:paraId="3E67CF26" w14:textId="77777777" w:rsidR="00C45693" w:rsidRPr="00E356CE" w:rsidRDefault="00C45693" w:rsidP="00A9191A">
            <w:pPr>
              <w:pStyle w:val="Tekstpodstawowy"/>
              <w:rPr>
                <w:b/>
                <w:noProof/>
                <w:sz w:val="24"/>
                <w:szCs w:val="24"/>
              </w:rPr>
            </w:pPr>
          </w:p>
        </w:tc>
        <w:tc>
          <w:tcPr>
            <w:tcW w:w="7410" w:type="dxa"/>
            <w:gridSpan w:val="2"/>
          </w:tcPr>
          <w:p w14:paraId="2F82AA90" w14:textId="77777777" w:rsidR="00C45693" w:rsidRPr="00E356CE" w:rsidRDefault="00C45693" w:rsidP="00A9191A">
            <w:pPr>
              <w:jc w:val="both"/>
            </w:pPr>
          </w:p>
        </w:tc>
      </w:tr>
      <w:tr w:rsidR="00723799" w:rsidRPr="00E356CE" w14:paraId="613C5060" w14:textId="77777777" w:rsidTr="56856880">
        <w:tc>
          <w:tcPr>
            <w:tcW w:w="795" w:type="dxa"/>
          </w:tcPr>
          <w:p w14:paraId="2EA032BA" w14:textId="77777777" w:rsidR="00C45693" w:rsidRPr="00E356CE" w:rsidRDefault="00C45693" w:rsidP="00A9191A">
            <w:pPr>
              <w:jc w:val="both"/>
            </w:pPr>
            <w:r w:rsidRPr="00E356CE">
              <w:t>b)</w:t>
            </w:r>
          </w:p>
        </w:tc>
        <w:tc>
          <w:tcPr>
            <w:tcW w:w="4719" w:type="dxa"/>
          </w:tcPr>
          <w:p w14:paraId="52C6E67B" w14:textId="77777777" w:rsidR="00C45693" w:rsidRPr="00E356CE" w:rsidRDefault="00C45693" w:rsidP="00A9191A">
            <w:pPr>
              <w:autoSpaceDE w:val="0"/>
              <w:autoSpaceDN w:val="0"/>
              <w:adjustRightInd w:val="0"/>
              <w:jc w:val="both"/>
              <w:rPr>
                <w:rFonts w:eastAsia="EUAlbertina-Regular-Identity-H"/>
              </w:rPr>
            </w:pPr>
            <w:r w:rsidRPr="00E356CE">
              <w:t>przyznaje przedsiębiorstwom, inaczej niż zgodnie z takimi kryteriami, korzyści prawne lub regulacyjne, które istotnie wpływają na zdolność jakiegokolwiek innego przedsiębiorstwa do świadczenia tych samych usług łączności elektronicznej lub podjęcia tej samej działalności z zakresu łączności elektronicznej w obrębie tego samego obszaru geograficznego na zasadniczo równoważnych warunkach;</w:t>
            </w:r>
          </w:p>
        </w:tc>
        <w:tc>
          <w:tcPr>
            <w:tcW w:w="886" w:type="dxa"/>
          </w:tcPr>
          <w:p w14:paraId="3384DF84" w14:textId="77777777" w:rsidR="00C45693" w:rsidRPr="00E356CE" w:rsidRDefault="00C45693" w:rsidP="00A9191A">
            <w:pPr>
              <w:jc w:val="both"/>
            </w:pPr>
            <w:r w:rsidRPr="00E356CE">
              <w:t>N</w:t>
            </w:r>
          </w:p>
          <w:p w14:paraId="0B7F94D6" w14:textId="77777777" w:rsidR="00C45693" w:rsidRPr="00E356CE" w:rsidRDefault="00C45693" w:rsidP="00A9191A">
            <w:pPr>
              <w:jc w:val="both"/>
            </w:pPr>
          </w:p>
        </w:tc>
        <w:tc>
          <w:tcPr>
            <w:tcW w:w="900" w:type="dxa"/>
            <w:gridSpan w:val="3"/>
          </w:tcPr>
          <w:p w14:paraId="387D8CF7" w14:textId="77777777" w:rsidR="00C45693" w:rsidRPr="00E356CE" w:rsidRDefault="00C45693" w:rsidP="00A9191A">
            <w:pPr>
              <w:pStyle w:val="Tekstpodstawowy"/>
              <w:rPr>
                <w:b/>
                <w:noProof/>
                <w:sz w:val="24"/>
                <w:szCs w:val="24"/>
              </w:rPr>
            </w:pPr>
          </w:p>
        </w:tc>
        <w:tc>
          <w:tcPr>
            <w:tcW w:w="7410" w:type="dxa"/>
            <w:gridSpan w:val="2"/>
          </w:tcPr>
          <w:p w14:paraId="4395B48D" w14:textId="77777777" w:rsidR="00C45693" w:rsidRPr="00E356CE" w:rsidRDefault="00C45693" w:rsidP="00A9191A">
            <w:pPr>
              <w:jc w:val="both"/>
            </w:pPr>
          </w:p>
        </w:tc>
      </w:tr>
      <w:tr w:rsidR="00723799" w:rsidRPr="00E356CE" w14:paraId="1F651268" w14:textId="77777777" w:rsidTr="56856880">
        <w:tc>
          <w:tcPr>
            <w:tcW w:w="795" w:type="dxa"/>
          </w:tcPr>
          <w:p w14:paraId="61E453D5" w14:textId="77777777" w:rsidR="00C45693" w:rsidRPr="00E356CE" w:rsidRDefault="00C45693" w:rsidP="00A9191A">
            <w:pPr>
              <w:jc w:val="both"/>
            </w:pPr>
            <w:r w:rsidRPr="00E356CE">
              <w:t>Pkt 7</w:t>
            </w:r>
          </w:p>
        </w:tc>
        <w:tc>
          <w:tcPr>
            <w:tcW w:w="4719" w:type="dxa"/>
          </w:tcPr>
          <w:p w14:paraId="0F70EDDF" w14:textId="77777777" w:rsidR="00C45693" w:rsidRPr="00E356CE" w:rsidRDefault="00C45693" w:rsidP="00A9191A">
            <w:pPr>
              <w:pStyle w:val="divpkt"/>
              <w:spacing w:line="240" w:lineRule="auto"/>
              <w:ind w:left="0"/>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„sieć naziemno-satelitarna” oznacza konfigurację dwu lub więcej stacji naziemnych współpracujących ze sobą za pomocą satelity; </w:t>
            </w:r>
          </w:p>
        </w:tc>
        <w:tc>
          <w:tcPr>
            <w:tcW w:w="886" w:type="dxa"/>
          </w:tcPr>
          <w:p w14:paraId="7A622F2B" w14:textId="77777777" w:rsidR="00C45693" w:rsidRPr="00E356CE" w:rsidRDefault="00C45693" w:rsidP="00A9191A">
            <w:pPr>
              <w:jc w:val="both"/>
            </w:pPr>
            <w:r w:rsidRPr="00E356CE">
              <w:t>N</w:t>
            </w:r>
          </w:p>
        </w:tc>
        <w:tc>
          <w:tcPr>
            <w:tcW w:w="900" w:type="dxa"/>
            <w:gridSpan w:val="3"/>
          </w:tcPr>
          <w:p w14:paraId="23B87670" w14:textId="77777777" w:rsidR="00C45693" w:rsidRPr="00E356CE" w:rsidRDefault="00C45693" w:rsidP="00A9191A">
            <w:pPr>
              <w:pStyle w:val="Tekstpodstawowy"/>
              <w:rPr>
                <w:b/>
                <w:bCs/>
                <w:noProof/>
                <w:sz w:val="24"/>
                <w:szCs w:val="24"/>
              </w:rPr>
            </w:pPr>
          </w:p>
        </w:tc>
        <w:tc>
          <w:tcPr>
            <w:tcW w:w="7410" w:type="dxa"/>
            <w:gridSpan w:val="2"/>
          </w:tcPr>
          <w:p w14:paraId="76A47D3A" w14:textId="77777777" w:rsidR="00C45693" w:rsidRPr="00E356CE" w:rsidRDefault="00C45693" w:rsidP="00A9191A">
            <w:pPr>
              <w:jc w:val="both"/>
            </w:pPr>
          </w:p>
        </w:tc>
      </w:tr>
      <w:tr w:rsidR="00723799" w:rsidRPr="00E356CE" w14:paraId="65B32EAD" w14:textId="77777777" w:rsidTr="56856880">
        <w:tc>
          <w:tcPr>
            <w:tcW w:w="795" w:type="dxa"/>
          </w:tcPr>
          <w:p w14:paraId="037FEED6" w14:textId="77777777" w:rsidR="00C45693" w:rsidRPr="00E356CE" w:rsidRDefault="00C45693" w:rsidP="00A9191A">
            <w:pPr>
              <w:jc w:val="both"/>
            </w:pPr>
            <w:r w:rsidRPr="00E356CE">
              <w:t>Pkt 8</w:t>
            </w:r>
          </w:p>
        </w:tc>
        <w:tc>
          <w:tcPr>
            <w:tcW w:w="4719" w:type="dxa"/>
          </w:tcPr>
          <w:p w14:paraId="5DFA2D0E" w14:textId="77777777" w:rsidR="00C45693" w:rsidRPr="00E356CE" w:rsidRDefault="00C45693" w:rsidP="00A9191A">
            <w:pPr>
              <w:autoSpaceDE w:val="0"/>
              <w:autoSpaceDN w:val="0"/>
              <w:adjustRightInd w:val="0"/>
              <w:jc w:val="both"/>
              <w:rPr>
                <w:rFonts w:eastAsia="EUAlbertina-Regular-Identity-H"/>
              </w:rPr>
            </w:pPr>
            <w:r w:rsidRPr="00E356CE">
              <w:t>„sieć telewizji kablowej” oznacza każdą opartą głównie na okablowaniu infrastrukturę, utworzoną zasadniczo do celów dostarczania lub rozpowszechniania audycji radiowych lub telewizyjnych dla publiczności.</w:t>
            </w:r>
          </w:p>
        </w:tc>
        <w:tc>
          <w:tcPr>
            <w:tcW w:w="886" w:type="dxa"/>
          </w:tcPr>
          <w:p w14:paraId="619F5D75" w14:textId="77777777" w:rsidR="00C45693" w:rsidRPr="00E356CE" w:rsidRDefault="00C45693" w:rsidP="00A9191A">
            <w:pPr>
              <w:jc w:val="both"/>
            </w:pPr>
            <w:r w:rsidRPr="00E356CE">
              <w:t>Poza zakresem Pke</w:t>
            </w:r>
          </w:p>
        </w:tc>
        <w:tc>
          <w:tcPr>
            <w:tcW w:w="900" w:type="dxa"/>
            <w:gridSpan w:val="3"/>
          </w:tcPr>
          <w:p w14:paraId="39D13682" w14:textId="77777777" w:rsidR="00C45693" w:rsidRPr="00E356CE" w:rsidRDefault="00C45693" w:rsidP="00A9191A">
            <w:pPr>
              <w:pStyle w:val="Tekstpodstawowy"/>
              <w:rPr>
                <w:b/>
                <w:bCs/>
                <w:noProof/>
                <w:sz w:val="24"/>
                <w:szCs w:val="24"/>
              </w:rPr>
            </w:pPr>
          </w:p>
        </w:tc>
        <w:tc>
          <w:tcPr>
            <w:tcW w:w="7410" w:type="dxa"/>
            <w:gridSpan w:val="2"/>
          </w:tcPr>
          <w:p w14:paraId="2A24ED5F" w14:textId="77777777" w:rsidR="00C45693" w:rsidRPr="00E356CE" w:rsidRDefault="00C45693" w:rsidP="00A9191A">
            <w:pPr>
              <w:jc w:val="both"/>
            </w:pPr>
          </w:p>
        </w:tc>
      </w:tr>
      <w:tr w:rsidR="00723799" w:rsidRPr="00E356CE" w14:paraId="2ED8C663" w14:textId="77777777" w:rsidTr="56856880">
        <w:tc>
          <w:tcPr>
            <w:tcW w:w="795" w:type="dxa"/>
          </w:tcPr>
          <w:p w14:paraId="26128288" w14:textId="77777777" w:rsidR="00C45693" w:rsidRPr="00E356CE" w:rsidRDefault="00C45693" w:rsidP="00A9191A">
            <w:pPr>
              <w:jc w:val="both"/>
              <w:rPr>
                <w:b/>
              </w:rPr>
            </w:pPr>
            <w:r w:rsidRPr="00E356CE">
              <w:rPr>
                <w:b/>
              </w:rPr>
              <w:t>Art. 2</w:t>
            </w:r>
          </w:p>
        </w:tc>
        <w:tc>
          <w:tcPr>
            <w:tcW w:w="4719" w:type="dxa"/>
          </w:tcPr>
          <w:p w14:paraId="2F267386" w14:textId="77777777" w:rsidR="00C45693" w:rsidRPr="00E356CE" w:rsidRDefault="00C45693" w:rsidP="00A9191A">
            <w:pPr>
              <w:autoSpaceDE w:val="0"/>
              <w:autoSpaceDN w:val="0"/>
              <w:adjustRightInd w:val="0"/>
              <w:jc w:val="both"/>
              <w:rPr>
                <w:rFonts w:eastAsia="EUAlbertina-Regular-Identity-H"/>
              </w:rPr>
            </w:pPr>
            <w:r w:rsidRPr="00E356CE">
              <w:rPr>
                <w:b/>
                <w:bCs/>
              </w:rPr>
              <w:t>Prawa wyłączne i specjalne w odniesieniu do sieci łączności elektronicznej i usług łączności elektronicznej.</w:t>
            </w:r>
          </w:p>
        </w:tc>
        <w:tc>
          <w:tcPr>
            <w:tcW w:w="886" w:type="dxa"/>
          </w:tcPr>
          <w:p w14:paraId="712AA688" w14:textId="77777777" w:rsidR="00C45693" w:rsidRPr="00E356CE" w:rsidRDefault="00C45693" w:rsidP="00A9191A">
            <w:pPr>
              <w:jc w:val="both"/>
            </w:pPr>
          </w:p>
        </w:tc>
        <w:tc>
          <w:tcPr>
            <w:tcW w:w="900" w:type="dxa"/>
            <w:gridSpan w:val="3"/>
          </w:tcPr>
          <w:p w14:paraId="0C439ADB" w14:textId="77777777" w:rsidR="00C45693" w:rsidRPr="00E356CE" w:rsidRDefault="00C45693" w:rsidP="00A9191A">
            <w:pPr>
              <w:pStyle w:val="Tekstpodstawowy"/>
              <w:rPr>
                <w:b/>
                <w:noProof/>
                <w:sz w:val="24"/>
                <w:szCs w:val="24"/>
              </w:rPr>
            </w:pPr>
          </w:p>
        </w:tc>
        <w:tc>
          <w:tcPr>
            <w:tcW w:w="7410" w:type="dxa"/>
            <w:gridSpan w:val="2"/>
          </w:tcPr>
          <w:p w14:paraId="18988952" w14:textId="77777777" w:rsidR="00C45693" w:rsidRPr="00E356CE" w:rsidRDefault="00C45693" w:rsidP="00A9191A">
            <w:pPr>
              <w:jc w:val="both"/>
            </w:pPr>
          </w:p>
        </w:tc>
      </w:tr>
      <w:tr w:rsidR="00723799" w:rsidRPr="00E356CE" w14:paraId="3C093FC1" w14:textId="77777777" w:rsidTr="56856880">
        <w:tc>
          <w:tcPr>
            <w:tcW w:w="795" w:type="dxa"/>
          </w:tcPr>
          <w:p w14:paraId="4D3F9543" w14:textId="77777777" w:rsidR="00C45693" w:rsidRPr="00E356CE" w:rsidRDefault="00C45693" w:rsidP="00A9191A">
            <w:pPr>
              <w:jc w:val="both"/>
            </w:pPr>
            <w:r w:rsidRPr="00E356CE">
              <w:t>Art. 2 ust. 1</w:t>
            </w:r>
          </w:p>
        </w:tc>
        <w:tc>
          <w:tcPr>
            <w:tcW w:w="4719" w:type="dxa"/>
          </w:tcPr>
          <w:p w14:paraId="1B4E0841"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1. Państwa Członkowskie nie przyznają oraz nie utrzymują w mocy praw wyłącznych lub </w:t>
            </w:r>
            <w:r w:rsidRPr="00E356CE">
              <w:rPr>
                <w:rFonts w:ascii="Times New Roman" w:hAnsi="Times New Roman" w:cs="Times New Roman"/>
                <w:color w:val="auto"/>
                <w:sz w:val="24"/>
                <w:szCs w:val="24"/>
              </w:rPr>
              <w:lastRenderedPageBreak/>
              <w:t>specjalnych w odniesieniu do tworzenia i/lub zapewnienia sieci łączności elektronicznej, lub w odniesieniu do świadczenia publicznie dostępnych usług łączności elektronicznej.</w:t>
            </w:r>
          </w:p>
          <w:p w14:paraId="1B9F6215"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4C828982" w14:textId="77777777" w:rsidR="00C45693" w:rsidRPr="00E356CE" w:rsidRDefault="00C45693" w:rsidP="00A9191A">
            <w:pPr>
              <w:jc w:val="both"/>
            </w:pPr>
            <w:r w:rsidRPr="00E356CE">
              <w:lastRenderedPageBreak/>
              <w:t>N</w:t>
            </w:r>
          </w:p>
        </w:tc>
        <w:tc>
          <w:tcPr>
            <w:tcW w:w="900" w:type="dxa"/>
            <w:gridSpan w:val="3"/>
          </w:tcPr>
          <w:p w14:paraId="46E21DD0" w14:textId="77777777" w:rsidR="00C45693" w:rsidRPr="00E356CE" w:rsidRDefault="00C45693" w:rsidP="00A9191A">
            <w:pPr>
              <w:pStyle w:val="Tekstpodstawowy"/>
              <w:rPr>
                <w:b/>
                <w:bCs/>
                <w:noProof/>
                <w:sz w:val="24"/>
                <w:szCs w:val="24"/>
              </w:rPr>
            </w:pPr>
            <w:r w:rsidRPr="00E356CE">
              <w:rPr>
                <w:b/>
                <w:bCs/>
                <w:noProof/>
                <w:sz w:val="24"/>
                <w:szCs w:val="24"/>
              </w:rPr>
              <w:t>Norma adreso</w:t>
            </w:r>
            <w:r w:rsidRPr="00E356CE">
              <w:rPr>
                <w:b/>
                <w:bCs/>
                <w:noProof/>
                <w:sz w:val="24"/>
                <w:szCs w:val="24"/>
              </w:rPr>
              <w:lastRenderedPageBreak/>
              <w:t>wna do p.czł</w:t>
            </w:r>
          </w:p>
        </w:tc>
        <w:tc>
          <w:tcPr>
            <w:tcW w:w="7410" w:type="dxa"/>
            <w:gridSpan w:val="2"/>
          </w:tcPr>
          <w:p w14:paraId="6B9E8961" w14:textId="77777777" w:rsidR="00C45693" w:rsidRPr="00E356CE" w:rsidRDefault="00C45693" w:rsidP="00A9191A">
            <w:pPr>
              <w:jc w:val="both"/>
            </w:pPr>
          </w:p>
        </w:tc>
      </w:tr>
      <w:tr w:rsidR="00723799" w:rsidRPr="00E356CE" w14:paraId="7A7FB6C5" w14:textId="77777777" w:rsidTr="56856880">
        <w:tc>
          <w:tcPr>
            <w:tcW w:w="795" w:type="dxa"/>
          </w:tcPr>
          <w:p w14:paraId="49DFB025" w14:textId="77777777" w:rsidR="00C45693" w:rsidRPr="00E356CE" w:rsidRDefault="00C45693" w:rsidP="00A9191A">
            <w:pPr>
              <w:jc w:val="both"/>
            </w:pPr>
            <w:r w:rsidRPr="00E356CE">
              <w:lastRenderedPageBreak/>
              <w:t>Art. 2 ust. 2</w:t>
            </w:r>
          </w:p>
        </w:tc>
        <w:tc>
          <w:tcPr>
            <w:tcW w:w="4719" w:type="dxa"/>
          </w:tcPr>
          <w:p w14:paraId="25755DE6"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2. Państwa Członkowskie podejmują wszelkie środki niezbędne do zapewnienia, aby każde przedsiębiorstwo było uprawnione do świadczenia usług łączności elektronicznej lub do utworzenia, rozszerzenia lub zapewnienia sieci łączności elektronicznej.</w:t>
            </w:r>
          </w:p>
          <w:p w14:paraId="22A00DF5"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71443BD4" w14:textId="77777777" w:rsidR="00C45693" w:rsidRPr="00E356CE" w:rsidRDefault="00C45693" w:rsidP="00A9191A">
            <w:pPr>
              <w:jc w:val="both"/>
            </w:pPr>
            <w:r w:rsidRPr="00E356CE">
              <w:t>N</w:t>
            </w:r>
          </w:p>
        </w:tc>
        <w:tc>
          <w:tcPr>
            <w:tcW w:w="900" w:type="dxa"/>
            <w:gridSpan w:val="3"/>
          </w:tcPr>
          <w:p w14:paraId="61B82D53" w14:textId="6FB8ECF2" w:rsidR="00C45693" w:rsidRPr="00E356CE" w:rsidRDefault="00C45693" w:rsidP="00A9191A">
            <w:pPr>
              <w:pStyle w:val="Tekstpodstawowy"/>
              <w:rPr>
                <w:b/>
                <w:bCs/>
                <w:noProof/>
                <w:sz w:val="24"/>
                <w:szCs w:val="24"/>
              </w:rPr>
            </w:pPr>
            <w:r w:rsidRPr="00E356CE">
              <w:rPr>
                <w:b/>
                <w:bCs/>
                <w:noProof/>
                <w:sz w:val="24"/>
                <w:szCs w:val="24"/>
              </w:rPr>
              <w:t>Art 5</w:t>
            </w:r>
            <w:r w:rsidR="005263CA" w:rsidRPr="00E356CE">
              <w:rPr>
                <w:b/>
                <w:bCs/>
                <w:noProof/>
                <w:sz w:val="24"/>
                <w:szCs w:val="24"/>
              </w:rPr>
              <w:t xml:space="preserve"> ust. 1 i 2</w:t>
            </w:r>
          </w:p>
        </w:tc>
        <w:tc>
          <w:tcPr>
            <w:tcW w:w="7410" w:type="dxa"/>
            <w:gridSpan w:val="2"/>
          </w:tcPr>
          <w:p w14:paraId="67783D4B" w14:textId="1A9E7168" w:rsidR="004B1F0B" w:rsidRPr="00E356CE" w:rsidRDefault="00C45693" w:rsidP="004B1F0B">
            <w:pPr>
              <w:pStyle w:val="ARTartustawynprozporzdzenia"/>
              <w:spacing w:before="0" w:line="240" w:lineRule="auto"/>
              <w:ind w:firstLine="0"/>
              <w:rPr>
                <w:rFonts w:ascii="Times New Roman" w:hAnsi="Times New Roman" w:cs="Times New Roman"/>
                <w:szCs w:val="24"/>
              </w:rPr>
            </w:pPr>
            <w:r w:rsidRPr="00E356CE">
              <w:rPr>
                <w:rFonts w:ascii="Times New Roman" w:hAnsi="Times New Roman" w:cs="Times New Roman"/>
                <w:b/>
                <w:bCs/>
              </w:rPr>
              <w:t>Art. 5.</w:t>
            </w:r>
            <w:r w:rsidRPr="00E356CE">
              <w:rPr>
                <w:rFonts w:ascii="Times New Roman" w:hAnsi="Times New Roman" w:cs="Times New Roman"/>
              </w:rPr>
              <w:t xml:space="preserve"> 1. </w:t>
            </w:r>
            <w:r w:rsidR="004B1F0B" w:rsidRPr="00E356CE">
              <w:rPr>
                <w:rFonts w:ascii="Times New Roman" w:hAnsi="Times New Roman" w:cs="Times New Roman"/>
                <w:szCs w:val="24"/>
              </w:rPr>
              <w:t>Działalność telekomunikacyjna będąca działalnością gospodarczą jest działalnością regulowaną i podlega wpisowi do rejestru przedsiębiorców telekomunikacyjnych, zwanego dalej „rejestrem PT”.</w:t>
            </w:r>
          </w:p>
          <w:p w14:paraId="71AFA5FC" w14:textId="0AD44170" w:rsidR="00C45693" w:rsidRPr="00E356CE" w:rsidRDefault="004B1F0B" w:rsidP="004B1F0B">
            <w:pPr>
              <w:jc w:val="both"/>
            </w:pPr>
            <w:r w:rsidRPr="00E356CE">
              <w:t xml:space="preserve"> 2. Wpisowi do rejestru PT podlega również działalność telekomunikacyjna prowadzona przez przedsiębiorcę telekomunikacyjnego z innego państwa członkowskiego Unii Europejskiej (UE) oraz państw członkowskich Europejskiego Porozumienia o Wolnym Handlu (EFTA) – stron umowy o Europejskim Obszarze Gospodarczym, zwanych dalej „państwami członkowskimi” albo państwa, które zawarło z UE i jej państwami członkowskimi umowę regulującą swobodę świadczenia usług, który czasowo świadczy na terytorium Rzeczypospolitej Polskiej usługi na zasadach określonych odpowiednio w przepisach Traktatu o funkcjonowaniu Unii Europejskiej, umowy o Europejskim Obszarze Gospodarczym albo w przepisach innej umowy regulującej swobodę świadczenia usług.</w:t>
            </w:r>
          </w:p>
        </w:tc>
      </w:tr>
      <w:tr w:rsidR="00723799" w:rsidRPr="00E356CE" w14:paraId="1868414C" w14:textId="77777777" w:rsidTr="56856880">
        <w:tc>
          <w:tcPr>
            <w:tcW w:w="795" w:type="dxa"/>
          </w:tcPr>
          <w:p w14:paraId="10939815" w14:textId="77777777" w:rsidR="00C45693" w:rsidRPr="00E356CE" w:rsidRDefault="00C45693" w:rsidP="00A9191A">
            <w:pPr>
              <w:jc w:val="both"/>
            </w:pPr>
            <w:r w:rsidRPr="00E356CE">
              <w:t>Art 2 ust. 3</w:t>
            </w:r>
          </w:p>
        </w:tc>
        <w:tc>
          <w:tcPr>
            <w:tcW w:w="4719" w:type="dxa"/>
          </w:tcPr>
          <w:p w14:paraId="093E227E" w14:textId="77777777" w:rsidR="00C45693" w:rsidRPr="00E356CE" w:rsidRDefault="00C45693" w:rsidP="00A9191A">
            <w:pPr>
              <w:spacing w:before="120"/>
              <w:jc w:val="both"/>
            </w:pPr>
            <w:r w:rsidRPr="00E356CE">
              <w:t>3. Państwa Członkowskie zapewniają, aby nie były nałożone lub utrzymane żadne ograniczenia w zakresie świadczenia usług łączności elektronicznej za pomocą sieci łączności elektronicznej, utworzonych przez dostawców usług łączności elektronicznej, za pomocą infrastruktur zapewnianych przez strony trzecie, lub przy współużytkowaniu sieci, innych urządzeń lub terenu bez uszczerbku dla przepisów dyrektyw 2002/19/WE, 2002/20/WE, 2002/21/WE i 2002/22/WE.</w:t>
            </w:r>
          </w:p>
        </w:tc>
        <w:tc>
          <w:tcPr>
            <w:tcW w:w="886" w:type="dxa"/>
          </w:tcPr>
          <w:p w14:paraId="2FBDEC7A" w14:textId="77777777" w:rsidR="00C45693" w:rsidRPr="00E356CE" w:rsidRDefault="00C45693" w:rsidP="00A9191A">
            <w:pPr>
              <w:jc w:val="both"/>
            </w:pPr>
            <w:r w:rsidRPr="00E356CE">
              <w:t>N</w:t>
            </w:r>
          </w:p>
        </w:tc>
        <w:tc>
          <w:tcPr>
            <w:tcW w:w="900" w:type="dxa"/>
            <w:gridSpan w:val="3"/>
          </w:tcPr>
          <w:p w14:paraId="2425E0B5" w14:textId="77777777" w:rsidR="00C45693" w:rsidRPr="00E356CE" w:rsidRDefault="00C45693" w:rsidP="00A9191A">
            <w:pPr>
              <w:pStyle w:val="Tekstpodstawowy"/>
              <w:rPr>
                <w:b/>
                <w:bCs/>
                <w:noProof/>
                <w:sz w:val="24"/>
                <w:szCs w:val="24"/>
              </w:rPr>
            </w:pPr>
            <w:r w:rsidRPr="00E356CE">
              <w:rPr>
                <w:b/>
                <w:bCs/>
                <w:noProof/>
                <w:sz w:val="24"/>
                <w:szCs w:val="24"/>
              </w:rPr>
              <w:t>Norma adresowna do p.czł</w:t>
            </w:r>
          </w:p>
          <w:p w14:paraId="5C2A582B" w14:textId="77777777" w:rsidR="00C45693" w:rsidRPr="00E356CE" w:rsidRDefault="00C45693" w:rsidP="00A9191A">
            <w:pPr>
              <w:pStyle w:val="Tekstpodstawowy"/>
              <w:rPr>
                <w:b/>
                <w:bCs/>
                <w:noProof/>
                <w:sz w:val="24"/>
                <w:szCs w:val="24"/>
              </w:rPr>
            </w:pPr>
          </w:p>
        </w:tc>
        <w:tc>
          <w:tcPr>
            <w:tcW w:w="7410" w:type="dxa"/>
            <w:gridSpan w:val="2"/>
          </w:tcPr>
          <w:p w14:paraId="5F855059" w14:textId="77777777" w:rsidR="00C45693" w:rsidRPr="00E356CE" w:rsidRDefault="00C45693" w:rsidP="00A9191A">
            <w:pPr>
              <w:jc w:val="both"/>
            </w:pPr>
          </w:p>
        </w:tc>
      </w:tr>
      <w:tr w:rsidR="00723799" w:rsidRPr="00E356CE" w14:paraId="4E7DB710" w14:textId="77777777" w:rsidTr="56856880">
        <w:tc>
          <w:tcPr>
            <w:tcW w:w="795" w:type="dxa"/>
          </w:tcPr>
          <w:p w14:paraId="729DC7B7" w14:textId="77777777" w:rsidR="00C45693" w:rsidRPr="00E356CE" w:rsidRDefault="00C45693" w:rsidP="00A9191A">
            <w:pPr>
              <w:jc w:val="both"/>
            </w:pPr>
            <w:r w:rsidRPr="00E356CE">
              <w:lastRenderedPageBreak/>
              <w:t>Art. 2 ust. 4</w:t>
            </w:r>
          </w:p>
        </w:tc>
        <w:tc>
          <w:tcPr>
            <w:tcW w:w="4719" w:type="dxa"/>
          </w:tcPr>
          <w:p w14:paraId="2A039FC8"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4. Państwa Członkowskie zapewniają, aby ogólne zezwolenie udzielone przedsiębiorstwu na świadczenie usług łączności elektronicznej lub utworzenie i/lub zapewnienie sieci łączności elektronicznej, jak również aby warunki związane z tym zezwoleniem opierały się na obiektywnych, niedyskryminacyjnych, proporcjonalnych i przejrzystych kryteriach.</w:t>
            </w:r>
          </w:p>
          <w:p w14:paraId="68158F80"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1E2F0528" w14:textId="77777777" w:rsidR="00C45693" w:rsidRPr="00E356CE" w:rsidRDefault="00C45693" w:rsidP="00A9191A">
            <w:pPr>
              <w:jc w:val="both"/>
            </w:pPr>
            <w:r w:rsidRPr="00E356CE">
              <w:t>T</w:t>
            </w:r>
          </w:p>
        </w:tc>
        <w:tc>
          <w:tcPr>
            <w:tcW w:w="900" w:type="dxa"/>
            <w:gridSpan w:val="3"/>
          </w:tcPr>
          <w:p w14:paraId="0CE59957" w14:textId="6122C69F" w:rsidR="00C45693" w:rsidRPr="00E356CE" w:rsidRDefault="00C45693" w:rsidP="00A9191A">
            <w:pPr>
              <w:pStyle w:val="Tekstpodstawowy"/>
              <w:rPr>
                <w:b/>
                <w:bCs/>
                <w:noProof/>
                <w:sz w:val="24"/>
                <w:szCs w:val="24"/>
              </w:rPr>
            </w:pPr>
            <w:r w:rsidRPr="00E356CE">
              <w:rPr>
                <w:b/>
                <w:bCs/>
                <w:noProof/>
                <w:sz w:val="24"/>
                <w:szCs w:val="24"/>
              </w:rPr>
              <w:t>Art. 5 ust. 1</w:t>
            </w:r>
            <w:r w:rsidR="005263CA" w:rsidRPr="00E356CE">
              <w:rPr>
                <w:b/>
                <w:bCs/>
                <w:noProof/>
                <w:sz w:val="24"/>
                <w:szCs w:val="24"/>
              </w:rPr>
              <w:t xml:space="preserve"> i 2</w:t>
            </w:r>
          </w:p>
        </w:tc>
        <w:tc>
          <w:tcPr>
            <w:tcW w:w="7410" w:type="dxa"/>
            <w:gridSpan w:val="2"/>
          </w:tcPr>
          <w:p w14:paraId="7673CF86" w14:textId="77777777" w:rsidR="005263CA" w:rsidRPr="00E356CE" w:rsidRDefault="005263CA" w:rsidP="005263CA">
            <w:pPr>
              <w:pStyle w:val="ARTartustawynprozporzdzenia"/>
              <w:spacing w:before="0" w:line="240" w:lineRule="auto"/>
              <w:ind w:firstLine="0"/>
              <w:rPr>
                <w:rFonts w:ascii="Times New Roman" w:hAnsi="Times New Roman" w:cs="Times New Roman"/>
                <w:szCs w:val="24"/>
              </w:rPr>
            </w:pPr>
            <w:r w:rsidRPr="00E356CE">
              <w:rPr>
                <w:rFonts w:ascii="Times New Roman" w:hAnsi="Times New Roman" w:cs="Times New Roman"/>
                <w:b/>
                <w:bCs/>
              </w:rPr>
              <w:t>Art. 5.</w:t>
            </w:r>
            <w:r w:rsidRPr="00E356CE">
              <w:rPr>
                <w:rFonts w:ascii="Times New Roman" w:hAnsi="Times New Roman" w:cs="Times New Roman"/>
              </w:rPr>
              <w:t xml:space="preserve"> 1. </w:t>
            </w:r>
            <w:r w:rsidRPr="00E356CE">
              <w:rPr>
                <w:rFonts w:ascii="Times New Roman" w:hAnsi="Times New Roman" w:cs="Times New Roman"/>
                <w:szCs w:val="24"/>
              </w:rPr>
              <w:t>Działalność telekomunikacyjna będąca działalnością gospodarczą jest działalnością regulowaną i podlega wpisowi do rejestru przedsiębiorców telekomunikacyjnych, zwanego dalej „rejestrem PT”.</w:t>
            </w:r>
          </w:p>
          <w:p w14:paraId="0E3626DD" w14:textId="53ED3D04" w:rsidR="00C45693" w:rsidRPr="00E356CE" w:rsidRDefault="005263CA" w:rsidP="005263CA">
            <w:pPr>
              <w:jc w:val="both"/>
            </w:pPr>
            <w:r w:rsidRPr="00E356CE">
              <w:t xml:space="preserve"> 2. Wpisowi do rejestru PT podlega również działalność telekomunikacyjna prowadzona przez przedsiębiorcę telekomunikacyjnego z innego państwa członkowskiego Unii Europejskiej (UE) oraz państw członkowskich Europejskiego Porozumienia o Wolnym Handlu (EFTA) – stron umowy o Europejskim Obszarze Gospodarczym, zwanych dalej „państwami członkowskimi” albo państwa, które zawarło z UE i jej państwami członkowskimi umowę regulującą swobodę świadczenia usług, który czasowo świadczy na terytorium Rzeczypospolitej Polskiej usługi na zasadach określonych odpowiednio w przepisach Traktatu o funkcjonowaniu Unii Europejskiej, umowy o Europejskim Obszarze Gospodarczym albo w przepisach innej umowy regulującej swobodę świadczenia usług.</w:t>
            </w:r>
          </w:p>
        </w:tc>
      </w:tr>
      <w:tr w:rsidR="00723799" w:rsidRPr="00E356CE" w14:paraId="5B19685B" w14:textId="77777777" w:rsidTr="56856880">
        <w:tc>
          <w:tcPr>
            <w:tcW w:w="795" w:type="dxa"/>
          </w:tcPr>
          <w:p w14:paraId="47E4C54B" w14:textId="77777777" w:rsidR="00C45693" w:rsidRPr="00E356CE" w:rsidRDefault="00C45693" w:rsidP="00A9191A">
            <w:pPr>
              <w:jc w:val="both"/>
            </w:pPr>
            <w:r w:rsidRPr="00E356CE">
              <w:t>Art. 2 ust. 5</w:t>
            </w:r>
          </w:p>
        </w:tc>
        <w:tc>
          <w:tcPr>
            <w:tcW w:w="4719" w:type="dxa"/>
          </w:tcPr>
          <w:p w14:paraId="2E7197FA"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5. W odniesieniu do każdej decyzji podjętej na podstawach określonych w art. 3 ust. 1 dyrektywy 2002/20/WE uniemożliwiającej przedsiębiorstwu świadczenie usług lub zapewnienie sieci łączności elektronicznej podaje się przyczyny. </w:t>
            </w:r>
          </w:p>
          <w:p w14:paraId="56E02178" w14:textId="77777777" w:rsidR="00C45693" w:rsidRPr="00E356CE" w:rsidRDefault="00C45693" w:rsidP="00A9191A">
            <w:pPr>
              <w:autoSpaceDE w:val="0"/>
              <w:autoSpaceDN w:val="0"/>
              <w:adjustRightInd w:val="0"/>
              <w:jc w:val="both"/>
              <w:rPr>
                <w:rFonts w:eastAsia="EUAlbertina-Regular-Identity-H"/>
              </w:rPr>
            </w:pPr>
            <w:r w:rsidRPr="00E356CE">
              <w:t>Każda z poszkodowanych stron powinna mieć możliwość zakwestionowania takiej decyzji przed organem niezależnym od stron oraz w ostateczności przed sądem lub trybunałem.</w:t>
            </w:r>
          </w:p>
        </w:tc>
        <w:tc>
          <w:tcPr>
            <w:tcW w:w="886" w:type="dxa"/>
          </w:tcPr>
          <w:p w14:paraId="6F70D5A7" w14:textId="77777777" w:rsidR="00C45693" w:rsidRPr="00E356CE" w:rsidRDefault="00C45693" w:rsidP="00A9191A">
            <w:pPr>
              <w:jc w:val="both"/>
            </w:pPr>
            <w:r w:rsidRPr="00E356CE">
              <w:t>N – dyrektywa uchylona</w:t>
            </w:r>
          </w:p>
        </w:tc>
        <w:tc>
          <w:tcPr>
            <w:tcW w:w="900" w:type="dxa"/>
            <w:gridSpan w:val="3"/>
          </w:tcPr>
          <w:p w14:paraId="56C1586F" w14:textId="77777777" w:rsidR="00C45693" w:rsidRPr="00E356CE" w:rsidRDefault="00C45693" w:rsidP="00A9191A">
            <w:pPr>
              <w:pStyle w:val="Tekstpodstawowy"/>
              <w:rPr>
                <w:b/>
                <w:noProof/>
                <w:sz w:val="24"/>
                <w:szCs w:val="24"/>
              </w:rPr>
            </w:pPr>
          </w:p>
        </w:tc>
        <w:tc>
          <w:tcPr>
            <w:tcW w:w="7410" w:type="dxa"/>
            <w:gridSpan w:val="2"/>
          </w:tcPr>
          <w:p w14:paraId="526A8266" w14:textId="77777777" w:rsidR="00C45693" w:rsidRPr="00E356CE" w:rsidRDefault="00C45693" w:rsidP="00A9191A">
            <w:pPr>
              <w:jc w:val="both"/>
            </w:pPr>
          </w:p>
        </w:tc>
      </w:tr>
      <w:tr w:rsidR="00723799" w:rsidRPr="00E356CE" w14:paraId="01BFA2A7" w14:textId="77777777" w:rsidTr="56856880">
        <w:tc>
          <w:tcPr>
            <w:tcW w:w="795" w:type="dxa"/>
          </w:tcPr>
          <w:p w14:paraId="78C55B13" w14:textId="77777777" w:rsidR="00C45693" w:rsidRPr="00E356CE" w:rsidRDefault="00C45693" w:rsidP="00A9191A">
            <w:pPr>
              <w:jc w:val="both"/>
              <w:rPr>
                <w:b/>
              </w:rPr>
            </w:pPr>
            <w:r w:rsidRPr="00E356CE">
              <w:rPr>
                <w:b/>
              </w:rPr>
              <w:t>Art. 3</w:t>
            </w:r>
          </w:p>
        </w:tc>
        <w:tc>
          <w:tcPr>
            <w:tcW w:w="4719" w:type="dxa"/>
          </w:tcPr>
          <w:p w14:paraId="4643D6F2" w14:textId="77777777" w:rsidR="00C45693" w:rsidRPr="00E356CE" w:rsidRDefault="00C45693" w:rsidP="00A9191A">
            <w:pPr>
              <w:autoSpaceDE w:val="0"/>
              <w:autoSpaceDN w:val="0"/>
              <w:adjustRightInd w:val="0"/>
              <w:jc w:val="both"/>
              <w:rPr>
                <w:rFonts w:eastAsia="EUAlbertina-Regular-Identity-H"/>
              </w:rPr>
            </w:pPr>
            <w:r w:rsidRPr="00E356CE">
              <w:rPr>
                <w:b/>
                <w:bCs/>
              </w:rPr>
              <w:t xml:space="preserve">Przedsiębiorstwa publiczne zintegrowane wertykalnie. </w:t>
            </w:r>
            <w:r w:rsidRPr="00E356CE">
              <w:t xml:space="preserve">W uzupełnieniu do wymagań określonych w art. 2 ust. 2 i bez uszczerbku dla art. 14 dyrektywy 2002/21/WE Państwa Członkowskie zapewniają, aby przedsiębiorstwa publiczne zintegrowane wertykalnie zapewniające sieci łączności </w:t>
            </w:r>
            <w:r w:rsidRPr="00E356CE">
              <w:lastRenderedPageBreak/>
              <w:t>elektronicznej oraz posiadające pozycję dominującą nie dyskryminowały na korzyść własnej działalności.</w:t>
            </w:r>
          </w:p>
        </w:tc>
        <w:tc>
          <w:tcPr>
            <w:tcW w:w="886" w:type="dxa"/>
          </w:tcPr>
          <w:p w14:paraId="3399E33F" w14:textId="77777777" w:rsidR="00C45693" w:rsidRPr="00E356CE" w:rsidRDefault="00DB1E54" w:rsidP="00A9191A">
            <w:pPr>
              <w:jc w:val="both"/>
            </w:pPr>
            <w:r w:rsidRPr="00E356CE">
              <w:lastRenderedPageBreak/>
              <w:t>N</w:t>
            </w:r>
          </w:p>
        </w:tc>
        <w:tc>
          <w:tcPr>
            <w:tcW w:w="900" w:type="dxa"/>
            <w:gridSpan w:val="3"/>
          </w:tcPr>
          <w:p w14:paraId="31AFBFDB" w14:textId="5159C1D6" w:rsidR="00C45693" w:rsidRPr="00E356CE" w:rsidRDefault="00C45693" w:rsidP="00F7006E">
            <w:pPr>
              <w:pStyle w:val="Tekstpodstawowy"/>
              <w:rPr>
                <w:b/>
                <w:bCs/>
                <w:noProof/>
                <w:sz w:val="24"/>
                <w:szCs w:val="24"/>
              </w:rPr>
            </w:pPr>
            <w:r w:rsidRPr="00E356CE">
              <w:rPr>
                <w:b/>
                <w:bCs/>
                <w:noProof/>
                <w:sz w:val="24"/>
                <w:szCs w:val="24"/>
              </w:rPr>
              <w:t xml:space="preserve">Art. </w:t>
            </w:r>
            <w:r w:rsidR="00F7006E" w:rsidRPr="00E356CE">
              <w:rPr>
                <w:b/>
                <w:bCs/>
                <w:noProof/>
                <w:sz w:val="24"/>
                <w:szCs w:val="24"/>
              </w:rPr>
              <w:t>406</w:t>
            </w:r>
          </w:p>
        </w:tc>
        <w:tc>
          <w:tcPr>
            <w:tcW w:w="7410" w:type="dxa"/>
            <w:gridSpan w:val="2"/>
          </w:tcPr>
          <w:p w14:paraId="1E36A414" w14:textId="77777777" w:rsidR="00F7006E" w:rsidRPr="00E356CE" w:rsidRDefault="00F7006E" w:rsidP="00F7006E">
            <w:pPr>
              <w:pStyle w:val="ARTartustawynprozporzdzenia"/>
              <w:keepNext/>
              <w:spacing w:before="0" w:line="240" w:lineRule="auto"/>
              <w:ind w:firstLine="0"/>
              <w:rPr>
                <w:rFonts w:ascii="Times New Roman" w:hAnsi="Times New Roman" w:cs="Times New Roman"/>
                <w:szCs w:val="24"/>
              </w:rPr>
            </w:pPr>
            <w:r w:rsidRPr="00E356CE">
              <w:rPr>
                <w:rStyle w:val="Ppogrubienie"/>
                <w:rFonts w:ascii="Times New Roman" w:hAnsi="Times New Roman"/>
                <w:szCs w:val="24"/>
              </w:rPr>
              <w:t>Art. 406.</w:t>
            </w:r>
            <w:r w:rsidRPr="00E356CE">
              <w:rPr>
                <w:rFonts w:ascii="Times New Roman" w:hAnsi="Times New Roman" w:cs="Times New Roman"/>
                <w:szCs w:val="24"/>
              </w:rPr>
              <w:t xml:space="preserve"> Organy administracji publicznej pełniące kontrolę nad przedsiębiorcą komunikacji elektronicznej lub posiadające pakiet kontrolny przedsiębiorcy komunikacji elektronicznej zapewniają strukturalny rozdział funkcji związanych z wykonywaniem przez nie zadań i uprawnień właścicielskich wobec tego przedsiębiorcy.</w:t>
            </w:r>
          </w:p>
          <w:p w14:paraId="3E5FF17A" w14:textId="7A0EA0AA" w:rsidR="00C45693" w:rsidRPr="00E356CE" w:rsidRDefault="00C45693" w:rsidP="00A9191A">
            <w:pPr>
              <w:jc w:val="both"/>
            </w:pPr>
          </w:p>
        </w:tc>
      </w:tr>
      <w:tr w:rsidR="00723799" w:rsidRPr="00E356CE" w14:paraId="0530F0D1" w14:textId="77777777" w:rsidTr="56856880">
        <w:tc>
          <w:tcPr>
            <w:tcW w:w="795" w:type="dxa"/>
          </w:tcPr>
          <w:p w14:paraId="2FCF7F2A" w14:textId="77777777" w:rsidR="00C45693" w:rsidRPr="00E356CE" w:rsidRDefault="00C45693" w:rsidP="00A9191A">
            <w:pPr>
              <w:jc w:val="both"/>
              <w:rPr>
                <w:b/>
              </w:rPr>
            </w:pPr>
            <w:r w:rsidRPr="00E356CE">
              <w:rPr>
                <w:b/>
              </w:rPr>
              <w:lastRenderedPageBreak/>
              <w:t>Art. 4</w:t>
            </w:r>
          </w:p>
        </w:tc>
        <w:tc>
          <w:tcPr>
            <w:tcW w:w="4719" w:type="dxa"/>
          </w:tcPr>
          <w:p w14:paraId="464E4554" w14:textId="77777777" w:rsidR="00C45693" w:rsidRPr="00E356CE" w:rsidRDefault="00C45693" w:rsidP="00A9191A">
            <w:r w:rsidRPr="00E356CE">
              <w:rPr>
                <w:b/>
                <w:bCs/>
              </w:rPr>
              <w:t xml:space="preserve">Prawo do wykorzystywania częstotliwości. </w:t>
            </w:r>
            <w:r w:rsidRPr="00E356CE">
              <w:t xml:space="preserve">Bez uszczerbku dla szczególnych kryteriów i procedur przyjętych przez Państwa Członkowskie w odniesieniu do przyznawania praw do wykorzystywania częstotliwości radiowych dostawcom usług w dziedzinie nadawania programów radiowych lub telewizyjnych, mając na celu realizowanie celów o interesie ogólnym zgodnie z prawem wspólnotowym: </w:t>
            </w:r>
          </w:p>
          <w:p w14:paraId="43C6748B" w14:textId="77777777" w:rsidR="00C45693" w:rsidRPr="00E356CE" w:rsidRDefault="00C45693" w:rsidP="00A9191A">
            <w:pPr>
              <w:pStyle w:val="divpkt"/>
              <w:spacing w:line="240" w:lineRule="auto"/>
              <w:rPr>
                <w:rFonts w:ascii="Times New Roman" w:hAnsi="Times New Roman" w:cs="Times New Roman"/>
                <w:color w:val="auto"/>
                <w:sz w:val="24"/>
                <w:szCs w:val="24"/>
              </w:rPr>
            </w:pPr>
            <w:r w:rsidRPr="00E356CE">
              <w:rPr>
                <w:rFonts w:ascii="Times New Roman" w:hAnsi="Times New Roman" w:cs="Times New Roman"/>
                <w:b/>
                <w:bCs/>
                <w:color w:val="auto"/>
                <w:sz w:val="24"/>
                <w:szCs w:val="24"/>
              </w:rPr>
              <w:t xml:space="preserve"> 1) </w:t>
            </w:r>
            <w:r w:rsidRPr="00E356CE">
              <w:rPr>
                <w:rFonts w:ascii="Times New Roman" w:hAnsi="Times New Roman" w:cs="Times New Roman"/>
                <w:color w:val="auto"/>
                <w:sz w:val="24"/>
                <w:szCs w:val="24"/>
              </w:rPr>
              <w:t xml:space="preserve"> Państwa Członkowskie nie przyznają praw wyłącznych lub specjalnych do wykorzystywania częstotliwości w odniesieniu do świadczenia usług łączności elektronicznej; </w:t>
            </w:r>
          </w:p>
          <w:p w14:paraId="2F71C7D9" w14:textId="77777777" w:rsidR="00C45693" w:rsidRPr="00E356CE" w:rsidRDefault="00C45693" w:rsidP="00A9191A">
            <w:pPr>
              <w:autoSpaceDE w:val="0"/>
              <w:autoSpaceDN w:val="0"/>
              <w:adjustRightInd w:val="0"/>
              <w:jc w:val="both"/>
              <w:rPr>
                <w:rFonts w:eastAsia="EUAlbertina-Regular-Identity-H"/>
              </w:rPr>
            </w:pPr>
            <w:r w:rsidRPr="00E356CE">
              <w:rPr>
                <w:b/>
                <w:bCs/>
              </w:rPr>
              <w:t xml:space="preserve"> 2) </w:t>
            </w:r>
            <w:r w:rsidRPr="00E356CE">
              <w:t xml:space="preserve"> przydzielanie częstotliwości w odniesieniu do usług łączności elektronicznej opiera się na obiektywnych, przejrzystych, niedyskryminacyjnych oraz proporcjonalnych kryteriach.</w:t>
            </w:r>
          </w:p>
        </w:tc>
        <w:tc>
          <w:tcPr>
            <w:tcW w:w="886" w:type="dxa"/>
          </w:tcPr>
          <w:p w14:paraId="3B0C9105" w14:textId="77777777" w:rsidR="00C45693" w:rsidRPr="00E356CE" w:rsidRDefault="00C45693" w:rsidP="00A9191A">
            <w:pPr>
              <w:jc w:val="both"/>
            </w:pPr>
            <w:r w:rsidRPr="00E356CE">
              <w:t>T</w:t>
            </w:r>
          </w:p>
        </w:tc>
        <w:tc>
          <w:tcPr>
            <w:tcW w:w="900" w:type="dxa"/>
            <w:gridSpan w:val="3"/>
          </w:tcPr>
          <w:p w14:paraId="6C2447B4" w14:textId="0F1F89AB" w:rsidR="00C45693" w:rsidRPr="00E356CE" w:rsidRDefault="00F7006E" w:rsidP="00A9191A">
            <w:pPr>
              <w:pStyle w:val="Tekstpodstawowy"/>
              <w:rPr>
                <w:b/>
                <w:bCs/>
                <w:noProof/>
                <w:sz w:val="24"/>
                <w:szCs w:val="24"/>
              </w:rPr>
            </w:pPr>
            <w:r w:rsidRPr="00E356CE">
              <w:rPr>
                <w:b/>
                <w:bCs/>
                <w:noProof/>
                <w:sz w:val="24"/>
                <w:szCs w:val="24"/>
              </w:rPr>
              <w:t>Art. 104</w:t>
            </w:r>
          </w:p>
        </w:tc>
        <w:tc>
          <w:tcPr>
            <w:tcW w:w="7410" w:type="dxa"/>
            <w:gridSpan w:val="2"/>
          </w:tcPr>
          <w:p w14:paraId="76744F2F" w14:textId="77777777" w:rsidR="00F7006E" w:rsidRPr="00E356CE" w:rsidRDefault="00F7006E" w:rsidP="00F7006E">
            <w:pPr>
              <w:pStyle w:val="ARTartustawynprozporzdzenia"/>
              <w:spacing w:before="0" w:line="240" w:lineRule="auto"/>
              <w:ind w:firstLine="0"/>
              <w:rPr>
                <w:rFonts w:ascii="Times New Roman" w:hAnsi="Times New Roman" w:cs="Times New Roman"/>
                <w:szCs w:val="24"/>
              </w:rPr>
            </w:pPr>
            <w:r w:rsidRPr="00E356CE">
              <w:rPr>
                <w:rStyle w:val="Ppogrubienie"/>
                <w:rFonts w:ascii="Times New Roman" w:hAnsi="Times New Roman"/>
                <w:szCs w:val="24"/>
              </w:rPr>
              <w:t>Art. 104.</w:t>
            </w:r>
            <w:r w:rsidRPr="00E356CE">
              <w:rPr>
                <w:rFonts w:ascii="Times New Roman" w:hAnsi="Times New Roman" w:cs="Times New Roman"/>
                <w:szCs w:val="24"/>
              </w:rPr>
              <w:t xml:space="preserve"> 1. Prezes UKE udostępnia na stronie podmiotowej BIP UKE informację o zajętych zasobach częstotliwości oraz aktualizuje ją nie rzadziej niż raz w miesiącu. Prezes UKE może także ogłosić informację o dostępnym zasobie częstotliwości.</w:t>
            </w:r>
          </w:p>
          <w:p w14:paraId="670EB9C7" w14:textId="77777777" w:rsidR="00F7006E" w:rsidRPr="00E356CE" w:rsidRDefault="00F7006E" w:rsidP="00F7006E">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2. W przypadku wpłynięcia wniosku o rezerwację częstotliwości z dostępnego zasobu Prezes UKE udostępnia niezwłocznie na stronie podmiotowej BIP UKE informację o wpłynięciu wniosku i wyznacza zainteresowanym podmiotom termin 14 dni na złożenie wniosku o rezerwację częstotliwości. Jeżeli w terminie wyznaczonym przez Prezesa UKE zostanie złożony wniosek o rezerwację częstotliwości, którego uwzględnienie spowoduje przekroczenie dostępnego zasobu częstotliwości, wówczas zachodzi brak dostatecznego zasobu częstotliwości.</w:t>
            </w:r>
          </w:p>
          <w:p w14:paraId="3AFA034D" w14:textId="77777777" w:rsidR="00F7006E" w:rsidRPr="00E356CE" w:rsidRDefault="00F7006E" w:rsidP="00F7006E">
            <w:pPr>
              <w:pStyle w:val="USTustnpkodeksu"/>
              <w:keepNext/>
              <w:spacing w:line="240" w:lineRule="auto"/>
              <w:rPr>
                <w:rFonts w:ascii="Times New Roman" w:hAnsi="Times New Roman" w:cs="Times New Roman"/>
                <w:szCs w:val="24"/>
              </w:rPr>
            </w:pPr>
            <w:r w:rsidRPr="00E356CE">
              <w:rPr>
                <w:rFonts w:ascii="Times New Roman" w:hAnsi="Times New Roman" w:cs="Times New Roman"/>
                <w:szCs w:val="24"/>
              </w:rPr>
              <w:t>3. W przypadku braku dostatecznego zasobu częstotliwości podmiot, dla którego zostanie dokonana rezerwacja częstotliwości, jest wyłaniany w drodze postępowania selekcyjnego:</w:t>
            </w:r>
          </w:p>
          <w:p w14:paraId="245D6C0E" w14:textId="77777777" w:rsidR="00F7006E" w:rsidRPr="00E356CE" w:rsidRDefault="00F7006E" w:rsidP="00F7006E">
            <w:pPr>
              <w:pStyle w:val="PKTpunkt"/>
              <w:spacing w:line="240" w:lineRule="auto"/>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konkursu - w przypadku rezerwacji częstotliwości na cele rozpowszechniania w sposób cyfrowy lub rozprowadzania programów radiofonicznych lub telewizyjnych;</w:t>
            </w:r>
          </w:p>
          <w:p w14:paraId="429C673A" w14:textId="2F0708B7" w:rsidR="00C45693" w:rsidRPr="00E356CE" w:rsidRDefault="00F7006E" w:rsidP="00F7006E">
            <w:pPr>
              <w:jc w:val="both"/>
            </w:pPr>
            <w:r w:rsidRPr="00E356CE">
              <w:t>2)</w:t>
            </w:r>
            <w:r w:rsidRPr="00E356CE">
              <w:tab/>
              <w:t>przetargu albo aukcji - w pozostałych przypadkach.</w:t>
            </w:r>
          </w:p>
        </w:tc>
      </w:tr>
      <w:tr w:rsidR="00723799" w:rsidRPr="00E356CE" w14:paraId="2673BBA4" w14:textId="77777777" w:rsidTr="56856880">
        <w:tc>
          <w:tcPr>
            <w:tcW w:w="795" w:type="dxa"/>
          </w:tcPr>
          <w:p w14:paraId="4193461C" w14:textId="77777777" w:rsidR="00C45693" w:rsidRPr="00E356CE" w:rsidRDefault="00C45693" w:rsidP="00A9191A">
            <w:pPr>
              <w:jc w:val="both"/>
              <w:rPr>
                <w:b/>
              </w:rPr>
            </w:pPr>
            <w:r w:rsidRPr="00E356CE">
              <w:rPr>
                <w:b/>
              </w:rPr>
              <w:t>Art. 5</w:t>
            </w:r>
          </w:p>
        </w:tc>
        <w:tc>
          <w:tcPr>
            <w:tcW w:w="4719" w:type="dxa"/>
          </w:tcPr>
          <w:p w14:paraId="49F58540" w14:textId="77777777" w:rsidR="00C45693" w:rsidRPr="00E356CE" w:rsidRDefault="00C45693" w:rsidP="00A9191A">
            <w:r w:rsidRPr="00E356CE">
              <w:rPr>
                <w:b/>
                <w:bCs/>
              </w:rPr>
              <w:t xml:space="preserve">Usługi informacyjne. </w:t>
            </w:r>
            <w:r w:rsidRPr="00E356CE">
              <w:t>Państwa Członkowskie zapewniają, aby wszelkie prawa wyłączne i/lub specjalne w odniesieniu do tworzenia i świadczenia usług informacyjnych na ich terytorium, włącznie z publikacją książek telefonicznych, jak i usługami informacji telefonicznej, zostały uchylone.</w:t>
            </w:r>
          </w:p>
          <w:p w14:paraId="6B05C35C"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57249BD4" w14:textId="77777777" w:rsidR="00C45693" w:rsidRPr="00E356CE" w:rsidRDefault="00C45693" w:rsidP="00A9191A">
            <w:pPr>
              <w:jc w:val="both"/>
            </w:pPr>
            <w:r w:rsidRPr="00E356CE">
              <w:t>N</w:t>
            </w:r>
          </w:p>
        </w:tc>
        <w:tc>
          <w:tcPr>
            <w:tcW w:w="900" w:type="dxa"/>
            <w:gridSpan w:val="3"/>
          </w:tcPr>
          <w:p w14:paraId="327AF426" w14:textId="77777777" w:rsidR="00C45693" w:rsidRPr="00E356CE" w:rsidRDefault="00C45693" w:rsidP="00A9191A">
            <w:pPr>
              <w:pStyle w:val="Tekstpodstawowy"/>
              <w:rPr>
                <w:b/>
                <w:noProof/>
                <w:sz w:val="24"/>
                <w:szCs w:val="24"/>
              </w:rPr>
            </w:pPr>
          </w:p>
        </w:tc>
        <w:tc>
          <w:tcPr>
            <w:tcW w:w="7410" w:type="dxa"/>
            <w:gridSpan w:val="2"/>
          </w:tcPr>
          <w:p w14:paraId="31F5315E" w14:textId="77777777" w:rsidR="00C45693" w:rsidRPr="00E356CE" w:rsidRDefault="00C45693" w:rsidP="00A9191A">
            <w:pPr>
              <w:jc w:val="both"/>
            </w:pPr>
          </w:p>
        </w:tc>
      </w:tr>
      <w:tr w:rsidR="00723799" w:rsidRPr="00E356CE" w14:paraId="1AA98A2D" w14:textId="77777777" w:rsidTr="56856880">
        <w:tc>
          <w:tcPr>
            <w:tcW w:w="795" w:type="dxa"/>
          </w:tcPr>
          <w:p w14:paraId="40F249E9" w14:textId="77777777" w:rsidR="00C45693" w:rsidRPr="00E356CE" w:rsidRDefault="00C45693" w:rsidP="00A9191A">
            <w:pPr>
              <w:jc w:val="both"/>
              <w:rPr>
                <w:b/>
              </w:rPr>
            </w:pPr>
            <w:r w:rsidRPr="00E356CE">
              <w:rPr>
                <w:b/>
              </w:rPr>
              <w:t>Art. 6</w:t>
            </w:r>
          </w:p>
        </w:tc>
        <w:tc>
          <w:tcPr>
            <w:tcW w:w="4719" w:type="dxa"/>
          </w:tcPr>
          <w:p w14:paraId="2A0A467D" w14:textId="77777777" w:rsidR="00C45693" w:rsidRPr="00E356CE" w:rsidRDefault="00C45693" w:rsidP="00A9191A">
            <w:pPr>
              <w:autoSpaceDE w:val="0"/>
              <w:autoSpaceDN w:val="0"/>
              <w:adjustRightInd w:val="0"/>
              <w:jc w:val="both"/>
              <w:rPr>
                <w:rFonts w:eastAsia="EUAlbertina-Regular-Identity-H"/>
              </w:rPr>
            </w:pPr>
            <w:r w:rsidRPr="00E356CE">
              <w:rPr>
                <w:b/>
                <w:bCs/>
              </w:rPr>
              <w:t>Obowiązki świadczenia usługi powszechnej.</w:t>
            </w:r>
          </w:p>
        </w:tc>
        <w:tc>
          <w:tcPr>
            <w:tcW w:w="886" w:type="dxa"/>
          </w:tcPr>
          <w:p w14:paraId="673EF0E4" w14:textId="77777777" w:rsidR="00C45693" w:rsidRPr="00E356CE" w:rsidRDefault="00C45693" w:rsidP="00A9191A">
            <w:pPr>
              <w:jc w:val="both"/>
            </w:pPr>
          </w:p>
        </w:tc>
        <w:tc>
          <w:tcPr>
            <w:tcW w:w="900" w:type="dxa"/>
            <w:gridSpan w:val="3"/>
          </w:tcPr>
          <w:p w14:paraId="74AC3F9B" w14:textId="77777777" w:rsidR="00C45693" w:rsidRPr="00E356CE" w:rsidRDefault="00C45693" w:rsidP="00A9191A">
            <w:pPr>
              <w:pStyle w:val="Tekstpodstawowy"/>
              <w:rPr>
                <w:b/>
                <w:noProof/>
                <w:sz w:val="24"/>
                <w:szCs w:val="24"/>
              </w:rPr>
            </w:pPr>
          </w:p>
        </w:tc>
        <w:tc>
          <w:tcPr>
            <w:tcW w:w="7410" w:type="dxa"/>
            <w:gridSpan w:val="2"/>
          </w:tcPr>
          <w:p w14:paraId="0F1102EA" w14:textId="77777777" w:rsidR="00C45693" w:rsidRPr="00E356CE" w:rsidRDefault="00C45693" w:rsidP="00A9191A">
            <w:pPr>
              <w:jc w:val="both"/>
            </w:pPr>
          </w:p>
        </w:tc>
      </w:tr>
      <w:tr w:rsidR="00723799" w:rsidRPr="00E356CE" w14:paraId="360E08F4" w14:textId="77777777" w:rsidTr="56856880">
        <w:tc>
          <w:tcPr>
            <w:tcW w:w="795" w:type="dxa"/>
          </w:tcPr>
          <w:p w14:paraId="7526988A" w14:textId="77777777" w:rsidR="00C45693" w:rsidRPr="00E356CE" w:rsidRDefault="00C45693" w:rsidP="00A9191A">
            <w:pPr>
              <w:jc w:val="both"/>
            </w:pPr>
            <w:r w:rsidRPr="00E356CE">
              <w:lastRenderedPageBreak/>
              <w:t>Art. 6 ust. 1</w:t>
            </w:r>
          </w:p>
        </w:tc>
        <w:tc>
          <w:tcPr>
            <w:tcW w:w="4719" w:type="dxa"/>
          </w:tcPr>
          <w:p w14:paraId="64B6EF2D"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1. Każdy program narodowy na podstawie dyrektywy 2002/22/WE, mający na celu podzielenie kosztu netto wynikającego z obowiązków świadczenia usługi powszechnej opiera się na obiektywnych, przejrzystych i niedyskryminacyjnych kryteriach oraz jest zgodny z zasadą proporcjonalności i najmniejszego zakłócenia rynku. W szczególności, gdy obowiązki świadczenia usługi powszechnej są nałożone w całości lub częściowo na przedsiębiorstwo państwowe świadczące usługi łączności elektronicznej, uwzględnia się to przy obliczaniu każdego udziału w kosztach netto wynikających z obowiązków świadczenia usługi powszechnej.</w:t>
            </w:r>
          </w:p>
          <w:p w14:paraId="590273BA"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4E1E935E" w14:textId="77777777" w:rsidR="00C45693" w:rsidRPr="00E356CE" w:rsidRDefault="00C45693" w:rsidP="00A9191A">
            <w:pPr>
              <w:jc w:val="both"/>
            </w:pPr>
            <w:r w:rsidRPr="00E356CE">
              <w:t>N- dyrektywa uchylona</w:t>
            </w:r>
          </w:p>
        </w:tc>
        <w:tc>
          <w:tcPr>
            <w:tcW w:w="900" w:type="dxa"/>
            <w:gridSpan w:val="3"/>
          </w:tcPr>
          <w:p w14:paraId="06084D1A" w14:textId="77777777" w:rsidR="00C45693" w:rsidRPr="00E356CE" w:rsidRDefault="00C45693" w:rsidP="00A9191A">
            <w:pPr>
              <w:pStyle w:val="Tekstpodstawowy"/>
              <w:rPr>
                <w:b/>
                <w:noProof/>
                <w:sz w:val="24"/>
                <w:szCs w:val="24"/>
              </w:rPr>
            </w:pPr>
          </w:p>
        </w:tc>
        <w:tc>
          <w:tcPr>
            <w:tcW w:w="7410" w:type="dxa"/>
            <w:gridSpan w:val="2"/>
          </w:tcPr>
          <w:p w14:paraId="07828AA8" w14:textId="77777777" w:rsidR="00C45693" w:rsidRPr="00E356CE" w:rsidRDefault="00C45693" w:rsidP="00A9191A">
            <w:pPr>
              <w:jc w:val="both"/>
            </w:pPr>
          </w:p>
        </w:tc>
      </w:tr>
      <w:tr w:rsidR="00723799" w:rsidRPr="00E356CE" w14:paraId="66209774" w14:textId="77777777" w:rsidTr="56856880">
        <w:tc>
          <w:tcPr>
            <w:tcW w:w="795" w:type="dxa"/>
          </w:tcPr>
          <w:p w14:paraId="537A3BC7" w14:textId="77777777" w:rsidR="00C45693" w:rsidRPr="00E356CE" w:rsidRDefault="00C45693" w:rsidP="00A9191A">
            <w:pPr>
              <w:jc w:val="both"/>
            </w:pPr>
            <w:r w:rsidRPr="00E356CE">
              <w:t>Art. 6 ust. 2</w:t>
            </w:r>
          </w:p>
        </w:tc>
        <w:tc>
          <w:tcPr>
            <w:tcW w:w="4719" w:type="dxa"/>
          </w:tcPr>
          <w:p w14:paraId="1354118B"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2. Państwa Członkowskie powiadamiają Komisję o każdym programie określonym w ust. 1.</w:t>
            </w:r>
          </w:p>
          <w:p w14:paraId="1B31C994"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600F0290" w14:textId="77777777" w:rsidR="00C45693" w:rsidRPr="00E356CE" w:rsidRDefault="00C45693" w:rsidP="00A9191A">
            <w:pPr>
              <w:jc w:val="both"/>
            </w:pPr>
            <w:r w:rsidRPr="00E356CE">
              <w:t>N-dyrektywa uchylona</w:t>
            </w:r>
          </w:p>
        </w:tc>
        <w:tc>
          <w:tcPr>
            <w:tcW w:w="900" w:type="dxa"/>
            <w:gridSpan w:val="3"/>
          </w:tcPr>
          <w:p w14:paraId="3AE23950" w14:textId="77777777" w:rsidR="00C45693" w:rsidRPr="00E356CE" w:rsidRDefault="00C45693" w:rsidP="00A9191A">
            <w:pPr>
              <w:pStyle w:val="Tekstpodstawowy"/>
              <w:rPr>
                <w:b/>
                <w:noProof/>
                <w:sz w:val="24"/>
                <w:szCs w:val="24"/>
              </w:rPr>
            </w:pPr>
          </w:p>
        </w:tc>
        <w:tc>
          <w:tcPr>
            <w:tcW w:w="7410" w:type="dxa"/>
            <w:gridSpan w:val="2"/>
          </w:tcPr>
          <w:p w14:paraId="13BD743A" w14:textId="77777777" w:rsidR="00C45693" w:rsidRPr="00E356CE" w:rsidRDefault="00C45693" w:rsidP="00A9191A">
            <w:pPr>
              <w:jc w:val="both"/>
            </w:pPr>
          </w:p>
        </w:tc>
      </w:tr>
      <w:tr w:rsidR="00723799" w:rsidRPr="00E356CE" w14:paraId="41D53C65" w14:textId="77777777" w:rsidTr="56856880">
        <w:tc>
          <w:tcPr>
            <w:tcW w:w="795" w:type="dxa"/>
          </w:tcPr>
          <w:p w14:paraId="0B5F3ACD" w14:textId="77777777" w:rsidR="00C45693" w:rsidRPr="00E356CE" w:rsidRDefault="00C45693" w:rsidP="00A9191A">
            <w:pPr>
              <w:jc w:val="both"/>
              <w:rPr>
                <w:b/>
              </w:rPr>
            </w:pPr>
            <w:r w:rsidRPr="00E356CE">
              <w:rPr>
                <w:b/>
              </w:rPr>
              <w:t>Art. 7</w:t>
            </w:r>
          </w:p>
        </w:tc>
        <w:tc>
          <w:tcPr>
            <w:tcW w:w="4719" w:type="dxa"/>
          </w:tcPr>
          <w:p w14:paraId="5F5F6F09" w14:textId="77777777" w:rsidR="00C45693" w:rsidRPr="00E356CE" w:rsidRDefault="00C45693" w:rsidP="00A9191A">
            <w:r w:rsidRPr="00E356CE">
              <w:rPr>
                <w:b/>
                <w:bCs/>
              </w:rPr>
              <w:t xml:space="preserve">Satelity. </w:t>
            </w:r>
          </w:p>
        </w:tc>
        <w:tc>
          <w:tcPr>
            <w:tcW w:w="886" w:type="dxa"/>
          </w:tcPr>
          <w:p w14:paraId="6B339EAF" w14:textId="77777777" w:rsidR="00C45693" w:rsidRPr="00E356CE" w:rsidRDefault="00C45693" w:rsidP="00A9191A">
            <w:pPr>
              <w:jc w:val="both"/>
            </w:pPr>
          </w:p>
        </w:tc>
        <w:tc>
          <w:tcPr>
            <w:tcW w:w="900" w:type="dxa"/>
            <w:gridSpan w:val="3"/>
          </w:tcPr>
          <w:p w14:paraId="365B876D" w14:textId="77777777" w:rsidR="00C45693" w:rsidRPr="00E356CE" w:rsidRDefault="00C45693" w:rsidP="00A9191A">
            <w:pPr>
              <w:pStyle w:val="Tekstpodstawowy"/>
              <w:rPr>
                <w:b/>
                <w:noProof/>
                <w:sz w:val="24"/>
                <w:szCs w:val="24"/>
              </w:rPr>
            </w:pPr>
          </w:p>
        </w:tc>
        <w:tc>
          <w:tcPr>
            <w:tcW w:w="7410" w:type="dxa"/>
            <w:gridSpan w:val="2"/>
          </w:tcPr>
          <w:p w14:paraId="70673125" w14:textId="77777777" w:rsidR="00C45693" w:rsidRPr="00E356CE" w:rsidRDefault="00C45693" w:rsidP="00A9191A">
            <w:pPr>
              <w:jc w:val="both"/>
            </w:pPr>
          </w:p>
        </w:tc>
      </w:tr>
      <w:tr w:rsidR="00723799" w:rsidRPr="00E356CE" w14:paraId="45AB8671" w14:textId="77777777" w:rsidTr="56856880">
        <w:tc>
          <w:tcPr>
            <w:tcW w:w="795" w:type="dxa"/>
          </w:tcPr>
          <w:p w14:paraId="2C7AD485" w14:textId="77777777" w:rsidR="00C45693" w:rsidRPr="00E356CE" w:rsidRDefault="00C45693" w:rsidP="00A9191A">
            <w:pPr>
              <w:jc w:val="both"/>
            </w:pPr>
            <w:r w:rsidRPr="00E356CE">
              <w:t>Art. 7 ust. 1</w:t>
            </w:r>
          </w:p>
        </w:tc>
        <w:tc>
          <w:tcPr>
            <w:tcW w:w="4719" w:type="dxa"/>
          </w:tcPr>
          <w:p w14:paraId="7F37C662"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1. Państwa Członkowskie zapewniają, aby wszelkie regulacyjne zakazy lub ograniczenia w ofercie pojemności segmentu kosmicznego w odniesieniu do mającego zezwolenie operatora sieci naziemno-satelitarnej zostały usunięte oraz upoważniają na swoim terytorium każdego dostawcę segmentu do sprawdzenia, czy sieć naziemno-satelitarna używana w połączeniu z segmentem danego dostawcy jest zgodna z opublikowanymi </w:t>
            </w:r>
            <w:r w:rsidRPr="00E356CE">
              <w:rPr>
                <w:rFonts w:ascii="Times New Roman" w:hAnsi="Times New Roman" w:cs="Times New Roman"/>
                <w:color w:val="auto"/>
                <w:sz w:val="24"/>
                <w:szCs w:val="24"/>
              </w:rPr>
              <w:lastRenderedPageBreak/>
              <w:t>warunkami dostępu do pojemności segmentu takiej osoby.</w:t>
            </w:r>
          </w:p>
          <w:p w14:paraId="19C2962A"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590786C6" w14:textId="77777777" w:rsidR="00C45693" w:rsidRPr="00E356CE" w:rsidRDefault="00C45693" w:rsidP="00A9191A">
            <w:pPr>
              <w:jc w:val="both"/>
            </w:pPr>
            <w:r w:rsidRPr="00E356CE">
              <w:lastRenderedPageBreak/>
              <w:t>N</w:t>
            </w:r>
          </w:p>
        </w:tc>
        <w:tc>
          <w:tcPr>
            <w:tcW w:w="900" w:type="dxa"/>
            <w:gridSpan w:val="3"/>
          </w:tcPr>
          <w:p w14:paraId="10CA38A4" w14:textId="77777777" w:rsidR="00C45693" w:rsidRPr="00E356CE" w:rsidRDefault="00C45693" w:rsidP="00A9191A">
            <w:pPr>
              <w:pStyle w:val="Tekstpodstawowy"/>
              <w:rPr>
                <w:b/>
                <w:noProof/>
                <w:sz w:val="24"/>
                <w:szCs w:val="24"/>
              </w:rPr>
            </w:pPr>
          </w:p>
        </w:tc>
        <w:tc>
          <w:tcPr>
            <w:tcW w:w="7410" w:type="dxa"/>
            <w:gridSpan w:val="2"/>
          </w:tcPr>
          <w:p w14:paraId="38EBB5D5" w14:textId="77777777" w:rsidR="00C45693" w:rsidRPr="00E356CE" w:rsidRDefault="00C45693" w:rsidP="00A9191A">
            <w:pPr>
              <w:jc w:val="both"/>
            </w:pPr>
            <w:r w:rsidRPr="00E356CE">
              <w:t>Brak ograniczeń</w:t>
            </w:r>
          </w:p>
        </w:tc>
      </w:tr>
      <w:tr w:rsidR="00723799" w:rsidRPr="00E356CE" w14:paraId="5129528D" w14:textId="77777777" w:rsidTr="56856880">
        <w:tc>
          <w:tcPr>
            <w:tcW w:w="795" w:type="dxa"/>
          </w:tcPr>
          <w:p w14:paraId="605183A0" w14:textId="77777777" w:rsidR="00C45693" w:rsidRPr="00E356CE" w:rsidRDefault="00C45693" w:rsidP="00A9191A">
            <w:pPr>
              <w:jc w:val="both"/>
            </w:pPr>
            <w:r w:rsidRPr="00E356CE">
              <w:lastRenderedPageBreak/>
              <w:t>Art. 7 ust. 2</w:t>
            </w:r>
          </w:p>
        </w:tc>
        <w:tc>
          <w:tcPr>
            <w:tcW w:w="4719" w:type="dxa"/>
          </w:tcPr>
          <w:p w14:paraId="32338484"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2. Państwa Członkowskie będące stroną konwencji międzynarodowych ustanawiających międzynarodowe organizacje satelitarne, w przypadku gdy takie konwencje nie są zgodne z regułami konkurencji Traktatu WE, podejmują wszelkie właściwe kroki zmierzające do wyeliminowania tych niezgodności.</w:t>
            </w:r>
          </w:p>
          <w:p w14:paraId="7D6F8B4C"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3B3FF086" w14:textId="77777777" w:rsidR="00C45693" w:rsidRPr="00E356CE" w:rsidRDefault="00C45693" w:rsidP="00A9191A">
            <w:pPr>
              <w:jc w:val="both"/>
            </w:pPr>
            <w:r w:rsidRPr="00E356CE">
              <w:t>N</w:t>
            </w:r>
          </w:p>
        </w:tc>
        <w:tc>
          <w:tcPr>
            <w:tcW w:w="900" w:type="dxa"/>
            <w:gridSpan w:val="3"/>
          </w:tcPr>
          <w:p w14:paraId="1EFB1FB8" w14:textId="77777777" w:rsidR="00C45693" w:rsidRPr="00E356CE" w:rsidRDefault="00C45693" w:rsidP="00A9191A">
            <w:pPr>
              <w:pStyle w:val="Tekstpodstawowy"/>
              <w:rPr>
                <w:b/>
                <w:noProof/>
                <w:sz w:val="24"/>
                <w:szCs w:val="24"/>
              </w:rPr>
            </w:pPr>
          </w:p>
        </w:tc>
        <w:tc>
          <w:tcPr>
            <w:tcW w:w="7410" w:type="dxa"/>
            <w:gridSpan w:val="2"/>
          </w:tcPr>
          <w:p w14:paraId="22FCA3EC" w14:textId="77777777" w:rsidR="00C45693" w:rsidRPr="00E356CE" w:rsidRDefault="00C45693" w:rsidP="00A9191A">
            <w:pPr>
              <w:jc w:val="both"/>
            </w:pPr>
            <w:r w:rsidRPr="00E356CE">
              <w:t>Brak niezgodności</w:t>
            </w:r>
          </w:p>
        </w:tc>
      </w:tr>
      <w:tr w:rsidR="00723799" w:rsidRPr="00E356CE" w14:paraId="791A23AF" w14:textId="77777777" w:rsidTr="56856880">
        <w:tc>
          <w:tcPr>
            <w:tcW w:w="795" w:type="dxa"/>
          </w:tcPr>
          <w:p w14:paraId="3950BF71" w14:textId="77777777" w:rsidR="00C45693" w:rsidRPr="00E356CE" w:rsidRDefault="00C45693" w:rsidP="00A9191A">
            <w:pPr>
              <w:jc w:val="both"/>
              <w:rPr>
                <w:b/>
              </w:rPr>
            </w:pPr>
            <w:r w:rsidRPr="00E356CE">
              <w:rPr>
                <w:b/>
              </w:rPr>
              <w:t>Art. 8</w:t>
            </w:r>
          </w:p>
        </w:tc>
        <w:tc>
          <w:tcPr>
            <w:tcW w:w="4719" w:type="dxa"/>
          </w:tcPr>
          <w:p w14:paraId="69CD322E" w14:textId="77777777" w:rsidR="00C45693" w:rsidRPr="00E356CE" w:rsidRDefault="00C45693" w:rsidP="00A9191A">
            <w:r w:rsidRPr="00E356CE">
              <w:rPr>
                <w:b/>
                <w:bCs/>
              </w:rPr>
              <w:t xml:space="preserve">Sieci telewizji kablowej. </w:t>
            </w:r>
          </w:p>
          <w:p w14:paraId="000B10A4"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438A15B5" w14:textId="77777777" w:rsidR="00C45693" w:rsidRPr="00E356CE" w:rsidRDefault="00C45693" w:rsidP="00A9191A">
            <w:pPr>
              <w:jc w:val="both"/>
            </w:pPr>
          </w:p>
        </w:tc>
        <w:tc>
          <w:tcPr>
            <w:tcW w:w="900" w:type="dxa"/>
            <w:gridSpan w:val="3"/>
          </w:tcPr>
          <w:p w14:paraId="236F8817" w14:textId="77777777" w:rsidR="00C45693" w:rsidRPr="00E356CE" w:rsidRDefault="00C45693" w:rsidP="00A9191A">
            <w:pPr>
              <w:pStyle w:val="Tekstpodstawowy"/>
              <w:rPr>
                <w:b/>
                <w:noProof/>
                <w:sz w:val="24"/>
                <w:szCs w:val="24"/>
              </w:rPr>
            </w:pPr>
          </w:p>
        </w:tc>
        <w:tc>
          <w:tcPr>
            <w:tcW w:w="7410" w:type="dxa"/>
            <w:gridSpan w:val="2"/>
          </w:tcPr>
          <w:p w14:paraId="08C4987A" w14:textId="77777777" w:rsidR="00C45693" w:rsidRPr="00E356CE" w:rsidRDefault="00C45693" w:rsidP="00A9191A">
            <w:pPr>
              <w:jc w:val="both"/>
            </w:pPr>
          </w:p>
        </w:tc>
      </w:tr>
      <w:tr w:rsidR="00723799" w:rsidRPr="00E356CE" w14:paraId="624069CC" w14:textId="77777777" w:rsidTr="56856880">
        <w:tc>
          <w:tcPr>
            <w:tcW w:w="795" w:type="dxa"/>
          </w:tcPr>
          <w:p w14:paraId="7AD7E695" w14:textId="77777777" w:rsidR="00C45693" w:rsidRPr="00E356CE" w:rsidRDefault="00C45693" w:rsidP="00A9191A">
            <w:pPr>
              <w:jc w:val="both"/>
            </w:pPr>
            <w:r w:rsidRPr="00E356CE">
              <w:t>Art. 8 ust. 1</w:t>
            </w:r>
          </w:p>
        </w:tc>
        <w:tc>
          <w:tcPr>
            <w:tcW w:w="4719" w:type="dxa"/>
          </w:tcPr>
          <w:p w14:paraId="47B5E5A1"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1. Każde Państwo Członkowskie zapewnia, aby żadne przedsiębiorstwo zapewniające publiczne sieci łączności elektronicznej nie obsługiwało swojej sieci telewizji kablowej przy wykorzystaniu tej samej osoby prawnej, jaką wykorzystuje przy obsługiwaniu innej publicznej sieci łączności elektronicznej, w przypadku gdy takie przedsiębiorstwo: </w:t>
            </w:r>
          </w:p>
          <w:p w14:paraId="283722F0" w14:textId="77777777" w:rsidR="00C45693" w:rsidRPr="00E356CE" w:rsidRDefault="00C45693" w:rsidP="00A9191A">
            <w:pPr>
              <w:pStyle w:val="divpkt"/>
              <w:spacing w:line="240" w:lineRule="auto"/>
              <w:rPr>
                <w:rFonts w:ascii="Times New Roman" w:hAnsi="Times New Roman" w:cs="Times New Roman"/>
                <w:color w:val="auto"/>
                <w:sz w:val="24"/>
                <w:szCs w:val="24"/>
              </w:rPr>
            </w:pPr>
            <w:r w:rsidRPr="00E356CE">
              <w:rPr>
                <w:rFonts w:ascii="Times New Roman" w:hAnsi="Times New Roman" w:cs="Times New Roman"/>
                <w:b/>
                <w:bCs/>
                <w:color w:val="auto"/>
                <w:sz w:val="24"/>
                <w:szCs w:val="24"/>
              </w:rPr>
              <w:t xml:space="preserve"> a) </w:t>
            </w:r>
            <w:r w:rsidRPr="00E356CE">
              <w:rPr>
                <w:rFonts w:ascii="Times New Roman" w:hAnsi="Times New Roman" w:cs="Times New Roman"/>
                <w:color w:val="auto"/>
                <w:sz w:val="24"/>
                <w:szCs w:val="24"/>
              </w:rPr>
              <w:t xml:space="preserve"> jest kontrolowane przez to Państwo Członkowskie lub korzysta z praw specjalnych; oraz </w:t>
            </w:r>
          </w:p>
          <w:p w14:paraId="664415AC" w14:textId="77777777" w:rsidR="00C45693" w:rsidRPr="00E356CE" w:rsidRDefault="00C45693" w:rsidP="00A9191A">
            <w:pPr>
              <w:pStyle w:val="divpkt"/>
              <w:spacing w:line="240" w:lineRule="auto"/>
              <w:rPr>
                <w:rFonts w:ascii="Times New Roman" w:hAnsi="Times New Roman" w:cs="Times New Roman"/>
                <w:color w:val="auto"/>
                <w:sz w:val="24"/>
                <w:szCs w:val="24"/>
              </w:rPr>
            </w:pPr>
            <w:r w:rsidRPr="00E356CE">
              <w:rPr>
                <w:rFonts w:ascii="Times New Roman" w:hAnsi="Times New Roman" w:cs="Times New Roman"/>
                <w:b/>
                <w:bCs/>
                <w:color w:val="auto"/>
                <w:sz w:val="24"/>
                <w:szCs w:val="24"/>
              </w:rPr>
              <w:t xml:space="preserve"> b) </w:t>
            </w:r>
            <w:r w:rsidRPr="00E356CE">
              <w:rPr>
                <w:rFonts w:ascii="Times New Roman" w:hAnsi="Times New Roman" w:cs="Times New Roman"/>
                <w:color w:val="auto"/>
                <w:sz w:val="24"/>
                <w:szCs w:val="24"/>
              </w:rPr>
              <w:t xml:space="preserve"> dominuje na znacznej części wspólnego rynku w zakresie zapewniania publicznej sieci łączności elektronicznej oraz świadczenia publicznie dostępnych usług telefonicznych; oraz </w:t>
            </w:r>
          </w:p>
          <w:p w14:paraId="5D004212" w14:textId="77777777" w:rsidR="00C45693" w:rsidRPr="00E356CE" w:rsidRDefault="00C45693" w:rsidP="00A9191A">
            <w:pPr>
              <w:pStyle w:val="divpkt"/>
              <w:spacing w:line="240" w:lineRule="auto"/>
              <w:rPr>
                <w:rFonts w:ascii="Times New Roman" w:hAnsi="Times New Roman" w:cs="Times New Roman"/>
                <w:color w:val="auto"/>
                <w:sz w:val="24"/>
                <w:szCs w:val="24"/>
              </w:rPr>
            </w:pPr>
            <w:r w:rsidRPr="00E356CE">
              <w:rPr>
                <w:rFonts w:ascii="Times New Roman" w:hAnsi="Times New Roman" w:cs="Times New Roman"/>
                <w:b/>
                <w:bCs/>
                <w:color w:val="auto"/>
                <w:sz w:val="24"/>
                <w:szCs w:val="24"/>
              </w:rPr>
              <w:t xml:space="preserve"> c) </w:t>
            </w:r>
            <w:r w:rsidRPr="00E356CE">
              <w:rPr>
                <w:rFonts w:ascii="Times New Roman" w:hAnsi="Times New Roman" w:cs="Times New Roman"/>
                <w:color w:val="auto"/>
                <w:sz w:val="24"/>
                <w:szCs w:val="24"/>
              </w:rPr>
              <w:t xml:space="preserve"> obsługuje sieć telewizji kablowej utworzoną na mocy prawa specjalnego lub </w:t>
            </w:r>
            <w:r w:rsidRPr="00E356CE">
              <w:rPr>
                <w:rFonts w:ascii="Times New Roman" w:hAnsi="Times New Roman" w:cs="Times New Roman"/>
                <w:color w:val="auto"/>
                <w:sz w:val="24"/>
                <w:szCs w:val="24"/>
              </w:rPr>
              <w:lastRenderedPageBreak/>
              <w:t xml:space="preserve">wyłącznego na tym samym obszarze geograficznym. </w:t>
            </w:r>
          </w:p>
          <w:p w14:paraId="6DF39D87"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35EF40F3" w14:textId="77777777" w:rsidR="00C45693" w:rsidRPr="00E356CE" w:rsidRDefault="00C45693" w:rsidP="00A9191A">
            <w:pPr>
              <w:jc w:val="both"/>
            </w:pPr>
            <w:r w:rsidRPr="00E356CE">
              <w:lastRenderedPageBreak/>
              <w:t>N</w:t>
            </w:r>
          </w:p>
        </w:tc>
        <w:tc>
          <w:tcPr>
            <w:tcW w:w="900" w:type="dxa"/>
            <w:gridSpan w:val="3"/>
          </w:tcPr>
          <w:p w14:paraId="369B7C53" w14:textId="77777777" w:rsidR="00C45693" w:rsidRPr="00E356CE" w:rsidRDefault="00C45693" w:rsidP="00A9191A">
            <w:pPr>
              <w:pStyle w:val="Tekstpodstawowy"/>
              <w:rPr>
                <w:b/>
                <w:noProof/>
                <w:sz w:val="24"/>
                <w:szCs w:val="24"/>
              </w:rPr>
            </w:pPr>
          </w:p>
        </w:tc>
        <w:tc>
          <w:tcPr>
            <w:tcW w:w="7410" w:type="dxa"/>
            <w:gridSpan w:val="2"/>
          </w:tcPr>
          <w:p w14:paraId="05FD5206" w14:textId="77777777" w:rsidR="00C45693" w:rsidRPr="00E356CE" w:rsidRDefault="00C45693" w:rsidP="00A9191A">
            <w:pPr>
              <w:jc w:val="both"/>
            </w:pPr>
          </w:p>
        </w:tc>
      </w:tr>
      <w:tr w:rsidR="00723799" w:rsidRPr="00E356CE" w14:paraId="1597364A" w14:textId="77777777" w:rsidTr="56856880">
        <w:tc>
          <w:tcPr>
            <w:tcW w:w="795" w:type="dxa"/>
          </w:tcPr>
          <w:p w14:paraId="5C27AB19" w14:textId="77777777" w:rsidR="00C45693" w:rsidRPr="00E356CE" w:rsidRDefault="00C45693" w:rsidP="00A9191A">
            <w:pPr>
              <w:jc w:val="both"/>
            </w:pPr>
            <w:r w:rsidRPr="00E356CE">
              <w:lastRenderedPageBreak/>
              <w:t>Art. 8 ust. 2</w:t>
            </w:r>
          </w:p>
        </w:tc>
        <w:tc>
          <w:tcPr>
            <w:tcW w:w="4719" w:type="dxa"/>
          </w:tcPr>
          <w:p w14:paraId="78DBBED0"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2. Pojęcie „publicznie dostępne usługi telefoniczne” uznane jest za równoznaczne z pojęciem „publiczne usługi telefonii głosowej” określonym w art. 1 dyrektywy 1999/64/WE.</w:t>
            </w:r>
          </w:p>
          <w:p w14:paraId="21341E83"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67833F42" w14:textId="77777777" w:rsidR="00C45693" w:rsidRPr="00E356CE" w:rsidRDefault="00C45693" w:rsidP="00A9191A">
            <w:pPr>
              <w:jc w:val="both"/>
            </w:pPr>
            <w:r w:rsidRPr="00E356CE">
              <w:t>N</w:t>
            </w:r>
          </w:p>
        </w:tc>
        <w:tc>
          <w:tcPr>
            <w:tcW w:w="900" w:type="dxa"/>
            <w:gridSpan w:val="3"/>
          </w:tcPr>
          <w:p w14:paraId="311EC59B" w14:textId="77777777" w:rsidR="00C45693" w:rsidRPr="00E356CE" w:rsidRDefault="00C45693" w:rsidP="00A9191A">
            <w:pPr>
              <w:pStyle w:val="Tekstpodstawowy"/>
              <w:rPr>
                <w:b/>
                <w:noProof/>
                <w:sz w:val="24"/>
                <w:szCs w:val="24"/>
              </w:rPr>
            </w:pPr>
          </w:p>
        </w:tc>
        <w:tc>
          <w:tcPr>
            <w:tcW w:w="7410" w:type="dxa"/>
            <w:gridSpan w:val="2"/>
          </w:tcPr>
          <w:p w14:paraId="048FA41A" w14:textId="77777777" w:rsidR="00C45693" w:rsidRPr="00E356CE" w:rsidRDefault="00C45693" w:rsidP="00A9191A">
            <w:pPr>
              <w:jc w:val="both"/>
            </w:pPr>
          </w:p>
        </w:tc>
      </w:tr>
      <w:tr w:rsidR="00723799" w:rsidRPr="00E356CE" w14:paraId="276D5994" w14:textId="77777777" w:rsidTr="56856880">
        <w:tc>
          <w:tcPr>
            <w:tcW w:w="795" w:type="dxa"/>
          </w:tcPr>
          <w:p w14:paraId="650A7B3D" w14:textId="77777777" w:rsidR="00C45693" w:rsidRPr="00E356CE" w:rsidRDefault="00C45693" w:rsidP="00A9191A">
            <w:pPr>
              <w:jc w:val="both"/>
            </w:pPr>
            <w:r w:rsidRPr="00E356CE">
              <w:t>Art. 8 ust. 3</w:t>
            </w:r>
          </w:p>
        </w:tc>
        <w:tc>
          <w:tcPr>
            <w:tcW w:w="4719" w:type="dxa"/>
          </w:tcPr>
          <w:p w14:paraId="5E26C281"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 xml:space="preserve">3. Państwa Członkowskie, które uznają, iż istnieje dostateczna konkurencja w zapewnianiu infrastruktury i usług pętli lokalnej na ich terenie, powiadamiają Komisję odpowiednio. </w:t>
            </w:r>
          </w:p>
          <w:p w14:paraId="1000A58F" w14:textId="77777777" w:rsidR="00C45693" w:rsidRPr="00E356CE" w:rsidRDefault="00C45693" w:rsidP="00A9191A">
            <w:pPr>
              <w:pStyle w:val="pparinner"/>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Informacje takie obejmują szczegółowy opis struktury rynku. Przekazane informacje są udostępniane każdej zainteresowanej stronie na wniosek, uwzględniając uzasadniony interes przedsiębiorstw w zakresie ochrony tajemnicy handlowej.</w:t>
            </w:r>
          </w:p>
          <w:p w14:paraId="03DC1880"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2DA486CC" w14:textId="77777777" w:rsidR="00C45693" w:rsidRPr="00E356CE" w:rsidRDefault="00C45693" w:rsidP="00A9191A">
            <w:pPr>
              <w:jc w:val="both"/>
            </w:pPr>
            <w:r w:rsidRPr="00E356CE">
              <w:t>N</w:t>
            </w:r>
          </w:p>
        </w:tc>
        <w:tc>
          <w:tcPr>
            <w:tcW w:w="900" w:type="dxa"/>
            <w:gridSpan w:val="3"/>
          </w:tcPr>
          <w:p w14:paraId="1BD3FE9A" w14:textId="77777777" w:rsidR="00C45693" w:rsidRPr="00E356CE" w:rsidRDefault="00C45693" w:rsidP="00A9191A">
            <w:pPr>
              <w:pStyle w:val="Tekstpodstawowy"/>
              <w:rPr>
                <w:b/>
                <w:noProof/>
                <w:sz w:val="24"/>
                <w:szCs w:val="24"/>
              </w:rPr>
            </w:pPr>
          </w:p>
        </w:tc>
        <w:tc>
          <w:tcPr>
            <w:tcW w:w="7410" w:type="dxa"/>
            <w:gridSpan w:val="2"/>
          </w:tcPr>
          <w:p w14:paraId="2EDB2028" w14:textId="77777777" w:rsidR="00C45693" w:rsidRPr="00E356CE" w:rsidRDefault="00C45693" w:rsidP="00A9191A">
            <w:pPr>
              <w:jc w:val="both"/>
            </w:pPr>
          </w:p>
        </w:tc>
      </w:tr>
      <w:tr w:rsidR="00723799" w:rsidRPr="00E356CE" w14:paraId="448DA61F" w14:textId="77777777" w:rsidTr="56856880">
        <w:tc>
          <w:tcPr>
            <w:tcW w:w="795" w:type="dxa"/>
          </w:tcPr>
          <w:p w14:paraId="29123B57" w14:textId="77777777" w:rsidR="00C45693" w:rsidRPr="00E356CE" w:rsidRDefault="00C45693" w:rsidP="00A9191A">
            <w:pPr>
              <w:jc w:val="both"/>
            </w:pPr>
            <w:r w:rsidRPr="00E356CE">
              <w:t>Art. 8 ust. 4</w:t>
            </w:r>
          </w:p>
        </w:tc>
        <w:tc>
          <w:tcPr>
            <w:tcW w:w="4719" w:type="dxa"/>
          </w:tcPr>
          <w:p w14:paraId="3B7B3167"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4. Komisja decyduje w odpowiednim czasie, po wysłuchaniu uwag tych stron, czy obowiązek prawnej odrębności może zostać zniesiony w zainteresowanym Państwie Członkowskim.</w:t>
            </w:r>
          </w:p>
          <w:p w14:paraId="00230A1F"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5B480899" w14:textId="77777777" w:rsidR="00C45693" w:rsidRPr="00E356CE" w:rsidRDefault="00C45693" w:rsidP="00A9191A">
            <w:pPr>
              <w:jc w:val="both"/>
            </w:pPr>
          </w:p>
        </w:tc>
        <w:tc>
          <w:tcPr>
            <w:tcW w:w="900" w:type="dxa"/>
            <w:gridSpan w:val="3"/>
          </w:tcPr>
          <w:p w14:paraId="757EBE68" w14:textId="77777777" w:rsidR="00C45693" w:rsidRPr="00E356CE" w:rsidRDefault="00C45693" w:rsidP="00A9191A">
            <w:pPr>
              <w:pStyle w:val="Tekstpodstawowy"/>
              <w:rPr>
                <w:b/>
                <w:noProof/>
                <w:sz w:val="24"/>
                <w:szCs w:val="24"/>
              </w:rPr>
            </w:pPr>
          </w:p>
        </w:tc>
        <w:tc>
          <w:tcPr>
            <w:tcW w:w="7410" w:type="dxa"/>
            <w:gridSpan w:val="2"/>
          </w:tcPr>
          <w:p w14:paraId="1A5B886E" w14:textId="77777777" w:rsidR="00C45693" w:rsidRPr="00E356CE" w:rsidRDefault="00C45693" w:rsidP="00A9191A">
            <w:pPr>
              <w:jc w:val="both"/>
            </w:pPr>
          </w:p>
        </w:tc>
      </w:tr>
      <w:tr w:rsidR="00723799" w:rsidRPr="00E356CE" w14:paraId="4B498E85" w14:textId="77777777" w:rsidTr="56856880">
        <w:tc>
          <w:tcPr>
            <w:tcW w:w="795" w:type="dxa"/>
          </w:tcPr>
          <w:p w14:paraId="092ADC04" w14:textId="77777777" w:rsidR="00C45693" w:rsidRPr="00E356CE" w:rsidRDefault="00C45693" w:rsidP="00A9191A">
            <w:pPr>
              <w:jc w:val="both"/>
            </w:pPr>
            <w:r w:rsidRPr="00E356CE">
              <w:t>Art. 8 ust. 5</w:t>
            </w:r>
          </w:p>
        </w:tc>
        <w:tc>
          <w:tcPr>
            <w:tcW w:w="4719" w:type="dxa"/>
          </w:tcPr>
          <w:p w14:paraId="4C473662" w14:textId="77777777" w:rsidR="00C45693" w:rsidRPr="00E356CE" w:rsidRDefault="00C45693" w:rsidP="00A9191A">
            <w:pPr>
              <w:pStyle w:val="divparagraph"/>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5. Komisja dokona oceny stosowania niniejszego artykułu nie później niż dnia 31 grudnia 2004 r.</w:t>
            </w:r>
          </w:p>
          <w:p w14:paraId="62FE1887"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48FFE575" w14:textId="77777777" w:rsidR="00C45693" w:rsidRPr="00E356CE" w:rsidRDefault="00C45693" w:rsidP="00A9191A">
            <w:pPr>
              <w:jc w:val="both"/>
            </w:pPr>
            <w:r w:rsidRPr="00E356CE">
              <w:t>N</w:t>
            </w:r>
          </w:p>
        </w:tc>
        <w:tc>
          <w:tcPr>
            <w:tcW w:w="900" w:type="dxa"/>
            <w:gridSpan w:val="3"/>
          </w:tcPr>
          <w:p w14:paraId="1C12A15B" w14:textId="77777777" w:rsidR="00C45693" w:rsidRPr="00E356CE" w:rsidRDefault="00C45693" w:rsidP="00A9191A">
            <w:pPr>
              <w:pStyle w:val="Tekstpodstawowy"/>
              <w:rPr>
                <w:b/>
                <w:noProof/>
                <w:sz w:val="24"/>
                <w:szCs w:val="24"/>
              </w:rPr>
            </w:pPr>
          </w:p>
        </w:tc>
        <w:tc>
          <w:tcPr>
            <w:tcW w:w="7410" w:type="dxa"/>
            <w:gridSpan w:val="2"/>
          </w:tcPr>
          <w:p w14:paraId="11C4F076" w14:textId="77777777" w:rsidR="00C45693" w:rsidRPr="00E356CE" w:rsidRDefault="00C45693" w:rsidP="00A9191A">
            <w:pPr>
              <w:jc w:val="both"/>
            </w:pPr>
          </w:p>
        </w:tc>
      </w:tr>
      <w:tr w:rsidR="00723799" w:rsidRPr="00E356CE" w14:paraId="0B02E3B3" w14:textId="77777777" w:rsidTr="56856880">
        <w:tc>
          <w:tcPr>
            <w:tcW w:w="795" w:type="dxa"/>
          </w:tcPr>
          <w:p w14:paraId="5FED723C" w14:textId="77777777" w:rsidR="00C45693" w:rsidRPr="00E356CE" w:rsidRDefault="00C45693" w:rsidP="00A9191A">
            <w:pPr>
              <w:jc w:val="both"/>
              <w:rPr>
                <w:b/>
              </w:rPr>
            </w:pPr>
            <w:r w:rsidRPr="00E356CE">
              <w:rPr>
                <w:b/>
              </w:rPr>
              <w:t>Art. 9</w:t>
            </w:r>
          </w:p>
        </w:tc>
        <w:tc>
          <w:tcPr>
            <w:tcW w:w="4719" w:type="dxa"/>
          </w:tcPr>
          <w:p w14:paraId="3344538B" w14:textId="77777777" w:rsidR="00C45693" w:rsidRPr="00E356CE" w:rsidRDefault="00C45693" w:rsidP="00A9191A">
            <w:r w:rsidRPr="00E356CE">
              <w:t xml:space="preserve">Państwa Członkowskie nie później niż do dnia 24 lipca 2003 r. przekazują Komisji takie </w:t>
            </w:r>
            <w:r w:rsidRPr="00E356CE">
              <w:lastRenderedPageBreak/>
              <w:t>informacje, które pozwolą Komisji na potwierdzenie, że przepisy niniejszej dyrektywy zostały wykonane.</w:t>
            </w:r>
          </w:p>
          <w:p w14:paraId="5F45DCFA"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163B48BA" w14:textId="77777777" w:rsidR="00C45693" w:rsidRPr="00E356CE" w:rsidRDefault="00C45693" w:rsidP="00A9191A">
            <w:pPr>
              <w:jc w:val="both"/>
            </w:pPr>
            <w:r w:rsidRPr="00E356CE">
              <w:lastRenderedPageBreak/>
              <w:t>N</w:t>
            </w:r>
          </w:p>
        </w:tc>
        <w:tc>
          <w:tcPr>
            <w:tcW w:w="900" w:type="dxa"/>
            <w:gridSpan w:val="3"/>
          </w:tcPr>
          <w:p w14:paraId="7B61BC3E" w14:textId="77777777" w:rsidR="00C45693" w:rsidRPr="00E356CE" w:rsidRDefault="00C45693" w:rsidP="00A9191A">
            <w:pPr>
              <w:pStyle w:val="Tekstpodstawowy"/>
              <w:rPr>
                <w:b/>
                <w:noProof/>
                <w:sz w:val="24"/>
                <w:szCs w:val="24"/>
              </w:rPr>
            </w:pPr>
          </w:p>
        </w:tc>
        <w:tc>
          <w:tcPr>
            <w:tcW w:w="7410" w:type="dxa"/>
            <w:gridSpan w:val="2"/>
          </w:tcPr>
          <w:p w14:paraId="6F7F8AF6" w14:textId="77777777" w:rsidR="00C45693" w:rsidRPr="00E356CE" w:rsidRDefault="00C45693" w:rsidP="00A9191A">
            <w:pPr>
              <w:jc w:val="both"/>
            </w:pPr>
          </w:p>
        </w:tc>
      </w:tr>
      <w:tr w:rsidR="00723799" w:rsidRPr="00E356CE" w14:paraId="550546BE" w14:textId="77777777" w:rsidTr="56856880">
        <w:tc>
          <w:tcPr>
            <w:tcW w:w="795" w:type="dxa"/>
          </w:tcPr>
          <w:p w14:paraId="08E605E6" w14:textId="77777777" w:rsidR="00C45693" w:rsidRPr="00E356CE" w:rsidRDefault="00C45693" w:rsidP="00A9191A">
            <w:pPr>
              <w:jc w:val="both"/>
              <w:rPr>
                <w:b/>
              </w:rPr>
            </w:pPr>
            <w:r w:rsidRPr="00E356CE">
              <w:rPr>
                <w:b/>
              </w:rPr>
              <w:lastRenderedPageBreak/>
              <w:t>Art. 10</w:t>
            </w:r>
          </w:p>
        </w:tc>
        <w:tc>
          <w:tcPr>
            <w:tcW w:w="4719" w:type="dxa"/>
          </w:tcPr>
          <w:p w14:paraId="7B7D010C" w14:textId="77777777" w:rsidR="00C45693" w:rsidRPr="00E356CE" w:rsidRDefault="00C45693" w:rsidP="00A9191A">
            <w:r w:rsidRPr="00E356CE">
              <w:rPr>
                <w:b/>
                <w:bCs/>
              </w:rPr>
              <w:t xml:space="preserve">Utrata mocy. </w:t>
            </w:r>
            <w:r w:rsidRPr="00E356CE">
              <w:t xml:space="preserve">Dyrektywa 90/388/WE, zmieniona dyrektywą wymienioną w części A załącznika I, traci moc z dniem 25 lipca 2003 r., bez uszczerbku dla obowiązków Państw Członkowskich w odniesieniu do terminów transpozycji ustanowionych w części B załącznika I. </w:t>
            </w:r>
          </w:p>
          <w:p w14:paraId="059E27EB" w14:textId="77777777" w:rsidR="00C45693" w:rsidRPr="00E356CE" w:rsidRDefault="00C45693" w:rsidP="00A9191A">
            <w:pPr>
              <w:pStyle w:val="pparinner"/>
              <w:spacing w:line="240" w:lineRule="auto"/>
              <w:rPr>
                <w:rFonts w:ascii="Times New Roman" w:hAnsi="Times New Roman" w:cs="Times New Roman"/>
                <w:color w:val="auto"/>
                <w:sz w:val="24"/>
                <w:szCs w:val="24"/>
              </w:rPr>
            </w:pPr>
            <w:r w:rsidRPr="00E356CE">
              <w:rPr>
                <w:rFonts w:ascii="Times New Roman" w:hAnsi="Times New Roman" w:cs="Times New Roman"/>
                <w:color w:val="auto"/>
                <w:sz w:val="24"/>
                <w:szCs w:val="24"/>
              </w:rPr>
              <w:t>Odniesienia do dyrektyw, które utraciły moc, są traktowane jako odniesienia do niniejszej dyrektywy i odczytywane zgodnie z tabelą korelacji w załączniku II.</w:t>
            </w:r>
          </w:p>
          <w:p w14:paraId="1F6E0DE8"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5C184536" w14:textId="77777777" w:rsidR="00C45693" w:rsidRPr="00E356CE" w:rsidRDefault="00C45693" w:rsidP="00A9191A">
            <w:pPr>
              <w:jc w:val="both"/>
            </w:pPr>
            <w:r w:rsidRPr="00E356CE">
              <w:t>N</w:t>
            </w:r>
          </w:p>
        </w:tc>
        <w:tc>
          <w:tcPr>
            <w:tcW w:w="900" w:type="dxa"/>
            <w:gridSpan w:val="3"/>
          </w:tcPr>
          <w:p w14:paraId="2A2410D8" w14:textId="77777777" w:rsidR="00C45693" w:rsidRPr="00E356CE" w:rsidRDefault="00C45693" w:rsidP="00A9191A">
            <w:pPr>
              <w:pStyle w:val="Tekstpodstawowy"/>
              <w:rPr>
                <w:b/>
                <w:noProof/>
                <w:sz w:val="24"/>
                <w:szCs w:val="24"/>
              </w:rPr>
            </w:pPr>
          </w:p>
        </w:tc>
        <w:tc>
          <w:tcPr>
            <w:tcW w:w="7410" w:type="dxa"/>
            <w:gridSpan w:val="2"/>
          </w:tcPr>
          <w:p w14:paraId="44A6FB58" w14:textId="77777777" w:rsidR="00C45693" w:rsidRPr="00E356CE" w:rsidRDefault="00C45693" w:rsidP="00A9191A">
            <w:pPr>
              <w:jc w:val="both"/>
            </w:pPr>
          </w:p>
        </w:tc>
      </w:tr>
      <w:tr w:rsidR="00723799" w:rsidRPr="00E356CE" w14:paraId="7CA86560" w14:textId="77777777" w:rsidTr="56856880">
        <w:tc>
          <w:tcPr>
            <w:tcW w:w="795" w:type="dxa"/>
          </w:tcPr>
          <w:p w14:paraId="4677D6D1" w14:textId="77777777" w:rsidR="00C45693" w:rsidRPr="00E356CE" w:rsidRDefault="00C45693" w:rsidP="00A9191A">
            <w:pPr>
              <w:jc w:val="both"/>
              <w:rPr>
                <w:b/>
              </w:rPr>
            </w:pPr>
            <w:r w:rsidRPr="00E356CE">
              <w:rPr>
                <w:b/>
              </w:rPr>
              <w:t>Art. 11</w:t>
            </w:r>
          </w:p>
        </w:tc>
        <w:tc>
          <w:tcPr>
            <w:tcW w:w="4719" w:type="dxa"/>
          </w:tcPr>
          <w:p w14:paraId="7E78EA10" w14:textId="77777777" w:rsidR="00C45693" w:rsidRPr="00E356CE" w:rsidRDefault="00C45693" w:rsidP="00A9191A">
            <w:r w:rsidRPr="00E356CE">
              <w:t xml:space="preserve">Niniejsza dyrektywa wchodzi w życie dwudziestego dnia po jej opublikowaniu w </w:t>
            </w:r>
            <w:r w:rsidRPr="00E356CE">
              <w:rPr>
                <w:i/>
                <w:iCs/>
              </w:rPr>
              <w:t>Dzienniku Urzędowym Wspólnot Europejskich.</w:t>
            </w:r>
          </w:p>
          <w:p w14:paraId="7FB8555B"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5DAF737A" w14:textId="77777777" w:rsidR="00C45693" w:rsidRPr="00E356CE" w:rsidRDefault="00C45693" w:rsidP="00A9191A">
            <w:pPr>
              <w:jc w:val="both"/>
            </w:pPr>
            <w:r w:rsidRPr="00E356CE">
              <w:t>N</w:t>
            </w:r>
          </w:p>
        </w:tc>
        <w:tc>
          <w:tcPr>
            <w:tcW w:w="900" w:type="dxa"/>
            <w:gridSpan w:val="3"/>
          </w:tcPr>
          <w:p w14:paraId="2EEDED0F" w14:textId="77777777" w:rsidR="00C45693" w:rsidRPr="00E356CE" w:rsidRDefault="00C45693" w:rsidP="00A9191A">
            <w:pPr>
              <w:pStyle w:val="Tekstpodstawowy"/>
              <w:rPr>
                <w:b/>
                <w:noProof/>
                <w:sz w:val="24"/>
                <w:szCs w:val="24"/>
              </w:rPr>
            </w:pPr>
          </w:p>
        </w:tc>
        <w:tc>
          <w:tcPr>
            <w:tcW w:w="7410" w:type="dxa"/>
            <w:gridSpan w:val="2"/>
          </w:tcPr>
          <w:p w14:paraId="78AC14D7" w14:textId="77777777" w:rsidR="00C45693" w:rsidRPr="00E356CE" w:rsidRDefault="00C45693" w:rsidP="00A9191A">
            <w:pPr>
              <w:jc w:val="both"/>
            </w:pPr>
          </w:p>
        </w:tc>
      </w:tr>
      <w:tr w:rsidR="00723799" w:rsidRPr="00E356CE" w14:paraId="6B5D117A" w14:textId="77777777" w:rsidTr="56856880">
        <w:tc>
          <w:tcPr>
            <w:tcW w:w="795" w:type="dxa"/>
          </w:tcPr>
          <w:p w14:paraId="63461C05" w14:textId="77777777" w:rsidR="00C45693" w:rsidRPr="00E356CE" w:rsidRDefault="00C45693" w:rsidP="00A9191A">
            <w:pPr>
              <w:jc w:val="both"/>
              <w:rPr>
                <w:b/>
              </w:rPr>
            </w:pPr>
            <w:r w:rsidRPr="00E356CE">
              <w:rPr>
                <w:b/>
              </w:rPr>
              <w:t>Art. 12</w:t>
            </w:r>
          </w:p>
        </w:tc>
        <w:tc>
          <w:tcPr>
            <w:tcW w:w="4719" w:type="dxa"/>
          </w:tcPr>
          <w:p w14:paraId="13ADC74F" w14:textId="77777777" w:rsidR="00C45693" w:rsidRPr="00E356CE" w:rsidRDefault="00C45693" w:rsidP="00A9191A">
            <w:r w:rsidRPr="00E356CE">
              <w:t>Niniejsza dyrektywa skierowana jest do Państw Członkowskich.</w:t>
            </w:r>
          </w:p>
          <w:p w14:paraId="0CC3CCDD"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4E96DF60" w14:textId="77777777" w:rsidR="00C45693" w:rsidRPr="00E356CE" w:rsidRDefault="00C45693" w:rsidP="00A9191A">
            <w:pPr>
              <w:jc w:val="both"/>
            </w:pPr>
            <w:r w:rsidRPr="00E356CE">
              <w:t>N</w:t>
            </w:r>
          </w:p>
        </w:tc>
        <w:tc>
          <w:tcPr>
            <w:tcW w:w="900" w:type="dxa"/>
            <w:gridSpan w:val="3"/>
          </w:tcPr>
          <w:p w14:paraId="0D043C58" w14:textId="77777777" w:rsidR="00C45693" w:rsidRPr="00E356CE" w:rsidRDefault="00C45693" w:rsidP="00A9191A">
            <w:pPr>
              <w:pStyle w:val="Tekstpodstawowy"/>
              <w:rPr>
                <w:b/>
                <w:noProof/>
                <w:sz w:val="24"/>
                <w:szCs w:val="24"/>
              </w:rPr>
            </w:pPr>
          </w:p>
        </w:tc>
        <w:tc>
          <w:tcPr>
            <w:tcW w:w="7410" w:type="dxa"/>
            <w:gridSpan w:val="2"/>
          </w:tcPr>
          <w:p w14:paraId="768BC6F8" w14:textId="77777777" w:rsidR="00C45693" w:rsidRPr="00E356CE" w:rsidRDefault="00C45693" w:rsidP="00A9191A">
            <w:pPr>
              <w:jc w:val="both"/>
            </w:pPr>
          </w:p>
        </w:tc>
      </w:tr>
      <w:tr w:rsidR="00723799" w:rsidRPr="00E356CE" w14:paraId="558741EA" w14:textId="77777777" w:rsidTr="56856880">
        <w:tc>
          <w:tcPr>
            <w:tcW w:w="795" w:type="dxa"/>
          </w:tcPr>
          <w:p w14:paraId="6C74590C" w14:textId="77777777" w:rsidR="00C45693" w:rsidRPr="00E356CE" w:rsidRDefault="00C45693" w:rsidP="00A9191A">
            <w:pPr>
              <w:jc w:val="both"/>
              <w:rPr>
                <w:b/>
              </w:rPr>
            </w:pPr>
            <w:r w:rsidRPr="00E356CE">
              <w:rPr>
                <w:b/>
              </w:rPr>
              <w:t>Załącznik I.</w:t>
            </w:r>
          </w:p>
        </w:tc>
        <w:tc>
          <w:tcPr>
            <w:tcW w:w="4719" w:type="dxa"/>
          </w:tcPr>
          <w:p w14:paraId="46891892" w14:textId="77777777" w:rsidR="00C45693" w:rsidRPr="00E356CE" w:rsidRDefault="00C45693" w:rsidP="00A9191A">
            <w:pPr>
              <w:pStyle w:val="h1chapter"/>
              <w:spacing w:line="240" w:lineRule="auto"/>
              <w:rPr>
                <w:rFonts w:ascii="Times New Roman" w:hAnsi="Times New Roman" w:cs="Times New Roman"/>
                <w:b w:val="0"/>
                <w:bCs w:val="0"/>
                <w:color w:val="auto"/>
                <w:sz w:val="24"/>
                <w:szCs w:val="24"/>
              </w:rPr>
            </w:pPr>
            <w:r w:rsidRPr="00E356CE">
              <w:rPr>
                <w:rFonts w:ascii="Times New Roman" w:hAnsi="Times New Roman" w:cs="Times New Roman"/>
                <w:color w:val="auto"/>
                <w:sz w:val="24"/>
                <w:szCs w:val="24"/>
              </w:rPr>
              <w:t xml:space="preserve">Wykaz dyrektyw, które tracą moc oraz daty transpozycji. </w:t>
            </w:r>
          </w:p>
          <w:p w14:paraId="14807295"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1EB873EE" w14:textId="77777777" w:rsidR="00C45693" w:rsidRPr="00E356CE" w:rsidRDefault="00C45693" w:rsidP="00A9191A">
            <w:pPr>
              <w:jc w:val="both"/>
            </w:pPr>
            <w:r w:rsidRPr="00E356CE">
              <w:t>N</w:t>
            </w:r>
          </w:p>
        </w:tc>
        <w:tc>
          <w:tcPr>
            <w:tcW w:w="900" w:type="dxa"/>
            <w:gridSpan w:val="3"/>
          </w:tcPr>
          <w:p w14:paraId="254434F9" w14:textId="77777777" w:rsidR="00C45693" w:rsidRPr="00E356CE" w:rsidRDefault="00C45693" w:rsidP="00A9191A">
            <w:pPr>
              <w:pStyle w:val="Tekstpodstawowy"/>
              <w:rPr>
                <w:b/>
                <w:noProof/>
                <w:sz w:val="24"/>
                <w:szCs w:val="24"/>
              </w:rPr>
            </w:pPr>
          </w:p>
        </w:tc>
        <w:tc>
          <w:tcPr>
            <w:tcW w:w="7410" w:type="dxa"/>
            <w:gridSpan w:val="2"/>
          </w:tcPr>
          <w:p w14:paraId="44B1012F" w14:textId="77777777" w:rsidR="00C45693" w:rsidRPr="00E356CE" w:rsidRDefault="00C45693" w:rsidP="00A9191A">
            <w:pPr>
              <w:jc w:val="both"/>
            </w:pPr>
          </w:p>
        </w:tc>
      </w:tr>
      <w:tr w:rsidR="00723799" w:rsidRPr="00E356CE" w14:paraId="78A640FD" w14:textId="77777777" w:rsidTr="56856880">
        <w:tc>
          <w:tcPr>
            <w:tcW w:w="795" w:type="dxa"/>
          </w:tcPr>
          <w:p w14:paraId="40F87FAE" w14:textId="77777777" w:rsidR="00C45693" w:rsidRPr="00E356CE" w:rsidRDefault="00C45693" w:rsidP="00A9191A">
            <w:pPr>
              <w:jc w:val="both"/>
            </w:pPr>
            <w:r w:rsidRPr="00E356CE">
              <w:rPr>
                <w:b/>
              </w:rPr>
              <w:t>Załącznik II</w:t>
            </w:r>
            <w:r w:rsidRPr="00E356CE">
              <w:t>.</w:t>
            </w:r>
          </w:p>
        </w:tc>
        <w:tc>
          <w:tcPr>
            <w:tcW w:w="4719" w:type="dxa"/>
          </w:tcPr>
          <w:p w14:paraId="18470F9A" w14:textId="77777777" w:rsidR="00C45693" w:rsidRPr="00E356CE" w:rsidRDefault="00C45693" w:rsidP="00A9191A">
            <w:pPr>
              <w:pStyle w:val="h1chapter"/>
              <w:spacing w:line="240" w:lineRule="auto"/>
              <w:rPr>
                <w:rFonts w:ascii="Times New Roman" w:hAnsi="Times New Roman" w:cs="Times New Roman"/>
                <w:b w:val="0"/>
                <w:bCs w:val="0"/>
                <w:color w:val="auto"/>
                <w:sz w:val="24"/>
                <w:szCs w:val="24"/>
              </w:rPr>
            </w:pPr>
            <w:r w:rsidRPr="00E356CE">
              <w:rPr>
                <w:rFonts w:ascii="Times New Roman" w:hAnsi="Times New Roman" w:cs="Times New Roman"/>
                <w:color w:val="auto"/>
                <w:sz w:val="24"/>
                <w:szCs w:val="24"/>
              </w:rPr>
              <w:t xml:space="preserve">Tabela korelacji. </w:t>
            </w:r>
          </w:p>
          <w:p w14:paraId="792E552B"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018644BE" w14:textId="77777777" w:rsidR="00C45693" w:rsidRPr="00E356CE" w:rsidRDefault="00C45693" w:rsidP="00A9191A">
            <w:pPr>
              <w:jc w:val="both"/>
            </w:pPr>
            <w:r w:rsidRPr="00E356CE">
              <w:t>N</w:t>
            </w:r>
          </w:p>
        </w:tc>
        <w:tc>
          <w:tcPr>
            <w:tcW w:w="900" w:type="dxa"/>
            <w:gridSpan w:val="3"/>
          </w:tcPr>
          <w:p w14:paraId="1707D2B7" w14:textId="77777777" w:rsidR="00C45693" w:rsidRPr="00E356CE" w:rsidRDefault="00C45693" w:rsidP="00A9191A">
            <w:pPr>
              <w:pStyle w:val="Tekstpodstawowy"/>
              <w:rPr>
                <w:b/>
                <w:noProof/>
                <w:sz w:val="24"/>
                <w:szCs w:val="24"/>
              </w:rPr>
            </w:pPr>
          </w:p>
        </w:tc>
        <w:tc>
          <w:tcPr>
            <w:tcW w:w="7410" w:type="dxa"/>
            <w:gridSpan w:val="2"/>
          </w:tcPr>
          <w:p w14:paraId="222B77F9" w14:textId="77777777" w:rsidR="00C45693" w:rsidRPr="00E356CE" w:rsidRDefault="00C45693" w:rsidP="00A9191A">
            <w:pPr>
              <w:jc w:val="both"/>
            </w:pPr>
          </w:p>
        </w:tc>
      </w:tr>
      <w:tr w:rsidR="00723799" w:rsidRPr="00E356CE" w14:paraId="69676D84" w14:textId="77777777" w:rsidTr="56856880">
        <w:tc>
          <w:tcPr>
            <w:tcW w:w="795" w:type="dxa"/>
          </w:tcPr>
          <w:p w14:paraId="1D1834F1" w14:textId="77777777" w:rsidR="00C45693" w:rsidRPr="00E356CE" w:rsidRDefault="00C45693" w:rsidP="00A9191A">
            <w:pPr>
              <w:jc w:val="both"/>
            </w:pPr>
          </w:p>
        </w:tc>
        <w:tc>
          <w:tcPr>
            <w:tcW w:w="4719" w:type="dxa"/>
          </w:tcPr>
          <w:p w14:paraId="44B3C98F" w14:textId="77777777" w:rsidR="00C45693" w:rsidRPr="00E356CE" w:rsidRDefault="00C45693" w:rsidP="00A9191A">
            <w:pPr>
              <w:autoSpaceDE w:val="0"/>
              <w:autoSpaceDN w:val="0"/>
              <w:adjustRightInd w:val="0"/>
              <w:jc w:val="both"/>
              <w:rPr>
                <w:rFonts w:eastAsia="EUAlbertina-Regular-Identity-H"/>
              </w:rPr>
            </w:pPr>
          </w:p>
        </w:tc>
        <w:tc>
          <w:tcPr>
            <w:tcW w:w="886" w:type="dxa"/>
          </w:tcPr>
          <w:p w14:paraId="40483BC8" w14:textId="77777777" w:rsidR="00C45693" w:rsidRPr="00E356CE" w:rsidRDefault="00C45693" w:rsidP="00A9191A">
            <w:pPr>
              <w:jc w:val="both"/>
            </w:pPr>
          </w:p>
        </w:tc>
        <w:tc>
          <w:tcPr>
            <w:tcW w:w="900" w:type="dxa"/>
            <w:gridSpan w:val="3"/>
          </w:tcPr>
          <w:p w14:paraId="2E2A306A" w14:textId="77777777" w:rsidR="00C45693" w:rsidRPr="00E356CE" w:rsidRDefault="00C45693" w:rsidP="00A9191A">
            <w:pPr>
              <w:pStyle w:val="Tekstpodstawowy"/>
              <w:rPr>
                <w:b/>
                <w:noProof/>
                <w:sz w:val="24"/>
                <w:szCs w:val="24"/>
              </w:rPr>
            </w:pPr>
          </w:p>
        </w:tc>
        <w:tc>
          <w:tcPr>
            <w:tcW w:w="7410" w:type="dxa"/>
            <w:gridSpan w:val="2"/>
          </w:tcPr>
          <w:p w14:paraId="2390144C" w14:textId="77777777" w:rsidR="00C45693" w:rsidRPr="00E356CE" w:rsidRDefault="00C45693" w:rsidP="00A9191A">
            <w:pPr>
              <w:jc w:val="both"/>
            </w:pPr>
          </w:p>
        </w:tc>
      </w:tr>
      <w:tr w:rsidR="00723799" w:rsidRPr="00E356CE" w14:paraId="6AD244E8" w14:textId="77777777" w:rsidTr="56856880">
        <w:tc>
          <w:tcPr>
            <w:tcW w:w="5514" w:type="dxa"/>
            <w:gridSpan w:val="2"/>
            <w:shd w:val="clear" w:color="auto" w:fill="E0E0E0"/>
          </w:tcPr>
          <w:p w14:paraId="3FE14CDA" w14:textId="77777777" w:rsidR="00C45693" w:rsidRPr="00E356CE" w:rsidRDefault="00C45693" w:rsidP="00A9191A">
            <w:pPr>
              <w:jc w:val="both"/>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414E1040" w14:textId="77777777" w:rsidR="00C45693" w:rsidRPr="00E356CE" w:rsidRDefault="00C04931" w:rsidP="00A9191A">
            <w:pPr>
              <w:jc w:val="both"/>
              <w:rPr>
                <w:b/>
              </w:rPr>
            </w:pPr>
            <w:r w:rsidRPr="00E356CE">
              <w:rPr>
                <w:b/>
                <w:bCs/>
              </w:rPr>
              <w:t>DYREKTYWA 2002/58/WE PARLAMENTU EUROPEJSKIEGO I RADY z dnia 12 lipca 2002 r. dotycząca przetwarzania danych osobowych i ochrony prywatności w sektorze łączności elektronicznej (dyrektywa o prywatności i łączności elektronicznej)</w:t>
            </w:r>
          </w:p>
        </w:tc>
      </w:tr>
      <w:tr w:rsidR="00723799" w:rsidRPr="00E356CE" w14:paraId="1FF432BE" w14:textId="77777777" w:rsidTr="56856880">
        <w:tc>
          <w:tcPr>
            <w:tcW w:w="795" w:type="dxa"/>
          </w:tcPr>
          <w:p w14:paraId="1FAA7A6F" w14:textId="77777777" w:rsidR="00C45693" w:rsidRPr="00E356CE" w:rsidRDefault="00C45693" w:rsidP="00A9191A">
            <w:pPr>
              <w:jc w:val="both"/>
              <w:rPr>
                <w:b/>
              </w:rPr>
            </w:pPr>
            <w:r w:rsidRPr="00E356CE">
              <w:rPr>
                <w:b/>
              </w:rPr>
              <w:t>Art. 1</w:t>
            </w:r>
          </w:p>
        </w:tc>
        <w:tc>
          <w:tcPr>
            <w:tcW w:w="4719" w:type="dxa"/>
          </w:tcPr>
          <w:p w14:paraId="6A27BB6E" w14:textId="77777777" w:rsidR="00C45693" w:rsidRPr="00E356CE" w:rsidRDefault="00C04931" w:rsidP="00A9191A">
            <w:pPr>
              <w:spacing w:before="60" w:after="120"/>
              <w:jc w:val="both"/>
              <w:rPr>
                <w:b/>
                <w:bCs/>
              </w:rPr>
            </w:pPr>
            <w:r w:rsidRPr="00E356CE">
              <w:rPr>
                <w:b/>
                <w:bCs/>
              </w:rPr>
              <w:t>Zakres i cel</w:t>
            </w:r>
          </w:p>
        </w:tc>
        <w:tc>
          <w:tcPr>
            <w:tcW w:w="886" w:type="dxa"/>
          </w:tcPr>
          <w:p w14:paraId="114E5344" w14:textId="77777777" w:rsidR="00C45693" w:rsidRPr="00E356CE" w:rsidRDefault="00C45693" w:rsidP="00A9191A">
            <w:pPr>
              <w:jc w:val="both"/>
              <w:rPr>
                <w:b/>
              </w:rPr>
            </w:pPr>
          </w:p>
        </w:tc>
        <w:tc>
          <w:tcPr>
            <w:tcW w:w="900" w:type="dxa"/>
            <w:gridSpan w:val="3"/>
          </w:tcPr>
          <w:p w14:paraId="04DD0530" w14:textId="77777777" w:rsidR="00C45693" w:rsidRPr="00E356CE" w:rsidRDefault="00C04931" w:rsidP="00A9191A">
            <w:pPr>
              <w:pStyle w:val="Tekstpodstawowy"/>
              <w:rPr>
                <w:noProof/>
                <w:sz w:val="24"/>
                <w:szCs w:val="24"/>
              </w:rPr>
            </w:pPr>
            <w:r w:rsidRPr="00E356CE">
              <w:rPr>
                <w:b/>
                <w:sz w:val="24"/>
                <w:szCs w:val="24"/>
              </w:rPr>
              <w:t>Art. 1 pkt 12</w:t>
            </w:r>
          </w:p>
        </w:tc>
        <w:tc>
          <w:tcPr>
            <w:tcW w:w="7410" w:type="dxa"/>
            <w:gridSpan w:val="2"/>
          </w:tcPr>
          <w:p w14:paraId="2E1CBFBB" w14:textId="77777777" w:rsidR="00C45693" w:rsidRPr="00E356CE" w:rsidRDefault="00C45693" w:rsidP="00A9191A">
            <w:pPr>
              <w:jc w:val="both"/>
            </w:pPr>
          </w:p>
        </w:tc>
      </w:tr>
      <w:tr w:rsidR="00723799" w:rsidRPr="00E356CE" w14:paraId="3A1B0B79" w14:textId="77777777" w:rsidTr="56856880">
        <w:tc>
          <w:tcPr>
            <w:tcW w:w="795" w:type="dxa"/>
          </w:tcPr>
          <w:p w14:paraId="764B5346" w14:textId="77777777" w:rsidR="00D6339F" w:rsidRPr="00E356CE" w:rsidRDefault="00C04931" w:rsidP="00A9191A">
            <w:pPr>
              <w:jc w:val="both"/>
              <w:rPr>
                <w:b/>
              </w:rPr>
            </w:pPr>
            <w:r w:rsidRPr="00E356CE">
              <w:rPr>
                <w:b/>
              </w:rPr>
              <w:t>Art. 1 ust. 1</w:t>
            </w:r>
          </w:p>
        </w:tc>
        <w:tc>
          <w:tcPr>
            <w:tcW w:w="4719" w:type="dxa"/>
          </w:tcPr>
          <w:p w14:paraId="42C6A3BC" w14:textId="77777777" w:rsidR="00D6339F" w:rsidRPr="00E356CE" w:rsidRDefault="00C04931" w:rsidP="00A9191A">
            <w:pPr>
              <w:spacing w:before="60" w:after="120"/>
              <w:jc w:val="both"/>
              <w:rPr>
                <w:b/>
                <w:bCs/>
              </w:rPr>
            </w:pPr>
            <w:r w:rsidRPr="00E356CE">
              <w:t>1. Niniejsza dyrektywa przewiduje harmonizację przepisów krajowych wymaganych do zapewnienia równoważnego poziomu ochrony podstawowych praw i wolności, w szczególności prawa do prywatności i poufności, w odniesieniu do przetwarzania danych osobowych w sektorze łączności elektronicznej oraz w celu zapewnienia swobodnego przepływu we Wspólnocie tego typu danych oraz urządzeń i usług łączności elektronicznej.</w:t>
            </w:r>
          </w:p>
        </w:tc>
        <w:tc>
          <w:tcPr>
            <w:tcW w:w="886" w:type="dxa"/>
          </w:tcPr>
          <w:p w14:paraId="59842E26" w14:textId="77777777" w:rsidR="00D6339F" w:rsidRPr="00E356CE" w:rsidRDefault="00DB1E54" w:rsidP="00A9191A">
            <w:pPr>
              <w:jc w:val="both"/>
              <w:rPr>
                <w:b/>
              </w:rPr>
            </w:pPr>
            <w:r w:rsidRPr="00E356CE">
              <w:rPr>
                <w:b/>
              </w:rPr>
              <w:t>N</w:t>
            </w:r>
          </w:p>
        </w:tc>
        <w:tc>
          <w:tcPr>
            <w:tcW w:w="900" w:type="dxa"/>
            <w:gridSpan w:val="3"/>
          </w:tcPr>
          <w:p w14:paraId="3EEB5341" w14:textId="77777777" w:rsidR="00D6339F" w:rsidRPr="00E356CE" w:rsidRDefault="00D6339F" w:rsidP="00A9191A">
            <w:pPr>
              <w:pStyle w:val="Tekstpodstawowy"/>
              <w:rPr>
                <w:noProof/>
                <w:sz w:val="24"/>
                <w:szCs w:val="24"/>
              </w:rPr>
            </w:pPr>
          </w:p>
        </w:tc>
        <w:tc>
          <w:tcPr>
            <w:tcW w:w="7410" w:type="dxa"/>
            <w:gridSpan w:val="2"/>
          </w:tcPr>
          <w:p w14:paraId="64E5AA38" w14:textId="77777777" w:rsidR="006977AC" w:rsidRPr="00E356CE" w:rsidRDefault="006977AC" w:rsidP="003C4E86">
            <w:pPr>
              <w:pStyle w:val="Tekstpodstawowy"/>
              <w:rPr>
                <w:sz w:val="24"/>
                <w:szCs w:val="24"/>
              </w:rPr>
            </w:pPr>
            <w:r w:rsidRPr="00E356CE">
              <w:rPr>
                <w:b/>
                <w:bCs/>
                <w:sz w:val="24"/>
                <w:szCs w:val="24"/>
              </w:rPr>
              <w:t>Art. 1.</w:t>
            </w:r>
            <w:r w:rsidRPr="00E356CE">
              <w:rPr>
                <w:sz w:val="24"/>
                <w:szCs w:val="24"/>
              </w:rPr>
              <w:t xml:space="preserve"> Ustawa określa:</w:t>
            </w:r>
          </w:p>
          <w:p w14:paraId="370E16C6" w14:textId="33D1DA57" w:rsidR="00D6339F" w:rsidRPr="00E356CE" w:rsidRDefault="77888345" w:rsidP="34F564A8">
            <w:pPr>
              <w:spacing w:line="360" w:lineRule="auto"/>
              <w:ind w:left="510" w:hanging="510"/>
              <w:jc w:val="both"/>
            </w:pPr>
            <w:r w:rsidRPr="00E356CE">
              <w:t xml:space="preserve">13) </w:t>
            </w:r>
            <w:r w:rsidR="006977AC" w:rsidRPr="00E356CE">
              <w:tab/>
            </w:r>
            <w:r w:rsidRPr="00E356CE">
              <w:t>warunki przetwarzania danych, w tym danych osobowych, w ramach świadczenia publicznie dostępnych usług komunikacji elektronicznej oraz ochrony tajemnicy komunikacji elektronicznej;</w:t>
            </w:r>
          </w:p>
          <w:p w14:paraId="59C01CBB" w14:textId="6E91C06B" w:rsidR="00D6339F" w:rsidRPr="00E356CE" w:rsidRDefault="00D6339F" w:rsidP="34F564A8">
            <w:pPr>
              <w:jc w:val="both"/>
            </w:pPr>
          </w:p>
        </w:tc>
      </w:tr>
      <w:tr w:rsidR="00723799" w:rsidRPr="00E356CE" w14:paraId="4B930DF7" w14:textId="77777777" w:rsidTr="56856880">
        <w:tc>
          <w:tcPr>
            <w:tcW w:w="795" w:type="dxa"/>
            <w:tcBorders>
              <w:top w:val="single" w:sz="4" w:space="0" w:color="auto"/>
              <w:left w:val="single" w:sz="4" w:space="0" w:color="auto"/>
              <w:bottom w:val="single" w:sz="4" w:space="0" w:color="auto"/>
              <w:right w:val="single" w:sz="4" w:space="0" w:color="auto"/>
            </w:tcBorders>
          </w:tcPr>
          <w:p w14:paraId="3A93FD1F" w14:textId="77777777" w:rsidR="00D6339F" w:rsidRPr="00E356CE" w:rsidRDefault="006977AC" w:rsidP="00A9191A">
            <w:pPr>
              <w:jc w:val="both"/>
              <w:rPr>
                <w:b/>
              </w:rPr>
            </w:pPr>
            <w:r w:rsidRPr="00E356CE">
              <w:rPr>
                <w:b/>
              </w:rPr>
              <w:t>Art. 1 ust. 2</w:t>
            </w:r>
          </w:p>
        </w:tc>
        <w:tc>
          <w:tcPr>
            <w:tcW w:w="4719" w:type="dxa"/>
            <w:tcBorders>
              <w:top w:val="single" w:sz="4" w:space="0" w:color="auto"/>
              <w:left w:val="single" w:sz="4" w:space="0" w:color="auto"/>
              <w:bottom w:val="single" w:sz="4" w:space="0" w:color="auto"/>
              <w:right w:val="single" w:sz="4" w:space="0" w:color="auto"/>
            </w:tcBorders>
          </w:tcPr>
          <w:p w14:paraId="5A6251C5" w14:textId="77777777" w:rsidR="00D6339F" w:rsidRPr="00E356CE" w:rsidRDefault="006977AC" w:rsidP="00A9191A">
            <w:pPr>
              <w:spacing w:before="60" w:after="120"/>
              <w:jc w:val="both"/>
              <w:rPr>
                <w:b/>
                <w:bCs/>
              </w:rPr>
            </w:pPr>
            <w:r w:rsidRPr="00E356CE">
              <w:t>2. Przepisy niniejszej dyrektywy dookreślają i uzupełniają dyrektywę 95/46/WE zgodnie z celami przedstawionymi w ust. 1. Ponadto zapewniają ochronę uzasadnionych interesów abonentów będących osobami prawnymi.</w:t>
            </w:r>
          </w:p>
        </w:tc>
        <w:tc>
          <w:tcPr>
            <w:tcW w:w="886" w:type="dxa"/>
            <w:tcBorders>
              <w:top w:val="single" w:sz="4" w:space="0" w:color="auto"/>
              <w:left w:val="single" w:sz="4" w:space="0" w:color="auto"/>
              <w:bottom w:val="single" w:sz="4" w:space="0" w:color="auto"/>
              <w:right w:val="single" w:sz="4" w:space="0" w:color="auto"/>
            </w:tcBorders>
          </w:tcPr>
          <w:p w14:paraId="08E7E5A9" w14:textId="77777777" w:rsidR="00D6339F" w:rsidRPr="00E356CE" w:rsidRDefault="006977AC"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436237DF" w14:textId="77777777" w:rsidR="00D6339F" w:rsidRPr="00E356CE" w:rsidRDefault="00D6339F"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2A0637AF" w14:textId="77777777" w:rsidR="00D6339F" w:rsidRPr="00E356CE" w:rsidRDefault="00D6339F" w:rsidP="00A9191A">
            <w:pPr>
              <w:jc w:val="both"/>
            </w:pPr>
          </w:p>
        </w:tc>
      </w:tr>
      <w:tr w:rsidR="00723799" w:rsidRPr="00E356CE" w14:paraId="780AC352" w14:textId="77777777" w:rsidTr="56856880">
        <w:tc>
          <w:tcPr>
            <w:tcW w:w="795" w:type="dxa"/>
            <w:tcBorders>
              <w:top w:val="single" w:sz="4" w:space="0" w:color="auto"/>
              <w:left w:val="single" w:sz="4" w:space="0" w:color="auto"/>
              <w:bottom w:val="single" w:sz="4" w:space="0" w:color="auto"/>
              <w:right w:val="single" w:sz="4" w:space="0" w:color="auto"/>
            </w:tcBorders>
          </w:tcPr>
          <w:p w14:paraId="638B8AF4" w14:textId="77777777" w:rsidR="00D6339F" w:rsidRPr="00E356CE" w:rsidRDefault="006977AC" w:rsidP="00A9191A">
            <w:pPr>
              <w:jc w:val="both"/>
              <w:rPr>
                <w:b/>
              </w:rPr>
            </w:pPr>
            <w:r w:rsidRPr="00E356CE">
              <w:rPr>
                <w:b/>
              </w:rPr>
              <w:t>Art. 1 ust. 3</w:t>
            </w:r>
          </w:p>
        </w:tc>
        <w:tc>
          <w:tcPr>
            <w:tcW w:w="4719" w:type="dxa"/>
            <w:tcBorders>
              <w:top w:val="single" w:sz="4" w:space="0" w:color="auto"/>
              <w:left w:val="single" w:sz="4" w:space="0" w:color="auto"/>
              <w:bottom w:val="single" w:sz="4" w:space="0" w:color="auto"/>
              <w:right w:val="single" w:sz="4" w:space="0" w:color="auto"/>
            </w:tcBorders>
          </w:tcPr>
          <w:p w14:paraId="7B5EA4C1" w14:textId="77777777" w:rsidR="00D6339F" w:rsidRPr="00E356CE" w:rsidRDefault="006977AC" w:rsidP="00A9191A">
            <w:pPr>
              <w:spacing w:before="60" w:after="120"/>
              <w:jc w:val="both"/>
              <w:rPr>
                <w:b/>
                <w:bCs/>
              </w:rPr>
            </w:pPr>
            <w:r w:rsidRPr="00E356CE">
              <w:t xml:space="preserve">3. Niniejsza dyrektywa nie ma zastosowania do działalności, która wykracza poza zakres Traktatu ustanawiającego Wspólnotę Europejską, takiej jak działalność określona w tytułach V i VI Traktatu o Unii Europejskiej, ani, w żadnym wypadku do działalności dotyczącej bezpieczeństwa publicznego, obronności, bezpieczeństwa państwa (włączając dobrobyt gospodarczy państwa, gdy działalność odnosi się do spraw bezpieczeństwa </w:t>
            </w:r>
            <w:r w:rsidRPr="00E356CE">
              <w:lastRenderedPageBreak/>
              <w:t>państwa) i działalności państwa w dziedzinie prawa karnego.</w:t>
            </w:r>
          </w:p>
        </w:tc>
        <w:tc>
          <w:tcPr>
            <w:tcW w:w="886" w:type="dxa"/>
            <w:tcBorders>
              <w:top w:val="single" w:sz="4" w:space="0" w:color="auto"/>
              <w:left w:val="single" w:sz="4" w:space="0" w:color="auto"/>
              <w:bottom w:val="single" w:sz="4" w:space="0" w:color="auto"/>
              <w:right w:val="single" w:sz="4" w:space="0" w:color="auto"/>
            </w:tcBorders>
          </w:tcPr>
          <w:p w14:paraId="78E37273" w14:textId="77777777" w:rsidR="00D6339F" w:rsidRPr="00E356CE" w:rsidRDefault="006977AC"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48AAAD2C" w14:textId="77777777" w:rsidR="00D6339F" w:rsidRPr="00E356CE" w:rsidRDefault="00D6339F"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56C25384" w14:textId="77777777" w:rsidR="00D6339F" w:rsidRPr="00E356CE" w:rsidRDefault="00D6339F" w:rsidP="00A9191A">
            <w:pPr>
              <w:jc w:val="both"/>
            </w:pPr>
          </w:p>
        </w:tc>
      </w:tr>
      <w:tr w:rsidR="00723799" w:rsidRPr="00E356CE" w14:paraId="50373E94" w14:textId="77777777" w:rsidTr="56856880">
        <w:tc>
          <w:tcPr>
            <w:tcW w:w="795" w:type="dxa"/>
            <w:tcBorders>
              <w:top w:val="single" w:sz="4" w:space="0" w:color="auto"/>
              <w:left w:val="single" w:sz="4" w:space="0" w:color="auto"/>
              <w:bottom w:val="single" w:sz="4" w:space="0" w:color="auto"/>
              <w:right w:val="single" w:sz="4" w:space="0" w:color="auto"/>
            </w:tcBorders>
          </w:tcPr>
          <w:p w14:paraId="4FF40EDC" w14:textId="77777777" w:rsidR="00D6339F" w:rsidRPr="00E356CE" w:rsidRDefault="006977AC" w:rsidP="00A9191A">
            <w:pPr>
              <w:jc w:val="both"/>
              <w:rPr>
                <w:b/>
              </w:rPr>
            </w:pPr>
            <w:r w:rsidRPr="00E356CE">
              <w:rPr>
                <w:b/>
              </w:rPr>
              <w:lastRenderedPageBreak/>
              <w:t>Art. 2</w:t>
            </w:r>
          </w:p>
        </w:tc>
        <w:tc>
          <w:tcPr>
            <w:tcW w:w="4719" w:type="dxa"/>
            <w:tcBorders>
              <w:top w:val="single" w:sz="4" w:space="0" w:color="auto"/>
              <w:left w:val="single" w:sz="4" w:space="0" w:color="auto"/>
              <w:bottom w:val="single" w:sz="4" w:space="0" w:color="auto"/>
              <w:right w:val="single" w:sz="4" w:space="0" w:color="auto"/>
            </w:tcBorders>
          </w:tcPr>
          <w:p w14:paraId="60EAE151" w14:textId="77777777" w:rsidR="006977AC" w:rsidRPr="00E356CE" w:rsidRDefault="006977AC" w:rsidP="00A9191A">
            <w:pPr>
              <w:autoSpaceDE w:val="0"/>
              <w:autoSpaceDN w:val="0"/>
              <w:adjustRightInd w:val="0"/>
              <w:jc w:val="both"/>
              <w:rPr>
                <w:b/>
              </w:rPr>
            </w:pPr>
            <w:r w:rsidRPr="00E356CE">
              <w:rPr>
                <w:b/>
              </w:rPr>
              <w:t>Definicje</w:t>
            </w:r>
          </w:p>
          <w:p w14:paraId="2DD2C0A3" w14:textId="77777777" w:rsidR="00D6339F" w:rsidRPr="00E356CE" w:rsidRDefault="006977AC" w:rsidP="00A9191A">
            <w:pPr>
              <w:spacing w:before="60" w:after="120"/>
              <w:jc w:val="both"/>
              <w:rPr>
                <w:b/>
                <w:bCs/>
              </w:rPr>
            </w:pPr>
            <w:r w:rsidRPr="00E356CE">
              <w:t>Z zastrzeżeniem innych przepisów, stosuje się definicje z dyrektywy 95/46/WE i dyrektywy 2002/21/WE Parlamentu Europejskiego i Rady z dnia 7 marca 2002 r. w sprawie wspólnych ram regulacyjnych sieci i usług łączności elektronicznej (dyrektywa ramowa)(1).</w:t>
            </w:r>
            <w:r w:rsidRPr="00E356CE">
              <w:br/>
              <w:t>Stosuje się również następujące definicje:</w:t>
            </w:r>
          </w:p>
        </w:tc>
        <w:tc>
          <w:tcPr>
            <w:tcW w:w="886" w:type="dxa"/>
            <w:tcBorders>
              <w:top w:val="single" w:sz="4" w:space="0" w:color="auto"/>
              <w:left w:val="single" w:sz="4" w:space="0" w:color="auto"/>
              <w:bottom w:val="single" w:sz="4" w:space="0" w:color="auto"/>
              <w:right w:val="single" w:sz="4" w:space="0" w:color="auto"/>
            </w:tcBorders>
          </w:tcPr>
          <w:p w14:paraId="0934E963" w14:textId="77777777" w:rsidR="00D6339F"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4DEA28F8" w14:textId="77777777" w:rsidR="00D6339F" w:rsidRPr="00E356CE" w:rsidRDefault="00D6339F"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2B32A02A" w14:textId="77777777" w:rsidR="00D6339F" w:rsidRPr="00E356CE" w:rsidRDefault="00D6339F" w:rsidP="00A9191A">
            <w:pPr>
              <w:jc w:val="both"/>
            </w:pPr>
          </w:p>
        </w:tc>
      </w:tr>
      <w:tr w:rsidR="00723799" w:rsidRPr="00E356CE" w14:paraId="153979E3" w14:textId="77777777" w:rsidTr="56856880">
        <w:tc>
          <w:tcPr>
            <w:tcW w:w="795" w:type="dxa"/>
            <w:tcBorders>
              <w:top w:val="single" w:sz="4" w:space="0" w:color="auto"/>
              <w:left w:val="single" w:sz="4" w:space="0" w:color="auto"/>
              <w:bottom w:val="single" w:sz="4" w:space="0" w:color="auto"/>
              <w:right w:val="single" w:sz="4" w:space="0" w:color="auto"/>
            </w:tcBorders>
          </w:tcPr>
          <w:p w14:paraId="72688D01" w14:textId="77777777" w:rsidR="00D6339F" w:rsidRPr="00E356CE" w:rsidRDefault="006977AC" w:rsidP="00A9191A">
            <w:pPr>
              <w:jc w:val="both"/>
              <w:rPr>
                <w:b/>
              </w:rPr>
            </w:pPr>
            <w:r w:rsidRPr="00E356CE">
              <w:rPr>
                <w:b/>
              </w:rPr>
              <w:t>Art. 2 li. a</w:t>
            </w:r>
          </w:p>
        </w:tc>
        <w:tc>
          <w:tcPr>
            <w:tcW w:w="4719" w:type="dxa"/>
            <w:tcBorders>
              <w:top w:val="single" w:sz="4" w:space="0" w:color="auto"/>
              <w:left w:val="single" w:sz="4" w:space="0" w:color="auto"/>
              <w:bottom w:val="single" w:sz="4" w:space="0" w:color="auto"/>
              <w:right w:val="single" w:sz="4" w:space="0" w:color="auto"/>
            </w:tcBorders>
          </w:tcPr>
          <w:p w14:paraId="2FF64604" w14:textId="77777777" w:rsidR="00D6339F" w:rsidRPr="00E356CE" w:rsidRDefault="006977AC" w:rsidP="00A9191A">
            <w:pPr>
              <w:spacing w:before="60" w:after="120"/>
              <w:jc w:val="both"/>
              <w:rPr>
                <w:b/>
                <w:bCs/>
              </w:rPr>
            </w:pPr>
            <w:r w:rsidRPr="00E356CE">
              <w:t>a) „użytkownik” oznacza każdą osobę fizyczną korzystającą z publicznie dostępnych usług łączności elektronicznej, do celów prywatnych lub handlowych, niekoniecznie na podstawie abonamentu za te usługi;</w:t>
            </w:r>
          </w:p>
        </w:tc>
        <w:tc>
          <w:tcPr>
            <w:tcW w:w="886" w:type="dxa"/>
            <w:tcBorders>
              <w:top w:val="single" w:sz="4" w:space="0" w:color="auto"/>
              <w:left w:val="single" w:sz="4" w:space="0" w:color="auto"/>
              <w:bottom w:val="single" w:sz="4" w:space="0" w:color="auto"/>
              <w:right w:val="single" w:sz="4" w:space="0" w:color="auto"/>
            </w:tcBorders>
          </w:tcPr>
          <w:p w14:paraId="15E8DB9A" w14:textId="77777777" w:rsidR="00D6339F"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213D55C0" w14:textId="011E6989" w:rsidR="00D6339F" w:rsidRPr="00E356CE" w:rsidRDefault="008D7297" w:rsidP="00A9191A">
            <w:pPr>
              <w:pStyle w:val="Tekstpodstawowy"/>
              <w:rPr>
                <w:noProof/>
                <w:sz w:val="24"/>
                <w:szCs w:val="24"/>
              </w:rPr>
            </w:pPr>
            <w:r w:rsidRPr="00E356CE">
              <w:rPr>
                <w:noProof/>
                <w:sz w:val="24"/>
                <w:szCs w:val="24"/>
              </w:rPr>
              <w:t>Art. 2 pkt 86</w:t>
            </w:r>
          </w:p>
        </w:tc>
        <w:tc>
          <w:tcPr>
            <w:tcW w:w="7410" w:type="dxa"/>
            <w:gridSpan w:val="2"/>
            <w:tcBorders>
              <w:top w:val="single" w:sz="4" w:space="0" w:color="auto"/>
              <w:left w:val="single" w:sz="4" w:space="0" w:color="auto"/>
              <w:bottom w:val="single" w:sz="4" w:space="0" w:color="auto"/>
              <w:right w:val="single" w:sz="4" w:space="0" w:color="auto"/>
            </w:tcBorders>
          </w:tcPr>
          <w:p w14:paraId="4D67D17D" w14:textId="473E080B" w:rsidR="33DECB26" w:rsidRPr="00E356CE" w:rsidRDefault="33DECB26" w:rsidP="34F564A8">
            <w:pPr>
              <w:pStyle w:val="Tekstpodstawowy"/>
            </w:pPr>
            <w:r w:rsidRPr="00E356CE">
              <w:rPr>
                <w:sz w:val="24"/>
                <w:szCs w:val="24"/>
              </w:rPr>
              <w:t>86) użytkownik – podmiot korzystający z publicznie dostępnej usługi komunikacji elektronicznej lub żądający świadczenia takiej usługi</w:t>
            </w:r>
          </w:p>
          <w:p w14:paraId="6DE56AA7" w14:textId="77777777" w:rsidR="00D6339F" w:rsidRPr="00E356CE" w:rsidRDefault="00D6339F" w:rsidP="00A9191A">
            <w:pPr>
              <w:jc w:val="both"/>
            </w:pPr>
          </w:p>
        </w:tc>
      </w:tr>
      <w:tr w:rsidR="00723799" w:rsidRPr="00E356CE" w14:paraId="78F79825" w14:textId="77777777" w:rsidTr="56856880">
        <w:tc>
          <w:tcPr>
            <w:tcW w:w="795" w:type="dxa"/>
            <w:tcBorders>
              <w:top w:val="single" w:sz="4" w:space="0" w:color="auto"/>
              <w:left w:val="single" w:sz="4" w:space="0" w:color="auto"/>
              <w:bottom w:val="single" w:sz="4" w:space="0" w:color="auto"/>
              <w:right w:val="single" w:sz="4" w:space="0" w:color="auto"/>
            </w:tcBorders>
          </w:tcPr>
          <w:p w14:paraId="5905BE9F" w14:textId="77777777" w:rsidR="00D6339F" w:rsidRPr="00E356CE" w:rsidRDefault="006977AC" w:rsidP="00A9191A">
            <w:pPr>
              <w:jc w:val="both"/>
              <w:rPr>
                <w:b/>
              </w:rPr>
            </w:pPr>
            <w:r w:rsidRPr="00E356CE">
              <w:rPr>
                <w:b/>
              </w:rPr>
              <w:t>Art. 2 lit. b</w:t>
            </w:r>
          </w:p>
        </w:tc>
        <w:tc>
          <w:tcPr>
            <w:tcW w:w="4719" w:type="dxa"/>
            <w:tcBorders>
              <w:top w:val="single" w:sz="4" w:space="0" w:color="auto"/>
              <w:left w:val="single" w:sz="4" w:space="0" w:color="auto"/>
              <w:bottom w:val="single" w:sz="4" w:space="0" w:color="auto"/>
              <w:right w:val="single" w:sz="4" w:space="0" w:color="auto"/>
            </w:tcBorders>
          </w:tcPr>
          <w:p w14:paraId="4C6ECCB4" w14:textId="77777777" w:rsidR="00D6339F" w:rsidRPr="00E356CE" w:rsidRDefault="006977AC" w:rsidP="00A9191A">
            <w:pPr>
              <w:spacing w:before="60" w:after="120"/>
              <w:jc w:val="both"/>
              <w:rPr>
                <w:b/>
                <w:bCs/>
              </w:rPr>
            </w:pPr>
            <w:r w:rsidRPr="00E356CE">
              <w:t>b) „dane o ruchu” oznaczają wszelkie dane przetwarzane do celów przekazywania komunikatu w sieci łączności elektronicznej lub naliczania opłat za te usługi;</w:t>
            </w:r>
          </w:p>
        </w:tc>
        <w:tc>
          <w:tcPr>
            <w:tcW w:w="886" w:type="dxa"/>
            <w:tcBorders>
              <w:top w:val="single" w:sz="4" w:space="0" w:color="auto"/>
              <w:left w:val="single" w:sz="4" w:space="0" w:color="auto"/>
              <w:bottom w:val="single" w:sz="4" w:space="0" w:color="auto"/>
              <w:right w:val="single" w:sz="4" w:space="0" w:color="auto"/>
            </w:tcBorders>
          </w:tcPr>
          <w:p w14:paraId="51AFE14B" w14:textId="77777777" w:rsidR="00D6339F"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6362D429" w14:textId="21242C58" w:rsidR="00D6339F" w:rsidRPr="00E356CE" w:rsidRDefault="006977AC" w:rsidP="00A9191A">
            <w:pPr>
              <w:pStyle w:val="Tekstpodstawowy"/>
              <w:rPr>
                <w:noProof/>
                <w:sz w:val="24"/>
                <w:szCs w:val="24"/>
              </w:rPr>
            </w:pPr>
            <w:r w:rsidRPr="00E356CE">
              <w:rPr>
                <w:noProof/>
                <w:sz w:val="24"/>
                <w:szCs w:val="24"/>
              </w:rPr>
              <w:t>Art. 3</w:t>
            </w:r>
            <w:r w:rsidR="78661499" w:rsidRPr="00E356CE">
              <w:rPr>
                <w:noProof/>
                <w:sz w:val="24"/>
                <w:szCs w:val="24"/>
              </w:rPr>
              <w:t>81</w:t>
            </w:r>
            <w:r w:rsidRPr="00E356CE">
              <w:rPr>
                <w:noProof/>
                <w:sz w:val="24"/>
                <w:szCs w:val="24"/>
              </w:rPr>
              <w:t xml:space="preserve"> ust. 1 pkt 3</w:t>
            </w:r>
          </w:p>
        </w:tc>
        <w:tc>
          <w:tcPr>
            <w:tcW w:w="7410" w:type="dxa"/>
            <w:gridSpan w:val="2"/>
            <w:tcBorders>
              <w:top w:val="single" w:sz="4" w:space="0" w:color="auto"/>
              <w:left w:val="single" w:sz="4" w:space="0" w:color="auto"/>
              <w:bottom w:val="single" w:sz="4" w:space="0" w:color="auto"/>
              <w:right w:val="single" w:sz="4" w:space="0" w:color="auto"/>
            </w:tcBorders>
          </w:tcPr>
          <w:p w14:paraId="61720188" w14:textId="06CF5720" w:rsidR="006977AC" w:rsidRPr="00E356CE" w:rsidRDefault="006977AC" w:rsidP="34F564A8">
            <w:pPr>
              <w:pStyle w:val="ARTartustawynprozporzdzenia"/>
              <w:keepNext/>
              <w:spacing w:line="240" w:lineRule="auto"/>
              <w:ind w:firstLine="0"/>
              <w:rPr>
                <w:rFonts w:ascii="Times New Roman" w:hAnsi="Times New Roman" w:cs="Times New Roman"/>
              </w:rPr>
            </w:pPr>
            <w:r w:rsidRPr="00E356CE">
              <w:rPr>
                <w:rStyle w:val="Ppogrubienie"/>
                <w:rFonts w:ascii="Times New Roman" w:hAnsi="Times New Roman"/>
              </w:rPr>
              <w:t>Art. 3</w:t>
            </w:r>
            <w:r w:rsidR="1CFC0FFA" w:rsidRPr="00E356CE">
              <w:rPr>
                <w:rStyle w:val="Ppogrubienie"/>
                <w:rFonts w:ascii="Times New Roman" w:hAnsi="Times New Roman"/>
              </w:rPr>
              <w:t>81</w:t>
            </w:r>
            <w:r w:rsidRPr="00E356CE">
              <w:rPr>
                <w:rStyle w:val="Ppogrubienie"/>
                <w:rFonts w:ascii="Times New Roman" w:hAnsi="Times New Roman"/>
              </w:rPr>
              <w:t>.</w:t>
            </w:r>
            <w:r w:rsidRPr="00E356CE">
              <w:rPr>
                <w:rFonts w:ascii="Times New Roman" w:hAnsi="Times New Roman" w:cs="Times New Roman"/>
              </w:rPr>
              <w:t> 1. Tajemnica komunikowania się w sieciach telekomunikacyjnych, zwana dalej „tajemnicą komunikacji elektronicznej”, obejmuje:</w:t>
            </w:r>
          </w:p>
          <w:p w14:paraId="6DB1BA09" w14:textId="77777777" w:rsidR="006977AC" w:rsidRPr="00E356CE" w:rsidRDefault="006977AC"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3E04A83A" w14:textId="4A65D6B4" w:rsidR="006977AC" w:rsidRPr="00E356CE" w:rsidRDefault="006977AC" w:rsidP="34F564A8">
            <w:pPr>
              <w:spacing w:line="360" w:lineRule="auto"/>
              <w:rPr>
                <w:rStyle w:val="Ppogrubienie"/>
                <w:b w:val="0"/>
              </w:rPr>
            </w:pPr>
            <w:r w:rsidRPr="00E356CE">
              <w:t>3)</w:t>
            </w:r>
            <w:r w:rsidRPr="00E356CE">
              <w:tab/>
            </w:r>
            <w:r w:rsidR="653A2734" w:rsidRPr="00E356CE">
              <w:t xml:space="preserve">dane transmisyjne, które oznaczają dane przetwarzane dla celów przekazywania komunikatów elektronicznych w sieciach telekomunikacyjnych lub naliczania opłat za usługi komunikacji elektronicznej, i mogą obejmować dane lokalizacyjne, które oznaczają wszelkie dane przetwarzane w sieci telekomunikacyjnej lub w ramach usług komunikacji elektronicznej wskazujące położenie geograficzne </w:t>
            </w:r>
            <w:r w:rsidR="653A2734" w:rsidRPr="00E356CE">
              <w:lastRenderedPageBreak/>
              <w:t xml:space="preserve">telekomunikacyjnego urządzenia końcowego użytkownika usług komunikacji elektronicznej; </w:t>
            </w:r>
          </w:p>
          <w:p w14:paraId="0688B60B" w14:textId="6F0989F6" w:rsidR="653A2734" w:rsidRPr="00E356CE" w:rsidRDefault="653A2734">
            <w:r w:rsidRPr="00E356CE">
              <w:br/>
            </w:r>
          </w:p>
          <w:p w14:paraId="1AC185A8" w14:textId="1BDB17FC" w:rsidR="34F564A8" w:rsidRPr="00E356CE" w:rsidRDefault="34F564A8" w:rsidP="34F564A8">
            <w:pPr>
              <w:pStyle w:val="PKTpunkt"/>
              <w:spacing w:line="240" w:lineRule="auto"/>
              <w:rPr>
                <w:rFonts w:ascii="Times New Roman" w:hAnsi="Times New Roman" w:cs="Times New Roman"/>
              </w:rPr>
            </w:pPr>
          </w:p>
          <w:p w14:paraId="2BB9261B" w14:textId="77777777" w:rsidR="00D6339F" w:rsidRPr="00E356CE" w:rsidRDefault="00D6339F" w:rsidP="00A9191A">
            <w:pPr>
              <w:jc w:val="both"/>
            </w:pPr>
          </w:p>
        </w:tc>
      </w:tr>
      <w:tr w:rsidR="00723799" w:rsidRPr="00E356CE" w14:paraId="1F58E6EC" w14:textId="77777777" w:rsidTr="56856880">
        <w:tc>
          <w:tcPr>
            <w:tcW w:w="795" w:type="dxa"/>
            <w:tcBorders>
              <w:top w:val="single" w:sz="4" w:space="0" w:color="auto"/>
              <w:left w:val="single" w:sz="4" w:space="0" w:color="auto"/>
              <w:bottom w:val="single" w:sz="4" w:space="0" w:color="auto"/>
              <w:right w:val="single" w:sz="4" w:space="0" w:color="auto"/>
            </w:tcBorders>
          </w:tcPr>
          <w:p w14:paraId="4D94C870" w14:textId="77777777" w:rsidR="00D6339F" w:rsidRPr="00E356CE" w:rsidRDefault="004E724D" w:rsidP="00A9191A">
            <w:pPr>
              <w:jc w:val="both"/>
              <w:rPr>
                <w:b/>
              </w:rPr>
            </w:pPr>
            <w:r w:rsidRPr="00E356CE">
              <w:rPr>
                <w:b/>
              </w:rPr>
              <w:lastRenderedPageBreak/>
              <w:t>Art. 2 lit. c</w:t>
            </w:r>
          </w:p>
        </w:tc>
        <w:tc>
          <w:tcPr>
            <w:tcW w:w="4719" w:type="dxa"/>
            <w:tcBorders>
              <w:top w:val="single" w:sz="4" w:space="0" w:color="auto"/>
              <w:left w:val="single" w:sz="4" w:space="0" w:color="auto"/>
              <w:bottom w:val="single" w:sz="4" w:space="0" w:color="auto"/>
              <w:right w:val="single" w:sz="4" w:space="0" w:color="auto"/>
            </w:tcBorders>
          </w:tcPr>
          <w:p w14:paraId="5FDA5A69" w14:textId="77777777" w:rsidR="00D6339F" w:rsidRPr="00E356CE" w:rsidRDefault="004E724D" w:rsidP="00A9191A">
            <w:pPr>
              <w:spacing w:before="60" w:after="120"/>
              <w:jc w:val="both"/>
              <w:rPr>
                <w:b/>
                <w:bCs/>
              </w:rPr>
            </w:pPr>
            <w:r w:rsidRPr="00E356CE">
              <w:t>c) „dane dotyczące lokalizacji” oznaczają wszelkie dane przetwarzane w sieci łączności elektronicznej lub w ramach usług łączności elektronicznej, wskazujące położenie geograficzne urządzenia końcowego użytkownika publicznie dostępnych usług łączności elektronicznej;</w:t>
            </w:r>
          </w:p>
        </w:tc>
        <w:tc>
          <w:tcPr>
            <w:tcW w:w="886" w:type="dxa"/>
            <w:tcBorders>
              <w:top w:val="single" w:sz="4" w:space="0" w:color="auto"/>
              <w:left w:val="single" w:sz="4" w:space="0" w:color="auto"/>
              <w:bottom w:val="single" w:sz="4" w:space="0" w:color="auto"/>
              <w:right w:val="single" w:sz="4" w:space="0" w:color="auto"/>
            </w:tcBorders>
          </w:tcPr>
          <w:p w14:paraId="56CB534C" w14:textId="77777777" w:rsidR="00D6339F"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51476CB1" w14:textId="40268A72" w:rsidR="00D6339F" w:rsidRPr="00E356CE" w:rsidRDefault="004E724D" w:rsidP="00A9191A">
            <w:pPr>
              <w:pStyle w:val="Tekstpodstawowy"/>
              <w:rPr>
                <w:noProof/>
                <w:sz w:val="24"/>
                <w:szCs w:val="24"/>
              </w:rPr>
            </w:pPr>
            <w:r w:rsidRPr="00E356CE">
              <w:rPr>
                <w:noProof/>
                <w:sz w:val="24"/>
                <w:szCs w:val="24"/>
              </w:rPr>
              <w:t>Art. 3</w:t>
            </w:r>
            <w:r w:rsidR="3CED5E0D" w:rsidRPr="00E356CE">
              <w:rPr>
                <w:noProof/>
                <w:sz w:val="24"/>
                <w:szCs w:val="24"/>
              </w:rPr>
              <w:t>81</w:t>
            </w:r>
            <w:r w:rsidRPr="00E356CE">
              <w:rPr>
                <w:noProof/>
                <w:sz w:val="24"/>
                <w:szCs w:val="24"/>
              </w:rPr>
              <w:t xml:space="preserve"> ust. 1 pkt 3 i 4 </w:t>
            </w:r>
          </w:p>
        </w:tc>
        <w:tc>
          <w:tcPr>
            <w:tcW w:w="7410" w:type="dxa"/>
            <w:gridSpan w:val="2"/>
            <w:tcBorders>
              <w:top w:val="single" w:sz="4" w:space="0" w:color="auto"/>
              <w:left w:val="single" w:sz="4" w:space="0" w:color="auto"/>
              <w:bottom w:val="single" w:sz="4" w:space="0" w:color="auto"/>
              <w:right w:val="single" w:sz="4" w:space="0" w:color="auto"/>
            </w:tcBorders>
          </w:tcPr>
          <w:p w14:paraId="3C219339" w14:textId="77777777" w:rsidR="004E724D" w:rsidRPr="00E356CE" w:rsidRDefault="004E724D" w:rsidP="003C4E86">
            <w:pPr>
              <w:pStyle w:val="ARTartustawynprozporzdzenia"/>
              <w:keepNext/>
              <w:spacing w:line="240" w:lineRule="auto"/>
              <w:ind w:firstLine="0"/>
              <w:rPr>
                <w:rFonts w:ascii="Times New Roman" w:hAnsi="Times New Roman" w:cs="Times New Roman"/>
                <w:szCs w:val="24"/>
              </w:rPr>
            </w:pPr>
            <w:r w:rsidRPr="00E356CE">
              <w:rPr>
                <w:rStyle w:val="Ppogrubienie"/>
                <w:rFonts w:ascii="Times New Roman" w:hAnsi="Times New Roman"/>
              </w:rPr>
              <w:t>Art. 348.</w:t>
            </w:r>
            <w:r w:rsidRPr="00E356CE">
              <w:rPr>
                <w:rFonts w:ascii="Times New Roman" w:hAnsi="Times New Roman" w:cs="Times New Roman"/>
              </w:rPr>
              <w:t> 1. Tajemnica komunikowania się w sieciach telekomunikacyjnych, zwana dalej „tajemnicą komunikacji elektronicznej”, obejmuje:</w:t>
            </w:r>
          </w:p>
          <w:p w14:paraId="6A15B3F8" w14:textId="7CC1550B" w:rsidR="00D6339F" w:rsidRPr="00E356CE" w:rsidRDefault="4C9B8CA3" w:rsidP="34F564A8">
            <w:pPr>
              <w:spacing w:line="360" w:lineRule="auto"/>
              <w:ind w:left="510" w:hanging="510"/>
              <w:jc w:val="both"/>
            </w:pPr>
            <w:r w:rsidRPr="00E356CE">
              <w:t>3)</w:t>
            </w:r>
            <w:r w:rsidR="00D6339F" w:rsidRPr="00E356CE">
              <w:tab/>
            </w:r>
            <w:r w:rsidRPr="00E356CE">
              <w:t xml:space="preserve">dane transmisyjne, które oznaczają dane przetwarzane dla celów przekazywania komunikatów elektronicznych w sieciach telekomunikacyjnych lub naliczania opłat za usługi komunikacji elektronicznej, i mogą obejmować </w:t>
            </w:r>
            <w:r w:rsidRPr="00E356CE">
              <w:rPr>
                <w:b/>
                <w:bCs/>
              </w:rPr>
              <w:t>dane lokalizacyjne</w:t>
            </w:r>
            <w:r w:rsidRPr="00E356CE">
              <w:t>, które oznaczają wszelkie dane przetwarzane w sieci telekomunikacyjnej lub w ramach usług komunikacji elektronicznej wskazujące położenie geograficzne telekomunikacyjnego urządzenia końcowego użytkownika usług komunikacji elektronicznej;</w:t>
            </w:r>
          </w:p>
          <w:p w14:paraId="5A1BCC25" w14:textId="75D585E2" w:rsidR="00D6339F" w:rsidRPr="00E356CE" w:rsidRDefault="4C9B8CA3" w:rsidP="34F564A8">
            <w:pPr>
              <w:spacing w:line="360" w:lineRule="auto"/>
              <w:ind w:left="510" w:hanging="510"/>
              <w:jc w:val="both"/>
            </w:pPr>
            <w:r w:rsidRPr="00E356CE">
              <w:t>4)</w:t>
            </w:r>
            <w:r w:rsidR="00D6339F" w:rsidRPr="00E356CE">
              <w:tab/>
            </w:r>
            <w:r w:rsidRPr="00E356CE">
              <w:t>dane o lokalizacji, które oznaczają dane lokalizacyjne wykraczające poza dane niezbędne do transmisji komunikatu elektronicznego lub wystawienia rachunku;</w:t>
            </w:r>
          </w:p>
          <w:p w14:paraId="7303D8C1" w14:textId="417F402A" w:rsidR="00D6339F" w:rsidRPr="00E356CE" w:rsidRDefault="00D6339F" w:rsidP="34F564A8">
            <w:r w:rsidRPr="00E356CE">
              <w:br/>
            </w:r>
          </w:p>
          <w:p w14:paraId="1E042054" w14:textId="03C4C0EF" w:rsidR="00D6339F" w:rsidRPr="00E356CE" w:rsidRDefault="00D6339F" w:rsidP="34F564A8">
            <w:pPr>
              <w:pStyle w:val="PKTpunkt"/>
              <w:spacing w:line="240" w:lineRule="auto"/>
              <w:ind w:left="0" w:firstLine="0"/>
              <w:rPr>
                <w:rFonts w:ascii="Times New Roman" w:hAnsi="Times New Roman" w:cs="Times New Roman"/>
              </w:rPr>
            </w:pPr>
          </w:p>
        </w:tc>
      </w:tr>
      <w:tr w:rsidR="00723799" w:rsidRPr="00E356CE" w14:paraId="07401F58" w14:textId="77777777" w:rsidTr="56856880">
        <w:tc>
          <w:tcPr>
            <w:tcW w:w="795" w:type="dxa"/>
            <w:tcBorders>
              <w:top w:val="single" w:sz="4" w:space="0" w:color="auto"/>
              <w:left w:val="single" w:sz="4" w:space="0" w:color="auto"/>
              <w:bottom w:val="single" w:sz="4" w:space="0" w:color="auto"/>
              <w:right w:val="single" w:sz="4" w:space="0" w:color="auto"/>
            </w:tcBorders>
          </w:tcPr>
          <w:p w14:paraId="309FAC40" w14:textId="77777777" w:rsidR="00D6339F" w:rsidRPr="00E356CE" w:rsidRDefault="004E724D" w:rsidP="00A9191A">
            <w:pPr>
              <w:jc w:val="both"/>
              <w:rPr>
                <w:b/>
              </w:rPr>
            </w:pPr>
            <w:r w:rsidRPr="00E356CE">
              <w:rPr>
                <w:b/>
              </w:rPr>
              <w:lastRenderedPageBreak/>
              <w:t>Art. 2 lit. d</w:t>
            </w:r>
          </w:p>
        </w:tc>
        <w:tc>
          <w:tcPr>
            <w:tcW w:w="4719" w:type="dxa"/>
            <w:tcBorders>
              <w:top w:val="single" w:sz="4" w:space="0" w:color="auto"/>
              <w:left w:val="single" w:sz="4" w:space="0" w:color="auto"/>
              <w:bottom w:val="single" w:sz="4" w:space="0" w:color="auto"/>
              <w:right w:val="single" w:sz="4" w:space="0" w:color="auto"/>
            </w:tcBorders>
          </w:tcPr>
          <w:p w14:paraId="789FD5C8" w14:textId="77777777" w:rsidR="00D6339F" w:rsidRPr="00E356CE" w:rsidRDefault="004E724D" w:rsidP="00A9191A">
            <w:pPr>
              <w:spacing w:before="60" w:after="120"/>
              <w:jc w:val="both"/>
              <w:rPr>
                <w:b/>
                <w:bCs/>
              </w:rPr>
            </w:pPr>
            <w:r w:rsidRPr="00E356CE">
              <w:t>d) „komunikat” oznacza każdą informację wymienianą lub przekazaną między określoną liczbą stron za pośrednictwem usług publicznie dostępnej łączności elektronicznej. Nie obejmuje on informacji przekazanej jako część publicznych usług nadawczych przez sieć łączności elektronicznej, z wyjątkiem zakresu, w jakim informacja może się odnosić do możliwego do zidentyfikowania abonenta lub użytkownika otrzymującego informację;</w:t>
            </w:r>
          </w:p>
        </w:tc>
        <w:tc>
          <w:tcPr>
            <w:tcW w:w="886" w:type="dxa"/>
            <w:tcBorders>
              <w:top w:val="single" w:sz="4" w:space="0" w:color="auto"/>
              <w:left w:val="single" w:sz="4" w:space="0" w:color="auto"/>
              <w:bottom w:val="single" w:sz="4" w:space="0" w:color="auto"/>
              <w:right w:val="single" w:sz="4" w:space="0" w:color="auto"/>
            </w:tcBorders>
          </w:tcPr>
          <w:p w14:paraId="26D96540" w14:textId="77777777" w:rsidR="00D6339F"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7D0E0B02" w14:textId="5B3E13DF" w:rsidR="00D6339F" w:rsidRPr="00E356CE" w:rsidRDefault="004E724D" w:rsidP="00A9191A">
            <w:pPr>
              <w:pStyle w:val="Tekstpodstawowy"/>
              <w:rPr>
                <w:noProof/>
                <w:sz w:val="24"/>
                <w:szCs w:val="24"/>
              </w:rPr>
            </w:pPr>
            <w:r w:rsidRPr="00E356CE">
              <w:rPr>
                <w:noProof/>
                <w:sz w:val="24"/>
                <w:szCs w:val="24"/>
              </w:rPr>
              <w:t xml:space="preserve">Art. 2 pkt </w:t>
            </w:r>
            <w:r w:rsidR="1A069CCD" w:rsidRPr="00E356CE">
              <w:rPr>
                <w:noProof/>
                <w:sz w:val="24"/>
                <w:szCs w:val="24"/>
              </w:rPr>
              <w:t>19</w:t>
            </w:r>
          </w:p>
        </w:tc>
        <w:tc>
          <w:tcPr>
            <w:tcW w:w="7410" w:type="dxa"/>
            <w:gridSpan w:val="2"/>
            <w:tcBorders>
              <w:top w:val="single" w:sz="4" w:space="0" w:color="auto"/>
              <w:left w:val="single" w:sz="4" w:space="0" w:color="auto"/>
              <w:bottom w:val="single" w:sz="4" w:space="0" w:color="auto"/>
              <w:right w:val="single" w:sz="4" w:space="0" w:color="auto"/>
            </w:tcBorders>
          </w:tcPr>
          <w:p w14:paraId="3E3688F6" w14:textId="23F44541" w:rsidR="004E724D" w:rsidRPr="00E356CE" w:rsidRDefault="1A069CCD" w:rsidP="34F564A8">
            <w:pPr>
              <w:spacing w:line="360" w:lineRule="auto"/>
              <w:ind w:left="510" w:hanging="510"/>
              <w:jc w:val="both"/>
            </w:pPr>
            <w:r w:rsidRPr="00E356CE">
              <w:t>19</w:t>
            </w:r>
            <w:r w:rsidR="004E724D" w:rsidRPr="00E356CE">
              <w:t>)</w:t>
            </w:r>
            <w:r w:rsidR="79590F65" w:rsidRPr="00E356CE">
              <w:t xml:space="preserve"> komunikat elektroniczny – każdą informację wymienianą lub przekazywaną między określonymi użytkownikami za pośrednictwem publicznie dostępnych usług komunikacji elektronicznej; nie obejmuje on informacji przekazanej jako część transmisji radiofonicznych lub telewizyjnych transmitowanych poprzez sieć telekomunikacyjną, z wyjątkiem informacji odnoszącej się do możliwego do zidentyfikowania użytkownika otrzymującego informację;</w:t>
            </w:r>
          </w:p>
          <w:p w14:paraId="1EC945DD" w14:textId="6292F981" w:rsidR="004E724D" w:rsidRPr="00E356CE" w:rsidRDefault="004E724D" w:rsidP="34F564A8">
            <w:pPr>
              <w:pStyle w:val="PKTpunkt"/>
              <w:spacing w:line="240" w:lineRule="auto"/>
              <w:rPr>
                <w:rFonts w:ascii="Times New Roman" w:hAnsi="Times New Roman" w:cs="Times New Roman"/>
              </w:rPr>
            </w:pPr>
          </w:p>
          <w:p w14:paraId="2A89E5C2" w14:textId="77777777" w:rsidR="00D6339F" w:rsidRPr="00E356CE" w:rsidRDefault="00D6339F" w:rsidP="00A9191A">
            <w:pPr>
              <w:jc w:val="both"/>
            </w:pPr>
          </w:p>
        </w:tc>
      </w:tr>
      <w:tr w:rsidR="00723799" w:rsidRPr="00E356CE" w14:paraId="4AB7E0EB" w14:textId="77777777" w:rsidTr="56856880">
        <w:tc>
          <w:tcPr>
            <w:tcW w:w="795" w:type="dxa"/>
            <w:tcBorders>
              <w:top w:val="single" w:sz="4" w:space="0" w:color="auto"/>
              <w:left w:val="single" w:sz="4" w:space="0" w:color="auto"/>
              <w:bottom w:val="single" w:sz="4" w:space="0" w:color="auto"/>
              <w:right w:val="single" w:sz="4" w:space="0" w:color="auto"/>
            </w:tcBorders>
          </w:tcPr>
          <w:p w14:paraId="41FF1A9B" w14:textId="77777777" w:rsidR="00D6339F" w:rsidRPr="00E356CE" w:rsidRDefault="004E724D" w:rsidP="00A9191A">
            <w:pPr>
              <w:jc w:val="both"/>
              <w:rPr>
                <w:b/>
              </w:rPr>
            </w:pPr>
            <w:r w:rsidRPr="00E356CE">
              <w:rPr>
                <w:b/>
              </w:rPr>
              <w:t>Art. 2 lit. f</w:t>
            </w:r>
          </w:p>
        </w:tc>
        <w:tc>
          <w:tcPr>
            <w:tcW w:w="4719" w:type="dxa"/>
            <w:tcBorders>
              <w:top w:val="single" w:sz="4" w:space="0" w:color="auto"/>
              <w:left w:val="single" w:sz="4" w:space="0" w:color="auto"/>
              <w:bottom w:val="single" w:sz="4" w:space="0" w:color="auto"/>
              <w:right w:val="single" w:sz="4" w:space="0" w:color="auto"/>
            </w:tcBorders>
          </w:tcPr>
          <w:p w14:paraId="72AC8984" w14:textId="77777777" w:rsidR="00D6339F" w:rsidRPr="00E356CE" w:rsidRDefault="004E724D" w:rsidP="00A9191A">
            <w:pPr>
              <w:spacing w:before="60" w:after="120"/>
              <w:jc w:val="both"/>
              <w:rPr>
                <w:b/>
                <w:bCs/>
              </w:rPr>
            </w:pPr>
            <w:r w:rsidRPr="00E356CE">
              <w:t>f) „zgoda” użytkownika lub abonenta odpowiada zgodzie podmiotu danych określonej w dyrektywie 95/46/WE;</w:t>
            </w:r>
          </w:p>
        </w:tc>
        <w:tc>
          <w:tcPr>
            <w:tcW w:w="886" w:type="dxa"/>
            <w:tcBorders>
              <w:top w:val="single" w:sz="4" w:space="0" w:color="auto"/>
              <w:left w:val="single" w:sz="4" w:space="0" w:color="auto"/>
              <w:bottom w:val="single" w:sz="4" w:space="0" w:color="auto"/>
              <w:right w:val="single" w:sz="4" w:space="0" w:color="auto"/>
            </w:tcBorders>
          </w:tcPr>
          <w:p w14:paraId="60248BA8" w14:textId="77777777" w:rsidR="00D6339F"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750E8BDD" w14:textId="77777777" w:rsidR="00D6339F" w:rsidRPr="00E356CE" w:rsidRDefault="004E724D" w:rsidP="00A9191A">
            <w:pPr>
              <w:pStyle w:val="Tekstpodstawowy"/>
              <w:rPr>
                <w:noProof/>
                <w:sz w:val="24"/>
                <w:szCs w:val="24"/>
              </w:rPr>
            </w:pPr>
            <w:r w:rsidRPr="00E356CE">
              <w:rPr>
                <w:noProof/>
                <w:sz w:val="24"/>
                <w:szCs w:val="24"/>
              </w:rPr>
              <w:t>Art. 362</w:t>
            </w:r>
          </w:p>
        </w:tc>
        <w:tc>
          <w:tcPr>
            <w:tcW w:w="7410" w:type="dxa"/>
            <w:gridSpan w:val="2"/>
            <w:tcBorders>
              <w:top w:val="single" w:sz="4" w:space="0" w:color="auto"/>
              <w:left w:val="single" w:sz="4" w:space="0" w:color="auto"/>
              <w:bottom w:val="single" w:sz="4" w:space="0" w:color="auto"/>
              <w:right w:val="single" w:sz="4" w:space="0" w:color="auto"/>
            </w:tcBorders>
          </w:tcPr>
          <w:p w14:paraId="4A188356" w14:textId="77777777" w:rsidR="004E724D" w:rsidRPr="00E356CE" w:rsidRDefault="004E724D" w:rsidP="003C4E86">
            <w:pPr>
              <w:pStyle w:val="ARTartustawynprozporzdzenia"/>
              <w:spacing w:line="240" w:lineRule="auto"/>
              <w:ind w:firstLine="0"/>
              <w:rPr>
                <w:rFonts w:ascii="Times New Roman" w:hAnsi="Times New Roman" w:cs="Times New Roman"/>
                <w:szCs w:val="24"/>
              </w:rPr>
            </w:pPr>
            <w:r w:rsidRPr="00E356CE">
              <w:rPr>
                <w:rStyle w:val="Ppogrubienie"/>
                <w:rFonts w:ascii="Times New Roman" w:hAnsi="Times New Roman"/>
                <w:szCs w:val="24"/>
              </w:rPr>
              <w:t>Art. 362.</w:t>
            </w:r>
            <w:r w:rsidRPr="00E356CE">
              <w:rPr>
                <w:rFonts w:ascii="Times New Roman" w:hAnsi="Times New Roman" w:cs="Times New Roman"/>
                <w:szCs w:val="24"/>
              </w:rPr>
              <w:t> Do uzyskania zgody użytkownika końcowego stosuje się odpowiednio przepisy o ochronie danych osobowych.</w:t>
            </w:r>
          </w:p>
          <w:p w14:paraId="2973635E" w14:textId="77777777" w:rsidR="00D6339F" w:rsidRPr="00E356CE" w:rsidRDefault="00D6339F" w:rsidP="00A9191A">
            <w:pPr>
              <w:jc w:val="both"/>
            </w:pPr>
          </w:p>
        </w:tc>
      </w:tr>
      <w:tr w:rsidR="00723799" w:rsidRPr="00E356CE" w14:paraId="0F565A72" w14:textId="77777777" w:rsidTr="56856880">
        <w:tc>
          <w:tcPr>
            <w:tcW w:w="795" w:type="dxa"/>
            <w:tcBorders>
              <w:top w:val="single" w:sz="4" w:space="0" w:color="auto"/>
              <w:left w:val="single" w:sz="4" w:space="0" w:color="auto"/>
              <w:bottom w:val="single" w:sz="4" w:space="0" w:color="auto"/>
              <w:right w:val="single" w:sz="4" w:space="0" w:color="auto"/>
            </w:tcBorders>
          </w:tcPr>
          <w:p w14:paraId="0B3C7410" w14:textId="77777777" w:rsidR="00D6339F" w:rsidRPr="00E356CE" w:rsidRDefault="004E724D" w:rsidP="00A9191A">
            <w:pPr>
              <w:jc w:val="both"/>
              <w:rPr>
                <w:b/>
              </w:rPr>
            </w:pPr>
            <w:r w:rsidRPr="00E356CE">
              <w:rPr>
                <w:b/>
              </w:rPr>
              <w:t>Art. 2 lit. g</w:t>
            </w:r>
          </w:p>
        </w:tc>
        <w:tc>
          <w:tcPr>
            <w:tcW w:w="4719" w:type="dxa"/>
            <w:tcBorders>
              <w:top w:val="single" w:sz="4" w:space="0" w:color="auto"/>
              <w:left w:val="single" w:sz="4" w:space="0" w:color="auto"/>
              <w:bottom w:val="single" w:sz="4" w:space="0" w:color="auto"/>
              <w:right w:val="single" w:sz="4" w:space="0" w:color="auto"/>
            </w:tcBorders>
          </w:tcPr>
          <w:p w14:paraId="293D3160" w14:textId="77777777" w:rsidR="00D6339F" w:rsidRPr="00E356CE" w:rsidRDefault="004E724D" w:rsidP="00A9191A">
            <w:pPr>
              <w:spacing w:before="60" w:after="120"/>
              <w:jc w:val="both"/>
              <w:rPr>
                <w:b/>
                <w:bCs/>
              </w:rPr>
            </w:pPr>
            <w:r w:rsidRPr="00E356CE">
              <w:t>g) usługi tworzące wartość dodaną oznaczają wszelkie usługi, które wymagają przetwarzania danych o ruchu lub danych dotyczących lokalizacji innych niż dane o ruchu wykraczające poza dane niezbędne do transmisji komunikatu lub naliczenia za nią opłaty;</w:t>
            </w:r>
          </w:p>
        </w:tc>
        <w:tc>
          <w:tcPr>
            <w:tcW w:w="886" w:type="dxa"/>
            <w:tcBorders>
              <w:top w:val="single" w:sz="4" w:space="0" w:color="auto"/>
              <w:left w:val="single" w:sz="4" w:space="0" w:color="auto"/>
              <w:bottom w:val="single" w:sz="4" w:space="0" w:color="auto"/>
              <w:right w:val="single" w:sz="4" w:space="0" w:color="auto"/>
            </w:tcBorders>
          </w:tcPr>
          <w:p w14:paraId="2B9C061E" w14:textId="77777777" w:rsidR="00D6339F"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BA3895D" w14:textId="6C480D60" w:rsidR="00D6339F" w:rsidRPr="00E356CE" w:rsidRDefault="004E724D" w:rsidP="00A9191A">
            <w:pPr>
              <w:pStyle w:val="Tekstpodstawowy"/>
              <w:rPr>
                <w:noProof/>
                <w:sz w:val="24"/>
                <w:szCs w:val="24"/>
              </w:rPr>
            </w:pPr>
            <w:r w:rsidRPr="00E356CE">
              <w:rPr>
                <w:noProof/>
                <w:sz w:val="24"/>
                <w:szCs w:val="24"/>
              </w:rPr>
              <w:t xml:space="preserve">Art. 2 pkt </w:t>
            </w:r>
            <w:r w:rsidR="62068607" w:rsidRPr="00E356CE">
              <w:rPr>
                <w:noProof/>
                <w:sz w:val="24"/>
                <w:szCs w:val="24"/>
              </w:rPr>
              <w:t>80</w:t>
            </w:r>
          </w:p>
        </w:tc>
        <w:tc>
          <w:tcPr>
            <w:tcW w:w="7410" w:type="dxa"/>
            <w:gridSpan w:val="2"/>
            <w:tcBorders>
              <w:top w:val="single" w:sz="4" w:space="0" w:color="auto"/>
              <w:left w:val="single" w:sz="4" w:space="0" w:color="auto"/>
              <w:bottom w:val="single" w:sz="4" w:space="0" w:color="auto"/>
              <w:right w:val="single" w:sz="4" w:space="0" w:color="auto"/>
            </w:tcBorders>
          </w:tcPr>
          <w:p w14:paraId="5BF002BE" w14:textId="34BAEAED" w:rsidR="00D6339F" w:rsidRPr="00E356CE" w:rsidRDefault="62068607" w:rsidP="34F564A8">
            <w:pPr>
              <w:spacing w:line="360" w:lineRule="auto"/>
              <w:jc w:val="both"/>
            </w:pPr>
            <w:r w:rsidRPr="00E356CE">
              <w:t>80) usługa o wartości wzbogaconej – każdą usługę wymagającą przetworzenia danych o lokalizacji;</w:t>
            </w:r>
          </w:p>
          <w:p w14:paraId="2F1A0140" w14:textId="73045CB6" w:rsidR="00D6339F" w:rsidRPr="00E356CE" w:rsidRDefault="003C4E86" w:rsidP="00A9191A">
            <w:pPr>
              <w:jc w:val="both"/>
            </w:pPr>
            <w:r w:rsidRPr="00E356CE">
              <w:br/>
            </w:r>
          </w:p>
          <w:p w14:paraId="6BD96DCE" w14:textId="44BEA963" w:rsidR="00D6339F" w:rsidRPr="00E356CE" w:rsidRDefault="00D6339F" w:rsidP="34F564A8">
            <w:pPr>
              <w:jc w:val="both"/>
            </w:pPr>
          </w:p>
        </w:tc>
      </w:tr>
      <w:tr w:rsidR="00723799" w:rsidRPr="00E356CE" w14:paraId="5F931B9E" w14:textId="77777777" w:rsidTr="56856880">
        <w:tc>
          <w:tcPr>
            <w:tcW w:w="795" w:type="dxa"/>
            <w:tcBorders>
              <w:top w:val="single" w:sz="4" w:space="0" w:color="auto"/>
              <w:left w:val="single" w:sz="4" w:space="0" w:color="auto"/>
              <w:bottom w:val="single" w:sz="4" w:space="0" w:color="auto"/>
              <w:right w:val="single" w:sz="4" w:space="0" w:color="auto"/>
            </w:tcBorders>
          </w:tcPr>
          <w:p w14:paraId="7ED87C63" w14:textId="77777777" w:rsidR="00D6339F" w:rsidRPr="00E356CE" w:rsidRDefault="004E724D" w:rsidP="00A9191A">
            <w:pPr>
              <w:jc w:val="both"/>
              <w:rPr>
                <w:b/>
              </w:rPr>
            </w:pPr>
            <w:r w:rsidRPr="00E356CE">
              <w:rPr>
                <w:b/>
              </w:rPr>
              <w:t>Art. 2 lit h</w:t>
            </w:r>
          </w:p>
        </w:tc>
        <w:tc>
          <w:tcPr>
            <w:tcW w:w="4719" w:type="dxa"/>
            <w:tcBorders>
              <w:top w:val="single" w:sz="4" w:space="0" w:color="auto"/>
              <w:left w:val="single" w:sz="4" w:space="0" w:color="auto"/>
              <w:bottom w:val="single" w:sz="4" w:space="0" w:color="auto"/>
              <w:right w:val="single" w:sz="4" w:space="0" w:color="auto"/>
            </w:tcBorders>
          </w:tcPr>
          <w:p w14:paraId="5228CBEA" w14:textId="77777777" w:rsidR="00D6339F" w:rsidRPr="00E356CE" w:rsidRDefault="004E724D" w:rsidP="00A9191A">
            <w:pPr>
              <w:spacing w:before="60" w:after="120"/>
              <w:jc w:val="both"/>
              <w:rPr>
                <w:b/>
                <w:bCs/>
              </w:rPr>
            </w:pPr>
            <w:r w:rsidRPr="00E356CE">
              <w:t>h) „poczta elektroniczna” oznacza wiadomość tekstową, głosową, dźwiękową lub obrazkową wysłaną za pośrednictwem publicznej sieci łączności, która może być przechowywana w sieci lub terminalu odbiorcy do chwili jej odebrania przez odbiorcę ;</w:t>
            </w:r>
          </w:p>
        </w:tc>
        <w:tc>
          <w:tcPr>
            <w:tcW w:w="886" w:type="dxa"/>
            <w:tcBorders>
              <w:top w:val="single" w:sz="4" w:space="0" w:color="auto"/>
              <w:left w:val="single" w:sz="4" w:space="0" w:color="auto"/>
              <w:bottom w:val="single" w:sz="4" w:space="0" w:color="auto"/>
              <w:right w:val="single" w:sz="4" w:space="0" w:color="auto"/>
            </w:tcBorders>
          </w:tcPr>
          <w:p w14:paraId="0223A3DB" w14:textId="77777777" w:rsidR="00D6339F"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2C51C5DA" w14:textId="77777777" w:rsidR="00D6339F" w:rsidRPr="00E356CE" w:rsidRDefault="00D6339F"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58200600" w14:textId="77777777" w:rsidR="00D6339F" w:rsidRPr="00E356CE" w:rsidRDefault="00D6339F" w:rsidP="00A9191A">
            <w:pPr>
              <w:jc w:val="both"/>
            </w:pPr>
          </w:p>
        </w:tc>
      </w:tr>
      <w:tr w:rsidR="00723799" w:rsidRPr="00E356CE" w14:paraId="5687F70A" w14:textId="77777777" w:rsidTr="56856880">
        <w:tc>
          <w:tcPr>
            <w:tcW w:w="795" w:type="dxa"/>
            <w:tcBorders>
              <w:top w:val="single" w:sz="4" w:space="0" w:color="auto"/>
              <w:left w:val="single" w:sz="4" w:space="0" w:color="auto"/>
              <w:bottom w:val="single" w:sz="4" w:space="0" w:color="auto"/>
              <w:right w:val="single" w:sz="4" w:space="0" w:color="auto"/>
            </w:tcBorders>
          </w:tcPr>
          <w:p w14:paraId="299772A3" w14:textId="77777777" w:rsidR="00D6339F" w:rsidRPr="00E356CE" w:rsidRDefault="004E724D" w:rsidP="00A9191A">
            <w:pPr>
              <w:jc w:val="both"/>
              <w:rPr>
                <w:b/>
              </w:rPr>
            </w:pPr>
            <w:r w:rsidRPr="00E356CE">
              <w:rPr>
                <w:b/>
              </w:rPr>
              <w:lastRenderedPageBreak/>
              <w:t>Art. 2 lit. i</w:t>
            </w:r>
          </w:p>
        </w:tc>
        <w:tc>
          <w:tcPr>
            <w:tcW w:w="4719" w:type="dxa"/>
            <w:tcBorders>
              <w:top w:val="single" w:sz="4" w:space="0" w:color="auto"/>
              <w:left w:val="single" w:sz="4" w:space="0" w:color="auto"/>
              <w:bottom w:val="single" w:sz="4" w:space="0" w:color="auto"/>
              <w:right w:val="single" w:sz="4" w:space="0" w:color="auto"/>
            </w:tcBorders>
          </w:tcPr>
          <w:p w14:paraId="3215A2D2" w14:textId="77777777" w:rsidR="00D6339F" w:rsidRPr="00E356CE" w:rsidRDefault="004E724D" w:rsidP="00A9191A">
            <w:pPr>
              <w:spacing w:before="60" w:after="120"/>
              <w:jc w:val="both"/>
              <w:rPr>
                <w:b/>
                <w:bCs/>
              </w:rPr>
            </w:pPr>
            <w:r w:rsidRPr="00E356CE">
              <w:t>i) „naruszenie danych osobowych” oznacza naruszenie bezpieczeństwa prowadzące do przypadkowego lub bezprawnego zniszczenia, utraty, zmiany, nieuprawnionego ujawnienia lub dostępu do danych osobowych przekazywanych, przechowywanych lub w inny sposób przetwarzanych w związku ze świadczeniem publicznie dostępnych usług łączności elektronicznej we Wspólnocie.</w:t>
            </w:r>
          </w:p>
        </w:tc>
        <w:tc>
          <w:tcPr>
            <w:tcW w:w="886" w:type="dxa"/>
            <w:tcBorders>
              <w:top w:val="single" w:sz="4" w:space="0" w:color="auto"/>
              <w:left w:val="single" w:sz="4" w:space="0" w:color="auto"/>
              <w:bottom w:val="single" w:sz="4" w:space="0" w:color="auto"/>
              <w:right w:val="single" w:sz="4" w:space="0" w:color="auto"/>
            </w:tcBorders>
          </w:tcPr>
          <w:p w14:paraId="03141055" w14:textId="77777777" w:rsidR="00D6339F"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33C34FA4" w14:textId="02255545" w:rsidR="00D6339F" w:rsidRPr="00E356CE" w:rsidRDefault="004E724D" w:rsidP="00A9191A">
            <w:pPr>
              <w:pStyle w:val="Tekstpodstawowy"/>
              <w:rPr>
                <w:noProof/>
                <w:sz w:val="24"/>
                <w:szCs w:val="24"/>
              </w:rPr>
            </w:pPr>
            <w:r w:rsidRPr="00E356CE">
              <w:rPr>
                <w:noProof/>
                <w:sz w:val="24"/>
                <w:szCs w:val="24"/>
              </w:rPr>
              <w:t>Art. 3</w:t>
            </w:r>
            <w:r w:rsidR="6A3A2CD7" w:rsidRPr="00E356CE">
              <w:rPr>
                <w:noProof/>
                <w:sz w:val="24"/>
                <w:szCs w:val="24"/>
              </w:rPr>
              <w:t>97</w:t>
            </w:r>
            <w:r w:rsidRPr="00E356CE">
              <w:rPr>
                <w:noProof/>
                <w:sz w:val="24"/>
                <w:szCs w:val="24"/>
              </w:rPr>
              <w:t xml:space="preserve"> ust. 2</w:t>
            </w:r>
          </w:p>
        </w:tc>
        <w:tc>
          <w:tcPr>
            <w:tcW w:w="7410" w:type="dxa"/>
            <w:gridSpan w:val="2"/>
            <w:tcBorders>
              <w:top w:val="single" w:sz="4" w:space="0" w:color="auto"/>
              <w:left w:val="single" w:sz="4" w:space="0" w:color="auto"/>
              <w:bottom w:val="single" w:sz="4" w:space="0" w:color="auto"/>
              <w:right w:val="single" w:sz="4" w:space="0" w:color="auto"/>
            </w:tcBorders>
          </w:tcPr>
          <w:p w14:paraId="69FDE020" w14:textId="28AE03D1" w:rsidR="36923307" w:rsidRPr="00E356CE" w:rsidRDefault="36923307" w:rsidP="2ECB3D4D">
            <w:pPr>
              <w:spacing w:line="360" w:lineRule="auto"/>
              <w:ind w:firstLine="510"/>
              <w:jc w:val="both"/>
            </w:pPr>
            <w:r w:rsidRPr="00E356CE">
              <w:t>2. Przez naruszenie danych osobowych rozumie się przypadkowe lub bezprawne zniszczenie, utratę, zmianę, nieuprawnione ujawnienie lub dostęp do danych osobowych przetwarzanych przez przedsiębiorcę telekomunikacyjnego w związku ze świadczeniem usług telekomunikacyjnych.</w:t>
            </w:r>
          </w:p>
          <w:p w14:paraId="708F268C" w14:textId="53DE59CF" w:rsidR="2ECB3D4D" w:rsidRPr="00E356CE" w:rsidRDefault="2ECB3D4D" w:rsidP="2ECB3D4D">
            <w:pPr>
              <w:pStyle w:val="USTustnpkodeksu"/>
              <w:spacing w:line="240" w:lineRule="auto"/>
              <w:ind w:firstLine="0"/>
              <w:rPr>
                <w:rFonts w:ascii="Times New Roman" w:hAnsi="Times New Roman" w:cs="Times New Roman"/>
              </w:rPr>
            </w:pPr>
          </w:p>
          <w:p w14:paraId="4BA6BC05" w14:textId="77777777" w:rsidR="00D6339F" w:rsidRPr="00E356CE" w:rsidRDefault="00D6339F" w:rsidP="00A9191A">
            <w:pPr>
              <w:jc w:val="both"/>
            </w:pPr>
          </w:p>
        </w:tc>
      </w:tr>
      <w:tr w:rsidR="00723799" w:rsidRPr="00E356CE" w14:paraId="2458F621" w14:textId="77777777" w:rsidTr="56856880">
        <w:tc>
          <w:tcPr>
            <w:tcW w:w="795" w:type="dxa"/>
            <w:tcBorders>
              <w:top w:val="single" w:sz="4" w:space="0" w:color="auto"/>
              <w:left w:val="single" w:sz="4" w:space="0" w:color="auto"/>
              <w:bottom w:val="single" w:sz="4" w:space="0" w:color="auto"/>
              <w:right w:val="single" w:sz="4" w:space="0" w:color="auto"/>
            </w:tcBorders>
          </w:tcPr>
          <w:p w14:paraId="391D11B3" w14:textId="77777777" w:rsidR="00D6339F" w:rsidRPr="00E356CE" w:rsidRDefault="004E724D" w:rsidP="00A9191A">
            <w:pPr>
              <w:jc w:val="both"/>
              <w:rPr>
                <w:b/>
              </w:rPr>
            </w:pPr>
            <w:r w:rsidRPr="00E356CE">
              <w:rPr>
                <w:b/>
              </w:rPr>
              <w:t>Art. 3</w:t>
            </w:r>
          </w:p>
        </w:tc>
        <w:tc>
          <w:tcPr>
            <w:tcW w:w="4719" w:type="dxa"/>
            <w:tcBorders>
              <w:top w:val="single" w:sz="4" w:space="0" w:color="auto"/>
              <w:left w:val="single" w:sz="4" w:space="0" w:color="auto"/>
              <w:bottom w:val="single" w:sz="4" w:space="0" w:color="auto"/>
              <w:right w:val="single" w:sz="4" w:space="0" w:color="auto"/>
            </w:tcBorders>
          </w:tcPr>
          <w:p w14:paraId="2B3CDC6A" w14:textId="77777777" w:rsidR="004E724D" w:rsidRPr="00E356CE" w:rsidRDefault="004E724D" w:rsidP="00A9191A">
            <w:pPr>
              <w:spacing w:before="60" w:after="120"/>
              <w:jc w:val="both"/>
              <w:rPr>
                <w:b/>
              </w:rPr>
            </w:pPr>
            <w:r w:rsidRPr="00E356CE">
              <w:rPr>
                <w:b/>
              </w:rPr>
              <w:t>Usługi</w:t>
            </w:r>
          </w:p>
          <w:p w14:paraId="58E0A6EC" w14:textId="77777777" w:rsidR="00D6339F" w:rsidRPr="00E356CE" w:rsidRDefault="004E724D" w:rsidP="00A9191A">
            <w:pPr>
              <w:spacing w:before="60" w:after="120"/>
              <w:jc w:val="both"/>
              <w:rPr>
                <w:b/>
                <w:bCs/>
              </w:rPr>
            </w:pPr>
            <w:r w:rsidRPr="00E356CE">
              <w:t>Niniejsza dyrektywa ma zastosowanie do przetwarzania danych osobowych w związku z dostarczaniem publicznie dostępnych usług łączności elektronicznej w publicznych sieciach łączności we Wspólnocie, włącznie z publicznymi sieciami łączności służącymi do zbierania danych i obsługi urządzeń identyfikacyjnych</w:t>
            </w:r>
          </w:p>
        </w:tc>
        <w:tc>
          <w:tcPr>
            <w:tcW w:w="886" w:type="dxa"/>
            <w:tcBorders>
              <w:top w:val="single" w:sz="4" w:space="0" w:color="auto"/>
              <w:left w:val="single" w:sz="4" w:space="0" w:color="auto"/>
              <w:bottom w:val="single" w:sz="4" w:space="0" w:color="auto"/>
              <w:right w:val="single" w:sz="4" w:space="0" w:color="auto"/>
            </w:tcBorders>
          </w:tcPr>
          <w:p w14:paraId="3D709276" w14:textId="77777777" w:rsidR="00D6339F" w:rsidRPr="00E356CE" w:rsidRDefault="004E724D"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22AF93D5" w14:textId="77777777" w:rsidR="00D6339F" w:rsidRPr="00E356CE" w:rsidRDefault="00D6339F"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4C7197C" w14:textId="77777777" w:rsidR="004E724D" w:rsidRPr="00E356CE" w:rsidRDefault="004E724D" w:rsidP="00A9191A">
            <w:pPr>
              <w:pStyle w:val="ROZDZODDZOZNoznaczenierozdziauluboddziau"/>
              <w:spacing w:line="240" w:lineRule="auto"/>
              <w:rPr>
                <w:rFonts w:ascii="Times New Roman" w:hAnsi="Times New Roman" w:cs="Times New Roman"/>
              </w:rPr>
            </w:pPr>
            <w:r w:rsidRPr="00E356CE">
              <w:rPr>
                <w:rFonts w:ascii="Times New Roman" w:hAnsi="Times New Roman" w:cs="Times New Roman"/>
              </w:rPr>
              <w:t>ROZDZIAŁ 4</w:t>
            </w:r>
          </w:p>
          <w:p w14:paraId="25299259" w14:textId="77777777" w:rsidR="004E724D" w:rsidRPr="00E356CE" w:rsidRDefault="004E724D" w:rsidP="00A9191A">
            <w:pPr>
              <w:pStyle w:val="ROZDZODDZPRZEDMprzedmiotregulacjirozdziauluboddziau"/>
              <w:spacing w:line="240" w:lineRule="auto"/>
              <w:rPr>
                <w:rFonts w:ascii="Times New Roman" w:hAnsi="Times New Roman"/>
              </w:rPr>
            </w:pPr>
            <w:r w:rsidRPr="00E356CE">
              <w:rPr>
                <w:rFonts w:ascii="Times New Roman" w:hAnsi="Times New Roman"/>
              </w:rPr>
              <w:t>Tajemnica komunikacji elektronicznej</w:t>
            </w:r>
          </w:p>
          <w:p w14:paraId="46E0342D" w14:textId="77777777" w:rsidR="004E724D" w:rsidRPr="00E356CE" w:rsidRDefault="004E724D" w:rsidP="00A9191A">
            <w:pPr>
              <w:pStyle w:val="ARTartustawynprozporzdzenia"/>
              <w:spacing w:line="240" w:lineRule="auto"/>
              <w:rPr>
                <w:rFonts w:ascii="Times New Roman" w:hAnsi="Times New Roman" w:cs="Times New Roman"/>
                <w:szCs w:val="24"/>
              </w:rPr>
            </w:pPr>
          </w:p>
          <w:p w14:paraId="1FF35CA3" w14:textId="7B8939BD" w:rsidR="581FF9B3" w:rsidRPr="00E356CE" w:rsidRDefault="581FF9B3" w:rsidP="2ECB3D4D">
            <w:pPr>
              <w:spacing w:line="360" w:lineRule="auto"/>
              <w:ind w:firstLine="510"/>
              <w:jc w:val="both"/>
            </w:pPr>
            <w:r w:rsidRPr="00E356CE">
              <w:rPr>
                <w:b/>
                <w:bCs/>
              </w:rPr>
              <w:t>Art. 381.</w:t>
            </w:r>
            <w:r w:rsidRPr="00E356CE">
              <w:t xml:space="preserve"> 1. Tajemnica komunikowania się w sieciach telekomunikacyjnych, zwana dalej „tajemnicą komunikacji elektronicznej”, obejmuje:</w:t>
            </w:r>
          </w:p>
          <w:p w14:paraId="0845AE89" w14:textId="7FA1DCC8" w:rsidR="581FF9B3" w:rsidRPr="00E356CE" w:rsidRDefault="581FF9B3" w:rsidP="2ECB3D4D">
            <w:pPr>
              <w:spacing w:line="360" w:lineRule="auto"/>
              <w:ind w:left="510" w:hanging="510"/>
              <w:jc w:val="both"/>
            </w:pPr>
            <w:r w:rsidRPr="00E356CE">
              <w:t>1)</w:t>
            </w:r>
            <w:r w:rsidRPr="00E356CE">
              <w:tab/>
              <w:t>dane dotyczące użytkownika;</w:t>
            </w:r>
          </w:p>
          <w:p w14:paraId="48C6A205" w14:textId="6905D300" w:rsidR="581FF9B3" w:rsidRPr="00E356CE" w:rsidRDefault="581FF9B3" w:rsidP="2ECB3D4D">
            <w:pPr>
              <w:spacing w:line="360" w:lineRule="auto"/>
              <w:ind w:left="510" w:hanging="510"/>
              <w:jc w:val="both"/>
            </w:pPr>
            <w:r w:rsidRPr="00E356CE">
              <w:t>2)</w:t>
            </w:r>
            <w:r w:rsidRPr="00E356CE">
              <w:tab/>
              <w:t>komunikat elektroniczny;</w:t>
            </w:r>
          </w:p>
          <w:p w14:paraId="6929E37A" w14:textId="4C17D26B" w:rsidR="581FF9B3" w:rsidRPr="00E356CE" w:rsidRDefault="581FF9B3" w:rsidP="2ECB3D4D">
            <w:pPr>
              <w:spacing w:line="360" w:lineRule="auto"/>
              <w:ind w:left="510" w:hanging="510"/>
              <w:jc w:val="both"/>
            </w:pPr>
            <w:r w:rsidRPr="00E356CE">
              <w:t>3)</w:t>
            </w:r>
            <w:r w:rsidRPr="00E356CE">
              <w:tab/>
              <w:t xml:space="preserve">dane transmisyjne, które oznaczają dane przetwarzane dla celów przekazywania komunikatów elektronicznych w sieciach telekomunikacyjnych lub naliczania opłat za usługi komunikacji elektronicznej, i mogą obejmować dane lokalizacyjne, które oznaczają wszelkie dane przetwarzane w sieci telekomunikacyjnej lub w ramach usług komunikacji elektronicznej wskazujące położenie geograficzne </w:t>
            </w:r>
            <w:r w:rsidRPr="00E356CE">
              <w:lastRenderedPageBreak/>
              <w:t>telekomunikacyjnego urządzenia końcowego użytkownika usług komunikacji elektronicznej;</w:t>
            </w:r>
          </w:p>
          <w:p w14:paraId="43F8690D" w14:textId="45C0BD36" w:rsidR="581FF9B3" w:rsidRPr="00E356CE" w:rsidRDefault="581FF9B3" w:rsidP="2ECB3D4D">
            <w:pPr>
              <w:spacing w:line="360" w:lineRule="auto"/>
              <w:ind w:left="510" w:hanging="510"/>
              <w:jc w:val="both"/>
            </w:pPr>
            <w:r w:rsidRPr="00E356CE">
              <w:t>4)     dane o lokalizacji, które oznaczają dane lokalizacyjne wykraczające poza dane niezbędne do transmisji komunikatu elektronicznego lub wystawienia rachunku;</w:t>
            </w:r>
          </w:p>
          <w:p w14:paraId="08CACFB0" w14:textId="30E6263B" w:rsidR="581FF9B3" w:rsidRPr="00E356CE" w:rsidRDefault="581FF9B3" w:rsidP="2ECB3D4D">
            <w:pPr>
              <w:spacing w:line="360" w:lineRule="auto"/>
              <w:ind w:left="510" w:hanging="510"/>
              <w:jc w:val="both"/>
            </w:pPr>
            <w:r w:rsidRPr="00E356CE">
              <w:t>5)</w:t>
            </w:r>
            <w:r w:rsidRPr="00E356CE">
              <w:tab/>
              <w:t>dane o próbach uzyskania połączenia między zakończeniami sieci, w tym dane o nieudanych próbach połączeń, oznaczających połączenia między telekomunikacyjnymi urządzeniami końcowymi lub zakończeniami sieci, które zostały zestawione i nie zostały odebrane przez użytkownika końcowego lub nastąpiło przerwanie zestawianych połączeń.</w:t>
            </w:r>
          </w:p>
          <w:p w14:paraId="3C131CC0" w14:textId="6701D1F7" w:rsidR="581FF9B3" w:rsidRPr="00E356CE" w:rsidRDefault="581FF9B3">
            <w:r w:rsidRPr="00E356CE">
              <w:br/>
            </w:r>
          </w:p>
          <w:p w14:paraId="5C3D3968" w14:textId="38E94ED1" w:rsidR="2ECB3D4D" w:rsidRPr="00E356CE" w:rsidRDefault="2ECB3D4D" w:rsidP="2ECB3D4D">
            <w:pPr>
              <w:pStyle w:val="PKTpunkt"/>
              <w:spacing w:line="240" w:lineRule="auto"/>
              <w:rPr>
                <w:rFonts w:ascii="Times New Roman" w:hAnsi="Times New Roman" w:cs="Times New Roman"/>
              </w:rPr>
            </w:pPr>
          </w:p>
          <w:p w14:paraId="09627D2C" w14:textId="77777777" w:rsidR="004E724D" w:rsidRPr="00E356CE" w:rsidRDefault="004E724D" w:rsidP="00A9191A">
            <w:pPr>
              <w:pStyle w:val="ARTartustawynprozporzdzenia"/>
              <w:spacing w:line="240" w:lineRule="auto"/>
              <w:ind w:firstLine="0"/>
              <w:rPr>
                <w:rFonts w:ascii="Times New Roman" w:hAnsi="Times New Roman" w:cs="Times New Roman"/>
                <w:szCs w:val="24"/>
              </w:rPr>
            </w:pPr>
          </w:p>
          <w:p w14:paraId="2268AA46" w14:textId="142C55DC" w:rsidR="00D6339F" w:rsidRPr="00E356CE" w:rsidRDefault="004E724D" w:rsidP="2ECB3D4D">
            <w:pPr>
              <w:pStyle w:val="ARTartustawynprozporzdzenia"/>
              <w:spacing w:line="240" w:lineRule="auto"/>
              <w:ind w:firstLine="0"/>
              <w:rPr>
                <w:rFonts w:ascii="Times New Roman" w:hAnsi="Times New Roman" w:cs="Times New Roman"/>
              </w:rPr>
            </w:pPr>
            <w:r w:rsidRPr="00E356CE">
              <w:rPr>
                <w:rFonts w:ascii="Times New Roman" w:hAnsi="Times New Roman" w:cs="Times New Roman"/>
              </w:rPr>
              <w:t xml:space="preserve">[z </w:t>
            </w:r>
            <w:r w:rsidR="523D9571" w:rsidRPr="00E356CE">
              <w:rPr>
                <w:rFonts w:ascii="Times New Roman" w:hAnsi="Times New Roman" w:cs="Times New Roman"/>
              </w:rPr>
              <w:t>art. 277 wynika</w:t>
            </w:r>
            <w:r w:rsidRPr="00E356CE">
              <w:rPr>
                <w:rFonts w:ascii="Times New Roman" w:hAnsi="Times New Roman" w:cs="Times New Roman"/>
              </w:rPr>
              <w:t>, iż te pojęcia odnoszą się do publicznie dostępnych usług]</w:t>
            </w:r>
          </w:p>
        </w:tc>
      </w:tr>
      <w:tr w:rsidR="00723799" w:rsidRPr="00E356CE" w14:paraId="3CE3878B" w14:textId="77777777" w:rsidTr="56856880">
        <w:tc>
          <w:tcPr>
            <w:tcW w:w="795" w:type="dxa"/>
            <w:tcBorders>
              <w:top w:val="single" w:sz="4" w:space="0" w:color="auto"/>
              <w:left w:val="single" w:sz="4" w:space="0" w:color="auto"/>
              <w:bottom w:val="single" w:sz="4" w:space="0" w:color="auto"/>
              <w:right w:val="single" w:sz="4" w:space="0" w:color="auto"/>
            </w:tcBorders>
          </w:tcPr>
          <w:p w14:paraId="03E71A65" w14:textId="77777777" w:rsidR="00D6339F" w:rsidRPr="00E356CE" w:rsidRDefault="004E724D" w:rsidP="00A9191A">
            <w:pPr>
              <w:jc w:val="both"/>
              <w:rPr>
                <w:b/>
              </w:rPr>
            </w:pPr>
            <w:r w:rsidRPr="00E356CE">
              <w:rPr>
                <w:b/>
              </w:rPr>
              <w:lastRenderedPageBreak/>
              <w:t>Art. 4</w:t>
            </w:r>
          </w:p>
        </w:tc>
        <w:tc>
          <w:tcPr>
            <w:tcW w:w="4719" w:type="dxa"/>
            <w:tcBorders>
              <w:top w:val="single" w:sz="4" w:space="0" w:color="auto"/>
              <w:left w:val="single" w:sz="4" w:space="0" w:color="auto"/>
              <w:bottom w:val="single" w:sz="4" w:space="0" w:color="auto"/>
              <w:right w:val="single" w:sz="4" w:space="0" w:color="auto"/>
            </w:tcBorders>
          </w:tcPr>
          <w:p w14:paraId="53EC5654" w14:textId="77777777" w:rsidR="00D6339F" w:rsidRPr="00E356CE" w:rsidRDefault="004E724D" w:rsidP="00A9191A">
            <w:pPr>
              <w:spacing w:before="60" w:after="120"/>
              <w:jc w:val="both"/>
              <w:rPr>
                <w:b/>
                <w:bCs/>
              </w:rPr>
            </w:pPr>
            <w:r w:rsidRPr="00E356CE">
              <w:rPr>
                <w:b/>
              </w:rPr>
              <w:t>Bezpieczeństwo przetwarzania</w:t>
            </w:r>
          </w:p>
        </w:tc>
        <w:tc>
          <w:tcPr>
            <w:tcW w:w="886" w:type="dxa"/>
            <w:tcBorders>
              <w:top w:val="single" w:sz="4" w:space="0" w:color="auto"/>
              <w:left w:val="single" w:sz="4" w:space="0" w:color="auto"/>
              <w:bottom w:val="single" w:sz="4" w:space="0" w:color="auto"/>
              <w:right w:val="single" w:sz="4" w:space="0" w:color="auto"/>
            </w:tcBorders>
          </w:tcPr>
          <w:p w14:paraId="2CB8B2DA" w14:textId="77777777" w:rsidR="00D6339F" w:rsidRPr="00E356CE" w:rsidRDefault="00D6339F"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44B222F9" w14:textId="77777777" w:rsidR="00D6339F" w:rsidRPr="00E356CE" w:rsidRDefault="00D6339F"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00F472C4" w14:textId="77777777" w:rsidR="00D6339F" w:rsidRPr="00E356CE" w:rsidRDefault="00D6339F" w:rsidP="00A9191A">
            <w:pPr>
              <w:jc w:val="both"/>
            </w:pPr>
          </w:p>
        </w:tc>
      </w:tr>
      <w:tr w:rsidR="00723799" w:rsidRPr="00E356CE" w14:paraId="2471CD05" w14:textId="77777777" w:rsidTr="56856880">
        <w:tc>
          <w:tcPr>
            <w:tcW w:w="795" w:type="dxa"/>
            <w:tcBorders>
              <w:top w:val="single" w:sz="4" w:space="0" w:color="auto"/>
              <w:left w:val="single" w:sz="4" w:space="0" w:color="auto"/>
              <w:bottom w:val="single" w:sz="4" w:space="0" w:color="auto"/>
              <w:right w:val="single" w:sz="4" w:space="0" w:color="auto"/>
            </w:tcBorders>
          </w:tcPr>
          <w:p w14:paraId="7FD3BE21" w14:textId="77777777" w:rsidR="00D6339F" w:rsidRPr="00E356CE" w:rsidRDefault="004E724D" w:rsidP="00A9191A">
            <w:pPr>
              <w:jc w:val="both"/>
            </w:pPr>
            <w:r w:rsidRPr="00E356CE">
              <w:t>Art. 4 ust. 1</w:t>
            </w:r>
          </w:p>
        </w:tc>
        <w:tc>
          <w:tcPr>
            <w:tcW w:w="4719" w:type="dxa"/>
            <w:tcBorders>
              <w:top w:val="single" w:sz="4" w:space="0" w:color="auto"/>
              <w:left w:val="single" w:sz="4" w:space="0" w:color="auto"/>
              <w:bottom w:val="single" w:sz="4" w:space="0" w:color="auto"/>
              <w:right w:val="single" w:sz="4" w:space="0" w:color="auto"/>
            </w:tcBorders>
          </w:tcPr>
          <w:p w14:paraId="7931ED19" w14:textId="77777777" w:rsidR="00D6339F" w:rsidRPr="00E356CE" w:rsidRDefault="004E724D" w:rsidP="00A9191A">
            <w:pPr>
              <w:spacing w:before="60" w:after="120"/>
              <w:jc w:val="both"/>
              <w:rPr>
                <w:b/>
                <w:bCs/>
              </w:rPr>
            </w:pPr>
            <w:r w:rsidRPr="00E356CE">
              <w:t xml:space="preserve">1. Dostawca publicznie dostępnych usług łączności elektronicznej musi podjąć właściwe środki techniczne i organizacyjne w celu zapewnienia bezpieczeństwa oferowanych przez siebie usług, jeśli to konieczne, wraz z dostawcą publicznej sieci komunikacyjnej w odniesieniu do bezpieczeństwa sieci. Uwzględniając najnowocześniejsze osiągnięcia </w:t>
            </w:r>
            <w:r w:rsidRPr="00E356CE">
              <w:lastRenderedPageBreak/>
              <w:t>techniczne oraz koszty ich wprowadzenia, środki te zapewniają poziom bezpieczeństwa odpowiedni do stopnia ryzyka.</w:t>
            </w:r>
          </w:p>
        </w:tc>
        <w:tc>
          <w:tcPr>
            <w:tcW w:w="886" w:type="dxa"/>
            <w:tcBorders>
              <w:top w:val="single" w:sz="4" w:space="0" w:color="auto"/>
              <w:left w:val="single" w:sz="4" w:space="0" w:color="auto"/>
              <w:bottom w:val="single" w:sz="4" w:space="0" w:color="auto"/>
              <w:right w:val="single" w:sz="4" w:space="0" w:color="auto"/>
            </w:tcBorders>
          </w:tcPr>
          <w:p w14:paraId="0B61D4B1" w14:textId="77777777" w:rsidR="00D6339F"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43294079" w14:textId="10B9C57E" w:rsidR="00D6339F" w:rsidRPr="00E356CE" w:rsidRDefault="004E724D" w:rsidP="00A9191A">
            <w:pPr>
              <w:pStyle w:val="Tekstpodstawowy"/>
              <w:rPr>
                <w:noProof/>
                <w:sz w:val="24"/>
                <w:szCs w:val="24"/>
              </w:rPr>
            </w:pPr>
            <w:r w:rsidRPr="00E356CE">
              <w:rPr>
                <w:sz w:val="24"/>
                <w:szCs w:val="24"/>
              </w:rPr>
              <w:t>Art. 2</w:t>
            </w:r>
            <w:r w:rsidR="73F9FE24" w:rsidRPr="00E356CE">
              <w:rPr>
                <w:sz w:val="24"/>
                <w:szCs w:val="24"/>
              </w:rPr>
              <w:t>0a ust. 2 UKSC</w:t>
            </w:r>
          </w:p>
        </w:tc>
        <w:tc>
          <w:tcPr>
            <w:tcW w:w="7410" w:type="dxa"/>
            <w:gridSpan w:val="2"/>
            <w:tcBorders>
              <w:top w:val="single" w:sz="4" w:space="0" w:color="auto"/>
              <w:left w:val="single" w:sz="4" w:space="0" w:color="auto"/>
              <w:bottom w:val="single" w:sz="4" w:space="0" w:color="auto"/>
              <w:right w:val="single" w:sz="4" w:space="0" w:color="auto"/>
            </w:tcBorders>
          </w:tcPr>
          <w:p w14:paraId="6B7F7E0C" w14:textId="7004C448" w:rsidR="00D6339F" w:rsidRPr="00E356CE" w:rsidRDefault="73F9FE24" w:rsidP="2ECB3D4D">
            <w:pPr>
              <w:spacing w:line="360" w:lineRule="auto"/>
              <w:ind w:firstLine="510"/>
              <w:jc w:val="both"/>
            </w:pPr>
            <w:r w:rsidRPr="00E356CE">
              <w:t>2. Przedsiębiorca komunikacji elektronicznej:</w:t>
            </w:r>
          </w:p>
          <w:p w14:paraId="443FAB8D" w14:textId="62D2FB35" w:rsidR="00D6339F" w:rsidRPr="00E356CE" w:rsidRDefault="73F9FE24" w:rsidP="2ECB3D4D">
            <w:pPr>
              <w:spacing w:line="360" w:lineRule="auto"/>
              <w:ind w:left="510" w:hanging="510"/>
              <w:jc w:val="both"/>
            </w:pPr>
            <w:r w:rsidRPr="00E356CE">
              <w:t>1)     przeprowadza systematyczną ocenę ryzyka wystąpienia sytuacji szczególnego zagrożenia;</w:t>
            </w:r>
          </w:p>
          <w:p w14:paraId="141090DC" w14:textId="0ED94AC7" w:rsidR="00D6339F" w:rsidRPr="00E356CE" w:rsidRDefault="73F9FE24" w:rsidP="2ECB3D4D">
            <w:pPr>
              <w:spacing w:line="360" w:lineRule="auto"/>
              <w:ind w:left="510" w:hanging="510"/>
              <w:jc w:val="both"/>
            </w:pPr>
            <w:r w:rsidRPr="00E356CE">
              <w:t xml:space="preserve">2)     podejmuje środki techniczne i organizacyjne zapewniające poziom bezpieczeństwa adekwatny do poziomu zidentyfikowanego ryzyka, </w:t>
            </w:r>
            <w:r w:rsidRPr="00E356CE">
              <w:lastRenderedPageBreak/>
              <w:t>minimalizujące w szczególności wpływ, jaki na sieci telekomunikacyjne, usługi komunikacji elektronicznej lub podmioty korzystające z tych sieci lub usług może mieć wystąpienie sytuacji szczególnego zagrożenia, dotyczące następujących obszarów:</w:t>
            </w:r>
          </w:p>
          <w:p w14:paraId="7961B9A0" w14:textId="69A25BDD" w:rsidR="00D6339F" w:rsidRPr="00E356CE" w:rsidRDefault="73F9FE24" w:rsidP="2ECB3D4D">
            <w:pPr>
              <w:spacing w:line="360" w:lineRule="auto"/>
              <w:ind w:left="476" w:hanging="476"/>
              <w:jc w:val="both"/>
            </w:pPr>
            <w:r w:rsidRPr="00E356CE">
              <w:t>a)     zapewnienia bezpieczeństwa infrastruktury telekomunikacyjnej, o której mowa w art. 2 pkt 12 ustawy z dnia … – Prawo komunikacji elektronicznej,</w:t>
            </w:r>
          </w:p>
          <w:p w14:paraId="17413FF5" w14:textId="7B7478C4" w:rsidR="00D6339F" w:rsidRPr="00E356CE" w:rsidRDefault="73F9FE24" w:rsidP="2ECB3D4D">
            <w:pPr>
              <w:spacing w:line="360" w:lineRule="auto"/>
              <w:ind w:left="476" w:hanging="476"/>
              <w:jc w:val="both"/>
            </w:pPr>
            <w:r w:rsidRPr="00E356CE">
              <w:t>b)     postępowania w przypadku wystąpienia sytuacji szczególnego zagrożenia,</w:t>
            </w:r>
          </w:p>
          <w:p w14:paraId="28FF48D1" w14:textId="7669059B" w:rsidR="00D6339F" w:rsidRPr="00E356CE" w:rsidRDefault="73F9FE24" w:rsidP="2ECB3D4D">
            <w:pPr>
              <w:spacing w:line="360" w:lineRule="auto"/>
              <w:ind w:left="476" w:hanging="476"/>
              <w:jc w:val="both"/>
            </w:pPr>
            <w:r w:rsidRPr="00E356CE">
              <w:t>c)     odtwarzania dostarczania sieci telekomunikacyjnych lub przywracania świadczenia usług komunikacji elektronicznej,</w:t>
            </w:r>
          </w:p>
          <w:p w14:paraId="726A922F" w14:textId="3241B49A" w:rsidR="00D6339F" w:rsidRPr="00E356CE" w:rsidRDefault="73F9FE24" w:rsidP="2ECB3D4D">
            <w:pPr>
              <w:spacing w:line="360" w:lineRule="auto"/>
              <w:ind w:left="476" w:hanging="476"/>
              <w:jc w:val="both"/>
            </w:pPr>
            <w:r w:rsidRPr="00E356CE">
              <w:t>d)     monitorowania, kontroli i testowania sieci telekomunikacyjnych lub usług komunikacji elektronicznej</w:t>
            </w:r>
          </w:p>
          <w:p w14:paraId="66040BD6" w14:textId="47689E3F" w:rsidR="00D6339F" w:rsidRPr="00E356CE" w:rsidRDefault="73F9FE24" w:rsidP="2ECB3D4D">
            <w:pPr>
              <w:spacing w:line="360" w:lineRule="auto"/>
              <w:jc w:val="both"/>
            </w:pPr>
            <w:r w:rsidRPr="00E356CE">
              <w:t>– przy uwzględnieniu aktualnego stanu wiedzy technicznej oraz kosztów wprowadzenia tych środków;</w:t>
            </w:r>
          </w:p>
          <w:p w14:paraId="5C5CFF6D" w14:textId="2388C197" w:rsidR="00D6339F" w:rsidRPr="00E356CE" w:rsidRDefault="73F9FE24" w:rsidP="2ECB3D4D">
            <w:pPr>
              <w:spacing w:line="360" w:lineRule="auto"/>
              <w:ind w:left="510" w:hanging="510"/>
              <w:jc w:val="both"/>
            </w:pPr>
            <w:r w:rsidRPr="00E356CE">
              <w:t>3)     dokumentuje czynności, o których mowa w pkt 1 i 2.</w:t>
            </w:r>
          </w:p>
          <w:p w14:paraId="6B5484A6" w14:textId="715373D2" w:rsidR="00D6339F" w:rsidRPr="00E356CE" w:rsidRDefault="00D6339F" w:rsidP="2ECB3D4D">
            <w:pPr>
              <w:pStyle w:val="USTustnpkodeksu"/>
            </w:pPr>
          </w:p>
        </w:tc>
      </w:tr>
      <w:tr w:rsidR="00723799" w:rsidRPr="00E356CE" w14:paraId="6E2EB216" w14:textId="77777777" w:rsidTr="56856880">
        <w:tc>
          <w:tcPr>
            <w:tcW w:w="795" w:type="dxa"/>
            <w:tcBorders>
              <w:top w:val="single" w:sz="4" w:space="0" w:color="auto"/>
              <w:left w:val="single" w:sz="4" w:space="0" w:color="auto"/>
              <w:bottom w:val="single" w:sz="4" w:space="0" w:color="auto"/>
              <w:right w:val="single" w:sz="4" w:space="0" w:color="auto"/>
            </w:tcBorders>
          </w:tcPr>
          <w:p w14:paraId="3CD2EC4B" w14:textId="77777777" w:rsidR="00D6339F" w:rsidRPr="00E356CE" w:rsidRDefault="004E724D" w:rsidP="00A9191A">
            <w:pPr>
              <w:jc w:val="both"/>
            </w:pPr>
            <w:r w:rsidRPr="00E356CE">
              <w:lastRenderedPageBreak/>
              <w:t>Art. 4 ust. 1a</w:t>
            </w:r>
          </w:p>
        </w:tc>
        <w:tc>
          <w:tcPr>
            <w:tcW w:w="4719" w:type="dxa"/>
            <w:tcBorders>
              <w:top w:val="single" w:sz="4" w:space="0" w:color="auto"/>
              <w:left w:val="single" w:sz="4" w:space="0" w:color="auto"/>
              <w:bottom w:val="single" w:sz="4" w:space="0" w:color="auto"/>
              <w:right w:val="single" w:sz="4" w:space="0" w:color="auto"/>
            </w:tcBorders>
          </w:tcPr>
          <w:p w14:paraId="02BFCAEC" w14:textId="77777777" w:rsidR="004E724D" w:rsidRPr="00E356CE" w:rsidRDefault="004E724D" w:rsidP="00A9191A">
            <w:pPr>
              <w:autoSpaceDE w:val="0"/>
              <w:autoSpaceDN w:val="0"/>
              <w:adjustRightInd w:val="0"/>
              <w:jc w:val="both"/>
            </w:pPr>
            <w:r w:rsidRPr="00E356CE">
              <w:t xml:space="preserve">1a. Bez uszczerbku dla dyrektywy 95/46/WE środki, o których mowa w ust. 1, muszą co najmniej: </w:t>
            </w:r>
          </w:p>
          <w:p w14:paraId="12D872C3" w14:textId="77777777" w:rsidR="004E724D" w:rsidRPr="00E356CE" w:rsidRDefault="004E724D" w:rsidP="00A9191A">
            <w:pPr>
              <w:autoSpaceDE w:val="0"/>
              <w:autoSpaceDN w:val="0"/>
              <w:adjustRightInd w:val="0"/>
              <w:jc w:val="both"/>
            </w:pPr>
            <w:r w:rsidRPr="00E356CE">
              <w:t xml:space="preserve">— zapewniać, aby do danych osobowych mógł mieć dostęp wyłącznie uprawniony personel w dozwolonych prawem celach, </w:t>
            </w:r>
          </w:p>
          <w:p w14:paraId="14B77112" w14:textId="77777777" w:rsidR="004E724D" w:rsidRPr="00E356CE" w:rsidRDefault="004E724D" w:rsidP="00A9191A">
            <w:pPr>
              <w:autoSpaceDE w:val="0"/>
              <w:autoSpaceDN w:val="0"/>
              <w:adjustRightInd w:val="0"/>
              <w:jc w:val="both"/>
            </w:pPr>
            <w:r w:rsidRPr="00E356CE">
              <w:lastRenderedPageBreak/>
              <w:t xml:space="preserve">— chronić przechowywane lub przekazywane dane osobowe przed przypadkowym lub bezprawnym zniszczeniem, przypadkową utratą lub zmianą oraz nieuprawnionym lub bezprawnym przechowywaniem, przetwarzaniem, dostępem lub ujawnieniem, oraz </w:t>
            </w:r>
          </w:p>
          <w:p w14:paraId="5C797BEE" w14:textId="77777777" w:rsidR="00D6339F" w:rsidRPr="00E356CE" w:rsidRDefault="004E724D" w:rsidP="00A9191A">
            <w:pPr>
              <w:spacing w:before="60" w:after="120"/>
              <w:jc w:val="both"/>
              <w:rPr>
                <w:b/>
                <w:bCs/>
              </w:rPr>
            </w:pPr>
            <w:r w:rsidRPr="00E356CE">
              <w:t>— zapewnić wdrożenie polityki bezpieczeństwa w odniesieniu do przetwarzania danych osobowych. Właściwe organy krajowe muszą być w stanie kontrolować środki przyjęte przez dostawcę publicznie dostępnych usług łączności elektronicznej oraz wydawanie zaleceń dotyczących najlepszych praktyk dotyczących poziomu bezpieczeństwa, do jakiego środki te powinny prowadzić.</w:t>
            </w:r>
          </w:p>
        </w:tc>
        <w:tc>
          <w:tcPr>
            <w:tcW w:w="886" w:type="dxa"/>
            <w:tcBorders>
              <w:top w:val="single" w:sz="4" w:space="0" w:color="auto"/>
              <w:left w:val="single" w:sz="4" w:space="0" w:color="auto"/>
              <w:bottom w:val="single" w:sz="4" w:space="0" w:color="auto"/>
              <w:right w:val="single" w:sz="4" w:space="0" w:color="auto"/>
            </w:tcBorders>
          </w:tcPr>
          <w:p w14:paraId="3B9442BC" w14:textId="77777777" w:rsidR="00D6339F"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41D10801" w14:textId="0EFB3DD1" w:rsidR="00D6339F" w:rsidRPr="00E356CE" w:rsidRDefault="004E724D" w:rsidP="2ECB3D4D">
            <w:pPr>
              <w:pStyle w:val="Tekstpodstawowy"/>
              <w:rPr>
                <w:noProof/>
                <w:sz w:val="24"/>
                <w:szCs w:val="24"/>
              </w:rPr>
            </w:pPr>
            <w:r w:rsidRPr="00E356CE">
              <w:rPr>
                <w:sz w:val="24"/>
                <w:szCs w:val="24"/>
              </w:rPr>
              <w:t>Art. 3</w:t>
            </w:r>
            <w:r w:rsidR="3ABA7B71" w:rsidRPr="00E356CE">
              <w:rPr>
                <w:sz w:val="24"/>
                <w:szCs w:val="24"/>
              </w:rPr>
              <w:t>96</w:t>
            </w:r>
            <w:r w:rsidRPr="00E356CE">
              <w:rPr>
                <w:sz w:val="24"/>
                <w:szCs w:val="24"/>
              </w:rPr>
              <w:t>, art. 3</w:t>
            </w:r>
            <w:r w:rsidR="412111D5" w:rsidRPr="00E356CE">
              <w:rPr>
                <w:sz w:val="24"/>
                <w:szCs w:val="24"/>
              </w:rPr>
              <w:t>98</w:t>
            </w:r>
            <w:r w:rsidRPr="00E356CE">
              <w:rPr>
                <w:sz w:val="24"/>
                <w:szCs w:val="24"/>
              </w:rPr>
              <w:t>, art. 3</w:t>
            </w:r>
            <w:r w:rsidR="6EF52B36" w:rsidRPr="00E356CE">
              <w:rPr>
                <w:sz w:val="24"/>
                <w:szCs w:val="24"/>
              </w:rPr>
              <w:t>99</w:t>
            </w:r>
          </w:p>
        </w:tc>
        <w:tc>
          <w:tcPr>
            <w:tcW w:w="7410" w:type="dxa"/>
            <w:gridSpan w:val="2"/>
            <w:tcBorders>
              <w:top w:val="single" w:sz="4" w:space="0" w:color="auto"/>
              <w:left w:val="single" w:sz="4" w:space="0" w:color="auto"/>
              <w:bottom w:val="single" w:sz="4" w:space="0" w:color="auto"/>
              <w:right w:val="single" w:sz="4" w:space="0" w:color="auto"/>
            </w:tcBorders>
          </w:tcPr>
          <w:p w14:paraId="6240AC5B" w14:textId="39B286F2" w:rsidR="74A294DA" w:rsidRPr="00E356CE" w:rsidRDefault="74A294DA" w:rsidP="2ECB3D4D">
            <w:pPr>
              <w:spacing w:line="360" w:lineRule="auto"/>
              <w:jc w:val="both"/>
            </w:pPr>
            <w:r w:rsidRPr="00E356CE">
              <w:rPr>
                <w:b/>
                <w:bCs/>
              </w:rPr>
              <w:t>Art. 396.</w:t>
            </w:r>
            <w:r w:rsidRPr="00E356CE">
              <w:t xml:space="preserve"> Dostawca usług komunikacji elektronicznej obowiązany jest wdrożyć odpowiednie techniczne i organizacyjne środki ochrony zapewniające bezpieczeństwo przetwarzania danych osobowych. Niezależnie od wymogów wskazanych w rozporządzeniu Parlamentu </w:t>
            </w:r>
            <w:r w:rsidRPr="00E356CE">
              <w:lastRenderedPageBreak/>
              <w:t xml:space="preserve">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E356CE">
              <w:t>późn</w:t>
            </w:r>
            <w:proofErr w:type="spellEnd"/>
            <w:r w:rsidRPr="00E356CE">
              <w:t>. zm.), zwanym dalej „rozporządzeniem 2016/679”, środki ochrony zapewniają co najmniej:</w:t>
            </w:r>
          </w:p>
          <w:p w14:paraId="1CEE5C75" w14:textId="7F586C17" w:rsidR="74A294DA" w:rsidRPr="00E356CE" w:rsidRDefault="74A294DA" w:rsidP="2ECB3D4D">
            <w:pPr>
              <w:spacing w:line="360" w:lineRule="auto"/>
              <w:ind w:left="510" w:hanging="510"/>
              <w:jc w:val="both"/>
            </w:pPr>
            <w:r w:rsidRPr="00E356CE">
              <w:t>1)</w:t>
            </w:r>
            <w:r w:rsidRPr="00E356CE">
              <w:tab/>
              <w:t>aby dostęp do danych osobowych miała osoba posiadająca upoważnienie wydane przez administratora danych; 2)</w:t>
            </w:r>
            <w:r w:rsidRPr="00E356CE">
              <w:tab/>
              <w:t>ochronę przechowywanych lub przekazywanych danych osobowych przed przypadkowym lub bezprawnym zniszczeniem, przypadkową utratą lub zmianą oraz nieuprawnionym lub bezprawnym przechowywaniem, przetwarzaniem, dostępem lub ujawnieniem;</w:t>
            </w:r>
          </w:p>
          <w:p w14:paraId="436046E0" w14:textId="2095C3E3" w:rsidR="74A294DA" w:rsidRPr="00E356CE" w:rsidRDefault="74A294DA" w:rsidP="2ECB3D4D">
            <w:pPr>
              <w:spacing w:line="360" w:lineRule="auto"/>
              <w:ind w:left="510" w:hanging="510"/>
              <w:jc w:val="both"/>
            </w:pPr>
            <w:r w:rsidRPr="00E356CE">
              <w:t>3)</w:t>
            </w:r>
            <w:r w:rsidRPr="00E356CE">
              <w:tab/>
              <w:t xml:space="preserve"> wdrożenie polityki bezpieczeństwa w odniesieniu do przetwarzania danych osobowych.</w:t>
            </w:r>
          </w:p>
          <w:p w14:paraId="5D78CDCB" w14:textId="305852FF" w:rsidR="2ECB3D4D" w:rsidRPr="00E356CE" w:rsidRDefault="2ECB3D4D" w:rsidP="2ECB3D4D">
            <w:pPr>
              <w:pStyle w:val="ARTartustawynprozporzdzenia"/>
              <w:spacing w:line="240" w:lineRule="auto"/>
              <w:ind w:firstLine="0"/>
              <w:rPr>
                <w:rFonts w:ascii="Times New Roman" w:hAnsi="Times New Roman" w:cs="Times New Roman"/>
              </w:rPr>
            </w:pPr>
          </w:p>
          <w:p w14:paraId="74AE3A95" w14:textId="77777777" w:rsidR="004E724D" w:rsidRPr="00E356CE" w:rsidRDefault="004E724D" w:rsidP="00A9191A">
            <w:pPr>
              <w:pStyle w:val="PKTpunkt"/>
              <w:spacing w:line="240" w:lineRule="auto"/>
              <w:ind w:left="0" w:firstLine="0"/>
              <w:rPr>
                <w:rFonts w:ascii="Times New Roman" w:hAnsi="Times New Roman" w:cs="Times New Roman"/>
                <w:szCs w:val="24"/>
              </w:rPr>
            </w:pPr>
          </w:p>
          <w:p w14:paraId="4F21E1B8" w14:textId="3C92508C" w:rsidR="1F9E71D7" w:rsidRPr="00E356CE" w:rsidRDefault="1F9E71D7" w:rsidP="2ECB3D4D">
            <w:pPr>
              <w:spacing w:line="360" w:lineRule="auto"/>
              <w:ind w:firstLine="510"/>
              <w:jc w:val="both"/>
            </w:pPr>
            <w:r w:rsidRPr="00E356CE">
              <w:rPr>
                <w:b/>
                <w:bCs/>
              </w:rPr>
              <w:t>Art. 398.</w:t>
            </w:r>
            <w:r w:rsidRPr="00E356CE">
              <w:t xml:space="preserve"> Do sprawowanej przez Prezesa UODO kontroli wykonywania przez dostawcę usług komunikacji elektronicznej obowiązków, o których mowa w art. 396, art. 397 oraz art. 400, stosuje się odpowiednio przepisy ustawy z dnia 10 maja 2018 r. o ochronie danych osobowych (Dz. U. z 2019 r. poz. 1781).</w:t>
            </w:r>
          </w:p>
          <w:p w14:paraId="4B33CAEF" w14:textId="401A5569" w:rsidR="2ECB3D4D" w:rsidRPr="00E356CE" w:rsidRDefault="2ECB3D4D" w:rsidP="2ECB3D4D">
            <w:pPr>
              <w:pStyle w:val="ARTartustawynprozporzdzenia"/>
              <w:spacing w:line="240" w:lineRule="auto"/>
              <w:ind w:firstLine="0"/>
              <w:rPr>
                <w:rFonts w:ascii="Times New Roman" w:hAnsi="Times New Roman" w:cs="Times New Roman"/>
              </w:rPr>
            </w:pPr>
          </w:p>
          <w:p w14:paraId="38800690" w14:textId="77777777" w:rsidR="004E724D" w:rsidRPr="00E356CE" w:rsidRDefault="004E724D" w:rsidP="00A9191A">
            <w:pPr>
              <w:pStyle w:val="PKTpunkt"/>
              <w:spacing w:line="240" w:lineRule="auto"/>
              <w:rPr>
                <w:rFonts w:ascii="Times New Roman" w:hAnsi="Times New Roman" w:cs="Times New Roman"/>
                <w:szCs w:val="24"/>
              </w:rPr>
            </w:pPr>
          </w:p>
          <w:p w14:paraId="01AC6302" w14:textId="1CDAE34D" w:rsidR="00D6339F" w:rsidRPr="00E356CE" w:rsidRDefault="1F9E71D7" w:rsidP="2ECB3D4D">
            <w:pPr>
              <w:spacing w:line="360" w:lineRule="auto"/>
              <w:ind w:firstLine="510"/>
              <w:jc w:val="both"/>
            </w:pPr>
            <w:r w:rsidRPr="00E356CE">
              <w:rPr>
                <w:b/>
                <w:bCs/>
              </w:rPr>
              <w:t>Art. 399.</w:t>
            </w:r>
            <w:r w:rsidRPr="00E356CE">
              <w:t xml:space="preserve"> Prezes UODO, kierując wystąpienie, o którym mowa w art. 52 ust. 1 ustawy z dnia 10 maja 2018 r. o ochronie danych osobowych, do dostawcy usług komunikacji elektronicznej uwzględnia wytyczne Komisji Europejskiej dotyczące realizacji obowiązku powiadomienia abonenta lub użytkownika końcowego będącego osobą fizyczną o naruszeniu jego danych osobowych i wskazuje okoliczności, formę i sposób takiego powiadomienia. Prezes UODO może udostępniać wystąpienia w Biuletynie Informacji Publicznej na  stronie podmiotowej Prezesa Urzędu Ochrony Danych Osobowych, o ile nie będą one zawierać informacji stanowiących tajemnicę przedsiębiorstwa.</w:t>
            </w:r>
          </w:p>
          <w:p w14:paraId="6676BF05" w14:textId="75C70E04" w:rsidR="00D6339F" w:rsidRPr="00E356CE" w:rsidRDefault="004E724D" w:rsidP="2ECB3D4D">
            <w:r w:rsidRPr="00E356CE">
              <w:br/>
            </w:r>
          </w:p>
          <w:p w14:paraId="22889E54" w14:textId="32092D88" w:rsidR="00D6339F" w:rsidRPr="00E356CE" w:rsidRDefault="00D6339F" w:rsidP="2ECB3D4D">
            <w:pPr>
              <w:pStyle w:val="ARTartustawynprozporzdzenia"/>
              <w:spacing w:line="240" w:lineRule="auto"/>
              <w:ind w:firstLine="0"/>
              <w:rPr>
                <w:rFonts w:ascii="Times New Roman" w:hAnsi="Times New Roman" w:cs="Times New Roman"/>
              </w:rPr>
            </w:pPr>
          </w:p>
        </w:tc>
      </w:tr>
      <w:tr w:rsidR="00723799" w:rsidRPr="00E356CE" w14:paraId="2F8665D1" w14:textId="77777777" w:rsidTr="56856880">
        <w:tc>
          <w:tcPr>
            <w:tcW w:w="795" w:type="dxa"/>
            <w:tcBorders>
              <w:top w:val="single" w:sz="4" w:space="0" w:color="auto"/>
              <w:left w:val="single" w:sz="4" w:space="0" w:color="auto"/>
              <w:bottom w:val="single" w:sz="4" w:space="0" w:color="auto"/>
              <w:right w:val="single" w:sz="4" w:space="0" w:color="auto"/>
            </w:tcBorders>
          </w:tcPr>
          <w:p w14:paraId="1072F154" w14:textId="77777777" w:rsidR="00D6339F" w:rsidRPr="00E356CE" w:rsidRDefault="004E724D" w:rsidP="00A9191A">
            <w:pPr>
              <w:jc w:val="both"/>
              <w:rPr>
                <w:b/>
              </w:rPr>
            </w:pPr>
            <w:r w:rsidRPr="00E356CE">
              <w:rPr>
                <w:b/>
              </w:rPr>
              <w:lastRenderedPageBreak/>
              <w:t>Art. 4 ust. 2</w:t>
            </w:r>
          </w:p>
        </w:tc>
        <w:tc>
          <w:tcPr>
            <w:tcW w:w="4719" w:type="dxa"/>
            <w:tcBorders>
              <w:top w:val="single" w:sz="4" w:space="0" w:color="auto"/>
              <w:left w:val="single" w:sz="4" w:space="0" w:color="auto"/>
              <w:bottom w:val="single" w:sz="4" w:space="0" w:color="auto"/>
              <w:right w:val="single" w:sz="4" w:space="0" w:color="auto"/>
            </w:tcBorders>
          </w:tcPr>
          <w:p w14:paraId="24A0D665" w14:textId="77777777" w:rsidR="00D6339F" w:rsidRPr="00E356CE" w:rsidRDefault="004E724D" w:rsidP="00A9191A">
            <w:pPr>
              <w:spacing w:before="60" w:after="120"/>
              <w:jc w:val="both"/>
              <w:rPr>
                <w:b/>
                <w:bCs/>
              </w:rPr>
            </w:pPr>
            <w:r w:rsidRPr="00E356CE">
              <w:rPr>
                <w:bCs/>
              </w:rPr>
              <w:t>2</w:t>
            </w:r>
            <w:r w:rsidRPr="00E356CE">
              <w:t>. W przypadku szczególnego ryzyka naruszenia bezpieczeństwa sieci, dostawca publicznie dostępnych usług łączności elektronicznej musi poinformować abonentów o zaistniałym ryzyku i, w przypadku gdy ryzyko wykracza poza zakres środków zaradczych, które może podjąć dostawca usług, włącznie z wynikającymi z nich ewentualnymi kosztami.</w:t>
            </w:r>
          </w:p>
        </w:tc>
        <w:tc>
          <w:tcPr>
            <w:tcW w:w="886" w:type="dxa"/>
            <w:tcBorders>
              <w:top w:val="single" w:sz="4" w:space="0" w:color="auto"/>
              <w:left w:val="single" w:sz="4" w:space="0" w:color="auto"/>
              <w:bottom w:val="single" w:sz="4" w:space="0" w:color="auto"/>
              <w:right w:val="single" w:sz="4" w:space="0" w:color="auto"/>
            </w:tcBorders>
          </w:tcPr>
          <w:p w14:paraId="494DA0FB" w14:textId="77777777" w:rsidR="00D6339F"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4225912E" w14:textId="5D046566" w:rsidR="00D6339F" w:rsidRPr="00E356CE" w:rsidRDefault="004E724D" w:rsidP="00A9191A">
            <w:pPr>
              <w:pStyle w:val="Tekstpodstawowy"/>
              <w:rPr>
                <w:noProof/>
                <w:sz w:val="24"/>
                <w:szCs w:val="24"/>
              </w:rPr>
            </w:pPr>
            <w:r w:rsidRPr="00E356CE">
              <w:rPr>
                <w:noProof/>
                <w:sz w:val="24"/>
                <w:szCs w:val="24"/>
              </w:rPr>
              <w:t xml:space="preserve">Art. </w:t>
            </w:r>
            <w:r w:rsidR="231B80F1" w:rsidRPr="00E356CE">
              <w:rPr>
                <w:noProof/>
                <w:sz w:val="24"/>
                <w:szCs w:val="24"/>
              </w:rPr>
              <w:t>20f ust. 2 UKSC</w:t>
            </w:r>
          </w:p>
        </w:tc>
        <w:tc>
          <w:tcPr>
            <w:tcW w:w="7410" w:type="dxa"/>
            <w:gridSpan w:val="2"/>
            <w:tcBorders>
              <w:top w:val="single" w:sz="4" w:space="0" w:color="auto"/>
              <w:left w:val="single" w:sz="4" w:space="0" w:color="auto"/>
              <w:bottom w:val="single" w:sz="4" w:space="0" w:color="auto"/>
              <w:right w:val="single" w:sz="4" w:space="0" w:color="auto"/>
            </w:tcBorders>
          </w:tcPr>
          <w:p w14:paraId="363F5CF1" w14:textId="77777777" w:rsidR="004E724D" w:rsidRPr="00E356CE" w:rsidRDefault="004E724D" w:rsidP="00A9191A">
            <w:pPr>
              <w:pStyle w:val="Tekstpodstawowy"/>
              <w:rPr>
                <w:sz w:val="24"/>
                <w:szCs w:val="24"/>
              </w:rPr>
            </w:pPr>
          </w:p>
          <w:p w14:paraId="47969E86" w14:textId="0585BE73" w:rsidR="231B80F1" w:rsidRPr="00E356CE" w:rsidRDefault="231B80F1" w:rsidP="2ECB3D4D">
            <w:pPr>
              <w:spacing w:line="360" w:lineRule="auto"/>
              <w:ind w:firstLine="510"/>
              <w:jc w:val="both"/>
            </w:pPr>
            <w:r w:rsidRPr="00E356CE">
              <w:t>2. Przedsiębiorca komunikacji elektronicznej, o którym mowa w ust. 1, w przypadku szczególnego i znacznego zagrożenia wystąpienia incydentu telekomunikacyjnego, informuje o nim swoich użytkowników, na których takie zagrożenie może mieć wpływ, w tym o możliwych środkach, które użytkownicy ci mogą podjąć, oraz związanych z tym kosztach w celach informacyjnych.</w:t>
            </w:r>
          </w:p>
          <w:p w14:paraId="3C8F5ACF" w14:textId="4E56917F" w:rsidR="2ECB3D4D" w:rsidRPr="00E356CE" w:rsidRDefault="2ECB3D4D" w:rsidP="2ECB3D4D">
            <w:pPr>
              <w:pStyle w:val="USTustnpkodeksu"/>
              <w:spacing w:line="240" w:lineRule="auto"/>
              <w:ind w:firstLine="0"/>
              <w:rPr>
                <w:rFonts w:ascii="Times New Roman" w:hAnsi="Times New Roman" w:cs="Times New Roman"/>
              </w:rPr>
            </w:pPr>
          </w:p>
          <w:p w14:paraId="3F976EE7" w14:textId="77777777" w:rsidR="00D6339F" w:rsidRPr="00E356CE" w:rsidRDefault="00D6339F" w:rsidP="00A9191A">
            <w:pPr>
              <w:jc w:val="both"/>
            </w:pPr>
          </w:p>
        </w:tc>
      </w:tr>
      <w:tr w:rsidR="00723799" w:rsidRPr="00E356CE" w14:paraId="174EB40D" w14:textId="77777777" w:rsidTr="56856880">
        <w:tc>
          <w:tcPr>
            <w:tcW w:w="795" w:type="dxa"/>
            <w:tcBorders>
              <w:top w:val="single" w:sz="4" w:space="0" w:color="auto"/>
              <w:left w:val="single" w:sz="4" w:space="0" w:color="auto"/>
              <w:bottom w:val="single" w:sz="4" w:space="0" w:color="auto"/>
              <w:right w:val="single" w:sz="4" w:space="0" w:color="auto"/>
            </w:tcBorders>
          </w:tcPr>
          <w:p w14:paraId="51FCCADB" w14:textId="77777777" w:rsidR="00D6339F" w:rsidRPr="00E356CE" w:rsidRDefault="004E724D" w:rsidP="00A9191A">
            <w:pPr>
              <w:jc w:val="both"/>
              <w:rPr>
                <w:b/>
              </w:rPr>
            </w:pPr>
            <w:r w:rsidRPr="00E356CE">
              <w:rPr>
                <w:b/>
              </w:rPr>
              <w:lastRenderedPageBreak/>
              <w:t>Art. 4 ust. 3</w:t>
            </w:r>
          </w:p>
        </w:tc>
        <w:tc>
          <w:tcPr>
            <w:tcW w:w="4719" w:type="dxa"/>
            <w:tcBorders>
              <w:top w:val="single" w:sz="4" w:space="0" w:color="auto"/>
              <w:left w:val="single" w:sz="4" w:space="0" w:color="auto"/>
              <w:bottom w:val="single" w:sz="4" w:space="0" w:color="auto"/>
              <w:right w:val="single" w:sz="4" w:space="0" w:color="auto"/>
            </w:tcBorders>
          </w:tcPr>
          <w:p w14:paraId="69FF1BC8" w14:textId="77777777" w:rsidR="00D6339F" w:rsidRPr="00E356CE" w:rsidRDefault="004E724D" w:rsidP="00A9191A">
            <w:pPr>
              <w:autoSpaceDE w:val="0"/>
              <w:autoSpaceDN w:val="0"/>
              <w:adjustRightInd w:val="0"/>
              <w:jc w:val="both"/>
            </w:pPr>
            <w:r w:rsidRPr="00E356CE">
              <w:t xml:space="preserve">3. W przypadku naruszenia danych osobowych, dostawca publicznie dostępnych usług łączności elektronicznej bez zbędnej zwłoki powiadamia o tym przypadku naruszenia danych osobowych właściwy organ krajowy. </w:t>
            </w:r>
          </w:p>
          <w:p w14:paraId="7AD9BAE5" w14:textId="77777777" w:rsidR="004E724D" w:rsidRPr="00E356CE" w:rsidRDefault="004E724D" w:rsidP="00A9191A">
            <w:pPr>
              <w:autoSpaceDE w:val="0"/>
              <w:autoSpaceDN w:val="0"/>
              <w:adjustRightInd w:val="0"/>
              <w:jc w:val="both"/>
            </w:pPr>
          </w:p>
          <w:p w14:paraId="0DE3CAF8" w14:textId="77777777" w:rsidR="004E724D" w:rsidRPr="00E356CE" w:rsidRDefault="004E724D" w:rsidP="00A9191A">
            <w:pPr>
              <w:autoSpaceDE w:val="0"/>
              <w:autoSpaceDN w:val="0"/>
              <w:adjustRightInd w:val="0"/>
              <w:jc w:val="both"/>
            </w:pPr>
          </w:p>
          <w:p w14:paraId="76EE5598" w14:textId="77777777" w:rsidR="004E724D" w:rsidRPr="00E356CE" w:rsidRDefault="004E724D" w:rsidP="00A9191A">
            <w:pPr>
              <w:autoSpaceDE w:val="0"/>
              <w:autoSpaceDN w:val="0"/>
              <w:adjustRightInd w:val="0"/>
              <w:jc w:val="both"/>
            </w:pPr>
          </w:p>
          <w:p w14:paraId="3056AFB1" w14:textId="77777777" w:rsidR="004E724D" w:rsidRPr="00E356CE" w:rsidRDefault="004E724D" w:rsidP="00A9191A">
            <w:pPr>
              <w:autoSpaceDE w:val="0"/>
              <w:autoSpaceDN w:val="0"/>
              <w:adjustRightInd w:val="0"/>
              <w:jc w:val="both"/>
            </w:pPr>
          </w:p>
          <w:p w14:paraId="089EDC5E" w14:textId="77777777" w:rsidR="004E724D" w:rsidRPr="00E356CE" w:rsidRDefault="004E724D" w:rsidP="00A9191A">
            <w:pPr>
              <w:autoSpaceDE w:val="0"/>
              <w:autoSpaceDN w:val="0"/>
              <w:adjustRightInd w:val="0"/>
              <w:jc w:val="both"/>
            </w:pPr>
          </w:p>
          <w:p w14:paraId="5178A510" w14:textId="77777777" w:rsidR="004E724D" w:rsidRPr="00E356CE" w:rsidRDefault="004E724D" w:rsidP="00A9191A">
            <w:pPr>
              <w:autoSpaceDE w:val="0"/>
              <w:autoSpaceDN w:val="0"/>
              <w:adjustRightInd w:val="0"/>
              <w:jc w:val="both"/>
            </w:pPr>
          </w:p>
          <w:p w14:paraId="1C614961" w14:textId="77777777" w:rsidR="004E724D" w:rsidRPr="00E356CE" w:rsidRDefault="004E724D" w:rsidP="00A9191A">
            <w:pPr>
              <w:autoSpaceDE w:val="0"/>
              <w:autoSpaceDN w:val="0"/>
              <w:adjustRightInd w:val="0"/>
              <w:jc w:val="both"/>
            </w:pPr>
          </w:p>
          <w:p w14:paraId="5B48DDA9" w14:textId="77777777" w:rsidR="004E724D" w:rsidRPr="00E356CE" w:rsidRDefault="004E724D" w:rsidP="00A9191A">
            <w:pPr>
              <w:autoSpaceDE w:val="0"/>
              <w:autoSpaceDN w:val="0"/>
              <w:adjustRightInd w:val="0"/>
              <w:jc w:val="both"/>
            </w:pPr>
          </w:p>
          <w:p w14:paraId="156C8AEB" w14:textId="77777777" w:rsidR="004E724D" w:rsidRPr="00E356CE" w:rsidRDefault="004E724D" w:rsidP="00A9191A">
            <w:pPr>
              <w:autoSpaceDE w:val="0"/>
              <w:autoSpaceDN w:val="0"/>
              <w:adjustRightInd w:val="0"/>
              <w:jc w:val="both"/>
            </w:pPr>
          </w:p>
          <w:p w14:paraId="001A09C7" w14:textId="77777777" w:rsidR="004E724D" w:rsidRPr="00E356CE" w:rsidRDefault="004E724D" w:rsidP="00A9191A">
            <w:pPr>
              <w:autoSpaceDE w:val="0"/>
              <w:autoSpaceDN w:val="0"/>
              <w:adjustRightInd w:val="0"/>
              <w:jc w:val="both"/>
            </w:pPr>
          </w:p>
          <w:p w14:paraId="01F5D7CF" w14:textId="77777777" w:rsidR="004E724D" w:rsidRPr="00E356CE" w:rsidRDefault="004E724D" w:rsidP="00A9191A">
            <w:pPr>
              <w:autoSpaceDE w:val="0"/>
              <w:autoSpaceDN w:val="0"/>
              <w:adjustRightInd w:val="0"/>
              <w:jc w:val="both"/>
            </w:pPr>
          </w:p>
          <w:p w14:paraId="4F64E2BD" w14:textId="77777777" w:rsidR="004E724D" w:rsidRPr="00E356CE" w:rsidRDefault="004E724D" w:rsidP="00A9191A">
            <w:pPr>
              <w:autoSpaceDE w:val="0"/>
              <w:autoSpaceDN w:val="0"/>
              <w:adjustRightInd w:val="0"/>
              <w:jc w:val="both"/>
            </w:pPr>
          </w:p>
          <w:p w14:paraId="6C5B39E6" w14:textId="77777777" w:rsidR="004E724D" w:rsidRPr="00E356CE" w:rsidRDefault="004E724D" w:rsidP="00A9191A">
            <w:pPr>
              <w:autoSpaceDE w:val="0"/>
              <w:autoSpaceDN w:val="0"/>
              <w:adjustRightInd w:val="0"/>
              <w:jc w:val="both"/>
            </w:pPr>
            <w:r w:rsidRPr="00E356CE">
              <w:t xml:space="preserve">W przypadku gdy naruszenie danych osobowych może wywrzeć niekorzystny wpływ na dane osobowe lub prywatność abonenta lub osoby fizycznej, dostawca bez zbędnej zwłoki powiadamia również o takim naruszeniu abonenta lub osobę fizyczną. Powiadomienie danego abonenta lub osoby fizycznej o naruszeniu danych osobowych nie jest wymagane, jeżeli dostawca wykazał zgodnie z wymogami właściwego organu, że wdrożył odpowiednie technologiczne środki ochrony oraz że środki te zostały zastosowane do danych, których dotyczyło naruszenie bezpieczeństwa. </w:t>
            </w:r>
          </w:p>
          <w:p w14:paraId="02C910E3" w14:textId="77777777" w:rsidR="004E724D" w:rsidRPr="00E356CE" w:rsidRDefault="004E724D" w:rsidP="00A9191A">
            <w:pPr>
              <w:autoSpaceDE w:val="0"/>
              <w:autoSpaceDN w:val="0"/>
              <w:adjustRightInd w:val="0"/>
              <w:jc w:val="both"/>
            </w:pPr>
            <w:r w:rsidRPr="00E356CE">
              <w:lastRenderedPageBreak/>
              <w:t xml:space="preserve">Tego rodzaju technologiczne środki ochrony muszą sprawiać, że dane stają się nieczytelne dla każdego, kto nie jest uprawniony do dostępu do nich. </w:t>
            </w:r>
          </w:p>
          <w:p w14:paraId="76999054" w14:textId="77777777" w:rsidR="004E724D" w:rsidRPr="00E356CE" w:rsidRDefault="004E724D" w:rsidP="00A9191A">
            <w:pPr>
              <w:autoSpaceDE w:val="0"/>
              <w:autoSpaceDN w:val="0"/>
              <w:adjustRightInd w:val="0"/>
              <w:jc w:val="both"/>
            </w:pPr>
            <w:r w:rsidRPr="00E356CE">
              <w:t>Bez uszczerbku dla obowiązku powiadomienia przez dostawcę danych abonentów lub osób fizycznych, jeżeli dostawca nie powiadomił jeszcze abonenta lub osoby fizycznej o naruszeniu danych osobowych, właściwy organ krajowy – po rozważeniu możliwych niekorzystnych skutków tego naruszenia – może wymagać, aby dostawca to uczynił. Powiadomienie skierowane do abonenta lub osoby fizycznej zawiera co najmniej opis charakteru naruszenia danych osobowych oraz dane punktów kontaktowych, w których można uzyskać więcej informacji; zawiera ono także informacje o zalecanych środkach mających na celu złagodzenie ewentualnych niekorzystnych skutków tego naruszenia danych osobowych. Powiadomienie właściwego organu krajowego zawiera ponadto opis konsekwencji naruszenia danych osobowych i opis proponowanych lub podjętych przez dostawcę środków mających zaradzić naruszeniu.</w:t>
            </w:r>
          </w:p>
        </w:tc>
        <w:tc>
          <w:tcPr>
            <w:tcW w:w="886" w:type="dxa"/>
            <w:tcBorders>
              <w:top w:val="single" w:sz="4" w:space="0" w:color="auto"/>
              <w:left w:val="single" w:sz="4" w:space="0" w:color="auto"/>
              <w:bottom w:val="single" w:sz="4" w:space="0" w:color="auto"/>
              <w:right w:val="single" w:sz="4" w:space="0" w:color="auto"/>
            </w:tcBorders>
          </w:tcPr>
          <w:p w14:paraId="7C42EBBD" w14:textId="77777777" w:rsidR="00D6339F"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2E5AA0EE" w14:textId="2F46E0EE" w:rsidR="00D6339F" w:rsidRPr="00E356CE" w:rsidRDefault="004E724D" w:rsidP="00A9191A">
            <w:pPr>
              <w:pStyle w:val="Tekstpodstawowy"/>
              <w:rPr>
                <w:noProof/>
                <w:sz w:val="24"/>
                <w:szCs w:val="24"/>
              </w:rPr>
            </w:pPr>
            <w:r w:rsidRPr="00E356CE">
              <w:rPr>
                <w:noProof/>
                <w:sz w:val="24"/>
                <w:szCs w:val="24"/>
              </w:rPr>
              <w:t>Art. 3</w:t>
            </w:r>
            <w:r w:rsidR="27C8D7EA" w:rsidRPr="00E356CE">
              <w:rPr>
                <w:noProof/>
                <w:sz w:val="24"/>
                <w:szCs w:val="24"/>
              </w:rPr>
              <w:t>97</w:t>
            </w:r>
          </w:p>
        </w:tc>
        <w:tc>
          <w:tcPr>
            <w:tcW w:w="7410" w:type="dxa"/>
            <w:gridSpan w:val="2"/>
            <w:tcBorders>
              <w:top w:val="single" w:sz="4" w:space="0" w:color="auto"/>
              <w:left w:val="single" w:sz="4" w:space="0" w:color="auto"/>
              <w:bottom w:val="single" w:sz="4" w:space="0" w:color="auto"/>
              <w:right w:val="single" w:sz="4" w:space="0" w:color="auto"/>
            </w:tcBorders>
          </w:tcPr>
          <w:p w14:paraId="171A780E" w14:textId="52AF3449" w:rsidR="27C8D7EA" w:rsidRPr="00E356CE" w:rsidRDefault="27C8D7EA" w:rsidP="2ECB3D4D">
            <w:pPr>
              <w:spacing w:line="360" w:lineRule="auto"/>
              <w:ind w:firstLine="510"/>
              <w:jc w:val="both"/>
            </w:pPr>
            <w:r w:rsidRPr="00E356CE">
              <w:rPr>
                <w:b/>
                <w:bCs/>
              </w:rPr>
              <w:t>Art. 397.</w:t>
            </w:r>
            <w:r w:rsidRPr="00E356CE">
              <w:t xml:space="preserve"> 1. Dostawca usług komunikacji elektronicznej zawiadamia Prezesa Urzędu Ochrony Danych Osobowych, zwanego dalej “Prezesem UODO”, o naruszeniu danych osobowych w terminie i na zasadach określonych w rozporządzeniu Komisji Europejskiej (UE) nr 611/2013 z dnia 24 czerwca 2013 r. w sprawie środków mających zastosowanie przy powiadamianiu o przypadkach naruszenia danych osobowych, na mocy dyrektywy 2002/58/WE Parlamentu Europejskiego i Rady o prywatności i łączności elektronicznej (Dz. Urz. UE L 173 z 26.06.2013, str. 2), zwanym dalej „rozporządzeniem 611/2013”.</w:t>
            </w:r>
          </w:p>
          <w:p w14:paraId="496C3B65" w14:textId="2A97481F" w:rsidR="27C8D7EA" w:rsidRPr="00E356CE" w:rsidRDefault="27C8D7EA" w:rsidP="2ECB3D4D">
            <w:pPr>
              <w:spacing w:line="360" w:lineRule="auto"/>
              <w:ind w:firstLine="510"/>
              <w:jc w:val="both"/>
            </w:pPr>
            <w:r w:rsidRPr="00E356CE">
              <w:t>2. Przez naruszenie danych osobowych rozumie się przypadkowe lub bezprawne zniszczenie, utratę, zmianę, nieuprawnione ujawnienie lub dostęp do danych osobowych przetwarzanych przez przedsiębiorcę telekomunikacyjnego w związku ze świadczeniem usług telekomunikacyjnych.</w:t>
            </w:r>
          </w:p>
          <w:p w14:paraId="55702925" w14:textId="28CC3144" w:rsidR="27C8D7EA" w:rsidRPr="00E356CE" w:rsidRDefault="27C8D7EA" w:rsidP="2ECB3D4D">
            <w:pPr>
              <w:spacing w:line="360" w:lineRule="auto"/>
              <w:ind w:firstLine="510"/>
              <w:jc w:val="both"/>
            </w:pPr>
            <w:r w:rsidRPr="00E356CE">
              <w:t>3. Prezes UODO zapewnia bezpieczne środki elektroniczne służące do powiadamiania o przypadkach naruszenia danych osobowych, o których mowa w ust. 1, oraz informacje dotyczące trybu dostępu do tych środków i ich stosowania.</w:t>
            </w:r>
          </w:p>
          <w:p w14:paraId="1E800B9C" w14:textId="25D4AC4B" w:rsidR="27C8D7EA" w:rsidRPr="00E356CE" w:rsidRDefault="27C8D7EA" w:rsidP="2ECB3D4D">
            <w:pPr>
              <w:spacing w:line="360" w:lineRule="auto"/>
              <w:ind w:firstLine="510"/>
              <w:jc w:val="both"/>
            </w:pPr>
            <w:r w:rsidRPr="00E356CE">
              <w:t xml:space="preserve">4. W przypadku, gdy naruszenie danych osobowych może mieć niekorzystny wpływ na prawa abonenta lub użytkownika końcowego będącego osobą fizyczną, dostawca usług telekomunikacyjnych </w:t>
            </w:r>
            <w:r w:rsidRPr="00E356CE">
              <w:lastRenderedPageBreak/>
              <w:t>niezwłocznie zawiadamia o takim naruszeniu również tego abonenta lub użytkownika końcowego na zasadach określonych w rozporządzeniu 611/2013, z zastrzeżeniem ust. 7.</w:t>
            </w:r>
          </w:p>
          <w:p w14:paraId="59A32747" w14:textId="721A4994" w:rsidR="27C8D7EA" w:rsidRPr="00E356CE" w:rsidRDefault="27C8D7EA" w:rsidP="2ECB3D4D">
            <w:pPr>
              <w:spacing w:line="360" w:lineRule="auto"/>
              <w:ind w:firstLine="510"/>
              <w:jc w:val="both"/>
            </w:pPr>
            <w:r w:rsidRPr="00E356CE">
              <w:t>5. Zgodę, o której mowa w art. 3 ust. 5 rozporządzenia 611/2013, Prezes UODO wydaje w drodze decyzji.</w:t>
            </w:r>
          </w:p>
          <w:p w14:paraId="5236FDDD" w14:textId="022E37AE" w:rsidR="27C8D7EA" w:rsidRPr="00E356CE" w:rsidRDefault="27C8D7EA" w:rsidP="2ECB3D4D">
            <w:pPr>
              <w:spacing w:line="360" w:lineRule="auto"/>
              <w:ind w:firstLine="510"/>
              <w:jc w:val="both"/>
            </w:pPr>
            <w:r w:rsidRPr="00E356CE">
              <w:t>6. Przez naruszenie danych osobowych, które może wywrzeć niekorzystny wpływ na prawa abonenta lub użytkownika końcowego będącego osobą fizyczną, rozumie się takie naruszenie, które w szczególności może skutkować nieuprawnionym posługiwaniem się danymi osobowymi, szkodą majątkową, naruszeniem dóbr osobistych, ujawnieniem tajemnicy bankowej lub innej ustawowo chronionej tajemnicy zawodowej.</w:t>
            </w:r>
          </w:p>
          <w:p w14:paraId="42B6D4FF" w14:textId="5C612C1E" w:rsidR="27C8D7EA" w:rsidRPr="00E356CE" w:rsidRDefault="27C8D7EA" w:rsidP="2ECB3D4D">
            <w:pPr>
              <w:spacing w:line="360" w:lineRule="auto"/>
              <w:ind w:firstLine="510"/>
              <w:jc w:val="both"/>
            </w:pPr>
            <w:r w:rsidRPr="00E356CE">
              <w:t>7. Zawiadomienie, o którym mowa w ust. 4, nie jest wymagane, jeżeli dostawca usług komunikacji elektronicznej wykazał wdrożenie technologicznych środków ochrony, o których mowa w art. 4 ust. 1 i 2 rozporządzenia 611/2013, które uniemożliwiają odczytanie danych przez osoby nieuprawnione oraz zastosowanie tych środków do danych, których ochrona została naruszona.</w:t>
            </w:r>
          </w:p>
          <w:p w14:paraId="688788C4" w14:textId="0E4E9264" w:rsidR="27C8D7EA" w:rsidRPr="00E356CE" w:rsidRDefault="27C8D7EA" w:rsidP="2ECB3D4D">
            <w:pPr>
              <w:spacing w:line="360" w:lineRule="auto"/>
              <w:ind w:firstLine="510"/>
              <w:jc w:val="both"/>
            </w:pPr>
            <w:r w:rsidRPr="00E356CE">
              <w:t>8. Dostawca usług komunikacji elektronicznej wykazuje spełnienie warunków, o których mowa w ust. 7, przekazując niezwłocznie Prezesowi UODO odpowiednią dokumentację.</w:t>
            </w:r>
          </w:p>
          <w:p w14:paraId="34129FAA" w14:textId="2CE15C2F" w:rsidR="27C8D7EA" w:rsidRPr="00E356CE" w:rsidRDefault="27C8D7EA" w:rsidP="2ECB3D4D">
            <w:pPr>
              <w:spacing w:line="360" w:lineRule="auto"/>
              <w:ind w:firstLine="510"/>
              <w:jc w:val="both"/>
            </w:pPr>
            <w:r w:rsidRPr="00E356CE">
              <w:lastRenderedPageBreak/>
              <w:t>9. Jeżeli dostawca usług komunikacji elektronicznej nie zawiadomił abonenta lub użytkownika końcowego będącego osobą fizyczną o fakcie naruszenia danych osobowych, Prezes UODO może nałożyć, w drodze decyzji, na tego dostawcę obowiązek przekazania temu abonentowi lub użytkownikowi końcowemu, takiego zawiadomienia, biorąc pod uwagę możliwe niekorzystne skutki naruszenia.</w:t>
            </w:r>
          </w:p>
          <w:p w14:paraId="0CC0F7C9" w14:textId="5F89F470" w:rsidR="27C8D7EA" w:rsidRPr="00E356CE" w:rsidRDefault="27C8D7EA" w:rsidP="2ECB3D4D">
            <w:pPr>
              <w:spacing w:line="360" w:lineRule="auto"/>
              <w:ind w:firstLine="510"/>
              <w:jc w:val="both"/>
            </w:pPr>
            <w:r w:rsidRPr="00E356CE">
              <w:t>10. W przypadku, gdy naruszenie danych osobowych ma wpływ na abonentów lub użytkowników końcowych będących osobami fizycznymi z innych państw członkowskich, Prezes UODO informuje inne zainteresowane organy z państw członkowskich.</w:t>
            </w:r>
          </w:p>
          <w:p w14:paraId="45E6ED1B" w14:textId="22BF2D72" w:rsidR="27C8D7EA" w:rsidRPr="00E356CE" w:rsidRDefault="27C8D7EA">
            <w:r w:rsidRPr="00E356CE">
              <w:br/>
            </w:r>
          </w:p>
          <w:p w14:paraId="7FC644DB" w14:textId="5E966CCF" w:rsidR="2ECB3D4D" w:rsidRPr="00E356CE" w:rsidRDefault="2ECB3D4D" w:rsidP="2ECB3D4D">
            <w:pPr>
              <w:pStyle w:val="USTustnpkodeksu"/>
              <w:spacing w:line="240" w:lineRule="auto"/>
              <w:rPr>
                <w:rFonts w:ascii="Times New Roman" w:hAnsi="Times New Roman" w:cs="Times New Roman"/>
              </w:rPr>
            </w:pPr>
          </w:p>
          <w:p w14:paraId="131E9534" w14:textId="77777777" w:rsidR="00D6339F" w:rsidRPr="00E356CE" w:rsidRDefault="00D6339F" w:rsidP="00A9191A">
            <w:pPr>
              <w:jc w:val="both"/>
            </w:pPr>
          </w:p>
        </w:tc>
      </w:tr>
      <w:tr w:rsidR="00723799" w:rsidRPr="00E356CE" w14:paraId="18189A25" w14:textId="77777777" w:rsidTr="56856880">
        <w:tc>
          <w:tcPr>
            <w:tcW w:w="795" w:type="dxa"/>
            <w:tcBorders>
              <w:top w:val="single" w:sz="4" w:space="0" w:color="auto"/>
              <w:left w:val="single" w:sz="4" w:space="0" w:color="auto"/>
              <w:bottom w:val="single" w:sz="4" w:space="0" w:color="auto"/>
              <w:right w:val="single" w:sz="4" w:space="0" w:color="auto"/>
            </w:tcBorders>
          </w:tcPr>
          <w:p w14:paraId="415E0720" w14:textId="77777777" w:rsidR="00D6339F" w:rsidRPr="00E356CE" w:rsidRDefault="004E724D" w:rsidP="00A9191A">
            <w:pPr>
              <w:jc w:val="both"/>
              <w:rPr>
                <w:b/>
              </w:rPr>
            </w:pPr>
            <w:r w:rsidRPr="00E356CE">
              <w:rPr>
                <w:b/>
              </w:rPr>
              <w:lastRenderedPageBreak/>
              <w:t>Art. 4 ust. 4</w:t>
            </w:r>
          </w:p>
        </w:tc>
        <w:tc>
          <w:tcPr>
            <w:tcW w:w="4719" w:type="dxa"/>
            <w:tcBorders>
              <w:top w:val="single" w:sz="4" w:space="0" w:color="auto"/>
              <w:left w:val="single" w:sz="4" w:space="0" w:color="auto"/>
              <w:bottom w:val="single" w:sz="4" w:space="0" w:color="auto"/>
              <w:right w:val="single" w:sz="4" w:space="0" w:color="auto"/>
            </w:tcBorders>
          </w:tcPr>
          <w:p w14:paraId="4F443D80" w14:textId="77777777" w:rsidR="004E724D" w:rsidRPr="00E356CE" w:rsidRDefault="004E724D" w:rsidP="00A9191A">
            <w:pPr>
              <w:autoSpaceDE w:val="0"/>
              <w:autoSpaceDN w:val="0"/>
              <w:adjustRightInd w:val="0"/>
              <w:jc w:val="both"/>
            </w:pPr>
            <w:r w:rsidRPr="00E356CE">
              <w:t xml:space="preserve">4. Z zastrzeżeniem wszelkich technicznych środków wykonawczych przyjętych na mocy ust. 5 właściwe organy krajowe mogą przyjąć wytyczne i w razie konieczności wydać instrukcje dotyczące okoliczności, w których dostawcy zobowiązani są do powiadamiania o naruszeniu danych osobowych, a także dotyczące formy takiego powiadomienia oraz sposobu, w jaki ma być dokonane takie powiadomienie. Właściwe organy krajowe muszą mieć również możliwość kontrolowania, czy dostawcy spełniają swoje obowiązki związane z powiadamianiem określone w </w:t>
            </w:r>
            <w:r w:rsidRPr="00E356CE">
              <w:lastRenderedPageBreak/>
              <w:t xml:space="preserve">niniejszym ustępie, oraz nakładają odpowiednie kary w przypadku niewykonywania tych obowiązków. </w:t>
            </w:r>
          </w:p>
          <w:p w14:paraId="07F84067" w14:textId="77777777" w:rsidR="00D6339F" w:rsidRPr="00E356CE" w:rsidRDefault="004E724D" w:rsidP="00A9191A">
            <w:pPr>
              <w:spacing w:before="60" w:after="120"/>
              <w:jc w:val="both"/>
              <w:rPr>
                <w:b/>
                <w:bCs/>
              </w:rPr>
            </w:pPr>
            <w:r w:rsidRPr="00E356CE">
              <w:t>Dostawcy prowadzą rejestr naruszeń ochrony danych osobowych, w tym faktów towarzyszących naruszeniom, ich skutków i podjętych działań naprawczych; rejestr ten musi być wystarczający, tak aby umożliwić właściwemu organowi krajowemu sprawdzenie zgodności z przepisami ust. 3. Rejestr zawiera wyłącznie informacje niezbędne do realizacji tego celu.</w:t>
            </w:r>
          </w:p>
        </w:tc>
        <w:tc>
          <w:tcPr>
            <w:tcW w:w="886" w:type="dxa"/>
            <w:tcBorders>
              <w:top w:val="single" w:sz="4" w:space="0" w:color="auto"/>
              <w:left w:val="single" w:sz="4" w:space="0" w:color="auto"/>
              <w:bottom w:val="single" w:sz="4" w:space="0" w:color="auto"/>
              <w:right w:val="single" w:sz="4" w:space="0" w:color="auto"/>
            </w:tcBorders>
          </w:tcPr>
          <w:p w14:paraId="59CB6E48" w14:textId="77777777" w:rsidR="00D6339F"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6C52A934" w14:textId="144E9A7F" w:rsidR="00D6339F" w:rsidRPr="00E356CE" w:rsidRDefault="004E724D" w:rsidP="2ECB3D4D">
            <w:pPr>
              <w:pStyle w:val="Tekstpodstawowy"/>
              <w:rPr>
                <w:noProof/>
                <w:sz w:val="24"/>
                <w:szCs w:val="24"/>
              </w:rPr>
            </w:pPr>
            <w:r w:rsidRPr="00E356CE">
              <w:rPr>
                <w:sz w:val="24"/>
                <w:szCs w:val="24"/>
              </w:rPr>
              <w:t xml:space="preserve">Art. </w:t>
            </w:r>
            <w:r w:rsidR="3A7868F4" w:rsidRPr="00E356CE">
              <w:rPr>
                <w:sz w:val="24"/>
                <w:szCs w:val="24"/>
              </w:rPr>
              <w:t xml:space="preserve">398, 399, 400 </w:t>
            </w:r>
            <w:r w:rsidRPr="00E356CE">
              <w:rPr>
                <w:sz w:val="24"/>
                <w:szCs w:val="24"/>
              </w:rPr>
              <w:t>art. 4</w:t>
            </w:r>
            <w:r w:rsidR="72B6B7C1" w:rsidRPr="00E356CE">
              <w:rPr>
                <w:sz w:val="24"/>
                <w:szCs w:val="24"/>
              </w:rPr>
              <w:t>43</w:t>
            </w:r>
          </w:p>
        </w:tc>
        <w:tc>
          <w:tcPr>
            <w:tcW w:w="7410" w:type="dxa"/>
            <w:gridSpan w:val="2"/>
            <w:tcBorders>
              <w:top w:val="single" w:sz="4" w:space="0" w:color="auto"/>
              <w:left w:val="single" w:sz="4" w:space="0" w:color="auto"/>
              <w:bottom w:val="single" w:sz="4" w:space="0" w:color="auto"/>
              <w:right w:val="single" w:sz="4" w:space="0" w:color="auto"/>
            </w:tcBorders>
          </w:tcPr>
          <w:p w14:paraId="7D59A4D6" w14:textId="0626A019" w:rsidR="3D5A6F10" w:rsidRPr="00E356CE" w:rsidRDefault="3D5A6F10" w:rsidP="2ECB3D4D">
            <w:pPr>
              <w:spacing w:line="360" w:lineRule="auto"/>
              <w:ind w:firstLine="510"/>
              <w:jc w:val="both"/>
            </w:pPr>
            <w:r w:rsidRPr="00E356CE">
              <w:rPr>
                <w:b/>
                <w:bCs/>
              </w:rPr>
              <w:t>Art. 398.</w:t>
            </w:r>
            <w:r w:rsidRPr="00E356CE">
              <w:t xml:space="preserve"> Do sprawowanej przez Prezesa UODO kontroli wykonywania przez dostawcę usług komunikacji elektronicznej obowiązków, o których mowa w art. 396, art. 397 oraz art. 400, stosuje się odpowiednio przepisy ustawy z dnia 10 maja 2018 r. o ochronie danych osobowych (Dz. U. z 2019 r. poz. 1781).</w:t>
            </w:r>
          </w:p>
          <w:p w14:paraId="4496E183" w14:textId="31867853" w:rsidR="3D5A6F10" w:rsidRPr="00E356CE" w:rsidRDefault="3D5A6F10" w:rsidP="2ECB3D4D">
            <w:pPr>
              <w:spacing w:line="360" w:lineRule="auto"/>
              <w:ind w:firstLine="510"/>
              <w:jc w:val="both"/>
            </w:pPr>
            <w:r w:rsidRPr="00E356CE">
              <w:rPr>
                <w:b/>
                <w:bCs/>
              </w:rPr>
              <w:t>Art. 399.</w:t>
            </w:r>
            <w:r w:rsidRPr="00E356CE">
              <w:t xml:space="preserve"> Prezes UODO, kierując wystąpienie, o którym mowa w art. 52 ust. 1 ustawy z dnia 10 maja 2018 r. o ochronie danych osobowych, do dostawcy usług komunikacji elektronicznej uwzględnia wytyczne Komisji Europejskiej dotyczące realizacji obowiązku powiadomienia abonenta lub </w:t>
            </w:r>
            <w:r w:rsidRPr="00E356CE">
              <w:lastRenderedPageBreak/>
              <w:t>użytkownika końcowego będącego osobą fizyczną o naruszeniu jego danych osobowych i wskazuje okoliczności, formę i sposób takiego powiadomienia. Prezes UODO może udostępniać wystąpienia w Biuletynie Informacji Publicznej na  stronie podmiotowej Prezesa Urzędu Ochrony Danych Osobowych, o ile nie będą one zawierać informacji stanowiących tajemnicę przedsiębiorstwa.</w:t>
            </w:r>
          </w:p>
          <w:p w14:paraId="7282E09C" w14:textId="708E40F3" w:rsidR="3D5A6F10" w:rsidRPr="00E356CE" w:rsidRDefault="3D5A6F10" w:rsidP="2ECB3D4D">
            <w:pPr>
              <w:spacing w:line="360" w:lineRule="auto"/>
              <w:ind w:firstLine="510"/>
              <w:jc w:val="both"/>
            </w:pPr>
            <w:r w:rsidRPr="00E356CE">
              <w:rPr>
                <w:b/>
                <w:bCs/>
              </w:rPr>
              <w:t>Art. 400.</w:t>
            </w:r>
            <w:r w:rsidRPr="00E356CE">
              <w:t xml:space="preserve"> 1. Dostawca usług komunikacji elektronicznej prowadzi rejestr naruszeń danych osobowych, w tym faktów towarzyszących naruszeniom, ich skutków i podjętych działań, zawierający:</w:t>
            </w:r>
          </w:p>
          <w:p w14:paraId="2DBCD14F" w14:textId="779D5DE1" w:rsidR="3D5A6F10" w:rsidRPr="00E356CE" w:rsidRDefault="3D5A6F10" w:rsidP="2ECB3D4D">
            <w:pPr>
              <w:spacing w:line="360" w:lineRule="auto"/>
              <w:ind w:left="510" w:hanging="510"/>
              <w:jc w:val="both"/>
            </w:pPr>
            <w:r w:rsidRPr="00E356CE">
              <w:t>1)</w:t>
            </w:r>
            <w:r w:rsidRPr="00E356CE">
              <w:tab/>
              <w:t>opis charakteru naruszenia danych osobowych;</w:t>
            </w:r>
          </w:p>
          <w:p w14:paraId="68EEAD0D" w14:textId="585F9EAF" w:rsidR="3D5A6F10" w:rsidRPr="00E356CE" w:rsidRDefault="3D5A6F10" w:rsidP="2ECB3D4D">
            <w:pPr>
              <w:spacing w:line="360" w:lineRule="auto"/>
              <w:ind w:left="510" w:hanging="510"/>
              <w:jc w:val="both"/>
            </w:pPr>
            <w:r w:rsidRPr="00E356CE">
              <w:t>2)</w:t>
            </w:r>
            <w:r w:rsidRPr="00E356CE">
              <w:tab/>
              <w:t>informacje o zaleconych przez dostawcę usług komunikacji elektronicznej środkach mających na celu złagodzenie ewentualnych niekorzystnych skutków naruszenia danych osobowych;</w:t>
            </w:r>
          </w:p>
          <w:p w14:paraId="6EEFF9A0" w14:textId="3D2E0A9D" w:rsidR="3D5A6F10" w:rsidRPr="00E356CE" w:rsidRDefault="3D5A6F10" w:rsidP="2ECB3D4D">
            <w:pPr>
              <w:spacing w:line="360" w:lineRule="auto"/>
              <w:ind w:left="510" w:hanging="510"/>
              <w:jc w:val="both"/>
            </w:pPr>
            <w:r w:rsidRPr="00E356CE">
              <w:t>3)</w:t>
            </w:r>
            <w:r w:rsidRPr="00E356CE">
              <w:tab/>
              <w:t>informacje o działaniach podjętych przez dostawcę usług komunikacji elektronicznej;</w:t>
            </w:r>
          </w:p>
          <w:p w14:paraId="31FBC29E" w14:textId="1FCCD3AA" w:rsidR="3D5A6F10" w:rsidRPr="00E356CE" w:rsidRDefault="3D5A6F10" w:rsidP="2ECB3D4D">
            <w:pPr>
              <w:spacing w:line="360" w:lineRule="auto"/>
              <w:ind w:left="510" w:hanging="510"/>
              <w:jc w:val="both"/>
            </w:pPr>
            <w:r w:rsidRPr="00E356CE">
              <w:t>4)</w:t>
            </w:r>
            <w:r w:rsidRPr="00E356CE">
              <w:tab/>
              <w:t>informacje o fakcie poinformowania lub braku poinformowania abonenta lub użytkownika końcowego będącego osobą fizyczną o wystąpieniu naruszenia danych osobowych;</w:t>
            </w:r>
          </w:p>
          <w:p w14:paraId="63986DF1" w14:textId="3253ACF7" w:rsidR="3D5A6F10" w:rsidRPr="00E356CE" w:rsidRDefault="3D5A6F10" w:rsidP="2ECB3D4D">
            <w:pPr>
              <w:spacing w:line="360" w:lineRule="auto"/>
              <w:ind w:left="510" w:hanging="510"/>
              <w:jc w:val="both"/>
            </w:pPr>
            <w:r w:rsidRPr="00E356CE">
              <w:t>5)</w:t>
            </w:r>
            <w:r w:rsidRPr="00E356CE">
              <w:tab/>
              <w:t>opis skutków naruszenia danych osobowych;</w:t>
            </w:r>
          </w:p>
          <w:p w14:paraId="5D642D4C" w14:textId="1A9B5A15" w:rsidR="3D5A6F10" w:rsidRPr="00E356CE" w:rsidRDefault="3D5A6F10" w:rsidP="2ECB3D4D">
            <w:pPr>
              <w:spacing w:line="360" w:lineRule="auto"/>
              <w:ind w:left="510" w:hanging="510"/>
              <w:jc w:val="both"/>
            </w:pPr>
            <w:r w:rsidRPr="00E356CE">
              <w:t>6)</w:t>
            </w:r>
            <w:r w:rsidRPr="00E356CE">
              <w:tab/>
              <w:t>opis zaproponowanych przez dostawcę usług komunikacji elektronicznej środków naprawczych.</w:t>
            </w:r>
          </w:p>
          <w:p w14:paraId="0DD287C9" w14:textId="7E36D447" w:rsidR="3D5A6F10" w:rsidRPr="00E356CE" w:rsidRDefault="3D5A6F10" w:rsidP="2ECB3D4D">
            <w:pPr>
              <w:spacing w:line="360" w:lineRule="auto"/>
              <w:ind w:firstLine="510"/>
              <w:jc w:val="both"/>
            </w:pPr>
            <w:r w:rsidRPr="00E356CE">
              <w:lastRenderedPageBreak/>
              <w:t>2. Dostawca usług komunikacji elektronicznej może powierzyć, w drodze umowy, innemu przedsiębiorcy prowadzenie rejestru, o którym mowa w ust. 1.</w:t>
            </w:r>
          </w:p>
          <w:p w14:paraId="49EA1D54" w14:textId="02D1C806" w:rsidR="3D5A6F10" w:rsidRPr="00E356CE" w:rsidRDefault="3D5A6F10">
            <w:r w:rsidRPr="00E356CE">
              <w:br/>
            </w:r>
          </w:p>
          <w:p w14:paraId="52AD3D6F" w14:textId="5E405471" w:rsidR="2ECB3D4D" w:rsidRPr="00E356CE" w:rsidRDefault="2ECB3D4D" w:rsidP="2ECB3D4D">
            <w:pPr>
              <w:pStyle w:val="Tekstpodstawowy"/>
              <w:rPr>
                <w:sz w:val="24"/>
                <w:szCs w:val="24"/>
              </w:rPr>
            </w:pPr>
          </w:p>
          <w:p w14:paraId="3192BB6E" w14:textId="77777777" w:rsidR="004E724D" w:rsidRPr="00E356CE" w:rsidRDefault="004E724D" w:rsidP="00A9191A">
            <w:pPr>
              <w:pStyle w:val="Tekstpodstawowy"/>
              <w:rPr>
                <w:sz w:val="24"/>
                <w:szCs w:val="24"/>
              </w:rPr>
            </w:pPr>
          </w:p>
          <w:p w14:paraId="49AD0556" w14:textId="4D08203B" w:rsidR="00D6339F" w:rsidRPr="00E356CE" w:rsidRDefault="17645403" w:rsidP="2ECB3D4D">
            <w:pPr>
              <w:spacing w:line="360" w:lineRule="auto"/>
              <w:ind w:firstLine="510"/>
              <w:jc w:val="both"/>
            </w:pPr>
            <w:r w:rsidRPr="00E356CE">
              <w:rPr>
                <w:b/>
                <w:bCs/>
              </w:rPr>
              <w:t>Art. 443.</w:t>
            </w:r>
            <w:r w:rsidRPr="00E356CE">
              <w:t xml:space="preserve"> 1. Kto nie wypełnia obowiązku:</w:t>
            </w:r>
          </w:p>
          <w:p w14:paraId="1A46E5BC" w14:textId="3E2EE3BB" w:rsidR="00D6339F" w:rsidRPr="00E356CE" w:rsidRDefault="17645403" w:rsidP="2ECB3D4D">
            <w:pPr>
              <w:spacing w:line="360" w:lineRule="auto"/>
              <w:ind w:left="510" w:hanging="510"/>
              <w:jc w:val="both"/>
            </w:pPr>
            <w:r w:rsidRPr="00E356CE">
              <w:t>1)</w:t>
            </w:r>
            <w:r w:rsidR="004E724D" w:rsidRPr="00E356CE">
              <w:tab/>
            </w:r>
            <w:r w:rsidRPr="00E356CE">
              <w:t>wdrożenia technicznych i organizacyjnych środków ochrony, o których mowa w art. 396,</w:t>
            </w:r>
          </w:p>
          <w:p w14:paraId="51C7D7DE" w14:textId="28ABBAF0" w:rsidR="00D6339F" w:rsidRPr="00E356CE" w:rsidRDefault="17645403" w:rsidP="2ECB3D4D">
            <w:pPr>
              <w:spacing w:line="360" w:lineRule="auto"/>
              <w:ind w:left="510" w:hanging="510"/>
              <w:jc w:val="both"/>
            </w:pPr>
            <w:r w:rsidRPr="00E356CE">
              <w:t>2)</w:t>
            </w:r>
            <w:r w:rsidR="004E724D" w:rsidRPr="00E356CE">
              <w:tab/>
            </w:r>
            <w:r w:rsidRPr="00E356CE">
              <w:t>informacyjnego, względem Prezesa UODO, o którym mowa w art. 397 ust. 1,</w:t>
            </w:r>
          </w:p>
          <w:p w14:paraId="721462F0" w14:textId="766735C8" w:rsidR="00D6339F" w:rsidRPr="00E356CE" w:rsidRDefault="17645403" w:rsidP="2ECB3D4D">
            <w:pPr>
              <w:spacing w:line="360" w:lineRule="auto"/>
              <w:ind w:left="510" w:hanging="510"/>
              <w:jc w:val="both"/>
            </w:pPr>
            <w:r w:rsidRPr="00E356CE">
              <w:t>3)</w:t>
            </w:r>
            <w:r w:rsidR="004E724D" w:rsidRPr="00E356CE">
              <w:tab/>
            </w:r>
            <w:r w:rsidRPr="00E356CE">
              <w:t>informacyjnego, względem abonenta lub użytkownika końcowego, o którym mowa w art. 397 ust. 4,</w:t>
            </w:r>
          </w:p>
          <w:p w14:paraId="374C9F2D" w14:textId="06705A55" w:rsidR="00D6339F" w:rsidRPr="00E356CE" w:rsidRDefault="17645403" w:rsidP="2ECB3D4D">
            <w:pPr>
              <w:spacing w:line="360" w:lineRule="auto"/>
              <w:ind w:left="510" w:hanging="510"/>
              <w:jc w:val="both"/>
            </w:pPr>
            <w:r w:rsidRPr="00E356CE">
              <w:t>4)</w:t>
            </w:r>
            <w:r w:rsidR="004E724D" w:rsidRPr="00E356CE">
              <w:tab/>
            </w:r>
            <w:r w:rsidRPr="00E356CE">
              <w:t>prowadzenia rejestru naruszeń danych osobowych, o którym mowa w art. 400 ust. 1</w:t>
            </w:r>
          </w:p>
          <w:p w14:paraId="481F7926" w14:textId="1716266B" w:rsidR="00D6339F" w:rsidRPr="00E356CE" w:rsidRDefault="17645403" w:rsidP="2ECB3D4D">
            <w:pPr>
              <w:spacing w:line="360" w:lineRule="auto"/>
              <w:jc w:val="both"/>
            </w:pPr>
            <w:r w:rsidRPr="00E356CE">
              <w:t>– podlega karze pieniężnej nakładanej przez Prezesa UODO w wysokości do 3% przychodu ukaranego podmiotu osiągniętego w poprzednim roku kalendarzowym.</w:t>
            </w:r>
          </w:p>
          <w:p w14:paraId="545B9D2C" w14:textId="665F92A9" w:rsidR="00D6339F" w:rsidRPr="00E356CE" w:rsidRDefault="17645403" w:rsidP="2ECB3D4D">
            <w:pPr>
              <w:spacing w:line="360" w:lineRule="auto"/>
              <w:ind w:firstLine="510"/>
              <w:jc w:val="both"/>
            </w:pPr>
            <w:r w:rsidRPr="00E356CE">
              <w:t>2. Do kar nakładanych na podstawie ust. 1 stosuje się odpowiednio przepisy art. 441 ust. 3-5 oraz art. 442 ust. 1-4, ust. 6-10. Uprawnienia Prezesa UKE określone w tych przepisach przysługują Prezesowi UODO.</w:t>
            </w:r>
          </w:p>
          <w:p w14:paraId="2A083651" w14:textId="50667146" w:rsidR="00D6339F" w:rsidRPr="00E356CE" w:rsidRDefault="00D6339F" w:rsidP="2ECB3D4D">
            <w:pPr>
              <w:pStyle w:val="USTustnpkodeksu"/>
              <w:spacing w:line="240" w:lineRule="auto"/>
              <w:rPr>
                <w:rFonts w:ascii="Times New Roman" w:hAnsi="Times New Roman" w:cs="Times New Roman"/>
              </w:rPr>
            </w:pPr>
          </w:p>
        </w:tc>
      </w:tr>
      <w:tr w:rsidR="00723799" w:rsidRPr="00E356CE" w14:paraId="6EBE5C46" w14:textId="77777777" w:rsidTr="56856880">
        <w:tc>
          <w:tcPr>
            <w:tcW w:w="795" w:type="dxa"/>
            <w:tcBorders>
              <w:top w:val="single" w:sz="4" w:space="0" w:color="auto"/>
              <w:left w:val="single" w:sz="4" w:space="0" w:color="auto"/>
              <w:bottom w:val="single" w:sz="4" w:space="0" w:color="auto"/>
              <w:right w:val="single" w:sz="4" w:space="0" w:color="auto"/>
            </w:tcBorders>
          </w:tcPr>
          <w:p w14:paraId="02DE3352" w14:textId="77777777" w:rsidR="00C04931" w:rsidRPr="00E356CE" w:rsidRDefault="004E724D" w:rsidP="00A9191A">
            <w:pPr>
              <w:jc w:val="both"/>
            </w:pPr>
            <w:r w:rsidRPr="00E356CE">
              <w:lastRenderedPageBreak/>
              <w:t>Art. 4 ust. 5</w:t>
            </w:r>
          </w:p>
        </w:tc>
        <w:tc>
          <w:tcPr>
            <w:tcW w:w="4719" w:type="dxa"/>
            <w:tcBorders>
              <w:top w:val="single" w:sz="4" w:space="0" w:color="auto"/>
              <w:left w:val="single" w:sz="4" w:space="0" w:color="auto"/>
              <w:bottom w:val="single" w:sz="4" w:space="0" w:color="auto"/>
              <w:right w:val="single" w:sz="4" w:space="0" w:color="auto"/>
            </w:tcBorders>
          </w:tcPr>
          <w:p w14:paraId="216374E8" w14:textId="77777777" w:rsidR="004E724D" w:rsidRPr="00E356CE" w:rsidRDefault="004E724D" w:rsidP="00A9191A">
            <w:pPr>
              <w:autoSpaceDE w:val="0"/>
              <w:autoSpaceDN w:val="0"/>
              <w:adjustRightInd w:val="0"/>
              <w:jc w:val="both"/>
            </w:pPr>
            <w:r w:rsidRPr="00E356CE">
              <w:t>5. W celu zapewnienia spójności we wdrażaniu środków, o których mowa w ust. 2, 3 i 4, Komisja – po konsultacji z Europejską Agencją ds. Bezpieczeństwa Sieci i Informacji (ENISA), Grupą Roboczą ds. ochrony osób fizycznych w zakresie przetwarzania danych osobowych powołaną na mocy art. 29 dyrektywy 95/46/WE oraz Europejskim Inspektorem Ochrony Danych – może przyjąć techniczne środki wykonawcze dotyczące okoliczności, formy i trybu mających zastosowanie do wymogów dotyczących informowania i powiadamiania, o których mowa w niniejszym artykule. Przyjmując te środki Komisja angażuje wszystkie zainteresowane strony, aby uzyskać w szczególności informacje o najlepszych dostępnych technicznych i ekonomicznych środkach wdrażania niniejszego artykułu.</w:t>
            </w:r>
          </w:p>
          <w:p w14:paraId="7F88B0E3" w14:textId="77777777" w:rsidR="00C04931" w:rsidRPr="00E356CE" w:rsidRDefault="004E724D" w:rsidP="00A9191A">
            <w:pPr>
              <w:spacing w:before="60" w:after="120"/>
              <w:jc w:val="both"/>
              <w:rPr>
                <w:b/>
                <w:bCs/>
              </w:rPr>
            </w:pPr>
            <w:r w:rsidRPr="00E356CE">
              <w:t>Środki te, mające na celu zmianę elementów innych niż istotne niniejszej dyrektywy poprzez jej uzupełnienie, przyjmowane są zgodnie z procedurą regulacyjną połączoną z kontrolą, o której mowa w art. 14a ust. 2.</w:t>
            </w:r>
          </w:p>
        </w:tc>
        <w:tc>
          <w:tcPr>
            <w:tcW w:w="886" w:type="dxa"/>
            <w:tcBorders>
              <w:top w:val="single" w:sz="4" w:space="0" w:color="auto"/>
              <w:left w:val="single" w:sz="4" w:space="0" w:color="auto"/>
              <w:bottom w:val="single" w:sz="4" w:space="0" w:color="auto"/>
              <w:right w:val="single" w:sz="4" w:space="0" w:color="auto"/>
            </w:tcBorders>
          </w:tcPr>
          <w:p w14:paraId="39F6E5AF" w14:textId="77777777" w:rsidR="00C04931" w:rsidRPr="00E356CE" w:rsidRDefault="004E724D"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4FD62FBB"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66F20BDF" w14:textId="77777777" w:rsidR="00C04931" w:rsidRPr="00E356CE" w:rsidRDefault="00C04931" w:rsidP="00A9191A">
            <w:pPr>
              <w:jc w:val="both"/>
            </w:pPr>
          </w:p>
        </w:tc>
      </w:tr>
      <w:tr w:rsidR="00723799" w:rsidRPr="00E356CE" w14:paraId="483A5AC2" w14:textId="77777777" w:rsidTr="56856880">
        <w:tc>
          <w:tcPr>
            <w:tcW w:w="795" w:type="dxa"/>
            <w:tcBorders>
              <w:top w:val="single" w:sz="4" w:space="0" w:color="auto"/>
              <w:left w:val="single" w:sz="4" w:space="0" w:color="auto"/>
              <w:bottom w:val="single" w:sz="4" w:space="0" w:color="auto"/>
              <w:right w:val="single" w:sz="4" w:space="0" w:color="auto"/>
            </w:tcBorders>
          </w:tcPr>
          <w:p w14:paraId="17E6E9B6" w14:textId="77777777" w:rsidR="00C04931" w:rsidRPr="00E356CE" w:rsidRDefault="004E724D" w:rsidP="00A9191A">
            <w:pPr>
              <w:jc w:val="both"/>
              <w:rPr>
                <w:b/>
              </w:rPr>
            </w:pPr>
            <w:r w:rsidRPr="00E356CE">
              <w:rPr>
                <w:b/>
              </w:rPr>
              <w:t>Art. 5</w:t>
            </w:r>
          </w:p>
        </w:tc>
        <w:tc>
          <w:tcPr>
            <w:tcW w:w="4719" w:type="dxa"/>
            <w:tcBorders>
              <w:top w:val="single" w:sz="4" w:space="0" w:color="auto"/>
              <w:left w:val="single" w:sz="4" w:space="0" w:color="auto"/>
              <w:bottom w:val="single" w:sz="4" w:space="0" w:color="auto"/>
              <w:right w:val="single" w:sz="4" w:space="0" w:color="auto"/>
            </w:tcBorders>
          </w:tcPr>
          <w:p w14:paraId="10A09D66" w14:textId="77777777" w:rsidR="00C04931" w:rsidRPr="00E356CE" w:rsidRDefault="004E724D" w:rsidP="00A9191A">
            <w:pPr>
              <w:spacing w:before="60" w:after="120"/>
              <w:jc w:val="both"/>
              <w:rPr>
                <w:b/>
                <w:bCs/>
              </w:rPr>
            </w:pPr>
            <w:r w:rsidRPr="00E356CE">
              <w:rPr>
                <w:b/>
              </w:rPr>
              <w:t>Poufność komunikacji</w:t>
            </w:r>
          </w:p>
        </w:tc>
        <w:tc>
          <w:tcPr>
            <w:tcW w:w="886" w:type="dxa"/>
            <w:tcBorders>
              <w:top w:val="single" w:sz="4" w:space="0" w:color="auto"/>
              <w:left w:val="single" w:sz="4" w:space="0" w:color="auto"/>
              <w:bottom w:val="single" w:sz="4" w:space="0" w:color="auto"/>
              <w:right w:val="single" w:sz="4" w:space="0" w:color="auto"/>
            </w:tcBorders>
          </w:tcPr>
          <w:p w14:paraId="7CC300F5"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6008ABF7"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7BA1166" w14:textId="77777777" w:rsidR="00C04931" w:rsidRPr="00E356CE" w:rsidRDefault="00C04931" w:rsidP="00A9191A">
            <w:pPr>
              <w:jc w:val="both"/>
            </w:pPr>
          </w:p>
        </w:tc>
      </w:tr>
      <w:tr w:rsidR="00723799" w:rsidRPr="00E356CE" w14:paraId="0BBF5CB5" w14:textId="77777777" w:rsidTr="56856880">
        <w:tc>
          <w:tcPr>
            <w:tcW w:w="795" w:type="dxa"/>
            <w:tcBorders>
              <w:top w:val="single" w:sz="4" w:space="0" w:color="auto"/>
              <w:left w:val="single" w:sz="4" w:space="0" w:color="auto"/>
              <w:bottom w:val="single" w:sz="4" w:space="0" w:color="auto"/>
              <w:right w:val="single" w:sz="4" w:space="0" w:color="auto"/>
            </w:tcBorders>
          </w:tcPr>
          <w:p w14:paraId="01B8A31D" w14:textId="77777777" w:rsidR="00C04931" w:rsidRPr="00E356CE" w:rsidRDefault="004E724D" w:rsidP="00A9191A">
            <w:pPr>
              <w:jc w:val="both"/>
              <w:rPr>
                <w:b/>
              </w:rPr>
            </w:pPr>
            <w:r w:rsidRPr="00E356CE">
              <w:rPr>
                <w:b/>
              </w:rPr>
              <w:t>Art. 5 ust. 1</w:t>
            </w:r>
          </w:p>
        </w:tc>
        <w:tc>
          <w:tcPr>
            <w:tcW w:w="4719" w:type="dxa"/>
            <w:tcBorders>
              <w:top w:val="single" w:sz="4" w:space="0" w:color="auto"/>
              <w:left w:val="single" w:sz="4" w:space="0" w:color="auto"/>
              <w:bottom w:val="single" w:sz="4" w:space="0" w:color="auto"/>
              <w:right w:val="single" w:sz="4" w:space="0" w:color="auto"/>
            </w:tcBorders>
          </w:tcPr>
          <w:p w14:paraId="235652D3" w14:textId="77777777" w:rsidR="00C04931" w:rsidRPr="00E356CE" w:rsidRDefault="004E724D" w:rsidP="00A9191A">
            <w:pPr>
              <w:spacing w:before="60" w:after="120"/>
              <w:jc w:val="both"/>
              <w:rPr>
                <w:b/>
                <w:bCs/>
              </w:rPr>
            </w:pPr>
            <w:r w:rsidRPr="00E356CE">
              <w:t xml:space="preserve">1. Państwa Członkowskie zapewniają, poprzez ustawodawstwo krajowe, poufność komunikacji i związanych z nią danych o ruchu za pośrednictwem publicznie dostępnej sieci łączności i publicznie dostępnych usług łączności elektronicznej. W szczególności zakazują słuchania, nagrywania, </w:t>
            </w:r>
            <w:r w:rsidRPr="00E356CE">
              <w:lastRenderedPageBreak/>
              <w:t>przechowywania lub innych rodzajów przejęcia lub nadzoru komunikatu i związanych z nim danych o ruchu przez osoby inne niż użytkownicy, bez zgody zainteresowanych użytkowników, z wyjątkiem upoważnienia zgodnego z art. 15 ust. 1. Niniejszy ustęp nie zabrania technicznego przechowywania, które jest niezbędne do przekazania komunikatu bez uszczerbku dla zasady poufności.</w:t>
            </w:r>
          </w:p>
        </w:tc>
        <w:tc>
          <w:tcPr>
            <w:tcW w:w="886" w:type="dxa"/>
            <w:tcBorders>
              <w:top w:val="single" w:sz="4" w:space="0" w:color="auto"/>
              <w:left w:val="single" w:sz="4" w:space="0" w:color="auto"/>
              <w:bottom w:val="single" w:sz="4" w:space="0" w:color="auto"/>
              <w:right w:val="single" w:sz="4" w:space="0" w:color="auto"/>
            </w:tcBorders>
          </w:tcPr>
          <w:p w14:paraId="41B4207A"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364EBF2A" w14:textId="54AD495B" w:rsidR="00C04931" w:rsidRPr="00E356CE" w:rsidRDefault="0013367C" w:rsidP="00A9191A">
            <w:pPr>
              <w:pStyle w:val="Tekstpodstawowy"/>
              <w:rPr>
                <w:noProof/>
                <w:sz w:val="24"/>
                <w:szCs w:val="24"/>
              </w:rPr>
            </w:pPr>
            <w:r w:rsidRPr="00E356CE">
              <w:rPr>
                <w:noProof/>
                <w:sz w:val="24"/>
                <w:szCs w:val="24"/>
              </w:rPr>
              <w:t>Art. 3</w:t>
            </w:r>
            <w:r w:rsidR="503EBF2B" w:rsidRPr="00E356CE">
              <w:rPr>
                <w:noProof/>
                <w:sz w:val="24"/>
                <w:szCs w:val="24"/>
              </w:rPr>
              <w:t>8</w:t>
            </w:r>
            <w:r w:rsidR="3EB9E78F" w:rsidRPr="00E356CE">
              <w:rPr>
                <w:noProof/>
                <w:sz w:val="24"/>
                <w:szCs w:val="24"/>
              </w:rPr>
              <w:t>1</w:t>
            </w:r>
            <w:r w:rsidRPr="00E356CE">
              <w:rPr>
                <w:noProof/>
                <w:sz w:val="24"/>
                <w:szCs w:val="24"/>
              </w:rPr>
              <w:t xml:space="preserve"> ust. 2, art. 3</w:t>
            </w:r>
            <w:r w:rsidR="6527840E" w:rsidRPr="00E356CE">
              <w:rPr>
                <w:noProof/>
                <w:sz w:val="24"/>
                <w:szCs w:val="24"/>
              </w:rPr>
              <w:t>82</w:t>
            </w:r>
            <w:r w:rsidR="00E50006" w:rsidRPr="00E356CE">
              <w:rPr>
                <w:noProof/>
                <w:sz w:val="24"/>
                <w:szCs w:val="24"/>
              </w:rPr>
              <w:t>, art. 385</w:t>
            </w:r>
            <w:r w:rsidR="60576844" w:rsidRPr="00E356CE">
              <w:rPr>
                <w:noProof/>
                <w:sz w:val="24"/>
                <w:szCs w:val="24"/>
              </w:rPr>
              <w:t>, art 391</w:t>
            </w:r>
          </w:p>
        </w:tc>
        <w:tc>
          <w:tcPr>
            <w:tcW w:w="7410" w:type="dxa"/>
            <w:gridSpan w:val="2"/>
            <w:tcBorders>
              <w:top w:val="single" w:sz="4" w:space="0" w:color="auto"/>
              <w:left w:val="single" w:sz="4" w:space="0" w:color="auto"/>
              <w:bottom w:val="single" w:sz="4" w:space="0" w:color="auto"/>
              <w:right w:val="single" w:sz="4" w:space="0" w:color="auto"/>
            </w:tcBorders>
          </w:tcPr>
          <w:p w14:paraId="490A3914" w14:textId="2CCCFE90" w:rsidR="0013367C" w:rsidRPr="00E356CE" w:rsidRDefault="0013367C" w:rsidP="2ECB3D4D">
            <w:pPr>
              <w:jc w:val="both"/>
              <w:rPr>
                <w:b/>
                <w:bCs/>
              </w:rPr>
            </w:pPr>
            <w:r w:rsidRPr="00E356CE">
              <w:rPr>
                <w:b/>
                <w:bCs/>
              </w:rPr>
              <w:t>Art. 3</w:t>
            </w:r>
            <w:r w:rsidR="7D5DFBB7" w:rsidRPr="00E356CE">
              <w:rPr>
                <w:b/>
                <w:bCs/>
              </w:rPr>
              <w:t>81</w:t>
            </w:r>
            <w:r w:rsidRPr="00E356CE">
              <w:rPr>
                <w:b/>
                <w:bCs/>
              </w:rPr>
              <w:t xml:space="preserve"> ust. 2</w:t>
            </w:r>
          </w:p>
          <w:p w14:paraId="283C7DB2" w14:textId="77777777" w:rsidR="0013367C" w:rsidRPr="00E356CE" w:rsidRDefault="0013367C" w:rsidP="0013367C">
            <w:pPr>
              <w:jc w:val="both"/>
            </w:pPr>
            <w:r w:rsidRPr="00E356CE">
              <w:t xml:space="preserve"> </w:t>
            </w:r>
          </w:p>
          <w:p w14:paraId="7E02AEDE" w14:textId="53D92574" w:rsidR="0CC9DACD" w:rsidRPr="00E356CE" w:rsidRDefault="0CC9DACD" w:rsidP="2ECB3D4D">
            <w:pPr>
              <w:spacing w:line="360" w:lineRule="auto"/>
              <w:ind w:firstLine="510"/>
              <w:jc w:val="both"/>
            </w:pPr>
            <w:r w:rsidRPr="00E356CE">
              <w:t>2. Zakazane jest przetwarzanie informacji objętych tajemnicą komunikacji elektronicznej, o których mowa w ust. 1 pkt 2-5, przez osoby inne niż nadawca i odbiorca komunikatu elektronicznego, chyba że:</w:t>
            </w:r>
          </w:p>
          <w:p w14:paraId="4DECDE68" w14:textId="5FE13AFE" w:rsidR="0CC9DACD" w:rsidRPr="00E356CE" w:rsidRDefault="0CC9DACD" w:rsidP="2ECB3D4D">
            <w:pPr>
              <w:spacing w:line="360" w:lineRule="auto"/>
              <w:ind w:left="510" w:hanging="510"/>
              <w:jc w:val="both"/>
            </w:pPr>
            <w:r w:rsidRPr="00E356CE">
              <w:lastRenderedPageBreak/>
              <w:t>1)</w:t>
            </w:r>
            <w:r w:rsidRPr="00E356CE">
              <w:tab/>
              <w:t>będzie to przedmiotem usługi lub będzie to niezbędne do jej wykonania;</w:t>
            </w:r>
          </w:p>
          <w:p w14:paraId="6AE05CEF" w14:textId="3C2DE3AF" w:rsidR="0CC9DACD" w:rsidRPr="00E356CE" w:rsidRDefault="0CC9DACD" w:rsidP="2ECB3D4D">
            <w:pPr>
              <w:spacing w:line="360" w:lineRule="auto"/>
              <w:ind w:left="510" w:hanging="510"/>
              <w:jc w:val="both"/>
            </w:pPr>
            <w:r w:rsidRPr="00E356CE">
              <w:t>2)</w:t>
            </w:r>
            <w:r w:rsidRPr="00E356CE">
              <w:tab/>
              <w:t>nastąpi za zgodą nadawcy lub odbiorcy, których dane te dotyczą;</w:t>
            </w:r>
          </w:p>
          <w:p w14:paraId="217E8B28" w14:textId="0F7C9858" w:rsidR="0CC9DACD" w:rsidRPr="00E356CE" w:rsidRDefault="0CC9DACD" w:rsidP="2ECB3D4D">
            <w:pPr>
              <w:spacing w:line="360" w:lineRule="auto"/>
              <w:ind w:left="510" w:hanging="510"/>
              <w:jc w:val="both"/>
            </w:pPr>
            <w:r w:rsidRPr="00E356CE">
              <w:t>3)</w:t>
            </w:r>
            <w:r w:rsidRPr="00E356CE">
              <w:tab/>
              <w:t>dokonanie tych czynności jest niezbędne w celu rejestrowania komunikatów elektronicznych i związanych z nimi danych transmisyjnych, stosowanego w zgodnej z prawem praktyce handlowej dla celów zapewnienia dowodów transakcji handlowej lub celów łączności w działalności handlowej lub</w:t>
            </w:r>
          </w:p>
          <w:p w14:paraId="628D48F9" w14:textId="1EA5BD70" w:rsidR="0CC9DACD" w:rsidRPr="00E356CE" w:rsidRDefault="0CC9DACD" w:rsidP="2ECB3D4D">
            <w:pPr>
              <w:spacing w:line="360" w:lineRule="auto"/>
              <w:ind w:left="510" w:hanging="510"/>
              <w:jc w:val="both"/>
            </w:pPr>
            <w:r w:rsidRPr="00E356CE">
              <w:t>4)</w:t>
            </w:r>
            <w:r w:rsidRPr="00E356CE">
              <w:tab/>
              <w:t>będzie to konieczne z innych powodów przewidzianych ustawą lub przepisami odrębnymi.</w:t>
            </w:r>
          </w:p>
          <w:p w14:paraId="5A79856D" w14:textId="77777777" w:rsidR="0013367C" w:rsidRPr="00E356CE" w:rsidRDefault="0013367C" w:rsidP="0013367C">
            <w:pPr>
              <w:ind w:firstLine="510"/>
              <w:jc w:val="both"/>
            </w:pPr>
            <w:r w:rsidRPr="00E356CE">
              <w:rPr>
                <w:b/>
                <w:bCs/>
              </w:rPr>
              <w:t xml:space="preserve"> </w:t>
            </w:r>
          </w:p>
          <w:p w14:paraId="17F97D3F" w14:textId="48A6A3A0" w:rsidR="00C04931" w:rsidRPr="00E356CE" w:rsidRDefault="27039123" w:rsidP="2ECB3D4D">
            <w:pPr>
              <w:spacing w:line="360" w:lineRule="auto"/>
              <w:ind w:firstLine="510"/>
              <w:jc w:val="both"/>
            </w:pPr>
            <w:r w:rsidRPr="00E356CE">
              <w:rPr>
                <w:b/>
                <w:bCs/>
              </w:rPr>
              <w:t>Art. 382.</w:t>
            </w:r>
            <w:r w:rsidRPr="00E356CE">
              <w:t xml:space="preserve"> 1. Podmiot uczestniczący w wykonywaniu działalności komunikacji elektronicznej w publicznych sieciach telekomunikacyjnych oraz podmioty z nim współpracujące są obowiązane do zachowania tajemnicy komunikacji elektronicznej.</w:t>
            </w:r>
          </w:p>
          <w:p w14:paraId="13B2E6A3" w14:textId="1D60996D" w:rsidR="00C04931" w:rsidRPr="00E356CE" w:rsidRDefault="27039123" w:rsidP="2ECB3D4D">
            <w:pPr>
              <w:spacing w:line="360" w:lineRule="auto"/>
              <w:ind w:firstLine="510"/>
              <w:jc w:val="both"/>
            </w:pPr>
            <w:r w:rsidRPr="00E356CE">
              <w:t>2. Podmioty, o których mowa w ust. 1, są obowiązane do zachowania należytej staranności, w zakresie uzasadnionym względami technicznymi lub ekonomicznymi, przy zabezpieczaniu urządzeń telekomunikacyjnych, publicznych sieci telekomunikacyjnych oraz danych przed ujawnieniem tajemnicy komunikacji elektronicznej.</w:t>
            </w:r>
          </w:p>
          <w:p w14:paraId="43AC8129" w14:textId="30BA5C19" w:rsidR="00C04931" w:rsidRPr="00E356CE" w:rsidRDefault="27039123" w:rsidP="2ECB3D4D">
            <w:pPr>
              <w:spacing w:line="360" w:lineRule="auto"/>
              <w:ind w:firstLine="510"/>
              <w:jc w:val="both"/>
            </w:pPr>
            <w:r w:rsidRPr="00E356CE">
              <w:t xml:space="preserve">3. Osoba, która korzystając z urządzenia radiowego lub końcowego, zapoznała się z komunikatem elektronicznym dla niej nieprzeznaczonym, </w:t>
            </w:r>
            <w:r w:rsidRPr="00E356CE">
              <w:lastRenderedPageBreak/>
              <w:t>jest obowiązana do zachowania tajemnicy komunikacji elektronicznej. Przepisy art. 381 ust. 3 i 4 stosuje się odpowiednio.</w:t>
            </w:r>
          </w:p>
          <w:p w14:paraId="4D85DABA" w14:textId="6D03A5F3" w:rsidR="00C04931" w:rsidRPr="00E356CE" w:rsidRDefault="27039123" w:rsidP="2ECB3D4D">
            <w:pPr>
              <w:spacing w:line="360" w:lineRule="auto"/>
              <w:ind w:firstLine="510"/>
              <w:jc w:val="both"/>
            </w:pPr>
            <w:r w:rsidRPr="00E356CE">
              <w:t>4. Nie stanowi naruszenia tajemnicy komunikacji elektronicznej zarejestrowanie przez organ wykonujący kontrolę działalności komunikacji elektronicznej komunikatu elektronicznego uzyskanego w sposób, o którym mowa w ust. 3, w celu udokumentowania faktu naruszenia przepisu ustawy.</w:t>
            </w:r>
          </w:p>
          <w:p w14:paraId="55AE1752" w14:textId="5A563217" w:rsidR="00C04931" w:rsidRPr="00E356CE" w:rsidRDefault="27039123" w:rsidP="2ECB3D4D">
            <w:pPr>
              <w:spacing w:line="360" w:lineRule="auto"/>
              <w:ind w:firstLine="510"/>
              <w:jc w:val="both"/>
            </w:pPr>
            <w:r w:rsidRPr="00E356CE">
              <w:t>5. Podmioty, o których mowa w ust. 1, działając na zlecenie organów administracji publicznej, mogą wysyłać komunikaty elektroniczne w interesie publicznym do użytkowników końcowych.</w:t>
            </w:r>
          </w:p>
          <w:p w14:paraId="50BDBCE2" w14:textId="77777777" w:rsidR="00E50006" w:rsidRPr="00E356CE" w:rsidRDefault="00E50006" w:rsidP="00E50006">
            <w:pPr>
              <w:pStyle w:val="ARTartustawynprozporzdzenia"/>
              <w:rPr>
                <w:rFonts w:ascii="Times New Roman" w:hAnsi="Times New Roman" w:cs="Times New Roman"/>
                <w:szCs w:val="24"/>
              </w:rPr>
            </w:pPr>
            <w:r w:rsidRPr="00E356CE">
              <w:rPr>
                <w:rStyle w:val="Ppogrubienie"/>
                <w:rFonts w:ascii="Times New Roman" w:hAnsi="Times New Roman"/>
                <w:szCs w:val="24"/>
              </w:rPr>
              <w:t>Art. 385.</w:t>
            </w:r>
            <w:r w:rsidRPr="00E356CE">
              <w:rPr>
                <w:rFonts w:ascii="Times New Roman" w:hAnsi="Times New Roman" w:cs="Times New Roman"/>
                <w:szCs w:val="24"/>
              </w:rPr>
              <w:t> 1. Przedsiębiorca komunikacji elektronicznej ponosi odpowiedzialność za naruszenie tajemnicy komunikacji elektronicznej przez podmioty działające w jego imieniu.</w:t>
            </w:r>
          </w:p>
          <w:p w14:paraId="1A040D3C" w14:textId="77777777" w:rsidR="00E50006" w:rsidRPr="00E356CE" w:rsidRDefault="00E50006" w:rsidP="00E50006">
            <w:pPr>
              <w:pStyle w:val="USTustnpkodeksu"/>
              <w:rPr>
                <w:rFonts w:ascii="Times New Roman" w:hAnsi="Times New Roman" w:cs="Times New Roman"/>
                <w:szCs w:val="24"/>
              </w:rPr>
            </w:pPr>
            <w:r w:rsidRPr="00E356CE">
              <w:rPr>
                <w:rFonts w:ascii="Times New Roman" w:hAnsi="Times New Roman" w:cs="Times New Roman"/>
                <w:szCs w:val="24"/>
              </w:rPr>
              <w:t>2. Przedsiębiorca komunikacji elektronicznej świadczący usługę na rzecz użytkownika innego przedsiębiorcy komunikacji elektronicznej ma prawo, w niezbędnym zakresie, przetwarzać dane dotyczące tego użytkownika oraz dane o wykonanych na jego rzecz usługach komunikacji elektronicznej.</w:t>
            </w:r>
          </w:p>
          <w:p w14:paraId="37CC86FB" w14:textId="3C6310DE" w:rsidR="00DC0A31" w:rsidRPr="00E356CE" w:rsidRDefault="00DC0A31" w:rsidP="2ECB3D4D">
            <w:pPr>
              <w:spacing w:line="360" w:lineRule="auto"/>
              <w:ind w:firstLine="510"/>
              <w:jc w:val="both"/>
            </w:pPr>
          </w:p>
          <w:p w14:paraId="7A944548" w14:textId="01B5EBF5" w:rsidR="00DC0A31" w:rsidRPr="00E356CE" w:rsidRDefault="17B627B3" w:rsidP="2ECB3D4D">
            <w:pPr>
              <w:spacing w:line="360" w:lineRule="auto"/>
              <w:ind w:firstLine="510"/>
              <w:jc w:val="both"/>
            </w:pPr>
            <w:r w:rsidRPr="00E356CE">
              <w:rPr>
                <w:b/>
                <w:bCs/>
              </w:rPr>
              <w:t>Art. 391.</w:t>
            </w:r>
            <w:r w:rsidRPr="00E356CE">
              <w:t xml:space="preserve"> Przedsiębiorca telekomunikacyjny jest uprawniony do udzielania informacji o numerach abonentów lub powierzenia tej czynności </w:t>
            </w:r>
            <w:r w:rsidRPr="00E356CE">
              <w:lastRenderedPageBreak/>
              <w:t>innemu podmiotowi z zachowaniem wszystkich warunków i ograniczeń przewidzianych w przepisach niniejszego rozdziału.</w:t>
            </w:r>
          </w:p>
          <w:p w14:paraId="3F8AEBA4" w14:textId="603202F0" w:rsidR="00DC0A31" w:rsidRPr="00E356CE" w:rsidRDefault="00DC0A31" w:rsidP="5C32B108">
            <w:pPr>
              <w:spacing w:line="360" w:lineRule="auto"/>
              <w:ind w:firstLine="510"/>
              <w:jc w:val="both"/>
            </w:pPr>
          </w:p>
          <w:p w14:paraId="4F3DAA69" w14:textId="0438EC61" w:rsidR="00C04931" w:rsidRPr="00E356CE" w:rsidRDefault="00C04931" w:rsidP="2ECB3D4D">
            <w:pPr>
              <w:jc w:val="both"/>
            </w:pPr>
          </w:p>
        </w:tc>
      </w:tr>
      <w:tr w:rsidR="00723799" w:rsidRPr="00E356CE" w14:paraId="23D6D2D9" w14:textId="77777777" w:rsidTr="56856880">
        <w:tc>
          <w:tcPr>
            <w:tcW w:w="795" w:type="dxa"/>
            <w:tcBorders>
              <w:top w:val="single" w:sz="4" w:space="0" w:color="auto"/>
              <w:left w:val="single" w:sz="4" w:space="0" w:color="auto"/>
              <w:bottom w:val="single" w:sz="4" w:space="0" w:color="auto"/>
              <w:right w:val="single" w:sz="4" w:space="0" w:color="auto"/>
            </w:tcBorders>
          </w:tcPr>
          <w:p w14:paraId="47544812" w14:textId="77777777" w:rsidR="00C04931" w:rsidRPr="00E356CE" w:rsidRDefault="004E724D" w:rsidP="00A9191A">
            <w:pPr>
              <w:jc w:val="both"/>
              <w:rPr>
                <w:b/>
              </w:rPr>
            </w:pPr>
            <w:r w:rsidRPr="00E356CE">
              <w:rPr>
                <w:b/>
              </w:rPr>
              <w:lastRenderedPageBreak/>
              <w:t>Art. 5 ust. 2</w:t>
            </w:r>
          </w:p>
        </w:tc>
        <w:tc>
          <w:tcPr>
            <w:tcW w:w="4719" w:type="dxa"/>
            <w:tcBorders>
              <w:top w:val="single" w:sz="4" w:space="0" w:color="auto"/>
              <w:left w:val="single" w:sz="4" w:space="0" w:color="auto"/>
              <w:bottom w:val="single" w:sz="4" w:space="0" w:color="auto"/>
              <w:right w:val="single" w:sz="4" w:space="0" w:color="auto"/>
            </w:tcBorders>
          </w:tcPr>
          <w:p w14:paraId="075DBCD9" w14:textId="77777777" w:rsidR="00C04931" w:rsidRPr="00E356CE" w:rsidRDefault="004E724D" w:rsidP="00A9191A">
            <w:pPr>
              <w:spacing w:before="60" w:after="120"/>
              <w:jc w:val="both"/>
              <w:rPr>
                <w:b/>
                <w:bCs/>
              </w:rPr>
            </w:pPr>
            <w:r w:rsidRPr="00E356CE">
              <w:t>2. Ustęp 1 nie dotyczy jakichkolwiek przypadków prawnie dozwolonego rejestrowania komunikatów i związanych z nimi danych o ruchu stosowanego w zgodnej z prawem praktyce handlowej do celów zapewnienia dowodów transakcji handlowej lub do celów łączności w działalności handlowej.</w:t>
            </w:r>
          </w:p>
        </w:tc>
        <w:tc>
          <w:tcPr>
            <w:tcW w:w="886" w:type="dxa"/>
            <w:tcBorders>
              <w:top w:val="single" w:sz="4" w:space="0" w:color="auto"/>
              <w:left w:val="single" w:sz="4" w:space="0" w:color="auto"/>
              <w:bottom w:val="single" w:sz="4" w:space="0" w:color="auto"/>
              <w:right w:val="single" w:sz="4" w:space="0" w:color="auto"/>
            </w:tcBorders>
          </w:tcPr>
          <w:p w14:paraId="3222904C"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730687AD" w14:textId="3A495082" w:rsidR="00C04931" w:rsidRPr="00E356CE" w:rsidRDefault="0013367C" w:rsidP="00A9191A">
            <w:pPr>
              <w:pStyle w:val="Tekstpodstawowy"/>
              <w:rPr>
                <w:noProof/>
                <w:sz w:val="24"/>
                <w:szCs w:val="24"/>
              </w:rPr>
            </w:pPr>
            <w:r w:rsidRPr="00E356CE">
              <w:rPr>
                <w:noProof/>
                <w:sz w:val="24"/>
                <w:szCs w:val="24"/>
              </w:rPr>
              <w:t>Art. 3</w:t>
            </w:r>
            <w:r w:rsidR="111CD836" w:rsidRPr="00E356CE">
              <w:rPr>
                <w:noProof/>
                <w:sz w:val="24"/>
                <w:szCs w:val="24"/>
              </w:rPr>
              <w:t>81</w:t>
            </w:r>
            <w:r w:rsidRPr="00E356CE">
              <w:rPr>
                <w:noProof/>
                <w:sz w:val="24"/>
                <w:szCs w:val="24"/>
              </w:rPr>
              <w:t xml:space="preserve"> ust. 2 pkt 3</w:t>
            </w:r>
          </w:p>
        </w:tc>
        <w:tc>
          <w:tcPr>
            <w:tcW w:w="7410" w:type="dxa"/>
            <w:gridSpan w:val="2"/>
            <w:tcBorders>
              <w:top w:val="single" w:sz="4" w:space="0" w:color="auto"/>
              <w:left w:val="single" w:sz="4" w:space="0" w:color="auto"/>
              <w:bottom w:val="single" w:sz="4" w:space="0" w:color="auto"/>
              <w:right w:val="single" w:sz="4" w:space="0" w:color="auto"/>
            </w:tcBorders>
          </w:tcPr>
          <w:p w14:paraId="7A917E26" w14:textId="12366288" w:rsidR="0013367C" w:rsidRPr="00E356CE" w:rsidRDefault="0013367C" w:rsidP="2ECB3D4D">
            <w:pPr>
              <w:jc w:val="both"/>
              <w:rPr>
                <w:b/>
                <w:bCs/>
              </w:rPr>
            </w:pPr>
            <w:r w:rsidRPr="00E356CE">
              <w:rPr>
                <w:b/>
                <w:bCs/>
              </w:rPr>
              <w:t>Art. 3</w:t>
            </w:r>
            <w:r w:rsidR="2B77DE5F" w:rsidRPr="00E356CE">
              <w:rPr>
                <w:b/>
                <w:bCs/>
              </w:rPr>
              <w:t>81</w:t>
            </w:r>
            <w:r w:rsidRPr="00E356CE">
              <w:rPr>
                <w:b/>
                <w:bCs/>
              </w:rPr>
              <w:t xml:space="preserve"> ust. 2</w:t>
            </w:r>
          </w:p>
          <w:p w14:paraId="3AA1838C" w14:textId="77777777" w:rsidR="0013367C" w:rsidRPr="00E356CE" w:rsidRDefault="0013367C" w:rsidP="0013367C">
            <w:pPr>
              <w:jc w:val="both"/>
            </w:pPr>
            <w:r w:rsidRPr="00E356CE">
              <w:t xml:space="preserve"> </w:t>
            </w:r>
          </w:p>
          <w:p w14:paraId="06053E69" w14:textId="65226C91" w:rsidR="130542BD" w:rsidRPr="00E356CE" w:rsidRDefault="130542BD" w:rsidP="2ECB3D4D">
            <w:pPr>
              <w:spacing w:line="360" w:lineRule="auto"/>
              <w:ind w:firstLine="510"/>
              <w:jc w:val="both"/>
            </w:pPr>
            <w:r w:rsidRPr="00E356CE">
              <w:t>2. Zakazane jest przetwarzanie informacji objętych tajemnicą komunikacji elektronicznej, o których mowa w ust. 1 pkt 2-5, przez osoby inne niż nadawca i odbiorca komunikatu elektronicznego, chyba że:</w:t>
            </w:r>
          </w:p>
          <w:p w14:paraId="6ECD538F" w14:textId="683506CE" w:rsidR="2ECB3D4D" w:rsidRPr="00E356CE" w:rsidRDefault="2ECB3D4D" w:rsidP="2ECB3D4D">
            <w:pPr>
              <w:ind w:firstLine="510"/>
              <w:jc w:val="both"/>
            </w:pPr>
          </w:p>
          <w:p w14:paraId="7E11D379" w14:textId="77777777" w:rsidR="0013367C" w:rsidRPr="00E356CE" w:rsidRDefault="0013367C" w:rsidP="0013367C">
            <w:pPr>
              <w:ind w:firstLine="510"/>
              <w:jc w:val="both"/>
            </w:pPr>
            <w:r w:rsidRPr="00E356CE">
              <w:t>(…)</w:t>
            </w:r>
          </w:p>
          <w:p w14:paraId="6459422E" w14:textId="42917BAF" w:rsidR="5FA2788B" w:rsidRPr="00E356CE" w:rsidRDefault="5FA2788B" w:rsidP="2ECB3D4D">
            <w:pPr>
              <w:ind w:left="510" w:hanging="510"/>
              <w:jc w:val="both"/>
            </w:pPr>
            <w:r w:rsidRPr="00E356CE">
              <w:t>3)</w:t>
            </w:r>
            <w:r w:rsidRPr="00E356CE">
              <w:tab/>
              <w:t>dokonanie tych czynności jest niezbędne w celu rejestrowania komunikatów elektronicznych i związanych z nimi danych transmisyjnych, stosowanego w zgodnej z prawem praktyce handlowej dla celów zapewnienia dowodów transakcji handlowej lub celów łączności w działalności handlowej</w:t>
            </w:r>
          </w:p>
          <w:p w14:paraId="5E2746DF" w14:textId="6630D613" w:rsidR="00C04931" w:rsidRPr="00E356CE" w:rsidRDefault="00C04931" w:rsidP="00A9191A">
            <w:pPr>
              <w:pStyle w:val="PKTpunkt"/>
              <w:spacing w:line="240" w:lineRule="auto"/>
              <w:rPr>
                <w:rFonts w:ascii="Times New Roman" w:hAnsi="Times New Roman" w:cs="Times New Roman"/>
                <w:szCs w:val="24"/>
              </w:rPr>
            </w:pPr>
          </w:p>
        </w:tc>
      </w:tr>
      <w:tr w:rsidR="0013367C" w:rsidRPr="00E356CE" w14:paraId="320D13CA" w14:textId="77777777" w:rsidTr="56856880">
        <w:tc>
          <w:tcPr>
            <w:tcW w:w="795" w:type="dxa"/>
            <w:tcBorders>
              <w:top w:val="single" w:sz="4" w:space="0" w:color="auto"/>
              <w:left w:val="single" w:sz="4" w:space="0" w:color="auto"/>
              <w:bottom w:val="single" w:sz="4" w:space="0" w:color="auto"/>
              <w:right w:val="single" w:sz="4" w:space="0" w:color="auto"/>
            </w:tcBorders>
          </w:tcPr>
          <w:p w14:paraId="3CC947A5" w14:textId="7D7CCEB7" w:rsidR="0013367C" w:rsidRPr="00E356CE" w:rsidRDefault="0013367C" w:rsidP="00A9191A">
            <w:pPr>
              <w:jc w:val="both"/>
              <w:rPr>
                <w:b/>
              </w:rPr>
            </w:pPr>
            <w:r w:rsidRPr="00E356CE">
              <w:rPr>
                <w:b/>
                <w:bCs/>
              </w:rPr>
              <w:t>Art. 5 ust. 3</w:t>
            </w:r>
          </w:p>
        </w:tc>
        <w:tc>
          <w:tcPr>
            <w:tcW w:w="4719" w:type="dxa"/>
            <w:tcBorders>
              <w:top w:val="single" w:sz="4" w:space="0" w:color="auto"/>
              <w:left w:val="single" w:sz="4" w:space="0" w:color="auto"/>
              <w:bottom w:val="single" w:sz="4" w:space="0" w:color="auto"/>
              <w:right w:val="single" w:sz="4" w:space="0" w:color="auto"/>
            </w:tcBorders>
          </w:tcPr>
          <w:p w14:paraId="10CE612E" w14:textId="173AEB8C" w:rsidR="0013367C" w:rsidRPr="00E356CE" w:rsidRDefault="0013367C" w:rsidP="00A9191A">
            <w:pPr>
              <w:spacing w:before="60" w:after="120"/>
              <w:jc w:val="both"/>
              <w:rPr>
                <w:b/>
                <w:bCs/>
              </w:rPr>
            </w:pPr>
            <w:r w:rsidRPr="00E356CE">
              <w:t xml:space="preserve">3. Państwa członkowskie zapewniają, aby przechowywanie informacji lub uzyskanie dostępu do informacji już przechowywanych w urządzeniu końcowym abonenta lub użytkownika było dozwolone wyłącznie pod warunkiem że dany abonent lub użytkownik wyraził zgodę zgodnie z dyrektywą 95/46/WE po otrzymaniu jasnych i wyczerpujących informacji, między innymi o celach przetwarzania. Nie stanowi to przeszkody dla każdego technicznego przechowywania danych ani dostępu do nich jedynie w celu wykonania </w:t>
            </w:r>
            <w:r w:rsidRPr="00E356CE">
              <w:lastRenderedPageBreak/>
              <w:t>transmisji komunikatu za pośrednictwem sieci łączności elektronicznej, lub gdy jest to ściśle niezbędne w celu świadczenia usługi przez dostawcę usługi społeczeństwa informacyjnego, wyraźnie zażądanej przez abonenta lub użytkownika</w:t>
            </w:r>
          </w:p>
        </w:tc>
        <w:tc>
          <w:tcPr>
            <w:tcW w:w="886" w:type="dxa"/>
            <w:tcBorders>
              <w:top w:val="single" w:sz="4" w:space="0" w:color="auto"/>
              <w:left w:val="single" w:sz="4" w:space="0" w:color="auto"/>
              <w:bottom w:val="single" w:sz="4" w:space="0" w:color="auto"/>
              <w:right w:val="single" w:sz="4" w:space="0" w:color="auto"/>
            </w:tcBorders>
          </w:tcPr>
          <w:p w14:paraId="5872EC30" w14:textId="77777777" w:rsidR="0013367C" w:rsidRPr="00E356CE" w:rsidRDefault="0013367C"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4BDBDC68" w14:textId="2FF704AC" w:rsidR="0013367C" w:rsidRPr="00E356CE" w:rsidRDefault="0013367C" w:rsidP="00A9191A">
            <w:pPr>
              <w:pStyle w:val="Tekstpodstawowy"/>
              <w:rPr>
                <w:noProof/>
                <w:sz w:val="24"/>
                <w:szCs w:val="24"/>
              </w:rPr>
            </w:pPr>
            <w:r w:rsidRPr="00E356CE">
              <w:rPr>
                <w:noProof/>
                <w:sz w:val="24"/>
                <w:szCs w:val="24"/>
              </w:rPr>
              <w:t>Art. 3</w:t>
            </w:r>
            <w:r w:rsidR="23CC6940" w:rsidRPr="00E356CE">
              <w:rPr>
                <w:noProof/>
                <w:sz w:val="24"/>
                <w:szCs w:val="24"/>
              </w:rPr>
              <w:t>94</w:t>
            </w:r>
          </w:p>
          <w:p w14:paraId="2F048915" w14:textId="77777777" w:rsidR="0013367C" w:rsidRPr="00E356CE" w:rsidRDefault="0013367C" w:rsidP="0013367C"/>
        </w:tc>
        <w:tc>
          <w:tcPr>
            <w:tcW w:w="7410" w:type="dxa"/>
            <w:gridSpan w:val="2"/>
            <w:tcBorders>
              <w:top w:val="single" w:sz="4" w:space="0" w:color="auto"/>
              <w:left w:val="single" w:sz="4" w:space="0" w:color="auto"/>
              <w:bottom w:val="single" w:sz="4" w:space="0" w:color="auto"/>
              <w:right w:val="single" w:sz="4" w:space="0" w:color="auto"/>
            </w:tcBorders>
          </w:tcPr>
          <w:p w14:paraId="35C109E7" w14:textId="5F55E278" w:rsidR="0013367C" w:rsidRPr="00E356CE" w:rsidRDefault="5E43EBE6" w:rsidP="2ECB3D4D">
            <w:pPr>
              <w:spacing w:line="360" w:lineRule="auto"/>
              <w:ind w:firstLine="510"/>
              <w:jc w:val="both"/>
            </w:pPr>
            <w:r w:rsidRPr="00E356CE">
              <w:rPr>
                <w:b/>
                <w:bCs/>
              </w:rPr>
              <w:t>Art. 394.</w:t>
            </w:r>
            <w:r w:rsidRPr="00E356CE">
              <w:t xml:space="preserve"> 1. Przechowywanie informacji lub uzyskiwanie dostępu do informacji już przechowywanej w telekomunikacyjnym urządzeniu końcowym abonenta lub użytkownika końcowego jest dozwolone, pod warunkiem, że:</w:t>
            </w:r>
          </w:p>
          <w:p w14:paraId="7EE43D43" w14:textId="76D7B90C" w:rsidR="0013367C" w:rsidRPr="00E356CE" w:rsidRDefault="5E43EBE6" w:rsidP="2ECB3D4D">
            <w:pPr>
              <w:spacing w:line="360" w:lineRule="auto"/>
              <w:ind w:left="510" w:hanging="510"/>
              <w:jc w:val="both"/>
            </w:pPr>
            <w:r w:rsidRPr="00E356CE">
              <w:t>1)</w:t>
            </w:r>
            <w:r w:rsidR="0013367C" w:rsidRPr="00E356CE">
              <w:tab/>
            </w:r>
            <w:r w:rsidRPr="00E356CE">
              <w:t>abonent lub użytkownik końcowy zostanie uprzednio poinformowany w sposób jednoznaczny, łatwy i zrozumiały, o:</w:t>
            </w:r>
          </w:p>
          <w:p w14:paraId="31930C28" w14:textId="72A9158A" w:rsidR="0013367C" w:rsidRPr="00E356CE" w:rsidRDefault="5E43EBE6" w:rsidP="2ECB3D4D">
            <w:pPr>
              <w:spacing w:line="360" w:lineRule="auto"/>
              <w:ind w:left="476" w:hanging="476"/>
              <w:jc w:val="both"/>
            </w:pPr>
            <w:r w:rsidRPr="00E356CE">
              <w:t>a)</w:t>
            </w:r>
            <w:r w:rsidR="0013367C" w:rsidRPr="00E356CE">
              <w:tab/>
            </w:r>
            <w:r w:rsidRPr="00E356CE">
              <w:t>celu przechowywania i uzyskiwania dostępu do tej informacji,</w:t>
            </w:r>
          </w:p>
          <w:p w14:paraId="7853F69C" w14:textId="5F2020A4" w:rsidR="0013367C" w:rsidRPr="00E356CE" w:rsidRDefault="5E43EBE6" w:rsidP="2ECB3D4D">
            <w:pPr>
              <w:spacing w:line="360" w:lineRule="auto"/>
              <w:ind w:left="476" w:hanging="476"/>
              <w:jc w:val="both"/>
            </w:pPr>
            <w:r w:rsidRPr="00E356CE">
              <w:lastRenderedPageBreak/>
              <w:t>b)</w:t>
            </w:r>
            <w:r w:rsidR="0013367C" w:rsidRPr="00E356CE">
              <w:tab/>
            </w:r>
            <w:r w:rsidRPr="00E356CE">
              <w:t>możliwości określenia przez niego warunków przechowywania lub uzyskiwania dostępu do tej informacji za pomocą ustawień oprogramowania zainstalowanego w wykorzystywanym przez niego telekomunikacyjnym urządzeniu końcowym lub konfiguracji usługi;</w:t>
            </w:r>
          </w:p>
          <w:p w14:paraId="4A190540" w14:textId="74AECB13" w:rsidR="0013367C" w:rsidRPr="00E356CE" w:rsidRDefault="5E43EBE6" w:rsidP="2ECB3D4D">
            <w:pPr>
              <w:spacing w:line="360" w:lineRule="auto"/>
              <w:ind w:left="510" w:hanging="510"/>
              <w:jc w:val="both"/>
            </w:pPr>
            <w:r w:rsidRPr="00E356CE">
              <w:t>2)</w:t>
            </w:r>
            <w:r w:rsidR="0013367C" w:rsidRPr="00E356CE">
              <w:tab/>
            </w:r>
            <w:r w:rsidRPr="00E356CE">
              <w:t>abonent lub użytkownik końcowy, po otrzymaniu informacji, o których mowa w pkt 1, wyrazi na to zgodę;</w:t>
            </w:r>
          </w:p>
          <w:p w14:paraId="4889C812" w14:textId="16979E61" w:rsidR="0013367C" w:rsidRPr="00E356CE" w:rsidRDefault="5E43EBE6" w:rsidP="2ECB3D4D">
            <w:pPr>
              <w:spacing w:line="360" w:lineRule="auto"/>
              <w:ind w:left="510" w:hanging="510"/>
              <w:jc w:val="both"/>
            </w:pPr>
            <w:r w:rsidRPr="00E356CE">
              <w:t>3)</w:t>
            </w:r>
            <w:r w:rsidR="0013367C" w:rsidRPr="00E356CE">
              <w:tab/>
            </w:r>
            <w:r w:rsidRPr="00E356CE">
              <w:t>przechowywana informacja lub uzyskiwanie do niej dostępu nie powoduje zmian konfiguracyjnych w telekomunikacyjnym urządzeniu końcowym użytkownika końcowego i oprogramowaniu zainstalowanym w tym urządzeniu.</w:t>
            </w:r>
          </w:p>
          <w:p w14:paraId="610B8CE7" w14:textId="184A60B0" w:rsidR="0013367C" w:rsidRPr="00E356CE" w:rsidRDefault="5E43EBE6" w:rsidP="2ECB3D4D">
            <w:pPr>
              <w:spacing w:line="360" w:lineRule="auto"/>
              <w:ind w:firstLine="510"/>
              <w:jc w:val="both"/>
            </w:pPr>
            <w:r w:rsidRPr="00E356CE">
              <w:t>2. Abonent lub użytkownik końcowy może wyrazić zgodę, o której mowa w ust. 1 pkt 2, za pomocą ustawień oprogramowania zainstalowanego w wykorzystywanym przez niego telekomunikacyjnym urządzeniu końcowym lub konfiguracji usługi.</w:t>
            </w:r>
          </w:p>
          <w:p w14:paraId="46AE9B45" w14:textId="56D32005" w:rsidR="0013367C" w:rsidRPr="00E356CE" w:rsidRDefault="5E43EBE6" w:rsidP="2ECB3D4D">
            <w:pPr>
              <w:spacing w:line="360" w:lineRule="auto"/>
              <w:ind w:firstLine="510"/>
              <w:jc w:val="both"/>
            </w:pPr>
            <w:r w:rsidRPr="00E356CE">
              <w:t>3. Warunków, o których mowa w ust. 1, nie stosuje się, jeżeli przechowywanie lub uzyskanie dostępu do informacji, o której mowa w ust. 1, jest konieczne do:</w:t>
            </w:r>
          </w:p>
          <w:p w14:paraId="2D1C436A" w14:textId="5A1E31A1" w:rsidR="0013367C" w:rsidRPr="00E356CE" w:rsidRDefault="5E43EBE6" w:rsidP="2ECB3D4D">
            <w:pPr>
              <w:spacing w:line="360" w:lineRule="auto"/>
              <w:ind w:firstLine="510"/>
              <w:jc w:val="both"/>
            </w:pPr>
            <w:r w:rsidRPr="00E356CE">
              <w:t>1) wykonania transmisji komunikatu elektronicznego za pośrednictwem publicznej sieci telekomunikacyjnej lub</w:t>
            </w:r>
          </w:p>
          <w:p w14:paraId="0285D38C" w14:textId="253AFD2E" w:rsidR="0013367C" w:rsidRPr="00E356CE" w:rsidRDefault="5E43EBE6" w:rsidP="2ECB3D4D">
            <w:pPr>
              <w:spacing w:line="360" w:lineRule="auto"/>
              <w:ind w:firstLine="510"/>
              <w:jc w:val="both"/>
            </w:pPr>
            <w:r w:rsidRPr="00E356CE">
              <w:t xml:space="preserve"> 2)  dostarczania usługi telekomunikacyjnej lub usługi świadczonej drogą elektroniczną, żądanej przez abonenta lub użytkownika końcowego.</w:t>
            </w:r>
          </w:p>
          <w:p w14:paraId="3AB723AC" w14:textId="07C896A2" w:rsidR="0013367C" w:rsidRPr="00E356CE" w:rsidRDefault="5E43EBE6" w:rsidP="2ECB3D4D">
            <w:pPr>
              <w:spacing w:line="360" w:lineRule="auto"/>
              <w:ind w:firstLine="510"/>
              <w:jc w:val="both"/>
            </w:pPr>
            <w:r w:rsidRPr="00E356CE">
              <w:lastRenderedPageBreak/>
              <w:t>4. Podmioty świadczące usługi telekomunikacyjne lub usługi drogą elektroniczną mogą instalować oprogramowanie w telekomunikacyjnym urządzeniu końcowym abonenta lub użytkownika końcowego przeznaczonym do korzystania z tych usług lub korzystać z tego oprogramowania, pod warunkiem, że abonent lub użytkownik końcowy:</w:t>
            </w:r>
          </w:p>
          <w:p w14:paraId="0EE93EB5" w14:textId="56D44662" w:rsidR="0013367C" w:rsidRPr="00E356CE" w:rsidRDefault="5E43EBE6" w:rsidP="2ECB3D4D">
            <w:pPr>
              <w:spacing w:line="360" w:lineRule="auto"/>
              <w:ind w:left="510" w:hanging="510"/>
              <w:jc w:val="both"/>
            </w:pPr>
            <w:r w:rsidRPr="00E356CE">
              <w:t>1)</w:t>
            </w:r>
            <w:r w:rsidR="0013367C" w:rsidRPr="00E356CE">
              <w:tab/>
            </w:r>
            <w:r w:rsidRPr="00E356CE">
              <w:t>przed instalacją oprogramowania zostanie poinformowany bezpośrednio, w sposób jednoznaczny, łatwy i zrozumiały, o celu, w jakim zostanie zainstalowane oprogramowanie, oraz sposobach korzystania przez podmiot świadczący usługi z tego oprogramowania;</w:t>
            </w:r>
          </w:p>
          <w:p w14:paraId="1A71C9EE" w14:textId="073DF922" w:rsidR="0013367C" w:rsidRPr="00E356CE" w:rsidRDefault="5E43EBE6" w:rsidP="2ECB3D4D">
            <w:pPr>
              <w:spacing w:line="360" w:lineRule="auto"/>
              <w:ind w:left="510" w:hanging="510"/>
              <w:jc w:val="both"/>
            </w:pPr>
            <w:r w:rsidRPr="00E356CE">
              <w:t>2)</w:t>
            </w:r>
            <w:r w:rsidR="0013367C" w:rsidRPr="00E356CE">
              <w:tab/>
            </w:r>
            <w:r w:rsidRPr="00E356CE">
              <w:t>zostanie poinformowany bezpośrednio, w sposób jednoznaczny, łatwy i zrozumiały, o sposobie usunięcia oprogramowania z telekomunikacyjnego urządzenia końcowego użytkownika;</w:t>
            </w:r>
          </w:p>
          <w:p w14:paraId="28134FE8" w14:textId="0C4DB858" w:rsidR="0013367C" w:rsidRPr="00E356CE" w:rsidRDefault="5E43EBE6" w:rsidP="2ECB3D4D">
            <w:pPr>
              <w:spacing w:line="360" w:lineRule="auto"/>
              <w:ind w:left="510" w:hanging="510"/>
              <w:jc w:val="both"/>
            </w:pPr>
            <w:r w:rsidRPr="00E356CE">
              <w:t>3)</w:t>
            </w:r>
            <w:r w:rsidR="0013367C" w:rsidRPr="00E356CE">
              <w:tab/>
            </w:r>
            <w:r w:rsidRPr="00E356CE">
              <w:t>przed instalacją oprogramowania wyrazi zgodę na jego instalację i używanie.</w:t>
            </w:r>
          </w:p>
          <w:p w14:paraId="4CA35BFF" w14:textId="73B2B93B" w:rsidR="0013367C" w:rsidRPr="00E356CE" w:rsidRDefault="0013367C" w:rsidP="2ECB3D4D">
            <w:pPr>
              <w:jc w:val="both"/>
            </w:pPr>
          </w:p>
        </w:tc>
      </w:tr>
      <w:tr w:rsidR="00723799" w:rsidRPr="00E356CE" w14:paraId="0BFA217E" w14:textId="77777777" w:rsidTr="56856880">
        <w:tc>
          <w:tcPr>
            <w:tcW w:w="795" w:type="dxa"/>
            <w:tcBorders>
              <w:top w:val="single" w:sz="4" w:space="0" w:color="auto"/>
              <w:left w:val="single" w:sz="4" w:space="0" w:color="auto"/>
              <w:bottom w:val="single" w:sz="4" w:space="0" w:color="auto"/>
              <w:right w:val="single" w:sz="4" w:space="0" w:color="auto"/>
            </w:tcBorders>
          </w:tcPr>
          <w:p w14:paraId="03638FA6" w14:textId="77777777" w:rsidR="00C04931" w:rsidRPr="00E356CE" w:rsidRDefault="004E724D" w:rsidP="00A9191A">
            <w:pPr>
              <w:jc w:val="both"/>
              <w:rPr>
                <w:b/>
              </w:rPr>
            </w:pPr>
            <w:r w:rsidRPr="00E356CE">
              <w:rPr>
                <w:b/>
              </w:rPr>
              <w:lastRenderedPageBreak/>
              <w:t>Art. 6</w:t>
            </w:r>
          </w:p>
        </w:tc>
        <w:tc>
          <w:tcPr>
            <w:tcW w:w="4719" w:type="dxa"/>
            <w:tcBorders>
              <w:top w:val="single" w:sz="4" w:space="0" w:color="auto"/>
              <w:left w:val="single" w:sz="4" w:space="0" w:color="auto"/>
              <w:bottom w:val="single" w:sz="4" w:space="0" w:color="auto"/>
              <w:right w:val="single" w:sz="4" w:space="0" w:color="auto"/>
            </w:tcBorders>
          </w:tcPr>
          <w:p w14:paraId="1D8A8B5A" w14:textId="77777777" w:rsidR="00C04931" w:rsidRPr="00E356CE" w:rsidRDefault="004E724D" w:rsidP="00A9191A">
            <w:pPr>
              <w:spacing w:before="60" w:after="120"/>
              <w:jc w:val="both"/>
              <w:rPr>
                <w:b/>
                <w:bCs/>
              </w:rPr>
            </w:pPr>
            <w:r w:rsidRPr="00E356CE">
              <w:rPr>
                <w:b/>
                <w:bCs/>
              </w:rPr>
              <w:t>Dane o ruchu</w:t>
            </w:r>
          </w:p>
        </w:tc>
        <w:tc>
          <w:tcPr>
            <w:tcW w:w="886" w:type="dxa"/>
            <w:tcBorders>
              <w:top w:val="single" w:sz="4" w:space="0" w:color="auto"/>
              <w:left w:val="single" w:sz="4" w:space="0" w:color="auto"/>
              <w:bottom w:val="single" w:sz="4" w:space="0" w:color="auto"/>
              <w:right w:val="single" w:sz="4" w:space="0" w:color="auto"/>
            </w:tcBorders>
          </w:tcPr>
          <w:p w14:paraId="6710D070"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0B19433D"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633539E0" w14:textId="77777777" w:rsidR="00C04931" w:rsidRPr="00E356CE" w:rsidRDefault="00C04931" w:rsidP="00A9191A">
            <w:pPr>
              <w:jc w:val="both"/>
            </w:pPr>
          </w:p>
        </w:tc>
      </w:tr>
      <w:tr w:rsidR="00723799" w:rsidRPr="00E356CE" w14:paraId="6BF0469C" w14:textId="77777777" w:rsidTr="56856880">
        <w:tc>
          <w:tcPr>
            <w:tcW w:w="795" w:type="dxa"/>
            <w:tcBorders>
              <w:top w:val="single" w:sz="4" w:space="0" w:color="auto"/>
              <w:left w:val="single" w:sz="4" w:space="0" w:color="auto"/>
              <w:bottom w:val="single" w:sz="4" w:space="0" w:color="auto"/>
              <w:right w:val="single" w:sz="4" w:space="0" w:color="auto"/>
            </w:tcBorders>
          </w:tcPr>
          <w:p w14:paraId="15E38D75" w14:textId="77777777" w:rsidR="00C04931" w:rsidRPr="00E356CE" w:rsidRDefault="004E724D" w:rsidP="00A9191A">
            <w:pPr>
              <w:jc w:val="both"/>
            </w:pPr>
            <w:r w:rsidRPr="00E356CE">
              <w:t>Art. 6 ust. 1</w:t>
            </w:r>
          </w:p>
        </w:tc>
        <w:tc>
          <w:tcPr>
            <w:tcW w:w="4719" w:type="dxa"/>
            <w:tcBorders>
              <w:top w:val="single" w:sz="4" w:space="0" w:color="auto"/>
              <w:left w:val="single" w:sz="4" w:space="0" w:color="auto"/>
              <w:bottom w:val="single" w:sz="4" w:space="0" w:color="auto"/>
              <w:right w:val="single" w:sz="4" w:space="0" w:color="auto"/>
            </w:tcBorders>
          </w:tcPr>
          <w:p w14:paraId="55B67B33" w14:textId="77777777" w:rsidR="00C04931" w:rsidRPr="00E356CE" w:rsidRDefault="004E724D" w:rsidP="00A9191A">
            <w:pPr>
              <w:spacing w:before="60" w:after="120"/>
              <w:jc w:val="both"/>
              <w:rPr>
                <w:b/>
                <w:bCs/>
              </w:rPr>
            </w:pPr>
            <w:r w:rsidRPr="00E356CE">
              <w:t xml:space="preserve">1. Dane o ruchu dotyczące abonentów i użytkowników przetwarzane i przechowywane przez dostawcę publicznej sieci łączności lub publicznie dostępnych usług łączności elektronicznej muszą zostać usunięte lub uczynione anonimowymi, gdy nie są już potrzebne do celów transmisji komunikatu, bez </w:t>
            </w:r>
            <w:r w:rsidRPr="00E356CE">
              <w:lastRenderedPageBreak/>
              <w:t>uszczerbku dla przepisów ust. 2, 3 i 5 niniejszego artykułu oraz art. 15 ust. 1.</w:t>
            </w:r>
          </w:p>
        </w:tc>
        <w:tc>
          <w:tcPr>
            <w:tcW w:w="886" w:type="dxa"/>
            <w:tcBorders>
              <w:top w:val="single" w:sz="4" w:space="0" w:color="auto"/>
              <w:left w:val="single" w:sz="4" w:space="0" w:color="auto"/>
              <w:bottom w:val="single" w:sz="4" w:space="0" w:color="auto"/>
              <w:right w:val="single" w:sz="4" w:space="0" w:color="auto"/>
            </w:tcBorders>
          </w:tcPr>
          <w:p w14:paraId="54A1281F"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458D09E0" w14:textId="2AD89494" w:rsidR="00C04931" w:rsidRPr="00E356CE" w:rsidRDefault="004E724D" w:rsidP="00A9191A">
            <w:pPr>
              <w:pStyle w:val="Tekstpodstawowy"/>
              <w:rPr>
                <w:noProof/>
                <w:sz w:val="24"/>
                <w:szCs w:val="24"/>
              </w:rPr>
            </w:pPr>
            <w:r w:rsidRPr="00E356CE">
              <w:rPr>
                <w:noProof/>
                <w:sz w:val="24"/>
                <w:szCs w:val="24"/>
              </w:rPr>
              <w:t>Art. 3</w:t>
            </w:r>
            <w:r w:rsidR="66894784" w:rsidRPr="00E356CE">
              <w:rPr>
                <w:noProof/>
                <w:sz w:val="24"/>
                <w:szCs w:val="24"/>
              </w:rPr>
              <w:t>84</w:t>
            </w:r>
          </w:p>
        </w:tc>
        <w:tc>
          <w:tcPr>
            <w:tcW w:w="7410" w:type="dxa"/>
            <w:gridSpan w:val="2"/>
            <w:tcBorders>
              <w:top w:val="single" w:sz="4" w:space="0" w:color="auto"/>
              <w:left w:val="single" w:sz="4" w:space="0" w:color="auto"/>
              <w:bottom w:val="single" w:sz="4" w:space="0" w:color="auto"/>
              <w:right w:val="single" w:sz="4" w:space="0" w:color="auto"/>
            </w:tcBorders>
          </w:tcPr>
          <w:p w14:paraId="350EDEBE" w14:textId="31ED042B" w:rsidR="407B8250" w:rsidRPr="00E356CE" w:rsidRDefault="407B8250" w:rsidP="2ECB3D4D">
            <w:pPr>
              <w:spacing w:line="360" w:lineRule="auto"/>
              <w:ind w:firstLine="510"/>
              <w:jc w:val="both"/>
            </w:pPr>
            <w:r w:rsidRPr="00E356CE">
              <w:rPr>
                <w:b/>
                <w:bCs/>
              </w:rPr>
              <w:t>Art. 384.</w:t>
            </w:r>
            <w:r w:rsidRPr="00E356CE">
              <w:t xml:space="preserve"> 1. Informacje, o których mowa w art. 381 ust. 1 pkt 2-5, objęte tajemnicą komunikacji elektronicznej mogą być przetwarzane wyłącznie na potrzeby świadczonej usługi komunikacji elektronicznej. Przetwarzanie w innych celach jest dopuszczalne jedynie na podstawie przepisów ustawowych.</w:t>
            </w:r>
          </w:p>
          <w:p w14:paraId="2940D923" w14:textId="2241A191" w:rsidR="407B8250" w:rsidRPr="00E356CE" w:rsidRDefault="407B8250" w:rsidP="2ECB3D4D">
            <w:pPr>
              <w:spacing w:line="360" w:lineRule="auto"/>
              <w:ind w:firstLine="510"/>
              <w:jc w:val="both"/>
            </w:pPr>
            <w:r w:rsidRPr="00E356CE">
              <w:lastRenderedPageBreak/>
              <w:t xml:space="preserve">2. Dostawca usług komunikacji elektronicznej może zanonimizować informacje, o których mowa w art. 381 ust. 1 pkt 2-5. </w:t>
            </w:r>
          </w:p>
          <w:p w14:paraId="7A167F55" w14:textId="03B5D70D" w:rsidR="407B8250" w:rsidRPr="00E356CE" w:rsidRDefault="407B8250" w:rsidP="2ECB3D4D">
            <w:pPr>
              <w:spacing w:line="360" w:lineRule="auto"/>
              <w:ind w:firstLine="510"/>
              <w:jc w:val="both"/>
            </w:pPr>
            <w:r w:rsidRPr="00E356CE">
              <w:t>3. Operator przetwarza dane osobowe użytkowników końcowych w zakresie niezbędnym do realizacji obowiązków, o których mowa w art. 21a ustawy z dnia 26 kwietnia 2007 r. o zarządzaniu kryzysowym (Dz. U. z 2019 r. poz. 1398 oraz z 2020 r. poz. 148, 284, 374 i 695).</w:t>
            </w:r>
          </w:p>
          <w:p w14:paraId="5E404D5C" w14:textId="36A7D2E9" w:rsidR="2ECB3D4D" w:rsidRPr="00E356CE" w:rsidRDefault="2ECB3D4D" w:rsidP="2ECB3D4D">
            <w:pPr>
              <w:pStyle w:val="ARTartustawynprozporzdzenia"/>
              <w:spacing w:line="240" w:lineRule="auto"/>
              <w:ind w:firstLine="0"/>
              <w:rPr>
                <w:rFonts w:ascii="Times New Roman" w:hAnsi="Times New Roman" w:cs="Times New Roman"/>
              </w:rPr>
            </w:pPr>
          </w:p>
          <w:p w14:paraId="4E60A03E" w14:textId="77777777" w:rsidR="00C04931" w:rsidRPr="00E356CE" w:rsidRDefault="00C04931" w:rsidP="00A9191A">
            <w:pPr>
              <w:jc w:val="both"/>
            </w:pPr>
          </w:p>
        </w:tc>
      </w:tr>
      <w:tr w:rsidR="00723799" w:rsidRPr="00E356CE" w14:paraId="249F8460" w14:textId="77777777" w:rsidTr="56856880">
        <w:tc>
          <w:tcPr>
            <w:tcW w:w="795" w:type="dxa"/>
            <w:tcBorders>
              <w:top w:val="single" w:sz="4" w:space="0" w:color="auto"/>
              <w:left w:val="single" w:sz="4" w:space="0" w:color="auto"/>
              <w:bottom w:val="single" w:sz="4" w:space="0" w:color="auto"/>
              <w:right w:val="single" w:sz="4" w:space="0" w:color="auto"/>
            </w:tcBorders>
          </w:tcPr>
          <w:p w14:paraId="7BD1B193" w14:textId="77777777" w:rsidR="00C04931" w:rsidRPr="00E356CE" w:rsidRDefault="004E724D" w:rsidP="00A9191A">
            <w:pPr>
              <w:jc w:val="both"/>
            </w:pPr>
            <w:r w:rsidRPr="00E356CE">
              <w:lastRenderedPageBreak/>
              <w:t>Art. 6 ust. 2</w:t>
            </w:r>
          </w:p>
        </w:tc>
        <w:tc>
          <w:tcPr>
            <w:tcW w:w="4719" w:type="dxa"/>
            <w:tcBorders>
              <w:top w:val="single" w:sz="4" w:space="0" w:color="auto"/>
              <w:left w:val="single" w:sz="4" w:space="0" w:color="auto"/>
              <w:bottom w:val="single" w:sz="4" w:space="0" w:color="auto"/>
              <w:right w:val="single" w:sz="4" w:space="0" w:color="auto"/>
            </w:tcBorders>
          </w:tcPr>
          <w:p w14:paraId="36964B9D" w14:textId="77777777" w:rsidR="00C04931" w:rsidRPr="00E356CE" w:rsidRDefault="004E724D" w:rsidP="00A9191A">
            <w:pPr>
              <w:spacing w:before="60" w:after="120"/>
              <w:jc w:val="both"/>
              <w:rPr>
                <w:b/>
                <w:bCs/>
              </w:rPr>
            </w:pPr>
            <w:r w:rsidRPr="00E356CE">
              <w:t>2. Można przetwarzać dane o ruchu niezbędne do celów naliczania opłat abonenta i opłat rozliczeń międzyoperatorskich. Przetwarzanie takie jest dozwolone tylko do końca okresu, w którym rachunek może być zgodnie z prawem zakwestionowany lub w którym należy uiścić opłatę.</w:t>
            </w:r>
          </w:p>
        </w:tc>
        <w:tc>
          <w:tcPr>
            <w:tcW w:w="886" w:type="dxa"/>
            <w:tcBorders>
              <w:top w:val="single" w:sz="4" w:space="0" w:color="auto"/>
              <w:left w:val="single" w:sz="4" w:space="0" w:color="auto"/>
              <w:bottom w:val="single" w:sz="4" w:space="0" w:color="auto"/>
              <w:right w:val="single" w:sz="4" w:space="0" w:color="auto"/>
            </w:tcBorders>
          </w:tcPr>
          <w:p w14:paraId="3EDF9F93"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23F9A691" w14:textId="07AACC39" w:rsidR="00C04931" w:rsidRPr="00E356CE" w:rsidRDefault="004E724D" w:rsidP="00A9191A">
            <w:pPr>
              <w:pStyle w:val="Tekstpodstawowy"/>
              <w:rPr>
                <w:noProof/>
                <w:sz w:val="24"/>
                <w:szCs w:val="24"/>
              </w:rPr>
            </w:pPr>
            <w:r w:rsidRPr="00E356CE">
              <w:rPr>
                <w:noProof/>
                <w:sz w:val="24"/>
                <w:szCs w:val="24"/>
              </w:rPr>
              <w:t>Art. 3</w:t>
            </w:r>
            <w:r w:rsidR="7993472D" w:rsidRPr="00E356CE">
              <w:rPr>
                <w:noProof/>
                <w:sz w:val="24"/>
                <w:szCs w:val="24"/>
              </w:rPr>
              <w:t>86</w:t>
            </w:r>
            <w:r w:rsidRPr="00E356CE">
              <w:rPr>
                <w:noProof/>
                <w:sz w:val="24"/>
                <w:szCs w:val="24"/>
              </w:rPr>
              <w:t xml:space="preserve"> ust. 2 pkt 1 i 2</w:t>
            </w:r>
          </w:p>
        </w:tc>
        <w:tc>
          <w:tcPr>
            <w:tcW w:w="7410" w:type="dxa"/>
            <w:gridSpan w:val="2"/>
            <w:tcBorders>
              <w:top w:val="single" w:sz="4" w:space="0" w:color="auto"/>
              <w:left w:val="single" w:sz="4" w:space="0" w:color="auto"/>
              <w:bottom w:val="single" w:sz="4" w:space="0" w:color="auto"/>
              <w:right w:val="single" w:sz="4" w:space="0" w:color="auto"/>
            </w:tcBorders>
          </w:tcPr>
          <w:p w14:paraId="161ED490" w14:textId="4F7A0435" w:rsidR="0110F376" w:rsidRPr="00E356CE" w:rsidRDefault="0110F376" w:rsidP="2ECB3D4D">
            <w:pPr>
              <w:spacing w:line="360" w:lineRule="auto"/>
              <w:ind w:firstLine="510"/>
              <w:jc w:val="both"/>
            </w:pPr>
            <w:r w:rsidRPr="00E356CE">
              <w:t>2. Przetwarzanie danych transmisyjnych, niezbędnych dla celów naliczania opłat od użytkowników i opłat z tytułu rozliczeń operatorskich, jest dozwolone:</w:t>
            </w:r>
          </w:p>
          <w:p w14:paraId="4820F5E4" w14:textId="2A4DA65A" w:rsidR="0110F376" w:rsidRPr="00E356CE" w:rsidRDefault="0110F376" w:rsidP="2ECB3D4D">
            <w:pPr>
              <w:spacing w:line="360" w:lineRule="auto"/>
              <w:ind w:left="510" w:hanging="510"/>
              <w:jc w:val="both"/>
            </w:pPr>
            <w:r w:rsidRPr="00E356CE">
              <w:t>1)</w:t>
            </w:r>
            <w:r w:rsidRPr="00E356CE">
              <w:tab/>
              <w:t>po uprzednim poinformowaniu użytkownika o rodzaju danych transmisyjnych, które będą przetwarzane przez dostawcę usług komunikacji elektronicznej, oraz o okresie tego przetwarzania;</w:t>
            </w:r>
          </w:p>
          <w:p w14:paraId="30F7516B" w14:textId="644C6086" w:rsidR="0110F376" w:rsidRPr="00E356CE" w:rsidRDefault="0110F376" w:rsidP="2ECB3D4D">
            <w:pPr>
              <w:spacing w:line="360" w:lineRule="auto"/>
              <w:ind w:left="510" w:hanging="510"/>
              <w:jc w:val="both"/>
            </w:pPr>
            <w:r w:rsidRPr="00E356CE">
              <w:t>2)</w:t>
            </w:r>
            <w:r w:rsidRPr="00E356CE">
              <w:tab/>
              <w:t>tylko do końca okresu, w którym dostawca usług komunikacji elektronicznej może dochodzić roszczeń od abonenta, a abonent jest obowiązany je zaspokoić, lub do końca okresu, w którym abonent może dochodzić roszczenia od dostawcy usług komunikacji elektronicznej, a ten dostawca jest obowiązany je zaspokoić.</w:t>
            </w:r>
          </w:p>
          <w:p w14:paraId="34726BD4" w14:textId="77777777" w:rsidR="00C04931" w:rsidRPr="00E356CE" w:rsidRDefault="00C04931" w:rsidP="00A9191A">
            <w:pPr>
              <w:jc w:val="both"/>
            </w:pPr>
          </w:p>
        </w:tc>
      </w:tr>
      <w:tr w:rsidR="00723799" w:rsidRPr="00E356CE" w14:paraId="6BEBB3F8" w14:textId="77777777" w:rsidTr="56856880">
        <w:tc>
          <w:tcPr>
            <w:tcW w:w="795" w:type="dxa"/>
            <w:tcBorders>
              <w:top w:val="single" w:sz="4" w:space="0" w:color="auto"/>
              <w:left w:val="single" w:sz="4" w:space="0" w:color="auto"/>
              <w:bottom w:val="single" w:sz="4" w:space="0" w:color="auto"/>
              <w:right w:val="single" w:sz="4" w:space="0" w:color="auto"/>
            </w:tcBorders>
          </w:tcPr>
          <w:p w14:paraId="16A620FB" w14:textId="77777777" w:rsidR="00C04931" w:rsidRPr="00E356CE" w:rsidRDefault="004E724D" w:rsidP="00A9191A">
            <w:pPr>
              <w:jc w:val="both"/>
            </w:pPr>
            <w:r w:rsidRPr="00E356CE">
              <w:t>Art. 6 ust. 3</w:t>
            </w:r>
          </w:p>
        </w:tc>
        <w:tc>
          <w:tcPr>
            <w:tcW w:w="4719" w:type="dxa"/>
            <w:tcBorders>
              <w:top w:val="single" w:sz="4" w:space="0" w:color="auto"/>
              <w:left w:val="single" w:sz="4" w:space="0" w:color="auto"/>
              <w:bottom w:val="single" w:sz="4" w:space="0" w:color="auto"/>
              <w:right w:val="single" w:sz="4" w:space="0" w:color="auto"/>
            </w:tcBorders>
          </w:tcPr>
          <w:p w14:paraId="7E4C094F" w14:textId="77777777" w:rsidR="00C04931" w:rsidRPr="00E356CE" w:rsidRDefault="004E724D" w:rsidP="00A9191A">
            <w:pPr>
              <w:spacing w:before="60" w:after="120"/>
              <w:jc w:val="both"/>
              <w:rPr>
                <w:b/>
                <w:bCs/>
              </w:rPr>
            </w:pPr>
            <w:r w:rsidRPr="00E356CE">
              <w:t xml:space="preserve">3. Do celów wprowadzania na rynek usług łączności elektronicznej lub świadczenia usług tworzących wartość wzbogaconą, dostawca </w:t>
            </w:r>
            <w:r w:rsidRPr="00E356CE">
              <w:lastRenderedPageBreak/>
              <w:t>publicznie dostępnych usług łączności elektronicznej może przetwarzać dane określone w ust. 1, w zakresie i przez czas niezbędny dla tego rodzaju usług lub wprowadzania ich na rynek, jeżeli abonent lub użytkownik, których dane dotyczą, uprzednio wyraził na to zgodę. Użytkownicy lub abonenci mają w każdej chwili możliwość odwołania swojej zgody na przetwarzanie danych o ruchu.</w:t>
            </w:r>
          </w:p>
        </w:tc>
        <w:tc>
          <w:tcPr>
            <w:tcW w:w="886" w:type="dxa"/>
            <w:tcBorders>
              <w:top w:val="single" w:sz="4" w:space="0" w:color="auto"/>
              <w:left w:val="single" w:sz="4" w:space="0" w:color="auto"/>
              <w:bottom w:val="single" w:sz="4" w:space="0" w:color="auto"/>
              <w:right w:val="single" w:sz="4" w:space="0" w:color="auto"/>
            </w:tcBorders>
          </w:tcPr>
          <w:p w14:paraId="460E0A85"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23B65CAC" w14:textId="2C51F526" w:rsidR="00C04931" w:rsidRPr="00E356CE" w:rsidRDefault="004E724D" w:rsidP="2ECB3D4D">
            <w:pPr>
              <w:pStyle w:val="Tekstpodstawowy"/>
              <w:rPr>
                <w:noProof/>
                <w:sz w:val="24"/>
                <w:szCs w:val="24"/>
              </w:rPr>
            </w:pPr>
            <w:r w:rsidRPr="00E356CE">
              <w:rPr>
                <w:sz w:val="24"/>
                <w:szCs w:val="24"/>
              </w:rPr>
              <w:t>Art. 3</w:t>
            </w:r>
            <w:r w:rsidR="6B7FE158" w:rsidRPr="00E356CE">
              <w:rPr>
                <w:sz w:val="24"/>
                <w:szCs w:val="24"/>
              </w:rPr>
              <w:t>81</w:t>
            </w:r>
            <w:r w:rsidRPr="00E356CE">
              <w:rPr>
                <w:sz w:val="24"/>
                <w:szCs w:val="24"/>
              </w:rPr>
              <w:t xml:space="preserve"> ust. 3, art. </w:t>
            </w:r>
            <w:r w:rsidRPr="00E356CE">
              <w:rPr>
                <w:sz w:val="24"/>
                <w:szCs w:val="24"/>
              </w:rPr>
              <w:lastRenderedPageBreak/>
              <w:t>3</w:t>
            </w:r>
            <w:r w:rsidR="67D6B0EF" w:rsidRPr="00E356CE">
              <w:rPr>
                <w:sz w:val="24"/>
                <w:szCs w:val="24"/>
              </w:rPr>
              <w:t xml:space="preserve">86 </w:t>
            </w:r>
            <w:r w:rsidRPr="00E356CE">
              <w:rPr>
                <w:sz w:val="24"/>
                <w:szCs w:val="24"/>
              </w:rPr>
              <w:t>ust. 3, art. 3</w:t>
            </w:r>
            <w:r w:rsidR="499A1861" w:rsidRPr="00E356CE">
              <w:rPr>
                <w:sz w:val="24"/>
                <w:szCs w:val="24"/>
              </w:rPr>
              <w:t>95</w:t>
            </w:r>
          </w:p>
        </w:tc>
        <w:tc>
          <w:tcPr>
            <w:tcW w:w="7410" w:type="dxa"/>
            <w:gridSpan w:val="2"/>
            <w:tcBorders>
              <w:top w:val="single" w:sz="4" w:space="0" w:color="auto"/>
              <w:left w:val="single" w:sz="4" w:space="0" w:color="auto"/>
              <w:bottom w:val="single" w:sz="4" w:space="0" w:color="auto"/>
              <w:right w:val="single" w:sz="4" w:space="0" w:color="auto"/>
            </w:tcBorders>
          </w:tcPr>
          <w:p w14:paraId="260DE97C" w14:textId="53AB5D49" w:rsidR="004E724D" w:rsidRPr="00E356CE" w:rsidRDefault="004E724D" w:rsidP="2ECB3D4D">
            <w:pPr>
              <w:pStyle w:val="Tekstpodstawowy"/>
              <w:rPr>
                <w:b/>
                <w:bCs/>
                <w:sz w:val="24"/>
                <w:szCs w:val="24"/>
              </w:rPr>
            </w:pPr>
            <w:r w:rsidRPr="00E356CE">
              <w:rPr>
                <w:b/>
                <w:bCs/>
                <w:sz w:val="24"/>
                <w:szCs w:val="24"/>
              </w:rPr>
              <w:lastRenderedPageBreak/>
              <w:t>Art. 3</w:t>
            </w:r>
            <w:r w:rsidR="104E0E54" w:rsidRPr="00E356CE">
              <w:rPr>
                <w:b/>
                <w:bCs/>
                <w:sz w:val="24"/>
                <w:szCs w:val="24"/>
              </w:rPr>
              <w:t>81</w:t>
            </w:r>
            <w:r w:rsidRPr="00E356CE">
              <w:rPr>
                <w:b/>
                <w:bCs/>
                <w:sz w:val="24"/>
                <w:szCs w:val="24"/>
              </w:rPr>
              <w:t xml:space="preserve"> ust. 3</w:t>
            </w:r>
          </w:p>
          <w:p w14:paraId="60721B68" w14:textId="195FEF05" w:rsidR="7FFFD26B" w:rsidRPr="00E356CE" w:rsidRDefault="7FFFD26B" w:rsidP="2ECB3D4D">
            <w:pPr>
              <w:spacing w:line="360" w:lineRule="auto"/>
              <w:ind w:firstLine="510"/>
              <w:jc w:val="both"/>
            </w:pPr>
            <w:r w:rsidRPr="00E356CE">
              <w:lastRenderedPageBreak/>
              <w:t>3. Z wyjątkiem przypadków określonych ustawą, przetwarzanie informacji objętych tajemnicą komunikacji elektronicznej, o których mowa w ust. 1 pkt 2-5, narusza obowiązek zachowania tajemnicy komunikacji elektronicznej.</w:t>
            </w:r>
          </w:p>
          <w:p w14:paraId="21CC6C74" w14:textId="1DD56AAF" w:rsidR="2ECB3D4D" w:rsidRPr="00E356CE" w:rsidRDefault="2ECB3D4D" w:rsidP="2ECB3D4D">
            <w:pPr>
              <w:pStyle w:val="Tekstpodstawowy"/>
              <w:rPr>
                <w:sz w:val="24"/>
                <w:szCs w:val="24"/>
              </w:rPr>
            </w:pPr>
          </w:p>
          <w:p w14:paraId="18FC29E3" w14:textId="77777777" w:rsidR="004E724D" w:rsidRPr="00E356CE" w:rsidRDefault="004E724D" w:rsidP="00A9191A">
            <w:pPr>
              <w:pStyle w:val="Tekstpodstawowy"/>
              <w:rPr>
                <w:sz w:val="24"/>
                <w:szCs w:val="24"/>
              </w:rPr>
            </w:pPr>
          </w:p>
          <w:p w14:paraId="1CDFA2F0" w14:textId="0896972A" w:rsidR="004E724D" w:rsidRPr="00E356CE" w:rsidRDefault="004E724D" w:rsidP="2ECB3D4D">
            <w:pPr>
              <w:pStyle w:val="Tekstpodstawowy"/>
              <w:rPr>
                <w:b/>
                <w:bCs/>
                <w:sz w:val="24"/>
                <w:szCs w:val="24"/>
              </w:rPr>
            </w:pPr>
            <w:r w:rsidRPr="00E356CE">
              <w:rPr>
                <w:b/>
                <w:bCs/>
                <w:sz w:val="24"/>
                <w:szCs w:val="24"/>
              </w:rPr>
              <w:t>Art. 3</w:t>
            </w:r>
            <w:r w:rsidR="4D6C887A" w:rsidRPr="00E356CE">
              <w:rPr>
                <w:b/>
                <w:bCs/>
                <w:sz w:val="24"/>
                <w:szCs w:val="24"/>
              </w:rPr>
              <w:t>86</w:t>
            </w:r>
          </w:p>
          <w:p w14:paraId="7F47B2F5" w14:textId="141AB192" w:rsidR="4D6C887A" w:rsidRPr="00E356CE" w:rsidRDefault="4D6C887A" w:rsidP="2ECB3D4D">
            <w:pPr>
              <w:spacing w:line="360" w:lineRule="auto"/>
              <w:ind w:left="510" w:hanging="510"/>
              <w:jc w:val="both"/>
            </w:pPr>
            <w:r w:rsidRPr="00E356CE">
              <w:t>3. Dostawca usług komunikacji elektronicznej może przetwarzać dane transmisyjne, o których mowa w ust. 1 pkt 3, w zakresie i przez czas niezbędny dla celów marketingu usług komunikacji elektronicznej lub świadczenia usług o wartości wzbogaconej, jeżeli użytkownik wyraził na to zgodę.</w:t>
            </w:r>
          </w:p>
          <w:p w14:paraId="4155D344" w14:textId="22B0690E" w:rsidR="4D6C887A" w:rsidRPr="00E356CE" w:rsidRDefault="4D6C887A" w:rsidP="2ECB3D4D">
            <w:pPr>
              <w:spacing w:line="360" w:lineRule="auto"/>
              <w:ind w:firstLine="510"/>
              <w:jc w:val="both"/>
            </w:pPr>
            <w:r w:rsidRPr="00E356CE">
              <w:t>4. Do przetwarzania danych transmisyjnych, zgodnie z ust. 1-4, uprawnione są podmioty działające z upoważnienia dostawców usług komunikacji elektronicznej, zajmujące się naliczaniem opłat, zarządzaniem ruchem w sieciach telekomunikacyjnych, obsługą klienta, systemem wykrywania nadużyć finansowych, marketingiem usług komunikacji elektronicznej lub świadczeniem usług o wartości wzbogaconej. Podmioty te mogą przetwarzać dane transmisyjne wyłącznie dla celów niezbędnych przy wykonywaniu tych działań.</w:t>
            </w:r>
          </w:p>
          <w:p w14:paraId="70E3A51A" w14:textId="38971809" w:rsidR="2ECB3D4D" w:rsidRPr="00E356CE" w:rsidRDefault="2ECB3D4D" w:rsidP="2ECB3D4D">
            <w:pPr>
              <w:pStyle w:val="USTustnpkodeksu"/>
              <w:spacing w:line="240" w:lineRule="auto"/>
              <w:ind w:firstLine="0"/>
              <w:rPr>
                <w:rFonts w:ascii="Times New Roman" w:hAnsi="Times New Roman" w:cs="Times New Roman"/>
              </w:rPr>
            </w:pPr>
          </w:p>
          <w:p w14:paraId="47A3A487" w14:textId="1DC41CE7" w:rsidR="00C04931" w:rsidRPr="00E356CE" w:rsidRDefault="004E724D" w:rsidP="2ECB3D4D">
            <w:pPr>
              <w:pStyle w:val="ARTartustawynprozporzdzenia"/>
              <w:spacing w:line="240" w:lineRule="auto"/>
              <w:ind w:firstLine="0"/>
              <w:rPr>
                <w:rFonts w:ascii="Times New Roman" w:hAnsi="Times New Roman" w:cs="Times New Roman"/>
              </w:rPr>
            </w:pPr>
            <w:r w:rsidRPr="00E356CE">
              <w:rPr>
                <w:rStyle w:val="Ppogrubienie"/>
                <w:rFonts w:ascii="Times New Roman" w:hAnsi="Times New Roman"/>
              </w:rPr>
              <w:t>Art. 3</w:t>
            </w:r>
            <w:r w:rsidR="58AAD06D" w:rsidRPr="00E356CE">
              <w:rPr>
                <w:rStyle w:val="Ppogrubienie"/>
                <w:rFonts w:ascii="Times New Roman" w:hAnsi="Times New Roman"/>
              </w:rPr>
              <w:t>95</w:t>
            </w:r>
            <w:r w:rsidRPr="00E356CE">
              <w:rPr>
                <w:rStyle w:val="Ppogrubienie"/>
                <w:rFonts w:ascii="Times New Roman" w:hAnsi="Times New Roman"/>
              </w:rPr>
              <w:t>.</w:t>
            </w:r>
            <w:r w:rsidRPr="00E356CE">
              <w:rPr>
                <w:rFonts w:ascii="Times New Roman" w:hAnsi="Times New Roman" w:cs="Times New Roman"/>
              </w:rPr>
              <w:t> </w:t>
            </w:r>
            <w:r w:rsidR="40742366" w:rsidRPr="00E356CE">
              <w:rPr>
                <w:rFonts w:ascii="Times New Roman" w:hAnsi="Times New Roman" w:cs="Times New Roman"/>
                <w:szCs w:val="24"/>
              </w:rPr>
              <w:t xml:space="preserve"> Do uzyskania zgody abonenta lub użytkownika końcowego stosuje się odpowiednio przepisy o ochronie danych osobowych.</w:t>
            </w:r>
          </w:p>
        </w:tc>
      </w:tr>
      <w:tr w:rsidR="00723799" w:rsidRPr="00E356CE" w14:paraId="442F04F2" w14:textId="77777777" w:rsidTr="56856880">
        <w:tc>
          <w:tcPr>
            <w:tcW w:w="795" w:type="dxa"/>
            <w:tcBorders>
              <w:top w:val="single" w:sz="4" w:space="0" w:color="auto"/>
              <w:left w:val="single" w:sz="4" w:space="0" w:color="auto"/>
              <w:bottom w:val="single" w:sz="4" w:space="0" w:color="auto"/>
              <w:right w:val="single" w:sz="4" w:space="0" w:color="auto"/>
            </w:tcBorders>
          </w:tcPr>
          <w:p w14:paraId="4C6424A2" w14:textId="77777777" w:rsidR="00C04931" w:rsidRPr="00E356CE" w:rsidRDefault="004E724D" w:rsidP="00A9191A">
            <w:pPr>
              <w:jc w:val="both"/>
              <w:rPr>
                <w:b/>
              </w:rPr>
            </w:pPr>
            <w:r w:rsidRPr="00E356CE">
              <w:rPr>
                <w:b/>
              </w:rPr>
              <w:lastRenderedPageBreak/>
              <w:t>Art. 6 ust. 4</w:t>
            </w:r>
          </w:p>
        </w:tc>
        <w:tc>
          <w:tcPr>
            <w:tcW w:w="4719" w:type="dxa"/>
            <w:tcBorders>
              <w:top w:val="single" w:sz="4" w:space="0" w:color="auto"/>
              <w:left w:val="single" w:sz="4" w:space="0" w:color="auto"/>
              <w:bottom w:val="single" w:sz="4" w:space="0" w:color="auto"/>
              <w:right w:val="single" w:sz="4" w:space="0" w:color="auto"/>
            </w:tcBorders>
          </w:tcPr>
          <w:p w14:paraId="38DE384A" w14:textId="77777777" w:rsidR="00C04931" w:rsidRPr="00E356CE" w:rsidRDefault="004E724D" w:rsidP="00A9191A">
            <w:pPr>
              <w:spacing w:before="60" w:after="120"/>
              <w:jc w:val="both"/>
              <w:rPr>
                <w:b/>
                <w:bCs/>
              </w:rPr>
            </w:pPr>
            <w:r w:rsidRPr="00E356CE">
              <w:t>4. Dostawca usług musi poinformować abonenta lub użytkownika o rodzajach danych o ruchu, które są przetwarzane oraz o okresie tego przetwarzania do celów wymienionych w ust. 2 oraz, przed uzyskaniem zgody, do celów wymienionych w ust. 3.</w:t>
            </w:r>
          </w:p>
        </w:tc>
        <w:tc>
          <w:tcPr>
            <w:tcW w:w="886" w:type="dxa"/>
            <w:tcBorders>
              <w:top w:val="single" w:sz="4" w:space="0" w:color="auto"/>
              <w:left w:val="single" w:sz="4" w:space="0" w:color="auto"/>
              <w:bottom w:val="single" w:sz="4" w:space="0" w:color="auto"/>
              <w:right w:val="single" w:sz="4" w:space="0" w:color="auto"/>
            </w:tcBorders>
          </w:tcPr>
          <w:p w14:paraId="402235C4"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5EA9431F" w14:textId="77777777" w:rsidR="00C04931" w:rsidRPr="00E356CE" w:rsidRDefault="004E724D" w:rsidP="00A9191A">
            <w:pPr>
              <w:pStyle w:val="Tekstpodstawowy"/>
              <w:rPr>
                <w:noProof/>
                <w:sz w:val="24"/>
                <w:szCs w:val="24"/>
              </w:rPr>
            </w:pPr>
            <w:r w:rsidRPr="00E356CE">
              <w:rPr>
                <w:noProof/>
                <w:sz w:val="24"/>
                <w:szCs w:val="24"/>
              </w:rPr>
              <w:t>Art. 3</w:t>
            </w:r>
            <w:r w:rsidR="44FD9715" w:rsidRPr="00E356CE">
              <w:rPr>
                <w:noProof/>
                <w:sz w:val="24"/>
                <w:szCs w:val="24"/>
              </w:rPr>
              <w:t>86</w:t>
            </w:r>
            <w:r w:rsidRPr="00E356CE">
              <w:rPr>
                <w:noProof/>
                <w:sz w:val="24"/>
                <w:szCs w:val="24"/>
              </w:rPr>
              <w:t xml:space="preserve"> ust. </w:t>
            </w:r>
            <w:r w:rsidR="17076DD3" w:rsidRPr="00E356CE">
              <w:rPr>
                <w:noProof/>
                <w:sz w:val="24"/>
                <w:szCs w:val="24"/>
              </w:rPr>
              <w:t>1 i 3</w:t>
            </w:r>
          </w:p>
          <w:p w14:paraId="7B757398" w14:textId="168E4E2A" w:rsidR="000564AA" w:rsidRPr="00E356CE" w:rsidRDefault="000564AA" w:rsidP="00A9191A">
            <w:pPr>
              <w:pStyle w:val="Tekstpodstawowy"/>
              <w:rPr>
                <w:noProof/>
                <w:sz w:val="24"/>
                <w:szCs w:val="24"/>
              </w:rPr>
            </w:pPr>
            <w:r w:rsidRPr="00E356CE">
              <w:rPr>
                <w:noProof/>
                <w:sz w:val="24"/>
                <w:szCs w:val="24"/>
              </w:rPr>
              <w:t>Art. 388</w:t>
            </w:r>
          </w:p>
        </w:tc>
        <w:tc>
          <w:tcPr>
            <w:tcW w:w="7410" w:type="dxa"/>
            <w:gridSpan w:val="2"/>
            <w:tcBorders>
              <w:top w:val="single" w:sz="4" w:space="0" w:color="auto"/>
              <w:left w:val="single" w:sz="4" w:space="0" w:color="auto"/>
              <w:bottom w:val="single" w:sz="4" w:space="0" w:color="auto"/>
              <w:right w:val="single" w:sz="4" w:space="0" w:color="auto"/>
            </w:tcBorders>
          </w:tcPr>
          <w:p w14:paraId="5FD7F36E" w14:textId="757B6F06" w:rsidR="17076DD3" w:rsidRPr="00E356CE" w:rsidRDefault="17076DD3" w:rsidP="2ECB3D4D">
            <w:pPr>
              <w:spacing w:line="360" w:lineRule="auto"/>
              <w:ind w:firstLine="510"/>
              <w:jc w:val="both"/>
            </w:pPr>
            <w:r w:rsidRPr="00E356CE">
              <w:rPr>
                <w:b/>
                <w:bCs/>
              </w:rPr>
              <w:t>Art. 386.</w:t>
            </w:r>
            <w:r w:rsidRPr="00E356CE">
              <w:t xml:space="preserve"> 1. Dostawca usług komunikacji elektronicznej jest obowiązany poinformować użytkownika końcowego lub abonenta, w szczególności o: </w:t>
            </w:r>
          </w:p>
          <w:p w14:paraId="68775C0C" w14:textId="2E349BBB" w:rsidR="17076DD3" w:rsidRPr="00E356CE" w:rsidRDefault="17076DD3" w:rsidP="2ECB3D4D">
            <w:pPr>
              <w:spacing w:line="360" w:lineRule="auto"/>
              <w:ind w:firstLine="510"/>
              <w:jc w:val="both"/>
            </w:pPr>
            <w:r w:rsidRPr="00E356CE">
              <w:t xml:space="preserve">1) zakresie i celu przetwarzania danych transmisyjnych oraz innych danych ich dotyczących; </w:t>
            </w:r>
          </w:p>
          <w:p w14:paraId="0BB3C93E" w14:textId="1C694421" w:rsidR="17076DD3" w:rsidRPr="00E356CE" w:rsidRDefault="17076DD3" w:rsidP="2ECB3D4D">
            <w:pPr>
              <w:spacing w:line="360" w:lineRule="auto"/>
              <w:ind w:firstLine="510"/>
              <w:jc w:val="both"/>
            </w:pPr>
            <w:r w:rsidRPr="00E356CE">
              <w:t>2) możliwościach wpływu na zakres tego przetwarzania;</w:t>
            </w:r>
          </w:p>
          <w:p w14:paraId="3864E279" w14:textId="3781B517" w:rsidR="17076DD3" w:rsidRPr="00E356CE" w:rsidRDefault="17076DD3" w:rsidP="2ECB3D4D">
            <w:pPr>
              <w:spacing w:line="360" w:lineRule="auto"/>
              <w:ind w:firstLine="510"/>
              <w:jc w:val="both"/>
            </w:pPr>
            <w:r w:rsidRPr="00E356CE">
              <w:t>3)  rodzaju danych transmisyjnych, które będą przetwarzane, oraz o okresie tego przetwarzania dla celów marketingu usług komunikacji elektronicznej lub świadczenia usług o wartości wzbogaconej.</w:t>
            </w:r>
          </w:p>
          <w:p w14:paraId="13DF0381" w14:textId="4D293F65" w:rsidR="2ECB3D4D" w:rsidRPr="00E356CE" w:rsidRDefault="2ECB3D4D" w:rsidP="2ECB3D4D">
            <w:pPr>
              <w:pStyle w:val="USTustnpkodeksu"/>
              <w:spacing w:line="240" w:lineRule="auto"/>
              <w:ind w:firstLine="0"/>
              <w:rPr>
                <w:rFonts w:ascii="Times New Roman" w:hAnsi="Times New Roman" w:cs="Times New Roman"/>
              </w:rPr>
            </w:pPr>
          </w:p>
          <w:p w14:paraId="271650BE" w14:textId="57C95F0C" w:rsidR="17076DD3" w:rsidRPr="00E356CE" w:rsidRDefault="17076DD3" w:rsidP="2ECB3D4D">
            <w:pPr>
              <w:spacing w:line="360" w:lineRule="auto"/>
              <w:ind w:left="510" w:hanging="510"/>
              <w:jc w:val="both"/>
            </w:pPr>
            <w:r w:rsidRPr="00E356CE">
              <w:t>3. Dostawca usług komunikacji elektronicznej może przetwarzać dane transmisyjne, o których mowa w ust. 1 pkt 3, w zakresie i przez czas niezbędny dla celów marketingu usług komunikacji elektronicznej lub świadczenia usług o wartości wzbogaconej, jeżeli użytkownik wyraził na to zgodę.</w:t>
            </w:r>
          </w:p>
          <w:p w14:paraId="4894EC88" w14:textId="69098ABD" w:rsidR="2ECB3D4D" w:rsidRPr="00E356CE" w:rsidRDefault="2ECB3D4D" w:rsidP="2ECB3D4D">
            <w:pPr>
              <w:pStyle w:val="USTustnpkodeksu"/>
              <w:spacing w:line="240" w:lineRule="auto"/>
              <w:ind w:firstLine="0"/>
              <w:rPr>
                <w:rFonts w:ascii="Times New Roman" w:hAnsi="Times New Roman" w:cs="Times New Roman"/>
              </w:rPr>
            </w:pPr>
          </w:p>
          <w:p w14:paraId="556162C1" w14:textId="77777777" w:rsidR="00D528C1" w:rsidRPr="00E356CE" w:rsidRDefault="00D528C1" w:rsidP="00D528C1">
            <w:pPr>
              <w:pStyle w:val="ARTartustawynprozporzdzenia"/>
              <w:rPr>
                <w:rFonts w:ascii="Times New Roman" w:hAnsi="Times New Roman" w:cs="Times New Roman"/>
                <w:szCs w:val="24"/>
              </w:rPr>
            </w:pPr>
            <w:r w:rsidRPr="00E356CE">
              <w:rPr>
                <w:rStyle w:val="Ppogrubienie"/>
                <w:rFonts w:ascii="Times New Roman" w:hAnsi="Times New Roman"/>
                <w:szCs w:val="24"/>
              </w:rPr>
              <w:t>Art. 388.</w:t>
            </w:r>
            <w:r w:rsidRPr="00E356CE">
              <w:rPr>
                <w:rFonts w:ascii="Times New Roman" w:hAnsi="Times New Roman" w:cs="Times New Roman"/>
                <w:szCs w:val="24"/>
              </w:rPr>
              <w:t> Podmioty działające w imieniu przedsiębiorcy komunikacji elektronicznej mogą włączyć się do trwającego połączenia, jeżeli jest to niezbędne do usunięcia awarii, zakłóceń lub w innym celu związanym z utrzymaniem sieci telekomunikacyjnej lub świadczeniem usługi komunikacji elektronicznej, pod warunkiem sygnalizacji tego faktu osobom uczestniczącym w połączeniu.</w:t>
            </w:r>
          </w:p>
          <w:p w14:paraId="55865919" w14:textId="77777777" w:rsidR="00D528C1" w:rsidRPr="00E356CE" w:rsidRDefault="00D528C1" w:rsidP="2ECB3D4D">
            <w:pPr>
              <w:pStyle w:val="USTustnpkodeksu"/>
              <w:spacing w:line="240" w:lineRule="auto"/>
              <w:ind w:firstLine="0"/>
              <w:rPr>
                <w:rFonts w:ascii="Times New Roman" w:hAnsi="Times New Roman" w:cs="Times New Roman"/>
              </w:rPr>
            </w:pPr>
          </w:p>
          <w:p w14:paraId="26458DE5" w14:textId="77777777" w:rsidR="00D528C1" w:rsidRPr="00E356CE" w:rsidRDefault="00D528C1" w:rsidP="2ECB3D4D">
            <w:pPr>
              <w:pStyle w:val="USTustnpkodeksu"/>
              <w:spacing w:line="240" w:lineRule="auto"/>
              <w:ind w:firstLine="0"/>
              <w:rPr>
                <w:rFonts w:ascii="Times New Roman" w:hAnsi="Times New Roman" w:cs="Times New Roman"/>
              </w:rPr>
            </w:pPr>
          </w:p>
          <w:p w14:paraId="063F4462" w14:textId="77777777" w:rsidR="00C04931" w:rsidRPr="00E356CE" w:rsidRDefault="00C04931" w:rsidP="00A9191A">
            <w:pPr>
              <w:jc w:val="both"/>
            </w:pPr>
          </w:p>
        </w:tc>
      </w:tr>
      <w:tr w:rsidR="00723799" w:rsidRPr="00E356CE" w14:paraId="2D1ACAFE" w14:textId="77777777" w:rsidTr="56856880">
        <w:tc>
          <w:tcPr>
            <w:tcW w:w="795" w:type="dxa"/>
            <w:tcBorders>
              <w:top w:val="single" w:sz="4" w:space="0" w:color="auto"/>
              <w:left w:val="single" w:sz="4" w:space="0" w:color="auto"/>
              <w:bottom w:val="single" w:sz="4" w:space="0" w:color="auto"/>
              <w:right w:val="single" w:sz="4" w:space="0" w:color="auto"/>
            </w:tcBorders>
          </w:tcPr>
          <w:p w14:paraId="5ADD8B3C" w14:textId="77777777" w:rsidR="00C04931" w:rsidRPr="00E356CE" w:rsidRDefault="004E724D" w:rsidP="00A9191A">
            <w:pPr>
              <w:jc w:val="both"/>
              <w:rPr>
                <w:b/>
              </w:rPr>
            </w:pPr>
            <w:r w:rsidRPr="00E356CE">
              <w:rPr>
                <w:b/>
              </w:rPr>
              <w:lastRenderedPageBreak/>
              <w:t>Art. 6 ust. 5</w:t>
            </w:r>
          </w:p>
        </w:tc>
        <w:tc>
          <w:tcPr>
            <w:tcW w:w="4719" w:type="dxa"/>
            <w:tcBorders>
              <w:top w:val="single" w:sz="4" w:space="0" w:color="auto"/>
              <w:left w:val="single" w:sz="4" w:space="0" w:color="auto"/>
              <w:bottom w:val="single" w:sz="4" w:space="0" w:color="auto"/>
              <w:right w:val="single" w:sz="4" w:space="0" w:color="auto"/>
            </w:tcBorders>
          </w:tcPr>
          <w:p w14:paraId="0033560A" w14:textId="77777777" w:rsidR="00C04931" w:rsidRPr="00E356CE" w:rsidRDefault="004E724D" w:rsidP="00A9191A">
            <w:pPr>
              <w:spacing w:before="60" w:after="120"/>
              <w:jc w:val="both"/>
              <w:rPr>
                <w:b/>
                <w:bCs/>
              </w:rPr>
            </w:pPr>
            <w:r w:rsidRPr="00E356CE">
              <w:t>5. Przetwarzanie danych o ruchu, zgodnie z ust. 1–3 i 4, musi być ograniczone do osób działających z upoważnienia dostawców publicznych sieci łączności i publicznie dostępnych usług łączności elektronicznej, zajmujących się naliczaniem opłat lub ruchem, obsługą klienta, systemem wykrywania nadużyć finansowych, marketingiem usług łączności elektronicznej lub świadczeniem usług tworzących wartość dodaną, oraz musi być ograniczone do celów niezbędnych przy takich działaniach.</w:t>
            </w:r>
          </w:p>
        </w:tc>
        <w:tc>
          <w:tcPr>
            <w:tcW w:w="886" w:type="dxa"/>
            <w:tcBorders>
              <w:top w:val="single" w:sz="4" w:space="0" w:color="auto"/>
              <w:left w:val="single" w:sz="4" w:space="0" w:color="auto"/>
              <w:bottom w:val="single" w:sz="4" w:space="0" w:color="auto"/>
              <w:right w:val="single" w:sz="4" w:space="0" w:color="auto"/>
            </w:tcBorders>
          </w:tcPr>
          <w:p w14:paraId="4C787DEC"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45839ABB" w14:textId="7802A71C" w:rsidR="00C04931" w:rsidRPr="00E356CE" w:rsidRDefault="004E724D" w:rsidP="00A9191A">
            <w:pPr>
              <w:pStyle w:val="Tekstpodstawowy"/>
              <w:rPr>
                <w:noProof/>
                <w:sz w:val="24"/>
                <w:szCs w:val="24"/>
              </w:rPr>
            </w:pPr>
            <w:r w:rsidRPr="00E356CE">
              <w:rPr>
                <w:noProof/>
                <w:sz w:val="24"/>
                <w:szCs w:val="24"/>
              </w:rPr>
              <w:t>Art. 3</w:t>
            </w:r>
            <w:r w:rsidR="2E5FD07B" w:rsidRPr="00E356CE">
              <w:rPr>
                <w:noProof/>
                <w:sz w:val="24"/>
                <w:szCs w:val="24"/>
              </w:rPr>
              <w:t>86</w:t>
            </w:r>
            <w:r w:rsidR="24C570DB" w:rsidRPr="00E356CE">
              <w:rPr>
                <w:noProof/>
                <w:sz w:val="24"/>
                <w:szCs w:val="24"/>
              </w:rPr>
              <w:t xml:space="preserve"> ust. </w:t>
            </w:r>
            <w:r w:rsidR="4767B1A0" w:rsidRPr="00E356CE">
              <w:rPr>
                <w:noProof/>
                <w:sz w:val="24"/>
                <w:szCs w:val="24"/>
              </w:rPr>
              <w:t>4</w:t>
            </w:r>
          </w:p>
        </w:tc>
        <w:tc>
          <w:tcPr>
            <w:tcW w:w="7410" w:type="dxa"/>
            <w:gridSpan w:val="2"/>
            <w:tcBorders>
              <w:top w:val="single" w:sz="4" w:space="0" w:color="auto"/>
              <w:left w:val="single" w:sz="4" w:space="0" w:color="auto"/>
              <w:bottom w:val="single" w:sz="4" w:space="0" w:color="auto"/>
              <w:right w:val="single" w:sz="4" w:space="0" w:color="auto"/>
            </w:tcBorders>
          </w:tcPr>
          <w:p w14:paraId="2AC02575" w14:textId="7791389F" w:rsidR="00C04931" w:rsidRPr="00E356CE" w:rsidRDefault="30F3AE4B" w:rsidP="2ECB3D4D">
            <w:pPr>
              <w:spacing w:line="360" w:lineRule="auto"/>
              <w:ind w:firstLine="510"/>
              <w:jc w:val="both"/>
            </w:pPr>
            <w:r w:rsidRPr="00E356CE">
              <w:t>4. Do przetwarzania danych transmisyjnych, zgodnie z ust. 1-4, uprawnione są podmioty działające z upoważnienia dostawców usług komunikacji elektronicznej, zajmujące się naliczaniem opłat, zarządzaniem ruchem w sieciach telekomunikacyjnych, obsługą klienta, systemem wykrywania nadużyć finansowych, marketingiem usług komunikacji elektronicznej lub świadczeniem usług o wartości wzbogaconej. Podmioty te mogą przetwarzać dane transmisyjne wyłącznie dla celów niezbędnych przy wykonywaniu tych działań.</w:t>
            </w:r>
          </w:p>
          <w:p w14:paraId="23889FE2" w14:textId="2CD0445C" w:rsidR="00C04931" w:rsidRPr="00E356CE" w:rsidRDefault="004E724D" w:rsidP="00A9191A">
            <w:pPr>
              <w:jc w:val="both"/>
            </w:pPr>
            <w:r w:rsidRPr="00E356CE">
              <w:br/>
            </w:r>
          </w:p>
          <w:p w14:paraId="64D3D18C" w14:textId="7C8E7E17" w:rsidR="00C04931" w:rsidRPr="00E356CE" w:rsidRDefault="00C04931" w:rsidP="2ECB3D4D">
            <w:pPr>
              <w:jc w:val="both"/>
            </w:pPr>
          </w:p>
        </w:tc>
      </w:tr>
      <w:tr w:rsidR="00723799" w:rsidRPr="00E356CE" w14:paraId="7F8F0733" w14:textId="77777777" w:rsidTr="56856880">
        <w:tc>
          <w:tcPr>
            <w:tcW w:w="795" w:type="dxa"/>
            <w:tcBorders>
              <w:top w:val="single" w:sz="4" w:space="0" w:color="auto"/>
              <w:left w:val="single" w:sz="4" w:space="0" w:color="auto"/>
              <w:bottom w:val="single" w:sz="4" w:space="0" w:color="auto"/>
              <w:right w:val="single" w:sz="4" w:space="0" w:color="auto"/>
            </w:tcBorders>
          </w:tcPr>
          <w:p w14:paraId="77EA31A9" w14:textId="77777777" w:rsidR="00C04931" w:rsidRPr="00E356CE" w:rsidRDefault="004E724D" w:rsidP="00A9191A">
            <w:pPr>
              <w:jc w:val="both"/>
              <w:rPr>
                <w:b/>
              </w:rPr>
            </w:pPr>
            <w:r w:rsidRPr="00E356CE">
              <w:rPr>
                <w:b/>
              </w:rPr>
              <w:t>Art. 6 ust. 6</w:t>
            </w:r>
          </w:p>
        </w:tc>
        <w:tc>
          <w:tcPr>
            <w:tcW w:w="4719" w:type="dxa"/>
            <w:tcBorders>
              <w:top w:val="single" w:sz="4" w:space="0" w:color="auto"/>
              <w:left w:val="single" w:sz="4" w:space="0" w:color="auto"/>
              <w:bottom w:val="single" w:sz="4" w:space="0" w:color="auto"/>
              <w:right w:val="single" w:sz="4" w:space="0" w:color="auto"/>
            </w:tcBorders>
          </w:tcPr>
          <w:p w14:paraId="6E8013DB" w14:textId="77777777" w:rsidR="00C04931" w:rsidRPr="00E356CE" w:rsidRDefault="004E724D" w:rsidP="00A9191A">
            <w:pPr>
              <w:spacing w:before="60" w:after="120"/>
              <w:jc w:val="both"/>
              <w:rPr>
                <w:b/>
                <w:bCs/>
              </w:rPr>
            </w:pPr>
            <w:r w:rsidRPr="00E356CE">
              <w:t>6. Przepisy ust. 1–3 i 5 stosuje się bez uszczerbku dla możliwości otrzymywania przez właściwe organy informacji na temat danych o ruchu, zgodnie ze obowiązującym ustawodawstwem, w celu rozstrzygania sporów, w szczególności sporów dotyczących rozliczeń międzyoperatorskich lub naliczania opłat.</w:t>
            </w:r>
          </w:p>
        </w:tc>
        <w:tc>
          <w:tcPr>
            <w:tcW w:w="886" w:type="dxa"/>
            <w:tcBorders>
              <w:top w:val="single" w:sz="4" w:space="0" w:color="auto"/>
              <w:left w:val="single" w:sz="4" w:space="0" w:color="auto"/>
              <w:bottom w:val="single" w:sz="4" w:space="0" w:color="auto"/>
              <w:right w:val="single" w:sz="4" w:space="0" w:color="auto"/>
            </w:tcBorders>
          </w:tcPr>
          <w:p w14:paraId="4286B550"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44E6A889" w14:textId="214605ED" w:rsidR="00C04931" w:rsidRPr="00E356CE" w:rsidRDefault="004E724D" w:rsidP="00A9191A">
            <w:pPr>
              <w:pStyle w:val="Tekstpodstawowy"/>
              <w:rPr>
                <w:noProof/>
                <w:sz w:val="24"/>
                <w:szCs w:val="24"/>
              </w:rPr>
            </w:pPr>
            <w:r w:rsidRPr="00E356CE">
              <w:rPr>
                <w:noProof/>
                <w:sz w:val="24"/>
                <w:szCs w:val="24"/>
              </w:rPr>
              <w:t>Art. 3</w:t>
            </w:r>
            <w:r w:rsidR="080CC5B2" w:rsidRPr="00E356CE">
              <w:rPr>
                <w:noProof/>
                <w:sz w:val="24"/>
                <w:szCs w:val="24"/>
              </w:rPr>
              <w:t>89</w:t>
            </w:r>
          </w:p>
        </w:tc>
        <w:tc>
          <w:tcPr>
            <w:tcW w:w="7410" w:type="dxa"/>
            <w:gridSpan w:val="2"/>
            <w:tcBorders>
              <w:top w:val="single" w:sz="4" w:space="0" w:color="auto"/>
              <w:left w:val="single" w:sz="4" w:space="0" w:color="auto"/>
              <w:bottom w:val="single" w:sz="4" w:space="0" w:color="auto"/>
              <w:right w:val="single" w:sz="4" w:space="0" w:color="auto"/>
            </w:tcBorders>
          </w:tcPr>
          <w:p w14:paraId="3F6CBFD4" w14:textId="4848B9C6" w:rsidR="080CC5B2" w:rsidRPr="00E356CE" w:rsidRDefault="080CC5B2" w:rsidP="2ECB3D4D">
            <w:pPr>
              <w:spacing w:line="360" w:lineRule="auto"/>
              <w:ind w:firstLine="510"/>
              <w:jc w:val="both"/>
            </w:pPr>
            <w:r w:rsidRPr="00E356CE">
              <w:rPr>
                <w:b/>
                <w:bCs/>
              </w:rPr>
              <w:t>Art. 389.</w:t>
            </w:r>
            <w:r w:rsidRPr="00E356CE">
              <w:t xml:space="preserve"> 1. Dostawca usług telekomunikacyjnych jest obowiązany do rejestracji danych o wykonanych usługach telekomunikacyjnych, w zakresie umożliwiającym ustalenie należności za wykonanie tych usług oraz rozpatrzenie reklamacji.</w:t>
            </w:r>
          </w:p>
          <w:p w14:paraId="58F1F6A1" w14:textId="25972997" w:rsidR="080CC5B2" w:rsidRPr="00E356CE" w:rsidRDefault="080CC5B2" w:rsidP="2ECB3D4D">
            <w:pPr>
              <w:spacing w:line="360" w:lineRule="auto"/>
              <w:ind w:firstLine="510"/>
              <w:jc w:val="both"/>
            </w:pPr>
            <w:r w:rsidRPr="00E356CE">
              <w:t>2. Dostawca usług telekomunikacyjnych przechowuje dane, o których mowa w ust. 1, co najmniej przez okres 12 miesięcy, a w przypadku wniesienia reklamacji - przez okres niezbędny do rozstrzygnięcia sporu.</w:t>
            </w:r>
          </w:p>
          <w:p w14:paraId="14FBD384" w14:textId="2E453600" w:rsidR="2ECB3D4D" w:rsidRPr="00E356CE" w:rsidRDefault="2ECB3D4D" w:rsidP="2ECB3D4D">
            <w:pPr>
              <w:pStyle w:val="USTustnpkodeksu"/>
              <w:spacing w:line="240" w:lineRule="auto"/>
              <w:ind w:firstLine="0"/>
              <w:rPr>
                <w:rFonts w:ascii="Times New Roman" w:hAnsi="Times New Roman" w:cs="Times New Roman"/>
              </w:rPr>
            </w:pPr>
          </w:p>
          <w:p w14:paraId="38ED3820" w14:textId="77777777" w:rsidR="00C04931" w:rsidRPr="00E356CE" w:rsidRDefault="00C04931" w:rsidP="00A9191A">
            <w:pPr>
              <w:jc w:val="both"/>
            </w:pPr>
          </w:p>
        </w:tc>
      </w:tr>
      <w:tr w:rsidR="00723799" w:rsidRPr="00E356CE" w14:paraId="2EA3E0BB" w14:textId="77777777" w:rsidTr="56856880">
        <w:tc>
          <w:tcPr>
            <w:tcW w:w="795" w:type="dxa"/>
            <w:tcBorders>
              <w:top w:val="single" w:sz="4" w:space="0" w:color="auto"/>
              <w:left w:val="single" w:sz="4" w:space="0" w:color="auto"/>
              <w:bottom w:val="single" w:sz="4" w:space="0" w:color="auto"/>
              <w:right w:val="single" w:sz="4" w:space="0" w:color="auto"/>
            </w:tcBorders>
          </w:tcPr>
          <w:p w14:paraId="2D143F17" w14:textId="77777777" w:rsidR="00C04931" w:rsidRPr="00E356CE" w:rsidRDefault="004E724D" w:rsidP="00A9191A">
            <w:pPr>
              <w:jc w:val="both"/>
              <w:rPr>
                <w:b/>
              </w:rPr>
            </w:pPr>
            <w:r w:rsidRPr="00E356CE">
              <w:rPr>
                <w:b/>
              </w:rPr>
              <w:t>Art. 7</w:t>
            </w:r>
          </w:p>
        </w:tc>
        <w:tc>
          <w:tcPr>
            <w:tcW w:w="4719" w:type="dxa"/>
            <w:tcBorders>
              <w:top w:val="single" w:sz="4" w:space="0" w:color="auto"/>
              <w:left w:val="single" w:sz="4" w:space="0" w:color="auto"/>
              <w:bottom w:val="single" w:sz="4" w:space="0" w:color="auto"/>
              <w:right w:val="single" w:sz="4" w:space="0" w:color="auto"/>
            </w:tcBorders>
          </w:tcPr>
          <w:p w14:paraId="7CC53017" w14:textId="77777777" w:rsidR="00C04931" w:rsidRPr="00E356CE" w:rsidRDefault="004E724D" w:rsidP="00A9191A">
            <w:pPr>
              <w:spacing w:before="60" w:after="120"/>
              <w:jc w:val="both"/>
              <w:rPr>
                <w:b/>
                <w:bCs/>
              </w:rPr>
            </w:pPr>
            <w:r w:rsidRPr="00E356CE">
              <w:rPr>
                <w:b/>
              </w:rPr>
              <w:t>Szczegółowe wykazy połączeń</w:t>
            </w:r>
          </w:p>
        </w:tc>
        <w:tc>
          <w:tcPr>
            <w:tcW w:w="886" w:type="dxa"/>
            <w:tcBorders>
              <w:top w:val="single" w:sz="4" w:space="0" w:color="auto"/>
              <w:left w:val="single" w:sz="4" w:space="0" w:color="auto"/>
              <w:bottom w:val="single" w:sz="4" w:space="0" w:color="auto"/>
              <w:right w:val="single" w:sz="4" w:space="0" w:color="auto"/>
            </w:tcBorders>
          </w:tcPr>
          <w:p w14:paraId="33D2E149"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3C197BF8"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38B5B9C1" w14:textId="77777777" w:rsidR="00C04931" w:rsidRPr="00E356CE" w:rsidRDefault="00C04931" w:rsidP="00A9191A">
            <w:pPr>
              <w:jc w:val="both"/>
            </w:pPr>
          </w:p>
        </w:tc>
      </w:tr>
      <w:tr w:rsidR="00723799" w:rsidRPr="00E356CE" w14:paraId="3666A456" w14:textId="77777777" w:rsidTr="56856880">
        <w:tc>
          <w:tcPr>
            <w:tcW w:w="795" w:type="dxa"/>
            <w:tcBorders>
              <w:top w:val="single" w:sz="4" w:space="0" w:color="auto"/>
              <w:left w:val="single" w:sz="4" w:space="0" w:color="auto"/>
              <w:bottom w:val="single" w:sz="4" w:space="0" w:color="auto"/>
              <w:right w:val="single" w:sz="4" w:space="0" w:color="auto"/>
            </w:tcBorders>
          </w:tcPr>
          <w:p w14:paraId="5FF12193" w14:textId="77777777" w:rsidR="00C04931" w:rsidRPr="00E356CE" w:rsidRDefault="004E724D" w:rsidP="00A9191A">
            <w:pPr>
              <w:jc w:val="both"/>
              <w:rPr>
                <w:b/>
              </w:rPr>
            </w:pPr>
            <w:r w:rsidRPr="00E356CE">
              <w:rPr>
                <w:b/>
              </w:rPr>
              <w:lastRenderedPageBreak/>
              <w:t>Art. 7 ust. 1</w:t>
            </w:r>
          </w:p>
        </w:tc>
        <w:tc>
          <w:tcPr>
            <w:tcW w:w="4719" w:type="dxa"/>
            <w:tcBorders>
              <w:top w:val="single" w:sz="4" w:space="0" w:color="auto"/>
              <w:left w:val="single" w:sz="4" w:space="0" w:color="auto"/>
              <w:bottom w:val="single" w:sz="4" w:space="0" w:color="auto"/>
              <w:right w:val="single" w:sz="4" w:space="0" w:color="auto"/>
            </w:tcBorders>
          </w:tcPr>
          <w:p w14:paraId="40A1F4B8" w14:textId="77777777" w:rsidR="00C04931" w:rsidRPr="00E356CE" w:rsidRDefault="004E724D" w:rsidP="00A9191A">
            <w:pPr>
              <w:spacing w:before="60" w:after="120"/>
              <w:jc w:val="both"/>
              <w:rPr>
                <w:b/>
                <w:bCs/>
              </w:rPr>
            </w:pPr>
            <w:r w:rsidRPr="00E356CE">
              <w:t>1. Abonenci mają prawo do otrzymywania rachunków, które nie są szczegółowe.</w:t>
            </w:r>
          </w:p>
        </w:tc>
        <w:tc>
          <w:tcPr>
            <w:tcW w:w="886" w:type="dxa"/>
            <w:tcBorders>
              <w:top w:val="single" w:sz="4" w:space="0" w:color="auto"/>
              <w:left w:val="single" w:sz="4" w:space="0" w:color="auto"/>
              <w:bottom w:val="single" w:sz="4" w:space="0" w:color="auto"/>
              <w:right w:val="single" w:sz="4" w:space="0" w:color="auto"/>
            </w:tcBorders>
          </w:tcPr>
          <w:p w14:paraId="20361B66"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56C5E8C0" w14:textId="07638C22" w:rsidR="00C04931" w:rsidRPr="00E356CE" w:rsidRDefault="004E724D" w:rsidP="00A9191A">
            <w:pPr>
              <w:pStyle w:val="Tekstpodstawowy"/>
              <w:rPr>
                <w:noProof/>
                <w:sz w:val="24"/>
                <w:szCs w:val="24"/>
              </w:rPr>
            </w:pPr>
            <w:r w:rsidRPr="00E356CE">
              <w:rPr>
                <w:noProof/>
                <w:sz w:val="24"/>
                <w:szCs w:val="24"/>
              </w:rPr>
              <w:t>Art. 3</w:t>
            </w:r>
            <w:r w:rsidR="27C3BF93" w:rsidRPr="00E356CE">
              <w:rPr>
                <w:noProof/>
                <w:sz w:val="24"/>
                <w:szCs w:val="24"/>
              </w:rPr>
              <w:t>46 ust. 1 i 2</w:t>
            </w:r>
          </w:p>
        </w:tc>
        <w:tc>
          <w:tcPr>
            <w:tcW w:w="7410" w:type="dxa"/>
            <w:gridSpan w:val="2"/>
            <w:tcBorders>
              <w:top w:val="single" w:sz="4" w:space="0" w:color="auto"/>
              <w:left w:val="single" w:sz="4" w:space="0" w:color="auto"/>
              <w:bottom w:val="single" w:sz="4" w:space="0" w:color="auto"/>
              <w:right w:val="single" w:sz="4" w:space="0" w:color="auto"/>
            </w:tcBorders>
          </w:tcPr>
          <w:p w14:paraId="6951D0F6" w14:textId="686980FA" w:rsidR="00C04931" w:rsidRPr="00E356CE" w:rsidRDefault="27C3BF93" w:rsidP="2ECB3D4D">
            <w:pPr>
              <w:spacing w:line="360" w:lineRule="auto"/>
              <w:ind w:firstLine="510"/>
              <w:jc w:val="both"/>
            </w:pPr>
            <w:r w:rsidRPr="00E356CE">
              <w:rPr>
                <w:b/>
                <w:bCs/>
              </w:rPr>
              <w:t>Art. 346.</w:t>
            </w:r>
            <w:r w:rsidRPr="00E356CE">
              <w:t xml:space="preserve"> 1. Dostawca usługi dostępu do </w:t>
            </w:r>
            <w:proofErr w:type="spellStart"/>
            <w:r w:rsidRPr="00E356CE">
              <w:t>internetu</w:t>
            </w:r>
            <w:proofErr w:type="spellEnd"/>
            <w:r w:rsidRPr="00E356CE">
              <w:t xml:space="preserve"> lub usługi komunikacji interpersonalnej wykorzystującej numery doręcza abonentowi, nieodpłatnie z każdym rachunkiem, podstawowy wykaz wykonanych usług zawierający informację o zrealizowanych płatnych usługach, z podaniem dla każdego typu usług ilości jednostek rozliczeniowych odpowiadającej wartości usług zrealizowanych przez abonenta.</w:t>
            </w:r>
          </w:p>
          <w:p w14:paraId="5267F8FE" w14:textId="006498CE" w:rsidR="00C04931" w:rsidRPr="00E356CE" w:rsidRDefault="27C3BF93" w:rsidP="2ECB3D4D">
            <w:pPr>
              <w:spacing w:line="360" w:lineRule="auto"/>
              <w:ind w:firstLine="510"/>
              <w:jc w:val="both"/>
            </w:pPr>
            <w:r w:rsidRPr="00E356CE">
              <w:t xml:space="preserve">2. W przypadku usługi przedpłaconej dostawca usługi dostępu do </w:t>
            </w:r>
            <w:proofErr w:type="spellStart"/>
            <w:r w:rsidRPr="00E356CE">
              <w:t>internetu</w:t>
            </w:r>
            <w:proofErr w:type="spellEnd"/>
            <w:r w:rsidRPr="00E356CE">
              <w:t xml:space="preserve"> lub usługi komunikacji interpersonalnej wykorzystującej numery doręcza nieodpłatnie, na żądanie abonenta, który ma przydzielony numer oraz udostępnił swoje dane, o których mowa w art. 255 ust. 2, podstawowy wykaz wykonanych usług obejmujący wyłącznie usługi wykonane po złożeniu tego żądania. Pierwszy wykaz jest doręczany abonentowi w terminie 14 dni od dnia złożenia przez niego żądania, a każdy kolejny w terminie do 10. dnia miesiąca kalendarzowego.</w:t>
            </w:r>
          </w:p>
          <w:p w14:paraId="00221405" w14:textId="5D1F9AAD" w:rsidR="00C04931" w:rsidRPr="00E356CE" w:rsidRDefault="00C04931" w:rsidP="2ECB3D4D">
            <w:pPr>
              <w:jc w:val="both"/>
            </w:pPr>
          </w:p>
        </w:tc>
      </w:tr>
      <w:tr w:rsidR="00723799" w:rsidRPr="00E356CE" w14:paraId="3434BDD7" w14:textId="77777777" w:rsidTr="56856880">
        <w:tc>
          <w:tcPr>
            <w:tcW w:w="795" w:type="dxa"/>
            <w:tcBorders>
              <w:top w:val="single" w:sz="4" w:space="0" w:color="auto"/>
              <w:left w:val="single" w:sz="4" w:space="0" w:color="auto"/>
              <w:bottom w:val="single" w:sz="4" w:space="0" w:color="auto"/>
              <w:right w:val="single" w:sz="4" w:space="0" w:color="auto"/>
            </w:tcBorders>
          </w:tcPr>
          <w:p w14:paraId="1ABB5624" w14:textId="77777777" w:rsidR="00C04931" w:rsidRPr="00E356CE" w:rsidRDefault="004E724D" w:rsidP="00A9191A">
            <w:pPr>
              <w:jc w:val="both"/>
              <w:rPr>
                <w:b/>
              </w:rPr>
            </w:pPr>
            <w:r w:rsidRPr="00E356CE">
              <w:rPr>
                <w:b/>
              </w:rPr>
              <w:t>Art. 7 ust. 2</w:t>
            </w:r>
          </w:p>
        </w:tc>
        <w:tc>
          <w:tcPr>
            <w:tcW w:w="4719" w:type="dxa"/>
            <w:tcBorders>
              <w:top w:val="single" w:sz="4" w:space="0" w:color="auto"/>
              <w:left w:val="single" w:sz="4" w:space="0" w:color="auto"/>
              <w:bottom w:val="single" w:sz="4" w:space="0" w:color="auto"/>
              <w:right w:val="single" w:sz="4" w:space="0" w:color="auto"/>
            </w:tcBorders>
          </w:tcPr>
          <w:p w14:paraId="1FE45775" w14:textId="77777777" w:rsidR="00C04931" w:rsidRPr="00E356CE" w:rsidRDefault="004E724D" w:rsidP="00A9191A">
            <w:pPr>
              <w:spacing w:before="60" w:after="120"/>
              <w:jc w:val="both"/>
              <w:rPr>
                <w:b/>
                <w:bCs/>
              </w:rPr>
            </w:pPr>
            <w:r w:rsidRPr="00E356CE">
              <w:t>2. Państwa Członkowskie stosują przepisy prawa krajowego w celu pogodzenia praw abonentów otrzymujących szczegółowe wykazy połączeń z prawem do prywatności użytkowników dzwoniących i abonentów wybieranych, na przykład przez uzyskanie pewności, że zapewniono tym użytkownikom i abonentom wystarczające, alternatywne, gwarantujące prywatność metody łączności i uiszczania opłat.</w:t>
            </w:r>
          </w:p>
        </w:tc>
        <w:tc>
          <w:tcPr>
            <w:tcW w:w="886" w:type="dxa"/>
            <w:tcBorders>
              <w:top w:val="single" w:sz="4" w:space="0" w:color="auto"/>
              <w:left w:val="single" w:sz="4" w:space="0" w:color="auto"/>
              <w:bottom w:val="single" w:sz="4" w:space="0" w:color="auto"/>
              <w:right w:val="single" w:sz="4" w:space="0" w:color="auto"/>
            </w:tcBorders>
          </w:tcPr>
          <w:p w14:paraId="15FBD5B5" w14:textId="77777777" w:rsidR="00C04931"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79424F0D" w14:textId="047267E5" w:rsidR="004E724D" w:rsidRPr="00E356CE" w:rsidRDefault="004E724D" w:rsidP="00A9191A">
            <w:pPr>
              <w:pStyle w:val="Tekstpodstawowy"/>
              <w:rPr>
                <w:sz w:val="24"/>
                <w:szCs w:val="24"/>
              </w:rPr>
            </w:pPr>
            <w:r w:rsidRPr="00E356CE">
              <w:rPr>
                <w:sz w:val="24"/>
                <w:szCs w:val="24"/>
              </w:rPr>
              <w:t>Art. 3</w:t>
            </w:r>
            <w:r w:rsidR="2CA39852" w:rsidRPr="00E356CE">
              <w:rPr>
                <w:sz w:val="24"/>
                <w:szCs w:val="24"/>
              </w:rPr>
              <w:t>92</w:t>
            </w:r>
            <w:r w:rsidRPr="00E356CE">
              <w:rPr>
                <w:sz w:val="24"/>
                <w:szCs w:val="24"/>
              </w:rPr>
              <w:t xml:space="preserve"> ust. 11</w:t>
            </w:r>
          </w:p>
          <w:p w14:paraId="7FDF9ECE"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17048AA3" w14:textId="6EA1BB8E" w:rsidR="576753A8" w:rsidRPr="00E356CE" w:rsidRDefault="576753A8" w:rsidP="2ECB3D4D">
            <w:pPr>
              <w:spacing w:line="360" w:lineRule="auto"/>
              <w:ind w:firstLine="510"/>
              <w:jc w:val="both"/>
            </w:pPr>
            <w:r w:rsidRPr="00E356CE">
              <w:t>11. Użytkownik końcowy ponoszący koszty połączeń przychodzących nie może otrzymywać danych umożliwiających pełną identyfikację numeru wywołującego.</w:t>
            </w:r>
          </w:p>
          <w:p w14:paraId="4B84A74C" w14:textId="2012CED8" w:rsidR="2ECB3D4D" w:rsidRPr="00E356CE" w:rsidRDefault="2ECB3D4D" w:rsidP="2ECB3D4D">
            <w:pPr>
              <w:pStyle w:val="USTustnpkodeksu"/>
              <w:spacing w:line="240" w:lineRule="auto"/>
              <w:ind w:firstLine="0"/>
              <w:rPr>
                <w:rFonts w:ascii="Times New Roman" w:hAnsi="Times New Roman" w:cs="Times New Roman"/>
              </w:rPr>
            </w:pPr>
          </w:p>
          <w:p w14:paraId="5A9F816B" w14:textId="77777777" w:rsidR="00C04931" w:rsidRPr="00E356CE" w:rsidRDefault="00C04931" w:rsidP="00A9191A">
            <w:pPr>
              <w:jc w:val="both"/>
            </w:pPr>
          </w:p>
        </w:tc>
      </w:tr>
      <w:tr w:rsidR="00723799" w:rsidRPr="00E356CE" w14:paraId="3D44DD28" w14:textId="77777777" w:rsidTr="56856880">
        <w:tc>
          <w:tcPr>
            <w:tcW w:w="795" w:type="dxa"/>
            <w:tcBorders>
              <w:top w:val="single" w:sz="4" w:space="0" w:color="auto"/>
              <w:left w:val="single" w:sz="4" w:space="0" w:color="auto"/>
              <w:bottom w:val="single" w:sz="4" w:space="0" w:color="auto"/>
              <w:right w:val="single" w:sz="4" w:space="0" w:color="auto"/>
            </w:tcBorders>
          </w:tcPr>
          <w:p w14:paraId="66639E05" w14:textId="77777777" w:rsidR="00C04931" w:rsidRPr="00E356CE" w:rsidRDefault="004E724D" w:rsidP="00A9191A">
            <w:pPr>
              <w:jc w:val="both"/>
              <w:rPr>
                <w:b/>
              </w:rPr>
            </w:pPr>
            <w:r w:rsidRPr="00E356CE">
              <w:rPr>
                <w:b/>
              </w:rPr>
              <w:lastRenderedPageBreak/>
              <w:t>Art. 8</w:t>
            </w:r>
          </w:p>
        </w:tc>
        <w:tc>
          <w:tcPr>
            <w:tcW w:w="4719" w:type="dxa"/>
            <w:tcBorders>
              <w:top w:val="single" w:sz="4" w:space="0" w:color="auto"/>
              <w:left w:val="single" w:sz="4" w:space="0" w:color="auto"/>
              <w:bottom w:val="single" w:sz="4" w:space="0" w:color="auto"/>
              <w:right w:val="single" w:sz="4" w:space="0" w:color="auto"/>
            </w:tcBorders>
          </w:tcPr>
          <w:p w14:paraId="16B21982" w14:textId="77777777" w:rsidR="00C04931" w:rsidRPr="00E356CE" w:rsidRDefault="004E724D" w:rsidP="00A9191A">
            <w:pPr>
              <w:spacing w:before="60" w:after="120"/>
              <w:jc w:val="both"/>
              <w:rPr>
                <w:b/>
                <w:bCs/>
              </w:rPr>
            </w:pPr>
            <w:r w:rsidRPr="00E356CE">
              <w:rPr>
                <w:b/>
              </w:rPr>
              <w:t>Wyświetlanie i ograniczenie identyfikacji rozmów przychodzących i wychodzących</w:t>
            </w:r>
          </w:p>
        </w:tc>
        <w:tc>
          <w:tcPr>
            <w:tcW w:w="886" w:type="dxa"/>
            <w:tcBorders>
              <w:top w:val="single" w:sz="4" w:space="0" w:color="auto"/>
              <w:left w:val="single" w:sz="4" w:space="0" w:color="auto"/>
              <w:bottom w:val="single" w:sz="4" w:space="0" w:color="auto"/>
              <w:right w:val="single" w:sz="4" w:space="0" w:color="auto"/>
            </w:tcBorders>
          </w:tcPr>
          <w:p w14:paraId="49895516"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3492040F"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60B28FD6" w14:textId="77777777" w:rsidR="00C04931" w:rsidRPr="00E356CE" w:rsidRDefault="00C04931" w:rsidP="00A9191A">
            <w:pPr>
              <w:jc w:val="both"/>
            </w:pPr>
          </w:p>
        </w:tc>
      </w:tr>
      <w:tr w:rsidR="00723799" w:rsidRPr="00E356CE" w14:paraId="2E9937C4" w14:textId="77777777" w:rsidTr="56856880">
        <w:tc>
          <w:tcPr>
            <w:tcW w:w="795" w:type="dxa"/>
            <w:tcBorders>
              <w:top w:val="single" w:sz="4" w:space="0" w:color="auto"/>
              <w:left w:val="single" w:sz="4" w:space="0" w:color="auto"/>
              <w:bottom w:val="single" w:sz="4" w:space="0" w:color="auto"/>
              <w:right w:val="single" w:sz="4" w:space="0" w:color="auto"/>
            </w:tcBorders>
          </w:tcPr>
          <w:p w14:paraId="15E52E43" w14:textId="77777777" w:rsidR="00C04931" w:rsidRPr="00E356CE" w:rsidRDefault="004E724D" w:rsidP="00A9191A">
            <w:pPr>
              <w:jc w:val="both"/>
            </w:pPr>
            <w:r w:rsidRPr="00E356CE">
              <w:t>Art. 8 ust. 1</w:t>
            </w:r>
          </w:p>
        </w:tc>
        <w:tc>
          <w:tcPr>
            <w:tcW w:w="4719" w:type="dxa"/>
            <w:tcBorders>
              <w:top w:val="single" w:sz="4" w:space="0" w:color="auto"/>
              <w:left w:val="single" w:sz="4" w:space="0" w:color="auto"/>
              <w:bottom w:val="single" w:sz="4" w:space="0" w:color="auto"/>
              <w:right w:val="single" w:sz="4" w:space="0" w:color="auto"/>
            </w:tcBorders>
          </w:tcPr>
          <w:p w14:paraId="142C74F1" w14:textId="77777777" w:rsidR="00C04931" w:rsidRPr="00E356CE" w:rsidRDefault="004E724D" w:rsidP="00A9191A">
            <w:pPr>
              <w:spacing w:before="60" w:after="120"/>
              <w:jc w:val="both"/>
              <w:rPr>
                <w:b/>
                <w:bCs/>
              </w:rPr>
            </w:pPr>
            <w:r w:rsidRPr="00E356CE">
              <w:t>1. W przypadku gdy oferowane jest wyświetlanie identyfikacji rozmów przychodzących dostawca usług musi zaoferować użytkownikowi wybierającemu, w sposób prosty i wolny od opłat, zablokowanie wyświetlania identyfikacji rozmów przychodzących przy poszczególnych połączeniach telefonicznych. Abonent wybierający musi mieć taką możliwość w odniesieniu do każdej linii.</w:t>
            </w:r>
          </w:p>
        </w:tc>
        <w:tc>
          <w:tcPr>
            <w:tcW w:w="886" w:type="dxa"/>
            <w:tcBorders>
              <w:top w:val="single" w:sz="4" w:space="0" w:color="auto"/>
              <w:left w:val="single" w:sz="4" w:space="0" w:color="auto"/>
              <w:bottom w:val="single" w:sz="4" w:space="0" w:color="auto"/>
              <w:right w:val="single" w:sz="4" w:space="0" w:color="auto"/>
            </w:tcBorders>
          </w:tcPr>
          <w:p w14:paraId="088F08A9"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724BFD54" w14:textId="7164D4D7" w:rsidR="00C04931" w:rsidRPr="00E356CE" w:rsidRDefault="004E724D" w:rsidP="00A9191A">
            <w:pPr>
              <w:pStyle w:val="Tekstpodstawowy"/>
              <w:rPr>
                <w:noProof/>
                <w:sz w:val="24"/>
                <w:szCs w:val="24"/>
              </w:rPr>
            </w:pPr>
            <w:r w:rsidRPr="00E356CE">
              <w:rPr>
                <w:noProof/>
                <w:sz w:val="24"/>
                <w:szCs w:val="24"/>
              </w:rPr>
              <w:t>Art. 3</w:t>
            </w:r>
            <w:r w:rsidR="2A125CE4" w:rsidRPr="00E356CE">
              <w:rPr>
                <w:noProof/>
                <w:sz w:val="24"/>
                <w:szCs w:val="24"/>
              </w:rPr>
              <w:t>92</w:t>
            </w:r>
            <w:r w:rsidRPr="00E356CE">
              <w:rPr>
                <w:noProof/>
                <w:sz w:val="24"/>
                <w:szCs w:val="24"/>
              </w:rPr>
              <w:t xml:space="preserve"> ust. 1, 2 i 6</w:t>
            </w:r>
          </w:p>
        </w:tc>
        <w:tc>
          <w:tcPr>
            <w:tcW w:w="7410" w:type="dxa"/>
            <w:gridSpan w:val="2"/>
            <w:tcBorders>
              <w:top w:val="single" w:sz="4" w:space="0" w:color="auto"/>
              <w:left w:val="single" w:sz="4" w:space="0" w:color="auto"/>
              <w:bottom w:val="single" w:sz="4" w:space="0" w:color="auto"/>
              <w:right w:val="single" w:sz="4" w:space="0" w:color="auto"/>
            </w:tcBorders>
          </w:tcPr>
          <w:p w14:paraId="5AE1BC4A" w14:textId="6F5DF7C3" w:rsidR="00C04931" w:rsidRPr="00E356CE" w:rsidRDefault="483307FF" w:rsidP="2ECB3D4D">
            <w:pPr>
              <w:spacing w:line="360" w:lineRule="auto"/>
              <w:ind w:firstLine="510"/>
              <w:jc w:val="both"/>
            </w:pPr>
            <w:r w:rsidRPr="00E356CE">
              <w:rPr>
                <w:b/>
                <w:bCs/>
              </w:rPr>
              <w:t>Art. 392.</w:t>
            </w:r>
            <w:r w:rsidRPr="00E356CE">
              <w:t xml:space="preserve"> 1. Operator, w którego sieci świadczone są usługi komunikacji głosowej, zapewnia użytkownikowi końcowemu możliwość prezentacji identyfikacji zakończenia sieci, z którego inicjowane jest połączenie, zwanej dalej „prezentacją identyfikacji linii wywołującej”, przed dokonaniem połączenia.</w:t>
            </w:r>
          </w:p>
          <w:p w14:paraId="37E92429" w14:textId="47C01D02" w:rsidR="00C04931" w:rsidRPr="00E356CE" w:rsidRDefault="483307FF" w:rsidP="2ECB3D4D">
            <w:pPr>
              <w:spacing w:line="360" w:lineRule="auto"/>
              <w:ind w:firstLine="510"/>
              <w:jc w:val="both"/>
            </w:pPr>
            <w:r w:rsidRPr="00E356CE">
              <w:t>2. Dostawca usługi komunikacji głosowej umożliwiającej prezentację identyfikacji linii wywołującej jest obowiązany zapewnić za pomocą prostych środków:</w:t>
            </w:r>
          </w:p>
          <w:p w14:paraId="4AC918A3" w14:textId="15E5CB5B" w:rsidR="00C04931" w:rsidRPr="00E356CE" w:rsidRDefault="483307FF" w:rsidP="2ECB3D4D">
            <w:pPr>
              <w:spacing w:line="360" w:lineRule="auto"/>
              <w:ind w:left="510" w:hanging="510"/>
              <w:jc w:val="both"/>
            </w:pPr>
            <w:r w:rsidRPr="00E356CE">
              <w:t>1)</w:t>
            </w:r>
            <w:r w:rsidR="004E724D" w:rsidRPr="00E356CE">
              <w:tab/>
            </w:r>
            <w:r w:rsidRPr="00E356CE">
              <w:t>użytkownikowi wywołującemu - możliwość jednorazowego wyeliminowania prezentacji identyfikacji linii wywołującej u użytkownika wywoływanego podczas wywołania i połączenia;</w:t>
            </w:r>
          </w:p>
          <w:p w14:paraId="339C2689" w14:textId="43C58535" w:rsidR="00C04931" w:rsidRPr="00E356CE" w:rsidRDefault="483307FF" w:rsidP="2ECB3D4D">
            <w:pPr>
              <w:spacing w:line="360" w:lineRule="auto"/>
              <w:ind w:left="510" w:hanging="510"/>
              <w:jc w:val="both"/>
            </w:pPr>
            <w:r w:rsidRPr="00E356CE">
              <w:t>2)</w:t>
            </w:r>
            <w:r w:rsidR="004E724D" w:rsidRPr="00E356CE">
              <w:tab/>
            </w:r>
            <w:r w:rsidRPr="00E356CE">
              <w:t>abonentowi wywołującemu - możliwość stałego wyeliminowania prezentacji identyfikacji linii wywołującej u użytkownika wywoływanego podczas wywołania i połączenia, u operatora, do którego sieci jest przyłączony abonent będący stroną umowy z dostawcą usługi;</w:t>
            </w:r>
          </w:p>
          <w:p w14:paraId="0C615F21" w14:textId="372F009A" w:rsidR="00C04931" w:rsidRPr="00E356CE" w:rsidRDefault="483307FF" w:rsidP="2ECB3D4D">
            <w:pPr>
              <w:spacing w:line="360" w:lineRule="auto"/>
              <w:ind w:left="510" w:hanging="510"/>
              <w:jc w:val="both"/>
            </w:pPr>
            <w:r w:rsidRPr="00E356CE">
              <w:t>3)</w:t>
            </w:r>
            <w:r w:rsidR="004E724D" w:rsidRPr="00E356CE">
              <w:tab/>
            </w:r>
            <w:r w:rsidRPr="00E356CE">
              <w:t xml:space="preserve">abonentowi wywoływanemu - możliwość eliminacji dla połączeń przychodzących prezentacji identyfikacji linii wywołującej, a jeżeli taka prezentacja jest dostępna przed rozpoczęciem połączenia przychodzącego, także możliwość blokady połączeń przychodzących </w:t>
            </w:r>
            <w:r w:rsidRPr="00E356CE">
              <w:lastRenderedPageBreak/>
              <w:t>od użytkownika stosującego eliminację prezentacji identyfikacji linii wywołującej.</w:t>
            </w:r>
          </w:p>
          <w:p w14:paraId="31BEA8AC" w14:textId="16CAE85D" w:rsidR="00C04931" w:rsidRPr="00E356CE" w:rsidRDefault="00C04931" w:rsidP="2ECB3D4D">
            <w:pPr>
              <w:pStyle w:val="PKTpunkt"/>
              <w:spacing w:line="240" w:lineRule="auto"/>
              <w:rPr>
                <w:rFonts w:ascii="Times New Roman" w:hAnsi="Times New Roman" w:cs="Times New Roman"/>
              </w:rPr>
            </w:pPr>
          </w:p>
          <w:p w14:paraId="4A594902" w14:textId="48307DD5" w:rsidR="00C04931" w:rsidRPr="00E356CE" w:rsidRDefault="454C4EB3" w:rsidP="2ECB3D4D">
            <w:pPr>
              <w:spacing w:line="360" w:lineRule="auto"/>
              <w:ind w:firstLine="510"/>
              <w:jc w:val="both"/>
            </w:pPr>
            <w:r w:rsidRPr="00E356CE">
              <w:t>6. Z tytułu korzystania przez abonenta z możliwości eliminacji lub blokowania, o których mowa w ust. 2-4, nie pobiera się opłat.</w:t>
            </w:r>
          </w:p>
          <w:p w14:paraId="26734134" w14:textId="428E129B" w:rsidR="00C04931" w:rsidRPr="00E356CE" w:rsidRDefault="00C04931" w:rsidP="2ECB3D4D">
            <w:pPr>
              <w:pStyle w:val="USTustnpkodeksu"/>
              <w:spacing w:line="240" w:lineRule="auto"/>
              <w:ind w:firstLine="0"/>
              <w:rPr>
                <w:rFonts w:ascii="Times New Roman" w:hAnsi="Times New Roman" w:cs="Times New Roman"/>
              </w:rPr>
            </w:pPr>
          </w:p>
        </w:tc>
      </w:tr>
      <w:tr w:rsidR="00723799" w:rsidRPr="00E356CE" w14:paraId="212EF71C" w14:textId="77777777" w:rsidTr="56856880">
        <w:tc>
          <w:tcPr>
            <w:tcW w:w="795" w:type="dxa"/>
            <w:tcBorders>
              <w:top w:val="single" w:sz="4" w:space="0" w:color="auto"/>
              <w:left w:val="single" w:sz="4" w:space="0" w:color="auto"/>
              <w:bottom w:val="single" w:sz="4" w:space="0" w:color="auto"/>
              <w:right w:val="single" w:sz="4" w:space="0" w:color="auto"/>
            </w:tcBorders>
          </w:tcPr>
          <w:p w14:paraId="46FD25CE" w14:textId="77777777" w:rsidR="00C04931" w:rsidRPr="00E356CE" w:rsidRDefault="004E724D" w:rsidP="00A9191A">
            <w:pPr>
              <w:jc w:val="both"/>
            </w:pPr>
            <w:r w:rsidRPr="00E356CE">
              <w:lastRenderedPageBreak/>
              <w:t>Art. 8 ust. 2</w:t>
            </w:r>
          </w:p>
        </w:tc>
        <w:tc>
          <w:tcPr>
            <w:tcW w:w="4719" w:type="dxa"/>
            <w:tcBorders>
              <w:top w:val="single" w:sz="4" w:space="0" w:color="auto"/>
              <w:left w:val="single" w:sz="4" w:space="0" w:color="auto"/>
              <w:bottom w:val="single" w:sz="4" w:space="0" w:color="auto"/>
              <w:right w:val="single" w:sz="4" w:space="0" w:color="auto"/>
            </w:tcBorders>
          </w:tcPr>
          <w:p w14:paraId="78A0343D" w14:textId="77777777" w:rsidR="00C04931" w:rsidRPr="00E356CE" w:rsidRDefault="004E724D" w:rsidP="00A9191A">
            <w:pPr>
              <w:spacing w:before="60" w:after="120"/>
              <w:jc w:val="both"/>
              <w:rPr>
                <w:b/>
                <w:bCs/>
              </w:rPr>
            </w:pPr>
            <w:r w:rsidRPr="00E356CE">
              <w:t>2. W przypadku gdy oferowane jest wyświetlanie identyfikacji rozmów przychodzących, dostawca usług musi zaoferować abonentowi wybieranemu, w sposób prosty i wolny od opłat w przypadku uzasadnionego korzystania z tej funkcji, zablokowanie wyświetlania identyfikacji rozmów przychodzących.</w:t>
            </w:r>
          </w:p>
        </w:tc>
        <w:tc>
          <w:tcPr>
            <w:tcW w:w="886" w:type="dxa"/>
            <w:tcBorders>
              <w:top w:val="single" w:sz="4" w:space="0" w:color="auto"/>
              <w:left w:val="single" w:sz="4" w:space="0" w:color="auto"/>
              <w:bottom w:val="single" w:sz="4" w:space="0" w:color="auto"/>
              <w:right w:val="single" w:sz="4" w:space="0" w:color="auto"/>
            </w:tcBorders>
          </w:tcPr>
          <w:p w14:paraId="3500F149"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0035515E" w14:textId="34ECD144" w:rsidR="00C04931" w:rsidRPr="00E356CE" w:rsidRDefault="004E724D" w:rsidP="00A9191A">
            <w:pPr>
              <w:pStyle w:val="Tekstpodstawowy"/>
              <w:rPr>
                <w:noProof/>
                <w:sz w:val="24"/>
                <w:szCs w:val="24"/>
              </w:rPr>
            </w:pPr>
            <w:r w:rsidRPr="00E356CE">
              <w:rPr>
                <w:noProof/>
                <w:sz w:val="24"/>
                <w:szCs w:val="24"/>
              </w:rPr>
              <w:t>Art. 3</w:t>
            </w:r>
            <w:r w:rsidR="6CCF3B28" w:rsidRPr="00E356CE">
              <w:rPr>
                <w:noProof/>
                <w:sz w:val="24"/>
                <w:szCs w:val="24"/>
              </w:rPr>
              <w:t>92</w:t>
            </w:r>
            <w:r w:rsidRPr="00E356CE">
              <w:rPr>
                <w:noProof/>
                <w:sz w:val="24"/>
                <w:szCs w:val="24"/>
              </w:rPr>
              <w:t xml:space="preserve"> ust. 1, 2 i 6</w:t>
            </w:r>
          </w:p>
        </w:tc>
        <w:tc>
          <w:tcPr>
            <w:tcW w:w="7410" w:type="dxa"/>
            <w:gridSpan w:val="2"/>
            <w:tcBorders>
              <w:top w:val="single" w:sz="4" w:space="0" w:color="auto"/>
              <w:left w:val="single" w:sz="4" w:space="0" w:color="auto"/>
              <w:bottom w:val="single" w:sz="4" w:space="0" w:color="auto"/>
              <w:right w:val="single" w:sz="4" w:space="0" w:color="auto"/>
            </w:tcBorders>
          </w:tcPr>
          <w:p w14:paraId="667412D7" w14:textId="6F5DF7C3" w:rsidR="00C04931" w:rsidRPr="00E356CE" w:rsidRDefault="5CA5373D" w:rsidP="2ECB3D4D">
            <w:pPr>
              <w:spacing w:line="360" w:lineRule="auto"/>
              <w:ind w:firstLine="510"/>
              <w:jc w:val="both"/>
            </w:pPr>
            <w:r w:rsidRPr="00E356CE">
              <w:rPr>
                <w:b/>
                <w:bCs/>
              </w:rPr>
              <w:t>Art. 392.</w:t>
            </w:r>
            <w:r w:rsidRPr="00E356CE">
              <w:t xml:space="preserve"> 1. Operator, w którego sieci świadczone są usługi komunikacji głosowej, zapewnia użytkownikowi końcowemu możliwość prezentacji identyfikacji zakończenia sieci, z którego inicjowane jest połączenie, zwanej dalej „prezentacją identyfikacji linii wywołującej”, przed dokonaniem połączenia.</w:t>
            </w:r>
          </w:p>
          <w:p w14:paraId="74CAF1F4" w14:textId="47C01D02" w:rsidR="00C04931" w:rsidRPr="00E356CE" w:rsidRDefault="5CA5373D" w:rsidP="2ECB3D4D">
            <w:pPr>
              <w:spacing w:line="360" w:lineRule="auto"/>
              <w:ind w:firstLine="510"/>
              <w:jc w:val="both"/>
            </w:pPr>
            <w:r w:rsidRPr="00E356CE">
              <w:t>2. Dostawca usługi komunikacji głosowej umożliwiającej prezentację identyfikacji linii wywołującej jest obowiązany zapewnić za pomocą prostych środków:</w:t>
            </w:r>
          </w:p>
          <w:p w14:paraId="4AEC0332" w14:textId="15E5CB5B" w:rsidR="00C04931" w:rsidRPr="00E356CE" w:rsidRDefault="5CA5373D" w:rsidP="2ECB3D4D">
            <w:pPr>
              <w:spacing w:line="360" w:lineRule="auto"/>
              <w:ind w:left="510" w:hanging="510"/>
              <w:jc w:val="both"/>
            </w:pPr>
            <w:r w:rsidRPr="00E356CE">
              <w:t>1)</w:t>
            </w:r>
            <w:r w:rsidR="004E724D" w:rsidRPr="00E356CE">
              <w:tab/>
            </w:r>
            <w:r w:rsidRPr="00E356CE">
              <w:t>użytkownikowi wywołującemu - możliwość jednorazowego wyeliminowania prezentacji identyfikacji linii wywołującej u użytkownika wywoływanego podczas wywołania i połączenia;</w:t>
            </w:r>
          </w:p>
          <w:p w14:paraId="3C9643B8" w14:textId="43C58535" w:rsidR="00C04931" w:rsidRPr="00E356CE" w:rsidRDefault="5CA5373D" w:rsidP="2ECB3D4D">
            <w:pPr>
              <w:spacing w:line="360" w:lineRule="auto"/>
              <w:ind w:left="510" w:hanging="510"/>
              <w:jc w:val="both"/>
            </w:pPr>
            <w:r w:rsidRPr="00E356CE">
              <w:t>2)</w:t>
            </w:r>
            <w:r w:rsidR="004E724D" w:rsidRPr="00E356CE">
              <w:tab/>
            </w:r>
            <w:r w:rsidRPr="00E356CE">
              <w:t>abonentowi wywołującemu - możliwość stałego wyeliminowania prezentacji identyfikacji linii wywołującej u użytkownika wywoływanego podczas wywołania i połączenia, u operatora, do którego sieci jest przyłączony abonent będący stroną umowy z dostawcą usługi;</w:t>
            </w:r>
          </w:p>
          <w:p w14:paraId="0FC28A0C" w14:textId="372F009A" w:rsidR="00C04931" w:rsidRPr="00E356CE" w:rsidRDefault="5CA5373D" w:rsidP="2ECB3D4D">
            <w:pPr>
              <w:spacing w:line="360" w:lineRule="auto"/>
              <w:ind w:left="510" w:hanging="510"/>
              <w:jc w:val="both"/>
            </w:pPr>
            <w:r w:rsidRPr="00E356CE">
              <w:lastRenderedPageBreak/>
              <w:t>3)</w:t>
            </w:r>
            <w:r w:rsidR="004E724D" w:rsidRPr="00E356CE">
              <w:tab/>
            </w:r>
            <w:r w:rsidRPr="00E356CE">
              <w:t>abonentowi wywoływanemu - możliwość eliminacji dla połączeń przychodzących prezentacji identyfikacji linii wywołującej, a jeżeli taka prezentacja jest dostępna przed rozpoczęciem połączenia przychodzącego, także możliwość blokady połączeń przychodzących od użytkownika stosującego eliminację prezentacji identyfikacji linii wywołującej.</w:t>
            </w:r>
          </w:p>
          <w:p w14:paraId="4026622E" w14:textId="16CAE85D" w:rsidR="00C04931" w:rsidRPr="00E356CE" w:rsidRDefault="00C04931" w:rsidP="2ECB3D4D">
            <w:pPr>
              <w:pStyle w:val="PKTpunkt"/>
              <w:spacing w:line="240" w:lineRule="auto"/>
              <w:rPr>
                <w:rFonts w:ascii="Times New Roman" w:hAnsi="Times New Roman" w:cs="Times New Roman"/>
              </w:rPr>
            </w:pPr>
          </w:p>
          <w:p w14:paraId="2CE69FA3" w14:textId="48307DD5" w:rsidR="00C04931" w:rsidRPr="00E356CE" w:rsidRDefault="5CA5373D" w:rsidP="2ECB3D4D">
            <w:pPr>
              <w:spacing w:line="360" w:lineRule="auto"/>
              <w:ind w:firstLine="510"/>
              <w:jc w:val="both"/>
            </w:pPr>
            <w:r w:rsidRPr="00E356CE">
              <w:t>6. Z tytułu korzystania przez abonenta z możliwości eliminacji lub blokowania, o których mowa w ust. 2-4, nie pobiera się opłat.</w:t>
            </w:r>
          </w:p>
          <w:p w14:paraId="384DF14D" w14:textId="6F97A052" w:rsidR="00C04931" w:rsidRPr="00E356CE" w:rsidRDefault="00C04931" w:rsidP="2ECB3D4D">
            <w:pPr>
              <w:pStyle w:val="USTustnpkodeksu"/>
              <w:spacing w:line="240" w:lineRule="auto"/>
              <w:ind w:firstLine="0"/>
              <w:rPr>
                <w:rFonts w:ascii="Times New Roman" w:hAnsi="Times New Roman" w:cs="Times New Roman"/>
              </w:rPr>
            </w:pPr>
          </w:p>
        </w:tc>
      </w:tr>
      <w:tr w:rsidR="00723799" w:rsidRPr="00E356CE" w14:paraId="1C7E8038" w14:textId="77777777" w:rsidTr="56856880">
        <w:tc>
          <w:tcPr>
            <w:tcW w:w="795" w:type="dxa"/>
            <w:tcBorders>
              <w:top w:val="single" w:sz="4" w:space="0" w:color="auto"/>
              <w:left w:val="single" w:sz="4" w:space="0" w:color="auto"/>
              <w:bottom w:val="single" w:sz="4" w:space="0" w:color="auto"/>
              <w:right w:val="single" w:sz="4" w:space="0" w:color="auto"/>
            </w:tcBorders>
          </w:tcPr>
          <w:p w14:paraId="21CAA260" w14:textId="77777777" w:rsidR="00C04931" w:rsidRPr="00E356CE" w:rsidRDefault="004E724D" w:rsidP="00A9191A">
            <w:pPr>
              <w:jc w:val="both"/>
            </w:pPr>
            <w:r w:rsidRPr="00E356CE">
              <w:lastRenderedPageBreak/>
              <w:t>Art. 8 ust. 3</w:t>
            </w:r>
          </w:p>
        </w:tc>
        <w:tc>
          <w:tcPr>
            <w:tcW w:w="4719" w:type="dxa"/>
            <w:tcBorders>
              <w:top w:val="single" w:sz="4" w:space="0" w:color="auto"/>
              <w:left w:val="single" w:sz="4" w:space="0" w:color="auto"/>
              <w:bottom w:val="single" w:sz="4" w:space="0" w:color="auto"/>
              <w:right w:val="single" w:sz="4" w:space="0" w:color="auto"/>
            </w:tcBorders>
          </w:tcPr>
          <w:p w14:paraId="75C3EF00" w14:textId="77777777" w:rsidR="00C04931" w:rsidRPr="00E356CE" w:rsidRDefault="004E724D" w:rsidP="00A9191A">
            <w:pPr>
              <w:spacing w:before="60" w:after="120"/>
              <w:jc w:val="both"/>
              <w:rPr>
                <w:b/>
                <w:bCs/>
              </w:rPr>
            </w:pPr>
            <w:r w:rsidRPr="00E356CE">
              <w:t>3. W przypadku gdy oferowane jest wyświetlanie identyfikacji rozmów przychodzących oraz w przypadku gdy wyświetlenie identyfikacji rozmowy przychodzącej następuje przed rozpoczęciem połączenia, dostawca usługi musi zaoferować abonentowi wybieranemu możliwość odrzucenia, w prosty sposób, rozmów przychodzących, gdy wyświetlanie identyfikacji rozmowy przychodzącej zostało zablokowane przez użytkownika lub abonenta wybierającego.</w:t>
            </w:r>
          </w:p>
        </w:tc>
        <w:tc>
          <w:tcPr>
            <w:tcW w:w="886" w:type="dxa"/>
            <w:tcBorders>
              <w:top w:val="single" w:sz="4" w:space="0" w:color="auto"/>
              <w:left w:val="single" w:sz="4" w:space="0" w:color="auto"/>
              <w:bottom w:val="single" w:sz="4" w:space="0" w:color="auto"/>
              <w:right w:val="single" w:sz="4" w:space="0" w:color="auto"/>
            </w:tcBorders>
          </w:tcPr>
          <w:p w14:paraId="78B4C0B1"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49514381" w14:textId="08C7D4DA" w:rsidR="00C04931" w:rsidRPr="00E356CE" w:rsidRDefault="004E724D" w:rsidP="00A9191A">
            <w:pPr>
              <w:pStyle w:val="Tekstpodstawowy"/>
              <w:rPr>
                <w:noProof/>
                <w:sz w:val="24"/>
                <w:szCs w:val="24"/>
              </w:rPr>
            </w:pPr>
            <w:r w:rsidRPr="00E356CE">
              <w:rPr>
                <w:noProof/>
                <w:sz w:val="24"/>
                <w:szCs w:val="24"/>
              </w:rPr>
              <w:t>Art. 3</w:t>
            </w:r>
            <w:r w:rsidR="103A2E8B" w:rsidRPr="00E356CE">
              <w:rPr>
                <w:noProof/>
                <w:sz w:val="24"/>
                <w:szCs w:val="24"/>
              </w:rPr>
              <w:t>92</w:t>
            </w:r>
            <w:r w:rsidRPr="00E356CE">
              <w:rPr>
                <w:noProof/>
                <w:sz w:val="24"/>
                <w:szCs w:val="24"/>
              </w:rPr>
              <w:t xml:space="preserve"> ust. 1, 2 i 6</w:t>
            </w:r>
          </w:p>
        </w:tc>
        <w:tc>
          <w:tcPr>
            <w:tcW w:w="7410" w:type="dxa"/>
            <w:gridSpan w:val="2"/>
            <w:tcBorders>
              <w:top w:val="single" w:sz="4" w:space="0" w:color="auto"/>
              <w:left w:val="single" w:sz="4" w:space="0" w:color="auto"/>
              <w:bottom w:val="single" w:sz="4" w:space="0" w:color="auto"/>
              <w:right w:val="single" w:sz="4" w:space="0" w:color="auto"/>
            </w:tcBorders>
          </w:tcPr>
          <w:p w14:paraId="06BC5322" w14:textId="6F5DF7C3" w:rsidR="00C04931" w:rsidRPr="00E356CE" w:rsidRDefault="023CAD69" w:rsidP="2ECB3D4D">
            <w:pPr>
              <w:spacing w:line="360" w:lineRule="auto"/>
              <w:ind w:firstLine="510"/>
              <w:jc w:val="both"/>
            </w:pPr>
            <w:r w:rsidRPr="00E356CE">
              <w:rPr>
                <w:b/>
                <w:bCs/>
              </w:rPr>
              <w:t>Art. 392.</w:t>
            </w:r>
            <w:r w:rsidRPr="00E356CE">
              <w:t xml:space="preserve"> 1. Operator, w którego sieci świadczone są usługi komunikacji głosowej, zapewnia użytkownikowi końcowemu możliwość prezentacji identyfikacji zakończenia sieci, z którego inicjowane jest połączenie, zwanej dalej „prezentacją identyfikacji linii wywołującej”, przed dokonaniem połączenia.</w:t>
            </w:r>
          </w:p>
          <w:p w14:paraId="56D546A5" w14:textId="47C01D02" w:rsidR="00C04931" w:rsidRPr="00E356CE" w:rsidRDefault="023CAD69" w:rsidP="2ECB3D4D">
            <w:pPr>
              <w:spacing w:line="360" w:lineRule="auto"/>
              <w:ind w:firstLine="510"/>
              <w:jc w:val="both"/>
            </w:pPr>
            <w:r w:rsidRPr="00E356CE">
              <w:t>2. Dostawca usługi komunikacji głosowej umożliwiającej prezentację identyfikacji linii wywołującej jest obowiązany zapewnić za pomocą prostych środków:</w:t>
            </w:r>
          </w:p>
          <w:p w14:paraId="6B05E655" w14:textId="15E5CB5B" w:rsidR="00C04931" w:rsidRPr="00E356CE" w:rsidRDefault="023CAD69" w:rsidP="2ECB3D4D">
            <w:pPr>
              <w:spacing w:line="360" w:lineRule="auto"/>
              <w:ind w:left="510" w:hanging="510"/>
              <w:jc w:val="both"/>
            </w:pPr>
            <w:r w:rsidRPr="00E356CE">
              <w:t>1)</w:t>
            </w:r>
            <w:r w:rsidR="004E724D" w:rsidRPr="00E356CE">
              <w:tab/>
            </w:r>
            <w:r w:rsidRPr="00E356CE">
              <w:t>użytkownikowi wywołującemu - możliwość jednorazowego wyeliminowania prezentacji identyfikacji linii wywołującej u użytkownika wywoływanego podczas wywołania i połączenia;</w:t>
            </w:r>
          </w:p>
          <w:p w14:paraId="186AC02D" w14:textId="43C58535" w:rsidR="00C04931" w:rsidRPr="00E356CE" w:rsidRDefault="023CAD69" w:rsidP="2ECB3D4D">
            <w:pPr>
              <w:spacing w:line="360" w:lineRule="auto"/>
              <w:ind w:left="510" w:hanging="510"/>
              <w:jc w:val="both"/>
            </w:pPr>
            <w:r w:rsidRPr="00E356CE">
              <w:lastRenderedPageBreak/>
              <w:t>2)</w:t>
            </w:r>
            <w:r w:rsidR="004E724D" w:rsidRPr="00E356CE">
              <w:tab/>
            </w:r>
            <w:r w:rsidRPr="00E356CE">
              <w:t>abonentowi wywołującemu - możliwość stałego wyeliminowania prezentacji identyfikacji linii wywołującej u użytkownika wywoływanego podczas wywołania i połączenia, u operatora, do którego sieci jest przyłączony abonent będący stroną umowy z dostawcą usługi;</w:t>
            </w:r>
          </w:p>
          <w:p w14:paraId="05C7FBA6" w14:textId="372F009A" w:rsidR="00C04931" w:rsidRPr="00E356CE" w:rsidRDefault="023CAD69" w:rsidP="2ECB3D4D">
            <w:pPr>
              <w:spacing w:line="360" w:lineRule="auto"/>
              <w:ind w:left="510" w:hanging="510"/>
              <w:jc w:val="both"/>
            </w:pPr>
            <w:r w:rsidRPr="00E356CE">
              <w:t>3)</w:t>
            </w:r>
            <w:r w:rsidR="004E724D" w:rsidRPr="00E356CE">
              <w:tab/>
            </w:r>
            <w:r w:rsidRPr="00E356CE">
              <w:t>abonentowi wywoływanemu - możliwość eliminacji dla połączeń przychodzących prezentacji identyfikacji linii wywołującej, a jeżeli taka prezentacja jest dostępna przed rozpoczęciem połączenia przychodzącego, także możliwość blokady połączeń przychodzących od użytkownika stosującego eliminację prezentacji identyfikacji linii wywołującej.</w:t>
            </w:r>
          </w:p>
          <w:p w14:paraId="4DCBAD81" w14:textId="16CAE85D" w:rsidR="00C04931" w:rsidRPr="00E356CE" w:rsidRDefault="00C04931" w:rsidP="2ECB3D4D">
            <w:pPr>
              <w:pStyle w:val="PKTpunkt"/>
              <w:spacing w:line="240" w:lineRule="auto"/>
              <w:rPr>
                <w:rFonts w:ascii="Times New Roman" w:hAnsi="Times New Roman" w:cs="Times New Roman"/>
              </w:rPr>
            </w:pPr>
          </w:p>
          <w:p w14:paraId="53649DC5" w14:textId="48307DD5" w:rsidR="00C04931" w:rsidRPr="00E356CE" w:rsidRDefault="023CAD69" w:rsidP="2ECB3D4D">
            <w:pPr>
              <w:spacing w:line="360" w:lineRule="auto"/>
              <w:ind w:firstLine="510"/>
              <w:jc w:val="both"/>
            </w:pPr>
            <w:r w:rsidRPr="00E356CE">
              <w:t>6. Z tytułu korzystania przez abonenta z możliwości eliminacji lub blokowania, o których mowa w ust. 2-4, nie pobiera się opłat.</w:t>
            </w:r>
          </w:p>
          <w:p w14:paraId="5838F792" w14:textId="5EA436B8" w:rsidR="00C04931" w:rsidRPr="00E356CE" w:rsidRDefault="00C04931" w:rsidP="2ECB3D4D">
            <w:pPr>
              <w:jc w:val="both"/>
            </w:pPr>
          </w:p>
        </w:tc>
      </w:tr>
      <w:tr w:rsidR="00723799" w:rsidRPr="00E356CE" w14:paraId="14C2B526" w14:textId="77777777" w:rsidTr="56856880">
        <w:tc>
          <w:tcPr>
            <w:tcW w:w="795" w:type="dxa"/>
            <w:tcBorders>
              <w:top w:val="single" w:sz="4" w:space="0" w:color="auto"/>
              <w:left w:val="single" w:sz="4" w:space="0" w:color="auto"/>
              <w:bottom w:val="single" w:sz="4" w:space="0" w:color="auto"/>
              <w:right w:val="single" w:sz="4" w:space="0" w:color="auto"/>
            </w:tcBorders>
          </w:tcPr>
          <w:p w14:paraId="3C09B890" w14:textId="77777777" w:rsidR="00C04931" w:rsidRPr="00E356CE" w:rsidRDefault="004E724D" w:rsidP="00A9191A">
            <w:pPr>
              <w:jc w:val="both"/>
            </w:pPr>
            <w:r w:rsidRPr="00E356CE">
              <w:lastRenderedPageBreak/>
              <w:t>Art. 8 ust. 4</w:t>
            </w:r>
          </w:p>
        </w:tc>
        <w:tc>
          <w:tcPr>
            <w:tcW w:w="4719" w:type="dxa"/>
            <w:tcBorders>
              <w:top w:val="single" w:sz="4" w:space="0" w:color="auto"/>
              <w:left w:val="single" w:sz="4" w:space="0" w:color="auto"/>
              <w:bottom w:val="single" w:sz="4" w:space="0" w:color="auto"/>
              <w:right w:val="single" w:sz="4" w:space="0" w:color="auto"/>
            </w:tcBorders>
          </w:tcPr>
          <w:p w14:paraId="5BFA4C72" w14:textId="77777777" w:rsidR="00C04931" w:rsidRPr="00E356CE" w:rsidRDefault="004E724D" w:rsidP="00A9191A">
            <w:pPr>
              <w:spacing w:before="60" w:after="120"/>
              <w:jc w:val="both"/>
              <w:rPr>
                <w:b/>
                <w:bCs/>
              </w:rPr>
            </w:pPr>
            <w:r w:rsidRPr="00E356CE">
              <w:t>4. W przypadku gdy oferowane jest wyświetlanie identyfikacji rozmów wychodzących, dostawca usług musi zaoferować abonentowi wybieranemu, w sposób prosty i wolny od opłat, zablokowanie wyświetlania identyfikacji rozmów wychodzących u użytkownika wybierającego.</w:t>
            </w:r>
          </w:p>
        </w:tc>
        <w:tc>
          <w:tcPr>
            <w:tcW w:w="886" w:type="dxa"/>
            <w:tcBorders>
              <w:top w:val="single" w:sz="4" w:space="0" w:color="auto"/>
              <w:left w:val="single" w:sz="4" w:space="0" w:color="auto"/>
              <w:bottom w:val="single" w:sz="4" w:space="0" w:color="auto"/>
              <w:right w:val="single" w:sz="4" w:space="0" w:color="auto"/>
            </w:tcBorders>
          </w:tcPr>
          <w:p w14:paraId="2C538CFA"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C542B50" w14:textId="224BE204" w:rsidR="00C04931" w:rsidRPr="00E356CE" w:rsidRDefault="004E724D" w:rsidP="2ECB3D4D">
            <w:pPr>
              <w:pStyle w:val="Tekstpodstawowy"/>
              <w:rPr>
                <w:noProof/>
                <w:sz w:val="24"/>
                <w:szCs w:val="24"/>
              </w:rPr>
            </w:pPr>
            <w:r w:rsidRPr="00E356CE">
              <w:rPr>
                <w:sz w:val="24"/>
                <w:szCs w:val="24"/>
              </w:rPr>
              <w:t>Art. 3</w:t>
            </w:r>
            <w:r w:rsidR="06993068" w:rsidRPr="00E356CE">
              <w:rPr>
                <w:sz w:val="24"/>
                <w:szCs w:val="24"/>
              </w:rPr>
              <w:t>92</w:t>
            </w:r>
            <w:r w:rsidRPr="00E356CE">
              <w:rPr>
                <w:sz w:val="24"/>
                <w:szCs w:val="24"/>
              </w:rPr>
              <w:t xml:space="preserve"> ust. 3-6</w:t>
            </w:r>
          </w:p>
        </w:tc>
        <w:tc>
          <w:tcPr>
            <w:tcW w:w="7410" w:type="dxa"/>
            <w:gridSpan w:val="2"/>
            <w:tcBorders>
              <w:top w:val="single" w:sz="4" w:space="0" w:color="auto"/>
              <w:left w:val="single" w:sz="4" w:space="0" w:color="auto"/>
              <w:bottom w:val="single" w:sz="4" w:space="0" w:color="auto"/>
              <w:right w:val="single" w:sz="4" w:space="0" w:color="auto"/>
            </w:tcBorders>
          </w:tcPr>
          <w:p w14:paraId="0E1714B1" w14:textId="43CB883D" w:rsidR="00C04931" w:rsidRPr="00E356CE" w:rsidRDefault="3654D1F3" w:rsidP="2ECB3D4D">
            <w:pPr>
              <w:spacing w:line="360" w:lineRule="auto"/>
              <w:ind w:firstLine="510"/>
              <w:jc w:val="both"/>
            </w:pPr>
            <w:r w:rsidRPr="00E356CE">
              <w:t>3. Dostawca usługi komunikacji głosowej zapewniającej prezentację identyfikacji zakończenia sieci, do której zostało przekierowane połączenie, zwaną dalej „prezentacją identyfikacji linii wywoływanej”, jest obowiązany zapewnić abonentowi wywoływanemu możliwość eliminacji, za pomocą prostych środków, prezentacji identyfikacji linii wywoływanej u użytkownika wywołującego.</w:t>
            </w:r>
          </w:p>
          <w:p w14:paraId="29E30AD1" w14:textId="6B7D5AAA" w:rsidR="00C04931" w:rsidRPr="00E356CE" w:rsidRDefault="3654D1F3" w:rsidP="2ECB3D4D">
            <w:pPr>
              <w:spacing w:line="360" w:lineRule="auto"/>
              <w:ind w:firstLine="510"/>
              <w:jc w:val="both"/>
            </w:pPr>
            <w:r w:rsidRPr="00E356CE">
              <w:lastRenderedPageBreak/>
              <w:t xml:space="preserve">4. Dostawca usługi komunikacji głosowej zapewniającej automatyczne przekazywanie </w:t>
            </w:r>
            <w:proofErr w:type="spellStart"/>
            <w:r w:rsidRPr="00E356CE">
              <w:t>wywołań</w:t>
            </w:r>
            <w:proofErr w:type="spellEnd"/>
            <w:r w:rsidRPr="00E356CE">
              <w:t xml:space="preserve"> jest obowiązany zapewnić abonentowi możliwość zablokowania, za pomocą prostych środków, automatycznego przekazywania przez osobę trzecią </w:t>
            </w:r>
            <w:proofErr w:type="spellStart"/>
            <w:r w:rsidRPr="00E356CE">
              <w:t>wywołań</w:t>
            </w:r>
            <w:proofErr w:type="spellEnd"/>
            <w:r w:rsidRPr="00E356CE">
              <w:t xml:space="preserve"> do telekomunikacyjnego urządzenia końcowego tego abonenta.</w:t>
            </w:r>
          </w:p>
          <w:p w14:paraId="57982E0A" w14:textId="583C2E70" w:rsidR="00C04931" w:rsidRPr="00E356CE" w:rsidRDefault="3654D1F3" w:rsidP="2ECB3D4D">
            <w:pPr>
              <w:spacing w:line="360" w:lineRule="auto"/>
              <w:ind w:firstLine="510"/>
              <w:jc w:val="both"/>
            </w:pPr>
            <w:r w:rsidRPr="00E356CE">
              <w:t>5. Dostawca usługi komunikacji głosowej jest obowiązany do poinformowania abonentów, że wykorzystywana przez niego sieć telekomunikacyjna zapewnia prezentację identyfikacji linii wywołującej lub wywoływanej, a także o możliwościach, o których mowa w ust. 2-4.</w:t>
            </w:r>
          </w:p>
          <w:p w14:paraId="0FE62FC5" w14:textId="62052657" w:rsidR="00C04931" w:rsidRPr="00E356CE" w:rsidRDefault="3654D1F3" w:rsidP="2ECB3D4D">
            <w:pPr>
              <w:spacing w:line="360" w:lineRule="auto"/>
              <w:ind w:firstLine="510"/>
              <w:jc w:val="both"/>
            </w:pPr>
            <w:r w:rsidRPr="00E356CE">
              <w:t>6. Z tytułu korzystania przez abonenta z możliwości eliminacji lub blokowania, o których mowa w ust. 2-4, nie pobiera się opłat.</w:t>
            </w:r>
          </w:p>
          <w:p w14:paraId="3F350FE4" w14:textId="575A2C71" w:rsidR="00C04931" w:rsidRPr="00E356CE" w:rsidRDefault="004E724D" w:rsidP="2ECB3D4D">
            <w:r w:rsidRPr="00E356CE">
              <w:br/>
            </w:r>
          </w:p>
          <w:p w14:paraId="69559F07" w14:textId="7E7FF96B" w:rsidR="00C04931" w:rsidRPr="00E356CE" w:rsidRDefault="00C04931" w:rsidP="2ECB3D4D">
            <w:pPr>
              <w:pStyle w:val="ARTartustawynprozporzdzenia"/>
              <w:spacing w:line="240" w:lineRule="auto"/>
              <w:ind w:firstLine="0"/>
              <w:rPr>
                <w:rFonts w:ascii="Times New Roman" w:hAnsi="Times New Roman" w:cs="Times New Roman"/>
              </w:rPr>
            </w:pPr>
          </w:p>
        </w:tc>
      </w:tr>
      <w:tr w:rsidR="00723799" w:rsidRPr="00E356CE" w14:paraId="70190B11" w14:textId="77777777" w:rsidTr="56856880">
        <w:tc>
          <w:tcPr>
            <w:tcW w:w="795" w:type="dxa"/>
            <w:tcBorders>
              <w:top w:val="single" w:sz="4" w:space="0" w:color="auto"/>
              <w:left w:val="single" w:sz="4" w:space="0" w:color="auto"/>
              <w:bottom w:val="single" w:sz="4" w:space="0" w:color="auto"/>
              <w:right w:val="single" w:sz="4" w:space="0" w:color="auto"/>
            </w:tcBorders>
          </w:tcPr>
          <w:p w14:paraId="0CAC31F9" w14:textId="77777777" w:rsidR="00C04931" w:rsidRPr="00E356CE" w:rsidRDefault="004E724D" w:rsidP="00A9191A">
            <w:pPr>
              <w:jc w:val="both"/>
            </w:pPr>
            <w:r w:rsidRPr="00E356CE">
              <w:lastRenderedPageBreak/>
              <w:t>Art. 8 ust. 5</w:t>
            </w:r>
          </w:p>
        </w:tc>
        <w:tc>
          <w:tcPr>
            <w:tcW w:w="4719" w:type="dxa"/>
            <w:tcBorders>
              <w:top w:val="single" w:sz="4" w:space="0" w:color="auto"/>
              <w:left w:val="single" w:sz="4" w:space="0" w:color="auto"/>
              <w:bottom w:val="single" w:sz="4" w:space="0" w:color="auto"/>
              <w:right w:val="single" w:sz="4" w:space="0" w:color="auto"/>
            </w:tcBorders>
          </w:tcPr>
          <w:p w14:paraId="4505D5A7" w14:textId="77777777" w:rsidR="00C04931" w:rsidRPr="00E356CE" w:rsidRDefault="004E724D" w:rsidP="00A9191A">
            <w:pPr>
              <w:spacing w:before="60" w:after="120"/>
              <w:jc w:val="both"/>
              <w:rPr>
                <w:b/>
                <w:bCs/>
              </w:rPr>
            </w:pPr>
            <w:r w:rsidRPr="00E356CE">
              <w:t>5. Przepisy ust. 1 stosuje się również w odniesieniu do połączeń do państw trzecich wychodzących ze Wspólnoty. Przepisy ust. 2, 3 i 4 stosuje się również do rozmów przychodzących z państw trzecich.</w:t>
            </w:r>
          </w:p>
        </w:tc>
        <w:tc>
          <w:tcPr>
            <w:tcW w:w="886" w:type="dxa"/>
            <w:tcBorders>
              <w:top w:val="single" w:sz="4" w:space="0" w:color="auto"/>
              <w:left w:val="single" w:sz="4" w:space="0" w:color="auto"/>
              <w:bottom w:val="single" w:sz="4" w:space="0" w:color="auto"/>
              <w:right w:val="single" w:sz="4" w:space="0" w:color="auto"/>
            </w:tcBorders>
          </w:tcPr>
          <w:p w14:paraId="0BE24A5A" w14:textId="77777777" w:rsidR="00C04931"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034B1AA4"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7349C50A" w14:textId="52E1D46F" w:rsidR="00C04931" w:rsidRPr="00E356CE" w:rsidRDefault="004E724D" w:rsidP="00A9191A">
            <w:pPr>
              <w:jc w:val="both"/>
            </w:pPr>
            <w:r w:rsidRPr="00E356CE">
              <w:t>Art. 3</w:t>
            </w:r>
            <w:r w:rsidR="60EA3208" w:rsidRPr="00E356CE">
              <w:t>92</w:t>
            </w:r>
            <w:r w:rsidRPr="00E356CE">
              <w:t xml:space="preserve"> nie różnicuje połączeń wewnątrzkrajowych i międzynarodowych</w:t>
            </w:r>
          </w:p>
        </w:tc>
      </w:tr>
      <w:tr w:rsidR="00723799" w:rsidRPr="00E356CE" w14:paraId="42D7085C" w14:textId="77777777" w:rsidTr="56856880">
        <w:tc>
          <w:tcPr>
            <w:tcW w:w="795" w:type="dxa"/>
            <w:tcBorders>
              <w:top w:val="single" w:sz="4" w:space="0" w:color="auto"/>
              <w:left w:val="single" w:sz="4" w:space="0" w:color="auto"/>
              <w:bottom w:val="single" w:sz="4" w:space="0" w:color="auto"/>
              <w:right w:val="single" w:sz="4" w:space="0" w:color="auto"/>
            </w:tcBorders>
          </w:tcPr>
          <w:p w14:paraId="0BCA7474" w14:textId="77777777" w:rsidR="00C04931" w:rsidRPr="00E356CE" w:rsidRDefault="004E724D" w:rsidP="00A9191A">
            <w:pPr>
              <w:jc w:val="both"/>
            </w:pPr>
            <w:r w:rsidRPr="00E356CE">
              <w:t>Art. 8 ust. 6</w:t>
            </w:r>
          </w:p>
        </w:tc>
        <w:tc>
          <w:tcPr>
            <w:tcW w:w="4719" w:type="dxa"/>
            <w:tcBorders>
              <w:top w:val="single" w:sz="4" w:space="0" w:color="auto"/>
              <w:left w:val="single" w:sz="4" w:space="0" w:color="auto"/>
              <w:bottom w:val="single" w:sz="4" w:space="0" w:color="auto"/>
              <w:right w:val="single" w:sz="4" w:space="0" w:color="auto"/>
            </w:tcBorders>
          </w:tcPr>
          <w:p w14:paraId="70E2418E" w14:textId="77777777" w:rsidR="00C04931" w:rsidRPr="00E356CE" w:rsidRDefault="004E724D" w:rsidP="00A9191A">
            <w:pPr>
              <w:spacing w:before="60" w:after="120"/>
              <w:jc w:val="both"/>
              <w:rPr>
                <w:b/>
                <w:bCs/>
              </w:rPr>
            </w:pPr>
            <w:r w:rsidRPr="00E356CE">
              <w:t xml:space="preserve">6. W przypadku gdy oferowane jest wyświetlanie identyfikacji rozmów przychodzących i/lub wychodzących Państwa Członkowskie zapewniają, że dostawcy publicznie dostępnych usług łączności elektronicznej podają do wiadomości publicznej </w:t>
            </w:r>
            <w:r w:rsidRPr="00E356CE">
              <w:lastRenderedPageBreak/>
              <w:t>informację na ten temat oraz na temat możliwości określonych w ust. 1–3 i 4.</w:t>
            </w:r>
          </w:p>
        </w:tc>
        <w:tc>
          <w:tcPr>
            <w:tcW w:w="886" w:type="dxa"/>
            <w:tcBorders>
              <w:top w:val="single" w:sz="4" w:space="0" w:color="auto"/>
              <w:left w:val="single" w:sz="4" w:space="0" w:color="auto"/>
              <w:bottom w:val="single" w:sz="4" w:space="0" w:color="auto"/>
              <w:right w:val="single" w:sz="4" w:space="0" w:color="auto"/>
            </w:tcBorders>
          </w:tcPr>
          <w:p w14:paraId="32F9E65D"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38074857" w14:textId="62ABD1CC" w:rsidR="00C04931" w:rsidRPr="00E356CE" w:rsidRDefault="004E724D" w:rsidP="00A9191A">
            <w:pPr>
              <w:pStyle w:val="Tekstpodstawowy"/>
              <w:rPr>
                <w:noProof/>
                <w:sz w:val="24"/>
                <w:szCs w:val="24"/>
              </w:rPr>
            </w:pPr>
            <w:r w:rsidRPr="00E356CE">
              <w:rPr>
                <w:noProof/>
                <w:sz w:val="24"/>
                <w:szCs w:val="24"/>
              </w:rPr>
              <w:t>Art. 3</w:t>
            </w:r>
            <w:r w:rsidR="007888FB" w:rsidRPr="00E356CE">
              <w:rPr>
                <w:noProof/>
                <w:sz w:val="24"/>
                <w:szCs w:val="24"/>
              </w:rPr>
              <w:t>92</w:t>
            </w:r>
            <w:r w:rsidRPr="00E356CE">
              <w:rPr>
                <w:noProof/>
                <w:sz w:val="24"/>
                <w:szCs w:val="24"/>
              </w:rPr>
              <w:t xml:space="preserve"> ust. 5</w:t>
            </w:r>
          </w:p>
        </w:tc>
        <w:tc>
          <w:tcPr>
            <w:tcW w:w="7410" w:type="dxa"/>
            <w:gridSpan w:val="2"/>
            <w:tcBorders>
              <w:top w:val="single" w:sz="4" w:space="0" w:color="auto"/>
              <w:left w:val="single" w:sz="4" w:space="0" w:color="auto"/>
              <w:bottom w:val="single" w:sz="4" w:space="0" w:color="auto"/>
              <w:right w:val="single" w:sz="4" w:space="0" w:color="auto"/>
            </w:tcBorders>
          </w:tcPr>
          <w:p w14:paraId="179F96D6" w14:textId="6FAC7039" w:rsidR="6E6A8E1F" w:rsidRPr="00E356CE" w:rsidRDefault="6E6A8E1F" w:rsidP="2ECB3D4D">
            <w:pPr>
              <w:spacing w:line="360" w:lineRule="auto"/>
              <w:ind w:firstLine="510"/>
              <w:jc w:val="both"/>
            </w:pPr>
            <w:r w:rsidRPr="00E356CE">
              <w:t>5. Dostawca usługi komunikacji głosowej jest obowiązany do poinformowania abonentów, że wykorzystywana przez niego sieć telekomunikacyjna zapewnia prezentację identyfikacji linii wywołującej lub wywoływanej, a także o możliwościach, o których mowa w ust. 2-4.</w:t>
            </w:r>
          </w:p>
          <w:p w14:paraId="59B6011D" w14:textId="0C17CD2A" w:rsidR="2ECB3D4D" w:rsidRPr="00E356CE" w:rsidRDefault="2ECB3D4D" w:rsidP="2ECB3D4D">
            <w:pPr>
              <w:pStyle w:val="USTustnpkodeksu"/>
              <w:spacing w:line="240" w:lineRule="auto"/>
              <w:ind w:firstLine="0"/>
              <w:rPr>
                <w:rFonts w:ascii="Times New Roman" w:hAnsi="Times New Roman" w:cs="Times New Roman"/>
              </w:rPr>
            </w:pPr>
          </w:p>
          <w:p w14:paraId="5F8D17CD" w14:textId="77777777" w:rsidR="00C04931" w:rsidRPr="00E356CE" w:rsidRDefault="00C04931" w:rsidP="00A9191A">
            <w:pPr>
              <w:jc w:val="both"/>
            </w:pPr>
          </w:p>
        </w:tc>
      </w:tr>
      <w:tr w:rsidR="00723799" w:rsidRPr="00E356CE" w14:paraId="6E742CD1" w14:textId="77777777" w:rsidTr="56856880">
        <w:tc>
          <w:tcPr>
            <w:tcW w:w="795" w:type="dxa"/>
            <w:tcBorders>
              <w:top w:val="single" w:sz="4" w:space="0" w:color="auto"/>
              <w:left w:val="single" w:sz="4" w:space="0" w:color="auto"/>
              <w:bottom w:val="single" w:sz="4" w:space="0" w:color="auto"/>
              <w:right w:val="single" w:sz="4" w:space="0" w:color="auto"/>
            </w:tcBorders>
          </w:tcPr>
          <w:p w14:paraId="4E68990C" w14:textId="77777777" w:rsidR="00C04931" w:rsidRPr="00E356CE" w:rsidRDefault="004E724D" w:rsidP="00A9191A">
            <w:pPr>
              <w:jc w:val="both"/>
              <w:rPr>
                <w:b/>
              </w:rPr>
            </w:pPr>
            <w:r w:rsidRPr="00E356CE">
              <w:rPr>
                <w:b/>
              </w:rPr>
              <w:lastRenderedPageBreak/>
              <w:t>Art. 9</w:t>
            </w:r>
          </w:p>
        </w:tc>
        <w:tc>
          <w:tcPr>
            <w:tcW w:w="4719" w:type="dxa"/>
            <w:tcBorders>
              <w:top w:val="single" w:sz="4" w:space="0" w:color="auto"/>
              <w:left w:val="single" w:sz="4" w:space="0" w:color="auto"/>
              <w:bottom w:val="single" w:sz="4" w:space="0" w:color="auto"/>
              <w:right w:val="single" w:sz="4" w:space="0" w:color="auto"/>
            </w:tcBorders>
          </w:tcPr>
          <w:p w14:paraId="1DC44338" w14:textId="77777777" w:rsidR="00C04931" w:rsidRPr="00E356CE" w:rsidRDefault="004E724D" w:rsidP="00A9191A">
            <w:pPr>
              <w:spacing w:before="60" w:after="120"/>
              <w:jc w:val="both"/>
              <w:rPr>
                <w:b/>
                <w:bCs/>
              </w:rPr>
            </w:pPr>
            <w:r w:rsidRPr="00E356CE">
              <w:rPr>
                <w:b/>
              </w:rPr>
              <w:t>Dane dotyczące lokalizacji inne niż dane o ruchu</w:t>
            </w:r>
          </w:p>
        </w:tc>
        <w:tc>
          <w:tcPr>
            <w:tcW w:w="886" w:type="dxa"/>
            <w:tcBorders>
              <w:top w:val="single" w:sz="4" w:space="0" w:color="auto"/>
              <w:left w:val="single" w:sz="4" w:space="0" w:color="auto"/>
              <w:bottom w:val="single" w:sz="4" w:space="0" w:color="auto"/>
              <w:right w:val="single" w:sz="4" w:space="0" w:color="auto"/>
            </w:tcBorders>
          </w:tcPr>
          <w:p w14:paraId="0D53775D"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5616F137"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930C14B" w14:textId="77777777" w:rsidR="00C04931" w:rsidRPr="00E356CE" w:rsidRDefault="00C04931" w:rsidP="00A9191A">
            <w:pPr>
              <w:jc w:val="both"/>
            </w:pPr>
          </w:p>
        </w:tc>
      </w:tr>
      <w:tr w:rsidR="00723799" w:rsidRPr="00E356CE" w14:paraId="2E5E0364" w14:textId="77777777" w:rsidTr="56856880">
        <w:tc>
          <w:tcPr>
            <w:tcW w:w="795" w:type="dxa"/>
            <w:tcBorders>
              <w:top w:val="single" w:sz="4" w:space="0" w:color="auto"/>
              <w:left w:val="single" w:sz="4" w:space="0" w:color="auto"/>
              <w:bottom w:val="single" w:sz="4" w:space="0" w:color="auto"/>
              <w:right w:val="single" w:sz="4" w:space="0" w:color="auto"/>
            </w:tcBorders>
          </w:tcPr>
          <w:p w14:paraId="79E82E35" w14:textId="77777777" w:rsidR="00C04931" w:rsidRPr="00E356CE" w:rsidRDefault="004E724D" w:rsidP="00A9191A">
            <w:pPr>
              <w:jc w:val="both"/>
            </w:pPr>
            <w:r w:rsidRPr="00E356CE">
              <w:t>Art. 9</w:t>
            </w:r>
            <w:r w:rsidR="00BD4EF3" w:rsidRPr="00E356CE">
              <w:t xml:space="preserve"> ust. 1</w:t>
            </w:r>
          </w:p>
        </w:tc>
        <w:tc>
          <w:tcPr>
            <w:tcW w:w="4719" w:type="dxa"/>
            <w:tcBorders>
              <w:top w:val="single" w:sz="4" w:space="0" w:color="auto"/>
              <w:left w:val="single" w:sz="4" w:space="0" w:color="auto"/>
              <w:bottom w:val="single" w:sz="4" w:space="0" w:color="auto"/>
              <w:right w:val="single" w:sz="4" w:space="0" w:color="auto"/>
            </w:tcBorders>
          </w:tcPr>
          <w:p w14:paraId="5B4190D4" w14:textId="77777777" w:rsidR="00C04931" w:rsidRPr="00E356CE" w:rsidRDefault="004E724D" w:rsidP="00A9191A">
            <w:pPr>
              <w:spacing w:before="60" w:after="120"/>
              <w:jc w:val="both"/>
              <w:rPr>
                <w:b/>
                <w:bCs/>
              </w:rPr>
            </w:pPr>
            <w:r w:rsidRPr="00E356CE">
              <w:t>1. W przypadku gdy dane dotyczące lokalizacji inne niż dane o ruchu, odnoszące się do użytkowników lub abonentów publicznych sieci łączności lub publicznie dostępnych usług łączności elektronicznej, mogą być przetwarzane, przetwarzanie może mieć miejsce tylko wówczas gdy dane te są anonimowe, lub za zgodą użytkowników lub abonentów, w zakresie i przez okres niezbędny do świadczenia usługi tworzącej wartość dodaną. Przed uzyskaniem zgody użytkowników lub abonentów dostawca usług musi ich poinformować o rodzaju danych dotyczących lokalizacji innych niż dane o ruchu, które będą przetwarzane, o celach i okresie ich przetwarzania oraz o tym, czy dane zostaną przekazane stronie trzeciej do celów świadczenia usługi tworzącej wartość dodaną. Użytkownicy lub abonenci mają możliwość odwołania w każdej chwili swojej zgody na przetwarzanie danych dotyczących lokalizacji innych niż dane o ruchu.</w:t>
            </w:r>
          </w:p>
        </w:tc>
        <w:tc>
          <w:tcPr>
            <w:tcW w:w="886" w:type="dxa"/>
            <w:tcBorders>
              <w:top w:val="single" w:sz="4" w:space="0" w:color="auto"/>
              <w:left w:val="single" w:sz="4" w:space="0" w:color="auto"/>
              <w:bottom w:val="single" w:sz="4" w:space="0" w:color="auto"/>
              <w:right w:val="single" w:sz="4" w:space="0" w:color="auto"/>
            </w:tcBorders>
          </w:tcPr>
          <w:p w14:paraId="7D5DEC4E"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73F5DA1" w14:textId="3C4C4A0C" w:rsidR="00C04931" w:rsidRPr="00E356CE" w:rsidRDefault="00BD4EF3" w:rsidP="00A9191A">
            <w:pPr>
              <w:pStyle w:val="Tekstpodstawowy"/>
              <w:rPr>
                <w:noProof/>
                <w:sz w:val="24"/>
                <w:szCs w:val="24"/>
              </w:rPr>
            </w:pPr>
            <w:r w:rsidRPr="00E356CE">
              <w:rPr>
                <w:noProof/>
                <w:sz w:val="24"/>
                <w:szCs w:val="24"/>
              </w:rPr>
              <w:t>Art. 3</w:t>
            </w:r>
            <w:r w:rsidR="2179C305" w:rsidRPr="00E356CE">
              <w:rPr>
                <w:noProof/>
                <w:sz w:val="24"/>
                <w:szCs w:val="24"/>
              </w:rPr>
              <w:t>87</w:t>
            </w:r>
            <w:r w:rsidRPr="00E356CE">
              <w:rPr>
                <w:noProof/>
                <w:sz w:val="24"/>
                <w:szCs w:val="24"/>
              </w:rPr>
              <w:t xml:space="preserve"> ust. 1 i 2</w:t>
            </w:r>
          </w:p>
        </w:tc>
        <w:tc>
          <w:tcPr>
            <w:tcW w:w="7410" w:type="dxa"/>
            <w:gridSpan w:val="2"/>
            <w:tcBorders>
              <w:top w:val="single" w:sz="4" w:space="0" w:color="auto"/>
              <w:left w:val="single" w:sz="4" w:space="0" w:color="auto"/>
              <w:bottom w:val="single" w:sz="4" w:space="0" w:color="auto"/>
              <w:right w:val="single" w:sz="4" w:space="0" w:color="auto"/>
            </w:tcBorders>
          </w:tcPr>
          <w:p w14:paraId="438A75E5" w14:textId="6009D0B4" w:rsidR="6E8B6D3D" w:rsidRPr="00E356CE" w:rsidRDefault="6E8B6D3D" w:rsidP="2ECB3D4D">
            <w:pPr>
              <w:spacing w:line="360" w:lineRule="auto"/>
              <w:ind w:firstLine="510"/>
              <w:jc w:val="both"/>
            </w:pPr>
            <w:r w:rsidRPr="00E356CE">
              <w:rPr>
                <w:b/>
                <w:bCs/>
              </w:rPr>
              <w:t>Art. 387.</w:t>
            </w:r>
            <w:r w:rsidRPr="00E356CE">
              <w:t xml:space="preserve"> 1. W celu wykorzystania danych o lokalizacji dostawca usług komunikacji elektronicznej jest obowiązany:</w:t>
            </w:r>
          </w:p>
          <w:p w14:paraId="24E38749" w14:textId="17A9E4B3" w:rsidR="6E8B6D3D" w:rsidRPr="00E356CE" w:rsidRDefault="6E8B6D3D" w:rsidP="2ECB3D4D">
            <w:pPr>
              <w:spacing w:line="360" w:lineRule="auto"/>
              <w:ind w:left="510" w:hanging="510"/>
              <w:jc w:val="both"/>
            </w:pPr>
            <w:r w:rsidRPr="00E356CE">
              <w:t>1)</w:t>
            </w:r>
            <w:r w:rsidRPr="00E356CE">
              <w:tab/>
              <w:t>na potrzeby świadczenia usługi o wartości wzbogaconej uzyskać zgodę abonenta lub użytkownika końcowego na przetwarzanie dotyczących go danych o lokalizacji, która, z zastrzeżeniem art. 395, może być wycofana okresowo lub w związku z konkretnym połączeniem, lub</w:t>
            </w:r>
          </w:p>
          <w:p w14:paraId="1AA6544C" w14:textId="4B57E2FA" w:rsidR="6E8B6D3D" w:rsidRPr="00E356CE" w:rsidRDefault="6E8B6D3D" w:rsidP="2ECB3D4D">
            <w:pPr>
              <w:spacing w:line="360" w:lineRule="auto"/>
              <w:ind w:left="510" w:hanging="510"/>
              <w:jc w:val="both"/>
            </w:pPr>
            <w:r w:rsidRPr="00E356CE">
              <w:t>2)</w:t>
            </w:r>
            <w:r w:rsidRPr="00E356CE">
              <w:tab/>
              <w:t xml:space="preserve">dokonać </w:t>
            </w:r>
            <w:proofErr w:type="spellStart"/>
            <w:r w:rsidRPr="00E356CE">
              <w:t>anonimizacji</w:t>
            </w:r>
            <w:proofErr w:type="spellEnd"/>
            <w:r w:rsidRPr="00E356CE">
              <w:t xml:space="preserve"> tych danych.</w:t>
            </w:r>
          </w:p>
          <w:p w14:paraId="2E1782AA" w14:textId="4AE47447" w:rsidR="6E8B6D3D" w:rsidRPr="00E356CE" w:rsidRDefault="6E8B6D3D" w:rsidP="2ECB3D4D">
            <w:pPr>
              <w:spacing w:line="360" w:lineRule="auto"/>
              <w:ind w:firstLine="510"/>
              <w:jc w:val="both"/>
            </w:pPr>
            <w:r w:rsidRPr="00E356CE">
              <w:t>2. Dostawca usług komunikacji elektronicznej jest obowiązany poinformować abonenta lub użytkownika końcowego przed uzyskaniem jego zgody o rodzaju danych o lokalizacji, które będą przetwarzane, o celach i okresie ich przetwarzania oraz o tym, czy dane zostaną przekazane innemu podmiotowi dla celów świadczenia usługi tworzącej wartość wzbogaconą.</w:t>
            </w:r>
          </w:p>
          <w:p w14:paraId="56B96ECE" w14:textId="656E0938" w:rsidR="2ECB3D4D" w:rsidRPr="00E356CE" w:rsidRDefault="2ECB3D4D" w:rsidP="2ECB3D4D">
            <w:pPr>
              <w:pStyle w:val="USTustnpkodeksu"/>
              <w:spacing w:line="240" w:lineRule="auto"/>
              <w:ind w:firstLine="0"/>
              <w:rPr>
                <w:rFonts w:ascii="Times New Roman" w:hAnsi="Times New Roman" w:cs="Times New Roman"/>
              </w:rPr>
            </w:pPr>
          </w:p>
          <w:p w14:paraId="5BA39A29" w14:textId="77777777" w:rsidR="00C04931" w:rsidRPr="00E356CE" w:rsidRDefault="00C04931" w:rsidP="00A9191A">
            <w:pPr>
              <w:jc w:val="both"/>
            </w:pPr>
          </w:p>
        </w:tc>
      </w:tr>
      <w:tr w:rsidR="00723799" w:rsidRPr="00E356CE" w14:paraId="3ACA62DA" w14:textId="77777777" w:rsidTr="56856880">
        <w:tc>
          <w:tcPr>
            <w:tcW w:w="795" w:type="dxa"/>
            <w:tcBorders>
              <w:top w:val="single" w:sz="4" w:space="0" w:color="auto"/>
              <w:left w:val="single" w:sz="4" w:space="0" w:color="auto"/>
              <w:bottom w:val="single" w:sz="4" w:space="0" w:color="auto"/>
              <w:right w:val="single" w:sz="4" w:space="0" w:color="auto"/>
            </w:tcBorders>
          </w:tcPr>
          <w:p w14:paraId="67B4EDC4" w14:textId="77777777" w:rsidR="00C04931" w:rsidRPr="00E356CE" w:rsidRDefault="00BD4EF3" w:rsidP="00A9191A">
            <w:pPr>
              <w:jc w:val="both"/>
            </w:pPr>
            <w:r w:rsidRPr="00E356CE">
              <w:t>Art. 9 ust. 2</w:t>
            </w:r>
          </w:p>
        </w:tc>
        <w:tc>
          <w:tcPr>
            <w:tcW w:w="4719" w:type="dxa"/>
            <w:tcBorders>
              <w:top w:val="single" w:sz="4" w:space="0" w:color="auto"/>
              <w:left w:val="single" w:sz="4" w:space="0" w:color="auto"/>
              <w:bottom w:val="single" w:sz="4" w:space="0" w:color="auto"/>
              <w:right w:val="single" w:sz="4" w:space="0" w:color="auto"/>
            </w:tcBorders>
          </w:tcPr>
          <w:p w14:paraId="23125B43" w14:textId="77777777" w:rsidR="00C04931" w:rsidRPr="00E356CE" w:rsidRDefault="00BD4EF3" w:rsidP="00A9191A">
            <w:pPr>
              <w:spacing w:before="60" w:after="120"/>
              <w:jc w:val="both"/>
              <w:rPr>
                <w:b/>
                <w:bCs/>
              </w:rPr>
            </w:pPr>
            <w:r w:rsidRPr="00E356CE">
              <w:t xml:space="preserve">2. W przypadku gdy uzyskana została zgoda użytkowników lub abonentów na przetwarzanie danych dotyczących lokalizacji innych niż dane o ruchu, użytkownik lub abonent musi nadal </w:t>
            </w:r>
            <w:r w:rsidRPr="00E356CE">
              <w:lastRenderedPageBreak/>
              <w:t>posiadać możliwość, w sposób prosty i wolny od opłat, czasowego odwołania zgody na przetwarzanie tych danych w przypadku każdego połączenia z siecią lub każdej transmisji komunikatu.</w:t>
            </w:r>
          </w:p>
        </w:tc>
        <w:tc>
          <w:tcPr>
            <w:tcW w:w="886" w:type="dxa"/>
            <w:tcBorders>
              <w:top w:val="single" w:sz="4" w:space="0" w:color="auto"/>
              <w:left w:val="single" w:sz="4" w:space="0" w:color="auto"/>
              <w:bottom w:val="single" w:sz="4" w:space="0" w:color="auto"/>
              <w:right w:val="single" w:sz="4" w:space="0" w:color="auto"/>
            </w:tcBorders>
          </w:tcPr>
          <w:p w14:paraId="1243D1C4"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4ED2F710" w14:textId="76908AD3" w:rsidR="00C04931" w:rsidRPr="00E356CE" w:rsidRDefault="00BD4EF3" w:rsidP="00A9191A">
            <w:pPr>
              <w:pStyle w:val="Tekstpodstawowy"/>
              <w:rPr>
                <w:noProof/>
                <w:sz w:val="24"/>
                <w:szCs w:val="24"/>
              </w:rPr>
            </w:pPr>
            <w:r w:rsidRPr="00E356CE">
              <w:rPr>
                <w:noProof/>
                <w:sz w:val="24"/>
                <w:szCs w:val="24"/>
              </w:rPr>
              <w:t>Art. 3</w:t>
            </w:r>
            <w:r w:rsidR="2F44B9CF" w:rsidRPr="00E356CE">
              <w:rPr>
                <w:noProof/>
                <w:sz w:val="24"/>
                <w:szCs w:val="24"/>
              </w:rPr>
              <w:t>87</w:t>
            </w:r>
            <w:r w:rsidRPr="00E356CE">
              <w:rPr>
                <w:noProof/>
                <w:sz w:val="24"/>
                <w:szCs w:val="24"/>
              </w:rPr>
              <w:t xml:space="preserve"> ust. 1</w:t>
            </w:r>
          </w:p>
        </w:tc>
        <w:tc>
          <w:tcPr>
            <w:tcW w:w="7410" w:type="dxa"/>
            <w:gridSpan w:val="2"/>
            <w:tcBorders>
              <w:top w:val="single" w:sz="4" w:space="0" w:color="auto"/>
              <w:left w:val="single" w:sz="4" w:space="0" w:color="auto"/>
              <w:bottom w:val="single" w:sz="4" w:space="0" w:color="auto"/>
              <w:right w:val="single" w:sz="4" w:space="0" w:color="auto"/>
            </w:tcBorders>
          </w:tcPr>
          <w:p w14:paraId="5221BEB0" w14:textId="5C98043E" w:rsidR="753DB1C2" w:rsidRPr="00E356CE" w:rsidRDefault="753DB1C2" w:rsidP="2ECB3D4D">
            <w:pPr>
              <w:spacing w:line="360" w:lineRule="auto"/>
              <w:ind w:firstLine="510"/>
              <w:jc w:val="both"/>
            </w:pPr>
            <w:r w:rsidRPr="00E356CE">
              <w:rPr>
                <w:b/>
                <w:bCs/>
              </w:rPr>
              <w:t>Art. 387.</w:t>
            </w:r>
            <w:r w:rsidRPr="00E356CE">
              <w:t xml:space="preserve"> 1. W celu wykorzystania danych o lokalizacji dostawca usług komunikacji elektronicznej jest obowiązany:</w:t>
            </w:r>
          </w:p>
          <w:p w14:paraId="791AFC82" w14:textId="280966E5" w:rsidR="753DB1C2" w:rsidRPr="00E356CE" w:rsidRDefault="753DB1C2" w:rsidP="2ECB3D4D">
            <w:pPr>
              <w:spacing w:line="360" w:lineRule="auto"/>
              <w:ind w:left="510" w:hanging="510"/>
              <w:jc w:val="both"/>
            </w:pPr>
            <w:r w:rsidRPr="00E356CE">
              <w:lastRenderedPageBreak/>
              <w:t>1)</w:t>
            </w:r>
            <w:r w:rsidRPr="00E356CE">
              <w:tab/>
              <w:t>na potrzeby świadczenia usługi o wartości wzbogaconej uzyskać zgodę abonenta lub użytkownika końcowego na przetwarzanie dotyczących go danych o lokalizacji, która, z zastrzeżeniem art. 395, może być wycofana okresowo lub w związku z konkretnym połączeniem, lub</w:t>
            </w:r>
          </w:p>
          <w:p w14:paraId="61E4C2B7" w14:textId="2800F94C" w:rsidR="753DB1C2" w:rsidRPr="00E356CE" w:rsidRDefault="753DB1C2" w:rsidP="2ECB3D4D">
            <w:pPr>
              <w:spacing w:line="360" w:lineRule="auto"/>
              <w:ind w:left="510" w:hanging="510"/>
              <w:jc w:val="both"/>
            </w:pPr>
            <w:r w:rsidRPr="00E356CE">
              <w:t>2)</w:t>
            </w:r>
            <w:r w:rsidRPr="00E356CE">
              <w:tab/>
              <w:t xml:space="preserve">dokonać </w:t>
            </w:r>
            <w:proofErr w:type="spellStart"/>
            <w:r w:rsidRPr="00E356CE">
              <w:t>anonimizacji</w:t>
            </w:r>
            <w:proofErr w:type="spellEnd"/>
            <w:r w:rsidRPr="00E356CE">
              <w:t xml:space="preserve"> tych danych.</w:t>
            </w:r>
          </w:p>
          <w:p w14:paraId="282CB147" w14:textId="3A7E84A3" w:rsidR="2ECB3D4D" w:rsidRPr="00E356CE" w:rsidRDefault="2ECB3D4D" w:rsidP="2ECB3D4D">
            <w:pPr>
              <w:pStyle w:val="PKTpunkt"/>
              <w:spacing w:line="240" w:lineRule="auto"/>
              <w:rPr>
                <w:rFonts w:ascii="Times New Roman" w:hAnsi="Times New Roman" w:cs="Times New Roman"/>
              </w:rPr>
            </w:pPr>
          </w:p>
          <w:p w14:paraId="01F54E52" w14:textId="77777777" w:rsidR="00C04931" w:rsidRPr="00E356CE" w:rsidRDefault="00C04931" w:rsidP="00A9191A">
            <w:pPr>
              <w:jc w:val="both"/>
            </w:pPr>
          </w:p>
        </w:tc>
      </w:tr>
      <w:tr w:rsidR="00723799" w:rsidRPr="00E356CE" w14:paraId="0648EE89" w14:textId="77777777" w:rsidTr="56856880">
        <w:tc>
          <w:tcPr>
            <w:tcW w:w="795" w:type="dxa"/>
            <w:tcBorders>
              <w:top w:val="single" w:sz="4" w:space="0" w:color="auto"/>
              <w:left w:val="single" w:sz="4" w:space="0" w:color="auto"/>
              <w:bottom w:val="single" w:sz="4" w:space="0" w:color="auto"/>
              <w:right w:val="single" w:sz="4" w:space="0" w:color="auto"/>
            </w:tcBorders>
          </w:tcPr>
          <w:p w14:paraId="013F0E7B" w14:textId="77777777" w:rsidR="00C04931" w:rsidRPr="00E356CE" w:rsidRDefault="00BD4EF3" w:rsidP="00A9191A">
            <w:pPr>
              <w:jc w:val="both"/>
            </w:pPr>
            <w:r w:rsidRPr="00E356CE">
              <w:lastRenderedPageBreak/>
              <w:t>Art. 9 ust. 3</w:t>
            </w:r>
          </w:p>
        </w:tc>
        <w:tc>
          <w:tcPr>
            <w:tcW w:w="4719" w:type="dxa"/>
            <w:tcBorders>
              <w:top w:val="single" w:sz="4" w:space="0" w:color="auto"/>
              <w:left w:val="single" w:sz="4" w:space="0" w:color="auto"/>
              <w:bottom w:val="single" w:sz="4" w:space="0" w:color="auto"/>
              <w:right w:val="single" w:sz="4" w:space="0" w:color="auto"/>
            </w:tcBorders>
          </w:tcPr>
          <w:p w14:paraId="6B1B4186" w14:textId="77777777" w:rsidR="00C04931" w:rsidRPr="00E356CE" w:rsidRDefault="00BD4EF3" w:rsidP="00A9191A">
            <w:pPr>
              <w:spacing w:before="60" w:after="120"/>
              <w:jc w:val="both"/>
              <w:rPr>
                <w:b/>
                <w:bCs/>
              </w:rPr>
            </w:pPr>
            <w:r w:rsidRPr="00E356CE">
              <w:t>3. Przetwarzanie danych dotyczących lokalizacji innych niż dane o ruchu, zgodnie z ust. 1 i 2, musi być ograniczone do osób działających z upoważnienia dostawcy publicznej sieci łączności lub publicznie dostępnych usług łączności elektronicznej lub strony trzeciej świadczącej usługę tworząc a wartość dodaną oraz musi być ograniczone do celów niezbędnych do świadczenia usługi tworzącej wartość dodaną.</w:t>
            </w:r>
          </w:p>
        </w:tc>
        <w:tc>
          <w:tcPr>
            <w:tcW w:w="886" w:type="dxa"/>
            <w:tcBorders>
              <w:top w:val="single" w:sz="4" w:space="0" w:color="auto"/>
              <w:left w:val="single" w:sz="4" w:space="0" w:color="auto"/>
              <w:bottom w:val="single" w:sz="4" w:space="0" w:color="auto"/>
              <w:right w:val="single" w:sz="4" w:space="0" w:color="auto"/>
            </w:tcBorders>
          </w:tcPr>
          <w:p w14:paraId="0FAD9E68"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2A2AA04" w14:textId="3DE43567" w:rsidR="00C04931" w:rsidRPr="00E356CE" w:rsidRDefault="00BD4EF3" w:rsidP="00A9191A">
            <w:pPr>
              <w:pStyle w:val="Tekstpodstawowy"/>
              <w:rPr>
                <w:noProof/>
                <w:sz w:val="24"/>
                <w:szCs w:val="24"/>
              </w:rPr>
            </w:pPr>
            <w:r w:rsidRPr="00E356CE">
              <w:rPr>
                <w:noProof/>
                <w:sz w:val="24"/>
                <w:szCs w:val="24"/>
              </w:rPr>
              <w:t>Art. 3</w:t>
            </w:r>
            <w:r w:rsidR="2962558D" w:rsidRPr="00E356CE">
              <w:rPr>
                <w:noProof/>
                <w:sz w:val="24"/>
                <w:szCs w:val="24"/>
              </w:rPr>
              <w:t>87</w:t>
            </w:r>
            <w:r w:rsidRPr="00E356CE">
              <w:rPr>
                <w:noProof/>
                <w:sz w:val="24"/>
                <w:szCs w:val="24"/>
              </w:rPr>
              <w:t xml:space="preserve"> ust. 3 i 4</w:t>
            </w:r>
          </w:p>
        </w:tc>
        <w:tc>
          <w:tcPr>
            <w:tcW w:w="7410" w:type="dxa"/>
            <w:gridSpan w:val="2"/>
            <w:tcBorders>
              <w:top w:val="single" w:sz="4" w:space="0" w:color="auto"/>
              <w:left w:val="single" w:sz="4" w:space="0" w:color="auto"/>
              <w:bottom w:val="single" w:sz="4" w:space="0" w:color="auto"/>
              <w:right w:val="single" w:sz="4" w:space="0" w:color="auto"/>
            </w:tcBorders>
          </w:tcPr>
          <w:p w14:paraId="19B975B3" w14:textId="7C2EA4C6" w:rsidR="12543D35" w:rsidRPr="00E356CE" w:rsidRDefault="12543D35" w:rsidP="2ECB3D4D">
            <w:pPr>
              <w:spacing w:line="360" w:lineRule="auto"/>
              <w:ind w:firstLine="510"/>
              <w:jc w:val="both"/>
            </w:pPr>
            <w:r w:rsidRPr="00E356CE">
              <w:t>3. Do przetwarzania danych, o których mowa w ust. 1, uprawnione są podmioty:</w:t>
            </w:r>
          </w:p>
          <w:p w14:paraId="6A863205" w14:textId="5CCFA6BE" w:rsidR="12543D35" w:rsidRPr="00E356CE" w:rsidRDefault="12543D35" w:rsidP="2ECB3D4D">
            <w:pPr>
              <w:spacing w:line="360" w:lineRule="auto"/>
              <w:ind w:left="510" w:hanging="510"/>
              <w:jc w:val="both"/>
            </w:pPr>
            <w:r w:rsidRPr="00E356CE">
              <w:t>1)</w:t>
            </w:r>
            <w:r w:rsidRPr="00E356CE">
              <w:tab/>
              <w:t>działające z upoważnienia dostawcy usług komunikacji elektronicznej;</w:t>
            </w:r>
          </w:p>
          <w:p w14:paraId="6C032749" w14:textId="197C7AC8" w:rsidR="12543D35" w:rsidRPr="00E356CE" w:rsidRDefault="12543D35" w:rsidP="2ECB3D4D">
            <w:pPr>
              <w:spacing w:line="360" w:lineRule="auto"/>
              <w:ind w:left="510" w:hanging="510"/>
              <w:jc w:val="both"/>
            </w:pPr>
            <w:r w:rsidRPr="00E356CE">
              <w:t>2)</w:t>
            </w:r>
            <w:r w:rsidRPr="00E356CE">
              <w:tab/>
              <w:t>świadczące usługę o wartości wzbogaconej.</w:t>
            </w:r>
          </w:p>
          <w:p w14:paraId="267F5A2F" w14:textId="5DB49DF3" w:rsidR="12543D35" w:rsidRPr="00E356CE" w:rsidRDefault="12543D35" w:rsidP="2ECB3D4D">
            <w:pPr>
              <w:spacing w:line="360" w:lineRule="auto"/>
              <w:ind w:firstLine="510"/>
              <w:jc w:val="both"/>
            </w:pPr>
            <w:r w:rsidRPr="00E356CE">
              <w:t>4. Dane o lokalizacji mogą być przetwarzane wyłącznie dla celów niezbędnych do świadczenia usług o wartości wzbogaconej.</w:t>
            </w:r>
          </w:p>
          <w:p w14:paraId="159D8066" w14:textId="1F303D0F" w:rsidR="2ECB3D4D" w:rsidRPr="00E356CE" w:rsidRDefault="2ECB3D4D" w:rsidP="2ECB3D4D">
            <w:pPr>
              <w:pStyle w:val="USTustnpkodeksu"/>
              <w:spacing w:line="240" w:lineRule="auto"/>
              <w:ind w:firstLine="0"/>
              <w:rPr>
                <w:rFonts w:ascii="Times New Roman" w:hAnsi="Times New Roman" w:cs="Times New Roman"/>
              </w:rPr>
            </w:pPr>
          </w:p>
          <w:p w14:paraId="2B982179" w14:textId="77777777" w:rsidR="00C04931" w:rsidRPr="00E356CE" w:rsidRDefault="00C04931" w:rsidP="00A9191A">
            <w:pPr>
              <w:jc w:val="both"/>
            </w:pPr>
          </w:p>
        </w:tc>
      </w:tr>
      <w:tr w:rsidR="00723799" w:rsidRPr="00E356CE" w14:paraId="63AE90E4" w14:textId="77777777" w:rsidTr="56856880">
        <w:tc>
          <w:tcPr>
            <w:tcW w:w="795" w:type="dxa"/>
            <w:tcBorders>
              <w:top w:val="single" w:sz="4" w:space="0" w:color="auto"/>
              <w:left w:val="single" w:sz="4" w:space="0" w:color="auto"/>
              <w:bottom w:val="single" w:sz="4" w:space="0" w:color="auto"/>
              <w:right w:val="single" w:sz="4" w:space="0" w:color="auto"/>
            </w:tcBorders>
          </w:tcPr>
          <w:p w14:paraId="36F3AD80" w14:textId="77777777" w:rsidR="00C04931" w:rsidRPr="00E356CE" w:rsidRDefault="00BD4EF3" w:rsidP="00A9191A">
            <w:pPr>
              <w:jc w:val="both"/>
              <w:rPr>
                <w:b/>
              </w:rPr>
            </w:pPr>
            <w:r w:rsidRPr="00E356CE">
              <w:rPr>
                <w:b/>
              </w:rPr>
              <w:t>Art. 10</w:t>
            </w:r>
          </w:p>
        </w:tc>
        <w:tc>
          <w:tcPr>
            <w:tcW w:w="4719" w:type="dxa"/>
            <w:tcBorders>
              <w:top w:val="single" w:sz="4" w:space="0" w:color="auto"/>
              <w:left w:val="single" w:sz="4" w:space="0" w:color="auto"/>
              <w:bottom w:val="single" w:sz="4" w:space="0" w:color="auto"/>
              <w:right w:val="single" w:sz="4" w:space="0" w:color="auto"/>
            </w:tcBorders>
          </w:tcPr>
          <w:p w14:paraId="3D53D606" w14:textId="77777777" w:rsidR="00BD4EF3" w:rsidRPr="00E356CE" w:rsidRDefault="00BD4EF3" w:rsidP="00A9191A">
            <w:pPr>
              <w:autoSpaceDE w:val="0"/>
              <w:autoSpaceDN w:val="0"/>
              <w:adjustRightInd w:val="0"/>
              <w:jc w:val="both"/>
              <w:rPr>
                <w:b/>
              </w:rPr>
            </w:pPr>
            <w:r w:rsidRPr="00E356CE">
              <w:rPr>
                <w:b/>
              </w:rPr>
              <w:t>Wyjątki</w:t>
            </w:r>
          </w:p>
          <w:p w14:paraId="54468BCE" w14:textId="77777777" w:rsidR="00BD4EF3" w:rsidRPr="00E356CE" w:rsidRDefault="00BD4EF3" w:rsidP="00A9191A">
            <w:pPr>
              <w:autoSpaceDE w:val="0"/>
              <w:autoSpaceDN w:val="0"/>
              <w:adjustRightInd w:val="0"/>
              <w:jc w:val="both"/>
              <w:rPr>
                <w:b/>
              </w:rPr>
            </w:pPr>
            <w:r w:rsidRPr="00E356CE">
              <w:t>Państwa Członkowskie zapewniają, że posiadają przejrzyste procedury regulujące sposób, w jaki dostawca publicznej sieci łączności i/lub publicznie dostępnych usług łączności elektronicznej może pominąć:</w:t>
            </w:r>
          </w:p>
          <w:p w14:paraId="316E3FB2" w14:textId="77777777" w:rsidR="00BD4EF3" w:rsidRPr="00E356CE" w:rsidRDefault="00BD4EF3" w:rsidP="00A9191A">
            <w:pPr>
              <w:autoSpaceDE w:val="0"/>
              <w:autoSpaceDN w:val="0"/>
              <w:adjustRightInd w:val="0"/>
              <w:jc w:val="both"/>
            </w:pPr>
            <w:r w:rsidRPr="00E356CE">
              <w:t xml:space="preserve">a) zablokowanie wyświetlania identyfikacji rozmów przychodzących, tymczasowo, na wniosek abonenta o ustalenie numerów linii w przypadku otrzymywania dokuczliwych lub złośliwych telefonów. W takich przypadkach, zgodnie z prawem krajowym, dane zawierające </w:t>
            </w:r>
            <w:r w:rsidRPr="00E356CE">
              <w:lastRenderedPageBreak/>
              <w:t>identyfikację abonenta dzwoniącego są przechowywane i mogą być udostępnione przez dostawcę publicznej sieci łączności i/lub publicznie dostępnych usług łączności elektronicznej;</w:t>
            </w:r>
          </w:p>
          <w:p w14:paraId="6D8E4BAE" w14:textId="77777777" w:rsidR="00C04931" w:rsidRPr="00E356CE" w:rsidRDefault="00BD4EF3" w:rsidP="00A9191A">
            <w:pPr>
              <w:spacing w:before="60" w:after="120"/>
              <w:jc w:val="both"/>
              <w:rPr>
                <w:b/>
                <w:bCs/>
              </w:rPr>
            </w:pPr>
            <w:r w:rsidRPr="00E356CE">
              <w:t>b) zablokowanie wyświetlania identyfikacji rozmów przychodzących i czasową odmowę lub brak zgody abonenta lub użytkownika na przetwarzanie danych o lokalizacji, w przypadku poszczególnych linii dla organizacji zajmujących się połączeniami alarmowymi i uznanymi przez Państwo Członkowskie za organizacje pełniące takie funkcje, włączając organy przestrzegania prawa, pogotowie ratunkowe i straż pożarną, do celów odpowiadania na takie połączenia.</w:t>
            </w:r>
          </w:p>
        </w:tc>
        <w:tc>
          <w:tcPr>
            <w:tcW w:w="886" w:type="dxa"/>
            <w:tcBorders>
              <w:top w:val="single" w:sz="4" w:space="0" w:color="auto"/>
              <w:left w:val="single" w:sz="4" w:space="0" w:color="auto"/>
              <w:bottom w:val="single" w:sz="4" w:space="0" w:color="auto"/>
              <w:right w:val="single" w:sz="4" w:space="0" w:color="auto"/>
            </w:tcBorders>
          </w:tcPr>
          <w:p w14:paraId="06FA3F03" w14:textId="77777777" w:rsidR="00C04931" w:rsidRPr="00E356CE" w:rsidRDefault="00DB1E54"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494FFFAD" w14:textId="5E0835FE" w:rsidR="00C04931" w:rsidRPr="00E356CE" w:rsidRDefault="00BD4EF3" w:rsidP="00A9191A">
            <w:pPr>
              <w:pStyle w:val="Tekstpodstawowy"/>
              <w:rPr>
                <w:noProof/>
                <w:sz w:val="24"/>
                <w:szCs w:val="24"/>
              </w:rPr>
            </w:pPr>
            <w:r w:rsidRPr="00E356CE">
              <w:rPr>
                <w:noProof/>
                <w:sz w:val="24"/>
                <w:szCs w:val="24"/>
              </w:rPr>
              <w:t>Art. 3</w:t>
            </w:r>
            <w:r w:rsidR="655F3E3B" w:rsidRPr="00E356CE">
              <w:rPr>
                <w:noProof/>
                <w:sz w:val="24"/>
                <w:szCs w:val="24"/>
              </w:rPr>
              <w:t>92</w:t>
            </w:r>
            <w:r w:rsidRPr="00E356CE">
              <w:rPr>
                <w:noProof/>
                <w:sz w:val="24"/>
                <w:szCs w:val="24"/>
              </w:rPr>
              <w:t xml:space="preserve"> ust. 7-10</w:t>
            </w:r>
          </w:p>
        </w:tc>
        <w:tc>
          <w:tcPr>
            <w:tcW w:w="7410" w:type="dxa"/>
            <w:gridSpan w:val="2"/>
            <w:tcBorders>
              <w:top w:val="single" w:sz="4" w:space="0" w:color="auto"/>
              <w:left w:val="single" w:sz="4" w:space="0" w:color="auto"/>
              <w:bottom w:val="single" w:sz="4" w:space="0" w:color="auto"/>
              <w:right w:val="single" w:sz="4" w:space="0" w:color="auto"/>
            </w:tcBorders>
          </w:tcPr>
          <w:p w14:paraId="04D23054" w14:textId="5B88D0FE" w:rsidR="00C04931" w:rsidRPr="00E356CE" w:rsidRDefault="4AA3F708" w:rsidP="2ECB3D4D">
            <w:pPr>
              <w:spacing w:line="360" w:lineRule="auto"/>
              <w:ind w:firstLine="510"/>
              <w:jc w:val="both"/>
            </w:pPr>
            <w:r w:rsidRPr="00E356CE">
              <w:t>7. Eliminacja prezentacji identyfikacji linii wywołującej może być anulowana:</w:t>
            </w:r>
          </w:p>
          <w:p w14:paraId="2988B7F7" w14:textId="69C49EAB" w:rsidR="00C04931" w:rsidRPr="00E356CE" w:rsidRDefault="4AA3F708" w:rsidP="2ECB3D4D">
            <w:pPr>
              <w:spacing w:line="360" w:lineRule="auto"/>
              <w:ind w:left="510" w:hanging="510"/>
              <w:jc w:val="both"/>
            </w:pPr>
            <w:r w:rsidRPr="00E356CE">
              <w:t>1)</w:t>
            </w:r>
            <w:r w:rsidR="00BD4EF3" w:rsidRPr="00E356CE">
              <w:tab/>
            </w:r>
            <w:r w:rsidRPr="00E356CE">
              <w:t>na żądanie służb ustawowo powołanych do niesienia pomocy, a także uprawnionych podmiotów, w zakresie i na warunkach określonych w odrębnych przepisach lub</w:t>
            </w:r>
          </w:p>
          <w:p w14:paraId="733914DC" w14:textId="4F747653" w:rsidR="00C04931" w:rsidRPr="00E356CE" w:rsidRDefault="4AA3F708" w:rsidP="2ECB3D4D">
            <w:pPr>
              <w:spacing w:line="360" w:lineRule="auto"/>
              <w:ind w:left="510" w:hanging="510"/>
              <w:jc w:val="both"/>
            </w:pPr>
            <w:r w:rsidRPr="00E356CE">
              <w:t>2)</w:t>
            </w:r>
            <w:r w:rsidR="00BD4EF3" w:rsidRPr="00E356CE">
              <w:tab/>
            </w:r>
            <w:r w:rsidRPr="00E356CE">
              <w:t xml:space="preserve">przez dostawcę usług zapewniającego przyłączenie do publicznej sieci telekomunikacyjnej, w której świadczone są usługi komunikacji głosowej lub operatora, do którego sieci został przyłączony abonent </w:t>
            </w:r>
            <w:r w:rsidRPr="00E356CE">
              <w:lastRenderedPageBreak/>
              <w:t>będący stroną umowy z dostawcą usług zapewniającym przyłączenie do publicznej sieci telekomunikacyjnej, w której świadczone są usługi komunikacji głosowej, na wniosek abonenta, jeżeli wnioskujący uprawdopodobni, że do jego telekomunikacyjnego urządzenia końcowego są kierowane połączenia uciążliwe lub zawierające groźby, w celu identyfikacji numerów użytkowników końcowych wywołujących tego abonenta.</w:t>
            </w:r>
          </w:p>
          <w:p w14:paraId="6415218E" w14:textId="26270A37" w:rsidR="00C04931" w:rsidRPr="00E356CE" w:rsidRDefault="4AA3F708" w:rsidP="2ECB3D4D">
            <w:pPr>
              <w:spacing w:line="360" w:lineRule="auto"/>
              <w:ind w:firstLine="510"/>
              <w:jc w:val="both"/>
            </w:pPr>
            <w:r w:rsidRPr="00E356CE">
              <w:t>8. Przedsiębiorca telekomunikacyjny jest obowiązany do zapewnienia służbom ustawowo powołanym do niesienia pomocy dostępu do identyfikacji linii wywołującej oraz danych dotyczących lokalizacji, bez uprzedniej zgody zainteresowanych abonentów lub użytkowników, jeżeli jest to konieczne do umożliwienia tym służbom wykonywania ich zadań w możliwie najbardziej efektywny sposób.</w:t>
            </w:r>
          </w:p>
          <w:p w14:paraId="24442371" w14:textId="18C5DFBE" w:rsidR="00C04931" w:rsidRPr="00E356CE" w:rsidRDefault="4AA3F708" w:rsidP="2ECB3D4D">
            <w:pPr>
              <w:spacing w:line="360" w:lineRule="auto"/>
              <w:ind w:firstLine="510"/>
              <w:jc w:val="both"/>
            </w:pPr>
            <w:r w:rsidRPr="00E356CE">
              <w:t>9. Dane identyfikujące użytkowników wywołujących, w przypadkach, o których mowa w ust. 7, są rejestrowane przez operatora na żądanie:</w:t>
            </w:r>
          </w:p>
          <w:p w14:paraId="587C2527" w14:textId="0B65EEE8" w:rsidR="00C04931" w:rsidRPr="00E356CE" w:rsidRDefault="4AA3F708" w:rsidP="2ECB3D4D">
            <w:pPr>
              <w:spacing w:line="360" w:lineRule="auto"/>
              <w:ind w:left="510" w:hanging="510"/>
              <w:jc w:val="both"/>
            </w:pPr>
            <w:r w:rsidRPr="00E356CE">
              <w:t>1)</w:t>
            </w:r>
            <w:r w:rsidR="00BD4EF3" w:rsidRPr="00E356CE">
              <w:tab/>
            </w:r>
            <w:r w:rsidRPr="00E356CE">
              <w:t xml:space="preserve"> służb i podmiotów, o których mowa w ust. 7 pkt 1;</w:t>
            </w:r>
          </w:p>
          <w:p w14:paraId="318185B0" w14:textId="62640A6F" w:rsidR="00C04931" w:rsidRPr="00E356CE" w:rsidRDefault="4AA3F708" w:rsidP="2ECB3D4D">
            <w:pPr>
              <w:spacing w:line="360" w:lineRule="auto"/>
              <w:ind w:left="510" w:hanging="510"/>
              <w:jc w:val="both"/>
            </w:pPr>
            <w:r w:rsidRPr="00E356CE">
              <w:t>2)</w:t>
            </w:r>
            <w:r w:rsidR="00BD4EF3" w:rsidRPr="00E356CE">
              <w:tab/>
            </w:r>
            <w:r w:rsidRPr="00E356CE">
              <w:t xml:space="preserve"> abonenta, o którym mowa w ust. 7 pkt 2.</w:t>
            </w:r>
          </w:p>
          <w:p w14:paraId="1558957F" w14:textId="4CBB1910" w:rsidR="00C04931" w:rsidRPr="00E356CE" w:rsidRDefault="4AA3F708" w:rsidP="2ECB3D4D">
            <w:pPr>
              <w:spacing w:line="360" w:lineRule="auto"/>
              <w:ind w:firstLine="510"/>
              <w:jc w:val="both"/>
            </w:pPr>
            <w:r w:rsidRPr="00E356CE">
              <w:t>10. Dane, o których mowa w ust. 9, pozostają w dyspozycji przedsiębiorcy telekomunikacyjnego. Do ich udostępniania stosuje się art. 45.</w:t>
            </w:r>
          </w:p>
          <w:p w14:paraId="63F5B1B0" w14:textId="5FB1AA6E" w:rsidR="00C04931" w:rsidRPr="00E356CE" w:rsidRDefault="00C04931" w:rsidP="2ECB3D4D">
            <w:pPr>
              <w:pStyle w:val="USTustnpkodeksu"/>
              <w:spacing w:line="240" w:lineRule="auto"/>
              <w:ind w:firstLine="0"/>
              <w:rPr>
                <w:rFonts w:ascii="Times New Roman" w:hAnsi="Times New Roman" w:cs="Times New Roman"/>
              </w:rPr>
            </w:pPr>
          </w:p>
        </w:tc>
      </w:tr>
      <w:tr w:rsidR="00723799" w:rsidRPr="00E356CE" w14:paraId="12122007" w14:textId="77777777" w:rsidTr="56856880">
        <w:tc>
          <w:tcPr>
            <w:tcW w:w="795" w:type="dxa"/>
            <w:tcBorders>
              <w:top w:val="single" w:sz="4" w:space="0" w:color="auto"/>
              <w:left w:val="single" w:sz="4" w:space="0" w:color="auto"/>
              <w:bottom w:val="single" w:sz="4" w:space="0" w:color="auto"/>
              <w:right w:val="single" w:sz="4" w:space="0" w:color="auto"/>
            </w:tcBorders>
          </w:tcPr>
          <w:p w14:paraId="3AF96082" w14:textId="77777777" w:rsidR="00C04931" w:rsidRPr="00E356CE" w:rsidRDefault="00BD4EF3" w:rsidP="00A9191A">
            <w:pPr>
              <w:jc w:val="both"/>
              <w:rPr>
                <w:b/>
              </w:rPr>
            </w:pPr>
            <w:r w:rsidRPr="00E356CE">
              <w:rPr>
                <w:b/>
              </w:rPr>
              <w:lastRenderedPageBreak/>
              <w:t>Art. 11</w:t>
            </w:r>
          </w:p>
        </w:tc>
        <w:tc>
          <w:tcPr>
            <w:tcW w:w="4719" w:type="dxa"/>
            <w:tcBorders>
              <w:top w:val="single" w:sz="4" w:space="0" w:color="auto"/>
              <w:left w:val="single" w:sz="4" w:space="0" w:color="auto"/>
              <w:bottom w:val="single" w:sz="4" w:space="0" w:color="auto"/>
              <w:right w:val="single" w:sz="4" w:space="0" w:color="auto"/>
            </w:tcBorders>
          </w:tcPr>
          <w:p w14:paraId="0BF8215D" w14:textId="77777777" w:rsidR="00C04931" w:rsidRPr="00E356CE" w:rsidRDefault="00BD4EF3" w:rsidP="00A9191A">
            <w:pPr>
              <w:spacing w:before="60" w:after="120"/>
              <w:jc w:val="both"/>
              <w:rPr>
                <w:b/>
              </w:rPr>
            </w:pPr>
            <w:r w:rsidRPr="00E356CE">
              <w:rPr>
                <w:b/>
              </w:rPr>
              <w:t>Automatyczne przekazywanie połączeń</w:t>
            </w:r>
          </w:p>
          <w:p w14:paraId="4924A0DC" w14:textId="77777777" w:rsidR="00BD4EF3" w:rsidRPr="00E356CE" w:rsidRDefault="00BD4EF3" w:rsidP="00A9191A">
            <w:pPr>
              <w:spacing w:before="60" w:after="120"/>
              <w:jc w:val="both"/>
              <w:rPr>
                <w:b/>
                <w:bCs/>
              </w:rPr>
            </w:pPr>
            <w:r w:rsidRPr="00E356CE">
              <w:t>Państwa Członkowskie zapewniają, że każdy abonent, w sposób prosty i wolny od opłat, posiada możliwość zablokowania automatycznego przekazywania połączeń przez stronę trzecią do terminala tego abonenta.</w:t>
            </w:r>
          </w:p>
        </w:tc>
        <w:tc>
          <w:tcPr>
            <w:tcW w:w="886" w:type="dxa"/>
            <w:tcBorders>
              <w:top w:val="single" w:sz="4" w:space="0" w:color="auto"/>
              <w:left w:val="single" w:sz="4" w:space="0" w:color="auto"/>
              <w:bottom w:val="single" w:sz="4" w:space="0" w:color="auto"/>
              <w:right w:val="single" w:sz="4" w:space="0" w:color="auto"/>
            </w:tcBorders>
          </w:tcPr>
          <w:p w14:paraId="1D3BFAFB"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2118279B" w14:textId="05CF304A" w:rsidR="00C04931" w:rsidRPr="00E356CE" w:rsidRDefault="00BD4EF3" w:rsidP="00A9191A">
            <w:pPr>
              <w:pStyle w:val="Tekstpodstawowy"/>
              <w:rPr>
                <w:noProof/>
                <w:sz w:val="24"/>
                <w:szCs w:val="24"/>
              </w:rPr>
            </w:pPr>
            <w:r w:rsidRPr="00E356CE">
              <w:rPr>
                <w:noProof/>
                <w:sz w:val="24"/>
                <w:szCs w:val="24"/>
              </w:rPr>
              <w:t>Art. 3</w:t>
            </w:r>
            <w:r w:rsidR="29E687AF" w:rsidRPr="00E356CE">
              <w:rPr>
                <w:noProof/>
                <w:sz w:val="24"/>
                <w:szCs w:val="24"/>
              </w:rPr>
              <w:t>92</w:t>
            </w:r>
            <w:r w:rsidRPr="00E356CE">
              <w:rPr>
                <w:noProof/>
                <w:sz w:val="24"/>
                <w:szCs w:val="24"/>
              </w:rPr>
              <w:t xml:space="preserve"> ust. 4 i 6</w:t>
            </w:r>
          </w:p>
        </w:tc>
        <w:tc>
          <w:tcPr>
            <w:tcW w:w="7410" w:type="dxa"/>
            <w:gridSpan w:val="2"/>
            <w:tcBorders>
              <w:top w:val="single" w:sz="4" w:space="0" w:color="auto"/>
              <w:left w:val="single" w:sz="4" w:space="0" w:color="auto"/>
              <w:bottom w:val="single" w:sz="4" w:space="0" w:color="auto"/>
              <w:right w:val="single" w:sz="4" w:space="0" w:color="auto"/>
            </w:tcBorders>
          </w:tcPr>
          <w:p w14:paraId="3E892B00" w14:textId="0DE1BE4D" w:rsidR="4B06194A" w:rsidRPr="00E356CE" w:rsidRDefault="4B06194A" w:rsidP="2ECB3D4D">
            <w:pPr>
              <w:spacing w:line="360" w:lineRule="auto"/>
              <w:ind w:firstLine="510"/>
              <w:jc w:val="both"/>
            </w:pPr>
            <w:r w:rsidRPr="00E356CE">
              <w:t xml:space="preserve">4. Dostawca usługi komunikacji głosowej zapewniającej automatyczne przekazywanie </w:t>
            </w:r>
            <w:proofErr w:type="spellStart"/>
            <w:r w:rsidRPr="00E356CE">
              <w:t>wywołań</w:t>
            </w:r>
            <w:proofErr w:type="spellEnd"/>
            <w:r w:rsidRPr="00E356CE">
              <w:t xml:space="preserve"> jest obowiązany zapewnić abonentowi możliwość zablokowania, za pomocą prostych środków, automatycznego przekazywania przez osobę trzecią </w:t>
            </w:r>
            <w:proofErr w:type="spellStart"/>
            <w:r w:rsidRPr="00E356CE">
              <w:t>wywołań</w:t>
            </w:r>
            <w:proofErr w:type="spellEnd"/>
            <w:r w:rsidRPr="00E356CE">
              <w:t xml:space="preserve"> do telekomunikacyjnego urządzenia końcowego tego abonenta.</w:t>
            </w:r>
          </w:p>
          <w:p w14:paraId="72ECA5EE" w14:textId="49846C3C" w:rsidR="4B06194A" w:rsidRPr="00E356CE" w:rsidRDefault="4B06194A" w:rsidP="2ECB3D4D">
            <w:pPr>
              <w:spacing w:line="360" w:lineRule="auto"/>
            </w:pPr>
            <w:r w:rsidRPr="00E356CE">
              <w:t xml:space="preserve">6. Z tytułu korzystania przez abonenta z możliwości eliminacji lub blokowania, o których mowa w ust. 2-4, nie pobiera się opłat. </w:t>
            </w:r>
          </w:p>
          <w:p w14:paraId="0A754159" w14:textId="40AB05EC" w:rsidR="4B06194A" w:rsidRPr="00E356CE" w:rsidRDefault="4B06194A">
            <w:r w:rsidRPr="00E356CE">
              <w:br/>
            </w:r>
          </w:p>
          <w:p w14:paraId="10BC4FB7" w14:textId="38A4FA11" w:rsidR="2ECB3D4D" w:rsidRPr="00E356CE" w:rsidRDefault="2ECB3D4D" w:rsidP="2ECB3D4D">
            <w:pPr>
              <w:pStyle w:val="ARTartustawynprozporzdzenia"/>
              <w:spacing w:line="240" w:lineRule="auto"/>
              <w:ind w:firstLine="0"/>
              <w:rPr>
                <w:rFonts w:ascii="Times New Roman" w:hAnsi="Times New Roman" w:cs="Times New Roman"/>
              </w:rPr>
            </w:pPr>
          </w:p>
          <w:p w14:paraId="2DB19E49" w14:textId="77777777" w:rsidR="00C04931" w:rsidRPr="00E356CE" w:rsidRDefault="00C04931" w:rsidP="00A9191A">
            <w:pPr>
              <w:jc w:val="both"/>
            </w:pPr>
          </w:p>
        </w:tc>
      </w:tr>
      <w:tr w:rsidR="00723799" w:rsidRPr="00E356CE" w14:paraId="3391B357" w14:textId="77777777" w:rsidTr="56856880">
        <w:tc>
          <w:tcPr>
            <w:tcW w:w="795" w:type="dxa"/>
            <w:tcBorders>
              <w:top w:val="single" w:sz="4" w:space="0" w:color="auto"/>
              <w:left w:val="single" w:sz="4" w:space="0" w:color="auto"/>
              <w:bottom w:val="single" w:sz="4" w:space="0" w:color="auto"/>
              <w:right w:val="single" w:sz="4" w:space="0" w:color="auto"/>
            </w:tcBorders>
          </w:tcPr>
          <w:p w14:paraId="5C636749" w14:textId="77777777" w:rsidR="00C04931" w:rsidRPr="00E356CE" w:rsidRDefault="00BD4EF3" w:rsidP="00A9191A">
            <w:pPr>
              <w:jc w:val="both"/>
              <w:rPr>
                <w:b/>
              </w:rPr>
            </w:pPr>
            <w:r w:rsidRPr="00E356CE">
              <w:rPr>
                <w:b/>
              </w:rPr>
              <w:t>Art. 12</w:t>
            </w:r>
          </w:p>
        </w:tc>
        <w:tc>
          <w:tcPr>
            <w:tcW w:w="4719" w:type="dxa"/>
            <w:tcBorders>
              <w:top w:val="single" w:sz="4" w:space="0" w:color="auto"/>
              <w:left w:val="single" w:sz="4" w:space="0" w:color="auto"/>
              <w:bottom w:val="single" w:sz="4" w:space="0" w:color="auto"/>
              <w:right w:val="single" w:sz="4" w:space="0" w:color="auto"/>
            </w:tcBorders>
          </w:tcPr>
          <w:p w14:paraId="6C7E44F1" w14:textId="77777777" w:rsidR="00C04931" w:rsidRPr="00E356CE" w:rsidRDefault="00BD4EF3" w:rsidP="00A9191A">
            <w:pPr>
              <w:spacing w:before="60" w:after="120"/>
              <w:jc w:val="both"/>
              <w:rPr>
                <w:b/>
                <w:bCs/>
              </w:rPr>
            </w:pPr>
            <w:r w:rsidRPr="00E356CE">
              <w:rPr>
                <w:b/>
                <w:bCs/>
              </w:rPr>
              <w:t>Spisy abonentów</w:t>
            </w:r>
          </w:p>
        </w:tc>
        <w:tc>
          <w:tcPr>
            <w:tcW w:w="886" w:type="dxa"/>
            <w:tcBorders>
              <w:top w:val="single" w:sz="4" w:space="0" w:color="auto"/>
              <w:left w:val="single" w:sz="4" w:space="0" w:color="auto"/>
              <w:bottom w:val="single" w:sz="4" w:space="0" w:color="auto"/>
              <w:right w:val="single" w:sz="4" w:space="0" w:color="auto"/>
            </w:tcBorders>
          </w:tcPr>
          <w:p w14:paraId="4327C132"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672B6784"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072F1051" w14:textId="77777777" w:rsidR="00C04931" w:rsidRPr="00E356CE" w:rsidRDefault="00C04931" w:rsidP="00A9191A">
            <w:pPr>
              <w:jc w:val="both"/>
            </w:pPr>
          </w:p>
        </w:tc>
      </w:tr>
      <w:tr w:rsidR="00723799" w:rsidRPr="00E356CE" w14:paraId="3509F683" w14:textId="77777777" w:rsidTr="56856880">
        <w:tc>
          <w:tcPr>
            <w:tcW w:w="795" w:type="dxa"/>
            <w:tcBorders>
              <w:top w:val="single" w:sz="4" w:space="0" w:color="auto"/>
              <w:left w:val="single" w:sz="4" w:space="0" w:color="auto"/>
              <w:bottom w:val="single" w:sz="4" w:space="0" w:color="auto"/>
              <w:right w:val="single" w:sz="4" w:space="0" w:color="auto"/>
            </w:tcBorders>
          </w:tcPr>
          <w:p w14:paraId="7799E81E" w14:textId="77777777" w:rsidR="00C04931" w:rsidRPr="00E356CE" w:rsidRDefault="00BD4EF3" w:rsidP="00A9191A">
            <w:pPr>
              <w:jc w:val="both"/>
            </w:pPr>
            <w:r w:rsidRPr="00E356CE">
              <w:t>Art. 12 ust. 1</w:t>
            </w:r>
          </w:p>
        </w:tc>
        <w:tc>
          <w:tcPr>
            <w:tcW w:w="4719" w:type="dxa"/>
            <w:tcBorders>
              <w:top w:val="single" w:sz="4" w:space="0" w:color="auto"/>
              <w:left w:val="single" w:sz="4" w:space="0" w:color="auto"/>
              <w:bottom w:val="single" w:sz="4" w:space="0" w:color="auto"/>
              <w:right w:val="single" w:sz="4" w:space="0" w:color="auto"/>
            </w:tcBorders>
          </w:tcPr>
          <w:p w14:paraId="666ACD18" w14:textId="77777777" w:rsidR="00C04931" w:rsidRPr="00E356CE" w:rsidRDefault="00BD4EF3" w:rsidP="00A9191A">
            <w:pPr>
              <w:spacing w:before="60" w:after="120"/>
              <w:jc w:val="both"/>
              <w:rPr>
                <w:b/>
                <w:bCs/>
              </w:rPr>
            </w:pPr>
            <w:r w:rsidRPr="00E356CE">
              <w:t>1. Państwa Członkowskie zapewniają, że abonenci są informowani w sposób wolny od opłat oraz przed umieszczeniem ich danych w spisach abonentów, o celu(-ach) spisów abonentów wydawanych w formie druku lub elektronicznej, publicznie dostępnych lub uzyskiwanych w telefonicznej informacji o numerach, w których ich dane osobowe mogą się znajdować oraz o wszelkich dalszych możliwościach wykorzystania na podstawie funkcji wyszukiwania znajdującej się w wersji elektronicznej spisu.</w:t>
            </w:r>
          </w:p>
        </w:tc>
        <w:tc>
          <w:tcPr>
            <w:tcW w:w="886" w:type="dxa"/>
            <w:tcBorders>
              <w:top w:val="single" w:sz="4" w:space="0" w:color="auto"/>
              <w:left w:val="single" w:sz="4" w:space="0" w:color="auto"/>
              <w:bottom w:val="single" w:sz="4" w:space="0" w:color="auto"/>
              <w:right w:val="single" w:sz="4" w:space="0" w:color="auto"/>
            </w:tcBorders>
          </w:tcPr>
          <w:p w14:paraId="2A4AF7D9"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913096A" w14:textId="2E0B93F8" w:rsidR="00C04931" w:rsidRPr="00E356CE" w:rsidRDefault="00BD4EF3" w:rsidP="2ECB3D4D">
            <w:pPr>
              <w:pStyle w:val="Tekstpodstawowy"/>
              <w:rPr>
                <w:noProof/>
                <w:sz w:val="24"/>
                <w:szCs w:val="24"/>
              </w:rPr>
            </w:pPr>
            <w:r w:rsidRPr="00E356CE">
              <w:rPr>
                <w:sz w:val="24"/>
                <w:szCs w:val="24"/>
              </w:rPr>
              <w:t>Art. 2</w:t>
            </w:r>
            <w:r w:rsidR="17BB28C7" w:rsidRPr="00E356CE">
              <w:rPr>
                <w:sz w:val="24"/>
                <w:szCs w:val="24"/>
              </w:rPr>
              <w:t>79</w:t>
            </w:r>
            <w:r w:rsidRPr="00E356CE">
              <w:rPr>
                <w:sz w:val="24"/>
                <w:szCs w:val="24"/>
              </w:rPr>
              <w:t xml:space="preserve"> ust. 4, art. 2</w:t>
            </w:r>
            <w:r w:rsidR="41774915" w:rsidRPr="00E356CE">
              <w:rPr>
                <w:sz w:val="24"/>
                <w:szCs w:val="24"/>
              </w:rPr>
              <w:t>88</w:t>
            </w:r>
            <w:r w:rsidRPr="00E356CE">
              <w:rPr>
                <w:sz w:val="24"/>
                <w:szCs w:val="24"/>
              </w:rPr>
              <w:t>, art. 3</w:t>
            </w:r>
            <w:r w:rsidR="2EA2EB92" w:rsidRPr="00E356CE">
              <w:rPr>
                <w:sz w:val="24"/>
                <w:szCs w:val="24"/>
              </w:rPr>
              <w:t>90</w:t>
            </w:r>
          </w:p>
        </w:tc>
        <w:tc>
          <w:tcPr>
            <w:tcW w:w="7410" w:type="dxa"/>
            <w:gridSpan w:val="2"/>
            <w:tcBorders>
              <w:top w:val="single" w:sz="4" w:space="0" w:color="auto"/>
              <w:left w:val="single" w:sz="4" w:space="0" w:color="auto"/>
              <w:bottom w:val="single" w:sz="4" w:space="0" w:color="auto"/>
              <w:right w:val="single" w:sz="4" w:space="0" w:color="auto"/>
            </w:tcBorders>
          </w:tcPr>
          <w:p w14:paraId="244D4BBF" w14:textId="46430345" w:rsidR="4AD6C6D9" w:rsidRPr="00E356CE" w:rsidRDefault="4AD6C6D9" w:rsidP="2ECB3D4D">
            <w:pPr>
              <w:spacing w:line="360" w:lineRule="auto"/>
              <w:ind w:firstLine="510"/>
              <w:jc w:val="both"/>
            </w:pPr>
            <w:r w:rsidRPr="00E356CE">
              <w:t xml:space="preserve">4. W przypadku umowy o świadczenie usług komunikacji elektronicznej w zakresie usługi komunikacji interpersonalnej wykorzystującej numery, dostawca usług komunikacji elektronicznej, w ramach informacji </w:t>
            </w:r>
            <w:proofErr w:type="spellStart"/>
            <w:r w:rsidRPr="00E356CE">
              <w:t>przedumownych</w:t>
            </w:r>
            <w:proofErr w:type="spellEnd"/>
            <w:r w:rsidRPr="00E356CE">
              <w:t>, doręcza również informacje o:</w:t>
            </w:r>
          </w:p>
          <w:p w14:paraId="360E961E" w14:textId="1AF162FE" w:rsidR="4AD6C6D9" w:rsidRPr="00E356CE" w:rsidRDefault="4AD6C6D9" w:rsidP="2ECB3D4D">
            <w:pPr>
              <w:spacing w:line="360" w:lineRule="auto"/>
              <w:ind w:left="510" w:hanging="510"/>
              <w:jc w:val="both"/>
            </w:pPr>
            <w:r w:rsidRPr="00E356CE">
              <w:t>1)</w:t>
            </w:r>
            <w:r w:rsidRPr="00E356CE">
              <w:tab/>
              <w:t>ograniczeniach w kierowaniu połączeń do numerów alarmowych lub ograniczeniach w dostępie do informacji o lokalizacji dzwoniącego użytkownika końcowego ze względu na brak możliwości technicznych;</w:t>
            </w:r>
          </w:p>
          <w:p w14:paraId="046E115F" w14:textId="5365BA51" w:rsidR="4AD6C6D9" w:rsidRPr="00E356CE" w:rsidRDefault="4AD6C6D9" w:rsidP="2ECB3D4D">
            <w:pPr>
              <w:spacing w:line="360" w:lineRule="auto"/>
              <w:ind w:left="510" w:hanging="510"/>
              <w:jc w:val="both"/>
            </w:pPr>
            <w:r w:rsidRPr="00E356CE">
              <w:t>2)</w:t>
            </w:r>
            <w:r w:rsidRPr="00E356CE">
              <w:tab/>
              <w:t>prawie decydowania o umieszczaniu danych abonenta w spisie abonentów oraz rodzaju danych umieszczonych w spisie.</w:t>
            </w:r>
          </w:p>
          <w:p w14:paraId="6125B658" w14:textId="4E394494" w:rsidR="2ECB3D4D" w:rsidRPr="00E356CE" w:rsidRDefault="2ECB3D4D" w:rsidP="2ECB3D4D">
            <w:pPr>
              <w:pStyle w:val="PKTpunkt"/>
              <w:spacing w:line="240" w:lineRule="auto"/>
              <w:rPr>
                <w:rFonts w:ascii="Times New Roman" w:hAnsi="Times New Roman" w:cs="Times New Roman"/>
              </w:rPr>
            </w:pPr>
          </w:p>
          <w:p w14:paraId="5569E90C" w14:textId="77777777" w:rsidR="00BD4EF3" w:rsidRPr="00E356CE" w:rsidRDefault="00BD4EF3" w:rsidP="00A9191A">
            <w:pPr>
              <w:pStyle w:val="PKTpunkt"/>
              <w:spacing w:line="240" w:lineRule="auto"/>
              <w:rPr>
                <w:rFonts w:ascii="Times New Roman" w:hAnsi="Times New Roman" w:cs="Times New Roman"/>
                <w:szCs w:val="24"/>
              </w:rPr>
            </w:pPr>
          </w:p>
          <w:p w14:paraId="043A7094" w14:textId="150164F1" w:rsidR="6792DF34" w:rsidRPr="00E356CE" w:rsidRDefault="6792DF34" w:rsidP="2ECB3D4D">
            <w:pPr>
              <w:spacing w:line="360" w:lineRule="auto"/>
              <w:ind w:firstLine="510"/>
              <w:jc w:val="both"/>
            </w:pPr>
            <w:r w:rsidRPr="00E356CE">
              <w:rPr>
                <w:b/>
                <w:bCs/>
              </w:rPr>
              <w:t>Art. 288.</w:t>
            </w:r>
            <w:r w:rsidRPr="00E356CE">
              <w:t xml:space="preserve"> 1. Umowa o świadczenie usług komunikacji elektronicznej zawierana z użytkownikiem końcowym innym niż wskazany w art. 282 i art. 287, określa w szczególności:</w:t>
            </w:r>
          </w:p>
          <w:p w14:paraId="29A71C1B" w14:textId="4483336A" w:rsidR="6792DF34" w:rsidRPr="00E356CE" w:rsidRDefault="6792DF34" w:rsidP="2ECB3D4D">
            <w:pPr>
              <w:spacing w:line="360" w:lineRule="auto"/>
              <w:ind w:left="510" w:hanging="510"/>
              <w:jc w:val="both"/>
            </w:pPr>
            <w:r w:rsidRPr="00E356CE">
              <w:t>1)</w:t>
            </w:r>
            <w:r w:rsidRPr="00E356CE">
              <w:tab/>
              <w:t>strony umowy;</w:t>
            </w:r>
          </w:p>
          <w:p w14:paraId="254A0263" w14:textId="1436A402" w:rsidR="2ECB3D4D" w:rsidRPr="00E356CE" w:rsidRDefault="2ECB3D4D" w:rsidP="2ECB3D4D">
            <w:pPr>
              <w:pStyle w:val="ARTartustawynprozporzdzenia"/>
              <w:spacing w:line="240" w:lineRule="auto"/>
              <w:ind w:firstLine="0"/>
              <w:rPr>
                <w:rFonts w:ascii="Times New Roman" w:hAnsi="Times New Roman" w:cs="Times New Roman"/>
              </w:rPr>
            </w:pPr>
          </w:p>
          <w:p w14:paraId="35516887" w14:textId="77777777" w:rsidR="00BD4EF3" w:rsidRPr="00E356CE" w:rsidRDefault="00BD4EF3" w:rsidP="00A9191A">
            <w:pPr>
              <w:pStyle w:val="ARTartustawynprozporzdzenia"/>
              <w:spacing w:line="240" w:lineRule="auto"/>
              <w:rPr>
                <w:rFonts w:ascii="Times New Roman" w:hAnsi="Times New Roman" w:cs="Times New Roman"/>
                <w:szCs w:val="24"/>
              </w:rPr>
            </w:pPr>
            <w:r w:rsidRPr="00E356CE">
              <w:rPr>
                <w:rFonts w:ascii="Times New Roman" w:hAnsi="Times New Roman" w:cs="Times New Roman"/>
              </w:rPr>
              <w:t>(…)</w:t>
            </w:r>
          </w:p>
          <w:p w14:paraId="30153F63" w14:textId="2CA2D0F7" w:rsidR="5534EAA7" w:rsidRPr="00E356CE" w:rsidRDefault="5534EAA7" w:rsidP="2ECB3D4D">
            <w:pPr>
              <w:spacing w:line="360" w:lineRule="auto"/>
              <w:ind w:left="510" w:hanging="510"/>
              <w:jc w:val="both"/>
            </w:pPr>
            <w:r w:rsidRPr="00E356CE">
              <w:t>19)</w:t>
            </w:r>
            <w:r w:rsidRPr="00E356CE">
              <w:tab/>
              <w:t>dane dotyczące funkcjonalności świadczonej usługi obejmujące informacje o:</w:t>
            </w:r>
          </w:p>
          <w:p w14:paraId="09033DDA" w14:textId="153615F9" w:rsidR="5534EAA7" w:rsidRPr="00E356CE" w:rsidRDefault="5534EAA7" w:rsidP="2ECB3D4D">
            <w:pPr>
              <w:spacing w:line="360" w:lineRule="auto"/>
              <w:ind w:left="476" w:hanging="476"/>
              <w:jc w:val="both"/>
            </w:pPr>
            <w:r w:rsidRPr="00E356CE">
              <w:t>a)</w:t>
            </w:r>
            <w:r w:rsidRPr="00E356CE">
              <w:tab/>
              <w:t>ograniczeniach w kierowaniu połączeń do numerów alarmowych lub dostępie do informacji o lokalizacji dzwoniącego użytkownika końcowego ze względu na brak możliwości technicznych,</w:t>
            </w:r>
          </w:p>
          <w:p w14:paraId="6D7A12FA" w14:textId="6EB67C78" w:rsidR="5534EAA7" w:rsidRPr="00E356CE" w:rsidRDefault="5534EAA7" w:rsidP="2ECB3D4D">
            <w:pPr>
              <w:spacing w:line="360" w:lineRule="auto"/>
              <w:jc w:val="both"/>
            </w:pPr>
            <w:r w:rsidRPr="00E356CE">
              <w:t>b)            zasadach umieszczania danych abonenta w spisie abonentów;</w:t>
            </w:r>
          </w:p>
          <w:p w14:paraId="7B9702EF" w14:textId="43ABB243" w:rsidR="2ECB3D4D" w:rsidRPr="00E356CE" w:rsidRDefault="2ECB3D4D" w:rsidP="2ECB3D4D">
            <w:pPr>
              <w:pStyle w:val="PKTpunkt"/>
              <w:spacing w:line="240" w:lineRule="auto"/>
              <w:rPr>
                <w:rFonts w:ascii="Times New Roman" w:hAnsi="Times New Roman" w:cs="Times New Roman"/>
              </w:rPr>
            </w:pPr>
          </w:p>
          <w:p w14:paraId="3E70A420" w14:textId="77777777" w:rsidR="00BD4EF3" w:rsidRPr="00E356CE" w:rsidRDefault="00BD4EF3" w:rsidP="00A9191A">
            <w:pPr>
              <w:pStyle w:val="ARTartustawynprozporzdzenia"/>
              <w:spacing w:line="240" w:lineRule="auto"/>
              <w:ind w:firstLine="0"/>
              <w:rPr>
                <w:rFonts w:ascii="Times New Roman" w:hAnsi="Times New Roman" w:cs="Times New Roman"/>
                <w:szCs w:val="24"/>
              </w:rPr>
            </w:pPr>
          </w:p>
          <w:p w14:paraId="0F79F99F" w14:textId="021BF9AD" w:rsidR="00C04931" w:rsidRPr="00E356CE" w:rsidRDefault="39600097" w:rsidP="2ECB3D4D">
            <w:pPr>
              <w:spacing w:line="360" w:lineRule="auto"/>
              <w:ind w:firstLine="510"/>
              <w:jc w:val="both"/>
            </w:pPr>
            <w:r w:rsidRPr="00E356CE">
              <w:rPr>
                <w:b/>
                <w:bCs/>
              </w:rPr>
              <w:t>Art. 390.</w:t>
            </w:r>
            <w:r w:rsidRPr="00E356CE">
              <w:t xml:space="preserve"> 1. Dane osobowe posiadane przez przedsiębiorcę telekomunikacyjnego zawarte w publicznie dostępnym spisie abonentów, zwanym dalej „spisem”, wydawanym w postaci papierowej lub postaci elektronicznej, a także udostępniane za pośrednictwem służb informacyjnych przedsiębiorcy telekomunikacyjnego powinny być ograniczone do:</w:t>
            </w:r>
          </w:p>
          <w:p w14:paraId="2D1318D4" w14:textId="0229325F" w:rsidR="00C04931" w:rsidRPr="00E356CE" w:rsidRDefault="39600097" w:rsidP="2ECB3D4D">
            <w:pPr>
              <w:spacing w:line="360" w:lineRule="auto"/>
              <w:ind w:left="510" w:hanging="510"/>
              <w:jc w:val="both"/>
            </w:pPr>
            <w:r w:rsidRPr="00E356CE">
              <w:lastRenderedPageBreak/>
              <w:t>1)</w:t>
            </w:r>
            <w:r w:rsidR="00BD4EF3" w:rsidRPr="00E356CE">
              <w:tab/>
            </w:r>
            <w:r w:rsidRPr="00E356CE">
              <w:t>numeru abonenta lub znaku identyfikującego abonenta;</w:t>
            </w:r>
          </w:p>
          <w:p w14:paraId="3FD9372B" w14:textId="415AE7F3" w:rsidR="00C04931" w:rsidRPr="00E356CE" w:rsidRDefault="39600097" w:rsidP="2ECB3D4D">
            <w:pPr>
              <w:spacing w:line="360" w:lineRule="auto"/>
              <w:ind w:left="510" w:hanging="510"/>
              <w:jc w:val="both"/>
            </w:pPr>
            <w:r w:rsidRPr="00E356CE">
              <w:t>2)</w:t>
            </w:r>
            <w:r w:rsidR="00BD4EF3" w:rsidRPr="00E356CE">
              <w:tab/>
            </w:r>
            <w:r w:rsidRPr="00E356CE">
              <w:t>nazwiska i imion abonenta;</w:t>
            </w:r>
          </w:p>
          <w:p w14:paraId="31DAD22B" w14:textId="2824D17B" w:rsidR="00C04931" w:rsidRPr="00E356CE" w:rsidRDefault="39600097" w:rsidP="2ECB3D4D">
            <w:pPr>
              <w:spacing w:line="360" w:lineRule="auto"/>
              <w:ind w:left="510" w:hanging="510"/>
              <w:jc w:val="both"/>
            </w:pPr>
            <w:r w:rsidRPr="00E356CE">
              <w:t>3)</w:t>
            </w:r>
            <w:r w:rsidR="00BD4EF3" w:rsidRPr="00E356CE">
              <w:tab/>
            </w:r>
            <w:r w:rsidRPr="00E356CE">
              <w:t>nazwy miejscowości oraz ulicy w miejscu zamieszkania, przy której znajduje się zakończenie sieci, udostępnione abonentowi - w przypadku stacjonarnej publicznej sieci telekomunikacyjnej albo nazwy miejscowości oraz ulic/y w miejscu zamieszkania - w przypadku ruchomej publicznej sieci telekomunikacyjnej.</w:t>
            </w:r>
          </w:p>
          <w:p w14:paraId="5DB7678A" w14:textId="0225DE4E" w:rsidR="00C04931" w:rsidRPr="00E356CE" w:rsidRDefault="39600097" w:rsidP="2ECB3D4D">
            <w:pPr>
              <w:spacing w:line="360" w:lineRule="auto"/>
              <w:ind w:firstLine="510"/>
              <w:jc w:val="both"/>
            </w:pPr>
            <w:r w:rsidRPr="00E356CE">
              <w:t>2. Abonenci, przed umieszczeniem ich danych w spisie, są informowani nieodpłatnie o celu spisu lub telefonicznej informacji o numerach, w których ich dane osobowe mogą się znajdować, a także o możliwości wykorzystywania spisu, za pomocą funkcji wyszukiwania dostępnych w jego elektronicznej postaci.</w:t>
            </w:r>
          </w:p>
          <w:p w14:paraId="2C3903FC" w14:textId="00F444F2" w:rsidR="00C04931" w:rsidRPr="00E356CE" w:rsidRDefault="39600097" w:rsidP="2ECB3D4D">
            <w:pPr>
              <w:spacing w:line="360" w:lineRule="auto"/>
              <w:ind w:firstLine="510"/>
              <w:jc w:val="both"/>
            </w:pPr>
            <w:r w:rsidRPr="00E356CE">
              <w:t>3. Zamieszczenie w spisie danych identyfikujących abonenta będącego osobą fizyczną może nastąpić wyłącznie po uprzednim wyrażeniu przez niego zgody na dokonanie tych czynności.</w:t>
            </w:r>
          </w:p>
          <w:p w14:paraId="23D8E399" w14:textId="4494B31F" w:rsidR="00C04931" w:rsidRPr="00E356CE" w:rsidRDefault="39600097" w:rsidP="2ECB3D4D">
            <w:pPr>
              <w:spacing w:line="360" w:lineRule="auto"/>
              <w:ind w:firstLine="510"/>
              <w:jc w:val="both"/>
            </w:pPr>
            <w:r w:rsidRPr="00E356CE">
              <w:t>4. Rozszerzenie zakresu danych, o których mowa w ust. 1, wymaga zgody abonenta.</w:t>
            </w:r>
          </w:p>
          <w:p w14:paraId="0370BF17" w14:textId="0C4DB6E5" w:rsidR="00C04931" w:rsidRPr="00E356CE" w:rsidRDefault="39600097" w:rsidP="2ECB3D4D">
            <w:pPr>
              <w:spacing w:line="360" w:lineRule="auto"/>
              <w:ind w:firstLine="510"/>
              <w:jc w:val="both"/>
            </w:pPr>
            <w:r w:rsidRPr="00E356CE">
              <w:t>5. Udostępnianie w spisie lub za pośrednictwem służb informacyjnych danych identyfikujących abonentów innych niż wymienieni w ust. 3 nie może naruszać słusznych interesów tych podmiotów.</w:t>
            </w:r>
          </w:p>
          <w:p w14:paraId="02E36A6B" w14:textId="5B2B95B5" w:rsidR="00C04931" w:rsidRPr="00E356CE" w:rsidRDefault="39600097" w:rsidP="2ECB3D4D">
            <w:pPr>
              <w:spacing w:line="360" w:lineRule="auto"/>
              <w:ind w:firstLine="510"/>
              <w:jc w:val="both"/>
            </w:pPr>
            <w:r w:rsidRPr="00E356CE">
              <w:lastRenderedPageBreak/>
              <w:t>6. Przedsiębiorca telekomunikacyjny jest obowiązany zabezpieczyć spisy wydawane w postaci elektronicznej w sposób uniemożliwiający wykorzystanie zawartych w nich danych niezgodnie z przeznaczeniem.</w:t>
            </w:r>
          </w:p>
          <w:p w14:paraId="5A28D249" w14:textId="5A8EA056" w:rsidR="00C04931" w:rsidRPr="00E356CE" w:rsidRDefault="39600097" w:rsidP="2ECB3D4D">
            <w:pPr>
              <w:spacing w:line="360" w:lineRule="auto"/>
              <w:ind w:firstLine="510"/>
              <w:jc w:val="both"/>
            </w:pPr>
            <w:r w:rsidRPr="00E356CE">
              <w:t>7. Przedsiębiorca telekomunikacyjny jest obowiązany informować abonenta o przekazaniu jego danych innym przedsiębiorcom, w celu publikacji spisu lub świadczenia usługi informacji o numerach telefonicznych.</w:t>
            </w:r>
          </w:p>
          <w:p w14:paraId="5F35FBCE" w14:textId="386D772C" w:rsidR="00C04931" w:rsidRPr="00E356CE" w:rsidRDefault="00C04931" w:rsidP="2ECB3D4D">
            <w:pPr>
              <w:pStyle w:val="USTustnpkodeksu"/>
              <w:spacing w:line="240" w:lineRule="auto"/>
              <w:ind w:firstLine="0"/>
              <w:rPr>
                <w:rFonts w:ascii="Times New Roman" w:hAnsi="Times New Roman" w:cs="Times New Roman"/>
              </w:rPr>
            </w:pPr>
          </w:p>
        </w:tc>
      </w:tr>
      <w:tr w:rsidR="00723799" w:rsidRPr="00E356CE" w14:paraId="15C6A02A" w14:textId="77777777" w:rsidTr="56856880">
        <w:tc>
          <w:tcPr>
            <w:tcW w:w="795" w:type="dxa"/>
            <w:tcBorders>
              <w:top w:val="single" w:sz="4" w:space="0" w:color="auto"/>
              <w:left w:val="single" w:sz="4" w:space="0" w:color="auto"/>
              <w:bottom w:val="single" w:sz="4" w:space="0" w:color="auto"/>
              <w:right w:val="single" w:sz="4" w:space="0" w:color="auto"/>
            </w:tcBorders>
          </w:tcPr>
          <w:p w14:paraId="5A42CFE9" w14:textId="77777777" w:rsidR="00C04931" w:rsidRPr="00E356CE" w:rsidRDefault="00BD4EF3" w:rsidP="00A9191A">
            <w:pPr>
              <w:jc w:val="both"/>
            </w:pPr>
            <w:r w:rsidRPr="00E356CE">
              <w:lastRenderedPageBreak/>
              <w:t>Art. 12 ust. 2</w:t>
            </w:r>
          </w:p>
        </w:tc>
        <w:tc>
          <w:tcPr>
            <w:tcW w:w="4719" w:type="dxa"/>
            <w:tcBorders>
              <w:top w:val="single" w:sz="4" w:space="0" w:color="auto"/>
              <w:left w:val="single" w:sz="4" w:space="0" w:color="auto"/>
              <w:bottom w:val="single" w:sz="4" w:space="0" w:color="auto"/>
              <w:right w:val="single" w:sz="4" w:space="0" w:color="auto"/>
            </w:tcBorders>
          </w:tcPr>
          <w:p w14:paraId="502F130E" w14:textId="77777777" w:rsidR="00C04931" w:rsidRPr="00E356CE" w:rsidRDefault="00BD4EF3" w:rsidP="00A9191A">
            <w:pPr>
              <w:spacing w:before="60" w:after="120"/>
              <w:jc w:val="both"/>
              <w:rPr>
                <w:b/>
                <w:bCs/>
              </w:rPr>
            </w:pPr>
            <w:r w:rsidRPr="00E356CE">
              <w:t>2. Państwa Członkowskie zapewniają, że abonenci posiadają możliwość ustalenia czy ich dane osobowe znajdują się w publicznym spisie abonentów, a jeżeli tak, to które, w zakresie, w jakim te dane są niezbędne do celu spisu abonentów określonego przez dostawcę spisu abonentów i sprawdzania, poprawiania lub wycofywania tych danych. Zastrzeżenie numeru, sprawdzanie, poprawianie lub wycofywanie danych osobowych ze spisu abonentów jest wolne od opłat.</w:t>
            </w:r>
          </w:p>
        </w:tc>
        <w:tc>
          <w:tcPr>
            <w:tcW w:w="886" w:type="dxa"/>
            <w:tcBorders>
              <w:top w:val="single" w:sz="4" w:space="0" w:color="auto"/>
              <w:left w:val="single" w:sz="4" w:space="0" w:color="auto"/>
              <w:bottom w:val="single" w:sz="4" w:space="0" w:color="auto"/>
              <w:right w:val="single" w:sz="4" w:space="0" w:color="auto"/>
            </w:tcBorders>
          </w:tcPr>
          <w:p w14:paraId="38FAF221"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0E27A100" w14:textId="2E9D34C8" w:rsidR="00C04931" w:rsidRPr="00E356CE" w:rsidRDefault="00BD4EF3" w:rsidP="00A9191A">
            <w:pPr>
              <w:pStyle w:val="Tekstpodstawowy"/>
              <w:rPr>
                <w:noProof/>
                <w:sz w:val="24"/>
                <w:szCs w:val="24"/>
              </w:rPr>
            </w:pPr>
            <w:r w:rsidRPr="00E356CE">
              <w:rPr>
                <w:noProof/>
                <w:sz w:val="24"/>
                <w:szCs w:val="24"/>
              </w:rPr>
              <w:t>Art. 3</w:t>
            </w:r>
            <w:r w:rsidR="7B462FD0" w:rsidRPr="00E356CE">
              <w:rPr>
                <w:noProof/>
                <w:sz w:val="24"/>
                <w:szCs w:val="24"/>
              </w:rPr>
              <w:t>90</w:t>
            </w:r>
          </w:p>
        </w:tc>
        <w:tc>
          <w:tcPr>
            <w:tcW w:w="7410" w:type="dxa"/>
            <w:gridSpan w:val="2"/>
            <w:tcBorders>
              <w:top w:val="single" w:sz="4" w:space="0" w:color="auto"/>
              <w:left w:val="single" w:sz="4" w:space="0" w:color="auto"/>
              <w:bottom w:val="single" w:sz="4" w:space="0" w:color="auto"/>
              <w:right w:val="single" w:sz="4" w:space="0" w:color="auto"/>
            </w:tcBorders>
          </w:tcPr>
          <w:p w14:paraId="156AC9C8" w14:textId="5FB79FBF" w:rsidR="00C04931" w:rsidRPr="00E356CE" w:rsidRDefault="096811EC" w:rsidP="2ECB3D4D">
            <w:pPr>
              <w:spacing w:line="360" w:lineRule="auto"/>
              <w:ind w:firstLine="510"/>
              <w:jc w:val="both"/>
            </w:pPr>
            <w:r w:rsidRPr="00E356CE">
              <w:rPr>
                <w:b/>
                <w:bCs/>
              </w:rPr>
              <w:t>Art. 390.</w:t>
            </w:r>
            <w:r w:rsidRPr="00E356CE">
              <w:t xml:space="preserve"> 1. Dane osobowe posiadane przez przedsiębiorcę telekomunikacyjnego zawarte w publicznie dostępnym spisie abonentów, zwanym dalej „spisem”, wydawanym w postaci papierowej lub postaci elektronicznej, a także udostępniane za pośrednictwem służb informacyjnych przedsiębiorcy telekomunikacyjnego powinny być ograniczone do:</w:t>
            </w:r>
          </w:p>
          <w:p w14:paraId="316EDAF9" w14:textId="11C8187D" w:rsidR="00C04931" w:rsidRPr="00E356CE" w:rsidRDefault="096811EC" w:rsidP="2ECB3D4D">
            <w:pPr>
              <w:spacing w:line="360" w:lineRule="auto"/>
              <w:ind w:left="510" w:hanging="510"/>
              <w:jc w:val="both"/>
            </w:pPr>
            <w:r w:rsidRPr="00E356CE">
              <w:t>1)</w:t>
            </w:r>
            <w:r w:rsidR="00BD4EF3" w:rsidRPr="00E356CE">
              <w:tab/>
            </w:r>
            <w:r w:rsidRPr="00E356CE">
              <w:t>numeru abonenta lub znaku identyfikującego abonenta;</w:t>
            </w:r>
          </w:p>
          <w:p w14:paraId="71A72AD2" w14:textId="442CDA36" w:rsidR="00C04931" w:rsidRPr="00E356CE" w:rsidRDefault="096811EC" w:rsidP="2ECB3D4D">
            <w:pPr>
              <w:spacing w:line="360" w:lineRule="auto"/>
              <w:ind w:left="510" w:hanging="510"/>
              <w:jc w:val="both"/>
            </w:pPr>
            <w:r w:rsidRPr="00E356CE">
              <w:t>2)</w:t>
            </w:r>
            <w:r w:rsidR="00BD4EF3" w:rsidRPr="00E356CE">
              <w:tab/>
            </w:r>
            <w:r w:rsidRPr="00E356CE">
              <w:t>nazwiska i imion abonenta;</w:t>
            </w:r>
          </w:p>
          <w:p w14:paraId="6ED07C5D" w14:textId="37FA0151" w:rsidR="00C04931" w:rsidRPr="00E356CE" w:rsidRDefault="096811EC" w:rsidP="2ECB3D4D">
            <w:pPr>
              <w:spacing w:line="360" w:lineRule="auto"/>
              <w:ind w:left="510" w:hanging="510"/>
              <w:jc w:val="both"/>
            </w:pPr>
            <w:r w:rsidRPr="00E356CE">
              <w:t>3)</w:t>
            </w:r>
            <w:r w:rsidR="00BD4EF3" w:rsidRPr="00E356CE">
              <w:tab/>
            </w:r>
            <w:r w:rsidRPr="00E356CE">
              <w:t>nazwy miejscowości oraz ulicy w miejscu zamieszkania, przy której znajduje się zakończenie sieci, udostępnione abonentowi - w przypadku stacjonarnej publicznej sieci telekomunikacyjnej albo nazwy miejscowości oraz ulic/y w miejscu zamieszkania - w przypadku ruchomej publicznej sieci telekomunikacyjnej.</w:t>
            </w:r>
          </w:p>
          <w:p w14:paraId="6FD44545" w14:textId="64439B19" w:rsidR="00C04931" w:rsidRPr="00E356CE" w:rsidRDefault="096811EC" w:rsidP="2ECB3D4D">
            <w:pPr>
              <w:spacing w:line="360" w:lineRule="auto"/>
              <w:ind w:firstLine="510"/>
              <w:jc w:val="both"/>
            </w:pPr>
            <w:r w:rsidRPr="00E356CE">
              <w:lastRenderedPageBreak/>
              <w:t>2. Abonenci, przed umieszczeniem ich danych w spisie, są informowani nieodpłatnie o celu spisu lub telefonicznej informacji o numerach, w których ich dane osobowe mogą się znajdować, a także o możliwości wykorzystywania spisu, za pomocą funkcji wyszukiwania dostępnych w jego elektronicznej postaci.</w:t>
            </w:r>
          </w:p>
          <w:p w14:paraId="5419DEF2" w14:textId="3373F837" w:rsidR="00C04931" w:rsidRPr="00E356CE" w:rsidRDefault="096811EC" w:rsidP="2ECB3D4D">
            <w:pPr>
              <w:spacing w:line="360" w:lineRule="auto"/>
              <w:ind w:firstLine="510"/>
              <w:jc w:val="both"/>
            </w:pPr>
            <w:r w:rsidRPr="00E356CE">
              <w:t>3. Zamieszczenie w spisie danych identyfikujących abonenta będącego osobą fizyczną może nastąpić wyłącznie po uprzednim wyrażeniu przez niego zgody na dokonanie tych czynności.</w:t>
            </w:r>
          </w:p>
          <w:p w14:paraId="560739D8" w14:textId="2C50C429" w:rsidR="00C04931" w:rsidRPr="00E356CE" w:rsidRDefault="096811EC" w:rsidP="2ECB3D4D">
            <w:pPr>
              <w:spacing w:line="360" w:lineRule="auto"/>
              <w:ind w:firstLine="510"/>
              <w:jc w:val="both"/>
            </w:pPr>
            <w:r w:rsidRPr="00E356CE">
              <w:t>4. Rozszerzenie zakresu danych, o których mowa w ust. 1, wymaga zgody abonenta.</w:t>
            </w:r>
          </w:p>
          <w:p w14:paraId="0D873734" w14:textId="7ACDA68D" w:rsidR="00C04931" w:rsidRPr="00E356CE" w:rsidRDefault="096811EC" w:rsidP="2ECB3D4D">
            <w:pPr>
              <w:spacing w:line="360" w:lineRule="auto"/>
              <w:ind w:firstLine="510"/>
              <w:jc w:val="both"/>
            </w:pPr>
            <w:r w:rsidRPr="00E356CE">
              <w:t>5. Udostępnianie w spisie lub za pośrednictwem służb informacyjnych danych identyfikujących abonentów innych niż wymienieni w ust. 3 nie może naruszać słusznych interesów tych podmiotów.</w:t>
            </w:r>
          </w:p>
          <w:p w14:paraId="37D02788" w14:textId="654C0431" w:rsidR="00C04931" w:rsidRPr="00E356CE" w:rsidRDefault="096811EC" w:rsidP="2ECB3D4D">
            <w:pPr>
              <w:spacing w:line="360" w:lineRule="auto"/>
              <w:ind w:firstLine="510"/>
              <w:jc w:val="both"/>
            </w:pPr>
            <w:r w:rsidRPr="00E356CE">
              <w:t>6. Przedsiębiorca telekomunikacyjny jest obowiązany zabezpieczyć spisy wydawane w postaci elektronicznej w sposób uniemożliwiający wykorzystanie zawartych w nich danych niezgodnie z przeznaczeniem.</w:t>
            </w:r>
          </w:p>
          <w:p w14:paraId="1F3BBF18" w14:textId="0FA383C8" w:rsidR="00C04931" w:rsidRPr="00E356CE" w:rsidRDefault="096811EC" w:rsidP="2ECB3D4D">
            <w:pPr>
              <w:spacing w:line="360" w:lineRule="auto"/>
              <w:ind w:firstLine="510"/>
              <w:jc w:val="both"/>
            </w:pPr>
            <w:r w:rsidRPr="00E356CE">
              <w:t>7. Przedsiębiorca telekomunikacyjny jest obowiązany informować abonenta o przekazaniu jego danych innym przedsiębiorcom, w celu publikacji spisu lub świadczenia usługi informacji o numerach telefonicznych.</w:t>
            </w:r>
          </w:p>
          <w:p w14:paraId="4FEEC349" w14:textId="6E2E4B6F" w:rsidR="00C04931" w:rsidRPr="00E356CE" w:rsidRDefault="00C04931" w:rsidP="2ECB3D4D">
            <w:pPr>
              <w:pStyle w:val="USTustnpkodeksu"/>
              <w:spacing w:line="240" w:lineRule="auto"/>
              <w:rPr>
                <w:rFonts w:ascii="Times New Roman" w:hAnsi="Times New Roman" w:cs="Times New Roman"/>
              </w:rPr>
            </w:pPr>
          </w:p>
        </w:tc>
      </w:tr>
      <w:tr w:rsidR="00723799" w:rsidRPr="00E356CE" w14:paraId="2EACD68E" w14:textId="77777777" w:rsidTr="56856880">
        <w:tc>
          <w:tcPr>
            <w:tcW w:w="795" w:type="dxa"/>
            <w:tcBorders>
              <w:top w:val="single" w:sz="4" w:space="0" w:color="auto"/>
              <w:left w:val="single" w:sz="4" w:space="0" w:color="auto"/>
              <w:bottom w:val="single" w:sz="4" w:space="0" w:color="auto"/>
              <w:right w:val="single" w:sz="4" w:space="0" w:color="auto"/>
            </w:tcBorders>
          </w:tcPr>
          <w:p w14:paraId="7FFB1A29" w14:textId="77777777" w:rsidR="00C04931" w:rsidRPr="00E356CE" w:rsidRDefault="00BD4EF3" w:rsidP="00A9191A">
            <w:pPr>
              <w:jc w:val="both"/>
            </w:pPr>
            <w:r w:rsidRPr="00E356CE">
              <w:lastRenderedPageBreak/>
              <w:t>Art. 12 ust. 3</w:t>
            </w:r>
          </w:p>
        </w:tc>
        <w:tc>
          <w:tcPr>
            <w:tcW w:w="4719" w:type="dxa"/>
            <w:tcBorders>
              <w:top w:val="single" w:sz="4" w:space="0" w:color="auto"/>
              <w:left w:val="single" w:sz="4" w:space="0" w:color="auto"/>
              <w:bottom w:val="single" w:sz="4" w:space="0" w:color="auto"/>
              <w:right w:val="single" w:sz="4" w:space="0" w:color="auto"/>
            </w:tcBorders>
          </w:tcPr>
          <w:p w14:paraId="5F278BDB" w14:textId="77777777" w:rsidR="00C04931" w:rsidRPr="00E356CE" w:rsidRDefault="00BD4EF3" w:rsidP="00A9191A">
            <w:pPr>
              <w:spacing w:before="60" w:after="120"/>
              <w:jc w:val="both"/>
              <w:rPr>
                <w:b/>
                <w:bCs/>
              </w:rPr>
            </w:pPr>
            <w:r w:rsidRPr="00E356CE">
              <w:t>3. Państwa Członkowskie mogą wymagać, aby dla jakiegokolwiek celu publicznego spisu abonentów innego niż przeszukiwanie danych do kontaktu osób, na podstawie podania ich nazwiska oraz, w miarę potrzeb, minimalnej ilości innych danych identyfikacyjnych, wymagana była dodatkowa zgoda abonentów.</w:t>
            </w:r>
          </w:p>
        </w:tc>
        <w:tc>
          <w:tcPr>
            <w:tcW w:w="886" w:type="dxa"/>
            <w:tcBorders>
              <w:top w:val="single" w:sz="4" w:space="0" w:color="auto"/>
              <w:left w:val="single" w:sz="4" w:space="0" w:color="auto"/>
              <w:bottom w:val="single" w:sz="4" w:space="0" w:color="auto"/>
              <w:right w:val="single" w:sz="4" w:space="0" w:color="auto"/>
            </w:tcBorders>
          </w:tcPr>
          <w:p w14:paraId="0B2D3F3B" w14:textId="77777777" w:rsidR="00C04931" w:rsidRPr="00E356CE" w:rsidRDefault="00BD4EF3"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61DF78C6"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55292290" w14:textId="77777777" w:rsidR="00BD4EF3" w:rsidRPr="00E356CE" w:rsidRDefault="00BD4EF3" w:rsidP="00A9191A">
            <w:pPr>
              <w:jc w:val="both"/>
            </w:pPr>
          </w:p>
          <w:p w14:paraId="261FD7F7" w14:textId="77777777" w:rsidR="00C04931" w:rsidRPr="00E356CE" w:rsidRDefault="00BD4EF3" w:rsidP="00A9191A">
            <w:pPr>
              <w:jc w:val="both"/>
            </w:pPr>
            <w:r w:rsidRPr="00E356CE">
              <w:t>Przepis fakultatywny</w:t>
            </w:r>
          </w:p>
        </w:tc>
      </w:tr>
      <w:tr w:rsidR="00723799" w:rsidRPr="00E356CE" w14:paraId="42F049F1" w14:textId="77777777" w:rsidTr="56856880">
        <w:tc>
          <w:tcPr>
            <w:tcW w:w="795" w:type="dxa"/>
            <w:tcBorders>
              <w:top w:val="single" w:sz="4" w:space="0" w:color="auto"/>
              <w:left w:val="single" w:sz="4" w:space="0" w:color="auto"/>
              <w:bottom w:val="single" w:sz="4" w:space="0" w:color="auto"/>
              <w:right w:val="single" w:sz="4" w:space="0" w:color="auto"/>
            </w:tcBorders>
          </w:tcPr>
          <w:p w14:paraId="37AFC56D" w14:textId="77777777" w:rsidR="00C04931" w:rsidRPr="00E356CE" w:rsidRDefault="00BD4EF3" w:rsidP="00A9191A">
            <w:pPr>
              <w:jc w:val="both"/>
            </w:pPr>
            <w:r w:rsidRPr="00E356CE">
              <w:t>Art. 12 ust. 4</w:t>
            </w:r>
          </w:p>
        </w:tc>
        <w:tc>
          <w:tcPr>
            <w:tcW w:w="4719" w:type="dxa"/>
            <w:tcBorders>
              <w:top w:val="single" w:sz="4" w:space="0" w:color="auto"/>
              <w:left w:val="single" w:sz="4" w:space="0" w:color="auto"/>
              <w:bottom w:val="single" w:sz="4" w:space="0" w:color="auto"/>
              <w:right w:val="single" w:sz="4" w:space="0" w:color="auto"/>
            </w:tcBorders>
          </w:tcPr>
          <w:p w14:paraId="6D35B725" w14:textId="77777777" w:rsidR="00C04931" w:rsidRPr="00E356CE" w:rsidRDefault="00BD4EF3" w:rsidP="00A9191A">
            <w:pPr>
              <w:spacing w:before="60" w:after="120"/>
              <w:jc w:val="both"/>
              <w:rPr>
                <w:b/>
                <w:bCs/>
              </w:rPr>
            </w:pPr>
            <w:r w:rsidRPr="00E356CE">
              <w:t>4. Przepisy ust. 1 i 2 stosuje się do abonentów będących osobami fizycznymi. Państwa Członkowskie zapewniają również, że, w ramach prawa wspólnotowego i obowiązującego ustawodawstwa krajowego, uzasadnione interesy abonentów innych niż osoby fizyczne, w odniesieniu do ich umieszczenia w publicznych spisach abonentów, posiadają wystarczającą ochronę.</w:t>
            </w:r>
          </w:p>
        </w:tc>
        <w:tc>
          <w:tcPr>
            <w:tcW w:w="886" w:type="dxa"/>
            <w:tcBorders>
              <w:top w:val="single" w:sz="4" w:space="0" w:color="auto"/>
              <w:left w:val="single" w:sz="4" w:space="0" w:color="auto"/>
              <w:bottom w:val="single" w:sz="4" w:space="0" w:color="auto"/>
              <w:right w:val="single" w:sz="4" w:space="0" w:color="auto"/>
            </w:tcBorders>
          </w:tcPr>
          <w:p w14:paraId="40BFEA65"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D900A85" w14:textId="7E4B1D00" w:rsidR="00C04931" w:rsidRPr="00E356CE" w:rsidRDefault="00BD4EF3" w:rsidP="00A9191A">
            <w:pPr>
              <w:pStyle w:val="Tekstpodstawowy"/>
              <w:rPr>
                <w:noProof/>
                <w:sz w:val="24"/>
                <w:szCs w:val="24"/>
              </w:rPr>
            </w:pPr>
            <w:r w:rsidRPr="00E356CE">
              <w:rPr>
                <w:noProof/>
                <w:sz w:val="24"/>
                <w:szCs w:val="24"/>
              </w:rPr>
              <w:t>Art. 3</w:t>
            </w:r>
            <w:r w:rsidR="42EECB98" w:rsidRPr="00E356CE">
              <w:rPr>
                <w:noProof/>
                <w:sz w:val="24"/>
                <w:szCs w:val="24"/>
              </w:rPr>
              <w:t>90</w:t>
            </w:r>
            <w:r w:rsidRPr="00E356CE">
              <w:rPr>
                <w:noProof/>
                <w:sz w:val="24"/>
                <w:szCs w:val="24"/>
              </w:rPr>
              <w:t xml:space="preserve"> ust. 3 i 6</w:t>
            </w:r>
          </w:p>
        </w:tc>
        <w:tc>
          <w:tcPr>
            <w:tcW w:w="7410" w:type="dxa"/>
            <w:gridSpan w:val="2"/>
            <w:tcBorders>
              <w:top w:val="single" w:sz="4" w:space="0" w:color="auto"/>
              <w:left w:val="single" w:sz="4" w:space="0" w:color="auto"/>
              <w:bottom w:val="single" w:sz="4" w:space="0" w:color="auto"/>
              <w:right w:val="single" w:sz="4" w:space="0" w:color="auto"/>
            </w:tcBorders>
          </w:tcPr>
          <w:p w14:paraId="323F0585" w14:textId="4CEEE895" w:rsidR="00BD4EF3" w:rsidRPr="00E356CE" w:rsidRDefault="28C08750" w:rsidP="2ECB3D4D">
            <w:pPr>
              <w:spacing w:line="360" w:lineRule="auto"/>
              <w:ind w:firstLine="510"/>
              <w:jc w:val="both"/>
            </w:pPr>
            <w:r w:rsidRPr="00E356CE">
              <w:t>3. Zamieszczenie w spisie danych identyfikujących abonenta będącego osobą fizyczną może nastąpić wyłącznie po uprzednim wyrażeniu przez niego zgody na dokonanie tych czynności.</w:t>
            </w:r>
          </w:p>
          <w:p w14:paraId="5647FC29" w14:textId="2B7F0CA0" w:rsidR="00BD4EF3" w:rsidRPr="00E356CE" w:rsidRDefault="00BD4EF3" w:rsidP="00A9191A">
            <w:pPr>
              <w:pStyle w:val="Tekstpodstawowy"/>
              <w:rPr>
                <w:sz w:val="24"/>
                <w:szCs w:val="24"/>
              </w:rPr>
            </w:pPr>
          </w:p>
          <w:p w14:paraId="3C138020" w14:textId="7E59ED11" w:rsidR="28C08750" w:rsidRPr="00E356CE" w:rsidRDefault="28C08750" w:rsidP="2ECB3D4D">
            <w:pPr>
              <w:spacing w:line="360" w:lineRule="auto"/>
              <w:ind w:firstLine="510"/>
              <w:jc w:val="both"/>
            </w:pPr>
            <w:r w:rsidRPr="00E356CE">
              <w:t>6. Przedsiębiorca telekomunikacyjny jest obowiązany zabezpieczyć spisy wydawane w postaci elektronicznej w sposób uniemożliwiający wykorzystanie zawartych w nich danych niezgodnie z przeznaczeniem.</w:t>
            </w:r>
          </w:p>
          <w:p w14:paraId="74FF5885" w14:textId="4C62748B" w:rsidR="2ECB3D4D" w:rsidRPr="00E356CE" w:rsidRDefault="2ECB3D4D" w:rsidP="2ECB3D4D">
            <w:pPr>
              <w:pStyle w:val="USTustnpkodeksu"/>
              <w:spacing w:line="240" w:lineRule="auto"/>
              <w:ind w:firstLine="0"/>
              <w:rPr>
                <w:rFonts w:ascii="Times New Roman" w:hAnsi="Times New Roman" w:cs="Times New Roman"/>
              </w:rPr>
            </w:pPr>
          </w:p>
          <w:p w14:paraId="2BD26EC5" w14:textId="77777777" w:rsidR="00C04931" w:rsidRPr="00E356CE" w:rsidRDefault="00C04931" w:rsidP="00A9191A">
            <w:pPr>
              <w:jc w:val="both"/>
            </w:pPr>
          </w:p>
        </w:tc>
      </w:tr>
      <w:tr w:rsidR="00723799" w:rsidRPr="00E356CE" w14:paraId="2A5107C6" w14:textId="77777777" w:rsidTr="56856880">
        <w:tc>
          <w:tcPr>
            <w:tcW w:w="795" w:type="dxa"/>
            <w:tcBorders>
              <w:top w:val="single" w:sz="4" w:space="0" w:color="auto"/>
              <w:left w:val="single" w:sz="4" w:space="0" w:color="auto"/>
              <w:bottom w:val="single" w:sz="4" w:space="0" w:color="auto"/>
              <w:right w:val="single" w:sz="4" w:space="0" w:color="auto"/>
            </w:tcBorders>
          </w:tcPr>
          <w:p w14:paraId="17517C3E" w14:textId="77777777" w:rsidR="00C04931" w:rsidRPr="00E356CE" w:rsidRDefault="00BD4EF3" w:rsidP="00A9191A">
            <w:pPr>
              <w:jc w:val="both"/>
              <w:rPr>
                <w:b/>
              </w:rPr>
            </w:pPr>
            <w:r w:rsidRPr="00E356CE">
              <w:rPr>
                <w:b/>
              </w:rPr>
              <w:t>Art. 13</w:t>
            </w:r>
          </w:p>
        </w:tc>
        <w:tc>
          <w:tcPr>
            <w:tcW w:w="4719" w:type="dxa"/>
            <w:tcBorders>
              <w:top w:val="single" w:sz="4" w:space="0" w:color="auto"/>
              <w:left w:val="single" w:sz="4" w:space="0" w:color="auto"/>
              <w:bottom w:val="single" w:sz="4" w:space="0" w:color="auto"/>
              <w:right w:val="single" w:sz="4" w:space="0" w:color="auto"/>
            </w:tcBorders>
          </w:tcPr>
          <w:p w14:paraId="2C181A43" w14:textId="77777777" w:rsidR="00C04931" w:rsidRPr="00E356CE" w:rsidRDefault="00BD4EF3" w:rsidP="00A9191A">
            <w:pPr>
              <w:spacing w:before="60" w:after="120"/>
              <w:jc w:val="both"/>
              <w:rPr>
                <w:b/>
                <w:bCs/>
              </w:rPr>
            </w:pPr>
            <w:r w:rsidRPr="00E356CE">
              <w:rPr>
                <w:b/>
              </w:rPr>
              <w:t>Komunikaty niezamówione</w:t>
            </w:r>
          </w:p>
        </w:tc>
        <w:tc>
          <w:tcPr>
            <w:tcW w:w="886" w:type="dxa"/>
            <w:tcBorders>
              <w:top w:val="single" w:sz="4" w:space="0" w:color="auto"/>
              <w:left w:val="single" w:sz="4" w:space="0" w:color="auto"/>
              <w:bottom w:val="single" w:sz="4" w:space="0" w:color="auto"/>
              <w:right w:val="single" w:sz="4" w:space="0" w:color="auto"/>
            </w:tcBorders>
          </w:tcPr>
          <w:p w14:paraId="33B4379C"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23C62926"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0425699B" w14:textId="77777777" w:rsidR="00C04931" w:rsidRPr="00E356CE" w:rsidRDefault="00C04931" w:rsidP="00A9191A">
            <w:pPr>
              <w:jc w:val="both"/>
            </w:pPr>
          </w:p>
        </w:tc>
      </w:tr>
      <w:tr w:rsidR="00723799" w:rsidRPr="00E356CE" w14:paraId="37E6757A" w14:textId="77777777" w:rsidTr="56856880">
        <w:tc>
          <w:tcPr>
            <w:tcW w:w="795" w:type="dxa"/>
            <w:tcBorders>
              <w:top w:val="single" w:sz="4" w:space="0" w:color="auto"/>
              <w:left w:val="single" w:sz="4" w:space="0" w:color="auto"/>
              <w:bottom w:val="single" w:sz="4" w:space="0" w:color="auto"/>
              <w:right w:val="single" w:sz="4" w:space="0" w:color="auto"/>
            </w:tcBorders>
          </w:tcPr>
          <w:p w14:paraId="01A3EDB5" w14:textId="77777777" w:rsidR="00C04931" w:rsidRPr="00E356CE" w:rsidRDefault="00BD4EF3" w:rsidP="00A9191A">
            <w:pPr>
              <w:jc w:val="both"/>
            </w:pPr>
            <w:r w:rsidRPr="00E356CE">
              <w:t>Art. 13 ust. 1</w:t>
            </w:r>
          </w:p>
        </w:tc>
        <w:tc>
          <w:tcPr>
            <w:tcW w:w="4719" w:type="dxa"/>
            <w:tcBorders>
              <w:top w:val="single" w:sz="4" w:space="0" w:color="auto"/>
              <w:left w:val="single" w:sz="4" w:space="0" w:color="auto"/>
              <w:bottom w:val="single" w:sz="4" w:space="0" w:color="auto"/>
              <w:right w:val="single" w:sz="4" w:space="0" w:color="auto"/>
            </w:tcBorders>
          </w:tcPr>
          <w:p w14:paraId="08E2E3C4" w14:textId="77777777" w:rsidR="00C04931" w:rsidRPr="00E356CE" w:rsidRDefault="00BD4EF3" w:rsidP="00A9191A">
            <w:pPr>
              <w:spacing w:before="60" w:after="120"/>
              <w:jc w:val="both"/>
              <w:rPr>
                <w:b/>
                <w:bCs/>
              </w:rPr>
            </w:pPr>
            <w:r w:rsidRPr="00E356CE">
              <w:t>1. Używanie automatycznych systemów wywołujących i systemów łączności bez ludzkiej ingerencji (automatyczne urządzenia wywołujące), faksów lub poczty elektronicznej do celów marketingu bezpośredniego może być dozwolone jedynie wobec abonentów lub użytkowników, którzy uprzednio wyrazili na to zgodę.</w:t>
            </w:r>
          </w:p>
        </w:tc>
        <w:tc>
          <w:tcPr>
            <w:tcW w:w="886" w:type="dxa"/>
            <w:tcBorders>
              <w:top w:val="single" w:sz="4" w:space="0" w:color="auto"/>
              <w:left w:val="single" w:sz="4" w:space="0" w:color="auto"/>
              <w:bottom w:val="single" w:sz="4" w:space="0" w:color="auto"/>
              <w:right w:val="single" w:sz="4" w:space="0" w:color="auto"/>
            </w:tcBorders>
          </w:tcPr>
          <w:p w14:paraId="034893B9"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257E40F" w14:textId="08069961" w:rsidR="00C04931" w:rsidRPr="00E356CE" w:rsidRDefault="00BD4EF3" w:rsidP="00A9191A">
            <w:pPr>
              <w:pStyle w:val="Tekstpodstawowy"/>
              <w:rPr>
                <w:noProof/>
                <w:sz w:val="24"/>
                <w:szCs w:val="24"/>
              </w:rPr>
            </w:pPr>
            <w:r w:rsidRPr="00E356CE">
              <w:rPr>
                <w:noProof/>
                <w:sz w:val="24"/>
                <w:szCs w:val="24"/>
              </w:rPr>
              <w:t>Art. 3</w:t>
            </w:r>
            <w:r w:rsidR="0EC645DD" w:rsidRPr="00E356CE">
              <w:rPr>
                <w:noProof/>
                <w:sz w:val="24"/>
                <w:szCs w:val="24"/>
              </w:rPr>
              <w:t>93</w:t>
            </w:r>
          </w:p>
        </w:tc>
        <w:tc>
          <w:tcPr>
            <w:tcW w:w="7410" w:type="dxa"/>
            <w:gridSpan w:val="2"/>
            <w:tcBorders>
              <w:top w:val="single" w:sz="4" w:space="0" w:color="auto"/>
              <w:left w:val="single" w:sz="4" w:space="0" w:color="auto"/>
              <w:bottom w:val="single" w:sz="4" w:space="0" w:color="auto"/>
              <w:right w:val="single" w:sz="4" w:space="0" w:color="auto"/>
            </w:tcBorders>
          </w:tcPr>
          <w:p w14:paraId="17D61EE3" w14:textId="2EA98704" w:rsidR="0EC645DD" w:rsidRPr="00E356CE" w:rsidRDefault="0EC645DD" w:rsidP="2ECB3D4D">
            <w:pPr>
              <w:spacing w:line="360" w:lineRule="auto"/>
              <w:ind w:firstLine="510"/>
              <w:jc w:val="both"/>
            </w:pPr>
            <w:r w:rsidRPr="00E356CE">
              <w:rPr>
                <w:b/>
                <w:bCs/>
              </w:rPr>
              <w:t>Art. 393.</w:t>
            </w:r>
            <w:r w:rsidRPr="00E356CE">
              <w:t xml:space="preserve"> 1. Zakazane jest używanie:</w:t>
            </w:r>
          </w:p>
          <w:p w14:paraId="06693114" w14:textId="3300F621" w:rsidR="0EC645DD" w:rsidRPr="00E356CE" w:rsidRDefault="0EC645DD" w:rsidP="2ECB3D4D">
            <w:pPr>
              <w:spacing w:line="360" w:lineRule="auto"/>
              <w:ind w:left="510" w:hanging="510"/>
              <w:jc w:val="both"/>
            </w:pPr>
            <w:r w:rsidRPr="00E356CE">
              <w:t>1)</w:t>
            </w:r>
            <w:r w:rsidRPr="00E356CE">
              <w:tab/>
              <w:t>automatycznych systemów wywołujących lub</w:t>
            </w:r>
          </w:p>
          <w:p w14:paraId="1189B71A" w14:textId="3018026E" w:rsidR="0EC645DD" w:rsidRPr="00E356CE" w:rsidRDefault="0EC645DD" w:rsidP="2ECB3D4D">
            <w:pPr>
              <w:spacing w:line="360" w:lineRule="auto"/>
              <w:ind w:left="510" w:hanging="510"/>
              <w:jc w:val="both"/>
            </w:pPr>
            <w:r w:rsidRPr="00E356CE">
              <w:t>2)</w:t>
            </w:r>
            <w:r w:rsidRPr="00E356CE">
              <w:tab/>
              <w:t>telekomunikacyjnych urządzeń końcowych, w szczególności w ramach korzystania z usług komunikacji interpersonalnej</w:t>
            </w:r>
          </w:p>
          <w:p w14:paraId="21464F38" w14:textId="635B5FA1" w:rsidR="0EC645DD" w:rsidRPr="00E356CE" w:rsidRDefault="0EC645DD" w:rsidP="2ECB3D4D">
            <w:pPr>
              <w:spacing w:line="360" w:lineRule="auto"/>
              <w:jc w:val="both"/>
            </w:pPr>
            <w:r w:rsidRPr="00E356CE">
              <w:t xml:space="preserve">– dla celów przesyłania niezamówionej informacji handlowej w rozumieniu ustawy z dnia 18 lipca 2002 r. o świadczeniu usług drogą elektroniczną, w </w:t>
            </w:r>
            <w:r w:rsidRPr="00E356CE">
              <w:lastRenderedPageBreak/>
              <w:t>tym marketingu bezpośredniego, do abonenta lub użytkownika końcowego, chyba że uprzednio wyraził on na to zgodę.</w:t>
            </w:r>
          </w:p>
          <w:p w14:paraId="0E5919B0" w14:textId="65FAF372" w:rsidR="0EC645DD" w:rsidRPr="00E356CE" w:rsidRDefault="0EC645DD" w:rsidP="2ECB3D4D">
            <w:pPr>
              <w:spacing w:line="360" w:lineRule="auto"/>
              <w:ind w:firstLine="510"/>
              <w:jc w:val="both"/>
            </w:pPr>
            <w:r w:rsidRPr="00E356CE">
              <w:t xml:space="preserve">2. Zgoda, o której mowa w ust. 1, może być wyrażona przez udostępnienie przez abonenta lub użytkownika końcowego identyfikującego go adresu elektronicznego w rozumieniu ustawy </w:t>
            </w:r>
            <w:r w:rsidRPr="00E356CE">
              <w:rPr>
                <w:color w:val="498205"/>
                <w:u w:val="single"/>
              </w:rPr>
              <w:t>z dnia 18 lipca 2002 r.</w:t>
            </w:r>
            <w:r w:rsidRPr="00E356CE">
              <w:t xml:space="preserve"> o świadczeniu usług drogą elektroniczną, w celu przesyłania niezamówionej informacji handlowej.</w:t>
            </w:r>
          </w:p>
          <w:p w14:paraId="3471B4EA" w14:textId="4D3F9ECC" w:rsidR="0EC645DD" w:rsidRPr="00E356CE" w:rsidRDefault="0EC645DD" w:rsidP="2ECB3D4D">
            <w:pPr>
              <w:spacing w:line="360" w:lineRule="auto"/>
              <w:ind w:firstLine="510"/>
              <w:jc w:val="both"/>
            </w:pPr>
            <w:r w:rsidRPr="00E356CE">
              <w:t>3. Używanie środków, o których mowa w ust. 1, dla przesyłania niezamówionej informacji handlowej, w tym marketingu bezpośredniego, nie może odbywać się na koszt użytkownika końcowego lub abonenta.</w:t>
            </w:r>
          </w:p>
          <w:p w14:paraId="55543F0B" w14:textId="31BC4AE6" w:rsidR="0EC645DD" w:rsidRPr="00E356CE" w:rsidRDefault="0EC645DD" w:rsidP="2ECB3D4D">
            <w:pPr>
              <w:spacing w:line="360" w:lineRule="auto"/>
              <w:ind w:firstLine="510"/>
              <w:jc w:val="both"/>
            </w:pPr>
            <w:r w:rsidRPr="00E356CE">
              <w:t>4. Działanie, o którym mowa w ust. 1, stanowi czyn nieuczciwej konkurencji w rozumieniu przepisów ustawy z dnia 16 kwietnia 1993 r. o zwalczaniu nieuczciwej konkurencji (Dz. U. z 2019 r. poz. 1010 i 1649).</w:t>
            </w:r>
          </w:p>
          <w:p w14:paraId="4E77B229" w14:textId="459ACC56" w:rsidR="2ECB3D4D" w:rsidRPr="00E356CE" w:rsidRDefault="2ECB3D4D" w:rsidP="2ECB3D4D">
            <w:pPr>
              <w:pStyle w:val="USTustnpkodeksu"/>
              <w:spacing w:line="240" w:lineRule="auto"/>
              <w:rPr>
                <w:rFonts w:ascii="Times New Roman" w:hAnsi="Times New Roman" w:cs="Times New Roman"/>
              </w:rPr>
            </w:pPr>
          </w:p>
          <w:p w14:paraId="6419412E" w14:textId="77777777" w:rsidR="00C04931" w:rsidRPr="00E356CE" w:rsidRDefault="00C04931" w:rsidP="00A9191A">
            <w:pPr>
              <w:jc w:val="both"/>
            </w:pPr>
          </w:p>
        </w:tc>
      </w:tr>
      <w:tr w:rsidR="00723799" w:rsidRPr="00E356CE" w14:paraId="430C5442" w14:textId="77777777" w:rsidTr="56856880">
        <w:tc>
          <w:tcPr>
            <w:tcW w:w="795" w:type="dxa"/>
            <w:tcBorders>
              <w:top w:val="single" w:sz="4" w:space="0" w:color="auto"/>
              <w:left w:val="single" w:sz="4" w:space="0" w:color="auto"/>
              <w:bottom w:val="single" w:sz="4" w:space="0" w:color="auto"/>
              <w:right w:val="single" w:sz="4" w:space="0" w:color="auto"/>
            </w:tcBorders>
          </w:tcPr>
          <w:p w14:paraId="1F359526" w14:textId="77777777" w:rsidR="00C04931" w:rsidRPr="00E356CE" w:rsidRDefault="00BD4EF3" w:rsidP="00A9191A">
            <w:pPr>
              <w:jc w:val="both"/>
            </w:pPr>
            <w:r w:rsidRPr="00E356CE">
              <w:lastRenderedPageBreak/>
              <w:t>Art. 13 ust. 2</w:t>
            </w:r>
          </w:p>
        </w:tc>
        <w:tc>
          <w:tcPr>
            <w:tcW w:w="4719" w:type="dxa"/>
            <w:tcBorders>
              <w:top w:val="single" w:sz="4" w:space="0" w:color="auto"/>
              <w:left w:val="single" w:sz="4" w:space="0" w:color="auto"/>
              <w:bottom w:val="single" w:sz="4" w:space="0" w:color="auto"/>
              <w:right w:val="single" w:sz="4" w:space="0" w:color="auto"/>
            </w:tcBorders>
          </w:tcPr>
          <w:p w14:paraId="65A7A5C0" w14:textId="77777777" w:rsidR="00C04931" w:rsidRPr="00E356CE" w:rsidRDefault="00BD4EF3" w:rsidP="00A9191A">
            <w:pPr>
              <w:spacing w:before="60" w:after="120"/>
              <w:jc w:val="both"/>
              <w:rPr>
                <w:b/>
                <w:bCs/>
              </w:rPr>
            </w:pPr>
            <w:r w:rsidRPr="00E356CE">
              <w:t xml:space="preserve">2. Niezależnie od przepisów ust. 1, w przypadku gdy osoba fizyczna lub prawna otrzymuje od swoich klientów szczegółowe elektroniczne dane kontaktowe dotyczące kontaktu z nimi za pomocą poczty elektronicznej, w kontekście sprzedaży produktu lub usługi, zgodnie z dyrektywą 95/46/WE, ta sama osoba fizyczna lub prawna może używać tych szczegółowych elektronicznych danych kontaktowych na potrzeby marketingu bezpośredniego swoich własnych podobnych produktów lub usług, pod </w:t>
            </w:r>
            <w:r w:rsidRPr="00E356CE">
              <w:lastRenderedPageBreak/>
              <w:t>warunkiem że klienci zostali jasno i wyraźnie poinformowani o możliwości sprzeciwienia się, w prosty i wolny od opłat sposób, takiemu wykorzystywaniu elektronicznych danych kontaktowych w chwili ich pobierania oraz przy każdej okazji otrzymywania wiadomości, w przypadku klientów, którzy początkowo nie sprzeciwili się takiemu wykorzystywaniu.</w:t>
            </w:r>
          </w:p>
        </w:tc>
        <w:tc>
          <w:tcPr>
            <w:tcW w:w="886" w:type="dxa"/>
            <w:tcBorders>
              <w:top w:val="single" w:sz="4" w:space="0" w:color="auto"/>
              <w:left w:val="single" w:sz="4" w:space="0" w:color="auto"/>
              <w:bottom w:val="single" w:sz="4" w:space="0" w:color="auto"/>
              <w:right w:val="single" w:sz="4" w:space="0" w:color="auto"/>
            </w:tcBorders>
          </w:tcPr>
          <w:p w14:paraId="6B8E9382"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57BDDD7C" w14:textId="03845221" w:rsidR="00C04931" w:rsidRPr="00E356CE" w:rsidRDefault="00BD4EF3" w:rsidP="00A9191A">
            <w:pPr>
              <w:pStyle w:val="Tekstpodstawowy"/>
              <w:rPr>
                <w:noProof/>
                <w:sz w:val="24"/>
                <w:szCs w:val="24"/>
              </w:rPr>
            </w:pPr>
            <w:r w:rsidRPr="00E356CE">
              <w:rPr>
                <w:noProof/>
                <w:sz w:val="24"/>
                <w:szCs w:val="24"/>
              </w:rPr>
              <w:t>Art. 3</w:t>
            </w:r>
            <w:r w:rsidR="0A4C2DC2" w:rsidRPr="00E356CE">
              <w:rPr>
                <w:noProof/>
                <w:sz w:val="24"/>
                <w:szCs w:val="24"/>
              </w:rPr>
              <w:t>93</w:t>
            </w:r>
            <w:r w:rsidRPr="00E356CE">
              <w:rPr>
                <w:noProof/>
                <w:sz w:val="24"/>
                <w:szCs w:val="24"/>
              </w:rPr>
              <w:t xml:space="preserve"> ust. 2</w:t>
            </w:r>
          </w:p>
        </w:tc>
        <w:tc>
          <w:tcPr>
            <w:tcW w:w="7410" w:type="dxa"/>
            <w:gridSpan w:val="2"/>
            <w:tcBorders>
              <w:top w:val="single" w:sz="4" w:space="0" w:color="auto"/>
              <w:left w:val="single" w:sz="4" w:space="0" w:color="auto"/>
              <w:bottom w:val="single" w:sz="4" w:space="0" w:color="auto"/>
              <w:right w:val="single" w:sz="4" w:space="0" w:color="auto"/>
            </w:tcBorders>
          </w:tcPr>
          <w:p w14:paraId="17EA14EA" w14:textId="132DA003" w:rsidR="39015BB5" w:rsidRPr="00E356CE" w:rsidRDefault="39015BB5" w:rsidP="2ECB3D4D">
            <w:pPr>
              <w:spacing w:line="360" w:lineRule="auto"/>
              <w:ind w:firstLine="510"/>
              <w:jc w:val="both"/>
            </w:pPr>
            <w:r w:rsidRPr="00E356CE">
              <w:t>2. Abonent lub użytkownik końcowy może wyrazić zgodę, o której mowa w ust. 1 pkt 2, za pomocą ustawień oprogramowania zainstalowanego w wykorzystywanym przez niego telekomunikacyjnym urządzeniu końcowym lub konfiguracji usługi.</w:t>
            </w:r>
          </w:p>
          <w:p w14:paraId="64FB9DFB" w14:textId="5F9546C3" w:rsidR="2ECB3D4D" w:rsidRPr="00E356CE" w:rsidRDefault="2ECB3D4D" w:rsidP="2ECB3D4D">
            <w:pPr>
              <w:pStyle w:val="USTustnpkodeksu"/>
              <w:spacing w:line="240" w:lineRule="auto"/>
              <w:ind w:firstLine="0"/>
              <w:rPr>
                <w:rFonts w:ascii="Times New Roman" w:hAnsi="Times New Roman" w:cs="Times New Roman"/>
              </w:rPr>
            </w:pPr>
          </w:p>
          <w:p w14:paraId="12041E55" w14:textId="77777777" w:rsidR="00C04931" w:rsidRPr="00E356CE" w:rsidRDefault="00C04931" w:rsidP="00A9191A">
            <w:pPr>
              <w:jc w:val="both"/>
            </w:pPr>
          </w:p>
        </w:tc>
      </w:tr>
      <w:tr w:rsidR="00723799" w:rsidRPr="00E356CE" w14:paraId="7A507A9E" w14:textId="77777777" w:rsidTr="56856880">
        <w:tc>
          <w:tcPr>
            <w:tcW w:w="795" w:type="dxa"/>
            <w:tcBorders>
              <w:top w:val="single" w:sz="4" w:space="0" w:color="auto"/>
              <w:left w:val="single" w:sz="4" w:space="0" w:color="auto"/>
              <w:bottom w:val="single" w:sz="4" w:space="0" w:color="auto"/>
              <w:right w:val="single" w:sz="4" w:space="0" w:color="auto"/>
            </w:tcBorders>
          </w:tcPr>
          <w:p w14:paraId="4B09365A" w14:textId="77777777" w:rsidR="00C04931" w:rsidRPr="00E356CE" w:rsidRDefault="00BD4EF3" w:rsidP="00A9191A">
            <w:pPr>
              <w:jc w:val="both"/>
            </w:pPr>
            <w:r w:rsidRPr="00E356CE">
              <w:lastRenderedPageBreak/>
              <w:t>Art. 13 ust. 3</w:t>
            </w:r>
          </w:p>
        </w:tc>
        <w:tc>
          <w:tcPr>
            <w:tcW w:w="4719" w:type="dxa"/>
            <w:tcBorders>
              <w:top w:val="single" w:sz="4" w:space="0" w:color="auto"/>
              <w:left w:val="single" w:sz="4" w:space="0" w:color="auto"/>
              <w:bottom w:val="single" w:sz="4" w:space="0" w:color="auto"/>
              <w:right w:val="single" w:sz="4" w:space="0" w:color="auto"/>
            </w:tcBorders>
          </w:tcPr>
          <w:p w14:paraId="3B76F463" w14:textId="77777777" w:rsidR="00C04931" w:rsidRPr="00E356CE" w:rsidRDefault="00BD4EF3" w:rsidP="00A9191A">
            <w:pPr>
              <w:spacing w:before="60" w:after="120"/>
              <w:jc w:val="both"/>
              <w:rPr>
                <w:b/>
                <w:bCs/>
              </w:rPr>
            </w:pPr>
            <w:r w:rsidRPr="00E356CE">
              <w:t>3. Państwa członkowskie podejmują odpowiednie środki w celu zapewnienia, aby niezamówione komunikaty do celów marketingu bezpośredniego, w przypadkach innych niż określone w ust. 1 i 2, nie były dozwolone bez zgody abonentów lub użytkowników bądź w odniesieniu do abonentów lub użytkowników, którzy nie życzą sobie otrzymywania tego typu komunikatów, przy czym wybór między tymi opcjami zostaje ustalony przez przepisy krajowe, z uwzględnieniem faktu, że obie te opcje muszą być dla abonenta lub użytkownika bezpłatne.</w:t>
            </w:r>
          </w:p>
        </w:tc>
        <w:tc>
          <w:tcPr>
            <w:tcW w:w="886" w:type="dxa"/>
            <w:tcBorders>
              <w:top w:val="single" w:sz="4" w:space="0" w:color="auto"/>
              <w:left w:val="single" w:sz="4" w:space="0" w:color="auto"/>
              <w:bottom w:val="single" w:sz="4" w:space="0" w:color="auto"/>
              <w:right w:val="single" w:sz="4" w:space="0" w:color="auto"/>
            </w:tcBorders>
          </w:tcPr>
          <w:p w14:paraId="5D8A3DB3"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B6DDDA9" w14:textId="3532426D" w:rsidR="00BD4EF3" w:rsidRPr="00E356CE" w:rsidRDefault="00BD4EF3" w:rsidP="00A9191A">
            <w:pPr>
              <w:jc w:val="both"/>
            </w:pPr>
            <w:r w:rsidRPr="00E356CE">
              <w:t>Art. 3</w:t>
            </w:r>
            <w:r w:rsidR="0CDADC4F" w:rsidRPr="00E356CE">
              <w:t>93</w:t>
            </w:r>
            <w:r w:rsidRPr="00E356CE">
              <w:t xml:space="preserve"> ust. 1</w:t>
            </w:r>
          </w:p>
          <w:p w14:paraId="60DD69DE"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7E68E855" w14:textId="6BF501E5" w:rsidR="00BD4EF3" w:rsidRPr="00E356CE" w:rsidRDefault="0881C293" w:rsidP="2ECB3D4D">
            <w:pPr>
              <w:spacing w:line="360" w:lineRule="auto"/>
              <w:ind w:firstLine="510"/>
              <w:jc w:val="both"/>
            </w:pPr>
            <w:r w:rsidRPr="00E356CE">
              <w:rPr>
                <w:b/>
                <w:bCs/>
              </w:rPr>
              <w:t>Art. 393.</w:t>
            </w:r>
            <w:r w:rsidRPr="00E356CE">
              <w:t xml:space="preserve"> 1. Zakazane jest używanie:</w:t>
            </w:r>
          </w:p>
          <w:p w14:paraId="07CE5284" w14:textId="36E6D1A9" w:rsidR="00BD4EF3" w:rsidRPr="00E356CE" w:rsidRDefault="0881C293" w:rsidP="2ECB3D4D">
            <w:pPr>
              <w:spacing w:line="360" w:lineRule="auto"/>
              <w:ind w:left="510" w:hanging="510"/>
              <w:jc w:val="both"/>
            </w:pPr>
            <w:r w:rsidRPr="00E356CE">
              <w:t>1)</w:t>
            </w:r>
            <w:r w:rsidR="00BD4EF3" w:rsidRPr="00E356CE">
              <w:tab/>
            </w:r>
            <w:r w:rsidRPr="00E356CE">
              <w:t>automatycznych systemów wywołujących lub</w:t>
            </w:r>
          </w:p>
          <w:p w14:paraId="33186ED7" w14:textId="2149AFA4" w:rsidR="00BD4EF3" w:rsidRPr="00E356CE" w:rsidRDefault="0881C293" w:rsidP="2ECB3D4D">
            <w:pPr>
              <w:spacing w:line="360" w:lineRule="auto"/>
              <w:ind w:left="510" w:hanging="510"/>
              <w:jc w:val="both"/>
            </w:pPr>
            <w:r w:rsidRPr="00E356CE">
              <w:t>2)</w:t>
            </w:r>
            <w:r w:rsidR="00BD4EF3" w:rsidRPr="00E356CE">
              <w:tab/>
            </w:r>
            <w:r w:rsidRPr="00E356CE">
              <w:t>telekomunikacyjnych urządzeń końcowych, w szczególności w ramach korzystania z usług komunikacji interpersonalnej</w:t>
            </w:r>
          </w:p>
          <w:p w14:paraId="20449F0B" w14:textId="17FB5B08" w:rsidR="00BD4EF3" w:rsidRPr="00E356CE" w:rsidRDefault="0881C293" w:rsidP="2ECB3D4D">
            <w:pPr>
              <w:spacing w:line="360" w:lineRule="auto"/>
              <w:jc w:val="both"/>
            </w:pPr>
            <w:r w:rsidRPr="00E356CE">
              <w:t>– dla celów przesyłania niezamówionej informacji handlowej w rozumieniu ustawy z dnia 18 lipca 2002 r. o świadczeniu usług drogą elektroniczną, w tym marketingu bezpośredniego, do abonenta lub użytkownika końcowego, chyba że uprzednio wyraził on na to zgodę.</w:t>
            </w:r>
          </w:p>
          <w:p w14:paraId="1C155AFE" w14:textId="352FDFC4" w:rsidR="00BD4EF3" w:rsidRPr="00E356CE" w:rsidRDefault="00BD4EF3" w:rsidP="2ECB3D4D">
            <w:pPr>
              <w:jc w:val="both"/>
            </w:pPr>
          </w:p>
        </w:tc>
      </w:tr>
      <w:tr w:rsidR="00723799" w:rsidRPr="00E356CE" w14:paraId="67F1F268" w14:textId="77777777" w:rsidTr="56856880">
        <w:tc>
          <w:tcPr>
            <w:tcW w:w="795" w:type="dxa"/>
            <w:tcBorders>
              <w:top w:val="single" w:sz="4" w:space="0" w:color="auto"/>
              <w:left w:val="single" w:sz="4" w:space="0" w:color="auto"/>
              <w:bottom w:val="single" w:sz="4" w:space="0" w:color="auto"/>
              <w:right w:val="single" w:sz="4" w:space="0" w:color="auto"/>
            </w:tcBorders>
          </w:tcPr>
          <w:p w14:paraId="7C7CF003" w14:textId="77777777" w:rsidR="00C04931" w:rsidRPr="00E356CE" w:rsidRDefault="00BD4EF3" w:rsidP="00A9191A">
            <w:pPr>
              <w:jc w:val="both"/>
            </w:pPr>
            <w:r w:rsidRPr="00E356CE">
              <w:t>Art. 13 ust. 4</w:t>
            </w:r>
          </w:p>
        </w:tc>
        <w:tc>
          <w:tcPr>
            <w:tcW w:w="4719" w:type="dxa"/>
            <w:tcBorders>
              <w:top w:val="single" w:sz="4" w:space="0" w:color="auto"/>
              <w:left w:val="single" w:sz="4" w:space="0" w:color="auto"/>
              <w:bottom w:val="single" w:sz="4" w:space="0" w:color="auto"/>
              <w:right w:val="single" w:sz="4" w:space="0" w:color="auto"/>
            </w:tcBorders>
          </w:tcPr>
          <w:p w14:paraId="6010A397" w14:textId="77777777" w:rsidR="00C04931" w:rsidRPr="00E356CE" w:rsidRDefault="00BD4EF3" w:rsidP="00A9191A">
            <w:pPr>
              <w:spacing w:before="60" w:after="120"/>
              <w:jc w:val="both"/>
              <w:rPr>
                <w:b/>
                <w:bCs/>
              </w:rPr>
            </w:pPr>
            <w:r w:rsidRPr="00E356CE">
              <w:t xml:space="preserve">4. W każdym przypadku zakazana jest praktyka wysyłania poczty elektronicznej do celów marketingu bezpośredniego, która ukrywa lub zataja tożsamość nadawcy, w którego imieniu wysyłany jest komunikat, lub która narusza art. 6 dyrektywy 2000/31/WE, oraz bez ważnego adresu, na który odbiorca może wysłać żądanie zaprzestania takich komunikatów, lub która zachęca odbiorców do odwiedzenia stron </w:t>
            </w:r>
            <w:r w:rsidRPr="00E356CE">
              <w:lastRenderedPageBreak/>
              <w:t>internetowych naruszających ten artykuł dyrektywy 2000/31/WE.</w:t>
            </w:r>
          </w:p>
        </w:tc>
        <w:tc>
          <w:tcPr>
            <w:tcW w:w="886" w:type="dxa"/>
            <w:tcBorders>
              <w:top w:val="single" w:sz="4" w:space="0" w:color="auto"/>
              <w:left w:val="single" w:sz="4" w:space="0" w:color="auto"/>
              <w:bottom w:val="single" w:sz="4" w:space="0" w:color="auto"/>
              <w:right w:val="single" w:sz="4" w:space="0" w:color="auto"/>
            </w:tcBorders>
          </w:tcPr>
          <w:p w14:paraId="7960C579"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1084A932" w14:textId="77777777" w:rsidR="00C04931" w:rsidRPr="00E356CE" w:rsidRDefault="00BD4EF3" w:rsidP="00A9191A">
            <w:pPr>
              <w:pStyle w:val="Tekstpodstawowy"/>
              <w:rPr>
                <w:noProof/>
                <w:sz w:val="24"/>
                <w:szCs w:val="24"/>
              </w:rPr>
            </w:pPr>
            <w:r w:rsidRPr="00E356CE">
              <w:rPr>
                <w:noProof/>
                <w:sz w:val="24"/>
                <w:szCs w:val="24"/>
              </w:rPr>
              <w:t xml:space="preserve">Obecne brzmienie art. 9 ust. 1 i 2 </w:t>
            </w:r>
            <w:r w:rsidRPr="00E356CE">
              <w:rPr>
                <w:sz w:val="24"/>
                <w:szCs w:val="24"/>
              </w:rPr>
              <w:t xml:space="preserve">ustawy o świadczeniu usług </w:t>
            </w:r>
            <w:r w:rsidRPr="00E356CE">
              <w:rPr>
                <w:sz w:val="24"/>
                <w:szCs w:val="24"/>
              </w:rPr>
              <w:lastRenderedPageBreak/>
              <w:t>drogą elektroniczną</w:t>
            </w:r>
          </w:p>
        </w:tc>
        <w:tc>
          <w:tcPr>
            <w:tcW w:w="7410" w:type="dxa"/>
            <w:gridSpan w:val="2"/>
            <w:tcBorders>
              <w:top w:val="single" w:sz="4" w:space="0" w:color="auto"/>
              <w:left w:val="single" w:sz="4" w:space="0" w:color="auto"/>
              <w:bottom w:val="single" w:sz="4" w:space="0" w:color="auto"/>
              <w:right w:val="single" w:sz="4" w:space="0" w:color="auto"/>
            </w:tcBorders>
          </w:tcPr>
          <w:p w14:paraId="4C5BAEEB" w14:textId="77777777" w:rsidR="00BD4EF3" w:rsidRPr="00E356CE" w:rsidRDefault="00BD4EF3" w:rsidP="00A9191A">
            <w:pPr>
              <w:shd w:val="clear" w:color="auto" w:fill="FFFFFF"/>
            </w:pPr>
            <w:r w:rsidRPr="00E356CE">
              <w:lastRenderedPageBreak/>
              <w:t>1. Informacja handlowa jest wyraźnie wyodrębniana i oznaczana w sposób niebudzący wątpliwości, że jest to informacja handlowa.</w:t>
            </w:r>
          </w:p>
          <w:p w14:paraId="74523958" w14:textId="77777777" w:rsidR="00BD4EF3" w:rsidRPr="00E356CE" w:rsidRDefault="00BD4EF3" w:rsidP="00A9191A">
            <w:pPr>
              <w:shd w:val="clear" w:color="auto" w:fill="FFFFFF"/>
            </w:pPr>
            <w:bookmarkStart w:id="0" w:name="mip53306451"/>
            <w:bookmarkEnd w:id="0"/>
            <w:r w:rsidRPr="00E356CE">
              <w:t>2. Informacja handlowa zawiera:</w:t>
            </w:r>
          </w:p>
          <w:p w14:paraId="116EEC38" w14:textId="77777777" w:rsidR="00BD4EF3" w:rsidRPr="00E356CE" w:rsidRDefault="00BD4EF3" w:rsidP="00A9191A">
            <w:pPr>
              <w:shd w:val="clear" w:color="auto" w:fill="FFFFFF"/>
              <w:rPr>
                <w:b/>
                <w:bCs/>
              </w:rPr>
            </w:pPr>
            <w:bookmarkStart w:id="1" w:name="mip53306453"/>
            <w:bookmarkEnd w:id="1"/>
            <w:r w:rsidRPr="00E356CE">
              <w:rPr>
                <w:b/>
                <w:bCs/>
              </w:rPr>
              <w:t xml:space="preserve">1) </w:t>
            </w:r>
            <w:r w:rsidRPr="00E356CE">
              <w:t>oznaczenie podmiotu, na którego zlecenie jest ona rozpowszechniana, oraz jego adresy elektroniczne;</w:t>
            </w:r>
          </w:p>
          <w:p w14:paraId="6768CE93" w14:textId="77777777" w:rsidR="00BD4EF3" w:rsidRPr="00E356CE" w:rsidRDefault="00BD4EF3" w:rsidP="00A9191A">
            <w:pPr>
              <w:shd w:val="clear" w:color="auto" w:fill="FFFFFF"/>
              <w:rPr>
                <w:b/>
                <w:bCs/>
              </w:rPr>
            </w:pPr>
            <w:bookmarkStart w:id="2" w:name="mip53306454"/>
            <w:bookmarkEnd w:id="2"/>
            <w:r w:rsidRPr="00E356CE">
              <w:rPr>
                <w:b/>
                <w:bCs/>
              </w:rPr>
              <w:t xml:space="preserve">2) </w:t>
            </w:r>
            <w:r w:rsidRPr="00E356CE">
              <w:t>wyraźny opis form działalności promocyjnej, w szczególności obniżek cen, nieodpłatnych </w:t>
            </w:r>
            <w:bookmarkStart w:id="3" w:name="highlightHit_94"/>
            <w:bookmarkEnd w:id="3"/>
            <w:r w:rsidRPr="00E356CE">
              <w:rPr>
                <w:rStyle w:val="highlight-disabled"/>
              </w:rPr>
              <w:t>świadczeń</w:t>
            </w:r>
            <w:r w:rsidRPr="00E356CE">
              <w:t> pieniężnych lub rzeczowych i innych korzyści związanych z promowanym towarem, </w:t>
            </w:r>
            <w:bookmarkStart w:id="4" w:name="highlightHit_95"/>
            <w:bookmarkEnd w:id="4"/>
            <w:r w:rsidRPr="00E356CE">
              <w:rPr>
                <w:rStyle w:val="highlight-disabled"/>
              </w:rPr>
              <w:t>usługą</w:t>
            </w:r>
            <w:r w:rsidRPr="00E356CE">
              <w:t> lub wizerunkiem, a także jednoznaczne określenie warunków niezbędnych do skorzystania z tych korzyści, o ile są one składnikiem oferty;</w:t>
            </w:r>
          </w:p>
          <w:p w14:paraId="3AC9BA04" w14:textId="77777777" w:rsidR="00C04931" w:rsidRPr="00E356CE" w:rsidRDefault="00BD4EF3" w:rsidP="00A9191A">
            <w:pPr>
              <w:jc w:val="both"/>
            </w:pPr>
            <w:bookmarkStart w:id="5" w:name="mip53306455"/>
            <w:bookmarkEnd w:id="5"/>
            <w:r w:rsidRPr="00E356CE">
              <w:rPr>
                <w:b/>
                <w:bCs/>
              </w:rPr>
              <w:lastRenderedPageBreak/>
              <w:t xml:space="preserve">3) </w:t>
            </w:r>
            <w:r w:rsidRPr="00E356CE">
              <w:t>wszelkie informacje, które mogą mieć wpływ na określenie zakresu odpowiedzialności stron, w szczególności ostrzeżenia i zastrzeżenia.</w:t>
            </w:r>
          </w:p>
        </w:tc>
      </w:tr>
      <w:tr w:rsidR="00723799" w:rsidRPr="00E356CE" w14:paraId="3B8B2A7E" w14:textId="77777777" w:rsidTr="56856880">
        <w:tc>
          <w:tcPr>
            <w:tcW w:w="795" w:type="dxa"/>
            <w:tcBorders>
              <w:top w:val="single" w:sz="4" w:space="0" w:color="auto"/>
              <w:left w:val="single" w:sz="4" w:space="0" w:color="auto"/>
              <w:bottom w:val="single" w:sz="4" w:space="0" w:color="auto"/>
              <w:right w:val="single" w:sz="4" w:space="0" w:color="auto"/>
            </w:tcBorders>
          </w:tcPr>
          <w:p w14:paraId="47ED8082" w14:textId="77777777" w:rsidR="00C04931" w:rsidRPr="00E356CE" w:rsidRDefault="00BD4EF3" w:rsidP="00A9191A">
            <w:pPr>
              <w:jc w:val="both"/>
            </w:pPr>
            <w:r w:rsidRPr="00E356CE">
              <w:lastRenderedPageBreak/>
              <w:t>Art. 13 ust. 5</w:t>
            </w:r>
          </w:p>
        </w:tc>
        <w:tc>
          <w:tcPr>
            <w:tcW w:w="4719" w:type="dxa"/>
            <w:tcBorders>
              <w:top w:val="single" w:sz="4" w:space="0" w:color="auto"/>
              <w:left w:val="single" w:sz="4" w:space="0" w:color="auto"/>
              <w:bottom w:val="single" w:sz="4" w:space="0" w:color="auto"/>
              <w:right w:val="single" w:sz="4" w:space="0" w:color="auto"/>
            </w:tcBorders>
          </w:tcPr>
          <w:p w14:paraId="7D67D74F" w14:textId="77777777" w:rsidR="00C04931" w:rsidRPr="00E356CE" w:rsidRDefault="00BD4EF3" w:rsidP="00A9191A">
            <w:pPr>
              <w:spacing w:before="60" w:after="120"/>
              <w:jc w:val="both"/>
              <w:rPr>
                <w:b/>
                <w:bCs/>
              </w:rPr>
            </w:pPr>
            <w:r w:rsidRPr="00E356CE">
              <w:t>5. Ust. 1 i 3 stosują się do abonentów będących osobami fizycznymi. Państwa członkowskie zapewniają również, aby – w ramach prawa wspólnotowego oraz mających zastosowanie przepisów krajowych – uzasadnione interesy abonentów innych niż osoby fizyczne były wystarczająco chronione w związku z uciążliwymi komunikatami.</w:t>
            </w:r>
          </w:p>
        </w:tc>
        <w:tc>
          <w:tcPr>
            <w:tcW w:w="886" w:type="dxa"/>
            <w:tcBorders>
              <w:top w:val="single" w:sz="4" w:space="0" w:color="auto"/>
              <w:left w:val="single" w:sz="4" w:space="0" w:color="auto"/>
              <w:bottom w:val="single" w:sz="4" w:space="0" w:color="auto"/>
              <w:right w:val="single" w:sz="4" w:space="0" w:color="auto"/>
            </w:tcBorders>
          </w:tcPr>
          <w:p w14:paraId="13BBFAF9"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2D97CCF1" w14:textId="2560ECBF" w:rsidR="00C04931" w:rsidRPr="00E356CE" w:rsidRDefault="00BD4EF3" w:rsidP="00A9191A">
            <w:pPr>
              <w:pStyle w:val="Tekstpodstawowy"/>
              <w:rPr>
                <w:noProof/>
                <w:sz w:val="24"/>
                <w:szCs w:val="24"/>
              </w:rPr>
            </w:pPr>
            <w:r w:rsidRPr="00E356CE">
              <w:rPr>
                <w:sz w:val="24"/>
                <w:szCs w:val="24"/>
              </w:rPr>
              <w:t>Art. 3</w:t>
            </w:r>
            <w:r w:rsidR="63BC3C18" w:rsidRPr="00E356CE">
              <w:rPr>
                <w:sz w:val="24"/>
                <w:szCs w:val="24"/>
              </w:rPr>
              <w:t>93</w:t>
            </w:r>
            <w:r w:rsidRPr="00E356CE">
              <w:rPr>
                <w:sz w:val="24"/>
                <w:szCs w:val="24"/>
              </w:rPr>
              <w:t xml:space="preserve"> ust. 1</w:t>
            </w:r>
          </w:p>
        </w:tc>
        <w:tc>
          <w:tcPr>
            <w:tcW w:w="7410" w:type="dxa"/>
            <w:gridSpan w:val="2"/>
            <w:tcBorders>
              <w:top w:val="single" w:sz="4" w:space="0" w:color="auto"/>
              <w:left w:val="single" w:sz="4" w:space="0" w:color="auto"/>
              <w:bottom w:val="single" w:sz="4" w:space="0" w:color="auto"/>
              <w:right w:val="single" w:sz="4" w:space="0" w:color="auto"/>
            </w:tcBorders>
          </w:tcPr>
          <w:p w14:paraId="6A4F0A91" w14:textId="6C976300" w:rsidR="00C04931" w:rsidRPr="00E356CE" w:rsidRDefault="50EA81F2" w:rsidP="2ECB3D4D">
            <w:pPr>
              <w:spacing w:line="360" w:lineRule="auto"/>
              <w:ind w:firstLine="510"/>
              <w:jc w:val="both"/>
            </w:pPr>
            <w:r w:rsidRPr="00E356CE">
              <w:rPr>
                <w:b/>
                <w:bCs/>
              </w:rPr>
              <w:t>Art. 393.</w:t>
            </w:r>
            <w:r w:rsidRPr="00E356CE">
              <w:t xml:space="preserve"> 1. Zakazane jest używanie:</w:t>
            </w:r>
          </w:p>
          <w:p w14:paraId="442AD302" w14:textId="67DC354F" w:rsidR="00C04931" w:rsidRPr="00E356CE" w:rsidRDefault="50EA81F2" w:rsidP="2ECB3D4D">
            <w:pPr>
              <w:spacing w:line="360" w:lineRule="auto"/>
              <w:ind w:left="510" w:hanging="510"/>
              <w:jc w:val="both"/>
            </w:pPr>
            <w:r w:rsidRPr="00E356CE">
              <w:t>1)</w:t>
            </w:r>
            <w:r w:rsidR="00BD4EF3" w:rsidRPr="00E356CE">
              <w:tab/>
            </w:r>
            <w:r w:rsidRPr="00E356CE">
              <w:t>automatycznych systemów wywołujących lub</w:t>
            </w:r>
          </w:p>
          <w:p w14:paraId="2DEAAC32" w14:textId="2AC08EB1" w:rsidR="00C04931" w:rsidRPr="00E356CE" w:rsidRDefault="50EA81F2" w:rsidP="2ECB3D4D">
            <w:pPr>
              <w:spacing w:line="360" w:lineRule="auto"/>
              <w:ind w:left="510" w:hanging="510"/>
              <w:jc w:val="both"/>
            </w:pPr>
            <w:r w:rsidRPr="00E356CE">
              <w:t>2)</w:t>
            </w:r>
            <w:r w:rsidR="00BD4EF3" w:rsidRPr="00E356CE">
              <w:tab/>
            </w:r>
            <w:r w:rsidRPr="00E356CE">
              <w:t>telekomunikacyjnych urządzeń końcowych, w szczególności w ramach korzystania z usług komunikacji interpersonalnej</w:t>
            </w:r>
          </w:p>
          <w:p w14:paraId="03447C06" w14:textId="1AF41B14" w:rsidR="00C04931" w:rsidRPr="00E356CE" w:rsidRDefault="50EA81F2" w:rsidP="2ECB3D4D">
            <w:pPr>
              <w:spacing w:line="360" w:lineRule="auto"/>
              <w:jc w:val="both"/>
            </w:pPr>
            <w:r w:rsidRPr="00E356CE">
              <w:t>– dla celów przesyłania niezamówionej informacji handlowej w rozumieniu ustawy z dnia 18 lipca 2002 r. o świadczeniu usług drogą elektroniczną, w tym marketingu bezpośredniego, do abonenta lub użytkownika końcowego, chyba że uprzednio wyraził on na to zgodę.</w:t>
            </w:r>
          </w:p>
          <w:p w14:paraId="72582B89" w14:textId="3B07BB31" w:rsidR="00C04931" w:rsidRPr="00E356CE" w:rsidRDefault="00C04931" w:rsidP="2ECB3D4D">
            <w:pPr>
              <w:pStyle w:val="USTustnpkodeksu"/>
            </w:pPr>
          </w:p>
        </w:tc>
      </w:tr>
      <w:tr w:rsidR="00723799" w:rsidRPr="00E356CE" w14:paraId="0A4C9472" w14:textId="77777777" w:rsidTr="56856880">
        <w:tc>
          <w:tcPr>
            <w:tcW w:w="795" w:type="dxa"/>
            <w:tcBorders>
              <w:top w:val="single" w:sz="4" w:space="0" w:color="auto"/>
              <w:left w:val="single" w:sz="4" w:space="0" w:color="auto"/>
              <w:bottom w:val="single" w:sz="4" w:space="0" w:color="auto"/>
              <w:right w:val="single" w:sz="4" w:space="0" w:color="auto"/>
            </w:tcBorders>
          </w:tcPr>
          <w:p w14:paraId="64EA0A33" w14:textId="77777777" w:rsidR="00C04931" w:rsidRPr="00E356CE" w:rsidRDefault="00BD4EF3" w:rsidP="00A9191A">
            <w:pPr>
              <w:jc w:val="both"/>
            </w:pPr>
            <w:r w:rsidRPr="00E356CE">
              <w:t>Art. 13 ust. 6</w:t>
            </w:r>
          </w:p>
        </w:tc>
        <w:tc>
          <w:tcPr>
            <w:tcW w:w="4719" w:type="dxa"/>
            <w:tcBorders>
              <w:top w:val="single" w:sz="4" w:space="0" w:color="auto"/>
              <w:left w:val="single" w:sz="4" w:space="0" w:color="auto"/>
              <w:bottom w:val="single" w:sz="4" w:space="0" w:color="auto"/>
              <w:right w:val="single" w:sz="4" w:space="0" w:color="auto"/>
            </w:tcBorders>
          </w:tcPr>
          <w:p w14:paraId="01962BFC" w14:textId="77777777" w:rsidR="00C04931" w:rsidRPr="00E356CE" w:rsidRDefault="00BD4EF3" w:rsidP="00A9191A">
            <w:pPr>
              <w:spacing w:before="60" w:after="120"/>
              <w:jc w:val="both"/>
              <w:rPr>
                <w:b/>
                <w:bCs/>
              </w:rPr>
            </w:pPr>
            <w:r w:rsidRPr="00E356CE">
              <w:t xml:space="preserve">6. Bez uszczerbku dla jakichkolwiek środków administracyjnych, w odniesieniu do których mogą zostać przyjęte przepisy, między innymi na mocy art. 15a ust. 2, państwa członkowskie zapewniają, aby każda osoba fizyczna lub prawna, która odczuła negatywne skutki naruszeń przepisów krajowych przyjętych na mocy niniejszego artykułu, a zatem mająca uzasadniony interes w tym, by położyć kres takim naruszeniom lub ich zakazać, w tym także dostawca usług łączności elektronicznej chroniący własne uzasadnione interesy gospodarcze, mogła podjąć działania prawne przeciwko takim naruszeniom. Państwa członkowskie mogą także ustalić szczególne zasady dotyczące sankcji mających </w:t>
            </w:r>
            <w:r w:rsidRPr="00E356CE">
              <w:lastRenderedPageBreak/>
              <w:t>zastosowanie do dostawców usług łączności elektronicznej, którzy przez zaniedbanie przyczyniają się do naruszeń przepisów krajowych przyjętych na podstawie niniejszego artykułu.</w:t>
            </w:r>
          </w:p>
        </w:tc>
        <w:tc>
          <w:tcPr>
            <w:tcW w:w="886" w:type="dxa"/>
            <w:tcBorders>
              <w:top w:val="single" w:sz="4" w:space="0" w:color="auto"/>
              <w:left w:val="single" w:sz="4" w:space="0" w:color="auto"/>
              <w:bottom w:val="single" w:sz="4" w:space="0" w:color="auto"/>
              <w:right w:val="single" w:sz="4" w:space="0" w:color="auto"/>
            </w:tcBorders>
          </w:tcPr>
          <w:p w14:paraId="792213C6" w14:textId="77777777" w:rsidR="00C04931" w:rsidRPr="00E356CE" w:rsidRDefault="00BD4EF3"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2B5D79BC" w14:textId="1123B2BD" w:rsidR="00C04931" w:rsidRPr="00E356CE" w:rsidRDefault="00BD4EF3" w:rsidP="2ECB3D4D">
            <w:pPr>
              <w:pStyle w:val="Tekstpodstawowy"/>
              <w:rPr>
                <w:noProof/>
                <w:sz w:val="24"/>
                <w:szCs w:val="24"/>
              </w:rPr>
            </w:pPr>
            <w:r w:rsidRPr="00E356CE">
              <w:rPr>
                <w:sz w:val="24"/>
                <w:szCs w:val="24"/>
              </w:rPr>
              <w:t xml:space="preserve">Art. </w:t>
            </w:r>
            <w:r w:rsidR="2843858C" w:rsidRPr="00E356CE">
              <w:rPr>
                <w:sz w:val="24"/>
                <w:szCs w:val="24"/>
              </w:rPr>
              <w:t>414</w:t>
            </w:r>
            <w:r w:rsidRPr="00E356CE">
              <w:rPr>
                <w:sz w:val="24"/>
                <w:szCs w:val="24"/>
              </w:rPr>
              <w:t xml:space="preserve"> ust. 1 pkt 5, art. </w:t>
            </w:r>
            <w:r w:rsidR="1C8A8131" w:rsidRPr="00E356CE">
              <w:rPr>
                <w:sz w:val="24"/>
                <w:szCs w:val="24"/>
              </w:rPr>
              <w:t>416</w:t>
            </w:r>
            <w:r w:rsidRPr="00E356CE">
              <w:rPr>
                <w:sz w:val="24"/>
                <w:szCs w:val="24"/>
              </w:rPr>
              <w:t>, art. 4</w:t>
            </w:r>
            <w:r w:rsidR="324FC7FB" w:rsidRPr="00E356CE">
              <w:rPr>
                <w:sz w:val="24"/>
                <w:szCs w:val="24"/>
              </w:rPr>
              <w:t>41</w:t>
            </w:r>
            <w:r w:rsidRPr="00E356CE">
              <w:rPr>
                <w:sz w:val="24"/>
                <w:szCs w:val="24"/>
              </w:rPr>
              <w:t xml:space="preserve"> ust. 1 pkt </w:t>
            </w:r>
            <w:r w:rsidR="46A19F0C" w:rsidRPr="00E356CE">
              <w:rPr>
                <w:sz w:val="24"/>
                <w:szCs w:val="24"/>
              </w:rPr>
              <w:t>83-87</w:t>
            </w:r>
            <w:r w:rsidRPr="00E356CE">
              <w:rPr>
                <w:sz w:val="24"/>
                <w:szCs w:val="24"/>
              </w:rPr>
              <w:t>, ust. 2 pkt 1 i 3, ust. 3, art. 4</w:t>
            </w:r>
            <w:r w:rsidR="6947DDBB" w:rsidRPr="00E356CE">
              <w:rPr>
                <w:sz w:val="24"/>
                <w:szCs w:val="24"/>
              </w:rPr>
              <w:t>43</w:t>
            </w:r>
          </w:p>
        </w:tc>
        <w:tc>
          <w:tcPr>
            <w:tcW w:w="7410" w:type="dxa"/>
            <w:gridSpan w:val="2"/>
            <w:tcBorders>
              <w:top w:val="single" w:sz="4" w:space="0" w:color="auto"/>
              <w:left w:val="single" w:sz="4" w:space="0" w:color="auto"/>
              <w:bottom w:val="single" w:sz="4" w:space="0" w:color="auto"/>
              <w:right w:val="single" w:sz="4" w:space="0" w:color="auto"/>
            </w:tcBorders>
          </w:tcPr>
          <w:p w14:paraId="3C13E868" w14:textId="77777777" w:rsidR="00BD4EF3" w:rsidRPr="00E356CE" w:rsidRDefault="00BD4EF3" w:rsidP="00A9191A">
            <w:pPr>
              <w:pStyle w:val="Tekstpodstawowy"/>
              <w:rPr>
                <w:sz w:val="24"/>
                <w:szCs w:val="24"/>
              </w:rPr>
            </w:pPr>
            <w:r w:rsidRPr="00E356CE">
              <w:rPr>
                <w:sz w:val="24"/>
                <w:szCs w:val="24"/>
              </w:rPr>
              <w:t>Możliwość podjęcia działań prawnych przez osobę fizyczną/osobę prawną, która odczuła negatywne skutki naruszenia przepisów wdrażających dyrektywę 2002/58 wynika z przepisów ogólnych ustawy – Kodeks postępowania cywilnego.</w:t>
            </w:r>
          </w:p>
          <w:p w14:paraId="62C79FB7" w14:textId="77777777" w:rsidR="00BD4EF3" w:rsidRPr="00E356CE" w:rsidRDefault="00BD4EF3" w:rsidP="00A9191A">
            <w:pPr>
              <w:pStyle w:val="Tekstpodstawowy"/>
              <w:rPr>
                <w:sz w:val="24"/>
                <w:szCs w:val="24"/>
              </w:rPr>
            </w:pPr>
          </w:p>
          <w:p w14:paraId="1F4729B1" w14:textId="77777777" w:rsidR="00BD4EF3" w:rsidRPr="00E356CE" w:rsidRDefault="00BD4EF3" w:rsidP="00A9191A">
            <w:pPr>
              <w:pStyle w:val="Tekstpodstawowy"/>
              <w:rPr>
                <w:sz w:val="24"/>
                <w:szCs w:val="24"/>
              </w:rPr>
            </w:pPr>
          </w:p>
          <w:p w14:paraId="08172899" w14:textId="3D59C98E" w:rsidR="00BD4EF3" w:rsidRPr="00E356CE" w:rsidRDefault="00BD4EF3" w:rsidP="2ECB3D4D">
            <w:pPr>
              <w:pStyle w:val="ARTartustawynprozporzdzenia"/>
              <w:keepNext/>
              <w:spacing w:line="240" w:lineRule="auto"/>
              <w:ind w:firstLine="0"/>
              <w:rPr>
                <w:rFonts w:ascii="Times New Roman" w:hAnsi="Times New Roman" w:cs="Times New Roman"/>
              </w:rPr>
            </w:pPr>
            <w:r w:rsidRPr="00E356CE">
              <w:rPr>
                <w:rStyle w:val="Ppogrubienie"/>
                <w:rFonts w:ascii="Times New Roman" w:hAnsi="Times New Roman"/>
              </w:rPr>
              <w:t>Art. </w:t>
            </w:r>
            <w:r w:rsidR="0089FE9C" w:rsidRPr="00E356CE">
              <w:rPr>
                <w:rStyle w:val="Ppogrubienie"/>
                <w:rFonts w:ascii="Times New Roman" w:hAnsi="Times New Roman"/>
              </w:rPr>
              <w:t>414</w:t>
            </w:r>
            <w:r w:rsidRPr="00E356CE">
              <w:rPr>
                <w:rStyle w:val="Ppogrubienie"/>
                <w:rFonts w:ascii="Times New Roman" w:hAnsi="Times New Roman"/>
              </w:rPr>
              <w:t>.</w:t>
            </w:r>
            <w:r w:rsidRPr="00E356CE">
              <w:rPr>
                <w:rFonts w:ascii="Times New Roman" w:hAnsi="Times New Roman" w:cs="Times New Roman"/>
              </w:rPr>
              <w:t xml:space="preserve"> 1. Do zakresu działania Prezesa UKE należy w szczególności:</w:t>
            </w:r>
          </w:p>
          <w:p w14:paraId="7B7D1905" w14:textId="77777777" w:rsidR="00BD4EF3" w:rsidRPr="00E356CE" w:rsidRDefault="00BD4EF3" w:rsidP="00A9191A">
            <w:pPr>
              <w:pStyle w:val="Tekstpodstawowy"/>
              <w:rPr>
                <w:sz w:val="24"/>
                <w:szCs w:val="24"/>
              </w:rPr>
            </w:pPr>
          </w:p>
          <w:p w14:paraId="2229D29F" w14:textId="1610783E" w:rsidR="2044CA9C" w:rsidRPr="00E356CE" w:rsidRDefault="2044CA9C" w:rsidP="2ECB3D4D">
            <w:pPr>
              <w:spacing w:line="360" w:lineRule="auto"/>
              <w:ind w:left="510" w:hanging="510"/>
              <w:jc w:val="both"/>
            </w:pPr>
            <w:r w:rsidRPr="00E356CE">
              <w:t>5)</w:t>
            </w:r>
            <w:r w:rsidRPr="00E356CE">
              <w:tab/>
              <w:t>podejmowanie interwencji w sprawach dotyczących funkcjonowania rynków usług komunikacji elektronicznej oraz rynku aparatury, w tym rynku urządzeń telekomunikacyjnych, z własnej inicjatywy lub wniesionych przez zainteresowane podmioty, w szczególności użytkowników i przedsiębiorców komunikacji elektronicznej;</w:t>
            </w:r>
          </w:p>
          <w:p w14:paraId="0B99D635" w14:textId="68E35D97" w:rsidR="2ECB3D4D" w:rsidRPr="00E356CE" w:rsidRDefault="2ECB3D4D" w:rsidP="2ECB3D4D">
            <w:pPr>
              <w:pStyle w:val="PKTpunkt"/>
              <w:spacing w:line="240" w:lineRule="auto"/>
              <w:rPr>
                <w:rFonts w:ascii="Times New Roman" w:hAnsi="Times New Roman" w:cs="Times New Roman"/>
              </w:rPr>
            </w:pPr>
          </w:p>
          <w:p w14:paraId="70BE580C" w14:textId="77777777" w:rsidR="00BD4EF3" w:rsidRPr="00E356CE" w:rsidRDefault="00BD4EF3" w:rsidP="00A9191A">
            <w:pPr>
              <w:pStyle w:val="Tekstpodstawowy"/>
              <w:rPr>
                <w:sz w:val="24"/>
                <w:szCs w:val="24"/>
              </w:rPr>
            </w:pPr>
          </w:p>
          <w:p w14:paraId="72FD8711" w14:textId="2A5CD9CA" w:rsidR="6C927656" w:rsidRPr="00E356CE" w:rsidRDefault="6C927656" w:rsidP="2ECB3D4D">
            <w:pPr>
              <w:spacing w:line="360" w:lineRule="auto"/>
              <w:ind w:firstLine="510"/>
              <w:jc w:val="both"/>
            </w:pPr>
            <w:r w:rsidRPr="00E356CE">
              <w:rPr>
                <w:b/>
                <w:bCs/>
              </w:rPr>
              <w:t>Art. 416.</w:t>
            </w:r>
            <w:r w:rsidRPr="00E356CE">
              <w:t xml:space="preserve"> 1. Prezes UKE jest uprawniony do weryfikacji przestrzegania przepisów, decyzji oraz postanowień z zakresu komunikacji elektronicznej lub spełniania wymagań dotyczących kompatybilności elektromagnetycznej.</w:t>
            </w:r>
          </w:p>
          <w:p w14:paraId="56601897" w14:textId="2CAD6813" w:rsidR="2ECB3D4D" w:rsidRPr="00E356CE" w:rsidRDefault="2ECB3D4D" w:rsidP="2ECB3D4D">
            <w:pPr>
              <w:pStyle w:val="ARTartustawynprozporzdzenia"/>
              <w:spacing w:line="240" w:lineRule="auto"/>
              <w:ind w:firstLine="0"/>
              <w:rPr>
                <w:rFonts w:ascii="Times New Roman" w:hAnsi="Times New Roman" w:cs="Times New Roman"/>
              </w:rPr>
            </w:pPr>
          </w:p>
          <w:p w14:paraId="53F3D421" w14:textId="77777777" w:rsidR="00BD4EF3" w:rsidRPr="00E356CE" w:rsidRDefault="00BD4EF3" w:rsidP="00A9191A">
            <w:pPr>
              <w:pStyle w:val="Tekstpodstawowy"/>
              <w:rPr>
                <w:sz w:val="24"/>
                <w:szCs w:val="24"/>
              </w:rPr>
            </w:pPr>
          </w:p>
          <w:p w14:paraId="4C1DCDA7" w14:textId="75252CE8" w:rsidR="00BD4EF3" w:rsidRPr="00E356CE" w:rsidRDefault="00BD4EF3" w:rsidP="2ECB3D4D">
            <w:pPr>
              <w:pStyle w:val="ARTartustawynprozporzdzenia"/>
              <w:keepNext/>
              <w:spacing w:line="240" w:lineRule="auto"/>
              <w:ind w:firstLine="0"/>
              <w:rPr>
                <w:rFonts w:ascii="Times New Roman" w:hAnsi="Times New Roman" w:cs="Times New Roman"/>
              </w:rPr>
            </w:pPr>
            <w:r w:rsidRPr="00E356CE">
              <w:rPr>
                <w:rStyle w:val="Ppogrubienie"/>
                <w:rFonts w:ascii="Times New Roman" w:hAnsi="Times New Roman"/>
              </w:rPr>
              <w:t>Art. 4</w:t>
            </w:r>
            <w:r w:rsidR="7B265757" w:rsidRPr="00E356CE">
              <w:rPr>
                <w:rStyle w:val="Ppogrubienie"/>
                <w:rFonts w:ascii="Times New Roman" w:hAnsi="Times New Roman"/>
              </w:rPr>
              <w:t>41</w:t>
            </w:r>
            <w:r w:rsidRPr="00E356CE">
              <w:rPr>
                <w:rStyle w:val="Ppogrubienie"/>
                <w:rFonts w:ascii="Times New Roman" w:hAnsi="Times New Roman"/>
              </w:rPr>
              <w:t>.</w:t>
            </w:r>
            <w:r w:rsidRPr="00E356CE">
              <w:rPr>
                <w:rFonts w:ascii="Times New Roman" w:hAnsi="Times New Roman" w:cs="Times New Roman"/>
              </w:rPr>
              <w:t xml:space="preserve"> 1. Kto:</w:t>
            </w:r>
          </w:p>
          <w:p w14:paraId="2E676D70" w14:textId="77777777" w:rsidR="00BD4EF3" w:rsidRPr="00E356CE" w:rsidRDefault="00BD4EF3" w:rsidP="00A9191A">
            <w:pPr>
              <w:pStyle w:val="Tekstpodstawowy"/>
              <w:rPr>
                <w:sz w:val="24"/>
                <w:szCs w:val="24"/>
              </w:rPr>
            </w:pPr>
          </w:p>
          <w:p w14:paraId="0C32FD27" w14:textId="1FE3B66C" w:rsidR="6EA35AC1" w:rsidRPr="00E356CE" w:rsidRDefault="6EA35AC1" w:rsidP="2ECB3D4D">
            <w:pPr>
              <w:spacing w:line="360" w:lineRule="auto"/>
              <w:ind w:left="510" w:hanging="510"/>
              <w:jc w:val="both"/>
            </w:pPr>
            <w:r w:rsidRPr="00E356CE">
              <w:t>83)</w:t>
            </w:r>
            <w:r w:rsidRPr="00E356CE">
              <w:tab/>
              <w:t>nie wypełnia obowiązków uzyskania zgody użytkownika końcowego, o których mowa w art. 386 i art. 387,</w:t>
            </w:r>
          </w:p>
          <w:p w14:paraId="4CEFB999" w14:textId="45AE7B44" w:rsidR="6EA35AC1" w:rsidRPr="00E356CE" w:rsidRDefault="6EA35AC1" w:rsidP="2ECB3D4D">
            <w:pPr>
              <w:spacing w:line="360" w:lineRule="auto"/>
              <w:ind w:left="510" w:hanging="510"/>
              <w:jc w:val="both"/>
            </w:pPr>
            <w:r w:rsidRPr="00E356CE">
              <w:t>84)</w:t>
            </w:r>
            <w:r w:rsidRPr="00E356CE">
              <w:tab/>
              <w:t>przetwarza dane objęte tajemnicą komunikacji elektronicznej lub dane użytkowników nie mając ku temu podstawy prawnej,</w:t>
            </w:r>
          </w:p>
          <w:p w14:paraId="269FD705" w14:textId="2F2A8836" w:rsidR="6EA35AC1" w:rsidRPr="00E356CE" w:rsidRDefault="6EA35AC1" w:rsidP="2ECB3D4D">
            <w:pPr>
              <w:spacing w:line="360" w:lineRule="auto"/>
              <w:ind w:left="510" w:hanging="510"/>
              <w:jc w:val="both"/>
            </w:pPr>
            <w:r w:rsidRPr="00E356CE">
              <w:t>85)</w:t>
            </w:r>
            <w:r w:rsidRPr="00E356CE">
              <w:tab/>
              <w:t>nie wypełnia lub nienależycie wypełnia obowiązek prezentacji identyfikacji zakończenia sieci, o którym mowa w art. 392,</w:t>
            </w:r>
          </w:p>
          <w:p w14:paraId="21DA1CA6" w14:textId="2B8F2C33" w:rsidR="6EA35AC1" w:rsidRPr="00E356CE" w:rsidRDefault="6EA35AC1" w:rsidP="2ECB3D4D">
            <w:pPr>
              <w:spacing w:line="360" w:lineRule="auto"/>
              <w:ind w:left="510" w:hanging="510"/>
              <w:jc w:val="both"/>
            </w:pPr>
            <w:r w:rsidRPr="00E356CE">
              <w:t>86)</w:t>
            </w:r>
            <w:r w:rsidRPr="00E356CE">
              <w:tab/>
              <w:t>używa automatycznych systemów wywołujących lub używa telekomunikacyjnych urządzeń końcowych dla celów przesyłania niezamówionej informacji handlowej bez uprzedniego uzyskania zgody użytkownika końcowego,</w:t>
            </w:r>
          </w:p>
          <w:p w14:paraId="5C2229DE" w14:textId="2C02CA96" w:rsidR="6EA35AC1" w:rsidRPr="00E356CE" w:rsidRDefault="6EA35AC1" w:rsidP="2ECB3D4D">
            <w:pPr>
              <w:spacing w:line="360" w:lineRule="auto"/>
              <w:ind w:left="510" w:hanging="510"/>
              <w:jc w:val="both"/>
            </w:pPr>
            <w:r w:rsidRPr="00E356CE">
              <w:t>87)</w:t>
            </w:r>
            <w:r w:rsidRPr="00E356CE">
              <w:tab/>
              <w:t>niezgodnie z przepisami art. 394 przechowuje informacje w urządzeniach końcowych użytkownika końcowego lub korzysta z informacji zgromadzonych w tych urządzeniach,</w:t>
            </w:r>
          </w:p>
          <w:p w14:paraId="75D04B97" w14:textId="6D5035AC" w:rsidR="2ECB3D4D" w:rsidRPr="00E356CE" w:rsidRDefault="2ECB3D4D" w:rsidP="2ECB3D4D">
            <w:pPr>
              <w:pStyle w:val="PKTpunkt"/>
              <w:spacing w:line="240" w:lineRule="auto"/>
              <w:rPr>
                <w:rFonts w:ascii="Times New Roman" w:hAnsi="Times New Roman" w:cs="Times New Roman"/>
              </w:rPr>
            </w:pPr>
          </w:p>
          <w:p w14:paraId="054AE2D0" w14:textId="77777777" w:rsidR="00BD4EF3" w:rsidRPr="00E356CE" w:rsidRDefault="00BD4EF3"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24EBF106" w14:textId="77777777" w:rsidR="00BD4EF3" w:rsidRPr="00E356CE" w:rsidRDefault="00BD4EF3" w:rsidP="00A9191A">
            <w:pPr>
              <w:pStyle w:val="PKTpunkt"/>
              <w:spacing w:line="240" w:lineRule="auto"/>
              <w:rPr>
                <w:rFonts w:ascii="Times New Roman" w:hAnsi="Times New Roman" w:cs="Times New Roman"/>
                <w:szCs w:val="24"/>
              </w:rPr>
            </w:pPr>
          </w:p>
          <w:p w14:paraId="0A8A3425" w14:textId="77777777" w:rsidR="00BD4EF3" w:rsidRPr="00E356CE" w:rsidRDefault="00BD4EF3" w:rsidP="00A9191A">
            <w:pPr>
              <w:pStyle w:val="CZWSPPKTczwsplnapunktw"/>
              <w:spacing w:line="240" w:lineRule="auto"/>
              <w:rPr>
                <w:rFonts w:ascii="Times New Roman" w:hAnsi="Times New Roman" w:cs="Times New Roman"/>
                <w:szCs w:val="24"/>
              </w:rPr>
            </w:pPr>
            <w:r w:rsidRPr="00E356CE">
              <w:rPr>
                <w:rFonts w:ascii="Times New Roman" w:hAnsi="Times New Roman" w:cs="Times New Roman"/>
                <w:szCs w:val="24"/>
              </w:rPr>
              <w:t>- podlega karze pieniężnej.</w:t>
            </w:r>
          </w:p>
          <w:p w14:paraId="72FF356C" w14:textId="77777777" w:rsidR="00BD4EF3" w:rsidRPr="00E356CE" w:rsidRDefault="00BD4EF3" w:rsidP="00A9191A">
            <w:pPr>
              <w:pStyle w:val="USTustnpkodeksu"/>
              <w:spacing w:line="240" w:lineRule="auto"/>
              <w:rPr>
                <w:rFonts w:ascii="Times New Roman" w:hAnsi="Times New Roman" w:cs="Times New Roman"/>
                <w:szCs w:val="24"/>
              </w:rPr>
            </w:pPr>
          </w:p>
          <w:p w14:paraId="7CD59E20" w14:textId="2A91BF11" w:rsidR="03200C15" w:rsidRPr="00E356CE" w:rsidRDefault="03200C15" w:rsidP="2ECB3D4D">
            <w:pPr>
              <w:spacing w:line="360" w:lineRule="auto"/>
              <w:ind w:firstLine="510"/>
              <w:jc w:val="both"/>
            </w:pPr>
            <w:r w:rsidRPr="00E356CE">
              <w:t>2. Prezes UKE, jeżeli przemawia za tym charakter lub zakres naruszenia, może nałożyć karę pieniężną na podmiot, który:</w:t>
            </w:r>
          </w:p>
          <w:p w14:paraId="5FD0F0DC" w14:textId="44929F20" w:rsidR="03200C15" w:rsidRPr="00E356CE" w:rsidRDefault="03200C15" w:rsidP="2ECB3D4D">
            <w:pPr>
              <w:spacing w:line="360" w:lineRule="auto"/>
              <w:ind w:left="510" w:hanging="510"/>
              <w:jc w:val="both"/>
            </w:pPr>
            <w:r w:rsidRPr="00E356CE">
              <w:t>1)</w:t>
            </w:r>
            <w:r w:rsidRPr="00E356CE">
              <w:tab/>
              <w:t>nie wypełnia obowiązku udzielania informacji lub dostarczania dokumentów przewidzianych ustawą lub ustawą z dnia 7 maja 2010 r. o wspieraniu rozwoju usług i sieci telekomunikacyjnych lub udziela informacji niepełnych lub nieprawdziwych, lub dostarcza dokumenty zawierające informacje niepełne lub nieprawdziwe;</w:t>
            </w:r>
          </w:p>
          <w:p w14:paraId="61B036B6" w14:textId="3479BD8E" w:rsidR="03200C15" w:rsidRPr="00E356CE" w:rsidRDefault="03200C15" w:rsidP="2ECB3D4D">
            <w:pPr>
              <w:spacing w:line="360" w:lineRule="auto"/>
              <w:ind w:left="510" w:hanging="510"/>
              <w:jc w:val="both"/>
            </w:pPr>
            <w:r w:rsidRPr="00E356CE">
              <w:t>(…)</w:t>
            </w:r>
          </w:p>
          <w:p w14:paraId="6F01C766" w14:textId="487D0D79" w:rsidR="03200C15" w:rsidRPr="00E356CE" w:rsidRDefault="03200C15" w:rsidP="2ECB3D4D">
            <w:pPr>
              <w:spacing w:line="360" w:lineRule="auto"/>
              <w:ind w:left="510" w:hanging="510"/>
              <w:jc w:val="both"/>
            </w:pPr>
            <w:r w:rsidRPr="00E356CE">
              <w:t>3)</w:t>
            </w:r>
            <w:r w:rsidRPr="00E356CE">
              <w:tab/>
              <w:t>nie wypełnia obowiązków uzyskania zgody użytkownika końcowego, o których mowa w art. 394;</w:t>
            </w:r>
          </w:p>
          <w:p w14:paraId="1B9E3E24" w14:textId="352DF870" w:rsidR="2ECB3D4D" w:rsidRPr="00E356CE" w:rsidRDefault="2ECB3D4D" w:rsidP="2ECB3D4D">
            <w:pPr>
              <w:pStyle w:val="PKTpunkt"/>
              <w:spacing w:line="240" w:lineRule="auto"/>
              <w:rPr>
                <w:rFonts w:ascii="Times New Roman" w:hAnsi="Times New Roman" w:cs="Times New Roman"/>
              </w:rPr>
            </w:pPr>
          </w:p>
          <w:p w14:paraId="75E4BAA7" w14:textId="77777777" w:rsidR="00BD4EF3" w:rsidRPr="00E356CE" w:rsidRDefault="00BD4EF3" w:rsidP="00A9191A">
            <w:pPr>
              <w:pStyle w:val="USTustnpkodeksu"/>
              <w:spacing w:line="240" w:lineRule="auto"/>
              <w:ind w:firstLine="0"/>
              <w:rPr>
                <w:rFonts w:ascii="Times New Roman" w:hAnsi="Times New Roman" w:cs="Times New Roman"/>
                <w:szCs w:val="24"/>
              </w:rPr>
            </w:pPr>
          </w:p>
          <w:p w14:paraId="36545350" w14:textId="6C072BF4" w:rsidR="03200C15" w:rsidRPr="00E356CE" w:rsidRDefault="03200C15" w:rsidP="2ECB3D4D">
            <w:pPr>
              <w:spacing w:line="360" w:lineRule="auto"/>
              <w:ind w:firstLine="510"/>
              <w:jc w:val="both"/>
            </w:pPr>
            <w:r w:rsidRPr="00E356CE">
              <w:t>3. Kara, o której mowa w ust. 1 i 2, może zostać nałożona także w przypadku, gdy podmiot zaprzestał naruszania prawa lub naprawił wyrządzoną szkodę, jeżeli Prezes UKE uzna, że przemawiają za tym czas trwania, zakres lub skutki naruszenia.</w:t>
            </w:r>
          </w:p>
          <w:p w14:paraId="7E6BCCF9" w14:textId="205F6B7D" w:rsidR="00C04931" w:rsidRPr="00E356CE" w:rsidRDefault="00C04931" w:rsidP="00A9191A">
            <w:pPr>
              <w:jc w:val="both"/>
            </w:pPr>
          </w:p>
          <w:p w14:paraId="4862A59B" w14:textId="75BD0B93" w:rsidR="00C04931" w:rsidRPr="00E356CE" w:rsidRDefault="05E058D6" w:rsidP="2ECB3D4D">
            <w:pPr>
              <w:spacing w:line="360" w:lineRule="auto"/>
              <w:ind w:firstLine="510"/>
              <w:jc w:val="both"/>
            </w:pPr>
            <w:r w:rsidRPr="00E356CE">
              <w:rPr>
                <w:b/>
                <w:bCs/>
              </w:rPr>
              <w:t>Art. 443.</w:t>
            </w:r>
            <w:r w:rsidRPr="00E356CE">
              <w:t xml:space="preserve"> 1. Kto nie wypełnia obowiązku:</w:t>
            </w:r>
          </w:p>
          <w:p w14:paraId="5C11492E" w14:textId="2E9A1726" w:rsidR="00C04931" w:rsidRPr="00E356CE" w:rsidRDefault="05E058D6" w:rsidP="2ECB3D4D">
            <w:pPr>
              <w:spacing w:line="360" w:lineRule="auto"/>
              <w:ind w:left="510" w:hanging="510"/>
              <w:jc w:val="both"/>
            </w:pPr>
            <w:r w:rsidRPr="00E356CE">
              <w:lastRenderedPageBreak/>
              <w:t>1)</w:t>
            </w:r>
            <w:r w:rsidR="00BD4EF3" w:rsidRPr="00E356CE">
              <w:tab/>
            </w:r>
            <w:r w:rsidRPr="00E356CE">
              <w:t>wdrożenia technicznych i organizacyjnych środków ochrony, o których mowa w art. 396,</w:t>
            </w:r>
          </w:p>
          <w:p w14:paraId="354A4F51" w14:textId="7B5083A1" w:rsidR="00C04931" w:rsidRPr="00E356CE" w:rsidRDefault="05E058D6" w:rsidP="2ECB3D4D">
            <w:pPr>
              <w:spacing w:line="360" w:lineRule="auto"/>
              <w:ind w:left="510" w:hanging="510"/>
              <w:jc w:val="both"/>
            </w:pPr>
            <w:r w:rsidRPr="00E356CE">
              <w:t>2)</w:t>
            </w:r>
            <w:r w:rsidR="00BD4EF3" w:rsidRPr="00E356CE">
              <w:tab/>
            </w:r>
            <w:r w:rsidRPr="00E356CE">
              <w:t>informacyjnego, względem Prezesa UODO, o którym mowa w art. 397 ust. 1,</w:t>
            </w:r>
          </w:p>
          <w:p w14:paraId="7AC18A33" w14:textId="26A35DF8" w:rsidR="00C04931" w:rsidRPr="00E356CE" w:rsidRDefault="05E058D6" w:rsidP="2ECB3D4D">
            <w:pPr>
              <w:spacing w:line="360" w:lineRule="auto"/>
              <w:ind w:left="510" w:hanging="510"/>
              <w:jc w:val="both"/>
            </w:pPr>
            <w:r w:rsidRPr="00E356CE">
              <w:t>3)</w:t>
            </w:r>
            <w:r w:rsidR="00BD4EF3" w:rsidRPr="00E356CE">
              <w:tab/>
            </w:r>
            <w:r w:rsidRPr="00E356CE">
              <w:t>informacyjnego, względem abonenta lub użytkownika końcowego, o którym mowa w art. 397 ust. 4,</w:t>
            </w:r>
          </w:p>
          <w:p w14:paraId="6B128A36" w14:textId="61064ED3" w:rsidR="00C04931" w:rsidRPr="00E356CE" w:rsidRDefault="05E058D6" w:rsidP="2ECB3D4D">
            <w:pPr>
              <w:spacing w:line="360" w:lineRule="auto"/>
              <w:ind w:left="510" w:hanging="510"/>
              <w:jc w:val="both"/>
            </w:pPr>
            <w:r w:rsidRPr="00E356CE">
              <w:t>4)</w:t>
            </w:r>
            <w:r w:rsidR="00BD4EF3" w:rsidRPr="00E356CE">
              <w:tab/>
            </w:r>
            <w:r w:rsidRPr="00E356CE">
              <w:t>prowadzenia rejestru naruszeń danych osobowych, o którym mowa w art. 400 ust. 1</w:t>
            </w:r>
          </w:p>
          <w:p w14:paraId="5EAB402F" w14:textId="73961494" w:rsidR="00C04931" w:rsidRPr="00E356CE" w:rsidRDefault="05E058D6" w:rsidP="2ECB3D4D">
            <w:pPr>
              <w:spacing w:line="360" w:lineRule="auto"/>
              <w:jc w:val="both"/>
            </w:pPr>
            <w:r w:rsidRPr="00E356CE">
              <w:t>– podlega karze pieniężnej nakładanej przez Prezesa UODO w wysokości do 3% przychodu ukaranego podmiotu osiągniętego w poprzednim roku kalendarzowym.</w:t>
            </w:r>
          </w:p>
          <w:p w14:paraId="1B7B4B28" w14:textId="7EE98D10" w:rsidR="00C04931" w:rsidRPr="00E356CE" w:rsidRDefault="05E058D6" w:rsidP="2ECB3D4D">
            <w:pPr>
              <w:spacing w:line="360" w:lineRule="auto"/>
              <w:ind w:firstLine="510"/>
              <w:jc w:val="both"/>
            </w:pPr>
            <w:r w:rsidRPr="00E356CE">
              <w:t>2. Do kar nakładanych na podstawie ust. 1 stosuje się odpowiednio przepisy art. 441 ust. 3-5 oraz art. 442 ust. 1-4, ust. 6-10. Uprawnienia Prezesa UKE określone w tych przepisach przysługują Prezesowi UODO.</w:t>
            </w:r>
          </w:p>
          <w:p w14:paraId="09CA91C7" w14:textId="27AED3FF" w:rsidR="00C04931" w:rsidRPr="00E356CE" w:rsidRDefault="00BD4EF3" w:rsidP="00A9191A">
            <w:pPr>
              <w:jc w:val="both"/>
            </w:pPr>
            <w:r w:rsidRPr="00E356CE">
              <w:br/>
            </w:r>
          </w:p>
          <w:p w14:paraId="0FC4C1D4" w14:textId="110FA231" w:rsidR="00C04931" w:rsidRPr="00E356CE" w:rsidRDefault="00C04931" w:rsidP="2ECB3D4D">
            <w:pPr>
              <w:jc w:val="both"/>
            </w:pPr>
          </w:p>
        </w:tc>
      </w:tr>
      <w:tr w:rsidR="00723799" w:rsidRPr="00E356CE" w14:paraId="1AA4532C" w14:textId="77777777" w:rsidTr="56856880">
        <w:tc>
          <w:tcPr>
            <w:tcW w:w="795" w:type="dxa"/>
            <w:tcBorders>
              <w:top w:val="single" w:sz="4" w:space="0" w:color="auto"/>
              <w:left w:val="single" w:sz="4" w:space="0" w:color="auto"/>
              <w:bottom w:val="single" w:sz="4" w:space="0" w:color="auto"/>
              <w:right w:val="single" w:sz="4" w:space="0" w:color="auto"/>
            </w:tcBorders>
          </w:tcPr>
          <w:p w14:paraId="36E79642" w14:textId="77777777" w:rsidR="00C04931" w:rsidRPr="00E356CE" w:rsidRDefault="00EE2117" w:rsidP="00A9191A">
            <w:pPr>
              <w:jc w:val="both"/>
              <w:rPr>
                <w:b/>
              </w:rPr>
            </w:pPr>
            <w:r w:rsidRPr="00E356CE">
              <w:rPr>
                <w:b/>
              </w:rPr>
              <w:lastRenderedPageBreak/>
              <w:t>Art. 14</w:t>
            </w:r>
          </w:p>
        </w:tc>
        <w:tc>
          <w:tcPr>
            <w:tcW w:w="4719" w:type="dxa"/>
            <w:tcBorders>
              <w:top w:val="single" w:sz="4" w:space="0" w:color="auto"/>
              <w:left w:val="single" w:sz="4" w:space="0" w:color="auto"/>
              <w:bottom w:val="single" w:sz="4" w:space="0" w:color="auto"/>
              <w:right w:val="single" w:sz="4" w:space="0" w:color="auto"/>
            </w:tcBorders>
          </w:tcPr>
          <w:p w14:paraId="6D7C2855" w14:textId="77777777" w:rsidR="00C04931" w:rsidRPr="00E356CE" w:rsidRDefault="00EE2117" w:rsidP="00A9191A">
            <w:pPr>
              <w:spacing w:before="60" w:after="120"/>
              <w:jc w:val="both"/>
              <w:rPr>
                <w:b/>
                <w:bCs/>
              </w:rPr>
            </w:pPr>
            <w:r w:rsidRPr="00E356CE">
              <w:rPr>
                <w:b/>
              </w:rPr>
              <w:t>Charakterystyka techniczna i normalizacja</w:t>
            </w:r>
          </w:p>
        </w:tc>
        <w:tc>
          <w:tcPr>
            <w:tcW w:w="886" w:type="dxa"/>
            <w:tcBorders>
              <w:top w:val="single" w:sz="4" w:space="0" w:color="auto"/>
              <w:left w:val="single" w:sz="4" w:space="0" w:color="auto"/>
              <w:bottom w:val="single" w:sz="4" w:space="0" w:color="auto"/>
              <w:right w:val="single" w:sz="4" w:space="0" w:color="auto"/>
            </w:tcBorders>
          </w:tcPr>
          <w:p w14:paraId="4F243439"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3AF4458D"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81CF9B4" w14:textId="77777777" w:rsidR="00C04931" w:rsidRPr="00E356CE" w:rsidRDefault="00C04931" w:rsidP="00A9191A">
            <w:pPr>
              <w:jc w:val="both"/>
            </w:pPr>
          </w:p>
        </w:tc>
      </w:tr>
      <w:tr w:rsidR="00723799" w:rsidRPr="00E356CE" w14:paraId="5997707D" w14:textId="77777777" w:rsidTr="56856880">
        <w:tc>
          <w:tcPr>
            <w:tcW w:w="795" w:type="dxa"/>
            <w:tcBorders>
              <w:top w:val="single" w:sz="4" w:space="0" w:color="auto"/>
              <w:left w:val="single" w:sz="4" w:space="0" w:color="auto"/>
              <w:bottom w:val="single" w:sz="4" w:space="0" w:color="auto"/>
              <w:right w:val="single" w:sz="4" w:space="0" w:color="auto"/>
            </w:tcBorders>
          </w:tcPr>
          <w:p w14:paraId="2D177E3A" w14:textId="77777777" w:rsidR="00C04931" w:rsidRPr="00E356CE" w:rsidRDefault="00EE2117" w:rsidP="00A9191A">
            <w:pPr>
              <w:jc w:val="both"/>
            </w:pPr>
            <w:r w:rsidRPr="00E356CE">
              <w:t>Art. 14 ust. 1</w:t>
            </w:r>
          </w:p>
        </w:tc>
        <w:tc>
          <w:tcPr>
            <w:tcW w:w="4719" w:type="dxa"/>
            <w:tcBorders>
              <w:top w:val="single" w:sz="4" w:space="0" w:color="auto"/>
              <w:left w:val="single" w:sz="4" w:space="0" w:color="auto"/>
              <w:bottom w:val="single" w:sz="4" w:space="0" w:color="auto"/>
              <w:right w:val="single" w:sz="4" w:space="0" w:color="auto"/>
            </w:tcBorders>
          </w:tcPr>
          <w:p w14:paraId="7952363B" w14:textId="77777777" w:rsidR="00C04931" w:rsidRPr="00E356CE" w:rsidRDefault="00EE2117" w:rsidP="00A9191A">
            <w:pPr>
              <w:spacing w:before="60" w:after="120"/>
              <w:jc w:val="both"/>
              <w:rPr>
                <w:b/>
                <w:bCs/>
              </w:rPr>
            </w:pPr>
            <w:r w:rsidRPr="00E356CE">
              <w:t xml:space="preserve">1. Przy wykonywaniu przepisów niniejszej dyrektywy, Państwa Członkowskie zapewniają, z zastrzeżeniem przepisów ust. 2 i 3, że nie zostaną nałożone żadne wymagania obowiązkowe dotyczące szczególnej charakterystyki technicznej terminali lub innych </w:t>
            </w:r>
            <w:r w:rsidRPr="00E356CE">
              <w:lastRenderedPageBreak/>
              <w:t>urządzeń łączności elektronicznej, które mogłyby utrudniać wprowadzanie urządzeń na rynek oraz do swobodnego obrotu w i między Państwami Członkowskimi.</w:t>
            </w:r>
          </w:p>
        </w:tc>
        <w:tc>
          <w:tcPr>
            <w:tcW w:w="886" w:type="dxa"/>
            <w:tcBorders>
              <w:top w:val="single" w:sz="4" w:space="0" w:color="auto"/>
              <w:left w:val="single" w:sz="4" w:space="0" w:color="auto"/>
              <w:bottom w:val="single" w:sz="4" w:space="0" w:color="auto"/>
              <w:right w:val="single" w:sz="4" w:space="0" w:color="auto"/>
            </w:tcBorders>
          </w:tcPr>
          <w:p w14:paraId="61F77A5B" w14:textId="77777777" w:rsidR="00C04931" w:rsidRPr="00E356CE" w:rsidRDefault="00EE2117"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6E1DD7E3"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09F00FB6" w14:textId="77777777" w:rsidR="00C04931" w:rsidRPr="00E356CE" w:rsidRDefault="00EE2117" w:rsidP="00A9191A">
            <w:pPr>
              <w:jc w:val="both"/>
            </w:pPr>
            <w:r w:rsidRPr="00E356CE">
              <w:t>Pke nie przewiduje dodatkowych wymagań dla urządzeń ponad te, które wynikają z EKŁE oraz dyrektyw z zakresu systemu oceny zgodności (m.in. dyrektywy 2014/53/UE i 2014/</w:t>
            </w:r>
            <w:r w:rsidRPr="00E356CE">
              <w:rPr>
                <w:shd w:val="clear" w:color="auto" w:fill="FFFFFF"/>
              </w:rPr>
              <w:t>30/UE).</w:t>
            </w:r>
          </w:p>
        </w:tc>
      </w:tr>
      <w:tr w:rsidR="00723799" w:rsidRPr="00E356CE" w14:paraId="7F072B1E" w14:textId="77777777" w:rsidTr="56856880">
        <w:tc>
          <w:tcPr>
            <w:tcW w:w="795" w:type="dxa"/>
            <w:tcBorders>
              <w:top w:val="single" w:sz="4" w:space="0" w:color="auto"/>
              <w:left w:val="single" w:sz="4" w:space="0" w:color="auto"/>
              <w:bottom w:val="single" w:sz="4" w:space="0" w:color="auto"/>
              <w:right w:val="single" w:sz="4" w:space="0" w:color="auto"/>
            </w:tcBorders>
          </w:tcPr>
          <w:p w14:paraId="21C34E2B" w14:textId="77777777" w:rsidR="00C04931" w:rsidRPr="00E356CE" w:rsidRDefault="00EE2117" w:rsidP="00A9191A">
            <w:pPr>
              <w:jc w:val="both"/>
            </w:pPr>
            <w:r w:rsidRPr="00E356CE">
              <w:lastRenderedPageBreak/>
              <w:t>Art. 14 ust. 2</w:t>
            </w:r>
          </w:p>
        </w:tc>
        <w:tc>
          <w:tcPr>
            <w:tcW w:w="4719" w:type="dxa"/>
            <w:tcBorders>
              <w:top w:val="single" w:sz="4" w:space="0" w:color="auto"/>
              <w:left w:val="single" w:sz="4" w:space="0" w:color="auto"/>
              <w:bottom w:val="single" w:sz="4" w:space="0" w:color="auto"/>
              <w:right w:val="single" w:sz="4" w:space="0" w:color="auto"/>
            </w:tcBorders>
          </w:tcPr>
          <w:p w14:paraId="5C9A8A88" w14:textId="77777777" w:rsidR="00C04931" w:rsidRPr="00E356CE" w:rsidRDefault="00EE2117" w:rsidP="00A9191A">
            <w:pPr>
              <w:spacing w:before="60" w:after="120"/>
              <w:jc w:val="both"/>
              <w:rPr>
                <w:b/>
                <w:bCs/>
              </w:rPr>
            </w:pPr>
            <w:r w:rsidRPr="00E356CE">
              <w:t>2. W przypadkach gdy przepisy niniejszej dyrektywy mogą być wykonywane wyłącznie przez wprowadzenie wymogu szczególnych cech technicznych w sieci łączności elektronicznej, Państwa Członkowskie powiadamiają Komisję, zgodnie z procedurą przewidzianą w dyrektywie 98/34/WE Parlamentu Europejskiego i Rady z dnia 22 czerwca 1998 r. ustanawiającej procedurę udzielania informacji w zakresie norm i przepisów technicznych oraz zasad dotyczących usług społeczeństwa informacyjnego (1).</w:t>
            </w:r>
          </w:p>
        </w:tc>
        <w:tc>
          <w:tcPr>
            <w:tcW w:w="886" w:type="dxa"/>
            <w:tcBorders>
              <w:top w:val="single" w:sz="4" w:space="0" w:color="auto"/>
              <w:left w:val="single" w:sz="4" w:space="0" w:color="auto"/>
              <w:bottom w:val="single" w:sz="4" w:space="0" w:color="auto"/>
              <w:right w:val="single" w:sz="4" w:space="0" w:color="auto"/>
            </w:tcBorders>
          </w:tcPr>
          <w:p w14:paraId="2FC1651D" w14:textId="77777777" w:rsidR="00C04931"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2950DDFB" w14:textId="77777777" w:rsidR="00C04931" w:rsidRPr="00E356CE" w:rsidRDefault="00EE2117" w:rsidP="00A9191A">
            <w:pPr>
              <w:pStyle w:val="Tekstpodstawowy"/>
              <w:rPr>
                <w:noProof/>
                <w:sz w:val="24"/>
                <w:szCs w:val="24"/>
              </w:rPr>
            </w:pPr>
            <w:r w:rsidRPr="00E356CE">
              <w:rPr>
                <w:sz w:val="24"/>
                <w:szCs w:val="24"/>
                <w:shd w:val="clear" w:color="auto" w:fill="FFFFFF"/>
              </w:rPr>
              <w:t>Rozporządzenie Rady Ministrów z dnia 23 grudnia 2002 r. w sprawie sposobu funkcjonowania krajowego systemu notyfikacji norm i aktów prawnych</w:t>
            </w:r>
            <w:r w:rsidRPr="00E356CE">
              <w:rPr>
                <w:sz w:val="24"/>
                <w:szCs w:val="24"/>
              </w:rPr>
              <w:t xml:space="preserve">  </w:t>
            </w:r>
          </w:p>
        </w:tc>
        <w:tc>
          <w:tcPr>
            <w:tcW w:w="7410" w:type="dxa"/>
            <w:gridSpan w:val="2"/>
            <w:tcBorders>
              <w:top w:val="single" w:sz="4" w:space="0" w:color="auto"/>
              <w:left w:val="single" w:sz="4" w:space="0" w:color="auto"/>
              <w:bottom w:val="single" w:sz="4" w:space="0" w:color="auto"/>
              <w:right w:val="single" w:sz="4" w:space="0" w:color="auto"/>
            </w:tcBorders>
          </w:tcPr>
          <w:p w14:paraId="1E60B4DC" w14:textId="77777777" w:rsidR="00C04931" w:rsidRPr="00E356CE" w:rsidRDefault="00EE2117" w:rsidP="00A9191A">
            <w:pPr>
              <w:jc w:val="both"/>
            </w:pPr>
            <w:r w:rsidRPr="00E356CE">
              <w:t>Notyfikacja Komisji Europejskiej przepisów technicznych następuje na podstawie</w:t>
            </w:r>
            <w:r w:rsidRPr="00E356CE">
              <w:rPr>
                <w:shd w:val="clear" w:color="auto" w:fill="FFFFFF"/>
              </w:rPr>
              <w:t xml:space="preserve"> Rozporządzenia Rady Ministrów z dnia 23 grudnia 2002 r. w sprawie sposobu funkcjonowania krajowego systemu notyfikacji norm i aktów prawnych</w:t>
            </w:r>
            <w:r w:rsidRPr="00E356CE">
              <w:t>.</w:t>
            </w:r>
          </w:p>
        </w:tc>
      </w:tr>
      <w:tr w:rsidR="00723799" w:rsidRPr="00E356CE" w14:paraId="7C02225A" w14:textId="77777777" w:rsidTr="56856880">
        <w:tc>
          <w:tcPr>
            <w:tcW w:w="795" w:type="dxa"/>
            <w:tcBorders>
              <w:top w:val="single" w:sz="4" w:space="0" w:color="auto"/>
              <w:left w:val="single" w:sz="4" w:space="0" w:color="auto"/>
              <w:bottom w:val="single" w:sz="4" w:space="0" w:color="auto"/>
              <w:right w:val="single" w:sz="4" w:space="0" w:color="auto"/>
            </w:tcBorders>
          </w:tcPr>
          <w:p w14:paraId="510E1DE0" w14:textId="77777777" w:rsidR="00C04931" w:rsidRPr="00E356CE" w:rsidRDefault="00EE2117" w:rsidP="00A9191A">
            <w:pPr>
              <w:jc w:val="both"/>
            </w:pPr>
            <w:r w:rsidRPr="00E356CE">
              <w:t>Art. 14 ust. 3</w:t>
            </w:r>
          </w:p>
        </w:tc>
        <w:tc>
          <w:tcPr>
            <w:tcW w:w="4719" w:type="dxa"/>
            <w:tcBorders>
              <w:top w:val="single" w:sz="4" w:space="0" w:color="auto"/>
              <w:left w:val="single" w:sz="4" w:space="0" w:color="auto"/>
              <w:bottom w:val="single" w:sz="4" w:space="0" w:color="auto"/>
              <w:right w:val="single" w:sz="4" w:space="0" w:color="auto"/>
            </w:tcBorders>
          </w:tcPr>
          <w:p w14:paraId="259CFD82" w14:textId="77777777" w:rsidR="00C04931" w:rsidRPr="00E356CE" w:rsidRDefault="00EE2117" w:rsidP="00A9191A">
            <w:pPr>
              <w:spacing w:before="60" w:after="120"/>
              <w:jc w:val="both"/>
              <w:rPr>
                <w:b/>
                <w:bCs/>
              </w:rPr>
            </w:pPr>
            <w:r w:rsidRPr="00E356CE">
              <w:t xml:space="preserve">3. W miarę potrzeb, możliwe jest przyjęcie środków w celu zapewnienia, że terminal jest skonstruowany w sposób zgodny z prawem </w:t>
            </w:r>
            <w:r w:rsidRPr="00E356CE">
              <w:lastRenderedPageBreak/>
              <w:t>użytkowników do ochrony i kontroli używania ich danych osobowych, zgodnie z dyrektywą 1999/5/WE i decyzją Rady 87/95/EWG z dnia 22 grudnia 1986 r. w sprawie normalizacji w dziedzinie technologii informatycznych i telekomunikacji (2).</w:t>
            </w:r>
          </w:p>
        </w:tc>
        <w:tc>
          <w:tcPr>
            <w:tcW w:w="886" w:type="dxa"/>
            <w:tcBorders>
              <w:top w:val="single" w:sz="4" w:space="0" w:color="auto"/>
              <w:left w:val="single" w:sz="4" w:space="0" w:color="auto"/>
              <w:bottom w:val="single" w:sz="4" w:space="0" w:color="auto"/>
              <w:right w:val="single" w:sz="4" w:space="0" w:color="auto"/>
            </w:tcBorders>
          </w:tcPr>
          <w:p w14:paraId="12B6239E" w14:textId="77777777" w:rsidR="00C04931" w:rsidRPr="00E356CE" w:rsidRDefault="00EE2117"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7081317F"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2754D1D2" w14:textId="77777777" w:rsidR="00C04931" w:rsidRPr="00E356CE" w:rsidRDefault="00C04931" w:rsidP="00A9191A">
            <w:pPr>
              <w:jc w:val="both"/>
            </w:pPr>
          </w:p>
        </w:tc>
      </w:tr>
      <w:tr w:rsidR="00723799" w:rsidRPr="00E356CE" w14:paraId="24E8C619" w14:textId="77777777" w:rsidTr="56856880">
        <w:tc>
          <w:tcPr>
            <w:tcW w:w="795" w:type="dxa"/>
            <w:tcBorders>
              <w:top w:val="single" w:sz="4" w:space="0" w:color="auto"/>
              <w:left w:val="single" w:sz="4" w:space="0" w:color="auto"/>
              <w:bottom w:val="single" w:sz="4" w:space="0" w:color="auto"/>
              <w:right w:val="single" w:sz="4" w:space="0" w:color="auto"/>
            </w:tcBorders>
          </w:tcPr>
          <w:p w14:paraId="78ECD851" w14:textId="77777777" w:rsidR="00C04931" w:rsidRPr="00E356CE" w:rsidRDefault="00EE2117" w:rsidP="00A9191A">
            <w:pPr>
              <w:jc w:val="both"/>
              <w:rPr>
                <w:b/>
              </w:rPr>
            </w:pPr>
            <w:r w:rsidRPr="00E356CE">
              <w:rPr>
                <w:b/>
              </w:rPr>
              <w:lastRenderedPageBreak/>
              <w:t>Art. 14a</w:t>
            </w:r>
          </w:p>
        </w:tc>
        <w:tc>
          <w:tcPr>
            <w:tcW w:w="4719" w:type="dxa"/>
            <w:tcBorders>
              <w:top w:val="single" w:sz="4" w:space="0" w:color="auto"/>
              <w:left w:val="single" w:sz="4" w:space="0" w:color="auto"/>
              <w:bottom w:val="single" w:sz="4" w:space="0" w:color="auto"/>
              <w:right w:val="single" w:sz="4" w:space="0" w:color="auto"/>
            </w:tcBorders>
          </w:tcPr>
          <w:p w14:paraId="3133A4EC" w14:textId="77777777" w:rsidR="00C04931" w:rsidRPr="00E356CE" w:rsidRDefault="00EE2117" w:rsidP="00A9191A">
            <w:pPr>
              <w:spacing w:before="60" w:after="120"/>
              <w:jc w:val="both"/>
              <w:rPr>
                <w:b/>
                <w:bCs/>
              </w:rPr>
            </w:pPr>
            <w:r w:rsidRPr="00E356CE">
              <w:rPr>
                <w:b/>
                <w:bCs/>
              </w:rPr>
              <w:t>Procedura komitetowa</w:t>
            </w:r>
          </w:p>
        </w:tc>
        <w:tc>
          <w:tcPr>
            <w:tcW w:w="886" w:type="dxa"/>
            <w:tcBorders>
              <w:top w:val="single" w:sz="4" w:space="0" w:color="auto"/>
              <w:left w:val="single" w:sz="4" w:space="0" w:color="auto"/>
              <w:bottom w:val="single" w:sz="4" w:space="0" w:color="auto"/>
              <w:right w:val="single" w:sz="4" w:space="0" w:color="auto"/>
            </w:tcBorders>
          </w:tcPr>
          <w:p w14:paraId="254AB133"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3D7CC599"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76B550C6" w14:textId="77777777" w:rsidR="00C04931" w:rsidRPr="00E356CE" w:rsidRDefault="00C04931" w:rsidP="00A9191A">
            <w:pPr>
              <w:jc w:val="both"/>
            </w:pPr>
          </w:p>
        </w:tc>
      </w:tr>
      <w:tr w:rsidR="00723799" w:rsidRPr="00E356CE" w14:paraId="15214601" w14:textId="77777777" w:rsidTr="56856880">
        <w:tc>
          <w:tcPr>
            <w:tcW w:w="795" w:type="dxa"/>
            <w:tcBorders>
              <w:top w:val="single" w:sz="4" w:space="0" w:color="auto"/>
              <w:left w:val="single" w:sz="4" w:space="0" w:color="auto"/>
              <w:bottom w:val="single" w:sz="4" w:space="0" w:color="auto"/>
              <w:right w:val="single" w:sz="4" w:space="0" w:color="auto"/>
            </w:tcBorders>
          </w:tcPr>
          <w:p w14:paraId="110484D4" w14:textId="77777777" w:rsidR="00C04931" w:rsidRPr="00E356CE" w:rsidRDefault="00EE2117" w:rsidP="00A9191A">
            <w:pPr>
              <w:jc w:val="both"/>
            </w:pPr>
            <w:r w:rsidRPr="00E356CE">
              <w:t>Art. 14a ust. 1</w:t>
            </w:r>
          </w:p>
        </w:tc>
        <w:tc>
          <w:tcPr>
            <w:tcW w:w="4719" w:type="dxa"/>
            <w:tcBorders>
              <w:top w:val="single" w:sz="4" w:space="0" w:color="auto"/>
              <w:left w:val="single" w:sz="4" w:space="0" w:color="auto"/>
              <w:bottom w:val="single" w:sz="4" w:space="0" w:color="auto"/>
              <w:right w:val="single" w:sz="4" w:space="0" w:color="auto"/>
            </w:tcBorders>
          </w:tcPr>
          <w:p w14:paraId="75686106" w14:textId="77777777" w:rsidR="00C04931" w:rsidRPr="00E356CE" w:rsidRDefault="00EE2117" w:rsidP="00A9191A">
            <w:pPr>
              <w:spacing w:before="60" w:after="120"/>
              <w:jc w:val="both"/>
              <w:rPr>
                <w:b/>
                <w:bCs/>
              </w:rPr>
            </w:pPr>
            <w:r w:rsidRPr="00E356CE">
              <w:t>1. Komisja wspierana jest przez Komitet ds. Łączności ustanowiony na mocy art. 22 dyrektywy 2002/21/WE (dyrektywa ramowa).</w:t>
            </w:r>
          </w:p>
        </w:tc>
        <w:tc>
          <w:tcPr>
            <w:tcW w:w="886" w:type="dxa"/>
            <w:tcBorders>
              <w:top w:val="single" w:sz="4" w:space="0" w:color="auto"/>
              <w:left w:val="single" w:sz="4" w:space="0" w:color="auto"/>
              <w:bottom w:val="single" w:sz="4" w:space="0" w:color="auto"/>
              <w:right w:val="single" w:sz="4" w:space="0" w:color="auto"/>
            </w:tcBorders>
          </w:tcPr>
          <w:p w14:paraId="405F233C" w14:textId="77777777" w:rsidR="00C04931" w:rsidRPr="00E356CE" w:rsidRDefault="00EE2117"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1CD7789C"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113ABAE9" w14:textId="77777777" w:rsidR="00C04931" w:rsidRPr="00E356CE" w:rsidRDefault="00C04931" w:rsidP="00A9191A">
            <w:pPr>
              <w:jc w:val="both"/>
            </w:pPr>
          </w:p>
        </w:tc>
      </w:tr>
      <w:tr w:rsidR="00723799" w:rsidRPr="00E356CE" w14:paraId="77E3EE91" w14:textId="77777777" w:rsidTr="56856880">
        <w:tc>
          <w:tcPr>
            <w:tcW w:w="795" w:type="dxa"/>
            <w:tcBorders>
              <w:top w:val="single" w:sz="4" w:space="0" w:color="auto"/>
              <w:left w:val="single" w:sz="4" w:space="0" w:color="auto"/>
              <w:bottom w:val="single" w:sz="4" w:space="0" w:color="auto"/>
              <w:right w:val="single" w:sz="4" w:space="0" w:color="auto"/>
            </w:tcBorders>
          </w:tcPr>
          <w:p w14:paraId="3887412C" w14:textId="77777777" w:rsidR="00C04931" w:rsidRPr="00E356CE" w:rsidRDefault="00EE2117" w:rsidP="00A9191A">
            <w:pPr>
              <w:jc w:val="both"/>
            </w:pPr>
            <w:r w:rsidRPr="00E356CE">
              <w:t>Art. 14a ust. 2</w:t>
            </w:r>
          </w:p>
        </w:tc>
        <w:tc>
          <w:tcPr>
            <w:tcW w:w="4719" w:type="dxa"/>
            <w:tcBorders>
              <w:top w:val="single" w:sz="4" w:space="0" w:color="auto"/>
              <w:left w:val="single" w:sz="4" w:space="0" w:color="auto"/>
              <w:bottom w:val="single" w:sz="4" w:space="0" w:color="auto"/>
              <w:right w:val="single" w:sz="4" w:space="0" w:color="auto"/>
            </w:tcBorders>
          </w:tcPr>
          <w:p w14:paraId="37DC004A" w14:textId="77777777" w:rsidR="00EE2117" w:rsidRPr="00E356CE" w:rsidRDefault="00EE2117" w:rsidP="00A9191A">
            <w:pPr>
              <w:autoSpaceDE w:val="0"/>
              <w:autoSpaceDN w:val="0"/>
              <w:adjustRightInd w:val="0"/>
              <w:jc w:val="both"/>
            </w:pPr>
            <w:r w:rsidRPr="00E356CE">
              <w:t>2. W przypadku odesłania do niniejszego ustępu, stosuje się art. 5a ust. 1–4 i art. 7 decyzji 1999/468/WE, z uwzględnieniem przepisów jej art. 8.</w:t>
            </w:r>
          </w:p>
          <w:p w14:paraId="0E03DF6B" w14:textId="77777777" w:rsidR="00C04931" w:rsidRPr="00E356CE" w:rsidRDefault="00C04931" w:rsidP="00A9191A">
            <w:pPr>
              <w:spacing w:before="60" w:after="120"/>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459EB8C1" w14:textId="77777777" w:rsidR="00C04931" w:rsidRPr="00E356CE" w:rsidRDefault="00EE2117"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75229662"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AF01860" w14:textId="77777777" w:rsidR="00C04931" w:rsidRPr="00E356CE" w:rsidRDefault="00C04931" w:rsidP="00A9191A">
            <w:pPr>
              <w:jc w:val="both"/>
            </w:pPr>
          </w:p>
        </w:tc>
      </w:tr>
      <w:tr w:rsidR="00723799" w:rsidRPr="00E356CE" w14:paraId="25AA2166" w14:textId="77777777" w:rsidTr="56856880">
        <w:tc>
          <w:tcPr>
            <w:tcW w:w="795" w:type="dxa"/>
            <w:tcBorders>
              <w:top w:val="single" w:sz="4" w:space="0" w:color="auto"/>
              <w:left w:val="single" w:sz="4" w:space="0" w:color="auto"/>
              <w:bottom w:val="single" w:sz="4" w:space="0" w:color="auto"/>
              <w:right w:val="single" w:sz="4" w:space="0" w:color="auto"/>
            </w:tcBorders>
          </w:tcPr>
          <w:p w14:paraId="7E442CC1" w14:textId="77777777" w:rsidR="00C04931" w:rsidRPr="00E356CE" w:rsidRDefault="00EE2117" w:rsidP="00A9191A">
            <w:pPr>
              <w:jc w:val="both"/>
            </w:pPr>
            <w:r w:rsidRPr="00E356CE">
              <w:t>Art. 14a ust. 3</w:t>
            </w:r>
          </w:p>
        </w:tc>
        <w:tc>
          <w:tcPr>
            <w:tcW w:w="4719" w:type="dxa"/>
            <w:tcBorders>
              <w:top w:val="single" w:sz="4" w:space="0" w:color="auto"/>
              <w:left w:val="single" w:sz="4" w:space="0" w:color="auto"/>
              <w:bottom w:val="single" w:sz="4" w:space="0" w:color="auto"/>
              <w:right w:val="single" w:sz="4" w:space="0" w:color="auto"/>
            </w:tcBorders>
          </w:tcPr>
          <w:p w14:paraId="1875E087" w14:textId="77777777" w:rsidR="00C04931" w:rsidRPr="00E356CE" w:rsidRDefault="00EE2117" w:rsidP="00A9191A">
            <w:pPr>
              <w:spacing w:before="60" w:after="120"/>
              <w:jc w:val="both"/>
              <w:rPr>
                <w:b/>
                <w:bCs/>
              </w:rPr>
            </w:pPr>
            <w:r w:rsidRPr="00E356CE">
              <w:t>3. W przypadku odesłania do niniejszego ustępu, stosuje się art. 5a ust. 1, 2, 4 i 6 oraz art. 7 decyzji 1999/468/WE, z uwzględnieniem przepisów jej art. 8.</w:t>
            </w:r>
          </w:p>
        </w:tc>
        <w:tc>
          <w:tcPr>
            <w:tcW w:w="886" w:type="dxa"/>
            <w:tcBorders>
              <w:top w:val="single" w:sz="4" w:space="0" w:color="auto"/>
              <w:left w:val="single" w:sz="4" w:space="0" w:color="auto"/>
              <w:bottom w:val="single" w:sz="4" w:space="0" w:color="auto"/>
              <w:right w:val="single" w:sz="4" w:space="0" w:color="auto"/>
            </w:tcBorders>
          </w:tcPr>
          <w:p w14:paraId="7D334A9E" w14:textId="77777777" w:rsidR="00C04931" w:rsidRPr="00E356CE" w:rsidRDefault="00EE2117"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33C29CB7"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C02E222" w14:textId="77777777" w:rsidR="00C04931" w:rsidRPr="00E356CE" w:rsidRDefault="00C04931" w:rsidP="00A9191A">
            <w:pPr>
              <w:jc w:val="both"/>
            </w:pPr>
          </w:p>
        </w:tc>
      </w:tr>
      <w:tr w:rsidR="00723799" w:rsidRPr="00E356CE" w14:paraId="74BB74BD" w14:textId="77777777" w:rsidTr="56856880">
        <w:tc>
          <w:tcPr>
            <w:tcW w:w="795" w:type="dxa"/>
            <w:tcBorders>
              <w:top w:val="single" w:sz="4" w:space="0" w:color="auto"/>
              <w:left w:val="single" w:sz="4" w:space="0" w:color="auto"/>
              <w:bottom w:val="single" w:sz="4" w:space="0" w:color="auto"/>
              <w:right w:val="single" w:sz="4" w:space="0" w:color="auto"/>
            </w:tcBorders>
          </w:tcPr>
          <w:p w14:paraId="0AD000E1" w14:textId="77777777" w:rsidR="00C04931" w:rsidRPr="00E356CE" w:rsidRDefault="00EE2117" w:rsidP="00A9191A">
            <w:pPr>
              <w:jc w:val="both"/>
              <w:rPr>
                <w:b/>
              </w:rPr>
            </w:pPr>
            <w:r w:rsidRPr="00E356CE">
              <w:rPr>
                <w:b/>
              </w:rPr>
              <w:t>Art. 15</w:t>
            </w:r>
          </w:p>
        </w:tc>
        <w:tc>
          <w:tcPr>
            <w:tcW w:w="4719" w:type="dxa"/>
            <w:tcBorders>
              <w:top w:val="single" w:sz="4" w:space="0" w:color="auto"/>
              <w:left w:val="single" w:sz="4" w:space="0" w:color="auto"/>
              <w:bottom w:val="single" w:sz="4" w:space="0" w:color="auto"/>
              <w:right w:val="single" w:sz="4" w:space="0" w:color="auto"/>
            </w:tcBorders>
          </w:tcPr>
          <w:p w14:paraId="68BE5B67" w14:textId="77777777" w:rsidR="00C04931" w:rsidRPr="00E356CE" w:rsidRDefault="00EE2117" w:rsidP="00A9191A">
            <w:pPr>
              <w:spacing w:before="60" w:after="120"/>
              <w:jc w:val="both"/>
              <w:rPr>
                <w:b/>
                <w:bCs/>
              </w:rPr>
            </w:pPr>
            <w:r w:rsidRPr="00E356CE">
              <w:rPr>
                <w:b/>
              </w:rPr>
              <w:t>Stosowanie niektórych przepisów dyrektywy 95/46/WE</w:t>
            </w:r>
          </w:p>
        </w:tc>
        <w:tc>
          <w:tcPr>
            <w:tcW w:w="886" w:type="dxa"/>
            <w:tcBorders>
              <w:top w:val="single" w:sz="4" w:space="0" w:color="auto"/>
              <w:left w:val="single" w:sz="4" w:space="0" w:color="auto"/>
              <w:bottom w:val="single" w:sz="4" w:space="0" w:color="auto"/>
              <w:right w:val="single" w:sz="4" w:space="0" w:color="auto"/>
            </w:tcBorders>
          </w:tcPr>
          <w:p w14:paraId="69C569F0"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557E0F20"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601730E4" w14:textId="77777777" w:rsidR="00C04931" w:rsidRPr="00E356CE" w:rsidRDefault="00C04931" w:rsidP="00A9191A">
            <w:pPr>
              <w:jc w:val="both"/>
            </w:pPr>
          </w:p>
        </w:tc>
      </w:tr>
      <w:tr w:rsidR="00723799" w:rsidRPr="00E356CE" w14:paraId="06C192CF" w14:textId="77777777" w:rsidTr="56856880">
        <w:tc>
          <w:tcPr>
            <w:tcW w:w="795" w:type="dxa"/>
            <w:tcBorders>
              <w:top w:val="single" w:sz="4" w:space="0" w:color="auto"/>
              <w:left w:val="single" w:sz="4" w:space="0" w:color="auto"/>
              <w:bottom w:val="single" w:sz="4" w:space="0" w:color="auto"/>
              <w:right w:val="single" w:sz="4" w:space="0" w:color="auto"/>
            </w:tcBorders>
          </w:tcPr>
          <w:p w14:paraId="567A75AA" w14:textId="77777777" w:rsidR="00C04931" w:rsidRPr="00E356CE" w:rsidRDefault="00EE2117" w:rsidP="00A9191A">
            <w:pPr>
              <w:jc w:val="both"/>
            </w:pPr>
            <w:r w:rsidRPr="00E356CE">
              <w:t>Art. 15 ust. 1</w:t>
            </w:r>
          </w:p>
        </w:tc>
        <w:tc>
          <w:tcPr>
            <w:tcW w:w="4719" w:type="dxa"/>
            <w:tcBorders>
              <w:top w:val="single" w:sz="4" w:space="0" w:color="auto"/>
              <w:left w:val="single" w:sz="4" w:space="0" w:color="auto"/>
              <w:bottom w:val="single" w:sz="4" w:space="0" w:color="auto"/>
              <w:right w:val="single" w:sz="4" w:space="0" w:color="auto"/>
            </w:tcBorders>
          </w:tcPr>
          <w:p w14:paraId="3300D01A" w14:textId="77777777" w:rsidR="00C04931" w:rsidRPr="00E356CE" w:rsidRDefault="00EE2117" w:rsidP="00A9191A">
            <w:pPr>
              <w:spacing w:before="60" w:after="120"/>
              <w:jc w:val="both"/>
              <w:rPr>
                <w:b/>
                <w:bCs/>
              </w:rPr>
            </w:pPr>
            <w:r w:rsidRPr="00E356CE">
              <w:t xml:space="preserve">1. Państwa Członkowskie mogą uchwalić środki ustawodawcze w celu ograniczenia zakresu praw i obowiązków przewidzianych w art. 5, 6, art. 8 ust. 1–4, i art. 9 tej dyrektywy, gdy takie ograniczenia stanowią środki niezbędne, właściwe i proporcjonalne w ramach społeczeństwa demokratycznego do </w:t>
            </w:r>
            <w:r w:rsidRPr="00E356CE">
              <w:lastRenderedPageBreak/>
              <w:t>zapewnienia bezpieczeństwa narodowego (i.e. bezpieczeństwa państwa), obronności, bezpieczeństwa publicznego oraz zapobiegania, dochodzenia, wykrywania i karania przestępstw kryminalnych lub niedozwolonego używania systemów łączności elektronicznej, jak określono w art. 13 ust. 1 dyrektywy 95/46/WE. W tym celu, Państwa Członkowskie mogą, między innymi, uchwalić środki ustawodawcze przewidujące przechowywanie danych przez określony czas uzasadnione na podstawie zasad ustanowionych w niniejszym ustępie. Wszystkie środki określone w niniejszym ustępie są zgodne z ogólnymi zasadami prawa wspólnotowego, w tym zasadami określonymi w art. 6 ust. 1 i 2 Traktatu o Unii Europejskiej.</w:t>
            </w:r>
          </w:p>
        </w:tc>
        <w:tc>
          <w:tcPr>
            <w:tcW w:w="886" w:type="dxa"/>
            <w:tcBorders>
              <w:top w:val="single" w:sz="4" w:space="0" w:color="auto"/>
              <w:left w:val="single" w:sz="4" w:space="0" w:color="auto"/>
              <w:bottom w:val="single" w:sz="4" w:space="0" w:color="auto"/>
              <w:right w:val="single" w:sz="4" w:space="0" w:color="auto"/>
            </w:tcBorders>
          </w:tcPr>
          <w:p w14:paraId="413C4B04" w14:textId="77777777" w:rsidR="00C04931" w:rsidRPr="00E356CE" w:rsidRDefault="00DB1E54"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41169C90" w14:textId="59CA5FE3" w:rsidR="00C04931" w:rsidRPr="00E356CE" w:rsidRDefault="00EE2117" w:rsidP="2ECB3D4D">
            <w:pPr>
              <w:pStyle w:val="Tekstpodstawowy"/>
              <w:rPr>
                <w:noProof/>
                <w:sz w:val="24"/>
                <w:szCs w:val="24"/>
              </w:rPr>
            </w:pPr>
            <w:r w:rsidRPr="00E356CE">
              <w:rPr>
                <w:sz w:val="24"/>
                <w:szCs w:val="24"/>
              </w:rPr>
              <w:t xml:space="preserve">Art. </w:t>
            </w:r>
            <w:r w:rsidR="3D8FB22F" w:rsidRPr="00E356CE">
              <w:rPr>
                <w:sz w:val="24"/>
                <w:szCs w:val="24"/>
              </w:rPr>
              <w:t>47-50</w:t>
            </w:r>
            <w:r w:rsidRPr="00E356CE">
              <w:rPr>
                <w:sz w:val="24"/>
                <w:szCs w:val="24"/>
              </w:rPr>
              <w:t>, art. 3</w:t>
            </w:r>
            <w:r w:rsidR="0CEFF9B9" w:rsidRPr="00E356CE">
              <w:rPr>
                <w:sz w:val="24"/>
                <w:szCs w:val="24"/>
              </w:rPr>
              <w:t>81</w:t>
            </w:r>
            <w:r w:rsidRPr="00E356CE">
              <w:rPr>
                <w:sz w:val="24"/>
                <w:szCs w:val="24"/>
              </w:rPr>
              <w:t xml:space="preserve"> ust. 2 pkt 4</w:t>
            </w:r>
            <w:r w:rsidR="61D50F93" w:rsidRPr="00E356CE">
              <w:rPr>
                <w:sz w:val="24"/>
                <w:szCs w:val="24"/>
              </w:rPr>
              <w:t xml:space="preserve">, art. 381 ust. 3-4, </w:t>
            </w:r>
            <w:r w:rsidR="077C5E21" w:rsidRPr="00E356CE">
              <w:rPr>
                <w:sz w:val="24"/>
                <w:szCs w:val="24"/>
              </w:rPr>
              <w:t xml:space="preserve">art. </w:t>
            </w:r>
            <w:r w:rsidR="077C5E21" w:rsidRPr="00E356CE">
              <w:rPr>
                <w:sz w:val="24"/>
                <w:szCs w:val="24"/>
              </w:rPr>
              <w:lastRenderedPageBreak/>
              <w:t>392 ust. 7-10</w:t>
            </w:r>
          </w:p>
        </w:tc>
        <w:tc>
          <w:tcPr>
            <w:tcW w:w="7410" w:type="dxa"/>
            <w:gridSpan w:val="2"/>
            <w:tcBorders>
              <w:top w:val="single" w:sz="4" w:space="0" w:color="auto"/>
              <w:left w:val="single" w:sz="4" w:space="0" w:color="auto"/>
              <w:bottom w:val="single" w:sz="4" w:space="0" w:color="auto"/>
              <w:right w:val="single" w:sz="4" w:space="0" w:color="auto"/>
            </w:tcBorders>
          </w:tcPr>
          <w:p w14:paraId="670D0C0C" w14:textId="23072ECD" w:rsidR="37C94C2C" w:rsidRPr="00E356CE" w:rsidRDefault="37C94C2C" w:rsidP="2ECB3D4D">
            <w:pPr>
              <w:spacing w:line="360" w:lineRule="auto"/>
              <w:ind w:firstLine="510"/>
              <w:jc w:val="both"/>
            </w:pPr>
            <w:r w:rsidRPr="00E356CE">
              <w:rPr>
                <w:b/>
                <w:bCs/>
              </w:rPr>
              <w:lastRenderedPageBreak/>
              <w:t>Art. 47.</w:t>
            </w:r>
            <w:r w:rsidRPr="00E356CE">
              <w:t xml:space="preserve"> 1. Przedsiębiorca telekomunikacyjny, z zastrzeżeniem wyłączenia, o którym mowa w przepisach wykonawczych wydanych na podstawie art. 48 ust. 2, jest obowiązany na własny koszt:</w:t>
            </w:r>
          </w:p>
          <w:p w14:paraId="73CCB4D5" w14:textId="12E284C7" w:rsidR="37C94C2C" w:rsidRPr="00E356CE" w:rsidRDefault="37C94C2C" w:rsidP="2ECB3D4D">
            <w:pPr>
              <w:spacing w:line="360" w:lineRule="auto"/>
              <w:ind w:left="510" w:hanging="510"/>
              <w:jc w:val="both"/>
            </w:pPr>
            <w:r w:rsidRPr="00E356CE">
              <w:t>1)</w:t>
            </w:r>
            <w:r w:rsidRPr="00E356CE">
              <w:tab/>
              <w:t xml:space="preserve">zatrzymywać i przechowywać na terytorium Rzeczypospolitej Polskiej dane, o których mowa w art. 48 ust. 1, generowane w publicznej sieci </w:t>
            </w:r>
            <w:r w:rsidRPr="00E356CE">
              <w:lastRenderedPageBreak/>
              <w:t>telekomunikacyjnej lub przez niego przetwarzane, przez okres 12 miesięcy, licząc od dnia połączenia lub nieudanej próby połączenia, a z dniem upływu tego okresu dane te niszczyć, z wyjątkiem tych, które zostały zabezpieczone, zgodnie z przepisami odrębnymi;</w:t>
            </w:r>
          </w:p>
          <w:p w14:paraId="6DEEEAB5" w14:textId="3BCE6306" w:rsidR="37C94C2C" w:rsidRPr="00E356CE" w:rsidRDefault="37C94C2C" w:rsidP="2ECB3D4D">
            <w:pPr>
              <w:spacing w:line="360" w:lineRule="auto"/>
              <w:ind w:left="510" w:hanging="510"/>
              <w:jc w:val="both"/>
            </w:pPr>
            <w:r w:rsidRPr="00E356CE">
              <w:t>2)</w:t>
            </w:r>
            <w:r w:rsidRPr="00E356CE">
              <w:tab/>
              <w:t>udostępniać dane, o których mowa w pkt 1, uprawnionym podmiotom, a także sądowi i prokuratorowi, zgodnie z wymaganiami określonymi w przepisach wykonawczych wydanych na podstawie art. 48 ust. 3, oraz na zasadach i w trybie określonych w przepisach odrębnych;</w:t>
            </w:r>
          </w:p>
          <w:p w14:paraId="2C2666DB" w14:textId="24D31C85" w:rsidR="37C94C2C" w:rsidRPr="00E356CE" w:rsidRDefault="37C94C2C" w:rsidP="2ECB3D4D">
            <w:pPr>
              <w:spacing w:line="360" w:lineRule="auto"/>
              <w:ind w:left="510" w:hanging="510"/>
              <w:jc w:val="both"/>
            </w:pPr>
            <w:r w:rsidRPr="00E356CE">
              <w:t>3)</w:t>
            </w:r>
            <w:r w:rsidRPr="00E356CE">
              <w:tab/>
              <w:t xml:space="preserve">chronić dane, o których mowa w pkt 1, przed przypadkowym lub bezprawnym zniszczeniem, utratą lub zmianą, nieuprawnionym lub bezprawnym przechowywaniem, przetwarzaniem, dostępem lub ujawnieniem, zgodnie z przepisami ust. 5, art. 381-400 oraz art. 20g ustawy z dnia 5 lipca 2018 r. o krajowym systemie </w:t>
            </w:r>
            <w:proofErr w:type="spellStart"/>
            <w:r w:rsidRPr="00E356CE">
              <w:t>cyberbezpieczeństwa</w:t>
            </w:r>
            <w:proofErr w:type="spellEnd"/>
            <w:r w:rsidRPr="00E356CE">
              <w:t>.</w:t>
            </w:r>
          </w:p>
          <w:p w14:paraId="3B702F6A" w14:textId="32DE1177" w:rsidR="37C94C2C" w:rsidRPr="00E356CE" w:rsidRDefault="37C94C2C" w:rsidP="2ECB3D4D">
            <w:pPr>
              <w:spacing w:line="360" w:lineRule="auto"/>
              <w:ind w:firstLine="510"/>
              <w:jc w:val="both"/>
            </w:pPr>
            <w:r w:rsidRPr="00E356CE">
              <w:t>2. Obowiązkowi, o którym mowa w ust. 1, podlegają dane dotyczące połączeń zrealizowanych i nieudanych prób połączeń, o których mowa w art. 381 ust. 1 pkt 5.</w:t>
            </w:r>
          </w:p>
          <w:p w14:paraId="19EB16B3" w14:textId="6EF0F8CA" w:rsidR="37C94C2C" w:rsidRPr="00E356CE" w:rsidRDefault="37C94C2C" w:rsidP="2ECB3D4D">
            <w:pPr>
              <w:spacing w:line="360" w:lineRule="auto"/>
              <w:ind w:firstLine="510"/>
              <w:jc w:val="both"/>
            </w:pPr>
            <w:r w:rsidRPr="00E356CE">
              <w:t>3. Obowiązek, o którym mowa w ust. 1, powinien być realizowany w sposób, który nie powoduje ujawniania komunikatu elektronicznego.</w:t>
            </w:r>
          </w:p>
          <w:p w14:paraId="76066F33" w14:textId="1F8BC79C" w:rsidR="37C94C2C" w:rsidRPr="00E356CE" w:rsidRDefault="37C94C2C" w:rsidP="2ECB3D4D">
            <w:pPr>
              <w:spacing w:line="360" w:lineRule="auto"/>
              <w:ind w:firstLine="510"/>
              <w:jc w:val="both"/>
            </w:pPr>
            <w:r w:rsidRPr="00E356CE">
              <w:lastRenderedPageBreak/>
              <w:t>4. Udostępnianie danych, o którym mowa w ust. 1 pkt 1, może nastąpić za pomocą środków komunikacji elektronicznej, chyba że przepisy odrębne stanowią inaczej.</w:t>
            </w:r>
          </w:p>
          <w:p w14:paraId="08E49E62" w14:textId="1765845B" w:rsidR="37C94C2C" w:rsidRPr="00E356CE" w:rsidRDefault="37C94C2C" w:rsidP="2ECB3D4D">
            <w:pPr>
              <w:spacing w:line="360" w:lineRule="auto"/>
              <w:ind w:firstLine="510"/>
              <w:jc w:val="both"/>
            </w:pPr>
            <w:r w:rsidRPr="00E356CE">
              <w:t>5. W celu ochrony danych, o której mowa w ust. 1 pkt 3, przedsiębiorca telekomunikacyjny stosuje właściwe środki techniczne i organizacyjne oraz zapewnia dostęp do tych danych jedynie upoważnionym pracownikom.</w:t>
            </w:r>
          </w:p>
          <w:p w14:paraId="660C635D" w14:textId="6AEA4A26" w:rsidR="37C94C2C" w:rsidRPr="00E356CE" w:rsidRDefault="37C94C2C" w:rsidP="2ECB3D4D">
            <w:pPr>
              <w:spacing w:line="360" w:lineRule="auto"/>
              <w:ind w:firstLine="510"/>
              <w:jc w:val="both"/>
            </w:pPr>
            <w:r w:rsidRPr="00E356CE">
              <w:t>6.  Z zastrzeżeniem ust. 8, w przypadku zaprzestania działalności telekomunikacyjnej przez przedsiębiorcę telekomunikacyjnego, przedsiębiorca telekomunikacyjny przejmujący użytkowników tego przedsiębiorcy przyjmuje dane, o których mowa w ust. 1, zatrzymane i przechowywane przez tego przedsiębiorcę, do dalszego przechowywania, udostępniania oraz ochrony. O przyjęciu tych danych informuje Prezesa UKE.</w:t>
            </w:r>
          </w:p>
          <w:p w14:paraId="48CA2970" w14:textId="68BCD697" w:rsidR="37C94C2C" w:rsidRPr="00E356CE" w:rsidRDefault="37C94C2C" w:rsidP="2ECB3D4D">
            <w:pPr>
              <w:spacing w:line="360" w:lineRule="auto"/>
              <w:ind w:firstLine="510"/>
              <w:jc w:val="both"/>
            </w:pPr>
            <w:r w:rsidRPr="00E356CE">
              <w:t xml:space="preserve">7. W przypadku braku możliwości przekazania danych, o którym mowa w ust. 6, przedsiębiorca telekomunikacyjny, który zaprzestaje działalności telekomunikacyjnej, przekazuje te dane Prezesowi UKE, wraz z uzasadnieniem braku skuteczności realizacji obowiązku, o którym mowa w ust. 6. W przypadku stwierdzenia, że nie zostały podjęte wystarczające starania zmierzające do realizacji obowiązku, o którym mowa w ust. 6, Prezes UKE niezwłocznie wzywa przedsiębiorcę telekomunikacyjnego przejmującego użytkowników przedsiębiorcy telekomunikacyjnego </w:t>
            </w:r>
            <w:r w:rsidRPr="00E356CE">
              <w:lastRenderedPageBreak/>
              <w:t>zaprzestającego działalności telekomunikacyjnej do ponownego podjęcia czynności, o której mowa w ust. 6.</w:t>
            </w:r>
          </w:p>
          <w:p w14:paraId="6A5C0603" w14:textId="0574BC48" w:rsidR="37C94C2C" w:rsidRPr="00E356CE" w:rsidRDefault="37C94C2C" w:rsidP="2ECB3D4D">
            <w:pPr>
              <w:spacing w:line="360" w:lineRule="auto"/>
              <w:ind w:firstLine="510"/>
              <w:jc w:val="both"/>
            </w:pPr>
            <w:r w:rsidRPr="00E356CE">
              <w:t>8. W przypadku ogłoszenia upadłości przedsiębiorcy telekomunikacyjnego, upadły przedsiębiorca telekomunikacyjny jest obowiązany do przekazania danych, o których mowa w ust. 1, do dalszego przechowywania, udostępniania oraz ochrony Prezesowi UKE.</w:t>
            </w:r>
          </w:p>
          <w:p w14:paraId="15B61E85" w14:textId="74F423E2" w:rsidR="37C94C2C" w:rsidRPr="00E356CE" w:rsidRDefault="37C94C2C" w:rsidP="2ECB3D4D">
            <w:pPr>
              <w:spacing w:line="360" w:lineRule="auto"/>
              <w:ind w:firstLine="510"/>
              <w:jc w:val="both"/>
            </w:pPr>
            <w:r w:rsidRPr="00E356CE">
              <w:t>9. Upadły przedsiębiorca telekomunikacyjny, o którym mowa w ust. 8, przekazuje dane Prezesowi UKE w terminie do 90 dni od dnia ogłoszenia upadłości na informatycznym nośniku danych w postaci zapisu w formacie tekstowym lub innym formacie umożliwiającym ich odczyt za pomocą powszechnie dostępnych urządzeń informatycznych i oprogramowania.</w:t>
            </w:r>
          </w:p>
          <w:p w14:paraId="67E63668" w14:textId="7B7C8B81" w:rsidR="37C94C2C" w:rsidRPr="00E356CE" w:rsidRDefault="37C94C2C" w:rsidP="2ECB3D4D">
            <w:pPr>
              <w:spacing w:line="360" w:lineRule="auto"/>
              <w:ind w:firstLine="510"/>
              <w:jc w:val="both"/>
            </w:pPr>
            <w:r w:rsidRPr="00E356CE">
              <w:t>10. W przypadku, o którym mowa w ust. 7, przepis ust. 8 stosuje się odpowiednio, z zastrzeżeniem, że termin 90 dni od dnia zaprzestania działalności telekomunikacyjnej jest ostatecznym terminem przekazania Prezesowi UKE danych, o których mowa w ust. 1.</w:t>
            </w:r>
          </w:p>
          <w:p w14:paraId="6DC65407" w14:textId="4B986642" w:rsidR="37C94C2C" w:rsidRPr="00E356CE" w:rsidRDefault="37C94C2C" w:rsidP="2ECB3D4D">
            <w:pPr>
              <w:spacing w:line="360" w:lineRule="auto"/>
              <w:ind w:firstLine="510"/>
              <w:jc w:val="both"/>
            </w:pPr>
            <w:r w:rsidRPr="00E356CE">
              <w:t xml:space="preserve">11. Prezes Rady Ministrów określi, w drodze rozporządzenia, szczegółowy sposób przekazywania Prezesowi UKE danych w przypadku, o którym mowa w ust. 7 i 8, oraz sposób udostępniania przez Prezesa UKE tych danych podmiotom, o których mowa w ust. 1 pkt 2, w celu zapewnienia realizacji zadań przez te podmioty oraz mając na uwadze konieczność </w:t>
            </w:r>
            <w:r w:rsidRPr="00E356CE">
              <w:lastRenderedPageBreak/>
              <w:t>zapewnienia dostępu tym podmiotom do wszystkich danych, o których mowa w ust. 1 pkt 1.</w:t>
            </w:r>
          </w:p>
          <w:p w14:paraId="5EC0842D" w14:textId="53313C14" w:rsidR="37C94C2C" w:rsidRPr="00E356CE" w:rsidRDefault="37C94C2C" w:rsidP="2ECB3D4D">
            <w:pPr>
              <w:spacing w:line="360" w:lineRule="auto"/>
              <w:ind w:firstLine="510"/>
              <w:jc w:val="both"/>
            </w:pPr>
            <w:r w:rsidRPr="00E356CE">
              <w:rPr>
                <w:b/>
                <w:bCs/>
              </w:rPr>
              <w:t>Art. 48.</w:t>
            </w:r>
            <w:r w:rsidRPr="00E356CE">
              <w:t xml:space="preserve"> 1. Obowiązkiem, o którym mowa w art. 47 ust. 1, objęte są dane dotyczące publicznie dostępnych usług telekomunikacyjnych niezbędne do:</w:t>
            </w:r>
          </w:p>
          <w:p w14:paraId="6E2DF9B3" w14:textId="781A9A3F" w:rsidR="37C94C2C" w:rsidRPr="00E356CE" w:rsidRDefault="37C94C2C" w:rsidP="2ECB3D4D">
            <w:pPr>
              <w:spacing w:line="360" w:lineRule="auto"/>
              <w:ind w:left="510" w:hanging="510"/>
              <w:jc w:val="both"/>
            </w:pPr>
            <w:r w:rsidRPr="00E356CE">
              <w:t>1)</w:t>
            </w:r>
            <w:r w:rsidRPr="00E356CE">
              <w:tab/>
              <w:t>ustalenia zakończenia sieci, telekomunikacyjnego urządzenia końcowego oraz użytkownika końcowego:</w:t>
            </w:r>
          </w:p>
          <w:p w14:paraId="0DC09517" w14:textId="1E4E8476" w:rsidR="37C94C2C" w:rsidRPr="00E356CE" w:rsidRDefault="37C94C2C" w:rsidP="2ECB3D4D">
            <w:pPr>
              <w:spacing w:line="360" w:lineRule="auto"/>
              <w:ind w:left="476" w:hanging="476"/>
              <w:jc w:val="both"/>
            </w:pPr>
            <w:r w:rsidRPr="00E356CE">
              <w:t xml:space="preserve">a) </w:t>
            </w:r>
            <w:r w:rsidRPr="00E356CE">
              <w:tab/>
              <w:t>inicjującego połączenie,</w:t>
            </w:r>
          </w:p>
          <w:p w14:paraId="34C9088B" w14:textId="439F4E9F" w:rsidR="37C94C2C" w:rsidRPr="00E356CE" w:rsidRDefault="37C94C2C" w:rsidP="2ECB3D4D">
            <w:pPr>
              <w:spacing w:line="360" w:lineRule="auto"/>
              <w:ind w:left="476" w:hanging="476"/>
              <w:jc w:val="both"/>
            </w:pPr>
            <w:r w:rsidRPr="00E356CE">
              <w:t xml:space="preserve">b) </w:t>
            </w:r>
            <w:r w:rsidRPr="00E356CE">
              <w:tab/>
              <w:t>do którego kierowane jest połączenie;</w:t>
            </w:r>
          </w:p>
          <w:p w14:paraId="3649FEBC" w14:textId="0F0207D3" w:rsidR="37C94C2C" w:rsidRPr="00E356CE" w:rsidRDefault="37C94C2C" w:rsidP="2ECB3D4D">
            <w:pPr>
              <w:spacing w:line="360" w:lineRule="auto"/>
              <w:ind w:left="510" w:hanging="510"/>
              <w:jc w:val="both"/>
            </w:pPr>
            <w:r w:rsidRPr="00E356CE">
              <w:t>2)</w:t>
            </w:r>
            <w:r w:rsidRPr="00E356CE">
              <w:tab/>
              <w:t>określenia:</w:t>
            </w:r>
          </w:p>
          <w:p w14:paraId="5B8DE657" w14:textId="32497DBB" w:rsidR="37C94C2C" w:rsidRPr="00E356CE" w:rsidRDefault="37C94C2C" w:rsidP="2ECB3D4D">
            <w:pPr>
              <w:spacing w:line="360" w:lineRule="auto"/>
              <w:ind w:left="476" w:hanging="476"/>
              <w:jc w:val="both"/>
            </w:pPr>
            <w:r w:rsidRPr="00E356CE">
              <w:t xml:space="preserve">a) </w:t>
            </w:r>
            <w:r w:rsidRPr="00E356CE">
              <w:tab/>
              <w:t>daty i godziny połączenia oraz czasu jego trwania,</w:t>
            </w:r>
          </w:p>
          <w:p w14:paraId="3AB1BC22" w14:textId="6E7A64D2" w:rsidR="37C94C2C" w:rsidRPr="00E356CE" w:rsidRDefault="37C94C2C" w:rsidP="2ECB3D4D">
            <w:pPr>
              <w:spacing w:line="360" w:lineRule="auto"/>
              <w:ind w:left="476" w:hanging="476"/>
              <w:jc w:val="both"/>
            </w:pPr>
            <w:r w:rsidRPr="00E356CE">
              <w:t xml:space="preserve">b) </w:t>
            </w:r>
            <w:r w:rsidRPr="00E356CE">
              <w:tab/>
              <w:t>rodzaju połączenia,</w:t>
            </w:r>
          </w:p>
          <w:p w14:paraId="308CF9FB" w14:textId="140EA266" w:rsidR="37C94C2C" w:rsidRPr="00E356CE" w:rsidRDefault="37C94C2C" w:rsidP="2ECB3D4D">
            <w:pPr>
              <w:spacing w:line="360" w:lineRule="auto"/>
              <w:ind w:left="476" w:hanging="476"/>
              <w:jc w:val="both"/>
            </w:pPr>
            <w:r w:rsidRPr="00E356CE">
              <w:t xml:space="preserve">c) </w:t>
            </w:r>
            <w:r w:rsidRPr="00E356CE">
              <w:tab/>
              <w:t>lokalizacji telekomunikacyjnego urządzenia końcowego.</w:t>
            </w:r>
          </w:p>
          <w:p w14:paraId="4CC20219" w14:textId="44099795" w:rsidR="37C94C2C" w:rsidRPr="00E356CE" w:rsidRDefault="37C94C2C" w:rsidP="2ECB3D4D">
            <w:pPr>
              <w:spacing w:line="360" w:lineRule="auto"/>
              <w:ind w:firstLine="510"/>
              <w:jc w:val="both"/>
            </w:pPr>
            <w:r w:rsidRPr="00E356CE">
              <w:t>2. Minister właściwy do spraw informatyzacji, w porozumieniu z ministrem właściwym do spraw wewnętrznych oraz po zasięgnięciu opinii ministra - członka Rady Ministrów właściwego do spraw koordynowania służb specjalnych, jeżeli został on powołany, mając na uwadze rodzaj wykonywanej działalności telekomunikacyjnej, potrzebę unikania wielokrotnego zatrzymywania i przechowywania tych samych danych, ich efektywnej analizy oraz optymalizację kosztów ponoszonych przez przedsiębiorców telekomunikacyjnych określi, w drodze rozporządzenia:</w:t>
            </w:r>
          </w:p>
          <w:p w14:paraId="260E91EA" w14:textId="27E91711" w:rsidR="37C94C2C" w:rsidRPr="00E356CE" w:rsidRDefault="37C94C2C" w:rsidP="2ECB3D4D">
            <w:pPr>
              <w:spacing w:line="360" w:lineRule="auto"/>
              <w:ind w:left="510" w:hanging="510"/>
              <w:jc w:val="both"/>
            </w:pPr>
            <w:r w:rsidRPr="00E356CE">
              <w:lastRenderedPageBreak/>
              <w:t xml:space="preserve">1) </w:t>
            </w:r>
            <w:r w:rsidRPr="00E356CE">
              <w:tab/>
              <w:t>szczegółowy wykaz danych, o których mowa w ust. 1;</w:t>
            </w:r>
          </w:p>
          <w:p w14:paraId="30B8A270" w14:textId="373C7404" w:rsidR="37C94C2C" w:rsidRPr="00E356CE" w:rsidRDefault="37C94C2C" w:rsidP="2ECB3D4D">
            <w:pPr>
              <w:spacing w:line="360" w:lineRule="auto"/>
              <w:ind w:left="510" w:hanging="510"/>
              <w:jc w:val="both"/>
            </w:pPr>
            <w:r w:rsidRPr="00E356CE">
              <w:t xml:space="preserve">2) </w:t>
            </w:r>
            <w:r w:rsidRPr="00E356CE">
              <w:tab/>
              <w:t>rodzaj przedsiębiorców telekomunikacyjnych niepodlegających obowiązkowi zatrzymywania i przechowywania tych danych.</w:t>
            </w:r>
          </w:p>
          <w:p w14:paraId="7723666A" w14:textId="46E43DC4" w:rsidR="37C94C2C" w:rsidRPr="00E356CE" w:rsidRDefault="37C94C2C" w:rsidP="2ECB3D4D">
            <w:pPr>
              <w:spacing w:line="360" w:lineRule="auto"/>
              <w:ind w:firstLine="510"/>
              <w:jc w:val="both"/>
            </w:pPr>
            <w:r w:rsidRPr="00E356CE">
              <w:t>3. Minister właściwy do spraw  wewnętrznych, po zasięgnięciu opinii ministra - członka Rady Ministrów właściwego do spraw koordynowania służb specjalnych, jeżeli został on powołany, określi, w drodze rozporządzenia, wymagania dotyczące rodzaju, struktury, sposobu zapisu oraz elektronicznego formatu udostępnianych danych, o których mowa w ust. 1, mając na uwadze zapewnienie przekazywania tych danych podmiotom, o których mowa w art. 47 ust. 1 pkt 2, w jednolitej formie, pozwalającej na ich efektywną analizę i optymalizację nakładów finansowych na jej przeprowadzenie.</w:t>
            </w:r>
          </w:p>
          <w:p w14:paraId="3A990C9F" w14:textId="614295E9" w:rsidR="37C94C2C" w:rsidRPr="00E356CE" w:rsidRDefault="37C94C2C" w:rsidP="2ECB3D4D">
            <w:pPr>
              <w:spacing w:line="360" w:lineRule="auto"/>
              <w:ind w:firstLine="510"/>
              <w:jc w:val="both"/>
            </w:pPr>
            <w:r w:rsidRPr="00E356CE">
              <w:rPr>
                <w:b/>
                <w:bCs/>
              </w:rPr>
              <w:t>Art. 49.</w:t>
            </w:r>
            <w:r w:rsidRPr="00E356CE">
              <w:t xml:space="preserve"> 1. Wykonywanie obowiązków, o których mowa w art. 43 ust. 1, art. 45 ust. 1, oraz art. 47 ust. 1, przedsiębiorca telekomunikacyjny może powierzyć, w drodze umowy, innemu przedsiębiorcy telekomunikacyjnemu.</w:t>
            </w:r>
          </w:p>
          <w:p w14:paraId="4AD8BB3D" w14:textId="4C0BF87D" w:rsidR="37C94C2C" w:rsidRPr="00E356CE" w:rsidRDefault="37C94C2C" w:rsidP="2ECB3D4D">
            <w:pPr>
              <w:spacing w:line="360" w:lineRule="auto"/>
              <w:ind w:firstLine="510"/>
              <w:jc w:val="both"/>
            </w:pPr>
            <w:r w:rsidRPr="00E356CE">
              <w:t>2. Dopuszcza się możliwość wspólnego wykonywania obowiązków, o których mowa w art. 43 ust. 1 pkt 1, art. 45 ust. 1 oraz art. 47 ust. 1, przez dwóch lub więcej przedsiębiorców telekomunikacyjnych.</w:t>
            </w:r>
          </w:p>
          <w:p w14:paraId="1B88CA0D" w14:textId="576BECF5" w:rsidR="37C94C2C" w:rsidRPr="00E356CE" w:rsidRDefault="37C94C2C" w:rsidP="2ECB3D4D">
            <w:pPr>
              <w:spacing w:line="360" w:lineRule="auto"/>
              <w:ind w:firstLine="510"/>
              <w:jc w:val="both"/>
            </w:pPr>
            <w:r w:rsidRPr="00E356CE">
              <w:t>3. Wspólne wykonywanie obowiązków, o którym mowa w ust. 2, może być wykonywane za pomocą tych samych interfejsów.</w:t>
            </w:r>
          </w:p>
          <w:p w14:paraId="720D6E0A" w14:textId="2F0BB7BA" w:rsidR="37C94C2C" w:rsidRPr="00E356CE" w:rsidRDefault="37C94C2C" w:rsidP="2ECB3D4D">
            <w:pPr>
              <w:spacing w:line="360" w:lineRule="auto"/>
              <w:ind w:firstLine="510"/>
              <w:jc w:val="both"/>
            </w:pPr>
            <w:r w:rsidRPr="00E356CE">
              <w:lastRenderedPageBreak/>
              <w:t>4. Szczegółowe zasady współpracy przedsiębiorców telekomunikacyjnych w zakresie wspólnego wykonywania obowiązków, o którym mowa w ust. 1 i 2, regulują umowy zawarte pomiędzy nimi.  Powierzenie lub wspólne wykonywanie tych obowiązków nie zwalnia żadnej ze stron z indywidualnej odpowiedzialności za wykonywanie tych obowiązków.</w:t>
            </w:r>
          </w:p>
          <w:p w14:paraId="6234A93E" w14:textId="1BB8A858" w:rsidR="37C94C2C" w:rsidRPr="00E356CE" w:rsidRDefault="37C94C2C" w:rsidP="2ECB3D4D">
            <w:pPr>
              <w:spacing w:line="360" w:lineRule="auto"/>
              <w:ind w:firstLine="510"/>
              <w:jc w:val="both"/>
            </w:pPr>
            <w:r w:rsidRPr="00E356CE">
              <w:rPr>
                <w:b/>
                <w:bCs/>
              </w:rPr>
              <w:t>Art. 50</w:t>
            </w:r>
            <w:r w:rsidRPr="00E356CE">
              <w:t xml:space="preserve"> 1. Przedsiębiorca telekomunikacyjny jest obowiązany do wskazania Prezesowi UKE:</w:t>
            </w:r>
          </w:p>
          <w:p w14:paraId="3421C73A" w14:textId="2BCA7CD8" w:rsidR="37C94C2C" w:rsidRPr="00E356CE" w:rsidRDefault="37C94C2C" w:rsidP="2ECB3D4D">
            <w:pPr>
              <w:spacing w:line="360" w:lineRule="auto"/>
              <w:ind w:left="510" w:hanging="510"/>
              <w:jc w:val="both"/>
            </w:pPr>
            <w:r w:rsidRPr="00E356CE">
              <w:t>1)</w:t>
            </w:r>
            <w:r w:rsidRPr="00E356CE">
              <w:tab/>
              <w:t>jednostki organizacyjnej lub osoby mającej siedzibę lub miejsce zamieszkania na terytorium Rzeczypospolitej Polskiej uprawnionej do reprezentowania tego przedsiębiorcy w sprawach związanych z wykonywaniem obowiązków, o których mowa w art. 43 ust. 1 pkt 1, art. 45 ust. 1 lub art. 47 ust. 1 - niezwłocznie po rozpoczęciu działalności telekomunikacyjnej;</w:t>
            </w:r>
          </w:p>
          <w:p w14:paraId="6776110A" w14:textId="29E406B7" w:rsidR="37C94C2C" w:rsidRPr="00E356CE" w:rsidRDefault="37C94C2C" w:rsidP="2ECB3D4D">
            <w:pPr>
              <w:spacing w:line="360" w:lineRule="auto"/>
              <w:ind w:left="510" w:hanging="510"/>
              <w:jc w:val="both"/>
            </w:pPr>
            <w:r w:rsidRPr="00E356CE">
              <w:t>2)</w:t>
            </w:r>
            <w:r w:rsidRPr="00E356CE">
              <w:tab/>
              <w:t>przedsiębiorcy telekomunikacyjnego, który będzie w jego imieniu wykonywał obowiązki, o których mowa w art. 43 ust. 1, art. 45 ust. 1 lub art. 47 ust. 1 - niezwłocznie po zawarciu umowy, o której mowa w art. 49 ust. 4;</w:t>
            </w:r>
          </w:p>
          <w:p w14:paraId="52B3B620" w14:textId="656F4A73" w:rsidR="37C94C2C" w:rsidRPr="00E356CE" w:rsidRDefault="37C94C2C" w:rsidP="2ECB3D4D">
            <w:pPr>
              <w:spacing w:line="360" w:lineRule="auto"/>
              <w:ind w:left="510" w:hanging="510"/>
              <w:jc w:val="both"/>
            </w:pPr>
            <w:r w:rsidRPr="00E356CE">
              <w:t>3)</w:t>
            </w:r>
            <w:r w:rsidRPr="00E356CE">
              <w:tab/>
              <w:t xml:space="preserve">przedsiębiorcy telekomunikacyjnego, wspólnie z którym będzie wykonywał obowiązki, o których mowa w art. 43 ust. 1 pkt 1, art. 45 </w:t>
            </w:r>
            <w:r w:rsidRPr="00E356CE">
              <w:lastRenderedPageBreak/>
              <w:t>ust. 1 lub art. 47 ust. 1 - niezwłocznie po zawarciu umowy, o której mowa w art. 49 ust. 4.</w:t>
            </w:r>
          </w:p>
          <w:p w14:paraId="5B74AB36" w14:textId="741157CB" w:rsidR="37C94C2C" w:rsidRPr="00E356CE" w:rsidRDefault="37C94C2C" w:rsidP="2ECB3D4D">
            <w:pPr>
              <w:spacing w:line="360" w:lineRule="auto"/>
              <w:ind w:firstLine="510"/>
              <w:jc w:val="both"/>
            </w:pPr>
            <w:r w:rsidRPr="00E356CE">
              <w:t>2. Przedsiębiorca telekomunikacyjny obowiązany jest niezwłocznie, nie później niż w terminie 14 dni, poinformować Prezesa UKE o każdorazowej zmianie danych podmiotu albo osoby, o których mowa w ust. 1, oraz umowy, o której mowa w art. 49 ust. 4.</w:t>
            </w:r>
          </w:p>
          <w:p w14:paraId="01140A47" w14:textId="24093375" w:rsidR="37C94C2C" w:rsidRPr="00E356CE" w:rsidRDefault="37C94C2C" w:rsidP="2ECB3D4D">
            <w:pPr>
              <w:spacing w:line="360" w:lineRule="auto"/>
              <w:ind w:firstLine="510"/>
              <w:jc w:val="both"/>
            </w:pPr>
            <w:r w:rsidRPr="00E356CE">
              <w:t>3. Prezes UKE przekazuje niezwłocznie informacje, o których mowa w ust. 1 i 2, Ministrowi Sprawiedliwości, Ministrowi Obrony Narodowej, ministrowi właściwemu do spraw wewnętrznych, ministrowi właściwemu do spraw finansów publicznych, Szefowi Agencji Bezpieczeństwa Wewnętrznego, Szefowi Centralnego Biura Antykorupcyjnego, Szefowi Służby Kontrwywiadu Wojskowego, a także ministrowi, którego zakres zadań obejmuje koordynowanie działalności służb specjalnych - jeżeli został powołany.</w:t>
            </w:r>
          </w:p>
          <w:p w14:paraId="182D8F86" w14:textId="00DF9B6C" w:rsidR="2ECB3D4D" w:rsidRPr="00E356CE" w:rsidRDefault="2ECB3D4D" w:rsidP="2ECB3D4D">
            <w:pPr>
              <w:pStyle w:val="Tekstpodstawowy"/>
              <w:rPr>
                <w:b/>
                <w:bCs/>
                <w:sz w:val="24"/>
                <w:szCs w:val="24"/>
              </w:rPr>
            </w:pPr>
          </w:p>
          <w:p w14:paraId="5B273A17" w14:textId="77777777" w:rsidR="00EE2117" w:rsidRPr="00E356CE" w:rsidRDefault="00EE2117" w:rsidP="00A9191A">
            <w:pPr>
              <w:pStyle w:val="Tekstpodstawowy"/>
              <w:rPr>
                <w:b/>
                <w:sz w:val="24"/>
                <w:szCs w:val="24"/>
              </w:rPr>
            </w:pPr>
          </w:p>
          <w:p w14:paraId="0AEC5A74" w14:textId="77777777" w:rsidR="00EE2117" w:rsidRPr="00E356CE" w:rsidRDefault="00EE2117" w:rsidP="00A9191A">
            <w:pPr>
              <w:pStyle w:val="Tekstpodstawowy"/>
              <w:rPr>
                <w:b/>
                <w:sz w:val="24"/>
                <w:szCs w:val="24"/>
              </w:rPr>
            </w:pPr>
            <w:r w:rsidRPr="00E356CE">
              <w:rPr>
                <w:b/>
                <w:sz w:val="24"/>
                <w:szCs w:val="24"/>
              </w:rPr>
              <w:t>Art. 348 ust. 2 pkt 4</w:t>
            </w:r>
          </w:p>
          <w:p w14:paraId="2856BC4E" w14:textId="77777777" w:rsidR="00EE2117" w:rsidRPr="00E356CE" w:rsidRDefault="00EE2117" w:rsidP="00A9191A">
            <w:pPr>
              <w:pStyle w:val="Tekstpodstawowy"/>
              <w:rPr>
                <w:b/>
                <w:sz w:val="24"/>
                <w:szCs w:val="24"/>
              </w:rPr>
            </w:pPr>
          </w:p>
          <w:p w14:paraId="3FCC91EC" w14:textId="718F14BB" w:rsidR="00EE2117" w:rsidRPr="00E356CE" w:rsidRDefault="1C348B88" w:rsidP="2ECB3D4D">
            <w:pPr>
              <w:spacing w:line="360" w:lineRule="auto"/>
              <w:ind w:firstLine="510"/>
              <w:jc w:val="both"/>
            </w:pPr>
            <w:r w:rsidRPr="00E356CE">
              <w:t>2. Zakazane jest przetwarzanie informacji objętych tajemnicą komunikacji elektronicznej, o których mowa w ust. 1 pkt 2-5, przez osoby inne niż nadawca i odbiorca komunikatu elektronicznego, chyba że:</w:t>
            </w:r>
          </w:p>
          <w:p w14:paraId="0D5B531F" w14:textId="6169EB5F" w:rsidR="00EE2117" w:rsidRPr="00E356CE" w:rsidRDefault="1C348B88" w:rsidP="2ECB3D4D">
            <w:pPr>
              <w:spacing w:line="360" w:lineRule="auto"/>
              <w:ind w:left="510" w:hanging="510"/>
              <w:jc w:val="both"/>
            </w:pPr>
            <w:r w:rsidRPr="00E356CE">
              <w:t>(…)</w:t>
            </w:r>
          </w:p>
          <w:p w14:paraId="194ECC42" w14:textId="0D9240FD" w:rsidR="00EE2117" w:rsidRPr="00E356CE" w:rsidRDefault="1C348B88" w:rsidP="2ECB3D4D">
            <w:pPr>
              <w:spacing w:line="360" w:lineRule="auto"/>
              <w:ind w:left="510" w:hanging="510"/>
              <w:jc w:val="both"/>
            </w:pPr>
            <w:r w:rsidRPr="00E356CE">
              <w:lastRenderedPageBreak/>
              <w:t>4)</w:t>
            </w:r>
            <w:r w:rsidR="00EE2117" w:rsidRPr="00E356CE">
              <w:tab/>
            </w:r>
            <w:r w:rsidRPr="00E356CE">
              <w:t>będzie to konieczne z innych powodów przewidzianych ustawą lub przepisami odrębnymi.</w:t>
            </w:r>
          </w:p>
          <w:p w14:paraId="075D5369" w14:textId="301270CD" w:rsidR="00EE2117" w:rsidRPr="00E356CE" w:rsidRDefault="00EE2117" w:rsidP="2ECB3D4D">
            <w:r w:rsidRPr="00E356CE">
              <w:br/>
            </w:r>
          </w:p>
          <w:p w14:paraId="3D074022" w14:textId="1C315F0D" w:rsidR="5ED82EB2" w:rsidRPr="00E356CE" w:rsidRDefault="5ED82EB2" w:rsidP="2ECB3D4D">
            <w:pPr>
              <w:spacing w:line="360" w:lineRule="auto"/>
              <w:ind w:firstLine="510"/>
              <w:jc w:val="both"/>
            </w:pPr>
            <w:r w:rsidRPr="00E356CE">
              <w:t>3. Z wyjątkiem przypadków określonych ustawą, przetwarzanie informacji objętych tajemnicą komunikacji elektronicznej, o których mowa w ust. 1 pkt 2-5, narusza obowiązek zachowania tajemnicy komunikacji elektronicznej.</w:t>
            </w:r>
          </w:p>
          <w:p w14:paraId="31CD7EAD" w14:textId="010E2EE6" w:rsidR="5ED82EB2" w:rsidRPr="00E356CE" w:rsidRDefault="5ED82EB2" w:rsidP="2ECB3D4D">
            <w:pPr>
              <w:spacing w:line="360" w:lineRule="auto"/>
              <w:ind w:firstLine="510"/>
              <w:jc w:val="both"/>
            </w:pPr>
            <w:r w:rsidRPr="00E356CE">
              <w:t>4. Przepisów ust. 2 i 3 nie stosuje się do informacji ze swojej istoty jawnych, z przeznaczenia publicznych lub ujawnionych postanowieniem sądu wydanym w postępowaniu karnym, postanowieniem prokuratora lub na podstawie odrębnych przepisów.</w:t>
            </w:r>
          </w:p>
          <w:p w14:paraId="5187D047" w14:textId="77777777" w:rsidR="00EE2117" w:rsidRPr="00E356CE" w:rsidRDefault="00EE2117" w:rsidP="00A9191A">
            <w:pPr>
              <w:pStyle w:val="Tekstpodstawowy"/>
              <w:rPr>
                <w:sz w:val="24"/>
                <w:szCs w:val="24"/>
              </w:rPr>
            </w:pPr>
          </w:p>
          <w:p w14:paraId="624E1ECA" w14:textId="199D76FC" w:rsidR="00EE2117" w:rsidRPr="00E356CE" w:rsidRDefault="00EE2117" w:rsidP="2ECB3D4D">
            <w:pPr>
              <w:pStyle w:val="Tekstpodstawowy"/>
              <w:rPr>
                <w:b/>
                <w:bCs/>
                <w:sz w:val="24"/>
                <w:szCs w:val="24"/>
              </w:rPr>
            </w:pPr>
            <w:r w:rsidRPr="00E356CE">
              <w:rPr>
                <w:b/>
                <w:bCs/>
                <w:sz w:val="24"/>
                <w:szCs w:val="24"/>
              </w:rPr>
              <w:t>Art. 3</w:t>
            </w:r>
            <w:r w:rsidR="4F3E0F53" w:rsidRPr="00E356CE">
              <w:rPr>
                <w:b/>
                <w:bCs/>
                <w:sz w:val="24"/>
                <w:szCs w:val="24"/>
              </w:rPr>
              <w:t>92</w:t>
            </w:r>
          </w:p>
          <w:p w14:paraId="6A0013E8" w14:textId="77777777" w:rsidR="00EE2117" w:rsidRPr="00E356CE" w:rsidRDefault="00EE2117" w:rsidP="00A9191A">
            <w:pPr>
              <w:pStyle w:val="Tekstpodstawowy"/>
              <w:rPr>
                <w:sz w:val="24"/>
                <w:szCs w:val="24"/>
              </w:rPr>
            </w:pPr>
          </w:p>
          <w:p w14:paraId="675D5FC0" w14:textId="5BD50AC9" w:rsidR="29BC575C" w:rsidRPr="00E356CE" w:rsidRDefault="29BC575C" w:rsidP="2ECB3D4D">
            <w:pPr>
              <w:spacing w:line="360" w:lineRule="auto"/>
              <w:ind w:firstLine="510"/>
              <w:jc w:val="both"/>
            </w:pPr>
            <w:r w:rsidRPr="00E356CE">
              <w:t>7. Eliminacja prezentacji identyfikacji linii wywołującej może być anulowana:</w:t>
            </w:r>
          </w:p>
          <w:p w14:paraId="6EC42A12" w14:textId="0969B558" w:rsidR="29BC575C" w:rsidRPr="00E356CE" w:rsidRDefault="29BC575C" w:rsidP="2ECB3D4D">
            <w:pPr>
              <w:spacing w:line="360" w:lineRule="auto"/>
              <w:ind w:left="510" w:hanging="510"/>
              <w:jc w:val="both"/>
            </w:pPr>
            <w:r w:rsidRPr="00E356CE">
              <w:t>1)</w:t>
            </w:r>
            <w:r w:rsidRPr="00E356CE">
              <w:tab/>
              <w:t>na żądanie służb ustawowo powołanych do niesienia pomocy, a także uprawnionych podmiotów, w zakresie i na warunkach określonych w odrębnych przepisach lub</w:t>
            </w:r>
          </w:p>
          <w:p w14:paraId="4F671500" w14:textId="71FD6438" w:rsidR="29BC575C" w:rsidRPr="00E356CE" w:rsidRDefault="29BC575C" w:rsidP="2ECB3D4D">
            <w:pPr>
              <w:spacing w:line="360" w:lineRule="auto"/>
              <w:ind w:left="510" w:hanging="510"/>
              <w:jc w:val="both"/>
            </w:pPr>
            <w:r w:rsidRPr="00E356CE">
              <w:t>2)</w:t>
            </w:r>
            <w:r w:rsidRPr="00E356CE">
              <w:tab/>
              <w:t xml:space="preserve">przez dostawcę usług zapewniającego przyłączenie do publicznej sieci telekomunikacyjnej, w której świadczone są usługi komunikacji głosowej lub operatora, do którego sieci został przyłączony abonent </w:t>
            </w:r>
            <w:r w:rsidRPr="00E356CE">
              <w:lastRenderedPageBreak/>
              <w:t>będący stroną umowy z dostawcą usług zapewniającym przyłączenie do publicznej sieci telekomunikacyjnej, w której świadczone są usługi komunikacji głosowej, na wniosek abonenta, jeżeli wnioskujący uprawdopodobni, że do jego telekomunikacyjnego urządzenia końcowego są kierowane połączenia uciążliwe lub zawierające groźby, w celu identyfikacji numerów użytkowników końcowych wywołujących tego abonenta.</w:t>
            </w:r>
          </w:p>
          <w:p w14:paraId="7AA27A7B" w14:textId="367A9C8E" w:rsidR="29BC575C" w:rsidRPr="00E356CE" w:rsidRDefault="29BC575C" w:rsidP="2ECB3D4D">
            <w:pPr>
              <w:spacing w:line="360" w:lineRule="auto"/>
              <w:ind w:firstLine="510"/>
              <w:jc w:val="both"/>
            </w:pPr>
            <w:r w:rsidRPr="00E356CE">
              <w:t>8. Przedsiębiorca telekomunikacyjny jest obowiązany do zapewnienia służbom ustawowo powołanym do niesienia pomocy dostępu do identyfikacji linii wywołującej oraz danych dotyczących lokalizacji, bez uprzedniej zgody zainteresowanych abonentów lub użytkowników, jeżeli jest to konieczne do umożliwienia tym służbom wykonywania ich zadań w możliwie najbardziej efektywny sposób.</w:t>
            </w:r>
          </w:p>
          <w:p w14:paraId="76F2C74F" w14:textId="2FCA7AC8" w:rsidR="29BC575C" w:rsidRPr="00E356CE" w:rsidRDefault="29BC575C" w:rsidP="2ECB3D4D">
            <w:pPr>
              <w:spacing w:line="360" w:lineRule="auto"/>
              <w:ind w:firstLine="510"/>
              <w:jc w:val="both"/>
            </w:pPr>
            <w:r w:rsidRPr="00E356CE">
              <w:t>9. Dane identyfikujące użytkowników wywołujących, w przypadkach, o których mowa w ust. 7, są rejestrowane przez operatora na żądanie:</w:t>
            </w:r>
          </w:p>
          <w:p w14:paraId="5B6D7EC5" w14:textId="2D30558C" w:rsidR="29BC575C" w:rsidRPr="00E356CE" w:rsidRDefault="29BC575C" w:rsidP="2ECB3D4D">
            <w:pPr>
              <w:spacing w:line="360" w:lineRule="auto"/>
              <w:ind w:left="510" w:hanging="510"/>
              <w:jc w:val="both"/>
            </w:pPr>
            <w:r w:rsidRPr="00E356CE">
              <w:t>1)</w:t>
            </w:r>
            <w:r w:rsidRPr="00E356CE">
              <w:tab/>
              <w:t xml:space="preserve"> służb i podmiotów, o których mowa w ust. 7 pkt 1;</w:t>
            </w:r>
          </w:p>
          <w:p w14:paraId="738B6991" w14:textId="60C01E58" w:rsidR="29BC575C" w:rsidRPr="00E356CE" w:rsidRDefault="29BC575C" w:rsidP="2ECB3D4D">
            <w:pPr>
              <w:spacing w:line="360" w:lineRule="auto"/>
              <w:ind w:left="510" w:hanging="510"/>
              <w:jc w:val="both"/>
            </w:pPr>
            <w:r w:rsidRPr="00E356CE">
              <w:t>2)</w:t>
            </w:r>
            <w:r w:rsidRPr="00E356CE">
              <w:tab/>
              <w:t xml:space="preserve"> abonenta, o którym mowa w ust. 7 pkt 2.</w:t>
            </w:r>
          </w:p>
          <w:p w14:paraId="3B20B545" w14:textId="572F9793" w:rsidR="29BC575C" w:rsidRPr="00E356CE" w:rsidRDefault="29BC575C" w:rsidP="2ECB3D4D">
            <w:pPr>
              <w:spacing w:line="360" w:lineRule="auto"/>
              <w:ind w:firstLine="510"/>
              <w:jc w:val="both"/>
            </w:pPr>
            <w:r w:rsidRPr="00E356CE">
              <w:t>10. Dane, o których mowa w ust. 9, pozostają w dyspozycji przedsiębiorcy telekomunikacyjnego. Do ich udostępniania stosuje się art. 45.</w:t>
            </w:r>
          </w:p>
          <w:p w14:paraId="1FE3F1D7" w14:textId="77777777" w:rsidR="00C04931" w:rsidRPr="00E356CE" w:rsidRDefault="00C04931" w:rsidP="00A9191A">
            <w:pPr>
              <w:jc w:val="both"/>
            </w:pPr>
          </w:p>
        </w:tc>
      </w:tr>
      <w:tr w:rsidR="00723799" w:rsidRPr="00E356CE" w14:paraId="2E7B74BA" w14:textId="77777777" w:rsidTr="56856880">
        <w:tc>
          <w:tcPr>
            <w:tcW w:w="795" w:type="dxa"/>
            <w:tcBorders>
              <w:top w:val="single" w:sz="4" w:space="0" w:color="auto"/>
              <w:left w:val="single" w:sz="4" w:space="0" w:color="auto"/>
              <w:bottom w:val="single" w:sz="4" w:space="0" w:color="auto"/>
              <w:right w:val="single" w:sz="4" w:space="0" w:color="auto"/>
            </w:tcBorders>
          </w:tcPr>
          <w:p w14:paraId="4B29D089" w14:textId="77777777" w:rsidR="00C04931" w:rsidRPr="00E356CE" w:rsidRDefault="00EE2117" w:rsidP="00A9191A">
            <w:pPr>
              <w:jc w:val="both"/>
            </w:pPr>
            <w:r w:rsidRPr="00E356CE">
              <w:lastRenderedPageBreak/>
              <w:t>Art. 15 ust. 1a</w:t>
            </w:r>
          </w:p>
        </w:tc>
        <w:tc>
          <w:tcPr>
            <w:tcW w:w="4719" w:type="dxa"/>
            <w:tcBorders>
              <w:top w:val="single" w:sz="4" w:space="0" w:color="auto"/>
              <w:left w:val="single" w:sz="4" w:space="0" w:color="auto"/>
              <w:bottom w:val="single" w:sz="4" w:space="0" w:color="auto"/>
              <w:right w:val="single" w:sz="4" w:space="0" w:color="auto"/>
            </w:tcBorders>
          </w:tcPr>
          <w:p w14:paraId="1E320099" w14:textId="77777777" w:rsidR="00C04931" w:rsidRPr="00E356CE" w:rsidRDefault="00EE2117" w:rsidP="00A9191A">
            <w:pPr>
              <w:spacing w:before="60" w:after="120"/>
              <w:jc w:val="both"/>
              <w:rPr>
                <w:b/>
                <w:bCs/>
              </w:rPr>
            </w:pPr>
            <w:r w:rsidRPr="00E356CE">
              <w:t>1a. Ustępu 1 nie stosuje się do danych, których zatrzymywanie jest wyraźnie wymagane na mocy dyrektywy 2006/24/WE Parlamentu Europejskiego i Rady z dnia 15 marca 2006 r. w sprawie zatrzymywania danych wygenerowanych lub przetworzonych w związku ze świadczeniem ogólnie dostępnych usług łączności elektronicznej lub udostępnianiem publicznych sieci łączności (1) dla celów określonych w art. 1 ust. 1 tej dyrektywy.</w:t>
            </w:r>
          </w:p>
        </w:tc>
        <w:tc>
          <w:tcPr>
            <w:tcW w:w="886" w:type="dxa"/>
            <w:tcBorders>
              <w:top w:val="single" w:sz="4" w:space="0" w:color="auto"/>
              <w:left w:val="single" w:sz="4" w:space="0" w:color="auto"/>
              <w:bottom w:val="single" w:sz="4" w:space="0" w:color="auto"/>
              <w:right w:val="single" w:sz="4" w:space="0" w:color="auto"/>
            </w:tcBorders>
          </w:tcPr>
          <w:p w14:paraId="7F4DA57A" w14:textId="77777777" w:rsidR="00C04931" w:rsidRPr="00E356CE" w:rsidRDefault="00EE2117"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60D2267D"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791B7C46" w14:textId="77777777" w:rsidR="00C04931" w:rsidRPr="00E356CE" w:rsidRDefault="00C04931" w:rsidP="00A9191A">
            <w:pPr>
              <w:jc w:val="both"/>
            </w:pPr>
          </w:p>
        </w:tc>
      </w:tr>
      <w:tr w:rsidR="00723799" w:rsidRPr="00E356CE" w14:paraId="3E760026" w14:textId="77777777" w:rsidTr="56856880">
        <w:tc>
          <w:tcPr>
            <w:tcW w:w="795" w:type="dxa"/>
            <w:tcBorders>
              <w:top w:val="single" w:sz="4" w:space="0" w:color="auto"/>
              <w:left w:val="single" w:sz="4" w:space="0" w:color="auto"/>
              <w:bottom w:val="single" w:sz="4" w:space="0" w:color="auto"/>
              <w:right w:val="single" w:sz="4" w:space="0" w:color="auto"/>
            </w:tcBorders>
          </w:tcPr>
          <w:p w14:paraId="5139E19B" w14:textId="77777777" w:rsidR="00C04931" w:rsidRPr="00E356CE" w:rsidRDefault="00EE2117" w:rsidP="00A9191A">
            <w:pPr>
              <w:jc w:val="both"/>
            </w:pPr>
            <w:r w:rsidRPr="00E356CE">
              <w:t>Art. 15 ust. 1b</w:t>
            </w:r>
          </w:p>
        </w:tc>
        <w:tc>
          <w:tcPr>
            <w:tcW w:w="4719" w:type="dxa"/>
            <w:tcBorders>
              <w:top w:val="single" w:sz="4" w:space="0" w:color="auto"/>
              <w:left w:val="single" w:sz="4" w:space="0" w:color="auto"/>
              <w:bottom w:val="single" w:sz="4" w:space="0" w:color="auto"/>
              <w:right w:val="single" w:sz="4" w:space="0" w:color="auto"/>
            </w:tcBorders>
          </w:tcPr>
          <w:p w14:paraId="3490CF93" w14:textId="77777777" w:rsidR="00C04931" w:rsidRPr="00E356CE" w:rsidRDefault="00EE2117" w:rsidP="00A9191A">
            <w:pPr>
              <w:spacing w:before="60" w:after="120"/>
              <w:jc w:val="both"/>
              <w:rPr>
                <w:b/>
                <w:bCs/>
              </w:rPr>
            </w:pPr>
            <w:r w:rsidRPr="00E356CE">
              <w:t>1b. Dostawcy ustanawiają wewnętrzne procedury odpowiedzi na wnioski o dostęp do danych osobowych użytkownika w oparciu o krajowe przepisy przyjęte zgodnie z art. 1. Na żądanie przedstawiają oni właściwemu organowi krajowemu informacje o tych procedurach, liczbie otrzymanych wniosków, ich uzasadnieniu prawnym oraz udzielonej przez nich odpowiedzi.</w:t>
            </w:r>
          </w:p>
        </w:tc>
        <w:tc>
          <w:tcPr>
            <w:tcW w:w="886" w:type="dxa"/>
            <w:tcBorders>
              <w:top w:val="single" w:sz="4" w:space="0" w:color="auto"/>
              <w:left w:val="single" w:sz="4" w:space="0" w:color="auto"/>
              <w:bottom w:val="single" w:sz="4" w:space="0" w:color="auto"/>
              <w:right w:val="single" w:sz="4" w:space="0" w:color="auto"/>
            </w:tcBorders>
          </w:tcPr>
          <w:p w14:paraId="32781332" w14:textId="77777777" w:rsidR="00C04931" w:rsidRPr="00E356CE" w:rsidRDefault="00EE2117"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43852202"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65766D15" w14:textId="77777777" w:rsidR="00EE2117" w:rsidRPr="00E356CE" w:rsidRDefault="00EE2117" w:rsidP="00A9191A">
            <w:pPr>
              <w:pStyle w:val="Tekstpodstawowy"/>
              <w:rPr>
                <w:b/>
                <w:noProof/>
                <w:sz w:val="24"/>
                <w:szCs w:val="24"/>
              </w:rPr>
            </w:pPr>
            <w:r w:rsidRPr="00E356CE">
              <w:rPr>
                <w:sz w:val="24"/>
                <w:szCs w:val="24"/>
              </w:rPr>
              <w:t>Regulacja zawarta jest obecnie w RODO</w:t>
            </w:r>
          </w:p>
          <w:p w14:paraId="0B43ADFA" w14:textId="77777777" w:rsidR="00C04931" w:rsidRPr="00E356CE" w:rsidRDefault="00C04931" w:rsidP="00A9191A">
            <w:pPr>
              <w:jc w:val="both"/>
            </w:pPr>
          </w:p>
        </w:tc>
      </w:tr>
      <w:tr w:rsidR="00723799" w:rsidRPr="00E356CE" w14:paraId="224927FD" w14:textId="77777777" w:rsidTr="56856880">
        <w:tc>
          <w:tcPr>
            <w:tcW w:w="795" w:type="dxa"/>
            <w:tcBorders>
              <w:top w:val="single" w:sz="4" w:space="0" w:color="auto"/>
              <w:left w:val="single" w:sz="4" w:space="0" w:color="auto"/>
              <w:bottom w:val="single" w:sz="4" w:space="0" w:color="auto"/>
              <w:right w:val="single" w:sz="4" w:space="0" w:color="auto"/>
            </w:tcBorders>
          </w:tcPr>
          <w:p w14:paraId="4FF091B6" w14:textId="77777777" w:rsidR="00C04931" w:rsidRPr="00E356CE" w:rsidRDefault="00EE2117" w:rsidP="00A9191A">
            <w:pPr>
              <w:jc w:val="both"/>
            </w:pPr>
            <w:r w:rsidRPr="00E356CE">
              <w:t>Art. 15 ust. 2</w:t>
            </w:r>
          </w:p>
        </w:tc>
        <w:tc>
          <w:tcPr>
            <w:tcW w:w="4719" w:type="dxa"/>
            <w:tcBorders>
              <w:top w:val="single" w:sz="4" w:space="0" w:color="auto"/>
              <w:left w:val="single" w:sz="4" w:space="0" w:color="auto"/>
              <w:bottom w:val="single" w:sz="4" w:space="0" w:color="auto"/>
              <w:right w:val="single" w:sz="4" w:space="0" w:color="auto"/>
            </w:tcBorders>
          </w:tcPr>
          <w:p w14:paraId="5B12E023" w14:textId="77777777" w:rsidR="00C04931" w:rsidRPr="00E356CE" w:rsidRDefault="00EE2117" w:rsidP="00A9191A">
            <w:pPr>
              <w:spacing w:before="60" w:after="120"/>
              <w:jc w:val="both"/>
              <w:rPr>
                <w:b/>
                <w:bCs/>
              </w:rPr>
            </w:pPr>
            <w:r w:rsidRPr="00E356CE">
              <w:t>2. Przepisy rozdziału III dotyczącego środków zaskarżenia, odpowiedzialności i sankcji dyrektywy 95/46/WE stosuje się w odniesieniu do przepisów krajowych przyjętych zgodnie z niniejszą dyrektywą i w odniesieniu do indywidualnych uprawnień wynikających z niniejszej dyrektywy.</w:t>
            </w:r>
          </w:p>
        </w:tc>
        <w:tc>
          <w:tcPr>
            <w:tcW w:w="886" w:type="dxa"/>
            <w:tcBorders>
              <w:top w:val="single" w:sz="4" w:space="0" w:color="auto"/>
              <w:left w:val="single" w:sz="4" w:space="0" w:color="auto"/>
              <w:bottom w:val="single" w:sz="4" w:space="0" w:color="auto"/>
              <w:right w:val="single" w:sz="4" w:space="0" w:color="auto"/>
            </w:tcBorders>
          </w:tcPr>
          <w:p w14:paraId="7E2D8391" w14:textId="77777777" w:rsidR="00C04931"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331D3E3F" w14:textId="78B2C365" w:rsidR="00C04931" w:rsidRPr="00E356CE" w:rsidRDefault="00EE2117" w:rsidP="2ECB3D4D">
            <w:pPr>
              <w:pStyle w:val="Tekstpodstawowy"/>
              <w:rPr>
                <w:noProof/>
                <w:sz w:val="24"/>
                <w:szCs w:val="24"/>
              </w:rPr>
            </w:pPr>
            <w:r w:rsidRPr="00E356CE">
              <w:rPr>
                <w:sz w:val="24"/>
                <w:szCs w:val="24"/>
              </w:rPr>
              <w:t xml:space="preserve">Art. </w:t>
            </w:r>
            <w:r w:rsidR="73CA1932" w:rsidRPr="00E356CE">
              <w:rPr>
                <w:sz w:val="24"/>
                <w:szCs w:val="24"/>
              </w:rPr>
              <w:t>443</w:t>
            </w:r>
          </w:p>
        </w:tc>
        <w:tc>
          <w:tcPr>
            <w:tcW w:w="7410" w:type="dxa"/>
            <w:gridSpan w:val="2"/>
            <w:tcBorders>
              <w:top w:val="single" w:sz="4" w:space="0" w:color="auto"/>
              <w:left w:val="single" w:sz="4" w:space="0" w:color="auto"/>
              <w:bottom w:val="single" w:sz="4" w:space="0" w:color="auto"/>
              <w:right w:val="single" w:sz="4" w:space="0" w:color="auto"/>
            </w:tcBorders>
          </w:tcPr>
          <w:p w14:paraId="73E4D0BF" w14:textId="7CC51576" w:rsidR="00C04931" w:rsidRPr="00E356CE" w:rsidRDefault="73CA1932" w:rsidP="2ECB3D4D">
            <w:pPr>
              <w:spacing w:line="360" w:lineRule="auto"/>
              <w:ind w:firstLine="510"/>
              <w:jc w:val="both"/>
            </w:pPr>
            <w:r w:rsidRPr="00E356CE">
              <w:rPr>
                <w:b/>
                <w:bCs/>
              </w:rPr>
              <w:t>Art. 443.</w:t>
            </w:r>
            <w:r w:rsidRPr="00E356CE">
              <w:t xml:space="preserve"> 1. Kto nie wypełnia obowiązku:</w:t>
            </w:r>
          </w:p>
          <w:p w14:paraId="38AAC26C" w14:textId="6C0755E8" w:rsidR="00C04931" w:rsidRPr="00E356CE" w:rsidRDefault="73CA1932" w:rsidP="2ECB3D4D">
            <w:pPr>
              <w:spacing w:line="360" w:lineRule="auto"/>
              <w:ind w:left="510" w:hanging="510"/>
              <w:jc w:val="both"/>
            </w:pPr>
            <w:r w:rsidRPr="00E356CE">
              <w:t>1)</w:t>
            </w:r>
            <w:r w:rsidR="00EE2117" w:rsidRPr="00E356CE">
              <w:tab/>
            </w:r>
            <w:r w:rsidRPr="00E356CE">
              <w:t>wdrożenia technicznych i organizacyjnych środków ochrony, o których mowa w art. 396,</w:t>
            </w:r>
          </w:p>
          <w:p w14:paraId="57B2496E" w14:textId="2E1965EA" w:rsidR="00C04931" w:rsidRPr="00E356CE" w:rsidRDefault="73CA1932" w:rsidP="2ECB3D4D">
            <w:pPr>
              <w:spacing w:line="360" w:lineRule="auto"/>
              <w:ind w:left="510" w:hanging="510"/>
              <w:jc w:val="both"/>
            </w:pPr>
            <w:r w:rsidRPr="00E356CE">
              <w:t>2)</w:t>
            </w:r>
            <w:r w:rsidR="00EE2117" w:rsidRPr="00E356CE">
              <w:tab/>
            </w:r>
            <w:r w:rsidRPr="00E356CE">
              <w:t>informacyjnego, względem Prezesa UODO, o którym mowa w art. 397 ust. 1,</w:t>
            </w:r>
          </w:p>
          <w:p w14:paraId="24B38BDF" w14:textId="2865DA95" w:rsidR="00C04931" w:rsidRPr="00E356CE" w:rsidRDefault="73CA1932" w:rsidP="2ECB3D4D">
            <w:pPr>
              <w:spacing w:line="360" w:lineRule="auto"/>
              <w:ind w:left="510" w:hanging="510"/>
              <w:jc w:val="both"/>
            </w:pPr>
            <w:r w:rsidRPr="00E356CE">
              <w:t>3)</w:t>
            </w:r>
            <w:r w:rsidR="00EE2117" w:rsidRPr="00E356CE">
              <w:tab/>
            </w:r>
            <w:r w:rsidRPr="00E356CE">
              <w:t>informacyjnego, względem abonenta lub użytkownika końcowego, o którym mowa w art. 397 ust. 4,</w:t>
            </w:r>
          </w:p>
          <w:p w14:paraId="26D0FFD3" w14:textId="7056E04A" w:rsidR="00C04931" w:rsidRPr="00E356CE" w:rsidRDefault="73CA1932" w:rsidP="2ECB3D4D">
            <w:pPr>
              <w:spacing w:line="360" w:lineRule="auto"/>
              <w:ind w:left="510" w:hanging="510"/>
              <w:jc w:val="both"/>
            </w:pPr>
            <w:r w:rsidRPr="00E356CE">
              <w:lastRenderedPageBreak/>
              <w:t>4)</w:t>
            </w:r>
            <w:r w:rsidR="00EE2117" w:rsidRPr="00E356CE">
              <w:tab/>
            </w:r>
            <w:r w:rsidRPr="00E356CE">
              <w:t>prowadzenia rejestru naruszeń danych osobowych, o którym mowa w art. 400 ust. 1</w:t>
            </w:r>
          </w:p>
          <w:p w14:paraId="4B320B2E" w14:textId="0FAB301D" w:rsidR="00C04931" w:rsidRPr="00E356CE" w:rsidRDefault="73CA1932" w:rsidP="2ECB3D4D">
            <w:pPr>
              <w:spacing w:line="360" w:lineRule="auto"/>
              <w:jc w:val="both"/>
            </w:pPr>
            <w:r w:rsidRPr="00E356CE">
              <w:t>– podlega karze pieniężnej nakładanej przez Prezesa UODO w wysokości do 3% przychodu ukaranego podmiotu osiągniętego w poprzednim roku kalendarzowym.</w:t>
            </w:r>
          </w:p>
          <w:p w14:paraId="5CEA4378" w14:textId="724F869B" w:rsidR="00C04931" w:rsidRPr="00E356CE" w:rsidRDefault="73CA1932" w:rsidP="2ECB3D4D">
            <w:pPr>
              <w:spacing w:line="360" w:lineRule="auto"/>
              <w:ind w:firstLine="510"/>
              <w:jc w:val="both"/>
            </w:pPr>
            <w:r w:rsidRPr="00E356CE">
              <w:t>2. Do kar nakładanych na podstawie ust. 1 stosuje się odpowiednio przepisy art. 441 ust. 3-5 oraz art. 442 ust. 1-4, ust. 6-10. Uprawnienia Prezesa UKE określone w tych przepisach przysługują Prezesowi UODO.</w:t>
            </w:r>
          </w:p>
          <w:p w14:paraId="4448A787" w14:textId="01FF0BBA" w:rsidR="00C04931" w:rsidRPr="00E356CE" w:rsidRDefault="00EE2117" w:rsidP="00A9191A">
            <w:pPr>
              <w:jc w:val="both"/>
            </w:pPr>
            <w:r w:rsidRPr="00E356CE">
              <w:br/>
            </w:r>
          </w:p>
          <w:p w14:paraId="77E188C7" w14:textId="4D7FE10B" w:rsidR="00C04931" w:rsidRPr="00E356CE" w:rsidRDefault="00C04931" w:rsidP="2ECB3D4D">
            <w:pPr>
              <w:jc w:val="both"/>
            </w:pPr>
          </w:p>
        </w:tc>
      </w:tr>
      <w:tr w:rsidR="00723799" w:rsidRPr="00E356CE" w14:paraId="620F28E7" w14:textId="77777777" w:rsidTr="56856880">
        <w:tc>
          <w:tcPr>
            <w:tcW w:w="795" w:type="dxa"/>
            <w:tcBorders>
              <w:top w:val="single" w:sz="4" w:space="0" w:color="auto"/>
              <w:left w:val="single" w:sz="4" w:space="0" w:color="auto"/>
              <w:bottom w:val="single" w:sz="4" w:space="0" w:color="auto"/>
              <w:right w:val="single" w:sz="4" w:space="0" w:color="auto"/>
            </w:tcBorders>
          </w:tcPr>
          <w:p w14:paraId="6B8FEBC0" w14:textId="77777777" w:rsidR="00C04931" w:rsidRPr="00E356CE" w:rsidRDefault="00EE2117" w:rsidP="00A9191A">
            <w:pPr>
              <w:jc w:val="both"/>
            </w:pPr>
            <w:r w:rsidRPr="00E356CE">
              <w:lastRenderedPageBreak/>
              <w:t>Art. 15 ust. 3</w:t>
            </w:r>
          </w:p>
        </w:tc>
        <w:tc>
          <w:tcPr>
            <w:tcW w:w="4719" w:type="dxa"/>
            <w:tcBorders>
              <w:top w:val="single" w:sz="4" w:space="0" w:color="auto"/>
              <w:left w:val="single" w:sz="4" w:space="0" w:color="auto"/>
              <w:bottom w:val="single" w:sz="4" w:space="0" w:color="auto"/>
              <w:right w:val="single" w:sz="4" w:space="0" w:color="auto"/>
            </w:tcBorders>
          </w:tcPr>
          <w:p w14:paraId="0B541299" w14:textId="77777777" w:rsidR="00C04931" w:rsidRPr="00E356CE" w:rsidRDefault="00EE2117" w:rsidP="00A9191A">
            <w:pPr>
              <w:spacing w:before="60" w:after="120"/>
              <w:jc w:val="both"/>
              <w:rPr>
                <w:b/>
                <w:bCs/>
              </w:rPr>
            </w:pPr>
            <w:r w:rsidRPr="00E356CE">
              <w:t>3. Grupa Robocza ds. Ochrony Osób Fizycznych w Zakresie Przetwarzania Danych Osobowych powołana zgodnie z art. 29 dyrektywy 95/46/WE podejmuje również zadania ustanowione w art. 30 wspomnianej dyrektywy w odniesieniu do spraw objętych niniejszą dyrektywą, mianowicie ochrony podstawowych praw i wolności oraz uzasadnionego interesu w sektorze łączności elektronicznej.</w:t>
            </w:r>
          </w:p>
        </w:tc>
        <w:tc>
          <w:tcPr>
            <w:tcW w:w="886" w:type="dxa"/>
            <w:tcBorders>
              <w:top w:val="single" w:sz="4" w:space="0" w:color="auto"/>
              <w:left w:val="single" w:sz="4" w:space="0" w:color="auto"/>
              <w:bottom w:val="single" w:sz="4" w:space="0" w:color="auto"/>
              <w:right w:val="single" w:sz="4" w:space="0" w:color="auto"/>
            </w:tcBorders>
          </w:tcPr>
          <w:p w14:paraId="335A3626" w14:textId="77777777" w:rsidR="00C04931" w:rsidRPr="00E356CE" w:rsidRDefault="00EE2117"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26DC1CFC"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6550A678" w14:textId="77777777" w:rsidR="00C04931" w:rsidRPr="00E356CE" w:rsidRDefault="00C04931" w:rsidP="00A9191A">
            <w:pPr>
              <w:jc w:val="both"/>
            </w:pPr>
          </w:p>
        </w:tc>
      </w:tr>
      <w:tr w:rsidR="00723799" w:rsidRPr="00E356CE" w14:paraId="084BD983" w14:textId="77777777" w:rsidTr="56856880">
        <w:tc>
          <w:tcPr>
            <w:tcW w:w="795" w:type="dxa"/>
            <w:tcBorders>
              <w:top w:val="single" w:sz="4" w:space="0" w:color="auto"/>
              <w:left w:val="single" w:sz="4" w:space="0" w:color="auto"/>
              <w:bottom w:val="single" w:sz="4" w:space="0" w:color="auto"/>
              <w:right w:val="single" w:sz="4" w:space="0" w:color="auto"/>
            </w:tcBorders>
          </w:tcPr>
          <w:p w14:paraId="7AA1018D" w14:textId="77777777" w:rsidR="00C04931" w:rsidRPr="00E356CE" w:rsidRDefault="00EE2117" w:rsidP="00A9191A">
            <w:pPr>
              <w:jc w:val="both"/>
              <w:rPr>
                <w:b/>
              </w:rPr>
            </w:pPr>
            <w:r w:rsidRPr="00E356CE">
              <w:rPr>
                <w:b/>
              </w:rPr>
              <w:t>Art. 15a</w:t>
            </w:r>
          </w:p>
        </w:tc>
        <w:tc>
          <w:tcPr>
            <w:tcW w:w="4719" w:type="dxa"/>
            <w:tcBorders>
              <w:top w:val="single" w:sz="4" w:space="0" w:color="auto"/>
              <w:left w:val="single" w:sz="4" w:space="0" w:color="auto"/>
              <w:bottom w:val="single" w:sz="4" w:space="0" w:color="auto"/>
              <w:right w:val="single" w:sz="4" w:space="0" w:color="auto"/>
            </w:tcBorders>
          </w:tcPr>
          <w:p w14:paraId="0DC5840C" w14:textId="77777777" w:rsidR="00C04931" w:rsidRPr="00E356CE" w:rsidRDefault="00EE2117" w:rsidP="00A9191A">
            <w:pPr>
              <w:spacing w:before="60" w:after="120"/>
              <w:jc w:val="both"/>
              <w:rPr>
                <w:b/>
                <w:bCs/>
              </w:rPr>
            </w:pPr>
            <w:r w:rsidRPr="00E356CE">
              <w:t>W</w:t>
            </w:r>
            <w:r w:rsidRPr="00E356CE">
              <w:rPr>
                <w:b/>
              </w:rPr>
              <w:t>drażanie i egzekwowanie</w:t>
            </w:r>
          </w:p>
        </w:tc>
        <w:tc>
          <w:tcPr>
            <w:tcW w:w="886" w:type="dxa"/>
            <w:tcBorders>
              <w:top w:val="single" w:sz="4" w:space="0" w:color="auto"/>
              <w:left w:val="single" w:sz="4" w:space="0" w:color="auto"/>
              <w:bottom w:val="single" w:sz="4" w:space="0" w:color="auto"/>
              <w:right w:val="single" w:sz="4" w:space="0" w:color="auto"/>
            </w:tcBorders>
          </w:tcPr>
          <w:p w14:paraId="6D6783B8"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37350EFF"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098D2EDF" w14:textId="77777777" w:rsidR="00C04931" w:rsidRPr="00E356CE" w:rsidRDefault="00C04931" w:rsidP="00A9191A">
            <w:pPr>
              <w:jc w:val="both"/>
            </w:pPr>
          </w:p>
        </w:tc>
      </w:tr>
      <w:tr w:rsidR="00723799" w:rsidRPr="00E356CE" w14:paraId="6F239C6E" w14:textId="77777777" w:rsidTr="56856880">
        <w:tc>
          <w:tcPr>
            <w:tcW w:w="795" w:type="dxa"/>
            <w:tcBorders>
              <w:top w:val="single" w:sz="4" w:space="0" w:color="auto"/>
              <w:left w:val="single" w:sz="4" w:space="0" w:color="auto"/>
              <w:bottom w:val="single" w:sz="4" w:space="0" w:color="auto"/>
              <w:right w:val="single" w:sz="4" w:space="0" w:color="auto"/>
            </w:tcBorders>
          </w:tcPr>
          <w:p w14:paraId="60E4286A" w14:textId="77777777" w:rsidR="00C04931" w:rsidRPr="00E356CE" w:rsidRDefault="00EE2117" w:rsidP="00A9191A">
            <w:pPr>
              <w:jc w:val="both"/>
            </w:pPr>
            <w:r w:rsidRPr="00E356CE">
              <w:t>Art. 15a ust. 1</w:t>
            </w:r>
          </w:p>
        </w:tc>
        <w:tc>
          <w:tcPr>
            <w:tcW w:w="4719" w:type="dxa"/>
            <w:tcBorders>
              <w:top w:val="single" w:sz="4" w:space="0" w:color="auto"/>
              <w:left w:val="single" w:sz="4" w:space="0" w:color="auto"/>
              <w:bottom w:val="single" w:sz="4" w:space="0" w:color="auto"/>
              <w:right w:val="single" w:sz="4" w:space="0" w:color="auto"/>
            </w:tcBorders>
          </w:tcPr>
          <w:p w14:paraId="2BEF62B2" w14:textId="77777777" w:rsidR="00C04931" w:rsidRPr="00E356CE" w:rsidRDefault="00EE2117" w:rsidP="00A9191A">
            <w:pPr>
              <w:spacing w:before="60" w:after="120"/>
              <w:jc w:val="both"/>
              <w:rPr>
                <w:b/>
                <w:bCs/>
              </w:rPr>
            </w:pPr>
            <w:r w:rsidRPr="00E356CE">
              <w:t xml:space="preserve">1. Państwa członkowskie ustanawiają przepisy dotyczące kar, w tym w stosownych przypadkach sankcji karnych, mających zastosowanie w przypadku naruszeń krajowych </w:t>
            </w:r>
            <w:r w:rsidRPr="00E356CE">
              <w:lastRenderedPageBreak/>
              <w:t>przepisów przyjętych zgodnie z niniejszą dyrektywą, i podejmują wszelkie niezbędne środki w celu zapewnienia, aby zasady te zostały wdrożone. Przewidziane sankcje muszą być skuteczne, proporcjonalne i odstraszające oraz mogą być stosowane w odniesieniu do okresu, w którym występowało jakiekolwiek naruszenie, nawet w przypadku gdy naruszenie to następnie naprawiono. Państwa członkowskie powiadamiają Komisję o tych przepisach najpóźniej do dnia 25 maja 2011 r. i powiadamiają ją niezwłocznie o wszelkich późniejszych zmianach mających na nie wpływ.</w:t>
            </w:r>
          </w:p>
        </w:tc>
        <w:tc>
          <w:tcPr>
            <w:tcW w:w="886" w:type="dxa"/>
            <w:tcBorders>
              <w:top w:val="single" w:sz="4" w:space="0" w:color="auto"/>
              <w:left w:val="single" w:sz="4" w:space="0" w:color="auto"/>
              <w:bottom w:val="single" w:sz="4" w:space="0" w:color="auto"/>
              <w:right w:val="single" w:sz="4" w:space="0" w:color="auto"/>
            </w:tcBorders>
          </w:tcPr>
          <w:p w14:paraId="19AA07A1" w14:textId="77777777" w:rsidR="00C04931"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2AF37179" w14:textId="6B41D3C6" w:rsidR="00C04931" w:rsidRPr="00E356CE" w:rsidRDefault="00EE2117" w:rsidP="00A9191A">
            <w:pPr>
              <w:pStyle w:val="Tekstpodstawowy"/>
              <w:rPr>
                <w:noProof/>
                <w:sz w:val="24"/>
                <w:szCs w:val="24"/>
              </w:rPr>
            </w:pPr>
            <w:r w:rsidRPr="00E356CE">
              <w:rPr>
                <w:sz w:val="24"/>
                <w:szCs w:val="24"/>
              </w:rPr>
              <w:t xml:space="preserve">Art. </w:t>
            </w:r>
            <w:r w:rsidR="6CF24533" w:rsidRPr="00E356CE">
              <w:rPr>
                <w:sz w:val="24"/>
                <w:szCs w:val="24"/>
              </w:rPr>
              <w:t>416</w:t>
            </w:r>
            <w:r w:rsidRPr="00E356CE">
              <w:rPr>
                <w:sz w:val="24"/>
                <w:szCs w:val="24"/>
              </w:rPr>
              <w:t xml:space="preserve"> ust.1,</w:t>
            </w:r>
            <w:r w:rsidR="2EEDD922" w:rsidRPr="00E356CE">
              <w:rPr>
                <w:sz w:val="24"/>
                <w:szCs w:val="24"/>
              </w:rPr>
              <w:t xml:space="preserve"> art. 440, </w:t>
            </w:r>
            <w:r w:rsidRPr="00E356CE">
              <w:rPr>
                <w:sz w:val="24"/>
                <w:szCs w:val="24"/>
              </w:rPr>
              <w:lastRenderedPageBreak/>
              <w:t>art. 4</w:t>
            </w:r>
            <w:r w:rsidR="2C05F30F" w:rsidRPr="00E356CE">
              <w:rPr>
                <w:sz w:val="24"/>
                <w:szCs w:val="24"/>
              </w:rPr>
              <w:t>41</w:t>
            </w:r>
            <w:r w:rsidRPr="00E356CE">
              <w:rPr>
                <w:sz w:val="24"/>
                <w:szCs w:val="24"/>
              </w:rPr>
              <w:t xml:space="preserve"> ust. 1 pkt</w:t>
            </w:r>
            <w:r w:rsidR="643D2E13" w:rsidRPr="00E356CE">
              <w:rPr>
                <w:sz w:val="24"/>
                <w:szCs w:val="24"/>
              </w:rPr>
              <w:t xml:space="preserve"> 83-87</w:t>
            </w:r>
            <w:r w:rsidRPr="00E356CE">
              <w:rPr>
                <w:sz w:val="24"/>
                <w:szCs w:val="24"/>
              </w:rPr>
              <w:t>, ust. 2 pkt 1 i 3, ust. 3, art. 4</w:t>
            </w:r>
            <w:r w:rsidR="0325FD38" w:rsidRPr="00E356CE">
              <w:rPr>
                <w:sz w:val="24"/>
                <w:szCs w:val="24"/>
              </w:rPr>
              <w:t>42</w:t>
            </w:r>
            <w:r w:rsidRPr="00E356CE">
              <w:rPr>
                <w:sz w:val="24"/>
                <w:szCs w:val="24"/>
              </w:rPr>
              <w:t xml:space="preserve"> ust. 5, art. 4</w:t>
            </w:r>
            <w:r w:rsidR="619EBA4A" w:rsidRPr="00E356CE">
              <w:rPr>
                <w:sz w:val="24"/>
                <w:szCs w:val="24"/>
              </w:rPr>
              <w:t>43</w:t>
            </w:r>
          </w:p>
        </w:tc>
        <w:tc>
          <w:tcPr>
            <w:tcW w:w="7410" w:type="dxa"/>
            <w:gridSpan w:val="2"/>
            <w:tcBorders>
              <w:top w:val="single" w:sz="4" w:space="0" w:color="auto"/>
              <w:left w:val="single" w:sz="4" w:space="0" w:color="auto"/>
              <w:bottom w:val="single" w:sz="4" w:space="0" w:color="auto"/>
              <w:right w:val="single" w:sz="4" w:space="0" w:color="auto"/>
            </w:tcBorders>
          </w:tcPr>
          <w:p w14:paraId="30CA1A34" w14:textId="239F063F" w:rsidR="00EE2117" w:rsidRPr="00E356CE" w:rsidRDefault="12AC84AF" w:rsidP="2ECB3D4D">
            <w:pPr>
              <w:spacing w:line="360" w:lineRule="auto"/>
              <w:ind w:firstLine="510"/>
              <w:jc w:val="both"/>
            </w:pPr>
            <w:r w:rsidRPr="00E356CE">
              <w:rPr>
                <w:b/>
                <w:bCs/>
              </w:rPr>
              <w:lastRenderedPageBreak/>
              <w:t>Art. 416.</w:t>
            </w:r>
            <w:r w:rsidRPr="00E356CE">
              <w:t xml:space="preserve"> 1. Prezes UKE jest uprawniony do weryfikacji przestrzegania przepisów, decyzji oraz postanowień z zakresu komunikacji elektronicznej </w:t>
            </w:r>
            <w:r w:rsidRPr="00E356CE">
              <w:lastRenderedPageBreak/>
              <w:t>lub spełniania wymagań dotyczących kompatybilności elektromagnetycznej.</w:t>
            </w:r>
          </w:p>
          <w:p w14:paraId="4A2A21E8" w14:textId="5DBEC576" w:rsidR="00EE2117" w:rsidRPr="00E356CE" w:rsidRDefault="00EE2117" w:rsidP="2ECB3D4D"/>
          <w:p w14:paraId="698D7E56" w14:textId="4446ACE5" w:rsidR="03F76665" w:rsidRPr="00E356CE" w:rsidRDefault="03F76665" w:rsidP="40F0662F">
            <w:pPr>
              <w:spacing w:line="360" w:lineRule="auto"/>
              <w:ind w:firstLine="510"/>
              <w:jc w:val="both"/>
            </w:pPr>
            <w:r w:rsidRPr="00E356CE">
              <w:rPr>
                <w:b/>
                <w:bCs/>
              </w:rPr>
              <w:t>Art. 440.</w:t>
            </w:r>
            <w:r w:rsidRPr="00E356CE">
              <w:t xml:space="preserve"> 1. Kto przesyła za pomocą środków komunikacji elektronicznej niezamówione informacje handlowe, podlega karze grzywny.</w:t>
            </w:r>
          </w:p>
          <w:p w14:paraId="0EB2540E" w14:textId="26C21CFB" w:rsidR="03F76665" w:rsidRPr="00E356CE" w:rsidRDefault="03F76665" w:rsidP="40F0662F">
            <w:pPr>
              <w:spacing w:line="360" w:lineRule="auto"/>
              <w:ind w:firstLine="510"/>
              <w:jc w:val="both"/>
            </w:pPr>
            <w:r w:rsidRPr="00E356CE">
              <w:t>2. Ściganie wykroczenia, o którym mowa w ust. 1, następuje na wniosek pokrzywdzonego.</w:t>
            </w:r>
          </w:p>
          <w:p w14:paraId="4B1F6B9D" w14:textId="45B5F777" w:rsidR="03F76665" w:rsidRPr="00E356CE" w:rsidRDefault="03F76665" w:rsidP="40F0662F">
            <w:pPr>
              <w:spacing w:line="360" w:lineRule="auto"/>
              <w:ind w:firstLine="510"/>
              <w:jc w:val="both"/>
            </w:pPr>
            <w:r w:rsidRPr="00E356CE">
              <w:t>3. Orzekanie w sprawach o czyny, o których mowa w ust. 1, następuje w trybie przepisów ustawy z dnia 24 sierpnia 2001 r.  - Kodeks postępowania w sprawach o wykroczenia.</w:t>
            </w:r>
          </w:p>
          <w:p w14:paraId="0C7FE62B" w14:textId="48BF029C" w:rsidR="40F0662F" w:rsidRPr="00E356CE" w:rsidRDefault="40F0662F" w:rsidP="40F0662F"/>
          <w:p w14:paraId="38E696B4" w14:textId="459B1F0A" w:rsidR="00EE2117" w:rsidRPr="00E356CE" w:rsidRDefault="00EE2117" w:rsidP="2ECB3D4D"/>
          <w:p w14:paraId="31121C2D" w14:textId="75252CE8" w:rsidR="00EE2117" w:rsidRPr="00E356CE" w:rsidRDefault="10809B7B" w:rsidP="2ECB3D4D">
            <w:pPr>
              <w:pStyle w:val="ARTartustawynprozporzdzenia"/>
              <w:spacing w:line="240" w:lineRule="auto"/>
              <w:ind w:firstLine="0"/>
              <w:rPr>
                <w:rFonts w:ascii="Times New Roman" w:hAnsi="Times New Roman" w:cs="Times New Roman"/>
              </w:rPr>
            </w:pPr>
            <w:r w:rsidRPr="00E356CE">
              <w:rPr>
                <w:rStyle w:val="Ppogrubienie"/>
                <w:rFonts w:ascii="Times New Roman" w:hAnsi="Times New Roman"/>
              </w:rPr>
              <w:t>Art. 441.</w:t>
            </w:r>
            <w:r w:rsidRPr="00E356CE">
              <w:rPr>
                <w:rFonts w:ascii="Times New Roman" w:hAnsi="Times New Roman" w:cs="Times New Roman"/>
              </w:rPr>
              <w:t xml:space="preserve"> 1. Kto:</w:t>
            </w:r>
          </w:p>
          <w:p w14:paraId="70444408" w14:textId="77777777" w:rsidR="00EE2117" w:rsidRPr="00E356CE" w:rsidRDefault="00EE2117" w:rsidP="2ECB3D4D">
            <w:pPr>
              <w:pStyle w:val="Tekstpodstawowy"/>
              <w:rPr>
                <w:sz w:val="24"/>
                <w:szCs w:val="24"/>
              </w:rPr>
            </w:pPr>
          </w:p>
          <w:p w14:paraId="4EA1D11A" w14:textId="1FE3B66C" w:rsidR="00EE2117" w:rsidRPr="00E356CE" w:rsidRDefault="10809B7B" w:rsidP="2ECB3D4D">
            <w:pPr>
              <w:spacing w:line="360" w:lineRule="auto"/>
              <w:ind w:left="510" w:hanging="510"/>
              <w:jc w:val="both"/>
            </w:pPr>
            <w:r w:rsidRPr="00E356CE">
              <w:t>83)</w:t>
            </w:r>
            <w:r w:rsidR="00EE2117" w:rsidRPr="00E356CE">
              <w:tab/>
            </w:r>
            <w:r w:rsidRPr="00E356CE">
              <w:t>nie wypełnia obowiązków uzyskania zgody użytkownika końcowego, o których mowa w art. 386 i art. 387,</w:t>
            </w:r>
          </w:p>
          <w:p w14:paraId="24965E1F" w14:textId="45AE7B44" w:rsidR="00EE2117" w:rsidRPr="00E356CE" w:rsidRDefault="10809B7B" w:rsidP="2ECB3D4D">
            <w:pPr>
              <w:spacing w:line="360" w:lineRule="auto"/>
              <w:ind w:left="510" w:hanging="510"/>
              <w:jc w:val="both"/>
            </w:pPr>
            <w:r w:rsidRPr="00E356CE">
              <w:t>84)</w:t>
            </w:r>
            <w:r w:rsidR="00EE2117" w:rsidRPr="00E356CE">
              <w:tab/>
            </w:r>
            <w:r w:rsidRPr="00E356CE">
              <w:t>przetwarza dane objęte tajemnicą komunikacji elektronicznej lub dane użytkowników nie mając ku temu podstawy prawnej,</w:t>
            </w:r>
          </w:p>
          <w:p w14:paraId="080E34D7" w14:textId="2F2A8836" w:rsidR="00EE2117" w:rsidRPr="00E356CE" w:rsidRDefault="10809B7B" w:rsidP="2ECB3D4D">
            <w:pPr>
              <w:spacing w:line="360" w:lineRule="auto"/>
              <w:ind w:left="510" w:hanging="510"/>
              <w:jc w:val="both"/>
            </w:pPr>
            <w:r w:rsidRPr="00E356CE">
              <w:t>85)</w:t>
            </w:r>
            <w:r w:rsidR="00EE2117" w:rsidRPr="00E356CE">
              <w:tab/>
            </w:r>
            <w:r w:rsidRPr="00E356CE">
              <w:t>nie wypełnia lub nienależycie wypełnia obowiązek prezentacji identyfikacji zakończenia sieci, o którym mowa w art. 392,</w:t>
            </w:r>
          </w:p>
          <w:p w14:paraId="20DBD9D0" w14:textId="2B8F2C33" w:rsidR="00EE2117" w:rsidRPr="00E356CE" w:rsidRDefault="10809B7B" w:rsidP="2ECB3D4D">
            <w:pPr>
              <w:spacing w:line="360" w:lineRule="auto"/>
              <w:ind w:left="510" w:hanging="510"/>
              <w:jc w:val="both"/>
            </w:pPr>
            <w:r w:rsidRPr="00E356CE">
              <w:t>86)</w:t>
            </w:r>
            <w:r w:rsidR="00EE2117" w:rsidRPr="00E356CE">
              <w:tab/>
            </w:r>
            <w:r w:rsidRPr="00E356CE">
              <w:t xml:space="preserve">używa automatycznych systemów wywołujących lub używa telekomunikacyjnych urządzeń końcowych dla celów przesyłania </w:t>
            </w:r>
            <w:r w:rsidRPr="00E356CE">
              <w:lastRenderedPageBreak/>
              <w:t>niezamówionej informacji handlowej bez uprzedniego uzyskania zgody użytkownika końcowego,</w:t>
            </w:r>
          </w:p>
          <w:p w14:paraId="351FAFF5" w14:textId="2C02CA96" w:rsidR="00EE2117" w:rsidRPr="00E356CE" w:rsidRDefault="10809B7B" w:rsidP="2ECB3D4D">
            <w:pPr>
              <w:spacing w:line="360" w:lineRule="auto"/>
              <w:ind w:left="510" w:hanging="510"/>
              <w:jc w:val="both"/>
            </w:pPr>
            <w:r w:rsidRPr="00E356CE">
              <w:t>87)</w:t>
            </w:r>
            <w:r w:rsidR="00EE2117" w:rsidRPr="00E356CE">
              <w:tab/>
            </w:r>
            <w:r w:rsidRPr="00E356CE">
              <w:t>niezgodnie z przepisami art. 394 przechowuje informacje w urządzeniach końcowych użytkownika końcowego lub korzysta z informacji zgromadzonych w tych urządzeniach,</w:t>
            </w:r>
          </w:p>
          <w:p w14:paraId="3BF3EFF6" w14:textId="6D5035AC" w:rsidR="00EE2117" w:rsidRPr="00E356CE" w:rsidRDefault="00EE2117" w:rsidP="2ECB3D4D">
            <w:pPr>
              <w:pStyle w:val="PKTpunkt"/>
              <w:spacing w:line="240" w:lineRule="auto"/>
              <w:rPr>
                <w:rFonts w:ascii="Times New Roman" w:hAnsi="Times New Roman" w:cs="Times New Roman"/>
              </w:rPr>
            </w:pPr>
          </w:p>
          <w:p w14:paraId="6EE489A4" w14:textId="77777777" w:rsidR="00EE2117" w:rsidRPr="00E356CE" w:rsidRDefault="10809B7B" w:rsidP="2ECB3D4D">
            <w:pPr>
              <w:pStyle w:val="PKTpunkt"/>
              <w:spacing w:line="240" w:lineRule="auto"/>
              <w:rPr>
                <w:rFonts w:ascii="Times New Roman" w:hAnsi="Times New Roman" w:cs="Times New Roman"/>
              </w:rPr>
            </w:pPr>
            <w:r w:rsidRPr="00E356CE">
              <w:rPr>
                <w:rFonts w:ascii="Times New Roman" w:hAnsi="Times New Roman" w:cs="Times New Roman"/>
              </w:rPr>
              <w:t>(…)</w:t>
            </w:r>
          </w:p>
          <w:p w14:paraId="0A4AA1EF" w14:textId="77777777" w:rsidR="00EE2117" w:rsidRPr="00E356CE" w:rsidRDefault="00EE2117" w:rsidP="2ECB3D4D">
            <w:pPr>
              <w:pStyle w:val="PKTpunkt"/>
              <w:spacing w:line="240" w:lineRule="auto"/>
              <w:rPr>
                <w:rFonts w:ascii="Times New Roman" w:hAnsi="Times New Roman" w:cs="Times New Roman"/>
              </w:rPr>
            </w:pPr>
          </w:p>
          <w:p w14:paraId="7998424C" w14:textId="77777777" w:rsidR="00EE2117" w:rsidRPr="00E356CE" w:rsidRDefault="10809B7B" w:rsidP="2ECB3D4D">
            <w:pPr>
              <w:pStyle w:val="CZWSPPKTczwsplnapunktw"/>
              <w:spacing w:line="240" w:lineRule="auto"/>
              <w:rPr>
                <w:rFonts w:ascii="Times New Roman" w:hAnsi="Times New Roman" w:cs="Times New Roman"/>
              </w:rPr>
            </w:pPr>
            <w:r w:rsidRPr="00E356CE">
              <w:rPr>
                <w:rFonts w:ascii="Times New Roman" w:hAnsi="Times New Roman" w:cs="Times New Roman"/>
              </w:rPr>
              <w:t>- podlega karze pieniężnej.</w:t>
            </w:r>
          </w:p>
          <w:p w14:paraId="66DC6626" w14:textId="77777777" w:rsidR="00EE2117" w:rsidRPr="00E356CE" w:rsidRDefault="00EE2117" w:rsidP="2ECB3D4D">
            <w:pPr>
              <w:pStyle w:val="USTustnpkodeksu"/>
              <w:spacing w:line="240" w:lineRule="auto"/>
              <w:rPr>
                <w:rFonts w:ascii="Times New Roman" w:hAnsi="Times New Roman" w:cs="Times New Roman"/>
              </w:rPr>
            </w:pPr>
          </w:p>
          <w:p w14:paraId="0FF0562C" w14:textId="2A91BF11" w:rsidR="00EE2117" w:rsidRPr="00E356CE" w:rsidRDefault="10809B7B" w:rsidP="2ECB3D4D">
            <w:pPr>
              <w:spacing w:line="360" w:lineRule="auto"/>
              <w:ind w:firstLine="510"/>
              <w:jc w:val="both"/>
            </w:pPr>
            <w:r w:rsidRPr="00E356CE">
              <w:t>2. Prezes UKE, jeżeli przemawia za tym charakter lub zakres naruszenia, może nałożyć karę pieniężną na podmiot, który:</w:t>
            </w:r>
          </w:p>
          <w:p w14:paraId="7F64FEBA" w14:textId="44929F20" w:rsidR="00EE2117" w:rsidRPr="00E356CE" w:rsidRDefault="10809B7B" w:rsidP="2ECB3D4D">
            <w:pPr>
              <w:spacing w:line="360" w:lineRule="auto"/>
              <w:ind w:left="510" w:hanging="510"/>
              <w:jc w:val="both"/>
            </w:pPr>
            <w:r w:rsidRPr="00E356CE">
              <w:t>1)</w:t>
            </w:r>
            <w:r w:rsidR="00EE2117" w:rsidRPr="00E356CE">
              <w:tab/>
            </w:r>
            <w:r w:rsidRPr="00E356CE">
              <w:t>nie wypełnia obowiązku udzielania informacji lub dostarczania dokumentów przewidzianych ustawą lub ustawą z dnia 7 maja 2010 r. o wspieraniu rozwoju usług i sieci telekomunikacyjnych lub udziela informacji niepełnych lub nieprawdziwych, lub dostarcza dokumenty zawierające informacje niepełne lub nieprawdziwe;</w:t>
            </w:r>
          </w:p>
          <w:p w14:paraId="3CB1BAE1" w14:textId="3479BD8E" w:rsidR="00EE2117" w:rsidRPr="00E356CE" w:rsidRDefault="10809B7B" w:rsidP="2ECB3D4D">
            <w:pPr>
              <w:spacing w:line="360" w:lineRule="auto"/>
              <w:ind w:left="510" w:hanging="510"/>
              <w:jc w:val="both"/>
            </w:pPr>
            <w:r w:rsidRPr="00E356CE">
              <w:t>(…)</w:t>
            </w:r>
          </w:p>
          <w:p w14:paraId="495DE93A" w14:textId="487D0D79" w:rsidR="00EE2117" w:rsidRPr="00E356CE" w:rsidRDefault="10809B7B" w:rsidP="2ECB3D4D">
            <w:pPr>
              <w:spacing w:line="360" w:lineRule="auto"/>
              <w:ind w:left="510" w:hanging="510"/>
              <w:jc w:val="both"/>
            </w:pPr>
            <w:r w:rsidRPr="00E356CE">
              <w:t>3)</w:t>
            </w:r>
            <w:r w:rsidR="00EE2117" w:rsidRPr="00E356CE">
              <w:tab/>
            </w:r>
            <w:r w:rsidRPr="00E356CE">
              <w:t>nie wypełnia obowiązków uzyskania zgody użytkownika końcowego, o których mowa w art. 394;</w:t>
            </w:r>
          </w:p>
          <w:p w14:paraId="1482E0BE" w14:textId="352DF870" w:rsidR="00EE2117" w:rsidRPr="00E356CE" w:rsidRDefault="00EE2117" w:rsidP="2ECB3D4D">
            <w:pPr>
              <w:pStyle w:val="PKTpunkt"/>
              <w:spacing w:line="240" w:lineRule="auto"/>
              <w:rPr>
                <w:rFonts w:ascii="Times New Roman" w:hAnsi="Times New Roman" w:cs="Times New Roman"/>
              </w:rPr>
            </w:pPr>
          </w:p>
          <w:p w14:paraId="510CDEE0" w14:textId="77777777" w:rsidR="00EE2117" w:rsidRPr="00E356CE" w:rsidRDefault="00EE2117" w:rsidP="2ECB3D4D">
            <w:pPr>
              <w:pStyle w:val="USTustnpkodeksu"/>
              <w:spacing w:line="240" w:lineRule="auto"/>
              <w:ind w:firstLine="0"/>
              <w:rPr>
                <w:rFonts w:ascii="Times New Roman" w:hAnsi="Times New Roman" w:cs="Times New Roman"/>
              </w:rPr>
            </w:pPr>
          </w:p>
          <w:p w14:paraId="44714879" w14:textId="6C072BF4" w:rsidR="00EE2117" w:rsidRPr="00E356CE" w:rsidRDefault="10809B7B" w:rsidP="2ECB3D4D">
            <w:pPr>
              <w:spacing w:line="360" w:lineRule="auto"/>
              <w:ind w:firstLine="510"/>
              <w:jc w:val="both"/>
            </w:pPr>
            <w:r w:rsidRPr="00E356CE">
              <w:t xml:space="preserve">3. Kara, o której mowa w ust. 1 i 2, może zostać nałożona także w przypadku, gdy podmiot zaprzestał naruszania prawa lub naprawił </w:t>
            </w:r>
            <w:r w:rsidRPr="00E356CE">
              <w:lastRenderedPageBreak/>
              <w:t>wyrządzoną szkodę, jeżeli Prezes UKE uzna, że przemawiają za tym czas trwania, zakres lub skutki naruszenia.</w:t>
            </w:r>
          </w:p>
          <w:p w14:paraId="3D4CEB53" w14:textId="205F6B7D" w:rsidR="00EE2117" w:rsidRPr="00E356CE" w:rsidRDefault="00EE2117" w:rsidP="2ECB3D4D">
            <w:pPr>
              <w:jc w:val="both"/>
            </w:pPr>
          </w:p>
          <w:p w14:paraId="383B256F" w14:textId="75BD0B93" w:rsidR="00EE2117" w:rsidRPr="00E356CE" w:rsidRDefault="10809B7B" w:rsidP="2ECB3D4D">
            <w:pPr>
              <w:spacing w:line="360" w:lineRule="auto"/>
              <w:ind w:firstLine="510"/>
              <w:jc w:val="both"/>
            </w:pPr>
            <w:r w:rsidRPr="00E356CE">
              <w:rPr>
                <w:b/>
                <w:bCs/>
              </w:rPr>
              <w:t>Art. 443.</w:t>
            </w:r>
            <w:r w:rsidRPr="00E356CE">
              <w:t xml:space="preserve"> 1. Kto nie wypełnia obowiązku:</w:t>
            </w:r>
          </w:p>
          <w:p w14:paraId="604DF5BD" w14:textId="2E9A1726" w:rsidR="00EE2117" w:rsidRPr="00E356CE" w:rsidRDefault="10809B7B" w:rsidP="2ECB3D4D">
            <w:pPr>
              <w:spacing w:line="360" w:lineRule="auto"/>
              <w:ind w:left="510" w:hanging="510"/>
              <w:jc w:val="both"/>
            </w:pPr>
            <w:r w:rsidRPr="00E356CE">
              <w:t>1)</w:t>
            </w:r>
            <w:r w:rsidR="00EE2117" w:rsidRPr="00E356CE">
              <w:tab/>
            </w:r>
            <w:r w:rsidRPr="00E356CE">
              <w:t>wdrożenia technicznych i organizacyjnych środków ochrony, o których mowa w art. 396,</w:t>
            </w:r>
          </w:p>
          <w:p w14:paraId="0032B415" w14:textId="7B5083A1" w:rsidR="00EE2117" w:rsidRPr="00E356CE" w:rsidRDefault="10809B7B" w:rsidP="2ECB3D4D">
            <w:pPr>
              <w:spacing w:line="360" w:lineRule="auto"/>
              <w:ind w:left="510" w:hanging="510"/>
              <w:jc w:val="both"/>
            </w:pPr>
            <w:r w:rsidRPr="00E356CE">
              <w:t>2)</w:t>
            </w:r>
            <w:r w:rsidR="00EE2117" w:rsidRPr="00E356CE">
              <w:tab/>
            </w:r>
            <w:r w:rsidRPr="00E356CE">
              <w:t>informacyjnego, względem Prezesa UODO, o którym mowa w art. 397 ust. 1,</w:t>
            </w:r>
          </w:p>
          <w:p w14:paraId="7A84464C" w14:textId="26A35DF8" w:rsidR="00EE2117" w:rsidRPr="00E356CE" w:rsidRDefault="10809B7B" w:rsidP="2ECB3D4D">
            <w:pPr>
              <w:spacing w:line="360" w:lineRule="auto"/>
              <w:ind w:left="510" w:hanging="510"/>
              <w:jc w:val="both"/>
            </w:pPr>
            <w:r w:rsidRPr="00E356CE">
              <w:t>3)</w:t>
            </w:r>
            <w:r w:rsidR="00EE2117" w:rsidRPr="00E356CE">
              <w:tab/>
            </w:r>
            <w:r w:rsidRPr="00E356CE">
              <w:t>informacyjnego, względem abonenta lub użytkownika końcowego, o którym mowa w art. 397 ust. 4,</w:t>
            </w:r>
          </w:p>
          <w:p w14:paraId="0FE1DF7E" w14:textId="61064ED3" w:rsidR="00EE2117" w:rsidRPr="00E356CE" w:rsidRDefault="10809B7B" w:rsidP="2ECB3D4D">
            <w:pPr>
              <w:spacing w:line="360" w:lineRule="auto"/>
              <w:ind w:left="510" w:hanging="510"/>
              <w:jc w:val="both"/>
            </w:pPr>
            <w:r w:rsidRPr="00E356CE">
              <w:t>4)</w:t>
            </w:r>
            <w:r w:rsidR="00EE2117" w:rsidRPr="00E356CE">
              <w:tab/>
            </w:r>
            <w:r w:rsidRPr="00E356CE">
              <w:t>prowadzenia rejestru naruszeń danych osobowych, o którym mowa w art. 400 ust. 1</w:t>
            </w:r>
          </w:p>
          <w:p w14:paraId="05A7DB0F" w14:textId="73961494" w:rsidR="00EE2117" w:rsidRPr="00E356CE" w:rsidRDefault="10809B7B" w:rsidP="2ECB3D4D">
            <w:pPr>
              <w:spacing w:line="360" w:lineRule="auto"/>
              <w:jc w:val="both"/>
            </w:pPr>
            <w:r w:rsidRPr="00E356CE">
              <w:t>– podlega karze pieniężnej nakładanej przez Prezesa UODO w wysokości do 3% przychodu ukaranego podmiotu osiągniętego w poprzednim roku kalendarzowym.</w:t>
            </w:r>
          </w:p>
          <w:p w14:paraId="48F191D9" w14:textId="7EE98D10" w:rsidR="00EE2117" w:rsidRPr="00E356CE" w:rsidRDefault="10809B7B" w:rsidP="2ECB3D4D">
            <w:pPr>
              <w:spacing w:line="360" w:lineRule="auto"/>
              <w:ind w:firstLine="510"/>
              <w:jc w:val="both"/>
            </w:pPr>
            <w:r w:rsidRPr="00E356CE">
              <w:t>2. Do kar nakładanych na podstawie ust. 1 stosuje się odpowiednio przepisy art. 441 ust. 3-5 oraz art. 442 ust. 1-4, ust. 6-10. Uprawnienia Prezesa UKE określone w tych przepisach przysługują Prezesowi UODO.</w:t>
            </w:r>
          </w:p>
          <w:p w14:paraId="579EBECD" w14:textId="37CF24BE" w:rsidR="00EE2117" w:rsidRPr="00E356CE" w:rsidRDefault="00EE2117" w:rsidP="2ECB3D4D">
            <w:r w:rsidRPr="00E356CE">
              <w:br/>
            </w:r>
          </w:p>
          <w:p w14:paraId="000AB337" w14:textId="34E81F48" w:rsidR="00EE2117" w:rsidRPr="00E356CE" w:rsidRDefault="00EE2117" w:rsidP="2ECB3D4D">
            <w:pPr>
              <w:pStyle w:val="USTustnpkodeksu"/>
              <w:spacing w:line="240" w:lineRule="auto"/>
              <w:ind w:firstLine="0"/>
              <w:rPr>
                <w:rFonts w:ascii="Times New Roman" w:hAnsi="Times New Roman" w:cs="Times New Roman"/>
                <w:b/>
              </w:rPr>
            </w:pPr>
            <w:r w:rsidRPr="00E356CE">
              <w:rPr>
                <w:rFonts w:ascii="Times New Roman" w:hAnsi="Times New Roman" w:cs="Times New Roman"/>
                <w:b/>
              </w:rPr>
              <w:t>Art. 4</w:t>
            </w:r>
            <w:r w:rsidR="06BC3A73" w:rsidRPr="00E356CE">
              <w:rPr>
                <w:rFonts w:ascii="Times New Roman" w:hAnsi="Times New Roman" w:cs="Times New Roman"/>
                <w:b/>
              </w:rPr>
              <w:t>42</w:t>
            </w:r>
            <w:r w:rsidRPr="00E356CE">
              <w:rPr>
                <w:rFonts w:ascii="Times New Roman" w:hAnsi="Times New Roman" w:cs="Times New Roman"/>
                <w:b/>
              </w:rPr>
              <w:t xml:space="preserve"> ust. 5</w:t>
            </w:r>
          </w:p>
          <w:p w14:paraId="56F436DA" w14:textId="1BDC54C5" w:rsidR="16F17F7A" w:rsidRPr="00E356CE" w:rsidRDefault="16F17F7A" w:rsidP="2ECB3D4D">
            <w:pPr>
              <w:spacing w:line="360" w:lineRule="auto"/>
              <w:ind w:firstLine="510"/>
              <w:jc w:val="both"/>
            </w:pPr>
            <w:r w:rsidRPr="00E356CE">
              <w:t xml:space="preserve">5. W przypadku niewypełniania obowiązku uzyskania zgody użytkownika końcowego, o której mowa w art. 393, Prezes UKE nakłada, </w:t>
            </w:r>
            <w:r w:rsidRPr="00E356CE">
              <w:lastRenderedPageBreak/>
              <w:t>biorąc pod uwagę charakter i zakres naruszenia, na podmiot karę pieniężną w wysokości do 3% przychodu ukaranego podmiotu, osiągniętego w poprzednim roku kalendarzowym lub do 1 mln zł, przy czym zastosowanie ma kwota wyższa. Ustępów 2, 3 i 7 nie stosuje się.</w:t>
            </w:r>
          </w:p>
          <w:p w14:paraId="1C987773" w14:textId="4C7369B1" w:rsidR="2ECB3D4D" w:rsidRPr="00E356CE" w:rsidRDefault="2ECB3D4D" w:rsidP="2ECB3D4D">
            <w:pPr>
              <w:pStyle w:val="USTustnpkodeksu"/>
              <w:spacing w:line="240" w:lineRule="auto"/>
              <w:ind w:firstLine="0"/>
              <w:rPr>
                <w:rFonts w:ascii="Times New Roman" w:hAnsi="Times New Roman" w:cs="Times New Roman"/>
              </w:rPr>
            </w:pPr>
          </w:p>
          <w:p w14:paraId="0907B271" w14:textId="77777777" w:rsidR="00EE2117" w:rsidRPr="00E356CE" w:rsidRDefault="00EE2117" w:rsidP="00A9191A">
            <w:pPr>
              <w:pStyle w:val="USTustnpkodeksu"/>
              <w:spacing w:line="240" w:lineRule="auto"/>
              <w:ind w:firstLine="0"/>
              <w:rPr>
                <w:rFonts w:ascii="Times New Roman" w:hAnsi="Times New Roman" w:cs="Times New Roman"/>
                <w:szCs w:val="24"/>
              </w:rPr>
            </w:pPr>
          </w:p>
          <w:p w14:paraId="66D1E4B5" w14:textId="56BFDE9F" w:rsidR="00C04931" w:rsidRPr="00E356CE" w:rsidRDefault="0A79694C" w:rsidP="2ECB3D4D">
            <w:pPr>
              <w:spacing w:line="360" w:lineRule="auto"/>
              <w:ind w:firstLine="510"/>
              <w:jc w:val="both"/>
            </w:pPr>
            <w:r w:rsidRPr="00E356CE">
              <w:rPr>
                <w:b/>
                <w:bCs/>
              </w:rPr>
              <w:t>Art. 443.</w:t>
            </w:r>
            <w:r w:rsidRPr="00E356CE">
              <w:t xml:space="preserve"> 1. Kto nie wypełnia obowiązku:</w:t>
            </w:r>
          </w:p>
          <w:p w14:paraId="19FAA931" w14:textId="11508EDA" w:rsidR="00C04931" w:rsidRPr="00E356CE" w:rsidRDefault="0A79694C" w:rsidP="2ECB3D4D">
            <w:pPr>
              <w:spacing w:line="360" w:lineRule="auto"/>
              <w:ind w:left="510" w:hanging="510"/>
              <w:jc w:val="both"/>
            </w:pPr>
            <w:r w:rsidRPr="00E356CE">
              <w:t>1)</w:t>
            </w:r>
            <w:r w:rsidR="00EE2117" w:rsidRPr="00E356CE">
              <w:tab/>
            </w:r>
            <w:r w:rsidRPr="00E356CE">
              <w:t>wdrożenia technicznych i organizacyjnych środków ochrony, o których mowa w art. 396,</w:t>
            </w:r>
          </w:p>
          <w:p w14:paraId="5E168179" w14:textId="7D0564B6" w:rsidR="00C04931" w:rsidRPr="00E356CE" w:rsidRDefault="0A79694C" w:rsidP="2ECB3D4D">
            <w:pPr>
              <w:spacing w:line="360" w:lineRule="auto"/>
              <w:ind w:left="510" w:hanging="510"/>
              <w:jc w:val="both"/>
            </w:pPr>
            <w:r w:rsidRPr="00E356CE">
              <w:t>2)</w:t>
            </w:r>
            <w:r w:rsidR="00EE2117" w:rsidRPr="00E356CE">
              <w:tab/>
            </w:r>
            <w:r w:rsidRPr="00E356CE">
              <w:t>informacyjnego, względem Prezesa UODO, o którym mowa w art. 397 ust. 1,</w:t>
            </w:r>
          </w:p>
          <w:p w14:paraId="05E2E4D7" w14:textId="299E2659" w:rsidR="00C04931" w:rsidRPr="00E356CE" w:rsidRDefault="0A79694C" w:rsidP="2ECB3D4D">
            <w:pPr>
              <w:spacing w:line="360" w:lineRule="auto"/>
              <w:ind w:left="510" w:hanging="510"/>
              <w:jc w:val="both"/>
            </w:pPr>
            <w:r w:rsidRPr="00E356CE">
              <w:t>3)</w:t>
            </w:r>
            <w:r w:rsidR="00EE2117" w:rsidRPr="00E356CE">
              <w:tab/>
            </w:r>
            <w:r w:rsidRPr="00E356CE">
              <w:t>informacyjnego, względem abonenta lub użytkownika końcowego, o którym mowa w art. 397 ust. 4,</w:t>
            </w:r>
          </w:p>
          <w:p w14:paraId="1CBFDC87" w14:textId="3B54972C" w:rsidR="00C04931" w:rsidRPr="00E356CE" w:rsidRDefault="0A79694C" w:rsidP="2ECB3D4D">
            <w:pPr>
              <w:spacing w:line="360" w:lineRule="auto"/>
              <w:ind w:left="510" w:hanging="510"/>
              <w:jc w:val="both"/>
            </w:pPr>
            <w:r w:rsidRPr="00E356CE">
              <w:t>4)</w:t>
            </w:r>
            <w:r w:rsidR="00EE2117" w:rsidRPr="00E356CE">
              <w:tab/>
            </w:r>
            <w:r w:rsidRPr="00E356CE">
              <w:t>prowadzenia rejestru naruszeń danych osobowych, o którym mowa w art. 400 ust. 1</w:t>
            </w:r>
          </w:p>
          <w:p w14:paraId="0F0B607E" w14:textId="331479E9" w:rsidR="00C04931" w:rsidRPr="00E356CE" w:rsidRDefault="0A79694C" w:rsidP="2ECB3D4D">
            <w:pPr>
              <w:spacing w:line="360" w:lineRule="auto"/>
              <w:jc w:val="both"/>
            </w:pPr>
            <w:r w:rsidRPr="00E356CE">
              <w:t>– podlega karze pieniężnej nakładanej przez Prezesa UODO w wysokości do 3% przychodu ukaranego podmiotu osiągniętego w poprzednim roku kalendarzowym.</w:t>
            </w:r>
          </w:p>
          <w:p w14:paraId="47F743A9" w14:textId="100CF089" w:rsidR="00C04931" w:rsidRPr="00E356CE" w:rsidRDefault="0A79694C" w:rsidP="2ECB3D4D">
            <w:pPr>
              <w:spacing w:line="360" w:lineRule="auto"/>
              <w:ind w:firstLine="510"/>
              <w:jc w:val="both"/>
            </w:pPr>
            <w:r w:rsidRPr="00E356CE">
              <w:t>2. Do kar nakładanych na podstawie ust. 1 stosuje się odpowiednio przepisy art. 441 ust. 3-5 oraz art. 442 ust. 1-4, ust. 6-10. Uprawnienia Prezesa UKE określone w tych przepisach przysługują Prezesowi UODO.</w:t>
            </w:r>
          </w:p>
          <w:p w14:paraId="41AA84D2" w14:textId="744770BE" w:rsidR="00C04931" w:rsidRPr="00E356CE" w:rsidRDefault="00EE2117" w:rsidP="00A9191A">
            <w:pPr>
              <w:jc w:val="both"/>
            </w:pPr>
            <w:r w:rsidRPr="00E356CE">
              <w:br/>
            </w:r>
          </w:p>
          <w:p w14:paraId="50B9489D" w14:textId="51E4C1FB" w:rsidR="00C04931" w:rsidRPr="00E356CE" w:rsidRDefault="00C04931" w:rsidP="2ECB3D4D">
            <w:pPr>
              <w:jc w:val="both"/>
            </w:pPr>
          </w:p>
        </w:tc>
      </w:tr>
      <w:tr w:rsidR="00723799" w:rsidRPr="00E356CE" w14:paraId="23F2183E" w14:textId="77777777" w:rsidTr="56856880">
        <w:tc>
          <w:tcPr>
            <w:tcW w:w="795" w:type="dxa"/>
            <w:tcBorders>
              <w:top w:val="single" w:sz="4" w:space="0" w:color="auto"/>
              <w:left w:val="single" w:sz="4" w:space="0" w:color="auto"/>
              <w:bottom w:val="single" w:sz="4" w:space="0" w:color="auto"/>
              <w:right w:val="single" w:sz="4" w:space="0" w:color="auto"/>
            </w:tcBorders>
          </w:tcPr>
          <w:p w14:paraId="4435094B" w14:textId="77777777" w:rsidR="00C04931" w:rsidRPr="00E356CE" w:rsidRDefault="00EE2117" w:rsidP="00A9191A">
            <w:pPr>
              <w:jc w:val="both"/>
            </w:pPr>
            <w:r w:rsidRPr="00E356CE">
              <w:lastRenderedPageBreak/>
              <w:t>Art. 15a ust. 2</w:t>
            </w:r>
          </w:p>
        </w:tc>
        <w:tc>
          <w:tcPr>
            <w:tcW w:w="4719" w:type="dxa"/>
            <w:tcBorders>
              <w:top w:val="single" w:sz="4" w:space="0" w:color="auto"/>
              <w:left w:val="single" w:sz="4" w:space="0" w:color="auto"/>
              <w:bottom w:val="single" w:sz="4" w:space="0" w:color="auto"/>
              <w:right w:val="single" w:sz="4" w:space="0" w:color="auto"/>
            </w:tcBorders>
          </w:tcPr>
          <w:p w14:paraId="41B25A49" w14:textId="77777777" w:rsidR="00C04931" w:rsidRPr="00E356CE" w:rsidRDefault="00D51095" w:rsidP="00A9191A">
            <w:pPr>
              <w:spacing w:before="60" w:after="120"/>
              <w:jc w:val="both"/>
              <w:rPr>
                <w:b/>
                <w:bCs/>
              </w:rPr>
            </w:pPr>
            <w:r w:rsidRPr="00E356CE">
              <w:t>2. Bez uszczerbku dla wszelkich ewentualnie dostępnych środków prawnych, państwa członkowskie zapewniają, aby właściwy organ krajowy oraz, w stosownych przypadkach, inne podmioty krajowe dysponowały uprawnieniami do nakazania zaprzestania naruszeń, o których mowa w ust. 1.</w:t>
            </w:r>
          </w:p>
        </w:tc>
        <w:tc>
          <w:tcPr>
            <w:tcW w:w="886" w:type="dxa"/>
            <w:tcBorders>
              <w:top w:val="single" w:sz="4" w:space="0" w:color="auto"/>
              <w:left w:val="single" w:sz="4" w:space="0" w:color="auto"/>
              <w:bottom w:val="single" w:sz="4" w:space="0" w:color="auto"/>
              <w:right w:val="single" w:sz="4" w:space="0" w:color="auto"/>
            </w:tcBorders>
          </w:tcPr>
          <w:p w14:paraId="723E8CC4"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64AB2AC5" w14:textId="77777777" w:rsidR="00C04931" w:rsidRPr="00E356CE" w:rsidRDefault="00D51095" w:rsidP="00A9191A">
            <w:pPr>
              <w:pStyle w:val="Tekstpodstawowy"/>
              <w:rPr>
                <w:noProof/>
                <w:sz w:val="24"/>
                <w:szCs w:val="24"/>
              </w:rPr>
            </w:pPr>
            <w:r w:rsidRPr="00E356CE">
              <w:rPr>
                <w:noProof/>
                <w:sz w:val="24"/>
                <w:szCs w:val="24"/>
              </w:rPr>
              <w:t>Art. 397</w:t>
            </w:r>
          </w:p>
        </w:tc>
        <w:tc>
          <w:tcPr>
            <w:tcW w:w="7410" w:type="dxa"/>
            <w:gridSpan w:val="2"/>
            <w:tcBorders>
              <w:top w:val="single" w:sz="4" w:space="0" w:color="auto"/>
              <w:left w:val="single" w:sz="4" w:space="0" w:color="auto"/>
              <w:bottom w:val="single" w:sz="4" w:space="0" w:color="auto"/>
              <w:right w:val="single" w:sz="4" w:space="0" w:color="auto"/>
            </w:tcBorders>
          </w:tcPr>
          <w:p w14:paraId="099BEEE9" w14:textId="2CE29A3A" w:rsidR="00C04931" w:rsidRPr="00E356CE" w:rsidRDefault="602C48C9" w:rsidP="2ECB3D4D">
            <w:pPr>
              <w:spacing w:line="360" w:lineRule="auto"/>
              <w:ind w:firstLine="510"/>
              <w:jc w:val="both"/>
            </w:pPr>
            <w:r w:rsidRPr="00E356CE">
              <w:rPr>
                <w:b/>
                <w:bCs/>
              </w:rPr>
              <w:t>Art. 428.</w:t>
            </w:r>
            <w:r w:rsidRPr="00E356CE">
              <w:t xml:space="preserve"> 1. Jeżeli w wyniku kontroli, o której mowa w art. 416 ust. 2, stwierdzono, że podmiot kontrolowany, nie wypełnia odnoszących się do niego obowiązków wynikających z przepisów prawa lub decyzji wydanej przez Prezesa UKE, Prezes UKE:</w:t>
            </w:r>
          </w:p>
          <w:p w14:paraId="3BA64A48" w14:textId="7B95F8C2" w:rsidR="00C04931" w:rsidRPr="00E356CE" w:rsidRDefault="602C48C9" w:rsidP="2ECB3D4D">
            <w:pPr>
              <w:spacing w:line="360" w:lineRule="auto"/>
              <w:ind w:left="510" w:hanging="510"/>
              <w:jc w:val="both"/>
            </w:pPr>
            <w:r w:rsidRPr="00E356CE">
              <w:t>1)</w:t>
            </w:r>
            <w:r w:rsidR="00D51095" w:rsidRPr="00E356CE">
              <w:tab/>
            </w:r>
            <w:r w:rsidRPr="00E356CE">
              <w:t>nakłada karę, o której mowa w art. 441, w przypadku stwierdzenia naruszeń wskazanych w tym przepisie, niezależnie od prowadzonego wobec tego podmiotu postępowania pokontrolnego, lub</w:t>
            </w:r>
          </w:p>
          <w:p w14:paraId="273E878C" w14:textId="52C168A7" w:rsidR="00C04931" w:rsidRPr="00E356CE" w:rsidRDefault="602C48C9" w:rsidP="2ECB3D4D">
            <w:pPr>
              <w:spacing w:line="360" w:lineRule="auto"/>
              <w:ind w:left="510" w:hanging="510"/>
              <w:jc w:val="both"/>
            </w:pPr>
            <w:r w:rsidRPr="00E356CE">
              <w:t>2)     wydaje zalecenia pokontrolne, w których wzywa podmiot kontrolowany do usunięcia nieprawidłowości lub udzielenia wyjaśnień oraz informuje o możliwości przedstawienia stanowiska odnośnie do stwierdzonych naruszeń.</w:t>
            </w:r>
          </w:p>
          <w:p w14:paraId="1E94EEF3" w14:textId="2995FD51" w:rsidR="00C04931" w:rsidRPr="00E356CE" w:rsidRDefault="602C48C9" w:rsidP="2ECB3D4D">
            <w:pPr>
              <w:spacing w:line="360" w:lineRule="auto"/>
              <w:ind w:firstLine="510"/>
              <w:jc w:val="both"/>
            </w:pPr>
            <w:r w:rsidRPr="00E356CE">
              <w:t>2. Usunięcie nieprawidłowości, udzielenie wyjaśnień i przedstawienie stanowiska, o których mowa w ust. 1 pkt 2, następuje w terminie wskazanym przez Prezesa UKE, nie krótszym niż 30 dni od dnia doręczenia zaleceń pokontrolnych podmiotowi kontrolowanemu.</w:t>
            </w:r>
          </w:p>
          <w:p w14:paraId="43E77411" w14:textId="2F7215F6" w:rsidR="00C04931" w:rsidRPr="00E356CE" w:rsidRDefault="602C48C9" w:rsidP="2ECB3D4D">
            <w:pPr>
              <w:spacing w:line="360" w:lineRule="auto"/>
              <w:ind w:firstLine="510"/>
              <w:jc w:val="both"/>
            </w:pPr>
            <w:r w:rsidRPr="00E356CE">
              <w:t xml:space="preserve">3. W zaleceniach pokontrolnych, o których mowa w ust. 1 pkt 2, Prezes UKE może określić inny termin usunięcia nieprawidłowości, udzielenia wyjaśnień lub przedstawienia stanowiska odnośnie do stwierdzonych naruszeń. Termin określony w wezwaniu może być krótszy niż 30 dni jedynie w przypadku, gdy podmiot kontrolowany, do którego odnosi się </w:t>
            </w:r>
            <w:r w:rsidRPr="00E356CE">
              <w:lastRenderedPageBreak/>
              <w:t>wezwanie, wyraził na to zgodę lub gdy naruszenia wskazane w zaleceniach pokontrolnych powtarzały się w przeszłości.</w:t>
            </w:r>
          </w:p>
          <w:p w14:paraId="106C0E24" w14:textId="4430F974" w:rsidR="00C04931" w:rsidRPr="00E356CE" w:rsidRDefault="602C48C9" w:rsidP="2ECB3D4D">
            <w:pPr>
              <w:spacing w:line="360" w:lineRule="auto"/>
              <w:ind w:firstLine="510"/>
              <w:jc w:val="both"/>
            </w:pPr>
            <w:r w:rsidRPr="00E356CE">
              <w:t>4. Jeżeli po upływie 30 dni od dnia doręczenia zaleceń pokontrolnych lub po upływie terminu, o którym mowa w ust. 2, podmiot kontrolowany nie usunie wskazanych nieprawidłowości albo udzielone wyjaśnienia lub przedstawione stanowisko odnośnie do stwierdzonych naruszeń okażą się niewystarczające, Prezes UKE wydaje decyzję, w której nakazuje usunięcie stwierdzonych nieprawidłowości oraz może:</w:t>
            </w:r>
          </w:p>
          <w:p w14:paraId="529F4324" w14:textId="20C9D466" w:rsidR="00C04931" w:rsidRPr="00E356CE" w:rsidRDefault="602C48C9" w:rsidP="2ECB3D4D">
            <w:pPr>
              <w:spacing w:line="360" w:lineRule="auto"/>
              <w:ind w:left="510" w:hanging="510"/>
              <w:jc w:val="both"/>
            </w:pPr>
            <w:r w:rsidRPr="00E356CE">
              <w:t>1)</w:t>
            </w:r>
            <w:r w:rsidR="00D51095" w:rsidRPr="00E356CE">
              <w:tab/>
            </w:r>
            <w:r w:rsidRPr="00E356CE">
              <w:t>wskazać środki, jakie powinien zastosować podmiot kontrolowany, w celu usunięcia nieprawidłowości;</w:t>
            </w:r>
          </w:p>
          <w:p w14:paraId="0C59991B" w14:textId="6D64E4D0" w:rsidR="00C04931" w:rsidRPr="00E356CE" w:rsidRDefault="602C48C9" w:rsidP="2ECB3D4D">
            <w:pPr>
              <w:spacing w:line="360" w:lineRule="auto"/>
              <w:ind w:left="510" w:hanging="510"/>
              <w:jc w:val="both"/>
            </w:pPr>
            <w:r w:rsidRPr="00E356CE">
              <w:t>2)</w:t>
            </w:r>
            <w:r w:rsidR="00D51095" w:rsidRPr="00E356CE">
              <w:tab/>
            </w:r>
            <w:r w:rsidRPr="00E356CE">
              <w:t>określić termin, w którym ma nastąpić usunięcie nieprawidłowości;</w:t>
            </w:r>
          </w:p>
          <w:p w14:paraId="1F0DBFAD" w14:textId="33DCF7D0" w:rsidR="00C04931" w:rsidRPr="00E356CE" w:rsidRDefault="602C48C9" w:rsidP="2ECB3D4D">
            <w:pPr>
              <w:spacing w:line="360" w:lineRule="auto"/>
              <w:ind w:left="510" w:hanging="510"/>
              <w:jc w:val="both"/>
            </w:pPr>
            <w:r w:rsidRPr="00E356CE">
              <w:t>3)</w:t>
            </w:r>
            <w:r w:rsidR="00D51095" w:rsidRPr="00E356CE">
              <w:tab/>
            </w:r>
            <w:r w:rsidRPr="00E356CE">
              <w:t>nałożyć karę, o której mowa w art. 441, chyba że na podstawie ust. 1 pkt 1 zostało już wszczęte postępowanie w sprawie nałożenia kary za niewypełnienie tych obowiązków.</w:t>
            </w:r>
          </w:p>
          <w:p w14:paraId="416DCB79" w14:textId="12D58261" w:rsidR="00C04931" w:rsidRPr="00E356CE" w:rsidRDefault="602C48C9" w:rsidP="2ECB3D4D">
            <w:pPr>
              <w:spacing w:line="360" w:lineRule="auto"/>
              <w:ind w:firstLine="510"/>
              <w:jc w:val="both"/>
            </w:pPr>
            <w:r w:rsidRPr="00E356CE">
              <w:t>(...)</w:t>
            </w:r>
          </w:p>
          <w:p w14:paraId="23809501" w14:textId="4D760A83" w:rsidR="00C04931" w:rsidRPr="00E356CE" w:rsidRDefault="602C48C9" w:rsidP="2ECB3D4D">
            <w:pPr>
              <w:spacing w:line="360" w:lineRule="auto"/>
              <w:ind w:firstLine="510"/>
              <w:jc w:val="both"/>
            </w:pPr>
            <w:r w:rsidRPr="00E356CE">
              <w:t xml:space="preserve">6. Jeżeli nieprawidłowości, o których mowa w ust. 1, występowały w przeszłości lub mają poważny charakter, a podmiot kontrolowany nie zastosował się do decyzji, o której mowa w ust. 4 lub 5, Prezes UKE może, w drodze decyzji, zakazać podmiotowi kontrolowanemu wykonywania działalności polegającej na świadczeniu usług komunikacji elektronicznej na okres od 1 roku do 3 lat, cofnąć pozwolenie radiowe, zmienić lub cofnąć </w:t>
            </w:r>
            <w:r w:rsidRPr="00E356CE">
              <w:lastRenderedPageBreak/>
              <w:t>rezerwację częstotliwości, zasobów orbitalnych lub przydział zasobów numeracji. Jeżeli decyzja odnosi się do działalności polegającej na rozpowszechnianiu programów radiowych lub telewizyjnych, Prezes UKE wydaje ją w porozumieniu z Przewodniczącym KRRiT.</w:t>
            </w:r>
          </w:p>
          <w:p w14:paraId="21FB8327" w14:textId="0924F19A" w:rsidR="00C04931" w:rsidRPr="00E356CE" w:rsidRDefault="602C48C9" w:rsidP="2ECB3D4D">
            <w:pPr>
              <w:spacing w:line="360" w:lineRule="auto"/>
              <w:ind w:firstLine="510"/>
              <w:jc w:val="both"/>
            </w:pPr>
            <w:r w:rsidRPr="00E356CE">
              <w:t>7. W przypadku, gdy przesłanką wydania decyzji, o której mowa w ust. 6, jest zagrożenie przez działalność podmiotu kontrolowanego obronności, bezpieczeństwa państwa lub bezpieczeństwa i porządku publicznego, Prezes UKE przed jej wydaniem zasięga opinii Ministra Obrony Narodowej, ministra właściwego do spraw wewnętrznych, Szefa Agencji Bezpieczeństwa Wewnętrznego lub Szefa Agencji Wywiadu, w zakresie ich właściwości. Jeżeli uzasadnienie do opinii tych organów zawiera informacje niejawne, zamiast uzasadnienia doręcza się zawiadomienie, że uzasadnienie zostało sporządzone.</w:t>
            </w:r>
          </w:p>
          <w:p w14:paraId="311D7C88" w14:textId="18A0E098" w:rsidR="00C04931" w:rsidRPr="00E356CE" w:rsidRDefault="602C48C9" w:rsidP="2ECB3D4D">
            <w:pPr>
              <w:spacing w:line="360" w:lineRule="auto"/>
              <w:ind w:firstLine="510"/>
              <w:jc w:val="both"/>
            </w:pPr>
            <w:r w:rsidRPr="00E356CE">
              <w:t>8. Organy, o których mowa w ust. 7, są obowiązane w terminie 30 dni zająć stanowisko w zakresie niezbędnym do ustalenia, że działalność podmiotu kontrolowanego może prowadzić do zagrożenia obronności, bezpieczeństwa państwa lub bezpieczeństwa i porządku publicznego.</w:t>
            </w:r>
          </w:p>
          <w:p w14:paraId="35EFC413" w14:textId="7843D607" w:rsidR="00C04931" w:rsidRPr="00E356CE" w:rsidRDefault="602C48C9" w:rsidP="2ECB3D4D">
            <w:pPr>
              <w:spacing w:line="360" w:lineRule="auto"/>
              <w:ind w:firstLine="510"/>
              <w:jc w:val="both"/>
            </w:pPr>
            <w:r w:rsidRPr="00E356CE">
              <w:t>9. Jeżeli organy, o których mowa w ust. 7, nie zajmą stanowiska w terminie 30 dni, uznaje się, że wymóg uzyskania stanowiska został spełniony.</w:t>
            </w:r>
          </w:p>
          <w:p w14:paraId="3A4A7E19" w14:textId="1A347B45" w:rsidR="00C04931" w:rsidRPr="00E356CE" w:rsidRDefault="602C48C9" w:rsidP="2ECB3D4D">
            <w:pPr>
              <w:spacing w:line="360" w:lineRule="auto"/>
              <w:ind w:firstLine="510"/>
              <w:jc w:val="both"/>
            </w:pPr>
            <w:r w:rsidRPr="00E356CE">
              <w:lastRenderedPageBreak/>
              <w:t>10. Decyzji, o której mowa w ust. 6, nadaje się rygor natychmiastowej wykonalności. Decyzja ta stanowi podstawę do wykreślenia podmiotu kontrolowanego z rejestru PT.</w:t>
            </w:r>
          </w:p>
          <w:p w14:paraId="0ABBD0B7" w14:textId="55E7644B" w:rsidR="00C04931" w:rsidRPr="00E356CE" w:rsidRDefault="00D51095" w:rsidP="00A9191A">
            <w:pPr>
              <w:jc w:val="both"/>
            </w:pPr>
            <w:r w:rsidRPr="00E356CE">
              <w:br/>
            </w:r>
          </w:p>
          <w:p w14:paraId="4C4F941E" w14:textId="46F3BFFF" w:rsidR="00C04931" w:rsidRPr="00E356CE" w:rsidRDefault="00C04931" w:rsidP="2ECB3D4D">
            <w:pPr>
              <w:jc w:val="both"/>
            </w:pPr>
          </w:p>
        </w:tc>
      </w:tr>
      <w:tr w:rsidR="00723799" w:rsidRPr="00E356CE" w14:paraId="57473CDC" w14:textId="77777777" w:rsidTr="56856880">
        <w:tc>
          <w:tcPr>
            <w:tcW w:w="795" w:type="dxa"/>
            <w:tcBorders>
              <w:top w:val="single" w:sz="4" w:space="0" w:color="auto"/>
              <w:left w:val="single" w:sz="4" w:space="0" w:color="auto"/>
              <w:bottom w:val="single" w:sz="4" w:space="0" w:color="auto"/>
              <w:right w:val="single" w:sz="4" w:space="0" w:color="auto"/>
            </w:tcBorders>
          </w:tcPr>
          <w:p w14:paraId="1998D818" w14:textId="77777777" w:rsidR="00C04931" w:rsidRPr="00E356CE" w:rsidRDefault="00F339A0" w:rsidP="00A9191A">
            <w:pPr>
              <w:jc w:val="both"/>
            </w:pPr>
            <w:r w:rsidRPr="00E356CE">
              <w:lastRenderedPageBreak/>
              <w:t>Art. 15a ust. 3</w:t>
            </w:r>
          </w:p>
        </w:tc>
        <w:tc>
          <w:tcPr>
            <w:tcW w:w="4719" w:type="dxa"/>
            <w:tcBorders>
              <w:top w:val="single" w:sz="4" w:space="0" w:color="auto"/>
              <w:left w:val="single" w:sz="4" w:space="0" w:color="auto"/>
              <w:bottom w:val="single" w:sz="4" w:space="0" w:color="auto"/>
              <w:right w:val="single" w:sz="4" w:space="0" w:color="auto"/>
            </w:tcBorders>
          </w:tcPr>
          <w:p w14:paraId="17A6D4D5" w14:textId="77777777" w:rsidR="00C04931" w:rsidRPr="00E356CE" w:rsidRDefault="00F339A0" w:rsidP="00A9191A">
            <w:pPr>
              <w:spacing w:before="60" w:after="120"/>
              <w:jc w:val="both"/>
              <w:rPr>
                <w:b/>
                <w:bCs/>
              </w:rPr>
            </w:pPr>
            <w:r w:rsidRPr="00E356CE">
              <w:t>3. Państwa członkowskie zapewniają, aby właściwe organy krajowe oraz, w stosownych przypadkach, inne podmioty krajowe dysponowały uprawnieniami i środkami niezbędnymi do prowadzenia dochodzeń, w tym uprawnieniami do uzyskiwania wszelkich istotnych informacji, których mogą potrzebować, aby monitorować i egzekwować przestrzeganie przepisów krajowych przyjętych zgodnie z niniejszą dyrektywą.</w:t>
            </w:r>
          </w:p>
        </w:tc>
        <w:tc>
          <w:tcPr>
            <w:tcW w:w="886" w:type="dxa"/>
            <w:tcBorders>
              <w:top w:val="single" w:sz="4" w:space="0" w:color="auto"/>
              <w:left w:val="single" w:sz="4" w:space="0" w:color="auto"/>
              <w:bottom w:val="single" w:sz="4" w:space="0" w:color="auto"/>
              <w:right w:val="single" w:sz="4" w:space="0" w:color="auto"/>
            </w:tcBorders>
          </w:tcPr>
          <w:p w14:paraId="763FA71F" w14:textId="77777777" w:rsidR="00C04931"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02FB55DD" w14:textId="291E54EE" w:rsidR="00C04931" w:rsidRPr="00E356CE" w:rsidRDefault="00F339A0" w:rsidP="00A9191A">
            <w:pPr>
              <w:pStyle w:val="Tekstpodstawowy"/>
              <w:rPr>
                <w:noProof/>
                <w:sz w:val="24"/>
                <w:szCs w:val="24"/>
              </w:rPr>
            </w:pPr>
            <w:r w:rsidRPr="00E356CE">
              <w:rPr>
                <w:sz w:val="24"/>
                <w:szCs w:val="24"/>
              </w:rPr>
              <w:t xml:space="preserve">Art. 19, art. </w:t>
            </w:r>
            <w:r w:rsidR="5EE2E175" w:rsidRPr="00E356CE">
              <w:rPr>
                <w:sz w:val="24"/>
                <w:szCs w:val="24"/>
              </w:rPr>
              <w:t>416</w:t>
            </w:r>
            <w:r w:rsidRPr="00E356CE">
              <w:rPr>
                <w:sz w:val="24"/>
                <w:szCs w:val="24"/>
              </w:rPr>
              <w:t xml:space="preserve"> ust. 1</w:t>
            </w:r>
          </w:p>
        </w:tc>
        <w:tc>
          <w:tcPr>
            <w:tcW w:w="7410" w:type="dxa"/>
            <w:gridSpan w:val="2"/>
            <w:tcBorders>
              <w:top w:val="single" w:sz="4" w:space="0" w:color="auto"/>
              <w:left w:val="single" w:sz="4" w:space="0" w:color="auto"/>
              <w:bottom w:val="single" w:sz="4" w:space="0" w:color="auto"/>
              <w:right w:val="single" w:sz="4" w:space="0" w:color="auto"/>
            </w:tcBorders>
          </w:tcPr>
          <w:p w14:paraId="76F2F4EB" w14:textId="4096DBAF" w:rsidR="00F339A0" w:rsidRPr="00E356CE" w:rsidRDefault="1E1E8B32" w:rsidP="2ECB3D4D">
            <w:pPr>
              <w:spacing w:line="360" w:lineRule="auto"/>
              <w:ind w:firstLine="510"/>
              <w:jc w:val="both"/>
            </w:pPr>
            <w:r w:rsidRPr="00E356CE">
              <w:rPr>
                <w:b/>
                <w:bCs/>
              </w:rPr>
              <w:t>Art. 19.</w:t>
            </w:r>
            <w:r w:rsidRPr="00E356CE">
              <w:t xml:space="preserve"> 1. Przedsiębiorca komunikacji elektronicznej lub podmiot, który uzyskał pozwolenie radiowe, o którym mowa w art. 138 ust. 1, rezerwację częstotliwości lub zasobów orbitalnych lub prawo do wykorzystywania zasobów numeracji, z wyłączeniem użytkownika rządowego, jest obowiązany do przekazywania na żądanie Prezesa UKE informacji niezbędnych do wykonywania przez Prezesa UKE jego uprawnień i obowiązków.</w:t>
            </w:r>
          </w:p>
          <w:p w14:paraId="3E7554C5" w14:textId="330B1B26" w:rsidR="00F339A0" w:rsidRPr="00E356CE" w:rsidRDefault="1E1E8B32" w:rsidP="2ECB3D4D">
            <w:pPr>
              <w:spacing w:line="360" w:lineRule="auto"/>
              <w:ind w:firstLine="510"/>
              <w:jc w:val="both"/>
            </w:pPr>
            <w:r w:rsidRPr="00E356CE">
              <w:t>2. W przypadku, gdy niezbędne do wykonywania przez Prezesa UKE jego uprawnień i obowiązków informacje pozyskane na podstawie ust. 1, są niewystarczające Prezes UKE może pozyskiwać te informacje od innych podmiotów działających na rynku komunikacji elektronicznej lub innych rynkach ściśle powiązanych z tym rynkiem. Podmioty te mają obowiązek przekazania informacji na uzasadnione żądanie Prezesa UKE.</w:t>
            </w:r>
          </w:p>
          <w:p w14:paraId="4218E014" w14:textId="76591BBC" w:rsidR="00F339A0" w:rsidRPr="00E356CE" w:rsidRDefault="1E1E8B32" w:rsidP="2ECB3D4D">
            <w:pPr>
              <w:spacing w:line="360" w:lineRule="auto"/>
              <w:ind w:firstLine="510"/>
              <w:jc w:val="both"/>
            </w:pPr>
            <w:r w:rsidRPr="00E356CE">
              <w:t xml:space="preserve">3. Przedsiębiorca o znaczącej pozycji rynkowej na rynku hurtowym jest obowiązany do przekazywania, na żądanie Prezesa UKE, danych </w:t>
            </w:r>
            <w:r w:rsidRPr="00E356CE">
              <w:lastRenderedPageBreak/>
              <w:t>księgowych dotyczących rynków detalicznych związanych z tym rynkiem hurtowym.</w:t>
            </w:r>
          </w:p>
          <w:p w14:paraId="5E9CC155" w14:textId="3753C320" w:rsidR="00F339A0" w:rsidRPr="00E356CE" w:rsidRDefault="1E1E8B32" w:rsidP="2ECB3D4D">
            <w:pPr>
              <w:spacing w:line="360" w:lineRule="auto"/>
              <w:ind w:firstLine="510"/>
              <w:jc w:val="both"/>
            </w:pPr>
            <w:r w:rsidRPr="00E356CE">
              <w:t>4. Żądania, o których mowa w ust. 1–3, powinny być proporcjonalne do celu, jakiemu mają służyć, oraz zawierać:</w:t>
            </w:r>
          </w:p>
          <w:p w14:paraId="60FEBEF5" w14:textId="4A49E351" w:rsidR="00F339A0" w:rsidRPr="00E356CE" w:rsidRDefault="1E1E8B32" w:rsidP="2ECB3D4D">
            <w:pPr>
              <w:spacing w:line="360" w:lineRule="auto"/>
              <w:ind w:left="510" w:hanging="510"/>
              <w:jc w:val="both"/>
            </w:pPr>
            <w:r w:rsidRPr="00E356CE">
              <w:t>1)</w:t>
            </w:r>
            <w:r w:rsidR="00F339A0" w:rsidRPr="00E356CE">
              <w:tab/>
            </w:r>
            <w:r w:rsidRPr="00E356CE">
              <w:t>wskazanie podmiotu obowiązanego do przekazania informacji;</w:t>
            </w:r>
          </w:p>
          <w:p w14:paraId="21647936" w14:textId="52F47581" w:rsidR="00F339A0" w:rsidRPr="00E356CE" w:rsidRDefault="1E1E8B32" w:rsidP="2ECB3D4D">
            <w:pPr>
              <w:spacing w:line="360" w:lineRule="auto"/>
              <w:ind w:left="510" w:hanging="510"/>
              <w:jc w:val="both"/>
            </w:pPr>
            <w:r w:rsidRPr="00E356CE">
              <w:t>2)</w:t>
            </w:r>
            <w:r w:rsidR="00F339A0" w:rsidRPr="00E356CE">
              <w:tab/>
            </w:r>
            <w:r w:rsidRPr="00E356CE">
              <w:t>datę;</w:t>
            </w:r>
          </w:p>
          <w:p w14:paraId="00252758" w14:textId="3CBF3FC6" w:rsidR="00F339A0" w:rsidRPr="00E356CE" w:rsidRDefault="1E1E8B32" w:rsidP="2ECB3D4D">
            <w:pPr>
              <w:spacing w:line="360" w:lineRule="auto"/>
              <w:ind w:left="510" w:hanging="510"/>
              <w:jc w:val="both"/>
            </w:pPr>
            <w:r w:rsidRPr="00E356CE">
              <w:t>3)</w:t>
            </w:r>
            <w:r w:rsidR="00F339A0" w:rsidRPr="00E356CE">
              <w:tab/>
            </w:r>
            <w:r w:rsidRPr="00E356CE">
              <w:t>wskazanie żądanych informacji oraz okresu, którego dotyczą;</w:t>
            </w:r>
          </w:p>
          <w:p w14:paraId="3502B5F0" w14:textId="43BA65EC" w:rsidR="00F339A0" w:rsidRPr="00E356CE" w:rsidRDefault="1E1E8B32" w:rsidP="2ECB3D4D">
            <w:pPr>
              <w:spacing w:line="360" w:lineRule="auto"/>
              <w:ind w:left="510" w:hanging="510"/>
              <w:jc w:val="both"/>
            </w:pPr>
            <w:r w:rsidRPr="00E356CE">
              <w:t>4)</w:t>
            </w:r>
            <w:r w:rsidR="00F339A0" w:rsidRPr="00E356CE">
              <w:tab/>
            </w:r>
            <w:r w:rsidRPr="00E356CE">
              <w:t>wskazanie celu, jakiemu informacje mają służyć;</w:t>
            </w:r>
          </w:p>
          <w:p w14:paraId="00BD5072" w14:textId="68539686" w:rsidR="00F339A0" w:rsidRPr="00E356CE" w:rsidRDefault="1E1E8B32" w:rsidP="2ECB3D4D">
            <w:pPr>
              <w:spacing w:line="360" w:lineRule="auto"/>
              <w:ind w:left="510" w:hanging="510"/>
              <w:jc w:val="both"/>
            </w:pPr>
            <w:r w:rsidRPr="00E356CE">
              <w:t>5)</w:t>
            </w:r>
            <w:r w:rsidR="00F339A0" w:rsidRPr="00E356CE">
              <w:tab/>
            </w:r>
            <w:r w:rsidRPr="00E356CE">
              <w:t>wskazanie terminu przekazania informacji adekwatnego do zakresu tego żądania, nie krótszego niż 7 dni;</w:t>
            </w:r>
          </w:p>
          <w:p w14:paraId="7C8FBC26" w14:textId="140CA293" w:rsidR="00F339A0" w:rsidRPr="00E356CE" w:rsidRDefault="1E1E8B32" w:rsidP="2ECB3D4D">
            <w:pPr>
              <w:spacing w:line="360" w:lineRule="auto"/>
              <w:ind w:left="510" w:hanging="510"/>
              <w:jc w:val="both"/>
            </w:pPr>
            <w:r w:rsidRPr="00E356CE">
              <w:t>6)</w:t>
            </w:r>
            <w:r w:rsidR="00F339A0" w:rsidRPr="00E356CE">
              <w:tab/>
            </w:r>
            <w:r w:rsidRPr="00E356CE">
              <w:t>uzasadnienie;</w:t>
            </w:r>
          </w:p>
          <w:p w14:paraId="79DF6E20" w14:textId="31BA70A5" w:rsidR="00F339A0" w:rsidRPr="00E356CE" w:rsidRDefault="1E1E8B32" w:rsidP="2ECB3D4D">
            <w:pPr>
              <w:spacing w:line="360" w:lineRule="auto"/>
              <w:ind w:left="510" w:hanging="510"/>
              <w:jc w:val="both"/>
            </w:pPr>
            <w:r w:rsidRPr="00E356CE">
              <w:t>7)</w:t>
            </w:r>
            <w:r w:rsidR="00F339A0" w:rsidRPr="00E356CE">
              <w:tab/>
            </w:r>
            <w:r w:rsidRPr="00E356CE">
              <w:t>pouczenie o zagrożeniu karą, o której mowa w art. 441 ust. 2.</w:t>
            </w:r>
          </w:p>
          <w:p w14:paraId="5FA81E47" w14:textId="5636C737" w:rsidR="00F339A0" w:rsidRPr="00E356CE" w:rsidRDefault="1E1E8B32" w:rsidP="2ECB3D4D">
            <w:pPr>
              <w:spacing w:line="360" w:lineRule="auto"/>
              <w:ind w:firstLine="510"/>
              <w:jc w:val="both"/>
            </w:pPr>
            <w:r w:rsidRPr="00E356CE">
              <w:t>5. Prezes UKE może zastosować do pozyskania informacji, o których mowa w ust. 1–3, opracowane przez siebie formularze, dążąc do ujednolicenia i zapewnienia spójności pozyskanych informacji.</w:t>
            </w:r>
          </w:p>
          <w:p w14:paraId="48415174" w14:textId="5D442502" w:rsidR="00F339A0" w:rsidRPr="00E356CE" w:rsidRDefault="00F339A0" w:rsidP="2ECB3D4D"/>
          <w:p w14:paraId="0CDEB80B" w14:textId="3873E8ED" w:rsidR="00C04931" w:rsidRPr="00E356CE" w:rsidRDefault="1E1E8B32" w:rsidP="2ECB3D4D">
            <w:pPr>
              <w:spacing w:line="360" w:lineRule="auto"/>
              <w:ind w:firstLine="510"/>
              <w:jc w:val="both"/>
            </w:pPr>
            <w:r w:rsidRPr="00E356CE">
              <w:rPr>
                <w:b/>
                <w:bCs/>
              </w:rPr>
              <w:t>Art. 416.</w:t>
            </w:r>
            <w:r w:rsidRPr="00E356CE">
              <w:t xml:space="preserve"> 1. Prezes UKE jest uprawniony do weryfikacji przestrzegania przepisów, decyzji oraz postanowień z zakresu komunikacji elektronicznej lub spełniania wymagań dotyczących kompatybilności elektromagnetycznej.</w:t>
            </w:r>
          </w:p>
        </w:tc>
      </w:tr>
      <w:tr w:rsidR="00723799" w:rsidRPr="00E356CE" w14:paraId="29DA3FA5" w14:textId="77777777" w:rsidTr="56856880">
        <w:tc>
          <w:tcPr>
            <w:tcW w:w="795" w:type="dxa"/>
            <w:tcBorders>
              <w:top w:val="single" w:sz="4" w:space="0" w:color="auto"/>
              <w:left w:val="single" w:sz="4" w:space="0" w:color="auto"/>
              <w:bottom w:val="single" w:sz="4" w:space="0" w:color="auto"/>
              <w:right w:val="single" w:sz="4" w:space="0" w:color="auto"/>
            </w:tcBorders>
          </w:tcPr>
          <w:p w14:paraId="62F6ACF8" w14:textId="77777777" w:rsidR="00C04931" w:rsidRPr="00E356CE" w:rsidRDefault="00F339A0" w:rsidP="00A9191A">
            <w:pPr>
              <w:jc w:val="both"/>
            </w:pPr>
            <w:r w:rsidRPr="00E356CE">
              <w:lastRenderedPageBreak/>
              <w:t>Art. 15a ust. 4</w:t>
            </w:r>
          </w:p>
        </w:tc>
        <w:tc>
          <w:tcPr>
            <w:tcW w:w="4719" w:type="dxa"/>
            <w:tcBorders>
              <w:top w:val="single" w:sz="4" w:space="0" w:color="auto"/>
              <w:left w:val="single" w:sz="4" w:space="0" w:color="auto"/>
              <w:bottom w:val="single" w:sz="4" w:space="0" w:color="auto"/>
              <w:right w:val="single" w:sz="4" w:space="0" w:color="auto"/>
            </w:tcBorders>
          </w:tcPr>
          <w:p w14:paraId="2C569943" w14:textId="77777777" w:rsidR="00C04931" w:rsidRPr="00E356CE" w:rsidRDefault="00F339A0" w:rsidP="00A9191A">
            <w:pPr>
              <w:spacing w:before="60" w:after="120"/>
              <w:jc w:val="both"/>
              <w:rPr>
                <w:b/>
                <w:bCs/>
              </w:rPr>
            </w:pPr>
            <w:r w:rsidRPr="00E356CE">
              <w:t xml:space="preserve">4. Właściwe krajowe organy regulacyjne mogą przyjmować środki w celu zapewnienia efektywnej współpracy transgranicznej w </w:t>
            </w:r>
            <w:r w:rsidRPr="00E356CE">
              <w:lastRenderedPageBreak/>
              <w:t>zakresie egzekwowania przepisów krajowych przyjętych zgodnie z niniejszą dyrektywą oraz tworzenia zharmonizowanych warunków świadczenia usług obejmujących transgraniczny przepływ danych.</w:t>
            </w:r>
            <w:r w:rsidRPr="00E356CE">
              <w:br/>
              <w:t>Krajowe organy regulacyjne przekazują Komisji – w odpowiednim czasie przed przyjęciem takich środków – podsumowanie podstawy do działania, przewidywane środki i proponowany przebieg działań. Po zbadaniu takich informacji oraz konsultacjach z ENISA i Grupą Roboczą ds. Ochrony Osób Fizycznych w zakresie Przetwarzania Danych Osobowych ustanowioną na mocy art. 29 dyrektywy 95/46/WE, Komisja może zgłaszać do nich uwagi lub wydawać zalecenia, w szczególności w celu zapewnienia, aby przewidywane środki nie wpływały niekorzystnie na funkcjonowanie rynku wewnętrznego. Przy podejmowaniu decyzji dotyczącej omawianych środków krajowe organy regulacyjne uwzględniają w jak największym stopniu uwagi lub zalecenia Komisji.</w:t>
            </w:r>
          </w:p>
        </w:tc>
        <w:tc>
          <w:tcPr>
            <w:tcW w:w="886" w:type="dxa"/>
            <w:tcBorders>
              <w:top w:val="single" w:sz="4" w:space="0" w:color="auto"/>
              <w:left w:val="single" w:sz="4" w:space="0" w:color="auto"/>
              <w:bottom w:val="single" w:sz="4" w:space="0" w:color="auto"/>
              <w:right w:val="single" w:sz="4" w:space="0" w:color="auto"/>
            </w:tcBorders>
          </w:tcPr>
          <w:p w14:paraId="114259C9" w14:textId="77777777" w:rsidR="00C04931" w:rsidRPr="00E356CE" w:rsidRDefault="00F339A0"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397B4192"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88F57CE" w14:textId="77777777" w:rsidR="00F339A0" w:rsidRPr="00E356CE" w:rsidRDefault="00F339A0" w:rsidP="00A9191A">
            <w:pPr>
              <w:jc w:val="both"/>
            </w:pPr>
          </w:p>
          <w:p w14:paraId="3E28448A" w14:textId="77777777" w:rsidR="00C04931" w:rsidRPr="00E356CE" w:rsidRDefault="00F339A0" w:rsidP="00A9191A">
            <w:pPr>
              <w:jc w:val="both"/>
            </w:pPr>
            <w:r w:rsidRPr="00E356CE">
              <w:t>Przepis fakultatywny dotyczący współpracy międzynarodowej krajowych organów regulacyjnych.</w:t>
            </w:r>
          </w:p>
        </w:tc>
      </w:tr>
      <w:tr w:rsidR="00723799" w:rsidRPr="00E356CE" w14:paraId="3632FB22" w14:textId="77777777" w:rsidTr="56856880">
        <w:tc>
          <w:tcPr>
            <w:tcW w:w="795" w:type="dxa"/>
            <w:tcBorders>
              <w:top w:val="single" w:sz="4" w:space="0" w:color="auto"/>
              <w:left w:val="single" w:sz="4" w:space="0" w:color="auto"/>
              <w:bottom w:val="single" w:sz="4" w:space="0" w:color="auto"/>
              <w:right w:val="single" w:sz="4" w:space="0" w:color="auto"/>
            </w:tcBorders>
          </w:tcPr>
          <w:p w14:paraId="34C86ACB" w14:textId="77777777" w:rsidR="00C04931" w:rsidRPr="00E356CE" w:rsidRDefault="00FD580E" w:rsidP="00A9191A">
            <w:pPr>
              <w:jc w:val="both"/>
              <w:rPr>
                <w:b/>
              </w:rPr>
            </w:pPr>
            <w:r w:rsidRPr="00E356CE">
              <w:rPr>
                <w:b/>
              </w:rPr>
              <w:lastRenderedPageBreak/>
              <w:t>Art. 16</w:t>
            </w:r>
          </w:p>
        </w:tc>
        <w:tc>
          <w:tcPr>
            <w:tcW w:w="4719" w:type="dxa"/>
            <w:tcBorders>
              <w:top w:val="single" w:sz="4" w:space="0" w:color="auto"/>
              <w:left w:val="single" w:sz="4" w:space="0" w:color="auto"/>
              <w:bottom w:val="single" w:sz="4" w:space="0" w:color="auto"/>
              <w:right w:val="single" w:sz="4" w:space="0" w:color="auto"/>
            </w:tcBorders>
          </w:tcPr>
          <w:p w14:paraId="07B5BD06" w14:textId="77777777" w:rsidR="00C04931" w:rsidRPr="00E356CE" w:rsidRDefault="00FD580E" w:rsidP="00A9191A">
            <w:pPr>
              <w:spacing w:before="60" w:after="120"/>
              <w:jc w:val="both"/>
              <w:rPr>
                <w:b/>
                <w:bCs/>
              </w:rPr>
            </w:pPr>
            <w:r w:rsidRPr="00E356CE">
              <w:rPr>
                <w:b/>
              </w:rPr>
              <w:t>Przepisy przejściowe</w:t>
            </w:r>
          </w:p>
        </w:tc>
        <w:tc>
          <w:tcPr>
            <w:tcW w:w="886" w:type="dxa"/>
            <w:tcBorders>
              <w:top w:val="single" w:sz="4" w:space="0" w:color="auto"/>
              <w:left w:val="single" w:sz="4" w:space="0" w:color="auto"/>
              <w:bottom w:val="single" w:sz="4" w:space="0" w:color="auto"/>
              <w:right w:val="single" w:sz="4" w:space="0" w:color="auto"/>
            </w:tcBorders>
          </w:tcPr>
          <w:p w14:paraId="62214966"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3209AD11"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384124F1" w14:textId="77777777" w:rsidR="00C04931" w:rsidRPr="00E356CE" w:rsidRDefault="00C04931" w:rsidP="00A9191A">
            <w:pPr>
              <w:jc w:val="both"/>
            </w:pPr>
          </w:p>
        </w:tc>
      </w:tr>
      <w:tr w:rsidR="00723799" w:rsidRPr="00E356CE" w14:paraId="366D837F" w14:textId="77777777" w:rsidTr="56856880">
        <w:tc>
          <w:tcPr>
            <w:tcW w:w="795" w:type="dxa"/>
            <w:tcBorders>
              <w:top w:val="single" w:sz="4" w:space="0" w:color="auto"/>
              <w:left w:val="single" w:sz="4" w:space="0" w:color="auto"/>
              <w:bottom w:val="single" w:sz="4" w:space="0" w:color="auto"/>
              <w:right w:val="single" w:sz="4" w:space="0" w:color="auto"/>
            </w:tcBorders>
          </w:tcPr>
          <w:p w14:paraId="5CD90910" w14:textId="77777777" w:rsidR="00C04931" w:rsidRPr="00E356CE" w:rsidRDefault="00FD580E" w:rsidP="00A9191A">
            <w:pPr>
              <w:jc w:val="both"/>
            </w:pPr>
            <w:r w:rsidRPr="00E356CE">
              <w:t>Art. 16 ust. 1</w:t>
            </w:r>
          </w:p>
        </w:tc>
        <w:tc>
          <w:tcPr>
            <w:tcW w:w="4719" w:type="dxa"/>
            <w:tcBorders>
              <w:top w:val="single" w:sz="4" w:space="0" w:color="auto"/>
              <w:left w:val="single" w:sz="4" w:space="0" w:color="auto"/>
              <w:bottom w:val="single" w:sz="4" w:space="0" w:color="auto"/>
              <w:right w:val="single" w:sz="4" w:space="0" w:color="auto"/>
            </w:tcBorders>
          </w:tcPr>
          <w:p w14:paraId="0D3D901E" w14:textId="77777777" w:rsidR="00C04931" w:rsidRPr="00E356CE" w:rsidRDefault="00FD580E" w:rsidP="00A9191A">
            <w:pPr>
              <w:spacing w:before="60" w:after="120"/>
              <w:jc w:val="both"/>
              <w:rPr>
                <w:b/>
                <w:bCs/>
              </w:rPr>
            </w:pPr>
            <w:r w:rsidRPr="00E356CE">
              <w:t>1. Przepisów art. 12 nie stosuje się do publikacji spisów abonentów już wydanych lub wprowadzonych do obrotu w wersji drukowanej lub w elektronicznej formie off-</w:t>
            </w:r>
            <w:proofErr w:type="spellStart"/>
            <w:r w:rsidRPr="00E356CE">
              <w:t>line</w:t>
            </w:r>
            <w:proofErr w:type="spellEnd"/>
            <w:r w:rsidRPr="00E356CE">
              <w:t xml:space="preserve"> przed wejściem w życie przepisów krajowych przyjętych stosownie do niniejszej dyrektywy.</w:t>
            </w:r>
          </w:p>
        </w:tc>
        <w:tc>
          <w:tcPr>
            <w:tcW w:w="886" w:type="dxa"/>
            <w:tcBorders>
              <w:top w:val="single" w:sz="4" w:space="0" w:color="auto"/>
              <w:left w:val="single" w:sz="4" w:space="0" w:color="auto"/>
              <w:bottom w:val="single" w:sz="4" w:space="0" w:color="auto"/>
              <w:right w:val="single" w:sz="4" w:space="0" w:color="auto"/>
            </w:tcBorders>
          </w:tcPr>
          <w:p w14:paraId="0DCE988E" w14:textId="77777777" w:rsidR="00C04931" w:rsidRPr="00E356CE" w:rsidRDefault="00FD580E"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49BF4844"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A4439E3" w14:textId="77777777" w:rsidR="00C04931" w:rsidRPr="00E356CE" w:rsidRDefault="00FD580E" w:rsidP="00A9191A">
            <w:pPr>
              <w:jc w:val="both"/>
            </w:pPr>
            <w:r w:rsidRPr="00E356CE">
              <w:t xml:space="preserve">Zasada lex retro non </w:t>
            </w:r>
            <w:proofErr w:type="spellStart"/>
            <w:r w:rsidRPr="00E356CE">
              <w:t>agit</w:t>
            </w:r>
            <w:proofErr w:type="spellEnd"/>
            <w:r w:rsidRPr="00E356CE">
              <w:t xml:space="preserve"> (przepis odnosił się do sytuacji wdrożenia dyrektywy w 2004 r.)</w:t>
            </w:r>
          </w:p>
        </w:tc>
      </w:tr>
      <w:tr w:rsidR="00723799" w:rsidRPr="00E356CE" w14:paraId="4359367C" w14:textId="77777777" w:rsidTr="56856880">
        <w:tc>
          <w:tcPr>
            <w:tcW w:w="795" w:type="dxa"/>
            <w:tcBorders>
              <w:top w:val="single" w:sz="4" w:space="0" w:color="auto"/>
              <w:left w:val="single" w:sz="4" w:space="0" w:color="auto"/>
              <w:bottom w:val="single" w:sz="4" w:space="0" w:color="auto"/>
              <w:right w:val="single" w:sz="4" w:space="0" w:color="auto"/>
            </w:tcBorders>
          </w:tcPr>
          <w:p w14:paraId="225A644C" w14:textId="77777777" w:rsidR="00C04931" w:rsidRPr="00E356CE" w:rsidRDefault="00FD580E" w:rsidP="00A9191A">
            <w:pPr>
              <w:jc w:val="both"/>
            </w:pPr>
            <w:r w:rsidRPr="00E356CE">
              <w:lastRenderedPageBreak/>
              <w:t>Art. 16 ust. 2</w:t>
            </w:r>
          </w:p>
        </w:tc>
        <w:tc>
          <w:tcPr>
            <w:tcW w:w="4719" w:type="dxa"/>
            <w:tcBorders>
              <w:top w:val="single" w:sz="4" w:space="0" w:color="auto"/>
              <w:left w:val="single" w:sz="4" w:space="0" w:color="auto"/>
              <w:bottom w:val="single" w:sz="4" w:space="0" w:color="auto"/>
              <w:right w:val="single" w:sz="4" w:space="0" w:color="auto"/>
            </w:tcBorders>
          </w:tcPr>
          <w:p w14:paraId="00C68431" w14:textId="77777777" w:rsidR="00C04931" w:rsidRPr="00E356CE" w:rsidRDefault="00FD580E" w:rsidP="00A9191A">
            <w:pPr>
              <w:spacing w:before="60" w:after="120"/>
              <w:jc w:val="both"/>
              <w:rPr>
                <w:b/>
                <w:bCs/>
              </w:rPr>
            </w:pPr>
            <w:r w:rsidRPr="00E356CE">
              <w:t>2. W przypadku gdy dane osobowe abonentów usług stacjonarnej lub przenośnej publicznej telefonii głosowej są zawarte w publicznym spisie abonentów, zgodnie z przepisami dyrektywy 95/46/WE i art. 11 dyrektywy 97/66/WE, przed wejściem w życie przepisów prawa krajowego przyjętych na mocy niniejszej dyrektywy, dane osobowe tych abonentów mogą pozostać w tym spisie abonentów w wersji drukowanej lub elektronicznej, włączając wersje ze zwrotnymi funkcjami wyszukiwania, chyba że abonenci, po otrzymaniu pełnej informacji o celach i opcjach zgodnie z art. 12 niniejszej dyrektywy, oświadczą inaczej.</w:t>
            </w:r>
          </w:p>
        </w:tc>
        <w:tc>
          <w:tcPr>
            <w:tcW w:w="886" w:type="dxa"/>
            <w:tcBorders>
              <w:top w:val="single" w:sz="4" w:space="0" w:color="auto"/>
              <w:left w:val="single" w:sz="4" w:space="0" w:color="auto"/>
              <w:bottom w:val="single" w:sz="4" w:space="0" w:color="auto"/>
              <w:right w:val="single" w:sz="4" w:space="0" w:color="auto"/>
            </w:tcBorders>
          </w:tcPr>
          <w:p w14:paraId="5AC9F157" w14:textId="77777777" w:rsidR="00C04931" w:rsidRPr="00E356CE" w:rsidRDefault="00FD580E"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103C7086"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79B5826B" w14:textId="77777777" w:rsidR="00C04931" w:rsidRPr="00E356CE" w:rsidRDefault="00C04931" w:rsidP="00A9191A">
            <w:pPr>
              <w:jc w:val="both"/>
            </w:pPr>
          </w:p>
        </w:tc>
      </w:tr>
      <w:tr w:rsidR="00723799" w:rsidRPr="00E356CE" w14:paraId="45B12E0F" w14:textId="77777777" w:rsidTr="56856880">
        <w:tc>
          <w:tcPr>
            <w:tcW w:w="795" w:type="dxa"/>
            <w:tcBorders>
              <w:top w:val="single" w:sz="4" w:space="0" w:color="auto"/>
              <w:left w:val="single" w:sz="4" w:space="0" w:color="auto"/>
              <w:bottom w:val="single" w:sz="4" w:space="0" w:color="auto"/>
              <w:right w:val="single" w:sz="4" w:space="0" w:color="auto"/>
            </w:tcBorders>
          </w:tcPr>
          <w:p w14:paraId="508C1760" w14:textId="77777777" w:rsidR="00C04931" w:rsidRPr="00E356CE" w:rsidRDefault="00FD580E" w:rsidP="00A9191A">
            <w:pPr>
              <w:jc w:val="both"/>
              <w:rPr>
                <w:b/>
              </w:rPr>
            </w:pPr>
            <w:r w:rsidRPr="00E356CE">
              <w:rPr>
                <w:b/>
              </w:rPr>
              <w:t>Art. 17</w:t>
            </w:r>
          </w:p>
        </w:tc>
        <w:tc>
          <w:tcPr>
            <w:tcW w:w="4719" w:type="dxa"/>
            <w:tcBorders>
              <w:top w:val="single" w:sz="4" w:space="0" w:color="auto"/>
              <w:left w:val="single" w:sz="4" w:space="0" w:color="auto"/>
              <w:bottom w:val="single" w:sz="4" w:space="0" w:color="auto"/>
              <w:right w:val="single" w:sz="4" w:space="0" w:color="auto"/>
            </w:tcBorders>
          </w:tcPr>
          <w:p w14:paraId="2969A008" w14:textId="77777777" w:rsidR="00C04931" w:rsidRPr="00E356CE" w:rsidRDefault="00FD580E" w:rsidP="00A9191A">
            <w:pPr>
              <w:spacing w:before="60" w:after="120"/>
              <w:jc w:val="both"/>
              <w:rPr>
                <w:b/>
                <w:bCs/>
              </w:rPr>
            </w:pPr>
            <w:r w:rsidRPr="00E356CE">
              <w:rPr>
                <w:b/>
              </w:rPr>
              <w:t>Transpozycja</w:t>
            </w:r>
          </w:p>
        </w:tc>
        <w:tc>
          <w:tcPr>
            <w:tcW w:w="886" w:type="dxa"/>
            <w:tcBorders>
              <w:top w:val="single" w:sz="4" w:space="0" w:color="auto"/>
              <w:left w:val="single" w:sz="4" w:space="0" w:color="auto"/>
              <w:bottom w:val="single" w:sz="4" w:space="0" w:color="auto"/>
              <w:right w:val="single" w:sz="4" w:space="0" w:color="auto"/>
            </w:tcBorders>
          </w:tcPr>
          <w:p w14:paraId="542D2ACC" w14:textId="77777777" w:rsidR="00C04931" w:rsidRPr="00E356CE" w:rsidRDefault="00C04931"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63CFB06B"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31AFF0AF" w14:textId="77777777" w:rsidR="00C04931" w:rsidRPr="00E356CE" w:rsidRDefault="00C04931" w:rsidP="00A9191A">
            <w:pPr>
              <w:jc w:val="both"/>
            </w:pPr>
          </w:p>
        </w:tc>
      </w:tr>
      <w:tr w:rsidR="00723799" w:rsidRPr="00E356CE" w14:paraId="79D5C5C7" w14:textId="77777777" w:rsidTr="56856880">
        <w:tc>
          <w:tcPr>
            <w:tcW w:w="795" w:type="dxa"/>
            <w:tcBorders>
              <w:top w:val="single" w:sz="4" w:space="0" w:color="auto"/>
              <w:left w:val="single" w:sz="4" w:space="0" w:color="auto"/>
              <w:bottom w:val="single" w:sz="4" w:space="0" w:color="auto"/>
              <w:right w:val="single" w:sz="4" w:space="0" w:color="auto"/>
            </w:tcBorders>
          </w:tcPr>
          <w:p w14:paraId="3940D00A" w14:textId="77777777" w:rsidR="00C04931" w:rsidRPr="00E356CE" w:rsidRDefault="00FD580E" w:rsidP="00A9191A">
            <w:pPr>
              <w:jc w:val="both"/>
            </w:pPr>
            <w:r w:rsidRPr="00E356CE">
              <w:t>Art. 17 ust. 1</w:t>
            </w:r>
          </w:p>
        </w:tc>
        <w:tc>
          <w:tcPr>
            <w:tcW w:w="4719" w:type="dxa"/>
            <w:tcBorders>
              <w:top w:val="single" w:sz="4" w:space="0" w:color="auto"/>
              <w:left w:val="single" w:sz="4" w:space="0" w:color="auto"/>
              <w:bottom w:val="single" w:sz="4" w:space="0" w:color="auto"/>
              <w:right w:val="single" w:sz="4" w:space="0" w:color="auto"/>
            </w:tcBorders>
          </w:tcPr>
          <w:p w14:paraId="0679DA44" w14:textId="77777777" w:rsidR="00C04931" w:rsidRPr="00E356CE" w:rsidRDefault="00FD580E" w:rsidP="00A9191A">
            <w:pPr>
              <w:spacing w:before="60" w:after="120"/>
              <w:jc w:val="both"/>
              <w:rPr>
                <w:b/>
                <w:bCs/>
              </w:rPr>
            </w:pPr>
            <w:r w:rsidRPr="00E356CE">
              <w:t>1. Przed dniem 31 października 2003 r. Państwa Członkowskie wprowadzą w życie przepisy niezbędne do wykonania niniejszej dyrektywy i niezwłocznie powiadomią o tym Komisję. Przepisy przyjęte przez Państwa Członkowskie zawierają odniesienie do niniejszej dyrektywy lub odniesienia takie towarzyszy ich urzędowej publikacji. Państwa Członkowskie określają metody dokonywania takich odniesień.</w:t>
            </w:r>
          </w:p>
        </w:tc>
        <w:tc>
          <w:tcPr>
            <w:tcW w:w="886" w:type="dxa"/>
            <w:tcBorders>
              <w:top w:val="single" w:sz="4" w:space="0" w:color="auto"/>
              <w:left w:val="single" w:sz="4" w:space="0" w:color="auto"/>
              <w:bottom w:val="single" w:sz="4" w:space="0" w:color="auto"/>
              <w:right w:val="single" w:sz="4" w:space="0" w:color="auto"/>
            </w:tcBorders>
          </w:tcPr>
          <w:p w14:paraId="0BB712E3" w14:textId="77777777" w:rsidR="00C04931"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095C3A14"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322CB9CE" w14:textId="77777777" w:rsidR="00FD580E" w:rsidRPr="00E356CE" w:rsidRDefault="00FD580E" w:rsidP="00A9191A">
            <w:pPr>
              <w:pStyle w:val="Tekstpodstawowy"/>
              <w:rPr>
                <w:sz w:val="24"/>
                <w:szCs w:val="24"/>
              </w:rPr>
            </w:pPr>
            <w:r w:rsidRPr="00E356CE">
              <w:rPr>
                <w:sz w:val="24"/>
                <w:szCs w:val="24"/>
              </w:rPr>
              <w:t>Odnośnik w ustawie Pke:</w:t>
            </w:r>
          </w:p>
          <w:p w14:paraId="78E0D193" w14:textId="77777777" w:rsidR="00FD580E" w:rsidRPr="00E356CE" w:rsidRDefault="00FD580E" w:rsidP="00A9191A">
            <w:pPr>
              <w:pStyle w:val="Tekstpodstawowy"/>
              <w:rPr>
                <w:sz w:val="24"/>
                <w:szCs w:val="24"/>
              </w:rPr>
            </w:pPr>
            <w:r w:rsidRPr="00E356CE">
              <w:rPr>
                <w:sz w:val="24"/>
                <w:szCs w:val="24"/>
              </w:rPr>
              <w:t>„Niniejsza ustawa w zakresie swojej regulacji wdraża:</w:t>
            </w:r>
          </w:p>
          <w:p w14:paraId="63D4E804" w14:textId="77777777" w:rsidR="00C04931" w:rsidRPr="00E356CE" w:rsidRDefault="00FD580E" w:rsidP="00A9191A">
            <w:pPr>
              <w:jc w:val="both"/>
            </w:pPr>
            <w:r w:rsidRPr="00E356CE">
              <w:t xml:space="preserve">1) dyrektywę </w:t>
            </w:r>
            <w:r w:rsidRPr="00E356CE">
              <w:rPr>
                <w:bCs/>
              </w:rPr>
              <w:t>2002/58/WE Parlamentu Europejskiego i Rady z dnia 12 lipca 2002 r. dotycząca przetwarzania danych osobowych i ochrony prywatności w sektorze łączności elektronicznej (dyrektywa o prywatności i łączności elektronicznej</w:t>
            </w:r>
          </w:p>
        </w:tc>
      </w:tr>
      <w:tr w:rsidR="00723799" w:rsidRPr="00E356CE" w14:paraId="287106EF" w14:textId="77777777" w:rsidTr="56856880">
        <w:tc>
          <w:tcPr>
            <w:tcW w:w="795" w:type="dxa"/>
            <w:tcBorders>
              <w:top w:val="single" w:sz="4" w:space="0" w:color="auto"/>
              <w:left w:val="single" w:sz="4" w:space="0" w:color="auto"/>
              <w:bottom w:val="single" w:sz="4" w:space="0" w:color="auto"/>
              <w:right w:val="single" w:sz="4" w:space="0" w:color="auto"/>
            </w:tcBorders>
          </w:tcPr>
          <w:p w14:paraId="19116BD1" w14:textId="77777777" w:rsidR="00C04931" w:rsidRPr="00E356CE" w:rsidRDefault="00FD580E" w:rsidP="00A9191A">
            <w:pPr>
              <w:jc w:val="both"/>
            </w:pPr>
            <w:r w:rsidRPr="00E356CE">
              <w:t>Art. 17 ust. 2</w:t>
            </w:r>
          </w:p>
        </w:tc>
        <w:tc>
          <w:tcPr>
            <w:tcW w:w="4719" w:type="dxa"/>
            <w:tcBorders>
              <w:top w:val="single" w:sz="4" w:space="0" w:color="auto"/>
              <w:left w:val="single" w:sz="4" w:space="0" w:color="auto"/>
              <w:bottom w:val="single" w:sz="4" w:space="0" w:color="auto"/>
              <w:right w:val="single" w:sz="4" w:space="0" w:color="auto"/>
            </w:tcBorders>
          </w:tcPr>
          <w:p w14:paraId="4C61E29A" w14:textId="77777777" w:rsidR="00C04931" w:rsidRPr="00E356CE" w:rsidRDefault="00FD580E" w:rsidP="00A9191A">
            <w:pPr>
              <w:spacing w:before="60" w:after="120"/>
              <w:jc w:val="both"/>
              <w:rPr>
                <w:b/>
                <w:bCs/>
              </w:rPr>
            </w:pPr>
            <w:r w:rsidRPr="00E356CE">
              <w:t>2. Państwa Członkowskie przekażą Komisji teksty przepisów prawa krajowego, które przyjmą w dziedzinie regulowanej niniejszą dyrektywą oraz każdej kolejnej zmiany tych przepisów.</w:t>
            </w:r>
          </w:p>
        </w:tc>
        <w:tc>
          <w:tcPr>
            <w:tcW w:w="886" w:type="dxa"/>
            <w:tcBorders>
              <w:top w:val="single" w:sz="4" w:space="0" w:color="auto"/>
              <w:left w:val="single" w:sz="4" w:space="0" w:color="auto"/>
              <w:bottom w:val="single" w:sz="4" w:space="0" w:color="auto"/>
              <w:right w:val="single" w:sz="4" w:space="0" w:color="auto"/>
            </w:tcBorders>
          </w:tcPr>
          <w:p w14:paraId="623F1831" w14:textId="77777777" w:rsidR="00C04931" w:rsidRPr="00E356CE" w:rsidRDefault="00FD580E"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298FFF5F"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1444A4C0" w14:textId="77777777" w:rsidR="00C04931" w:rsidRPr="00E356CE" w:rsidRDefault="00C04931" w:rsidP="00A9191A">
            <w:pPr>
              <w:jc w:val="both"/>
            </w:pPr>
          </w:p>
        </w:tc>
      </w:tr>
      <w:tr w:rsidR="00723799" w:rsidRPr="00E356CE" w14:paraId="426CD584" w14:textId="77777777" w:rsidTr="56856880">
        <w:tc>
          <w:tcPr>
            <w:tcW w:w="795" w:type="dxa"/>
            <w:tcBorders>
              <w:top w:val="single" w:sz="4" w:space="0" w:color="auto"/>
              <w:left w:val="single" w:sz="4" w:space="0" w:color="auto"/>
              <w:bottom w:val="single" w:sz="4" w:space="0" w:color="auto"/>
              <w:right w:val="single" w:sz="4" w:space="0" w:color="auto"/>
            </w:tcBorders>
          </w:tcPr>
          <w:p w14:paraId="1323C69C" w14:textId="77777777" w:rsidR="00C04931" w:rsidRPr="00E356CE" w:rsidRDefault="00FD580E" w:rsidP="00A9191A">
            <w:pPr>
              <w:jc w:val="both"/>
              <w:rPr>
                <w:b/>
              </w:rPr>
            </w:pPr>
            <w:r w:rsidRPr="00E356CE">
              <w:rPr>
                <w:b/>
              </w:rPr>
              <w:lastRenderedPageBreak/>
              <w:t>Art. 18</w:t>
            </w:r>
          </w:p>
        </w:tc>
        <w:tc>
          <w:tcPr>
            <w:tcW w:w="4719" w:type="dxa"/>
            <w:tcBorders>
              <w:top w:val="single" w:sz="4" w:space="0" w:color="auto"/>
              <w:left w:val="single" w:sz="4" w:space="0" w:color="auto"/>
              <w:bottom w:val="single" w:sz="4" w:space="0" w:color="auto"/>
              <w:right w:val="single" w:sz="4" w:space="0" w:color="auto"/>
            </w:tcBorders>
          </w:tcPr>
          <w:p w14:paraId="5E870298" w14:textId="77777777" w:rsidR="00FD580E" w:rsidRPr="00E356CE" w:rsidRDefault="00FD580E" w:rsidP="00A9191A">
            <w:pPr>
              <w:autoSpaceDE w:val="0"/>
              <w:autoSpaceDN w:val="0"/>
              <w:adjustRightInd w:val="0"/>
              <w:jc w:val="both"/>
              <w:rPr>
                <w:b/>
              </w:rPr>
            </w:pPr>
            <w:r w:rsidRPr="00E356CE">
              <w:rPr>
                <w:b/>
              </w:rPr>
              <w:t xml:space="preserve">Przegląd </w:t>
            </w:r>
          </w:p>
          <w:p w14:paraId="7C7B7CB2" w14:textId="77777777" w:rsidR="00C04931" w:rsidRPr="00E356CE" w:rsidRDefault="00FD580E" w:rsidP="00A9191A">
            <w:pPr>
              <w:spacing w:before="60" w:after="120"/>
              <w:jc w:val="both"/>
              <w:rPr>
                <w:b/>
                <w:bCs/>
              </w:rPr>
            </w:pPr>
            <w:r w:rsidRPr="00E356CE">
              <w:t>Komisja przekazuje Parlamentowi Europejskiemu i Radzie, najpóźniej trzy lata od dnia, określonego w art. 17 ust. 1, sprawozdanie w sprawie stosowania niniejszej dyrektywy i jej wpływu na podmioty gospodarcze i konsumentów, w szczególności w odniesieniu do przepisów o niezamówionych komunikatach, uwzględniając otoczenie międzynarodowe. W tym celu, Komisja może żądać informacji od Państw Członkowskich, które powinny być dostarczone bez zbędnej zwłoki. Komisja przedkłada, gdzie stosowne, wnioski w sprawie zmian niniejszej dyrektywy, uwzględniając wyniki tego sprawozdania, wszelkie zmiany w sektorze oraz wszelkie inne wnioski, które uzna za niezbędne w celu poprawy skuteczności stosowania niniejszej dyrektywy.</w:t>
            </w:r>
          </w:p>
        </w:tc>
        <w:tc>
          <w:tcPr>
            <w:tcW w:w="886" w:type="dxa"/>
            <w:tcBorders>
              <w:top w:val="single" w:sz="4" w:space="0" w:color="auto"/>
              <w:left w:val="single" w:sz="4" w:space="0" w:color="auto"/>
              <w:bottom w:val="single" w:sz="4" w:space="0" w:color="auto"/>
              <w:right w:val="single" w:sz="4" w:space="0" w:color="auto"/>
            </w:tcBorders>
          </w:tcPr>
          <w:p w14:paraId="286BC60E" w14:textId="77777777" w:rsidR="00C04931"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4999D7A2"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2DF245CF" w14:textId="77777777" w:rsidR="00C04931" w:rsidRPr="00E356CE" w:rsidRDefault="00C04931" w:rsidP="00A9191A">
            <w:pPr>
              <w:jc w:val="both"/>
            </w:pPr>
          </w:p>
        </w:tc>
      </w:tr>
      <w:tr w:rsidR="00723799" w:rsidRPr="00E356CE" w14:paraId="2C8F1F49" w14:textId="77777777" w:rsidTr="56856880">
        <w:tc>
          <w:tcPr>
            <w:tcW w:w="795" w:type="dxa"/>
            <w:tcBorders>
              <w:top w:val="single" w:sz="4" w:space="0" w:color="auto"/>
              <w:left w:val="single" w:sz="4" w:space="0" w:color="auto"/>
              <w:bottom w:val="single" w:sz="4" w:space="0" w:color="auto"/>
              <w:right w:val="single" w:sz="4" w:space="0" w:color="auto"/>
            </w:tcBorders>
          </w:tcPr>
          <w:p w14:paraId="6447EF16" w14:textId="77777777" w:rsidR="00C04931" w:rsidRPr="00E356CE" w:rsidRDefault="00FD580E" w:rsidP="00A9191A">
            <w:pPr>
              <w:jc w:val="both"/>
              <w:rPr>
                <w:b/>
              </w:rPr>
            </w:pPr>
            <w:r w:rsidRPr="00E356CE">
              <w:rPr>
                <w:b/>
              </w:rPr>
              <w:t>Art. 19</w:t>
            </w:r>
          </w:p>
        </w:tc>
        <w:tc>
          <w:tcPr>
            <w:tcW w:w="4719" w:type="dxa"/>
            <w:tcBorders>
              <w:top w:val="single" w:sz="4" w:space="0" w:color="auto"/>
              <w:left w:val="single" w:sz="4" w:space="0" w:color="auto"/>
              <w:bottom w:val="single" w:sz="4" w:space="0" w:color="auto"/>
              <w:right w:val="single" w:sz="4" w:space="0" w:color="auto"/>
            </w:tcBorders>
          </w:tcPr>
          <w:p w14:paraId="36ABF96E" w14:textId="77777777" w:rsidR="00FD580E" w:rsidRPr="00E356CE" w:rsidRDefault="00FD580E" w:rsidP="00A9191A">
            <w:pPr>
              <w:autoSpaceDE w:val="0"/>
              <w:autoSpaceDN w:val="0"/>
              <w:adjustRightInd w:val="0"/>
              <w:jc w:val="both"/>
              <w:rPr>
                <w:b/>
              </w:rPr>
            </w:pPr>
            <w:r w:rsidRPr="00E356CE">
              <w:rPr>
                <w:b/>
              </w:rPr>
              <w:t xml:space="preserve">Uchylenie </w:t>
            </w:r>
            <w:r w:rsidRPr="00E356CE">
              <w:br/>
              <w:t>Dyrektywa 97/66/WE traci moc z dniem określonym w art. 17 ust. 1. Odniesienia do uchylonej dyrektywy traktuje się jak odniesienia do niniejszej dyrektywy.</w:t>
            </w:r>
            <w:r w:rsidRPr="00E356CE">
              <w:rPr>
                <w:b/>
              </w:rPr>
              <w:t xml:space="preserve"> </w:t>
            </w:r>
          </w:p>
          <w:p w14:paraId="7E8CD403" w14:textId="77777777" w:rsidR="00C04931" w:rsidRPr="00E356CE" w:rsidRDefault="00C04931" w:rsidP="00A9191A">
            <w:pPr>
              <w:spacing w:before="60" w:after="120"/>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7BAE7C3C" w14:textId="77777777" w:rsidR="00C04931" w:rsidRPr="00E356CE" w:rsidRDefault="00FD580E"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6FE10174"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2601C27E" w14:textId="77777777" w:rsidR="00C04931" w:rsidRPr="00E356CE" w:rsidRDefault="00C04931" w:rsidP="00A9191A">
            <w:pPr>
              <w:jc w:val="both"/>
            </w:pPr>
          </w:p>
        </w:tc>
      </w:tr>
      <w:tr w:rsidR="00723799" w:rsidRPr="00E356CE" w14:paraId="13C9746A" w14:textId="77777777" w:rsidTr="56856880">
        <w:tc>
          <w:tcPr>
            <w:tcW w:w="795" w:type="dxa"/>
            <w:tcBorders>
              <w:top w:val="single" w:sz="4" w:space="0" w:color="auto"/>
              <w:left w:val="single" w:sz="4" w:space="0" w:color="auto"/>
              <w:bottom w:val="single" w:sz="4" w:space="0" w:color="auto"/>
              <w:right w:val="single" w:sz="4" w:space="0" w:color="auto"/>
            </w:tcBorders>
          </w:tcPr>
          <w:p w14:paraId="09B00040" w14:textId="77777777" w:rsidR="00C04931" w:rsidRPr="00E356CE" w:rsidRDefault="00FD580E" w:rsidP="00A9191A">
            <w:pPr>
              <w:jc w:val="both"/>
              <w:rPr>
                <w:b/>
              </w:rPr>
            </w:pPr>
            <w:r w:rsidRPr="00E356CE">
              <w:rPr>
                <w:b/>
              </w:rPr>
              <w:t>Art. 20</w:t>
            </w:r>
          </w:p>
        </w:tc>
        <w:tc>
          <w:tcPr>
            <w:tcW w:w="4719" w:type="dxa"/>
            <w:tcBorders>
              <w:top w:val="single" w:sz="4" w:space="0" w:color="auto"/>
              <w:left w:val="single" w:sz="4" w:space="0" w:color="auto"/>
              <w:bottom w:val="single" w:sz="4" w:space="0" w:color="auto"/>
              <w:right w:val="single" w:sz="4" w:space="0" w:color="auto"/>
            </w:tcBorders>
          </w:tcPr>
          <w:p w14:paraId="40064ABA" w14:textId="77777777" w:rsidR="00FD580E" w:rsidRPr="00E356CE" w:rsidRDefault="00FD580E" w:rsidP="00A9191A">
            <w:pPr>
              <w:autoSpaceDE w:val="0"/>
              <w:autoSpaceDN w:val="0"/>
              <w:adjustRightInd w:val="0"/>
              <w:jc w:val="both"/>
            </w:pPr>
            <w:r w:rsidRPr="00E356CE">
              <w:rPr>
                <w:b/>
              </w:rPr>
              <w:t>Wejście w życie</w:t>
            </w:r>
            <w:r w:rsidRPr="00E356CE">
              <w:t xml:space="preserve"> </w:t>
            </w:r>
          </w:p>
          <w:p w14:paraId="4C6D933E" w14:textId="77777777" w:rsidR="00FD580E" w:rsidRPr="00E356CE" w:rsidRDefault="00FD580E" w:rsidP="00A9191A">
            <w:pPr>
              <w:autoSpaceDE w:val="0"/>
              <w:autoSpaceDN w:val="0"/>
              <w:adjustRightInd w:val="0"/>
              <w:jc w:val="both"/>
              <w:rPr>
                <w:b/>
              </w:rPr>
            </w:pPr>
            <w:r w:rsidRPr="00E356CE">
              <w:t xml:space="preserve">Niniejsza dyrektywa wchodzi w życie z dniem jej opublikowania w Dzienniku Urzędowym Wspólnot Europejskich. </w:t>
            </w:r>
            <w:r w:rsidRPr="00E356CE">
              <w:rPr>
                <w:b/>
              </w:rPr>
              <w:t xml:space="preserve"> </w:t>
            </w:r>
          </w:p>
          <w:p w14:paraId="22B68AEA" w14:textId="77777777" w:rsidR="00C04931" w:rsidRPr="00E356CE" w:rsidRDefault="00C04931" w:rsidP="00A9191A">
            <w:pPr>
              <w:spacing w:before="60" w:after="120"/>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4FFC013B" w14:textId="77777777" w:rsidR="00C04931" w:rsidRPr="00E356CE" w:rsidRDefault="00FD580E"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11C8268D"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467BBB33" w14:textId="77777777" w:rsidR="00C04931" w:rsidRPr="00E356CE" w:rsidRDefault="00C04931" w:rsidP="00A9191A">
            <w:pPr>
              <w:jc w:val="both"/>
            </w:pPr>
          </w:p>
        </w:tc>
      </w:tr>
      <w:tr w:rsidR="00723799" w:rsidRPr="00E356CE" w14:paraId="2D6B8332" w14:textId="77777777" w:rsidTr="56856880">
        <w:tc>
          <w:tcPr>
            <w:tcW w:w="795" w:type="dxa"/>
            <w:tcBorders>
              <w:top w:val="single" w:sz="4" w:space="0" w:color="auto"/>
              <w:left w:val="single" w:sz="4" w:space="0" w:color="auto"/>
              <w:bottom w:val="single" w:sz="4" w:space="0" w:color="auto"/>
              <w:right w:val="single" w:sz="4" w:space="0" w:color="auto"/>
            </w:tcBorders>
          </w:tcPr>
          <w:p w14:paraId="3283B4AA" w14:textId="77777777" w:rsidR="00C04931" w:rsidRPr="00E356CE" w:rsidRDefault="00FD580E" w:rsidP="00A9191A">
            <w:pPr>
              <w:jc w:val="both"/>
              <w:rPr>
                <w:b/>
              </w:rPr>
            </w:pPr>
            <w:r w:rsidRPr="00E356CE">
              <w:rPr>
                <w:b/>
              </w:rPr>
              <w:lastRenderedPageBreak/>
              <w:t>Art. 21</w:t>
            </w:r>
          </w:p>
        </w:tc>
        <w:tc>
          <w:tcPr>
            <w:tcW w:w="4719" w:type="dxa"/>
            <w:tcBorders>
              <w:top w:val="single" w:sz="4" w:space="0" w:color="auto"/>
              <w:left w:val="single" w:sz="4" w:space="0" w:color="auto"/>
              <w:bottom w:val="single" w:sz="4" w:space="0" w:color="auto"/>
              <w:right w:val="single" w:sz="4" w:space="0" w:color="auto"/>
            </w:tcBorders>
          </w:tcPr>
          <w:p w14:paraId="01B6B368" w14:textId="77777777" w:rsidR="00FD580E" w:rsidRPr="00E356CE" w:rsidRDefault="00FD580E" w:rsidP="00A9191A">
            <w:pPr>
              <w:autoSpaceDE w:val="0"/>
              <w:autoSpaceDN w:val="0"/>
              <w:adjustRightInd w:val="0"/>
              <w:jc w:val="both"/>
              <w:rPr>
                <w:b/>
              </w:rPr>
            </w:pPr>
            <w:r w:rsidRPr="00E356CE">
              <w:rPr>
                <w:b/>
              </w:rPr>
              <w:t xml:space="preserve">Adresaci </w:t>
            </w:r>
          </w:p>
          <w:p w14:paraId="590D417F" w14:textId="77777777" w:rsidR="00C04931" w:rsidRPr="00E356CE" w:rsidRDefault="00FD580E" w:rsidP="00A9191A">
            <w:pPr>
              <w:spacing w:before="60" w:after="120"/>
              <w:jc w:val="both"/>
              <w:rPr>
                <w:b/>
                <w:bCs/>
              </w:rPr>
            </w:pPr>
            <w:r w:rsidRPr="00E356CE">
              <w:t>Niniejsza dyrektywa skierowana jest do Państw Członkowskich.</w:t>
            </w:r>
          </w:p>
        </w:tc>
        <w:tc>
          <w:tcPr>
            <w:tcW w:w="886" w:type="dxa"/>
            <w:tcBorders>
              <w:top w:val="single" w:sz="4" w:space="0" w:color="auto"/>
              <w:left w:val="single" w:sz="4" w:space="0" w:color="auto"/>
              <w:bottom w:val="single" w:sz="4" w:space="0" w:color="auto"/>
              <w:right w:val="single" w:sz="4" w:space="0" w:color="auto"/>
            </w:tcBorders>
          </w:tcPr>
          <w:p w14:paraId="6C967F20" w14:textId="77777777" w:rsidR="00C04931" w:rsidRPr="00E356CE" w:rsidRDefault="00FD580E"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6497E53C" w14:textId="77777777" w:rsidR="00C04931" w:rsidRPr="00E356CE" w:rsidRDefault="00C04931" w:rsidP="00A9191A">
            <w:pPr>
              <w:pStyle w:val="Tekstpodstawowy"/>
              <w:rPr>
                <w:noProof/>
                <w:sz w:val="24"/>
                <w:szCs w:val="24"/>
              </w:rPr>
            </w:pPr>
          </w:p>
        </w:tc>
        <w:tc>
          <w:tcPr>
            <w:tcW w:w="7410" w:type="dxa"/>
            <w:gridSpan w:val="2"/>
            <w:tcBorders>
              <w:top w:val="single" w:sz="4" w:space="0" w:color="auto"/>
              <w:left w:val="single" w:sz="4" w:space="0" w:color="auto"/>
              <w:bottom w:val="single" w:sz="4" w:space="0" w:color="auto"/>
              <w:right w:val="single" w:sz="4" w:space="0" w:color="auto"/>
            </w:tcBorders>
          </w:tcPr>
          <w:p w14:paraId="32421D51" w14:textId="77777777" w:rsidR="00C04931" w:rsidRPr="00E356CE" w:rsidRDefault="00C04931" w:rsidP="00A9191A">
            <w:pPr>
              <w:jc w:val="both"/>
            </w:pPr>
          </w:p>
        </w:tc>
      </w:tr>
      <w:tr w:rsidR="00723799" w:rsidRPr="00E356CE" w14:paraId="0CFF229E" w14:textId="77777777" w:rsidTr="56856880">
        <w:tc>
          <w:tcPr>
            <w:tcW w:w="5514" w:type="dxa"/>
            <w:gridSpan w:val="2"/>
            <w:shd w:val="clear" w:color="auto" w:fill="E0E0E0"/>
          </w:tcPr>
          <w:p w14:paraId="1094D5AE" w14:textId="77777777" w:rsidR="00920E0A" w:rsidRPr="00E356CE" w:rsidRDefault="00920E0A" w:rsidP="00A9191A">
            <w:pPr>
              <w:jc w:val="both"/>
              <w:rPr>
                <w:b/>
                <w:bCs/>
              </w:rPr>
            </w:pPr>
            <w:r w:rsidRPr="00E356CE">
              <w:rPr>
                <w:b/>
                <w:bCs/>
              </w:rPr>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38D636BF" w14:textId="77777777" w:rsidR="00920E0A" w:rsidRPr="00E356CE" w:rsidRDefault="006F6D90" w:rsidP="00A9191A">
            <w:pPr>
              <w:jc w:val="both"/>
              <w:rPr>
                <w:b/>
              </w:rPr>
            </w:pPr>
            <w:r w:rsidRPr="00E356CE">
              <w:rPr>
                <w:b/>
                <w:bCs/>
              </w:rPr>
              <w:t>DYREKTYWA 2014/53/UE z dnia 16 kwietnia 2014 r. w sprawie harmonizacji ustawodawstw państw członkowskich dotyczących udostępniania na rynku urządzeń radiowych i uchylającej dyrektywę 1999/5/UE (Dz. Urz. UE L 153 z 22.05.2014, str. 62)</w:t>
            </w:r>
          </w:p>
        </w:tc>
      </w:tr>
      <w:tr w:rsidR="00723799" w:rsidRPr="00E356CE" w14:paraId="6663C12B" w14:textId="77777777" w:rsidTr="56856880">
        <w:tc>
          <w:tcPr>
            <w:tcW w:w="795" w:type="dxa"/>
            <w:tcBorders>
              <w:top w:val="single" w:sz="4" w:space="0" w:color="auto"/>
              <w:left w:val="single" w:sz="4" w:space="0" w:color="auto"/>
              <w:bottom w:val="single" w:sz="4" w:space="0" w:color="auto"/>
              <w:right w:val="single" w:sz="4" w:space="0" w:color="auto"/>
            </w:tcBorders>
          </w:tcPr>
          <w:p w14:paraId="32DFCA16" w14:textId="77777777" w:rsidR="00920E0A" w:rsidRPr="00E356CE" w:rsidRDefault="00920E0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4E587ACB" w14:textId="77777777" w:rsidR="00A77AEA" w:rsidRPr="00E356CE" w:rsidRDefault="00A77AEA" w:rsidP="00A9191A">
            <w:pPr>
              <w:pStyle w:val="ti-section-1"/>
              <w:shd w:val="clear" w:color="auto" w:fill="FFFFFF"/>
              <w:spacing w:before="0" w:beforeAutospacing="0" w:after="0" w:afterAutospacing="0"/>
              <w:jc w:val="center"/>
              <w:rPr>
                <w:b/>
                <w:bCs/>
              </w:rPr>
            </w:pPr>
            <w:r w:rsidRPr="00E356CE">
              <w:rPr>
                <w:b/>
                <w:bCs/>
              </w:rPr>
              <w:t>ROZDZIAŁ I</w:t>
            </w:r>
          </w:p>
          <w:p w14:paraId="336B9E8E" w14:textId="77777777" w:rsidR="00A77AEA" w:rsidRPr="00E356CE" w:rsidRDefault="00A77AEA" w:rsidP="00A9191A">
            <w:pPr>
              <w:pStyle w:val="ti-section-2"/>
              <w:shd w:val="clear" w:color="auto" w:fill="FFFFFF"/>
              <w:spacing w:before="0" w:beforeAutospacing="0" w:after="0" w:afterAutospacing="0"/>
              <w:jc w:val="center"/>
              <w:rPr>
                <w:b/>
                <w:bCs/>
              </w:rPr>
            </w:pPr>
            <w:r w:rsidRPr="00E356CE">
              <w:rPr>
                <w:rStyle w:val="bold"/>
                <w:b/>
                <w:bCs/>
              </w:rPr>
              <w:t>PRZEPISY OGÓLNE</w:t>
            </w:r>
          </w:p>
          <w:p w14:paraId="42AE7B23" w14:textId="77777777" w:rsidR="00920E0A" w:rsidRPr="00E356CE" w:rsidRDefault="00920E0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3AB6C77B" w14:textId="77777777" w:rsidR="00920E0A" w:rsidRPr="00E356CE" w:rsidRDefault="00920E0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110F8464"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1B56A77A" w14:textId="77777777" w:rsidR="00920E0A" w:rsidRPr="00E356CE" w:rsidRDefault="00920E0A" w:rsidP="00A9191A">
            <w:pPr>
              <w:jc w:val="both"/>
            </w:pPr>
          </w:p>
        </w:tc>
      </w:tr>
      <w:tr w:rsidR="00723799" w:rsidRPr="00E356CE" w14:paraId="48239513" w14:textId="77777777" w:rsidTr="56856880">
        <w:tc>
          <w:tcPr>
            <w:tcW w:w="795" w:type="dxa"/>
            <w:tcBorders>
              <w:top w:val="single" w:sz="4" w:space="0" w:color="auto"/>
              <w:left w:val="single" w:sz="4" w:space="0" w:color="auto"/>
              <w:bottom w:val="single" w:sz="4" w:space="0" w:color="auto"/>
              <w:right w:val="single" w:sz="4" w:space="0" w:color="auto"/>
            </w:tcBorders>
          </w:tcPr>
          <w:p w14:paraId="1BF68443" w14:textId="77777777" w:rsidR="00920E0A" w:rsidRPr="00E356CE" w:rsidRDefault="00A77AEA" w:rsidP="00A9191A">
            <w:pPr>
              <w:jc w:val="both"/>
              <w:rPr>
                <w:b/>
              </w:rPr>
            </w:pPr>
            <w:r w:rsidRPr="00E356CE">
              <w:rPr>
                <w:b/>
              </w:rPr>
              <w:t>Art. 1</w:t>
            </w:r>
          </w:p>
        </w:tc>
        <w:tc>
          <w:tcPr>
            <w:tcW w:w="4719" w:type="dxa"/>
            <w:tcBorders>
              <w:top w:val="single" w:sz="4" w:space="0" w:color="auto"/>
              <w:left w:val="single" w:sz="4" w:space="0" w:color="auto"/>
              <w:bottom w:val="single" w:sz="4" w:space="0" w:color="auto"/>
              <w:right w:val="single" w:sz="4" w:space="0" w:color="auto"/>
            </w:tcBorders>
          </w:tcPr>
          <w:p w14:paraId="5B3CB88F" w14:textId="77777777" w:rsidR="00A77AEA" w:rsidRPr="00E356CE" w:rsidRDefault="00A77AEA" w:rsidP="00A9191A">
            <w:pPr>
              <w:pStyle w:val="sti-art"/>
              <w:shd w:val="clear" w:color="auto" w:fill="FFFFFF"/>
              <w:spacing w:before="0" w:beforeAutospacing="0" w:after="0" w:afterAutospacing="0"/>
              <w:jc w:val="center"/>
              <w:rPr>
                <w:b/>
                <w:bCs/>
              </w:rPr>
            </w:pPr>
            <w:r w:rsidRPr="00E356CE">
              <w:rPr>
                <w:b/>
                <w:bCs/>
              </w:rPr>
              <w:t>Przedmiot i zakres</w:t>
            </w:r>
          </w:p>
          <w:p w14:paraId="438124F5" w14:textId="77777777" w:rsidR="00920E0A" w:rsidRPr="00E356CE" w:rsidRDefault="00920E0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4C73B121" w14:textId="77777777" w:rsidR="00920E0A" w:rsidRPr="00E356CE" w:rsidRDefault="00920E0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0D5F2EEF"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1798488A" w14:textId="77777777" w:rsidR="00920E0A" w:rsidRPr="00E356CE" w:rsidRDefault="00920E0A" w:rsidP="00A9191A">
            <w:pPr>
              <w:jc w:val="both"/>
            </w:pPr>
          </w:p>
        </w:tc>
      </w:tr>
      <w:tr w:rsidR="00723799" w:rsidRPr="00E356CE" w14:paraId="6823E9CC" w14:textId="77777777" w:rsidTr="56856880">
        <w:tc>
          <w:tcPr>
            <w:tcW w:w="795" w:type="dxa"/>
            <w:tcBorders>
              <w:top w:val="single" w:sz="4" w:space="0" w:color="auto"/>
              <w:left w:val="single" w:sz="4" w:space="0" w:color="auto"/>
              <w:bottom w:val="single" w:sz="4" w:space="0" w:color="auto"/>
              <w:right w:val="single" w:sz="4" w:space="0" w:color="auto"/>
            </w:tcBorders>
          </w:tcPr>
          <w:p w14:paraId="181AC38F" w14:textId="77777777" w:rsidR="00920E0A" w:rsidRPr="00E356CE" w:rsidRDefault="00A77AEA" w:rsidP="00A9191A">
            <w:pPr>
              <w:jc w:val="both"/>
            </w:pPr>
            <w:r w:rsidRPr="00E356CE">
              <w:t>Art.1 ust. 1</w:t>
            </w:r>
          </w:p>
        </w:tc>
        <w:tc>
          <w:tcPr>
            <w:tcW w:w="4719" w:type="dxa"/>
            <w:tcBorders>
              <w:top w:val="single" w:sz="4" w:space="0" w:color="auto"/>
              <w:left w:val="single" w:sz="4" w:space="0" w:color="auto"/>
              <w:bottom w:val="single" w:sz="4" w:space="0" w:color="auto"/>
              <w:right w:val="single" w:sz="4" w:space="0" w:color="auto"/>
            </w:tcBorders>
          </w:tcPr>
          <w:p w14:paraId="55CD0DA1" w14:textId="77777777" w:rsidR="00A77AEA" w:rsidRPr="00E356CE" w:rsidRDefault="00A77AEA" w:rsidP="00A9191A">
            <w:pPr>
              <w:pStyle w:val="Normalny1"/>
              <w:shd w:val="clear" w:color="auto" w:fill="FFFFFF"/>
              <w:spacing w:before="0" w:beforeAutospacing="0" w:after="0" w:afterAutospacing="0"/>
              <w:jc w:val="both"/>
            </w:pPr>
            <w:r w:rsidRPr="00E356CE">
              <w:t>1.   Niniejsza dyrektywa określa ramy prawne dotyczące udostępniania na rynku i oddawania do użytku w Unii urządzeń radiowych.</w:t>
            </w:r>
          </w:p>
          <w:p w14:paraId="3690BAAC" w14:textId="77777777" w:rsidR="00920E0A" w:rsidRPr="00E356CE" w:rsidRDefault="00920E0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69562283" w14:textId="77777777" w:rsidR="00920E0A"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2876E71D" w14:textId="650368CC" w:rsidR="00A77AEA" w:rsidRPr="00E356CE" w:rsidRDefault="00F83C15" w:rsidP="00A9191A">
            <w:pPr>
              <w:pStyle w:val="Tekstpodstawowy"/>
              <w:rPr>
                <w:sz w:val="24"/>
                <w:szCs w:val="24"/>
              </w:rPr>
            </w:pPr>
            <w:r w:rsidRPr="00E356CE">
              <w:rPr>
                <w:sz w:val="24"/>
                <w:szCs w:val="24"/>
              </w:rPr>
              <w:t>Art. 1 pkt 10</w:t>
            </w:r>
            <w:r w:rsidR="00A77AEA" w:rsidRPr="00E356CE">
              <w:rPr>
                <w:sz w:val="24"/>
                <w:szCs w:val="24"/>
              </w:rPr>
              <w:t xml:space="preserve">, art. </w:t>
            </w:r>
            <w:r w:rsidRPr="00E356CE">
              <w:rPr>
                <w:sz w:val="24"/>
                <w:szCs w:val="24"/>
              </w:rPr>
              <w:t>267</w:t>
            </w:r>
            <w:r w:rsidR="00A77AEA" w:rsidRPr="00E356CE">
              <w:rPr>
                <w:sz w:val="24"/>
                <w:szCs w:val="24"/>
              </w:rPr>
              <w:t xml:space="preserve"> </w:t>
            </w:r>
          </w:p>
          <w:p w14:paraId="748D101C"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62AFF470" w14:textId="77777777" w:rsidR="00A77AEA" w:rsidRPr="00E356CE" w:rsidRDefault="00A77AEA" w:rsidP="00A9191A">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szCs w:val="24"/>
                <w:lang w:eastAsia="en-US"/>
              </w:rPr>
              <w:t xml:space="preserve">Art. 1. </w:t>
            </w:r>
            <w:r w:rsidRPr="00E356CE">
              <w:rPr>
                <w:rFonts w:ascii="Times New Roman" w:hAnsi="Times New Roman" w:cs="Times New Roman"/>
                <w:szCs w:val="24"/>
              </w:rPr>
              <w:t>Ustawa określa:</w:t>
            </w:r>
          </w:p>
          <w:p w14:paraId="134146AE" w14:textId="77777777" w:rsidR="00A77AEA" w:rsidRPr="00E356CE" w:rsidRDefault="00A77AEA" w:rsidP="00A9191A">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szCs w:val="24"/>
              </w:rPr>
              <w:t>(…)</w:t>
            </w:r>
          </w:p>
          <w:p w14:paraId="4A413A75" w14:textId="2236535B" w:rsidR="00A77AEA" w:rsidRPr="00E356CE" w:rsidRDefault="00F83C15"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10</w:t>
            </w:r>
            <w:r w:rsidR="00A77AEA" w:rsidRPr="00E356CE">
              <w:rPr>
                <w:rFonts w:ascii="Times New Roman" w:hAnsi="Times New Roman" w:cs="Times New Roman"/>
                <w:szCs w:val="24"/>
              </w:rPr>
              <w:t>) wymagania, jakim powinny odpowiadać urządzenia radiowe;</w:t>
            </w:r>
          </w:p>
          <w:p w14:paraId="436C6BA7" w14:textId="77777777" w:rsidR="00A77AEA" w:rsidRPr="00E356CE" w:rsidRDefault="00A77AEA" w:rsidP="00A9191A">
            <w:pPr>
              <w:pStyle w:val="PKTpunkt"/>
              <w:spacing w:line="240" w:lineRule="auto"/>
              <w:rPr>
                <w:rFonts w:ascii="Times New Roman" w:hAnsi="Times New Roman" w:cs="Times New Roman"/>
                <w:szCs w:val="24"/>
              </w:rPr>
            </w:pPr>
          </w:p>
          <w:p w14:paraId="316AB4A5" w14:textId="77777777" w:rsidR="00A77AEA" w:rsidRPr="00E356CE" w:rsidRDefault="00A77AEA" w:rsidP="00A9191A">
            <w:pPr>
              <w:pStyle w:val="PKTpunkt"/>
              <w:spacing w:line="240" w:lineRule="auto"/>
              <w:rPr>
                <w:rFonts w:ascii="Times New Roman" w:hAnsi="Times New Roman" w:cs="Times New Roman"/>
                <w:szCs w:val="24"/>
              </w:rPr>
            </w:pPr>
          </w:p>
          <w:p w14:paraId="65A0E2A6" w14:textId="637A21F2" w:rsidR="00920E0A" w:rsidRPr="00E356CE" w:rsidRDefault="00F83C15" w:rsidP="00A9191A">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Art. 267. W zakresie nieuregulowanym w niniejszym rozdziale stosuje się przepisy ustawy z dnia 13 kwietnia 2016 r. o systemach oceny zgodności i nadzoru rynku.</w:t>
            </w:r>
          </w:p>
        </w:tc>
      </w:tr>
      <w:tr w:rsidR="00723799" w:rsidRPr="00E356CE" w14:paraId="7805D774" w14:textId="77777777" w:rsidTr="56856880">
        <w:tc>
          <w:tcPr>
            <w:tcW w:w="795" w:type="dxa"/>
            <w:tcBorders>
              <w:top w:val="single" w:sz="4" w:space="0" w:color="auto"/>
              <w:left w:val="single" w:sz="4" w:space="0" w:color="auto"/>
              <w:bottom w:val="single" w:sz="4" w:space="0" w:color="auto"/>
              <w:right w:val="single" w:sz="4" w:space="0" w:color="auto"/>
            </w:tcBorders>
          </w:tcPr>
          <w:p w14:paraId="44CD1BBD" w14:textId="77777777" w:rsidR="00920E0A" w:rsidRPr="00E356CE" w:rsidRDefault="00A77AEA" w:rsidP="00A9191A">
            <w:pPr>
              <w:jc w:val="both"/>
            </w:pPr>
            <w:r w:rsidRPr="00E356CE">
              <w:t>Art. 1 ust. 2</w:t>
            </w:r>
          </w:p>
        </w:tc>
        <w:tc>
          <w:tcPr>
            <w:tcW w:w="4719" w:type="dxa"/>
            <w:tcBorders>
              <w:top w:val="single" w:sz="4" w:space="0" w:color="auto"/>
              <w:left w:val="single" w:sz="4" w:space="0" w:color="auto"/>
              <w:bottom w:val="single" w:sz="4" w:space="0" w:color="auto"/>
              <w:right w:val="single" w:sz="4" w:space="0" w:color="auto"/>
            </w:tcBorders>
          </w:tcPr>
          <w:p w14:paraId="0BADF954" w14:textId="77777777" w:rsidR="00A77AEA" w:rsidRPr="00E356CE" w:rsidRDefault="00A77AEA" w:rsidP="00A9191A">
            <w:pPr>
              <w:pStyle w:val="Normalny1"/>
              <w:shd w:val="clear" w:color="auto" w:fill="FFFFFF"/>
              <w:spacing w:before="0" w:beforeAutospacing="0" w:after="0" w:afterAutospacing="0"/>
              <w:jc w:val="both"/>
            </w:pPr>
            <w:r w:rsidRPr="00E356CE">
              <w:t>2.   Niniejsza dyrektywa nie ma zastosowania do urządzeń wymienionych w załączniku I.</w:t>
            </w:r>
          </w:p>
          <w:p w14:paraId="2C42D2EC" w14:textId="77777777" w:rsidR="00920E0A" w:rsidRPr="00E356CE" w:rsidRDefault="00920E0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1AA2858C" w14:textId="77777777" w:rsidR="00920E0A"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67EA0F38" w14:textId="27700F58" w:rsidR="00920E0A" w:rsidRPr="00E356CE" w:rsidRDefault="00A77AEA" w:rsidP="00FC6947">
            <w:pPr>
              <w:jc w:val="both"/>
            </w:pPr>
            <w:r w:rsidRPr="00E356CE">
              <w:t>Art. 2</w:t>
            </w:r>
            <w:r w:rsidR="00FC6947" w:rsidRPr="00E356CE">
              <w:t>69</w:t>
            </w:r>
            <w:r w:rsidRPr="00E356CE">
              <w:t xml:space="preserve"> ust. 7</w:t>
            </w:r>
          </w:p>
        </w:tc>
        <w:tc>
          <w:tcPr>
            <w:tcW w:w="7410" w:type="dxa"/>
            <w:gridSpan w:val="2"/>
            <w:tcBorders>
              <w:top w:val="single" w:sz="4" w:space="0" w:color="auto"/>
              <w:left w:val="single" w:sz="4" w:space="0" w:color="auto"/>
              <w:bottom w:val="single" w:sz="4" w:space="0" w:color="auto"/>
              <w:right w:val="single" w:sz="4" w:space="0" w:color="auto"/>
            </w:tcBorders>
          </w:tcPr>
          <w:p w14:paraId="1956BC80" w14:textId="2C1A2568" w:rsidR="00A77AEA" w:rsidRPr="00E356CE" w:rsidRDefault="00A77AEA" w:rsidP="00A9191A">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 xml:space="preserve">Art. </w:t>
            </w:r>
            <w:r w:rsidR="00152C71" w:rsidRPr="00E356CE">
              <w:rPr>
                <w:rFonts w:ascii="Times New Roman" w:hAnsi="Times New Roman" w:cs="Times New Roman"/>
                <w:szCs w:val="24"/>
              </w:rPr>
              <w:t>269</w:t>
            </w:r>
            <w:r w:rsidRPr="00E356CE">
              <w:rPr>
                <w:rFonts w:ascii="Times New Roman" w:hAnsi="Times New Roman" w:cs="Times New Roman"/>
                <w:szCs w:val="24"/>
              </w:rPr>
              <w:t>.</w:t>
            </w:r>
          </w:p>
          <w:p w14:paraId="2F8A3638" w14:textId="77777777" w:rsidR="00A77AEA" w:rsidRPr="00E356CE" w:rsidRDefault="00A77AEA" w:rsidP="00A9191A">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w:t>
            </w:r>
          </w:p>
          <w:p w14:paraId="173A23AB"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5. Urządzenia radiowe podlegają obowiązkowej ocenie zgodności z wymaganiami, o których mowa w ust. 1-3.</w:t>
            </w:r>
          </w:p>
          <w:p w14:paraId="6E4E7C35"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7. Przepisu ust. 5 nie stosuje się do:</w:t>
            </w:r>
          </w:p>
          <w:p w14:paraId="53FFF5BD"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urządzeń przeznaczonych do używania wyłącznie w służbie radiokomunikacyjnej amatorskiej, niebędących przedmiotem oferty handlowej, w tym:</w:t>
            </w:r>
          </w:p>
          <w:p w14:paraId="1D833080"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a)</w:t>
            </w:r>
            <w:r w:rsidRPr="00E356CE">
              <w:rPr>
                <w:rFonts w:ascii="Times New Roman" w:hAnsi="Times New Roman" w:cs="Times New Roman"/>
                <w:szCs w:val="24"/>
              </w:rPr>
              <w:tab/>
              <w:t>zestawów części do montażu urządzeń,</w:t>
            </w:r>
          </w:p>
          <w:p w14:paraId="4CE85400"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b)</w:t>
            </w:r>
            <w:r w:rsidRPr="00E356CE">
              <w:rPr>
                <w:rFonts w:ascii="Times New Roman" w:hAnsi="Times New Roman" w:cs="Times New Roman"/>
                <w:szCs w:val="24"/>
              </w:rPr>
              <w:tab/>
              <w:t>urządzeń zmodyfikowanych przez radioamatorów dla własnych potrzeb w celu używania w służbie radiokomunikacyjnej amatorskiej,</w:t>
            </w:r>
          </w:p>
          <w:p w14:paraId="07EB5201"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lastRenderedPageBreak/>
              <w:t>c)</w:t>
            </w:r>
            <w:r w:rsidRPr="00E356CE">
              <w:rPr>
                <w:rFonts w:ascii="Times New Roman" w:hAnsi="Times New Roman" w:cs="Times New Roman"/>
                <w:szCs w:val="24"/>
              </w:rPr>
              <w:tab/>
              <w:t>urządzeń zbudowanych samodzielnie przez radioamatorów, które służą celom eksperymentalnym i naukowym w ramach służby radiokomunikacyjnej amatorskiej;</w:t>
            </w:r>
          </w:p>
          <w:p w14:paraId="69B5A735"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urządzeń wyposażenia radiokomunikacyjnego objętych przepisami o wyposażeniu morskim;</w:t>
            </w:r>
          </w:p>
          <w:p w14:paraId="78DC9AF4"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3)</w:t>
            </w:r>
            <w:r w:rsidRPr="00E356CE">
              <w:rPr>
                <w:rFonts w:ascii="Times New Roman" w:hAnsi="Times New Roman" w:cs="Times New Roman"/>
                <w:szCs w:val="24"/>
              </w:rPr>
              <w:tab/>
              <w:t xml:space="preserve">wyposażenia radiokomunikacyjnego objętego przepisami ustawy z dnia 3 lipca 2002 r. – Prawo lotnicze (Dz. U. z 2019 r. poz. 1580, z </w:t>
            </w:r>
            <w:proofErr w:type="spellStart"/>
            <w:r w:rsidRPr="00E356CE">
              <w:rPr>
                <w:rFonts w:ascii="Times New Roman" w:hAnsi="Times New Roman" w:cs="Times New Roman"/>
                <w:szCs w:val="24"/>
              </w:rPr>
              <w:t>poźn</w:t>
            </w:r>
            <w:proofErr w:type="spellEnd"/>
            <w:r w:rsidRPr="00E356CE">
              <w:rPr>
                <w:rFonts w:ascii="Times New Roman" w:hAnsi="Times New Roman" w:cs="Times New Roman"/>
                <w:szCs w:val="24"/>
              </w:rPr>
              <w:t xml:space="preserve">. </w:t>
            </w:r>
            <w:proofErr w:type="spellStart"/>
            <w:r w:rsidRPr="00E356CE">
              <w:rPr>
                <w:rFonts w:ascii="Times New Roman" w:hAnsi="Times New Roman" w:cs="Times New Roman"/>
                <w:szCs w:val="24"/>
              </w:rPr>
              <w:t>zm</w:t>
            </w:r>
            <w:proofErr w:type="spellEnd"/>
            <w:r w:rsidRPr="00E356CE">
              <w:rPr>
                <w:rFonts w:ascii="Times New Roman" w:hAnsi="Times New Roman" w:cs="Times New Roman"/>
                <w:szCs w:val="24"/>
              </w:rPr>
              <w:t>) lub następującego wyposażenia lotniczego objętego przepisami Rozporządzenia Parlamentu Europejskiego i Rady (UE) 2018/1139 z dnia 4 lipca 2018 r. w sprawie wspólnych zasad w dziedzinie lotnictwa cywilnego i utworzenia Agencji Unii Europejskiej ds. Bezpieczeństwa Lotniczego oraz zmieniające rozporządzenia Parlamentu Europejskiego i Rady (WE) nr 2111/2005, (WE) nr 1008/2008, (UE) nr 996/2010, (UE) nr 376/2014 i dyrektywy Parlamentu Europejskiego i Rady 2014/30/UE i 2014/53/UE, a także uchylające rozporządzenia Parlamentu Europejskiego i Rady (WE) nr 552/2004 i (WE) nr 216/2008 i rozporządzenie Rady (EWG) nr 3922/912018/1139 (Dz. Urz. UE L 2122 z 22.08.2018, str. 1) i przeznaczonego jedynie do użytkowania w powietrzu:</w:t>
            </w:r>
          </w:p>
          <w:p w14:paraId="423188C3"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a)</w:t>
            </w:r>
            <w:r w:rsidRPr="00E356CE">
              <w:rPr>
                <w:rFonts w:ascii="Times New Roman" w:hAnsi="Times New Roman" w:cs="Times New Roman"/>
                <w:szCs w:val="24"/>
              </w:rPr>
              <w:tab/>
              <w:t>statki powietrzne inne niż bezzałogowe statki powietrzne, a także związane z nimi silniki, śmigła, części i wyposażenie nieinstalowane,</w:t>
            </w:r>
          </w:p>
          <w:p w14:paraId="01588014" w14:textId="77777777" w:rsidR="00152C71" w:rsidRPr="00E356CE" w:rsidRDefault="00152C71" w:rsidP="00FC6947">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b)</w:t>
            </w:r>
            <w:r w:rsidRPr="00E356CE">
              <w:rPr>
                <w:rFonts w:ascii="Times New Roman" w:hAnsi="Times New Roman" w:cs="Times New Roman"/>
                <w:szCs w:val="24"/>
              </w:rPr>
              <w:tab/>
              <w:t>bezzałogowe statki powietrzne, a także związane z nimi silniki, śmigła, części i wyposażenie nieinstalowane, których projekt jest certyfikowany zgodnie z art. 56 ust. 1 tego rozporządzenia i które są przeznaczone jedynie do działania na częstotliwościach wykorzystywanych w lotnictwie, zgodnie z przeznaczeniem określonym w Krajowej Tablicy Przeznaczeń Częstotliwości;</w:t>
            </w:r>
          </w:p>
          <w:p w14:paraId="6074B30D" w14:textId="3B362D92" w:rsidR="00920E0A" w:rsidRPr="00E356CE" w:rsidRDefault="00152C71" w:rsidP="00FC6947">
            <w:pPr>
              <w:jc w:val="both"/>
            </w:pPr>
            <w:r w:rsidRPr="00E356CE">
              <w:t>4)</w:t>
            </w:r>
            <w:r w:rsidRPr="00E356CE">
              <w:tab/>
              <w:t>zestawów kontrolnych zbudowanych według indywidualnego projektu, przeznaczonych dla specjalistów i wykorzystywanych wyłącznie w ośrodkach badawczo-rozwojowych do celów badawczo-rozwojowych.</w:t>
            </w:r>
          </w:p>
        </w:tc>
      </w:tr>
      <w:tr w:rsidR="00723799" w:rsidRPr="00E356CE" w14:paraId="2D483E71" w14:textId="77777777" w:rsidTr="56856880">
        <w:tc>
          <w:tcPr>
            <w:tcW w:w="795" w:type="dxa"/>
            <w:tcBorders>
              <w:top w:val="single" w:sz="4" w:space="0" w:color="auto"/>
              <w:left w:val="single" w:sz="4" w:space="0" w:color="auto"/>
              <w:bottom w:val="single" w:sz="4" w:space="0" w:color="auto"/>
              <w:right w:val="single" w:sz="4" w:space="0" w:color="auto"/>
            </w:tcBorders>
          </w:tcPr>
          <w:p w14:paraId="13278643" w14:textId="77777777" w:rsidR="00920E0A" w:rsidRPr="00E356CE" w:rsidRDefault="00A77AEA" w:rsidP="00A9191A">
            <w:pPr>
              <w:jc w:val="both"/>
            </w:pPr>
            <w:r w:rsidRPr="00E356CE">
              <w:lastRenderedPageBreak/>
              <w:t>Art. 1 ust. 3</w:t>
            </w:r>
          </w:p>
        </w:tc>
        <w:tc>
          <w:tcPr>
            <w:tcW w:w="4719" w:type="dxa"/>
            <w:tcBorders>
              <w:top w:val="single" w:sz="4" w:space="0" w:color="auto"/>
              <w:left w:val="single" w:sz="4" w:space="0" w:color="auto"/>
              <w:bottom w:val="single" w:sz="4" w:space="0" w:color="auto"/>
              <w:right w:val="single" w:sz="4" w:space="0" w:color="auto"/>
            </w:tcBorders>
          </w:tcPr>
          <w:p w14:paraId="6E567B66" w14:textId="77777777" w:rsidR="00920E0A" w:rsidRPr="00E356CE" w:rsidRDefault="00A77AEA" w:rsidP="00A9191A">
            <w:pPr>
              <w:pStyle w:val="Normalny1"/>
              <w:shd w:val="clear" w:color="auto" w:fill="FFFFFF"/>
              <w:spacing w:before="0" w:beforeAutospacing="0" w:after="0" w:afterAutospacing="0"/>
              <w:jc w:val="both"/>
            </w:pPr>
            <w:r w:rsidRPr="00E356CE">
              <w:t xml:space="preserve">3.   Niniejsza dyrektywa nie ma zastosowania do urządzeń radiowych wykorzystywanych wyłącznie do celów związanych z </w:t>
            </w:r>
            <w:r w:rsidRPr="00E356CE">
              <w:lastRenderedPageBreak/>
              <w:t>bezpieczeństwem publicznym, obronnością, bezpieczeństwem państwa, w tym również dobrobytem gospodarczym państwa w przypadku działań dotyczących kwestii bezpieczeństwa państwa, oraz działaniami państwa w obszarze prawa karnego.</w:t>
            </w:r>
          </w:p>
        </w:tc>
        <w:tc>
          <w:tcPr>
            <w:tcW w:w="886" w:type="dxa"/>
            <w:tcBorders>
              <w:top w:val="single" w:sz="4" w:space="0" w:color="auto"/>
              <w:left w:val="single" w:sz="4" w:space="0" w:color="auto"/>
              <w:bottom w:val="single" w:sz="4" w:space="0" w:color="auto"/>
              <w:right w:val="single" w:sz="4" w:space="0" w:color="auto"/>
            </w:tcBorders>
          </w:tcPr>
          <w:p w14:paraId="06C8E7B4" w14:textId="77777777" w:rsidR="00920E0A" w:rsidRPr="00E356CE" w:rsidRDefault="00DB1E54" w:rsidP="00A9191A">
            <w:pPr>
              <w:jc w:val="both"/>
              <w:rPr>
                <w:b/>
              </w:rPr>
            </w:pPr>
            <w:r w:rsidRPr="00E356CE">
              <w:rPr>
                <w:b/>
              </w:rPr>
              <w:lastRenderedPageBreak/>
              <w:t>N</w:t>
            </w:r>
          </w:p>
        </w:tc>
        <w:tc>
          <w:tcPr>
            <w:tcW w:w="900" w:type="dxa"/>
            <w:gridSpan w:val="3"/>
            <w:tcBorders>
              <w:top w:val="single" w:sz="4" w:space="0" w:color="auto"/>
              <w:left w:val="single" w:sz="4" w:space="0" w:color="auto"/>
              <w:bottom w:val="single" w:sz="4" w:space="0" w:color="auto"/>
              <w:right w:val="single" w:sz="4" w:space="0" w:color="auto"/>
            </w:tcBorders>
          </w:tcPr>
          <w:p w14:paraId="646D8A61" w14:textId="0FD95457" w:rsidR="00920E0A" w:rsidRPr="00E356CE" w:rsidRDefault="00A77AEA" w:rsidP="00FC6947">
            <w:pPr>
              <w:jc w:val="both"/>
              <w:rPr>
                <w:b/>
              </w:rPr>
            </w:pPr>
            <w:r w:rsidRPr="00E356CE">
              <w:rPr>
                <w:b/>
              </w:rPr>
              <w:t>Art. 2</w:t>
            </w:r>
            <w:r w:rsidR="00FC6947" w:rsidRPr="00E356CE">
              <w:rPr>
                <w:b/>
              </w:rPr>
              <w:t>68</w:t>
            </w:r>
          </w:p>
        </w:tc>
        <w:tc>
          <w:tcPr>
            <w:tcW w:w="7410" w:type="dxa"/>
            <w:gridSpan w:val="2"/>
            <w:tcBorders>
              <w:top w:val="single" w:sz="4" w:space="0" w:color="auto"/>
              <w:left w:val="single" w:sz="4" w:space="0" w:color="auto"/>
              <w:bottom w:val="single" w:sz="4" w:space="0" w:color="auto"/>
              <w:right w:val="single" w:sz="4" w:space="0" w:color="auto"/>
            </w:tcBorders>
          </w:tcPr>
          <w:p w14:paraId="341F3BDC" w14:textId="160E40F1" w:rsidR="00920E0A" w:rsidRPr="00E356CE" w:rsidRDefault="00FC6947" w:rsidP="00A9191A">
            <w:pPr>
              <w:jc w:val="both"/>
            </w:pPr>
            <w:r w:rsidRPr="00E356CE">
              <w:rPr>
                <w:b/>
              </w:rPr>
              <w:t>Art. 268</w:t>
            </w:r>
            <w:r w:rsidRPr="00E356CE">
              <w:t xml:space="preserve">. Sposób i tryb przeprowadzania oceny zgodności urządzeń radiowych, przeznaczonych na potrzeby obronności i bezpieczeństwa państwa, określa ustawa z dnia 17 listopada 2006 r. o systemie oceny </w:t>
            </w:r>
            <w:r w:rsidRPr="00E356CE">
              <w:lastRenderedPageBreak/>
              <w:t>zgodności wyrobów przeznaczonych na potrzeby obronności i bezpieczeństwa państwa (Dz. U. z 2018 r. poz. 114) oraz przepisy wykonawcze wydane na podstawie tej ustawy.</w:t>
            </w:r>
          </w:p>
        </w:tc>
      </w:tr>
      <w:tr w:rsidR="00723799" w:rsidRPr="00E356CE" w14:paraId="05472281" w14:textId="77777777" w:rsidTr="56856880">
        <w:tc>
          <w:tcPr>
            <w:tcW w:w="795" w:type="dxa"/>
            <w:tcBorders>
              <w:top w:val="single" w:sz="4" w:space="0" w:color="auto"/>
              <w:left w:val="single" w:sz="4" w:space="0" w:color="auto"/>
              <w:bottom w:val="single" w:sz="4" w:space="0" w:color="auto"/>
              <w:right w:val="single" w:sz="4" w:space="0" w:color="auto"/>
            </w:tcBorders>
          </w:tcPr>
          <w:p w14:paraId="47902E85" w14:textId="77777777" w:rsidR="00920E0A" w:rsidRPr="00E356CE" w:rsidRDefault="00A77AEA" w:rsidP="00A9191A">
            <w:pPr>
              <w:jc w:val="both"/>
            </w:pPr>
            <w:r w:rsidRPr="00E356CE">
              <w:lastRenderedPageBreak/>
              <w:t>Art. 1 ust. 4</w:t>
            </w:r>
          </w:p>
        </w:tc>
        <w:tc>
          <w:tcPr>
            <w:tcW w:w="4719" w:type="dxa"/>
            <w:tcBorders>
              <w:top w:val="single" w:sz="4" w:space="0" w:color="auto"/>
              <w:left w:val="single" w:sz="4" w:space="0" w:color="auto"/>
              <w:bottom w:val="single" w:sz="4" w:space="0" w:color="auto"/>
              <w:right w:val="single" w:sz="4" w:space="0" w:color="auto"/>
            </w:tcBorders>
          </w:tcPr>
          <w:p w14:paraId="01558A5F" w14:textId="77777777" w:rsidR="00A77AEA" w:rsidRPr="00E356CE" w:rsidRDefault="00A77AEA" w:rsidP="00A9191A">
            <w:pPr>
              <w:pStyle w:val="Normalny1"/>
              <w:shd w:val="clear" w:color="auto" w:fill="FFFFFF"/>
              <w:spacing w:before="0" w:beforeAutospacing="0" w:after="0" w:afterAutospacing="0"/>
              <w:jc w:val="both"/>
            </w:pPr>
            <w:r w:rsidRPr="00E356CE">
              <w:t>4.   Urządzenia radiowe wchodzące w zakres niniejszej dyrektywy nie podlegają przepisom dyrektywy 2014/35/UE, z wyjątkiem przypadków określonych w art. 3 ust. 1 lit. a) niniejszej dyrektywy.</w:t>
            </w:r>
          </w:p>
          <w:p w14:paraId="49AA211F" w14:textId="77777777" w:rsidR="00920E0A" w:rsidRPr="00E356CE" w:rsidRDefault="00920E0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1EC58E76" w14:textId="77777777" w:rsidR="00920E0A" w:rsidRPr="00E356CE" w:rsidRDefault="00DB1E54"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1BF70EE6"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700352B6" w14:textId="77777777" w:rsidR="00A77AEA" w:rsidRPr="00E356CE" w:rsidRDefault="00A77AEA" w:rsidP="00A9191A">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Zob. implementacja art. 3 ust. 1 lit. a</w:t>
            </w:r>
          </w:p>
          <w:p w14:paraId="4A89030F" w14:textId="77777777" w:rsidR="00920E0A" w:rsidRPr="00E356CE" w:rsidRDefault="00920E0A" w:rsidP="00A9191A">
            <w:pPr>
              <w:jc w:val="both"/>
            </w:pPr>
          </w:p>
        </w:tc>
      </w:tr>
      <w:tr w:rsidR="00723799" w:rsidRPr="00E356CE" w14:paraId="3AB2F963" w14:textId="77777777" w:rsidTr="56856880">
        <w:tc>
          <w:tcPr>
            <w:tcW w:w="795" w:type="dxa"/>
            <w:tcBorders>
              <w:top w:val="single" w:sz="4" w:space="0" w:color="auto"/>
              <w:left w:val="single" w:sz="4" w:space="0" w:color="auto"/>
              <w:bottom w:val="single" w:sz="4" w:space="0" w:color="auto"/>
              <w:right w:val="single" w:sz="4" w:space="0" w:color="auto"/>
            </w:tcBorders>
          </w:tcPr>
          <w:p w14:paraId="1503705B" w14:textId="77777777" w:rsidR="00920E0A" w:rsidRPr="00E356CE" w:rsidRDefault="00415528" w:rsidP="00A9191A">
            <w:pPr>
              <w:jc w:val="both"/>
              <w:rPr>
                <w:b/>
              </w:rPr>
            </w:pPr>
            <w:r w:rsidRPr="00E356CE">
              <w:rPr>
                <w:b/>
              </w:rPr>
              <w:t>Art. 2</w:t>
            </w:r>
          </w:p>
        </w:tc>
        <w:tc>
          <w:tcPr>
            <w:tcW w:w="4719" w:type="dxa"/>
            <w:tcBorders>
              <w:top w:val="single" w:sz="4" w:space="0" w:color="auto"/>
              <w:left w:val="single" w:sz="4" w:space="0" w:color="auto"/>
              <w:bottom w:val="single" w:sz="4" w:space="0" w:color="auto"/>
              <w:right w:val="single" w:sz="4" w:space="0" w:color="auto"/>
            </w:tcBorders>
          </w:tcPr>
          <w:p w14:paraId="3FF9FD18" w14:textId="77777777" w:rsidR="00920E0A" w:rsidRPr="00E356CE" w:rsidRDefault="00A77AEA" w:rsidP="00A9191A">
            <w:pPr>
              <w:jc w:val="center"/>
              <w:rPr>
                <w:b/>
                <w:bCs/>
              </w:rPr>
            </w:pPr>
            <w:r w:rsidRPr="00E356CE">
              <w:rPr>
                <w:b/>
                <w:bCs/>
              </w:rPr>
              <w:t>Definicje</w:t>
            </w:r>
          </w:p>
          <w:p w14:paraId="746F57BC" w14:textId="77777777" w:rsidR="00415528" w:rsidRPr="00E356CE" w:rsidRDefault="00415528" w:rsidP="00A9191A">
            <w:pPr>
              <w:jc w:val="center"/>
              <w:rPr>
                <w:b/>
                <w:bCs/>
              </w:rPr>
            </w:pPr>
          </w:p>
        </w:tc>
        <w:tc>
          <w:tcPr>
            <w:tcW w:w="886" w:type="dxa"/>
            <w:tcBorders>
              <w:top w:val="single" w:sz="4" w:space="0" w:color="auto"/>
              <w:left w:val="single" w:sz="4" w:space="0" w:color="auto"/>
              <w:bottom w:val="single" w:sz="4" w:space="0" w:color="auto"/>
              <w:right w:val="single" w:sz="4" w:space="0" w:color="auto"/>
            </w:tcBorders>
          </w:tcPr>
          <w:p w14:paraId="6E85B537" w14:textId="77777777" w:rsidR="00920E0A" w:rsidRPr="00E356CE" w:rsidRDefault="00920E0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1A85EACE"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1E8DA300" w14:textId="77777777" w:rsidR="00920E0A" w:rsidRPr="00E356CE" w:rsidRDefault="00920E0A" w:rsidP="00A9191A">
            <w:pPr>
              <w:jc w:val="both"/>
            </w:pPr>
          </w:p>
        </w:tc>
      </w:tr>
      <w:tr w:rsidR="00723799" w:rsidRPr="00E356CE" w14:paraId="7C526CE5" w14:textId="77777777" w:rsidTr="56856880">
        <w:tc>
          <w:tcPr>
            <w:tcW w:w="795" w:type="dxa"/>
            <w:tcBorders>
              <w:top w:val="single" w:sz="4" w:space="0" w:color="auto"/>
              <w:left w:val="single" w:sz="4" w:space="0" w:color="auto"/>
              <w:bottom w:val="single" w:sz="4" w:space="0" w:color="auto"/>
              <w:right w:val="single" w:sz="4" w:space="0" w:color="auto"/>
            </w:tcBorders>
          </w:tcPr>
          <w:p w14:paraId="7F162241" w14:textId="77777777" w:rsidR="00920E0A" w:rsidRPr="00E356CE" w:rsidRDefault="00A77AEA" w:rsidP="00A9191A">
            <w:pPr>
              <w:jc w:val="both"/>
            </w:pPr>
            <w:r w:rsidRPr="00E356CE">
              <w:t>Art. 2 ust. 1</w:t>
            </w:r>
          </w:p>
        </w:tc>
        <w:tc>
          <w:tcPr>
            <w:tcW w:w="4719" w:type="dxa"/>
            <w:tcBorders>
              <w:top w:val="single" w:sz="4" w:space="0" w:color="auto"/>
              <w:left w:val="single" w:sz="4" w:space="0" w:color="auto"/>
              <w:bottom w:val="single" w:sz="4" w:space="0" w:color="auto"/>
              <w:right w:val="single" w:sz="4" w:space="0" w:color="auto"/>
            </w:tcBorders>
          </w:tcPr>
          <w:p w14:paraId="0F2D08E8" w14:textId="77777777" w:rsidR="00920E0A" w:rsidRPr="00E356CE" w:rsidRDefault="00A77AEA" w:rsidP="00A9191A">
            <w:pPr>
              <w:jc w:val="both"/>
              <w:rPr>
                <w:b/>
                <w:bCs/>
              </w:rPr>
            </w:pPr>
            <w:r w:rsidRPr="00E356CE">
              <w:rPr>
                <w:shd w:val="clear" w:color="auto" w:fill="FFFFFF"/>
              </w:rPr>
              <w:t>1.   Do celów niniejszej dyrektywy stosuje się następujące definicje:</w:t>
            </w:r>
          </w:p>
        </w:tc>
        <w:tc>
          <w:tcPr>
            <w:tcW w:w="886" w:type="dxa"/>
            <w:tcBorders>
              <w:top w:val="single" w:sz="4" w:space="0" w:color="auto"/>
              <w:left w:val="single" w:sz="4" w:space="0" w:color="auto"/>
              <w:bottom w:val="single" w:sz="4" w:space="0" w:color="auto"/>
              <w:right w:val="single" w:sz="4" w:space="0" w:color="auto"/>
            </w:tcBorders>
          </w:tcPr>
          <w:p w14:paraId="4DBB7855" w14:textId="77777777" w:rsidR="00920E0A" w:rsidRPr="00E356CE" w:rsidRDefault="00920E0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2C043CBB"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399AA255" w14:textId="77777777" w:rsidR="00920E0A" w:rsidRPr="00E356CE" w:rsidRDefault="00920E0A" w:rsidP="00A9191A">
            <w:pPr>
              <w:jc w:val="both"/>
            </w:pPr>
          </w:p>
        </w:tc>
      </w:tr>
      <w:tr w:rsidR="00723799" w:rsidRPr="00E356CE" w14:paraId="3EFF538E" w14:textId="77777777" w:rsidTr="56856880">
        <w:tc>
          <w:tcPr>
            <w:tcW w:w="795" w:type="dxa"/>
            <w:tcBorders>
              <w:top w:val="single" w:sz="4" w:space="0" w:color="auto"/>
              <w:left w:val="single" w:sz="4" w:space="0" w:color="auto"/>
              <w:bottom w:val="single" w:sz="4" w:space="0" w:color="auto"/>
              <w:right w:val="single" w:sz="4" w:space="0" w:color="auto"/>
            </w:tcBorders>
          </w:tcPr>
          <w:p w14:paraId="01287B1E" w14:textId="77777777" w:rsidR="00920E0A" w:rsidRPr="00E356CE" w:rsidRDefault="00920E0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0907CCFF" w14:textId="77777777" w:rsidR="00920E0A" w:rsidRPr="00E356CE" w:rsidRDefault="00A77AEA" w:rsidP="00A9191A">
            <w:pPr>
              <w:pStyle w:val="Akapitzlist"/>
              <w:numPr>
                <w:ilvl w:val="0"/>
                <w:numId w:val="3"/>
              </w:numPr>
              <w:jc w:val="both"/>
              <w:rPr>
                <w:b/>
                <w:bCs/>
              </w:rPr>
            </w:pPr>
            <w:r w:rsidRPr="00E356CE">
              <w:rPr>
                <w:iCs/>
              </w:rPr>
              <w:t>„urządzenie radiowe” oznacza produkt elektryczny lub elektroniczny, który celowo emituje lub odbiera fale radiowe na potrzeby radiokomunikacji lub radiolokacji, lub produkt elektryczny lub elektroniczny, który musi zostać uzupełniony o dodatkowy element, taki jak np. antena, aby mógł celowo emitować lub odbierać fale radiowe na potrzeby radiokomunikacji lub radiolokacji;</w:t>
            </w:r>
          </w:p>
        </w:tc>
        <w:tc>
          <w:tcPr>
            <w:tcW w:w="886" w:type="dxa"/>
            <w:tcBorders>
              <w:top w:val="single" w:sz="4" w:space="0" w:color="auto"/>
              <w:left w:val="single" w:sz="4" w:space="0" w:color="auto"/>
              <w:bottom w:val="single" w:sz="4" w:space="0" w:color="auto"/>
              <w:right w:val="single" w:sz="4" w:space="0" w:color="auto"/>
            </w:tcBorders>
          </w:tcPr>
          <w:p w14:paraId="0B5014BA" w14:textId="77777777" w:rsidR="00920E0A"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A37EA7E" w14:textId="4738CF63" w:rsidR="00920E0A" w:rsidRPr="00E356CE" w:rsidRDefault="00415528" w:rsidP="00FC6947">
            <w:pPr>
              <w:jc w:val="both"/>
            </w:pPr>
            <w:r w:rsidRPr="00E356CE">
              <w:t>Art. 2 pkt 7</w:t>
            </w:r>
            <w:r w:rsidR="00FC6947" w:rsidRPr="00E356CE">
              <w:t>4</w:t>
            </w:r>
          </w:p>
        </w:tc>
        <w:tc>
          <w:tcPr>
            <w:tcW w:w="7410" w:type="dxa"/>
            <w:gridSpan w:val="2"/>
            <w:tcBorders>
              <w:top w:val="single" w:sz="4" w:space="0" w:color="auto"/>
              <w:left w:val="single" w:sz="4" w:space="0" w:color="auto"/>
              <w:bottom w:val="single" w:sz="4" w:space="0" w:color="auto"/>
              <w:right w:val="single" w:sz="4" w:space="0" w:color="auto"/>
            </w:tcBorders>
          </w:tcPr>
          <w:p w14:paraId="6E2BA778" w14:textId="77777777" w:rsidR="00415528" w:rsidRPr="00E356CE" w:rsidRDefault="00415528" w:rsidP="00A9191A">
            <w:pPr>
              <w:jc w:val="both"/>
            </w:pPr>
          </w:p>
          <w:p w14:paraId="60051B90" w14:textId="2C9FF562" w:rsidR="00415528" w:rsidRPr="00E356CE" w:rsidRDefault="00FC6947" w:rsidP="00A9191A">
            <w:pPr>
              <w:jc w:val="both"/>
            </w:pPr>
            <w:r w:rsidRPr="00E356CE">
              <w:rPr>
                <w:bCs/>
                <w:lang w:eastAsia="en-US"/>
              </w:rPr>
              <w:t>74)</w:t>
            </w:r>
            <w:r w:rsidRPr="00E356CE">
              <w:rPr>
                <w:bCs/>
                <w:lang w:eastAsia="en-US"/>
              </w:rPr>
              <w:tab/>
              <w:t>urządzenie radiowe – urządzenie telekomunikacyjne, które celowo emituje lub odbiera fale radiowe na potrzeby radiokomunikacji lub radiolokacji, lub urządzenie telekomunikacyjne, które musi zostać uzupełnione o dodatkowy element, aby mogło celowo emitować lub odbierać fale radiowe na potrzeby radiokomunikacji lub radiolokacji;</w:t>
            </w:r>
          </w:p>
        </w:tc>
      </w:tr>
      <w:tr w:rsidR="00723799" w:rsidRPr="00E356CE" w14:paraId="3D358921" w14:textId="77777777" w:rsidTr="56856880">
        <w:tc>
          <w:tcPr>
            <w:tcW w:w="795" w:type="dxa"/>
            <w:tcBorders>
              <w:top w:val="single" w:sz="4" w:space="0" w:color="auto"/>
              <w:left w:val="single" w:sz="4" w:space="0" w:color="auto"/>
              <w:bottom w:val="single" w:sz="4" w:space="0" w:color="auto"/>
              <w:right w:val="single" w:sz="4" w:space="0" w:color="auto"/>
            </w:tcBorders>
          </w:tcPr>
          <w:p w14:paraId="64354C2B" w14:textId="77777777" w:rsidR="00920E0A" w:rsidRPr="00E356CE" w:rsidRDefault="00920E0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6BB808CD" w14:textId="77777777" w:rsidR="00920E0A" w:rsidRPr="00E356CE" w:rsidRDefault="00A77AEA" w:rsidP="00A9191A">
            <w:pPr>
              <w:pStyle w:val="Akapitzlist"/>
              <w:numPr>
                <w:ilvl w:val="0"/>
                <w:numId w:val="3"/>
              </w:numPr>
              <w:jc w:val="both"/>
              <w:rPr>
                <w:b/>
                <w:bCs/>
              </w:rPr>
            </w:pPr>
            <w:r w:rsidRPr="00E356CE">
              <w:rPr>
                <w:iCs/>
              </w:rPr>
              <w:t>„radiokomunikacja” oznacza komunikację za pomocą fal radiowych;</w:t>
            </w:r>
          </w:p>
        </w:tc>
        <w:tc>
          <w:tcPr>
            <w:tcW w:w="886" w:type="dxa"/>
            <w:tcBorders>
              <w:top w:val="single" w:sz="4" w:space="0" w:color="auto"/>
              <w:left w:val="single" w:sz="4" w:space="0" w:color="auto"/>
              <w:bottom w:val="single" w:sz="4" w:space="0" w:color="auto"/>
              <w:right w:val="single" w:sz="4" w:space="0" w:color="auto"/>
            </w:tcBorders>
          </w:tcPr>
          <w:p w14:paraId="0E3691FE" w14:textId="77777777" w:rsidR="00920E0A" w:rsidRPr="00E356CE" w:rsidRDefault="00415528"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5E8B77F1"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27853B02" w14:textId="77777777" w:rsidR="00920E0A" w:rsidRPr="00E356CE" w:rsidRDefault="00920E0A" w:rsidP="00A9191A">
            <w:pPr>
              <w:jc w:val="both"/>
            </w:pPr>
          </w:p>
        </w:tc>
      </w:tr>
      <w:tr w:rsidR="00723799" w:rsidRPr="00E356CE" w14:paraId="3DD31011" w14:textId="77777777" w:rsidTr="56856880">
        <w:tc>
          <w:tcPr>
            <w:tcW w:w="795" w:type="dxa"/>
            <w:tcBorders>
              <w:top w:val="single" w:sz="4" w:space="0" w:color="auto"/>
              <w:left w:val="single" w:sz="4" w:space="0" w:color="auto"/>
              <w:bottom w:val="single" w:sz="4" w:space="0" w:color="auto"/>
              <w:right w:val="single" w:sz="4" w:space="0" w:color="auto"/>
            </w:tcBorders>
          </w:tcPr>
          <w:p w14:paraId="49DA82D1" w14:textId="77777777" w:rsidR="00920E0A" w:rsidRPr="00E356CE" w:rsidRDefault="00920E0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5ED95EDF" w14:textId="77777777" w:rsidR="00920E0A" w:rsidRPr="00E356CE" w:rsidRDefault="00A77AEA" w:rsidP="00A9191A">
            <w:pPr>
              <w:pStyle w:val="Akapitzlist"/>
              <w:numPr>
                <w:ilvl w:val="0"/>
                <w:numId w:val="3"/>
              </w:numPr>
              <w:jc w:val="both"/>
              <w:rPr>
                <w:b/>
                <w:bCs/>
              </w:rPr>
            </w:pPr>
            <w:r w:rsidRPr="00E356CE">
              <w:rPr>
                <w:bCs/>
              </w:rPr>
              <w:t xml:space="preserve">"radiolokacja" oznacza określanie położenia, prędkości lub innych charakterystyk obiektu, lub uzyskiwanie </w:t>
            </w:r>
            <w:r w:rsidRPr="00E356CE">
              <w:rPr>
                <w:bCs/>
              </w:rPr>
              <w:lastRenderedPageBreak/>
              <w:t>informacji dotyczących tych parametrów, poprzez właściwości propagacyjne fal radiowych;</w:t>
            </w:r>
          </w:p>
        </w:tc>
        <w:tc>
          <w:tcPr>
            <w:tcW w:w="886" w:type="dxa"/>
            <w:tcBorders>
              <w:top w:val="single" w:sz="4" w:space="0" w:color="auto"/>
              <w:left w:val="single" w:sz="4" w:space="0" w:color="auto"/>
              <w:bottom w:val="single" w:sz="4" w:space="0" w:color="auto"/>
              <w:right w:val="single" w:sz="4" w:space="0" w:color="auto"/>
            </w:tcBorders>
          </w:tcPr>
          <w:p w14:paraId="54196DC6" w14:textId="77777777" w:rsidR="00920E0A" w:rsidRPr="00E356CE" w:rsidRDefault="00DB1E54"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6E9519D2" w14:textId="45D6593C" w:rsidR="00920E0A" w:rsidRPr="00E356CE" w:rsidRDefault="00415528" w:rsidP="00FC6947">
            <w:pPr>
              <w:jc w:val="both"/>
            </w:pPr>
            <w:r w:rsidRPr="00E356CE">
              <w:t xml:space="preserve">Art. 2 pkt </w:t>
            </w:r>
            <w:r w:rsidR="00FC6947" w:rsidRPr="00E356CE">
              <w:t>41</w:t>
            </w:r>
          </w:p>
        </w:tc>
        <w:tc>
          <w:tcPr>
            <w:tcW w:w="7410" w:type="dxa"/>
            <w:gridSpan w:val="2"/>
            <w:tcBorders>
              <w:top w:val="single" w:sz="4" w:space="0" w:color="auto"/>
              <w:left w:val="single" w:sz="4" w:space="0" w:color="auto"/>
              <w:bottom w:val="single" w:sz="4" w:space="0" w:color="auto"/>
              <w:right w:val="single" w:sz="4" w:space="0" w:color="auto"/>
            </w:tcBorders>
          </w:tcPr>
          <w:p w14:paraId="2074D9C5" w14:textId="3F76D28F" w:rsidR="00920E0A" w:rsidRPr="00E356CE" w:rsidRDefault="00FC6947" w:rsidP="00A9191A">
            <w:pPr>
              <w:jc w:val="both"/>
            </w:pPr>
            <w:r w:rsidRPr="00E356CE">
              <w:rPr>
                <w:bCs/>
              </w:rPr>
              <w:t>41)</w:t>
            </w:r>
            <w:r w:rsidRPr="00E356CE">
              <w:rPr>
                <w:bCs/>
              </w:rPr>
              <w:tab/>
              <w:t>radiolokacja – określanie położenia, prędkości lub innych parametrów obiektu lub uzyskiwanie informacji dotyczących tych parametrów dzięki właściwościom propagacyjnym fal radiowych;</w:t>
            </w:r>
          </w:p>
        </w:tc>
      </w:tr>
      <w:tr w:rsidR="00723799" w:rsidRPr="00E356CE" w14:paraId="40BCF63B" w14:textId="77777777" w:rsidTr="56856880">
        <w:tc>
          <w:tcPr>
            <w:tcW w:w="795" w:type="dxa"/>
            <w:tcBorders>
              <w:top w:val="single" w:sz="4" w:space="0" w:color="auto"/>
              <w:left w:val="single" w:sz="4" w:space="0" w:color="auto"/>
              <w:bottom w:val="single" w:sz="4" w:space="0" w:color="auto"/>
              <w:right w:val="single" w:sz="4" w:space="0" w:color="auto"/>
            </w:tcBorders>
          </w:tcPr>
          <w:p w14:paraId="651C2A2D" w14:textId="77777777" w:rsidR="00920E0A" w:rsidRPr="00E356CE" w:rsidRDefault="00920E0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048ADD90" w14:textId="77777777" w:rsidR="00920E0A" w:rsidRPr="00E356CE" w:rsidRDefault="00A77AEA" w:rsidP="00A9191A">
            <w:pPr>
              <w:pStyle w:val="Akapitzlist"/>
              <w:numPr>
                <w:ilvl w:val="0"/>
                <w:numId w:val="3"/>
              </w:numPr>
              <w:jc w:val="both"/>
              <w:rPr>
                <w:b/>
                <w:bCs/>
              </w:rPr>
            </w:pPr>
            <w:r w:rsidRPr="00E356CE">
              <w:rPr>
                <w:bCs/>
              </w:rPr>
              <w:t xml:space="preserve">"fale radiowe" oznaczają fale elektromagnetyczne o częstotliwościach niższych niż 3 000 </w:t>
            </w:r>
            <w:proofErr w:type="spellStart"/>
            <w:r w:rsidRPr="00E356CE">
              <w:rPr>
                <w:bCs/>
              </w:rPr>
              <w:t>GHz</w:t>
            </w:r>
            <w:proofErr w:type="spellEnd"/>
            <w:r w:rsidRPr="00E356CE">
              <w:rPr>
                <w:bCs/>
              </w:rPr>
              <w:t>, rozchodzące się w przestrzeni bez pomocy sztucznego przewodnika;</w:t>
            </w:r>
          </w:p>
        </w:tc>
        <w:tc>
          <w:tcPr>
            <w:tcW w:w="886" w:type="dxa"/>
            <w:tcBorders>
              <w:top w:val="single" w:sz="4" w:space="0" w:color="auto"/>
              <w:left w:val="single" w:sz="4" w:space="0" w:color="auto"/>
              <w:bottom w:val="single" w:sz="4" w:space="0" w:color="auto"/>
              <w:right w:val="single" w:sz="4" w:space="0" w:color="auto"/>
            </w:tcBorders>
          </w:tcPr>
          <w:p w14:paraId="5E628F4A" w14:textId="77777777" w:rsidR="00920E0A"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061FE9A5" w14:textId="045952D3" w:rsidR="00920E0A" w:rsidRPr="00E356CE" w:rsidRDefault="00FC6947" w:rsidP="00A9191A">
            <w:pPr>
              <w:jc w:val="both"/>
            </w:pPr>
            <w:r w:rsidRPr="00E356CE">
              <w:t>Art. 2 pkt 10</w:t>
            </w:r>
          </w:p>
        </w:tc>
        <w:tc>
          <w:tcPr>
            <w:tcW w:w="7410" w:type="dxa"/>
            <w:gridSpan w:val="2"/>
            <w:tcBorders>
              <w:top w:val="single" w:sz="4" w:space="0" w:color="auto"/>
              <w:left w:val="single" w:sz="4" w:space="0" w:color="auto"/>
              <w:bottom w:val="single" w:sz="4" w:space="0" w:color="auto"/>
              <w:right w:val="single" w:sz="4" w:space="0" w:color="auto"/>
            </w:tcBorders>
          </w:tcPr>
          <w:p w14:paraId="3BBF9B7E" w14:textId="1B8C6DD7" w:rsidR="00920E0A" w:rsidRPr="00E356CE" w:rsidRDefault="00FC6947" w:rsidP="00A9191A">
            <w:pPr>
              <w:jc w:val="both"/>
            </w:pPr>
            <w:r w:rsidRPr="00E356CE">
              <w:rPr>
                <w:bCs/>
              </w:rPr>
              <w:t>10)</w:t>
            </w:r>
            <w:r w:rsidRPr="00E356CE">
              <w:rPr>
                <w:bCs/>
              </w:rPr>
              <w:tab/>
              <w:t xml:space="preserve">fale radiowe ¬– fale elektromagnetyczne o częstotliwościach niższych niż 3000 </w:t>
            </w:r>
            <w:proofErr w:type="spellStart"/>
            <w:r w:rsidRPr="00E356CE">
              <w:rPr>
                <w:bCs/>
              </w:rPr>
              <w:t>GHz</w:t>
            </w:r>
            <w:proofErr w:type="spellEnd"/>
            <w:r w:rsidRPr="00E356CE">
              <w:rPr>
                <w:bCs/>
              </w:rPr>
              <w:t>, rozchodzące się w przestrzeni bez pomocy sztucznego przewodnika;</w:t>
            </w:r>
          </w:p>
        </w:tc>
      </w:tr>
      <w:tr w:rsidR="00723799" w:rsidRPr="00E356CE" w14:paraId="706D7790" w14:textId="77777777" w:rsidTr="56856880">
        <w:tc>
          <w:tcPr>
            <w:tcW w:w="795" w:type="dxa"/>
            <w:tcBorders>
              <w:top w:val="single" w:sz="4" w:space="0" w:color="auto"/>
              <w:left w:val="single" w:sz="4" w:space="0" w:color="auto"/>
              <w:bottom w:val="single" w:sz="4" w:space="0" w:color="auto"/>
              <w:right w:val="single" w:sz="4" w:space="0" w:color="auto"/>
            </w:tcBorders>
          </w:tcPr>
          <w:p w14:paraId="2C3F1DE3" w14:textId="77777777" w:rsidR="00920E0A" w:rsidRPr="00E356CE" w:rsidRDefault="00920E0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0C6A48E3" w14:textId="77777777" w:rsidR="00920E0A" w:rsidRPr="00E356CE" w:rsidRDefault="00A77AEA" w:rsidP="00A9191A">
            <w:pPr>
              <w:jc w:val="both"/>
              <w:rPr>
                <w:b/>
                <w:bCs/>
              </w:rPr>
            </w:pPr>
            <w:r w:rsidRPr="00E356CE">
              <w:rPr>
                <w:bCs/>
              </w:rPr>
              <w:t>5)</w:t>
            </w:r>
            <w:r w:rsidRPr="00E356CE">
              <w:rPr>
                <w:bCs/>
              </w:rPr>
              <w:tab/>
              <w:t>"interfejs radiowy" oznacza specyfikację regulowanego wykorzystania widma radiowego;</w:t>
            </w:r>
          </w:p>
        </w:tc>
        <w:tc>
          <w:tcPr>
            <w:tcW w:w="886" w:type="dxa"/>
            <w:tcBorders>
              <w:top w:val="single" w:sz="4" w:space="0" w:color="auto"/>
              <w:left w:val="single" w:sz="4" w:space="0" w:color="auto"/>
              <w:bottom w:val="single" w:sz="4" w:space="0" w:color="auto"/>
              <w:right w:val="single" w:sz="4" w:space="0" w:color="auto"/>
            </w:tcBorders>
          </w:tcPr>
          <w:p w14:paraId="647AE183" w14:textId="77777777" w:rsidR="00920E0A" w:rsidRPr="00E356CE" w:rsidRDefault="00415528"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592A4F81" w14:textId="77777777" w:rsidR="00920E0A" w:rsidRPr="00E356CE" w:rsidRDefault="00920E0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4738FDCD" w14:textId="77777777" w:rsidR="00920E0A" w:rsidRPr="00E356CE" w:rsidRDefault="00920E0A" w:rsidP="00A9191A">
            <w:pPr>
              <w:jc w:val="both"/>
            </w:pPr>
          </w:p>
        </w:tc>
      </w:tr>
      <w:tr w:rsidR="00723799" w:rsidRPr="00E356CE" w14:paraId="3D19A0C8" w14:textId="77777777" w:rsidTr="56856880">
        <w:tc>
          <w:tcPr>
            <w:tcW w:w="795" w:type="dxa"/>
            <w:tcBorders>
              <w:top w:val="single" w:sz="4" w:space="0" w:color="auto"/>
              <w:left w:val="single" w:sz="4" w:space="0" w:color="auto"/>
              <w:bottom w:val="single" w:sz="4" w:space="0" w:color="auto"/>
              <w:right w:val="single" w:sz="4" w:space="0" w:color="auto"/>
            </w:tcBorders>
          </w:tcPr>
          <w:p w14:paraId="3290C434" w14:textId="77777777" w:rsidR="00A77AEA" w:rsidRPr="00E356CE" w:rsidRDefault="00A77AE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76C3C026" w14:textId="77777777" w:rsidR="00A77AEA" w:rsidRPr="00E356CE" w:rsidRDefault="00A77AEA" w:rsidP="00A9191A">
            <w:pPr>
              <w:jc w:val="both"/>
              <w:rPr>
                <w:bCs/>
              </w:rPr>
            </w:pPr>
            <w:r w:rsidRPr="00E356CE">
              <w:rPr>
                <w:bCs/>
              </w:rPr>
              <w:t>6)</w:t>
            </w:r>
            <w:r w:rsidRPr="00E356CE">
              <w:rPr>
                <w:bCs/>
              </w:rPr>
              <w:tab/>
              <w:t>"klasa urządzeń radiowych" oznacza klasę określającą poszczególne kategorie urządzeń radiowych, które zgodnie z niniejszą dyrektywą uznaje się za podobne, oraz te interfejsy radiowe, do współpracy z którymi urządzenia radiowe zostały zaprojektowane;</w:t>
            </w:r>
          </w:p>
        </w:tc>
        <w:tc>
          <w:tcPr>
            <w:tcW w:w="886" w:type="dxa"/>
            <w:tcBorders>
              <w:top w:val="single" w:sz="4" w:space="0" w:color="auto"/>
              <w:left w:val="single" w:sz="4" w:space="0" w:color="auto"/>
              <w:bottom w:val="single" w:sz="4" w:space="0" w:color="auto"/>
              <w:right w:val="single" w:sz="4" w:space="0" w:color="auto"/>
            </w:tcBorders>
          </w:tcPr>
          <w:p w14:paraId="4EAF7A06" w14:textId="77777777" w:rsidR="00A77AEA" w:rsidRPr="00E356CE" w:rsidRDefault="00DB1E54"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3CE91AB6" w14:textId="18BA9322" w:rsidR="00A77AEA" w:rsidRPr="00E356CE" w:rsidRDefault="00415528" w:rsidP="005E00B3">
            <w:pPr>
              <w:jc w:val="both"/>
            </w:pPr>
            <w:r w:rsidRPr="00E356CE">
              <w:t>Art. 2</w:t>
            </w:r>
            <w:r w:rsidR="005E00B3" w:rsidRPr="00E356CE">
              <w:t>70</w:t>
            </w:r>
            <w:r w:rsidRPr="00E356CE">
              <w:t xml:space="preserve"> ust. 1-4</w:t>
            </w:r>
          </w:p>
        </w:tc>
        <w:tc>
          <w:tcPr>
            <w:tcW w:w="7410" w:type="dxa"/>
            <w:gridSpan w:val="2"/>
            <w:tcBorders>
              <w:top w:val="single" w:sz="4" w:space="0" w:color="auto"/>
              <w:left w:val="single" w:sz="4" w:space="0" w:color="auto"/>
              <w:bottom w:val="single" w:sz="4" w:space="0" w:color="auto"/>
              <w:right w:val="single" w:sz="4" w:space="0" w:color="auto"/>
            </w:tcBorders>
          </w:tcPr>
          <w:p w14:paraId="7CF1E886"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b/>
                <w:szCs w:val="24"/>
              </w:rPr>
              <w:t>Art. 270.</w:t>
            </w:r>
            <w:r w:rsidRPr="00E356CE">
              <w:rPr>
                <w:rFonts w:ascii="Times New Roman" w:hAnsi="Times New Roman" w:cs="Times New Roman"/>
                <w:szCs w:val="24"/>
              </w:rPr>
              <w:t xml:space="preserve"> 1. Urządzenie radiowe, wobec którego państwo członkowskie stosuje ograniczenia w zakresie wprowadzania go do obrotu lub oddawania do użytku lub wobec którego obowiązują wymagania dotyczące konieczności uzyskania pozwolenia na używanie urządzenia radiowego, stanowi urządzenie klasy 2.</w:t>
            </w:r>
          </w:p>
          <w:p w14:paraId="67724E92"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2. W przypadku urządzenia klasy 2 informacje dostępne na opakowaniu oraz podane w instrukcji towarzyszącej urządzeniu radiowemu umożliwiają określenie państwa członkowskiego lub obszaru geograficznego w obrębie danego państwa członkowskiego, w których istnieją ograniczenia we wprowadzaniu do obrotu lub oddawaniu do użytku lub obowiązują wymagania dotyczące konieczności uzyskania pozwolenia na używanie urządzenia.</w:t>
            </w:r>
          </w:p>
          <w:p w14:paraId="273D147A"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3. Urządzenia radiowe, wobec których państwa członkowskie nie stosują ograniczeń w zakresie wprowadzania ich do obrotu lub oddawania do użytku, stanowią urządzenia klasy 1.</w:t>
            </w:r>
          </w:p>
          <w:p w14:paraId="5CDD9E95" w14:textId="6D475333" w:rsidR="00A77AEA" w:rsidRPr="00E356CE" w:rsidRDefault="005E00B3" w:rsidP="005E00B3">
            <w:pPr>
              <w:jc w:val="both"/>
            </w:pPr>
            <w:r w:rsidRPr="00E356CE">
              <w:t>4. Prezes UKE udostępnia na stronie podmiotowej BIP UKE przykładową listę urządzeń radiowych stanowiących urządzenia klasy 1.</w:t>
            </w:r>
          </w:p>
        </w:tc>
      </w:tr>
      <w:tr w:rsidR="00723799" w:rsidRPr="00E356CE" w14:paraId="1D85FCB7" w14:textId="77777777" w:rsidTr="56856880">
        <w:tc>
          <w:tcPr>
            <w:tcW w:w="795" w:type="dxa"/>
            <w:tcBorders>
              <w:top w:val="single" w:sz="4" w:space="0" w:color="auto"/>
              <w:left w:val="single" w:sz="4" w:space="0" w:color="auto"/>
              <w:bottom w:val="single" w:sz="4" w:space="0" w:color="auto"/>
              <w:right w:val="single" w:sz="4" w:space="0" w:color="auto"/>
            </w:tcBorders>
          </w:tcPr>
          <w:p w14:paraId="1B39ECA7" w14:textId="77777777" w:rsidR="00A77AEA" w:rsidRPr="00E356CE" w:rsidRDefault="00A77AE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18388DE6" w14:textId="77777777" w:rsidR="00A77AEA" w:rsidRPr="00E356CE" w:rsidRDefault="00A77AEA" w:rsidP="00A9191A">
            <w:pPr>
              <w:jc w:val="both"/>
              <w:rPr>
                <w:b/>
                <w:bCs/>
              </w:rPr>
            </w:pPr>
            <w:r w:rsidRPr="00E356CE">
              <w:rPr>
                <w:bCs/>
              </w:rPr>
              <w:t>7)</w:t>
            </w:r>
            <w:r w:rsidRPr="00E356CE">
              <w:rPr>
                <w:bCs/>
              </w:rPr>
              <w:tab/>
              <w:t xml:space="preserve">"szkodliwe zakłócenia" oznaczają szkodliwe zakłócenia zgodnie z definicją w art. </w:t>
            </w:r>
            <w:r w:rsidRPr="00E356CE">
              <w:rPr>
                <w:bCs/>
              </w:rPr>
              <w:lastRenderedPageBreak/>
              <w:t>2 lit. r) dyrektywy 2002/21/WE Parlamentu Europejskiego i Rady</w:t>
            </w:r>
            <w:r w:rsidRPr="00E356CE">
              <w:rPr>
                <w:bCs/>
                <w:vertAlign w:val="superscript"/>
              </w:rPr>
              <w:t>(14)</w:t>
            </w:r>
            <w:r w:rsidRPr="00E356CE">
              <w:rPr>
                <w:bCs/>
              </w:rPr>
              <w:t>;</w:t>
            </w:r>
          </w:p>
        </w:tc>
        <w:tc>
          <w:tcPr>
            <w:tcW w:w="886" w:type="dxa"/>
            <w:tcBorders>
              <w:top w:val="single" w:sz="4" w:space="0" w:color="auto"/>
              <w:left w:val="single" w:sz="4" w:space="0" w:color="auto"/>
              <w:bottom w:val="single" w:sz="4" w:space="0" w:color="auto"/>
              <w:right w:val="single" w:sz="4" w:space="0" w:color="auto"/>
            </w:tcBorders>
          </w:tcPr>
          <w:p w14:paraId="4CA8721E" w14:textId="77777777" w:rsidR="00A77AEA"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752EC043" w14:textId="3A5E3971" w:rsidR="00A77AEA" w:rsidRPr="00E356CE" w:rsidRDefault="00415528" w:rsidP="005E00B3">
            <w:pPr>
              <w:jc w:val="both"/>
            </w:pPr>
            <w:r w:rsidRPr="00E356CE">
              <w:t>Art. 2 pkt 6</w:t>
            </w:r>
            <w:r w:rsidR="005E00B3" w:rsidRPr="00E356CE">
              <w:t>8</w:t>
            </w:r>
          </w:p>
        </w:tc>
        <w:tc>
          <w:tcPr>
            <w:tcW w:w="7410" w:type="dxa"/>
            <w:gridSpan w:val="2"/>
            <w:tcBorders>
              <w:top w:val="single" w:sz="4" w:space="0" w:color="auto"/>
              <w:left w:val="single" w:sz="4" w:space="0" w:color="auto"/>
              <w:bottom w:val="single" w:sz="4" w:space="0" w:color="auto"/>
              <w:right w:val="single" w:sz="4" w:space="0" w:color="auto"/>
            </w:tcBorders>
          </w:tcPr>
          <w:p w14:paraId="089E784E" w14:textId="77777777" w:rsidR="005E00B3" w:rsidRPr="00E356CE" w:rsidRDefault="005E00B3" w:rsidP="005E00B3">
            <w:pPr>
              <w:pStyle w:val="PKTpunkt"/>
              <w:spacing w:line="240" w:lineRule="auto"/>
              <w:rPr>
                <w:rFonts w:ascii="Times New Roman" w:hAnsi="Times New Roman" w:cs="Times New Roman"/>
                <w:szCs w:val="24"/>
                <w:lang w:eastAsia="en-US"/>
              </w:rPr>
            </w:pPr>
            <w:r w:rsidRPr="00E356CE">
              <w:rPr>
                <w:rFonts w:ascii="Times New Roman" w:hAnsi="Times New Roman" w:cs="Times New Roman"/>
                <w:szCs w:val="24"/>
                <w:lang w:eastAsia="en-US"/>
              </w:rPr>
              <w:t>68)</w:t>
            </w:r>
            <w:r w:rsidRPr="00E356CE">
              <w:rPr>
                <w:rFonts w:ascii="Times New Roman" w:hAnsi="Times New Roman" w:cs="Times New Roman"/>
                <w:szCs w:val="24"/>
                <w:lang w:eastAsia="en-US"/>
              </w:rPr>
              <w:tab/>
              <w:t>szkodliwe zakłócenia – zakłócenia, które:</w:t>
            </w:r>
          </w:p>
          <w:p w14:paraId="427A0B53" w14:textId="77777777" w:rsidR="005E00B3" w:rsidRPr="00E356CE" w:rsidRDefault="005E00B3" w:rsidP="005E00B3">
            <w:pPr>
              <w:pStyle w:val="PKTpunkt"/>
              <w:spacing w:line="240" w:lineRule="auto"/>
              <w:rPr>
                <w:rFonts w:ascii="Times New Roman" w:hAnsi="Times New Roman" w:cs="Times New Roman"/>
                <w:szCs w:val="24"/>
                <w:lang w:eastAsia="en-US"/>
              </w:rPr>
            </w:pPr>
            <w:r w:rsidRPr="00E356CE">
              <w:rPr>
                <w:rFonts w:ascii="Times New Roman" w:hAnsi="Times New Roman" w:cs="Times New Roman"/>
                <w:szCs w:val="24"/>
                <w:lang w:eastAsia="en-US"/>
              </w:rPr>
              <w:t xml:space="preserve">a) </w:t>
            </w:r>
            <w:r w:rsidRPr="00E356CE">
              <w:rPr>
                <w:rFonts w:ascii="Times New Roman" w:hAnsi="Times New Roman" w:cs="Times New Roman"/>
                <w:szCs w:val="24"/>
                <w:lang w:eastAsia="en-US"/>
              </w:rPr>
              <w:tab/>
              <w:t>zagrażają funkcjonowaniu służby radionawigacyjnej lub innej służby radiokomunikacyjnej związanej z bezpieczeństwem lub</w:t>
            </w:r>
          </w:p>
          <w:p w14:paraId="192E3A79" w14:textId="5F113CF7" w:rsidR="00A77AEA" w:rsidRPr="00E356CE" w:rsidRDefault="005E00B3" w:rsidP="005E00B3">
            <w:pPr>
              <w:pStyle w:val="LITlitera"/>
              <w:spacing w:line="240" w:lineRule="auto"/>
              <w:ind w:left="563" w:hanging="567"/>
              <w:rPr>
                <w:rFonts w:ascii="Times New Roman" w:hAnsi="Times New Roman" w:cs="Times New Roman"/>
                <w:szCs w:val="24"/>
                <w:lang w:eastAsia="en-US"/>
              </w:rPr>
            </w:pPr>
            <w:r w:rsidRPr="00E356CE">
              <w:rPr>
                <w:rFonts w:ascii="Times New Roman" w:hAnsi="Times New Roman" w:cs="Times New Roman"/>
                <w:szCs w:val="24"/>
                <w:lang w:eastAsia="en-US"/>
              </w:rPr>
              <w:lastRenderedPageBreak/>
              <w:t xml:space="preserve">b) </w:t>
            </w:r>
            <w:r w:rsidRPr="00E356CE">
              <w:rPr>
                <w:rFonts w:ascii="Times New Roman" w:hAnsi="Times New Roman" w:cs="Times New Roman"/>
                <w:szCs w:val="24"/>
                <w:lang w:eastAsia="en-US"/>
              </w:rPr>
              <w:tab/>
              <w:t>w sposób poważny pogarszają, utrudniają lub wielokrotnie przerywają wykonywanie służby radiokomunikacyjnej działającej zgodnie z przepisami prawa;</w:t>
            </w:r>
          </w:p>
        </w:tc>
      </w:tr>
      <w:tr w:rsidR="00723799" w:rsidRPr="00E356CE" w14:paraId="15A0FDF5" w14:textId="77777777" w:rsidTr="56856880">
        <w:tc>
          <w:tcPr>
            <w:tcW w:w="795" w:type="dxa"/>
            <w:tcBorders>
              <w:top w:val="single" w:sz="4" w:space="0" w:color="auto"/>
              <w:left w:val="single" w:sz="4" w:space="0" w:color="auto"/>
              <w:bottom w:val="single" w:sz="4" w:space="0" w:color="auto"/>
              <w:right w:val="single" w:sz="4" w:space="0" w:color="auto"/>
            </w:tcBorders>
          </w:tcPr>
          <w:p w14:paraId="383CBA45" w14:textId="77777777" w:rsidR="00A77AEA" w:rsidRPr="00E356CE" w:rsidRDefault="00A77AE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0CC2AEFA" w14:textId="77777777" w:rsidR="00A77AEA" w:rsidRPr="00E356CE" w:rsidRDefault="00415528" w:rsidP="00A9191A">
            <w:pPr>
              <w:jc w:val="both"/>
              <w:rPr>
                <w:b/>
                <w:bCs/>
              </w:rPr>
            </w:pPr>
            <w:r w:rsidRPr="00E356CE">
              <w:rPr>
                <w:bCs/>
              </w:rPr>
              <w:t>8)</w:t>
            </w:r>
            <w:r w:rsidRPr="00E356CE">
              <w:rPr>
                <w:bCs/>
              </w:rPr>
              <w:tab/>
              <w:t>"zaburzenie elektromagnetyczne" oznacza zaburzenie elektromagnetyczne zdefiniowane w art. 3 ust. 1 pkt 5 dyrektywy 2014/30/UE;</w:t>
            </w:r>
          </w:p>
        </w:tc>
        <w:tc>
          <w:tcPr>
            <w:tcW w:w="886" w:type="dxa"/>
            <w:tcBorders>
              <w:top w:val="single" w:sz="4" w:space="0" w:color="auto"/>
              <w:left w:val="single" w:sz="4" w:space="0" w:color="auto"/>
              <w:bottom w:val="single" w:sz="4" w:space="0" w:color="auto"/>
              <w:right w:val="single" w:sz="4" w:space="0" w:color="auto"/>
            </w:tcBorders>
          </w:tcPr>
          <w:p w14:paraId="23BF725B"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0292D61E" w14:textId="41D0E908" w:rsidR="00A77AEA" w:rsidRPr="00E356CE" w:rsidRDefault="00415528" w:rsidP="005E00B3">
            <w:pPr>
              <w:jc w:val="both"/>
            </w:pPr>
            <w:r w:rsidRPr="00E356CE">
              <w:t xml:space="preserve">Art. 2 pkt </w:t>
            </w:r>
            <w:r w:rsidR="005E00B3" w:rsidRPr="00E356CE">
              <w:t>67</w:t>
            </w:r>
          </w:p>
        </w:tc>
        <w:tc>
          <w:tcPr>
            <w:tcW w:w="7410" w:type="dxa"/>
            <w:gridSpan w:val="2"/>
            <w:tcBorders>
              <w:top w:val="single" w:sz="4" w:space="0" w:color="auto"/>
              <w:left w:val="single" w:sz="4" w:space="0" w:color="auto"/>
              <w:bottom w:val="single" w:sz="4" w:space="0" w:color="auto"/>
              <w:right w:val="single" w:sz="4" w:space="0" w:color="auto"/>
            </w:tcBorders>
          </w:tcPr>
          <w:p w14:paraId="562CF432" w14:textId="7EBD38F8" w:rsidR="00A77AEA" w:rsidRPr="00E356CE" w:rsidRDefault="005E00B3" w:rsidP="005E00B3">
            <w:pPr>
              <w:pStyle w:val="PKTpunkt"/>
              <w:spacing w:line="240" w:lineRule="auto"/>
              <w:rPr>
                <w:rFonts w:ascii="Times New Roman" w:hAnsi="Times New Roman" w:cs="Times New Roman"/>
                <w:szCs w:val="24"/>
                <w:lang w:eastAsia="en-US"/>
              </w:rPr>
            </w:pPr>
            <w:r w:rsidRPr="00E356CE">
              <w:rPr>
                <w:rFonts w:ascii="Times New Roman" w:hAnsi="Times New Roman" w:cs="Times New Roman"/>
                <w:szCs w:val="24"/>
              </w:rPr>
              <w:t>67)</w:t>
            </w:r>
            <w:r w:rsidRPr="00E356CE">
              <w:rPr>
                <w:rFonts w:ascii="Times New Roman" w:hAnsi="Times New Roman" w:cs="Times New Roman"/>
                <w:szCs w:val="24"/>
              </w:rPr>
              <w:tab/>
              <w:t>szkodliwe zaburzenie elektromagnetyczne – zaburzenie elektromagnetyczne w rozumieniu przepisów ustawy z dnia 13 kwietnia 2007 r. o kompatybilności elektromagnetycznej, które przekracza dopuszczalne poziomy zaburzeń;</w:t>
            </w:r>
          </w:p>
        </w:tc>
      </w:tr>
      <w:tr w:rsidR="00723799" w:rsidRPr="00E356CE" w14:paraId="0ED59E88" w14:textId="77777777" w:rsidTr="56856880">
        <w:tc>
          <w:tcPr>
            <w:tcW w:w="795" w:type="dxa"/>
            <w:tcBorders>
              <w:top w:val="single" w:sz="4" w:space="0" w:color="auto"/>
              <w:left w:val="single" w:sz="4" w:space="0" w:color="auto"/>
              <w:bottom w:val="single" w:sz="4" w:space="0" w:color="auto"/>
              <w:right w:val="single" w:sz="4" w:space="0" w:color="auto"/>
            </w:tcBorders>
          </w:tcPr>
          <w:p w14:paraId="5C3B57AD" w14:textId="77777777" w:rsidR="00A77AEA" w:rsidRPr="00E356CE" w:rsidRDefault="00415528" w:rsidP="00A9191A">
            <w:pPr>
              <w:jc w:val="both"/>
              <w:rPr>
                <w:b/>
              </w:rPr>
            </w:pPr>
            <w:r w:rsidRPr="00E356CE">
              <w:rPr>
                <w:b/>
              </w:rPr>
              <w:t>Art. 3</w:t>
            </w:r>
          </w:p>
        </w:tc>
        <w:tc>
          <w:tcPr>
            <w:tcW w:w="4719" w:type="dxa"/>
            <w:tcBorders>
              <w:top w:val="single" w:sz="4" w:space="0" w:color="auto"/>
              <w:left w:val="single" w:sz="4" w:space="0" w:color="auto"/>
              <w:bottom w:val="single" w:sz="4" w:space="0" w:color="auto"/>
              <w:right w:val="single" w:sz="4" w:space="0" w:color="auto"/>
            </w:tcBorders>
          </w:tcPr>
          <w:p w14:paraId="6B9F601C" w14:textId="77777777" w:rsidR="00A77AEA" w:rsidRPr="00E356CE" w:rsidRDefault="00415528" w:rsidP="00A9191A">
            <w:pPr>
              <w:jc w:val="center"/>
              <w:rPr>
                <w:b/>
                <w:bCs/>
              </w:rPr>
            </w:pPr>
            <w:r w:rsidRPr="00E356CE">
              <w:rPr>
                <w:b/>
                <w:iCs/>
              </w:rPr>
              <w:t>Zasadnicze wymagania</w:t>
            </w:r>
          </w:p>
        </w:tc>
        <w:tc>
          <w:tcPr>
            <w:tcW w:w="886" w:type="dxa"/>
            <w:tcBorders>
              <w:top w:val="single" w:sz="4" w:space="0" w:color="auto"/>
              <w:left w:val="single" w:sz="4" w:space="0" w:color="auto"/>
              <w:bottom w:val="single" w:sz="4" w:space="0" w:color="auto"/>
              <w:right w:val="single" w:sz="4" w:space="0" w:color="auto"/>
            </w:tcBorders>
          </w:tcPr>
          <w:p w14:paraId="5C371153"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47A0806F"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736BEFA6" w14:textId="77777777" w:rsidR="00A77AEA" w:rsidRPr="00E356CE" w:rsidRDefault="00A77AEA" w:rsidP="00A9191A">
            <w:pPr>
              <w:jc w:val="both"/>
            </w:pPr>
          </w:p>
        </w:tc>
      </w:tr>
      <w:tr w:rsidR="00723799" w:rsidRPr="00E356CE" w14:paraId="5C34CD91" w14:textId="77777777" w:rsidTr="56856880">
        <w:tc>
          <w:tcPr>
            <w:tcW w:w="795" w:type="dxa"/>
            <w:tcBorders>
              <w:top w:val="single" w:sz="4" w:space="0" w:color="auto"/>
              <w:left w:val="single" w:sz="4" w:space="0" w:color="auto"/>
              <w:bottom w:val="single" w:sz="4" w:space="0" w:color="auto"/>
              <w:right w:val="single" w:sz="4" w:space="0" w:color="auto"/>
            </w:tcBorders>
          </w:tcPr>
          <w:p w14:paraId="342F7830" w14:textId="77777777" w:rsidR="00A77AEA" w:rsidRPr="00E356CE" w:rsidRDefault="00415528" w:rsidP="00A9191A">
            <w:pPr>
              <w:jc w:val="both"/>
            </w:pPr>
            <w:r w:rsidRPr="00E356CE">
              <w:t>Art. 3 ust. 1</w:t>
            </w:r>
          </w:p>
        </w:tc>
        <w:tc>
          <w:tcPr>
            <w:tcW w:w="4719" w:type="dxa"/>
            <w:tcBorders>
              <w:top w:val="single" w:sz="4" w:space="0" w:color="auto"/>
              <w:left w:val="single" w:sz="4" w:space="0" w:color="auto"/>
              <w:bottom w:val="single" w:sz="4" w:space="0" w:color="auto"/>
              <w:right w:val="single" w:sz="4" w:space="0" w:color="auto"/>
            </w:tcBorders>
          </w:tcPr>
          <w:p w14:paraId="1C22866F" w14:textId="77777777" w:rsidR="00415528" w:rsidRPr="00E356CE" w:rsidRDefault="00415528" w:rsidP="00A9191A">
            <w:pPr>
              <w:pStyle w:val="ti-art"/>
              <w:shd w:val="clear" w:color="auto" w:fill="FFFFFF"/>
              <w:spacing w:before="360" w:after="120"/>
              <w:jc w:val="both"/>
              <w:rPr>
                <w:iCs/>
              </w:rPr>
            </w:pPr>
            <w:r w:rsidRPr="00E356CE">
              <w:rPr>
                <w:iCs/>
              </w:rPr>
              <w:t>1.   Urządzenia radiowe są konstruowane w taki sposób, aby zapewnić:</w:t>
            </w:r>
          </w:p>
          <w:p w14:paraId="738BFE41" w14:textId="77777777" w:rsidR="00415528" w:rsidRPr="00E356CE" w:rsidRDefault="00415528" w:rsidP="00A9191A">
            <w:pPr>
              <w:pStyle w:val="ti-art"/>
              <w:shd w:val="clear" w:color="auto" w:fill="FFFFFF"/>
              <w:spacing w:before="360" w:after="120"/>
              <w:jc w:val="both"/>
              <w:rPr>
                <w:iCs/>
              </w:rPr>
            </w:pPr>
            <w:r w:rsidRPr="00E356CE">
              <w:rPr>
                <w:iCs/>
              </w:rPr>
              <w:t>a) ochronę zdrowia i bezpieczeństwa osób i zwierząt domowych oraz ochronę mienia, w tym również realizację celów odnoszących się do wymagań dotyczących bezpieczeństwa zawartych w dyrektywie 2014/35/UE, ale bez zastosowania limitu napięcia elektrycznego;</w:t>
            </w:r>
          </w:p>
          <w:p w14:paraId="5CA5EAB7" w14:textId="77777777" w:rsidR="00A77AEA" w:rsidRPr="00E356CE" w:rsidRDefault="00415528" w:rsidP="00A9191A">
            <w:pPr>
              <w:jc w:val="both"/>
              <w:rPr>
                <w:b/>
                <w:bCs/>
              </w:rPr>
            </w:pPr>
            <w:r w:rsidRPr="00E356CE">
              <w:rPr>
                <w:iCs/>
              </w:rPr>
              <w:t>b) odpowiedni poziom kompatybilności elektromagnetycznej zgodnie z dyrektywą 2014/30/UE.</w:t>
            </w:r>
          </w:p>
        </w:tc>
        <w:tc>
          <w:tcPr>
            <w:tcW w:w="886" w:type="dxa"/>
            <w:tcBorders>
              <w:top w:val="single" w:sz="4" w:space="0" w:color="auto"/>
              <w:left w:val="single" w:sz="4" w:space="0" w:color="auto"/>
              <w:bottom w:val="single" w:sz="4" w:space="0" w:color="auto"/>
              <w:right w:val="single" w:sz="4" w:space="0" w:color="auto"/>
            </w:tcBorders>
          </w:tcPr>
          <w:p w14:paraId="642A45EB"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44C94799" w14:textId="5E29F237" w:rsidR="00A77AEA" w:rsidRPr="00E356CE" w:rsidRDefault="00415528" w:rsidP="005E00B3">
            <w:pPr>
              <w:jc w:val="both"/>
            </w:pPr>
            <w:r w:rsidRPr="00E356CE">
              <w:t>Art. 2</w:t>
            </w:r>
            <w:r w:rsidR="005E00B3" w:rsidRPr="00E356CE">
              <w:t>69</w:t>
            </w:r>
            <w:r w:rsidRPr="00E356CE">
              <w:t xml:space="preserve"> ust. 1 i 2</w:t>
            </w:r>
          </w:p>
        </w:tc>
        <w:tc>
          <w:tcPr>
            <w:tcW w:w="7410" w:type="dxa"/>
            <w:gridSpan w:val="2"/>
            <w:tcBorders>
              <w:top w:val="single" w:sz="4" w:space="0" w:color="auto"/>
              <w:left w:val="single" w:sz="4" w:space="0" w:color="auto"/>
              <w:bottom w:val="single" w:sz="4" w:space="0" w:color="auto"/>
              <w:right w:val="single" w:sz="4" w:space="0" w:color="auto"/>
            </w:tcBorders>
          </w:tcPr>
          <w:p w14:paraId="17247F32"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b/>
                <w:szCs w:val="24"/>
              </w:rPr>
              <w:t>Art. 269</w:t>
            </w:r>
            <w:r w:rsidRPr="00E356CE">
              <w:rPr>
                <w:rFonts w:ascii="Times New Roman" w:hAnsi="Times New Roman" w:cs="Times New Roman"/>
                <w:szCs w:val="24"/>
              </w:rPr>
              <w:t>. 1. Urządzenia radiowe wprowadzane do obrotu lub oddawane do użytku powinny spełniać wymagania w zakresie:</w:t>
            </w:r>
          </w:p>
          <w:p w14:paraId="6E305E01"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ochrony zdrowia i bezpieczeństwa osób i zwierząt domowych oraz ochrony mienia;</w:t>
            </w:r>
          </w:p>
          <w:p w14:paraId="50933915"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efektywnego wykorzystania zasobów częstotliwości lub zasobów orbitalnych w celu unikania szkodliwych zakłóceń;</w:t>
            </w:r>
          </w:p>
          <w:p w14:paraId="3B01CA0C"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3)</w:t>
            </w:r>
            <w:r w:rsidRPr="00E356CE">
              <w:rPr>
                <w:rFonts w:ascii="Times New Roman" w:hAnsi="Times New Roman" w:cs="Times New Roman"/>
                <w:szCs w:val="24"/>
              </w:rPr>
              <w:tab/>
              <w:t>kompatybilności elektromagnetycznej, określone w przepisach o kompatybilności elektromagnetycznej, w zakresie wynikającym z ich przeznaczenia.</w:t>
            </w:r>
          </w:p>
          <w:p w14:paraId="0A3E0B44" w14:textId="77777777" w:rsidR="005E00B3" w:rsidRPr="00E356CE" w:rsidRDefault="005E00B3" w:rsidP="005E00B3">
            <w:pPr>
              <w:pStyle w:val="ARTartustawynprozporzdzenia"/>
              <w:spacing w:line="240" w:lineRule="auto"/>
              <w:rPr>
                <w:rFonts w:ascii="Times New Roman" w:hAnsi="Times New Roman" w:cs="Times New Roman"/>
                <w:szCs w:val="24"/>
              </w:rPr>
            </w:pPr>
          </w:p>
          <w:p w14:paraId="4EB10C05"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2. W zakres wymagań, o których mowa w ust. 1 pkt 1, wchodzą w szczególności następujące wymagania:</w:t>
            </w:r>
          </w:p>
          <w:p w14:paraId="7926F79A"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na urządzeniu radiowym, a w przypadku braku takiej możliwości, w dołączonej dokumentacji, zamieszcza się podstawowe informacje, których znajomość i stosowanie są warunkiem, aby urządzenie radiowe było użytkowane bezpiecznie i zgodnie z jego przeznaczeniem;</w:t>
            </w:r>
          </w:p>
          <w:p w14:paraId="66F5BC57"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urządzenie radiowe, łącznie z jego częściami składowymi, jest wykonane w sposób zapewniający jego bezpieczny oraz prawidłowy montaż i przyłączenie;</w:t>
            </w:r>
          </w:p>
          <w:p w14:paraId="7C4736EF"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lastRenderedPageBreak/>
              <w:t>3)</w:t>
            </w:r>
            <w:r w:rsidRPr="00E356CE">
              <w:rPr>
                <w:rFonts w:ascii="Times New Roman" w:hAnsi="Times New Roman" w:cs="Times New Roman"/>
                <w:szCs w:val="24"/>
              </w:rPr>
              <w:tab/>
              <w:t>w celu ochrony przed zagrożeniami stwarzanymi przez urządzenie radiowe, stosuje się odpowiednie środki techniczne zapewniające:</w:t>
            </w:r>
          </w:p>
          <w:p w14:paraId="53136D27"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a)</w:t>
            </w:r>
            <w:r w:rsidRPr="00E356CE">
              <w:rPr>
                <w:rFonts w:ascii="Times New Roman" w:hAnsi="Times New Roman" w:cs="Times New Roman"/>
                <w:szCs w:val="24"/>
              </w:rPr>
              <w:tab/>
              <w:t>ochronę osób oraz zwierząt domowych przed niebezpieczeństwem urazu fizycznego lub innej szkody, mogących powstać w wyniku bezpośredniego lub pośredniego kontaktu,</w:t>
            </w:r>
          </w:p>
          <w:p w14:paraId="2B4F5499"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b)</w:t>
            </w:r>
            <w:r w:rsidRPr="00E356CE">
              <w:rPr>
                <w:rFonts w:ascii="Times New Roman" w:hAnsi="Times New Roman" w:cs="Times New Roman"/>
                <w:szCs w:val="24"/>
              </w:rPr>
              <w:tab/>
              <w:t>niedopuszczenie do wytworzenia temperatury, łuków lub promieniowania, które mogłyby spowodować niebezpieczeństwo,</w:t>
            </w:r>
          </w:p>
          <w:p w14:paraId="1D6D4CD9"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c)</w:t>
            </w:r>
            <w:r w:rsidRPr="00E356CE">
              <w:rPr>
                <w:rFonts w:ascii="Times New Roman" w:hAnsi="Times New Roman" w:cs="Times New Roman"/>
                <w:szCs w:val="24"/>
              </w:rPr>
              <w:tab/>
              <w:t>ochronę osób, zwierząt domowych oraz mienia przed niebezpieczeństwem o charakterze nieelektrycznym, które, jak wynika z doświadczenia, może być spowodowane przez urządzenie radiowe,</w:t>
            </w:r>
          </w:p>
          <w:p w14:paraId="0529DD74"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d)</w:t>
            </w:r>
            <w:r w:rsidRPr="00E356CE">
              <w:rPr>
                <w:rFonts w:ascii="Times New Roman" w:hAnsi="Times New Roman" w:cs="Times New Roman"/>
                <w:szCs w:val="24"/>
              </w:rPr>
              <w:tab/>
              <w:t>odpowiednią do przewidywanych warunków izolację;</w:t>
            </w:r>
          </w:p>
          <w:p w14:paraId="32215C98"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4)</w:t>
            </w:r>
            <w:r w:rsidRPr="00E356CE">
              <w:rPr>
                <w:rFonts w:ascii="Times New Roman" w:hAnsi="Times New Roman" w:cs="Times New Roman"/>
                <w:szCs w:val="24"/>
              </w:rPr>
              <w:tab/>
              <w:t>w celu ochrony przed zagrożeniami mogącymi powstać wskutek oddziaływania na urządzenie radiowe czynników zewnętrznych, stosuje się odpowiednie środki techniczne zapewniające, że to urządzenie radiowe nie naraża osób, zwierząt domowych oraz mienia na zagrożenia wynikające z:</w:t>
            </w:r>
          </w:p>
          <w:p w14:paraId="44EA0890"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a)</w:t>
            </w:r>
            <w:r w:rsidRPr="00E356CE">
              <w:rPr>
                <w:rFonts w:ascii="Times New Roman" w:hAnsi="Times New Roman" w:cs="Times New Roman"/>
                <w:szCs w:val="24"/>
              </w:rPr>
              <w:tab/>
              <w:t>jego właściwości mechanicznych,</w:t>
            </w:r>
          </w:p>
          <w:p w14:paraId="615751E1"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b)</w:t>
            </w:r>
            <w:r w:rsidRPr="00E356CE">
              <w:rPr>
                <w:rFonts w:ascii="Times New Roman" w:hAnsi="Times New Roman" w:cs="Times New Roman"/>
                <w:szCs w:val="24"/>
              </w:rPr>
              <w:tab/>
              <w:t xml:space="preserve">wpływów </w:t>
            </w:r>
            <w:proofErr w:type="spellStart"/>
            <w:r w:rsidRPr="00E356CE">
              <w:rPr>
                <w:rFonts w:ascii="Times New Roman" w:hAnsi="Times New Roman" w:cs="Times New Roman"/>
                <w:szCs w:val="24"/>
              </w:rPr>
              <w:t>niemechanicznych</w:t>
            </w:r>
            <w:proofErr w:type="spellEnd"/>
            <w:r w:rsidRPr="00E356CE">
              <w:rPr>
                <w:rFonts w:ascii="Times New Roman" w:hAnsi="Times New Roman" w:cs="Times New Roman"/>
                <w:szCs w:val="24"/>
              </w:rPr>
              <w:t>, w dających się przewidzieć warunkach otoczenia,</w:t>
            </w:r>
          </w:p>
          <w:p w14:paraId="6DED0F35"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c)</w:t>
            </w:r>
            <w:r w:rsidRPr="00E356CE">
              <w:rPr>
                <w:rFonts w:ascii="Times New Roman" w:hAnsi="Times New Roman" w:cs="Times New Roman"/>
                <w:szCs w:val="24"/>
              </w:rPr>
              <w:tab/>
              <w:t>przeciążeń, w możliwych do przewidzenia okolicznościach;</w:t>
            </w:r>
          </w:p>
          <w:p w14:paraId="0E332C3D" w14:textId="3A6D68BA" w:rsidR="00A77AEA" w:rsidRPr="00E356CE" w:rsidRDefault="005E00B3" w:rsidP="005E00B3">
            <w:pPr>
              <w:pStyle w:val="PKTpunkt"/>
              <w:spacing w:line="240" w:lineRule="auto"/>
              <w:rPr>
                <w:rFonts w:ascii="Times New Roman" w:hAnsi="Times New Roman" w:cs="Times New Roman"/>
                <w:szCs w:val="24"/>
              </w:rPr>
            </w:pPr>
            <w:r w:rsidRPr="00E356CE">
              <w:rPr>
                <w:rFonts w:ascii="Times New Roman" w:hAnsi="Times New Roman" w:cs="Times New Roman"/>
                <w:szCs w:val="24"/>
              </w:rPr>
              <w:t>5)</w:t>
            </w:r>
            <w:r w:rsidRPr="00E356CE">
              <w:rPr>
                <w:rFonts w:ascii="Times New Roman" w:hAnsi="Times New Roman" w:cs="Times New Roman"/>
                <w:szCs w:val="24"/>
              </w:rPr>
              <w:tab/>
              <w:t>urządzenie radiowe jest projektowane i wytwarzane w taki sposób, aby zapewniona była jego zgodność z zasadami ochrony przed zagrożeniami, o których mowa w pkt 3 i 4, w sytuacji gdy jest ono użytkowane w sposób zgodny z przeznaczeniem i utrzymywane we właściwym stanie technicznym.</w:t>
            </w:r>
          </w:p>
        </w:tc>
      </w:tr>
      <w:tr w:rsidR="00723799" w:rsidRPr="00E356CE" w14:paraId="2551BAE8" w14:textId="77777777" w:rsidTr="56856880">
        <w:tc>
          <w:tcPr>
            <w:tcW w:w="795" w:type="dxa"/>
            <w:tcBorders>
              <w:top w:val="single" w:sz="4" w:space="0" w:color="auto"/>
              <w:left w:val="single" w:sz="4" w:space="0" w:color="auto"/>
              <w:bottom w:val="single" w:sz="4" w:space="0" w:color="auto"/>
              <w:right w:val="single" w:sz="4" w:space="0" w:color="auto"/>
            </w:tcBorders>
          </w:tcPr>
          <w:p w14:paraId="70BF105C" w14:textId="77777777" w:rsidR="00A77AEA" w:rsidRPr="00E356CE" w:rsidRDefault="00415528" w:rsidP="00A9191A">
            <w:pPr>
              <w:jc w:val="both"/>
            </w:pPr>
            <w:r w:rsidRPr="00E356CE">
              <w:lastRenderedPageBreak/>
              <w:t>Art. 3 ust. 2</w:t>
            </w:r>
          </w:p>
        </w:tc>
        <w:tc>
          <w:tcPr>
            <w:tcW w:w="4719" w:type="dxa"/>
            <w:tcBorders>
              <w:top w:val="single" w:sz="4" w:space="0" w:color="auto"/>
              <w:left w:val="single" w:sz="4" w:space="0" w:color="auto"/>
              <w:bottom w:val="single" w:sz="4" w:space="0" w:color="auto"/>
              <w:right w:val="single" w:sz="4" w:space="0" w:color="auto"/>
            </w:tcBorders>
          </w:tcPr>
          <w:p w14:paraId="6CE38DB5" w14:textId="77777777" w:rsidR="00A77AEA" w:rsidRPr="00E356CE" w:rsidRDefault="00415528" w:rsidP="00A9191A">
            <w:pPr>
              <w:jc w:val="both"/>
              <w:rPr>
                <w:b/>
                <w:bCs/>
              </w:rPr>
            </w:pPr>
            <w:r w:rsidRPr="00E356CE">
              <w:t>2. Urządzenia radiowe skonstruowane są w taki sposób, aby w celu unikania szkodliwych zakłóceń skutecznie wykorzystywały widmo radiowe i wspierały jego efektywne wykorzystanie.</w:t>
            </w:r>
          </w:p>
        </w:tc>
        <w:tc>
          <w:tcPr>
            <w:tcW w:w="886" w:type="dxa"/>
            <w:tcBorders>
              <w:top w:val="single" w:sz="4" w:space="0" w:color="auto"/>
              <w:left w:val="single" w:sz="4" w:space="0" w:color="auto"/>
              <w:bottom w:val="single" w:sz="4" w:space="0" w:color="auto"/>
              <w:right w:val="single" w:sz="4" w:space="0" w:color="auto"/>
            </w:tcBorders>
          </w:tcPr>
          <w:p w14:paraId="70C0555B"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D9786F6" w14:textId="4952ABC1" w:rsidR="00A77AEA" w:rsidRPr="00E356CE" w:rsidRDefault="00415528" w:rsidP="005E00B3">
            <w:pPr>
              <w:jc w:val="both"/>
            </w:pPr>
            <w:r w:rsidRPr="00E356CE">
              <w:t>Art. 2</w:t>
            </w:r>
            <w:r w:rsidR="005E00B3" w:rsidRPr="00E356CE">
              <w:t>69</w:t>
            </w:r>
            <w:r w:rsidRPr="00E356CE">
              <w:t xml:space="preserve"> ust. 1 pkt 2</w:t>
            </w:r>
          </w:p>
        </w:tc>
        <w:tc>
          <w:tcPr>
            <w:tcW w:w="7410" w:type="dxa"/>
            <w:gridSpan w:val="2"/>
            <w:tcBorders>
              <w:top w:val="single" w:sz="4" w:space="0" w:color="auto"/>
              <w:left w:val="single" w:sz="4" w:space="0" w:color="auto"/>
              <w:bottom w:val="single" w:sz="4" w:space="0" w:color="auto"/>
              <w:right w:val="single" w:sz="4" w:space="0" w:color="auto"/>
            </w:tcBorders>
          </w:tcPr>
          <w:p w14:paraId="3640FCCD" w14:textId="77777777"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b/>
                <w:szCs w:val="24"/>
              </w:rPr>
              <w:t>Art. 269.</w:t>
            </w:r>
            <w:r w:rsidRPr="00E356CE">
              <w:rPr>
                <w:rFonts w:ascii="Times New Roman" w:hAnsi="Times New Roman" w:cs="Times New Roman"/>
                <w:szCs w:val="24"/>
              </w:rPr>
              <w:t xml:space="preserve"> 1. Urządzenia radiowe wprowadzane do obrotu lub oddawane do użytku powinny spełniać wymagania w zakresie:</w:t>
            </w:r>
          </w:p>
          <w:p w14:paraId="762F0BF4" w14:textId="30449E30" w:rsidR="005E00B3" w:rsidRPr="00E356CE" w:rsidRDefault="005E00B3" w:rsidP="005E00B3">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w:t>
            </w:r>
          </w:p>
          <w:p w14:paraId="2308D7F6" w14:textId="05EA746C" w:rsidR="00A77AEA" w:rsidRPr="00E356CE" w:rsidRDefault="005E00B3" w:rsidP="005E00B3">
            <w:pPr>
              <w:jc w:val="both"/>
            </w:pPr>
            <w:r w:rsidRPr="00E356CE">
              <w:t>2)</w:t>
            </w:r>
            <w:r w:rsidRPr="00E356CE">
              <w:tab/>
              <w:t>efektywnego wykorzystania zasobów częstotliwości lub zasobów orbitalnych w celu unikania szkodliwych zakłóceń;</w:t>
            </w:r>
          </w:p>
        </w:tc>
      </w:tr>
      <w:tr w:rsidR="00723799" w:rsidRPr="00E356CE" w14:paraId="1415CA7F" w14:textId="77777777" w:rsidTr="56856880">
        <w:tc>
          <w:tcPr>
            <w:tcW w:w="795" w:type="dxa"/>
            <w:tcBorders>
              <w:top w:val="single" w:sz="4" w:space="0" w:color="auto"/>
              <w:left w:val="single" w:sz="4" w:space="0" w:color="auto"/>
              <w:bottom w:val="single" w:sz="4" w:space="0" w:color="auto"/>
              <w:right w:val="single" w:sz="4" w:space="0" w:color="auto"/>
            </w:tcBorders>
          </w:tcPr>
          <w:p w14:paraId="4B7C1525" w14:textId="77777777" w:rsidR="00A77AEA" w:rsidRPr="00E356CE" w:rsidRDefault="00415528" w:rsidP="00A9191A">
            <w:pPr>
              <w:jc w:val="both"/>
            </w:pPr>
            <w:r w:rsidRPr="00E356CE">
              <w:t>Art. 3 ust. 3</w:t>
            </w:r>
          </w:p>
        </w:tc>
        <w:tc>
          <w:tcPr>
            <w:tcW w:w="4719" w:type="dxa"/>
            <w:tcBorders>
              <w:top w:val="single" w:sz="4" w:space="0" w:color="auto"/>
              <w:left w:val="single" w:sz="4" w:space="0" w:color="auto"/>
              <w:bottom w:val="single" w:sz="4" w:space="0" w:color="auto"/>
              <w:right w:val="single" w:sz="4" w:space="0" w:color="auto"/>
            </w:tcBorders>
          </w:tcPr>
          <w:p w14:paraId="7244157D" w14:textId="77777777" w:rsidR="00415528" w:rsidRPr="00E356CE" w:rsidRDefault="00415528" w:rsidP="00A9191A">
            <w:pPr>
              <w:pStyle w:val="ti-art"/>
              <w:shd w:val="clear" w:color="auto" w:fill="FFFFFF"/>
              <w:spacing w:before="360" w:after="120"/>
              <w:jc w:val="both"/>
              <w:rPr>
                <w:iCs/>
              </w:rPr>
            </w:pPr>
            <w:r w:rsidRPr="00E356CE">
              <w:rPr>
                <w:iCs/>
              </w:rPr>
              <w:t>3.   Urządzenia radiowe w obrębie określonych kategorii lub klas skonstruowane są w sposób gwarantujący spełnienie następujących zasadniczych wymagań:</w:t>
            </w:r>
          </w:p>
          <w:p w14:paraId="38F94F93" w14:textId="77777777" w:rsidR="00415528" w:rsidRPr="00E356CE" w:rsidRDefault="00415528" w:rsidP="00A9191A">
            <w:pPr>
              <w:pStyle w:val="ti-art"/>
              <w:shd w:val="clear" w:color="auto" w:fill="FFFFFF"/>
              <w:spacing w:before="360" w:after="120"/>
              <w:jc w:val="both"/>
              <w:rPr>
                <w:iCs/>
              </w:rPr>
            </w:pPr>
            <w:r w:rsidRPr="00E356CE">
              <w:rPr>
                <w:iCs/>
              </w:rPr>
              <w:t>a) urządzenia radiowe współdziałają z dodatkowymi elementami, w szczególności z uniwersalnymi ładowarkami;</w:t>
            </w:r>
          </w:p>
          <w:p w14:paraId="4F6E9B49" w14:textId="77777777" w:rsidR="00415528" w:rsidRPr="00E356CE" w:rsidRDefault="00415528" w:rsidP="00A9191A">
            <w:pPr>
              <w:pStyle w:val="ti-art"/>
              <w:shd w:val="clear" w:color="auto" w:fill="FFFFFF"/>
              <w:spacing w:before="360" w:after="120"/>
              <w:jc w:val="both"/>
              <w:rPr>
                <w:iCs/>
              </w:rPr>
            </w:pPr>
            <w:r w:rsidRPr="00E356CE">
              <w:rPr>
                <w:iCs/>
              </w:rPr>
              <w:t>b) urządzenia radiowe współdziałają za pośrednictwem sieci z innymi urządzeniami radiowymi;</w:t>
            </w:r>
          </w:p>
          <w:p w14:paraId="61481409" w14:textId="77777777" w:rsidR="00415528" w:rsidRPr="00E356CE" w:rsidRDefault="00415528" w:rsidP="00A9191A">
            <w:pPr>
              <w:pStyle w:val="ti-art"/>
              <w:shd w:val="clear" w:color="auto" w:fill="FFFFFF"/>
              <w:spacing w:before="360" w:after="120"/>
              <w:jc w:val="both"/>
              <w:rPr>
                <w:iCs/>
              </w:rPr>
            </w:pPr>
            <w:r w:rsidRPr="00E356CE">
              <w:rPr>
                <w:iCs/>
              </w:rPr>
              <w:t>c) urządzenia radiowe mogą być podłączane do interfejsów właściwego typu w całej Unii;</w:t>
            </w:r>
          </w:p>
          <w:p w14:paraId="25359947" w14:textId="77777777" w:rsidR="00415528" w:rsidRPr="00E356CE" w:rsidRDefault="00415528" w:rsidP="00A9191A">
            <w:pPr>
              <w:pStyle w:val="ti-art"/>
              <w:shd w:val="clear" w:color="auto" w:fill="FFFFFF"/>
              <w:spacing w:before="360" w:after="120"/>
              <w:jc w:val="both"/>
              <w:rPr>
                <w:iCs/>
              </w:rPr>
            </w:pPr>
            <w:r w:rsidRPr="00E356CE">
              <w:rPr>
                <w:iCs/>
              </w:rPr>
              <w:t>d) urządzenia radiowe nie wywierają niepożądanego wpływu na sieć i jej funkcjonowanie ani też nie wykorzystują zasobów sieciowych w nieodpowiedni sposób, powodując tym samym niedopuszczalne obniżenie poziomu usług;</w:t>
            </w:r>
          </w:p>
          <w:p w14:paraId="144603E0" w14:textId="77777777" w:rsidR="00415528" w:rsidRPr="00E356CE" w:rsidRDefault="00415528" w:rsidP="00A9191A">
            <w:pPr>
              <w:pStyle w:val="ti-art"/>
              <w:shd w:val="clear" w:color="auto" w:fill="FFFFFF"/>
              <w:spacing w:before="360" w:after="120"/>
              <w:jc w:val="both"/>
              <w:rPr>
                <w:iCs/>
              </w:rPr>
            </w:pPr>
            <w:r w:rsidRPr="00E356CE">
              <w:rPr>
                <w:iCs/>
              </w:rPr>
              <w:t xml:space="preserve">e) urządzenia radiowe mają wbudowane systemy zabezpieczające w celu zapewnienia </w:t>
            </w:r>
            <w:r w:rsidRPr="00E356CE">
              <w:rPr>
                <w:iCs/>
              </w:rPr>
              <w:lastRenderedPageBreak/>
              <w:t>ochrony danych osobowych i prywatności użytkownika i abonenta;</w:t>
            </w:r>
          </w:p>
          <w:p w14:paraId="5D0F5C00" w14:textId="77777777" w:rsidR="00415528" w:rsidRPr="00E356CE" w:rsidRDefault="00415528" w:rsidP="00A9191A">
            <w:pPr>
              <w:pStyle w:val="ti-art"/>
              <w:shd w:val="clear" w:color="auto" w:fill="FFFFFF"/>
              <w:spacing w:before="360" w:after="120"/>
              <w:jc w:val="both"/>
              <w:rPr>
                <w:iCs/>
              </w:rPr>
            </w:pPr>
            <w:r w:rsidRPr="00E356CE">
              <w:rPr>
                <w:iCs/>
              </w:rPr>
              <w:t>f) urządzenia radiowe wyposażone są w funkcje, które zapewniają ochronę przed oszustwami;</w:t>
            </w:r>
          </w:p>
          <w:p w14:paraId="31494B9C" w14:textId="77777777" w:rsidR="00415528" w:rsidRPr="00E356CE" w:rsidRDefault="00415528" w:rsidP="00A9191A">
            <w:pPr>
              <w:pStyle w:val="ti-art"/>
              <w:shd w:val="clear" w:color="auto" w:fill="FFFFFF"/>
              <w:spacing w:before="360" w:after="120"/>
              <w:jc w:val="both"/>
              <w:rPr>
                <w:iCs/>
              </w:rPr>
            </w:pPr>
            <w:r w:rsidRPr="00E356CE">
              <w:rPr>
                <w:iCs/>
              </w:rPr>
              <w:t>g) urządzenia radiowe wyposażone są w funkcje, które zapewniają dostęp do służb ratunkowych;</w:t>
            </w:r>
          </w:p>
          <w:p w14:paraId="63E670D1" w14:textId="77777777" w:rsidR="00415528" w:rsidRPr="00E356CE" w:rsidRDefault="00415528" w:rsidP="00A9191A">
            <w:pPr>
              <w:pStyle w:val="ti-art"/>
              <w:shd w:val="clear" w:color="auto" w:fill="FFFFFF"/>
              <w:spacing w:before="360" w:after="120"/>
              <w:jc w:val="both"/>
              <w:rPr>
                <w:iCs/>
              </w:rPr>
            </w:pPr>
            <w:r w:rsidRPr="00E356CE">
              <w:rPr>
                <w:iCs/>
              </w:rPr>
              <w:t>h) urządzenia radiowe wyposażone są w funkcje ułatwiające korzystanie z nich przez osoby niepełnosprawne;</w:t>
            </w:r>
          </w:p>
          <w:p w14:paraId="1A82F744" w14:textId="77777777" w:rsidR="00415528" w:rsidRPr="00E356CE" w:rsidRDefault="00415528" w:rsidP="00A9191A">
            <w:pPr>
              <w:pStyle w:val="ti-art"/>
              <w:shd w:val="clear" w:color="auto" w:fill="FFFFFF"/>
              <w:spacing w:before="360" w:after="120"/>
              <w:jc w:val="both"/>
              <w:rPr>
                <w:iCs/>
              </w:rPr>
            </w:pPr>
            <w:r w:rsidRPr="00E356CE">
              <w:rPr>
                <w:iCs/>
              </w:rPr>
              <w:t>i) urządzenia radiowe wyposażone są w funkcje zapewniające możliwość pobrania do tego urządzenia wyłącznie takiego oprogramowania, w przypadku którego potwierdzono zgodność kombinacji oprogramowania i urządzenia radiowego.</w:t>
            </w:r>
          </w:p>
          <w:p w14:paraId="2D54B06A" w14:textId="77777777" w:rsidR="00A77AEA" w:rsidRPr="00E356CE" w:rsidRDefault="00415528" w:rsidP="00A9191A">
            <w:pPr>
              <w:jc w:val="both"/>
              <w:rPr>
                <w:b/>
                <w:bCs/>
              </w:rPr>
            </w:pPr>
            <w:r w:rsidRPr="00E356CE">
              <w:rPr>
                <w:iCs/>
              </w:rPr>
              <w:t>Komisja jest uprawniona do przyjęcia aktów delegowanych zgodnie z art. 44, określających kategorie lub klasy urządzeń radiowych objęte poszczególnymi wymaganiami określonymi w akapicie pierwszym lit. a)–i) niniejszego ustępu.</w:t>
            </w:r>
          </w:p>
        </w:tc>
        <w:tc>
          <w:tcPr>
            <w:tcW w:w="886" w:type="dxa"/>
            <w:tcBorders>
              <w:top w:val="single" w:sz="4" w:space="0" w:color="auto"/>
              <w:left w:val="single" w:sz="4" w:space="0" w:color="auto"/>
              <w:bottom w:val="single" w:sz="4" w:space="0" w:color="auto"/>
              <w:right w:val="single" w:sz="4" w:space="0" w:color="auto"/>
            </w:tcBorders>
          </w:tcPr>
          <w:p w14:paraId="25009BA4" w14:textId="77777777" w:rsidR="00A77AEA"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235FA0D8" w14:textId="073BA4C2" w:rsidR="00A77AEA" w:rsidRPr="00E356CE" w:rsidRDefault="009615E0" w:rsidP="009615E0">
            <w:pPr>
              <w:jc w:val="both"/>
            </w:pPr>
            <w:r w:rsidRPr="00E356CE">
              <w:t>Art. 269</w:t>
            </w:r>
            <w:r w:rsidR="00415528" w:rsidRPr="00E356CE">
              <w:t xml:space="preserve"> ust. 3 i 4</w:t>
            </w:r>
          </w:p>
        </w:tc>
        <w:tc>
          <w:tcPr>
            <w:tcW w:w="7410" w:type="dxa"/>
            <w:gridSpan w:val="2"/>
            <w:tcBorders>
              <w:top w:val="single" w:sz="4" w:space="0" w:color="auto"/>
              <w:left w:val="single" w:sz="4" w:space="0" w:color="auto"/>
              <w:bottom w:val="single" w:sz="4" w:space="0" w:color="auto"/>
              <w:right w:val="single" w:sz="4" w:space="0" w:color="auto"/>
            </w:tcBorders>
          </w:tcPr>
          <w:p w14:paraId="0FD7DF42" w14:textId="147BC744" w:rsidR="009615E0" w:rsidRPr="00E356CE" w:rsidRDefault="009615E0" w:rsidP="009615E0">
            <w:pPr>
              <w:jc w:val="both"/>
              <w:rPr>
                <w:b/>
              </w:rPr>
            </w:pPr>
            <w:r w:rsidRPr="00E356CE">
              <w:rPr>
                <w:b/>
              </w:rPr>
              <w:t>Art. 269</w:t>
            </w:r>
          </w:p>
          <w:p w14:paraId="011160F5" w14:textId="77777777" w:rsidR="009615E0" w:rsidRPr="00E356CE" w:rsidRDefault="009615E0" w:rsidP="009615E0">
            <w:pPr>
              <w:jc w:val="both"/>
            </w:pPr>
          </w:p>
          <w:p w14:paraId="6C83A4B5" w14:textId="679CAFCE" w:rsidR="009615E0" w:rsidRPr="00E356CE" w:rsidRDefault="009615E0" w:rsidP="009615E0">
            <w:pPr>
              <w:jc w:val="both"/>
            </w:pPr>
            <w:r w:rsidRPr="00E356CE">
              <w:t>3. Urządzenia radiowe powinny spełniać również dodatkowe wymagania wynikające z przepisów Unii Europejskiej oraz z przepisów wykonawczych wydanych na podstawie ust. 4.</w:t>
            </w:r>
          </w:p>
          <w:p w14:paraId="49F69743" w14:textId="1152AB0B" w:rsidR="00415528" w:rsidRPr="00E356CE" w:rsidRDefault="009615E0" w:rsidP="009615E0">
            <w:pPr>
              <w:jc w:val="both"/>
            </w:pPr>
            <w:r w:rsidRPr="00E356CE">
              <w:t>4. Minister właściwy do spraw informatyzacji może, w przypadku przyjęcia przez Komisję Europejską aktów delegowanych, o których mowa w art. 3 ust. 3 dyrektywy Parlamentu Europejskiego i Rady 2014/53/UE z dnia 16 kwietnia 2014 r. w sprawie harmonizacji ustawodawstw państw członkowskich dotyczących udostępniania na rynku urządzeń radiowych i uchylającej dyrektywę 1999/5/WE (Dz. Urz. UE L 153 z 22.05.2014, str. 62), określić, w drodze rozporządzenia, dodatkowe wymagania dla poszczególnych kategorii lub klas urządzeń radiowych, które powinny być spełniane przez urządzenia radiowe objęte tymi kategoriami lub klasami oraz określić termin, do którego urządzenia niespełniające wymagań określonych w rozporządzeniu mogą zostać wprowadzone do obrotu lub oddane do użytku, mając na uwadze bezpieczeństwo używania urządzeń radiowych oraz konieczność zapewnienia ich efektywnego współdziałania z innymi urządzeniami.</w:t>
            </w:r>
          </w:p>
        </w:tc>
      </w:tr>
      <w:tr w:rsidR="00723799" w:rsidRPr="00E356CE" w14:paraId="0EDDE0F0" w14:textId="77777777" w:rsidTr="56856880">
        <w:tc>
          <w:tcPr>
            <w:tcW w:w="795" w:type="dxa"/>
            <w:tcBorders>
              <w:top w:val="single" w:sz="4" w:space="0" w:color="auto"/>
              <w:left w:val="single" w:sz="4" w:space="0" w:color="auto"/>
              <w:bottom w:val="single" w:sz="4" w:space="0" w:color="auto"/>
              <w:right w:val="single" w:sz="4" w:space="0" w:color="auto"/>
            </w:tcBorders>
          </w:tcPr>
          <w:p w14:paraId="230625DB" w14:textId="77777777" w:rsidR="00A77AEA" w:rsidRPr="00E356CE" w:rsidRDefault="00415528" w:rsidP="00A9191A">
            <w:pPr>
              <w:jc w:val="both"/>
              <w:rPr>
                <w:b/>
              </w:rPr>
            </w:pPr>
            <w:r w:rsidRPr="00E356CE">
              <w:rPr>
                <w:b/>
              </w:rPr>
              <w:lastRenderedPageBreak/>
              <w:t>Art. 5</w:t>
            </w:r>
          </w:p>
        </w:tc>
        <w:tc>
          <w:tcPr>
            <w:tcW w:w="4719" w:type="dxa"/>
            <w:tcBorders>
              <w:top w:val="single" w:sz="4" w:space="0" w:color="auto"/>
              <w:left w:val="single" w:sz="4" w:space="0" w:color="auto"/>
              <w:bottom w:val="single" w:sz="4" w:space="0" w:color="auto"/>
              <w:right w:val="single" w:sz="4" w:space="0" w:color="auto"/>
            </w:tcBorders>
          </w:tcPr>
          <w:p w14:paraId="3DE7137B" w14:textId="77777777" w:rsidR="00415528" w:rsidRPr="00E356CE" w:rsidRDefault="00415528" w:rsidP="00A9191A">
            <w:pPr>
              <w:jc w:val="both"/>
              <w:rPr>
                <w:bCs/>
                <w:i/>
              </w:rPr>
            </w:pPr>
          </w:p>
          <w:p w14:paraId="64E3361D" w14:textId="77777777" w:rsidR="00415528" w:rsidRPr="00E356CE" w:rsidRDefault="00415528" w:rsidP="00A9191A">
            <w:pPr>
              <w:jc w:val="both"/>
              <w:rPr>
                <w:b/>
                <w:bCs/>
              </w:rPr>
            </w:pPr>
            <w:r w:rsidRPr="00E356CE">
              <w:rPr>
                <w:b/>
                <w:bCs/>
              </w:rPr>
              <w:t>Rejestracja typów urządzeń radiowych objętych niektórymi kategoriami</w:t>
            </w:r>
          </w:p>
          <w:p w14:paraId="7B9FEDF8" w14:textId="77777777" w:rsidR="00415528" w:rsidRPr="00E356CE" w:rsidRDefault="00415528" w:rsidP="00A9191A">
            <w:pPr>
              <w:jc w:val="both"/>
            </w:pPr>
          </w:p>
          <w:p w14:paraId="41793177" w14:textId="77777777" w:rsidR="00415528" w:rsidRPr="00E356CE" w:rsidRDefault="00415528" w:rsidP="00A9191A">
            <w:pPr>
              <w:jc w:val="both"/>
            </w:pPr>
            <w:r w:rsidRPr="00E356CE">
              <w:lastRenderedPageBreak/>
              <w:t>1. Od dnia 12 czerwca 2018 r. producenci rejestrują typy urządzeń radiowych objęte kategoriami urządzeń radiowych wykazujących niski poziom zgodności z zasadniczymi wymaganiami określonymi w art. 3 w centralnym systemie, o którym mowa w ust. 4 niniejszego artykułu, przed wprowadzeniem do obrotu urządzeń radiowych objętych tymi kategoriami. Rejestrując takie typy urządzeń radiowych, producenci dostarczają część lub w uzasadnionych przypadkach całość dokumentacji technicznej, którą wymieniono w załączniku V lit. a), d), e), f), g), h) i i). Komisja nadaje każdemu zarejestrowanemu typowi urządzenia radiowego numer ewidencyjny, który producenci umieszczają na urządzeniu radiowym wprowadzanym do obrotu.</w:t>
            </w:r>
          </w:p>
          <w:p w14:paraId="616B6B22" w14:textId="77777777" w:rsidR="00415528" w:rsidRPr="00E356CE" w:rsidRDefault="00415528" w:rsidP="00A9191A">
            <w:pPr>
              <w:jc w:val="both"/>
            </w:pPr>
            <w:r w:rsidRPr="00E356CE">
              <w:t>2. Komisja jest uprawniona do przyjęcia aktów delegowanych zgodnie z art. 44, określających kategorie urządzeń radiowych objęte wymogiem określonym w ust. 1 niniejszego artykułu, a także elementy dokumentacji technicznej, które należy dostarczyć, z uwzględnieniem informacji w sprawie zgodności urządzeń radiowych dostarczonych przez państwa członkowskie zgodnie z art. 47 ust. 1 i po dokonaniu oceny ryzyka niespełnienia zasadniczych wymagań.</w:t>
            </w:r>
          </w:p>
          <w:p w14:paraId="70F9ED70" w14:textId="77777777" w:rsidR="00415528" w:rsidRPr="00E356CE" w:rsidRDefault="00415528" w:rsidP="00A9191A">
            <w:pPr>
              <w:jc w:val="both"/>
            </w:pPr>
            <w:r w:rsidRPr="00E356CE">
              <w:t xml:space="preserve">3. Komisja przyjmuje akty wykonawcze ustalające reguły postępowania dotyczące rejestracji i reguły postępowania dotyczące umieszczania numeru ewidencyjnego na </w:t>
            </w:r>
            <w:r w:rsidRPr="00E356CE">
              <w:lastRenderedPageBreak/>
              <w:t>urządzeniu radiowym w odniesieniu do kategorii określonych w aktach delegowanych przyjętych zgodnie z ust. 2 niniejszego artykułu. Wspomniane akty wykonawcze przyjmuje się zgodnie z procedurą sprawdzającą, o której mowa w art. 45 ust. 3.</w:t>
            </w:r>
          </w:p>
          <w:p w14:paraId="3F16C5B8" w14:textId="77777777" w:rsidR="00415528" w:rsidRPr="00E356CE" w:rsidRDefault="00415528" w:rsidP="00A9191A">
            <w:pPr>
              <w:jc w:val="both"/>
            </w:pPr>
            <w:r w:rsidRPr="00E356CE">
              <w:t>4. Komisja udostępnia centralny system umożliwiający producentom rejestrację wymaganych informacji. System ten zapewnia właściwą kontrolę dostępu do informacji o charakterze poufnym.</w:t>
            </w:r>
          </w:p>
          <w:p w14:paraId="67ABEA33" w14:textId="77777777" w:rsidR="00415528" w:rsidRPr="00E356CE" w:rsidRDefault="00415528" w:rsidP="00A9191A">
            <w:pPr>
              <w:jc w:val="both"/>
            </w:pPr>
            <w:r w:rsidRPr="00E356CE">
              <w:t>5. Po rozpoczęciu stosowania aktu delegowanego przyjętego na podstawie ust. 2 niniejszego artykułu skutki tego aktu są przedmiotem oceny w sprawozdaniach przygotowywanych zgodnie z art. 47 ust. 1 i 2.</w:t>
            </w:r>
          </w:p>
          <w:p w14:paraId="494495DF" w14:textId="77777777" w:rsidR="00A77AEA" w:rsidRPr="00E356CE" w:rsidRDefault="00A77AE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673662B4" w14:textId="77777777" w:rsidR="00A77AEA" w:rsidRPr="00E356CE" w:rsidRDefault="00A77AEA" w:rsidP="00A9191A">
            <w:pPr>
              <w:jc w:val="both"/>
              <w:rPr>
                <w:b/>
              </w:rPr>
            </w:pPr>
          </w:p>
          <w:p w14:paraId="2C75734D" w14:textId="77777777" w:rsidR="00276318" w:rsidRPr="00E356CE" w:rsidRDefault="00276318" w:rsidP="00A9191A">
            <w:pPr>
              <w:jc w:val="both"/>
              <w:rPr>
                <w:b/>
              </w:rPr>
            </w:pPr>
          </w:p>
          <w:p w14:paraId="30D517A2" w14:textId="77777777" w:rsidR="00276318" w:rsidRPr="00E356CE" w:rsidRDefault="00276318" w:rsidP="00A9191A">
            <w:pPr>
              <w:jc w:val="both"/>
              <w:rPr>
                <w:b/>
              </w:rPr>
            </w:pPr>
          </w:p>
          <w:p w14:paraId="79F86057" w14:textId="77777777" w:rsidR="00276318" w:rsidRPr="00E356CE" w:rsidRDefault="00276318" w:rsidP="00A9191A">
            <w:pPr>
              <w:jc w:val="both"/>
              <w:rPr>
                <w:b/>
              </w:rPr>
            </w:pPr>
          </w:p>
          <w:p w14:paraId="4894D62D" w14:textId="77777777" w:rsidR="00276318" w:rsidRPr="00E356CE" w:rsidRDefault="00276318" w:rsidP="00A9191A">
            <w:pPr>
              <w:jc w:val="both"/>
              <w:rPr>
                <w:b/>
              </w:rPr>
            </w:pPr>
            <w:r w:rsidRPr="00E356CE">
              <w:rPr>
                <w:b/>
              </w:rPr>
              <w:t>T</w:t>
            </w:r>
          </w:p>
          <w:p w14:paraId="10E95DD5" w14:textId="77777777" w:rsidR="00276318" w:rsidRPr="00E356CE" w:rsidRDefault="00276318" w:rsidP="00A9191A">
            <w:pPr>
              <w:jc w:val="both"/>
              <w:rPr>
                <w:b/>
              </w:rPr>
            </w:pPr>
          </w:p>
          <w:p w14:paraId="63C173EB" w14:textId="77777777" w:rsidR="00276318" w:rsidRPr="00E356CE" w:rsidRDefault="00276318" w:rsidP="00A9191A">
            <w:pPr>
              <w:jc w:val="both"/>
              <w:rPr>
                <w:b/>
              </w:rPr>
            </w:pPr>
          </w:p>
          <w:p w14:paraId="0F88D96A" w14:textId="77777777" w:rsidR="00276318" w:rsidRPr="00E356CE" w:rsidRDefault="00276318" w:rsidP="00A9191A">
            <w:pPr>
              <w:jc w:val="both"/>
              <w:rPr>
                <w:b/>
              </w:rPr>
            </w:pPr>
          </w:p>
          <w:p w14:paraId="10095F39" w14:textId="77777777" w:rsidR="00276318" w:rsidRPr="00E356CE" w:rsidRDefault="00276318" w:rsidP="00A9191A">
            <w:pPr>
              <w:jc w:val="both"/>
              <w:rPr>
                <w:b/>
              </w:rPr>
            </w:pPr>
          </w:p>
          <w:p w14:paraId="5296CB86" w14:textId="77777777" w:rsidR="00276318" w:rsidRPr="00E356CE" w:rsidRDefault="00276318" w:rsidP="00A9191A">
            <w:pPr>
              <w:jc w:val="both"/>
              <w:rPr>
                <w:b/>
              </w:rPr>
            </w:pPr>
          </w:p>
          <w:p w14:paraId="7E0AA7E5" w14:textId="77777777" w:rsidR="00276318" w:rsidRPr="00E356CE" w:rsidRDefault="00276318" w:rsidP="00A9191A">
            <w:pPr>
              <w:jc w:val="both"/>
              <w:rPr>
                <w:b/>
              </w:rPr>
            </w:pPr>
          </w:p>
          <w:p w14:paraId="79D802AF" w14:textId="77777777" w:rsidR="00276318" w:rsidRPr="00E356CE" w:rsidRDefault="00276318" w:rsidP="00A9191A">
            <w:pPr>
              <w:jc w:val="both"/>
              <w:rPr>
                <w:b/>
              </w:rPr>
            </w:pPr>
          </w:p>
          <w:p w14:paraId="6EEBF593" w14:textId="77777777" w:rsidR="00276318" w:rsidRPr="00E356CE" w:rsidRDefault="00276318" w:rsidP="00A9191A">
            <w:pPr>
              <w:jc w:val="both"/>
              <w:rPr>
                <w:b/>
              </w:rPr>
            </w:pPr>
          </w:p>
          <w:p w14:paraId="6D38E7EF" w14:textId="77777777" w:rsidR="00276318" w:rsidRPr="00E356CE" w:rsidRDefault="00276318" w:rsidP="00A9191A">
            <w:pPr>
              <w:jc w:val="both"/>
              <w:rPr>
                <w:b/>
              </w:rPr>
            </w:pPr>
          </w:p>
          <w:p w14:paraId="3B26AC71" w14:textId="77777777" w:rsidR="00276318" w:rsidRPr="00E356CE" w:rsidRDefault="00276318" w:rsidP="00A9191A">
            <w:pPr>
              <w:jc w:val="both"/>
              <w:rPr>
                <w:b/>
              </w:rPr>
            </w:pPr>
          </w:p>
          <w:p w14:paraId="55B24530" w14:textId="77777777" w:rsidR="00276318" w:rsidRPr="00E356CE" w:rsidRDefault="00276318" w:rsidP="00A9191A">
            <w:pPr>
              <w:jc w:val="both"/>
              <w:rPr>
                <w:b/>
              </w:rPr>
            </w:pPr>
          </w:p>
          <w:p w14:paraId="33152FFC" w14:textId="77777777" w:rsidR="00276318" w:rsidRPr="00E356CE" w:rsidRDefault="00276318" w:rsidP="00A9191A">
            <w:pPr>
              <w:jc w:val="both"/>
              <w:rPr>
                <w:b/>
              </w:rPr>
            </w:pPr>
          </w:p>
          <w:p w14:paraId="4EDE9F74" w14:textId="77777777" w:rsidR="00276318" w:rsidRPr="00E356CE" w:rsidRDefault="00276318" w:rsidP="00A9191A">
            <w:pPr>
              <w:jc w:val="both"/>
              <w:rPr>
                <w:b/>
              </w:rPr>
            </w:pPr>
          </w:p>
          <w:p w14:paraId="4D97F4DD" w14:textId="77777777" w:rsidR="00276318" w:rsidRPr="00E356CE" w:rsidRDefault="00276318" w:rsidP="00A9191A">
            <w:pPr>
              <w:jc w:val="both"/>
              <w:rPr>
                <w:b/>
              </w:rPr>
            </w:pPr>
          </w:p>
          <w:p w14:paraId="5999A650" w14:textId="77777777" w:rsidR="00276318" w:rsidRPr="00E356CE" w:rsidRDefault="00276318" w:rsidP="00A9191A">
            <w:pPr>
              <w:jc w:val="both"/>
              <w:rPr>
                <w:b/>
              </w:rPr>
            </w:pPr>
          </w:p>
          <w:p w14:paraId="768E37B5" w14:textId="77777777" w:rsidR="00276318" w:rsidRPr="00E356CE" w:rsidRDefault="00276318" w:rsidP="00A9191A">
            <w:pPr>
              <w:jc w:val="both"/>
              <w:rPr>
                <w:b/>
              </w:rPr>
            </w:pPr>
          </w:p>
          <w:p w14:paraId="48FC0321" w14:textId="77777777" w:rsidR="00276318" w:rsidRPr="00E356CE" w:rsidRDefault="00276318" w:rsidP="00A9191A">
            <w:pPr>
              <w:jc w:val="both"/>
              <w:rPr>
                <w:b/>
              </w:rPr>
            </w:pPr>
          </w:p>
          <w:p w14:paraId="0710E3E1" w14:textId="77777777" w:rsidR="00276318" w:rsidRPr="00E356CE" w:rsidRDefault="00276318" w:rsidP="00A9191A">
            <w:pPr>
              <w:jc w:val="both"/>
              <w:rPr>
                <w:b/>
              </w:rPr>
            </w:pPr>
            <w:r w:rsidRPr="00E356CE">
              <w:rPr>
                <w:b/>
              </w:rPr>
              <w:t>T</w:t>
            </w:r>
          </w:p>
          <w:p w14:paraId="2E02EEE1" w14:textId="77777777" w:rsidR="00276318" w:rsidRPr="00E356CE" w:rsidRDefault="00276318" w:rsidP="00A9191A">
            <w:pPr>
              <w:jc w:val="both"/>
              <w:rPr>
                <w:b/>
              </w:rPr>
            </w:pPr>
          </w:p>
          <w:p w14:paraId="4192F3CC" w14:textId="77777777" w:rsidR="00276318" w:rsidRPr="00E356CE" w:rsidRDefault="00276318" w:rsidP="00A9191A">
            <w:pPr>
              <w:jc w:val="both"/>
              <w:rPr>
                <w:b/>
              </w:rPr>
            </w:pPr>
          </w:p>
          <w:p w14:paraId="3D9FAC94" w14:textId="77777777" w:rsidR="00276318" w:rsidRPr="00E356CE" w:rsidRDefault="00276318" w:rsidP="00A9191A">
            <w:pPr>
              <w:jc w:val="both"/>
              <w:rPr>
                <w:b/>
              </w:rPr>
            </w:pPr>
          </w:p>
          <w:p w14:paraId="31AC90F1" w14:textId="77777777" w:rsidR="00276318" w:rsidRPr="00E356CE" w:rsidRDefault="00276318" w:rsidP="00A9191A">
            <w:pPr>
              <w:jc w:val="both"/>
              <w:rPr>
                <w:b/>
              </w:rPr>
            </w:pPr>
          </w:p>
          <w:p w14:paraId="44414BF6" w14:textId="77777777" w:rsidR="00276318" w:rsidRPr="00E356CE" w:rsidRDefault="00276318" w:rsidP="00A9191A">
            <w:pPr>
              <w:jc w:val="both"/>
              <w:rPr>
                <w:b/>
              </w:rPr>
            </w:pPr>
          </w:p>
          <w:p w14:paraId="180BF11D" w14:textId="77777777" w:rsidR="00276318" w:rsidRPr="00E356CE" w:rsidRDefault="00276318" w:rsidP="00A9191A">
            <w:pPr>
              <w:jc w:val="both"/>
              <w:rPr>
                <w:b/>
              </w:rPr>
            </w:pPr>
          </w:p>
          <w:p w14:paraId="1D2DA9B9" w14:textId="77777777" w:rsidR="00276318" w:rsidRPr="00E356CE" w:rsidRDefault="00276318" w:rsidP="00A9191A">
            <w:pPr>
              <w:jc w:val="both"/>
              <w:rPr>
                <w:b/>
              </w:rPr>
            </w:pPr>
          </w:p>
          <w:p w14:paraId="7BD4DCEB" w14:textId="77777777" w:rsidR="00276318" w:rsidRPr="00E356CE" w:rsidRDefault="00276318" w:rsidP="00A9191A">
            <w:pPr>
              <w:jc w:val="both"/>
              <w:rPr>
                <w:b/>
              </w:rPr>
            </w:pPr>
          </w:p>
          <w:p w14:paraId="302C24D9" w14:textId="77777777" w:rsidR="00276318" w:rsidRPr="00E356CE" w:rsidRDefault="00276318" w:rsidP="00A9191A">
            <w:pPr>
              <w:jc w:val="both"/>
              <w:rPr>
                <w:b/>
              </w:rPr>
            </w:pPr>
          </w:p>
          <w:p w14:paraId="288E6DE1" w14:textId="77777777" w:rsidR="00276318" w:rsidRPr="00E356CE" w:rsidRDefault="00276318" w:rsidP="00A9191A">
            <w:pPr>
              <w:jc w:val="both"/>
              <w:rPr>
                <w:b/>
              </w:rPr>
            </w:pPr>
          </w:p>
          <w:p w14:paraId="7B1A0A6E" w14:textId="77777777" w:rsidR="00276318" w:rsidRPr="00E356CE" w:rsidRDefault="00276318" w:rsidP="00A9191A">
            <w:pPr>
              <w:jc w:val="both"/>
              <w:rPr>
                <w:b/>
              </w:rPr>
            </w:pPr>
            <w:r w:rsidRPr="00E356CE">
              <w:rPr>
                <w:b/>
              </w:rPr>
              <w:t>T</w:t>
            </w:r>
          </w:p>
          <w:p w14:paraId="310F18EB" w14:textId="77777777" w:rsidR="00276318" w:rsidRPr="00E356CE" w:rsidRDefault="00276318" w:rsidP="00A9191A">
            <w:pPr>
              <w:jc w:val="both"/>
              <w:rPr>
                <w:b/>
              </w:rPr>
            </w:pPr>
          </w:p>
          <w:p w14:paraId="2B3BCC0F" w14:textId="77777777" w:rsidR="00276318" w:rsidRPr="00E356CE" w:rsidRDefault="00276318" w:rsidP="00A9191A">
            <w:pPr>
              <w:jc w:val="both"/>
              <w:rPr>
                <w:b/>
              </w:rPr>
            </w:pPr>
          </w:p>
          <w:p w14:paraId="30102960" w14:textId="77777777" w:rsidR="00276318" w:rsidRPr="00E356CE" w:rsidRDefault="00276318" w:rsidP="00A9191A">
            <w:pPr>
              <w:jc w:val="both"/>
              <w:rPr>
                <w:b/>
              </w:rPr>
            </w:pPr>
          </w:p>
          <w:p w14:paraId="77101E1D" w14:textId="77777777" w:rsidR="00276318" w:rsidRPr="00E356CE" w:rsidRDefault="00276318" w:rsidP="00A9191A">
            <w:pPr>
              <w:jc w:val="both"/>
              <w:rPr>
                <w:b/>
              </w:rPr>
            </w:pPr>
          </w:p>
          <w:p w14:paraId="4060415C" w14:textId="77777777" w:rsidR="00276318" w:rsidRPr="00E356CE" w:rsidRDefault="00276318" w:rsidP="00A9191A">
            <w:pPr>
              <w:jc w:val="both"/>
              <w:rPr>
                <w:b/>
              </w:rPr>
            </w:pPr>
          </w:p>
          <w:p w14:paraId="47B845F5" w14:textId="77777777" w:rsidR="00276318" w:rsidRPr="00E356CE" w:rsidRDefault="00276318" w:rsidP="00A9191A">
            <w:pPr>
              <w:jc w:val="both"/>
              <w:rPr>
                <w:b/>
              </w:rPr>
            </w:pPr>
          </w:p>
          <w:p w14:paraId="03609230" w14:textId="77777777" w:rsidR="00276318" w:rsidRPr="00E356CE" w:rsidRDefault="00276318" w:rsidP="00A9191A">
            <w:pPr>
              <w:jc w:val="both"/>
              <w:rPr>
                <w:b/>
              </w:rPr>
            </w:pPr>
          </w:p>
          <w:p w14:paraId="2AD4E82C" w14:textId="77777777" w:rsidR="00276318" w:rsidRPr="00E356CE" w:rsidRDefault="00276318" w:rsidP="00A9191A">
            <w:pPr>
              <w:jc w:val="both"/>
              <w:rPr>
                <w:b/>
              </w:rPr>
            </w:pPr>
          </w:p>
          <w:p w14:paraId="44DBA452" w14:textId="77777777" w:rsidR="00276318" w:rsidRPr="00E356CE" w:rsidRDefault="00276318" w:rsidP="00A9191A">
            <w:pPr>
              <w:jc w:val="both"/>
              <w:rPr>
                <w:b/>
              </w:rPr>
            </w:pPr>
          </w:p>
          <w:p w14:paraId="393BAA71" w14:textId="77777777" w:rsidR="00276318" w:rsidRPr="00E356CE" w:rsidRDefault="00276318" w:rsidP="00A9191A">
            <w:pPr>
              <w:jc w:val="both"/>
              <w:rPr>
                <w:b/>
              </w:rPr>
            </w:pPr>
            <w:r w:rsidRPr="00E356CE">
              <w:rPr>
                <w:b/>
              </w:rPr>
              <w:t>N</w:t>
            </w:r>
          </w:p>
          <w:p w14:paraId="410683EC" w14:textId="77777777" w:rsidR="00276318" w:rsidRPr="00E356CE" w:rsidRDefault="00276318" w:rsidP="00A9191A">
            <w:pPr>
              <w:jc w:val="both"/>
              <w:rPr>
                <w:b/>
              </w:rPr>
            </w:pPr>
          </w:p>
          <w:p w14:paraId="31FFCA87" w14:textId="77777777" w:rsidR="00276318" w:rsidRPr="00E356CE" w:rsidRDefault="00276318" w:rsidP="00A9191A">
            <w:pPr>
              <w:jc w:val="both"/>
              <w:rPr>
                <w:b/>
              </w:rPr>
            </w:pPr>
          </w:p>
          <w:p w14:paraId="3D09760F" w14:textId="77777777" w:rsidR="00276318" w:rsidRPr="00E356CE" w:rsidRDefault="00276318" w:rsidP="00A9191A">
            <w:pPr>
              <w:jc w:val="both"/>
              <w:rPr>
                <w:b/>
              </w:rPr>
            </w:pPr>
          </w:p>
          <w:p w14:paraId="2F02EF33" w14:textId="77777777" w:rsidR="00276318" w:rsidRPr="00E356CE" w:rsidRDefault="00276318" w:rsidP="00A9191A">
            <w:pPr>
              <w:jc w:val="both"/>
              <w:rPr>
                <w:b/>
              </w:rPr>
            </w:pPr>
          </w:p>
          <w:p w14:paraId="1E9F3186" w14:textId="77777777" w:rsidR="00276318" w:rsidRPr="00E356CE" w:rsidRDefault="00276318"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5C3BABC8" w14:textId="30CE31C9" w:rsidR="00A77AEA" w:rsidRPr="00E356CE" w:rsidRDefault="009615E0" w:rsidP="00A9191A">
            <w:pPr>
              <w:jc w:val="both"/>
              <w:rPr>
                <w:b/>
              </w:rPr>
            </w:pPr>
            <w:r w:rsidRPr="00E356CE">
              <w:rPr>
                <w:b/>
              </w:rPr>
              <w:lastRenderedPageBreak/>
              <w:t>Art. 274</w:t>
            </w:r>
          </w:p>
        </w:tc>
        <w:tc>
          <w:tcPr>
            <w:tcW w:w="7410" w:type="dxa"/>
            <w:gridSpan w:val="2"/>
            <w:tcBorders>
              <w:top w:val="single" w:sz="4" w:space="0" w:color="auto"/>
              <w:left w:val="single" w:sz="4" w:space="0" w:color="auto"/>
              <w:bottom w:val="single" w:sz="4" w:space="0" w:color="auto"/>
              <w:right w:val="single" w:sz="4" w:space="0" w:color="auto"/>
            </w:tcBorders>
          </w:tcPr>
          <w:p w14:paraId="4EC7E8F1" w14:textId="77777777" w:rsidR="009615E0" w:rsidRPr="00E356CE" w:rsidRDefault="009615E0" w:rsidP="009615E0">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b/>
                <w:szCs w:val="24"/>
              </w:rPr>
              <w:t>Art. 274.</w:t>
            </w:r>
            <w:r w:rsidRPr="00E356CE">
              <w:rPr>
                <w:rFonts w:ascii="Times New Roman" w:hAnsi="Times New Roman" w:cs="Times New Roman"/>
                <w:szCs w:val="24"/>
              </w:rPr>
              <w:t xml:space="preserve"> 1. Producent, przed wprowadzeniem urządzenia radiowego do obrotu, rejestruje typy urządzeń radiowych w centralnym systemie udostępnionym przez Komisję Europejską oraz umieszcza na urządzeniu radiowym numer ewidencyjny nadany przez Komisję Europejską.</w:t>
            </w:r>
          </w:p>
          <w:p w14:paraId="664032A6" w14:textId="77777777" w:rsidR="009615E0" w:rsidRPr="00E356CE" w:rsidRDefault="009615E0" w:rsidP="009615E0">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szCs w:val="24"/>
              </w:rPr>
              <w:lastRenderedPageBreak/>
              <w:t>2. Minister właściwy do spraw informatyzacji może, w drodze rozporządzenia, określić:</w:t>
            </w:r>
          </w:p>
          <w:p w14:paraId="47E406FC" w14:textId="77777777" w:rsidR="009615E0" w:rsidRPr="00E356CE" w:rsidRDefault="009615E0" w:rsidP="009615E0">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urządzenia radiowe objęte wymogiem rejestracji, o którym mowa w ust. 1,</w:t>
            </w:r>
          </w:p>
          <w:p w14:paraId="11ECD4FB" w14:textId="77777777" w:rsidR="009615E0" w:rsidRPr="00E356CE" w:rsidRDefault="009615E0" w:rsidP="009615E0">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dokumentację techniczną dołączaną w ramach rejestracji,</w:t>
            </w:r>
          </w:p>
          <w:p w14:paraId="45B35615" w14:textId="77777777" w:rsidR="009615E0" w:rsidRPr="00E356CE" w:rsidRDefault="009615E0" w:rsidP="009615E0">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szCs w:val="24"/>
              </w:rPr>
              <w:t>3)</w:t>
            </w:r>
            <w:r w:rsidRPr="00E356CE">
              <w:rPr>
                <w:rFonts w:ascii="Times New Roman" w:hAnsi="Times New Roman" w:cs="Times New Roman"/>
                <w:szCs w:val="24"/>
              </w:rPr>
              <w:tab/>
              <w:t>sposób rejestracji,</w:t>
            </w:r>
          </w:p>
          <w:p w14:paraId="0BFA469D" w14:textId="77777777" w:rsidR="009615E0" w:rsidRPr="00E356CE" w:rsidRDefault="009615E0" w:rsidP="009615E0">
            <w:pPr>
              <w:pStyle w:val="ARTartustawynprozporzdzenia"/>
              <w:spacing w:before="0" w:line="240" w:lineRule="auto"/>
              <w:rPr>
                <w:rFonts w:ascii="Times New Roman" w:hAnsi="Times New Roman" w:cs="Times New Roman"/>
                <w:szCs w:val="24"/>
              </w:rPr>
            </w:pPr>
            <w:r w:rsidRPr="00E356CE">
              <w:rPr>
                <w:rFonts w:ascii="Times New Roman" w:hAnsi="Times New Roman" w:cs="Times New Roman"/>
                <w:szCs w:val="24"/>
              </w:rPr>
              <w:t>4)</w:t>
            </w:r>
            <w:r w:rsidRPr="00E356CE">
              <w:rPr>
                <w:rFonts w:ascii="Times New Roman" w:hAnsi="Times New Roman" w:cs="Times New Roman"/>
                <w:szCs w:val="24"/>
              </w:rPr>
              <w:tab/>
              <w:t>sposób umieszczania na urządzeniu radiowym numeru ewidencyjnego nadanego przez Komisję Europejską</w:t>
            </w:r>
          </w:p>
          <w:p w14:paraId="6E42AC6E" w14:textId="1B73A67E" w:rsidR="00A77AEA" w:rsidRPr="00E356CE" w:rsidRDefault="009615E0" w:rsidP="009615E0">
            <w:pPr>
              <w:jc w:val="both"/>
            </w:pPr>
            <w:r w:rsidRPr="00E356CE">
              <w:t>- mając na uwadze wydane w tym zakresie akty delegowane Komisji Europejskiej, o których mowa w art. 5 ust. 2 dyrektywy Parlamentu Europejskiego i Rady 2014/53/UE z dnia 16 kwietnia 2014 r. w sprawie harmonizacji ustawodawstw państw członkowskich dotyczących udostępniania na rynku urządzeń radiowych i uchylającej dyrektywę 1999/5/WE, oraz kierując się potrzebą poprawienia wydajności i skuteczności nadzoru rynku i zapewnienia wysokiego poziomu zgodności urządzeń radiowych z wymaganiami.</w:t>
            </w:r>
          </w:p>
        </w:tc>
      </w:tr>
      <w:tr w:rsidR="00723799" w:rsidRPr="00E356CE" w14:paraId="3ECB4ED7" w14:textId="77777777" w:rsidTr="56856880">
        <w:tc>
          <w:tcPr>
            <w:tcW w:w="795" w:type="dxa"/>
            <w:tcBorders>
              <w:top w:val="single" w:sz="4" w:space="0" w:color="auto"/>
              <w:left w:val="single" w:sz="4" w:space="0" w:color="auto"/>
              <w:bottom w:val="single" w:sz="4" w:space="0" w:color="auto"/>
              <w:right w:val="single" w:sz="4" w:space="0" w:color="auto"/>
            </w:tcBorders>
          </w:tcPr>
          <w:p w14:paraId="710B1D18" w14:textId="77777777" w:rsidR="00A77AEA" w:rsidRPr="00E356CE" w:rsidRDefault="00276318" w:rsidP="00A9191A">
            <w:pPr>
              <w:jc w:val="both"/>
              <w:rPr>
                <w:b/>
              </w:rPr>
            </w:pPr>
            <w:r w:rsidRPr="00E356CE">
              <w:rPr>
                <w:b/>
              </w:rPr>
              <w:lastRenderedPageBreak/>
              <w:t>Art. 6</w:t>
            </w:r>
          </w:p>
        </w:tc>
        <w:tc>
          <w:tcPr>
            <w:tcW w:w="4719" w:type="dxa"/>
            <w:tcBorders>
              <w:top w:val="single" w:sz="4" w:space="0" w:color="auto"/>
              <w:left w:val="single" w:sz="4" w:space="0" w:color="auto"/>
              <w:bottom w:val="single" w:sz="4" w:space="0" w:color="auto"/>
              <w:right w:val="single" w:sz="4" w:space="0" w:color="auto"/>
            </w:tcBorders>
          </w:tcPr>
          <w:p w14:paraId="52680D9D" w14:textId="77777777" w:rsidR="00276318" w:rsidRPr="00E356CE" w:rsidRDefault="00276318" w:rsidP="00A9191A">
            <w:pPr>
              <w:jc w:val="center"/>
            </w:pPr>
            <w:r w:rsidRPr="00E356CE">
              <w:rPr>
                <w:b/>
                <w:bCs/>
              </w:rPr>
              <w:t>Udostępnienie na rynku</w:t>
            </w:r>
          </w:p>
          <w:p w14:paraId="7CDF2F73" w14:textId="77777777" w:rsidR="00A77AEA" w:rsidRPr="00E356CE" w:rsidRDefault="00276318" w:rsidP="00A9191A">
            <w:pPr>
              <w:jc w:val="both"/>
              <w:rPr>
                <w:b/>
                <w:bCs/>
              </w:rPr>
            </w:pPr>
            <w:r w:rsidRPr="00E356CE">
              <w:t>Państwa członkowskie przyjmują właściwe środki w celu zapewnienia, by na rynku udostępniane były tylko urządzenia radiowe spełniające wymagania niniejszej dyrektywy.</w:t>
            </w:r>
          </w:p>
        </w:tc>
        <w:tc>
          <w:tcPr>
            <w:tcW w:w="886" w:type="dxa"/>
            <w:tcBorders>
              <w:top w:val="single" w:sz="4" w:space="0" w:color="auto"/>
              <w:left w:val="single" w:sz="4" w:space="0" w:color="auto"/>
              <w:bottom w:val="single" w:sz="4" w:space="0" w:color="auto"/>
              <w:right w:val="single" w:sz="4" w:space="0" w:color="auto"/>
            </w:tcBorders>
          </w:tcPr>
          <w:p w14:paraId="192C52CE"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54715E69" w14:textId="77777777" w:rsidR="00A77AEA" w:rsidRPr="00E356CE" w:rsidRDefault="00276318" w:rsidP="00A9191A">
            <w:pPr>
              <w:jc w:val="both"/>
            </w:pPr>
            <w:r w:rsidRPr="00E356CE">
              <w:t>Dział VI</w:t>
            </w:r>
          </w:p>
        </w:tc>
        <w:tc>
          <w:tcPr>
            <w:tcW w:w="7410" w:type="dxa"/>
            <w:gridSpan w:val="2"/>
            <w:tcBorders>
              <w:top w:val="single" w:sz="4" w:space="0" w:color="auto"/>
              <w:left w:val="single" w:sz="4" w:space="0" w:color="auto"/>
              <w:bottom w:val="single" w:sz="4" w:space="0" w:color="auto"/>
              <w:right w:val="single" w:sz="4" w:space="0" w:color="auto"/>
            </w:tcBorders>
          </w:tcPr>
          <w:p w14:paraId="1C3FB71E" w14:textId="0E746707" w:rsidR="00276318" w:rsidRPr="00E356CE" w:rsidRDefault="00276318" w:rsidP="00A9191A">
            <w:pPr>
              <w:pStyle w:val="ROZDZODDZPRZEDMprzedmiotregulacjirozdziauluboddziau"/>
              <w:spacing w:line="240" w:lineRule="auto"/>
              <w:jc w:val="left"/>
              <w:rPr>
                <w:rFonts w:ascii="Times New Roman" w:hAnsi="Times New Roman"/>
                <w:bCs w:val="0"/>
              </w:rPr>
            </w:pPr>
            <w:r w:rsidRPr="00E356CE">
              <w:rPr>
                <w:rFonts w:ascii="Times New Roman" w:hAnsi="Times New Roman"/>
                <w:bCs w:val="0"/>
              </w:rPr>
              <w:t>Dział VI. Urządzenia radiowe (art. 2</w:t>
            </w:r>
            <w:r w:rsidR="00FF4D7A" w:rsidRPr="00E356CE">
              <w:rPr>
                <w:rFonts w:ascii="Times New Roman" w:hAnsi="Times New Roman"/>
                <w:bCs w:val="0"/>
              </w:rPr>
              <w:t>67</w:t>
            </w:r>
            <w:r w:rsidRPr="00E356CE">
              <w:rPr>
                <w:rFonts w:ascii="Times New Roman" w:hAnsi="Times New Roman"/>
                <w:bCs w:val="0"/>
              </w:rPr>
              <w:t>-</w:t>
            </w:r>
            <w:r w:rsidR="00FF4D7A" w:rsidRPr="00E356CE">
              <w:rPr>
                <w:rFonts w:ascii="Times New Roman" w:hAnsi="Times New Roman"/>
                <w:bCs w:val="0"/>
              </w:rPr>
              <w:t>276</w:t>
            </w:r>
            <w:r w:rsidRPr="00E356CE">
              <w:rPr>
                <w:rFonts w:ascii="Times New Roman" w:hAnsi="Times New Roman"/>
                <w:bCs w:val="0"/>
              </w:rPr>
              <w:t xml:space="preserve"> Pke)</w:t>
            </w:r>
          </w:p>
          <w:p w14:paraId="5360ACA0" w14:textId="77777777" w:rsidR="00A77AEA" w:rsidRPr="00E356CE" w:rsidRDefault="00A77AEA" w:rsidP="00A9191A">
            <w:pPr>
              <w:jc w:val="both"/>
            </w:pPr>
          </w:p>
        </w:tc>
      </w:tr>
      <w:tr w:rsidR="00723799" w:rsidRPr="00E356CE" w14:paraId="4FF60632" w14:textId="77777777" w:rsidTr="56856880">
        <w:tc>
          <w:tcPr>
            <w:tcW w:w="795" w:type="dxa"/>
            <w:tcBorders>
              <w:top w:val="single" w:sz="4" w:space="0" w:color="auto"/>
              <w:left w:val="single" w:sz="4" w:space="0" w:color="auto"/>
              <w:bottom w:val="single" w:sz="4" w:space="0" w:color="auto"/>
              <w:right w:val="single" w:sz="4" w:space="0" w:color="auto"/>
            </w:tcBorders>
          </w:tcPr>
          <w:p w14:paraId="189C6A58" w14:textId="77777777" w:rsidR="00830CF7" w:rsidRPr="00E356CE" w:rsidRDefault="00830CF7" w:rsidP="00A9191A">
            <w:pPr>
              <w:jc w:val="center"/>
              <w:rPr>
                <w:b/>
                <w:bCs/>
              </w:rPr>
            </w:pPr>
            <w:r w:rsidRPr="00E356CE">
              <w:rPr>
                <w:b/>
                <w:bCs/>
              </w:rPr>
              <w:t>Art. 7</w:t>
            </w:r>
          </w:p>
          <w:p w14:paraId="43A87C73" w14:textId="77777777" w:rsidR="00A77AEA" w:rsidRPr="00E356CE" w:rsidRDefault="00A77AE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31BB1062" w14:textId="77777777" w:rsidR="00830CF7" w:rsidRPr="00E356CE" w:rsidRDefault="00830CF7" w:rsidP="00A9191A">
            <w:pPr>
              <w:jc w:val="center"/>
            </w:pPr>
            <w:r w:rsidRPr="00E356CE">
              <w:rPr>
                <w:b/>
                <w:bCs/>
              </w:rPr>
              <w:t>Oddawanie do użytku i wykorzystywanie urządzeń radiowych</w:t>
            </w:r>
          </w:p>
          <w:p w14:paraId="707059D0" w14:textId="77777777" w:rsidR="00A77AEA" w:rsidRPr="00E356CE" w:rsidRDefault="00830CF7" w:rsidP="00A9191A">
            <w:pPr>
              <w:jc w:val="both"/>
              <w:rPr>
                <w:b/>
                <w:bCs/>
              </w:rPr>
            </w:pPr>
            <w:r w:rsidRPr="00E356CE">
              <w:t xml:space="preserve">Państwa członkowskie zezwalają na oddawanie urządzeń radiowych do użytku i wykorzystywanie ich, jeżeli spełniają one wymagania niniejszej dyrektywy, kiedy są odpowiednio zainstalowane i konserwowane oraz wykorzystywane zgodnie z przeznaczeniem. Bez uszczerbku dla ich zobowiązań na mocy decyzji nr 676/2002/WE </w:t>
            </w:r>
            <w:r w:rsidRPr="00E356CE">
              <w:lastRenderedPageBreak/>
              <w:t>oraz nie naruszając warunków dotyczących pozwoleń na korzystanie z częstotliwości zgodnie z prawem Unii, w szczególności zgodnie z art. 9 ust. 3 i 4 dyrektywy 2002/21/WE, państwa członkowskie mogą wprowadzić dodatkowe wymagania dotyczące oddawania do użytku lub wykorzystywania urządzeń radiowych wyłącznie z powodów związanych ze skutecznym i efektywnym wykorzystaniem widma radiowego, unikaniem szkodliwych zakłóceń, unikaniem zaburzeń elektromagnetycznych lub zdrowiem publicznym.</w:t>
            </w:r>
          </w:p>
        </w:tc>
        <w:tc>
          <w:tcPr>
            <w:tcW w:w="886" w:type="dxa"/>
            <w:tcBorders>
              <w:top w:val="single" w:sz="4" w:space="0" w:color="auto"/>
              <w:left w:val="single" w:sz="4" w:space="0" w:color="auto"/>
              <w:bottom w:val="single" w:sz="4" w:space="0" w:color="auto"/>
              <w:right w:val="single" w:sz="4" w:space="0" w:color="auto"/>
            </w:tcBorders>
          </w:tcPr>
          <w:p w14:paraId="21327514" w14:textId="77777777" w:rsidR="00A77AEA"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27C24520" w14:textId="3AF46362" w:rsidR="00A77AEA" w:rsidRPr="00E356CE" w:rsidRDefault="00830CF7" w:rsidP="00FF4D7A">
            <w:pPr>
              <w:jc w:val="both"/>
            </w:pPr>
            <w:r w:rsidRPr="00E356CE">
              <w:t>Art. 2</w:t>
            </w:r>
            <w:r w:rsidR="00FF4D7A" w:rsidRPr="00E356CE">
              <w:t>69</w:t>
            </w:r>
            <w:r w:rsidRPr="00E356CE">
              <w:t xml:space="preserve"> ust. 9</w:t>
            </w:r>
          </w:p>
        </w:tc>
        <w:tc>
          <w:tcPr>
            <w:tcW w:w="7410" w:type="dxa"/>
            <w:gridSpan w:val="2"/>
            <w:tcBorders>
              <w:top w:val="single" w:sz="4" w:space="0" w:color="auto"/>
              <w:left w:val="single" w:sz="4" w:space="0" w:color="auto"/>
              <w:bottom w:val="single" w:sz="4" w:space="0" w:color="auto"/>
              <w:right w:val="single" w:sz="4" w:space="0" w:color="auto"/>
            </w:tcBorders>
          </w:tcPr>
          <w:p w14:paraId="62E2B3B1" w14:textId="57860AE4" w:rsidR="00830CF7" w:rsidRPr="00E356CE" w:rsidRDefault="00830CF7" w:rsidP="00A9191A">
            <w:pPr>
              <w:jc w:val="both"/>
              <w:rPr>
                <w:b/>
              </w:rPr>
            </w:pPr>
            <w:r w:rsidRPr="00E356CE">
              <w:rPr>
                <w:b/>
              </w:rPr>
              <w:t xml:space="preserve">Art. </w:t>
            </w:r>
            <w:r w:rsidR="00FF4D7A" w:rsidRPr="00E356CE">
              <w:rPr>
                <w:b/>
              </w:rPr>
              <w:t>269</w:t>
            </w:r>
          </w:p>
          <w:p w14:paraId="2E1469B0" w14:textId="77777777" w:rsidR="00830CF7" w:rsidRPr="00E356CE" w:rsidRDefault="00830CF7" w:rsidP="00A9191A">
            <w:pPr>
              <w:jc w:val="both"/>
            </w:pPr>
          </w:p>
          <w:p w14:paraId="61352C6C" w14:textId="61F0136E" w:rsidR="00A77AEA" w:rsidRPr="00E356CE" w:rsidRDefault="00FF4D7A" w:rsidP="00A9191A">
            <w:pPr>
              <w:jc w:val="both"/>
            </w:pPr>
            <w:r w:rsidRPr="00E356CE">
              <w:rPr>
                <w:bCs/>
              </w:rPr>
              <w:t>9. Wymagania, o których mowa w ust. 1-3, dotyczące oddawanych do użytku i wykorzystywanych urządzeń radiowych, odnoszą się do sytuacji, w których urządzenia te są odpowiednio zainstalowane i konserwowane oraz używane zgodnie z przeznaczeniem.</w:t>
            </w:r>
          </w:p>
        </w:tc>
      </w:tr>
      <w:tr w:rsidR="00723799" w:rsidRPr="00E356CE" w14:paraId="4A187457" w14:textId="77777777" w:rsidTr="56856880">
        <w:tc>
          <w:tcPr>
            <w:tcW w:w="795" w:type="dxa"/>
            <w:tcBorders>
              <w:top w:val="single" w:sz="4" w:space="0" w:color="auto"/>
              <w:left w:val="single" w:sz="4" w:space="0" w:color="auto"/>
              <w:bottom w:val="single" w:sz="4" w:space="0" w:color="auto"/>
              <w:right w:val="single" w:sz="4" w:space="0" w:color="auto"/>
            </w:tcBorders>
          </w:tcPr>
          <w:p w14:paraId="2C5899A3" w14:textId="77777777" w:rsidR="00A77AEA" w:rsidRPr="00E356CE" w:rsidRDefault="006C5D9D" w:rsidP="00A9191A">
            <w:pPr>
              <w:jc w:val="both"/>
              <w:rPr>
                <w:b/>
              </w:rPr>
            </w:pPr>
            <w:r w:rsidRPr="00E356CE">
              <w:rPr>
                <w:b/>
              </w:rPr>
              <w:lastRenderedPageBreak/>
              <w:t>Art. 9</w:t>
            </w:r>
          </w:p>
        </w:tc>
        <w:tc>
          <w:tcPr>
            <w:tcW w:w="4719" w:type="dxa"/>
            <w:tcBorders>
              <w:top w:val="single" w:sz="4" w:space="0" w:color="auto"/>
              <w:left w:val="single" w:sz="4" w:space="0" w:color="auto"/>
              <w:bottom w:val="single" w:sz="4" w:space="0" w:color="auto"/>
              <w:right w:val="single" w:sz="4" w:space="0" w:color="auto"/>
            </w:tcBorders>
          </w:tcPr>
          <w:p w14:paraId="5E0AC426" w14:textId="77777777" w:rsidR="006C5D9D" w:rsidRPr="00E356CE" w:rsidRDefault="006C5D9D" w:rsidP="00A9191A">
            <w:pPr>
              <w:jc w:val="center"/>
              <w:rPr>
                <w:b/>
                <w:bCs/>
              </w:rPr>
            </w:pPr>
            <w:r w:rsidRPr="00E356CE">
              <w:rPr>
                <w:b/>
                <w:bCs/>
              </w:rPr>
              <w:t>Swobodny przepływ urządzeń radiowych</w:t>
            </w:r>
          </w:p>
          <w:p w14:paraId="5E13E003" w14:textId="77777777" w:rsidR="006C5D9D" w:rsidRPr="00E356CE" w:rsidRDefault="006C5D9D" w:rsidP="00A9191A">
            <w:pPr>
              <w:jc w:val="center"/>
            </w:pPr>
          </w:p>
          <w:p w14:paraId="3B85B6BF" w14:textId="77777777" w:rsidR="00A77AEA" w:rsidRPr="00E356CE" w:rsidRDefault="00A77AE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13C08732"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5C0F396B"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4F1A96CF" w14:textId="77777777" w:rsidR="00A77AEA" w:rsidRPr="00E356CE" w:rsidRDefault="00A77AEA" w:rsidP="00A9191A">
            <w:pPr>
              <w:jc w:val="both"/>
            </w:pPr>
          </w:p>
        </w:tc>
      </w:tr>
      <w:tr w:rsidR="00723799" w:rsidRPr="00E356CE" w14:paraId="1E3DCC18" w14:textId="77777777" w:rsidTr="56856880">
        <w:tc>
          <w:tcPr>
            <w:tcW w:w="795" w:type="dxa"/>
            <w:tcBorders>
              <w:top w:val="single" w:sz="4" w:space="0" w:color="auto"/>
              <w:left w:val="single" w:sz="4" w:space="0" w:color="auto"/>
              <w:bottom w:val="single" w:sz="4" w:space="0" w:color="auto"/>
              <w:right w:val="single" w:sz="4" w:space="0" w:color="auto"/>
            </w:tcBorders>
          </w:tcPr>
          <w:p w14:paraId="27341216" w14:textId="77777777" w:rsidR="00A77AEA" w:rsidRPr="00E356CE" w:rsidRDefault="006C5D9D" w:rsidP="00A9191A">
            <w:r w:rsidRPr="00E356CE">
              <w:t>Art. 9 ust. 1</w:t>
            </w:r>
          </w:p>
        </w:tc>
        <w:tc>
          <w:tcPr>
            <w:tcW w:w="4719" w:type="dxa"/>
            <w:tcBorders>
              <w:top w:val="single" w:sz="4" w:space="0" w:color="auto"/>
              <w:left w:val="single" w:sz="4" w:space="0" w:color="auto"/>
              <w:bottom w:val="single" w:sz="4" w:space="0" w:color="auto"/>
              <w:right w:val="single" w:sz="4" w:space="0" w:color="auto"/>
            </w:tcBorders>
          </w:tcPr>
          <w:p w14:paraId="13A69FBA" w14:textId="77777777" w:rsidR="006C5D9D" w:rsidRPr="00E356CE" w:rsidRDefault="006C5D9D" w:rsidP="00A9191A">
            <w:pPr>
              <w:jc w:val="both"/>
            </w:pPr>
            <w:r w:rsidRPr="00E356CE">
              <w:t>1. Państwa członkowskie nie utrudniają, z powodów odnoszących się do aspektów objętych niniejszą dyrektywą, udostępniania na rynku na swoim terytorium urządzeń radiowych, które są zgodne z niniejszą dyrektywą.</w:t>
            </w:r>
          </w:p>
          <w:p w14:paraId="7A4A4BDA" w14:textId="77777777" w:rsidR="00A77AEA" w:rsidRPr="00E356CE" w:rsidRDefault="00A77AE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0F4CED9F" w14:textId="77777777" w:rsidR="00A77AEA" w:rsidRPr="00E356CE" w:rsidRDefault="006C5D9D" w:rsidP="00A9191A">
            <w:pPr>
              <w:jc w:val="both"/>
              <w:rPr>
                <w:b/>
              </w:rPr>
            </w:pPr>
            <w:r w:rsidRPr="00E356CE">
              <w:rPr>
                <w:b/>
              </w:rPr>
              <w:t>N</w:t>
            </w:r>
          </w:p>
        </w:tc>
        <w:tc>
          <w:tcPr>
            <w:tcW w:w="900" w:type="dxa"/>
            <w:gridSpan w:val="3"/>
            <w:tcBorders>
              <w:top w:val="single" w:sz="4" w:space="0" w:color="auto"/>
              <w:left w:val="single" w:sz="4" w:space="0" w:color="auto"/>
              <w:bottom w:val="single" w:sz="4" w:space="0" w:color="auto"/>
              <w:right w:val="single" w:sz="4" w:space="0" w:color="auto"/>
            </w:tcBorders>
          </w:tcPr>
          <w:p w14:paraId="1544B751"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08396E01" w14:textId="77777777" w:rsidR="00A77AEA" w:rsidRPr="00E356CE" w:rsidRDefault="006C5D9D" w:rsidP="00A9191A">
            <w:pPr>
              <w:jc w:val="both"/>
            </w:pPr>
            <w:r w:rsidRPr="00E356CE">
              <w:t>Brak takich utrudnień w prawie polskim</w:t>
            </w:r>
          </w:p>
        </w:tc>
      </w:tr>
      <w:tr w:rsidR="00723799" w:rsidRPr="00E356CE" w14:paraId="21B94987" w14:textId="77777777" w:rsidTr="56856880">
        <w:tc>
          <w:tcPr>
            <w:tcW w:w="795" w:type="dxa"/>
            <w:tcBorders>
              <w:top w:val="single" w:sz="4" w:space="0" w:color="auto"/>
              <w:left w:val="single" w:sz="4" w:space="0" w:color="auto"/>
              <w:bottom w:val="single" w:sz="4" w:space="0" w:color="auto"/>
              <w:right w:val="single" w:sz="4" w:space="0" w:color="auto"/>
            </w:tcBorders>
          </w:tcPr>
          <w:p w14:paraId="43CB833E" w14:textId="77777777" w:rsidR="00A77AEA" w:rsidRPr="00E356CE" w:rsidRDefault="00274169" w:rsidP="00A9191A">
            <w:pPr>
              <w:jc w:val="both"/>
            </w:pPr>
            <w:r w:rsidRPr="00E356CE">
              <w:t>Art. 9 ust. 2</w:t>
            </w:r>
          </w:p>
        </w:tc>
        <w:tc>
          <w:tcPr>
            <w:tcW w:w="4719" w:type="dxa"/>
            <w:tcBorders>
              <w:top w:val="single" w:sz="4" w:space="0" w:color="auto"/>
              <w:left w:val="single" w:sz="4" w:space="0" w:color="auto"/>
              <w:bottom w:val="single" w:sz="4" w:space="0" w:color="auto"/>
              <w:right w:val="single" w:sz="4" w:space="0" w:color="auto"/>
            </w:tcBorders>
          </w:tcPr>
          <w:p w14:paraId="7176C926" w14:textId="77777777" w:rsidR="00A77AEA" w:rsidRPr="00E356CE" w:rsidRDefault="00274169" w:rsidP="00A9191A">
            <w:pPr>
              <w:jc w:val="both"/>
              <w:rPr>
                <w:b/>
                <w:bCs/>
              </w:rPr>
            </w:pPr>
            <w:r w:rsidRPr="00E356CE">
              <w:t xml:space="preserve">2. Państwa członkowskie nie utrudniają wystawiania podczas targów, wystaw lub podobnych imprez urządzeń radiowych niezgodnych z wymogami niniejszej dyrektywy, pod warunkiem że widoczne oznakowanie jasno wskazuje, iż takie urządzenia radiowe nie mogą być udostępniane na rynku ani oddawane do użytku, dopóki nie zostanie zapewniona ich zgodność z niniejszą </w:t>
            </w:r>
            <w:r w:rsidRPr="00E356CE">
              <w:lastRenderedPageBreak/>
              <w:t>dyrektywą. Urządzenia radiowe można demonstrować jedynie, jeśli przyjęto odpowiednie środki określone przez państwa członkowskie w celu uniknięcia szkodliwych zakłóceń, zaburzeń elektromagnetycznych i zagrożenia dla zdrowia lub bezpieczeństwa osób lub zwierząt domowych lub bezpieczeństwa mienia.</w:t>
            </w:r>
          </w:p>
        </w:tc>
        <w:tc>
          <w:tcPr>
            <w:tcW w:w="886" w:type="dxa"/>
            <w:tcBorders>
              <w:top w:val="single" w:sz="4" w:space="0" w:color="auto"/>
              <w:left w:val="single" w:sz="4" w:space="0" w:color="auto"/>
              <w:bottom w:val="single" w:sz="4" w:space="0" w:color="auto"/>
              <w:right w:val="single" w:sz="4" w:space="0" w:color="auto"/>
            </w:tcBorders>
          </w:tcPr>
          <w:p w14:paraId="750F98A8" w14:textId="77777777" w:rsidR="00A77AEA"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72606DEC" w14:textId="5FFA2528" w:rsidR="00A77AEA" w:rsidRPr="00E356CE" w:rsidRDefault="00274169" w:rsidP="00BA0795">
            <w:pPr>
              <w:jc w:val="both"/>
            </w:pPr>
            <w:r w:rsidRPr="00E356CE">
              <w:t>Art. 2</w:t>
            </w:r>
            <w:r w:rsidR="00BA0795" w:rsidRPr="00E356CE">
              <w:t>72</w:t>
            </w:r>
          </w:p>
        </w:tc>
        <w:tc>
          <w:tcPr>
            <w:tcW w:w="7410" w:type="dxa"/>
            <w:gridSpan w:val="2"/>
            <w:tcBorders>
              <w:top w:val="single" w:sz="4" w:space="0" w:color="auto"/>
              <w:left w:val="single" w:sz="4" w:space="0" w:color="auto"/>
              <w:bottom w:val="single" w:sz="4" w:space="0" w:color="auto"/>
              <w:right w:val="single" w:sz="4" w:space="0" w:color="auto"/>
            </w:tcBorders>
          </w:tcPr>
          <w:p w14:paraId="41558C61" w14:textId="77777777" w:rsidR="00BA0795" w:rsidRPr="00E356CE" w:rsidRDefault="00BA0795" w:rsidP="00BA0795">
            <w:pPr>
              <w:pStyle w:val="ARTartustawynprozporzdzenia"/>
              <w:spacing w:line="240" w:lineRule="auto"/>
              <w:rPr>
                <w:rFonts w:ascii="Times New Roman" w:hAnsi="Times New Roman" w:cs="Times New Roman"/>
                <w:szCs w:val="24"/>
              </w:rPr>
            </w:pPr>
            <w:r w:rsidRPr="00E356CE">
              <w:rPr>
                <w:rFonts w:ascii="Times New Roman" w:hAnsi="Times New Roman" w:cs="Times New Roman"/>
                <w:b/>
                <w:szCs w:val="24"/>
              </w:rPr>
              <w:t>Art. 272.</w:t>
            </w:r>
            <w:r w:rsidRPr="00E356CE">
              <w:rPr>
                <w:rFonts w:ascii="Times New Roman" w:hAnsi="Times New Roman" w:cs="Times New Roman"/>
                <w:szCs w:val="24"/>
              </w:rPr>
              <w:t xml:space="preserve"> 1. Dopuszcza się eksponowanie na targach, wystawach i pokazach urządzeń radiowych podlegających obowiązkowej ocenie zgodności z wymaganiami, o których mowa w art. 269 ust. 1-3, bez deklaracji zgodności i oznakowania CE w celu ich prezentacji, pod warunkiem uwidocznienia informacji, że wystawione urządzenie nie może być wprowadzone do obrotu ani przekazane do używania do czasu zapewnienia zgodności urządzenia z wymaganiami.</w:t>
            </w:r>
          </w:p>
          <w:p w14:paraId="0E77B722" w14:textId="09F73531" w:rsidR="00A77AEA" w:rsidRPr="00E356CE" w:rsidRDefault="00BA0795" w:rsidP="00BA0795">
            <w:pPr>
              <w:jc w:val="both"/>
            </w:pPr>
            <w:r w:rsidRPr="00E356CE">
              <w:t xml:space="preserve">2. Urządzenia radiowe można demonstrować jedynie, jeśli zapewniono odpowiednie środki w celu uniknięcia szkodliwych zakłóceń, szkodliwych </w:t>
            </w:r>
            <w:r w:rsidRPr="00E356CE">
              <w:lastRenderedPageBreak/>
              <w:t>zaburzeń elektromagnetycznych i zagrożenia dla zdrowia lub bezpieczeństwa osób i zwierząt domowych oraz bezpieczeństwa mienia.</w:t>
            </w:r>
          </w:p>
        </w:tc>
      </w:tr>
      <w:tr w:rsidR="00723799" w:rsidRPr="00E356CE" w14:paraId="3017807A" w14:textId="77777777" w:rsidTr="56856880">
        <w:tc>
          <w:tcPr>
            <w:tcW w:w="795" w:type="dxa"/>
            <w:tcBorders>
              <w:top w:val="single" w:sz="4" w:space="0" w:color="auto"/>
              <w:left w:val="single" w:sz="4" w:space="0" w:color="auto"/>
              <w:bottom w:val="single" w:sz="4" w:space="0" w:color="auto"/>
              <w:right w:val="single" w:sz="4" w:space="0" w:color="auto"/>
            </w:tcBorders>
          </w:tcPr>
          <w:p w14:paraId="5C468008" w14:textId="77777777" w:rsidR="00A77AEA" w:rsidRPr="00E356CE" w:rsidRDefault="00A77AE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17AA9165" w14:textId="77777777" w:rsidR="00BC072C" w:rsidRPr="00E356CE" w:rsidRDefault="00BC072C" w:rsidP="00A9191A">
            <w:r w:rsidRPr="00E356CE">
              <w:rPr>
                <w:b/>
                <w:bCs/>
              </w:rPr>
              <w:t>Rozdział II</w:t>
            </w:r>
          </w:p>
          <w:p w14:paraId="0598850B" w14:textId="77777777" w:rsidR="00A77AEA" w:rsidRPr="00E356CE" w:rsidRDefault="00BC072C" w:rsidP="00A9191A">
            <w:pPr>
              <w:jc w:val="both"/>
              <w:rPr>
                <w:b/>
                <w:bCs/>
              </w:rPr>
            </w:pPr>
            <w:r w:rsidRPr="00E356CE">
              <w:rPr>
                <w:b/>
                <w:bCs/>
              </w:rPr>
              <w:t>Obowiązki podmiotów gospodarczych</w:t>
            </w:r>
          </w:p>
          <w:p w14:paraId="4734B70F" w14:textId="77777777" w:rsidR="00BC072C" w:rsidRPr="00E356CE" w:rsidRDefault="00BC072C"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4C5F9FE7"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0B863883"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3732BA07" w14:textId="77777777" w:rsidR="00A77AEA" w:rsidRPr="00E356CE" w:rsidRDefault="00A77AEA" w:rsidP="00A9191A">
            <w:pPr>
              <w:jc w:val="both"/>
            </w:pPr>
          </w:p>
        </w:tc>
      </w:tr>
      <w:tr w:rsidR="00723799" w:rsidRPr="00E356CE" w14:paraId="17A03F25" w14:textId="77777777" w:rsidTr="56856880">
        <w:tc>
          <w:tcPr>
            <w:tcW w:w="795" w:type="dxa"/>
            <w:tcBorders>
              <w:top w:val="single" w:sz="4" w:space="0" w:color="auto"/>
              <w:left w:val="single" w:sz="4" w:space="0" w:color="auto"/>
              <w:bottom w:val="single" w:sz="4" w:space="0" w:color="auto"/>
              <w:right w:val="single" w:sz="4" w:space="0" w:color="auto"/>
            </w:tcBorders>
          </w:tcPr>
          <w:p w14:paraId="10A88B4F" w14:textId="77777777" w:rsidR="00A77AEA" w:rsidRPr="00E356CE" w:rsidRDefault="00BC072C" w:rsidP="00A9191A">
            <w:pPr>
              <w:jc w:val="both"/>
              <w:rPr>
                <w:b/>
              </w:rPr>
            </w:pPr>
            <w:r w:rsidRPr="00E356CE">
              <w:rPr>
                <w:b/>
              </w:rPr>
              <w:t>Art. 10</w:t>
            </w:r>
          </w:p>
        </w:tc>
        <w:tc>
          <w:tcPr>
            <w:tcW w:w="4719" w:type="dxa"/>
            <w:tcBorders>
              <w:top w:val="single" w:sz="4" w:space="0" w:color="auto"/>
              <w:left w:val="single" w:sz="4" w:space="0" w:color="auto"/>
              <w:bottom w:val="single" w:sz="4" w:space="0" w:color="auto"/>
              <w:right w:val="single" w:sz="4" w:space="0" w:color="auto"/>
            </w:tcBorders>
          </w:tcPr>
          <w:p w14:paraId="2CF51803" w14:textId="77777777" w:rsidR="00BC072C" w:rsidRPr="00E356CE" w:rsidRDefault="00BC072C" w:rsidP="00A9191A">
            <w:r w:rsidRPr="00E356CE">
              <w:rPr>
                <w:b/>
                <w:bCs/>
              </w:rPr>
              <w:t>Obowiązki producentów</w:t>
            </w:r>
          </w:p>
          <w:p w14:paraId="51A6FB6A" w14:textId="77777777" w:rsidR="00A77AEA" w:rsidRPr="00E356CE" w:rsidRDefault="00A77AE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0E07E08F"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5F3E99A0"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7F987A7E" w14:textId="77777777" w:rsidR="00A77AEA" w:rsidRPr="00E356CE" w:rsidRDefault="00A77AEA" w:rsidP="00A9191A">
            <w:pPr>
              <w:jc w:val="both"/>
            </w:pPr>
          </w:p>
        </w:tc>
      </w:tr>
      <w:tr w:rsidR="00723799" w:rsidRPr="00E356CE" w14:paraId="0856E992" w14:textId="77777777" w:rsidTr="56856880">
        <w:tc>
          <w:tcPr>
            <w:tcW w:w="795" w:type="dxa"/>
            <w:tcBorders>
              <w:top w:val="single" w:sz="4" w:space="0" w:color="auto"/>
              <w:left w:val="single" w:sz="4" w:space="0" w:color="auto"/>
              <w:bottom w:val="single" w:sz="4" w:space="0" w:color="auto"/>
              <w:right w:val="single" w:sz="4" w:space="0" w:color="auto"/>
            </w:tcBorders>
          </w:tcPr>
          <w:p w14:paraId="79A31C38" w14:textId="77777777" w:rsidR="00A77AEA" w:rsidRPr="00E356CE" w:rsidRDefault="00BC072C" w:rsidP="00A9191A">
            <w:pPr>
              <w:jc w:val="both"/>
            </w:pPr>
            <w:r w:rsidRPr="00E356CE">
              <w:t>Art. 10 ust. 2</w:t>
            </w:r>
          </w:p>
        </w:tc>
        <w:tc>
          <w:tcPr>
            <w:tcW w:w="4719" w:type="dxa"/>
            <w:tcBorders>
              <w:top w:val="single" w:sz="4" w:space="0" w:color="auto"/>
              <w:left w:val="single" w:sz="4" w:space="0" w:color="auto"/>
              <w:bottom w:val="single" w:sz="4" w:space="0" w:color="auto"/>
              <w:right w:val="single" w:sz="4" w:space="0" w:color="auto"/>
            </w:tcBorders>
          </w:tcPr>
          <w:p w14:paraId="017E8FE0" w14:textId="77777777" w:rsidR="00A77AEA" w:rsidRPr="00E356CE" w:rsidRDefault="00BC072C" w:rsidP="00A9191A">
            <w:pPr>
              <w:jc w:val="both"/>
            </w:pPr>
            <w:r w:rsidRPr="00E356CE">
              <w:t>2. Producenci zapewniają, aby urządzenia radiowe były skonstruowane w taki sposób, by można było ich używać w co najmniej jednym państwie członkowskim bez naruszania mających zastosowanie wymogów dotyczących wykorzystania widma radiowego.</w:t>
            </w:r>
          </w:p>
        </w:tc>
        <w:tc>
          <w:tcPr>
            <w:tcW w:w="886" w:type="dxa"/>
            <w:tcBorders>
              <w:top w:val="single" w:sz="4" w:space="0" w:color="auto"/>
              <w:left w:val="single" w:sz="4" w:space="0" w:color="auto"/>
              <w:bottom w:val="single" w:sz="4" w:space="0" w:color="auto"/>
              <w:right w:val="single" w:sz="4" w:space="0" w:color="auto"/>
            </w:tcBorders>
          </w:tcPr>
          <w:p w14:paraId="6F623DD8"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26EB6D86" w14:textId="3494A4EE" w:rsidR="00A77AEA" w:rsidRPr="00E356CE" w:rsidRDefault="00BC072C" w:rsidP="00BA0795">
            <w:pPr>
              <w:jc w:val="both"/>
            </w:pPr>
            <w:r w:rsidRPr="00E356CE">
              <w:t>Art. 2</w:t>
            </w:r>
            <w:r w:rsidR="00BA0795" w:rsidRPr="00E356CE">
              <w:t>73</w:t>
            </w:r>
            <w:r w:rsidRPr="00E356CE">
              <w:t xml:space="preserve"> ust. 5</w:t>
            </w:r>
          </w:p>
        </w:tc>
        <w:tc>
          <w:tcPr>
            <w:tcW w:w="7410" w:type="dxa"/>
            <w:gridSpan w:val="2"/>
            <w:tcBorders>
              <w:top w:val="single" w:sz="4" w:space="0" w:color="auto"/>
              <w:left w:val="single" w:sz="4" w:space="0" w:color="auto"/>
              <w:bottom w:val="single" w:sz="4" w:space="0" w:color="auto"/>
              <w:right w:val="single" w:sz="4" w:space="0" w:color="auto"/>
            </w:tcBorders>
          </w:tcPr>
          <w:p w14:paraId="30D57BD5" w14:textId="04579963" w:rsidR="009E38D8" w:rsidRPr="00E356CE" w:rsidRDefault="009E38D8" w:rsidP="00A9191A">
            <w:r w:rsidRPr="00E356CE">
              <w:t>Art. 2</w:t>
            </w:r>
            <w:r w:rsidR="00BA0795" w:rsidRPr="00E356CE">
              <w:t>73</w:t>
            </w:r>
          </w:p>
          <w:p w14:paraId="08FC5F2B" w14:textId="77777777" w:rsidR="009E38D8" w:rsidRPr="00E356CE" w:rsidRDefault="009E38D8" w:rsidP="00A9191A"/>
          <w:p w14:paraId="54DB9E5B" w14:textId="048EA16B" w:rsidR="00A77AEA" w:rsidRPr="00E356CE" w:rsidRDefault="00BA0795" w:rsidP="00A9191A">
            <w:pPr>
              <w:jc w:val="both"/>
            </w:pPr>
            <w:r w:rsidRPr="00E356CE">
              <w:t>5. Producent zapewnia, aby urządzenie radiowe było skonstruowane w taki sposób, aby można było go używać w co najmniej jednym państwie członkowskim bez naruszenia mających zastosowanie wymogów dotyczących wykorzystania częstotliwości.</w:t>
            </w:r>
          </w:p>
        </w:tc>
      </w:tr>
      <w:tr w:rsidR="00723799" w:rsidRPr="00E356CE" w14:paraId="30636B15" w14:textId="77777777" w:rsidTr="56856880">
        <w:tc>
          <w:tcPr>
            <w:tcW w:w="795" w:type="dxa"/>
            <w:tcBorders>
              <w:top w:val="single" w:sz="4" w:space="0" w:color="auto"/>
              <w:left w:val="single" w:sz="4" w:space="0" w:color="auto"/>
              <w:bottom w:val="single" w:sz="4" w:space="0" w:color="auto"/>
              <w:right w:val="single" w:sz="4" w:space="0" w:color="auto"/>
            </w:tcBorders>
          </w:tcPr>
          <w:p w14:paraId="094B37B8" w14:textId="77777777" w:rsidR="00A77AEA" w:rsidRPr="00E356CE" w:rsidRDefault="009E38D8" w:rsidP="00A9191A">
            <w:pPr>
              <w:jc w:val="both"/>
            </w:pPr>
            <w:r w:rsidRPr="00E356CE">
              <w:t>Art. 10 ust. 6</w:t>
            </w:r>
          </w:p>
        </w:tc>
        <w:tc>
          <w:tcPr>
            <w:tcW w:w="4719" w:type="dxa"/>
            <w:tcBorders>
              <w:top w:val="single" w:sz="4" w:space="0" w:color="auto"/>
              <w:left w:val="single" w:sz="4" w:space="0" w:color="auto"/>
              <w:bottom w:val="single" w:sz="4" w:space="0" w:color="auto"/>
              <w:right w:val="single" w:sz="4" w:space="0" w:color="auto"/>
            </w:tcBorders>
          </w:tcPr>
          <w:p w14:paraId="25A551BB" w14:textId="77777777" w:rsidR="00A77AEA" w:rsidRPr="00E356CE" w:rsidRDefault="009E38D8" w:rsidP="003C4E86">
            <w:r w:rsidRPr="00E356CE">
              <w:t>6. Producenci są zobowiązani zapewnić opatrzenie urządzeń radiowych, które wprowadzili do obrotu, nazwą typu, numerem partii lub serii lub inną informacją umożliwiającą ich identyfikację, lub w przypadku gdy wielkość lub rodzaj urządzenia to uniemożliwiają, umieszczenie wymaganych informacji na opakowaniu lub w dokumencie załączonym do urządzenia radiowego.</w:t>
            </w:r>
          </w:p>
        </w:tc>
        <w:tc>
          <w:tcPr>
            <w:tcW w:w="886" w:type="dxa"/>
            <w:tcBorders>
              <w:top w:val="single" w:sz="4" w:space="0" w:color="auto"/>
              <w:left w:val="single" w:sz="4" w:space="0" w:color="auto"/>
              <w:bottom w:val="single" w:sz="4" w:space="0" w:color="auto"/>
              <w:right w:val="single" w:sz="4" w:space="0" w:color="auto"/>
            </w:tcBorders>
          </w:tcPr>
          <w:p w14:paraId="523D3C23"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238F651" w14:textId="3B73A592" w:rsidR="00A77AEA" w:rsidRPr="00E356CE" w:rsidRDefault="00BA0795" w:rsidP="00BA0795">
            <w:pPr>
              <w:jc w:val="both"/>
            </w:pPr>
            <w:r w:rsidRPr="00E356CE">
              <w:t>Art. 273</w:t>
            </w:r>
            <w:r w:rsidR="009E38D8" w:rsidRPr="00E356CE">
              <w:t xml:space="preserve"> ust. 1 pkt 1</w:t>
            </w:r>
          </w:p>
        </w:tc>
        <w:tc>
          <w:tcPr>
            <w:tcW w:w="7410" w:type="dxa"/>
            <w:gridSpan w:val="2"/>
            <w:tcBorders>
              <w:top w:val="single" w:sz="4" w:space="0" w:color="auto"/>
              <w:left w:val="single" w:sz="4" w:space="0" w:color="auto"/>
              <w:bottom w:val="single" w:sz="4" w:space="0" w:color="auto"/>
              <w:right w:val="single" w:sz="4" w:space="0" w:color="auto"/>
            </w:tcBorders>
          </w:tcPr>
          <w:p w14:paraId="278E6C6C" w14:textId="7292DA40" w:rsidR="00BA0795" w:rsidRPr="00E356CE" w:rsidRDefault="00BA0795" w:rsidP="00BA0795">
            <w:pPr>
              <w:suppressAutoHyphens/>
              <w:autoSpaceDE w:val="0"/>
              <w:autoSpaceDN w:val="0"/>
              <w:adjustRightInd w:val="0"/>
              <w:spacing w:before="120"/>
              <w:jc w:val="both"/>
            </w:pPr>
            <w:r w:rsidRPr="00E356CE">
              <w:t>Art. 273. 1. Producent jest obowiązany umieścić na urządzeniu radiowym lub - w przypadku gdy wielkość lub rodzaj urządzenia to uniemożliwiają - na opakowaniu lub w dokumencie załączonym do urządzenia radiowego:</w:t>
            </w:r>
          </w:p>
          <w:p w14:paraId="3A88E26E" w14:textId="1DE23C4F" w:rsidR="00A77AEA" w:rsidRPr="00E356CE" w:rsidRDefault="00BA0795" w:rsidP="00BA0795">
            <w:pPr>
              <w:jc w:val="both"/>
            </w:pPr>
            <w:r w:rsidRPr="00E356CE">
              <w:t>1)</w:t>
            </w:r>
            <w:r w:rsidRPr="00E356CE">
              <w:tab/>
              <w:t>nazwę typu, numer partii lub serii lub inną informację umożliwiającą identyfikację tego urządzenia;</w:t>
            </w:r>
          </w:p>
        </w:tc>
      </w:tr>
      <w:tr w:rsidR="00723799" w:rsidRPr="00E356CE" w14:paraId="75C02F60" w14:textId="77777777" w:rsidTr="56856880">
        <w:tc>
          <w:tcPr>
            <w:tcW w:w="795" w:type="dxa"/>
            <w:tcBorders>
              <w:top w:val="single" w:sz="4" w:space="0" w:color="auto"/>
              <w:left w:val="single" w:sz="4" w:space="0" w:color="auto"/>
              <w:bottom w:val="single" w:sz="4" w:space="0" w:color="auto"/>
              <w:right w:val="single" w:sz="4" w:space="0" w:color="auto"/>
            </w:tcBorders>
          </w:tcPr>
          <w:p w14:paraId="710FC54A" w14:textId="77777777" w:rsidR="00A77AEA" w:rsidRPr="00E356CE" w:rsidRDefault="003642AC" w:rsidP="00A9191A">
            <w:pPr>
              <w:jc w:val="both"/>
            </w:pPr>
            <w:r w:rsidRPr="00E356CE">
              <w:t>Art. 10 ust. 7</w:t>
            </w:r>
          </w:p>
        </w:tc>
        <w:tc>
          <w:tcPr>
            <w:tcW w:w="4719" w:type="dxa"/>
            <w:tcBorders>
              <w:top w:val="single" w:sz="4" w:space="0" w:color="auto"/>
              <w:left w:val="single" w:sz="4" w:space="0" w:color="auto"/>
              <w:bottom w:val="single" w:sz="4" w:space="0" w:color="auto"/>
              <w:right w:val="single" w:sz="4" w:space="0" w:color="auto"/>
            </w:tcBorders>
          </w:tcPr>
          <w:p w14:paraId="05109EB9" w14:textId="77777777" w:rsidR="00A77AEA" w:rsidRPr="00E356CE" w:rsidRDefault="003642AC" w:rsidP="00A9191A">
            <w:pPr>
              <w:jc w:val="both"/>
              <w:rPr>
                <w:b/>
                <w:bCs/>
              </w:rPr>
            </w:pPr>
            <w:r w:rsidRPr="00E356CE">
              <w:t xml:space="preserve">7. Producenci są zobowiązani umieścić na urządzeniach radiowych, a jeżeli wielkość lub rodzaj urządzeń radiowych to uniemożliwiają - na opakowaniu lub w dokumencie załączonym </w:t>
            </w:r>
            <w:r w:rsidRPr="00E356CE">
              <w:lastRenderedPageBreak/>
              <w:t>do tych urządzeń, swoją nazwę, zarejestrowaną nazwę handlową lub zarejestrowany znak towarowy i swój pocztowy adres kontaktowy. W adresie zostaje wskazany jeden punkt, w którym można skontaktować się z producentem. Dane kontaktowe są podawane w języku łatwo zrozumiałym dla użytkowników końcowych i organów nadzoru rynku.</w:t>
            </w:r>
          </w:p>
        </w:tc>
        <w:tc>
          <w:tcPr>
            <w:tcW w:w="886" w:type="dxa"/>
            <w:tcBorders>
              <w:top w:val="single" w:sz="4" w:space="0" w:color="auto"/>
              <w:left w:val="single" w:sz="4" w:space="0" w:color="auto"/>
              <w:bottom w:val="single" w:sz="4" w:space="0" w:color="auto"/>
              <w:right w:val="single" w:sz="4" w:space="0" w:color="auto"/>
            </w:tcBorders>
          </w:tcPr>
          <w:p w14:paraId="69A5D5FA" w14:textId="77777777" w:rsidR="00A77AEA"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1A0ECF8F" w14:textId="18438DEC" w:rsidR="00A77AEA" w:rsidRPr="00E356CE" w:rsidRDefault="00BA0795" w:rsidP="00A9191A">
            <w:pPr>
              <w:jc w:val="both"/>
            </w:pPr>
            <w:r w:rsidRPr="00E356CE">
              <w:t>Art. 2</w:t>
            </w:r>
            <w:r w:rsidR="003642AC" w:rsidRPr="00E356CE">
              <w:t>7</w:t>
            </w:r>
            <w:r w:rsidRPr="00E356CE">
              <w:t>3</w:t>
            </w:r>
            <w:r w:rsidR="003642AC" w:rsidRPr="00E356CE">
              <w:t xml:space="preserve"> ust. 1 pkt 2, ust. 2</w:t>
            </w:r>
          </w:p>
        </w:tc>
        <w:tc>
          <w:tcPr>
            <w:tcW w:w="7410" w:type="dxa"/>
            <w:gridSpan w:val="2"/>
            <w:tcBorders>
              <w:top w:val="single" w:sz="4" w:space="0" w:color="auto"/>
              <w:left w:val="single" w:sz="4" w:space="0" w:color="auto"/>
              <w:bottom w:val="single" w:sz="4" w:space="0" w:color="auto"/>
              <w:right w:val="single" w:sz="4" w:space="0" w:color="auto"/>
            </w:tcBorders>
          </w:tcPr>
          <w:p w14:paraId="0A181160" w14:textId="77777777" w:rsidR="00BA0795" w:rsidRPr="00E356CE" w:rsidRDefault="00BA0795" w:rsidP="00BA0795">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Art. 273. 1. Producent jest obowiązany umieścić na urządzeniu radiowym lub - w przypadku gdy wielkość lub rodzaj urządzenia to uniemożliwiają - na opakowaniu lub w dokumencie załączonym do urządzenia radiowego:</w:t>
            </w:r>
          </w:p>
          <w:p w14:paraId="585F412D" w14:textId="5989AD9D" w:rsidR="00BA0795" w:rsidRPr="00E356CE" w:rsidRDefault="00BA0795" w:rsidP="00BA0795">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lastRenderedPageBreak/>
              <w:t>(…)</w:t>
            </w:r>
          </w:p>
          <w:p w14:paraId="5954491E" w14:textId="77777777" w:rsidR="00BA0795" w:rsidRPr="00E356CE" w:rsidRDefault="00BA0795" w:rsidP="00BA0795">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swoją nazwę, zarejestrowaną nazwę handlową lub zarejestrowany znak towarowy, o ile taki posiada, oraz pocztowy adres kontaktowy.</w:t>
            </w:r>
          </w:p>
          <w:p w14:paraId="48AED222" w14:textId="1185E1B6" w:rsidR="00A77AEA" w:rsidRPr="00E356CE" w:rsidRDefault="00BA0795" w:rsidP="00BA0795">
            <w:pPr>
              <w:jc w:val="both"/>
            </w:pPr>
            <w:r w:rsidRPr="00E356CE">
              <w:t>2. Pocztowy adres kontaktowy, o którym mowa w ust. 1 pkt 2, podaje się w języku polskim.</w:t>
            </w:r>
          </w:p>
        </w:tc>
      </w:tr>
      <w:tr w:rsidR="00723799" w:rsidRPr="00E356CE" w14:paraId="4291B04B" w14:textId="77777777" w:rsidTr="56856880">
        <w:tc>
          <w:tcPr>
            <w:tcW w:w="795" w:type="dxa"/>
            <w:tcBorders>
              <w:top w:val="single" w:sz="4" w:space="0" w:color="auto"/>
              <w:left w:val="single" w:sz="4" w:space="0" w:color="auto"/>
              <w:bottom w:val="single" w:sz="4" w:space="0" w:color="auto"/>
              <w:right w:val="single" w:sz="4" w:space="0" w:color="auto"/>
            </w:tcBorders>
          </w:tcPr>
          <w:p w14:paraId="68E66B96" w14:textId="77777777" w:rsidR="00A77AEA" w:rsidRPr="00E356CE" w:rsidRDefault="003642AC" w:rsidP="00A9191A">
            <w:pPr>
              <w:jc w:val="both"/>
            </w:pPr>
            <w:r w:rsidRPr="00E356CE">
              <w:lastRenderedPageBreak/>
              <w:t>Art. 10 ust. 8</w:t>
            </w:r>
          </w:p>
        </w:tc>
        <w:tc>
          <w:tcPr>
            <w:tcW w:w="4719" w:type="dxa"/>
            <w:tcBorders>
              <w:top w:val="single" w:sz="4" w:space="0" w:color="auto"/>
              <w:left w:val="single" w:sz="4" w:space="0" w:color="auto"/>
              <w:bottom w:val="single" w:sz="4" w:space="0" w:color="auto"/>
              <w:right w:val="single" w:sz="4" w:space="0" w:color="auto"/>
            </w:tcBorders>
          </w:tcPr>
          <w:p w14:paraId="6ABA411E" w14:textId="77777777" w:rsidR="003642AC" w:rsidRPr="00E356CE" w:rsidRDefault="003642AC" w:rsidP="00A9191A">
            <w:pPr>
              <w:jc w:val="both"/>
            </w:pPr>
            <w:r w:rsidRPr="00E356CE">
              <w:t>8. Producenci zapewniają dołączenie do urządzenia radiowego instrukcji obsługi oraz informacji na temat bezpieczeństwa w języku łatwo zrozumiałym dla konsumentów i innych użytkowników końcowych, określonym przez zainteresowane państwo członkowskie. Instrukcje obejmują informacje wymagane w celu wykorzystywania urządzenia radiowego zgodnie z przeznaczeniem. Informacje takie obejmują, w stosownych przypadkach, opis dodatkowych elementów i komponentów, w tym opis oprogramowania, które umożliwiają funkcjonowanie urządzenia radiowego zgodnie z przeznaczeniem. Takie instrukcje i informacje na temat bezpieczeństwa, jak również wszelkie etykiety, muszą być jasne, zrozumiałe i czytelne.</w:t>
            </w:r>
          </w:p>
          <w:p w14:paraId="0660FDC2" w14:textId="77777777" w:rsidR="003642AC" w:rsidRPr="00E356CE" w:rsidRDefault="003642AC" w:rsidP="00A9191A">
            <w:pPr>
              <w:jc w:val="both"/>
            </w:pPr>
            <w:r w:rsidRPr="00E356CE">
              <w:t>W przypadku urządzeń radiowych celowo emitujących fale radiowe wymagane jest również podanie następujących informacji:</w:t>
            </w:r>
          </w:p>
          <w:p w14:paraId="51F3B77E" w14:textId="77777777" w:rsidR="003642AC" w:rsidRPr="00E356CE" w:rsidRDefault="003642AC" w:rsidP="00A9191A">
            <w:pPr>
              <w:jc w:val="both"/>
            </w:pPr>
            <w:r w:rsidRPr="00E356CE">
              <w:t>a)</w:t>
            </w:r>
            <w:r w:rsidRPr="00E356CE">
              <w:tab/>
              <w:t>zakresu(-ów) częstotliwości, w którym (których) pracuje urządzenie radiowe;</w:t>
            </w:r>
          </w:p>
          <w:p w14:paraId="0DD34993" w14:textId="77777777" w:rsidR="00A77AEA" w:rsidRPr="00E356CE" w:rsidRDefault="003642AC" w:rsidP="00A9191A">
            <w:pPr>
              <w:jc w:val="both"/>
            </w:pPr>
            <w:r w:rsidRPr="00E356CE">
              <w:t>b)</w:t>
            </w:r>
            <w:r w:rsidRPr="00E356CE">
              <w:tab/>
              <w:t xml:space="preserve">maksymalnej mocy częstotliwości radiowej emitowanej w zakresie(-ach) </w:t>
            </w:r>
            <w:r w:rsidRPr="00E356CE">
              <w:lastRenderedPageBreak/>
              <w:t>częstotliwości, w którym (których) pracuje urządzenie radiowe.</w:t>
            </w:r>
          </w:p>
        </w:tc>
        <w:tc>
          <w:tcPr>
            <w:tcW w:w="886" w:type="dxa"/>
            <w:tcBorders>
              <w:top w:val="single" w:sz="4" w:space="0" w:color="auto"/>
              <w:left w:val="single" w:sz="4" w:space="0" w:color="auto"/>
              <w:bottom w:val="single" w:sz="4" w:space="0" w:color="auto"/>
              <w:right w:val="single" w:sz="4" w:space="0" w:color="auto"/>
            </w:tcBorders>
          </w:tcPr>
          <w:p w14:paraId="7DBA35FC" w14:textId="77777777" w:rsidR="00A77AEA"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6BB5FD7B" w14:textId="1C845C9A" w:rsidR="00A77AEA" w:rsidRPr="00E356CE" w:rsidRDefault="00BA0795" w:rsidP="00A9191A">
            <w:pPr>
              <w:jc w:val="both"/>
            </w:pPr>
            <w:r w:rsidRPr="00E356CE">
              <w:t>Art. 2</w:t>
            </w:r>
            <w:r w:rsidR="003642AC" w:rsidRPr="00E356CE">
              <w:t>7</w:t>
            </w:r>
            <w:r w:rsidRPr="00E356CE">
              <w:t>3</w:t>
            </w:r>
            <w:r w:rsidR="003642AC" w:rsidRPr="00E356CE">
              <w:t xml:space="preserve"> ust. 3 pkt 2, ust. 4</w:t>
            </w:r>
          </w:p>
        </w:tc>
        <w:tc>
          <w:tcPr>
            <w:tcW w:w="7410" w:type="dxa"/>
            <w:gridSpan w:val="2"/>
            <w:tcBorders>
              <w:top w:val="single" w:sz="4" w:space="0" w:color="auto"/>
              <w:left w:val="single" w:sz="4" w:space="0" w:color="auto"/>
              <w:bottom w:val="single" w:sz="4" w:space="0" w:color="auto"/>
              <w:right w:val="single" w:sz="4" w:space="0" w:color="auto"/>
            </w:tcBorders>
          </w:tcPr>
          <w:p w14:paraId="3FCA381E" w14:textId="14BC18B6" w:rsidR="003642AC" w:rsidRPr="00E356CE" w:rsidRDefault="00BA0795" w:rsidP="00A9191A">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Art. 2</w:t>
            </w:r>
            <w:r w:rsidR="003642AC" w:rsidRPr="00E356CE">
              <w:rPr>
                <w:rFonts w:ascii="Times New Roman" w:hAnsi="Times New Roman" w:cs="Times New Roman"/>
                <w:szCs w:val="24"/>
              </w:rPr>
              <w:t>7</w:t>
            </w:r>
            <w:r w:rsidRPr="00E356CE">
              <w:rPr>
                <w:rFonts w:ascii="Times New Roman" w:hAnsi="Times New Roman" w:cs="Times New Roman"/>
                <w:szCs w:val="24"/>
              </w:rPr>
              <w:t>3</w:t>
            </w:r>
          </w:p>
          <w:p w14:paraId="2E80F7B7" w14:textId="77777777" w:rsidR="00BA0795" w:rsidRPr="00E356CE" w:rsidRDefault="00BA0795" w:rsidP="00A9191A">
            <w:pPr>
              <w:pStyle w:val="USTustnpkodeksu"/>
              <w:spacing w:line="240" w:lineRule="auto"/>
              <w:ind w:firstLine="0"/>
              <w:rPr>
                <w:rFonts w:ascii="Times New Roman" w:hAnsi="Times New Roman" w:cs="Times New Roman"/>
                <w:szCs w:val="24"/>
              </w:rPr>
            </w:pPr>
          </w:p>
          <w:p w14:paraId="3E0A2617" w14:textId="77777777" w:rsidR="00BA0795" w:rsidRPr="00E356CE" w:rsidRDefault="00BA0795" w:rsidP="00BA079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3. Producent załącza do urządzenia radiowego, podlegającego obowiązkowej ocenie zgodności z wymaganiami, o których mowa w art. 269 ust. 1-3, sporządzone w jasnej, zrozumiałej i czytelnej formie, w języku polskim:</w:t>
            </w:r>
          </w:p>
          <w:p w14:paraId="26641181" w14:textId="263E48DB" w:rsidR="00BA0795" w:rsidRPr="00E356CE" w:rsidRDefault="00BA0795" w:rsidP="00BA079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w:t>
            </w:r>
          </w:p>
          <w:p w14:paraId="680050D6" w14:textId="7A189943" w:rsidR="00BA0795" w:rsidRPr="00E356CE" w:rsidRDefault="00BA0795" w:rsidP="00BA079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instrukcję obsługi oraz informacje na temat bezpieczeństwa.</w:t>
            </w:r>
          </w:p>
          <w:p w14:paraId="3E7DC5C3" w14:textId="51B6E9AA" w:rsidR="00BA0795" w:rsidRPr="00E356CE" w:rsidRDefault="00BA0795" w:rsidP="00BA0795">
            <w:pPr>
              <w:pStyle w:val="USTustnpkodeksu"/>
              <w:spacing w:line="240" w:lineRule="auto"/>
              <w:rPr>
                <w:rFonts w:ascii="Times New Roman" w:hAnsi="Times New Roman" w:cs="Times New Roman"/>
                <w:szCs w:val="24"/>
              </w:rPr>
            </w:pPr>
          </w:p>
          <w:p w14:paraId="6F2A0CD0" w14:textId="77777777" w:rsidR="00BA0795" w:rsidRPr="00E356CE" w:rsidRDefault="00BA0795" w:rsidP="00BA079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4. Instrukcja, o której mowa w ust. 3 pkt 2, obejmuje informacje wymagane w celu wykorzystywania urządzenia radiowego zgodnie z przeznaczeniem. Informacje takie obejmują, w stosownych przypadkach, opis dodatkowych elementów i komponentów, w tym opis oprogramowania, które umożliwiają używanie urządzenia radiowego zgodnie z przeznaczeniem. W przypadku urządzenia radiowego celowo emitującego fale radiowe wymagane jest również podanie następujących informacji:</w:t>
            </w:r>
          </w:p>
          <w:p w14:paraId="3B3A770E" w14:textId="77777777" w:rsidR="00BA0795" w:rsidRPr="00E356CE" w:rsidRDefault="00BA0795" w:rsidP="00BA0795">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zakresu częstotliwości, w którym pracuje urządzenie radiowe;</w:t>
            </w:r>
          </w:p>
          <w:p w14:paraId="7C46C8C9" w14:textId="4CF638B7" w:rsidR="00A77AEA" w:rsidRPr="00E356CE" w:rsidRDefault="00BA0795" w:rsidP="00BA0795">
            <w:pPr>
              <w:jc w:val="both"/>
            </w:pPr>
            <w:r w:rsidRPr="00E356CE">
              <w:t>2)</w:t>
            </w:r>
            <w:r w:rsidRPr="00E356CE">
              <w:tab/>
              <w:t>maksymalnej mocy częstotliwości radiowej emitowanej w zakresie częstotliwości, w którym pracuje urządzenie radiowe.</w:t>
            </w:r>
          </w:p>
        </w:tc>
      </w:tr>
      <w:tr w:rsidR="00723799" w:rsidRPr="00E356CE" w14:paraId="246BEFD5" w14:textId="77777777" w:rsidTr="56856880">
        <w:tc>
          <w:tcPr>
            <w:tcW w:w="795" w:type="dxa"/>
            <w:tcBorders>
              <w:top w:val="single" w:sz="4" w:space="0" w:color="auto"/>
              <w:left w:val="single" w:sz="4" w:space="0" w:color="auto"/>
              <w:bottom w:val="single" w:sz="4" w:space="0" w:color="auto"/>
              <w:right w:val="single" w:sz="4" w:space="0" w:color="auto"/>
            </w:tcBorders>
          </w:tcPr>
          <w:p w14:paraId="6A250F06" w14:textId="77777777" w:rsidR="00A77AEA" w:rsidRPr="00E356CE" w:rsidRDefault="003271EC" w:rsidP="00A9191A">
            <w:pPr>
              <w:jc w:val="both"/>
            </w:pPr>
            <w:r w:rsidRPr="00E356CE">
              <w:lastRenderedPageBreak/>
              <w:t>Art. 10 ust. 9</w:t>
            </w:r>
          </w:p>
        </w:tc>
        <w:tc>
          <w:tcPr>
            <w:tcW w:w="4719" w:type="dxa"/>
            <w:tcBorders>
              <w:top w:val="single" w:sz="4" w:space="0" w:color="auto"/>
              <w:left w:val="single" w:sz="4" w:space="0" w:color="auto"/>
              <w:bottom w:val="single" w:sz="4" w:space="0" w:color="auto"/>
              <w:right w:val="single" w:sz="4" w:space="0" w:color="auto"/>
            </w:tcBorders>
          </w:tcPr>
          <w:p w14:paraId="2ABE5AF5" w14:textId="77777777" w:rsidR="00A77AEA" w:rsidRPr="00E356CE" w:rsidRDefault="003271EC" w:rsidP="00A9191A">
            <w:pPr>
              <w:jc w:val="both"/>
            </w:pPr>
            <w:r w:rsidRPr="00E356CE">
              <w:t>9. Producenci zapewniają, by do każdego urządzenia radiowego dołączona była kopia deklaracji zgodności UE lub uproszczona deklaracja zgodności UE. Jeżeli dostarcza się uproszczoną deklarację zgodności UE, to powinna ona zawierać dokładny adres internetowy, pod którym można uzyskać pełny tekst deklaracji zgodności UE.</w:t>
            </w:r>
          </w:p>
        </w:tc>
        <w:tc>
          <w:tcPr>
            <w:tcW w:w="886" w:type="dxa"/>
            <w:tcBorders>
              <w:top w:val="single" w:sz="4" w:space="0" w:color="auto"/>
              <w:left w:val="single" w:sz="4" w:space="0" w:color="auto"/>
              <w:bottom w:val="single" w:sz="4" w:space="0" w:color="auto"/>
              <w:right w:val="single" w:sz="4" w:space="0" w:color="auto"/>
            </w:tcBorders>
          </w:tcPr>
          <w:p w14:paraId="63B4338E"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32AC487" w14:textId="3A83F57D" w:rsidR="00A77AEA" w:rsidRPr="00E356CE" w:rsidRDefault="00E26B05" w:rsidP="00A9191A">
            <w:pPr>
              <w:jc w:val="both"/>
            </w:pPr>
            <w:r w:rsidRPr="00E356CE">
              <w:t>Art. 2</w:t>
            </w:r>
            <w:r w:rsidR="003271EC" w:rsidRPr="00E356CE">
              <w:t>7</w:t>
            </w:r>
            <w:r w:rsidRPr="00E356CE">
              <w:t>3</w:t>
            </w:r>
            <w:r w:rsidR="003271EC" w:rsidRPr="00E356CE">
              <w:t xml:space="preserve"> ust. 3 pkt 1</w:t>
            </w:r>
          </w:p>
        </w:tc>
        <w:tc>
          <w:tcPr>
            <w:tcW w:w="7410" w:type="dxa"/>
            <w:gridSpan w:val="2"/>
            <w:tcBorders>
              <w:top w:val="single" w:sz="4" w:space="0" w:color="auto"/>
              <w:left w:val="single" w:sz="4" w:space="0" w:color="auto"/>
              <w:bottom w:val="single" w:sz="4" w:space="0" w:color="auto"/>
              <w:right w:val="single" w:sz="4" w:space="0" w:color="auto"/>
            </w:tcBorders>
          </w:tcPr>
          <w:p w14:paraId="5A38BA37" w14:textId="2EEAFFC9" w:rsidR="00E26B05" w:rsidRPr="00E356CE" w:rsidRDefault="00E26B05" w:rsidP="00E26B05">
            <w:pPr>
              <w:pStyle w:val="USTustnpkodeksu"/>
              <w:ind w:firstLine="0"/>
              <w:rPr>
                <w:rFonts w:ascii="Times New Roman" w:hAnsi="Times New Roman" w:cs="Times New Roman"/>
                <w:szCs w:val="24"/>
              </w:rPr>
            </w:pPr>
            <w:r w:rsidRPr="00E356CE">
              <w:rPr>
                <w:rFonts w:ascii="Times New Roman" w:hAnsi="Times New Roman" w:cs="Times New Roman"/>
                <w:szCs w:val="24"/>
              </w:rPr>
              <w:t>Art. 273</w:t>
            </w:r>
          </w:p>
          <w:p w14:paraId="1BC0127E" w14:textId="4D4CA7B9" w:rsidR="00E26B05" w:rsidRPr="00E356CE" w:rsidRDefault="00E26B05" w:rsidP="00E26B05">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3. Producent załącza do urządzenia radiowego, podlegającego obowiązkowej ocenie zgodności z wymaganiami, o których mowa w art. 269 ust. 1-3, sporządzone w jasnej, zrozumiałej i czytelnej formie, w języku polskim:</w:t>
            </w:r>
          </w:p>
          <w:p w14:paraId="4C3829C4" w14:textId="12AEE30A" w:rsidR="003271EC" w:rsidRPr="00E356CE" w:rsidRDefault="00E26B05" w:rsidP="00E26B05">
            <w:pPr>
              <w:jc w:val="both"/>
            </w:pPr>
            <w:r w:rsidRPr="00E356CE">
              <w:t>1)</w:t>
            </w:r>
            <w:r w:rsidRPr="00E356CE">
              <w:tab/>
              <w:t>kopię deklaracji zgodności lub uproszczoną deklarację zgodności zawierającą adres internetowy, pod którym można uzyskać pełny tekst deklaracji zgodności;</w:t>
            </w:r>
          </w:p>
          <w:p w14:paraId="61D3BAB7" w14:textId="77777777" w:rsidR="00E26B05" w:rsidRPr="00E356CE" w:rsidRDefault="00E26B05" w:rsidP="00E26B05">
            <w:pPr>
              <w:jc w:val="both"/>
            </w:pPr>
          </w:p>
          <w:p w14:paraId="09DA1E58" w14:textId="77777777" w:rsidR="00E26B05" w:rsidRPr="00E356CE" w:rsidRDefault="00E26B05" w:rsidP="00E26B05">
            <w:pPr>
              <w:jc w:val="both"/>
            </w:pPr>
          </w:p>
          <w:p w14:paraId="21A72610" w14:textId="77777777" w:rsidR="00A77AEA" w:rsidRPr="00E356CE" w:rsidRDefault="003271EC" w:rsidP="00A9191A">
            <w:pPr>
              <w:jc w:val="both"/>
            </w:pPr>
            <w:r w:rsidRPr="00E356CE">
              <w:t xml:space="preserve">[Treść uproszczonej deklaracji określona jest w </w:t>
            </w:r>
            <w:proofErr w:type="spellStart"/>
            <w:r w:rsidRPr="00E356CE">
              <w:t>rozporz</w:t>
            </w:r>
            <w:proofErr w:type="spellEnd"/>
            <w:r w:rsidRPr="00E356CE">
              <w:t xml:space="preserve">. z art. 12 SOZINR – w </w:t>
            </w:r>
            <w:r w:rsidRPr="00E356CE">
              <w:rPr>
                <w:rStyle w:val="Ppogrubienie"/>
              </w:rPr>
              <w:t>§ 20]</w:t>
            </w:r>
          </w:p>
        </w:tc>
      </w:tr>
      <w:tr w:rsidR="00723799" w:rsidRPr="00E356CE" w14:paraId="06896927" w14:textId="77777777" w:rsidTr="56856880">
        <w:tc>
          <w:tcPr>
            <w:tcW w:w="795" w:type="dxa"/>
            <w:tcBorders>
              <w:top w:val="single" w:sz="4" w:space="0" w:color="auto"/>
              <w:left w:val="single" w:sz="4" w:space="0" w:color="auto"/>
              <w:bottom w:val="single" w:sz="4" w:space="0" w:color="auto"/>
              <w:right w:val="single" w:sz="4" w:space="0" w:color="auto"/>
            </w:tcBorders>
          </w:tcPr>
          <w:p w14:paraId="5BDC84CF" w14:textId="77777777" w:rsidR="00A77AEA" w:rsidRPr="00E356CE" w:rsidRDefault="003271EC" w:rsidP="00A9191A">
            <w:pPr>
              <w:jc w:val="both"/>
            </w:pPr>
            <w:r w:rsidRPr="00E356CE">
              <w:t>Art. 10 ust. 10</w:t>
            </w:r>
          </w:p>
        </w:tc>
        <w:tc>
          <w:tcPr>
            <w:tcW w:w="4719" w:type="dxa"/>
            <w:tcBorders>
              <w:top w:val="single" w:sz="4" w:space="0" w:color="auto"/>
              <w:left w:val="single" w:sz="4" w:space="0" w:color="auto"/>
              <w:bottom w:val="single" w:sz="4" w:space="0" w:color="auto"/>
              <w:right w:val="single" w:sz="4" w:space="0" w:color="auto"/>
            </w:tcBorders>
          </w:tcPr>
          <w:p w14:paraId="35DFEF83" w14:textId="77777777" w:rsidR="00A77AEA" w:rsidRPr="00E356CE" w:rsidRDefault="003271EC" w:rsidP="00A9191A">
            <w:pPr>
              <w:jc w:val="both"/>
            </w:pPr>
            <w:r w:rsidRPr="00E356CE">
              <w:t>10. W przypadku ograniczeń w oddawaniu do użytku lub wymagań dotyczących konieczności uzyskania zezwolenia na używanie urządzenia informacje dostępne na opakowaniu umożliwiają określenie państw członkowskich lub obszaru geograficznego w obrębie danego państwa członkowskiego, w których istnieją ograniczenia w oddawaniu do użytku lub obowiązują wymagania dotyczące konieczności uzyskania zezwolenia na używanie urządzenia. Informacje takie powinny być podane w instrukcjach towarzyszących urządzeniom radiowym. Komisja może przyjąć akty wykonawcze określające sposoby podawania tych informacji. Te akty wykonawcze przyjmuje się zgodnie z procedurą doradczą, o której mowa w art. 45 ust. 2.</w:t>
            </w:r>
          </w:p>
        </w:tc>
        <w:tc>
          <w:tcPr>
            <w:tcW w:w="886" w:type="dxa"/>
            <w:tcBorders>
              <w:top w:val="single" w:sz="4" w:space="0" w:color="auto"/>
              <w:left w:val="single" w:sz="4" w:space="0" w:color="auto"/>
              <w:bottom w:val="single" w:sz="4" w:space="0" w:color="auto"/>
              <w:right w:val="single" w:sz="4" w:space="0" w:color="auto"/>
            </w:tcBorders>
          </w:tcPr>
          <w:p w14:paraId="6AF44729"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385AD02E" w14:textId="3B87A493" w:rsidR="00A77AEA" w:rsidRPr="00E356CE" w:rsidRDefault="00E26B05" w:rsidP="00A9191A">
            <w:pPr>
              <w:jc w:val="both"/>
            </w:pPr>
            <w:r w:rsidRPr="00E356CE">
              <w:t>Art. 270 ust. 2</w:t>
            </w:r>
            <w:r w:rsidR="00EE64C9" w:rsidRPr="00E356CE">
              <w:t xml:space="preserve"> i 5</w:t>
            </w:r>
          </w:p>
        </w:tc>
        <w:tc>
          <w:tcPr>
            <w:tcW w:w="7410" w:type="dxa"/>
            <w:gridSpan w:val="2"/>
            <w:tcBorders>
              <w:top w:val="single" w:sz="4" w:space="0" w:color="auto"/>
              <w:left w:val="single" w:sz="4" w:space="0" w:color="auto"/>
              <w:bottom w:val="single" w:sz="4" w:space="0" w:color="auto"/>
              <w:right w:val="single" w:sz="4" w:space="0" w:color="auto"/>
            </w:tcBorders>
          </w:tcPr>
          <w:p w14:paraId="0EF137ED" w14:textId="2404C522" w:rsidR="00EE64C9" w:rsidRPr="00E356CE" w:rsidRDefault="00E26B05" w:rsidP="00A9191A">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Art. 270</w:t>
            </w:r>
          </w:p>
          <w:p w14:paraId="56FB2FF3" w14:textId="77777777" w:rsidR="00EE64C9" w:rsidRPr="00E356CE" w:rsidRDefault="00EE64C9" w:rsidP="00A9191A">
            <w:pPr>
              <w:pStyle w:val="USTustnpkodeksu"/>
              <w:spacing w:line="240" w:lineRule="auto"/>
              <w:ind w:left="720" w:firstLine="0"/>
              <w:rPr>
                <w:rFonts w:ascii="Times New Roman" w:hAnsi="Times New Roman" w:cs="Times New Roman"/>
                <w:szCs w:val="24"/>
              </w:rPr>
            </w:pPr>
          </w:p>
          <w:p w14:paraId="72924CF2" w14:textId="77777777" w:rsidR="00E26B05" w:rsidRPr="00E356CE" w:rsidRDefault="00E26B05" w:rsidP="00E26B0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2. W przypadku urządzenia klasy 2 informacje dostępne na opakowaniu oraz podane w instrukcji towarzyszącej urządzeniu radiowemu umożliwiają określenie państwa członkowskiego lub obszaru geograficznego w obrębie danego państwa członkowskiego, w których istnieją ograniczenia we wprowadzaniu do obrotu lub oddawaniu do użytku lub obowiązują wymagania dotyczące konieczności uzyskania pozwolenia na używanie urządzenia.</w:t>
            </w:r>
          </w:p>
          <w:p w14:paraId="6708741E" w14:textId="77777777" w:rsidR="00E26B05" w:rsidRPr="00E356CE" w:rsidRDefault="00E26B05" w:rsidP="00E26B05">
            <w:pPr>
              <w:jc w:val="both"/>
            </w:pPr>
          </w:p>
          <w:p w14:paraId="30AA0B8A" w14:textId="4A5B892D" w:rsidR="00A77AEA" w:rsidRPr="00E356CE" w:rsidRDefault="00E26B05" w:rsidP="00E26B05">
            <w:pPr>
              <w:jc w:val="both"/>
            </w:pPr>
            <w:r w:rsidRPr="00E356CE">
              <w:t xml:space="preserve">5. Minister właściwy do spraw informatyzacji może określić, w drodze rozporządzenia, sposób podawania informacji, o których mowa w ust. 2, mając na uwadze wydane przez Komisję Europejską w tym zakresie przepisy, o których mowa w art. 10 ust. 10 dyrektywy Parlamentu Europejskiego i Rady 2014/53/UE z dnia 16 kwietnia 2014 r. w sprawie harmonizacji ustawodawstw państw członkowskich dotyczących udostępniania na rynku urządzeń radiowych i uchylającej dyrektywę </w:t>
            </w:r>
            <w:r w:rsidRPr="00E356CE">
              <w:lastRenderedPageBreak/>
              <w:t>1999/5/WE, oraz uwzględniając konieczność zapewnienia przejrzystości tych informacji.</w:t>
            </w:r>
          </w:p>
        </w:tc>
      </w:tr>
      <w:tr w:rsidR="00723799" w:rsidRPr="00E356CE" w14:paraId="7F003F6F" w14:textId="77777777" w:rsidTr="56856880">
        <w:tc>
          <w:tcPr>
            <w:tcW w:w="795" w:type="dxa"/>
            <w:tcBorders>
              <w:top w:val="single" w:sz="4" w:space="0" w:color="auto"/>
              <w:left w:val="single" w:sz="4" w:space="0" w:color="auto"/>
              <w:bottom w:val="single" w:sz="4" w:space="0" w:color="auto"/>
              <w:right w:val="single" w:sz="4" w:space="0" w:color="auto"/>
            </w:tcBorders>
          </w:tcPr>
          <w:p w14:paraId="6093C399" w14:textId="77777777" w:rsidR="00A77AEA" w:rsidRPr="00E356CE" w:rsidRDefault="006734D9" w:rsidP="00A9191A">
            <w:pPr>
              <w:jc w:val="both"/>
              <w:rPr>
                <w:b/>
              </w:rPr>
            </w:pPr>
            <w:r w:rsidRPr="00E356CE">
              <w:rPr>
                <w:b/>
              </w:rPr>
              <w:lastRenderedPageBreak/>
              <w:t>Art. 12</w:t>
            </w:r>
          </w:p>
        </w:tc>
        <w:tc>
          <w:tcPr>
            <w:tcW w:w="4719" w:type="dxa"/>
            <w:tcBorders>
              <w:top w:val="single" w:sz="4" w:space="0" w:color="auto"/>
              <w:left w:val="single" w:sz="4" w:space="0" w:color="auto"/>
              <w:bottom w:val="single" w:sz="4" w:space="0" w:color="auto"/>
              <w:right w:val="single" w:sz="4" w:space="0" w:color="auto"/>
            </w:tcBorders>
          </w:tcPr>
          <w:p w14:paraId="1FC3BAE5" w14:textId="77777777" w:rsidR="006734D9" w:rsidRPr="00E356CE" w:rsidRDefault="006734D9" w:rsidP="00A9191A">
            <w:r w:rsidRPr="00E356CE">
              <w:rPr>
                <w:b/>
                <w:bCs/>
              </w:rPr>
              <w:t>Obowiązki importerów</w:t>
            </w:r>
          </w:p>
          <w:p w14:paraId="32E5B5C3" w14:textId="77777777" w:rsidR="00A77AEA" w:rsidRPr="00E356CE" w:rsidRDefault="00A77AE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317ADA20"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510EC0C3"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3E05C917" w14:textId="77777777" w:rsidR="00A77AEA" w:rsidRPr="00E356CE" w:rsidRDefault="00A77AEA" w:rsidP="00A9191A">
            <w:pPr>
              <w:jc w:val="both"/>
            </w:pPr>
          </w:p>
        </w:tc>
      </w:tr>
      <w:tr w:rsidR="00723799" w:rsidRPr="00E356CE" w14:paraId="7EB50A56" w14:textId="77777777" w:rsidTr="56856880">
        <w:tc>
          <w:tcPr>
            <w:tcW w:w="795" w:type="dxa"/>
            <w:tcBorders>
              <w:top w:val="single" w:sz="4" w:space="0" w:color="auto"/>
              <w:left w:val="single" w:sz="4" w:space="0" w:color="auto"/>
              <w:bottom w:val="single" w:sz="4" w:space="0" w:color="auto"/>
              <w:right w:val="single" w:sz="4" w:space="0" w:color="auto"/>
            </w:tcBorders>
          </w:tcPr>
          <w:p w14:paraId="478E7B7C" w14:textId="77777777" w:rsidR="00A77AEA" w:rsidRPr="00E356CE" w:rsidRDefault="006734D9" w:rsidP="00A9191A">
            <w:pPr>
              <w:jc w:val="both"/>
            </w:pPr>
            <w:r w:rsidRPr="00E356CE">
              <w:t>Art. 12 ust. 2</w:t>
            </w:r>
          </w:p>
        </w:tc>
        <w:tc>
          <w:tcPr>
            <w:tcW w:w="4719" w:type="dxa"/>
            <w:tcBorders>
              <w:top w:val="single" w:sz="4" w:space="0" w:color="auto"/>
              <w:left w:val="single" w:sz="4" w:space="0" w:color="auto"/>
              <w:bottom w:val="single" w:sz="4" w:space="0" w:color="auto"/>
              <w:right w:val="single" w:sz="4" w:space="0" w:color="auto"/>
            </w:tcBorders>
          </w:tcPr>
          <w:p w14:paraId="40242F1F" w14:textId="77777777" w:rsidR="00A77AEA" w:rsidRPr="00E356CE" w:rsidRDefault="006734D9" w:rsidP="00A9191A">
            <w:pPr>
              <w:jc w:val="both"/>
            </w:pPr>
            <w:r w:rsidRPr="00E356CE">
              <w:t>2. Przed wprowadzeniem urządzenia radiowego do obrotu importerzy gwarantują, że producent przeprowadził odpowiednią procedurę oceny zgodności, o której mowa w art. 17, oraz że urządzenia radiowe są skonstruowane w taki sposób, że można ich używać w co najmniej jednym państwie członkowskim bez naruszania mających zastosowanie wymogów dotyczących wykorzystania widma radiowego. Gwarantują oni, że producent sporządził dokumentację techniczną, że urządzenie radiowe jest opatrzone oznakowaniem CE, że towarzyszą mu informacje i dokumenty, o których mowa w art. 10 ust. 8, 9 i 10, oraz że producent spełnił wymagania określone w art. 10 ust. 6 i 7.</w:t>
            </w:r>
          </w:p>
        </w:tc>
        <w:tc>
          <w:tcPr>
            <w:tcW w:w="886" w:type="dxa"/>
            <w:tcBorders>
              <w:top w:val="single" w:sz="4" w:space="0" w:color="auto"/>
              <w:left w:val="single" w:sz="4" w:space="0" w:color="auto"/>
              <w:bottom w:val="single" w:sz="4" w:space="0" w:color="auto"/>
              <w:right w:val="single" w:sz="4" w:space="0" w:color="auto"/>
            </w:tcBorders>
          </w:tcPr>
          <w:p w14:paraId="47308164"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2AE0BDF5" w14:textId="05FCDEBB" w:rsidR="00A77AEA" w:rsidRPr="00E356CE" w:rsidRDefault="00072060" w:rsidP="00A9191A">
            <w:pPr>
              <w:jc w:val="both"/>
            </w:pPr>
            <w:r w:rsidRPr="00E356CE">
              <w:t>Art. 2</w:t>
            </w:r>
            <w:r w:rsidR="006734D9" w:rsidRPr="00E356CE">
              <w:t>7</w:t>
            </w:r>
            <w:r w:rsidRPr="00E356CE">
              <w:t>3</w:t>
            </w:r>
            <w:r w:rsidR="006734D9" w:rsidRPr="00E356CE">
              <w:t xml:space="preserve"> ust. 6</w:t>
            </w:r>
          </w:p>
        </w:tc>
        <w:tc>
          <w:tcPr>
            <w:tcW w:w="7410" w:type="dxa"/>
            <w:gridSpan w:val="2"/>
            <w:tcBorders>
              <w:top w:val="single" w:sz="4" w:space="0" w:color="auto"/>
              <w:left w:val="single" w:sz="4" w:space="0" w:color="auto"/>
              <w:bottom w:val="single" w:sz="4" w:space="0" w:color="auto"/>
              <w:right w:val="single" w:sz="4" w:space="0" w:color="auto"/>
            </w:tcBorders>
          </w:tcPr>
          <w:p w14:paraId="0AE437AC" w14:textId="4205CE42" w:rsidR="00A77AEA" w:rsidRPr="00E356CE" w:rsidRDefault="00072060" w:rsidP="00A9191A">
            <w:pPr>
              <w:jc w:val="both"/>
            </w:pPr>
            <w:r w:rsidRPr="00E356CE">
              <w:t>Art. 2</w:t>
            </w:r>
            <w:r w:rsidR="006734D9" w:rsidRPr="00E356CE">
              <w:t>7</w:t>
            </w:r>
            <w:r w:rsidRPr="00E356CE">
              <w:t>3</w:t>
            </w:r>
          </w:p>
          <w:p w14:paraId="703888E3" w14:textId="77777777" w:rsidR="006734D9" w:rsidRPr="00E356CE" w:rsidRDefault="006734D9" w:rsidP="00A9191A">
            <w:pPr>
              <w:jc w:val="both"/>
            </w:pPr>
          </w:p>
          <w:p w14:paraId="473606F0" w14:textId="11AAD096" w:rsidR="006734D9" w:rsidRPr="00E356CE" w:rsidRDefault="00072060" w:rsidP="00A9191A">
            <w:pPr>
              <w:jc w:val="both"/>
            </w:pPr>
            <w:r w:rsidRPr="00E356CE">
              <w:rPr>
                <w:bCs/>
              </w:rPr>
              <w:t>6. Przed wprowadzeniem urządzenia radiowego do obrotu lub oddaniem do użytku importer zapewnia, że producent przeprowadził procedurę oceny zgodności oraz, że urządzenie radiowe jest skonstruowane w taki sposób, aby można było go używać w co najmniej jednym państwie członkowskim bez naruszenia mających zastosowanie wymogów dotyczących wykorzystania częstotliwości, a także zapewnia, że do urządzenia radiowego dołączone są dokumenty i informacje, o których mowa w ust. 1-4 oraz w art. 270 ust. 2.</w:t>
            </w:r>
          </w:p>
        </w:tc>
      </w:tr>
      <w:tr w:rsidR="00723799" w:rsidRPr="00E356CE" w14:paraId="3F25B286" w14:textId="77777777" w:rsidTr="56856880">
        <w:tc>
          <w:tcPr>
            <w:tcW w:w="795" w:type="dxa"/>
            <w:tcBorders>
              <w:top w:val="single" w:sz="4" w:space="0" w:color="auto"/>
              <w:left w:val="single" w:sz="4" w:space="0" w:color="auto"/>
              <w:bottom w:val="single" w:sz="4" w:space="0" w:color="auto"/>
              <w:right w:val="single" w:sz="4" w:space="0" w:color="auto"/>
            </w:tcBorders>
          </w:tcPr>
          <w:p w14:paraId="025A8DB1" w14:textId="77777777" w:rsidR="00A77AEA" w:rsidRPr="00E356CE" w:rsidRDefault="004E6EB4" w:rsidP="00A9191A">
            <w:pPr>
              <w:jc w:val="both"/>
            </w:pPr>
            <w:r w:rsidRPr="00E356CE">
              <w:t>Art. 12 ust. 3</w:t>
            </w:r>
          </w:p>
        </w:tc>
        <w:tc>
          <w:tcPr>
            <w:tcW w:w="4719" w:type="dxa"/>
            <w:tcBorders>
              <w:top w:val="single" w:sz="4" w:space="0" w:color="auto"/>
              <w:left w:val="single" w:sz="4" w:space="0" w:color="auto"/>
              <w:bottom w:val="single" w:sz="4" w:space="0" w:color="auto"/>
              <w:right w:val="single" w:sz="4" w:space="0" w:color="auto"/>
            </w:tcBorders>
          </w:tcPr>
          <w:p w14:paraId="66FA69EF" w14:textId="77777777" w:rsidR="00A77AEA" w:rsidRPr="00E356CE" w:rsidRDefault="004E6EB4" w:rsidP="00A9191A">
            <w:pPr>
              <w:jc w:val="both"/>
              <w:rPr>
                <w:b/>
                <w:bCs/>
              </w:rPr>
            </w:pPr>
            <w:r w:rsidRPr="00E356CE">
              <w:t xml:space="preserve">3. Importerzy są zobowiązani umieścić na urządzeniu radiowym, a jeżeli nie jest to możliwe - na opakowaniu lub w dokumencie dołączonym do urządzenia radiowego, swoją nazwę, zarejestrowaną nazwę handlową lub zarejestrowany znak towarowy i swój pocztowy adres kontaktowy. Obejmuje to przypadki, w których czynność tę uniemożliwia wielkość urządzeń radiowych oraz w których importerzy musieliby otworzyć opakowanie, aby podać swoją nazwę i adres kontaktowy na urządzeniu radiowym. Dane kontaktowe są podawane w </w:t>
            </w:r>
            <w:r w:rsidRPr="00E356CE">
              <w:lastRenderedPageBreak/>
              <w:t>języku łatwo zrozumiałym dla użytkowników końcowych i organów nadzoru rynku.</w:t>
            </w:r>
          </w:p>
        </w:tc>
        <w:tc>
          <w:tcPr>
            <w:tcW w:w="886" w:type="dxa"/>
            <w:tcBorders>
              <w:top w:val="single" w:sz="4" w:space="0" w:color="auto"/>
              <w:left w:val="single" w:sz="4" w:space="0" w:color="auto"/>
              <w:bottom w:val="single" w:sz="4" w:space="0" w:color="auto"/>
              <w:right w:val="single" w:sz="4" w:space="0" w:color="auto"/>
            </w:tcBorders>
          </w:tcPr>
          <w:p w14:paraId="2FBEDD3B" w14:textId="77777777" w:rsidR="00A77AEA"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4839DE06" w14:textId="38F62114" w:rsidR="00A77AEA" w:rsidRPr="00E356CE" w:rsidRDefault="00072060" w:rsidP="00A9191A">
            <w:pPr>
              <w:jc w:val="both"/>
            </w:pPr>
            <w:r w:rsidRPr="00E356CE">
              <w:t>Art. 2</w:t>
            </w:r>
            <w:r w:rsidR="004E6EB4" w:rsidRPr="00E356CE">
              <w:t>7</w:t>
            </w:r>
            <w:r w:rsidRPr="00E356CE">
              <w:t>3</w:t>
            </w:r>
            <w:r w:rsidR="004E6EB4" w:rsidRPr="00E356CE">
              <w:t xml:space="preserve"> ust. 7</w:t>
            </w:r>
          </w:p>
        </w:tc>
        <w:tc>
          <w:tcPr>
            <w:tcW w:w="7410" w:type="dxa"/>
            <w:gridSpan w:val="2"/>
            <w:tcBorders>
              <w:top w:val="single" w:sz="4" w:space="0" w:color="auto"/>
              <w:left w:val="single" w:sz="4" w:space="0" w:color="auto"/>
              <w:bottom w:val="single" w:sz="4" w:space="0" w:color="auto"/>
              <w:right w:val="single" w:sz="4" w:space="0" w:color="auto"/>
            </w:tcBorders>
          </w:tcPr>
          <w:p w14:paraId="555FC339" w14:textId="6AF0D9FF" w:rsidR="00072060" w:rsidRPr="00E356CE" w:rsidRDefault="00072060" w:rsidP="00A9191A">
            <w:pPr>
              <w:jc w:val="both"/>
              <w:rPr>
                <w:bCs/>
              </w:rPr>
            </w:pPr>
            <w:r w:rsidRPr="00E356CE">
              <w:rPr>
                <w:bCs/>
              </w:rPr>
              <w:t>Art. 273</w:t>
            </w:r>
          </w:p>
          <w:p w14:paraId="34E7FE5A" w14:textId="77777777" w:rsidR="00072060" w:rsidRPr="00E356CE" w:rsidRDefault="00072060" w:rsidP="00A9191A">
            <w:pPr>
              <w:jc w:val="both"/>
              <w:rPr>
                <w:bCs/>
              </w:rPr>
            </w:pPr>
          </w:p>
          <w:p w14:paraId="0BA7CB0F" w14:textId="55D13C12" w:rsidR="00A77AEA" w:rsidRPr="00E356CE" w:rsidRDefault="00072060" w:rsidP="00A9191A">
            <w:pPr>
              <w:jc w:val="both"/>
            </w:pPr>
            <w:r w:rsidRPr="00E356CE">
              <w:rPr>
                <w:bCs/>
              </w:rPr>
              <w:t>7. Importer ma obowiązek umieścić na urządzeniu radiowym swoją nazwę, zarejestrowaną nazwę handlową lub zarejestrowany znak towarowy, o ile taki posiada, oraz pocztowy adres kontaktowy. Jeżeli nie jest możliwe umieszczenie tych danych na urządzeniu radiowym, w szczególności ze względu na jego wielkość lub konieczność otwarcia opakowania w celu podania danych importera, importer umieszcza je na opakowaniu lub w dołączonym do urządzenia radiowego dokumencie. Dane te powinny być podane w języku polskim.</w:t>
            </w:r>
          </w:p>
        </w:tc>
      </w:tr>
      <w:tr w:rsidR="00723799" w:rsidRPr="00E356CE" w14:paraId="6DF30FF9" w14:textId="77777777" w:rsidTr="56856880">
        <w:tc>
          <w:tcPr>
            <w:tcW w:w="795" w:type="dxa"/>
            <w:tcBorders>
              <w:top w:val="single" w:sz="4" w:space="0" w:color="auto"/>
              <w:left w:val="single" w:sz="4" w:space="0" w:color="auto"/>
              <w:bottom w:val="single" w:sz="4" w:space="0" w:color="auto"/>
              <w:right w:val="single" w:sz="4" w:space="0" w:color="auto"/>
            </w:tcBorders>
          </w:tcPr>
          <w:p w14:paraId="243EA1BD" w14:textId="4315A022" w:rsidR="00A77AEA" w:rsidRPr="00E356CE" w:rsidRDefault="004E6EB4" w:rsidP="00A9191A">
            <w:pPr>
              <w:jc w:val="both"/>
            </w:pPr>
            <w:r w:rsidRPr="00E356CE">
              <w:lastRenderedPageBreak/>
              <w:t>Art. 13</w:t>
            </w:r>
          </w:p>
        </w:tc>
        <w:tc>
          <w:tcPr>
            <w:tcW w:w="4719" w:type="dxa"/>
            <w:tcBorders>
              <w:top w:val="single" w:sz="4" w:space="0" w:color="auto"/>
              <w:left w:val="single" w:sz="4" w:space="0" w:color="auto"/>
              <w:bottom w:val="single" w:sz="4" w:space="0" w:color="auto"/>
              <w:right w:val="single" w:sz="4" w:space="0" w:color="auto"/>
            </w:tcBorders>
          </w:tcPr>
          <w:p w14:paraId="11CF8816" w14:textId="77777777" w:rsidR="004E6EB4" w:rsidRPr="00E356CE" w:rsidRDefault="004E6EB4" w:rsidP="00A9191A">
            <w:r w:rsidRPr="00E356CE">
              <w:rPr>
                <w:b/>
                <w:bCs/>
              </w:rPr>
              <w:t>Obowiązki dystrybutorów</w:t>
            </w:r>
          </w:p>
          <w:p w14:paraId="61A45ED9" w14:textId="77777777" w:rsidR="00A77AEA" w:rsidRPr="00E356CE" w:rsidRDefault="00A77AEA"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79D7A723"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6133D0AA"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1BD8F9C7" w14:textId="77777777" w:rsidR="00A77AEA" w:rsidRPr="00E356CE" w:rsidRDefault="00A77AEA" w:rsidP="00A9191A">
            <w:pPr>
              <w:jc w:val="both"/>
            </w:pPr>
          </w:p>
        </w:tc>
      </w:tr>
      <w:tr w:rsidR="00723799" w:rsidRPr="00E356CE" w14:paraId="0AB47B43" w14:textId="77777777" w:rsidTr="56856880">
        <w:tc>
          <w:tcPr>
            <w:tcW w:w="795" w:type="dxa"/>
            <w:tcBorders>
              <w:top w:val="single" w:sz="4" w:space="0" w:color="auto"/>
              <w:left w:val="single" w:sz="4" w:space="0" w:color="auto"/>
              <w:bottom w:val="single" w:sz="4" w:space="0" w:color="auto"/>
              <w:right w:val="single" w:sz="4" w:space="0" w:color="auto"/>
            </w:tcBorders>
          </w:tcPr>
          <w:p w14:paraId="20B8A4A4" w14:textId="77777777" w:rsidR="00A77AEA" w:rsidRPr="00E356CE" w:rsidRDefault="004E6EB4" w:rsidP="00A9191A">
            <w:pPr>
              <w:jc w:val="both"/>
            </w:pPr>
            <w:r w:rsidRPr="00E356CE">
              <w:t>Art. 13 ust. 2</w:t>
            </w:r>
          </w:p>
        </w:tc>
        <w:tc>
          <w:tcPr>
            <w:tcW w:w="4719" w:type="dxa"/>
            <w:tcBorders>
              <w:top w:val="single" w:sz="4" w:space="0" w:color="auto"/>
              <w:left w:val="single" w:sz="4" w:space="0" w:color="auto"/>
              <w:bottom w:val="single" w:sz="4" w:space="0" w:color="auto"/>
              <w:right w:val="single" w:sz="4" w:space="0" w:color="auto"/>
            </w:tcBorders>
          </w:tcPr>
          <w:p w14:paraId="6690F1AE" w14:textId="77777777" w:rsidR="00A77AEA" w:rsidRPr="00E356CE" w:rsidRDefault="004E6EB4" w:rsidP="00A9191A">
            <w:pPr>
              <w:jc w:val="both"/>
              <w:rPr>
                <w:b/>
                <w:bCs/>
              </w:rPr>
            </w:pPr>
            <w:r w:rsidRPr="00E356CE">
              <w:t>2. Przed udostępnieniem urządzenia radiowego na rynku dystrybutorzy sprawdzają, czy urządzenie radiowe jest opatrzone oznakowaniem CE i czy towarzyszą mu wymagane na mocy niniejszej dyrektywy dokumenty oraz instrukcje i informacje dotyczące bezpieczeństwa w języku zrozumiałym dla konsumentów i innych użytkowników końcowych w państwie członkowskim, w którym urządzenie radiowe ma być udostępnione na rynku, a także czy producent i importer spełnili wymagania określone odpowiednio w art. 10 ust. 2 i 6-10 oraz w art. 12 ust. 3.</w:t>
            </w:r>
          </w:p>
        </w:tc>
        <w:tc>
          <w:tcPr>
            <w:tcW w:w="886" w:type="dxa"/>
            <w:tcBorders>
              <w:top w:val="single" w:sz="4" w:space="0" w:color="auto"/>
              <w:left w:val="single" w:sz="4" w:space="0" w:color="auto"/>
              <w:bottom w:val="single" w:sz="4" w:space="0" w:color="auto"/>
              <w:right w:val="single" w:sz="4" w:space="0" w:color="auto"/>
            </w:tcBorders>
          </w:tcPr>
          <w:p w14:paraId="619492B3" w14:textId="77777777" w:rsidR="00A77AEA"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1BCCCBD9" w14:textId="59FA643E" w:rsidR="00A77AEA" w:rsidRPr="00E356CE" w:rsidRDefault="00072060" w:rsidP="00A9191A">
            <w:pPr>
              <w:jc w:val="both"/>
            </w:pPr>
            <w:r w:rsidRPr="00E356CE">
              <w:t>Art. 2</w:t>
            </w:r>
            <w:r w:rsidR="004E6EB4" w:rsidRPr="00E356CE">
              <w:t>7</w:t>
            </w:r>
            <w:r w:rsidRPr="00E356CE">
              <w:t>3</w:t>
            </w:r>
            <w:r w:rsidR="004E6EB4" w:rsidRPr="00E356CE">
              <w:t xml:space="preserve"> ust. 8</w:t>
            </w:r>
          </w:p>
        </w:tc>
        <w:tc>
          <w:tcPr>
            <w:tcW w:w="7410" w:type="dxa"/>
            <w:gridSpan w:val="2"/>
            <w:tcBorders>
              <w:top w:val="single" w:sz="4" w:space="0" w:color="auto"/>
              <w:left w:val="single" w:sz="4" w:space="0" w:color="auto"/>
              <w:bottom w:val="single" w:sz="4" w:space="0" w:color="auto"/>
              <w:right w:val="single" w:sz="4" w:space="0" w:color="auto"/>
            </w:tcBorders>
          </w:tcPr>
          <w:p w14:paraId="1AB5101D" w14:textId="72345D2D" w:rsidR="00A77AEA" w:rsidRPr="00E356CE" w:rsidRDefault="00072060" w:rsidP="00A9191A">
            <w:pPr>
              <w:jc w:val="both"/>
            </w:pPr>
            <w:r w:rsidRPr="00E356CE">
              <w:t>Art. 2</w:t>
            </w:r>
            <w:r w:rsidR="004E6EB4" w:rsidRPr="00E356CE">
              <w:t>7</w:t>
            </w:r>
            <w:r w:rsidRPr="00E356CE">
              <w:t>3</w:t>
            </w:r>
            <w:r w:rsidR="004E6EB4" w:rsidRPr="00E356CE">
              <w:t xml:space="preserve"> </w:t>
            </w:r>
          </w:p>
          <w:p w14:paraId="282AF7E9" w14:textId="77777777" w:rsidR="004E6EB4" w:rsidRPr="00E356CE" w:rsidRDefault="004E6EB4" w:rsidP="00072060">
            <w:pPr>
              <w:pStyle w:val="USTustnpkodeksu"/>
              <w:spacing w:line="240" w:lineRule="auto"/>
              <w:ind w:firstLine="0"/>
              <w:rPr>
                <w:rFonts w:ascii="Times New Roman" w:hAnsi="Times New Roman" w:cs="Times New Roman"/>
                <w:szCs w:val="24"/>
              </w:rPr>
            </w:pPr>
          </w:p>
          <w:p w14:paraId="0C7BF6B7" w14:textId="1A93F7D9" w:rsidR="00072060" w:rsidRPr="00E356CE" w:rsidRDefault="00072060" w:rsidP="00072060">
            <w:pPr>
              <w:pStyle w:val="USTustnpkodeksu"/>
              <w:spacing w:line="240" w:lineRule="auto"/>
              <w:ind w:firstLine="0"/>
            </w:pPr>
            <w:r w:rsidRPr="00E356CE">
              <w:t>8. Przed udostępnieniem urządzenia radiowego na rynku dystrybutor sprawdza czy producent spełnił wymagania, o których mowa w ust. 1-5 oraz w art. 270 ust. 2, a importer wymagania, o których mowa w ust. 6 i 7.</w:t>
            </w:r>
          </w:p>
        </w:tc>
      </w:tr>
      <w:tr w:rsidR="00723799" w:rsidRPr="00E356CE" w14:paraId="16E8CC59" w14:textId="77777777" w:rsidTr="56856880">
        <w:tc>
          <w:tcPr>
            <w:tcW w:w="795" w:type="dxa"/>
            <w:tcBorders>
              <w:top w:val="single" w:sz="4" w:space="0" w:color="auto"/>
              <w:left w:val="single" w:sz="4" w:space="0" w:color="auto"/>
              <w:bottom w:val="single" w:sz="4" w:space="0" w:color="auto"/>
              <w:right w:val="single" w:sz="4" w:space="0" w:color="auto"/>
            </w:tcBorders>
          </w:tcPr>
          <w:p w14:paraId="48E97655" w14:textId="77777777" w:rsidR="00A77AEA" w:rsidRPr="00E356CE" w:rsidRDefault="00A77AEA"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3F6D6F2C" w14:textId="77777777" w:rsidR="00647362" w:rsidRPr="00E356CE" w:rsidRDefault="00647362" w:rsidP="00A9191A">
            <w:r w:rsidRPr="00E356CE">
              <w:rPr>
                <w:b/>
                <w:bCs/>
              </w:rPr>
              <w:t>Rozdział III</w:t>
            </w:r>
          </w:p>
          <w:p w14:paraId="644ED215" w14:textId="77777777" w:rsidR="00A77AEA" w:rsidRPr="00E356CE" w:rsidRDefault="00647362" w:rsidP="00A9191A">
            <w:pPr>
              <w:jc w:val="both"/>
              <w:rPr>
                <w:b/>
                <w:bCs/>
              </w:rPr>
            </w:pPr>
            <w:r w:rsidRPr="00E356CE">
              <w:rPr>
                <w:b/>
                <w:bCs/>
              </w:rPr>
              <w:t>Zgodność urządzeń radiowych</w:t>
            </w:r>
          </w:p>
        </w:tc>
        <w:tc>
          <w:tcPr>
            <w:tcW w:w="886" w:type="dxa"/>
            <w:tcBorders>
              <w:top w:val="single" w:sz="4" w:space="0" w:color="auto"/>
              <w:left w:val="single" w:sz="4" w:space="0" w:color="auto"/>
              <w:bottom w:val="single" w:sz="4" w:space="0" w:color="auto"/>
              <w:right w:val="single" w:sz="4" w:space="0" w:color="auto"/>
            </w:tcBorders>
          </w:tcPr>
          <w:p w14:paraId="3EDE6D6F" w14:textId="77777777" w:rsidR="00A77AEA" w:rsidRPr="00E356CE" w:rsidRDefault="00A77AEA"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76191430" w14:textId="77777777" w:rsidR="00A77AEA" w:rsidRPr="00E356CE" w:rsidRDefault="00A77AEA"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3B285F9D" w14:textId="77777777" w:rsidR="00A77AEA" w:rsidRPr="00E356CE" w:rsidRDefault="00A77AEA" w:rsidP="00A9191A">
            <w:pPr>
              <w:jc w:val="both"/>
            </w:pPr>
          </w:p>
        </w:tc>
      </w:tr>
      <w:tr w:rsidR="00723799" w:rsidRPr="00E356CE" w14:paraId="1E20E4D8" w14:textId="77777777" w:rsidTr="56856880">
        <w:tc>
          <w:tcPr>
            <w:tcW w:w="795" w:type="dxa"/>
            <w:tcBorders>
              <w:top w:val="single" w:sz="4" w:space="0" w:color="auto"/>
              <w:left w:val="single" w:sz="4" w:space="0" w:color="auto"/>
              <w:bottom w:val="single" w:sz="4" w:space="0" w:color="auto"/>
              <w:right w:val="single" w:sz="4" w:space="0" w:color="auto"/>
            </w:tcBorders>
          </w:tcPr>
          <w:p w14:paraId="7BF442A7" w14:textId="77777777" w:rsidR="00647362" w:rsidRPr="00E356CE" w:rsidRDefault="00647362" w:rsidP="00A9191A">
            <w:pPr>
              <w:jc w:val="both"/>
              <w:rPr>
                <w:b/>
              </w:rPr>
            </w:pPr>
            <w:r w:rsidRPr="00E356CE">
              <w:rPr>
                <w:b/>
              </w:rPr>
              <w:t>Art. 16</w:t>
            </w:r>
          </w:p>
        </w:tc>
        <w:tc>
          <w:tcPr>
            <w:tcW w:w="4719" w:type="dxa"/>
            <w:tcBorders>
              <w:top w:val="single" w:sz="4" w:space="0" w:color="auto"/>
              <w:left w:val="single" w:sz="4" w:space="0" w:color="auto"/>
              <w:bottom w:val="single" w:sz="4" w:space="0" w:color="auto"/>
              <w:right w:val="single" w:sz="4" w:space="0" w:color="auto"/>
            </w:tcBorders>
          </w:tcPr>
          <w:p w14:paraId="64ADF614" w14:textId="77777777" w:rsidR="00647362" w:rsidRPr="00E356CE" w:rsidRDefault="00647362" w:rsidP="00A9191A">
            <w:r w:rsidRPr="00E356CE">
              <w:rPr>
                <w:b/>
                <w:bCs/>
              </w:rPr>
              <w:t>Domniemanie zgodności urządzeń radiowych</w:t>
            </w:r>
          </w:p>
          <w:p w14:paraId="00C64F63" w14:textId="77777777" w:rsidR="00647362" w:rsidRPr="00E356CE" w:rsidRDefault="00647362" w:rsidP="00A9191A">
            <w:pPr>
              <w:jc w:val="both"/>
              <w:rPr>
                <w:b/>
                <w:bCs/>
              </w:rPr>
            </w:pPr>
            <w:r w:rsidRPr="00E356CE">
              <w:t xml:space="preserve">W przypadku urządzeń radiowych zgodnych z normami zharmonizowanymi, do których odniesienia zostały opublikowane w </w:t>
            </w:r>
            <w:r w:rsidRPr="00E356CE">
              <w:rPr>
                <w:i/>
                <w:iCs/>
              </w:rPr>
              <w:t>Dzienniku Urzędowym Unii Europejskiej</w:t>
            </w:r>
            <w:r w:rsidRPr="00E356CE">
              <w:t>, lub z ich częściami, domniemywa się, że spełniają one zasadnicze wymagania określone w art. 3 objęte takimi normami lub ich częściami.</w:t>
            </w:r>
          </w:p>
        </w:tc>
        <w:tc>
          <w:tcPr>
            <w:tcW w:w="886" w:type="dxa"/>
            <w:tcBorders>
              <w:top w:val="single" w:sz="4" w:space="0" w:color="auto"/>
              <w:left w:val="single" w:sz="4" w:space="0" w:color="auto"/>
              <w:bottom w:val="single" w:sz="4" w:space="0" w:color="auto"/>
              <w:right w:val="single" w:sz="4" w:space="0" w:color="auto"/>
            </w:tcBorders>
          </w:tcPr>
          <w:p w14:paraId="52E02E94" w14:textId="77777777" w:rsidR="00647362"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7D67C4A5" w14:textId="5269EB4D" w:rsidR="00647362" w:rsidRPr="00E356CE" w:rsidRDefault="00647362" w:rsidP="003607EF">
            <w:pPr>
              <w:jc w:val="both"/>
            </w:pPr>
            <w:r w:rsidRPr="00E356CE">
              <w:t>Art. 2</w:t>
            </w:r>
            <w:r w:rsidR="003607EF" w:rsidRPr="00E356CE">
              <w:t>69</w:t>
            </w:r>
            <w:r w:rsidRPr="00E356CE">
              <w:t xml:space="preserve"> ust. 8</w:t>
            </w:r>
          </w:p>
        </w:tc>
        <w:tc>
          <w:tcPr>
            <w:tcW w:w="7410" w:type="dxa"/>
            <w:gridSpan w:val="2"/>
            <w:tcBorders>
              <w:top w:val="single" w:sz="4" w:space="0" w:color="auto"/>
              <w:left w:val="single" w:sz="4" w:space="0" w:color="auto"/>
              <w:bottom w:val="single" w:sz="4" w:space="0" w:color="auto"/>
              <w:right w:val="single" w:sz="4" w:space="0" w:color="auto"/>
            </w:tcBorders>
          </w:tcPr>
          <w:p w14:paraId="10EFF44B" w14:textId="39986B51" w:rsidR="00647362" w:rsidRPr="00E356CE" w:rsidRDefault="00647362" w:rsidP="00A9191A">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Art. 2</w:t>
            </w:r>
            <w:r w:rsidR="003607EF" w:rsidRPr="00E356CE">
              <w:rPr>
                <w:rFonts w:ascii="Times New Roman" w:hAnsi="Times New Roman" w:cs="Times New Roman"/>
                <w:szCs w:val="24"/>
              </w:rPr>
              <w:t>69</w:t>
            </w:r>
          </w:p>
          <w:p w14:paraId="7E33A3D4" w14:textId="3D84822C" w:rsidR="00647362" w:rsidRPr="00E356CE" w:rsidRDefault="003607EF" w:rsidP="00A9191A">
            <w:pPr>
              <w:jc w:val="both"/>
            </w:pPr>
            <w:r w:rsidRPr="00E356CE">
              <w:rPr>
                <w:bCs/>
              </w:rPr>
              <w:t>8. Domniemywa się, że urządzenie radiowe jest zgodne z wymaganiami, o których mowa w ust. 1-3, jeżeli jest zgodne z odpowiednimi obejmującymi je postanowieniami norm zharmonizowanych lub ich częściami.</w:t>
            </w:r>
          </w:p>
        </w:tc>
      </w:tr>
      <w:tr w:rsidR="00723799" w:rsidRPr="00E356CE" w14:paraId="21B5D4E3" w14:textId="77777777" w:rsidTr="56856880">
        <w:tc>
          <w:tcPr>
            <w:tcW w:w="795" w:type="dxa"/>
            <w:tcBorders>
              <w:top w:val="single" w:sz="4" w:space="0" w:color="auto"/>
              <w:left w:val="single" w:sz="4" w:space="0" w:color="auto"/>
              <w:bottom w:val="single" w:sz="4" w:space="0" w:color="auto"/>
              <w:right w:val="single" w:sz="4" w:space="0" w:color="auto"/>
            </w:tcBorders>
          </w:tcPr>
          <w:p w14:paraId="6EF7EA70" w14:textId="77777777" w:rsidR="00647362" w:rsidRPr="00E356CE" w:rsidRDefault="00647362" w:rsidP="00A9191A">
            <w:pPr>
              <w:jc w:val="both"/>
              <w:rPr>
                <w:b/>
              </w:rPr>
            </w:pPr>
            <w:r w:rsidRPr="00E356CE">
              <w:rPr>
                <w:b/>
              </w:rPr>
              <w:t>Art. 17</w:t>
            </w:r>
          </w:p>
        </w:tc>
        <w:tc>
          <w:tcPr>
            <w:tcW w:w="4719" w:type="dxa"/>
            <w:tcBorders>
              <w:top w:val="single" w:sz="4" w:space="0" w:color="auto"/>
              <w:left w:val="single" w:sz="4" w:space="0" w:color="auto"/>
              <w:bottom w:val="single" w:sz="4" w:space="0" w:color="auto"/>
              <w:right w:val="single" w:sz="4" w:space="0" w:color="auto"/>
            </w:tcBorders>
          </w:tcPr>
          <w:p w14:paraId="37E9BED4" w14:textId="77777777" w:rsidR="00647362" w:rsidRPr="00E356CE" w:rsidRDefault="00647362" w:rsidP="00A9191A">
            <w:r w:rsidRPr="00E356CE">
              <w:rPr>
                <w:b/>
                <w:bCs/>
              </w:rPr>
              <w:t>Procedury oceny zgodności</w:t>
            </w:r>
          </w:p>
          <w:p w14:paraId="1D4A9379" w14:textId="77777777" w:rsidR="00647362" w:rsidRPr="00E356CE" w:rsidRDefault="00647362"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5108553C" w14:textId="77777777" w:rsidR="00647362" w:rsidRPr="00E356CE" w:rsidRDefault="00647362"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47BAB530" w14:textId="77777777" w:rsidR="00647362" w:rsidRPr="00E356CE" w:rsidRDefault="00647362"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60C5DCD6" w14:textId="77777777" w:rsidR="00647362" w:rsidRPr="00E356CE" w:rsidRDefault="00647362" w:rsidP="00A9191A">
            <w:pPr>
              <w:jc w:val="both"/>
            </w:pPr>
          </w:p>
        </w:tc>
      </w:tr>
      <w:tr w:rsidR="00723799" w:rsidRPr="00E356CE" w14:paraId="31274F51" w14:textId="77777777" w:rsidTr="56856880">
        <w:tc>
          <w:tcPr>
            <w:tcW w:w="795" w:type="dxa"/>
            <w:tcBorders>
              <w:top w:val="single" w:sz="4" w:space="0" w:color="auto"/>
              <w:left w:val="single" w:sz="4" w:space="0" w:color="auto"/>
              <w:bottom w:val="single" w:sz="4" w:space="0" w:color="auto"/>
              <w:right w:val="single" w:sz="4" w:space="0" w:color="auto"/>
            </w:tcBorders>
          </w:tcPr>
          <w:p w14:paraId="57B4C575" w14:textId="77777777" w:rsidR="00647362" w:rsidRPr="00E356CE" w:rsidRDefault="00647362" w:rsidP="00A9191A">
            <w:pPr>
              <w:jc w:val="both"/>
            </w:pPr>
            <w:r w:rsidRPr="00E356CE">
              <w:lastRenderedPageBreak/>
              <w:t>Art. 17 ust. 1</w:t>
            </w:r>
          </w:p>
        </w:tc>
        <w:tc>
          <w:tcPr>
            <w:tcW w:w="4719" w:type="dxa"/>
            <w:tcBorders>
              <w:top w:val="single" w:sz="4" w:space="0" w:color="auto"/>
              <w:left w:val="single" w:sz="4" w:space="0" w:color="auto"/>
              <w:bottom w:val="single" w:sz="4" w:space="0" w:color="auto"/>
              <w:right w:val="single" w:sz="4" w:space="0" w:color="auto"/>
            </w:tcBorders>
          </w:tcPr>
          <w:p w14:paraId="4D07EDCC" w14:textId="77777777" w:rsidR="00647362" w:rsidRPr="00E356CE" w:rsidRDefault="00647362" w:rsidP="00A9191A">
            <w:pPr>
              <w:jc w:val="both"/>
              <w:rPr>
                <w:b/>
                <w:bCs/>
              </w:rPr>
            </w:pPr>
            <w:r w:rsidRPr="00E356CE">
              <w:t>1. Producent dokonuje oceny zgodności urządzenia radiowego w celu spełnienia zasadniczych wymagań określonych w art. 3. Ocena zgodności obejmuje wszystkie przewidywane warunki eksploatacji, a w przypadku zasadniczego wymagania określonego w art. 3 ust. 1 lit. a) - również dające się racjonalnie przewidzieć warunki. Jeżeli urządzenie radiowe może występować w różnych konfiguracjach, ocena zgodności potwierdza, czy urządzenie to spełnia zasadnicze wymagania określone w art. 3 we wszystkich możliwych konfiguracjach.</w:t>
            </w:r>
          </w:p>
        </w:tc>
        <w:tc>
          <w:tcPr>
            <w:tcW w:w="886" w:type="dxa"/>
            <w:tcBorders>
              <w:top w:val="single" w:sz="4" w:space="0" w:color="auto"/>
              <w:left w:val="single" w:sz="4" w:space="0" w:color="auto"/>
              <w:bottom w:val="single" w:sz="4" w:space="0" w:color="auto"/>
              <w:right w:val="single" w:sz="4" w:space="0" w:color="auto"/>
            </w:tcBorders>
          </w:tcPr>
          <w:p w14:paraId="443A9236" w14:textId="77777777" w:rsidR="00647362" w:rsidRPr="00E356CE" w:rsidRDefault="00647362"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1607F910" w14:textId="36500CE7" w:rsidR="00647362" w:rsidRPr="00E356CE" w:rsidRDefault="00647362" w:rsidP="003607EF">
            <w:pPr>
              <w:jc w:val="both"/>
            </w:pPr>
            <w:r w:rsidRPr="00E356CE">
              <w:t>Art. 2</w:t>
            </w:r>
            <w:r w:rsidR="003607EF" w:rsidRPr="00E356CE">
              <w:t>69</w:t>
            </w:r>
            <w:r w:rsidRPr="00E356CE">
              <w:t xml:space="preserve"> ust. 5 i 6</w:t>
            </w:r>
          </w:p>
        </w:tc>
        <w:tc>
          <w:tcPr>
            <w:tcW w:w="7410" w:type="dxa"/>
            <w:gridSpan w:val="2"/>
            <w:tcBorders>
              <w:top w:val="single" w:sz="4" w:space="0" w:color="auto"/>
              <w:left w:val="single" w:sz="4" w:space="0" w:color="auto"/>
              <w:bottom w:val="single" w:sz="4" w:space="0" w:color="auto"/>
              <w:right w:val="single" w:sz="4" w:space="0" w:color="auto"/>
            </w:tcBorders>
          </w:tcPr>
          <w:p w14:paraId="4AEA8D50" w14:textId="03E8BF58" w:rsidR="00647362" w:rsidRPr="00E356CE" w:rsidRDefault="00647362" w:rsidP="00A9191A">
            <w:pPr>
              <w:pStyle w:val="USTustnpkodeksu"/>
              <w:spacing w:line="240" w:lineRule="auto"/>
              <w:ind w:firstLine="0"/>
              <w:rPr>
                <w:rFonts w:ascii="Times New Roman" w:hAnsi="Times New Roman" w:cs="Times New Roman"/>
                <w:szCs w:val="24"/>
              </w:rPr>
            </w:pPr>
            <w:r w:rsidRPr="00E356CE">
              <w:rPr>
                <w:rFonts w:ascii="Times New Roman" w:hAnsi="Times New Roman" w:cs="Times New Roman"/>
                <w:szCs w:val="24"/>
              </w:rPr>
              <w:t xml:space="preserve">Art. </w:t>
            </w:r>
            <w:r w:rsidR="003607EF" w:rsidRPr="00E356CE">
              <w:rPr>
                <w:rFonts w:ascii="Times New Roman" w:hAnsi="Times New Roman" w:cs="Times New Roman"/>
                <w:szCs w:val="24"/>
              </w:rPr>
              <w:t>269</w:t>
            </w:r>
          </w:p>
          <w:p w14:paraId="233C203D" w14:textId="77777777" w:rsidR="00647362" w:rsidRPr="00E356CE" w:rsidRDefault="00647362" w:rsidP="00A9191A">
            <w:pPr>
              <w:pStyle w:val="USTustnpkodeksu"/>
              <w:spacing w:line="240" w:lineRule="auto"/>
              <w:ind w:firstLine="0"/>
              <w:rPr>
                <w:rFonts w:ascii="Times New Roman" w:hAnsi="Times New Roman" w:cs="Times New Roman"/>
                <w:szCs w:val="24"/>
              </w:rPr>
            </w:pPr>
          </w:p>
          <w:p w14:paraId="5F88FC7E" w14:textId="4BF821C3" w:rsidR="003607EF" w:rsidRPr="00E356CE" w:rsidRDefault="003607EF" w:rsidP="003607EF">
            <w:pPr>
              <w:pStyle w:val="USTustnpkodeksu"/>
              <w:ind w:firstLine="0"/>
              <w:rPr>
                <w:rFonts w:ascii="Times New Roman" w:hAnsi="Times New Roman" w:cs="Times New Roman"/>
                <w:szCs w:val="24"/>
              </w:rPr>
            </w:pPr>
            <w:r w:rsidRPr="00E356CE">
              <w:rPr>
                <w:rFonts w:ascii="Times New Roman" w:hAnsi="Times New Roman" w:cs="Times New Roman"/>
                <w:szCs w:val="24"/>
              </w:rPr>
              <w:t>5. Urządzenia radiowe podlegają obowiązkowej ocenie zgodności z wymaganiami, o których mowa w ust. 1-3.</w:t>
            </w:r>
          </w:p>
          <w:p w14:paraId="2009C069" w14:textId="254B631D" w:rsidR="00647362" w:rsidRPr="00E356CE" w:rsidRDefault="003607EF" w:rsidP="003607EF">
            <w:pPr>
              <w:jc w:val="both"/>
            </w:pPr>
            <w:r w:rsidRPr="00E356CE">
              <w:t>6. Producent dokonuje oceny zgodności urządzenia radiowego z wymaganiami, o których mowa w ust. 1-3. Ocena zgodności obejmuje wszystkie przewidywane warunki eksploatacji, a w przypadku wymagań dotyczących zapewnienia ochrony zdrowia i bezpieczeństwa osób i zwierząt domowych oraz ochrony mienia również dające się racjonalnie przewidzieć warunki. Jeżeli urządzenie radiowe może występować w różnych konfiguracjach, ocena zgodności potwierdza, czy urządzenie to spełnia wymagania określone w ust. 1-3 we wszystkich możliwych konfiguracjach.</w:t>
            </w:r>
          </w:p>
        </w:tc>
      </w:tr>
      <w:tr w:rsidR="00723799" w:rsidRPr="00E356CE" w14:paraId="0A173547" w14:textId="77777777" w:rsidTr="56856880">
        <w:tc>
          <w:tcPr>
            <w:tcW w:w="795" w:type="dxa"/>
            <w:tcBorders>
              <w:top w:val="single" w:sz="4" w:space="0" w:color="auto"/>
              <w:left w:val="single" w:sz="4" w:space="0" w:color="auto"/>
              <w:bottom w:val="single" w:sz="4" w:space="0" w:color="auto"/>
              <w:right w:val="single" w:sz="4" w:space="0" w:color="auto"/>
            </w:tcBorders>
          </w:tcPr>
          <w:p w14:paraId="4C1AA1BA" w14:textId="77777777" w:rsidR="00647362" w:rsidRPr="00E356CE" w:rsidRDefault="001D7777" w:rsidP="00A9191A">
            <w:pPr>
              <w:jc w:val="both"/>
              <w:rPr>
                <w:b/>
              </w:rPr>
            </w:pPr>
            <w:r w:rsidRPr="00E356CE">
              <w:rPr>
                <w:b/>
              </w:rPr>
              <w:t>Art. 20</w:t>
            </w:r>
          </w:p>
        </w:tc>
        <w:tc>
          <w:tcPr>
            <w:tcW w:w="4719" w:type="dxa"/>
            <w:tcBorders>
              <w:top w:val="single" w:sz="4" w:space="0" w:color="auto"/>
              <w:left w:val="single" w:sz="4" w:space="0" w:color="auto"/>
              <w:bottom w:val="single" w:sz="4" w:space="0" w:color="auto"/>
              <w:right w:val="single" w:sz="4" w:space="0" w:color="auto"/>
            </w:tcBorders>
          </w:tcPr>
          <w:p w14:paraId="34BB4B77" w14:textId="77777777" w:rsidR="001D7777" w:rsidRPr="00E356CE" w:rsidRDefault="001D7777" w:rsidP="00A9191A">
            <w:pPr>
              <w:jc w:val="both"/>
            </w:pPr>
            <w:r w:rsidRPr="00E356CE">
              <w:rPr>
                <w:b/>
                <w:bCs/>
              </w:rPr>
              <w:t>Reguły i warunki umieszczania oznakowania CE i numeru identyfikacyjnego jednostki notyfikowanej</w:t>
            </w:r>
          </w:p>
          <w:p w14:paraId="104AE77B" w14:textId="77777777" w:rsidR="001D7777" w:rsidRPr="00E356CE" w:rsidRDefault="001D7777" w:rsidP="00A9191A">
            <w:pPr>
              <w:jc w:val="both"/>
            </w:pPr>
            <w:r w:rsidRPr="00E356CE">
              <w:t>1. Oznakowanie CE umieszcza się tak, by było widoczne, czytelne i niemożliwe do usunięcia z urządzenia radiowego lub z jego tabliczki znamionowej, chyba że nie ma takiej możliwości lub jest to nieuzasadnione z uwagi na rodzaj urządzenia radiowego. Oznakowanie CE umieszcza się również w sposób widoczny i czytelny na opakowaniu.</w:t>
            </w:r>
          </w:p>
          <w:p w14:paraId="249F0598" w14:textId="77777777" w:rsidR="001D7777" w:rsidRPr="00E356CE" w:rsidRDefault="001D7777" w:rsidP="00A9191A">
            <w:pPr>
              <w:jc w:val="both"/>
            </w:pPr>
            <w:r w:rsidRPr="00E356CE">
              <w:t>2. Oznakowanie CE umieszcza się przed wprowadzeniem urządzenia radiowego do obrotu.</w:t>
            </w:r>
          </w:p>
          <w:p w14:paraId="03A65CA2" w14:textId="77777777" w:rsidR="001D7777" w:rsidRPr="00E356CE" w:rsidRDefault="001D7777" w:rsidP="00A9191A">
            <w:pPr>
              <w:jc w:val="both"/>
            </w:pPr>
            <w:r w:rsidRPr="00E356CE">
              <w:t>3. Po oznakowaniu CE podaje się numer identyfikacyjny jednostki notyfikowanej, jeżeli stosowana jest procedura oceny zgodności określona w załączniku IV.</w:t>
            </w:r>
          </w:p>
          <w:p w14:paraId="203C601C" w14:textId="77777777" w:rsidR="001D7777" w:rsidRPr="00E356CE" w:rsidRDefault="001D7777" w:rsidP="00A9191A">
            <w:pPr>
              <w:jc w:val="both"/>
            </w:pPr>
            <w:r w:rsidRPr="00E356CE">
              <w:lastRenderedPageBreak/>
              <w:t>Numer identyfikacyjny jednostki notyfikowanej musi mieć taką samą wysokość jak oznakowanie CE.</w:t>
            </w:r>
          </w:p>
          <w:p w14:paraId="473FE0EC" w14:textId="77777777" w:rsidR="001D7777" w:rsidRPr="00E356CE" w:rsidRDefault="001D7777" w:rsidP="00A9191A">
            <w:pPr>
              <w:jc w:val="both"/>
            </w:pPr>
            <w:r w:rsidRPr="00E356CE">
              <w:t>Numer identyfikacyjny jednostki notyfikowanej umieszcza sama jednostka notyfikowana lub producent albo jego upoważniony przedstawiciel, według wskazówek jednostki notyfikowanej.</w:t>
            </w:r>
          </w:p>
          <w:p w14:paraId="78A493E6" w14:textId="77777777" w:rsidR="00647362" w:rsidRPr="00E356CE" w:rsidRDefault="001D7777" w:rsidP="00A9191A">
            <w:pPr>
              <w:jc w:val="both"/>
              <w:rPr>
                <w:b/>
                <w:bCs/>
              </w:rPr>
            </w:pPr>
            <w:r w:rsidRPr="00E356CE">
              <w:t>4. Państwa członkowskie korzystają z istniejących mechanizmów w celu zapewnienia prawidłowego stosowania systemu regulującego oznakowanie CE oraz podejmują odpowiednie działania w przypadku nieprawidłowego stosowania tego oznakowania.</w:t>
            </w:r>
          </w:p>
        </w:tc>
        <w:tc>
          <w:tcPr>
            <w:tcW w:w="886" w:type="dxa"/>
            <w:tcBorders>
              <w:top w:val="single" w:sz="4" w:space="0" w:color="auto"/>
              <w:left w:val="single" w:sz="4" w:space="0" w:color="auto"/>
              <w:bottom w:val="single" w:sz="4" w:space="0" w:color="auto"/>
              <w:right w:val="single" w:sz="4" w:space="0" w:color="auto"/>
            </w:tcBorders>
          </w:tcPr>
          <w:p w14:paraId="5CCADA69" w14:textId="77777777" w:rsidR="00647362"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6D29D1B9" w14:textId="6677DD91" w:rsidR="00647362" w:rsidRPr="00E356CE" w:rsidRDefault="00D24910" w:rsidP="00D24910">
            <w:pPr>
              <w:jc w:val="both"/>
            </w:pPr>
            <w:r w:rsidRPr="00E356CE">
              <w:t>Art. 275</w:t>
            </w:r>
          </w:p>
        </w:tc>
        <w:tc>
          <w:tcPr>
            <w:tcW w:w="7410" w:type="dxa"/>
            <w:gridSpan w:val="2"/>
            <w:tcBorders>
              <w:top w:val="single" w:sz="4" w:space="0" w:color="auto"/>
              <w:left w:val="single" w:sz="4" w:space="0" w:color="auto"/>
              <w:bottom w:val="single" w:sz="4" w:space="0" w:color="auto"/>
              <w:right w:val="single" w:sz="4" w:space="0" w:color="auto"/>
            </w:tcBorders>
          </w:tcPr>
          <w:p w14:paraId="5423DB84" w14:textId="77777777" w:rsidR="00D24910" w:rsidRPr="00E356CE" w:rsidRDefault="00D24910" w:rsidP="00D24910">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Art. 275. 1. Przed wprowadzeniem urządzenia radiowego do obrotu lub oddaniem go do użytku producent, po wystawieniu deklaracji zgodności, umieszcza na urządzeniu oznakowanie CE.</w:t>
            </w:r>
          </w:p>
          <w:p w14:paraId="560FEB2C" w14:textId="77777777" w:rsidR="00D24910" w:rsidRPr="00E356CE" w:rsidRDefault="00D24910" w:rsidP="00D24910">
            <w:pPr>
              <w:pStyle w:val="ARTartustawynprozporzdzenia"/>
              <w:spacing w:line="240" w:lineRule="auto"/>
              <w:rPr>
                <w:rFonts w:ascii="Times New Roman" w:hAnsi="Times New Roman" w:cs="Times New Roman"/>
                <w:szCs w:val="24"/>
              </w:rPr>
            </w:pPr>
          </w:p>
          <w:p w14:paraId="6DAFBDF4" w14:textId="7EA94159" w:rsidR="00647362" w:rsidRPr="00E356CE" w:rsidRDefault="00D24910" w:rsidP="00D24910">
            <w:pPr>
              <w:jc w:val="both"/>
            </w:pPr>
            <w:r w:rsidRPr="00E356CE">
              <w:t>2. Po oznakowaniu CE podaje się numer identyfikacyjny jednostki notyfikowanej, jeżeli stosowana jest procedura oceny zgodności urządzeń radiowych z wymaganiami na podstawie systemu pełnego zapewnienia jakości, o którym mowa w przepisach wykonawczych wydanych na podstawie art. 12 ustawy z dnia 13 kwietnia 2016 r. o systemach oceny zgodności i nadzoru rynku. Numer identyfikacyjny jednostki notyfikowanej musi mieć taką samą wysokość jak oznakowanie CE i umieszczany jest przez jednostkę notyfikowaną lub producenta, według wskazówek jednostki notyfikowanej.</w:t>
            </w:r>
          </w:p>
        </w:tc>
      </w:tr>
      <w:tr w:rsidR="00723799" w:rsidRPr="00E356CE" w14:paraId="047F5E5A" w14:textId="77777777" w:rsidTr="56856880">
        <w:tc>
          <w:tcPr>
            <w:tcW w:w="795" w:type="dxa"/>
            <w:tcBorders>
              <w:top w:val="single" w:sz="4" w:space="0" w:color="auto"/>
              <w:left w:val="single" w:sz="4" w:space="0" w:color="auto"/>
              <w:bottom w:val="single" w:sz="4" w:space="0" w:color="auto"/>
              <w:right w:val="single" w:sz="4" w:space="0" w:color="auto"/>
            </w:tcBorders>
          </w:tcPr>
          <w:p w14:paraId="37638D2E" w14:textId="77777777" w:rsidR="00647362" w:rsidRPr="00E356CE" w:rsidRDefault="001D7777" w:rsidP="00A9191A">
            <w:pPr>
              <w:jc w:val="both"/>
              <w:rPr>
                <w:b/>
              </w:rPr>
            </w:pPr>
            <w:r w:rsidRPr="00E356CE">
              <w:rPr>
                <w:b/>
              </w:rPr>
              <w:lastRenderedPageBreak/>
              <w:t>Art. 21</w:t>
            </w:r>
          </w:p>
        </w:tc>
        <w:tc>
          <w:tcPr>
            <w:tcW w:w="4719" w:type="dxa"/>
            <w:tcBorders>
              <w:top w:val="single" w:sz="4" w:space="0" w:color="auto"/>
              <w:left w:val="single" w:sz="4" w:space="0" w:color="auto"/>
              <w:bottom w:val="single" w:sz="4" w:space="0" w:color="auto"/>
              <w:right w:val="single" w:sz="4" w:space="0" w:color="auto"/>
            </w:tcBorders>
          </w:tcPr>
          <w:p w14:paraId="012BF3E2" w14:textId="77777777" w:rsidR="001D7777" w:rsidRPr="00E356CE" w:rsidRDefault="001D7777" w:rsidP="00A9191A">
            <w:pPr>
              <w:jc w:val="both"/>
              <w:rPr>
                <w:b/>
                <w:bCs/>
              </w:rPr>
            </w:pPr>
            <w:r w:rsidRPr="00E356CE">
              <w:rPr>
                <w:b/>
                <w:bCs/>
              </w:rPr>
              <w:t>Dokumentacja techniczna</w:t>
            </w:r>
          </w:p>
          <w:p w14:paraId="0E37D43C" w14:textId="77777777" w:rsidR="001D7777" w:rsidRPr="00E356CE" w:rsidRDefault="001D7777" w:rsidP="00A9191A">
            <w:pPr>
              <w:jc w:val="both"/>
            </w:pPr>
            <w:r w:rsidRPr="00E356CE">
              <w:t>1. Dokumentacja techniczna zawiera wszystkie istotne dane i informacje dotyczące środków zastosowanych przez producenta, aby zapewnić zgodność urządzenia radiowego z zasadniczymi wymaganiami określonymi w art. 3. Zawiera ona co najmniej elementy wymienione w załączniku V.</w:t>
            </w:r>
          </w:p>
          <w:p w14:paraId="0ED5BEF1" w14:textId="77777777" w:rsidR="001D7777" w:rsidRPr="00E356CE" w:rsidRDefault="001D7777" w:rsidP="00A9191A">
            <w:pPr>
              <w:jc w:val="both"/>
            </w:pPr>
            <w:r w:rsidRPr="00E356CE">
              <w:t>2. Dokumentacja techniczna sporządzana jest przed wprowadzeniem urządzenia radiowego do obrotu i jest systematycznie aktualizowana.</w:t>
            </w:r>
          </w:p>
          <w:p w14:paraId="390AEAEC" w14:textId="77777777" w:rsidR="001D7777" w:rsidRPr="00E356CE" w:rsidRDefault="001D7777" w:rsidP="00A9191A">
            <w:pPr>
              <w:jc w:val="both"/>
            </w:pPr>
            <w:r w:rsidRPr="00E356CE">
              <w:t>3. Dokumentację techniczną i korespondencję odnoszącą się do procedury badania typu UE sporządza się w urzędowym języku państwa członkowskiego, w którym ustanowiona jest jednostka notyfikowana, lub w języku możliwym do przyjęcia przez tę jednostkę.</w:t>
            </w:r>
          </w:p>
          <w:p w14:paraId="72E326E0" w14:textId="77777777" w:rsidR="00647362" w:rsidRPr="00E356CE" w:rsidRDefault="001D7777" w:rsidP="00A9191A">
            <w:pPr>
              <w:jc w:val="both"/>
              <w:rPr>
                <w:b/>
                <w:bCs/>
              </w:rPr>
            </w:pPr>
            <w:r w:rsidRPr="00E356CE">
              <w:lastRenderedPageBreak/>
              <w:t>4. W przypadku gdy dokumentacja techniczna nie jest zgodna z ust. 1, 2 lub 3 niniejszego artykułu, i w związku z tym nie zawiera wystarczającej ilości stosownych danych i informacji dotyczących środków użytych w celu zapewnienia zgodności urządzenia radiowego z zasadniczymi wymaganiami określonymi w art. 3, organ nadzoru rynku może zwrócić się do producenta lub importera o zlecenie przeprowadzenia badania przez organ akceptowalny dla organu nadzoru rynku, na koszt producenta lub importera i w określonym terminie, aby sprawdzić zgodność z zasadniczymi wymaganiami określonymi w art. 3.</w:t>
            </w:r>
          </w:p>
        </w:tc>
        <w:tc>
          <w:tcPr>
            <w:tcW w:w="886" w:type="dxa"/>
            <w:tcBorders>
              <w:top w:val="single" w:sz="4" w:space="0" w:color="auto"/>
              <w:left w:val="single" w:sz="4" w:space="0" w:color="auto"/>
              <w:bottom w:val="single" w:sz="4" w:space="0" w:color="auto"/>
              <w:right w:val="single" w:sz="4" w:space="0" w:color="auto"/>
            </w:tcBorders>
          </w:tcPr>
          <w:p w14:paraId="0F575E4F" w14:textId="77777777" w:rsidR="00647362"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25C9A4CA" w14:textId="2E5C1A4B" w:rsidR="00647362" w:rsidRPr="00E356CE" w:rsidRDefault="001D7777" w:rsidP="00D24910">
            <w:pPr>
              <w:jc w:val="both"/>
            </w:pPr>
            <w:r w:rsidRPr="00E356CE">
              <w:t>Art. 2</w:t>
            </w:r>
            <w:r w:rsidR="00D24910" w:rsidRPr="00E356CE">
              <w:t>76</w:t>
            </w:r>
          </w:p>
        </w:tc>
        <w:tc>
          <w:tcPr>
            <w:tcW w:w="7410" w:type="dxa"/>
            <w:gridSpan w:val="2"/>
            <w:tcBorders>
              <w:top w:val="single" w:sz="4" w:space="0" w:color="auto"/>
              <w:left w:val="single" w:sz="4" w:space="0" w:color="auto"/>
              <w:bottom w:val="single" w:sz="4" w:space="0" w:color="auto"/>
              <w:right w:val="single" w:sz="4" w:space="0" w:color="auto"/>
            </w:tcBorders>
          </w:tcPr>
          <w:p w14:paraId="4682A2ED" w14:textId="77777777" w:rsidR="00D24910" w:rsidRPr="00E356CE" w:rsidRDefault="00D24910" w:rsidP="00D24910">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Art. 276. 1. Dokumentacja techniczna sporządzana jest przed wprowadzeniem urządzenia radiowego do obrotu lub oddaniem do użytku i jest systematycznie aktualizowana.</w:t>
            </w:r>
          </w:p>
          <w:p w14:paraId="3FF6D658" w14:textId="77777777" w:rsidR="00D24910" w:rsidRPr="00E356CE" w:rsidRDefault="00D24910" w:rsidP="00D24910">
            <w:pPr>
              <w:pStyle w:val="ARTartustawynprozporzdzenia"/>
              <w:spacing w:line="240" w:lineRule="auto"/>
              <w:rPr>
                <w:rFonts w:ascii="Times New Roman" w:hAnsi="Times New Roman" w:cs="Times New Roman"/>
                <w:szCs w:val="24"/>
              </w:rPr>
            </w:pPr>
          </w:p>
          <w:p w14:paraId="008835AA" w14:textId="1CB13996" w:rsidR="00647362" w:rsidRPr="00E356CE" w:rsidRDefault="00D24910" w:rsidP="00D24910">
            <w:pPr>
              <w:jc w:val="both"/>
            </w:pPr>
            <w:r w:rsidRPr="00E356CE">
              <w:t>2. W przypadku gdy dokumentacja techniczna nie zawiera wystarczających informacji potwierdzających zgodność urządzenia radiowego z wymaganiami, Prezes UKE może wezwać producenta lub importera do zlecenia przeprowadzenia badania przez jednostkę notyfikowaną upoważnioną do oceny zgodności w odniesieniu do urządzeń radiowych na koszt producenta lub importera oraz do przedstawienia, w określonym terminie, dokumentacji technicznej, która potwierdzi zgodność urządzenia radiowego z wymaganiami, o których mowa w art. 269 ust. 1-5.</w:t>
            </w:r>
          </w:p>
        </w:tc>
      </w:tr>
      <w:tr w:rsidR="00723799" w:rsidRPr="00E356CE" w14:paraId="694C7F0B" w14:textId="77777777" w:rsidTr="56856880">
        <w:tc>
          <w:tcPr>
            <w:tcW w:w="795" w:type="dxa"/>
            <w:tcBorders>
              <w:top w:val="single" w:sz="4" w:space="0" w:color="auto"/>
              <w:left w:val="single" w:sz="4" w:space="0" w:color="auto"/>
              <w:bottom w:val="single" w:sz="4" w:space="0" w:color="auto"/>
              <w:right w:val="single" w:sz="4" w:space="0" w:color="auto"/>
            </w:tcBorders>
          </w:tcPr>
          <w:p w14:paraId="255360E4" w14:textId="7B11C192" w:rsidR="00647362" w:rsidRPr="00E356CE" w:rsidRDefault="00D24910" w:rsidP="00A9191A">
            <w:pPr>
              <w:jc w:val="both"/>
              <w:rPr>
                <w:b/>
              </w:rPr>
            </w:pPr>
            <w:r w:rsidRPr="00E356CE">
              <w:rPr>
                <w:b/>
              </w:rPr>
              <w:lastRenderedPageBreak/>
              <w:t>Rozdział V</w:t>
            </w:r>
          </w:p>
        </w:tc>
        <w:tc>
          <w:tcPr>
            <w:tcW w:w="4719" w:type="dxa"/>
            <w:tcBorders>
              <w:top w:val="single" w:sz="4" w:space="0" w:color="auto"/>
              <w:left w:val="single" w:sz="4" w:space="0" w:color="auto"/>
              <w:bottom w:val="single" w:sz="4" w:space="0" w:color="auto"/>
              <w:right w:val="single" w:sz="4" w:space="0" w:color="auto"/>
            </w:tcBorders>
          </w:tcPr>
          <w:p w14:paraId="0AB8C0AA" w14:textId="77777777" w:rsidR="00981027" w:rsidRPr="00E356CE" w:rsidRDefault="00981027" w:rsidP="00A9191A">
            <w:pPr>
              <w:jc w:val="both"/>
              <w:rPr>
                <w:b/>
              </w:rPr>
            </w:pPr>
            <w:r w:rsidRPr="00E356CE">
              <w:rPr>
                <w:b/>
              </w:rPr>
              <w:t>Rozdział V</w:t>
            </w:r>
          </w:p>
          <w:p w14:paraId="6CC3E5ED" w14:textId="77777777" w:rsidR="00647362" w:rsidRPr="00E356CE" w:rsidRDefault="00981027" w:rsidP="00A9191A">
            <w:pPr>
              <w:spacing w:after="120"/>
              <w:jc w:val="both"/>
              <w:rPr>
                <w:rFonts w:eastAsiaTheme="minorEastAsia"/>
                <w:b/>
                <w:bCs/>
              </w:rPr>
            </w:pPr>
            <w:r w:rsidRPr="00E356CE">
              <w:rPr>
                <w:b/>
              </w:rPr>
              <w:t>Nadzór rynku unijnego i kontrola urządzeń radiowych wprowadzanych na rynek unijny oraz unijna procedura ochronna</w:t>
            </w:r>
          </w:p>
        </w:tc>
        <w:tc>
          <w:tcPr>
            <w:tcW w:w="886" w:type="dxa"/>
            <w:tcBorders>
              <w:top w:val="single" w:sz="4" w:space="0" w:color="auto"/>
              <w:left w:val="single" w:sz="4" w:space="0" w:color="auto"/>
              <w:bottom w:val="single" w:sz="4" w:space="0" w:color="auto"/>
              <w:right w:val="single" w:sz="4" w:space="0" w:color="auto"/>
            </w:tcBorders>
          </w:tcPr>
          <w:p w14:paraId="3258A514" w14:textId="77777777" w:rsidR="00647362"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0DC1C8C2" w14:textId="6BD9E239" w:rsidR="00647362" w:rsidRPr="00E356CE" w:rsidRDefault="00981027" w:rsidP="00D24910">
            <w:pPr>
              <w:jc w:val="both"/>
            </w:pPr>
            <w:r w:rsidRPr="00E356CE">
              <w:t>Art. 2</w:t>
            </w:r>
            <w:r w:rsidR="00D24910" w:rsidRPr="00E356CE">
              <w:t>71</w:t>
            </w:r>
            <w:r w:rsidRPr="00E356CE">
              <w:t xml:space="preserve">, art. </w:t>
            </w:r>
            <w:r w:rsidR="00D24910" w:rsidRPr="00E356CE">
              <w:t>416</w:t>
            </w:r>
            <w:r w:rsidRPr="00E356CE">
              <w:t xml:space="preserve">, art. </w:t>
            </w:r>
            <w:r w:rsidR="00D24910" w:rsidRPr="00E356CE">
              <w:t>417</w:t>
            </w:r>
            <w:r w:rsidRPr="00E356CE">
              <w:t xml:space="preserve"> ust. 3</w:t>
            </w:r>
          </w:p>
        </w:tc>
        <w:tc>
          <w:tcPr>
            <w:tcW w:w="7410" w:type="dxa"/>
            <w:gridSpan w:val="2"/>
            <w:tcBorders>
              <w:top w:val="single" w:sz="4" w:space="0" w:color="auto"/>
              <w:left w:val="single" w:sz="4" w:space="0" w:color="auto"/>
              <w:bottom w:val="single" w:sz="4" w:space="0" w:color="auto"/>
              <w:right w:val="single" w:sz="4" w:space="0" w:color="auto"/>
            </w:tcBorders>
          </w:tcPr>
          <w:p w14:paraId="6FD885BB" w14:textId="77777777" w:rsidR="00D24910" w:rsidRPr="00E356CE" w:rsidRDefault="00D24910" w:rsidP="00D24910">
            <w:pPr>
              <w:pStyle w:val="ARTartustawynprozporzdzenia"/>
              <w:spacing w:line="240" w:lineRule="auto"/>
              <w:ind w:firstLine="0"/>
              <w:rPr>
                <w:rFonts w:ascii="Times New Roman" w:hAnsi="Times New Roman" w:cs="Times New Roman"/>
                <w:szCs w:val="24"/>
              </w:rPr>
            </w:pPr>
            <w:r w:rsidRPr="00E356CE">
              <w:rPr>
                <w:rFonts w:ascii="Times New Roman" w:hAnsi="Times New Roman" w:cs="Times New Roman"/>
                <w:b/>
                <w:szCs w:val="24"/>
              </w:rPr>
              <w:t>Art. 271.</w:t>
            </w:r>
            <w:r w:rsidRPr="00E356CE">
              <w:rPr>
                <w:rFonts w:ascii="Times New Roman" w:hAnsi="Times New Roman" w:cs="Times New Roman"/>
                <w:szCs w:val="24"/>
              </w:rPr>
              <w:t xml:space="preserve"> 1. Podmiot wprowadzający do obrotu lub oddający do użytku urządzenie radiowe jest obowiązany udzielić Prezesowi UKE, na każde jego żądanie, wyjaśnień dotyczących tego urządzenia, jego przeznaczenia oraz właściwości technicznych i eksploatacyjnych, a także wskazać zakres jego zastosowania.</w:t>
            </w:r>
          </w:p>
          <w:p w14:paraId="1DBEA27B" w14:textId="25C6C8F9" w:rsidR="00981027" w:rsidRPr="00E356CE" w:rsidRDefault="00D24910" w:rsidP="00D24910">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2. Przepisu ust. 1 nie stosuje się do urządzeń radiowych przekazywanych do używania przez użytkowników rządowych.</w:t>
            </w:r>
          </w:p>
          <w:p w14:paraId="0FB17449" w14:textId="77777777" w:rsidR="00D24910" w:rsidRPr="00E356CE" w:rsidRDefault="00D24910" w:rsidP="00D24910">
            <w:pPr>
              <w:pStyle w:val="USTustnpkodeksu"/>
              <w:spacing w:line="240" w:lineRule="auto"/>
              <w:rPr>
                <w:rFonts w:ascii="Times New Roman" w:hAnsi="Times New Roman" w:cs="Times New Roman"/>
                <w:szCs w:val="24"/>
              </w:rPr>
            </w:pPr>
          </w:p>
          <w:p w14:paraId="4BDC96D8" w14:textId="77777777" w:rsidR="00D24910" w:rsidRPr="00E356CE" w:rsidRDefault="00D24910" w:rsidP="00D24910">
            <w:pPr>
              <w:pStyle w:val="ARTartustawynprozporzdzenia"/>
              <w:spacing w:line="240" w:lineRule="auto"/>
              <w:ind w:firstLine="0"/>
              <w:rPr>
                <w:rFonts w:ascii="Times New Roman" w:hAnsi="Times New Roman" w:cs="Times New Roman"/>
                <w:szCs w:val="24"/>
              </w:rPr>
            </w:pPr>
            <w:r w:rsidRPr="00E356CE">
              <w:rPr>
                <w:rFonts w:ascii="Times New Roman" w:hAnsi="Times New Roman" w:cs="Times New Roman"/>
                <w:b/>
                <w:szCs w:val="24"/>
              </w:rPr>
              <w:t xml:space="preserve">Art. 416. </w:t>
            </w:r>
            <w:r w:rsidRPr="00E356CE">
              <w:rPr>
                <w:rFonts w:ascii="Times New Roman" w:hAnsi="Times New Roman" w:cs="Times New Roman"/>
                <w:szCs w:val="24"/>
              </w:rPr>
              <w:t>1. Prezes UKE jest uprawniony do weryfikacji przestrzegania przepisów, decyzji oraz postanowień z zakresu komunikacji elektronicznej lub spełniania wymagań dotyczących kompatybilności elektromagnetycznej.</w:t>
            </w:r>
          </w:p>
          <w:p w14:paraId="7977DEE6" w14:textId="77777777" w:rsidR="00D24910" w:rsidRPr="00E356CE" w:rsidRDefault="00D24910" w:rsidP="00D24910">
            <w:pPr>
              <w:pStyle w:val="USTustnpkodeksu"/>
              <w:spacing w:line="240" w:lineRule="auto"/>
              <w:ind w:firstLine="0"/>
              <w:rPr>
                <w:rFonts w:ascii="Times New Roman" w:hAnsi="Times New Roman" w:cs="Times New Roman"/>
                <w:szCs w:val="24"/>
              </w:rPr>
            </w:pPr>
          </w:p>
          <w:p w14:paraId="5487321A" w14:textId="364D3AF9" w:rsidR="00981027" w:rsidRPr="00E356CE" w:rsidRDefault="00D24910" w:rsidP="00D24910">
            <w:pPr>
              <w:pStyle w:val="USTustnpkodeksu"/>
              <w:spacing w:line="240" w:lineRule="auto"/>
              <w:ind w:firstLine="0"/>
              <w:rPr>
                <w:rFonts w:ascii="Times New Roman" w:hAnsi="Times New Roman" w:cs="Times New Roman"/>
                <w:szCs w:val="24"/>
              </w:rPr>
            </w:pPr>
            <w:r w:rsidRPr="00E356CE">
              <w:rPr>
                <w:rFonts w:ascii="Times New Roman" w:hAnsi="Times New Roman" w:cs="Times New Roman"/>
                <w:b/>
                <w:szCs w:val="24"/>
              </w:rPr>
              <w:t>Art. 417</w:t>
            </w:r>
            <w:r w:rsidRPr="00E356CE">
              <w:rPr>
                <w:rFonts w:ascii="Times New Roman" w:hAnsi="Times New Roman" w:cs="Times New Roman"/>
                <w:szCs w:val="24"/>
              </w:rPr>
              <w:t xml:space="preserve"> ust. 3</w:t>
            </w:r>
          </w:p>
          <w:p w14:paraId="4BDC2CB6" w14:textId="77777777" w:rsidR="00D24910" w:rsidRPr="00E356CE" w:rsidRDefault="00D24910" w:rsidP="00D24910">
            <w:pPr>
              <w:pStyle w:val="USTustnpkodeksu"/>
              <w:spacing w:line="240" w:lineRule="auto"/>
              <w:ind w:firstLine="0"/>
              <w:rPr>
                <w:rFonts w:ascii="Times New Roman" w:hAnsi="Times New Roman" w:cs="Times New Roman"/>
                <w:szCs w:val="24"/>
              </w:rPr>
            </w:pPr>
          </w:p>
          <w:p w14:paraId="6199EE01" w14:textId="334B65F1" w:rsidR="00647362" w:rsidRPr="00E356CE" w:rsidRDefault="00981027" w:rsidP="00D24910">
            <w:pPr>
              <w:jc w:val="both"/>
            </w:pPr>
            <w:r w:rsidRPr="00E356CE">
              <w:lastRenderedPageBreak/>
              <w:t>3</w:t>
            </w:r>
            <w:r w:rsidR="00D24910" w:rsidRPr="00E356CE">
              <w:t>. Prezes UKE jest uprawniony do kontroli znajdującej się w obrocie lub oddanej do użytku aparatury w zakresie spełniania wymagań określonych w dyrektywie Parlamentu Europejskiego i Rady 2014/30/UE z dnia 26 lutego 2014 r. w sprawie harmonizacji ustawodawstw państw członkowskich odnoszących się do kompatybilności elektromagnetycznej (Dz. Urz. UE L 96 z 29.03.2014, str. 79) i urządzeń radiowych w zakresie spełniania wymagań określonych w dyrektywie Parlamentu Europejskiego i Rady 2014/53/UE z dnia 16 kwietnia 2014 r. w sprawie harmonizacji ustawodawstw państw członkowskich dotyczących udostępniania na rynku urządzeń radiowych i uchylającą dyrektywę 1999/5/WE (Dz. Urz. UE L 153 z 22.05.2014, str. 62).</w:t>
            </w:r>
          </w:p>
        </w:tc>
      </w:tr>
      <w:tr w:rsidR="00723799" w:rsidRPr="00E356CE" w14:paraId="26F4B94D" w14:textId="77777777" w:rsidTr="56856880">
        <w:tc>
          <w:tcPr>
            <w:tcW w:w="795" w:type="dxa"/>
            <w:tcBorders>
              <w:top w:val="single" w:sz="4" w:space="0" w:color="auto"/>
              <w:left w:val="single" w:sz="4" w:space="0" w:color="auto"/>
              <w:bottom w:val="single" w:sz="4" w:space="0" w:color="auto"/>
              <w:right w:val="single" w:sz="4" w:space="0" w:color="auto"/>
            </w:tcBorders>
          </w:tcPr>
          <w:p w14:paraId="36B2AB4E" w14:textId="58AC1C2E" w:rsidR="00647362" w:rsidRPr="00E356CE" w:rsidRDefault="00647362" w:rsidP="00A9191A">
            <w:pPr>
              <w:jc w:val="both"/>
              <w:rPr>
                <w:b/>
              </w:rPr>
            </w:pPr>
          </w:p>
        </w:tc>
        <w:tc>
          <w:tcPr>
            <w:tcW w:w="4719" w:type="dxa"/>
            <w:tcBorders>
              <w:top w:val="single" w:sz="4" w:space="0" w:color="auto"/>
              <w:left w:val="single" w:sz="4" w:space="0" w:color="auto"/>
              <w:bottom w:val="single" w:sz="4" w:space="0" w:color="auto"/>
              <w:right w:val="single" w:sz="4" w:space="0" w:color="auto"/>
            </w:tcBorders>
          </w:tcPr>
          <w:p w14:paraId="7F628ECC" w14:textId="77777777" w:rsidR="00981027" w:rsidRPr="00E356CE" w:rsidRDefault="00981027" w:rsidP="00A9191A">
            <w:r w:rsidRPr="00E356CE">
              <w:rPr>
                <w:b/>
                <w:bCs/>
              </w:rPr>
              <w:t>Rozdział VII</w:t>
            </w:r>
          </w:p>
          <w:p w14:paraId="030D228C" w14:textId="77777777" w:rsidR="00647362" w:rsidRPr="00E356CE" w:rsidRDefault="00981027" w:rsidP="00A9191A">
            <w:pPr>
              <w:jc w:val="both"/>
              <w:rPr>
                <w:b/>
                <w:bCs/>
              </w:rPr>
            </w:pPr>
            <w:r w:rsidRPr="00E356CE">
              <w:rPr>
                <w:b/>
                <w:bCs/>
              </w:rPr>
              <w:t>Przepisy końcowe i przejściowe</w:t>
            </w:r>
          </w:p>
        </w:tc>
        <w:tc>
          <w:tcPr>
            <w:tcW w:w="886" w:type="dxa"/>
            <w:tcBorders>
              <w:top w:val="single" w:sz="4" w:space="0" w:color="auto"/>
              <w:left w:val="single" w:sz="4" w:space="0" w:color="auto"/>
              <w:bottom w:val="single" w:sz="4" w:space="0" w:color="auto"/>
              <w:right w:val="single" w:sz="4" w:space="0" w:color="auto"/>
            </w:tcBorders>
          </w:tcPr>
          <w:p w14:paraId="29F300D8" w14:textId="77777777" w:rsidR="00647362" w:rsidRPr="00E356CE" w:rsidRDefault="00647362"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6A7429D9" w14:textId="77777777" w:rsidR="00647362" w:rsidRPr="00E356CE" w:rsidRDefault="00647362"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05765056" w14:textId="77777777" w:rsidR="00647362" w:rsidRPr="00E356CE" w:rsidRDefault="00647362" w:rsidP="00A9191A">
            <w:pPr>
              <w:jc w:val="both"/>
            </w:pPr>
          </w:p>
        </w:tc>
      </w:tr>
      <w:tr w:rsidR="00723799" w:rsidRPr="00E356CE" w14:paraId="422965EC" w14:textId="77777777" w:rsidTr="56856880">
        <w:tc>
          <w:tcPr>
            <w:tcW w:w="795" w:type="dxa"/>
            <w:tcBorders>
              <w:top w:val="single" w:sz="4" w:space="0" w:color="auto"/>
              <w:left w:val="single" w:sz="4" w:space="0" w:color="auto"/>
              <w:bottom w:val="single" w:sz="4" w:space="0" w:color="auto"/>
              <w:right w:val="single" w:sz="4" w:space="0" w:color="auto"/>
            </w:tcBorders>
          </w:tcPr>
          <w:p w14:paraId="15759272" w14:textId="77777777" w:rsidR="00647362" w:rsidRPr="00E356CE" w:rsidRDefault="00981027" w:rsidP="00A9191A">
            <w:pPr>
              <w:jc w:val="both"/>
              <w:rPr>
                <w:b/>
              </w:rPr>
            </w:pPr>
            <w:r w:rsidRPr="00E356CE">
              <w:rPr>
                <w:b/>
              </w:rPr>
              <w:t>Art. 46</w:t>
            </w:r>
          </w:p>
        </w:tc>
        <w:tc>
          <w:tcPr>
            <w:tcW w:w="4719" w:type="dxa"/>
            <w:tcBorders>
              <w:top w:val="single" w:sz="4" w:space="0" w:color="auto"/>
              <w:left w:val="single" w:sz="4" w:space="0" w:color="auto"/>
              <w:bottom w:val="single" w:sz="4" w:space="0" w:color="auto"/>
              <w:right w:val="single" w:sz="4" w:space="0" w:color="auto"/>
            </w:tcBorders>
          </w:tcPr>
          <w:p w14:paraId="5A7FE03A" w14:textId="77777777" w:rsidR="00981027" w:rsidRPr="00E356CE" w:rsidRDefault="00981027" w:rsidP="00A9191A">
            <w:pPr>
              <w:jc w:val="both"/>
              <w:rPr>
                <w:b/>
                <w:bCs/>
              </w:rPr>
            </w:pPr>
            <w:r w:rsidRPr="00E356CE">
              <w:rPr>
                <w:b/>
                <w:bCs/>
              </w:rPr>
              <w:t>Sankcje</w:t>
            </w:r>
          </w:p>
          <w:p w14:paraId="76C9EF7A" w14:textId="77777777" w:rsidR="00981027" w:rsidRPr="00E356CE" w:rsidRDefault="00981027" w:rsidP="00A9191A">
            <w:pPr>
              <w:jc w:val="both"/>
              <w:rPr>
                <w:bCs/>
              </w:rPr>
            </w:pPr>
            <w:r w:rsidRPr="00E356CE">
              <w:rPr>
                <w:bCs/>
              </w:rPr>
              <w:t>Państwa członkowskie ustanawiają przepisy o sankcjach mających zastosowanie w przypadku naruszenia przez podmioty gospodarcze przepisów prawa krajowego przyjętych na podstawie niniejszej dyrektywy i stosują wszelkie niezbędne środki, aby zapewnić ich wykonanie. Przepisy te mogą przewidywać sankcje karne za poważne naruszenia.</w:t>
            </w:r>
          </w:p>
          <w:p w14:paraId="3BF5166E" w14:textId="77777777" w:rsidR="00981027" w:rsidRPr="00E356CE" w:rsidRDefault="00981027" w:rsidP="00A9191A">
            <w:pPr>
              <w:jc w:val="both"/>
              <w:rPr>
                <w:bCs/>
              </w:rPr>
            </w:pPr>
            <w:r w:rsidRPr="00E356CE">
              <w:rPr>
                <w:bCs/>
              </w:rPr>
              <w:t>Przewidziane sankcje są skuteczne, proporcjonalne i odstraszające.</w:t>
            </w:r>
          </w:p>
          <w:p w14:paraId="446A3E38" w14:textId="77777777" w:rsidR="00647362" w:rsidRPr="00E356CE" w:rsidRDefault="00647362" w:rsidP="00A9191A">
            <w:pPr>
              <w:jc w:val="both"/>
              <w:rPr>
                <w:b/>
                <w:bCs/>
              </w:rPr>
            </w:pPr>
          </w:p>
        </w:tc>
        <w:tc>
          <w:tcPr>
            <w:tcW w:w="886" w:type="dxa"/>
            <w:tcBorders>
              <w:top w:val="single" w:sz="4" w:space="0" w:color="auto"/>
              <w:left w:val="single" w:sz="4" w:space="0" w:color="auto"/>
              <w:bottom w:val="single" w:sz="4" w:space="0" w:color="auto"/>
              <w:right w:val="single" w:sz="4" w:space="0" w:color="auto"/>
            </w:tcBorders>
          </w:tcPr>
          <w:p w14:paraId="3AE1D664" w14:textId="77777777" w:rsidR="00647362" w:rsidRPr="00E356CE" w:rsidRDefault="003C4E86" w:rsidP="00A9191A">
            <w:pPr>
              <w:jc w:val="both"/>
              <w:rPr>
                <w:b/>
              </w:rPr>
            </w:pPr>
            <w:r w:rsidRPr="00E356CE">
              <w:rPr>
                <w:b/>
              </w:rPr>
              <w:t>T</w:t>
            </w:r>
          </w:p>
        </w:tc>
        <w:tc>
          <w:tcPr>
            <w:tcW w:w="900" w:type="dxa"/>
            <w:gridSpan w:val="3"/>
            <w:tcBorders>
              <w:top w:val="single" w:sz="4" w:space="0" w:color="auto"/>
              <w:left w:val="single" w:sz="4" w:space="0" w:color="auto"/>
              <w:bottom w:val="single" w:sz="4" w:space="0" w:color="auto"/>
              <w:right w:val="single" w:sz="4" w:space="0" w:color="auto"/>
            </w:tcBorders>
          </w:tcPr>
          <w:p w14:paraId="04EA9153" w14:textId="1C89D1FE" w:rsidR="00981027" w:rsidRPr="00E356CE" w:rsidRDefault="006532C5" w:rsidP="00A9191A">
            <w:pPr>
              <w:jc w:val="both"/>
            </w:pPr>
            <w:r w:rsidRPr="00E356CE">
              <w:t>Art. 441</w:t>
            </w:r>
            <w:r w:rsidR="00981027" w:rsidRPr="00E356CE">
              <w:t xml:space="preserve"> ust. 1 pkt 3</w:t>
            </w:r>
            <w:r w:rsidR="004A4C5A" w:rsidRPr="00E356CE">
              <w:t>7</w:t>
            </w:r>
            <w:r w:rsidR="00981027" w:rsidRPr="00E356CE">
              <w:t xml:space="preserve">, pkt </w:t>
            </w:r>
            <w:r w:rsidR="004A4C5A" w:rsidRPr="00E356CE">
              <w:t>98</w:t>
            </w:r>
            <w:r w:rsidR="00981027" w:rsidRPr="00E356CE">
              <w:t>, ust. 2</w:t>
            </w:r>
            <w:r w:rsidR="004A4C5A" w:rsidRPr="00E356CE">
              <w:t xml:space="preserve"> pkt 1</w:t>
            </w:r>
          </w:p>
          <w:p w14:paraId="35D5CC35" w14:textId="77777777" w:rsidR="00647362" w:rsidRPr="00E356CE" w:rsidRDefault="00647362"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6607E9CA" w14:textId="7B9A7590" w:rsidR="00981027" w:rsidRPr="00E356CE" w:rsidRDefault="004A4C5A" w:rsidP="004A4C5A">
            <w:pPr>
              <w:jc w:val="both"/>
            </w:pPr>
            <w:r w:rsidRPr="00E356CE">
              <w:t xml:space="preserve">Art. 441 </w:t>
            </w:r>
            <w:r w:rsidR="00981027" w:rsidRPr="00E356CE">
              <w:t>ust. 1 pkt 3</w:t>
            </w:r>
            <w:r w:rsidRPr="00E356CE">
              <w:t>7, 98, ust. 2 pkt 1</w:t>
            </w:r>
          </w:p>
          <w:p w14:paraId="58A0D0BC" w14:textId="77777777" w:rsidR="00981027" w:rsidRPr="00E356CE" w:rsidRDefault="00981027" w:rsidP="004A4C5A">
            <w:pPr>
              <w:jc w:val="both"/>
            </w:pPr>
          </w:p>
          <w:p w14:paraId="2C749AC8" w14:textId="0A2BBE86" w:rsidR="00981027" w:rsidRPr="00E356CE" w:rsidRDefault="004A4C5A" w:rsidP="004A4C5A">
            <w:pPr>
              <w:pStyle w:val="ARTartustawynprozporzdzenia"/>
              <w:spacing w:line="240" w:lineRule="auto"/>
              <w:rPr>
                <w:rFonts w:ascii="Times New Roman" w:hAnsi="Times New Roman" w:cs="Times New Roman"/>
                <w:szCs w:val="24"/>
                <w:lang w:eastAsia="en-US"/>
              </w:rPr>
            </w:pPr>
            <w:r w:rsidRPr="00E356CE">
              <w:rPr>
                <w:rFonts w:ascii="Times New Roman" w:hAnsi="Times New Roman" w:cs="Times New Roman"/>
                <w:szCs w:val="24"/>
                <w:lang w:eastAsia="en-US"/>
              </w:rPr>
              <w:t>Art. 441</w:t>
            </w:r>
            <w:r w:rsidR="00981027" w:rsidRPr="00E356CE">
              <w:rPr>
                <w:rFonts w:ascii="Times New Roman" w:hAnsi="Times New Roman" w:cs="Times New Roman"/>
                <w:szCs w:val="24"/>
                <w:lang w:eastAsia="en-US"/>
              </w:rPr>
              <w:t>. 1. Kto:</w:t>
            </w:r>
          </w:p>
          <w:p w14:paraId="1062C65F" w14:textId="77777777" w:rsidR="00981027" w:rsidRPr="00E356CE" w:rsidRDefault="00981027" w:rsidP="004A4C5A">
            <w:pPr>
              <w:jc w:val="both"/>
            </w:pPr>
            <w:r w:rsidRPr="00E356CE">
              <w:t>(…)</w:t>
            </w:r>
          </w:p>
          <w:p w14:paraId="3860EA94" w14:textId="77777777" w:rsidR="00981027" w:rsidRPr="00E356CE" w:rsidRDefault="00981027" w:rsidP="004A4C5A">
            <w:pPr>
              <w:jc w:val="both"/>
            </w:pPr>
          </w:p>
          <w:p w14:paraId="26FD1613" w14:textId="77777777" w:rsidR="004A4C5A" w:rsidRPr="00E356CE" w:rsidRDefault="004A4C5A" w:rsidP="004A4C5A">
            <w:pPr>
              <w:pStyle w:val="PKTpunkt"/>
              <w:spacing w:line="240" w:lineRule="auto"/>
              <w:rPr>
                <w:rFonts w:ascii="Times New Roman" w:hAnsi="Times New Roman" w:cs="Times New Roman"/>
                <w:szCs w:val="24"/>
              </w:rPr>
            </w:pPr>
            <w:r w:rsidRPr="00E356CE">
              <w:rPr>
                <w:rFonts w:ascii="Times New Roman" w:hAnsi="Times New Roman" w:cs="Times New Roman"/>
                <w:szCs w:val="24"/>
              </w:rPr>
              <w:t>37)</w:t>
            </w:r>
            <w:r w:rsidRPr="00E356CE">
              <w:rPr>
                <w:rFonts w:ascii="Times New Roman" w:hAnsi="Times New Roman" w:cs="Times New Roman"/>
                <w:szCs w:val="24"/>
              </w:rPr>
              <w:tab/>
              <w:t>wprowadza do obrotu lub oddaje do użytku urządzenie radiowe, nie podając informacji, o których mowa w art. 270 ust. 2,</w:t>
            </w:r>
          </w:p>
          <w:p w14:paraId="0CBF1F27" w14:textId="56449F95" w:rsidR="00981027" w:rsidRPr="00E356CE" w:rsidRDefault="004A4C5A" w:rsidP="004A4C5A">
            <w:pPr>
              <w:jc w:val="both"/>
            </w:pPr>
            <w:r w:rsidRPr="00E356CE">
              <w:t xml:space="preserve"> </w:t>
            </w:r>
            <w:r w:rsidR="00981027" w:rsidRPr="00E356CE">
              <w:t>(…)</w:t>
            </w:r>
          </w:p>
          <w:p w14:paraId="1B1ADBAF" w14:textId="77777777" w:rsidR="00981027" w:rsidRPr="00E356CE" w:rsidRDefault="00981027" w:rsidP="004A4C5A">
            <w:pPr>
              <w:jc w:val="both"/>
            </w:pPr>
          </w:p>
          <w:p w14:paraId="43064601" w14:textId="77777777" w:rsidR="004A4C5A" w:rsidRPr="00E356CE" w:rsidRDefault="004A4C5A" w:rsidP="004A4C5A">
            <w:pPr>
              <w:pStyle w:val="PKTpunkt"/>
              <w:spacing w:line="240" w:lineRule="auto"/>
              <w:rPr>
                <w:rFonts w:ascii="Times New Roman" w:hAnsi="Times New Roman" w:cs="Times New Roman"/>
                <w:szCs w:val="24"/>
                <w:lang w:eastAsia="en-US"/>
              </w:rPr>
            </w:pPr>
            <w:r w:rsidRPr="00E356CE">
              <w:rPr>
                <w:rFonts w:ascii="Times New Roman" w:hAnsi="Times New Roman" w:cs="Times New Roman"/>
                <w:szCs w:val="24"/>
                <w:lang w:eastAsia="en-US"/>
              </w:rPr>
              <w:t>98)</w:t>
            </w:r>
            <w:r w:rsidRPr="00E356CE">
              <w:rPr>
                <w:rFonts w:ascii="Times New Roman" w:hAnsi="Times New Roman" w:cs="Times New Roman"/>
                <w:szCs w:val="24"/>
                <w:lang w:eastAsia="en-US"/>
              </w:rPr>
              <w:tab/>
              <w:t>utrudnia lub uniemożliwia wykonywanie czynności kontrolnych przez Prezesa UKE</w:t>
            </w:r>
          </w:p>
          <w:p w14:paraId="2AD0A87B" w14:textId="26AB0623" w:rsidR="00981027" w:rsidRPr="00E356CE" w:rsidRDefault="004A4C5A" w:rsidP="004A4C5A">
            <w:pPr>
              <w:pStyle w:val="USTustnpkodeksu"/>
              <w:spacing w:line="240" w:lineRule="auto"/>
              <w:ind w:firstLine="0"/>
              <w:rPr>
                <w:rFonts w:ascii="Times New Roman" w:hAnsi="Times New Roman" w:cs="Times New Roman"/>
                <w:szCs w:val="24"/>
                <w:lang w:eastAsia="en-US"/>
              </w:rPr>
            </w:pPr>
            <w:r w:rsidRPr="00E356CE">
              <w:rPr>
                <w:rFonts w:ascii="Times New Roman" w:hAnsi="Times New Roman" w:cs="Times New Roman"/>
                <w:szCs w:val="24"/>
                <w:lang w:eastAsia="en-US"/>
              </w:rPr>
              <w:t xml:space="preserve">- podlega karze pieniężnej </w:t>
            </w:r>
          </w:p>
          <w:p w14:paraId="78711E79" w14:textId="77777777" w:rsidR="004A4C5A" w:rsidRPr="00E356CE" w:rsidRDefault="004A4C5A" w:rsidP="004A4C5A">
            <w:pPr>
              <w:pStyle w:val="USTustnpkodeksu"/>
              <w:spacing w:line="240" w:lineRule="auto"/>
              <w:rPr>
                <w:rFonts w:ascii="Times New Roman" w:hAnsi="Times New Roman" w:cs="Times New Roman"/>
                <w:szCs w:val="24"/>
                <w:lang w:eastAsia="en-US"/>
              </w:rPr>
            </w:pPr>
          </w:p>
          <w:p w14:paraId="40E7C035" w14:textId="77777777" w:rsidR="004A4C5A" w:rsidRPr="00E356CE" w:rsidRDefault="004A4C5A" w:rsidP="004A4C5A">
            <w:pPr>
              <w:pStyle w:val="USTustnpkodeksu"/>
              <w:spacing w:line="240" w:lineRule="auto"/>
              <w:rPr>
                <w:rFonts w:ascii="Times New Roman" w:hAnsi="Times New Roman" w:cs="Times New Roman"/>
                <w:szCs w:val="24"/>
                <w:lang w:eastAsia="en-US"/>
              </w:rPr>
            </w:pPr>
          </w:p>
          <w:p w14:paraId="25EFB1A4" w14:textId="77777777" w:rsidR="004A4C5A" w:rsidRPr="00E356CE" w:rsidRDefault="004A4C5A" w:rsidP="004A4C5A">
            <w:pPr>
              <w:pStyle w:val="USTustnpkodeksu"/>
              <w:spacing w:line="240" w:lineRule="auto"/>
              <w:rPr>
                <w:rFonts w:ascii="Times New Roman" w:hAnsi="Times New Roman" w:cs="Times New Roman"/>
                <w:szCs w:val="24"/>
                <w:lang w:eastAsia="en-US"/>
              </w:rPr>
            </w:pPr>
            <w:r w:rsidRPr="00E356CE">
              <w:rPr>
                <w:rFonts w:ascii="Times New Roman" w:hAnsi="Times New Roman" w:cs="Times New Roman"/>
                <w:szCs w:val="24"/>
                <w:lang w:eastAsia="en-US"/>
              </w:rPr>
              <w:t>2. Prezes UKE, jeżeli przemawia za tym charakter lub zakres naruszenia, może nałożyć karę pieniężną na podmiot, który:</w:t>
            </w:r>
          </w:p>
          <w:p w14:paraId="23B06BEF" w14:textId="777EA728" w:rsidR="00647362" w:rsidRPr="00E356CE" w:rsidRDefault="004A4C5A" w:rsidP="004A4C5A">
            <w:pPr>
              <w:pStyle w:val="PKTpunkt"/>
              <w:spacing w:line="240" w:lineRule="auto"/>
              <w:rPr>
                <w:rFonts w:ascii="Times New Roman" w:hAnsi="Times New Roman" w:cs="Times New Roman"/>
                <w:szCs w:val="24"/>
              </w:rPr>
            </w:pPr>
            <w:r w:rsidRPr="00E356CE">
              <w:rPr>
                <w:rFonts w:ascii="Times New Roman" w:hAnsi="Times New Roman" w:cs="Times New Roman"/>
                <w:szCs w:val="24"/>
                <w:lang w:eastAsia="en-US"/>
              </w:rPr>
              <w:t>1)</w:t>
            </w:r>
            <w:r w:rsidRPr="00E356CE">
              <w:rPr>
                <w:rFonts w:ascii="Times New Roman" w:hAnsi="Times New Roman" w:cs="Times New Roman"/>
                <w:szCs w:val="24"/>
                <w:lang w:eastAsia="en-US"/>
              </w:rPr>
              <w:tab/>
              <w:t xml:space="preserve">nie wypełnia obowiązku udzielania informacji lub dostarczania dokumentów przewidzianych ustawą lub ustawą z dnia 7 maja 2010 r. o wspieraniu rozwoju usług i sieci telekomunikacyjnych lub udziela </w:t>
            </w:r>
            <w:r w:rsidRPr="00E356CE">
              <w:rPr>
                <w:rFonts w:ascii="Times New Roman" w:hAnsi="Times New Roman" w:cs="Times New Roman"/>
                <w:szCs w:val="24"/>
                <w:lang w:eastAsia="en-US"/>
              </w:rPr>
              <w:lastRenderedPageBreak/>
              <w:t>informacji niepełnych lub nieprawdziwych, lub dostarcza dokumenty zawierające informacje niepełne lub nieprawdziwe;</w:t>
            </w:r>
          </w:p>
        </w:tc>
      </w:tr>
      <w:tr w:rsidR="00723799" w:rsidRPr="00E356CE" w14:paraId="1506477A" w14:textId="77777777" w:rsidTr="56856880">
        <w:tc>
          <w:tcPr>
            <w:tcW w:w="795" w:type="dxa"/>
            <w:tcBorders>
              <w:top w:val="single" w:sz="4" w:space="0" w:color="auto"/>
              <w:left w:val="single" w:sz="4" w:space="0" w:color="auto"/>
              <w:bottom w:val="single" w:sz="4" w:space="0" w:color="auto"/>
              <w:right w:val="single" w:sz="4" w:space="0" w:color="auto"/>
            </w:tcBorders>
          </w:tcPr>
          <w:p w14:paraId="4937EE1E" w14:textId="77777777" w:rsidR="00647362" w:rsidRPr="00E356CE" w:rsidRDefault="008E560D" w:rsidP="00A9191A">
            <w:pPr>
              <w:jc w:val="both"/>
            </w:pPr>
            <w:r w:rsidRPr="00E356CE">
              <w:lastRenderedPageBreak/>
              <w:t>Załącznik I</w:t>
            </w:r>
          </w:p>
        </w:tc>
        <w:tc>
          <w:tcPr>
            <w:tcW w:w="4719" w:type="dxa"/>
            <w:tcBorders>
              <w:top w:val="single" w:sz="4" w:space="0" w:color="auto"/>
              <w:left w:val="single" w:sz="4" w:space="0" w:color="auto"/>
              <w:bottom w:val="single" w:sz="4" w:space="0" w:color="auto"/>
              <w:right w:val="single" w:sz="4" w:space="0" w:color="auto"/>
            </w:tcBorders>
          </w:tcPr>
          <w:p w14:paraId="01B6D782" w14:textId="77777777" w:rsidR="00981027" w:rsidRPr="00E356CE" w:rsidRDefault="00981027" w:rsidP="00A9191A">
            <w:pPr>
              <w:jc w:val="both"/>
              <w:rPr>
                <w:b/>
                <w:bCs/>
              </w:rPr>
            </w:pPr>
            <w:r w:rsidRPr="00E356CE">
              <w:rPr>
                <w:b/>
                <w:bCs/>
              </w:rPr>
              <w:t>ZAŁĄCZNIKI</w:t>
            </w:r>
          </w:p>
          <w:p w14:paraId="5E764B33" w14:textId="77777777" w:rsidR="00981027" w:rsidRPr="00E356CE" w:rsidRDefault="00981027" w:rsidP="00A9191A">
            <w:pPr>
              <w:jc w:val="both"/>
            </w:pPr>
            <w:r w:rsidRPr="00E356CE">
              <w:rPr>
                <w:b/>
                <w:bCs/>
              </w:rPr>
              <w:t>ZAŁĄCZNIK I</w:t>
            </w:r>
          </w:p>
          <w:p w14:paraId="7B2FCD7A" w14:textId="77777777" w:rsidR="00981027" w:rsidRPr="00E356CE" w:rsidRDefault="00981027" w:rsidP="00A9191A">
            <w:pPr>
              <w:jc w:val="center"/>
            </w:pPr>
            <w:r w:rsidRPr="00E356CE">
              <w:rPr>
                <w:b/>
                <w:bCs/>
              </w:rPr>
              <w:t>URZĄDZENIA NIEOBJĘTE NINIEJSZĄ DYREKTYWĄ</w:t>
            </w:r>
          </w:p>
          <w:p w14:paraId="73EAAC04" w14:textId="77777777" w:rsidR="00981027" w:rsidRPr="00E356CE" w:rsidRDefault="00981027" w:rsidP="00A9191A">
            <w:pPr>
              <w:tabs>
                <w:tab w:val="left" w:pos="510"/>
              </w:tabs>
              <w:ind w:left="510" w:hanging="510"/>
              <w:jc w:val="both"/>
            </w:pPr>
            <w:r w:rsidRPr="00E356CE">
              <w:t>1.</w:t>
            </w:r>
            <w:r w:rsidRPr="00E356CE">
              <w:tab/>
              <w:t>Urządzenia radiowe używane przez radioamatorów w rozumieniu art. 1 definicja 56 Regulaminu radiokomunikacyjnego Międzynarodowego Związku Telekomunikacyjnego (ITU), chyba że urządzenia takie są udostępnione na rynku.</w:t>
            </w:r>
          </w:p>
          <w:p w14:paraId="0CD60879" w14:textId="77777777" w:rsidR="00981027" w:rsidRPr="00E356CE" w:rsidRDefault="00981027" w:rsidP="00A9191A">
            <w:pPr>
              <w:ind w:left="510"/>
              <w:jc w:val="both"/>
            </w:pPr>
            <w:r w:rsidRPr="00E356CE">
              <w:t>Następujące urządzenia są traktowane jako urządzenia nieudostępniane na rynku:</w:t>
            </w:r>
          </w:p>
          <w:p w14:paraId="0A0FB68B" w14:textId="77777777" w:rsidR="00981027" w:rsidRPr="00E356CE" w:rsidRDefault="00981027" w:rsidP="00A9191A">
            <w:pPr>
              <w:tabs>
                <w:tab w:val="left" w:pos="1020"/>
              </w:tabs>
              <w:ind w:left="1020" w:hanging="510"/>
              <w:jc w:val="both"/>
            </w:pPr>
            <w:r w:rsidRPr="00E356CE">
              <w:t>a)</w:t>
            </w:r>
            <w:r w:rsidRPr="00E356CE">
              <w:tab/>
              <w:t>zestawy radiowe do montażu i użytku przez radioamatorów;</w:t>
            </w:r>
          </w:p>
          <w:p w14:paraId="17DAA8E6" w14:textId="77777777" w:rsidR="00981027" w:rsidRPr="00E356CE" w:rsidRDefault="00981027" w:rsidP="00A9191A">
            <w:pPr>
              <w:tabs>
                <w:tab w:val="left" w:pos="1020"/>
              </w:tabs>
              <w:ind w:left="1020" w:hanging="510"/>
              <w:jc w:val="both"/>
            </w:pPr>
            <w:r w:rsidRPr="00E356CE">
              <w:t>b)</w:t>
            </w:r>
            <w:r w:rsidRPr="00E356CE">
              <w:tab/>
              <w:t>urządzenia radiowe zmodyfikowane przez radioamatorów na ich potrzeby;</w:t>
            </w:r>
          </w:p>
          <w:p w14:paraId="3A8E2E16" w14:textId="77777777" w:rsidR="00981027" w:rsidRPr="00E356CE" w:rsidRDefault="00981027" w:rsidP="00A9191A">
            <w:pPr>
              <w:tabs>
                <w:tab w:val="left" w:pos="1020"/>
              </w:tabs>
              <w:ind w:left="1020" w:hanging="510"/>
              <w:jc w:val="both"/>
            </w:pPr>
            <w:r w:rsidRPr="00E356CE">
              <w:t>c)</w:t>
            </w:r>
            <w:r w:rsidRPr="00E356CE">
              <w:tab/>
              <w:t>urządzenia zbudowane samodzielnie przez radioamatorów, które służą celom eksperymentalnym i naukowym w ramach służby radiokomunikacyjnej amatorskiej.</w:t>
            </w:r>
          </w:p>
          <w:p w14:paraId="7B8AD41C" w14:textId="77777777" w:rsidR="00981027" w:rsidRPr="00E356CE" w:rsidRDefault="00981027" w:rsidP="00A9191A">
            <w:pPr>
              <w:tabs>
                <w:tab w:val="left" w:pos="510"/>
              </w:tabs>
              <w:ind w:left="510" w:hanging="510"/>
              <w:jc w:val="both"/>
            </w:pPr>
            <w:r w:rsidRPr="00E356CE">
              <w:t>2.</w:t>
            </w:r>
            <w:r w:rsidRPr="00E356CE">
              <w:tab/>
              <w:t>Wyposażenie statków objęte przepisami dyrektywy Rady 96/98/WE.</w:t>
            </w:r>
          </w:p>
          <w:p w14:paraId="17F83960" w14:textId="77777777" w:rsidR="00981027" w:rsidRPr="00E356CE" w:rsidRDefault="00981027" w:rsidP="00A9191A">
            <w:pPr>
              <w:tabs>
                <w:tab w:val="left" w:pos="510"/>
              </w:tabs>
              <w:ind w:left="510" w:hanging="510"/>
              <w:jc w:val="both"/>
            </w:pPr>
            <w:r w:rsidRPr="00E356CE">
              <w:t>3.</w:t>
            </w:r>
            <w:r w:rsidRPr="00E356CE">
              <w:tab/>
              <w:t xml:space="preserve">Poniższe wyposażenie lotnicze, w przypadku gdy wyposażenie to wchodzi w zakres stosowania rozporządzenia Parlamentu Europejskiego i Rady (UE) </w:t>
            </w:r>
            <w:r w:rsidRPr="00E356CE">
              <w:lastRenderedPageBreak/>
              <w:t xml:space="preserve">2018/1139 (2) i jest przeznaczone jedynie do użytkowania w powietrzu: </w:t>
            </w:r>
          </w:p>
          <w:p w14:paraId="28BDCD73" w14:textId="77777777" w:rsidR="00981027" w:rsidRPr="00E356CE" w:rsidRDefault="00981027" w:rsidP="00A9191A">
            <w:pPr>
              <w:tabs>
                <w:tab w:val="left" w:pos="510"/>
              </w:tabs>
              <w:ind w:left="510" w:hanging="510"/>
              <w:jc w:val="both"/>
            </w:pPr>
            <w:r w:rsidRPr="00E356CE">
              <w:t xml:space="preserve">a) statki powietrzne inne niż bezzałogowe statki powietrzne, a także związane z nimi silniki, śmigła, części i wyposażenie nieinstalowane; </w:t>
            </w:r>
          </w:p>
          <w:p w14:paraId="147F89C0" w14:textId="77777777" w:rsidR="00981027" w:rsidRPr="00E356CE" w:rsidRDefault="00981027" w:rsidP="00A9191A">
            <w:pPr>
              <w:tabs>
                <w:tab w:val="left" w:pos="510"/>
              </w:tabs>
              <w:ind w:left="510" w:hanging="510"/>
              <w:jc w:val="both"/>
            </w:pPr>
            <w:r w:rsidRPr="00E356CE">
              <w:t>b) bezzałogowe statki powietrzne, a także związane z nimi silniki, śmigła, części i wyposażenie nieinstalowane, których projekt jest certyfikowany zgodnie z art. 56 ust. 1 tego rozporządzenia i które są przeznaczone jedynie do działania na częstotliwościach przydzielonych w regulacjach radiowych  Międzynarodowego Związku Telekomunikacyjnego do celów chronionego użytkowania lotniczego</w:t>
            </w:r>
          </w:p>
          <w:p w14:paraId="7BD43D79" w14:textId="77777777" w:rsidR="00647362" w:rsidRPr="00E356CE" w:rsidRDefault="00981027" w:rsidP="00A9191A">
            <w:pPr>
              <w:tabs>
                <w:tab w:val="left" w:pos="510"/>
              </w:tabs>
              <w:ind w:left="510" w:hanging="510"/>
              <w:jc w:val="both"/>
            </w:pPr>
            <w:r w:rsidRPr="00E356CE">
              <w:t>4.</w:t>
            </w:r>
            <w:r w:rsidRPr="00E356CE">
              <w:tab/>
              <w:t>Zestawy kontrolne zbudowane według indywidualnego projektu, przeznaczone dla specjalistów i wykorzystywane wyłącznie w ośrodkach badawczo-rozwojowych do odnośnych celów.</w:t>
            </w:r>
          </w:p>
        </w:tc>
        <w:tc>
          <w:tcPr>
            <w:tcW w:w="886" w:type="dxa"/>
            <w:tcBorders>
              <w:top w:val="single" w:sz="4" w:space="0" w:color="auto"/>
              <w:left w:val="single" w:sz="4" w:space="0" w:color="auto"/>
              <w:bottom w:val="single" w:sz="4" w:space="0" w:color="auto"/>
              <w:right w:val="single" w:sz="4" w:space="0" w:color="auto"/>
            </w:tcBorders>
          </w:tcPr>
          <w:p w14:paraId="18474A0A" w14:textId="77777777" w:rsidR="00647362"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01F01783" w14:textId="79A20B03" w:rsidR="00647362" w:rsidRPr="00E356CE" w:rsidRDefault="008E560D" w:rsidP="006532C5">
            <w:pPr>
              <w:jc w:val="both"/>
            </w:pPr>
            <w:r w:rsidRPr="00E356CE">
              <w:t>Art. 2</w:t>
            </w:r>
            <w:r w:rsidR="006532C5" w:rsidRPr="00E356CE">
              <w:t>69</w:t>
            </w:r>
            <w:r w:rsidRPr="00E356CE">
              <w:t xml:space="preserve"> ust. 5 i 7</w:t>
            </w:r>
          </w:p>
        </w:tc>
        <w:tc>
          <w:tcPr>
            <w:tcW w:w="7410" w:type="dxa"/>
            <w:gridSpan w:val="2"/>
            <w:tcBorders>
              <w:top w:val="single" w:sz="4" w:space="0" w:color="auto"/>
              <w:left w:val="single" w:sz="4" w:space="0" w:color="auto"/>
              <w:bottom w:val="single" w:sz="4" w:space="0" w:color="auto"/>
              <w:right w:val="single" w:sz="4" w:space="0" w:color="auto"/>
            </w:tcBorders>
          </w:tcPr>
          <w:p w14:paraId="72C2A0B4" w14:textId="74BBC96B" w:rsidR="00981027" w:rsidRPr="00E356CE" w:rsidRDefault="00981027" w:rsidP="00A9191A">
            <w:pPr>
              <w:jc w:val="both"/>
            </w:pPr>
            <w:r w:rsidRPr="00E356CE">
              <w:t>Art. 2</w:t>
            </w:r>
            <w:r w:rsidR="006532C5" w:rsidRPr="00E356CE">
              <w:t>69</w:t>
            </w:r>
            <w:r w:rsidRPr="00E356CE">
              <w:t xml:space="preserve"> ust. 5 i 7 Pke</w:t>
            </w:r>
          </w:p>
          <w:p w14:paraId="2F9C085D" w14:textId="77777777" w:rsidR="00981027" w:rsidRPr="00E356CE" w:rsidRDefault="00981027" w:rsidP="00A9191A">
            <w:pPr>
              <w:jc w:val="both"/>
            </w:pPr>
          </w:p>
          <w:p w14:paraId="09164C83"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5. Urządzenia radiowe podlegają obowiązkowej ocenie zgodności z wymaganiami, o których mowa w ust. 1-3.</w:t>
            </w:r>
          </w:p>
          <w:p w14:paraId="7C4CB0BA" w14:textId="77777777" w:rsidR="006532C5" w:rsidRPr="00E356CE" w:rsidRDefault="006532C5" w:rsidP="006532C5">
            <w:pPr>
              <w:pStyle w:val="USTustnpkodeksu"/>
              <w:spacing w:line="240" w:lineRule="auto"/>
              <w:rPr>
                <w:rFonts w:ascii="Times New Roman" w:hAnsi="Times New Roman" w:cs="Times New Roman"/>
                <w:szCs w:val="24"/>
              </w:rPr>
            </w:pPr>
          </w:p>
          <w:p w14:paraId="0E661239" w14:textId="2524C895"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7. Przepisu ust. 5 nie stosuje się do:</w:t>
            </w:r>
          </w:p>
          <w:p w14:paraId="7CD5CC73"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urządzeń przeznaczonych do używania wyłącznie w służbie radiokomunikacyjnej amatorskiej, niebędących przedmiotem oferty handlowej, w tym:</w:t>
            </w:r>
          </w:p>
          <w:p w14:paraId="31115D60"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a)</w:t>
            </w:r>
            <w:r w:rsidRPr="00E356CE">
              <w:rPr>
                <w:rFonts w:ascii="Times New Roman" w:hAnsi="Times New Roman" w:cs="Times New Roman"/>
                <w:szCs w:val="24"/>
              </w:rPr>
              <w:tab/>
              <w:t>zestawów części do montażu urządzeń,</w:t>
            </w:r>
          </w:p>
          <w:p w14:paraId="0238009F"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b)</w:t>
            </w:r>
            <w:r w:rsidRPr="00E356CE">
              <w:rPr>
                <w:rFonts w:ascii="Times New Roman" w:hAnsi="Times New Roman" w:cs="Times New Roman"/>
                <w:szCs w:val="24"/>
              </w:rPr>
              <w:tab/>
              <w:t>urządzeń zmodyfikowanych przez radioamatorów dla własnych potrzeb w celu używania w służbie radiokomunikacyjnej amatorskiej,</w:t>
            </w:r>
          </w:p>
          <w:p w14:paraId="397C97F2"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c)</w:t>
            </w:r>
            <w:r w:rsidRPr="00E356CE">
              <w:rPr>
                <w:rFonts w:ascii="Times New Roman" w:hAnsi="Times New Roman" w:cs="Times New Roman"/>
                <w:szCs w:val="24"/>
              </w:rPr>
              <w:tab/>
              <w:t>urządzeń zbudowanych samodzielnie przez radioamatorów, które służą celom eksperymentalnym i naukowym w ramach służby radiokomunikacyjnej amatorskiej;</w:t>
            </w:r>
          </w:p>
          <w:p w14:paraId="7BDE03FE"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urządzeń wyposażenia radiokomunikacyjnego objętych przepisami o wyposażeniu morskim;</w:t>
            </w:r>
          </w:p>
          <w:p w14:paraId="0F4C1964"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3)</w:t>
            </w:r>
            <w:r w:rsidRPr="00E356CE">
              <w:rPr>
                <w:rFonts w:ascii="Times New Roman" w:hAnsi="Times New Roman" w:cs="Times New Roman"/>
                <w:szCs w:val="24"/>
              </w:rPr>
              <w:tab/>
              <w:t xml:space="preserve">wyposażenia radiokomunikacyjnego objętego przepisami ustawy z dnia 3 lipca 2002 r. – Prawo lotnicze (Dz. U. z 2019 r. poz. 1580, z </w:t>
            </w:r>
            <w:proofErr w:type="spellStart"/>
            <w:r w:rsidRPr="00E356CE">
              <w:rPr>
                <w:rFonts w:ascii="Times New Roman" w:hAnsi="Times New Roman" w:cs="Times New Roman"/>
                <w:szCs w:val="24"/>
              </w:rPr>
              <w:t>poźn</w:t>
            </w:r>
            <w:proofErr w:type="spellEnd"/>
            <w:r w:rsidRPr="00E356CE">
              <w:rPr>
                <w:rFonts w:ascii="Times New Roman" w:hAnsi="Times New Roman" w:cs="Times New Roman"/>
                <w:szCs w:val="24"/>
              </w:rPr>
              <w:t xml:space="preserve">. </w:t>
            </w:r>
            <w:proofErr w:type="spellStart"/>
            <w:r w:rsidRPr="00E356CE">
              <w:rPr>
                <w:rFonts w:ascii="Times New Roman" w:hAnsi="Times New Roman" w:cs="Times New Roman"/>
                <w:szCs w:val="24"/>
              </w:rPr>
              <w:t>zm</w:t>
            </w:r>
            <w:proofErr w:type="spellEnd"/>
            <w:r w:rsidRPr="00E356CE">
              <w:rPr>
                <w:rFonts w:ascii="Times New Roman" w:hAnsi="Times New Roman" w:cs="Times New Roman"/>
                <w:szCs w:val="24"/>
              </w:rPr>
              <w:t xml:space="preserve">) lub następującego wyposażenia lotniczego objętego przepisami Rozporządzenia Parlamentu Europejskiego i Rady (UE) 2018/1139 z dnia 4 lipca 2018 r. w sprawie wspólnych zasad w dziedzinie lotnictwa cywilnego i utworzenia Agencji Unii Europejskiej ds. Bezpieczeństwa Lotniczego oraz zmieniające rozporządzenia Parlamentu Europejskiego i Rady (WE) nr 2111/2005, (WE) nr 1008/2008, (UE) nr 996/2010, (UE) nr 376/2014 i dyrektywy Parlamentu Europejskiego i Rady 2014/30/UE i 2014/53/UE, a także uchylające rozporządzenia Parlamentu Europejskiego i Rady (WE) nr 552/2004 i (WE) nr 216/2008 i rozporządzenie Rady (EWG) nr </w:t>
            </w:r>
            <w:r w:rsidRPr="00E356CE">
              <w:rPr>
                <w:rFonts w:ascii="Times New Roman" w:hAnsi="Times New Roman" w:cs="Times New Roman"/>
                <w:szCs w:val="24"/>
              </w:rPr>
              <w:lastRenderedPageBreak/>
              <w:t>3922/912018/1139 (Dz. Urz. UE L 2122 z 22.08.2018, str. 1) i przeznaczonego jedynie do użytkowania w powietrzu:</w:t>
            </w:r>
          </w:p>
          <w:p w14:paraId="7576DD61"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a)</w:t>
            </w:r>
            <w:r w:rsidRPr="00E356CE">
              <w:rPr>
                <w:rFonts w:ascii="Times New Roman" w:hAnsi="Times New Roman" w:cs="Times New Roman"/>
                <w:szCs w:val="24"/>
              </w:rPr>
              <w:tab/>
              <w:t>statki powietrzne inne niż bezzałogowe statki powietrzne, a także związane z nimi silniki, śmigła, części i wyposażenie nieinstalowane,</w:t>
            </w:r>
          </w:p>
          <w:p w14:paraId="6C17BA16" w14:textId="77777777" w:rsidR="006532C5" w:rsidRPr="00E356CE" w:rsidRDefault="006532C5" w:rsidP="006532C5">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b)</w:t>
            </w:r>
            <w:r w:rsidRPr="00E356CE">
              <w:rPr>
                <w:rFonts w:ascii="Times New Roman" w:hAnsi="Times New Roman" w:cs="Times New Roman"/>
                <w:szCs w:val="24"/>
              </w:rPr>
              <w:tab/>
              <w:t>bezzałogowe statki powietrzne, a także związane z nimi silniki, śmigła, części i wyposażenie nieinstalowane, których projekt jest certyfikowany zgodnie z art. 56 ust. 1 tego rozporządzenia i które są przeznaczone jedynie do działania na częstotliwościach wykorzystywanych w lotnictwie, zgodnie z przeznaczeniem określonym w Krajowej Tablicy Przeznaczeń Częstotliwości;</w:t>
            </w:r>
          </w:p>
          <w:p w14:paraId="3F78B6B6" w14:textId="654AD4E7" w:rsidR="00647362" w:rsidRPr="00E356CE" w:rsidRDefault="006532C5" w:rsidP="006532C5">
            <w:pPr>
              <w:jc w:val="both"/>
            </w:pPr>
            <w:r w:rsidRPr="00E356CE">
              <w:t>4)</w:t>
            </w:r>
            <w:r w:rsidRPr="00E356CE">
              <w:tab/>
              <w:t>zestawów kontrolnych zbudowanych według indywidualnego projektu, przeznaczonych dla specjalistów i wykorzystywanych wyłącznie w ośrodkach badawczo-rozwojowych do celów badawczo-rozwojowych.</w:t>
            </w:r>
          </w:p>
        </w:tc>
      </w:tr>
      <w:tr w:rsidR="00723799" w:rsidRPr="00E356CE" w14:paraId="368173D5" w14:textId="77777777" w:rsidTr="56856880">
        <w:tc>
          <w:tcPr>
            <w:tcW w:w="795" w:type="dxa"/>
            <w:tcBorders>
              <w:top w:val="single" w:sz="4" w:space="0" w:color="auto"/>
              <w:left w:val="single" w:sz="4" w:space="0" w:color="auto"/>
              <w:bottom w:val="single" w:sz="4" w:space="0" w:color="auto"/>
              <w:right w:val="single" w:sz="4" w:space="0" w:color="auto"/>
            </w:tcBorders>
          </w:tcPr>
          <w:p w14:paraId="2CF0C141" w14:textId="77777777" w:rsidR="00647362" w:rsidRPr="00E356CE" w:rsidRDefault="008E560D" w:rsidP="00A9191A">
            <w:pPr>
              <w:jc w:val="both"/>
            </w:pPr>
            <w:r w:rsidRPr="00E356CE">
              <w:lastRenderedPageBreak/>
              <w:t>Załącznik IV</w:t>
            </w:r>
          </w:p>
        </w:tc>
        <w:tc>
          <w:tcPr>
            <w:tcW w:w="4719" w:type="dxa"/>
            <w:tcBorders>
              <w:top w:val="single" w:sz="4" w:space="0" w:color="auto"/>
              <w:left w:val="single" w:sz="4" w:space="0" w:color="auto"/>
              <w:bottom w:val="single" w:sz="4" w:space="0" w:color="auto"/>
              <w:right w:val="single" w:sz="4" w:space="0" w:color="auto"/>
            </w:tcBorders>
          </w:tcPr>
          <w:p w14:paraId="2B329B5A" w14:textId="77777777" w:rsidR="008E560D" w:rsidRPr="00E356CE" w:rsidRDefault="008E560D" w:rsidP="00A9191A">
            <w:pPr>
              <w:jc w:val="both"/>
              <w:rPr>
                <w:b/>
                <w:bCs/>
              </w:rPr>
            </w:pPr>
            <w:r w:rsidRPr="00E356CE">
              <w:rPr>
                <w:b/>
                <w:bCs/>
              </w:rPr>
              <w:t>ZAŁĄCZNIK IV</w:t>
            </w:r>
          </w:p>
          <w:p w14:paraId="4F7EA323" w14:textId="77777777" w:rsidR="008E560D" w:rsidRPr="00E356CE" w:rsidRDefault="008E560D" w:rsidP="00A9191A">
            <w:pPr>
              <w:spacing w:before="240" w:after="240"/>
              <w:jc w:val="both"/>
            </w:pPr>
            <w:r w:rsidRPr="00E356CE">
              <w:rPr>
                <w:b/>
                <w:bCs/>
              </w:rPr>
              <w:t>MODUŁ OCENY ZGODNOŚCI H</w:t>
            </w:r>
          </w:p>
          <w:p w14:paraId="48454E94" w14:textId="77777777" w:rsidR="00647362" w:rsidRPr="00E356CE" w:rsidRDefault="008E560D" w:rsidP="00A9191A">
            <w:pPr>
              <w:spacing w:after="240"/>
              <w:jc w:val="both"/>
            </w:pPr>
            <w:r w:rsidRPr="00E356CE">
              <w:t>ZGODNOŚĆ OPARTA NA PEŁNYM ZAPEWNIENIU JAKOŚCI</w:t>
            </w:r>
          </w:p>
        </w:tc>
        <w:tc>
          <w:tcPr>
            <w:tcW w:w="886" w:type="dxa"/>
            <w:tcBorders>
              <w:top w:val="single" w:sz="4" w:space="0" w:color="auto"/>
              <w:left w:val="single" w:sz="4" w:space="0" w:color="auto"/>
              <w:bottom w:val="single" w:sz="4" w:space="0" w:color="auto"/>
              <w:right w:val="single" w:sz="4" w:space="0" w:color="auto"/>
            </w:tcBorders>
          </w:tcPr>
          <w:p w14:paraId="25E46DF1" w14:textId="77777777" w:rsidR="00647362" w:rsidRPr="00E356CE" w:rsidRDefault="00647362" w:rsidP="00A9191A">
            <w:pPr>
              <w:jc w:val="both"/>
              <w:rPr>
                <w:b/>
              </w:rPr>
            </w:pPr>
          </w:p>
        </w:tc>
        <w:tc>
          <w:tcPr>
            <w:tcW w:w="900" w:type="dxa"/>
            <w:gridSpan w:val="3"/>
            <w:tcBorders>
              <w:top w:val="single" w:sz="4" w:space="0" w:color="auto"/>
              <w:left w:val="single" w:sz="4" w:space="0" w:color="auto"/>
              <w:bottom w:val="single" w:sz="4" w:space="0" w:color="auto"/>
              <w:right w:val="single" w:sz="4" w:space="0" w:color="auto"/>
            </w:tcBorders>
          </w:tcPr>
          <w:p w14:paraId="475A78CA" w14:textId="77777777" w:rsidR="00647362" w:rsidRPr="00E356CE" w:rsidRDefault="00647362" w:rsidP="00A9191A">
            <w:pPr>
              <w:jc w:val="both"/>
            </w:pPr>
          </w:p>
        </w:tc>
        <w:tc>
          <w:tcPr>
            <w:tcW w:w="7410" w:type="dxa"/>
            <w:gridSpan w:val="2"/>
            <w:tcBorders>
              <w:top w:val="single" w:sz="4" w:space="0" w:color="auto"/>
              <w:left w:val="single" w:sz="4" w:space="0" w:color="auto"/>
              <w:bottom w:val="single" w:sz="4" w:space="0" w:color="auto"/>
              <w:right w:val="single" w:sz="4" w:space="0" w:color="auto"/>
            </w:tcBorders>
          </w:tcPr>
          <w:p w14:paraId="74D8A6BC" w14:textId="77777777" w:rsidR="00647362" w:rsidRPr="00E356CE" w:rsidRDefault="00647362" w:rsidP="00A9191A">
            <w:pPr>
              <w:jc w:val="both"/>
            </w:pPr>
          </w:p>
        </w:tc>
      </w:tr>
      <w:tr w:rsidR="00723799" w:rsidRPr="00E356CE" w14:paraId="2AE180EA" w14:textId="77777777" w:rsidTr="56856880">
        <w:tc>
          <w:tcPr>
            <w:tcW w:w="795" w:type="dxa"/>
            <w:tcBorders>
              <w:top w:val="single" w:sz="4" w:space="0" w:color="auto"/>
              <w:left w:val="single" w:sz="4" w:space="0" w:color="auto"/>
              <w:bottom w:val="single" w:sz="4" w:space="0" w:color="auto"/>
              <w:right w:val="single" w:sz="4" w:space="0" w:color="auto"/>
            </w:tcBorders>
          </w:tcPr>
          <w:p w14:paraId="1F457DD6" w14:textId="77777777" w:rsidR="00647362" w:rsidRPr="00E356CE" w:rsidRDefault="00BE7B76" w:rsidP="00A9191A">
            <w:pPr>
              <w:jc w:val="both"/>
            </w:pPr>
            <w:r w:rsidRPr="00E356CE">
              <w:t>Załącznik IV pkt 5</w:t>
            </w:r>
          </w:p>
        </w:tc>
        <w:tc>
          <w:tcPr>
            <w:tcW w:w="4719" w:type="dxa"/>
            <w:tcBorders>
              <w:top w:val="single" w:sz="4" w:space="0" w:color="auto"/>
              <w:left w:val="single" w:sz="4" w:space="0" w:color="auto"/>
              <w:bottom w:val="single" w:sz="4" w:space="0" w:color="auto"/>
              <w:right w:val="single" w:sz="4" w:space="0" w:color="auto"/>
            </w:tcBorders>
          </w:tcPr>
          <w:p w14:paraId="47F92AD9" w14:textId="77777777" w:rsidR="00BE7B76" w:rsidRPr="00E356CE" w:rsidRDefault="00BE7B76" w:rsidP="00A9191A">
            <w:pPr>
              <w:tabs>
                <w:tab w:val="left" w:pos="510"/>
              </w:tabs>
              <w:ind w:left="510" w:hanging="510"/>
              <w:jc w:val="both"/>
            </w:pPr>
            <w:r w:rsidRPr="00E356CE">
              <w:t>5.</w:t>
            </w:r>
            <w:r w:rsidRPr="00E356CE">
              <w:tab/>
            </w:r>
            <w:r w:rsidRPr="00E356CE">
              <w:rPr>
                <w:b/>
                <w:bCs/>
              </w:rPr>
              <w:t>Oznakowanie CE i deklaracja zgodności UE</w:t>
            </w:r>
          </w:p>
          <w:p w14:paraId="3CED91D6" w14:textId="77777777" w:rsidR="00647362" w:rsidRPr="00E356CE" w:rsidRDefault="00BE7B76" w:rsidP="00A9191A">
            <w:pPr>
              <w:jc w:val="both"/>
              <w:rPr>
                <w:b/>
                <w:bCs/>
              </w:rPr>
            </w:pPr>
            <w:r w:rsidRPr="00E356CE">
              <w:t>5.1.</w:t>
            </w:r>
            <w:r w:rsidRPr="00E356CE">
              <w:tab/>
              <w:t xml:space="preserve">Producent umieszcza oznakowanie CE zgodnie z art. 19 i 20 oraz, na odpowiedzialność </w:t>
            </w:r>
            <w:r w:rsidRPr="00E356CE">
              <w:lastRenderedPageBreak/>
              <w:t>jednostki notyfikowanej, o której mowa w pkt 3.1, jej numer identyfikacyjny na każdym urządzeniu radiowym spełniającym odpowiednie wymagania określone w art. 3.</w:t>
            </w:r>
          </w:p>
        </w:tc>
        <w:tc>
          <w:tcPr>
            <w:tcW w:w="886" w:type="dxa"/>
            <w:tcBorders>
              <w:top w:val="single" w:sz="4" w:space="0" w:color="auto"/>
              <w:left w:val="single" w:sz="4" w:space="0" w:color="auto"/>
              <w:bottom w:val="single" w:sz="4" w:space="0" w:color="auto"/>
              <w:right w:val="single" w:sz="4" w:space="0" w:color="auto"/>
            </w:tcBorders>
          </w:tcPr>
          <w:p w14:paraId="010091C4" w14:textId="77777777" w:rsidR="00647362" w:rsidRPr="00E356CE" w:rsidRDefault="003C4E86" w:rsidP="00A9191A">
            <w:pPr>
              <w:jc w:val="both"/>
              <w:rPr>
                <w:b/>
              </w:rPr>
            </w:pPr>
            <w:r w:rsidRPr="00E356CE">
              <w:rPr>
                <w:b/>
              </w:rPr>
              <w:lastRenderedPageBreak/>
              <w:t>T</w:t>
            </w:r>
          </w:p>
        </w:tc>
        <w:tc>
          <w:tcPr>
            <w:tcW w:w="900" w:type="dxa"/>
            <w:gridSpan w:val="3"/>
            <w:tcBorders>
              <w:top w:val="single" w:sz="4" w:space="0" w:color="auto"/>
              <w:left w:val="single" w:sz="4" w:space="0" w:color="auto"/>
              <w:bottom w:val="single" w:sz="4" w:space="0" w:color="auto"/>
              <w:right w:val="single" w:sz="4" w:space="0" w:color="auto"/>
            </w:tcBorders>
          </w:tcPr>
          <w:p w14:paraId="0DE4C993" w14:textId="2A629C86" w:rsidR="00647362" w:rsidRPr="00E356CE" w:rsidRDefault="00BE7B76" w:rsidP="00FD4694">
            <w:pPr>
              <w:jc w:val="both"/>
            </w:pPr>
            <w:r w:rsidRPr="00E356CE">
              <w:t>Art. 2</w:t>
            </w:r>
            <w:r w:rsidR="00FD4694" w:rsidRPr="00E356CE">
              <w:t>75</w:t>
            </w:r>
          </w:p>
        </w:tc>
        <w:tc>
          <w:tcPr>
            <w:tcW w:w="7410" w:type="dxa"/>
            <w:gridSpan w:val="2"/>
            <w:tcBorders>
              <w:top w:val="single" w:sz="4" w:space="0" w:color="auto"/>
              <w:left w:val="single" w:sz="4" w:space="0" w:color="auto"/>
              <w:bottom w:val="single" w:sz="4" w:space="0" w:color="auto"/>
              <w:right w:val="single" w:sz="4" w:space="0" w:color="auto"/>
            </w:tcBorders>
          </w:tcPr>
          <w:p w14:paraId="66506889" w14:textId="77777777" w:rsidR="00FD4694" w:rsidRPr="00E356CE" w:rsidRDefault="00FD4694" w:rsidP="00FD4694">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Art. 275. 1. Przed wprowadzeniem urządzenia radiowego do obrotu lub oddaniem go do użytku producent, po wystawieniu deklaracji zgodności, umieszcza na urządzeniu oznakowanie CE.</w:t>
            </w:r>
          </w:p>
          <w:p w14:paraId="6513278F" w14:textId="35C74D6D" w:rsidR="00647362" w:rsidRPr="00E356CE" w:rsidRDefault="00FD4694" w:rsidP="00FD4694">
            <w:pPr>
              <w:jc w:val="both"/>
            </w:pPr>
            <w:r w:rsidRPr="00E356CE">
              <w:lastRenderedPageBreak/>
              <w:t>2. Po oznakowaniu CE podaje się numer identyfikacyjny jednostki notyfikowanej, jeżeli stosowana jest procedura oceny zgodności urządzeń radiowych z wymaganiami na podstawie systemu pełnego zapewnienia jakości, o którym mowa w przepisach wykonawczych wydanych na podstawie art. 12 ustawy z dnia 13 kwietnia 2016 r. o systemach oceny zgodności i nadzoru rynku. Numer identyfikacyjny jednostki notyfikowanej musi mieć taką samą wysokość jak oznakowanie CE i umieszczany jest przez jednostkę notyfikowaną lub producenta, według wskazówek jednostki notyfikowanej.</w:t>
            </w:r>
          </w:p>
        </w:tc>
      </w:tr>
      <w:tr w:rsidR="00723799" w:rsidRPr="00E356CE" w14:paraId="594E22D2" w14:textId="77777777" w:rsidTr="56856880">
        <w:tc>
          <w:tcPr>
            <w:tcW w:w="5514" w:type="dxa"/>
            <w:gridSpan w:val="2"/>
            <w:shd w:val="clear" w:color="auto" w:fill="E0E0E0"/>
          </w:tcPr>
          <w:p w14:paraId="281B58A4" w14:textId="77777777" w:rsidR="003F3529" w:rsidRPr="00E356CE" w:rsidRDefault="003F3529" w:rsidP="00A9191A">
            <w:pPr>
              <w:jc w:val="both"/>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3C2457EE" w14:textId="77777777" w:rsidR="003F3529" w:rsidRPr="00E356CE" w:rsidRDefault="003F3529" w:rsidP="00A9191A">
            <w:pPr>
              <w:jc w:val="both"/>
              <w:rPr>
                <w:b/>
              </w:rPr>
            </w:pPr>
            <w:r w:rsidRPr="00E356CE">
              <w:rPr>
                <w:b/>
              </w:rPr>
              <w:t>DYREKTYWA PARLAMENTU EUROPEJSKIEGO I RADY 2014/30/UE Z DNIA 26 LUTEGO 2014 R. W SPRAWIE HARMONIZACJI USTAWODAWSTW PAŃSTW CZŁONKOWSKICH ODNOSZĄCYCH SIĘ DO KOMPATYBILNOŚCI ELEKTROMAGNETYCZNEJ (DZ. URZ. UE L 96 Z 29.03.2014, STR. 79)</w:t>
            </w:r>
          </w:p>
        </w:tc>
      </w:tr>
      <w:tr w:rsidR="00723799" w:rsidRPr="00E356CE" w14:paraId="205B1227" w14:textId="77777777" w:rsidTr="56856880">
        <w:tc>
          <w:tcPr>
            <w:tcW w:w="795" w:type="dxa"/>
          </w:tcPr>
          <w:p w14:paraId="259AB891" w14:textId="77777777" w:rsidR="003F3529" w:rsidRPr="00E356CE" w:rsidRDefault="000337C3" w:rsidP="00A9191A">
            <w:pPr>
              <w:jc w:val="both"/>
              <w:rPr>
                <w:b/>
              </w:rPr>
            </w:pPr>
            <w:r w:rsidRPr="00E356CE">
              <w:rPr>
                <w:b/>
              </w:rPr>
              <w:t>Art. 2</w:t>
            </w:r>
          </w:p>
        </w:tc>
        <w:tc>
          <w:tcPr>
            <w:tcW w:w="4719" w:type="dxa"/>
          </w:tcPr>
          <w:p w14:paraId="3BA76A31" w14:textId="77777777" w:rsidR="000337C3" w:rsidRPr="00E356CE" w:rsidRDefault="000337C3" w:rsidP="00A9191A">
            <w:pPr>
              <w:tabs>
                <w:tab w:val="left" w:pos="510"/>
              </w:tabs>
              <w:jc w:val="center"/>
            </w:pPr>
            <w:r w:rsidRPr="00E356CE">
              <w:rPr>
                <w:i/>
                <w:iCs/>
              </w:rPr>
              <w:t>Artykuł 2</w:t>
            </w:r>
          </w:p>
          <w:p w14:paraId="20A1B9A3" w14:textId="77777777" w:rsidR="000337C3" w:rsidRPr="00E356CE" w:rsidRDefault="000337C3" w:rsidP="00A9191A">
            <w:pPr>
              <w:tabs>
                <w:tab w:val="left" w:pos="510"/>
              </w:tabs>
              <w:jc w:val="center"/>
            </w:pPr>
            <w:r w:rsidRPr="00E356CE">
              <w:rPr>
                <w:b/>
                <w:bCs/>
              </w:rPr>
              <w:t>Zakres</w:t>
            </w:r>
          </w:p>
          <w:p w14:paraId="775B61E7" w14:textId="77777777" w:rsidR="000337C3" w:rsidRPr="00E356CE" w:rsidRDefault="000337C3" w:rsidP="00A9191A">
            <w:pPr>
              <w:tabs>
                <w:tab w:val="left" w:pos="510"/>
              </w:tabs>
              <w:jc w:val="both"/>
            </w:pPr>
            <w:r w:rsidRPr="00E356CE">
              <w:t>1.   Niniejsza dyrektywa ma zastosowanie do urządzeń, o których mowa w art. 3.</w:t>
            </w:r>
          </w:p>
          <w:p w14:paraId="07C7C3E5" w14:textId="77777777" w:rsidR="000337C3" w:rsidRPr="00E356CE" w:rsidRDefault="000337C3" w:rsidP="00A9191A">
            <w:pPr>
              <w:tabs>
                <w:tab w:val="left" w:pos="510"/>
              </w:tabs>
              <w:jc w:val="both"/>
            </w:pPr>
            <w:r w:rsidRPr="00E356CE">
              <w:t>2.   Niniejsza dyrektywa nie ma zastosowania do:</w:t>
            </w:r>
          </w:p>
          <w:p w14:paraId="15B2EE1A" w14:textId="77777777" w:rsidR="000337C3" w:rsidRPr="00E356CE" w:rsidRDefault="000337C3" w:rsidP="00A9191A">
            <w:pPr>
              <w:tabs>
                <w:tab w:val="left" w:pos="510"/>
              </w:tabs>
              <w:jc w:val="both"/>
            </w:pPr>
            <w:r w:rsidRPr="00E356CE">
              <w:t>(...)</w:t>
            </w:r>
          </w:p>
          <w:p w14:paraId="0C6520FB" w14:textId="77777777" w:rsidR="000337C3" w:rsidRPr="00E356CE" w:rsidRDefault="000337C3" w:rsidP="00A9191A">
            <w:pPr>
              <w:tabs>
                <w:tab w:val="left" w:pos="510"/>
              </w:tabs>
              <w:jc w:val="both"/>
            </w:pPr>
            <w:r w:rsidRPr="00E356CE">
              <w:t>b) poniższego wyposażenia lotniczego, w przypadku gdy wyposażenie to wchodzi w zakres stosowania rozporządzenia Parlamentu Europejskiego i Rady (UE) 2018/1139 i jest przeznaczone jedynie do użytkowania w powietrzu:</w:t>
            </w:r>
          </w:p>
          <w:p w14:paraId="1EAF063E" w14:textId="77777777" w:rsidR="000337C3" w:rsidRPr="00E356CE" w:rsidRDefault="000337C3" w:rsidP="00A9191A">
            <w:pPr>
              <w:tabs>
                <w:tab w:val="left" w:pos="510"/>
              </w:tabs>
              <w:jc w:val="both"/>
            </w:pPr>
          </w:p>
          <w:p w14:paraId="3B8F2FD2" w14:textId="77777777" w:rsidR="000337C3" w:rsidRPr="00E356CE" w:rsidRDefault="000337C3" w:rsidP="00A9191A">
            <w:pPr>
              <w:tabs>
                <w:tab w:val="left" w:pos="510"/>
              </w:tabs>
              <w:jc w:val="both"/>
            </w:pPr>
            <w:r w:rsidRPr="00E356CE">
              <w:t>(i) statki powietrzne inne niż bezzałogowe statki powietrzne, a także związane z nimi silniki, śmigła, części i wyposażenie nieinstalowane;</w:t>
            </w:r>
          </w:p>
          <w:p w14:paraId="7F2A6713" w14:textId="77777777" w:rsidR="003F3529" w:rsidRPr="00E356CE" w:rsidRDefault="000337C3" w:rsidP="00A9191A">
            <w:pPr>
              <w:jc w:val="both"/>
            </w:pPr>
            <w:r w:rsidRPr="00E356CE">
              <w:t xml:space="preserve">(ii) bezzałogowe statki powietrzne, a także związane z nimi silniki, śmigła, części i </w:t>
            </w:r>
            <w:r w:rsidRPr="00E356CE">
              <w:lastRenderedPageBreak/>
              <w:t>wyposażenie nieinstalowane, których projekt jest certyfikowany zgodnie z art. 56 ust. 1 tego rozporządzenia i które są przeznaczone jedynie do działania na częstotliwościach przydzielonych w regulacjach radiowych Międzynarodowego Związku Telekomunikacyjnego do celów chronionego użytkowania lotniczego.</w:t>
            </w:r>
          </w:p>
        </w:tc>
        <w:tc>
          <w:tcPr>
            <w:tcW w:w="886" w:type="dxa"/>
          </w:tcPr>
          <w:p w14:paraId="18C1314D" w14:textId="77777777" w:rsidR="003F3529" w:rsidRPr="00E356CE" w:rsidRDefault="003C4E86" w:rsidP="00A9191A">
            <w:pPr>
              <w:jc w:val="both"/>
              <w:rPr>
                <w:b/>
              </w:rPr>
            </w:pPr>
            <w:r w:rsidRPr="00E356CE">
              <w:rPr>
                <w:b/>
              </w:rPr>
              <w:lastRenderedPageBreak/>
              <w:t>T</w:t>
            </w:r>
          </w:p>
        </w:tc>
        <w:tc>
          <w:tcPr>
            <w:tcW w:w="900" w:type="dxa"/>
            <w:gridSpan w:val="3"/>
          </w:tcPr>
          <w:p w14:paraId="468D11F1" w14:textId="23005EA9" w:rsidR="003F3529" w:rsidRPr="00E356CE" w:rsidRDefault="00C35A0A" w:rsidP="003E7950">
            <w:pPr>
              <w:pStyle w:val="Tekstpodstawowy"/>
              <w:rPr>
                <w:noProof/>
                <w:sz w:val="24"/>
                <w:szCs w:val="24"/>
              </w:rPr>
            </w:pPr>
            <w:r w:rsidRPr="00E356CE">
              <w:rPr>
                <w:b/>
                <w:noProof/>
                <w:sz w:val="24"/>
                <w:szCs w:val="24"/>
              </w:rPr>
              <w:t xml:space="preserve">Art. </w:t>
            </w:r>
            <w:r w:rsidR="003E7950" w:rsidRPr="00E356CE">
              <w:rPr>
                <w:b/>
                <w:noProof/>
                <w:sz w:val="24"/>
                <w:szCs w:val="24"/>
              </w:rPr>
              <w:t>32</w:t>
            </w:r>
            <w:r w:rsidRPr="00E356CE">
              <w:rPr>
                <w:b/>
                <w:noProof/>
                <w:sz w:val="24"/>
                <w:szCs w:val="24"/>
              </w:rPr>
              <w:t xml:space="preserve"> pkt 2</w:t>
            </w:r>
            <w:r w:rsidRPr="00E356CE">
              <w:rPr>
                <w:noProof/>
                <w:sz w:val="24"/>
                <w:szCs w:val="24"/>
              </w:rPr>
              <w:t xml:space="preserve"> </w:t>
            </w:r>
            <w:r w:rsidRPr="00E356CE">
              <w:rPr>
                <w:b/>
                <w:bCs/>
                <w:noProof/>
                <w:sz w:val="24"/>
                <w:szCs w:val="24"/>
              </w:rPr>
              <w:t>ustawy wprowadzającej PKE</w:t>
            </w:r>
          </w:p>
        </w:tc>
        <w:tc>
          <w:tcPr>
            <w:tcW w:w="7410" w:type="dxa"/>
            <w:gridSpan w:val="2"/>
          </w:tcPr>
          <w:p w14:paraId="7997053B" w14:textId="2034B559" w:rsidR="000337C3" w:rsidRPr="00E356CE" w:rsidRDefault="003E7950" w:rsidP="00A9191A">
            <w:pPr>
              <w:pStyle w:val="ARTartustawynprozporzdzenia"/>
              <w:spacing w:line="240" w:lineRule="auto"/>
              <w:rPr>
                <w:rFonts w:ascii="Times New Roman" w:hAnsi="Times New Roman" w:cs="Times New Roman"/>
                <w:szCs w:val="24"/>
              </w:rPr>
            </w:pPr>
            <w:r w:rsidRPr="00E356CE">
              <w:rPr>
                <w:rFonts w:ascii="Times New Roman" w:hAnsi="Times New Roman" w:cs="Times New Roman"/>
                <w:b/>
                <w:bCs/>
                <w:szCs w:val="24"/>
              </w:rPr>
              <w:t xml:space="preserve">Art. 32. W ustawie z dnia 13 kwietnia 2007 r. o kompatybilności elektromagnetycznej (Dz. U. z 2019 r. poz. 2388) w art. 5: </w:t>
            </w:r>
            <w:r w:rsidR="000337C3" w:rsidRPr="00E356CE">
              <w:rPr>
                <w:rFonts w:ascii="Times New Roman" w:hAnsi="Times New Roman" w:cs="Times New Roman"/>
                <w:szCs w:val="24"/>
              </w:rPr>
              <w:t>(…)</w:t>
            </w:r>
          </w:p>
          <w:p w14:paraId="0C9DE3B1" w14:textId="77777777" w:rsidR="003E7950" w:rsidRPr="00E356CE" w:rsidRDefault="003E7950" w:rsidP="00A9191A">
            <w:pPr>
              <w:pStyle w:val="ARTartustawynprozporzdzenia"/>
              <w:spacing w:line="240" w:lineRule="auto"/>
              <w:rPr>
                <w:rFonts w:ascii="Times New Roman" w:hAnsi="Times New Roman" w:cs="Times New Roman"/>
                <w:szCs w:val="24"/>
              </w:rPr>
            </w:pPr>
          </w:p>
          <w:p w14:paraId="34122826" w14:textId="5A02681B" w:rsidR="003E7950" w:rsidRPr="00E356CE" w:rsidRDefault="003E7950" w:rsidP="003E7950">
            <w:pPr>
              <w:pStyle w:val="Akapitzlist"/>
              <w:jc w:val="both"/>
            </w:pPr>
            <w:r w:rsidRPr="00E356CE">
              <w:t xml:space="preserve">2. pkt 7 otrzymuje brzmienie: </w:t>
            </w:r>
          </w:p>
          <w:p w14:paraId="69B428C5" w14:textId="2D4457AE" w:rsidR="003E7950" w:rsidRPr="00E356CE" w:rsidRDefault="003E7950" w:rsidP="003E7950">
            <w:pPr>
              <w:pStyle w:val="Akapitzlist"/>
              <w:jc w:val="both"/>
            </w:pPr>
          </w:p>
          <w:p w14:paraId="3F8CEB01" w14:textId="77777777" w:rsidR="003E7950" w:rsidRPr="00E356CE" w:rsidRDefault="003E7950" w:rsidP="003E7950">
            <w:pPr>
              <w:pStyle w:val="Akapitzlist"/>
              <w:ind w:left="138"/>
              <w:jc w:val="both"/>
            </w:pPr>
            <w:r w:rsidRPr="00E356CE">
              <w:t xml:space="preserve">„7) wyposażenia lotniczego objętego przepisami ustawy z dnia 3 lipca 2002 r. – Prawo lotnicze ((Dz. U. z 2019 r. poz. 1580, z </w:t>
            </w:r>
            <w:proofErr w:type="spellStart"/>
            <w:r w:rsidRPr="00E356CE">
              <w:t>poźn</w:t>
            </w:r>
            <w:proofErr w:type="spellEnd"/>
            <w:r w:rsidRPr="00E356CE">
              <w:t xml:space="preserve">. </w:t>
            </w:r>
            <w:proofErr w:type="spellStart"/>
            <w:r w:rsidRPr="00E356CE">
              <w:t>zm</w:t>
            </w:r>
            <w:proofErr w:type="spellEnd"/>
            <w:r w:rsidRPr="00E356CE">
              <w:t xml:space="preserve">) lub następującego wyposażenia lotniczego objętego przepisami Rozporządzenia Parlamentu Europejskiego i Rady (UE) 2018/1139 z dnia 4 lipca 2018 r. w sprawie wspólnych zasad w dziedzinie lotnictwa cywilnego i utworzenia Agencji Unii Europejskiej ds. Bezpieczeństwa Lotniczego oraz zmieniające rozporządzenia Parlamentu Europejskiego i Rady (WE) nr 2111/2005, (WE) nr 1008/2008, (UE) nr 996/2010, (UE) nr 376/2014 i dyrektywy Parlamentu Europejskiego i Rady 2014/30/UE i 2014/53/UE, a także uchylające rozporządzenia Parlamentu Europejskiego i Rady (WE) nr 552/2004 i (WE) nr 216/2008 i rozporządzenie Rady (EWG) nr 3922/912018/1139 (Dz. Urz. UE L 2122 z 22.08.2018, str. 1) i przeznaczonego jedynie do użytkowania w powietrzu: </w:t>
            </w:r>
          </w:p>
          <w:p w14:paraId="1C204C3F" w14:textId="77777777" w:rsidR="003E7950" w:rsidRPr="00E356CE" w:rsidRDefault="003E7950" w:rsidP="003E7950">
            <w:pPr>
              <w:pStyle w:val="Akapitzlist"/>
              <w:ind w:left="138"/>
              <w:jc w:val="both"/>
            </w:pPr>
          </w:p>
          <w:p w14:paraId="1E19E049" w14:textId="77777777" w:rsidR="003E7950" w:rsidRPr="00E356CE" w:rsidRDefault="003E7950" w:rsidP="003E7950">
            <w:pPr>
              <w:pStyle w:val="Akapitzlist"/>
              <w:ind w:left="138"/>
              <w:jc w:val="both"/>
            </w:pPr>
            <w:r w:rsidRPr="00E356CE">
              <w:t xml:space="preserve">a) statki powietrzne inne niż bezzałogowe statki powietrzne, a także związane z nimi silniki, śmigła, części i wyposażenie nieinstalowane, </w:t>
            </w:r>
          </w:p>
          <w:p w14:paraId="61BE0A5D" w14:textId="77777777" w:rsidR="003E7950" w:rsidRPr="00E356CE" w:rsidRDefault="003E7950" w:rsidP="003E7950">
            <w:pPr>
              <w:pStyle w:val="Akapitzlist"/>
              <w:ind w:left="138"/>
              <w:jc w:val="both"/>
            </w:pPr>
          </w:p>
          <w:p w14:paraId="4DF08CEC" w14:textId="52A07451" w:rsidR="003F3529" w:rsidRPr="00E356CE" w:rsidRDefault="003E7950" w:rsidP="003E7950">
            <w:pPr>
              <w:ind w:left="138"/>
              <w:jc w:val="both"/>
            </w:pPr>
            <w:r w:rsidRPr="00E356CE">
              <w:t>b) bezzałogowe statki powietrzne, a także związane z nimi silniki, śmigła, części i wyposażenie nieinstalowane, których projekt jest certyfikowany zgodnie z art. 56 ust. 1 tego rozporządzenia i które są przeznaczone jedynie do działania na częstotliwościach wykorzystywanych w lotnictwie, zgodnie z przeznaczeniem określonym w Krajowej Tablicy Przeznaczeń Częstotliwości;”;</w:t>
            </w:r>
          </w:p>
        </w:tc>
      </w:tr>
      <w:tr w:rsidR="00723799" w:rsidRPr="00E356CE" w14:paraId="0FEFE564" w14:textId="77777777" w:rsidTr="56856880">
        <w:tc>
          <w:tcPr>
            <w:tcW w:w="795" w:type="dxa"/>
          </w:tcPr>
          <w:p w14:paraId="60D42288" w14:textId="77777777" w:rsidR="000337C3" w:rsidRPr="00E356CE" w:rsidRDefault="00C35A0A" w:rsidP="00A9191A">
            <w:pPr>
              <w:jc w:val="both"/>
            </w:pPr>
            <w:r w:rsidRPr="00E356CE">
              <w:lastRenderedPageBreak/>
              <w:t>Art. 3 ust. 1 pkt 2</w:t>
            </w:r>
          </w:p>
        </w:tc>
        <w:tc>
          <w:tcPr>
            <w:tcW w:w="4719" w:type="dxa"/>
          </w:tcPr>
          <w:p w14:paraId="453D965F" w14:textId="77777777" w:rsidR="00C35A0A" w:rsidRPr="00E356CE" w:rsidRDefault="00C35A0A" w:rsidP="00A9191A">
            <w:pPr>
              <w:ind w:left="510" w:hanging="510"/>
              <w:jc w:val="both"/>
              <w:rPr>
                <w:b/>
              </w:rPr>
            </w:pPr>
            <w:r w:rsidRPr="00E356CE">
              <w:rPr>
                <w:b/>
              </w:rPr>
              <w:t>Artykuł 3 Definicje</w:t>
            </w:r>
          </w:p>
          <w:p w14:paraId="66BE819E" w14:textId="77777777" w:rsidR="00C35A0A" w:rsidRPr="00E356CE" w:rsidRDefault="00C35A0A" w:rsidP="00A9191A">
            <w:pPr>
              <w:ind w:left="510" w:hanging="510"/>
              <w:jc w:val="both"/>
            </w:pPr>
          </w:p>
          <w:p w14:paraId="357F72B3" w14:textId="77777777" w:rsidR="00C35A0A" w:rsidRPr="00E356CE" w:rsidRDefault="00C35A0A" w:rsidP="00A9191A">
            <w:pPr>
              <w:pStyle w:val="Akapitzlist"/>
              <w:framePr w:hSpace="141" w:wrap="around" w:vAnchor="text" w:hAnchor="text" w:xAlign="right" w:y="1"/>
              <w:numPr>
                <w:ilvl w:val="0"/>
                <w:numId w:val="8"/>
              </w:numPr>
              <w:tabs>
                <w:tab w:val="left" w:pos="510"/>
              </w:tabs>
              <w:suppressOverlap/>
              <w:jc w:val="both"/>
            </w:pPr>
            <w:r w:rsidRPr="00E356CE">
              <w:t xml:space="preserve">Do celów niniejszej dyrektywy stosuje się następujące definicje: </w:t>
            </w:r>
          </w:p>
          <w:p w14:paraId="756010DF" w14:textId="77777777" w:rsidR="00C35A0A" w:rsidRPr="00E356CE" w:rsidRDefault="00C35A0A" w:rsidP="00A9191A">
            <w:pPr>
              <w:pStyle w:val="Akapitzlist"/>
              <w:framePr w:hSpace="141" w:wrap="around" w:vAnchor="text" w:hAnchor="text" w:xAlign="right" w:y="1"/>
              <w:tabs>
                <w:tab w:val="left" w:pos="510"/>
              </w:tabs>
              <w:suppressOverlap/>
              <w:jc w:val="both"/>
            </w:pPr>
          </w:p>
          <w:p w14:paraId="01741EAC" w14:textId="77777777" w:rsidR="000337C3" w:rsidRPr="00E356CE" w:rsidRDefault="00C35A0A" w:rsidP="00A9191A">
            <w:pPr>
              <w:spacing w:before="60" w:after="120"/>
              <w:jc w:val="both"/>
              <w:rPr>
                <w:b/>
                <w:bCs/>
              </w:rPr>
            </w:pPr>
            <w:r w:rsidRPr="00E356CE">
              <w:t>2) „aparatura” oznacza każde gotowe urządzenie lub ich kombinacje udostępnione na rynku jako pojedyncze jednostki funkcjonalne przeznaczone dla użytkownika końcowego i które mogą wytwarzać zaburzenia elektromagnetyczne, lub na których działanie takie zaburzenia mogą mieć wpływ;</w:t>
            </w:r>
          </w:p>
        </w:tc>
        <w:tc>
          <w:tcPr>
            <w:tcW w:w="886" w:type="dxa"/>
          </w:tcPr>
          <w:p w14:paraId="5EC95013" w14:textId="77777777" w:rsidR="000337C3" w:rsidRPr="00E356CE" w:rsidRDefault="003C4E86" w:rsidP="00A9191A">
            <w:pPr>
              <w:jc w:val="both"/>
              <w:rPr>
                <w:b/>
              </w:rPr>
            </w:pPr>
            <w:r w:rsidRPr="00E356CE">
              <w:rPr>
                <w:b/>
              </w:rPr>
              <w:t>T</w:t>
            </w:r>
          </w:p>
        </w:tc>
        <w:tc>
          <w:tcPr>
            <w:tcW w:w="900" w:type="dxa"/>
            <w:gridSpan w:val="3"/>
          </w:tcPr>
          <w:p w14:paraId="6C11CD74" w14:textId="77777777" w:rsidR="000337C3" w:rsidRPr="00E356CE" w:rsidRDefault="00C35A0A" w:rsidP="00A9191A">
            <w:pPr>
              <w:pStyle w:val="Tekstpodstawowy"/>
              <w:rPr>
                <w:noProof/>
                <w:sz w:val="24"/>
                <w:szCs w:val="24"/>
              </w:rPr>
            </w:pPr>
            <w:r w:rsidRPr="00E356CE">
              <w:rPr>
                <w:noProof/>
                <w:sz w:val="24"/>
                <w:szCs w:val="24"/>
              </w:rPr>
              <w:t>Art. 2 pkt 3</w:t>
            </w:r>
          </w:p>
        </w:tc>
        <w:tc>
          <w:tcPr>
            <w:tcW w:w="7410" w:type="dxa"/>
            <w:gridSpan w:val="2"/>
          </w:tcPr>
          <w:p w14:paraId="0203DDAB" w14:textId="77777777" w:rsidR="00C35A0A" w:rsidRPr="00E356CE" w:rsidRDefault="00C35A0A" w:rsidP="00A9191A">
            <w:pPr>
              <w:pStyle w:val="ARTartustawynprozporzdzenia"/>
              <w:spacing w:line="240" w:lineRule="auto"/>
              <w:rPr>
                <w:rFonts w:ascii="Times New Roman" w:hAnsi="Times New Roman" w:cs="Times New Roman"/>
                <w:szCs w:val="24"/>
                <w:lang w:eastAsia="en-US"/>
              </w:rPr>
            </w:pPr>
            <w:r w:rsidRPr="00E356CE">
              <w:rPr>
                <w:rFonts w:ascii="Times New Roman" w:hAnsi="Times New Roman" w:cs="Times New Roman"/>
                <w:szCs w:val="24"/>
                <w:lang w:eastAsia="en-US"/>
              </w:rPr>
              <w:t>Art. 2. Określenia użyte w ustawie oznaczają:</w:t>
            </w:r>
          </w:p>
          <w:p w14:paraId="695BACC7" w14:textId="0857D44F" w:rsidR="00C35A0A" w:rsidRPr="00E356CE" w:rsidRDefault="009D6A12" w:rsidP="009D6A12">
            <w:pPr>
              <w:pStyle w:val="PKTpunkt"/>
              <w:numPr>
                <w:ilvl w:val="0"/>
                <w:numId w:val="9"/>
              </w:numPr>
              <w:spacing w:line="240" w:lineRule="auto"/>
              <w:rPr>
                <w:rFonts w:ascii="Times New Roman" w:hAnsi="Times New Roman" w:cs="Times New Roman"/>
                <w:szCs w:val="24"/>
                <w:lang w:eastAsia="en-US"/>
              </w:rPr>
            </w:pPr>
            <w:r w:rsidRPr="00E356CE">
              <w:rPr>
                <w:rFonts w:ascii="Times New Roman" w:hAnsi="Times New Roman" w:cs="Times New Roman"/>
                <w:szCs w:val="24"/>
                <w:lang w:eastAsia="en-US"/>
              </w:rPr>
              <w:t>aparatura ¬ aparaturę w rozumieniu przepisów ustawy z dnia 13 kwietnia 2007 r. o kompatybilności elektromagnetycznej (Dz. U. z 2019 r. poz. 2388);</w:t>
            </w:r>
          </w:p>
          <w:p w14:paraId="556CB212" w14:textId="77777777" w:rsidR="009D6A12" w:rsidRPr="00E356CE" w:rsidRDefault="009D6A12" w:rsidP="009D6A12">
            <w:pPr>
              <w:pStyle w:val="PKTpunkt"/>
              <w:spacing w:line="240" w:lineRule="auto"/>
              <w:ind w:left="720" w:firstLine="0"/>
              <w:rPr>
                <w:rFonts w:ascii="Times New Roman" w:hAnsi="Times New Roman" w:cs="Times New Roman"/>
                <w:szCs w:val="24"/>
              </w:rPr>
            </w:pPr>
          </w:p>
          <w:p w14:paraId="7D004F52" w14:textId="77777777" w:rsidR="000337C3" w:rsidRPr="00E356CE" w:rsidRDefault="00C35A0A" w:rsidP="00A9191A">
            <w:pPr>
              <w:jc w:val="both"/>
            </w:pPr>
            <w:r w:rsidRPr="00E356CE">
              <w:t>[Główne wdrożenie dyrektywy 2014/30/UE nastąpiło w ustawie z dnia 13 kwietnia 2007 r. o kompatybilności elektromagnetycznej, w Pke natomiast znajdują się regulacje dotyczące m.in. kontroli w zakresie zgodności z przepisami dyrektywy EMC stąd potrzeba w Pke posłużenia się definicjami z ustawy o kompatybilności elektromagnetycznej]</w:t>
            </w:r>
          </w:p>
        </w:tc>
      </w:tr>
      <w:tr w:rsidR="00723799" w:rsidRPr="00E356CE" w14:paraId="6CA7F6E3" w14:textId="77777777" w:rsidTr="56856880">
        <w:tc>
          <w:tcPr>
            <w:tcW w:w="795" w:type="dxa"/>
          </w:tcPr>
          <w:p w14:paraId="013FF6B0" w14:textId="7BF66BB4" w:rsidR="000337C3" w:rsidRPr="00E356CE" w:rsidRDefault="009D6A12" w:rsidP="00A9191A">
            <w:pPr>
              <w:jc w:val="both"/>
              <w:rPr>
                <w:b/>
              </w:rPr>
            </w:pPr>
            <w:r w:rsidRPr="00E356CE">
              <w:rPr>
                <w:b/>
              </w:rPr>
              <w:t>Rozdział 5</w:t>
            </w:r>
          </w:p>
        </w:tc>
        <w:tc>
          <w:tcPr>
            <w:tcW w:w="4719" w:type="dxa"/>
          </w:tcPr>
          <w:p w14:paraId="0DE76ABF" w14:textId="77777777" w:rsidR="000337C3" w:rsidRPr="00E356CE" w:rsidRDefault="00F248AE" w:rsidP="00A9191A">
            <w:pPr>
              <w:spacing w:before="60" w:after="120"/>
              <w:jc w:val="both"/>
              <w:rPr>
                <w:b/>
                <w:bCs/>
              </w:rPr>
            </w:pPr>
            <w:r w:rsidRPr="00E356CE">
              <w:t>ROZDZIAŁ 5 NADZÓR RYNKU UNIJNEGO I KONTROLA APARATURY WPROWADZANEJ NA RYNEK UNII ORAZ PROCEDURA OCHRONNA NA POZIOMIE UNII</w:t>
            </w:r>
          </w:p>
        </w:tc>
        <w:tc>
          <w:tcPr>
            <w:tcW w:w="886" w:type="dxa"/>
          </w:tcPr>
          <w:p w14:paraId="01F6ECB2" w14:textId="77777777" w:rsidR="000337C3" w:rsidRPr="00E356CE" w:rsidRDefault="003C4E86" w:rsidP="00A9191A">
            <w:pPr>
              <w:jc w:val="both"/>
              <w:rPr>
                <w:b/>
              </w:rPr>
            </w:pPr>
            <w:r w:rsidRPr="00E356CE">
              <w:rPr>
                <w:b/>
              </w:rPr>
              <w:t>T</w:t>
            </w:r>
          </w:p>
        </w:tc>
        <w:tc>
          <w:tcPr>
            <w:tcW w:w="900" w:type="dxa"/>
            <w:gridSpan w:val="3"/>
          </w:tcPr>
          <w:p w14:paraId="78E31654" w14:textId="470DB397" w:rsidR="000337C3" w:rsidRPr="00E356CE" w:rsidRDefault="009D6A12" w:rsidP="00A9191A">
            <w:pPr>
              <w:pStyle w:val="Tekstpodstawowy"/>
              <w:rPr>
                <w:noProof/>
                <w:sz w:val="24"/>
                <w:szCs w:val="24"/>
              </w:rPr>
            </w:pPr>
            <w:r w:rsidRPr="00E356CE">
              <w:rPr>
                <w:noProof/>
                <w:sz w:val="24"/>
                <w:szCs w:val="24"/>
              </w:rPr>
              <w:t>Dział VIII, rozdział 2</w:t>
            </w:r>
          </w:p>
        </w:tc>
        <w:tc>
          <w:tcPr>
            <w:tcW w:w="7410" w:type="dxa"/>
            <w:gridSpan w:val="2"/>
          </w:tcPr>
          <w:p w14:paraId="3ADC9CC7" w14:textId="440E3AFA" w:rsidR="00F248AE" w:rsidRPr="00E356CE" w:rsidRDefault="009D6A12" w:rsidP="009D6A12">
            <w:pPr>
              <w:pStyle w:val="ROZDZODDZOZNoznaczenierozdziauluboddziau"/>
              <w:spacing w:line="240" w:lineRule="auto"/>
              <w:jc w:val="left"/>
              <w:rPr>
                <w:rFonts w:ascii="Times New Roman" w:hAnsi="Times New Roman" w:cs="Times New Roman"/>
                <w:b/>
              </w:rPr>
            </w:pPr>
            <w:r w:rsidRPr="00E356CE">
              <w:rPr>
                <w:rFonts w:ascii="Times New Roman" w:hAnsi="Times New Roman" w:cs="Times New Roman"/>
                <w:b/>
              </w:rPr>
              <w:t>Przepisy Dzia</w:t>
            </w:r>
            <w:r w:rsidR="00F248AE" w:rsidRPr="00E356CE">
              <w:rPr>
                <w:rFonts w:ascii="Times New Roman" w:hAnsi="Times New Roman" w:cs="Times New Roman"/>
                <w:b/>
              </w:rPr>
              <w:t xml:space="preserve">łu VIII. rozdziału 2. </w:t>
            </w:r>
            <w:r w:rsidR="00F248AE" w:rsidRPr="00E356CE">
              <w:rPr>
                <w:rFonts w:ascii="Times New Roman" w:hAnsi="Times New Roman" w:cs="Times New Roman"/>
                <w:b/>
                <w:lang w:eastAsia="en-US"/>
              </w:rPr>
              <w:t>Działania kontrolne</w:t>
            </w:r>
            <w:r w:rsidR="00F248AE" w:rsidRPr="00E356CE">
              <w:rPr>
                <w:rFonts w:ascii="Times New Roman" w:hAnsi="Times New Roman" w:cs="Times New Roman"/>
                <w:b/>
              </w:rPr>
              <w:t xml:space="preserve"> Prezesa UKE</w:t>
            </w:r>
          </w:p>
          <w:p w14:paraId="3C7741A7" w14:textId="77777777" w:rsidR="00F248AE" w:rsidRPr="00E356CE" w:rsidRDefault="00F248AE" w:rsidP="00A9191A">
            <w:pPr>
              <w:pStyle w:val="ARTartustawynprozporzdzenia"/>
              <w:spacing w:line="240" w:lineRule="auto"/>
              <w:ind w:firstLine="0"/>
              <w:rPr>
                <w:rFonts w:ascii="Times New Roman" w:hAnsi="Times New Roman" w:cs="Times New Roman"/>
                <w:szCs w:val="24"/>
              </w:rPr>
            </w:pPr>
            <w:r w:rsidRPr="00E356CE">
              <w:rPr>
                <w:rFonts w:ascii="Times New Roman" w:hAnsi="Times New Roman" w:cs="Times New Roman"/>
                <w:szCs w:val="24"/>
              </w:rPr>
              <w:t>w szczególności:</w:t>
            </w:r>
          </w:p>
          <w:p w14:paraId="296BFCFE" w14:textId="77777777" w:rsidR="009D6A12" w:rsidRPr="00E356CE" w:rsidRDefault="009D6A12" w:rsidP="009D6A12">
            <w:pPr>
              <w:pStyle w:val="ARTartustawynprozporzdzenia"/>
              <w:spacing w:line="240" w:lineRule="auto"/>
              <w:ind w:firstLine="0"/>
              <w:rPr>
                <w:rFonts w:ascii="Times New Roman" w:hAnsi="Times New Roman" w:cs="Times New Roman"/>
                <w:szCs w:val="24"/>
              </w:rPr>
            </w:pPr>
            <w:r w:rsidRPr="00E356CE">
              <w:rPr>
                <w:rFonts w:ascii="Times New Roman" w:hAnsi="Times New Roman" w:cs="Times New Roman"/>
                <w:b/>
                <w:szCs w:val="24"/>
              </w:rPr>
              <w:t>Art. 416.</w:t>
            </w:r>
            <w:r w:rsidRPr="00E356CE">
              <w:rPr>
                <w:rFonts w:ascii="Times New Roman" w:hAnsi="Times New Roman" w:cs="Times New Roman"/>
                <w:szCs w:val="24"/>
              </w:rPr>
              <w:t xml:space="preserve"> 1. Prezes UKE jest uprawniony do weryfikacji przestrzegania przepisów, decyzji oraz postanowień z zakresu komunikacji elektronicznej lub spełniania wymagań dotyczących kompatybilności elektromagnetycznej.</w:t>
            </w:r>
          </w:p>
          <w:p w14:paraId="16CC3A31" w14:textId="77777777" w:rsidR="009D6A12" w:rsidRPr="00E356CE" w:rsidRDefault="009D6A12" w:rsidP="009D6A12">
            <w:pPr>
              <w:pStyle w:val="ARTartustawynprozporzdzenia"/>
              <w:numPr>
                <w:ilvl w:val="0"/>
                <w:numId w:val="8"/>
              </w:numPr>
              <w:spacing w:line="240" w:lineRule="auto"/>
              <w:rPr>
                <w:rFonts w:ascii="Times New Roman" w:hAnsi="Times New Roman" w:cs="Times New Roman"/>
                <w:szCs w:val="24"/>
              </w:rPr>
            </w:pPr>
            <w:r w:rsidRPr="00E356CE">
              <w:rPr>
                <w:rFonts w:ascii="Times New Roman" w:hAnsi="Times New Roman" w:cs="Times New Roman"/>
                <w:szCs w:val="24"/>
              </w:rPr>
              <w:t xml:space="preserve">W ramach weryfikacji, o której mowa w ust. 1, Prezes UKE może w szczególności monitorować częstotliwości, lokalizować źródła </w:t>
            </w:r>
            <w:r w:rsidRPr="00E356CE">
              <w:rPr>
                <w:rFonts w:ascii="Times New Roman" w:hAnsi="Times New Roman" w:cs="Times New Roman"/>
                <w:szCs w:val="24"/>
              </w:rPr>
              <w:lastRenderedPageBreak/>
              <w:t>zakłóceń lub nielegalnych emisji,  prowadzić kontrole i postępowania pokontrolne.</w:t>
            </w:r>
          </w:p>
          <w:p w14:paraId="5DF0A12E" w14:textId="77777777" w:rsidR="009D6A12" w:rsidRPr="00E356CE" w:rsidRDefault="009D6A12" w:rsidP="009D6A12">
            <w:pPr>
              <w:pStyle w:val="ARTartustawynprozporzdzenia"/>
              <w:spacing w:line="240" w:lineRule="auto"/>
              <w:ind w:left="720" w:firstLine="0"/>
              <w:rPr>
                <w:rFonts w:ascii="Times New Roman" w:hAnsi="Times New Roman" w:cs="Times New Roman"/>
                <w:szCs w:val="24"/>
              </w:rPr>
            </w:pPr>
          </w:p>
          <w:p w14:paraId="357696CB" w14:textId="27777280" w:rsidR="009D6A12" w:rsidRPr="00E356CE" w:rsidRDefault="009D6A12" w:rsidP="009D6A12">
            <w:pPr>
              <w:pStyle w:val="ARTartustawynprozporzdzenia"/>
              <w:spacing w:line="240" w:lineRule="auto"/>
              <w:ind w:firstLine="0"/>
              <w:rPr>
                <w:rFonts w:ascii="Times New Roman" w:hAnsi="Times New Roman" w:cs="Times New Roman"/>
                <w:b/>
                <w:szCs w:val="24"/>
              </w:rPr>
            </w:pPr>
            <w:r w:rsidRPr="00E356CE">
              <w:rPr>
                <w:rFonts w:ascii="Times New Roman" w:hAnsi="Times New Roman" w:cs="Times New Roman"/>
                <w:b/>
                <w:szCs w:val="24"/>
              </w:rPr>
              <w:t>Art. 417</w:t>
            </w:r>
            <w:r w:rsidR="00F248AE" w:rsidRPr="00E356CE">
              <w:rPr>
                <w:rFonts w:ascii="Times New Roman" w:hAnsi="Times New Roman" w:cs="Times New Roman"/>
                <w:b/>
                <w:szCs w:val="24"/>
              </w:rPr>
              <w:t xml:space="preserve"> ust. 3</w:t>
            </w:r>
          </w:p>
          <w:p w14:paraId="79334F9C" w14:textId="5E386B3B" w:rsidR="009D6A12" w:rsidRPr="00E356CE" w:rsidRDefault="009D6A12" w:rsidP="009D6A12">
            <w:pPr>
              <w:pStyle w:val="ARTartustawynprozporzdzenia"/>
              <w:spacing w:line="240" w:lineRule="auto"/>
              <w:ind w:firstLine="0"/>
              <w:rPr>
                <w:bCs/>
              </w:rPr>
            </w:pPr>
            <w:r w:rsidRPr="00E356CE">
              <w:rPr>
                <w:bCs/>
              </w:rPr>
              <w:t>3. Prezes UKE jest uprawniony do kontroli znajdującej się w obrocie lub oddanej do użytku aparatury w zakresie spełniania wymagań określonych w dyrektywie Parlamentu Europejskiego i Rady 2014/30/UE z dnia 26 lutego 2014 r. w sprawie harmonizacji ustawodawstw państw członkowskich odnoszących się do kompatybilności elektromagnetycznej (Dz. Urz. UE L 96 z 29.03.2014, str. 79) i urządzeń radiowych w zakresie spełniania wymagań określonych w dyrektywie Parlamentu Europejskiego i Rady 2014/53/UE z dnia 16 kwietnia 2014 r. w sprawie harmonizacji ustawodawstw państw członkowskich dotyczących udostępniania na rynku urządzeń radiowych i uchylającą dyrektywę 1999/5/WE (Dz. Urz. UE L 153 z 22.05.2014, str. 62).</w:t>
            </w:r>
          </w:p>
          <w:p w14:paraId="02FC8DC3" w14:textId="57126ED9" w:rsidR="00F248AE" w:rsidRPr="00E356CE" w:rsidRDefault="00F248AE" w:rsidP="00A9191A">
            <w:pPr>
              <w:pStyle w:val="ARTartustawynprozporzdzenia"/>
              <w:spacing w:line="240" w:lineRule="auto"/>
              <w:ind w:firstLine="0"/>
              <w:rPr>
                <w:rFonts w:ascii="Times New Roman" w:hAnsi="Times New Roman" w:cs="Times New Roman"/>
                <w:szCs w:val="24"/>
              </w:rPr>
            </w:pPr>
          </w:p>
          <w:p w14:paraId="655DCB34" w14:textId="77777777" w:rsidR="009D6A12" w:rsidRPr="00E356CE" w:rsidRDefault="009D6A12" w:rsidP="009D6A12">
            <w:pPr>
              <w:pStyle w:val="ARTartustawynprozporzdzenia"/>
              <w:spacing w:line="240" w:lineRule="auto"/>
              <w:ind w:firstLine="0"/>
              <w:rPr>
                <w:rFonts w:ascii="Times New Roman" w:hAnsi="Times New Roman" w:cs="Times New Roman"/>
                <w:szCs w:val="24"/>
              </w:rPr>
            </w:pPr>
            <w:r w:rsidRPr="00E356CE">
              <w:rPr>
                <w:rFonts w:ascii="Times New Roman" w:hAnsi="Times New Roman" w:cs="Times New Roman"/>
                <w:b/>
                <w:szCs w:val="24"/>
              </w:rPr>
              <w:t>Art. 419</w:t>
            </w:r>
            <w:r w:rsidRPr="00E356CE">
              <w:rPr>
                <w:rFonts w:ascii="Times New Roman" w:hAnsi="Times New Roman" w:cs="Times New Roman"/>
                <w:szCs w:val="24"/>
              </w:rPr>
              <w:t>. 1. Pracownikom UKE przysługuje, po okazaniu legitymacji służbowej oraz doręczeniu upoważnienia do przeprowadzenia kontroli, prawo:</w:t>
            </w:r>
          </w:p>
          <w:p w14:paraId="5A497423"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1) </w:t>
            </w:r>
            <w:r w:rsidRPr="00E356CE">
              <w:rPr>
                <w:rFonts w:ascii="Times New Roman" w:hAnsi="Times New Roman" w:cs="Times New Roman"/>
                <w:szCs w:val="24"/>
              </w:rPr>
              <w:tab/>
              <w:t>dostępu do materiałów, dokumentów oraz innych danych niezbędnych do przeprowadzenia kontroli, a także sporządzania ich kopii;</w:t>
            </w:r>
          </w:p>
          <w:p w14:paraId="4EF95248"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2) </w:t>
            </w:r>
            <w:r w:rsidRPr="00E356CE">
              <w:rPr>
                <w:rFonts w:ascii="Times New Roman" w:hAnsi="Times New Roman" w:cs="Times New Roman"/>
                <w:szCs w:val="24"/>
              </w:rPr>
              <w:tab/>
              <w:t>wstępu do wszystkich obiektów i nieruchomości oraz pomieszczeń podmiotu podlegającego kontroli, zwanego dalej „podmiotem kontrolowanym”;</w:t>
            </w:r>
          </w:p>
          <w:p w14:paraId="4DD67FC1"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3) </w:t>
            </w:r>
            <w:r w:rsidRPr="00E356CE">
              <w:rPr>
                <w:rFonts w:ascii="Times New Roman" w:hAnsi="Times New Roman" w:cs="Times New Roman"/>
                <w:szCs w:val="24"/>
              </w:rPr>
              <w:tab/>
              <w:t>prowadzenia oględzin kontrolowanych sieci telekomunikacyjnych i aparatury;</w:t>
            </w:r>
          </w:p>
          <w:p w14:paraId="38EFE2A9"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lastRenderedPageBreak/>
              <w:t xml:space="preserve">4) </w:t>
            </w:r>
            <w:r w:rsidRPr="00E356CE">
              <w:rPr>
                <w:rFonts w:ascii="Times New Roman" w:hAnsi="Times New Roman" w:cs="Times New Roman"/>
                <w:szCs w:val="24"/>
              </w:rPr>
              <w:tab/>
              <w:t>zabezpieczenia przed dalszym używaniem lub przyjęcia do depozytu urządzeń radiowych używanych bez wymaganego pozwolenia lub obsługiwanych przez nieuprawnioną osobę;</w:t>
            </w:r>
          </w:p>
          <w:p w14:paraId="65D7352D"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5) </w:t>
            </w:r>
            <w:r w:rsidRPr="00E356CE">
              <w:rPr>
                <w:rFonts w:ascii="Times New Roman" w:hAnsi="Times New Roman" w:cs="Times New Roman"/>
                <w:szCs w:val="24"/>
              </w:rPr>
              <w:tab/>
              <w:t>czasowego zajęcia aparatury w trybie, o którym mowa w art. 430, w celu przeprowadzenia badań prowadzących do ustalenia przyczyn szkodliwych zakłóceń;</w:t>
            </w:r>
          </w:p>
          <w:p w14:paraId="0C1FD9A4"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6) </w:t>
            </w:r>
            <w:r w:rsidRPr="00E356CE">
              <w:rPr>
                <w:rFonts w:ascii="Times New Roman" w:hAnsi="Times New Roman" w:cs="Times New Roman"/>
                <w:szCs w:val="24"/>
              </w:rPr>
              <w:tab/>
              <w:t>nieodpłatnego pobierania próbek wprowadzonej do obrotu lub oddanej do użytku aparatury, w tym telekomunikacyjnych urządzeń końcowych i urządzeń radiowych, w celu przeprowadzenia badań w zakresie spełniania przez tę aparaturę wymagań oraz zatrzymania próbek do czasu prawomocnego zakończenia postępowania;</w:t>
            </w:r>
          </w:p>
          <w:p w14:paraId="3CED1755"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7) </w:t>
            </w:r>
            <w:r w:rsidRPr="00E356CE">
              <w:rPr>
                <w:rFonts w:ascii="Times New Roman" w:hAnsi="Times New Roman" w:cs="Times New Roman"/>
                <w:szCs w:val="24"/>
              </w:rPr>
              <w:tab/>
              <w:t>nieodpłatnego pobierania próbek wprowadzonych do obrotu lub oddanych do użytku wyrobów, o których mowa w art. 417 ust. 1, oraz zatrzymania próbek do czasu prawomocnego zakończenia postępowania;</w:t>
            </w:r>
          </w:p>
          <w:p w14:paraId="6EA4FEE7"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8) </w:t>
            </w:r>
            <w:r w:rsidRPr="00E356CE">
              <w:rPr>
                <w:rFonts w:ascii="Times New Roman" w:hAnsi="Times New Roman" w:cs="Times New Roman"/>
                <w:szCs w:val="24"/>
              </w:rPr>
              <w:tab/>
              <w:t>nieodpłatnego pobierania próbek wprowadzanych do obrotu lub oddawanych do użytku produktów, o których mowa w art. 417 ust. 2, oraz zatrzymania próbek do czasu prawomocnego zakończenia postępowania;</w:t>
            </w:r>
          </w:p>
          <w:p w14:paraId="4AD3DAC1" w14:textId="77777777" w:rsidR="009D6A12" w:rsidRPr="00E356CE" w:rsidRDefault="009D6A12" w:rsidP="009D6A12">
            <w:pPr>
              <w:pStyle w:val="ARTartustawynprozporzdzenia"/>
              <w:spacing w:line="240" w:lineRule="auto"/>
              <w:rPr>
                <w:rFonts w:ascii="Times New Roman" w:hAnsi="Times New Roman" w:cs="Times New Roman"/>
                <w:szCs w:val="24"/>
              </w:rPr>
            </w:pPr>
            <w:r w:rsidRPr="00E356CE">
              <w:rPr>
                <w:rFonts w:ascii="Times New Roman" w:hAnsi="Times New Roman" w:cs="Times New Roman"/>
                <w:szCs w:val="24"/>
              </w:rPr>
              <w:t xml:space="preserve">9) </w:t>
            </w:r>
            <w:r w:rsidRPr="00E356CE">
              <w:rPr>
                <w:rFonts w:ascii="Times New Roman" w:hAnsi="Times New Roman" w:cs="Times New Roman"/>
                <w:szCs w:val="24"/>
              </w:rPr>
              <w:tab/>
              <w:t>wykonywania czynności kontrolno-pomiarowych, badań sieci telekomunikacyjnych, urządzeń telekomunikacyjnych oraz innej aparatury, a także kontroli jakości świadczonych usług komunikacji elektronicznej;</w:t>
            </w:r>
          </w:p>
          <w:p w14:paraId="3E556246" w14:textId="3C7BFB40" w:rsidR="000337C3" w:rsidRPr="00E356CE" w:rsidRDefault="009D6A12" w:rsidP="009D6A12">
            <w:pPr>
              <w:pStyle w:val="PKTpunkt"/>
              <w:spacing w:line="240" w:lineRule="auto"/>
              <w:rPr>
                <w:rFonts w:ascii="Times New Roman" w:hAnsi="Times New Roman" w:cs="Times New Roman"/>
                <w:szCs w:val="24"/>
              </w:rPr>
            </w:pPr>
            <w:r w:rsidRPr="00E356CE">
              <w:rPr>
                <w:rFonts w:ascii="Times New Roman" w:hAnsi="Times New Roman" w:cs="Times New Roman"/>
                <w:szCs w:val="24"/>
              </w:rPr>
              <w:t xml:space="preserve">10) </w:t>
            </w:r>
            <w:r w:rsidRPr="00E356CE">
              <w:rPr>
                <w:rFonts w:ascii="Times New Roman" w:hAnsi="Times New Roman" w:cs="Times New Roman"/>
                <w:szCs w:val="24"/>
              </w:rPr>
              <w:tab/>
              <w:t>legitymowania osoby w celu stwierdzenia jej tożsamości, jeżeli jest to niezbędne na potrzeby kontroli.</w:t>
            </w:r>
          </w:p>
        </w:tc>
      </w:tr>
      <w:tr w:rsidR="00723799" w:rsidRPr="00E356CE" w14:paraId="39303907" w14:textId="77777777" w:rsidTr="56856880">
        <w:tc>
          <w:tcPr>
            <w:tcW w:w="5514" w:type="dxa"/>
            <w:gridSpan w:val="2"/>
            <w:shd w:val="clear" w:color="auto" w:fill="E0E0E0"/>
          </w:tcPr>
          <w:p w14:paraId="02B74C0B" w14:textId="77777777" w:rsidR="009D656C" w:rsidRPr="00E356CE" w:rsidRDefault="009D656C" w:rsidP="00A9191A">
            <w:pPr>
              <w:jc w:val="both"/>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4CECF2EC" w14:textId="77777777" w:rsidR="009D656C" w:rsidRPr="00E356CE" w:rsidRDefault="005863C8" w:rsidP="00A9191A">
            <w:pPr>
              <w:autoSpaceDE w:val="0"/>
              <w:autoSpaceDN w:val="0"/>
              <w:jc w:val="both"/>
              <w:rPr>
                <w:b/>
              </w:rPr>
            </w:pPr>
            <w:r w:rsidRPr="00E356CE">
              <w:rPr>
                <w:b/>
              </w:rPr>
              <w:t>Dyrektywa 2002/65/WE Parlamentu Europejskiego i Rady z dnia 23 września 2002 r. dotycząca sprzedaży konsumentom usług finansowych na odległość oraz zmieniająca dyrektywę Rady 90/619/EWG oraz dyrektywy 97/7/WE i 98/27/W</w:t>
            </w:r>
          </w:p>
        </w:tc>
      </w:tr>
      <w:tr w:rsidR="00723799" w:rsidRPr="00E356CE" w14:paraId="5AB6EF75" w14:textId="77777777" w:rsidTr="56856880">
        <w:tc>
          <w:tcPr>
            <w:tcW w:w="795" w:type="dxa"/>
          </w:tcPr>
          <w:p w14:paraId="0A08A49A" w14:textId="77777777" w:rsidR="009D656C" w:rsidRPr="00E356CE" w:rsidRDefault="009D656C" w:rsidP="00A9191A">
            <w:pPr>
              <w:jc w:val="both"/>
              <w:rPr>
                <w:b/>
              </w:rPr>
            </w:pPr>
            <w:r w:rsidRPr="00E356CE">
              <w:rPr>
                <w:b/>
              </w:rPr>
              <w:t>Art. 1</w:t>
            </w:r>
            <w:r w:rsidR="005863C8" w:rsidRPr="00E356CE">
              <w:rPr>
                <w:b/>
              </w:rPr>
              <w:t>0</w:t>
            </w:r>
          </w:p>
        </w:tc>
        <w:tc>
          <w:tcPr>
            <w:tcW w:w="4719" w:type="dxa"/>
          </w:tcPr>
          <w:p w14:paraId="089F605F" w14:textId="77777777" w:rsidR="005863C8" w:rsidRPr="00E356CE" w:rsidRDefault="005863C8" w:rsidP="00A9191A">
            <w:pPr>
              <w:pStyle w:val="stitle-article-norm"/>
              <w:shd w:val="clear" w:color="auto" w:fill="FFFFFF"/>
              <w:spacing w:before="240" w:beforeAutospacing="0" w:after="120" w:afterAutospacing="0"/>
              <w:jc w:val="center"/>
              <w:rPr>
                <w:rFonts w:eastAsia="Arial Unicode MS"/>
                <w:b/>
                <w:bCs/>
              </w:rPr>
            </w:pPr>
            <w:r w:rsidRPr="00E356CE">
              <w:rPr>
                <w:rFonts w:eastAsia="Arial Unicode MS"/>
                <w:b/>
                <w:bCs/>
              </w:rPr>
              <w:t>Niezamówione wiadomości</w:t>
            </w:r>
          </w:p>
          <w:p w14:paraId="6540C75E" w14:textId="77777777" w:rsidR="005863C8" w:rsidRPr="00E356CE" w:rsidRDefault="005863C8" w:rsidP="00A9191A">
            <w:pPr>
              <w:pStyle w:val="norm"/>
              <w:shd w:val="clear" w:color="auto" w:fill="FFFFFF"/>
              <w:spacing w:before="120" w:beforeAutospacing="0" w:after="0" w:afterAutospacing="0"/>
              <w:jc w:val="both"/>
              <w:rPr>
                <w:rFonts w:eastAsia="Arial Unicode MS"/>
              </w:rPr>
            </w:pPr>
            <w:r w:rsidRPr="00E356CE">
              <w:rPr>
                <w:rFonts w:eastAsia="Arial Unicode MS"/>
              </w:rPr>
              <w:lastRenderedPageBreak/>
              <w:t>1.  Zastosowanie przez dostawcę następujących technik porozumiewania się na odległość wymaga wcześniejszej zgody konsumenta:</w:t>
            </w:r>
          </w:p>
          <w:p w14:paraId="012D5D75" w14:textId="77777777" w:rsidR="005863C8" w:rsidRPr="00E356CE" w:rsidRDefault="005863C8" w:rsidP="00A9191A">
            <w:pPr>
              <w:pStyle w:val="norm"/>
              <w:shd w:val="clear" w:color="auto" w:fill="FFFFFF"/>
              <w:spacing w:before="120" w:beforeAutospacing="0" w:after="0" w:afterAutospacing="0"/>
              <w:jc w:val="both"/>
              <w:rPr>
                <w:rFonts w:eastAsia="Arial Unicode MS"/>
              </w:rPr>
            </w:pPr>
            <w:r w:rsidRPr="00E356CE">
              <w:rPr>
                <w:rFonts w:eastAsia="Arial Unicode MS"/>
              </w:rPr>
              <w:t>a) automatycznych urządzeń wywołujących bez ludzkiej ingerencji (automatyczne urządzenia wywołujące);</w:t>
            </w:r>
          </w:p>
          <w:p w14:paraId="44671218" w14:textId="77777777" w:rsidR="005863C8" w:rsidRPr="00E356CE" w:rsidRDefault="005863C8" w:rsidP="00A9191A">
            <w:pPr>
              <w:pStyle w:val="norm"/>
              <w:shd w:val="clear" w:color="auto" w:fill="FFFFFF"/>
              <w:spacing w:before="120" w:beforeAutospacing="0" w:after="0" w:afterAutospacing="0"/>
              <w:jc w:val="both"/>
              <w:rPr>
                <w:rFonts w:eastAsia="Arial Unicode MS"/>
              </w:rPr>
            </w:pPr>
            <w:r w:rsidRPr="00E356CE">
              <w:rPr>
                <w:rFonts w:eastAsia="Arial Unicode MS"/>
              </w:rPr>
              <w:t>b) faksów.</w:t>
            </w:r>
          </w:p>
          <w:p w14:paraId="412DEC3A" w14:textId="77777777" w:rsidR="005863C8" w:rsidRPr="00E356CE" w:rsidRDefault="005863C8" w:rsidP="00A9191A">
            <w:pPr>
              <w:pStyle w:val="norm"/>
              <w:shd w:val="clear" w:color="auto" w:fill="FFFFFF"/>
              <w:spacing w:before="120" w:beforeAutospacing="0" w:after="0" w:afterAutospacing="0"/>
              <w:jc w:val="both"/>
              <w:rPr>
                <w:rFonts w:eastAsia="Arial Unicode MS"/>
              </w:rPr>
            </w:pPr>
            <w:r w:rsidRPr="00E356CE">
              <w:rPr>
                <w:rFonts w:eastAsia="Arial Unicode MS"/>
              </w:rPr>
              <w:t>2.  Państwa Członkowskie zapewnią, aby środki porozumiewania się na odległość inne niż określone w ust. 1, jeśli pozwalają na indywidualne porozumiewanie się:</w:t>
            </w:r>
          </w:p>
          <w:p w14:paraId="19CC3348" w14:textId="77777777" w:rsidR="005863C8" w:rsidRPr="00E356CE" w:rsidRDefault="005863C8" w:rsidP="00A9191A">
            <w:pPr>
              <w:pStyle w:val="norm"/>
              <w:shd w:val="clear" w:color="auto" w:fill="FFFFFF"/>
              <w:spacing w:before="120" w:beforeAutospacing="0" w:after="0" w:afterAutospacing="0"/>
              <w:jc w:val="both"/>
              <w:rPr>
                <w:rFonts w:eastAsia="Arial Unicode MS"/>
              </w:rPr>
            </w:pPr>
            <w:r w:rsidRPr="00E356CE">
              <w:rPr>
                <w:rFonts w:eastAsia="Arial Unicode MS"/>
              </w:rPr>
              <w:t>a) nie były dozwolone, chyba że otrzymano zgodę danych konsumentów; lub</w:t>
            </w:r>
          </w:p>
          <w:p w14:paraId="49D80C33" w14:textId="77777777" w:rsidR="005863C8" w:rsidRPr="00E356CE" w:rsidRDefault="005863C8" w:rsidP="00A9191A">
            <w:pPr>
              <w:pStyle w:val="norm"/>
              <w:shd w:val="clear" w:color="auto" w:fill="FFFFFF"/>
              <w:spacing w:before="120" w:beforeAutospacing="0" w:after="0" w:afterAutospacing="0"/>
              <w:jc w:val="both"/>
              <w:rPr>
                <w:rFonts w:eastAsia="Arial Unicode MS"/>
              </w:rPr>
            </w:pPr>
            <w:r w:rsidRPr="00E356CE">
              <w:rPr>
                <w:rFonts w:eastAsia="Arial Unicode MS"/>
              </w:rPr>
              <w:t>b) mogły być stosowane wyłącznie, gdy konsument nie wyraził wyraźnego sprzeciwu.</w:t>
            </w:r>
          </w:p>
          <w:p w14:paraId="0058DF77" w14:textId="77777777" w:rsidR="009D656C" w:rsidRPr="00E356CE" w:rsidRDefault="005863C8" w:rsidP="00A9191A">
            <w:pPr>
              <w:pStyle w:val="norm"/>
              <w:shd w:val="clear" w:color="auto" w:fill="FFFFFF"/>
              <w:spacing w:before="120" w:beforeAutospacing="0" w:after="0" w:afterAutospacing="0"/>
              <w:jc w:val="both"/>
              <w:rPr>
                <w:rFonts w:eastAsia="Arial Unicode MS"/>
              </w:rPr>
            </w:pPr>
            <w:r w:rsidRPr="00E356CE">
              <w:rPr>
                <w:rFonts w:eastAsia="Arial Unicode MS"/>
              </w:rPr>
              <w:t>3.  Środki określone w ust. 1 i 2 nie będą powodować kosztów dla konsumentów.</w:t>
            </w:r>
          </w:p>
        </w:tc>
        <w:tc>
          <w:tcPr>
            <w:tcW w:w="886" w:type="dxa"/>
          </w:tcPr>
          <w:p w14:paraId="6C819106" w14:textId="77777777" w:rsidR="009D656C" w:rsidRPr="00E356CE" w:rsidRDefault="003C4E86" w:rsidP="00A9191A">
            <w:pPr>
              <w:jc w:val="both"/>
              <w:rPr>
                <w:b/>
              </w:rPr>
            </w:pPr>
            <w:r w:rsidRPr="00E356CE">
              <w:rPr>
                <w:b/>
              </w:rPr>
              <w:lastRenderedPageBreak/>
              <w:t>T</w:t>
            </w:r>
          </w:p>
        </w:tc>
        <w:tc>
          <w:tcPr>
            <w:tcW w:w="900" w:type="dxa"/>
            <w:gridSpan w:val="3"/>
          </w:tcPr>
          <w:p w14:paraId="41A5873F" w14:textId="2B468218" w:rsidR="009D656C" w:rsidRPr="00E356CE" w:rsidRDefault="000E1833" w:rsidP="00A9191A">
            <w:pPr>
              <w:pStyle w:val="Tekstpodstawowy"/>
              <w:rPr>
                <w:noProof/>
                <w:sz w:val="24"/>
                <w:szCs w:val="24"/>
              </w:rPr>
            </w:pPr>
            <w:r w:rsidRPr="00E356CE">
              <w:rPr>
                <w:noProof/>
                <w:sz w:val="24"/>
                <w:szCs w:val="24"/>
              </w:rPr>
              <w:t>Art. 393</w:t>
            </w:r>
          </w:p>
        </w:tc>
        <w:tc>
          <w:tcPr>
            <w:tcW w:w="7410" w:type="dxa"/>
            <w:gridSpan w:val="2"/>
          </w:tcPr>
          <w:p w14:paraId="44E6969E" w14:textId="77777777" w:rsidR="000E1833" w:rsidRPr="00E356CE" w:rsidRDefault="000E1833" w:rsidP="000E1833">
            <w:pPr>
              <w:pStyle w:val="ARTartustawynprozporzdzenia"/>
              <w:keepNext/>
              <w:spacing w:before="0" w:line="240" w:lineRule="auto"/>
              <w:rPr>
                <w:rFonts w:ascii="Times New Roman" w:hAnsi="Times New Roman" w:cs="Times New Roman"/>
                <w:szCs w:val="24"/>
              </w:rPr>
            </w:pPr>
            <w:r w:rsidRPr="00E356CE">
              <w:rPr>
                <w:rStyle w:val="Ppogrubienie"/>
                <w:rFonts w:ascii="Times New Roman" w:hAnsi="Times New Roman"/>
                <w:szCs w:val="24"/>
              </w:rPr>
              <w:t>Art. 393.</w:t>
            </w:r>
            <w:r w:rsidRPr="00E356CE">
              <w:rPr>
                <w:rFonts w:ascii="Times New Roman" w:hAnsi="Times New Roman" w:cs="Times New Roman"/>
                <w:szCs w:val="24"/>
              </w:rPr>
              <w:t> 1. Zakazane jest używanie:</w:t>
            </w:r>
          </w:p>
          <w:p w14:paraId="5D2D0516" w14:textId="77777777" w:rsidR="000E1833" w:rsidRPr="00E356CE" w:rsidRDefault="000E1833" w:rsidP="000E1833">
            <w:pPr>
              <w:pStyle w:val="PKTpunkt"/>
              <w:spacing w:line="240" w:lineRule="auto"/>
              <w:rPr>
                <w:rFonts w:ascii="Times New Roman" w:hAnsi="Times New Roman" w:cs="Times New Roman"/>
                <w:szCs w:val="24"/>
              </w:rPr>
            </w:pPr>
            <w:r w:rsidRPr="00E356CE">
              <w:rPr>
                <w:rFonts w:ascii="Times New Roman" w:hAnsi="Times New Roman" w:cs="Times New Roman"/>
                <w:szCs w:val="24"/>
              </w:rPr>
              <w:t>1)</w:t>
            </w:r>
            <w:r w:rsidRPr="00E356CE">
              <w:rPr>
                <w:rFonts w:ascii="Times New Roman" w:hAnsi="Times New Roman" w:cs="Times New Roman"/>
                <w:szCs w:val="24"/>
              </w:rPr>
              <w:tab/>
              <w:t>automatycznych systemów wywołujących lub</w:t>
            </w:r>
          </w:p>
          <w:p w14:paraId="23290718" w14:textId="77777777" w:rsidR="000E1833" w:rsidRPr="00E356CE" w:rsidRDefault="000E1833" w:rsidP="000E1833">
            <w:pPr>
              <w:pStyle w:val="PKTpunkt"/>
              <w:spacing w:line="240" w:lineRule="auto"/>
              <w:rPr>
                <w:rFonts w:ascii="Times New Roman" w:hAnsi="Times New Roman" w:cs="Times New Roman"/>
                <w:szCs w:val="24"/>
              </w:rPr>
            </w:pPr>
            <w:r w:rsidRPr="00E356CE">
              <w:rPr>
                <w:rFonts w:ascii="Times New Roman" w:hAnsi="Times New Roman" w:cs="Times New Roman"/>
                <w:szCs w:val="24"/>
              </w:rPr>
              <w:lastRenderedPageBreak/>
              <w:t>2)</w:t>
            </w:r>
            <w:r w:rsidRPr="00E356CE">
              <w:rPr>
                <w:rFonts w:ascii="Times New Roman" w:hAnsi="Times New Roman" w:cs="Times New Roman"/>
                <w:szCs w:val="24"/>
              </w:rPr>
              <w:tab/>
              <w:t>telekomunikacyjnych urządzeń końcowych, w szczególności w ramach korzystania z usług komunikacji interpersonalnej</w:t>
            </w:r>
          </w:p>
          <w:p w14:paraId="7801DEFC" w14:textId="77777777" w:rsidR="000E1833" w:rsidRPr="00E356CE" w:rsidRDefault="000E1833" w:rsidP="000E1833">
            <w:pPr>
              <w:pStyle w:val="CZWSPPKTczwsplnapunktw"/>
              <w:spacing w:line="240" w:lineRule="auto"/>
              <w:rPr>
                <w:rFonts w:ascii="Times New Roman" w:hAnsi="Times New Roman" w:cs="Times New Roman"/>
                <w:szCs w:val="24"/>
              </w:rPr>
            </w:pPr>
            <w:r w:rsidRPr="00E356CE">
              <w:rPr>
                <w:rFonts w:ascii="Times New Roman" w:hAnsi="Times New Roman" w:cs="Times New Roman"/>
                <w:szCs w:val="24"/>
              </w:rPr>
              <w:t>– dla celów przesyłania niezamówionej informacji handlowej w rozumieniu ustawy z dnia 18 lipca 2002 r. o świadczeniu usług drogą elektroniczną, w tym marketingu bezpośredniego, do abonenta lub użytkownika końcowego, chyba że uprzednio wyraził on na to zgodę.</w:t>
            </w:r>
          </w:p>
          <w:p w14:paraId="7AD45D62" w14:textId="77777777" w:rsidR="000E1833" w:rsidRPr="00E356CE" w:rsidRDefault="000E1833" w:rsidP="000E1833">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 xml:space="preserve">2. Zgoda, o której mowa w ust. 1, może być wyrażona przez udostępnienie przez abonenta lub użytkownika końcowego identyfikującego go adresu elektronicznego w rozumieniu ustawy </w:t>
            </w:r>
            <w:r w:rsidRPr="00E356CE">
              <w:rPr>
                <w:rFonts w:ascii="Times New Roman" w:eastAsia="Times" w:hAnsi="Times New Roman" w:cs="Times New Roman"/>
                <w:bCs w:val="0"/>
                <w:color w:val="498205"/>
                <w:szCs w:val="24"/>
                <w:u w:val="single"/>
              </w:rPr>
              <w:t>z dnia 18 lipca 2002 r.</w:t>
            </w:r>
            <w:r w:rsidRPr="00E356CE">
              <w:rPr>
                <w:rFonts w:ascii="Times New Roman" w:hAnsi="Times New Roman" w:cs="Times New Roman"/>
                <w:szCs w:val="24"/>
              </w:rPr>
              <w:t xml:space="preserve"> o świadczeniu usług drogą elektroniczną, w celu przesyłania niezamówionej informacji handlowej.</w:t>
            </w:r>
          </w:p>
          <w:p w14:paraId="400F71E9" w14:textId="77777777" w:rsidR="000E1833" w:rsidRPr="00E356CE" w:rsidRDefault="000E1833" w:rsidP="000E1833">
            <w:pPr>
              <w:pStyle w:val="USTustnpkodeksu"/>
              <w:spacing w:line="240" w:lineRule="auto"/>
              <w:rPr>
                <w:rFonts w:ascii="Times New Roman" w:hAnsi="Times New Roman" w:cs="Times New Roman"/>
                <w:szCs w:val="24"/>
              </w:rPr>
            </w:pPr>
            <w:r w:rsidRPr="00E356CE">
              <w:rPr>
                <w:rFonts w:ascii="Times New Roman" w:hAnsi="Times New Roman" w:cs="Times New Roman"/>
                <w:szCs w:val="24"/>
              </w:rPr>
              <w:t>3. Używanie środków, o których mowa w ust. 1, dla przesyłania niezamówionej informacji handlowej, w tym marketingu bezpośredniego, nie może odbywać się na koszt użytkownika końcowego lub abonenta.</w:t>
            </w:r>
          </w:p>
          <w:p w14:paraId="20EA61CE" w14:textId="2B91D47B" w:rsidR="009D656C" w:rsidRPr="00E356CE" w:rsidRDefault="000E1833" w:rsidP="000E1833">
            <w:pPr>
              <w:jc w:val="both"/>
            </w:pPr>
            <w:r w:rsidRPr="00E356CE">
              <w:t>4. Działanie, o którym mowa w ust. 1, stanowi czyn nieuczciwej konkurencji w rozumieniu przepisów ustawy z dnia 16 kwietnia 1993 r. o zwalczaniu nieuczciwej konkurencji (Dz. U. z 2019 r. poz. 1010 i 1649).</w:t>
            </w:r>
          </w:p>
        </w:tc>
      </w:tr>
      <w:tr w:rsidR="00723799" w:rsidRPr="00E356CE" w14:paraId="51F92B95" w14:textId="77777777" w:rsidTr="56856880">
        <w:tc>
          <w:tcPr>
            <w:tcW w:w="5514" w:type="dxa"/>
            <w:gridSpan w:val="2"/>
            <w:shd w:val="clear" w:color="auto" w:fill="E0E0E0"/>
          </w:tcPr>
          <w:p w14:paraId="370D4142" w14:textId="77777777" w:rsidR="0036479F" w:rsidRPr="00E356CE" w:rsidRDefault="0036479F" w:rsidP="00A9191A">
            <w:pPr>
              <w:jc w:val="both"/>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128D4E15" w14:textId="77777777" w:rsidR="0036479F" w:rsidRPr="00E356CE" w:rsidRDefault="008150A5" w:rsidP="00A9191A">
            <w:pPr>
              <w:autoSpaceDE w:val="0"/>
              <w:autoSpaceDN w:val="0"/>
              <w:jc w:val="both"/>
              <w:rPr>
                <w:b/>
              </w:rPr>
            </w:pPr>
            <w:r w:rsidRPr="00E356CE">
              <w:rPr>
                <w:b/>
              </w:rPr>
              <w:t>Rozporządze</w:t>
            </w:r>
            <w:r w:rsidR="00A9191A" w:rsidRPr="00E356CE">
              <w:rPr>
                <w:b/>
              </w:rPr>
              <w:t>nia UE</w:t>
            </w:r>
            <w:r w:rsidRPr="00E356CE">
              <w:rPr>
                <w:b/>
              </w:rPr>
              <w:t xml:space="preserve"> dotyczące wymagań w zakresie </w:t>
            </w:r>
            <w:proofErr w:type="spellStart"/>
            <w:r w:rsidRPr="00E356CE">
              <w:rPr>
                <w:b/>
              </w:rPr>
              <w:t>ekoprojektów</w:t>
            </w:r>
            <w:proofErr w:type="spellEnd"/>
          </w:p>
        </w:tc>
      </w:tr>
      <w:tr w:rsidR="00723799" w:rsidRPr="00E356CE" w14:paraId="67D4FBE8" w14:textId="77777777" w:rsidTr="56856880">
        <w:tc>
          <w:tcPr>
            <w:tcW w:w="795" w:type="dxa"/>
          </w:tcPr>
          <w:p w14:paraId="5F09D68F" w14:textId="77777777" w:rsidR="0036479F" w:rsidRPr="00E356CE" w:rsidRDefault="0036479F" w:rsidP="00A9191A">
            <w:pPr>
              <w:jc w:val="both"/>
              <w:rPr>
                <w:b/>
              </w:rPr>
            </w:pPr>
          </w:p>
        </w:tc>
        <w:tc>
          <w:tcPr>
            <w:tcW w:w="4719" w:type="dxa"/>
            <w:shd w:val="clear" w:color="auto" w:fill="auto"/>
          </w:tcPr>
          <w:p w14:paraId="17790737" w14:textId="77777777" w:rsidR="0036479F" w:rsidRPr="00E356CE" w:rsidRDefault="008150A5" w:rsidP="00A9191A">
            <w:pPr>
              <w:pStyle w:val="norm"/>
              <w:shd w:val="clear" w:color="auto" w:fill="FFFFFF"/>
              <w:spacing w:before="120" w:beforeAutospacing="0" w:after="0" w:afterAutospacing="0"/>
              <w:jc w:val="both"/>
              <w:rPr>
                <w:rFonts w:eastAsia="Arial Unicode MS"/>
                <w:b/>
              </w:rPr>
            </w:pPr>
            <w:r w:rsidRPr="00E356CE">
              <w:rPr>
                <w:b/>
              </w:rPr>
              <w:t xml:space="preserve">Rozporządzenie Komisji (WE) nr 1275/2008 z dnia 17 grudnia 2008 r. w sprawie wykonania dyrektywy 2005/32/WE Parlamentu Europejskiego i Rady w odniesieniu do wymogów dotyczących </w:t>
            </w:r>
            <w:proofErr w:type="spellStart"/>
            <w:r w:rsidRPr="00E356CE">
              <w:rPr>
                <w:b/>
              </w:rPr>
              <w:t>ekoprojektu</w:t>
            </w:r>
            <w:proofErr w:type="spellEnd"/>
            <w:r w:rsidRPr="00E356CE">
              <w:rPr>
                <w:b/>
              </w:rPr>
              <w:t xml:space="preserve"> dla zużycia energii przez elektryczne i elektroniczne urządzenia gospodarstwa domowego i urządzenia biurowe w trybie czuwania i wyłączenia (Dz. Urz. UE L 339 z 18.12.2008, str. 45)</w:t>
            </w:r>
          </w:p>
        </w:tc>
        <w:tc>
          <w:tcPr>
            <w:tcW w:w="886" w:type="dxa"/>
          </w:tcPr>
          <w:p w14:paraId="1916859A" w14:textId="77777777" w:rsidR="0036479F" w:rsidRPr="00E356CE" w:rsidRDefault="003C4E86" w:rsidP="00A9191A">
            <w:pPr>
              <w:jc w:val="both"/>
              <w:rPr>
                <w:b/>
              </w:rPr>
            </w:pPr>
            <w:r w:rsidRPr="00E356CE">
              <w:rPr>
                <w:b/>
              </w:rPr>
              <w:t>T</w:t>
            </w:r>
          </w:p>
        </w:tc>
        <w:tc>
          <w:tcPr>
            <w:tcW w:w="900" w:type="dxa"/>
            <w:gridSpan w:val="3"/>
          </w:tcPr>
          <w:p w14:paraId="10101667" w14:textId="31C80110" w:rsidR="0036479F" w:rsidRPr="00E356CE" w:rsidRDefault="0036479F" w:rsidP="00966B1E">
            <w:pPr>
              <w:pStyle w:val="Tekstpodstawowy"/>
              <w:rPr>
                <w:noProof/>
                <w:sz w:val="24"/>
                <w:szCs w:val="24"/>
              </w:rPr>
            </w:pPr>
            <w:r w:rsidRPr="00E356CE">
              <w:rPr>
                <w:noProof/>
                <w:sz w:val="24"/>
                <w:szCs w:val="24"/>
              </w:rPr>
              <w:t xml:space="preserve">Art. </w:t>
            </w:r>
            <w:r w:rsidR="00966B1E" w:rsidRPr="00E356CE">
              <w:rPr>
                <w:noProof/>
                <w:sz w:val="24"/>
                <w:szCs w:val="24"/>
              </w:rPr>
              <w:t>417</w:t>
            </w:r>
            <w:r w:rsidR="008150A5" w:rsidRPr="00E356CE">
              <w:rPr>
                <w:noProof/>
                <w:sz w:val="24"/>
                <w:szCs w:val="24"/>
              </w:rPr>
              <w:t xml:space="preserve"> ust. 1 pkt 1</w:t>
            </w:r>
          </w:p>
        </w:tc>
        <w:tc>
          <w:tcPr>
            <w:tcW w:w="7410" w:type="dxa"/>
            <w:gridSpan w:val="2"/>
          </w:tcPr>
          <w:p w14:paraId="560C3A68" w14:textId="77777777" w:rsidR="00966B1E" w:rsidRPr="00E356CE" w:rsidRDefault="00966B1E" w:rsidP="00966B1E">
            <w:pPr>
              <w:pStyle w:val="ARTartustawynprozporzdzenia"/>
              <w:keepNext/>
              <w:spacing w:line="240" w:lineRule="auto"/>
              <w:ind w:firstLine="0"/>
              <w:rPr>
                <w:rStyle w:val="Ppogrubienie"/>
                <w:rFonts w:ascii="Times New Roman" w:hAnsi="Times New Roman"/>
                <w:b w:val="0"/>
                <w:szCs w:val="24"/>
              </w:rPr>
            </w:pPr>
            <w:r w:rsidRPr="00E356CE">
              <w:rPr>
                <w:rStyle w:val="Ppogrubienie"/>
                <w:rFonts w:ascii="Times New Roman" w:hAnsi="Times New Roman"/>
                <w:szCs w:val="24"/>
              </w:rPr>
              <w:t xml:space="preserve">Art. 417. </w:t>
            </w:r>
            <w:r w:rsidRPr="00E356CE">
              <w:rPr>
                <w:rStyle w:val="Ppogrubienie"/>
                <w:rFonts w:ascii="Times New Roman" w:hAnsi="Times New Roman"/>
                <w:b w:val="0"/>
                <w:szCs w:val="24"/>
              </w:rPr>
              <w:t>1. Prezes UKE, jako organ wyspecjalizowany w rozumieniu przepisów ustawy z dnia 30 sierpnia 2002 r. o systemie oceny zgodności, jest uprawniony do kontroli znajdujących się w obrocie lub oddanych do użytku wyrobów, o których mowa w:</w:t>
            </w:r>
          </w:p>
          <w:p w14:paraId="1189A03D" w14:textId="2E297A34" w:rsidR="0036479F" w:rsidRPr="00E356CE" w:rsidRDefault="00966B1E" w:rsidP="00966B1E">
            <w:pPr>
              <w:pStyle w:val="USTustnpkodeksu"/>
              <w:spacing w:line="240" w:lineRule="auto"/>
              <w:rPr>
                <w:rFonts w:ascii="Times New Roman" w:hAnsi="Times New Roman" w:cs="Times New Roman"/>
                <w:szCs w:val="24"/>
              </w:rPr>
            </w:pPr>
            <w:r w:rsidRPr="00E356CE">
              <w:rPr>
                <w:rStyle w:val="Ppogrubienie"/>
                <w:rFonts w:ascii="Times New Roman" w:hAnsi="Times New Roman"/>
                <w:b w:val="0"/>
                <w:szCs w:val="24"/>
              </w:rPr>
              <w:t xml:space="preserve">1) </w:t>
            </w:r>
            <w:r w:rsidRPr="00E356CE">
              <w:rPr>
                <w:rStyle w:val="Ppogrubienie"/>
                <w:rFonts w:ascii="Times New Roman" w:hAnsi="Times New Roman"/>
                <w:b w:val="0"/>
                <w:szCs w:val="24"/>
              </w:rPr>
              <w:tab/>
              <w:t xml:space="preserve">rozporządzeniu Komisji (WE) nr 1275/2008 z dnia 17 grudnia 2008 r. w sprawie wykonania dyrektywy 2005/32/WE Parlamentu Europejskiego i Rady w odniesieniu do wymogów dotyczących </w:t>
            </w:r>
            <w:proofErr w:type="spellStart"/>
            <w:r w:rsidRPr="00E356CE">
              <w:rPr>
                <w:rStyle w:val="Ppogrubienie"/>
                <w:rFonts w:ascii="Times New Roman" w:hAnsi="Times New Roman"/>
                <w:b w:val="0"/>
                <w:szCs w:val="24"/>
              </w:rPr>
              <w:t>ekoprojektu</w:t>
            </w:r>
            <w:proofErr w:type="spellEnd"/>
            <w:r w:rsidRPr="00E356CE">
              <w:rPr>
                <w:rStyle w:val="Ppogrubienie"/>
                <w:rFonts w:ascii="Times New Roman" w:hAnsi="Times New Roman"/>
                <w:b w:val="0"/>
                <w:szCs w:val="24"/>
              </w:rPr>
              <w:t xml:space="preserve"> dla zużycia energii przez elektryczne i elektroniczne urządzenia gospodarstwa domowego i urządzenia biurowe w trybie czuwania i wyłączenia (Dz. Urz. UE L 339 z 18.12.2008, str. 45);</w:t>
            </w:r>
          </w:p>
        </w:tc>
      </w:tr>
      <w:tr w:rsidR="00723799" w:rsidRPr="00E356CE" w14:paraId="3E12BA3A" w14:textId="77777777" w:rsidTr="56856880">
        <w:tc>
          <w:tcPr>
            <w:tcW w:w="795" w:type="dxa"/>
          </w:tcPr>
          <w:p w14:paraId="70D0D283" w14:textId="77777777" w:rsidR="008150A5" w:rsidRPr="00E356CE" w:rsidRDefault="008150A5" w:rsidP="00A9191A">
            <w:pPr>
              <w:jc w:val="both"/>
              <w:rPr>
                <w:b/>
              </w:rPr>
            </w:pPr>
          </w:p>
        </w:tc>
        <w:tc>
          <w:tcPr>
            <w:tcW w:w="4719" w:type="dxa"/>
          </w:tcPr>
          <w:p w14:paraId="1628E6A0" w14:textId="77777777" w:rsidR="008150A5" w:rsidRPr="00E356CE" w:rsidRDefault="008150A5" w:rsidP="00A9191A">
            <w:pPr>
              <w:pStyle w:val="norm"/>
              <w:shd w:val="clear" w:color="auto" w:fill="FFFFFF"/>
              <w:spacing w:before="120" w:beforeAutospacing="0" w:after="0" w:afterAutospacing="0"/>
              <w:jc w:val="both"/>
              <w:rPr>
                <w:rFonts w:eastAsia="Arial Unicode MS"/>
                <w:b/>
              </w:rPr>
            </w:pPr>
            <w:r w:rsidRPr="00E356CE">
              <w:rPr>
                <w:b/>
              </w:rPr>
              <w:t xml:space="preserve">Rozporządzenie Komisji (WE) nr 107/2009 z dnia 4 lutego 2009 r. w sprawie wykonania dyrektywy 2005/32/WE Parlamentu Europejskiego i Rady w odniesieniu do wymogów dotyczących </w:t>
            </w:r>
            <w:proofErr w:type="spellStart"/>
            <w:r w:rsidRPr="00E356CE">
              <w:rPr>
                <w:b/>
              </w:rPr>
              <w:t>ekoprojektu</w:t>
            </w:r>
            <w:proofErr w:type="spellEnd"/>
            <w:r w:rsidRPr="00E356CE">
              <w:rPr>
                <w:b/>
              </w:rPr>
              <w:t xml:space="preserve"> dla prostych set-top boksów (Dz. Urz. UE L 36 z 05.02.2009, str. 8)</w:t>
            </w:r>
          </w:p>
        </w:tc>
        <w:tc>
          <w:tcPr>
            <w:tcW w:w="886" w:type="dxa"/>
          </w:tcPr>
          <w:p w14:paraId="3A24457E" w14:textId="77777777" w:rsidR="008150A5" w:rsidRPr="00E356CE" w:rsidRDefault="003C4E86" w:rsidP="00A9191A">
            <w:pPr>
              <w:jc w:val="both"/>
              <w:rPr>
                <w:b/>
              </w:rPr>
            </w:pPr>
            <w:r w:rsidRPr="00E356CE">
              <w:rPr>
                <w:b/>
              </w:rPr>
              <w:t>T</w:t>
            </w:r>
          </w:p>
        </w:tc>
        <w:tc>
          <w:tcPr>
            <w:tcW w:w="900" w:type="dxa"/>
            <w:gridSpan w:val="3"/>
          </w:tcPr>
          <w:p w14:paraId="1C8AC38C" w14:textId="4F14D9AD" w:rsidR="008150A5" w:rsidRPr="00E356CE" w:rsidRDefault="008150A5" w:rsidP="00966B1E">
            <w:pPr>
              <w:pStyle w:val="Tekstpodstawowy"/>
              <w:rPr>
                <w:noProof/>
                <w:sz w:val="24"/>
                <w:szCs w:val="24"/>
              </w:rPr>
            </w:pPr>
            <w:r w:rsidRPr="00E356CE">
              <w:rPr>
                <w:noProof/>
                <w:sz w:val="24"/>
                <w:szCs w:val="24"/>
              </w:rPr>
              <w:t xml:space="preserve">Art. </w:t>
            </w:r>
            <w:r w:rsidR="00966B1E" w:rsidRPr="00E356CE">
              <w:rPr>
                <w:noProof/>
                <w:sz w:val="24"/>
                <w:szCs w:val="24"/>
              </w:rPr>
              <w:t>417</w:t>
            </w:r>
            <w:r w:rsidRPr="00E356CE">
              <w:rPr>
                <w:noProof/>
                <w:sz w:val="24"/>
                <w:szCs w:val="24"/>
              </w:rPr>
              <w:t xml:space="preserve"> ust. 1 pkt 2</w:t>
            </w:r>
          </w:p>
        </w:tc>
        <w:tc>
          <w:tcPr>
            <w:tcW w:w="7410" w:type="dxa"/>
            <w:gridSpan w:val="2"/>
          </w:tcPr>
          <w:p w14:paraId="5BDEA50E" w14:textId="77777777" w:rsidR="00966B1E" w:rsidRPr="00E356CE" w:rsidRDefault="00966B1E" w:rsidP="00A9191A">
            <w:pPr>
              <w:pStyle w:val="PKTpunkt"/>
              <w:spacing w:line="240" w:lineRule="auto"/>
              <w:rPr>
                <w:rStyle w:val="Ppogrubienie"/>
                <w:rFonts w:ascii="Times New Roman" w:hAnsi="Times New Roman"/>
                <w:b w:val="0"/>
                <w:bCs w:val="0"/>
                <w:szCs w:val="24"/>
              </w:rPr>
            </w:pPr>
            <w:r w:rsidRPr="00E356CE">
              <w:rPr>
                <w:rStyle w:val="Ppogrubienie"/>
                <w:rFonts w:ascii="Times New Roman" w:hAnsi="Times New Roman"/>
                <w:bCs w:val="0"/>
                <w:szCs w:val="24"/>
              </w:rPr>
              <w:t xml:space="preserve">Art. 417. </w:t>
            </w:r>
            <w:r w:rsidRPr="00E356CE">
              <w:rPr>
                <w:rStyle w:val="Ppogrubienie"/>
                <w:rFonts w:ascii="Times New Roman" w:hAnsi="Times New Roman"/>
                <w:b w:val="0"/>
                <w:bCs w:val="0"/>
                <w:szCs w:val="24"/>
              </w:rPr>
              <w:t xml:space="preserve">1. Prezes UKE, jako organ wyspecjalizowany w rozumieniu przepisów ustawy z dnia 30 sierpnia 2002 r. o systemie oceny zgodności, jest uprawniony do kontroli znajdujących się w obrocie lub oddanych do użytku wyrobów, o których mowa w: </w:t>
            </w:r>
          </w:p>
          <w:p w14:paraId="52BA105F" w14:textId="076F008D" w:rsidR="008150A5" w:rsidRPr="00E356CE" w:rsidRDefault="008150A5" w:rsidP="00A9191A">
            <w:pPr>
              <w:pStyle w:val="PKTpunkt"/>
              <w:spacing w:line="240" w:lineRule="auto"/>
              <w:rPr>
                <w:rFonts w:ascii="Times New Roman" w:hAnsi="Times New Roman" w:cs="Times New Roman"/>
                <w:b/>
                <w:szCs w:val="24"/>
              </w:rPr>
            </w:pPr>
            <w:r w:rsidRPr="00E356CE">
              <w:rPr>
                <w:rFonts w:ascii="Times New Roman" w:hAnsi="Times New Roman" w:cs="Times New Roman"/>
                <w:b/>
                <w:szCs w:val="24"/>
              </w:rPr>
              <w:t>(…)</w:t>
            </w:r>
          </w:p>
          <w:p w14:paraId="4712FA22" w14:textId="77777777" w:rsidR="008150A5" w:rsidRPr="00E356CE" w:rsidRDefault="008150A5"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 xml:space="preserve">rozporządzeniu Komisji (WE) nr 107/2009 z dnia 4 lutego 2009 r. w sprawie wykonania dyrektywy 2005/32/WE Parlamentu Europejskiego i Rady w odniesieniu do wymogów dotyczących </w:t>
            </w:r>
            <w:proofErr w:type="spellStart"/>
            <w:r w:rsidRPr="00E356CE">
              <w:rPr>
                <w:rFonts w:ascii="Times New Roman" w:hAnsi="Times New Roman" w:cs="Times New Roman"/>
                <w:szCs w:val="24"/>
              </w:rPr>
              <w:t>ekoprojektu</w:t>
            </w:r>
            <w:proofErr w:type="spellEnd"/>
            <w:r w:rsidRPr="00E356CE">
              <w:rPr>
                <w:rFonts w:ascii="Times New Roman" w:hAnsi="Times New Roman" w:cs="Times New Roman"/>
                <w:szCs w:val="24"/>
              </w:rPr>
              <w:t xml:space="preserve"> dla prostych set-top boksów (Dz. Urz. UE L 36 z 05.02.2009, str. 8);</w:t>
            </w:r>
          </w:p>
        </w:tc>
      </w:tr>
      <w:tr w:rsidR="00723799" w:rsidRPr="00E356CE" w14:paraId="4B78F785" w14:textId="77777777" w:rsidTr="56856880">
        <w:tc>
          <w:tcPr>
            <w:tcW w:w="795" w:type="dxa"/>
          </w:tcPr>
          <w:p w14:paraId="6F7F0EAC" w14:textId="77777777" w:rsidR="008150A5" w:rsidRPr="00E356CE" w:rsidRDefault="008150A5" w:rsidP="00A9191A">
            <w:pPr>
              <w:jc w:val="both"/>
              <w:rPr>
                <w:b/>
              </w:rPr>
            </w:pPr>
          </w:p>
        </w:tc>
        <w:tc>
          <w:tcPr>
            <w:tcW w:w="4719" w:type="dxa"/>
          </w:tcPr>
          <w:p w14:paraId="7862C0E3" w14:textId="77777777" w:rsidR="008150A5" w:rsidRPr="00E356CE" w:rsidRDefault="008150A5" w:rsidP="00A9191A">
            <w:pPr>
              <w:pStyle w:val="norm"/>
              <w:shd w:val="clear" w:color="auto" w:fill="FFFFFF"/>
              <w:spacing w:before="120" w:beforeAutospacing="0" w:after="0" w:afterAutospacing="0"/>
              <w:jc w:val="both"/>
              <w:rPr>
                <w:rFonts w:eastAsia="Arial Unicode MS"/>
                <w:b/>
              </w:rPr>
            </w:pPr>
            <w:r w:rsidRPr="00E356CE">
              <w:rPr>
                <w:b/>
              </w:rPr>
              <w:t>Rozporządzenie Komisji (UE) 2019/1782 z dnia 1 października 2019 r. ustanawiając</w:t>
            </w:r>
            <w:r w:rsidR="000377D7" w:rsidRPr="00E356CE">
              <w:rPr>
                <w:b/>
              </w:rPr>
              <w:t>e</w:t>
            </w:r>
            <w:r w:rsidRPr="00E356CE">
              <w:rPr>
                <w:b/>
              </w:rPr>
              <w:t xml:space="preserve"> wymogi dotyczące </w:t>
            </w:r>
            <w:proofErr w:type="spellStart"/>
            <w:r w:rsidRPr="00E356CE">
              <w:rPr>
                <w:b/>
              </w:rPr>
              <w:t>ekoprojektu</w:t>
            </w:r>
            <w:proofErr w:type="spellEnd"/>
            <w:r w:rsidRPr="00E356CE">
              <w:rPr>
                <w:b/>
              </w:rPr>
              <w:t>  dla zasilaczy zewnętrznych na podstawie dyrektywy Parlamentu Europejskiego i Rady 2009/125/WE oraz uchylając</w:t>
            </w:r>
            <w:r w:rsidR="000377D7" w:rsidRPr="00E356CE">
              <w:rPr>
                <w:b/>
              </w:rPr>
              <w:t>e</w:t>
            </w:r>
            <w:r w:rsidRPr="00E356CE">
              <w:rPr>
                <w:b/>
              </w:rPr>
              <w:t xml:space="preserve"> rozporządzenie Komisji (WE) nr 278/2009 (Dz. Urz. UE L 272 z 25.10.2019, str. 95)</w:t>
            </w:r>
          </w:p>
        </w:tc>
        <w:tc>
          <w:tcPr>
            <w:tcW w:w="886" w:type="dxa"/>
          </w:tcPr>
          <w:p w14:paraId="7F8EAD96" w14:textId="77777777" w:rsidR="008150A5" w:rsidRPr="00E356CE" w:rsidRDefault="003C4E86" w:rsidP="00A9191A">
            <w:pPr>
              <w:jc w:val="both"/>
              <w:rPr>
                <w:b/>
              </w:rPr>
            </w:pPr>
            <w:r w:rsidRPr="00E356CE">
              <w:rPr>
                <w:b/>
              </w:rPr>
              <w:t>T</w:t>
            </w:r>
          </w:p>
        </w:tc>
        <w:tc>
          <w:tcPr>
            <w:tcW w:w="900" w:type="dxa"/>
            <w:gridSpan w:val="3"/>
          </w:tcPr>
          <w:p w14:paraId="1FA64DB4" w14:textId="74858CCA" w:rsidR="008150A5" w:rsidRPr="00E356CE" w:rsidRDefault="008150A5" w:rsidP="00966B1E">
            <w:pPr>
              <w:pStyle w:val="Tekstpodstawowy"/>
              <w:rPr>
                <w:noProof/>
                <w:sz w:val="24"/>
                <w:szCs w:val="24"/>
              </w:rPr>
            </w:pPr>
            <w:r w:rsidRPr="00E356CE">
              <w:rPr>
                <w:noProof/>
                <w:sz w:val="24"/>
                <w:szCs w:val="24"/>
              </w:rPr>
              <w:t xml:space="preserve">Art. </w:t>
            </w:r>
            <w:r w:rsidR="00966B1E" w:rsidRPr="00E356CE">
              <w:rPr>
                <w:noProof/>
                <w:sz w:val="24"/>
                <w:szCs w:val="24"/>
              </w:rPr>
              <w:t>417</w:t>
            </w:r>
            <w:r w:rsidRPr="00E356CE">
              <w:rPr>
                <w:noProof/>
                <w:sz w:val="24"/>
                <w:szCs w:val="24"/>
              </w:rPr>
              <w:t xml:space="preserve"> ust. 1 pkt 3</w:t>
            </w:r>
          </w:p>
        </w:tc>
        <w:tc>
          <w:tcPr>
            <w:tcW w:w="7410" w:type="dxa"/>
            <w:gridSpan w:val="2"/>
          </w:tcPr>
          <w:p w14:paraId="49FFAFC2" w14:textId="3966DE78" w:rsidR="008150A5" w:rsidRPr="00E356CE" w:rsidRDefault="008150A5" w:rsidP="00966B1E">
            <w:pPr>
              <w:pStyle w:val="ARTartustawynprozporzdzenia"/>
              <w:keepNext/>
              <w:spacing w:line="240" w:lineRule="auto"/>
              <w:ind w:firstLine="0"/>
              <w:rPr>
                <w:rFonts w:ascii="Times New Roman" w:hAnsi="Times New Roman" w:cs="Times New Roman"/>
                <w:szCs w:val="24"/>
              </w:rPr>
            </w:pPr>
            <w:r w:rsidRPr="00E356CE">
              <w:rPr>
                <w:rStyle w:val="Ppogrubienie"/>
                <w:rFonts w:ascii="Times New Roman" w:hAnsi="Times New Roman"/>
                <w:szCs w:val="24"/>
              </w:rPr>
              <w:t>Art. </w:t>
            </w:r>
            <w:r w:rsidR="00966B1E" w:rsidRPr="00E356CE">
              <w:rPr>
                <w:rStyle w:val="Ppogrubienie"/>
                <w:rFonts w:ascii="Times New Roman" w:hAnsi="Times New Roman"/>
                <w:szCs w:val="24"/>
              </w:rPr>
              <w:t>417</w:t>
            </w:r>
            <w:r w:rsidRPr="00E356CE">
              <w:rPr>
                <w:rStyle w:val="Ppogrubienie"/>
                <w:rFonts w:ascii="Times New Roman" w:hAnsi="Times New Roman"/>
                <w:szCs w:val="24"/>
              </w:rPr>
              <w:t>.</w:t>
            </w:r>
            <w:r w:rsidRPr="00E356CE">
              <w:rPr>
                <w:rFonts w:ascii="Times New Roman" w:hAnsi="Times New Roman" w:cs="Times New Roman"/>
                <w:szCs w:val="24"/>
              </w:rPr>
              <w:t xml:space="preserve"> 1. Prezes UKE, jako organ wyspecjalizowany w rozumieniu przepisów ustawy z dnia 30 sierpnia 2002 r. o systemie oceny zgodności, jest uprawniony do kontroli znajdujących się w obrocie lub oddanych do użytku wyrobów, o których mowa w:</w:t>
            </w:r>
          </w:p>
          <w:p w14:paraId="7106763F" w14:textId="77777777" w:rsidR="008150A5" w:rsidRPr="00E356CE" w:rsidRDefault="008150A5"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1FF347C0" w14:textId="77777777" w:rsidR="008150A5" w:rsidRPr="00E356CE" w:rsidRDefault="008150A5" w:rsidP="00A9191A">
            <w:pPr>
              <w:pStyle w:val="PKTpunkt"/>
              <w:spacing w:line="240" w:lineRule="auto"/>
              <w:ind w:left="0" w:firstLine="0"/>
              <w:rPr>
                <w:rFonts w:ascii="Times New Roman" w:hAnsi="Times New Roman" w:cs="Times New Roman"/>
                <w:szCs w:val="24"/>
              </w:rPr>
            </w:pPr>
          </w:p>
          <w:p w14:paraId="531443C6" w14:textId="70501DA7" w:rsidR="008150A5" w:rsidRPr="00E356CE" w:rsidRDefault="00966B1E"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 xml:space="preserve">3) </w:t>
            </w:r>
            <w:r w:rsidRPr="00E356CE">
              <w:rPr>
                <w:rFonts w:ascii="Times New Roman" w:hAnsi="Times New Roman" w:cs="Times New Roman"/>
                <w:szCs w:val="24"/>
              </w:rPr>
              <w:tab/>
              <w:t xml:space="preserve">rozporządzeniu Komisji (UE) 2019/1782 z dnia 1 października 2019 r. ustanawiającym wymogi dotyczące </w:t>
            </w:r>
            <w:proofErr w:type="spellStart"/>
            <w:r w:rsidRPr="00E356CE">
              <w:rPr>
                <w:rFonts w:ascii="Times New Roman" w:hAnsi="Times New Roman" w:cs="Times New Roman"/>
                <w:szCs w:val="24"/>
              </w:rPr>
              <w:t>ekoprojektu</w:t>
            </w:r>
            <w:proofErr w:type="spellEnd"/>
            <w:r w:rsidRPr="00E356CE">
              <w:rPr>
                <w:rFonts w:ascii="Times New Roman" w:hAnsi="Times New Roman" w:cs="Times New Roman"/>
                <w:szCs w:val="24"/>
              </w:rPr>
              <w:t xml:space="preserve"> dla zasilaczy zewnętrznych na podstawie dyrektywy Parlamentu Europejskiego i Rady 2009/125/WE oraz uchylającym rozporządzenie Komisji (WE) nr 278/2009 (Dz. Urz. UE L 272 z 25.10.2019, str. 95);</w:t>
            </w:r>
          </w:p>
        </w:tc>
      </w:tr>
      <w:tr w:rsidR="00723799" w:rsidRPr="00E356CE" w14:paraId="301BBEE6" w14:textId="77777777" w:rsidTr="56856880">
        <w:tc>
          <w:tcPr>
            <w:tcW w:w="795" w:type="dxa"/>
          </w:tcPr>
          <w:p w14:paraId="7ABC7511" w14:textId="77777777" w:rsidR="008150A5" w:rsidRPr="00E356CE" w:rsidRDefault="008150A5" w:rsidP="00A9191A">
            <w:pPr>
              <w:jc w:val="both"/>
              <w:rPr>
                <w:b/>
              </w:rPr>
            </w:pPr>
          </w:p>
        </w:tc>
        <w:tc>
          <w:tcPr>
            <w:tcW w:w="4719" w:type="dxa"/>
          </w:tcPr>
          <w:p w14:paraId="2AE3FF85" w14:textId="77777777" w:rsidR="008150A5" w:rsidRPr="00E356CE" w:rsidRDefault="000377D7" w:rsidP="00A9191A">
            <w:pPr>
              <w:pStyle w:val="norm"/>
              <w:shd w:val="clear" w:color="auto" w:fill="FFFFFF"/>
              <w:spacing w:before="120" w:beforeAutospacing="0" w:after="0" w:afterAutospacing="0"/>
              <w:jc w:val="both"/>
              <w:rPr>
                <w:rFonts w:eastAsia="Arial Unicode MS"/>
                <w:b/>
              </w:rPr>
            </w:pPr>
            <w:r w:rsidRPr="00E356CE">
              <w:rPr>
                <w:b/>
              </w:rPr>
              <w:t xml:space="preserve">Rozporządzenie Komisji (WE) nr 278/2009 z dnia 6 kwietnia 2009 r. w sprawie wykonania dyrektywy 2005/32/WE Parlamentu Europejskiego i Rady w odniesieniu do wymogów dotyczących </w:t>
            </w:r>
            <w:proofErr w:type="spellStart"/>
            <w:r w:rsidRPr="00E356CE">
              <w:rPr>
                <w:b/>
              </w:rPr>
              <w:t>ekoprojektu</w:t>
            </w:r>
            <w:proofErr w:type="spellEnd"/>
            <w:r w:rsidRPr="00E356CE">
              <w:rPr>
                <w:b/>
              </w:rPr>
              <w:t xml:space="preserve"> w zakresie zużycia energii elektrycznej przez zasilacze zewnętrzne w stanie bez obciążenia oraz ich średniej sprawności podczas pracy (Dz. Urz. UE L 93 z 07.04.2009, str. 3)</w:t>
            </w:r>
          </w:p>
        </w:tc>
        <w:tc>
          <w:tcPr>
            <w:tcW w:w="886" w:type="dxa"/>
          </w:tcPr>
          <w:p w14:paraId="07CE4BFD" w14:textId="77777777" w:rsidR="008150A5" w:rsidRPr="00E356CE" w:rsidRDefault="003C4E86" w:rsidP="00A9191A">
            <w:pPr>
              <w:jc w:val="both"/>
              <w:rPr>
                <w:b/>
              </w:rPr>
            </w:pPr>
            <w:r w:rsidRPr="00E356CE">
              <w:rPr>
                <w:b/>
              </w:rPr>
              <w:t>T</w:t>
            </w:r>
          </w:p>
        </w:tc>
        <w:tc>
          <w:tcPr>
            <w:tcW w:w="900" w:type="dxa"/>
            <w:gridSpan w:val="3"/>
          </w:tcPr>
          <w:p w14:paraId="1045E502" w14:textId="407C9E0C" w:rsidR="008150A5" w:rsidRPr="00E356CE" w:rsidRDefault="002400D0" w:rsidP="00966B1E">
            <w:pPr>
              <w:pStyle w:val="Tekstpodstawowy"/>
              <w:rPr>
                <w:noProof/>
                <w:sz w:val="24"/>
                <w:szCs w:val="24"/>
              </w:rPr>
            </w:pPr>
            <w:r w:rsidRPr="00E356CE">
              <w:rPr>
                <w:noProof/>
                <w:sz w:val="24"/>
                <w:szCs w:val="24"/>
              </w:rPr>
              <w:t xml:space="preserve">Art. </w:t>
            </w:r>
            <w:r w:rsidR="00966B1E" w:rsidRPr="00E356CE">
              <w:rPr>
                <w:noProof/>
                <w:sz w:val="24"/>
                <w:szCs w:val="24"/>
              </w:rPr>
              <w:t>417</w:t>
            </w:r>
            <w:r w:rsidRPr="00E356CE">
              <w:rPr>
                <w:noProof/>
                <w:sz w:val="24"/>
                <w:szCs w:val="24"/>
              </w:rPr>
              <w:t xml:space="preserve"> ust. 1 pkt 4</w:t>
            </w:r>
          </w:p>
        </w:tc>
        <w:tc>
          <w:tcPr>
            <w:tcW w:w="7410" w:type="dxa"/>
            <w:gridSpan w:val="2"/>
          </w:tcPr>
          <w:p w14:paraId="646F24C3" w14:textId="27F17A4B" w:rsidR="00C83C92" w:rsidRPr="00E356CE" w:rsidRDefault="00C83C92" w:rsidP="00A9191A">
            <w:pPr>
              <w:pStyle w:val="ARTartustawynprozporzdzenia"/>
              <w:keepNext/>
              <w:spacing w:line="240" w:lineRule="auto"/>
              <w:rPr>
                <w:rFonts w:ascii="Times New Roman" w:hAnsi="Times New Roman" w:cs="Times New Roman"/>
                <w:szCs w:val="24"/>
              </w:rPr>
            </w:pPr>
            <w:r w:rsidRPr="00E356CE">
              <w:rPr>
                <w:rStyle w:val="Ppogrubienie"/>
                <w:rFonts w:ascii="Times New Roman" w:hAnsi="Times New Roman"/>
                <w:szCs w:val="24"/>
              </w:rPr>
              <w:t>A</w:t>
            </w:r>
            <w:r w:rsidR="00966B1E" w:rsidRPr="00E356CE">
              <w:rPr>
                <w:rStyle w:val="Ppogrubienie"/>
                <w:rFonts w:ascii="Times New Roman" w:hAnsi="Times New Roman"/>
                <w:szCs w:val="24"/>
              </w:rPr>
              <w:t>rt. 417</w:t>
            </w:r>
            <w:r w:rsidRPr="00E356CE">
              <w:rPr>
                <w:rStyle w:val="Ppogrubienie"/>
                <w:rFonts w:ascii="Times New Roman" w:hAnsi="Times New Roman"/>
                <w:szCs w:val="24"/>
              </w:rPr>
              <w:t>.</w:t>
            </w:r>
            <w:r w:rsidRPr="00E356CE">
              <w:rPr>
                <w:rFonts w:ascii="Times New Roman" w:hAnsi="Times New Roman" w:cs="Times New Roman"/>
                <w:szCs w:val="24"/>
              </w:rPr>
              <w:t xml:space="preserve"> 1. Prezes UKE, jako organ wyspecjalizowany w rozumieniu przepisów ustawy z dnia 30 sierpnia 2002 r. o systemie oceny zgodności, jest uprawniony do kontroli znajdujących się w obrocie lub oddanych do użytku wyrobów, o których mowa w:</w:t>
            </w:r>
          </w:p>
          <w:p w14:paraId="16E23F09" w14:textId="77777777" w:rsidR="00C83C92" w:rsidRPr="00E356CE" w:rsidRDefault="00C83C92"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0098E8DB" w14:textId="77777777" w:rsidR="00C83C92" w:rsidRPr="00E356CE" w:rsidRDefault="00C83C92" w:rsidP="00A9191A">
            <w:pPr>
              <w:pStyle w:val="PKTpunkt"/>
              <w:spacing w:line="240" w:lineRule="auto"/>
              <w:rPr>
                <w:rFonts w:ascii="Times New Roman" w:hAnsi="Times New Roman" w:cs="Times New Roman"/>
                <w:szCs w:val="24"/>
              </w:rPr>
            </w:pPr>
          </w:p>
          <w:p w14:paraId="0529CFF6" w14:textId="77777777" w:rsidR="008150A5" w:rsidRPr="00E356CE" w:rsidRDefault="008150A5"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4)</w:t>
            </w:r>
            <w:r w:rsidRPr="00E356CE">
              <w:rPr>
                <w:rFonts w:ascii="Times New Roman" w:hAnsi="Times New Roman" w:cs="Times New Roman"/>
                <w:szCs w:val="24"/>
              </w:rPr>
              <w:tab/>
              <w:t xml:space="preserve">rozporządzeniu Komisji (WE) nr 278/2009 z dnia 6 kwietnia 2009 r. w sprawie wykonania dyrektywy 2005/32/WE Parlamentu Europejskiego i Rady w odniesieniu do wymogów dotyczących </w:t>
            </w:r>
            <w:proofErr w:type="spellStart"/>
            <w:r w:rsidRPr="00E356CE">
              <w:rPr>
                <w:rFonts w:ascii="Times New Roman" w:hAnsi="Times New Roman" w:cs="Times New Roman"/>
                <w:szCs w:val="24"/>
              </w:rPr>
              <w:t>ekoprojektu</w:t>
            </w:r>
            <w:proofErr w:type="spellEnd"/>
            <w:r w:rsidRPr="00E356CE">
              <w:rPr>
                <w:rFonts w:ascii="Times New Roman" w:hAnsi="Times New Roman" w:cs="Times New Roman"/>
                <w:szCs w:val="24"/>
              </w:rPr>
              <w:t xml:space="preserve"> w zakresie zużycia energii elektrycznej przez zasilacze zewnętrzne w </w:t>
            </w:r>
            <w:r w:rsidRPr="00E356CE">
              <w:rPr>
                <w:rFonts w:ascii="Times New Roman" w:hAnsi="Times New Roman" w:cs="Times New Roman"/>
                <w:szCs w:val="24"/>
              </w:rPr>
              <w:lastRenderedPageBreak/>
              <w:t>stanie bez obciążenia oraz ich średniej sprawności podczas pracy (Dz. Urz.</w:t>
            </w:r>
            <w:r w:rsidR="00C83C92" w:rsidRPr="00E356CE">
              <w:rPr>
                <w:rFonts w:ascii="Times New Roman" w:hAnsi="Times New Roman" w:cs="Times New Roman"/>
                <w:szCs w:val="24"/>
              </w:rPr>
              <w:t xml:space="preserve"> UE L 93 z 07.04.2009, str. 3);</w:t>
            </w:r>
          </w:p>
        </w:tc>
      </w:tr>
      <w:tr w:rsidR="00723799" w:rsidRPr="00E356CE" w14:paraId="62AB6992" w14:textId="77777777" w:rsidTr="56856880">
        <w:tc>
          <w:tcPr>
            <w:tcW w:w="795" w:type="dxa"/>
          </w:tcPr>
          <w:p w14:paraId="33775B2D" w14:textId="77777777" w:rsidR="008150A5" w:rsidRPr="00E356CE" w:rsidRDefault="008150A5" w:rsidP="00A9191A">
            <w:pPr>
              <w:jc w:val="both"/>
              <w:rPr>
                <w:b/>
              </w:rPr>
            </w:pPr>
          </w:p>
        </w:tc>
        <w:tc>
          <w:tcPr>
            <w:tcW w:w="4719" w:type="dxa"/>
          </w:tcPr>
          <w:p w14:paraId="04F18AD5" w14:textId="77777777" w:rsidR="008150A5" w:rsidRPr="00E356CE" w:rsidRDefault="000377D7" w:rsidP="00A9191A">
            <w:pPr>
              <w:pStyle w:val="norm"/>
              <w:shd w:val="clear" w:color="auto" w:fill="FFFFFF"/>
              <w:spacing w:before="120" w:beforeAutospacing="0" w:after="0" w:afterAutospacing="0"/>
              <w:jc w:val="both"/>
              <w:rPr>
                <w:rFonts w:eastAsia="Arial Unicode MS"/>
                <w:b/>
              </w:rPr>
            </w:pPr>
            <w:r w:rsidRPr="00E356CE">
              <w:rPr>
                <w:b/>
              </w:rPr>
              <w:t xml:space="preserve">Rozporządzenie Komisji (UE) 2019/2021 z dnia 1 października 2019 r. ustanawiające wymogi dotyczące </w:t>
            </w:r>
            <w:proofErr w:type="spellStart"/>
            <w:r w:rsidRPr="00E356CE">
              <w:rPr>
                <w:b/>
              </w:rPr>
              <w:t>ekoprojektu</w:t>
            </w:r>
            <w:proofErr w:type="spellEnd"/>
            <w:r w:rsidRPr="00E356CE">
              <w:rPr>
                <w:b/>
              </w:rPr>
              <w:t> dla wyświetlaczy elektronicznych zgodnie z dyrektywą Parlamentu Europejskiego i Rady 2009/125/WE, zmieniające rozporządzenie Komisji (WE) nr 1275/2008 i uchylające rozporządzenie Komisji (WE) nr 278/2009 (Dz. Urz. UE L 315 z 5.12.2019, str. 241)</w:t>
            </w:r>
          </w:p>
        </w:tc>
        <w:tc>
          <w:tcPr>
            <w:tcW w:w="886" w:type="dxa"/>
          </w:tcPr>
          <w:p w14:paraId="4167AF0F" w14:textId="77777777" w:rsidR="008150A5" w:rsidRPr="00E356CE" w:rsidRDefault="003C4E86" w:rsidP="00A9191A">
            <w:pPr>
              <w:jc w:val="both"/>
              <w:rPr>
                <w:b/>
              </w:rPr>
            </w:pPr>
            <w:r w:rsidRPr="00E356CE">
              <w:rPr>
                <w:b/>
              </w:rPr>
              <w:t>T</w:t>
            </w:r>
          </w:p>
        </w:tc>
        <w:tc>
          <w:tcPr>
            <w:tcW w:w="900" w:type="dxa"/>
            <w:gridSpan w:val="3"/>
          </w:tcPr>
          <w:p w14:paraId="41B3B1F2" w14:textId="726CF9E9" w:rsidR="008150A5" w:rsidRPr="00E356CE" w:rsidRDefault="00966B1E" w:rsidP="00A9191A">
            <w:pPr>
              <w:pStyle w:val="Tekstpodstawowy"/>
              <w:rPr>
                <w:noProof/>
                <w:sz w:val="24"/>
                <w:szCs w:val="24"/>
              </w:rPr>
            </w:pPr>
            <w:r w:rsidRPr="00E356CE">
              <w:rPr>
                <w:noProof/>
                <w:sz w:val="24"/>
                <w:szCs w:val="24"/>
              </w:rPr>
              <w:t>Art. 417</w:t>
            </w:r>
            <w:r w:rsidR="002400D0" w:rsidRPr="00E356CE">
              <w:rPr>
                <w:noProof/>
                <w:sz w:val="24"/>
                <w:szCs w:val="24"/>
              </w:rPr>
              <w:t xml:space="preserve"> ust. 1 pkt 5</w:t>
            </w:r>
          </w:p>
        </w:tc>
        <w:tc>
          <w:tcPr>
            <w:tcW w:w="7410" w:type="dxa"/>
            <w:gridSpan w:val="2"/>
          </w:tcPr>
          <w:p w14:paraId="25BE6AD4" w14:textId="0FD06936" w:rsidR="00C83C92" w:rsidRPr="00E356CE" w:rsidRDefault="00966B1E" w:rsidP="00A9191A">
            <w:pPr>
              <w:pStyle w:val="ARTartustawynprozporzdzenia"/>
              <w:keepNext/>
              <w:spacing w:line="240" w:lineRule="auto"/>
              <w:rPr>
                <w:rFonts w:ascii="Times New Roman" w:hAnsi="Times New Roman" w:cs="Times New Roman"/>
                <w:szCs w:val="24"/>
              </w:rPr>
            </w:pPr>
            <w:r w:rsidRPr="00E356CE">
              <w:rPr>
                <w:rStyle w:val="Ppogrubienie"/>
                <w:rFonts w:ascii="Times New Roman" w:hAnsi="Times New Roman"/>
                <w:szCs w:val="24"/>
              </w:rPr>
              <w:t>Art. 417</w:t>
            </w:r>
            <w:r w:rsidR="00C83C92" w:rsidRPr="00E356CE">
              <w:rPr>
                <w:rStyle w:val="Ppogrubienie"/>
                <w:rFonts w:ascii="Times New Roman" w:hAnsi="Times New Roman"/>
                <w:szCs w:val="24"/>
              </w:rPr>
              <w:t>.</w:t>
            </w:r>
            <w:r w:rsidR="00C83C92" w:rsidRPr="00E356CE">
              <w:rPr>
                <w:rFonts w:ascii="Times New Roman" w:hAnsi="Times New Roman" w:cs="Times New Roman"/>
                <w:szCs w:val="24"/>
              </w:rPr>
              <w:t xml:space="preserve"> 1. Prezes UKE, jako organ wyspecjalizowany w rozumieniu przepisów ustawy z dnia 30 sierpnia 2002 r. o systemie oceny zgodności, jest uprawniony do kontroli znajdujących się w obrocie lub oddanych do użytku wyrobów, o których mowa w:</w:t>
            </w:r>
          </w:p>
          <w:p w14:paraId="15151FA9" w14:textId="77777777" w:rsidR="00C83C92" w:rsidRPr="00E356CE" w:rsidRDefault="00C83C92"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666C454C" w14:textId="77777777" w:rsidR="008150A5" w:rsidRPr="00E356CE" w:rsidRDefault="008150A5"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5)</w:t>
            </w:r>
            <w:r w:rsidRPr="00E356CE">
              <w:rPr>
                <w:rFonts w:ascii="Times New Roman" w:hAnsi="Times New Roman" w:cs="Times New Roman"/>
                <w:szCs w:val="24"/>
              </w:rPr>
              <w:tab/>
              <w:t xml:space="preserve">rozporządzeniu Komisji (UE) 2019/2021 z dnia 1 października 2019 r. ustanawiającym wymogi dotyczące </w:t>
            </w:r>
            <w:proofErr w:type="spellStart"/>
            <w:r w:rsidRPr="00E356CE">
              <w:rPr>
                <w:rFonts w:ascii="Times New Roman" w:hAnsi="Times New Roman" w:cs="Times New Roman"/>
                <w:szCs w:val="24"/>
              </w:rPr>
              <w:t>ekoprojektu</w:t>
            </w:r>
            <w:proofErr w:type="spellEnd"/>
            <w:r w:rsidRPr="00E356CE">
              <w:rPr>
                <w:rFonts w:ascii="Times New Roman" w:hAnsi="Times New Roman" w:cs="Times New Roman"/>
                <w:szCs w:val="24"/>
              </w:rPr>
              <w:t> dla wyświetlaczy elektronicznych zgodnie z dyrektywą Parlamentu Europejskiego i Rady 2009/125/WE, zmieniającym rozporządzenie Komisji (WE) nr 1275/2008 i uchylającym rozporządzenie Komisji (WE) nr 278/2009 (Dz. Urz. U</w:t>
            </w:r>
            <w:r w:rsidR="00C83C92" w:rsidRPr="00E356CE">
              <w:rPr>
                <w:rFonts w:ascii="Times New Roman" w:hAnsi="Times New Roman" w:cs="Times New Roman"/>
                <w:szCs w:val="24"/>
              </w:rPr>
              <w:t>E L 315 z 5.12.2019, str. 241);</w:t>
            </w:r>
          </w:p>
        </w:tc>
      </w:tr>
      <w:tr w:rsidR="00723799" w:rsidRPr="00E356CE" w14:paraId="3991C44D" w14:textId="77777777" w:rsidTr="56856880">
        <w:tc>
          <w:tcPr>
            <w:tcW w:w="795" w:type="dxa"/>
          </w:tcPr>
          <w:p w14:paraId="64FDF4A2" w14:textId="77777777" w:rsidR="008150A5" w:rsidRPr="00E356CE" w:rsidRDefault="008150A5" w:rsidP="00A9191A">
            <w:pPr>
              <w:jc w:val="both"/>
              <w:rPr>
                <w:b/>
              </w:rPr>
            </w:pPr>
          </w:p>
        </w:tc>
        <w:tc>
          <w:tcPr>
            <w:tcW w:w="4719" w:type="dxa"/>
          </w:tcPr>
          <w:p w14:paraId="7D9EC895" w14:textId="77777777" w:rsidR="008150A5" w:rsidRPr="00E356CE" w:rsidRDefault="00CB1817" w:rsidP="00A9191A">
            <w:pPr>
              <w:pStyle w:val="norm"/>
              <w:shd w:val="clear" w:color="auto" w:fill="FFFFFF"/>
              <w:spacing w:before="120" w:beforeAutospacing="0" w:after="0" w:afterAutospacing="0"/>
              <w:jc w:val="both"/>
              <w:rPr>
                <w:rFonts w:eastAsia="Arial Unicode MS"/>
                <w:b/>
              </w:rPr>
            </w:pPr>
            <w:r w:rsidRPr="00E356CE">
              <w:rPr>
                <w:b/>
              </w:rPr>
              <w:t xml:space="preserve">Rozporządzenie Komisji (WE) nr 642/2009 z dnia 22 lipca 2009 r. w sprawie wykonania dyrektywy 2005/32/WE Parlamentu Europejskiego i Rady w odniesieniu do wymogów dotyczących </w:t>
            </w:r>
            <w:proofErr w:type="spellStart"/>
            <w:r w:rsidRPr="00E356CE">
              <w:rPr>
                <w:b/>
              </w:rPr>
              <w:t>ekoprojektu</w:t>
            </w:r>
            <w:proofErr w:type="spellEnd"/>
            <w:r w:rsidRPr="00E356CE">
              <w:rPr>
                <w:b/>
              </w:rPr>
              <w:t xml:space="preserve"> dla telewizorów (Dz. Urz. UE L 191 z 23.07.2009, str. 42)</w:t>
            </w:r>
          </w:p>
        </w:tc>
        <w:tc>
          <w:tcPr>
            <w:tcW w:w="886" w:type="dxa"/>
          </w:tcPr>
          <w:p w14:paraId="4F82053F" w14:textId="77777777" w:rsidR="008150A5" w:rsidRPr="00E356CE" w:rsidRDefault="003C4E86" w:rsidP="00A9191A">
            <w:pPr>
              <w:jc w:val="both"/>
              <w:rPr>
                <w:b/>
              </w:rPr>
            </w:pPr>
            <w:r w:rsidRPr="00E356CE">
              <w:rPr>
                <w:b/>
              </w:rPr>
              <w:t>T</w:t>
            </w:r>
          </w:p>
        </w:tc>
        <w:tc>
          <w:tcPr>
            <w:tcW w:w="900" w:type="dxa"/>
            <w:gridSpan w:val="3"/>
          </w:tcPr>
          <w:p w14:paraId="4A102B4F" w14:textId="704F304E" w:rsidR="008150A5" w:rsidRPr="00E356CE" w:rsidRDefault="002400D0" w:rsidP="00966B1E">
            <w:pPr>
              <w:pStyle w:val="Tekstpodstawowy"/>
              <w:rPr>
                <w:noProof/>
                <w:sz w:val="24"/>
                <w:szCs w:val="24"/>
              </w:rPr>
            </w:pPr>
            <w:r w:rsidRPr="00E356CE">
              <w:rPr>
                <w:noProof/>
                <w:sz w:val="24"/>
                <w:szCs w:val="24"/>
              </w:rPr>
              <w:t xml:space="preserve">Art. </w:t>
            </w:r>
            <w:r w:rsidR="00966B1E" w:rsidRPr="00E356CE">
              <w:rPr>
                <w:noProof/>
                <w:sz w:val="24"/>
                <w:szCs w:val="24"/>
              </w:rPr>
              <w:t>417</w:t>
            </w:r>
            <w:r w:rsidRPr="00E356CE">
              <w:rPr>
                <w:noProof/>
                <w:sz w:val="24"/>
                <w:szCs w:val="24"/>
              </w:rPr>
              <w:t xml:space="preserve"> ust. 1 pkt 6</w:t>
            </w:r>
          </w:p>
        </w:tc>
        <w:tc>
          <w:tcPr>
            <w:tcW w:w="7410" w:type="dxa"/>
            <w:gridSpan w:val="2"/>
          </w:tcPr>
          <w:p w14:paraId="695A6557" w14:textId="7B7BD945" w:rsidR="00C83C92" w:rsidRPr="00E356CE" w:rsidRDefault="00C83C92" w:rsidP="00966B1E">
            <w:pPr>
              <w:pStyle w:val="ARTartustawynprozporzdzenia"/>
              <w:keepNext/>
              <w:spacing w:line="240" w:lineRule="auto"/>
              <w:ind w:firstLine="0"/>
              <w:rPr>
                <w:rFonts w:ascii="Times New Roman" w:hAnsi="Times New Roman" w:cs="Times New Roman"/>
                <w:szCs w:val="24"/>
              </w:rPr>
            </w:pPr>
            <w:r w:rsidRPr="00E356CE">
              <w:rPr>
                <w:rStyle w:val="Ppogrubienie"/>
                <w:rFonts w:ascii="Times New Roman" w:hAnsi="Times New Roman"/>
                <w:szCs w:val="24"/>
              </w:rPr>
              <w:t>A</w:t>
            </w:r>
            <w:r w:rsidR="00966B1E" w:rsidRPr="00E356CE">
              <w:rPr>
                <w:rStyle w:val="Ppogrubienie"/>
                <w:rFonts w:ascii="Times New Roman" w:hAnsi="Times New Roman"/>
                <w:szCs w:val="24"/>
              </w:rPr>
              <w:t>rt. 417</w:t>
            </w:r>
            <w:r w:rsidRPr="00E356CE">
              <w:rPr>
                <w:rStyle w:val="Ppogrubienie"/>
                <w:rFonts w:ascii="Times New Roman" w:hAnsi="Times New Roman"/>
                <w:szCs w:val="24"/>
              </w:rPr>
              <w:t>.</w:t>
            </w:r>
            <w:r w:rsidRPr="00E356CE">
              <w:rPr>
                <w:rFonts w:ascii="Times New Roman" w:hAnsi="Times New Roman" w:cs="Times New Roman"/>
                <w:szCs w:val="24"/>
              </w:rPr>
              <w:t xml:space="preserve"> 1. Prezes UKE, jako organ wyspecjalizowany w rozumieniu przepisów ustawy z dnia 30 sierpnia 2002 r. o systemie oceny zgodności, jest uprawniony do kontroli znajdujących się w obrocie lub oddanych do użytku wyrobów, o których mowa w:</w:t>
            </w:r>
          </w:p>
          <w:p w14:paraId="4BEEAD2C" w14:textId="77777777" w:rsidR="00C83C92" w:rsidRPr="00E356CE" w:rsidRDefault="00C83C92"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1E764069" w14:textId="77777777" w:rsidR="008150A5" w:rsidRPr="00E356CE" w:rsidRDefault="008150A5"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6)</w:t>
            </w:r>
            <w:r w:rsidRPr="00E356CE">
              <w:rPr>
                <w:rFonts w:ascii="Times New Roman" w:hAnsi="Times New Roman" w:cs="Times New Roman"/>
                <w:szCs w:val="24"/>
              </w:rPr>
              <w:tab/>
              <w:t xml:space="preserve">rozporządzeniu Komisji (WE) nr 642/2009 z dnia 22 lipca 2009 r. w sprawie wykonania dyrektywy 2005/32/WE Parlamentu Europejskiego i Rady w odniesieniu do wymogów dotyczących </w:t>
            </w:r>
            <w:proofErr w:type="spellStart"/>
            <w:r w:rsidRPr="00E356CE">
              <w:rPr>
                <w:rFonts w:ascii="Times New Roman" w:hAnsi="Times New Roman" w:cs="Times New Roman"/>
                <w:szCs w:val="24"/>
              </w:rPr>
              <w:t>ekoprojektu</w:t>
            </w:r>
            <w:proofErr w:type="spellEnd"/>
            <w:r w:rsidRPr="00E356CE">
              <w:rPr>
                <w:rFonts w:ascii="Times New Roman" w:hAnsi="Times New Roman" w:cs="Times New Roman"/>
                <w:szCs w:val="24"/>
              </w:rPr>
              <w:t xml:space="preserve"> dla telewizorów (Dz. Urz. U</w:t>
            </w:r>
            <w:r w:rsidR="00C83C92" w:rsidRPr="00E356CE">
              <w:rPr>
                <w:rFonts w:ascii="Times New Roman" w:hAnsi="Times New Roman" w:cs="Times New Roman"/>
                <w:szCs w:val="24"/>
              </w:rPr>
              <w:t>E L 191 z 23.07.2009, str. 42);</w:t>
            </w:r>
          </w:p>
        </w:tc>
      </w:tr>
      <w:tr w:rsidR="00723799" w:rsidRPr="00E356CE" w14:paraId="0BDB5A6C" w14:textId="77777777" w:rsidTr="56856880">
        <w:tc>
          <w:tcPr>
            <w:tcW w:w="795" w:type="dxa"/>
          </w:tcPr>
          <w:p w14:paraId="282494BE" w14:textId="77777777" w:rsidR="008150A5" w:rsidRPr="00E356CE" w:rsidRDefault="008150A5" w:rsidP="00A9191A">
            <w:pPr>
              <w:jc w:val="both"/>
              <w:rPr>
                <w:b/>
              </w:rPr>
            </w:pPr>
          </w:p>
        </w:tc>
        <w:tc>
          <w:tcPr>
            <w:tcW w:w="4719" w:type="dxa"/>
          </w:tcPr>
          <w:p w14:paraId="1E6AFD8A" w14:textId="77777777" w:rsidR="008150A5" w:rsidRPr="00E356CE" w:rsidRDefault="002400D0" w:rsidP="00A9191A">
            <w:pPr>
              <w:pStyle w:val="norm"/>
              <w:shd w:val="clear" w:color="auto" w:fill="FFFFFF"/>
              <w:spacing w:before="120" w:beforeAutospacing="0" w:after="0" w:afterAutospacing="0"/>
              <w:jc w:val="both"/>
              <w:rPr>
                <w:rFonts w:eastAsia="Arial Unicode MS"/>
                <w:b/>
              </w:rPr>
            </w:pPr>
            <w:r w:rsidRPr="00E356CE">
              <w:rPr>
                <w:b/>
              </w:rPr>
              <w:t xml:space="preserve">Rozporządzenie Komisji (UE) nr 617/2013 z dnia 26 czerwca 2013 r. w sprawie wykonania dyrektywy Parlamentu Europejskiego i Rady 2009/125/WE w odniesieniu do wymogów dotyczących </w:t>
            </w:r>
            <w:proofErr w:type="spellStart"/>
            <w:r w:rsidRPr="00E356CE">
              <w:rPr>
                <w:b/>
              </w:rPr>
              <w:t>ekoprojektu</w:t>
            </w:r>
            <w:proofErr w:type="spellEnd"/>
            <w:r w:rsidRPr="00E356CE">
              <w:rPr>
                <w:b/>
              </w:rPr>
              <w:t xml:space="preserve"> dla komputerów i serwerów (Dz. Urz. UE L 175 z 27.06.2013, str. 13)</w:t>
            </w:r>
          </w:p>
        </w:tc>
        <w:tc>
          <w:tcPr>
            <w:tcW w:w="886" w:type="dxa"/>
          </w:tcPr>
          <w:p w14:paraId="098D59AC" w14:textId="77777777" w:rsidR="008150A5" w:rsidRPr="00E356CE" w:rsidRDefault="003C4E86" w:rsidP="00A9191A">
            <w:pPr>
              <w:jc w:val="both"/>
              <w:rPr>
                <w:b/>
              </w:rPr>
            </w:pPr>
            <w:r w:rsidRPr="00E356CE">
              <w:rPr>
                <w:b/>
              </w:rPr>
              <w:t>T</w:t>
            </w:r>
          </w:p>
        </w:tc>
        <w:tc>
          <w:tcPr>
            <w:tcW w:w="900" w:type="dxa"/>
            <w:gridSpan w:val="3"/>
          </w:tcPr>
          <w:p w14:paraId="0EB5DA5A" w14:textId="2B971BCA" w:rsidR="008150A5" w:rsidRPr="00E356CE" w:rsidRDefault="00796BDA" w:rsidP="00A9191A">
            <w:pPr>
              <w:pStyle w:val="Tekstpodstawowy"/>
              <w:rPr>
                <w:noProof/>
                <w:sz w:val="24"/>
                <w:szCs w:val="24"/>
              </w:rPr>
            </w:pPr>
            <w:r w:rsidRPr="00E356CE">
              <w:rPr>
                <w:noProof/>
                <w:sz w:val="24"/>
                <w:szCs w:val="24"/>
              </w:rPr>
              <w:t>Art. 417</w:t>
            </w:r>
            <w:r w:rsidR="002400D0" w:rsidRPr="00E356CE">
              <w:rPr>
                <w:noProof/>
                <w:sz w:val="24"/>
                <w:szCs w:val="24"/>
              </w:rPr>
              <w:t xml:space="preserve"> ust. 1 pkt 7</w:t>
            </w:r>
          </w:p>
        </w:tc>
        <w:tc>
          <w:tcPr>
            <w:tcW w:w="7410" w:type="dxa"/>
            <w:gridSpan w:val="2"/>
          </w:tcPr>
          <w:p w14:paraId="71867161" w14:textId="0BD60C55" w:rsidR="00C83C92" w:rsidRPr="00E356CE" w:rsidRDefault="00796BDA" w:rsidP="00796BDA">
            <w:pPr>
              <w:pStyle w:val="ARTartustawynprozporzdzenia"/>
              <w:keepNext/>
              <w:spacing w:line="240" w:lineRule="auto"/>
              <w:ind w:firstLine="0"/>
              <w:rPr>
                <w:rFonts w:ascii="Times New Roman" w:hAnsi="Times New Roman" w:cs="Times New Roman"/>
                <w:szCs w:val="24"/>
              </w:rPr>
            </w:pPr>
            <w:r w:rsidRPr="00E356CE">
              <w:rPr>
                <w:rStyle w:val="Ppogrubienie"/>
                <w:rFonts w:ascii="Times New Roman" w:hAnsi="Times New Roman"/>
                <w:szCs w:val="24"/>
              </w:rPr>
              <w:t>Art. 417</w:t>
            </w:r>
            <w:r w:rsidR="00C83C92" w:rsidRPr="00E356CE">
              <w:rPr>
                <w:rStyle w:val="Ppogrubienie"/>
                <w:rFonts w:ascii="Times New Roman" w:hAnsi="Times New Roman"/>
                <w:szCs w:val="24"/>
              </w:rPr>
              <w:t>.</w:t>
            </w:r>
            <w:r w:rsidR="00C83C92" w:rsidRPr="00E356CE">
              <w:rPr>
                <w:rFonts w:ascii="Times New Roman" w:hAnsi="Times New Roman" w:cs="Times New Roman"/>
                <w:szCs w:val="24"/>
              </w:rPr>
              <w:t xml:space="preserve"> 1. Prezes UKE, jako organ wyspecjalizowany w rozumieniu przepisów ustawy z dnia 30 sierpnia 2002 r. o systemie oceny zgodności, jest uprawniony do kontroli znajdujących się w obrocie lub oddanych do użytku wyrobów, o których mowa w:</w:t>
            </w:r>
          </w:p>
          <w:p w14:paraId="4DB88967" w14:textId="77777777" w:rsidR="00C83C92" w:rsidRPr="00E356CE" w:rsidRDefault="00C83C92"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3B7C154D" w14:textId="77777777" w:rsidR="00C83C92" w:rsidRPr="00E356CE" w:rsidRDefault="00C83C92" w:rsidP="00A9191A">
            <w:pPr>
              <w:pStyle w:val="PKTpunkt"/>
              <w:spacing w:line="240" w:lineRule="auto"/>
              <w:rPr>
                <w:rFonts w:ascii="Times New Roman" w:hAnsi="Times New Roman" w:cs="Times New Roman"/>
                <w:szCs w:val="24"/>
              </w:rPr>
            </w:pPr>
          </w:p>
          <w:p w14:paraId="2249FF7E" w14:textId="77777777" w:rsidR="008150A5" w:rsidRPr="00E356CE" w:rsidRDefault="008150A5"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7)</w:t>
            </w:r>
            <w:r w:rsidRPr="00E356CE">
              <w:rPr>
                <w:rFonts w:ascii="Times New Roman" w:hAnsi="Times New Roman" w:cs="Times New Roman"/>
                <w:szCs w:val="24"/>
              </w:rPr>
              <w:tab/>
              <w:t xml:space="preserve">rozporządzeniu Komisji (UE) nr 617/2013 z dnia 26 czerwca 2013 r. w sprawie wykonania dyrektywy Parlamentu Europejskiego i Rady </w:t>
            </w:r>
            <w:r w:rsidRPr="00E356CE">
              <w:rPr>
                <w:rFonts w:ascii="Times New Roman" w:hAnsi="Times New Roman" w:cs="Times New Roman"/>
                <w:szCs w:val="24"/>
              </w:rPr>
              <w:lastRenderedPageBreak/>
              <w:t xml:space="preserve">2009/125/WE w odniesieniu do wymogów dotyczących </w:t>
            </w:r>
            <w:proofErr w:type="spellStart"/>
            <w:r w:rsidRPr="00E356CE">
              <w:rPr>
                <w:rFonts w:ascii="Times New Roman" w:hAnsi="Times New Roman" w:cs="Times New Roman"/>
                <w:szCs w:val="24"/>
              </w:rPr>
              <w:t>ekoprojektu</w:t>
            </w:r>
            <w:proofErr w:type="spellEnd"/>
            <w:r w:rsidRPr="00E356CE">
              <w:rPr>
                <w:rFonts w:ascii="Times New Roman" w:hAnsi="Times New Roman" w:cs="Times New Roman"/>
                <w:szCs w:val="24"/>
              </w:rPr>
              <w:t xml:space="preserve"> dla komputerów i serwerów (Dz. Urz. U</w:t>
            </w:r>
            <w:r w:rsidR="002400D0" w:rsidRPr="00E356CE">
              <w:rPr>
                <w:rFonts w:ascii="Times New Roman" w:hAnsi="Times New Roman" w:cs="Times New Roman"/>
                <w:szCs w:val="24"/>
              </w:rPr>
              <w:t>E L 175 z 27.06.2013, str. 13).</w:t>
            </w:r>
          </w:p>
        </w:tc>
      </w:tr>
      <w:tr w:rsidR="00723799" w:rsidRPr="00E356CE" w14:paraId="12163164" w14:textId="77777777" w:rsidTr="56856880">
        <w:tc>
          <w:tcPr>
            <w:tcW w:w="5514" w:type="dxa"/>
            <w:gridSpan w:val="2"/>
            <w:shd w:val="clear" w:color="auto" w:fill="E0E0E0"/>
          </w:tcPr>
          <w:p w14:paraId="792885F2" w14:textId="77777777" w:rsidR="00042FF8" w:rsidRPr="00E356CE" w:rsidRDefault="00042FF8" w:rsidP="00A9191A">
            <w:pPr>
              <w:jc w:val="both"/>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22A79545" w14:textId="77777777" w:rsidR="00042FF8" w:rsidRPr="00E356CE" w:rsidRDefault="00A9191A" w:rsidP="00A9191A">
            <w:pPr>
              <w:autoSpaceDE w:val="0"/>
              <w:autoSpaceDN w:val="0"/>
              <w:jc w:val="both"/>
            </w:pPr>
            <w:r w:rsidRPr="00E356CE">
              <w:rPr>
                <w:rStyle w:val="Pogrubienie"/>
                <w:shd w:val="clear" w:color="auto" w:fill="FFFFFF"/>
              </w:rPr>
              <w:t>Rozporządzenia UE</w:t>
            </w:r>
            <w:r w:rsidR="00042FF8" w:rsidRPr="00E356CE">
              <w:rPr>
                <w:rStyle w:val="Pogrubienie"/>
                <w:shd w:val="clear" w:color="auto" w:fill="FFFFFF"/>
              </w:rPr>
              <w:t xml:space="preserve"> w zakresie etykietowania energetycznego</w:t>
            </w:r>
          </w:p>
        </w:tc>
      </w:tr>
      <w:tr w:rsidR="00723799" w:rsidRPr="00E356CE" w14:paraId="1C53DB86" w14:textId="77777777" w:rsidTr="56856880">
        <w:tc>
          <w:tcPr>
            <w:tcW w:w="795" w:type="dxa"/>
          </w:tcPr>
          <w:p w14:paraId="78717B14" w14:textId="77777777" w:rsidR="00042FF8" w:rsidRPr="00E356CE" w:rsidRDefault="00042FF8" w:rsidP="00A9191A">
            <w:pPr>
              <w:jc w:val="both"/>
              <w:rPr>
                <w:b/>
              </w:rPr>
            </w:pPr>
          </w:p>
        </w:tc>
        <w:tc>
          <w:tcPr>
            <w:tcW w:w="4719" w:type="dxa"/>
            <w:shd w:val="clear" w:color="auto" w:fill="auto"/>
          </w:tcPr>
          <w:p w14:paraId="348B9F7C" w14:textId="77777777" w:rsidR="00042FF8" w:rsidRPr="00E356CE" w:rsidRDefault="00A9191A" w:rsidP="00A9191A">
            <w:pPr>
              <w:pStyle w:val="norm"/>
              <w:shd w:val="clear" w:color="auto" w:fill="FFFFFF"/>
              <w:spacing w:before="120" w:beforeAutospacing="0" w:after="0" w:afterAutospacing="0"/>
              <w:jc w:val="both"/>
              <w:rPr>
                <w:rFonts w:eastAsia="Arial Unicode MS"/>
                <w:b/>
              </w:rPr>
            </w:pPr>
            <w:r w:rsidRPr="00E356CE">
              <w:rPr>
                <w:b/>
              </w:rPr>
              <w:t>Rozporządzenie delegowane Komisji (UE) 2019/2013 z dnia 11 marca 2019 r. uzupełniające rozporządzenie Parlamentu Europejskiego i Rady (UE) 2019/1369 w odniesieniu do etykietowania energetycznego wyświetlaczy elektronicznych i uchylającym rozporządzenie delegowane Komisji (UE) nr 1062/2010 (Dz. Urz. UE L 315 z 5.12.2019, str. 1)</w:t>
            </w:r>
          </w:p>
        </w:tc>
        <w:tc>
          <w:tcPr>
            <w:tcW w:w="886" w:type="dxa"/>
          </w:tcPr>
          <w:p w14:paraId="6B721D34" w14:textId="77777777" w:rsidR="00042FF8" w:rsidRPr="00E356CE" w:rsidRDefault="003C4E86" w:rsidP="00A9191A">
            <w:pPr>
              <w:jc w:val="both"/>
              <w:rPr>
                <w:b/>
              </w:rPr>
            </w:pPr>
            <w:r w:rsidRPr="00E356CE">
              <w:rPr>
                <w:b/>
              </w:rPr>
              <w:t>T</w:t>
            </w:r>
          </w:p>
        </w:tc>
        <w:tc>
          <w:tcPr>
            <w:tcW w:w="900" w:type="dxa"/>
            <w:gridSpan w:val="3"/>
          </w:tcPr>
          <w:p w14:paraId="13D746D5" w14:textId="40B72B5D" w:rsidR="00042FF8" w:rsidRPr="00E356CE" w:rsidRDefault="00796BDA" w:rsidP="00796BDA">
            <w:pPr>
              <w:pStyle w:val="Tekstpodstawowy"/>
              <w:rPr>
                <w:noProof/>
                <w:sz w:val="24"/>
                <w:szCs w:val="24"/>
              </w:rPr>
            </w:pPr>
            <w:r w:rsidRPr="00E356CE">
              <w:rPr>
                <w:noProof/>
                <w:sz w:val="24"/>
                <w:szCs w:val="24"/>
              </w:rPr>
              <w:t>Art. 417</w:t>
            </w:r>
            <w:r w:rsidR="00A9191A" w:rsidRPr="00E356CE">
              <w:rPr>
                <w:noProof/>
                <w:sz w:val="24"/>
                <w:szCs w:val="24"/>
              </w:rPr>
              <w:t xml:space="preserve"> ust. 2 pkt 1</w:t>
            </w:r>
          </w:p>
        </w:tc>
        <w:tc>
          <w:tcPr>
            <w:tcW w:w="7410" w:type="dxa"/>
            <w:gridSpan w:val="2"/>
          </w:tcPr>
          <w:p w14:paraId="44C5256E" w14:textId="340C967A" w:rsidR="00042FF8" w:rsidRPr="00E356CE" w:rsidRDefault="00A9191A"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A</w:t>
            </w:r>
            <w:r w:rsidR="00796BDA" w:rsidRPr="00E356CE">
              <w:rPr>
                <w:rFonts w:ascii="Times New Roman" w:hAnsi="Times New Roman" w:cs="Times New Roman"/>
                <w:szCs w:val="24"/>
              </w:rPr>
              <w:t>rt. 417</w:t>
            </w:r>
          </w:p>
          <w:p w14:paraId="5A39D4CF" w14:textId="77777777" w:rsidR="00A9191A" w:rsidRPr="00E356CE" w:rsidRDefault="00A9191A" w:rsidP="00A9191A">
            <w:pPr>
              <w:pStyle w:val="USTustnpkodeksu"/>
              <w:keepNext/>
              <w:spacing w:line="240" w:lineRule="auto"/>
              <w:rPr>
                <w:rFonts w:ascii="Times New Roman" w:hAnsi="Times New Roman" w:cs="Times New Roman"/>
                <w:szCs w:val="24"/>
              </w:rPr>
            </w:pPr>
            <w:r w:rsidRPr="00E356CE">
              <w:rPr>
                <w:rFonts w:ascii="Times New Roman" w:hAnsi="Times New Roman" w:cs="Times New Roman"/>
                <w:szCs w:val="24"/>
              </w:rPr>
              <w:t>2. Prezes UKE jako organ:</w:t>
            </w:r>
          </w:p>
          <w:p w14:paraId="07B6D341" w14:textId="130A2C91" w:rsidR="00796BDA" w:rsidRPr="00E356CE" w:rsidRDefault="00796BDA" w:rsidP="00796BDA">
            <w:pPr>
              <w:pStyle w:val="PKTpunkt"/>
              <w:ind w:left="0" w:firstLine="0"/>
              <w:rPr>
                <w:rFonts w:ascii="Times New Roman" w:hAnsi="Times New Roman" w:cs="Times New Roman"/>
                <w:szCs w:val="24"/>
              </w:rPr>
            </w:pPr>
          </w:p>
          <w:p w14:paraId="36595663" w14:textId="0BD30AC1" w:rsidR="00A9191A" w:rsidRPr="00E356CE" w:rsidRDefault="00796BDA" w:rsidP="00796BDA">
            <w:pPr>
              <w:pStyle w:val="PKTpunkt"/>
              <w:spacing w:line="240" w:lineRule="auto"/>
              <w:rPr>
                <w:rFonts w:ascii="Times New Roman" w:hAnsi="Times New Roman" w:cs="Times New Roman"/>
                <w:szCs w:val="24"/>
              </w:rPr>
            </w:pPr>
            <w:r w:rsidRPr="00E356CE">
              <w:rPr>
                <w:rFonts w:ascii="Times New Roman" w:hAnsi="Times New Roman" w:cs="Times New Roman"/>
                <w:szCs w:val="24"/>
              </w:rPr>
              <w:t xml:space="preserve">1) </w:t>
            </w:r>
            <w:r w:rsidRPr="00E356CE">
              <w:rPr>
                <w:rFonts w:ascii="Times New Roman" w:hAnsi="Times New Roman" w:cs="Times New Roman"/>
                <w:szCs w:val="24"/>
              </w:rPr>
              <w:tab/>
              <w:t>kontrolujący w rozumieniu przepisów ustawy z dnia 14 września 2012 r. o etykietowaniu energetycznym produktów związanych z energią (Dz. U. z 2020 r. poz. 378) jest uprawniony do kontroli wprowadzanych do obrotu lub oddawanych do użytku produktów związanych z energią, o których mowa w rozporządzeniu delegowanym Komisji (UE) 2019/2013 z dnia 11 marca 2019 r. uzupełniającym rozporządzenie Parlamentu Europejskiego i Rady (UE) 2019/1369 w odniesieniu do etykietowania energetycznego wyświetlaczy elektronicznych i uchylającym rozporządzenie delegowane Komisji (UE) nr 1062/2010 (Dz. Urz. UE L 315 z 5.12.2019, str. 1);</w:t>
            </w:r>
          </w:p>
        </w:tc>
      </w:tr>
      <w:tr w:rsidR="00723799" w:rsidRPr="00E356CE" w14:paraId="058FCBD1" w14:textId="77777777" w:rsidTr="56856880">
        <w:tc>
          <w:tcPr>
            <w:tcW w:w="795" w:type="dxa"/>
          </w:tcPr>
          <w:p w14:paraId="58196910" w14:textId="77777777" w:rsidR="00A9191A" w:rsidRPr="00E356CE" w:rsidRDefault="00A9191A" w:rsidP="00A9191A">
            <w:pPr>
              <w:jc w:val="both"/>
              <w:rPr>
                <w:b/>
              </w:rPr>
            </w:pPr>
          </w:p>
        </w:tc>
        <w:tc>
          <w:tcPr>
            <w:tcW w:w="4719" w:type="dxa"/>
            <w:shd w:val="clear" w:color="auto" w:fill="auto"/>
          </w:tcPr>
          <w:p w14:paraId="61E06C4B" w14:textId="77777777" w:rsidR="00A9191A" w:rsidRPr="00E356CE" w:rsidRDefault="00A9191A" w:rsidP="00A9191A">
            <w:pPr>
              <w:pStyle w:val="norm"/>
              <w:shd w:val="clear" w:color="auto" w:fill="FFFFFF"/>
              <w:spacing w:before="120" w:beforeAutospacing="0" w:after="0" w:afterAutospacing="0"/>
              <w:jc w:val="both"/>
              <w:rPr>
                <w:b/>
              </w:rPr>
            </w:pPr>
            <w:r w:rsidRPr="00E356CE">
              <w:rPr>
                <w:b/>
              </w:rPr>
              <w:t xml:space="preserve">Rozporządzenie Parlamentu Europejskiego i Rady (WE) nr 106/2008 z dnia 15 stycznia 2008 r. w sprawie unijnego programu znakowania efektywności energetycznej urządzeń biurowych (Dz. Urz. UE L 39 z 13.02.2008, str. 1, z </w:t>
            </w:r>
            <w:proofErr w:type="spellStart"/>
            <w:r w:rsidRPr="00E356CE">
              <w:rPr>
                <w:b/>
              </w:rPr>
              <w:t>późn</w:t>
            </w:r>
            <w:proofErr w:type="spellEnd"/>
            <w:r w:rsidRPr="00E356CE">
              <w:rPr>
                <w:b/>
              </w:rPr>
              <w:t>. zm.189)</w:t>
            </w:r>
          </w:p>
        </w:tc>
        <w:tc>
          <w:tcPr>
            <w:tcW w:w="886" w:type="dxa"/>
          </w:tcPr>
          <w:p w14:paraId="79A75F25" w14:textId="77777777" w:rsidR="00A9191A" w:rsidRPr="00E356CE" w:rsidRDefault="003C4E86" w:rsidP="00A9191A">
            <w:pPr>
              <w:jc w:val="both"/>
              <w:rPr>
                <w:b/>
              </w:rPr>
            </w:pPr>
            <w:r w:rsidRPr="00E356CE">
              <w:rPr>
                <w:b/>
              </w:rPr>
              <w:t>T</w:t>
            </w:r>
          </w:p>
        </w:tc>
        <w:tc>
          <w:tcPr>
            <w:tcW w:w="900" w:type="dxa"/>
            <w:gridSpan w:val="3"/>
          </w:tcPr>
          <w:p w14:paraId="24FA0FD8" w14:textId="49027D2A" w:rsidR="00A9191A" w:rsidRPr="00E356CE" w:rsidRDefault="00A9191A" w:rsidP="00796BDA">
            <w:pPr>
              <w:pStyle w:val="Tekstpodstawowy"/>
              <w:rPr>
                <w:noProof/>
                <w:sz w:val="24"/>
                <w:szCs w:val="24"/>
              </w:rPr>
            </w:pPr>
            <w:r w:rsidRPr="00E356CE">
              <w:rPr>
                <w:noProof/>
                <w:sz w:val="24"/>
                <w:szCs w:val="24"/>
              </w:rPr>
              <w:t xml:space="preserve">Art. </w:t>
            </w:r>
            <w:r w:rsidR="00796BDA" w:rsidRPr="00E356CE">
              <w:rPr>
                <w:noProof/>
                <w:sz w:val="24"/>
                <w:szCs w:val="24"/>
              </w:rPr>
              <w:t>417</w:t>
            </w:r>
            <w:r w:rsidRPr="00E356CE">
              <w:rPr>
                <w:noProof/>
                <w:sz w:val="24"/>
                <w:szCs w:val="24"/>
              </w:rPr>
              <w:t xml:space="preserve"> ust. 2 pkt 2</w:t>
            </w:r>
          </w:p>
        </w:tc>
        <w:tc>
          <w:tcPr>
            <w:tcW w:w="7410" w:type="dxa"/>
            <w:gridSpan w:val="2"/>
          </w:tcPr>
          <w:p w14:paraId="283E9F9F" w14:textId="23652815" w:rsidR="00A9191A" w:rsidRPr="00E356CE" w:rsidRDefault="00A9191A" w:rsidP="00A9191A">
            <w:pPr>
              <w:pStyle w:val="USTustnpkodeksu"/>
              <w:keepNext/>
              <w:spacing w:line="240" w:lineRule="auto"/>
              <w:rPr>
                <w:rFonts w:ascii="Times New Roman" w:hAnsi="Times New Roman" w:cs="Times New Roman"/>
                <w:szCs w:val="24"/>
              </w:rPr>
            </w:pPr>
            <w:r w:rsidRPr="00E356CE">
              <w:rPr>
                <w:rFonts w:ascii="Times New Roman" w:hAnsi="Times New Roman" w:cs="Times New Roman"/>
                <w:szCs w:val="24"/>
              </w:rPr>
              <w:t>A</w:t>
            </w:r>
            <w:r w:rsidR="00796BDA" w:rsidRPr="00E356CE">
              <w:rPr>
                <w:rFonts w:ascii="Times New Roman" w:hAnsi="Times New Roman" w:cs="Times New Roman"/>
                <w:szCs w:val="24"/>
              </w:rPr>
              <w:t>rt. 417</w:t>
            </w:r>
          </w:p>
          <w:p w14:paraId="057E5B8D" w14:textId="77777777" w:rsidR="00A9191A" w:rsidRPr="00E356CE" w:rsidRDefault="00A9191A" w:rsidP="00A9191A">
            <w:pPr>
              <w:pStyle w:val="USTustnpkodeksu"/>
              <w:keepNext/>
              <w:spacing w:line="240" w:lineRule="auto"/>
              <w:rPr>
                <w:rFonts w:ascii="Times New Roman" w:hAnsi="Times New Roman" w:cs="Times New Roman"/>
                <w:szCs w:val="24"/>
              </w:rPr>
            </w:pPr>
            <w:r w:rsidRPr="00E356CE">
              <w:rPr>
                <w:rFonts w:ascii="Times New Roman" w:hAnsi="Times New Roman" w:cs="Times New Roman"/>
                <w:szCs w:val="24"/>
              </w:rPr>
              <w:t>2. Prezes UKE jako organ:</w:t>
            </w:r>
          </w:p>
          <w:p w14:paraId="5B8AD9F5" w14:textId="77777777" w:rsidR="00A9191A" w:rsidRPr="00E356CE" w:rsidRDefault="00A9191A"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w:t>
            </w:r>
          </w:p>
          <w:p w14:paraId="78D86C82" w14:textId="77777777" w:rsidR="00A9191A" w:rsidRPr="00E356CE" w:rsidRDefault="00A9191A" w:rsidP="00A9191A">
            <w:pPr>
              <w:pStyle w:val="PKTpunkt"/>
              <w:spacing w:line="240" w:lineRule="auto"/>
              <w:rPr>
                <w:rFonts w:ascii="Times New Roman" w:hAnsi="Times New Roman" w:cs="Times New Roman"/>
                <w:szCs w:val="24"/>
              </w:rPr>
            </w:pPr>
            <w:r w:rsidRPr="00E356CE">
              <w:rPr>
                <w:rFonts w:ascii="Times New Roman" w:hAnsi="Times New Roman" w:cs="Times New Roman"/>
                <w:szCs w:val="24"/>
              </w:rPr>
              <w:t>2)</w:t>
            </w:r>
            <w:r w:rsidRPr="00E356CE">
              <w:rPr>
                <w:rFonts w:ascii="Times New Roman" w:hAnsi="Times New Roman" w:cs="Times New Roman"/>
                <w:szCs w:val="24"/>
              </w:rPr>
              <w:tab/>
              <w:t xml:space="preserve">przeprowadzający kontrolę realizacji programu znakowania efektywności energetycznej urządzeń biurowych w rozumieniu przepisów ustawy, o której mowa w pkt 1, jest uprawniony do kontroli realizacji programu znakowania efektywności energetycznej urządzeń biurowych, o którym mowa w art. 1 rozporządzenia Parlamentu Europejskiego i Rady (WE) nr 106/2008 z dnia 15 stycznia 2008 r. w sprawie unijnego programu znakowania efektywności energetycznej urządzeń biurowych (Dz. Urz. UE L 39 z 13.02.2008, str. 1, z </w:t>
            </w:r>
            <w:proofErr w:type="spellStart"/>
            <w:r w:rsidRPr="00E356CE">
              <w:rPr>
                <w:rFonts w:ascii="Times New Roman" w:hAnsi="Times New Roman" w:cs="Times New Roman"/>
                <w:szCs w:val="24"/>
              </w:rPr>
              <w:t>późn</w:t>
            </w:r>
            <w:proofErr w:type="spellEnd"/>
            <w:r w:rsidRPr="00E356CE">
              <w:rPr>
                <w:rFonts w:ascii="Times New Roman" w:hAnsi="Times New Roman" w:cs="Times New Roman"/>
                <w:szCs w:val="24"/>
              </w:rPr>
              <w:t>. zm.189).</w:t>
            </w:r>
          </w:p>
          <w:p w14:paraId="21C7B5A2" w14:textId="77777777" w:rsidR="00A9191A" w:rsidRPr="00E356CE" w:rsidRDefault="00A9191A" w:rsidP="00A9191A">
            <w:pPr>
              <w:pStyle w:val="PKTpunkt"/>
              <w:spacing w:line="240" w:lineRule="auto"/>
              <w:rPr>
                <w:rFonts w:ascii="Times New Roman" w:hAnsi="Times New Roman" w:cs="Times New Roman"/>
                <w:szCs w:val="24"/>
              </w:rPr>
            </w:pPr>
          </w:p>
        </w:tc>
      </w:tr>
      <w:tr w:rsidR="00723799" w:rsidRPr="00E356CE" w14:paraId="682670EC" w14:textId="77777777" w:rsidTr="56856880">
        <w:tc>
          <w:tcPr>
            <w:tcW w:w="5514" w:type="dxa"/>
            <w:gridSpan w:val="2"/>
            <w:shd w:val="clear" w:color="auto" w:fill="E0E0E0"/>
          </w:tcPr>
          <w:p w14:paraId="788ABABC" w14:textId="77777777" w:rsidR="00A9191A" w:rsidRPr="00E356CE" w:rsidRDefault="00A9191A" w:rsidP="00E8692C">
            <w:pPr>
              <w:jc w:val="both"/>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7D2AA5C5" w14:textId="77777777" w:rsidR="00A9191A" w:rsidRPr="00E356CE" w:rsidRDefault="00A9191A" w:rsidP="00E8692C">
            <w:pPr>
              <w:autoSpaceDE w:val="0"/>
              <w:autoSpaceDN w:val="0"/>
              <w:jc w:val="both"/>
              <w:rPr>
                <w:b/>
              </w:rPr>
            </w:pPr>
            <w:r w:rsidRPr="00E356CE">
              <w:rPr>
                <w:b/>
              </w:rPr>
              <w:t xml:space="preserve">Decyzja </w:t>
            </w:r>
            <w:r w:rsidRPr="00E356CE">
              <w:rPr>
                <w:b/>
                <w:shd w:val="clear" w:color="auto" w:fill="FFFFFF"/>
              </w:rPr>
              <w:t>Komisji Europejskiej 2000/299/WE z 6.4.2000 r. ustanawiającej wstępną klasyfikację urządzeń radiowych i końcowych urządzeń telekomunikacyjnych oraz związanych z nimi znaków identyfikacyjnych (</w:t>
            </w:r>
            <w:proofErr w:type="spellStart"/>
            <w:r w:rsidRPr="00E356CE">
              <w:rPr>
                <w:b/>
                <w:shd w:val="clear" w:color="auto" w:fill="FFFFFF"/>
              </w:rPr>
              <w:t>Dz.Urz</w:t>
            </w:r>
            <w:proofErr w:type="spellEnd"/>
            <w:r w:rsidRPr="00E356CE">
              <w:rPr>
                <w:b/>
                <w:shd w:val="clear" w:color="auto" w:fill="FFFFFF"/>
              </w:rPr>
              <w:t>. WE L Nr 97, s. 13)</w:t>
            </w:r>
          </w:p>
        </w:tc>
      </w:tr>
      <w:tr w:rsidR="00A9191A" w:rsidRPr="00E356CE" w14:paraId="3FC74B3A" w14:textId="77777777" w:rsidTr="56856880">
        <w:tc>
          <w:tcPr>
            <w:tcW w:w="795" w:type="dxa"/>
          </w:tcPr>
          <w:p w14:paraId="25C6FF67" w14:textId="77777777" w:rsidR="00A9191A" w:rsidRPr="00E356CE" w:rsidRDefault="00A9191A" w:rsidP="00E8692C">
            <w:pPr>
              <w:jc w:val="both"/>
              <w:rPr>
                <w:b/>
              </w:rPr>
            </w:pPr>
          </w:p>
        </w:tc>
        <w:tc>
          <w:tcPr>
            <w:tcW w:w="4719" w:type="dxa"/>
            <w:shd w:val="clear" w:color="auto" w:fill="auto"/>
          </w:tcPr>
          <w:p w14:paraId="5E40DAF2" w14:textId="77777777" w:rsidR="00272F53" w:rsidRPr="00E356CE" w:rsidRDefault="00272F53" w:rsidP="00272F53">
            <w:pPr>
              <w:pStyle w:val="NormalnyWeb"/>
              <w:shd w:val="clear" w:color="auto" w:fill="FFFFFF"/>
              <w:tabs>
                <w:tab w:val="left" w:pos="0"/>
              </w:tabs>
              <w:spacing w:before="150" w:beforeAutospacing="0" w:after="150" w:afterAutospacing="0"/>
              <w:ind w:right="203"/>
              <w:jc w:val="both"/>
            </w:pPr>
            <w:r w:rsidRPr="00E356CE">
              <w:t>Artykuł 1</w:t>
            </w:r>
          </w:p>
          <w:p w14:paraId="791C6F85" w14:textId="77777777" w:rsidR="00272F53" w:rsidRPr="00E356CE" w:rsidRDefault="00272F53" w:rsidP="00272F53">
            <w:pPr>
              <w:pStyle w:val="NormalnyWeb"/>
              <w:shd w:val="clear" w:color="auto" w:fill="FFFFFF"/>
              <w:tabs>
                <w:tab w:val="left" w:pos="0"/>
              </w:tabs>
              <w:spacing w:before="150" w:beforeAutospacing="0" w:after="150" w:afterAutospacing="0"/>
              <w:ind w:right="203"/>
              <w:jc w:val="both"/>
            </w:pPr>
            <w:r w:rsidRPr="00E356CE">
              <w:t>1. Urządzenia radiowe i końcowe urządzenia telekomunikacyjne, które mogą być wprowadzane do obrotu i do użytku bez ograniczeń, będą stanowiły jedną klasę. Klasa ta zwana będzie "Klasą 1". Ta klasa urządzeń nie posiada przypisanego jej znaku identyfikacyjnego klasy urządzeń.</w:t>
            </w:r>
          </w:p>
          <w:p w14:paraId="52EF39F3" w14:textId="77777777" w:rsidR="00A9191A" w:rsidRPr="00E356CE" w:rsidRDefault="00272F53" w:rsidP="00C24694">
            <w:pPr>
              <w:pStyle w:val="NormalnyWeb"/>
              <w:shd w:val="clear" w:color="auto" w:fill="FFFFFF"/>
              <w:tabs>
                <w:tab w:val="left" w:pos="0"/>
              </w:tabs>
              <w:spacing w:before="150" w:beforeAutospacing="0" w:after="150" w:afterAutospacing="0"/>
              <w:ind w:right="203"/>
              <w:jc w:val="both"/>
            </w:pPr>
            <w:r w:rsidRPr="00E356CE">
              <w:t>2. Urządzenia radiowe, wobec którego Państwa Członkowskie stosują ograniczenia w oddawaniu do użytku, przewidziane w art. 7 ust. 2 dyrektywy 1999/5/WE, lub wobec którego Państwa Członkowskie stosują ograniczenia we wprowadzaniu do obrotu, przewidziane w art. 9 ust. 5 dyrektywy 1999/5/WE, będą stanowiły jedną klasę. Klasa ta zwana będzie "Klasą 2". Urządzeniu w ramach tej klasy przypisuje się następujący znak identyfikacyjny klasy urządzeń:</w:t>
            </w:r>
          </w:p>
        </w:tc>
        <w:tc>
          <w:tcPr>
            <w:tcW w:w="886" w:type="dxa"/>
          </w:tcPr>
          <w:p w14:paraId="3E8F0A33" w14:textId="77777777" w:rsidR="00A9191A" w:rsidRPr="00E356CE" w:rsidRDefault="003C4E86" w:rsidP="00E8692C">
            <w:pPr>
              <w:jc w:val="both"/>
              <w:rPr>
                <w:b/>
              </w:rPr>
            </w:pPr>
            <w:r w:rsidRPr="00E356CE">
              <w:rPr>
                <w:b/>
              </w:rPr>
              <w:t>T</w:t>
            </w:r>
          </w:p>
        </w:tc>
        <w:tc>
          <w:tcPr>
            <w:tcW w:w="900" w:type="dxa"/>
            <w:gridSpan w:val="3"/>
          </w:tcPr>
          <w:p w14:paraId="10872816" w14:textId="74E8CAD3" w:rsidR="00A9191A" w:rsidRPr="00E356CE" w:rsidRDefault="00477E24" w:rsidP="00E8692C">
            <w:pPr>
              <w:pStyle w:val="Tekstpodstawowy"/>
              <w:rPr>
                <w:noProof/>
                <w:sz w:val="24"/>
                <w:szCs w:val="24"/>
              </w:rPr>
            </w:pPr>
            <w:r w:rsidRPr="00E356CE">
              <w:rPr>
                <w:noProof/>
                <w:sz w:val="24"/>
                <w:szCs w:val="24"/>
              </w:rPr>
              <w:t>Art. 270 ust. 1-4</w:t>
            </w:r>
          </w:p>
        </w:tc>
        <w:tc>
          <w:tcPr>
            <w:tcW w:w="7410" w:type="dxa"/>
            <w:gridSpan w:val="2"/>
          </w:tcPr>
          <w:p w14:paraId="69AE7607" w14:textId="77777777" w:rsidR="00477E24" w:rsidRPr="00E356CE" w:rsidRDefault="00477E24" w:rsidP="00477E24">
            <w:pPr>
              <w:pStyle w:val="ARTartustawynprozporzdzenia"/>
              <w:spacing w:line="240" w:lineRule="auto"/>
              <w:ind w:firstLine="0"/>
              <w:rPr>
                <w:rStyle w:val="Ppogrubienie"/>
                <w:rFonts w:ascii="Times New Roman" w:hAnsi="Times New Roman"/>
                <w:b w:val="0"/>
                <w:szCs w:val="24"/>
              </w:rPr>
            </w:pPr>
            <w:r w:rsidRPr="00E356CE">
              <w:rPr>
                <w:rStyle w:val="Ppogrubienie"/>
                <w:rFonts w:ascii="Times New Roman" w:hAnsi="Times New Roman"/>
                <w:szCs w:val="24"/>
              </w:rPr>
              <w:t xml:space="preserve">Art. 270. </w:t>
            </w:r>
            <w:r w:rsidRPr="00E356CE">
              <w:rPr>
                <w:rStyle w:val="Ppogrubienie"/>
                <w:rFonts w:ascii="Times New Roman" w:hAnsi="Times New Roman"/>
                <w:b w:val="0"/>
                <w:szCs w:val="24"/>
              </w:rPr>
              <w:t>1. Urządzenie radiowe, wobec którego państwo członkowskie stosuje ograniczenia w zakresie wprowadzania go do obrotu lub oddawania do użytku lub wobec którego obowiązują wymagania dotyczące konieczności uzyskania pozwolenia na używanie urządzenia radiowego, stanowi urządzenie klasy 2.</w:t>
            </w:r>
          </w:p>
          <w:p w14:paraId="64F2D4B7" w14:textId="77777777" w:rsidR="00477E24" w:rsidRPr="00E356CE" w:rsidRDefault="00477E24" w:rsidP="00477E24">
            <w:pPr>
              <w:pStyle w:val="ARTartustawynprozporzdzenia"/>
              <w:spacing w:line="240" w:lineRule="auto"/>
              <w:rPr>
                <w:rStyle w:val="Ppogrubienie"/>
                <w:rFonts w:ascii="Times New Roman" w:hAnsi="Times New Roman"/>
                <w:b w:val="0"/>
                <w:szCs w:val="24"/>
              </w:rPr>
            </w:pPr>
            <w:r w:rsidRPr="00E356CE">
              <w:rPr>
                <w:rStyle w:val="Ppogrubienie"/>
                <w:rFonts w:ascii="Times New Roman" w:hAnsi="Times New Roman"/>
                <w:b w:val="0"/>
                <w:szCs w:val="24"/>
              </w:rPr>
              <w:t>2. W przypadku urządzenia klasy 2 informacje dostępne na opakowaniu oraz podane w instrukcji towarzyszącej urządzeniu radiowemu umożliwiają określenie państwa członkowskiego lub obszaru geograficznego w obrębie danego państwa członkowskiego, w których istnieją ograniczenia we wprowadzaniu do obrotu lub oddawaniu do użytku lub obowiązują wymagania dotyczące konieczności uzyskania pozwolenia na używanie urządzenia.</w:t>
            </w:r>
          </w:p>
          <w:p w14:paraId="52D75914" w14:textId="77777777" w:rsidR="00477E24" w:rsidRPr="00E356CE" w:rsidRDefault="00477E24" w:rsidP="00477E24">
            <w:pPr>
              <w:pStyle w:val="ARTartustawynprozporzdzenia"/>
              <w:spacing w:line="240" w:lineRule="auto"/>
              <w:rPr>
                <w:rStyle w:val="Ppogrubienie"/>
                <w:rFonts w:ascii="Times New Roman" w:hAnsi="Times New Roman"/>
                <w:b w:val="0"/>
                <w:szCs w:val="24"/>
              </w:rPr>
            </w:pPr>
            <w:r w:rsidRPr="00E356CE">
              <w:rPr>
                <w:rStyle w:val="Ppogrubienie"/>
                <w:rFonts w:ascii="Times New Roman" w:hAnsi="Times New Roman"/>
                <w:b w:val="0"/>
                <w:szCs w:val="24"/>
              </w:rPr>
              <w:t>3. Urządzenia radiowe, wobec których państwa członkowskie nie stosują ograniczeń w zakresie wprowadzania ich do obrotu lub oddawania do użytku, stanowią urządzenia klasy 1.</w:t>
            </w:r>
          </w:p>
          <w:p w14:paraId="6545BF43" w14:textId="2398A5FC" w:rsidR="00A9191A" w:rsidRPr="00E356CE" w:rsidRDefault="00477E24" w:rsidP="00477E24">
            <w:pPr>
              <w:pStyle w:val="ARTartustawynprozporzdzenia"/>
              <w:spacing w:line="240" w:lineRule="auto"/>
              <w:rPr>
                <w:rFonts w:ascii="Times New Roman" w:hAnsi="Times New Roman" w:cs="Times New Roman"/>
                <w:b/>
                <w:szCs w:val="24"/>
              </w:rPr>
            </w:pPr>
            <w:r w:rsidRPr="00E356CE">
              <w:rPr>
                <w:rStyle w:val="Ppogrubienie"/>
                <w:rFonts w:ascii="Times New Roman" w:hAnsi="Times New Roman"/>
                <w:b w:val="0"/>
                <w:szCs w:val="24"/>
              </w:rPr>
              <w:t>4. Prezes UKE udostępnia na stronie podmiotowej BIP UKE przykładową listę urządzeń radiowych stanowiących urządzenia klasy 1.</w:t>
            </w:r>
          </w:p>
        </w:tc>
      </w:tr>
      <w:tr w:rsidR="002620B7" w:rsidRPr="00E356CE" w14:paraId="19A76D98" w14:textId="77777777" w:rsidTr="56856880">
        <w:tc>
          <w:tcPr>
            <w:tcW w:w="5514" w:type="dxa"/>
            <w:gridSpan w:val="2"/>
            <w:shd w:val="clear" w:color="auto" w:fill="E0E0E0"/>
          </w:tcPr>
          <w:p w14:paraId="1222D260" w14:textId="77777777" w:rsidR="002620B7" w:rsidRPr="00E356CE" w:rsidRDefault="002620B7" w:rsidP="00E8692C">
            <w:pPr>
              <w:rPr>
                <w:b/>
                <w:bCs/>
              </w:rPr>
            </w:pPr>
            <w:r w:rsidRPr="00E356CE">
              <w:rPr>
                <w:b/>
                <w:bCs/>
              </w:rPr>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5CED60CD" w14:textId="77777777" w:rsidR="002620B7" w:rsidRPr="00E356CE" w:rsidRDefault="002620B7" w:rsidP="00E8692C">
            <w:pPr>
              <w:rPr>
                <w:b/>
              </w:rPr>
            </w:pPr>
            <w:r w:rsidRPr="00E356CE">
              <w:rPr>
                <w:rFonts w:cstheme="minorHAnsi"/>
              </w:rPr>
              <w:t xml:space="preserve"> </w:t>
            </w:r>
            <w:r w:rsidRPr="00E356CE">
              <w:rPr>
                <w:b/>
              </w:rPr>
              <w:t>Rozporządzenie Parlamentu Europejskiego i Rady (UE) nr 1285/2013 z dnia 11 grudnia 2013 r. w sprawie realizacji i eksploatacji europejskich systemów nawigacji satelitarnej oraz uchylające rozporządzenie Rady (WE) nr 876/2002 i rozporządzenie Parlamentu Europejskiego i Rady (WE) nr 683/2008 (Dz. Urz. UE L Nr 347, str. 1)</w:t>
            </w:r>
          </w:p>
        </w:tc>
      </w:tr>
      <w:tr w:rsidR="002620B7" w:rsidRPr="00E356CE" w14:paraId="2017AFD1" w14:textId="77777777" w:rsidTr="56856880">
        <w:tc>
          <w:tcPr>
            <w:tcW w:w="795" w:type="dxa"/>
          </w:tcPr>
          <w:p w14:paraId="472420E2" w14:textId="77777777" w:rsidR="002620B7" w:rsidRPr="00E356CE" w:rsidRDefault="002620B7" w:rsidP="00E8692C">
            <w:pPr>
              <w:rPr>
                <w:b/>
              </w:rPr>
            </w:pPr>
            <w:r w:rsidRPr="00E356CE">
              <w:rPr>
                <w:b/>
              </w:rPr>
              <w:t>Art. 2 ust. 4 lit. d</w:t>
            </w:r>
          </w:p>
        </w:tc>
        <w:tc>
          <w:tcPr>
            <w:tcW w:w="4719" w:type="dxa"/>
            <w:shd w:val="clear" w:color="auto" w:fill="auto"/>
          </w:tcPr>
          <w:p w14:paraId="500E4E93" w14:textId="77777777" w:rsidR="002620B7" w:rsidRPr="00E356CE" w:rsidRDefault="002620B7" w:rsidP="00E8692C">
            <w:r w:rsidRPr="00E356CE">
              <w:t xml:space="preserve">d) oferowania usługi publicznej o regulowanym dostępie (ang. public </w:t>
            </w:r>
            <w:proofErr w:type="spellStart"/>
            <w:r w:rsidRPr="00E356CE">
              <w:t>regulated</w:t>
            </w:r>
            <w:proofErr w:type="spellEnd"/>
            <w:r w:rsidRPr="00E356CE">
              <w:t xml:space="preserve"> service, „PRS”) zarezerwowanej dla użytkowników upoważnionych przez władze </w:t>
            </w:r>
            <w:r w:rsidRPr="00E356CE">
              <w:lastRenderedPageBreak/>
              <w:t>publiczne, przeznaczonej do szczególnych zastosowań, które wymagają wysokiego poziomu ciągłości usług, nieodpłatnie dla państw członkowskich, Rady, Komisji, ESDZ i, w stosownych przypadkach, należycie upoważnionych agencji unijnych; usługa ta wykorzystuje silne, zakodowane sygnały. Kwestię pobierania opłat od pozostałych uczestników PRS, o których mowa w art. 2 decyzji nr 1104/2011/UE, ocenia się w poszczególnych przypadkach, a odpowiednie postanowienia określa się w umowach zawartych zgodnie z art. 3 ust. 5 tej decyzji;</w:t>
            </w:r>
          </w:p>
        </w:tc>
        <w:tc>
          <w:tcPr>
            <w:tcW w:w="886" w:type="dxa"/>
          </w:tcPr>
          <w:p w14:paraId="4FE93A63" w14:textId="77777777" w:rsidR="002620B7" w:rsidRPr="00E356CE" w:rsidRDefault="002620B7" w:rsidP="00E8692C">
            <w:pPr>
              <w:rPr>
                <w:b/>
              </w:rPr>
            </w:pPr>
            <w:r w:rsidRPr="00E356CE">
              <w:rPr>
                <w:b/>
              </w:rPr>
              <w:lastRenderedPageBreak/>
              <w:t>T</w:t>
            </w:r>
          </w:p>
        </w:tc>
        <w:tc>
          <w:tcPr>
            <w:tcW w:w="900" w:type="dxa"/>
            <w:gridSpan w:val="3"/>
          </w:tcPr>
          <w:p w14:paraId="4171D1C4" w14:textId="77777777" w:rsidR="002620B7" w:rsidRPr="00E356CE" w:rsidRDefault="002620B7" w:rsidP="00E8692C">
            <w:pPr>
              <w:rPr>
                <w:bCs/>
              </w:rPr>
            </w:pPr>
            <w:r w:rsidRPr="00E356CE">
              <w:rPr>
                <w:bCs/>
              </w:rPr>
              <w:t>Art. 2 pkt 39</w:t>
            </w:r>
          </w:p>
        </w:tc>
        <w:tc>
          <w:tcPr>
            <w:tcW w:w="7410" w:type="dxa"/>
            <w:gridSpan w:val="2"/>
          </w:tcPr>
          <w:p w14:paraId="468911F6" w14:textId="77777777" w:rsidR="002620B7" w:rsidRPr="00E356CE" w:rsidRDefault="002620B7" w:rsidP="00E8692C">
            <w:r w:rsidRPr="00E356CE">
              <w:rPr>
                <w:b/>
              </w:rPr>
              <w:t>Art. 2.</w:t>
            </w:r>
            <w:r w:rsidRPr="00E356CE">
              <w:t xml:space="preserve"> Określenia użyte w ustawie oznaczają:</w:t>
            </w:r>
          </w:p>
          <w:p w14:paraId="1382E855" w14:textId="77777777" w:rsidR="002620B7" w:rsidRPr="00E356CE" w:rsidRDefault="002620B7" w:rsidP="00E8692C">
            <w:pPr>
              <w:rPr>
                <w:b/>
              </w:rPr>
            </w:pPr>
            <w:r w:rsidRPr="00E356CE">
              <w:t xml:space="preserve">39) satelitarna usługa publiczna o regulowanym dostępie (public </w:t>
            </w:r>
            <w:proofErr w:type="spellStart"/>
            <w:r w:rsidRPr="00E356CE">
              <w:t>regulated</w:t>
            </w:r>
            <w:proofErr w:type="spellEnd"/>
            <w:r w:rsidRPr="00E356CE">
              <w:t xml:space="preserve"> service - PRS) – radionawigacyjną satelitarną usługę publiczną o regulowanym dostępie, zwaną dalej „PRS”, w rozumieniu art. 2 ust. 4 lit. d </w:t>
            </w:r>
            <w:r w:rsidRPr="00E356CE">
              <w:lastRenderedPageBreak/>
              <w:t>Rozporządzenia Parlamentu Europejskiego i Rady (UE) nr 1285/2013 z dnia 11 grudnia 2013 r. w sprawie realizacji i eksploatacji europejskich systemów nawigacji satelitarnej oraz uchylające rozporządzenie Rady (WE) nr 876/2002 i rozporządzenie Parlamentu Europejskiego i Rady (WE) nr 683/2008;</w:t>
            </w:r>
            <w:r w:rsidRPr="00E356CE">
              <w:rPr>
                <w:b/>
              </w:rPr>
              <w:t xml:space="preserve">  </w:t>
            </w:r>
          </w:p>
        </w:tc>
      </w:tr>
      <w:tr w:rsidR="002620B7" w:rsidRPr="00E356CE" w14:paraId="3DB03643" w14:textId="77777777" w:rsidTr="56856880">
        <w:tc>
          <w:tcPr>
            <w:tcW w:w="5514" w:type="dxa"/>
            <w:gridSpan w:val="2"/>
            <w:shd w:val="clear" w:color="auto" w:fill="E0E0E0"/>
          </w:tcPr>
          <w:p w14:paraId="47C09B79" w14:textId="77777777" w:rsidR="002620B7" w:rsidRPr="00E356CE" w:rsidRDefault="002620B7" w:rsidP="00E8692C">
            <w:pPr>
              <w:rPr>
                <w:b/>
                <w:bCs/>
              </w:rPr>
            </w:pPr>
            <w:r w:rsidRPr="00E356CE">
              <w:rPr>
                <w:b/>
                <w:bCs/>
              </w:rPr>
              <w:lastRenderedPageBreak/>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431953CA" w14:textId="77777777" w:rsidR="002620B7" w:rsidRPr="00E356CE" w:rsidRDefault="002620B7" w:rsidP="00E8692C">
            <w:pPr>
              <w:rPr>
                <w:b/>
              </w:rPr>
            </w:pPr>
            <w:r w:rsidRPr="00E356CE">
              <w:rPr>
                <w:b/>
              </w:rPr>
              <w:t>Decyzja Parlamentu Europejskiego i Rady nr 1104/2011/UE z dnia 25 października 2011 r. w sprawie warunków dostępu do usługi publicznej o regulowanym dostępie (Dz. Urz. UE L Nr 287, s. 1).</w:t>
            </w:r>
          </w:p>
        </w:tc>
      </w:tr>
      <w:tr w:rsidR="002620B7" w:rsidRPr="00E356CE" w14:paraId="01345540" w14:textId="77777777" w:rsidTr="56856880">
        <w:tc>
          <w:tcPr>
            <w:tcW w:w="795" w:type="dxa"/>
          </w:tcPr>
          <w:p w14:paraId="2C1E85ED" w14:textId="77777777" w:rsidR="002620B7" w:rsidRPr="00E356CE" w:rsidRDefault="002620B7" w:rsidP="00E8692C">
            <w:pPr>
              <w:rPr>
                <w:b/>
              </w:rPr>
            </w:pPr>
            <w:r w:rsidRPr="00E356CE">
              <w:rPr>
                <w:b/>
              </w:rPr>
              <w:t>Art. 2 lit. b</w:t>
            </w:r>
          </w:p>
        </w:tc>
        <w:tc>
          <w:tcPr>
            <w:tcW w:w="4719" w:type="dxa"/>
            <w:shd w:val="clear" w:color="auto" w:fill="auto"/>
          </w:tcPr>
          <w:p w14:paraId="2A04A9EB" w14:textId="77777777" w:rsidR="002620B7" w:rsidRPr="00E356CE" w:rsidRDefault="002620B7" w:rsidP="00E8692C">
            <w:r w:rsidRPr="00E356CE">
              <w:t>Artykuł 2</w:t>
            </w:r>
          </w:p>
          <w:p w14:paraId="0FF76787" w14:textId="77777777" w:rsidR="002620B7" w:rsidRPr="00E356CE" w:rsidDel="00B34CC5" w:rsidRDefault="002620B7" w:rsidP="00E8692C">
            <w:r w:rsidRPr="00E356CE">
              <w:t>b) „użytkownicy PRS” oznaczają osoby fizyczne lub prawne odpowiednio upoważnione przez uczestnika PRS do posiadania lub używania odbiornika PRS.</w:t>
            </w:r>
          </w:p>
        </w:tc>
        <w:tc>
          <w:tcPr>
            <w:tcW w:w="886" w:type="dxa"/>
          </w:tcPr>
          <w:p w14:paraId="214B60A4" w14:textId="77777777" w:rsidR="002620B7" w:rsidRPr="00E356CE" w:rsidRDefault="002620B7" w:rsidP="00E8692C">
            <w:pPr>
              <w:rPr>
                <w:b/>
              </w:rPr>
            </w:pPr>
            <w:r w:rsidRPr="00E356CE">
              <w:rPr>
                <w:b/>
              </w:rPr>
              <w:t>T</w:t>
            </w:r>
          </w:p>
        </w:tc>
        <w:tc>
          <w:tcPr>
            <w:tcW w:w="900" w:type="dxa"/>
            <w:gridSpan w:val="3"/>
          </w:tcPr>
          <w:p w14:paraId="63C728B3" w14:textId="77777777" w:rsidR="002620B7" w:rsidRPr="00E356CE" w:rsidRDefault="002620B7" w:rsidP="00E8692C">
            <w:r w:rsidRPr="00E356CE">
              <w:rPr>
                <w:bCs/>
              </w:rPr>
              <w:t>Art. 2 pkt 40</w:t>
            </w:r>
          </w:p>
        </w:tc>
        <w:tc>
          <w:tcPr>
            <w:tcW w:w="7410" w:type="dxa"/>
            <w:gridSpan w:val="2"/>
          </w:tcPr>
          <w:p w14:paraId="6A7152E9" w14:textId="77777777" w:rsidR="002620B7" w:rsidRPr="00E356CE" w:rsidRDefault="002620B7" w:rsidP="00E8692C">
            <w:pPr>
              <w:rPr>
                <w:b/>
              </w:rPr>
            </w:pPr>
            <w:r w:rsidRPr="00E356CE">
              <w:rPr>
                <w:b/>
              </w:rPr>
              <w:t>Art. 2</w:t>
            </w:r>
          </w:p>
          <w:p w14:paraId="1886A677" w14:textId="77777777" w:rsidR="002620B7" w:rsidRPr="00E356CE" w:rsidRDefault="002620B7" w:rsidP="00E8692C">
            <w:r w:rsidRPr="00E356CE">
              <w:t>40) użytkownik PRS - podmiot upoważniony przez ministra właściwego do spraw wewnętrznych do posiadania lub używania odbiornika PRS</w:t>
            </w:r>
            <w:r w:rsidRPr="00E356CE">
              <w:rPr>
                <w:rFonts w:ascii="Calibri" w:hAnsi="Calibri" w:cs="Calibri"/>
                <w:color w:val="000000"/>
              </w:rPr>
              <w:t xml:space="preserve">, </w:t>
            </w:r>
            <w:r w:rsidRPr="00E356CE">
              <w:t>czyli urządzenia przystosowanego do odbioru chronionego sygnału PRS; </w:t>
            </w:r>
          </w:p>
          <w:p w14:paraId="00ACD357" w14:textId="77777777" w:rsidR="002620B7" w:rsidRPr="00E356CE" w:rsidDel="009A16FE" w:rsidRDefault="002620B7" w:rsidP="00E8692C">
            <w:pPr>
              <w:rPr>
                <w:b/>
              </w:rPr>
            </w:pPr>
          </w:p>
        </w:tc>
      </w:tr>
      <w:tr w:rsidR="002620B7" w:rsidRPr="00E356CE" w14:paraId="0164CE8D" w14:textId="77777777" w:rsidTr="56856880">
        <w:tc>
          <w:tcPr>
            <w:tcW w:w="795" w:type="dxa"/>
          </w:tcPr>
          <w:p w14:paraId="4FB724E8" w14:textId="77777777" w:rsidR="002620B7" w:rsidRPr="00E356CE" w:rsidRDefault="002620B7" w:rsidP="00E8692C">
            <w:pPr>
              <w:rPr>
                <w:b/>
              </w:rPr>
            </w:pPr>
            <w:r w:rsidRPr="00E356CE">
              <w:rPr>
                <w:b/>
              </w:rPr>
              <w:t>Art. 3 ust. 3</w:t>
            </w:r>
          </w:p>
        </w:tc>
        <w:tc>
          <w:tcPr>
            <w:tcW w:w="4719" w:type="dxa"/>
            <w:shd w:val="clear" w:color="auto" w:fill="auto"/>
          </w:tcPr>
          <w:p w14:paraId="400FC783" w14:textId="77777777" w:rsidR="002620B7" w:rsidRPr="00E356CE" w:rsidRDefault="002620B7" w:rsidP="00E8692C">
            <w:r w:rsidRPr="00E356CE">
              <w:t>Artykuł 3</w:t>
            </w:r>
          </w:p>
          <w:p w14:paraId="3865B50C" w14:textId="77777777" w:rsidR="002620B7" w:rsidRPr="00E356CE" w:rsidDel="00B34CC5" w:rsidRDefault="002620B7" w:rsidP="00E8692C">
            <w:r w:rsidRPr="00E356CE">
              <w:t xml:space="preserve">3. Każde państwo członkowskie, które korzysta z PRS, suwerennie podejmuje decyzję o kategoriach osób fizycznych zamieszkałych na jego terytorium lub pełniących oficjalne obowiązki za granicą w imieniu tego państwa członkowskiego, a także osób prawnych mających siedzibę na jego terytorium, które są upoważnione do bycia użytkownikami PRS, jak i o zastosowaniach PRS, zgodnie z art. 8 oraz pkt 1 </w:t>
            </w:r>
            <w:proofErr w:type="spellStart"/>
            <w:r w:rsidRPr="00E356CE">
              <w:t>ppkt</w:t>
            </w:r>
            <w:proofErr w:type="spellEnd"/>
            <w:r w:rsidRPr="00E356CE">
              <w:t xml:space="preserve"> (i) oraz (ii) załącznika. </w:t>
            </w:r>
            <w:r w:rsidRPr="00E356CE">
              <w:lastRenderedPageBreak/>
              <w:t>Zastosowania te mogą obejmować zastosowania związane z bezpieczeństwem.</w:t>
            </w:r>
          </w:p>
        </w:tc>
        <w:tc>
          <w:tcPr>
            <w:tcW w:w="886" w:type="dxa"/>
          </w:tcPr>
          <w:p w14:paraId="30DF59A3" w14:textId="77777777" w:rsidR="002620B7" w:rsidRPr="00E356CE" w:rsidRDefault="002620B7" w:rsidP="00E8692C">
            <w:pPr>
              <w:rPr>
                <w:b/>
              </w:rPr>
            </w:pPr>
            <w:r w:rsidRPr="00E356CE">
              <w:rPr>
                <w:b/>
              </w:rPr>
              <w:lastRenderedPageBreak/>
              <w:t>T</w:t>
            </w:r>
          </w:p>
        </w:tc>
        <w:tc>
          <w:tcPr>
            <w:tcW w:w="900" w:type="dxa"/>
            <w:gridSpan w:val="3"/>
          </w:tcPr>
          <w:p w14:paraId="037E989C" w14:textId="77777777" w:rsidR="002620B7" w:rsidRPr="00E356CE" w:rsidRDefault="002620B7" w:rsidP="00E8692C">
            <w:r w:rsidRPr="00E356CE">
              <w:rPr>
                <w:bCs/>
              </w:rPr>
              <w:t>Art. 56</w:t>
            </w:r>
            <w:r w:rsidRPr="00E356CE">
              <w:t>  ust.1</w:t>
            </w:r>
          </w:p>
        </w:tc>
        <w:tc>
          <w:tcPr>
            <w:tcW w:w="7410" w:type="dxa"/>
            <w:gridSpan w:val="2"/>
          </w:tcPr>
          <w:p w14:paraId="2AB15CB5" w14:textId="77777777" w:rsidR="002620B7" w:rsidRPr="00E356CE" w:rsidRDefault="002620B7" w:rsidP="00E8692C">
            <w:pPr>
              <w:rPr>
                <w:b/>
              </w:rPr>
            </w:pPr>
            <w:r w:rsidRPr="00E356CE">
              <w:rPr>
                <w:b/>
              </w:rPr>
              <w:t>Art. 56</w:t>
            </w:r>
          </w:p>
          <w:p w14:paraId="713E62E5" w14:textId="77777777" w:rsidR="002620B7" w:rsidRPr="00E356CE" w:rsidDel="009A16FE" w:rsidRDefault="002620B7" w:rsidP="00F50FEA">
            <w:pPr>
              <w:numPr>
                <w:ilvl w:val="0"/>
                <w:numId w:val="10"/>
              </w:numPr>
              <w:tabs>
                <w:tab w:val="left" w:pos="285"/>
              </w:tabs>
              <w:spacing w:after="160" w:line="259" w:lineRule="auto"/>
              <w:ind w:left="1" w:firstLine="0"/>
            </w:pPr>
            <w:r w:rsidRPr="00E356CE">
              <w:t>PRS może być świadczona na rzecz użytkowników PRS i grup użytkowników PRS, w szczególności na rzecz jednostek administracji rządowej, na potrzeby bezpieczeństwa państwa, bezpieczeństwa i porządku publicznego, obronności, ochrony granic, ratownictwa, ratownictwa morskiego, zarządzania kryzysowego, imigracji, ratownictwa medycznego, bezpieczeństwa przewozów kolejowych, obrony cywilnej, oraz innych zainteresowanych podmiotów istotnych dla społeczeństwa.  </w:t>
            </w:r>
          </w:p>
        </w:tc>
      </w:tr>
      <w:tr w:rsidR="002620B7" w:rsidRPr="00E356CE" w14:paraId="2130F4F2" w14:textId="77777777" w:rsidTr="56856880">
        <w:tc>
          <w:tcPr>
            <w:tcW w:w="795" w:type="dxa"/>
          </w:tcPr>
          <w:p w14:paraId="1354A54E" w14:textId="77777777" w:rsidR="002620B7" w:rsidRPr="00E356CE" w:rsidRDefault="002620B7" w:rsidP="00E8692C">
            <w:pPr>
              <w:rPr>
                <w:b/>
              </w:rPr>
            </w:pPr>
            <w:r w:rsidRPr="00E356CE">
              <w:rPr>
                <w:b/>
              </w:rPr>
              <w:lastRenderedPageBreak/>
              <w:t>Art. 5 ust. 1 lit. a)</w:t>
            </w:r>
          </w:p>
          <w:p w14:paraId="31567003" w14:textId="77777777" w:rsidR="002620B7" w:rsidRPr="00E356CE" w:rsidRDefault="002620B7" w:rsidP="00E8692C">
            <w:pPr>
              <w:rPr>
                <w:b/>
              </w:rPr>
            </w:pPr>
          </w:p>
        </w:tc>
        <w:tc>
          <w:tcPr>
            <w:tcW w:w="4719" w:type="dxa"/>
            <w:shd w:val="clear" w:color="auto" w:fill="auto"/>
          </w:tcPr>
          <w:p w14:paraId="5C13FDCA" w14:textId="77777777" w:rsidR="002620B7" w:rsidRPr="00E356CE" w:rsidRDefault="002620B7" w:rsidP="00E8692C">
            <w:r w:rsidRPr="00E356CE">
              <w:t>Artykuł 5</w:t>
            </w:r>
          </w:p>
          <w:p w14:paraId="05FC16A6" w14:textId="77777777" w:rsidR="002620B7" w:rsidRPr="00E356CE" w:rsidRDefault="002620B7" w:rsidP="00E8692C">
            <w:r w:rsidRPr="00E356CE">
              <w:t>1. Organ odpowiedzialny za PRS wyznaczany jest przez:</w:t>
            </w:r>
          </w:p>
          <w:p w14:paraId="32FD9B73" w14:textId="77777777" w:rsidR="002620B7" w:rsidRPr="00E356CE" w:rsidRDefault="002620B7" w:rsidP="00E8692C">
            <w:r w:rsidRPr="00E356CE">
              <w:t>a) każde państwo członkowskie, które korzysta z PRS, i każde państwo członkowskie, na którego terytorium ma swoją siedzibę jeden z podmiotów, o których mowa w art. 7 ust. 1; w takim przypadku organ odpowiedzialny za PRS ma siedzibę na terytorium danego państwa członkowskiego, które niezwłocznie powiadamia Komisję o takim wyznaczeniu;</w:t>
            </w:r>
          </w:p>
        </w:tc>
        <w:tc>
          <w:tcPr>
            <w:tcW w:w="886" w:type="dxa"/>
          </w:tcPr>
          <w:p w14:paraId="464146A5" w14:textId="77777777" w:rsidR="002620B7" w:rsidRPr="00E356CE" w:rsidRDefault="002620B7" w:rsidP="00E8692C">
            <w:pPr>
              <w:rPr>
                <w:b/>
              </w:rPr>
            </w:pPr>
            <w:r w:rsidRPr="00E356CE">
              <w:rPr>
                <w:b/>
              </w:rPr>
              <w:t>T</w:t>
            </w:r>
          </w:p>
        </w:tc>
        <w:tc>
          <w:tcPr>
            <w:tcW w:w="900" w:type="dxa"/>
            <w:gridSpan w:val="3"/>
          </w:tcPr>
          <w:p w14:paraId="514006CD" w14:textId="77777777" w:rsidR="002620B7" w:rsidRPr="00E356CE" w:rsidRDefault="002620B7" w:rsidP="00E8692C">
            <w:r w:rsidRPr="00E356CE">
              <w:t xml:space="preserve">Art. 55 ust. 1, 3 i 4, </w:t>
            </w:r>
            <w:r w:rsidRPr="00E356CE">
              <w:rPr>
                <w:u w:val="single"/>
              </w:rPr>
              <w:t>jak również art. 18 ustawy wprowadzającej</w:t>
            </w:r>
          </w:p>
          <w:p w14:paraId="2051BEAA" w14:textId="77777777" w:rsidR="002620B7" w:rsidRPr="00E356CE" w:rsidRDefault="002620B7" w:rsidP="00E8692C"/>
          <w:p w14:paraId="7B0C5194" w14:textId="77777777" w:rsidR="002620B7" w:rsidRPr="00E356CE" w:rsidRDefault="002620B7" w:rsidP="00E8692C"/>
        </w:tc>
        <w:tc>
          <w:tcPr>
            <w:tcW w:w="7410" w:type="dxa"/>
            <w:gridSpan w:val="2"/>
          </w:tcPr>
          <w:p w14:paraId="22A28218" w14:textId="77777777" w:rsidR="002620B7" w:rsidRPr="00E356CE" w:rsidRDefault="002620B7" w:rsidP="00E8692C">
            <w:pPr>
              <w:rPr>
                <w:b/>
              </w:rPr>
            </w:pPr>
            <w:r w:rsidRPr="00E356CE">
              <w:rPr>
                <w:b/>
              </w:rPr>
              <w:t>Art. 55</w:t>
            </w:r>
          </w:p>
          <w:p w14:paraId="0A8B05A7" w14:textId="77777777" w:rsidR="004B7FC9" w:rsidRPr="00E356CE" w:rsidRDefault="002620B7" w:rsidP="004B7FC9">
            <w:r w:rsidRPr="00E356CE">
              <w:t xml:space="preserve">1. </w:t>
            </w:r>
            <w:r w:rsidR="004B7FC9" w:rsidRPr="00E356CE">
              <w:t xml:space="preserve">Organem odpowiedzialnym za PRS jest minister właściwy do spraw wewnętrznych. </w:t>
            </w:r>
          </w:p>
          <w:p w14:paraId="38F55CB0" w14:textId="77777777" w:rsidR="004B7FC9" w:rsidRPr="00E356CE" w:rsidRDefault="004B7FC9" w:rsidP="004B7FC9">
            <w:r w:rsidRPr="00E356CE">
              <w:t>3. Minister właściwy do spraw wewnętrznych realizuje zadania w zakresie PRS, przy pomocy jednostki zarządzającej PRS (</w:t>
            </w:r>
            <w:proofErr w:type="spellStart"/>
            <w:r w:rsidRPr="00E356CE">
              <w:t>Competent</w:t>
            </w:r>
            <w:proofErr w:type="spellEnd"/>
            <w:r w:rsidRPr="00E356CE">
              <w:t xml:space="preserve"> PRS Authority – CPA Polska), funkcjonującej w strukturze organizacyjnej urzędu obsługującego ministra właściwego do spraw wewnętrznych, zwanej dalej „jednostką zarządzającą”. </w:t>
            </w:r>
          </w:p>
          <w:p w14:paraId="37F1A15B" w14:textId="77777777" w:rsidR="004B7FC9" w:rsidRPr="00E356CE" w:rsidRDefault="004B7FC9" w:rsidP="004B7FC9">
            <w:r w:rsidRPr="00E356CE">
              <w:t>4. Do zadań ministra właściwego do spraw wewnętrznych, o których mowa w ust. 3, należy w szczególności:</w:t>
            </w:r>
          </w:p>
          <w:p w14:paraId="4BC7FC98" w14:textId="77777777" w:rsidR="004B7FC9" w:rsidRPr="00E356CE" w:rsidRDefault="004B7FC9" w:rsidP="004B7FC9">
            <w:r w:rsidRPr="00E356CE">
              <w:t>1) zarządzanie PRS;</w:t>
            </w:r>
          </w:p>
          <w:p w14:paraId="52323992" w14:textId="77777777" w:rsidR="004B7FC9" w:rsidRPr="00E356CE" w:rsidRDefault="004B7FC9" w:rsidP="004B7FC9">
            <w:r w:rsidRPr="00E356CE">
              <w:t>2) udzielanie dostępu do informacji dotyczących PRS będących w posiadaniu jednostki zarządzającej;</w:t>
            </w:r>
          </w:p>
          <w:p w14:paraId="6BD77485" w14:textId="77777777" w:rsidR="004B7FC9" w:rsidRPr="00E356CE" w:rsidRDefault="004B7FC9" w:rsidP="004B7FC9">
            <w:r w:rsidRPr="00E356CE">
              <w:t>3) wydawanie pozwoleń na dostęp do PRS i produkowanie sprzętu na potrzeby PRS lub opracowywanie technologii PRS;</w:t>
            </w:r>
          </w:p>
          <w:p w14:paraId="439E1464" w14:textId="77777777" w:rsidR="004B7FC9" w:rsidRPr="00E356CE" w:rsidRDefault="004B7FC9" w:rsidP="004B7FC9">
            <w:r w:rsidRPr="00E356CE">
              <w:t xml:space="preserve">4) sprawowanie nadzoru nad użytkownikami PRS; </w:t>
            </w:r>
          </w:p>
          <w:p w14:paraId="228126C2" w14:textId="77777777" w:rsidR="004B7FC9" w:rsidRPr="00E356CE" w:rsidRDefault="004B7FC9" w:rsidP="004B7FC9">
            <w:r w:rsidRPr="00E356CE">
              <w:t xml:space="preserve">5) wnioskowanie o wydanie akredytacji Rady ds. Bezpieczeństwa Akredytacji (Security </w:t>
            </w:r>
            <w:proofErr w:type="spellStart"/>
            <w:r w:rsidRPr="00E356CE">
              <w:t>Accreditation</w:t>
            </w:r>
            <w:proofErr w:type="spellEnd"/>
            <w:r w:rsidRPr="00E356CE">
              <w:t xml:space="preserve"> Board), działającej przy Agencji Europejskiego GNSS, zwanej dalej „SAB”, dla podmiotów, którym mogą być zlecone zadania produkowania sprzętu na potrzeby PRS lub opracowywania technologii PRS;</w:t>
            </w:r>
          </w:p>
          <w:p w14:paraId="4FB89F91" w14:textId="77777777" w:rsidR="004B7FC9" w:rsidRPr="00E356CE" w:rsidRDefault="004B7FC9" w:rsidP="004B7FC9">
            <w:r w:rsidRPr="00E356CE">
              <w:t xml:space="preserve">6) Przeprowadzanie kontroli podmiotów produkujących sprzęt na potrzeby PRS i opracowujących technologie PRS, w tym prowadzących prace badawczo-rozwojowe. </w:t>
            </w:r>
          </w:p>
          <w:p w14:paraId="284FD0D5" w14:textId="77777777" w:rsidR="008829EA" w:rsidRPr="00E356CE" w:rsidRDefault="008829EA" w:rsidP="00E8692C"/>
          <w:p w14:paraId="71390AE1" w14:textId="1B1FA6D4" w:rsidR="002620B7" w:rsidRPr="00E356CE" w:rsidRDefault="002620B7" w:rsidP="00E8692C">
            <w:pPr>
              <w:rPr>
                <w:bCs/>
                <w:u w:val="single"/>
              </w:rPr>
            </w:pPr>
            <w:r w:rsidRPr="00E356CE">
              <w:rPr>
                <w:bCs/>
                <w:u w:val="single"/>
              </w:rPr>
              <w:t>Ustawa wprowadzająca</w:t>
            </w:r>
          </w:p>
          <w:p w14:paraId="3C96D5F9" w14:textId="77777777" w:rsidR="00DB0644" w:rsidRPr="00E356CE" w:rsidRDefault="002620B7" w:rsidP="00DB0644">
            <w:pPr>
              <w:rPr>
                <w:bCs/>
              </w:rPr>
            </w:pPr>
            <w:r w:rsidRPr="00E356CE">
              <w:rPr>
                <w:b/>
                <w:bCs/>
              </w:rPr>
              <w:t>Art. 18.</w:t>
            </w:r>
            <w:r w:rsidRPr="00E356CE">
              <w:rPr>
                <w:bCs/>
              </w:rPr>
              <w:t xml:space="preserve"> </w:t>
            </w:r>
            <w:r w:rsidR="00DB0644" w:rsidRPr="00E356CE">
              <w:rPr>
                <w:bCs/>
              </w:rPr>
              <w:t xml:space="preserve">W ustawie z dnia 4 września 1997 r. o działach administracji rządowej (Dz. U. z 2020 r. poz. 1220 i 2327) w art. 29 w ust. 1 po pkt 10 dodaje się pkt 11 w brzmieniu: </w:t>
            </w:r>
          </w:p>
          <w:p w14:paraId="34635512" w14:textId="019B8FDF" w:rsidR="00DB0644" w:rsidRPr="00E356CE" w:rsidRDefault="00DB0644" w:rsidP="00DB0644">
            <w:pPr>
              <w:rPr>
                <w:bCs/>
              </w:rPr>
            </w:pPr>
            <w:r w:rsidRPr="00E356CE">
              <w:rPr>
                <w:bCs/>
              </w:rPr>
              <w:lastRenderedPageBreak/>
              <w:t>„11) satelitarnej usługi publicznej o regulowanym dostępie systemu radionawigacji satelitarnej Galileo.”.</w:t>
            </w:r>
          </w:p>
          <w:p w14:paraId="61C36CC7" w14:textId="2F100572" w:rsidR="002620B7" w:rsidRPr="00E356CE" w:rsidRDefault="002620B7" w:rsidP="00E8692C">
            <w:pPr>
              <w:rPr>
                <w:bCs/>
              </w:rPr>
            </w:pPr>
          </w:p>
        </w:tc>
      </w:tr>
      <w:tr w:rsidR="002620B7" w:rsidRPr="00E356CE" w14:paraId="433741FA" w14:textId="77777777" w:rsidTr="56856880">
        <w:tc>
          <w:tcPr>
            <w:tcW w:w="795" w:type="dxa"/>
          </w:tcPr>
          <w:p w14:paraId="6E31BBE8" w14:textId="77777777" w:rsidR="002620B7" w:rsidRPr="00E356CE" w:rsidRDefault="002620B7" w:rsidP="00E8692C">
            <w:pPr>
              <w:rPr>
                <w:b/>
              </w:rPr>
            </w:pPr>
            <w:r w:rsidRPr="00E356CE">
              <w:rPr>
                <w:b/>
              </w:rPr>
              <w:lastRenderedPageBreak/>
              <w:t>Art. 7</w:t>
            </w:r>
          </w:p>
          <w:p w14:paraId="0502A4E0" w14:textId="77777777" w:rsidR="002620B7" w:rsidRPr="00E356CE" w:rsidRDefault="002620B7" w:rsidP="00E8692C">
            <w:pPr>
              <w:rPr>
                <w:b/>
              </w:rPr>
            </w:pPr>
          </w:p>
          <w:p w14:paraId="517BE6F0" w14:textId="77777777" w:rsidR="002620B7" w:rsidRPr="00E356CE" w:rsidRDefault="002620B7" w:rsidP="00E8692C">
            <w:pPr>
              <w:rPr>
                <w:b/>
              </w:rPr>
            </w:pPr>
          </w:p>
          <w:p w14:paraId="19575C8E" w14:textId="77777777" w:rsidR="002620B7" w:rsidRPr="00E356CE" w:rsidRDefault="002620B7" w:rsidP="00E8692C">
            <w:pPr>
              <w:rPr>
                <w:b/>
              </w:rPr>
            </w:pPr>
          </w:p>
          <w:p w14:paraId="4786857C" w14:textId="77777777" w:rsidR="002620B7" w:rsidRPr="00E356CE" w:rsidRDefault="002620B7" w:rsidP="00E8692C">
            <w:pPr>
              <w:rPr>
                <w:b/>
              </w:rPr>
            </w:pPr>
          </w:p>
          <w:p w14:paraId="0EBBADFB" w14:textId="77777777" w:rsidR="002620B7" w:rsidRPr="00E356CE" w:rsidRDefault="002620B7" w:rsidP="00E8692C">
            <w:pPr>
              <w:rPr>
                <w:b/>
              </w:rPr>
            </w:pPr>
          </w:p>
          <w:p w14:paraId="510E380B" w14:textId="77777777" w:rsidR="002620B7" w:rsidRPr="00E356CE" w:rsidRDefault="002620B7" w:rsidP="00E8692C">
            <w:pPr>
              <w:rPr>
                <w:b/>
              </w:rPr>
            </w:pPr>
          </w:p>
          <w:p w14:paraId="2988F13D" w14:textId="77777777" w:rsidR="002620B7" w:rsidRPr="00E356CE" w:rsidRDefault="002620B7" w:rsidP="00E8692C">
            <w:pPr>
              <w:rPr>
                <w:b/>
              </w:rPr>
            </w:pPr>
          </w:p>
          <w:p w14:paraId="059B7294" w14:textId="77777777" w:rsidR="002620B7" w:rsidRPr="00E356CE" w:rsidRDefault="002620B7" w:rsidP="00E8692C">
            <w:pPr>
              <w:rPr>
                <w:b/>
              </w:rPr>
            </w:pPr>
          </w:p>
          <w:p w14:paraId="37873AD5" w14:textId="77777777" w:rsidR="002620B7" w:rsidRPr="00E356CE" w:rsidRDefault="002620B7" w:rsidP="00E8692C">
            <w:pPr>
              <w:rPr>
                <w:b/>
              </w:rPr>
            </w:pPr>
          </w:p>
          <w:p w14:paraId="59E8D784" w14:textId="77777777" w:rsidR="002620B7" w:rsidRPr="00E356CE" w:rsidRDefault="002620B7" w:rsidP="00E8692C">
            <w:pPr>
              <w:rPr>
                <w:b/>
              </w:rPr>
            </w:pPr>
          </w:p>
          <w:p w14:paraId="54A0D07F" w14:textId="77777777" w:rsidR="002620B7" w:rsidRPr="00E356CE" w:rsidRDefault="002620B7" w:rsidP="00E8692C">
            <w:pPr>
              <w:rPr>
                <w:b/>
              </w:rPr>
            </w:pPr>
          </w:p>
          <w:p w14:paraId="386B8768" w14:textId="77777777" w:rsidR="002620B7" w:rsidRPr="00E356CE" w:rsidRDefault="002620B7" w:rsidP="00E8692C">
            <w:pPr>
              <w:rPr>
                <w:b/>
              </w:rPr>
            </w:pPr>
          </w:p>
          <w:p w14:paraId="10367082" w14:textId="77777777" w:rsidR="002620B7" w:rsidRPr="00E356CE" w:rsidRDefault="002620B7" w:rsidP="00E8692C">
            <w:pPr>
              <w:rPr>
                <w:b/>
              </w:rPr>
            </w:pPr>
          </w:p>
          <w:p w14:paraId="1386E8E5" w14:textId="77777777" w:rsidR="002620B7" w:rsidRPr="00E356CE" w:rsidRDefault="002620B7" w:rsidP="00E8692C">
            <w:pPr>
              <w:rPr>
                <w:b/>
              </w:rPr>
            </w:pPr>
          </w:p>
          <w:p w14:paraId="39A15F7A" w14:textId="77777777" w:rsidR="002620B7" w:rsidRPr="00E356CE" w:rsidRDefault="002620B7" w:rsidP="00E8692C">
            <w:pPr>
              <w:rPr>
                <w:b/>
              </w:rPr>
            </w:pPr>
            <w:r w:rsidRPr="00E356CE">
              <w:rPr>
                <w:b/>
              </w:rPr>
              <w:t>oraz Art. 3 ust. 3</w:t>
            </w:r>
          </w:p>
          <w:p w14:paraId="7ED88D54" w14:textId="77777777" w:rsidR="002620B7" w:rsidRPr="00E356CE" w:rsidRDefault="002620B7" w:rsidP="00E8692C">
            <w:pPr>
              <w:rPr>
                <w:b/>
              </w:rPr>
            </w:pPr>
          </w:p>
        </w:tc>
        <w:tc>
          <w:tcPr>
            <w:tcW w:w="4719" w:type="dxa"/>
            <w:shd w:val="clear" w:color="auto" w:fill="auto"/>
          </w:tcPr>
          <w:p w14:paraId="54B2D0B1" w14:textId="77777777" w:rsidR="002620B7" w:rsidRPr="00E356CE" w:rsidRDefault="002620B7" w:rsidP="00E8692C">
            <w:pPr>
              <w:rPr>
                <w:bCs/>
              </w:rPr>
            </w:pPr>
            <w:r w:rsidRPr="00E356CE">
              <w:rPr>
                <w:bCs/>
              </w:rPr>
              <w:t>Artykuł 7</w:t>
            </w:r>
          </w:p>
          <w:p w14:paraId="6AFCF5D5" w14:textId="77777777" w:rsidR="002620B7" w:rsidRPr="00E356CE" w:rsidRDefault="002620B7" w:rsidP="00E8692C">
            <w:pPr>
              <w:rPr>
                <w:b/>
              </w:rPr>
            </w:pPr>
            <w:r w:rsidRPr="00E356CE">
              <w:rPr>
                <w:b/>
                <w:bCs/>
              </w:rPr>
              <w:t xml:space="preserve">Produkcja i bezpieczeństwo odbiorników i modułów bezpieczeństwa </w:t>
            </w:r>
          </w:p>
          <w:p w14:paraId="056FDCED" w14:textId="77777777" w:rsidR="002620B7" w:rsidRPr="00E356CE" w:rsidRDefault="002620B7" w:rsidP="00E8692C">
            <w:r w:rsidRPr="00E356CE">
              <w:t xml:space="preserve">1. Z zastrzeżeniem wymogów określonych w art. 5 ust. 5, państwo członkowskie może powierzyć produkcję odbiorników PRS lub związanych z nimi modułów bezpieczeństwa podmiotom mającym siedzibę na jego terytorium lub na terytorium innego państwa członkowskiego. Rada, Komisja lub ESDZ mogą powierzyć produkcję odbiorników PRS lub związanych z nimi modułów bezpieczeństwa na własny użytek podmiotom mającym siedzibę na terytorium państwa członkowskiego. </w:t>
            </w:r>
          </w:p>
          <w:p w14:paraId="2F7B1CFB" w14:textId="77777777" w:rsidR="002620B7" w:rsidRPr="00E356CE" w:rsidRDefault="002620B7" w:rsidP="00E8692C">
            <w:r w:rsidRPr="00E356CE">
              <w:t>2. Rada Akredytacji w zakresie Bezpieczeństwa może w każdej chwili cofnąć zezwolenie na produkcję odbiorników PRS lub związanych z nimi modułów bezpieczeństwa, które przyznała podmiotowi, o którym mowa w ust. 1 niniejszego artykułu, jeśli środki przewidziane w art. 5 ust. 5 lit. b) nie są przestrzegane.</w:t>
            </w:r>
          </w:p>
          <w:p w14:paraId="21139B75" w14:textId="77777777" w:rsidR="002620B7" w:rsidRPr="00E356CE" w:rsidRDefault="002620B7" w:rsidP="00E8692C">
            <w:r w:rsidRPr="00E356CE">
              <w:t>Artykuł 3</w:t>
            </w:r>
          </w:p>
          <w:p w14:paraId="083F9BEB" w14:textId="77777777" w:rsidR="002620B7" w:rsidRPr="00E356CE" w:rsidRDefault="002620B7" w:rsidP="00E8692C">
            <w:r w:rsidRPr="00E356CE">
              <w:t xml:space="preserve">3. Każde państwo członkowskie, które korzysta z PRS, suwerennie podejmuje decyzję o kategoriach osób fizycznych zamieszkałych na jego terytorium lub pełniących oficjalne obowiązki za granicą w imieniu tego państwa </w:t>
            </w:r>
            <w:r w:rsidRPr="00E356CE">
              <w:lastRenderedPageBreak/>
              <w:t xml:space="preserve">członkowskiego, a także osób prawnych mających siedzibę na jego terytorium, które są upoważnione do bycia użytkownikami PRS, jak i o zastosowaniach PRS, zgodnie z art. 8 oraz pkt 1 </w:t>
            </w:r>
            <w:proofErr w:type="spellStart"/>
            <w:r w:rsidRPr="00E356CE">
              <w:t>ppkt</w:t>
            </w:r>
            <w:proofErr w:type="spellEnd"/>
            <w:r w:rsidRPr="00E356CE">
              <w:t xml:space="preserve"> (i) oraz (ii) załącznika. Zastosowania te mogą obejmować zastosowania związane z bezpieczeństwem.</w:t>
            </w:r>
          </w:p>
        </w:tc>
        <w:tc>
          <w:tcPr>
            <w:tcW w:w="886" w:type="dxa"/>
          </w:tcPr>
          <w:p w14:paraId="0B4D33A2" w14:textId="77777777" w:rsidR="002620B7" w:rsidRPr="00E356CE" w:rsidRDefault="002620B7" w:rsidP="00E8692C">
            <w:pPr>
              <w:rPr>
                <w:b/>
              </w:rPr>
            </w:pPr>
            <w:r w:rsidRPr="00E356CE">
              <w:rPr>
                <w:b/>
              </w:rPr>
              <w:lastRenderedPageBreak/>
              <w:t>T</w:t>
            </w:r>
          </w:p>
        </w:tc>
        <w:tc>
          <w:tcPr>
            <w:tcW w:w="900" w:type="dxa"/>
            <w:gridSpan w:val="3"/>
          </w:tcPr>
          <w:p w14:paraId="2BC2763D" w14:textId="77777777" w:rsidR="002620B7" w:rsidRPr="00E356CE" w:rsidRDefault="002620B7" w:rsidP="00E8692C">
            <w:r w:rsidRPr="00E356CE">
              <w:t>Art. 57 i art. 60</w:t>
            </w:r>
          </w:p>
        </w:tc>
        <w:tc>
          <w:tcPr>
            <w:tcW w:w="7410" w:type="dxa"/>
            <w:gridSpan w:val="2"/>
          </w:tcPr>
          <w:p w14:paraId="148E6EF3" w14:textId="77777777" w:rsidR="00343BBC" w:rsidRPr="00E356CE" w:rsidRDefault="002620B7" w:rsidP="00343BBC">
            <w:r w:rsidRPr="00E356CE">
              <w:rPr>
                <w:b/>
                <w:bCs/>
              </w:rPr>
              <w:t>Art. 57.</w:t>
            </w:r>
            <w:r w:rsidRPr="00E356CE">
              <w:t xml:space="preserve"> </w:t>
            </w:r>
            <w:r w:rsidR="00343BBC" w:rsidRPr="00E356CE">
              <w:t xml:space="preserve">1. Dostęp do PRS, produkowanie sprzętu na potrzeby PRS lub opracowywanie technologii PRS, w tym prowadzenie prac badawczo-rozwojowych, wymaga posiadania pozwolenia, zwanego dalej „pozwoleniem PRS”. </w:t>
            </w:r>
          </w:p>
          <w:p w14:paraId="37430CB6" w14:textId="77777777" w:rsidR="00343BBC" w:rsidRPr="00E356CE" w:rsidRDefault="00343BBC" w:rsidP="00343BBC">
            <w:r w:rsidRPr="00E356CE">
              <w:t xml:space="preserve">2. Minister właściwy do spraw wewnętrznych, w drodze decyzji, na wniosek zainteresowanego podmiotu, wydaje pozwolenie PRS na dostęp do PRS lub na produkowanie sprzętu na potrzeby PRS lub opracowywanie technologii PRS, w tym prowadzenie prac badawczo-rozwojowych.  </w:t>
            </w:r>
          </w:p>
          <w:p w14:paraId="224B70F2" w14:textId="77777777" w:rsidR="00343BBC" w:rsidRPr="00E356CE" w:rsidRDefault="00343BBC" w:rsidP="00343BBC">
            <w:r w:rsidRPr="00E356CE">
              <w:t xml:space="preserve">3. Pozwolenie PRS jest wydawane na czas określony, nie dłuższy niż 5 lat.  </w:t>
            </w:r>
          </w:p>
          <w:p w14:paraId="4338AAB0" w14:textId="77777777" w:rsidR="00343BBC" w:rsidRPr="00E356CE" w:rsidRDefault="00343BBC" w:rsidP="00343BBC">
            <w:r w:rsidRPr="00E356CE">
              <w:t xml:space="preserve">4. Pozwolenie PRS na dostęp do PRS wydaje się podmiotowi, jeżeli: </w:t>
            </w:r>
          </w:p>
          <w:p w14:paraId="6FF8F34F" w14:textId="77777777" w:rsidR="00343BBC" w:rsidRPr="00E356CE" w:rsidRDefault="00343BBC" w:rsidP="00343BBC">
            <w:r w:rsidRPr="00E356CE">
              <w:t xml:space="preserve">1) przekazał szczegółowe informacje dotyczące celu oraz zadań, do których niezbędny będzie dla wnioskodawcy dostęp do PRS; </w:t>
            </w:r>
          </w:p>
          <w:p w14:paraId="3C9B0194" w14:textId="77777777" w:rsidR="00343BBC" w:rsidRPr="00E356CE" w:rsidRDefault="00343BBC" w:rsidP="00343BBC">
            <w:r w:rsidRPr="00E356CE">
              <w:t xml:space="preserve">2) wykazał, że cel zadań będzie dotyczył bezpieczeństwa państwa, bezpieczeństwa i porządku publicznego, obronności, ochrony granic, ratownictwa, ratownictwa morskiego, zarządzania kryzysowego, imigracji, ratownictwa medycznego, bezpieczeństwa przewozów kolejowych, obrony cywilnej lub innych działań istotnych dla społeczeństwa; </w:t>
            </w:r>
          </w:p>
          <w:p w14:paraId="2198698D" w14:textId="77777777" w:rsidR="00343BBC" w:rsidRPr="00E356CE" w:rsidRDefault="00343BBC" w:rsidP="00343BBC">
            <w:r w:rsidRPr="00E356CE">
              <w:t xml:space="preserve">3) przekazał szczegółowe informacje na temat warunków, w jakich przechowywane będą sprzęt na potrzeby PRS i technologia PRS; </w:t>
            </w:r>
          </w:p>
          <w:p w14:paraId="6F161771" w14:textId="77777777" w:rsidR="00343BBC" w:rsidRPr="00E356CE" w:rsidRDefault="00343BBC" w:rsidP="00343BBC">
            <w:r w:rsidRPr="00E356CE">
              <w:t xml:space="preserve">4) przekazał plan zarządzania PRS; </w:t>
            </w:r>
          </w:p>
          <w:p w14:paraId="3D8E465B" w14:textId="77777777" w:rsidR="00343BBC" w:rsidRPr="00E356CE" w:rsidRDefault="00343BBC" w:rsidP="00343BBC">
            <w:r w:rsidRPr="00E356CE">
              <w:t xml:space="preserve">5) zobowiązał się do przestrzegania zasad bezpieczeństwa i poufności związanych z dostępem do PRS oraz do poddawania się kontrolom niezbędnym do weryfikacji prawidłowości informacji przedstawionych we wniosku oraz spełnienia warunków wydania pozwolenia PRS; </w:t>
            </w:r>
          </w:p>
          <w:p w14:paraId="162DF816" w14:textId="77777777" w:rsidR="00343BBC" w:rsidRPr="00E356CE" w:rsidRDefault="00343BBC" w:rsidP="00343BBC">
            <w:r w:rsidRPr="00E356CE">
              <w:t xml:space="preserve">6) złożył wniosek o przyznanie dostępu do PRS, o którym mowa w ust. 2. </w:t>
            </w:r>
          </w:p>
          <w:p w14:paraId="7C933476" w14:textId="77777777" w:rsidR="00343BBC" w:rsidRPr="00E356CE" w:rsidRDefault="00343BBC" w:rsidP="00343BBC">
            <w:r w:rsidRPr="00E356CE">
              <w:t xml:space="preserve">5. Pozwolenie PRS na produkowanie sprzętu na potrzeby PRS lub opracowywanie technologii PRS, w tym prowadzenie prac badawczo-rozwojowych, wydaje się podmiotowi, jeżeli: </w:t>
            </w:r>
          </w:p>
          <w:p w14:paraId="36509638" w14:textId="77777777" w:rsidR="00343BBC" w:rsidRPr="00E356CE" w:rsidRDefault="00343BBC" w:rsidP="00343BBC">
            <w:r w:rsidRPr="00E356CE">
              <w:lastRenderedPageBreak/>
              <w:t xml:space="preserve">1) posiada świadectwo bezpieczeństwa przemysłowego, o którym mowa w art. 11 ust. 5 Decyzji Rady z dnia 23 września 2013 r. w sprawie przepisów bezpieczeństwa dotyczących ochrony informacji niejawnych UE (2013/488/UE) , w przypadku, gdy informacje dotyczące PRS, sprzęt na potrzeby PRS lub technologia PRS, które ma wykorzystywać w obrębie swojego zakładu, oznaczono klauzulą tajności CONFIDENTIEL UE/EU CONFIDENTIAL lub wyższą; </w:t>
            </w:r>
          </w:p>
          <w:p w14:paraId="4C9FA5DB" w14:textId="77777777" w:rsidR="00343BBC" w:rsidRPr="00E356CE" w:rsidRDefault="00343BBC" w:rsidP="00343BBC">
            <w:r w:rsidRPr="00E356CE">
              <w:t xml:space="preserve">2) posiada aktualną akredytację SAB uzyskaną za pośrednictwem jednostki zarządzającej PRS; </w:t>
            </w:r>
          </w:p>
          <w:p w14:paraId="23AA8F4A" w14:textId="77777777" w:rsidR="00343BBC" w:rsidRPr="00E356CE" w:rsidRDefault="00343BBC" w:rsidP="00343BBC">
            <w:r w:rsidRPr="00E356CE">
              <w:t xml:space="preserve">3) zatrudnia pracowników o stosownych poświadczeniach bezpieczeństwa, w przypadku, gdy informacje dotyczące PRS, sprzęt na potrzeby PRS lub technologia PRS, które ma wykorzystywać w obrębie swojego zakładu, oznaczono klauzulą tajności CONFIDENTIEL UE/EU CONFIDENTIAL lub wyższą; </w:t>
            </w:r>
          </w:p>
          <w:p w14:paraId="6147BD5B" w14:textId="77777777" w:rsidR="00343BBC" w:rsidRPr="00E356CE" w:rsidRDefault="00343BBC" w:rsidP="00343BBC">
            <w:r w:rsidRPr="00E356CE">
              <w:t xml:space="preserve">4) w przypadku modułów bezpieczeństwa PRS i innych produktów kryptograficznych PRS: </w:t>
            </w:r>
          </w:p>
          <w:p w14:paraId="18384419" w14:textId="77777777" w:rsidR="00343BBC" w:rsidRPr="00E356CE" w:rsidRDefault="00343BBC" w:rsidP="00343BBC">
            <w:r w:rsidRPr="00E356CE">
              <w:t xml:space="preserve"> - podmiot stanowi własność wyłączną bądź poprzez udział większościowy państwa członkowskiego Unii Europejskiej; lub </w:t>
            </w:r>
          </w:p>
          <w:p w14:paraId="4199261C" w14:textId="77777777" w:rsidR="00343BBC" w:rsidRPr="00E356CE" w:rsidRDefault="00343BBC" w:rsidP="00343BBC">
            <w:r w:rsidRPr="00E356CE">
              <w:t xml:space="preserve">- posiada członków zarządu, którzy są obywatelami państw członkowskich Unii Europejskiej posiadającymi poświadczenie bezpieczeństwa przyznane przez państwo członkowskie Unii Europejskiej, którym podmiot ten przekazał wyłączne uprawnienia podejmowania decyzji związanych z PRS;  </w:t>
            </w:r>
          </w:p>
          <w:p w14:paraId="2B57CE66" w14:textId="77777777" w:rsidR="00343BBC" w:rsidRPr="00E356CE" w:rsidRDefault="00343BBC" w:rsidP="00343BBC">
            <w:r w:rsidRPr="00E356CE">
              <w:t xml:space="preserve">5)  określił miejsca wykonywania działalności będącej przedmiotem wniosku; </w:t>
            </w:r>
          </w:p>
          <w:p w14:paraId="6295EACE" w14:textId="77777777" w:rsidR="00343BBC" w:rsidRPr="00E356CE" w:rsidRDefault="00343BBC" w:rsidP="00343BBC">
            <w:r w:rsidRPr="00E356CE">
              <w:t xml:space="preserve">6) wskazał potencjalnych użytkowników, dla których będzie przeznaczony produkowany sprzęt na potrzeby PRS lub będzie opracowywana technologia PRS;  </w:t>
            </w:r>
          </w:p>
          <w:p w14:paraId="2C5DD32E" w14:textId="77777777" w:rsidR="00343BBC" w:rsidRPr="00E356CE" w:rsidRDefault="00343BBC" w:rsidP="00343BBC">
            <w:r w:rsidRPr="00E356CE">
              <w:t xml:space="preserve">7) zobowiązał się do przestrzegania zasad bezpieczeństwa i poufności związanych z produkowaniem sprzętu na potrzeby PRS lub opracowywaniem technologii PRS oraz do poddawania się kontrolom </w:t>
            </w:r>
            <w:r w:rsidRPr="00E356CE">
              <w:lastRenderedPageBreak/>
              <w:t xml:space="preserve">niezbędnym do weryfikacji prawidłowości informacji przedstawionych we wniosku oraz spełnienia warunków wydania pozwolenia PRS; </w:t>
            </w:r>
          </w:p>
          <w:p w14:paraId="267B463B" w14:textId="77777777" w:rsidR="00343BBC" w:rsidRPr="00E356CE" w:rsidRDefault="00343BBC" w:rsidP="00343BBC">
            <w:r w:rsidRPr="00E356CE">
              <w:t xml:space="preserve">8) złożył wniosek o pozwolenie PRS na produkowanie sprzętu na potrzeby PRS lub opracowywanie technologii PRS, o którym mowa w ust 2. </w:t>
            </w:r>
          </w:p>
          <w:p w14:paraId="624219F3" w14:textId="77777777" w:rsidR="00343BBC" w:rsidRPr="00E356CE" w:rsidRDefault="00343BBC" w:rsidP="00343BBC">
            <w:r w:rsidRPr="00E356CE">
              <w:t xml:space="preserve">6. Wniosek o dostęp do PRS zawiera w szczególności oznaczenie wnioskodawcy, w tym jego nazwę, adres siedziby albo adres zamieszkania na terytorium Rzeczypospolitej Polskiej oraz szczegółowe informacje dotyczące zakresu działalności, w tym określenie celu oraz zadań, do których niezbędny będzie dla wnioskodawcy dostęp do PRS oraz obszar wykonywania działalności będącej przedmiotem wniosku. </w:t>
            </w:r>
          </w:p>
          <w:p w14:paraId="1CEA7B49" w14:textId="77777777" w:rsidR="00343BBC" w:rsidRPr="00E356CE" w:rsidRDefault="00343BBC" w:rsidP="00343BBC">
            <w:r w:rsidRPr="00E356CE">
              <w:t xml:space="preserve">7. Wniosek o pozwolenie PRS na produkowanie sprzętu na potrzeby PRS lub opracowywanie technologii PRS zawiera w szczególności oznaczenie wnioskodawcy w tym jego nazwę, adres siedziby albo adres zamieszkania na terytorium Rzeczypospolitej Polskiej oraz potwierdzenie spełnienia warunków, o których mowa w ust. 5. </w:t>
            </w:r>
          </w:p>
          <w:p w14:paraId="6A886A98" w14:textId="77777777" w:rsidR="00343BBC" w:rsidRPr="00E356CE" w:rsidRDefault="00343BBC" w:rsidP="00343BBC">
            <w:r w:rsidRPr="00E356CE">
              <w:t xml:space="preserve">8. Pozwolenie PRS na dostęp do PRS określa: </w:t>
            </w:r>
          </w:p>
          <w:p w14:paraId="0E6E4993" w14:textId="77777777" w:rsidR="00343BBC" w:rsidRPr="00E356CE" w:rsidRDefault="00343BBC" w:rsidP="00343BBC">
            <w:r w:rsidRPr="00E356CE">
              <w:t xml:space="preserve">1) upoważniony podmiot oraz jego siedzibę i adres; </w:t>
            </w:r>
          </w:p>
          <w:p w14:paraId="380945A6" w14:textId="77777777" w:rsidR="00343BBC" w:rsidRPr="00E356CE" w:rsidRDefault="00343BBC" w:rsidP="00343BBC">
            <w:r w:rsidRPr="00E356CE">
              <w:t xml:space="preserve">2)  okres obowiązywania pozwolenia; </w:t>
            </w:r>
          </w:p>
          <w:p w14:paraId="56C1C273" w14:textId="77777777" w:rsidR="00343BBC" w:rsidRPr="00E356CE" w:rsidRDefault="00343BBC" w:rsidP="00343BBC">
            <w:r w:rsidRPr="00E356CE">
              <w:t xml:space="preserve">3)  zakres działalności, w jakiej może być użyta PRS; </w:t>
            </w:r>
          </w:p>
          <w:p w14:paraId="624DAB1D" w14:textId="77777777" w:rsidR="00343BBC" w:rsidRPr="00E356CE" w:rsidRDefault="00343BBC" w:rsidP="00343BBC">
            <w:r w:rsidRPr="00E356CE">
              <w:t xml:space="preserve">4) obszar, na którym dany podmiot może korzystać z PRS; </w:t>
            </w:r>
          </w:p>
          <w:p w14:paraId="58AA629B" w14:textId="77777777" w:rsidR="00343BBC" w:rsidRPr="00E356CE" w:rsidRDefault="00343BBC" w:rsidP="00343BBC">
            <w:r w:rsidRPr="00E356CE">
              <w:t xml:space="preserve">5) warunki przechowywania sprzętu na potrzeby PRS i technologii PRS; </w:t>
            </w:r>
          </w:p>
          <w:p w14:paraId="1B95C3CE" w14:textId="77777777" w:rsidR="00343BBC" w:rsidRPr="00E356CE" w:rsidRDefault="00343BBC" w:rsidP="00343BBC">
            <w:r w:rsidRPr="00E356CE">
              <w:t xml:space="preserve">6) obowiązek prowadzenia przez podmiot na bieżąco: </w:t>
            </w:r>
          </w:p>
          <w:p w14:paraId="5B85741A" w14:textId="77777777" w:rsidR="00343BBC" w:rsidRPr="00E356CE" w:rsidRDefault="00343BBC" w:rsidP="00343BBC">
            <w:r w:rsidRPr="00E356CE">
              <w:t xml:space="preserve">a) rejestru sprzętu na potrzeby PRS lub technologii PRS będącej w posiadaniu podmiotu, </w:t>
            </w:r>
          </w:p>
          <w:p w14:paraId="29C3E11D" w14:textId="77777777" w:rsidR="00343BBC" w:rsidRPr="00E356CE" w:rsidRDefault="00343BBC" w:rsidP="00343BBC">
            <w:r w:rsidRPr="00E356CE">
              <w:t xml:space="preserve">b) rejestru osób mających dostęp do sprzętu na potrzeby PRS lub technologii PRS będących w posiadaniu podmiotu. </w:t>
            </w:r>
          </w:p>
          <w:p w14:paraId="5A9FDCF1" w14:textId="77777777" w:rsidR="00343BBC" w:rsidRPr="00E356CE" w:rsidRDefault="00343BBC" w:rsidP="00343BBC">
            <w:r w:rsidRPr="00E356CE">
              <w:t xml:space="preserve">9. Pozwolenie PRS na produkowanie sprzętu na potrzeby PRS lub opracowywanie technologii PRS zawiera: </w:t>
            </w:r>
          </w:p>
          <w:p w14:paraId="41EBE75C" w14:textId="77777777" w:rsidR="00343BBC" w:rsidRPr="00E356CE" w:rsidRDefault="00343BBC" w:rsidP="00343BBC">
            <w:r w:rsidRPr="00E356CE">
              <w:t xml:space="preserve">1)  określenie upoważnionego podmiotu oraz jego siedziby i adresu; </w:t>
            </w:r>
          </w:p>
          <w:p w14:paraId="12179E26" w14:textId="77777777" w:rsidR="00343BBC" w:rsidRPr="00E356CE" w:rsidRDefault="00343BBC" w:rsidP="00343BBC">
            <w:r w:rsidRPr="00E356CE">
              <w:t xml:space="preserve">2) zastrzeżenie - w przypadku modułów bezpieczeństwa PRS i innych produktów kryptograficznych PRS - że podmiot stanowi własność wyłączną bądź poprzez udział większościowy państwa członkowskiego </w:t>
            </w:r>
            <w:r w:rsidRPr="00E356CE">
              <w:lastRenderedPageBreak/>
              <w:t xml:space="preserve">Unii Europejskiej lub posiada członków zarządu, którzy są obywatelami państw członkowskich Unii Europejskiej posiadającymi poświadczenie bezpieczeństwa przyznane przez państwo członkowskie Unii Europejskiej, którym podmiot ten przekazał wyłączne uprawnienia podejmowania decyzji związanych z PRS; </w:t>
            </w:r>
          </w:p>
          <w:p w14:paraId="2F1AD699" w14:textId="77777777" w:rsidR="00343BBC" w:rsidRPr="00E356CE" w:rsidRDefault="00343BBC" w:rsidP="00343BBC">
            <w:r w:rsidRPr="00E356CE">
              <w:t xml:space="preserve">3) określenie przedmiotu pozwolenia PRS; </w:t>
            </w:r>
          </w:p>
          <w:p w14:paraId="33A7674D" w14:textId="77777777" w:rsidR="00343BBC" w:rsidRPr="00E356CE" w:rsidRDefault="00343BBC" w:rsidP="00343BBC">
            <w:r w:rsidRPr="00E356CE">
              <w:t xml:space="preserve">4) okres obowiązywania pozwolenia PRS; </w:t>
            </w:r>
          </w:p>
          <w:p w14:paraId="3832C5E5" w14:textId="77777777" w:rsidR="00343BBC" w:rsidRPr="00E356CE" w:rsidRDefault="00343BBC" w:rsidP="00343BBC">
            <w:r w:rsidRPr="00E356CE">
              <w:t xml:space="preserve">5) określenie miejsca prowadzenia działalności objętej pozwoleniem PRS; </w:t>
            </w:r>
          </w:p>
          <w:p w14:paraId="0EDEC2A1" w14:textId="77777777" w:rsidR="00343BBC" w:rsidRPr="00E356CE" w:rsidRDefault="00343BBC" w:rsidP="00343BBC">
            <w:r w:rsidRPr="00E356CE">
              <w:t xml:space="preserve">6) klauzulę o konieczności utrzymania ciągłości akredytacji SAB w całym okresie ważności pozwolenia PRS; </w:t>
            </w:r>
          </w:p>
          <w:p w14:paraId="12DD4533" w14:textId="77777777" w:rsidR="00343BBC" w:rsidRPr="00E356CE" w:rsidRDefault="00343BBC" w:rsidP="00343BBC">
            <w:r w:rsidRPr="00E356CE">
              <w:t xml:space="preserve">7) klauzulę o konieczności posiadania świadectwa bezpieczeństwa przemysłowego, o którym mowa w art. 11 ust. 5 Decyzji Rady z dnia 23 września 2013 r. w sprawie przepisów bezpieczeństwa dotyczących ochrony informacji niejawnych UE (2013/488/UE), w przypadku, gdy informacje dotyczące PRS, sprzęt na potrzeby PRS lub technologia PRS, które ma wykorzystywać w obrębie swojego zakładu, oznaczono klauzulą tajności CONFIDENTIEL UE/EU CONFIDENTIAL lub wyższą; </w:t>
            </w:r>
          </w:p>
          <w:p w14:paraId="4DB47D88" w14:textId="77777777" w:rsidR="00343BBC" w:rsidRPr="00E356CE" w:rsidRDefault="00343BBC" w:rsidP="00343BBC">
            <w:r w:rsidRPr="00E356CE">
              <w:t xml:space="preserve">8) określenie potencjalnych użytkowników, dla których będzie przeznaczony produkowany sprzęt na potrzeby PRS lub będzie opracowywana technologia PRS; </w:t>
            </w:r>
          </w:p>
          <w:p w14:paraId="2040B99A" w14:textId="77777777" w:rsidR="00343BBC" w:rsidRPr="00E356CE" w:rsidRDefault="00343BBC" w:rsidP="00343BBC">
            <w:r w:rsidRPr="00E356CE">
              <w:t xml:space="preserve">9) zobowiązanie podmiotu do przestrzegania zasad bezpieczeństwa i poufności związanych z produkowaniem sprzętu na potrzeby PRS lub opracowywaniem technologii PRS oraz do poddawania się kontrolom niezbędnym do weryfikacji prawidłowości informacji przedstawionych we wniosku oraz spełnienia warunków wydania pozwolenia PRS; </w:t>
            </w:r>
          </w:p>
          <w:p w14:paraId="6E1D11B3" w14:textId="77777777" w:rsidR="00343BBC" w:rsidRPr="00E356CE" w:rsidRDefault="00343BBC" w:rsidP="00343BBC">
            <w:r w:rsidRPr="00E356CE">
              <w:t xml:space="preserve">10) klauzulę zobowiązującą podmiot do aktualizacji imiennej listy osób zaangażowanych w prace nad opracowaniem bądź produkcją odbiorników lub modułów bezpieczeństwa w terminie 14 dni od dnia zaistnienia zmiany. </w:t>
            </w:r>
          </w:p>
          <w:p w14:paraId="6C3CE82D" w14:textId="77777777" w:rsidR="00343BBC" w:rsidRPr="00E356CE" w:rsidRDefault="00343BBC" w:rsidP="00343BBC">
            <w:r w:rsidRPr="00E356CE">
              <w:t xml:space="preserve">10. Pozwolenie PRS może zawierać warunki i ograniczenia dotyczące parametrów technicznych lub właściwości sprzętu i technologii </w:t>
            </w:r>
            <w:r w:rsidRPr="00E356CE">
              <w:lastRenderedPageBreak/>
              <w:t xml:space="preserve">zaprojektowanych na potrzeby PRS, ich przeznaczenia lub zastosowania końcowego, aspektów handlowych lub umownych. </w:t>
            </w:r>
          </w:p>
          <w:p w14:paraId="77A3F2C4" w14:textId="450C2D84" w:rsidR="00343BBC" w:rsidRPr="00E356CE" w:rsidRDefault="00343BBC" w:rsidP="00343BBC">
            <w:r w:rsidRPr="00E356CE">
              <w:t>11. Można odmówić wydania pozwolenia PRS na dostęp do PRS lub pozwolenia PRS na produkowanie sprzętu na potrzeby PRS lub opracowywanie technologii PRS z tytułu zagrożenia bezpieczeństwa państwa, obronności oraz bezpieczeństwa i porządku publicznego, przestrzegania zobowiązań międzynarodowych lub wspólnych minimalnych norm przyjętych na podstawie art. 8 Decyzji Parlamentu Europejskiego i Rady nr 1104/2011/UE z dnia 25 października 2011 r., w szczególności w odniesieniu do bezpieczeństwa PRS</w:t>
            </w:r>
            <w:r w:rsidR="00B43653" w:rsidRPr="00E356CE">
              <w:t xml:space="preserve"> </w:t>
            </w:r>
            <w:r w:rsidRPr="00E356CE">
              <w:t xml:space="preserve">oraz ochrony informacji dotyczących tej usługi. </w:t>
            </w:r>
          </w:p>
          <w:p w14:paraId="7C8B36EC" w14:textId="67A5431C" w:rsidR="002620B7" w:rsidRPr="00E356CE" w:rsidRDefault="00343BBC" w:rsidP="00343BBC">
            <w:r w:rsidRPr="00E356CE">
              <w:t>12. W przypadku niespełniania warunków wyszczególnionych w pozwoleniu PRS lub w przypadku, gdy jest to uzasadnione koniecznością wywiązania się z zobowiązań międzynarodowych zaciągniętych przez Rzeczpospolitą Polską, ochroną PRS, ochroną porządku publicznego lub bezpieczeństwa publicznego, pozwolenia PRS mogą zostać uchylone, cofnięte, zmienione lub zawieszone.</w:t>
            </w:r>
          </w:p>
          <w:p w14:paraId="56CDDAAB" w14:textId="77777777" w:rsidR="00A81F21" w:rsidRPr="00E356CE" w:rsidRDefault="002620B7" w:rsidP="00A81F21">
            <w:r w:rsidRPr="00E356CE">
              <w:rPr>
                <w:b/>
              </w:rPr>
              <w:t>Art. 60.</w:t>
            </w:r>
            <w:r w:rsidRPr="00E356CE">
              <w:t> </w:t>
            </w:r>
            <w:r w:rsidR="00A81F21" w:rsidRPr="00E356CE">
              <w:t xml:space="preserve">Minister właściwy do spraw wewnętrznych określi, w drodze rozporządzenia:  </w:t>
            </w:r>
          </w:p>
          <w:p w14:paraId="324AC237" w14:textId="77777777" w:rsidR="00A81F21" w:rsidRPr="00E356CE" w:rsidRDefault="00A81F21" w:rsidP="00A81F21">
            <w:r w:rsidRPr="00E356CE">
              <w:t xml:space="preserve">1) strukturę i sposób zarządzania PRS, kierując się koniecznością zapewnienia skutecznego zarządzania użytkownikami i zastosowaniami PRS; </w:t>
            </w:r>
          </w:p>
          <w:p w14:paraId="790987A0" w14:textId="77777777" w:rsidR="00A81F21" w:rsidRPr="00E356CE" w:rsidRDefault="00A81F21" w:rsidP="00A81F21">
            <w:r w:rsidRPr="00E356CE">
              <w:t xml:space="preserve">2) szczegółowy zakres informacji zawartych we wnioskach o wydanie:  </w:t>
            </w:r>
          </w:p>
          <w:p w14:paraId="7DA5088C" w14:textId="77777777" w:rsidR="00A81F21" w:rsidRPr="00E356CE" w:rsidRDefault="00A81F21" w:rsidP="00A81F21">
            <w:r w:rsidRPr="00E356CE">
              <w:t xml:space="preserve">a) pozwoleń PRS, </w:t>
            </w:r>
          </w:p>
          <w:p w14:paraId="03C6F8A5" w14:textId="3F45D3C7" w:rsidR="00A81F21" w:rsidRPr="00E356CE" w:rsidRDefault="00A81F21" w:rsidP="00A81F21">
            <w:r w:rsidRPr="00E356CE">
              <w:t>b) zezwoleń na wywóz poza Unię Europejską i transfer wewnątrzunijny sprzętu lub technologii zaprojektowanych na potrzeby PRS.</w:t>
            </w:r>
          </w:p>
          <w:p w14:paraId="1ACCF09C" w14:textId="5245A32F" w:rsidR="002620B7" w:rsidRPr="00E356CE" w:rsidRDefault="002620B7" w:rsidP="00E8692C">
            <w:r w:rsidRPr="00E356CE">
              <w:t> </w:t>
            </w:r>
          </w:p>
        </w:tc>
      </w:tr>
      <w:tr w:rsidR="002620B7" w:rsidRPr="00E356CE" w14:paraId="35CC98D1" w14:textId="77777777" w:rsidTr="56856880">
        <w:tc>
          <w:tcPr>
            <w:tcW w:w="795" w:type="dxa"/>
          </w:tcPr>
          <w:p w14:paraId="39EADB3A" w14:textId="77777777" w:rsidR="002620B7" w:rsidRPr="00E356CE" w:rsidRDefault="002620B7" w:rsidP="00E8692C">
            <w:pPr>
              <w:rPr>
                <w:b/>
              </w:rPr>
            </w:pPr>
            <w:r w:rsidRPr="00E356CE">
              <w:rPr>
                <w:b/>
              </w:rPr>
              <w:lastRenderedPageBreak/>
              <w:t>Art. 9</w:t>
            </w:r>
          </w:p>
        </w:tc>
        <w:tc>
          <w:tcPr>
            <w:tcW w:w="4719" w:type="dxa"/>
            <w:shd w:val="clear" w:color="auto" w:fill="auto"/>
          </w:tcPr>
          <w:p w14:paraId="01E91DE2" w14:textId="77777777" w:rsidR="002620B7" w:rsidRPr="00E356CE" w:rsidRDefault="002620B7" w:rsidP="00E8692C">
            <w:pPr>
              <w:rPr>
                <w:bCs/>
              </w:rPr>
            </w:pPr>
            <w:r w:rsidRPr="00E356CE">
              <w:rPr>
                <w:bCs/>
              </w:rPr>
              <w:t>Artykuł 9</w:t>
            </w:r>
          </w:p>
          <w:p w14:paraId="672C2A76" w14:textId="77777777" w:rsidR="002620B7" w:rsidRPr="00E356CE" w:rsidRDefault="002620B7" w:rsidP="00E8692C">
            <w:pPr>
              <w:rPr>
                <w:b/>
                <w:bCs/>
              </w:rPr>
            </w:pPr>
            <w:r w:rsidRPr="00E356CE">
              <w:rPr>
                <w:b/>
                <w:bCs/>
              </w:rPr>
              <w:t xml:space="preserve">Ograniczenia wywozowe </w:t>
            </w:r>
          </w:p>
          <w:p w14:paraId="2465D606" w14:textId="77777777" w:rsidR="002620B7" w:rsidRPr="00E356CE" w:rsidRDefault="002620B7" w:rsidP="00E8692C">
            <w:pPr>
              <w:rPr>
                <w:bCs/>
              </w:rPr>
            </w:pPr>
            <w:r w:rsidRPr="00E356CE">
              <w:rPr>
                <w:bCs/>
              </w:rPr>
              <w:t>Wywóz poza Unię sprzętu, technologii i oprogramowania związanych ze stosowaniem, opracowywaniem i produkcją na</w:t>
            </w:r>
            <w:r w:rsidRPr="00E356CE">
              <w:rPr>
                <w:rFonts w:ascii="EUAlbertina" w:hAnsi="EUAlbertina" w:cs="EUAlbertina"/>
                <w:color w:val="000000"/>
              </w:rPr>
              <w:t xml:space="preserve"> </w:t>
            </w:r>
            <w:r w:rsidRPr="00E356CE">
              <w:rPr>
                <w:bCs/>
              </w:rPr>
              <w:t xml:space="preserve">potrzeby PRS </w:t>
            </w:r>
            <w:r w:rsidRPr="00E356CE">
              <w:rPr>
                <w:bCs/>
              </w:rPr>
              <w:lastRenderedPageBreak/>
              <w:t>dozwolony jest jedynie zgodnie z art. 8 i pkt 3 załącznika oraz na podstawie umów, o których mowa w art. 3 ust. 5, lub na podstawie umów dotyczących szczegółowych zasad przyjmowania i działania stacji odniesienia.</w:t>
            </w:r>
          </w:p>
        </w:tc>
        <w:tc>
          <w:tcPr>
            <w:tcW w:w="886" w:type="dxa"/>
          </w:tcPr>
          <w:p w14:paraId="71D076E6" w14:textId="77777777" w:rsidR="002620B7" w:rsidRPr="00E356CE" w:rsidRDefault="002620B7" w:rsidP="00E8692C">
            <w:pPr>
              <w:rPr>
                <w:b/>
              </w:rPr>
            </w:pPr>
            <w:r w:rsidRPr="00E356CE">
              <w:rPr>
                <w:b/>
              </w:rPr>
              <w:lastRenderedPageBreak/>
              <w:t>T</w:t>
            </w:r>
          </w:p>
        </w:tc>
        <w:tc>
          <w:tcPr>
            <w:tcW w:w="900" w:type="dxa"/>
            <w:gridSpan w:val="3"/>
          </w:tcPr>
          <w:p w14:paraId="656E43C6" w14:textId="77777777" w:rsidR="002620B7" w:rsidRPr="00E356CE" w:rsidRDefault="002620B7" w:rsidP="00E8692C">
            <w:r w:rsidRPr="00E356CE">
              <w:t>Art. 58</w:t>
            </w:r>
          </w:p>
        </w:tc>
        <w:tc>
          <w:tcPr>
            <w:tcW w:w="7410" w:type="dxa"/>
            <w:gridSpan w:val="2"/>
          </w:tcPr>
          <w:p w14:paraId="520A89F3" w14:textId="77777777" w:rsidR="0058358D" w:rsidRPr="00E356CE" w:rsidRDefault="002620B7" w:rsidP="0058358D">
            <w:pPr>
              <w:rPr>
                <w:bCs/>
              </w:rPr>
            </w:pPr>
            <w:r w:rsidRPr="00E356CE">
              <w:rPr>
                <w:b/>
                <w:bCs/>
              </w:rPr>
              <w:t>Art. 58.</w:t>
            </w:r>
            <w:r w:rsidRPr="00E356CE">
              <w:rPr>
                <w:bCs/>
              </w:rPr>
              <w:t> </w:t>
            </w:r>
            <w:r w:rsidR="0058358D" w:rsidRPr="00E356CE">
              <w:rPr>
                <w:bCs/>
              </w:rPr>
              <w:t xml:space="preserve">1. Minister właściwy do spraw gospodarki, po zasięgnięciu opinii ministra właściwego do spraw wewnętrznych udziela, w drodze decyzji, zezwolenia na wywóz poza Unię Europejską i zezwolenia na transfer wewnątrzunijny sprzętu lub technologii zaprojektowanych na potrzeby PRS, na wniosek zainteresowanego podmiotu, z zastrzeżeniem ust. 2 i 3. </w:t>
            </w:r>
          </w:p>
          <w:p w14:paraId="795B079D" w14:textId="77777777" w:rsidR="0058358D" w:rsidRPr="00E356CE" w:rsidRDefault="0058358D" w:rsidP="0058358D">
            <w:pPr>
              <w:rPr>
                <w:bCs/>
              </w:rPr>
            </w:pPr>
            <w:r w:rsidRPr="00E356CE">
              <w:rPr>
                <w:bCs/>
              </w:rPr>
              <w:lastRenderedPageBreak/>
              <w:t xml:space="preserve">2. Wywóz sprzętu lub technologii zaprojektowanych na potrzeby PRS poza Unię Europejską odbywa się na warunkach określonych w decyzji Parlamentu Europejskiego i Rady Nr 1104/2011/UE w sprawie warunków dostępu do usługi publicznej o regulowanym dostępie oferowanej przez globalny system nawigacji satelitarnej utworzony w ramach programu Galileo oraz jest ograniczony do krajów, które są upoważnione do korzystania z PRS na mocy umów zawartych z Unią Europejską, o ile nic innego nie wynika z innych przepisów prawa. </w:t>
            </w:r>
          </w:p>
          <w:p w14:paraId="34401828" w14:textId="77777777" w:rsidR="0058358D" w:rsidRPr="00E356CE" w:rsidRDefault="0058358D" w:rsidP="0058358D">
            <w:pPr>
              <w:rPr>
                <w:bCs/>
              </w:rPr>
            </w:pPr>
            <w:r w:rsidRPr="00E356CE">
              <w:rPr>
                <w:bCs/>
              </w:rPr>
              <w:t xml:space="preserve">3. Transfer sprzętu na potrzeby PRS lub technologii PRS do państw członkowskich UE jest dozwolony jedynie na warunkach określonych w decyzji delegowanej Komisji Europejskiej z dnia 15 września 2015 r. uzupełniającej decyzję Parlamentu Europejskiego i Rady Nr 1104/2011/UE w odniesieniu do wspólnych minimalnych norm, których muszą przestrzegać organy odpowiedzialne za PRS. </w:t>
            </w:r>
          </w:p>
          <w:p w14:paraId="19EB95C5" w14:textId="77777777" w:rsidR="0058358D" w:rsidRPr="00E356CE" w:rsidRDefault="0058358D" w:rsidP="0058358D">
            <w:pPr>
              <w:rPr>
                <w:bCs/>
              </w:rPr>
            </w:pPr>
            <w:r w:rsidRPr="00E356CE">
              <w:rPr>
                <w:bCs/>
              </w:rPr>
              <w:t xml:space="preserve">4. Zezwolenie na wywóz poza Unię Europejską i zezwolenie na transfer wewnątrzunijny sprzętu, technologii lub oprogramowania zaprojektowanych na potrzeby PRS wydaje się podmiotowi, jeżeli: </w:t>
            </w:r>
          </w:p>
          <w:p w14:paraId="7DDD54DE" w14:textId="77777777" w:rsidR="0058358D" w:rsidRPr="00E356CE" w:rsidRDefault="0058358D" w:rsidP="0058358D">
            <w:pPr>
              <w:rPr>
                <w:bCs/>
              </w:rPr>
            </w:pPr>
            <w:r w:rsidRPr="00E356CE">
              <w:rPr>
                <w:bCs/>
              </w:rPr>
              <w:t xml:space="preserve">1) posiada pozwolenie PRS na opracowanie bądź produkcję odbiorników lub modułów bezpieczeństwa lub pozwolenie PRS na dostęp do PRS; </w:t>
            </w:r>
          </w:p>
          <w:p w14:paraId="2F0DD298" w14:textId="77777777" w:rsidR="0058358D" w:rsidRPr="00E356CE" w:rsidRDefault="0058358D" w:rsidP="0058358D">
            <w:pPr>
              <w:rPr>
                <w:bCs/>
              </w:rPr>
            </w:pPr>
            <w:r w:rsidRPr="00E356CE">
              <w:rPr>
                <w:bCs/>
              </w:rPr>
              <w:t xml:space="preserve">2) wskazał cel oraz miejsce docelowe i okres wywozu poza Unię Europejską lub transferu wewnątrzunijnego wyposażenia, technologii lub oprogramowania PRS; </w:t>
            </w:r>
          </w:p>
          <w:p w14:paraId="4054D421" w14:textId="77777777" w:rsidR="0058358D" w:rsidRPr="00E356CE" w:rsidRDefault="0058358D" w:rsidP="0058358D">
            <w:pPr>
              <w:rPr>
                <w:bCs/>
              </w:rPr>
            </w:pPr>
            <w:r w:rsidRPr="00E356CE">
              <w:rPr>
                <w:bCs/>
              </w:rPr>
              <w:t xml:space="preserve">3) złożył wniosek o wydanie zezwolenia na wywóz poza Unię Europejską i transfer wewnątrzunijny sprzętu, technologii lub oprogramowania zaprojektowanych na potrzeby PRS, o którym mowa w ust. 5. </w:t>
            </w:r>
          </w:p>
          <w:p w14:paraId="115AD7B3" w14:textId="77777777" w:rsidR="0058358D" w:rsidRPr="00E356CE" w:rsidRDefault="0058358D" w:rsidP="0058358D">
            <w:pPr>
              <w:rPr>
                <w:bCs/>
              </w:rPr>
            </w:pPr>
            <w:r w:rsidRPr="00E356CE">
              <w:rPr>
                <w:bCs/>
              </w:rPr>
              <w:t xml:space="preserve">5. Wniosek o wydanie zezwolenia zawiera w szczególności oznaczenie wnioskodawcy w tym jego nazwę, adres siedziby albo adres zamieszkania na terytorium Rzeczypospolitej Polskiej oraz przedmiot wywozu poza Unię Europejską lub transferu wewnątrzunijnego oraz parametry techniczne przedmiotowego sprzętu i technologii, jak również cel oraz miejsce docelowe i okres wywozu lub transferu wyposażenia, technologii lub oprogramowania. </w:t>
            </w:r>
          </w:p>
          <w:p w14:paraId="522AE443" w14:textId="65119C1B" w:rsidR="00E10999" w:rsidRPr="00E356CE" w:rsidRDefault="0058358D" w:rsidP="0058358D">
            <w:pPr>
              <w:rPr>
                <w:b/>
                <w:bCs/>
              </w:rPr>
            </w:pPr>
            <w:r w:rsidRPr="00E356CE">
              <w:rPr>
                <w:bCs/>
              </w:rPr>
              <w:lastRenderedPageBreak/>
              <w:t>6. W przypadku stwierdzenia braku zgodności pomiędzy deklarowaną operacją wywozu lub transferu a wspólnymi minimalnymi normami przyjętymi w oparciu o art. 8 Decyzji Parlamentu Europejskiego i Rady nr 1104/2011/UE z dnia 25 października 2011 r. w sprawie warunków dostępu do usługi publicznej o regulowanym dostępie oferowanej przez globalny system nawigacji satelitarnej utworzony w ramach programu Galileo, minister właściwy do spraw gospodarki wszczyna postępowanie w sprawie zawieszenia, zmiany, uchylenia lub cofnięcia zezwolenia.</w:t>
            </w:r>
          </w:p>
          <w:p w14:paraId="41996BE2" w14:textId="7F0D6DCF" w:rsidR="002620B7" w:rsidRPr="00E356CE" w:rsidRDefault="002620B7" w:rsidP="00E8692C">
            <w:pPr>
              <w:rPr>
                <w:b/>
                <w:bCs/>
              </w:rPr>
            </w:pPr>
          </w:p>
        </w:tc>
      </w:tr>
      <w:tr w:rsidR="002620B7" w:rsidRPr="00E356CE" w14:paraId="43E2A9A0" w14:textId="77777777" w:rsidTr="56856880">
        <w:tc>
          <w:tcPr>
            <w:tcW w:w="795" w:type="dxa"/>
          </w:tcPr>
          <w:p w14:paraId="050F49FE" w14:textId="77777777" w:rsidR="002620B7" w:rsidRPr="00E356CE" w:rsidRDefault="002620B7" w:rsidP="00E8692C">
            <w:pPr>
              <w:rPr>
                <w:b/>
              </w:rPr>
            </w:pPr>
            <w:r w:rsidRPr="00E356CE">
              <w:rPr>
                <w:b/>
              </w:rPr>
              <w:lastRenderedPageBreak/>
              <w:t>Art. 15</w:t>
            </w:r>
          </w:p>
          <w:p w14:paraId="3696545D" w14:textId="77777777" w:rsidR="002620B7" w:rsidRPr="00E356CE" w:rsidRDefault="002620B7" w:rsidP="00E8692C">
            <w:pPr>
              <w:rPr>
                <w:b/>
              </w:rPr>
            </w:pPr>
          </w:p>
        </w:tc>
        <w:tc>
          <w:tcPr>
            <w:tcW w:w="4719" w:type="dxa"/>
            <w:shd w:val="clear" w:color="auto" w:fill="auto"/>
          </w:tcPr>
          <w:p w14:paraId="402F4B60" w14:textId="77777777" w:rsidR="002620B7" w:rsidRPr="00E356CE" w:rsidRDefault="002620B7" w:rsidP="00E8692C">
            <w:pPr>
              <w:rPr>
                <w:bCs/>
              </w:rPr>
            </w:pPr>
            <w:r w:rsidRPr="00E356CE">
              <w:rPr>
                <w:bCs/>
              </w:rPr>
              <w:t>Artykuł 15</w:t>
            </w:r>
          </w:p>
          <w:p w14:paraId="716B88AD" w14:textId="77777777" w:rsidR="002620B7" w:rsidRPr="00E356CE" w:rsidRDefault="002620B7" w:rsidP="00E8692C">
            <w:r w:rsidRPr="00E356CE">
              <w:rPr>
                <w:b/>
                <w:bCs/>
              </w:rPr>
              <w:t xml:space="preserve">Sankcje </w:t>
            </w:r>
          </w:p>
          <w:p w14:paraId="456736C7" w14:textId="77777777" w:rsidR="002620B7" w:rsidRPr="00E356CE" w:rsidRDefault="002620B7" w:rsidP="00E8692C">
            <w:r w:rsidRPr="00E356CE">
              <w:t>Państwa członkowskie określają sankcje, które stosuje się w przypadku naruszenia krajowych przepisów przyjętych na podstawie niniejszej decyzji. Sankcje te muszą być skuteczne, proporcjonalne i odstraszające.</w:t>
            </w:r>
          </w:p>
        </w:tc>
        <w:tc>
          <w:tcPr>
            <w:tcW w:w="886" w:type="dxa"/>
          </w:tcPr>
          <w:p w14:paraId="23AD59B8" w14:textId="77777777" w:rsidR="002620B7" w:rsidRPr="00E356CE" w:rsidRDefault="002620B7" w:rsidP="00E8692C">
            <w:pPr>
              <w:rPr>
                <w:b/>
              </w:rPr>
            </w:pPr>
            <w:r w:rsidRPr="00E356CE">
              <w:rPr>
                <w:b/>
              </w:rPr>
              <w:t>T</w:t>
            </w:r>
          </w:p>
        </w:tc>
        <w:tc>
          <w:tcPr>
            <w:tcW w:w="900" w:type="dxa"/>
            <w:gridSpan w:val="3"/>
          </w:tcPr>
          <w:p w14:paraId="4C57B120" w14:textId="77777777" w:rsidR="002620B7" w:rsidRPr="00E356CE" w:rsidRDefault="002620B7" w:rsidP="00E8692C">
            <w:r w:rsidRPr="00E356CE">
              <w:t>Art. 444-445</w:t>
            </w:r>
          </w:p>
        </w:tc>
        <w:tc>
          <w:tcPr>
            <w:tcW w:w="7410" w:type="dxa"/>
            <w:gridSpan w:val="2"/>
          </w:tcPr>
          <w:p w14:paraId="0EC5CBA1" w14:textId="77777777" w:rsidR="008D6719" w:rsidRPr="00E356CE" w:rsidRDefault="008D6719" w:rsidP="008D6719">
            <w:r w:rsidRPr="00E356CE">
              <w:rPr>
                <w:b/>
                <w:bCs/>
              </w:rPr>
              <w:t>Art. 444.</w:t>
            </w:r>
            <w:r w:rsidRPr="00E356CE">
              <w:t xml:space="preserve"> 1. Kto podejmuje działalność określoną w art. 57 ust. 1 bez pozwolenia PRS lub bez przestrzegania warunków zawartych w pozwoleniu PRS, podlega karze grzywny w wysokości do 800 000 złotych.  </w:t>
            </w:r>
          </w:p>
          <w:p w14:paraId="552199EE" w14:textId="77777777" w:rsidR="008D6719" w:rsidRPr="00E356CE" w:rsidRDefault="008D6719" w:rsidP="008D6719">
            <w:r w:rsidRPr="00E356CE">
              <w:t xml:space="preserve">2. Kto uchybia obowiązkowi przewidzianemu w art. 58, podlega karze grzywny w wysokości do 200 000 złotych. </w:t>
            </w:r>
          </w:p>
          <w:p w14:paraId="051B3361" w14:textId="77777777" w:rsidR="008D6719" w:rsidRPr="00E356CE" w:rsidRDefault="008D6719" w:rsidP="008D6719"/>
          <w:p w14:paraId="7F8EC3A3" w14:textId="77777777" w:rsidR="008D6719" w:rsidRPr="00E356CE" w:rsidRDefault="008D6719" w:rsidP="008D6719">
            <w:r w:rsidRPr="00E356CE">
              <w:rPr>
                <w:b/>
                <w:bCs/>
              </w:rPr>
              <w:t>Art. 445.</w:t>
            </w:r>
            <w:r w:rsidRPr="00E356CE">
              <w:t xml:space="preserve"> W odniesieniu do podmiotów, które podejmują działalność określoną w art. 57 ust. 1 bez pozwolenia PRS lub bez przestrzegania warunków zawartych w pozwoleniu PRS oraz uchybiających obowiązkowi przewidzianemu w art. 58, mają zastosowanie przepisy:  </w:t>
            </w:r>
          </w:p>
          <w:p w14:paraId="22F43549" w14:textId="77777777" w:rsidR="008D6719" w:rsidRPr="00E356CE" w:rsidRDefault="008D6719" w:rsidP="008D6719">
            <w:r w:rsidRPr="00E356CE">
              <w:t xml:space="preserve">1) art. 41 ustawy z dnia 6 czerwca 1997 - Kodeks karny (Dz. U. z 2019 r. poz. 1950, z </w:t>
            </w:r>
            <w:proofErr w:type="spellStart"/>
            <w:r w:rsidRPr="00E356CE">
              <w:t>późn</w:t>
            </w:r>
            <w:proofErr w:type="spellEnd"/>
            <w:r w:rsidRPr="00E356CE">
              <w:t xml:space="preserve">. zm.); </w:t>
            </w:r>
          </w:p>
          <w:p w14:paraId="0DACE8BF" w14:textId="77777777" w:rsidR="008D6719" w:rsidRPr="00E356CE" w:rsidRDefault="008D6719" w:rsidP="008D6719">
            <w:r w:rsidRPr="00E356CE">
              <w:t xml:space="preserve">2) art. 44 ustawy z dnia 6 czerwca 1997 - Kodeks karny; </w:t>
            </w:r>
          </w:p>
          <w:p w14:paraId="40C44047" w14:textId="3D6995D8" w:rsidR="002620B7" w:rsidRPr="00E356CE" w:rsidRDefault="008D6719" w:rsidP="008D6719">
            <w:r w:rsidRPr="00E356CE">
              <w:t>3) ustawy z dnia 28 października 2002 r. o odpowiedzialności podmiotów zbiorowych za czyny zabronione pod groźbą kary (Dz. U. z 2020 r. poz. 358).</w:t>
            </w:r>
          </w:p>
        </w:tc>
      </w:tr>
      <w:tr w:rsidR="002620B7" w:rsidRPr="00E356CE" w14:paraId="41AFD9A0" w14:textId="77777777" w:rsidTr="56856880">
        <w:tc>
          <w:tcPr>
            <w:tcW w:w="5514" w:type="dxa"/>
            <w:gridSpan w:val="2"/>
            <w:shd w:val="clear" w:color="auto" w:fill="E0E0E0"/>
          </w:tcPr>
          <w:p w14:paraId="6992440D" w14:textId="77777777" w:rsidR="002620B7" w:rsidRPr="00E356CE" w:rsidRDefault="002620B7" w:rsidP="00E8692C">
            <w:pPr>
              <w:rPr>
                <w:b/>
                <w:bCs/>
              </w:rPr>
            </w:pPr>
            <w:r w:rsidRPr="00E356CE">
              <w:rPr>
                <w:b/>
                <w:bCs/>
              </w:rPr>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2B499A43" w14:textId="16EDAC9D" w:rsidR="002620B7" w:rsidRPr="00E356CE" w:rsidRDefault="002620B7" w:rsidP="00E8692C">
            <w:pPr>
              <w:rPr>
                <w:b/>
              </w:rPr>
            </w:pPr>
            <w:r w:rsidRPr="00E356CE">
              <w:rPr>
                <w:b/>
              </w:rPr>
              <w:t>Decyzja delegowana Komisji</w:t>
            </w:r>
            <w:r w:rsidR="009C00A6" w:rsidRPr="00E356CE">
              <w:rPr>
                <w:b/>
              </w:rPr>
              <w:t xml:space="preserve"> Europejskiej</w:t>
            </w:r>
            <w:r w:rsidRPr="00E356CE">
              <w:rPr>
                <w:b/>
              </w:rPr>
              <w:t xml:space="preserve"> z dnia 15 września 2015 r. uzupełniająca decyzję Parlamentu Europejskiego i Rady Nr 1104/2011/UE w odniesieniu do wspólnych minimalnych norm, których muszą przestrzegać organy odpowiedzialne za PRS (LIMITED) </w:t>
            </w:r>
          </w:p>
        </w:tc>
      </w:tr>
      <w:tr w:rsidR="002620B7" w:rsidRPr="00E356CE" w14:paraId="0A18341D" w14:textId="77777777" w:rsidTr="56856880">
        <w:tc>
          <w:tcPr>
            <w:tcW w:w="795" w:type="dxa"/>
          </w:tcPr>
          <w:p w14:paraId="123CAE70" w14:textId="77777777" w:rsidR="002620B7" w:rsidRPr="00E356CE" w:rsidRDefault="002620B7" w:rsidP="00E8692C">
            <w:pPr>
              <w:rPr>
                <w:b/>
              </w:rPr>
            </w:pPr>
            <w:r w:rsidRPr="00E356CE">
              <w:rPr>
                <w:b/>
              </w:rPr>
              <w:t>Art. 3 ust. 3</w:t>
            </w:r>
          </w:p>
        </w:tc>
        <w:tc>
          <w:tcPr>
            <w:tcW w:w="4719" w:type="dxa"/>
            <w:shd w:val="clear" w:color="auto" w:fill="auto"/>
          </w:tcPr>
          <w:p w14:paraId="3CFCB3F6" w14:textId="77777777" w:rsidR="002620B7" w:rsidRPr="00E356CE" w:rsidRDefault="002620B7" w:rsidP="00E8692C">
            <w:r w:rsidRPr="00E356CE">
              <w:t>LIMITED</w:t>
            </w:r>
          </w:p>
        </w:tc>
        <w:tc>
          <w:tcPr>
            <w:tcW w:w="886" w:type="dxa"/>
          </w:tcPr>
          <w:p w14:paraId="4590C3D3" w14:textId="77777777" w:rsidR="002620B7" w:rsidRPr="00E356CE" w:rsidRDefault="002620B7" w:rsidP="00E8692C">
            <w:pPr>
              <w:rPr>
                <w:b/>
              </w:rPr>
            </w:pPr>
            <w:r w:rsidRPr="00E356CE">
              <w:rPr>
                <w:b/>
              </w:rPr>
              <w:t>T</w:t>
            </w:r>
          </w:p>
        </w:tc>
        <w:tc>
          <w:tcPr>
            <w:tcW w:w="900" w:type="dxa"/>
            <w:gridSpan w:val="3"/>
          </w:tcPr>
          <w:p w14:paraId="5DB55F3A" w14:textId="77777777" w:rsidR="002620B7" w:rsidRPr="00E356CE" w:rsidRDefault="002620B7" w:rsidP="00E8692C">
            <w:r w:rsidRPr="00E356CE">
              <w:t xml:space="preserve">Art. 55 ust. 2, 5 i 6, </w:t>
            </w:r>
            <w:r w:rsidRPr="00E356CE">
              <w:rPr>
                <w:u w:val="single"/>
              </w:rPr>
              <w:lastRenderedPageBreak/>
              <w:t>jak również art. 21 pkt 1 ustawy wprowadzającej</w:t>
            </w:r>
          </w:p>
        </w:tc>
        <w:tc>
          <w:tcPr>
            <w:tcW w:w="7410" w:type="dxa"/>
            <w:gridSpan w:val="2"/>
          </w:tcPr>
          <w:p w14:paraId="12130B4A" w14:textId="77777777" w:rsidR="002620B7" w:rsidRPr="00E356CE" w:rsidRDefault="002620B7" w:rsidP="00E8692C">
            <w:pPr>
              <w:rPr>
                <w:b/>
              </w:rPr>
            </w:pPr>
            <w:r w:rsidRPr="00E356CE">
              <w:rPr>
                <w:b/>
              </w:rPr>
              <w:lastRenderedPageBreak/>
              <w:t>Art. 55</w:t>
            </w:r>
          </w:p>
          <w:p w14:paraId="360B40FE" w14:textId="77777777" w:rsidR="006706E2" w:rsidRPr="00E356CE" w:rsidRDefault="006706E2" w:rsidP="00E8692C">
            <w:r w:rsidRPr="00E356CE">
              <w:lastRenderedPageBreak/>
              <w:t xml:space="preserve">2. Minister właściwy do spraw wewnętrznych realizując zadania w zakresie PRS współpracuje z Szefem Agencji Bezpieczeństwa Wewnętrznego. </w:t>
            </w:r>
          </w:p>
          <w:p w14:paraId="40717989" w14:textId="2A2F8F22" w:rsidR="006507DE" w:rsidRPr="00E356CE" w:rsidRDefault="006507DE" w:rsidP="006507DE">
            <w:r w:rsidRPr="00E356CE">
              <w:t>5. Do zadań Szefa Agencji Bezpieczeństwa Wewnętrznego w ramach współpracy, o której mowa w ust. 2, należy:</w:t>
            </w:r>
          </w:p>
          <w:p w14:paraId="5C506631" w14:textId="77777777" w:rsidR="006507DE" w:rsidRPr="00E356CE" w:rsidRDefault="006507DE" w:rsidP="006507DE">
            <w:r w:rsidRPr="00E356CE">
              <w:t>1) zarządzanie informacjami niejawnymi PRS;</w:t>
            </w:r>
          </w:p>
          <w:p w14:paraId="136D5572" w14:textId="77777777" w:rsidR="006507DE" w:rsidRPr="00E356CE" w:rsidRDefault="006507DE" w:rsidP="006507DE">
            <w:r w:rsidRPr="00E356CE">
              <w:t>2) zarządzanie kluczami kryptograficznymi PRS oraz ich dystrybucja;</w:t>
            </w:r>
          </w:p>
          <w:p w14:paraId="6473C29D" w14:textId="77777777" w:rsidR="006507DE" w:rsidRPr="00E356CE" w:rsidRDefault="006507DE" w:rsidP="006507DE">
            <w:r w:rsidRPr="00E356CE">
              <w:t xml:space="preserve">3) dokonywanie sprawdzeń podmiotów na potrzeby przyznawania im akredytacji SAB; </w:t>
            </w:r>
          </w:p>
          <w:p w14:paraId="47FDF6D3" w14:textId="77777777" w:rsidR="006507DE" w:rsidRPr="00E356CE" w:rsidRDefault="006507DE" w:rsidP="006507DE">
            <w:r w:rsidRPr="00E356CE">
              <w:t xml:space="preserve">4) odzyskiwanie lub niszczenie dokumentacji zawierającej informacje niejawne PRS oraz technologii PRS i sprzętu na potrzeby PRS będących w posiadaniu podmiotów produkujących sprzęt na potrzeby PRS i opracowujących technologie PRS, w tym prowadzących prace badawczo-rozwojowe, w przypadku cofnięcia im akredytacji SAB; </w:t>
            </w:r>
          </w:p>
          <w:p w14:paraId="4B92CE55" w14:textId="74F2C4CE" w:rsidR="006507DE" w:rsidRPr="00E356CE" w:rsidRDefault="006507DE" w:rsidP="006507DE">
            <w:r w:rsidRPr="00E356CE">
              <w:t>5) przeprowadzanie kontroli podmiotów mających pozwolenie PRS na produkcję sprzętu na potrzeby PRS i opracowujących technologie PRS, w tym prowadzących prace badawczo-rozwojowe w zakresie właściwości Agencji Bezpieczeństwa Wewnętrznego.</w:t>
            </w:r>
          </w:p>
          <w:p w14:paraId="7551A865" w14:textId="7D92C9C3" w:rsidR="00026DE7" w:rsidRPr="00E356CE" w:rsidRDefault="00026DE7" w:rsidP="00E8692C">
            <w:r w:rsidRPr="00E356CE">
              <w:t>6. Szef Agencji Bezpieczeństwa Wewnętrznego może upoważnić jednostkę zarządzającą do realizacji zadań, o których mowa w ust. 5 pkt 1-4.</w:t>
            </w:r>
          </w:p>
          <w:p w14:paraId="035349CF" w14:textId="77777777" w:rsidR="00CB13C5" w:rsidRPr="00E356CE" w:rsidRDefault="00CB13C5" w:rsidP="00E8692C"/>
          <w:p w14:paraId="067B5425" w14:textId="62ABD685" w:rsidR="002620B7" w:rsidRPr="00E356CE" w:rsidRDefault="002620B7" w:rsidP="00E8692C">
            <w:pPr>
              <w:rPr>
                <w:u w:val="single"/>
              </w:rPr>
            </w:pPr>
            <w:r w:rsidRPr="00E356CE">
              <w:rPr>
                <w:u w:val="single"/>
              </w:rPr>
              <w:t>Ustawa wprowadzająca</w:t>
            </w:r>
          </w:p>
          <w:p w14:paraId="4457C983" w14:textId="77777777" w:rsidR="002620B7" w:rsidRPr="00E356CE" w:rsidRDefault="002620B7" w:rsidP="00E8692C">
            <w:r w:rsidRPr="00E356CE">
              <w:rPr>
                <w:b/>
                <w:bCs/>
              </w:rPr>
              <w:t>Art. 21.</w:t>
            </w:r>
            <w:r w:rsidRPr="00E356CE">
              <w:t xml:space="preserve"> W ustawie z dnia 24 maja 2002 r. o Agencji Bezpieczeństwa Wewnętrznego oraz Agencji Wywiadu (Dz. U. z 2020 r. poz. 27) wprowadza się następujące zmiany: </w:t>
            </w:r>
          </w:p>
          <w:p w14:paraId="76DA77A9" w14:textId="77777777" w:rsidR="002620B7" w:rsidRPr="00E356CE" w:rsidRDefault="002620B7" w:rsidP="00E8692C">
            <w:r w:rsidRPr="00E356CE">
              <w:t>1) w art. 5 w ust. 1 po pkt 3 dodaje się pkt 3a w brzmieniu:</w:t>
            </w:r>
          </w:p>
          <w:p w14:paraId="362D7CC4" w14:textId="77777777" w:rsidR="002620B7" w:rsidRPr="00E356CE" w:rsidRDefault="002620B7" w:rsidP="00E8692C">
            <w:r w:rsidRPr="00E356CE">
              <w:t>„3a) Realizowanie zadań, we współpracy z ministrem właściwym do spraw wewnętrznych, związanych z ustanowieniem i funkcjonowaniem systemu zarządzania kluczami kryptograficznymi PRS, w szczególności wykonywanie funkcji krajowej władzy dystrybucji;”;</w:t>
            </w:r>
          </w:p>
        </w:tc>
      </w:tr>
      <w:tr w:rsidR="002620B7" w:rsidRPr="00E356CE" w14:paraId="43F35685" w14:textId="77777777" w:rsidTr="56856880">
        <w:tc>
          <w:tcPr>
            <w:tcW w:w="795" w:type="dxa"/>
          </w:tcPr>
          <w:p w14:paraId="5D93E5E5" w14:textId="77777777" w:rsidR="002620B7" w:rsidRPr="00E356CE" w:rsidRDefault="002620B7" w:rsidP="00E8692C">
            <w:pPr>
              <w:rPr>
                <w:b/>
              </w:rPr>
            </w:pPr>
            <w:r w:rsidRPr="00E356CE">
              <w:rPr>
                <w:b/>
              </w:rPr>
              <w:lastRenderedPageBreak/>
              <w:t>Art. 6 ust. 6</w:t>
            </w:r>
          </w:p>
        </w:tc>
        <w:tc>
          <w:tcPr>
            <w:tcW w:w="4719" w:type="dxa"/>
            <w:shd w:val="clear" w:color="auto" w:fill="auto"/>
          </w:tcPr>
          <w:p w14:paraId="0DE76639" w14:textId="77777777" w:rsidR="002620B7" w:rsidRPr="00E356CE" w:rsidRDefault="002620B7" w:rsidP="00E8692C">
            <w:r w:rsidRPr="00E356CE">
              <w:t>LIMITED</w:t>
            </w:r>
          </w:p>
        </w:tc>
        <w:tc>
          <w:tcPr>
            <w:tcW w:w="886" w:type="dxa"/>
          </w:tcPr>
          <w:p w14:paraId="01495EFE" w14:textId="77777777" w:rsidR="002620B7" w:rsidRPr="00E356CE" w:rsidRDefault="002620B7" w:rsidP="00E8692C">
            <w:pPr>
              <w:rPr>
                <w:b/>
              </w:rPr>
            </w:pPr>
            <w:r w:rsidRPr="00E356CE">
              <w:rPr>
                <w:b/>
              </w:rPr>
              <w:t>T</w:t>
            </w:r>
          </w:p>
        </w:tc>
        <w:tc>
          <w:tcPr>
            <w:tcW w:w="900" w:type="dxa"/>
            <w:gridSpan w:val="3"/>
          </w:tcPr>
          <w:p w14:paraId="76CDF848" w14:textId="77777777" w:rsidR="002620B7" w:rsidRPr="00E356CE" w:rsidRDefault="002620B7" w:rsidP="00E8692C">
            <w:r w:rsidRPr="00E356CE">
              <w:t xml:space="preserve">Art. 59 </w:t>
            </w:r>
          </w:p>
        </w:tc>
        <w:tc>
          <w:tcPr>
            <w:tcW w:w="7410" w:type="dxa"/>
            <w:gridSpan w:val="2"/>
          </w:tcPr>
          <w:p w14:paraId="5097D706" w14:textId="77777777" w:rsidR="00C91143" w:rsidRPr="00E356CE" w:rsidRDefault="002620B7" w:rsidP="00C91143">
            <w:r w:rsidRPr="00E356CE">
              <w:rPr>
                <w:b/>
                <w:bCs/>
              </w:rPr>
              <w:t>Art. 59.</w:t>
            </w:r>
            <w:r w:rsidRPr="00E356CE">
              <w:t> </w:t>
            </w:r>
            <w:r w:rsidR="00C91143" w:rsidRPr="00E356CE">
              <w:t xml:space="preserve">1. Minister właściwy do spraw wewnętrznych, we współpracy z Szefem Agencji Bezpieczeństwa Wewnętrznego, przeprowadza kontrole </w:t>
            </w:r>
            <w:r w:rsidR="00C91143" w:rsidRPr="00E356CE">
              <w:lastRenderedPageBreak/>
              <w:t xml:space="preserve">użytkowników PRS, producentów sprzętu na potrzeby PRS lub technologii PRS oraz podmiotów zaangażowanych w rozwój technologiczny PRS w celu nadzorowania przestrzegania obowiązków nałożonych na mocy ustawy oraz decyzji wydanych na jej podstawie.  </w:t>
            </w:r>
          </w:p>
          <w:p w14:paraId="6C20E01D" w14:textId="77777777" w:rsidR="00C91143" w:rsidRPr="00E356CE" w:rsidRDefault="00C91143" w:rsidP="00C91143">
            <w:r w:rsidRPr="00E356CE">
              <w:t xml:space="preserve">2. Kontrole, o których mowa w ust. 1, prowadzone są przez upoważnionych pracowników jednostki zarządzającej na podstawie upoważnienia do przeprowadzenia kontroli, wydanego przez ministra właściwego do spraw wewnętrznych, po okazaniu legitymacji służbowej wydanej przez ministra właściwego do spraw wewnętrznych oraz przez pracowników Agencji Bezpieczeństwa Wewnętrznego w zakresie jej właściwości. </w:t>
            </w:r>
          </w:p>
          <w:p w14:paraId="444297B2" w14:textId="77777777" w:rsidR="00C91143" w:rsidRPr="00E356CE" w:rsidRDefault="00C91143" w:rsidP="00C91143">
            <w:r w:rsidRPr="00E356CE">
              <w:t xml:space="preserve">3. Osoba prowadząca kontrolę ma prawo do: </w:t>
            </w:r>
          </w:p>
          <w:p w14:paraId="49C25584" w14:textId="77777777" w:rsidR="00C91143" w:rsidRPr="00E356CE" w:rsidRDefault="00C91143" w:rsidP="00C91143">
            <w:r w:rsidRPr="00E356CE">
              <w:t xml:space="preserve">1) swobodnego wstępu na teren, do obiektów i pomieszczeń kontrolowanej jednostki organizacyjnej; </w:t>
            </w:r>
          </w:p>
          <w:p w14:paraId="3F57783A" w14:textId="77777777" w:rsidR="00C91143" w:rsidRPr="00E356CE" w:rsidRDefault="00C91143" w:rsidP="00C91143">
            <w:r w:rsidRPr="00E356CE">
              <w:t xml:space="preserve">2) wglądu do dokumentów, ksiąg oraz innych nośników informacji należących  </w:t>
            </w:r>
          </w:p>
          <w:p w14:paraId="19AC29A8" w14:textId="77777777" w:rsidR="00C91143" w:rsidRPr="00E356CE" w:rsidRDefault="00C91143" w:rsidP="00C91143">
            <w:r w:rsidRPr="00E356CE">
              <w:t xml:space="preserve">do kontrolowanej jednostki organizacyjnej, dotyczących PRS; </w:t>
            </w:r>
          </w:p>
          <w:p w14:paraId="7CC6CAAC" w14:textId="77777777" w:rsidR="00C91143" w:rsidRPr="00E356CE" w:rsidRDefault="00C91143" w:rsidP="00C91143">
            <w:r w:rsidRPr="00E356CE">
              <w:t xml:space="preserve">3) żądania sporządzenia oraz wydania kopii dokumentów i nośników informacji, o których mowa w pkt 2; </w:t>
            </w:r>
          </w:p>
          <w:p w14:paraId="56BAE355" w14:textId="715A34F9" w:rsidR="00C91143" w:rsidRPr="00E356CE" w:rsidRDefault="00C91143" w:rsidP="00C91143">
            <w:r w:rsidRPr="00E356CE">
              <w:t>4) sprawdzania czy działalność kontrolowanej jednostki organizacyjnej jest wykonywana zgodnie z przepisami dotyczącymi PRS oraz warunkami określonymi w pozwoleniu PRS.</w:t>
            </w:r>
          </w:p>
          <w:p w14:paraId="3361A492" w14:textId="6A60159B" w:rsidR="002620B7" w:rsidRPr="00E356CE" w:rsidRDefault="002620B7" w:rsidP="00E8692C"/>
        </w:tc>
      </w:tr>
      <w:tr w:rsidR="002620B7" w:rsidRPr="00E356CE" w14:paraId="4A0B431F" w14:textId="77777777" w:rsidTr="56856880">
        <w:tc>
          <w:tcPr>
            <w:tcW w:w="795" w:type="dxa"/>
          </w:tcPr>
          <w:p w14:paraId="694B1237" w14:textId="77777777" w:rsidR="002620B7" w:rsidRPr="00E356CE" w:rsidRDefault="002620B7" w:rsidP="00E8692C">
            <w:pPr>
              <w:rPr>
                <w:b/>
              </w:rPr>
            </w:pPr>
            <w:r w:rsidRPr="00E356CE">
              <w:rPr>
                <w:b/>
              </w:rPr>
              <w:lastRenderedPageBreak/>
              <w:t>Art. 7 ust. 1</w:t>
            </w:r>
          </w:p>
        </w:tc>
        <w:tc>
          <w:tcPr>
            <w:tcW w:w="4719" w:type="dxa"/>
            <w:shd w:val="clear" w:color="auto" w:fill="auto"/>
          </w:tcPr>
          <w:p w14:paraId="0006C963" w14:textId="2E5FFCE0" w:rsidR="00EE68B1" w:rsidRPr="00E356CE" w:rsidRDefault="002620B7" w:rsidP="00E8692C">
            <w:r w:rsidRPr="00E356CE">
              <w:t>LIMITED</w:t>
            </w:r>
          </w:p>
          <w:p w14:paraId="24EAD847" w14:textId="77777777" w:rsidR="00EE68B1" w:rsidRPr="00E356CE" w:rsidRDefault="00EE68B1" w:rsidP="00EE68B1"/>
          <w:p w14:paraId="3374D62C" w14:textId="6077DE41" w:rsidR="00EE68B1" w:rsidRPr="00E356CE" w:rsidRDefault="00EE68B1" w:rsidP="00EE68B1"/>
          <w:p w14:paraId="719641DF" w14:textId="77777777" w:rsidR="002620B7" w:rsidRPr="00E356CE" w:rsidRDefault="002620B7" w:rsidP="00EE68B1">
            <w:pPr>
              <w:jc w:val="right"/>
            </w:pPr>
          </w:p>
        </w:tc>
        <w:tc>
          <w:tcPr>
            <w:tcW w:w="886" w:type="dxa"/>
          </w:tcPr>
          <w:p w14:paraId="1F6882AE" w14:textId="77777777" w:rsidR="002620B7" w:rsidRPr="00E356CE" w:rsidRDefault="002620B7" w:rsidP="00E8692C">
            <w:pPr>
              <w:rPr>
                <w:b/>
              </w:rPr>
            </w:pPr>
            <w:r w:rsidRPr="00E356CE">
              <w:rPr>
                <w:b/>
              </w:rPr>
              <w:t>T</w:t>
            </w:r>
          </w:p>
        </w:tc>
        <w:tc>
          <w:tcPr>
            <w:tcW w:w="900" w:type="dxa"/>
            <w:gridSpan w:val="3"/>
          </w:tcPr>
          <w:p w14:paraId="076A0B08" w14:textId="77777777" w:rsidR="002620B7" w:rsidRPr="00E356CE" w:rsidRDefault="002620B7" w:rsidP="00E8692C">
            <w:r w:rsidRPr="00E356CE">
              <w:t>Art. 56 ust. 2</w:t>
            </w:r>
          </w:p>
        </w:tc>
        <w:tc>
          <w:tcPr>
            <w:tcW w:w="7410" w:type="dxa"/>
            <w:gridSpan w:val="2"/>
          </w:tcPr>
          <w:p w14:paraId="0A35ED67" w14:textId="77777777" w:rsidR="002620B7" w:rsidRPr="00E356CE" w:rsidRDefault="002620B7" w:rsidP="00E8692C">
            <w:pPr>
              <w:rPr>
                <w:b/>
              </w:rPr>
            </w:pPr>
            <w:r w:rsidRPr="00E356CE">
              <w:rPr>
                <w:b/>
              </w:rPr>
              <w:t>Art. 56</w:t>
            </w:r>
          </w:p>
          <w:p w14:paraId="51E1446F" w14:textId="77777777" w:rsidR="002620B7" w:rsidRPr="00E356CE" w:rsidRDefault="002620B7" w:rsidP="002620B7">
            <w:pPr>
              <w:pStyle w:val="Akapitzlist"/>
              <w:numPr>
                <w:ilvl w:val="0"/>
                <w:numId w:val="10"/>
              </w:numPr>
              <w:spacing w:after="160" w:line="259" w:lineRule="auto"/>
              <w:ind w:left="420"/>
            </w:pPr>
            <w:r w:rsidRPr="00E356CE">
              <w:t>Minister właściwy do spraw wewnętrznych organizuje użytkowników PRS w grupy, kierując się potrzebą efektywnego wykorzystania PRS na obszarze Polski. </w:t>
            </w:r>
          </w:p>
        </w:tc>
      </w:tr>
      <w:tr w:rsidR="00EE68B1" w:rsidRPr="00E356CE" w14:paraId="24EF81C3" w14:textId="77777777" w:rsidTr="56856880">
        <w:tc>
          <w:tcPr>
            <w:tcW w:w="5514" w:type="dxa"/>
            <w:gridSpan w:val="2"/>
          </w:tcPr>
          <w:p w14:paraId="28B8EDEB" w14:textId="77777777" w:rsidR="00EE68B1" w:rsidRPr="00E356CE" w:rsidRDefault="00EE68B1" w:rsidP="00E8692C">
            <w:pPr>
              <w:rPr>
                <w:b/>
              </w:rPr>
            </w:pPr>
          </w:p>
          <w:p w14:paraId="65CC01C3" w14:textId="6D45C58F" w:rsidR="00EE68B1" w:rsidRPr="00E356CE" w:rsidRDefault="00EE68B1" w:rsidP="00E8692C">
            <w:r w:rsidRPr="00E356CE">
              <w:rPr>
                <w:b/>
                <w:bCs/>
              </w:rPr>
              <w:t xml:space="preserve">TYTUŁ WDRAŻANEGO AKTU PRAWNEGO / WDRAŻANYCH AKTÓW PRAWNYCH </w:t>
            </w:r>
            <w:r w:rsidRPr="00E356CE">
              <w:rPr>
                <w:b/>
                <w:bCs/>
                <w:vertAlign w:val="superscript"/>
              </w:rPr>
              <w:t>1)</w:t>
            </w:r>
            <w:r w:rsidRPr="00E356CE">
              <w:rPr>
                <w:b/>
                <w:bCs/>
              </w:rPr>
              <w:t>:</w:t>
            </w:r>
          </w:p>
        </w:tc>
        <w:tc>
          <w:tcPr>
            <w:tcW w:w="9196" w:type="dxa"/>
            <w:gridSpan w:val="6"/>
          </w:tcPr>
          <w:p w14:paraId="35E1726D" w14:textId="430DDD4F" w:rsidR="00EE68B1" w:rsidRPr="00E356CE" w:rsidRDefault="00EE68B1" w:rsidP="00EE68B1">
            <w:pPr>
              <w:jc w:val="both"/>
              <w:rPr>
                <w:b/>
              </w:rPr>
            </w:pPr>
            <w:r w:rsidRPr="00E356CE">
              <w:rPr>
                <w:b/>
              </w:rPr>
              <w:t>Dyrektywa Parlamentu Europejskiego i Rady 2013/11/UE z dnia 21 maja 2013 r. w sprawie alternatywnych metod rozstrzygania sporów konsumenckich oraz zmiany rozporządzenia (WE) nr 2006/2004 i dyrektywy 2009/22/WE (dyrektywa w sprawie ADR w sporach konsumenckich)</w:t>
            </w:r>
          </w:p>
        </w:tc>
      </w:tr>
      <w:tr w:rsidR="00A33ACF" w:rsidRPr="00E356CE" w14:paraId="07F53E18" w14:textId="59B8F6CA" w:rsidTr="56856880">
        <w:tc>
          <w:tcPr>
            <w:tcW w:w="795" w:type="dxa"/>
          </w:tcPr>
          <w:p w14:paraId="6FDAD511" w14:textId="63592E92" w:rsidR="00A33ACF" w:rsidRPr="00E356CE" w:rsidRDefault="00A33ACF" w:rsidP="00E8692C">
            <w:pPr>
              <w:rPr>
                <w:b/>
              </w:rPr>
            </w:pPr>
            <w:r w:rsidRPr="00E356CE">
              <w:rPr>
                <w:b/>
              </w:rPr>
              <w:lastRenderedPageBreak/>
              <w:t>Art. 5 i 6</w:t>
            </w:r>
          </w:p>
        </w:tc>
        <w:tc>
          <w:tcPr>
            <w:tcW w:w="4719" w:type="dxa"/>
          </w:tcPr>
          <w:p w14:paraId="47C31228" w14:textId="77777777" w:rsidR="006B4E4B" w:rsidRPr="00E356CE" w:rsidRDefault="006B4E4B" w:rsidP="006B4E4B">
            <w:pPr>
              <w:jc w:val="both"/>
              <w:rPr>
                <w:i/>
                <w:iCs/>
              </w:rPr>
            </w:pPr>
            <w:r w:rsidRPr="00E356CE">
              <w:rPr>
                <w:i/>
                <w:iCs/>
              </w:rPr>
              <w:t>Artykuł 5</w:t>
            </w:r>
          </w:p>
          <w:p w14:paraId="219C5DE0" w14:textId="77777777" w:rsidR="006B4E4B" w:rsidRPr="00E356CE" w:rsidRDefault="006B4E4B" w:rsidP="006B4E4B">
            <w:pPr>
              <w:jc w:val="both"/>
              <w:rPr>
                <w:bCs/>
              </w:rPr>
            </w:pPr>
            <w:r w:rsidRPr="00E356CE">
              <w:rPr>
                <w:bCs/>
              </w:rPr>
              <w:t>Dostępność podmiotów ADR i postępowań ADR</w:t>
            </w:r>
          </w:p>
          <w:p w14:paraId="06CA2FF2" w14:textId="77777777" w:rsidR="006B4E4B" w:rsidRPr="00E356CE" w:rsidRDefault="006B4E4B" w:rsidP="006B4E4B">
            <w:pPr>
              <w:jc w:val="both"/>
            </w:pPr>
            <w:r w:rsidRPr="00E356CE">
              <w:t>1.   Państwa członkowskie ułatwiają konsumentom dostęp do postępowań ADR i zapewniają możliwość poddania sporów objętych niniejszą dyrektywą i dotyczących przedsiębiorcy mającego siedzibę na ich terytoriach pod rozstrzygnięcie podmiotu ADR, który spełnia wymogi określone w niniejszej dyrektywie.</w:t>
            </w:r>
          </w:p>
          <w:p w14:paraId="159E1B07" w14:textId="77777777" w:rsidR="006B4E4B" w:rsidRPr="00E356CE" w:rsidRDefault="006B4E4B" w:rsidP="006B4E4B">
            <w:pPr>
              <w:jc w:val="both"/>
            </w:pPr>
            <w:r w:rsidRPr="00E356CE">
              <w:t>2.   Państwa członkowskie zapewniają, aby podmioty ADR:</w:t>
            </w: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56FB1CA4" w14:textId="77777777" w:rsidTr="006B4E4B">
              <w:tc>
                <w:tcPr>
                  <w:tcW w:w="210" w:type="dxa"/>
                  <w:shd w:val="clear" w:color="auto" w:fill="FFFFFF"/>
                  <w:hideMark/>
                </w:tcPr>
                <w:p w14:paraId="6D7F934A" w14:textId="77777777" w:rsidR="006B4E4B" w:rsidRPr="00E356CE" w:rsidRDefault="006B4E4B" w:rsidP="006B4E4B">
                  <w:pPr>
                    <w:jc w:val="both"/>
                  </w:pPr>
                  <w:r w:rsidRPr="00E356CE">
                    <w:t>a)</w:t>
                  </w:r>
                </w:p>
              </w:tc>
              <w:tc>
                <w:tcPr>
                  <w:tcW w:w="9196" w:type="dxa"/>
                  <w:shd w:val="clear" w:color="auto" w:fill="FFFFFF"/>
                  <w:hideMark/>
                </w:tcPr>
                <w:p w14:paraId="52425D1E" w14:textId="77777777" w:rsidR="006B4E4B" w:rsidRPr="00E356CE" w:rsidRDefault="006B4E4B" w:rsidP="006B4E4B">
                  <w:pPr>
                    <w:jc w:val="both"/>
                  </w:pPr>
                  <w:r w:rsidRPr="00E356CE">
                    <w:t>prowadziły aktualną stronę internetową umożliwiającą stronom łatwy dostęp do informacji dotyczących postępowań ADR i pozwalającą konsumentom na wniesienie skargi i przekazanie wymaganych dokumentów towarzyszących w formie elektronicznej;</w:t>
                  </w:r>
                </w:p>
              </w:tc>
            </w:tr>
          </w:tbl>
          <w:p w14:paraId="7A86AA1F"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9"/>
              <w:gridCol w:w="4460"/>
            </w:tblGrid>
            <w:tr w:rsidR="006B4E4B" w:rsidRPr="00E356CE" w14:paraId="39578FC7" w14:textId="77777777" w:rsidTr="006B4E4B">
              <w:tc>
                <w:tcPr>
                  <w:tcW w:w="225" w:type="dxa"/>
                  <w:shd w:val="clear" w:color="auto" w:fill="FFFFFF"/>
                  <w:hideMark/>
                </w:tcPr>
                <w:p w14:paraId="1B3972B5" w14:textId="77777777" w:rsidR="006B4E4B" w:rsidRPr="00E356CE" w:rsidRDefault="006B4E4B" w:rsidP="006B4E4B">
                  <w:pPr>
                    <w:jc w:val="both"/>
                  </w:pPr>
                  <w:r w:rsidRPr="00E356CE">
                    <w:t>b)</w:t>
                  </w:r>
                </w:p>
              </w:tc>
              <w:tc>
                <w:tcPr>
                  <w:tcW w:w="9181" w:type="dxa"/>
                  <w:shd w:val="clear" w:color="auto" w:fill="FFFFFF"/>
                  <w:hideMark/>
                </w:tcPr>
                <w:p w14:paraId="05F23E95" w14:textId="77777777" w:rsidR="006B4E4B" w:rsidRPr="00E356CE" w:rsidRDefault="006B4E4B" w:rsidP="006B4E4B">
                  <w:pPr>
                    <w:jc w:val="both"/>
                  </w:pPr>
                  <w:r w:rsidRPr="00E356CE">
                    <w:t>udostępniały stronom, na ich wniosek, informacje określone w lit. a) na trwałym nośniku;</w:t>
                  </w:r>
                </w:p>
              </w:tc>
            </w:tr>
          </w:tbl>
          <w:p w14:paraId="6F33A13A"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73E66CAE" w14:textId="77777777" w:rsidTr="006B4E4B">
              <w:tc>
                <w:tcPr>
                  <w:tcW w:w="210" w:type="dxa"/>
                  <w:shd w:val="clear" w:color="auto" w:fill="FFFFFF"/>
                  <w:hideMark/>
                </w:tcPr>
                <w:p w14:paraId="2ABD2967" w14:textId="77777777" w:rsidR="006B4E4B" w:rsidRPr="00E356CE" w:rsidRDefault="006B4E4B" w:rsidP="006B4E4B">
                  <w:pPr>
                    <w:jc w:val="both"/>
                  </w:pPr>
                  <w:r w:rsidRPr="00E356CE">
                    <w:t>c)</w:t>
                  </w:r>
                </w:p>
              </w:tc>
              <w:tc>
                <w:tcPr>
                  <w:tcW w:w="9196" w:type="dxa"/>
                  <w:shd w:val="clear" w:color="auto" w:fill="FFFFFF"/>
                  <w:hideMark/>
                </w:tcPr>
                <w:p w14:paraId="35EA2DA9" w14:textId="77777777" w:rsidR="006B4E4B" w:rsidRPr="00E356CE" w:rsidRDefault="006B4E4B" w:rsidP="006B4E4B">
                  <w:pPr>
                    <w:jc w:val="both"/>
                  </w:pPr>
                  <w:r w:rsidRPr="00E356CE">
                    <w:t>w stosownych przypadkach, umożliwiały konsumentom wnoszenie skarg w formie nieelektronicznej;</w:t>
                  </w:r>
                </w:p>
              </w:tc>
            </w:tr>
          </w:tbl>
          <w:p w14:paraId="69E44991"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9"/>
              <w:gridCol w:w="4460"/>
            </w:tblGrid>
            <w:tr w:rsidR="006B4E4B" w:rsidRPr="00E356CE" w14:paraId="1F1192BF" w14:textId="77777777" w:rsidTr="006B4E4B">
              <w:tc>
                <w:tcPr>
                  <w:tcW w:w="225" w:type="dxa"/>
                  <w:shd w:val="clear" w:color="auto" w:fill="FFFFFF"/>
                  <w:hideMark/>
                </w:tcPr>
                <w:p w14:paraId="75E73157" w14:textId="77777777" w:rsidR="006B4E4B" w:rsidRPr="00E356CE" w:rsidRDefault="006B4E4B" w:rsidP="006B4E4B">
                  <w:pPr>
                    <w:jc w:val="both"/>
                  </w:pPr>
                  <w:r w:rsidRPr="00E356CE">
                    <w:t>d)</w:t>
                  </w:r>
                </w:p>
              </w:tc>
              <w:tc>
                <w:tcPr>
                  <w:tcW w:w="9181" w:type="dxa"/>
                  <w:shd w:val="clear" w:color="auto" w:fill="FFFFFF"/>
                  <w:hideMark/>
                </w:tcPr>
                <w:p w14:paraId="415CC580" w14:textId="77777777" w:rsidR="006B4E4B" w:rsidRPr="00E356CE" w:rsidRDefault="006B4E4B" w:rsidP="006B4E4B">
                  <w:pPr>
                    <w:jc w:val="both"/>
                  </w:pPr>
                  <w:r w:rsidRPr="00E356CE">
                    <w:t>umożliwiały wymianę informacji między stronami za pomocą środków elektronicznych lub – w stosownych przypadkach – pocztą;</w:t>
                  </w:r>
                </w:p>
              </w:tc>
            </w:tr>
          </w:tbl>
          <w:p w14:paraId="00377BAA"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497A85A4" w14:textId="77777777" w:rsidTr="006B4E4B">
              <w:tc>
                <w:tcPr>
                  <w:tcW w:w="210" w:type="dxa"/>
                  <w:shd w:val="clear" w:color="auto" w:fill="FFFFFF"/>
                  <w:hideMark/>
                </w:tcPr>
                <w:p w14:paraId="6B8FC6CD" w14:textId="77777777" w:rsidR="006B4E4B" w:rsidRPr="00E356CE" w:rsidRDefault="006B4E4B" w:rsidP="006B4E4B">
                  <w:pPr>
                    <w:jc w:val="both"/>
                  </w:pPr>
                  <w:r w:rsidRPr="00E356CE">
                    <w:t>e)</w:t>
                  </w:r>
                </w:p>
              </w:tc>
              <w:tc>
                <w:tcPr>
                  <w:tcW w:w="9196" w:type="dxa"/>
                  <w:shd w:val="clear" w:color="auto" w:fill="FFFFFF"/>
                  <w:hideMark/>
                </w:tcPr>
                <w:p w14:paraId="05CAA076" w14:textId="77777777" w:rsidR="006B4E4B" w:rsidRPr="00E356CE" w:rsidRDefault="006B4E4B" w:rsidP="006B4E4B">
                  <w:pPr>
                    <w:ind w:firstLine="11"/>
                    <w:jc w:val="both"/>
                  </w:pPr>
                  <w:r w:rsidRPr="00E356CE">
                    <w:t xml:space="preserve">umożliwiały rozpatrzenie zarówno sporów krajowych, jak i transgranicznych, w tym </w:t>
                  </w:r>
                  <w:r w:rsidRPr="00E356CE">
                    <w:lastRenderedPageBreak/>
                    <w:t>sporów objętych rozporządzeniem (UE) nr 524/2013; oraz</w:t>
                  </w:r>
                </w:p>
              </w:tc>
            </w:tr>
          </w:tbl>
          <w:p w14:paraId="7C65B5F2"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98"/>
              <w:gridCol w:w="4481"/>
            </w:tblGrid>
            <w:tr w:rsidR="006B4E4B" w:rsidRPr="00E356CE" w14:paraId="427204A6" w14:textId="77777777" w:rsidTr="006B4E4B">
              <w:tc>
                <w:tcPr>
                  <w:tcW w:w="180" w:type="dxa"/>
                  <w:shd w:val="clear" w:color="auto" w:fill="FFFFFF"/>
                  <w:hideMark/>
                </w:tcPr>
                <w:p w14:paraId="65020F28" w14:textId="77777777" w:rsidR="006B4E4B" w:rsidRPr="00E356CE" w:rsidRDefault="006B4E4B" w:rsidP="006B4E4B">
                  <w:pPr>
                    <w:jc w:val="both"/>
                  </w:pPr>
                  <w:r w:rsidRPr="00E356CE">
                    <w:t>f)</w:t>
                  </w:r>
                </w:p>
              </w:tc>
              <w:tc>
                <w:tcPr>
                  <w:tcW w:w="9226" w:type="dxa"/>
                  <w:shd w:val="clear" w:color="auto" w:fill="FFFFFF"/>
                  <w:hideMark/>
                </w:tcPr>
                <w:p w14:paraId="1B0C5051" w14:textId="77777777" w:rsidR="006B4E4B" w:rsidRPr="00E356CE" w:rsidRDefault="006B4E4B" w:rsidP="006B4E4B">
                  <w:pPr>
                    <w:jc w:val="both"/>
                  </w:pPr>
                  <w:r w:rsidRPr="00E356CE">
                    <w:t>przy rozstrzyganiu sporów objętych niniejszą dyrektywą podejmowały środki niezbędne do tego, by przetwarzanie danych osobowych było zgodne z zasadami ochrony danych osobowych określonymi w przepisach krajowych w sprawie wdrożenia dyrektywy 95/46/WE w państwie członkowskim, w którym dany podmiot ADR ma siedzibę.</w:t>
                  </w:r>
                </w:p>
              </w:tc>
            </w:tr>
          </w:tbl>
          <w:p w14:paraId="2B292A40" w14:textId="77777777" w:rsidR="006B4E4B" w:rsidRPr="00E356CE" w:rsidRDefault="006B4E4B" w:rsidP="006B4E4B">
            <w:pPr>
              <w:jc w:val="both"/>
            </w:pPr>
            <w:r w:rsidRPr="00E356CE">
              <w:t>3.   Państwa członkowskie mogą wypełnić obowiązek nałożony w ust. 1 poprzez zapewnienie istnienia dodatkowego podmiotu ADR właściwego do rozstrzygania sporów określonych w tym ustępie, do których rozstrzygnięcia żaden istniejący podmiot ADR nie jest właściwy. Państwa członkowskie mogą również wypełnić ten obowiązek, korzystając z podmiotów ADR mających siedzibę w innym państwie członkowskim lub regionalnych, transgranicznych lub ogólnoeuropejskich podmiotów rozstrzygania sporów, w przypadku gdy przedsiębiorcy z różnych państw członkowskich są objęci zakresem działania tego samego podmiotu ADR, bez uszczerbku dla ich odpowiedzialności w zakresie zagwarantowania pełnego zasięgu i dostępu do podmiotów ADR.</w:t>
            </w:r>
          </w:p>
          <w:p w14:paraId="654699D6" w14:textId="77777777" w:rsidR="006B4E4B" w:rsidRPr="00E356CE" w:rsidRDefault="006B4E4B" w:rsidP="006B4E4B">
            <w:pPr>
              <w:jc w:val="both"/>
            </w:pPr>
            <w:r w:rsidRPr="00E356CE">
              <w:t xml:space="preserve">4.   Państwa członkowskie mogą według swego uznania zezwolić podmiotom ADR na utrzymanie w mocy lub wprowadzenie przepisów proceduralnych, które umożliwią im </w:t>
            </w:r>
            <w:r w:rsidRPr="00E356CE">
              <w:lastRenderedPageBreak/>
              <w:t>odmowę rozpatrzenia danego sporu ze względu na to, że:</w:t>
            </w: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64F81EB7" w14:textId="77777777" w:rsidTr="006B4E4B">
              <w:tc>
                <w:tcPr>
                  <w:tcW w:w="210" w:type="dxa"/>
                  <w:shd w:val="clear" w:color="auto" w:fill="FFFFFF"/>
                  <w:hideMark/>
                </w:tcPr>
                <w:p w14:paraId="6088969C" w14:textId="77777777" w:rsidR="006B4E4B" w:rsidRPr="00E356CE" w:rsidRDefault="006B4E4B" w:rsidP="006B4E4B">
                  <w:pPr>
                    <w:jc w:val="both"/>
                  </w:pPr>
                  <w:r w:rsidRPr="00E356CE">
                    <w:t>a)</w:t>
                  </w:r>
                </w:p>
              </w:tc>
              <w:tc>
                <w:tcPr>
                  <w:tcW w:w="9196" w:type="dxa"/>
                  <w:shd w:val="clear" w:color="auto" w:fill="FFFFFF"/>
                  <w:hideMark/>
                </w:tcPr>
                <w:p w14:paraId="7306BFC7" w14:textId="77777777" w:rsidR="006B4E4B" w:rsidRPr="00E356CE" w:rsidRDefault="006B4E4B" w:rsidP="006B4E4B">
                  <w:pPr>
                    <w:jc w:val="both"/>
                  </w:pPr>
                  <w:r w:rsidRPr="00E356CE">
                    <w:t>konsument nie podjął próby skontaktowania się z danym przedsiębiorcą, aby omówić swoją skargę i rozwiązać problem bezpośrednio z przedsiębiorcą;</w:t>
                  </w:r>
                </w:p>
              </w:tc>
            </w:tr>
          </w:tbl>
          <w:p w14:paraId="1DBF4233"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27"/>
              <w:gridCol w:w="4452"/>
            </w:tblGrid>
            <w:tr w:rsidR="006B4E4B" w:rsidRPr="00E356CE" w14:paraId="682AA468" w14:textId="77777777" w:rsidTr="006B4E4B">
              <w:tc>
                <w:tcPr>
                  <w:tcW w:w="241" w:type="dxa"/>
                  <w:shd w:val="clear" w:color="auto" w:fill="FFFFFF"/>
                  <w:hideMark/>
                </w:tcPr>
                <w:p w14:paraId="4D5B71B2" w14:textId="77777777" w:rsidR="006B4E4B" w:rsidRPr="00E356CE" w:rsidRDefault="006B4E4B" w:rsidP="006B4E4B">
                  <w:pPr>
                    <w:jc w:val="both"/>
                  </w:pPr>
                  <w:r w:rsidRPr="00E356CE">
                    <w:t>b)</w:t>
                  </w:r>
                </w:p>
              </w:tc>
              <w:tc>
                <w:tcPr>
                  <w:tcW w:w="9165" w:type="dxa"/>
                  <w:shd w:val="clear" w:color="auto" w:fill="FFFFFF"/>
                  <w:hideMark/>
                </w:tcPr>
                <w:p w14:paraId="4825AB55" w14:textId="77777777" w:rsidR="006B4E4B" w:rsidRPr="00E356CE" w:rsidRDefault="006B4E4B" w:rsidP="006B4E4B">
                  <w:pPr>
                    <w:jc w:val="both"/>
                  </w:pPr>
                  <w:r w:rsidRPr="00E356CE">
                    <w:t>spór jest błahy lub skarga służy spowodowaniu uciążliwości dla drugiej strony;</w:t>
                  </w:r>
                </w:p>
              </w:tc>
            </w:tr>
          </w:tbl>
          <w:p w14:paraId="46F22364"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6"/>
              <w:gridCol w:w="4463"/>
            </w:tblGrid>
            <w:tr w:rsidR="006B4E4B" w:rsidRPr="00E356CE" w14:paraId="322D5BAE" w14:textId="77777777" w:rsidTr="006B4E4B">
              <w:tc>
                <w:tcPr>
                  <w:tcW w:w="219" w:type="dxa"/>
                  <w:shd w:val="clear" w:color="auto" w:fill="FFFFFF"/>
                  <w:hideMark/>
                </w:tcPr>
                <w:p w14:paraId="52448599" w14:textId="77777777" w:rsidR="006B4E4B" w:rsidRPr="00E356CE" w:rsidRDefault="006B4E4B" w:rsidP="006B4E4B">
                  <w:pPr>
                    <w:jc w:val="both"/>
                  </w:pPr>
                  <w:r w:rsidRPr="00E356CE">
                    <w:t>c)</w:t>
                  </w:r>
                </w:p>
              </w:tc>
              <w:tc>
                <w:tcPr>
                  <w:tcW w:w="9187" w:type="dxa"/>
                  <w:shd w:val="clear" w:color="auto" w:fill="FFFFFF"/>
                  <w:hideMark/>
                </w:tcPr>
                <w:p w14:paraId="29C6295B" w14:textId="77777777" w:rsidR="006B4E4B" w:rsidRPr="00E356CE" w:rsidRDefault="006B4E4B" w:rsidP="006B4E4B">
                  <w:pPr>
                    <w:jc w:val="both"/>
                  </w:pPr>
                  <w:r w:rsidRPr="00E356CE">
                    <w:t>spór jest lub był uprzednio rozpatrywany przez inny podmiot ADR lub przez sąd;</w:t>
                  </w:r>
                </w:p>
              </w:tc>
            </w:tr>
          </w:tbl>
          <w:p w14:paraId="1122F0F7"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9"/>
              <w:gridCol w:w="4460"/>
            </w:tblGrid>
            <w:tr w:rsidR="006B4E4B" w:rsidRPr="00E356CE" w14:paraId="735EF1D8" w14:textId="77777777" w:rsidTr="006B4E4B">
              <w:tc>
                <w:tcPr>
                  <w:tcW w:w="225" w:type="dxa"/>
                  <w:shd w:val="clear" w:color="auto" w:fill="FFFFFF"/>
                  <w:hideMark/>
                </w:tcPr>
                <w:p w14:paraId="0482E38A" w14:textId="77777777" w:rsidR="006B4E4B" w:rsidRPr="00E356CE" w:rsidRDefault="006B4E4B" w:rsidP="006B4E4B">
                  <w:pPr>
                    <w:jc w:val="both"/>
                  </w:pPr>
                  <w:r w:rsidRPr="00E356CE">
                    <w:t>d)</w:t>
                  </w:r>
                </w:p>
              </w:tc>
              <w:tc>
                <w:tcPr>
                  <w:tcW w:w="9181" w:type="dxa"/>
                  <w:shd w:val="clear" w:color="auto" w:fill="FFFFFF"/>
                  <w:hideMark/>
                </w:tcPr>
                <w:p w14:paraId="2C5FD444" w14:textId="77777777" w:rsidR="006B4E4B" w:rsidRPr="00E356CE" w:rsidRDefault="006B4E4B" w:rsidP="006B4E4B">
                  <w:pPr>
                    <w:jc w:val="both"/>
                  </w:pPr>
                  <w:r w:rsidRPr="00E356CE">
                    <w:t>wartość przedmiotu sporu jest wyższa lub niższa od pewnego ustalonego z góry progu finansowego;</w:t>
                  </w:r>
                </w:p>
              </w:tc>
            </w:tr>
          </w:tbl>
          <w:p w14:paraId="1C70CDB4"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324D4EBF" w14:textId="77777777" w:rsidTr="006B4E4B">
              <w:tc>
                <w:tcPr>
                  <w:tcW w:w="210" w:type="dxa"/>
                  <w:shd w:val="clear" w:color="auto" w:fill="FFFFFF"/>
                  <w:hideMark/>
                </w:tcPr>
                <w:p w14:paraId="2E902AF6" w14:textId="77777777" w:rsidR="006B4E4B" w:rsidRPr="00E356CE" w:rsidRDefault="006B4E4B" w:rsidP="006B4E4B">
                  <w:pPr>
                    <w:jc w:val="both"/>
                  </w:pPr>
                  <w:r w:rsidRPr="00E356CE">
                    <w:t>e)</w:t>
                  </w:r>
                </w:p>
              </w:tc>
              <w:tc>
                <w:tcPr>
                  <w:tcW w:w="9196" w:type="dxa"/>
                  <w:shd w:val="clear" w:color="auto" w:fill="FFFFFF"/>
                  <w:hideMark/>
                </w:tcPr>
                <w:p w14:paraId="6BCCFE86" w14:textId="77777777" w:rsidR="006B4E4B" w:rsidRPr="00E356CE" w:rsidRDefault="006B4E4B" w:rsidP="006B4E4B">
                  <w:pPr>
                    <w:jc w:val="both"/>
                  </w:pPr>
                  <w:r w:rsidRPr="00E356CE">
                    <w:t>konsument nie poddał sporu pod rozpatrzenie podmiotu ADR w ustalonym z góry terminie, który nie może być krótszy niż jeden rok od daty złożenia przedsiębiorcy skargi;</w:t>
                  </w:r>
                </w:p>
              </w:tc>
            </w:tr>
          </w:tbl>
          <w:p w14:paraId="5AD2B6CC"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98"/>
              <w:gridCol w:w="4481"/>
            </w:tblGrid>
            <w:tr w:rsidR="006B4E4B" w:rsidRPr="00E356CE" w14:paraId="1FD075A2" w14:textId="77777777" w:rsidTr="006B4E4B">
              <w:tc>
                <w:tcPr>
                  <w:tcW w:w="180" w:type="dxa"/>
                  <w:shd w:val="clear" w:color="auto" w:fill="FFFFFF"/>
                  <w:hideMark/>
                </w:tcPr>
                <w:p w14:paraId="60BB9FE7" w14:textId="77777777" w:rsidR="006B4E4B" w:rsidRPr="00E356CE" w:rsidRDefault="006B4E4B" w:rsidP="006B4E4B">
                  <w:pPr>
                    <w:jc w:val="both"/>
                  </w:pPr>
                  <w:r w:rsidRPr="00E356CE">
                    <w:t>f)</w:t>
                  </w:r>
                </w:p>
              </w:tc>
              <w:tc>
                <w:tcPr>
                  <w:tcW w:w="9226" w:type="dxa"/>
                  <w:shd w:val="clear" w:color="auto" w:fill="FFFFFF"/>
                  <w:hideMark/>
                </w:tcPr>
                <w:p w14:paraId="18F23B0F" w14:textId="77777777" w:rsidR="006B4E4B" w:rsidRPr="00E356CE" w:rsidRDefault="006B4E4B" w:rsidP="006B4E4B">
                  <w:pPr>
                    <w:jc w:val="both"/>
                  </w:pPr>
                  <w:r w:rsidRPr="00E356CE">
                    <w:t>rozpatrzenie tego typu sporu spowodowałoby poważne zakłócenie skutecznego działania podmiotu ADR.</w:t>
                  </w:r>
                </w:p>
              </w:tc>
            </w:tr>
          </w:tbl>
          <w:p w14:paraId="1B3D90C2" w14:textId="77777777" w:rsidR="006B4E4B" w:rsidRPr="00E356CE" w:rsidRDefault="006B4E4B" w:rsidP="006B4E4B">
            <w:pPr>
              <w:jc w:val="both"/>
            </w:pPr>
            <w:r w:rsidRPr="00E356CE">
              <w:t>W przypadku gdy zgodnie ze swoimi przepisami proceduralnymi podmiot ADR nie jest w stanie rozpatrzyć skargi, która został mu przedłożona, podmiot ten w terminie trzech tygodni od otrzymania skargi przedstawia obu stronom uzasadnienie przyczyn niemożności rozpatrzenia danego sporu.</w:t>
            </w:r>
          </w:p>
          <w:p w14:paraId="23E73234" w14:textId="77777777" w:rsidR="006B4E4B" w:rsidRPr="00E356CE" w:rsidRDefault="006B4E4B" w:rsidP="006B4E4B">
            <w:pPr>
              <w:jc w:val="both"/>
            </w:pPr>
            <w:r w:rsidRPr="00E356CE">
              <w:t>Takie przepisy proceduralne nie mogą znacząco utrudniać konsumentom dostępu do postępowań ADR, w tym w przypadku sporów transgranicznych.</w:t>
            </w:r>
          </w:p>
          <w:p w14:paraId="777DB28E" w14:textId="77777777" w:rsidR="006B4E4B" w:rsidRPr="00E356CE" w:rsidRDefault="006B4E4B" w:rsidP="006B4E4B">
            <w:pPr>
              <w:jc w:val="both"/>
            </w:pPr>
            <w:r w:rsidRPr="00E356CE">
              <w:lastRenderedPageBreak/>
              <w:t>5.   Państwa członkowskie zapewniają, by w przypadku gdy podmioty ADR mają możliwość ustalania z góry progów finansowych ograniczających dostęp do postępowań ADR, progi te nie były ustalane na poziomie, który w znaczący sposób ograniczyłby konsumentom dostęp do rozpatrywania skarg przez podmioty ADR.</w:t>
            </w:r>
          </w:p>
          <w:p w14:paraId="2C37DE3C" w14:textId="77777777" w:rsidR="006B4E4B" w:rsidRPr="00E356CE" w:rsidRDefault="006B4E4B" w:rsidP="006B4E4B">
            <w:pPr>
              <w:jc w:val="both"/>
            </w:pPr>
            <w:r w:rsidRPr="00E356CE">
              <w:t>6.   W przypadkach, w których zgodnie z przepisami proceduralnymi, o których mowa w ust. 4, podmiot ADR nie jest w stanie rozpatrzyć skargi, która została mu przedłożona, od państwa członkowskiego nie wymaga się zagwarantowania konsumentowi możliwości złożenia skargi do innego podmiotu ADR.</w:t>
            </w:r>
          </w:p>
          <w:p w14:paraId="765565F5" w14:textId="77777777" w:rsidR="006B4E4B" w:rsidRPr="00E356CE" w:rsidRDefault="006B4E4B" w:rsidP="006B4E4B">
            <w:pPr>
              <w:jc w:val="both"/>
            </w:pPr>
            <w:r w:rsidRPr="00E356CE">
              <w:t>7.   W przypadkach, w których podmiot ADR zajmujący się sporami w konkretnym sektorze gospodarki jest właściwy do rozpatrywania sporów dotyczących prowadzącego działalność w tym sektorze przedsiębiorcy, który nie jest członkiem organizacji lub zrzeszenia prowadzącego lub finansującego podmiot ADR, uznaje się, że państwo członkowskie wypełniło swój obowiązek wynikający z ust. 1 również w odniesieniu do sporów odnoszących się do tego przedsiębiorcy.</w:t>
            </w:r>
          </w:p>
          <w:p w14:paraId="453550C1" w14:textId="77777777" w:rsidR="006B4E4B" w:rsidRPr="00E356CE" w:rsidRDefault="006B4E4B" w:rsidP="006B4E4B">
            <w:pPr>
              <w:jc w:val="both"/>
              <w:rPr>
                <w:i/>
                <w:iCs/>
              </w:rPr>
            </w:pPr>
            <w:r w:rsidRPr="00E356CE">
              <w:rPr>
                <w:i/>
                <w:iCs/>
              </w:rPr>
              <w:t>Artykuł 6</w:t>
            </w:r>
          </w:p>
          <w:p w14:paraId="2967D38E" w14:textId="77777777" w:rsidR="006B4E4B" w:rsidRPr="00E356CE" w:rsidRDefault="006B4E4B" w:rsidP="006B4E4B">
            <w:pPr>
              <w:jc w:val="both"/>
              <w:rPr>
                <w:bCs/>
              </w:rPr>
            </w:pPr>
            <w:r w:rsidRPr="00E356CE">
              <w:rPr>
                <w:bCs/>
              </w:rPr>
              <w:t>Wiedza fachowa, niezależność i bezstronność</w:t>
            </w:r>
          </w:p>
          <w:p w14:paraId="0F2BC774" w14:textId="77777777" w:rsidR="006B4E4B" w:rsidRPr="00E356CE" w:rsidRDefault="006B4E4B" w:rsidP="006B4E4B">
            <w:pPr>
              <w:jc w:val="both"/>
            </w:pPr>
            <w:r w:rsidRPr="00E356CE">
              <w:t xml:space="preserve">1.   Państwa członkowskie zapewniają, by osoby fizyczne odpowiedzialne za ADR posiadały niezbędną wiedzę fachową i były niezależne </w:t>
            </w:r>
            <w:r w:rsidRPr="00E356CE">
              <w:lastRenderedPageBreak/>
              <w:t>oraz bezstronne. Zapewnia się to poprzez dopilnowanie, by takie osoby:</w:t>
            </w: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79943B17" w14:textId="77777777" w:rsidTr="006B4E4B">
              <w:tc>
                <w:tcPr>
                  <w:tcW w:w="210" w:type="dxa"/>
                  <w:shd w:val="clear" w:color="auto" w:fill="FFFFFF"/>
                  <w:hideMark/>
                </w:tcPr>
                <w:p w14:paraId="1D8F70F4" w14:textId="77777777" w:rsidR="006B4E4B" w:rsidRPr="00E356CE" w:rsidRDefault="006B4E4B" w:rsidP="006B4E4B">
                  <w:pPr>
                    <w:jc w:val="both"/>
                  </w:pPr>
                  <w:r w:rsidRPr="00E356CE">
                    <w:t>a)</w:t>
                  </w:r>
                </w:p>
              </w:tc>
              <w:tc>
                <w:tcPr>
                  <w:tcW w:w="9196" w:type="dxa"/>
                  <w:shd w:val="clear" w:color="auto" w:fill="FFFFFF"/>
                  <w:hideMark/>
                </w:tcPr>
                <w:p w14:paraId="22ED02E1" w14:textId="77777777" w:rsidR="006B4E4B" w:rsidRPr="00E356CE" w:rsidRDefault="006B4E4B" w:rsidP="006B4E4B">
                  <w:pPr>
                    <w:jc w:val="both"/>
                  </w:pPr>
                  <w:r w:rsidRPr="00E356CE">
                    <w:t>miały konieczną wiedzę i umiejętności w dziedzinie alternatywnego lub sądowego rozstrzygania sporów konsumenckich, jak również ogólną znajomość prawa;</w:t>
                  </w:r>
                </w:p>
              </w:tc>
            </w:tr>
          </w:tbl>
          <w:p w14:paraId="46ABDAE4"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9"/>
              <w:gridCol w:w="4460"/>
            </w:tblGrid>
            <w:tr w:rsidR="006B4E4B" w:rsidRPr="00E356CE" w14:paraId="53A24D21" w14:textId="77777777" w:rsidTr="006B4E4B">
              <w:tc>
                <w:tcPr>
                  <w:tcW w:w="225" w:type="dxa"/>
                  <w:shd w:val="clear" w:color="auto" w:fill="FFFFFF"/>
                  <w:hideMark/>
                </w:tcPr>
                <w:p w14:paraId="49F92848" w14:textId="77777777" w:rsidR="006B4E4B" w:rsidRPr="00E356CE" w:rsidRDefault="006B4E4B" w:rsidP="006B4E4B">
                  <w:pPr>
                    <w:jc w:val="both"/>
                  </w:pPr>
                  <w:r w:rsidRPr="00E356CE">
                    <w:t>b)</w:t>
                  </w:r>
                </w:p>
              </w:tc>
              <w:tc>
                <w:tcPr>
                  <w:tcW w:w="9181" w:type="dxa"/>
                  <w:shd w:val="clear" w:color="auto" w:fill="FFFFFF"/>
                  <w:hideMark/>
                </w:tcPr>
                <w:p w14:paraId="768B289F" w14:textId="77777777" w:rsidR="006B4E4B" w:rsidRPr="00E356CE" w:rsidRDefault="006B4E4B" w:rsidP="006B4E4B">
                  <w:pPr>
                    <w:jc w:val="both"/>
                  </w:pPr>
                  <w:r w:rsidRPr="00E356CE">
                    <w:t>były powoływane na wystarczający czas gwarantujący niezależność ich działania i nie mogły zostać zwolnione z ich obowiązków bez wyraźnej przyczyny;</w:t>
                  </w:r>
                </w:p>
              </w:tc>
            </w:tr>
          </w:tbl>
          <w:p w14:paraId="1475BE16"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4027817E" w14:textId="77777777" w:rsidTr="006B4E4B">
              <w:tc>
                <w:tcPr>
                  <w:tcW w:w="210" w:type="dxa"/>
                  <w:shd w:val="clear" w:color="auto" w:fill="FFFFFF"/>
                  <w:hideMark/>
                </w:tcPr>
                <w:p w14:paraId="040A1655" w14:textId="77777777" w:rsidR="006B4E4B" w:rsidRPr="00E356CE" w:rsidRDefault="006B4E4B" w:rsidP="006B4E4B">
                  <w:pPr>
                    <w:jc w:val="both"/>
                  </w:pPr>
                  <w:r w:rsidRPr="00E356CE">
                    <w:t>c)</w:t>
                  </w:r>
                </w:p>
              </w:tc>
              <w:tc>
                <w:tcPr>
                  <w:tcW w:w="9196" w:type="dxa"/>
                  <w:shd w:val="clear" w:color="auto" w:fill="FFFFFF"/>
                  <w:hideMark/>
                </w:tcPr>
                <w:p w14:paraId="1207612C" w14:textId="77777777" w:rsidR="006B4E4B" w:rsidRPr="00E356CE" w:rsidRDefault="006B4E4B" w:rsidP="006B4E4B">
                  <w:pPr>
                    <w:jc w:val="both"/>
                  </w:pPr>
                  <w:r w:rsidRPr="00E356CE">
                    <w:t>nie otrzymywały żadnych wytycznych od którejkolwiek ze stron lub od ich przedstawicieli;</w:t>
                  </w:r>
                </w:p>
              </w:tc>
            </w:tr>
          </w:tbl>
          <w:p w14:paraId="469F9491"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28"/>
              <w:gridCol w:w="4451"/>
            </w:tblGrid>
            <w:tr w:rsidR="006B4E4B" w:rsidRPr="00E356CE" w14:paraId="59D3F3CA" w14:textId="77777777" w:rsidTr="006B4E4B">
              <w:tc>
                <w:tcPr>
                  <w:tcW w:w="242" w:type="dxa"/>
                  <w:shd w:val="clear" w:color="auto" w:fill="FFFFFF"/>
                  <w:hideMark/>
                </w:tcPr>
                <w:p w14:paraId="731357B0" w14:textId="77777777" w:rsidR="006B4E4B" w:rsidRPr="00E356CE" w:rsidRDefault="006B4E4B" w:rsidP="006B4E4B">
                  <w:pPr>
                    <w:jc w:val="both"/>
                  </w:pPr>
                  <w:r w:rsidRPr="00E356CE">
                    <w:t>d)</w:t>
                  </w:r>
                </w:p>
              </w:tc>
              <w:tc>
                <w:tcPr>
                  <w:tcW w:w="9164" w:type="dxa"/>
                  <w:shd w:val="clear" w:color="auto" w:fill="FFFFFF"/>
                  <w:hideMark/>
                </w:tcPr>
                <w:p w14:paraId="4817F30C" w14:textId="77777777" w:rsidR="006B4E4B" w:rsidRPr="00E356CE" w:rsidRDefault="006B4E4B" w:rsidP="006B4E4B">
                  <w:pPr>
                    <w:jc w:val="both"/>
                  </w:pPr>
                  <w:r w:rsidRPr="00E356CE">
                    <w:t>otrzymywały wynagrodzenie niepowiązane z wynikiem danego postępowania;</w:t>
                  </w:r>
                </w:p>
              </w:tc>
            </w:tr>
          </w:tbl>
          <w:p w14:paraId="333C83D2"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09F282CF" w14:textId="77777777" w:rsidTr="006B4E4B">
              <w:tc>
                <w:tcPr>
                  <w:tcW w:w="210" w:type="dxa"/>
                  <w:shd w:val="clear" w:color="auto" w:fill="FFFFFF"/>
                  <w:hideMark/>
                </w:tcPr>
                <w:p w14:paraId="3399D74C" w14:textId="77777777" w:rsidR="006B4E4B" w:rsidRPr="00E356CE" w:rsidRDefault="006B4E4B" w:rsidP="006B4E4B">
                  <w:pPr>
                    <w:jc w:val="both"/>
                  </w:pPr>
                  <w:r w:rsidRPr="00E356CE">
                    <w:t>e)</w:t>
                  </w:r>
                </w:p>
              </w:tc>
              <w:tc>
                <w:tcPr>
                  <w:tcW w:w="9196" w:type="dxa"/>
                  <w:shd w:val="clear" w:color="auto" w:fill="FFFFFF"/>
                  <w:hideMark/>
                </w:tcPr>
                <w:p w14:paraId="2FE54771" w14:textId="77777777" w:rsidR="006B4E4B" w:rsidRPr="00E356CE" w:rsidRDefault="006B4E4B" w:rsidP="006B4E4B">
                  <w:pPr>
                    <w:jc w:val="both"/>
                  </w:pPr>
                  <w:r w:rsidRPr="00E356CE">
                    <w:t>bez zbędnej zwłoki ujawniły podmiotowi ADR wszelkie okoliczności, które mogą wpłynąć lub być postrzegane jako wpływające na ich niezależność lub bezstronność lub powodować konflikt interesów z jedną ze stron sporu, o którego rozstrzygnięcie są proszone. Obowiązek ujawniania takich okoliczności obowiązuje przez cały czas trwania procedury ADR. Nie ma on zastosowania w przypadku, gdy podmiotem ADR jest pojedyncza osoba fizyczna.</w:t>
                  </w:r>
                </w:p>
              </w:tc>
            </w:tr>
          </w:tbl>
          <w:p w14:paraId="379100FD" w14:textId="77777777" w:rsidR="006B4E4B" w:rsidRPr="00E356CE" w:rsidRDefault="006B4E4B" w:rsidP="006B4E4B">
            <w:pPr>
              <w:jc w:val="both"/>
            </w:pPr>
            <w:r w:rsidRPr="00E356CE">
              <w:t>2.   Państwa członkowskie zapewniają, by podmioty ADR miały procedury zapewniające, by w przypadku zaistnienia okoliczności, o których mowa w ust. 1 lit. e):</w:t>
            </w: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401FF7B5" w14:textId="77777777" w:rsidTr="006B4E4B">
              <w:tc>
                <w:tcPr>
                  <w:tcW w:w="210" w:type="dxa"/>
                  <w:shd w:val="clear" w:color="auto" w:fill="FFFFFF"/>
                  <w:hideMark/>
                </w:tcPr>
                <w:p w14:paraId="50DFAFD1" w14:textId="77777777" w:rsidR="006B4E4B" w:rsidRPr="00E356CE" w:rsidRDefault="006B4E4B" w:rsidP="006B4E4B">
                  <w:pPr>
                    <w:jc w:val="both"/>
                  </w:pPr>
                  <w:r w:rsidRPr="00E356CE">
                    <w:t>a)</w:t>
                  </w:r>
                </w:p>
              </w:tc>
              <w:tc>
                <w:tcPr>
                  <w:tcW w:w="9196" w:type="dxa"/>
                  <w:shd w:val="clear" w:color="auto" w:fill="FFFFFF"/>
                  <w:hideMark/>
                </w:tcPr>
                <w:p w14:paraId="3068D0D3" w14:textId="77777777" w:rsidR="006B4E4B" w:rsidRPr="00E356CE" w:rsidRDefault="006B4E4B" w:rsidP="006B4E4B">
                  <w:pPr>
                    <w:jc w:val="both"/>
                  </w:pPr>
                  <w:r w:rsidRPr="00E356CE">
                    <w:t xml:space="preserve">dana osoba fizyczna została zastąpiona inną osobą fizyczną, której zostanie powierzone </w:t>
                  </w:r>
                  <w:r w:rsidRPr="00E356CE">
                    <w:lastRenderedPageBreak/>
                    <w:t>prowadzenie postępowania ADR; lub – w przypadku braku takiej możliwości –</w:t>
                  </w:r>
                </w:p>
              </w:tc>
            </w:tr>
          </w:tbl>
          <w:p w14:paraId="256EB86B"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9"/>
              <w:gridCol w:w="4460"/>
            </w:tblGrid>
            <w:tr w:rsidR="006B4E4B" w:rsidRPr="00E356CE" w14:paraId="2FE97CE9" w14:textId="77777777" w:rsidTr="006B4E4B">
              <w:tc>
                <w:tcPr>
                  <w:tcW w:w="225" w:type="dxa"/>
                  <w:shd w:val="clear" w:color="auto" w:fill="FFFFFF"/>
                  <w:hideMark/>
                </w:tcPr>
                <w:p w14:paraId="23A5964C" w14:textId="77777777" w:rsidR="006B4E4B" w:rsidRPr="00E356CE" w:rsidRDefault="006B4E4B" w:rsidP="006B4E4B">
                  <w:pPr>
                    <w:jc w:val="both"/>
                  </w:pPr>
                  <w:r w:rsidRPr="00E356CE">
                    <w:t>b)</w:t>
                  </w:r>
                </w:p>
              </w:tc>
              <w:tc>
                <w:tcPr>
                  <w:tcW w:w="9181" w:type="dxa"/>
                  <w:shd w:val="clear" w:color="auto" w:fill="FFFFFF"/>
                  <w:hideMark/>
                </w:tcPr>
                <w:p w14:paraId="2283A8A5" w14:textId="77777777" w:rsidR="006B4E4B" w:rsidRPr="00E356CE" w:rsidRDefault="006B4E4B" w:rsidP="006B4E4B">
                  <w:pPr>
                    <w:jc w:val="both"/>
                  </w:pPr>
                  <w:r w:rsidRPr="00E356CE">
                    <w:t>dana osoba fizyczna powstrzymała się od prowadzenia danego postępowania ADR, a podmiot ADR – tam, gdzie jest to możliwe – zaproponował stronom przekazanie sporu innemu podmiotowi ADR właściwemu do rozpatrzenia tego sporu; lub – w przypadku braku takiej możliwości –</w:t>
                  </w:r>
                </w:p>
              </w:tc>
            </w:tr>
          </w:tbl>
          <w:p w14:paraId="2B69CE9D"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2DDF58F4" w14:textId="77777777" w:rsidTr="006B4E4B">
              <w:tc>
                <w:tcPr>
                  <w:tcW w:w="210" w:type="dxa"/>
                  <w:shd w:val="clear" w:color="auto" w:fill="FFFFFF"/>
                  <w:hideMark/>
                </w:tcPr>
                <w:p w14:paraId="152819F4" w14:textId="77777777" w:rsidR="006B4E4B" w:rsidRPr="00E356CE" w:rsidRDefault="006B4E4B" w:rsidP="006B4E4B">
                  <w:pPr>
                    <w:jc w:val="both"/>
                  </w:pPr>
                  <w:r w:rsidRPr="00E356CE">
                    <w:t>c)</w:t>
                  </w:r>
                </w:p>
              </w:tc>
              <w:tc>
                <w:tcPr>
                  <w:tcW w:w="9196" w:type="dxa"/>
                  <w:shd w:val="clear" w:color="auto" w:fill="FFFFFF"/>
                  <w:hideMark/>
                </w:tcPr>
                <w:p w14:paraId="3E7872F8" w14:textId="77777777" w:rsidR="006B4E4B" w:rsidRPr="00E356CE" w:rsidRDefault="006B4E4B" w:rsidP="006B4E4B">
                  <w:pPr>
                    <w:jc w:val="both"/>
                  </w:pPr>
                  <w:r w:rsidRPr="00E356CE">
                    <w:t>okoliczności zostały ujawnione stronom, a dana osoba fizyczna została dopuszczona do dalszego prowadzenia danego postępowania ADR tylko wtedy, gdy strony nie wyraziły sprzeciwu po otrzymaniu informacji o zachodzących okolicznościach i o swoim prawie do sprzeciwu.</w:t>
                  </w:r>
                </w:p>
              </w:tc>
            </w:tr>
          </w:tbl>
          <w:p w14:paraId="6C645FB4" w14:textId="77777777" w:rsidR="006B4E4B" w:rsidRPr="00E356CE" w:rsidRDefault="006B4E4B" w:rsidP="006B4E4B">
            <w:pPr>
              <w:jc w:val="both"/>
            </w:pPr>
            <w:r w:rsidRPr="00E356CE">
              <w:t>Niniejszy ustęp pozostaje bez uszczerbku dla art. 9 ust. 2 lit. a).</w:t>
            </w:r>
          </w:p>
          <w:p w14:paraId="61B87F24" w14:textId="77777777" w:rsidR="006B4E4B" w:rsidRPr="00E356CE" w:rsidRDefault="006B4E4B" w:rsidP="006B4E4B">
            <w:pPr>
              <w:jc w:val="both"/>
            </w:pPr>
            <w:r w:rsidRPr="00E356CE">
              <w:t>W przypadku gdy podmiotem ADR jest pojedyncza osoba fizyczna, stosuje się wyłącznie lit. b) i c) akapitu pierwszego niniejszego ustępu.</w:t>
            </w:r>
          </w:p>
          <w:p w14:paraId="7DF26091" w14:textId="77777777" w:rsidR="006B4E4B" w:rsidRPr="00E356CE" w:rsidRDefault="006B4E4B" w:rsidP="006B4E4B">
            <w:pPr>
              <w:jc w:val="both"/>
            </w:pPr>
            <w:r w:rsidRPr="00E356CE">
              <w:t>3.   Jeżeli państwa członkowskie zezwolą na uznanie postępowań, o których mowa w art. 2 ust. 2 lit. a), za postępowania ADR w rozumieniu niniejszej dyrektywy, zapewniają one, by oprócz ogólnych wymogów zawartych w ust. 1 i 5 postępowania te spełniały następujące wymogi szczegółowe:</w:t>
            </w: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25BC198B" w14:textId="77777777" w:rsidTr="006B4E4B">
              <w:tc>
                <w:tcPr>
                  <w:tcW w:w="210" w:type="dxa"/>
                  <w:shd w:val="clear" w:color="auto" w:fill="FFFFFF"/>
                  <w:hideMark/>
                </w:tcPr>
                <w:p w14:paraId="566F885F" w14:textId="77777777" w:rsidR="006B4E4B" w:rsidRPr="00E356CE" w:rsidRDefault="006B4E4B" w:rsidP="006B4E4B">
                  <w:pPr>
                    <w:jc w:val="both"/>
                  </w:pPr>
                  <w:r w:rsidRPr="00E356CE">
                    <w:t>a)</w:t>
                  </w:r>
                </w:p>
              </w:tc>
              <w:tc>
                <w:tcPr>
                  <w:tcW w:w="9196" w:type="dxa"/>
                  <w:shd w:val="clear" w:color="auto" w:fill="FFFFFF"/>
                  <w:hideMark/>
                </w:tcPr>
                <w:p w14:paraId="0FCF7B5B" w14:textId="77777777" w:rsidR="006B4E4B" w:rsidRPr="00E356CE" w:rsidRDefault="006B4E4B" w:rsidP="006B4E4B">
                  <w:pPr>
                    <w:jc w:val="both"/>
                  </w:pPr>
                  <w:r w:rsidRPr="00E356CE">
                    <w:t xml:space="preserve">osoby fizyczne odpowiedzialne za rozstrzyganie sporów są mianowane przez ciało kolegialne złożone z równej liczby </w:t>
                  </w:r>
                  <w:r w:rsidRPr="00E356CE">
                    <w:lastRenderedPageBreak/>
                    <w:t>przedstawicieli organizacji konsumentów i przedstawicieli przedsiębiorcy lub są członkami tego ciała kolegialnego; mianowanie następuje po przeprowadzeniu przejrzystego postępowania;</w:t>
                  </w:r>
                </w:p>
              </w:tc>
            </w:tr>
          </w:tbl>
          <w:p w14:paraId="3C2CA7E9"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9"/>
              <w:gridCol w:w="4460"/>
            </w:tblGrid>
            <w:tr w:rsidR="006B4E4B" w:rsidRPr="00E356CE" w14:paraId="4C6F9211" w14:textId="77777777" w:rsidTr="006B4E4B">
              <w:tc>
                <w:tcPr>
                  <w:tcW w:w="225" w:type="dxa"/>
                  <w:shd w:val="clear" w:color="auto" w:fill="FFFFFF"/>
                  <w:hideMark/>
                </w:tcPr>
                <w:p w14:paraId="18327B40" w14:textId="77777777" w:rsidR="006B4E4B" w:rsidRPr="00E356CE" w:rsidRDefault="006B4E4B" w:rsidP="006B4E4B">
                  <w:pPr>
                    <w:jc w:val="both"/>
                  </w:pPr>
                  <w:r w:rsidRPr="00E356CE">
                    <w:t>b)</w:t>
                  </w:r>
                </w:p>
              </w:tc>
              <w:tc>
                <w:tcPr>
                  <w:tcW w:w="9181" w:type="dxa"/>
                  <w:shd w:val="clear" w:color="auto" w:fill="FFFFFF"/>
                  <w:hideMark/>
                </w:tcPr>
                <w:p w14:paraId="63AF056A" w14:textId="77777777" w:rsidR="006B4E4B" w:rsidRPr="00E356CE" w:rsidRDefault="006B4E4B" w:rsidP="006B4E4B">
                  <w:pPr>
                    <w:jc w:val="both"/>
                  </w:pPr>
                  <w:r w:rsidRPr="00E356CE">
                    <w:t>okres kadencji osób fizycznych odpowiedzialnych za rozstrzyganie sporów wynosi co najmniej trzy lata, by zagwarantować niezawisłość ich działań;</w:t>
                  </w:r>
                </w:p>
              </w:tc>
            </w:tr>
          </w:tbl>
          <w:p w14:paraId="6F4378DB"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2"/>
              <w:gridCol w:w="4467"/>
            </w:tblGrid>
            <w:tr w:rsidR="006B4E4B" w:rsidRPr="00E356CE" w14:paraId="3A7A839B" w14:textId="77777777" w:rsidTr="006B4E4B">
              <w:tc>
                <w:tcPr>
                  <w:tcW w:w="210" w:type="dxa"/>
                  <w:shd w:val="clear" w:color="auto" w:fill="FFFFFF"/>
                  <w:hideMark/>
                </w:tcPr>
                <w:p w14:paraId="0A804BDE" w14:textId="77777777" w:rsidR="006B4E4B" w:rsidRPr="00E356CE" w:rsidRDefault="006B4E4B" w:rsidP="006B4E4B">
                  <w:pPr>
                    <w:jc w:val="both"/>
                  </w:pPr>
                  <w:r w:rsidRPr="00E356CE">
                    <w:t>c)</w:t>
                  </w:r>
                </w:p>
              </w:tc>
              <w:tc>
                <w:tcPr>
                  <w:tcW w:w="9196" w:type="dxa"/>
                  <w:shd w:val="clear" w:color="auto" w:fill="FFFFFF"/>
                  <w:hideMark/>
                </w:tcPr>
                <w:p w14:paraId="76EB431C" w14:textId="77777777" w:rsidR="006B4E4B" w:rsidRPr="00E356CE" w:rsidRDefault="006B4E4B" w:rsidP="006B4E4B">
                  <w:pPr>
                    <w:jc w:val="both"/>
                  </w:pPr>
                  <w:r w:rsidRPr="00E356CE">
                    <w:t>osoby fizyczne odpowiedzialne za rozstrzyganie sporów zobowiązują się nie pracować na rzecz przedsiębiorcy, organizacji zawodowej lub stowarzyszenia branżowego, do których należy dany przedsiębiorca, przez okres trzech lat od zakończenia ich funkcji w podmiocie zajmującym się rozstrzyganiem sporów;</w:t>
                  </w:r>
                </w:p>
              </w:tc>
            </w:tr>
          </w:tbl>
          <w:p w14:paraId="0917A3A9" w14:textId="77777777" w:rsidR="006B4E4B" w:rsidRPr="00E356CE" w:rsidRDefault="006B4E4B" w:rsidP="006B4E4B">
            <w:pPr>
              <w:jc w:val="both"/>
              <w:rPr>
                <w:vanish/>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119"/>
              <w:gridCol w:w="4460"/>
            </w:tblGrid>
            <w:tr w:rsidR="006B4E4B" w:rsidRPr="00E356CE" w14:paraId="0FDBEF25" w14:textId="77777777" w:rsidTr="006B4E4B">
              <w:tc>
                <w:tcPr>
                  <w:tcW w:w="225" w:type="dxa"/>
                  <w:shd w:val="clear" w:color="auto" w:fill="FFFFFF"/>
                  <w:hideMark/>
                </w:tcPr>
                <w:p w14:paraId="6AEE2F68" w14:textId="77777777" w:rsidR="006B4E4B" w:rsidRPr="00E356CE" w:rsidRDefault="006B4E4B" w:rsidP="006B4E4B">
                  <w:pPr>
                    <w:jc w:val="both"/>
                  </w:pPr>
                  <w:r w:rsidRPr="00E356CE">
                    <w:t>d)</w:t>
                  </w:r>
                </w:p>
              </w:tc>
              <w:tc>
                <w:tcPr>
                  <w:tcW w:w="9181" w:type="dxa"/>
                  <w:shd w:val="clear" w:color="auto" w:fill="FFFFFF"/>
                  <w:hideMark/>
                </w:tcPr>
                <w:p w14:paraId="4E9D9EA5" w14:textId="77777777" w:rsidR="006B4E4B" w:rsidRPr="00E356CE" w:rsidRDefault="006B4E4B" w:rsidP="006B4E4B">
                  <w:pPr>
                    <w:jc w:val="both"/>
                  </w:pPr>
                  <w:r w:rsidRPr="00E356CE">
                    <w:t>podmiot zajmujący się rozstrzyganiem sporów nie ma żadnego powiązania hierarchicznego ani funkcjonalnego z przedsiębiorcą, jest wyraźnie oddzielony od podmiotów operacyjnych należących do przedsiębiorcy i dysponuje wystarczającym budżetem, by realizować swe zadania, oddzielnym w stosunku do budżetu ogólnego przedsiębiorcy.</w:t>
                  </w:r>
                </w:p>
              </w:tc>
            </w:tr>
          </w:tbl>
          <w:p w14:paraId="037211B2" w14:textId="77777777" w:rsidR="006B4E4B" w:rsidRPr="00E356CE" w:rsidRDefault="006B4E4B" w:rsidP="006B4E4B">
            <w:pPr>
              <w:jc w:val="both"/>
            </w:pPr>
            <w:r w:rsidRPr="00E356CE">
              <w:t xml:space="preserve">4.   W przypadku gdy osoby fizyczne odpowiedzialne za ADR są zatrudnione wyłącznie przez stowarzyszenie branżowe lub organizację zawodową, do których należy dany przedsiębiorca, lub też otrzymują wynagrodzenie wyłącznie od nich, państwa członkowskie zapewniają, by oprócz ogólnych </w:t>
            </w:r>
            <w:r w:rsidRPr="00E356CE">
              <w:lastRenderedPageBreak/>
              <w:t>wymogów zawartych w ust. 1 i 5 dysponowały one oddzielnym i celowym budżetem wystarczającym do wypełniania przez nie swych zadań.</w:t>
            </w:r>
          </w:p>
          <w:p w14:paraId="4A1D966E" w14:textId="77777777" w:rsidR="006B4E4B" w:rsidRPr="00E356CE" w:rsidRDefault="006B4E4B" w:rsidP="006B4E4B">
            <w:pPr>
              <w:jc w:val="both"/>
            </w:pPr>
            <w:r w:rsidRPr="00E356CE">
              <w:t>Niniejszy ustęp nie dotyczy przypadków, gdy dane osoby fizyczne wchodzą w skład organu kolegialnego składającego się z równej liczby przedstawicieli danego stowarzyszenia branżowego lub organizacji zawodowej, przez które są zatrudnieniu lub od których otrzymują wynagrodzenie, oraz organizacji konsumentów.</w:t>
            </w:r>
          </w:p>
          <w:p w14:paraId="6C20DFB6" w14:textId="77777777" w:rsidR="006B4E4B" w:rsidRPr="00E356CE" w:rsidRDefault="006B4E4B" w:rsidP="006B4E4B">
            <w:pPr>
              <w:jc w:val="both"/>
            </w:pPr>
            <w:r w:rsidRPr="00E356CE">
              <w:t>5.   Państwa członkowskie zapewniają, by podmioty ADR, w których osoby fizyczne odpowiedzialne za rozstrzyganie sporów stanowią część organu kolegialnego, zapewniały w tym organie równą liczbę przedstawicieli interesów konsumentów i przedstawicieli interesów przedsiębiorców.</w:t>
            </w:r>
          </w:p>
          <w:p w14:paraId="0D0414AD" w14:textId="15672F4A" w:rsidR="00A33ACF" w:rsidRPr="00E356CE" w:rsidRDefault="006B4E4B" w:rsidP="001360D5">
            <w:pPr>
              <w:jc w:val="both"/>
            </w:pPr>
            <w:r w:rsidRPr="00E356CE">
              <w:t>6.   Do celów ust. 1 lit. a) państwa członkowskie zachęcają podmioty ADR do prowadzenia szkoleń dla osób fizycznych odpowiadających za ADR. Jeżeli prowadzone są takie szkolenia, właściwe organy, na podstawie informacji otrzymanych zgodnie z art. 19 ust. 3 lit. g), monitorują programy szkoleniowe tworzone przez podmioty ADR.</w:t>
            </w:r>
          </w:p>
        </w:tc>
        <w:tc>
          <w:tcPr>
            <w:tcW w:w="915" w:type="dxa"/>
            <w:gridSpan w:val="2"/>
          </w:tcPr>
          <w:p w14:paraId="392CD507" w14:textId="6F5C8901" w:rsidR="00A33ACF" w:rsidRPr="00E356CE" w:rsidRDefault="00A33ACF" w:rsidP="00EE68B1">
            <w:pPr>
              <w:rPr>
                <w:b/>
              </w:rPr>
            </w:pPr>
            <w:r w:rsidRPr="00E356CE">
              <w:rPr>
                <w:b/>
              </w:rPr>
              <w:lastRenderedPageBreak/>
              <w:t>T</w:t>
            </w:r>
          </w:p>
        </w:tc>
        <w:tc>
          <w:tcPr>
            <w:tcW w:w="885" w:type="dxa"/>
            <w:gridSpan w:val="3"/>
          </w:tcPr>
          <w:p w14:paraId="00A7DF75" w14:textId="54D8C9FE" w:rsidR="00A33ACF" w:rsidRPr="00E356CE" w:rsidRDefault="00A33ACF" w:rsidP="00EE68B1">
            <w:pPr>
              <w:rPr>
                <w:b/>
              </w:rPr>
            </w:pPr>
            <w:r w:rsidRPr="00E356CE">
              <w:rPr>
                <w:b/>
              </w:rPr>
              <w:t>Art. 378</w:t>
            </w:r>
          </w:p>
        </w:tc>
        <w:tc>
          <w:tcPr>
            <w:tcW w:w="7396" w:type="dxa"/>
          </w:tcPr>
          <w:p w14:paraId="5DFFA5BB" w14:textId="77777777" w:rsidR="00A33ACF" w:rsidRPr="00E356CE" w:rsidRDefault="00A33ACF" w:rsidP="00A33ACF">
            <w:pPr>
              <w:jc w:val="both"/>
            </w:pPr>
            <w:r w:rsidRPr="00E356CE">
              <w:t>Art. 378. 1. Spór cywilnoprawny między konsumentem a dostawcą usług komunikacji elektronicznej może być zakończony polubownie w drodze postępowania w sprawie pozasądowego rozwiązywania sporów konsumenckich.</w:t>
            </w:r>
          </w:p>
          <w:p w14:paraId="3385F20B" w14:textId="77777777" w:rsidR="00A33ACF" w:rsidRPr="00E356CE" w:rsidRDefault="00A33ACF" w:rsidP="00A33ACF">
            <w:pPr>
              <w:jc w:val="both"/>
              <w:rPr>
                <w:bCs/>
              </w:rPr>
            </w:pPr>
            <w:r w:rsidRPr="00E356CE">
              <w:rPr>
                <w:bCs/>
              </w:rPr>
              <w:t>2. Postępowanie w sprawie pozasądowego rozwiązywania sporów konsumenckich prowadzi Prezes UKE, który w tym zakresie jest podmiotem uprawnionym do prowadzenia postępowania w sprawie pozasądowego rozwiązywania sporów konsumenckich w rozumieniu ustawy z dnia 23 września 2016 r. o pozasądowym rozwiązywaniu sporów konsumenckich (Dz. U. poz. 1823).</w:t>
            </w:r>
          </w:p>
          <w:p w14:paraId="34A3542F" w14:textId="77777777" w:rsidR="00A33ACF" w:rsidRPr="00E356CE" w:rsidRDefault="00A33ACF" w:rsidP="00A33ACF">
            <w:pPr>
              <w:jc w:val="both"/>
              <w:rPr>
                <w:bCs/>
              </w:rPr>
            </w:pPr>
            <w:r w:rsidRPr="00E356CE">
              <w:rPr>
                <w:bCs/>
              </w:rPr>
              <w:t>3. W zakresie nieuregulowanym w niniejszej ustawie stosuje się przepisy ustawy z dnia 23 września 2016 r. o pozasądowym rozwiązywaniu sporów konsumenckich.</w:t>
            </w:r>
          </w:p>
          <w:p w14:paraId="78E14DC9" w14:textId="77777777" w:rsidR="00A33ACF" w:rsidRPr="00E356CE" w:rsidRDefault="00A33ACF" w:rsidP="00A33ACF">
            <w:pPr>
              <w:jc w:val="both"/>
            </w:pPr>
            <w:r w:rsidRPr="00E356CE">
              <w:t>Art. 379. 1. Postępowanie w sprawie pozasądowego rozwiązywania sporów konsumenckich prowadzi się na wniosek konsumenta albo z urzędu, jeżeli wymaga tego ochrona interesu konsumenta.</w:t>
            </w:r>
          </w:p>
          <w:p w14:paraId="7672197E" w14:textId="77777777" w:rsidR="00A33ACF" w:rsidRPr="00E356CE" w:rsidRDefault="00A33ACF" w:rsidP="00A33ACF">
            <w:pPr>
              <w:jc w:val="both"/>
              <w:rPr>
                <w:bCs/>
              </w:rPr>
            </w:pPr>
            <w:r w:rsidRPr="00E356CE">
              <w:rPr>
                <w:bCs/>
              </w:rPr>
              <w:t>2. Wniosek o wszczęcie postępowania w sprawie pozasądowego rozwiązywania sporów konsumenckich zawiera co najmniej elementy określone w art. 33 ust. 2 ustawy z dnia 23 września 2016 r. o pozasądowym rozwiązywaniu sporów konsumenckich, z tym że wnioskodawca może wnosić o przedstawienie stronom propozycji rozwiązania sporu.</w:t>
            </w:r>
          </w:p>
          <w:p w14:paraId="1248F22F" w14:textId="77777777" w:rsidR="00A33ACF" w:rsidRPr="00E356CE" w:rsidRDefault="00A33ACF" w:rsidP="00A33ACF">
            <w:pPr>
              <w:jc w:val="both"/>
              <w:rPr>
                <w:bCs/>
              </w:rPr>
            </w:pPr>
            <w:r w:rsidRPr="00E356CE">
              <w:rPr>
                <w:bCs/>
              </w:rPr>
              <w:t>3. Do wniosku o wszczęcie postępowania w sprawie pozasądowego rozwiązywania sporów konsumenckich dołącza się uzasadnienie żądania strony oraz kopie posiadanych przez wnioskodawcę dokumentów potwierdzających informacje zawarte we wniosku.</w:t>
            </w:r>
          </w:p>
          <w:p w14:paraId="137FAED9" w14:textId="77777777" w:rsidR="00A33ACF" w:rsidRPr="00E356CE" w:rsidRDefault="00A33ACF" w:rsidP="00A33ACF">
            <w:pPr>
              <w:jc w:val="both"/>
              <w:rPr>
                <w:bCs/>
              </w:rPr>
            </w:pPr>
            <w:r w:rsidRPr="00E356CE">
              <w:rPr>
                <w:bCs/>
              </w:rPr>
              <w:t>4. Prezes UKE odmawia rozpatrzenia sporu w przypadku, gdy jego przedmiot wykracza poza kategorie sporów objęte właściwością Prezesa UKE.</w:t>
            </w:r>
          </w:p>
          <w:p w14:paraId="24637008" w14:textId="77777777" w:rsidR="00A33ACF" w:rsidRPr="00E356CE" w:rsidRDefault="00A33ACF" w:rsidP="00A33ACF">
            <w:pPr>
              <w:jc w:val="both"/>
              <w:rPr>
                <w:bCs/>
              </w:rPr>
            </w:pPr>
            <w:r w:rsidRPr="00E356CE">
              <w:rPr>
                <w:bCs/>
              </w:rPr>
              <w:t>5. Prezes UKE może odmówić rozpatrzenia sporu w przypadku, gdy:</w:t>
            </w:r>
          </w:p>
          <w:p w14:paraId="15CDBB66" w14:textId="77777777" w:rsidR="00A33ACF" w:rsidRPr="00E356CE" w:rsidRDefault="00A33ACF" w:rsidP="00A33ACF">
            <w:pPr>
              <w:jc w:val="both"/>
              <w:rPr>
                <w:bCs/>
              </w:rPr>
            </w:pPr>
            <w:r w:rsidRPr="00E356CE">
              <w:rPr>
                <w:bCs/>
              </w:rPr>
              <w:t>1)</w:t>
            </w:r>
            <w:r w:rsidRPr="00E356CE">
              <w:rPr>
                <w:bCs/>
              </w:rPr>
              <w:tab/>
              <w:t xml:space="preserve">wnioskodawca nie podjął, przed złożeniem wniosku o wszczęcie postępowania w sprawie pozasądowego rozwiązywania sporów konsumenckich, próby kontaktu z dostawcą usług komunikacji </w:t>
            </w:r>
            <w:r w:rsidRPr="00E356CE">
              <w:rPr>
                <w:bCs/>
              </w:rPr>
              <w:lastRenderedPageBreak/>
              <w:t>elektronicznej i bezpośredniego rozwiązania sporu, w tym nie wyczerpał drogi postępowania reklamacyjnego;</w:t>
            </w:r>
          </w:p>
          <w:p w14:paraId="109AFF64" w14:textId="77777777" w:rsidR="00A33ACF" w:rsidRPr="00E356CE" w:rsidRDefault="00A33ACF" w:rsidP="00A33ACF">
            <w:pPr>
              <w:jc w:val="both"/>
              <w:rPr>
                <w:bCs/>
              </w:rPr>
            </w:pPr>
            <w:r w:rsidRPr="00E356CE">
              <w:rPr>
                <w:bCs/>
              </w:rPr>
              <w:t>2)</w:t>
            </w:r>
            <w:r w:rsidRPr="00E356CE">
              <w:rPr>
                <w:bCs/>
              </w:rPr>
              <w:tab/>
              <w:t>spór jest błahy lub wniosek o wszczęcie postępowania w sprawie pozasądowego rozwiązywania sporów konsumenckich spowoduje uciążliwości dla dostawcy usług komunikacji elektronicznej;</w:t>
            </w:r>
          </w:p>
          <w:p w14:paraId="25444FCF" w14:textId="77777777" w:rsidR="00A33ACF" w:rsidRPr="00E356CE" w:rsidRDefault="00A33ACF" w:rsidP="00A33ACF">
            <w:pPr>
              <w:jc w:val="both"/>
              <w:rPr>
                <w:bCs/>
              </w:rPr>
            </w:pPr>
            <w:r w:rsidRPr="00E356CE">
              <w:rPr>
                <w:bCs/>
              </w:rPr>
              <w:t>3)</w:t>
            </w:r>
            <w:r w:rsidRPr="00E356CE">
              <w:rPr>
                <w:bCs/>
              </w:rPr>
              <w:tab/>
              <w:t>sprawa o to samo roszczenie między tymi samymi stronami jest w toku albo została już rozpatrzona przez Prezesa UKE, inny właściwy podmiot albo sąd;</w:t>
            </w:r>
          </w:p>
          <w:p w14:paraId="48B67FAE" w14:textId="77777777" w:rsidR="00A33ACF" w:rsidRPr="00E356CE" w:rsidRDefault="00A33ACF" w:rsidP="00A33ACF">
            <w:pPr>
              <w:jc w:val="both"/>
              <w:rPr>
                <w:bCs/>
              </w:rPr>
            </w:pPr>
            <w:r w:rsidRPr="00E356CE">
              <w:rPr>
                <w:bCs/>
              </w:rPr>
              <w:t>4)</w:t>
            </w:r>
            <w:r w:rsidRPr="00E356CE">
              <w:rPr>
                <w:bCs/>
              </w:rPr>
              <w:tab/>
              <w:t>wartość przedmiotu sporu jest niższa niż 20 złotych;</w:t>
            </w:r>
          </w:p>
          <w:p w14:paraId="1C4D1AFE" w14:textId="77777777" w:rsidR="00A33ACF" w:rsidRPr="00E356CE" w:rsidRDefault="00A33ACF" w:rsidP="00A33ACF">
            <w:pPr>
              <w:jc w:val="both"/>
              <w:rPr>
                <w:bCs/>
              </w:rPr>
            </w:pPr>
            <w:r w:rsidRPr="00E356CE">
              <w:rPr>
                <w:bCs/>
              </w:rPr>
              <w:t>5)</w:t>
            </w:r>
            <w:r w:rsidRPr="00E356CE">
              <w:rPr>
                <w:bCs/>
              </w:rPr>
              <w:tab/>
              <w:t>wnioskodawca złożył wniosek o wszczęcie postępowania w sprawie pozasądowego rozwiązywania sporów konsumenckich po upływie roku od dnia, w którym podjął próbę kontaktu z dostawcą usług komunikacji elektronicznej i bezpośredniego rozwiązania sporu;</w:t>
            </w:r>
          </w:p>
          <w:p w14:paraId="55114183" w14:textId="77777777" w:rsidR="00A33ACF" w:rsidRPr="00E356CE" w:rsidRDefault="00A33ACF" w:rsidP="00A33ACF">
            <w:pPr>
              <w:jc w:val="both"/>
              <w:rPr>
                <w:bCs/>
              </w:rPr>
            </w:pPr>
            <w:r w:rsidRPr="00E356CE">
              <w:rPr>
                <w:bCs/>
              </w:rPr>
              <w:t>6)</w:t>
            </w:r>
            <w:r w:rsidRPr="00E356CE">
              <w:rPr>
                <w:bCs/>
              </w:rPr>
              <w:tab/>
              <w:t>rozpatrzenie sporu spowodowałoby poważne zakłócenie działania Prezesa UKE.</w:t>
            </w:r>
          </w:p>
          <w:p w14:paraId="120B241F" w14:textId="77777777" w:rsidR="00A33ACF" w:rsidRPr="00E356CE" w:rsidRDefault="00A33ACF" w:rsidP="00A33ACF">
            <w:pPr>
              <w:jc w:val="both"/>
              <w:rPr>
                <w:bCs/>
              </w:rPr>
            </w:pPr>
            <w:r w:rsidRPr="00E356CE">
              <w:rPr>
                <w:bCs/>
              </w:rPr>
              <w:t>6. W toku postępowania w sprawie pozasądowego rozwiązywania sporów konsumenckich, Prezes UKE zapoznaje dostawcę usług komunikacji elektronicznej z roszczeniem konsumenta, przedstawia stronom sporu przepisy prawa mające zastosowanie w sprawie oraz propozycję rozwiązania sporu, wyznaczając stronom postępowania 14-dniowy termin na wyrażenie zgody na przedstawioną propozycję lub na zastosowanie się do niej.</w:t>
            </w:r>
          </w:p>
          <w:p w14:paraId="50757175" w14:textId="77777777" w:rsidR="00A33ACF" w:rsidRPr="00E356CE" w:rsidRDefault="00A33ACF" w:rsidP="00A33ACF">
            <w:pPr>
              <w:jc w:val="both"/>
              <w:rPr>
                <w:bCs/>
              </w:rPr>
            </w:pPr>
            <w:r w:rsidRPr="00E356CE">
              <w:rPr>
                <w:bCs/>
              </w:rPr>
              <w:t>7. Minister właściwy do spraw informatyzacji określi, w drodze rozporządzenia:</w:t>
            </w:r>
          </w:p>
          <w:p w14:paraId="448E782F" w14:textId="77777777" w:rsidR="00A33ACF" w:rsidRPr="00E356CE" w:rsidRDefault="00A33ACF" w:rsidP="00A33ACF">
            <w:pPr>
              <w:jc w:val="both"/>
              <w:rPr>
                <w:bCs/>
              </w:rPr>
            </w:pPr>
            <w:r w:rsidRPr="00E356CE">
              <w:rPr>
                <w:bCs/>
              </w:rPr>
              <w:t>1)</w:t>
            </w:r>
            <w:r w:rsidRPr="00E356CE">
              <w:rPr>
                <w:bCs/>
              </w:rPr>
              <w:tab/>
              <w:t>tryb prowadzenia postępowania w sprawie pozasądowego rozwiązywania sporów konsumenckich,</w:t>
            </w:r>
          </w:p>
          <w:p w14:paraId="28A58562" w14:textId="77777777" w:rsidR="00A33ACF" w:rsidRPr="00E356CE" w:rsidRDefault="00A33ACF" w:rsidP="00A33ACF">
            <w:pPr>
              <w:jc w:val="both"/>
              <w:rPr>
                <w:bCs/>
              </w:rPr>
            </w:pPr>
            <w:r w:rsidRPr="00E356CE">
              <w:rPr>
                <w:bCs/>
              </w:rPr>
              <w:t>2)</w:t>
            </w:r>
            <w:r w:rsidRPr="00E356CE">
              <w:rPr>
                <w:bCs/>
              </w:rPr>
              <w:tab/>
              <w:t>sposób wnoszenia wniosków o wszczęcie postępowania w sprawie pozasądowego rozwiązywania sporów konsumenckich,</w:t>
            </w:r>
          </w:p>
          <w:p w14:paraId="70FAC010" w14:textId="77777777" w:rsidR="00A33ACF" w:rsidRPr="00E356CE" w:rsidRDefault="00A33ACF" w:rsidP="00A33ACF">
            <w:pPr>
              <w:jc w:val="both"/>
              <w:rPr>
                <w:bCs/>
              </w:rPr>
            </w:pPr>
            <w:r w:rsidRPr="00E356CE">
              <w:rPr>
                <w:bCs/>
              </w:rPr>
              <w:t>3)</w:t>
            </w:r>
            <w:r w:rsidRPr="00E356CE">
              <w:rPr>
                <w:bCs/>
              </w:rPr>
              <w:tab/>
              <w:t>sposób wymiany informacji między stronami postępowania w sprawie pozasądowego rozwiązywania sporów konsumenckich za pomocą środków komunikacji elektronicznej lub przesyłką pocztową</w:t>
            </w:r>
          </w:p>
          <w:p w14:paraId="5EA7203E" w14:textId="77777777" w:rsidR="00A33ACF" w:rsidRPr="00E356CE" w:rsidRDefault="00A33ACF" w:rsidP="00A33ACF">
            <w:pPr>
              <w:jc w:val="both"/>
              <w:rPr>
                <w:bCs/>
              </w:rPr>
            </w:pPr>
            <w:r w:rsidRPr="00E356CE">
              <w:rPr>
                <w:bCs/>
              </w:rPr>
              <w:lastRenderedPageBreak/>
              <w:t>- mając na uwadze konieczność zapewnienia łatwego dostępu do postępowania w sprawie pozasądowego rozwiązywania sporów konsumenckich, sprawnego ich rozwiązywania oraz bezstronnego i niezależnego prowadzenia tego postępowania.</w:t>
            </w:r>
          </w:p>
          <w:p w14:paraId="4C8CE33C" w14:textId="77777777" w:rsidR="00A33ACF" w:rsidRPr="00E356CE" w:rsidRDefault="00A33ACF" w:rsidP="00A33ACF">
            <w:pPr>
              <w:jc w:val="both"/>
            </w:pPr>
            <w:r w:rsidRPr="00E356CE">
              <w:t xml:space="preserve">Art. 380. 1.  Prezes UKE pisemnie upoważnia pracownika Urzędu Komunikacji Elektronicznej do prowadzenia postępowań w sprawie pozasądowego rozwiązywania sporów konsumenckich na czas określony nie krótszy niż 3 lata. Upoważniony pracownik Urzędu Komunikacji Elektronicznej jest osobą prowadzącą postępowanie w rozumieniu ustawy z dnia 23 września 2016 r. o pozasądowym rozwiązywaniu sporów konsumenckich. </w:t>
            </w:r>
          </w:p>
          <w:p w14:paraId="53F6402D" w14:textId="77777777" w:rsidR="00A33ACF" w:rsidRPr="00E356CE" w:rsidRDefault="00A33ACF" w:rsidP="00A33ACF">
            <w:pPr>
              <w:jc w:val="both"/>
              <w:rPr>
                <w:bCs/>
              </w:rPr>
            </w:pPr>
            <w:r w:rsidRPr="00E356CE">
              <w:rPr>
                <w:bCs/>
              </w:rPr>
              <w:t>2. Prezes UKE upoważnia do prowadzenia postępowań</w:t>
            </w:r>
            <w:r w:rsidRPr="00E356CE">
              <w:t xml:space="preserve"> </w:t>
            </w:r>
            <w:r w:rsidRPr="00E356CE">
              <w:rPr>
                <w:bCs/>
              </w:rPr>
              <w:t>w sprawie pozasądowego rozwiązywania sporów konsumenckich pracownika Urzędu Komunikacji Elektronicznej, który posiada:</w:t>
            </w:r>
          </w:p>
          <w:p w14:paraId="2908CDD9" w14:textId="77777777" w:rsidR="00A33ACF" w:rsidRPr="00E356CE" w:rsidRDefault="00A33ACF" w:rsidP="00A33ACF">
            <w:pPr>
              <w:jc w:val="both"/>
              <w:rPr>
                <w:bCs/>
              </w:rPr>
            </w:pPr>
            <w:r w:rsidRPr="00E356CE">
              <w:rPr>
                <w:bCs/>
              </w:rPr>
              <w:t>1)  wykształcenie wyższe;</w:t>
            </w:r>
          </w:p>
          <w:p w14:paraId="51CDCCF5" w14:textId="77777777" w:rsidR="00A33ACF" w:rsidRPr="00E356CE" w:rsidRDefault="00A33ACF" w:rsidP="00A33ACF">
            <w:pPr>
              <w:jc w:val="both"/>
              <w:rPr>
                <w:bCs/>
              </w:rPr>
            </w:pPr>
            <w:r w:rsidRPr="00E356CE">
              <w:rPr>
                <w:bCs/>
              </w:rPr>
              <w:t>2)  wiedzę z zakresu wykonywania działalności komunikacji elektronicznej i ochrony praw konsumenta;</w:t>
            </w:r>
          </w:p>
          <w:p w14:paraId="5F3CA5A6" w14:textId="77777777" w:rsidR="00A33ACF" w:rsidRPr="00E356CE" w:rsidRDefault="00A33ACF" w:rsidP="00A33ACF">
            <w:pPr>
              <w:jc w:val="both"/>
              <w:rPr>
                <w:bCs/>
              </w:rPr>
            </w:pPr>
            <w:r w:rsidRPr="00E356CE">
              <w:rPr>
                <w:bCs/>
              </w:rPr>
              <w:t>3)  co najmniej roczne doświadczenie zawodowe związane z rynkiem komunikacji elektronicznej.</w:t>
            </w:r>
          </w:p>
          <w:p w14:paraId="34ABB88F" w14:textId="77777777" w:rsidR="00A33ACF" w:rsidRPr="00E356CE" w:rsidRDefault="00A33ACF" w:rsidP="00A33ACF">
            <w:pPr>
              <w:jc w:val="both"/>
              <w:rPr>
                <w:bCs/>
              </w:rPr>
            </w:pPr>
            <w:r w:rsidRPr="00E356CE">
              <w:rPr>
                <w:bCs/>
              </w:rPr>
              <w:t>3. Prezes UKE cofa pracownikowi Urzędu Komunikacji Elektronicznej upoważnienie przed upływem okresu, na jaki zostało udzielone, w przypadku:</w:t>
            </w:r>
          </w:p>
          <w:p w14:paraId="3AD404F7" w14:textId="77777777" w:rsidR="00A33ACF" w:rsidRPr="00E356CE" w:rsidRDefault="00A33ACF" w:rsidP="00A33ACF">
            <w:pPr>
              <w:jc w:val="both"/>
              <w:rPr>
                <w:bCs/>
              </w:rPr>
            </w:pPr>
            <w:r w:rsidRPr="00E356CE">
              <w:rPr>
                <w:bCs/>
              </w:rPr>
              <w:t>1)</w:t>
            </w:r>
            <w:r w:rsidRPr="00E356CE">
              <w:rPr>
                <w:bCs/>
              </w:rPr>
              <w:tab/>
              <w:t xml:space="preserve">rażącego naruszenia prawa przy wykonywaniu funkcji osoby prowadzącej postępowanie w rozumieniu ustawy </w:t>
            </w:r>
            <w:r w:rsidRPr="00E356CE">
              <w:t>z dnia 23 września 2016 r.</w:t>
            </w:r>
            <w:r w:rsidRPr="00E356CE">
              <w:rPr>
                <w:bCs/>
              </w:rPr>
              <w:t xml:space="preserve"> o pozasądowym rozwiązywaniu sporów konsumenckich;</w:t>
            </w:r>
          </w:p>
          <w:p w14:paraId="72CF485A" w14:textId="77777777" w:rsidR="00A33ACF" w:rsidRPr="00E356CE" w:rsidRDefault="00A33ACF" w:rsidP="00A33ACF">
            <w:pPr>
              <w:jc w:val="both"/>
              <w:rPr>
                <w:bCs/>
              </w:rPr>
            </w:pPr>
            <w:r w:rsidRPr="00E356CE">
              <w:rPr>
                <w:bCs/>
              </w:rPr>
              <w:t>2)</w:t>
            </w:r>
            <w:r w:rsidRPr="00E356CE">
              <w:rPr>
                <w:bCs/>
              </w:rPr>
              <w:tab/>
              <w:t>skazania prawomocnym wyrokiem za popełnione umyślnie przestępstwo lub przestępstwo skarbowe;</w:t>
            </w:r>
          </w:p>
          <w:p w14:paraId="15178F9F" w14:textId="77777777" w:rsidR="00A33ACF" w:rsidRPr="00E356CE" w:rsidRDefault="00A33ACF" w:rsidP="00A33ACF">
            <w:pPr>
              <w:jc w:val="both"/>
              <w:rPr>
                <w:bCs/>
              </w:rPr>
            </w:pPr>
            <w:r w:rsidRPr="00E356CE">
              <w:rPr>
                <w:bCs/>
              </w:rPr>
              <w:t>3)</w:t>
            </w:r>
            <w:r w:rsidRPr="00E356CE">
              <w:rPr>
                <w:bCs/>
              </w:rPr>
              <w:tab/>
              <w:t>choroby trwale uniemożliwiającej wykonywanie zadań;</w:t>
            </w:r>
          </w:p>
          <w:p w14:paraId="43ED8208" w14:textId="77777777" w:rsidR="00A33ACF" w:rsidRPr="00E356CE" w:rsidRDefault="00A33ACF" w:rsidP="00A33ACF">
            <w:pPr>
              <w:jc w:val="both"/>
              <w:rPr>
                <w:bCs/>
              </w:rPr>
            </w:pPr>
            <w:r w:rsidRPr="00E356CE">
              <w:rPr>
                <w:bCs/>
              </w:rPr>
              <w:t>4)</w:t>
            </w:r>
            <w:r w:rsidRPr="00E356CE">
              <w:rPr>
                <w:bCs/>
              </w:rPr>
              <w:tab/>
              <w:t>złożenia rezygnacji.</w:t>
            </w:r>
          </w:p>
          <w:p w14:paraId="27E08F5C" w14:textId="77777777" w:rsidR="00A33ACF" w:rsidRPr="00E356CE" w:rsidRDefault="00A33ACF" w:rsidP="00EE68B1">
            <w:pPr>
              <w:rPr>
                <w:b/>
              </w:rPr>
            </w:pPr>
          </w:p>
        </w:tc>
      </w:tr>
    </w:tbl>
    <w:p w14:paraId="5B9DBA66" w14:textId="77777777" w:rsidR="004B6CB4" w:rsidRPr="00E356CE" w:rsidRDefault="004B6CB4" w:rsidP="00EE68B1">
      <w:pPr>
        <w:rPr>
          <w:b/>
        </w:rPr>
      </w:pPr>
    </w:p>
    <w:p w14:paraId="4D04BC16" w14:textId="77777777" w:rsidR="004B6CB4" w:rsidRPr="00E356CE" w:rsidRDefault="004B6CB4" w:rsidP="00A9191A">
      <w:pPr>
        <w:jc w:val="both"/>
      </w:pPr>
    </w:p>
    <w:p w14:paraId="49B07A73" w14:textId="77777777" w:rsidR="004B6CB4" w:rsidRPr="00E356CE" w:rsidRDefault="004B6CB4" w:rsidP="00A9191A">
      <w:pPr>
        <w:jc w:val="both"/>
      </w:pPr>
    </w:p>
    <w:p w14:paraId="12565B2E" w14:textId="77777777" w:rsidR="004B6CB4" w:rsidRPr="00E356CE" w:rsidRDefault="004B6CB4" w:rsidP="00C24694">
      <w:pPr>
        <w:pStyle w:val="PKTpunkt"/>
        <w:spacing w:line="240" w:lineRule="auto"/>
        <w:ind w:left="0" w:firstLine="0"/>
        <w:rPr>
          <w:rFonts w:ascii="Times New Roman" w:hAnsi="Times New Roman" w:cs="Times New Roman"/>
          <w:szCs w:val="24"/>
        </w:rPr>
      </w:pPr>
    </w:p>
    <w:p w14:paraId="15F4BF8B" w14:textId="77777777" w:rsidR="004B6CB4" w:rsidRPr="00723799" w:rsidRDefault="004B6CB4" w:rsidP="00A9191A">
      <w:pPr>
        <w:jc w:val="both"/>
      </w:pPr>
    </w:p>
    <w:p w14:paraId="6964E414" w14:textId="77777777" w:rsidR="004B6CB4" w:rsidRPr="00723799" w:rsidRDefault="004B6CB4" w:rsidP="00A9191A">
      <w:bookmarkStart w:id="6" w:name="_GoBack"/>
      <w:bookmarkEnd w:id="6"/>
    </w:p>
    <w:sectPr w:rsidR="004B6CB4" w:rsidRPr="00723799" w:rsidSect="00C4569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16E46"/>
    <w:multiLevelType w:val="hybridMultilevel"/>
    <w:tmpl w:val="17AC9322"/>
    <w:lvl w:ilvl="0" w:tplc="40B60B2C">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13C2FDA"/>
    <w:multiLevelType w:val="hybridMultilevel"/>
    <w:tmpl w:val="397477A4"/>
    <w:lvl w:ilvl="0" w:tplc="7526BD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C1E1796"/>
    <w:multiLevelType w:val="hybridMultilevel"/>
    <w:tmpl w:val="36886304"/>
    <w:lvl w:ilvl="0" w:tplc="F6C0CB74">
      <w:start w:val="1"/>
      <w:numFmt w:val="decimal"/>
      <w:lvlText w:val="%1."/>
      <w:lvlJc w:val="left"/>
      <w:pPr>
        <w:ind w:left="720" w:hanging="360"/>
      </w:pPr>
    </w:lvl>
    <w:lvl w:ilvl="1" w:tplc="C20A870A">
      <w:start w:val="1"/>
      <w:numFmt w:val="lowerLetter"/>
      <w:lvlText w:val="%2."/>
      <w:lvlJc w:val="left"/>
      <w:pPr>
        <w:ind w:left="1440" w:hanging="360"/>
      </w:pPr>
    </w:lvl>
    <w:lvl w:ilvl="2" w:tplc="FD8ECFEE">
      <w:start w:val="1"/>
      <w:numFmt w:val="lowerRoman"/>
      <w:lvlText w:val="%3."/>
      <w:lvlJc w:val="right"/>
      <w:pPr>
        <w:ind w:left="2160" w:hanging="180"/>
      </w:pPr>
    </w:lvl>
    <w:lvl w:ilvl="3" w:tplc="8FFADDC2">
      <w:start w:val="1"/>
      <w:numFmt w:val="decimal"/>
      <w:lvlText w:val="%4."/>
      <w:lvlJc w:val="left"/>
      <w:pPr>
        <w:ind w:left="2880" w:hanging="360"/>
      </w:pPr>
    </w:lvl>
    <w:lvl w:ilvl="4" w:tplc="178CD676">
      <w:start w:val="1"/>
      <w:numFmt w:val="lowerLetter"/>
      <w:lvlText w:val="%5."/>
      <w:lvlJc w:val="left"/>
      <w:pPr>
        <w:ind w:left="3600" w:hanging="360"/>
      </w:pPr>
    </w:lvl>
    <w:lvl w:ilvl="5" w:tplc="0832C230">
      <w:start w:val="1"/>
      <w:numFmt w:val="lowerRoman"/>
      <w:lvlText w:val="%6."/>
      <w:lvlJc w:val="right"/>
      <w:pPr>
        <w:ind w:left="4320" w:hanging="180"/>
      </w:pPr>
    </w:lvl>
    <w:lvl w:ilvl="6" w:tplc="279C12BA">
      <w:start w:val="1"/>
      <w:numFmt w:val="decimal"/>
      <w:lvlText w:val="%7."/>
      <w:lvlJc w:val="left"/>
      <w:pPr>
        <w:ind w:left="5040" w:hanging="360"/>
      </w:pPr>
    </w:lvl>
    <w:lvl w:ilvl="7" w:tplc="E9AE3600">
      <w:start w:val="1"/>
      <w:numFmt w:val="lowerLetter"/>
      <w:lvlText w:val="%8."/>
      <w:lvlJc w:val="left"/>
      <w:pPr>
        <w:ind w:left="5760" w:hanging="360"/>
      </w:pPr>
    </w:lvl>
    <w:lvl w:ilvl="8" w:tplc="2278BB0A">
      <w:start w:val="1"/>
      <w:numFmt w:val="lowerRoman"/>
      <w:lvlText w:val="%9."/>
      <w:lvlJc w:val="right"/>
      <w:pPr>
        <w:ind w:left="6480" w:hanging="180"/>
      </w:pPr>
    </w:lvl>
  </w:abstractNum>
  <w:abstractNum w:abstractNumId="3">
    <w:nsid w:val="3CAA7562"/>
    <w:multiLevelType w:val="hybridMultilevel"/>
    <w:tmpl w:val="BA166550"/>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04B49D5"/>
    <w:multiLevelType w:val="hybridMultilevel"/>
    <w:tmpl w:val="0AF25C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5E87DFB"/>
    <w:multiLevelType w:val="hybridMultilevel"/>
    <w:tmpl w:val="C764F694"/>
    <w:lvl w:ilvl="0" w:tplc="1D1C41C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724E6D65"/>
    <w:multiLevelType w:val="hybridMultilevel"/>
    <w:tmpl w:val="2FEA77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4AB16C3"/>
    <w:multiLevelType w:val="hybridMultilevel"/>
    <w:tmpl w:val="E490FF90"/>
    <w:lvl w:ilvl="0" w:tplc="A6F2212E">
      <w:start w:val="1"/>
      <w:numFmt w:val="decimal"/>
      <w:lvlText w:val="%1."/>
      <w:lvlJc w:val="left"/>
      <w:pPr>
        <w:tabs>
          <w:tab w:val="num" w:pos="720"/>
        </w:tabs>
        <w:ind w:left="720" w:hanging="360"/>
      </w:pPr>
    </w:lvl>
    <w:lvl w:ilvl="1" w:tplc="2A16EDAE" w:tentative="1">
      <w:start w:val="1"/>
      <w:numFmt w:val="decimal"/>
      <w:lvlText w:val="%2."/>
      <w:lvlJc w:val="left"/>
      <w:pPr>
        <w:tabs>
          <w:tab w:val="num" w:pos="1440"/>
        </w:tabs>
        <w:ind w:left="1440" w:hanging="360"/>
      </w:pPr>
    </w:lvl>
    <w:lvl w:ilvl="2" w:tplc="EE40D28E" w:tentative="1">
      <w:start w:val="1"/>
      <w:numFmt w:val="decimal"/>
      <w:lvlText w:val="%3."/>
      <w:lvlJc w:val="left"/>
      <w:pPr>
        <w:tabs>
          <w:tab w:val="num" w:pos="2160"/>
        </w:tabs>
        <w:ind w:left="2160" w:hanging="360"/>
      </w:pPr>
    </w:lvl>
    <w:lvl w:ilvl="3" w:tplc="304C1E18" w:tentative="1">
      <w:start w:val="1"/>
      <w:numFmt w:val="decimal"/>
      <w:lvlText w:val="%4."/>
      <w:lvlJc w:val="left"/>
      <w:pPr>
        <w:tabs>
          <w:tab w:val="num" w:pos="2880"/>
        </w:tabs>
        <w:ind w:left="2880" w:hanging="360"/>
      </w:pPr>
    </w:lvl>
    <w:lvl w:ilvl="4" w:tplc="0772EA40" w:tentative="1">
      <w:start w:val="1"/>
      <w:numFmt w:val="decimal"/>
      <w:lvlText w:val="%5."/>
      <w:lvlJc w:val="left"/>
      <w:pPr>
        <w:tabs>
          <w:tab w:val="num" w:pos="3600"/>
        </w:tabs>
        <w:ind w:left="3600" w:hanging="360"/>
      </w:pPr>
    </w:lvl>
    <w:lvl w:ilvl="5" w:tplc="58DA285A" w:tentative="1">
      <w:start w:val="1"/>
      <w:numFmt w:val="decimal"/>
      <w:lvlText w:val="%6."/>
      <w:lvlJc w:val="left"/>
      <w:pPr>
        <w:tabs>
          <w:tab w:val="num" w:pos="4320"/>
        </w:tabs>
        <w:ind w:left="4320" w:hanging="360"/>
      </w:pPr>
    </w:lvl>
    <w:lvl w:ilvl="6" w:tplc="797C01D2" w:tentative="1">
      <w:start w:val="1"/>
      <w:numFmt w:val="decimal"/>
      <w:lvlText w:val="%7."/>
      <w:lvlJc w:val="left"/>
      <w:pPr>
        <w:tabs>
          <w:tab w:val="num" w:pos="5040"/>
        </w:tabs>
        <w:ind w:left="5040" w:hanging="360"/>
      </w:pPr>
    </w:lvl>
    <w:lvl w:ilvl="7" w:tplc="281656DC" w:tentative="1">
      <w:start w:val="1"/>
      <w:numFmt w:val="decimal"/>
      <w:lvlText w:val="%8."/>
      <w:lvlJc w:val="left"/>
      <w:pPr>
        <w:tabs>
          <w:tab w:val="num" w:pos="5760"/>
        </w:tabs>
        <w:ind w:left="5760" w:hanging="360"/>
      </w:pPr>
    </w:lvl>
    <w:lvl w:ilvl="8" w:tplc="A0323C26" w:tentative="1">
      <w:start w:val="1"/>
      <w:numFmt w:val="decimal"/>
      <w:lvlText w:val="%9."/>
      <w:lvlJc w:val="left"/>
      <w:pPr>
        <w:tabs>
          <w:tab w:val="num" w:pos="6480"/>
        </w:tabs>
        <w:ind w:left="6480" w:hanging="360"/>
      </w:pPr>
    </w:lvl>
  </w:abstractNum>
  <w:abstractNum w:abstractNumId="8">
    <w:nsid w:val="76DF1459"/>
    <w:multiLevelType w:val="hybridMultilevel"/>
    <w:tmpl w:val="7E68B99C"/>
    <w:lvl w:ilvl="0" w:tplc="B1743020">
      <w:start w:val="2"/>
      <w:numFmt w:val="decimal"/>
      <w:lvlText w:val="%1."/>
      <w:lvlJc w:val="left"/>
      <w:pPr>
        <w:tabs>
          <w:tab w:val="num" w:pos="720"/>
        </w:tabs>
        <w:ind w:left="720" w:hanging="360"/>
      </w:pPr>
    </w:lvl>
    <w:lvl w:ilvl="1" w:tplc="CA9C54B2" w:tentative="1">
      <w:start w:val="1"/>
      <w:numFmt w:val="decimal"/>
      <w:lvlText w:val="%2."/>
      <w:lvlJc w:val="left"/>
      <w:pPr>
        <w:tabs>
          <w:tab w:val="num" w:pos="1440"/>
        </w:tabs>
        <w:ind w:left="1440" w:hanging="360"/>
      </w:pPr>
    </w:lvl>
    <w:lvl w:ilvl="2" w:tplc="A1EEBB3A" w:tentative="1">
      <w:start w:val="1"/>
      <w:numFmt w:val="decimal"/>
      <w:lvlText w:val="%3."/>
      <w:lvlJc w:val="left"/>
      <w:pPr>
        <w:tabs>
          <w:tab w:val="num" w:pos="2160"/>
        </w:tabs>
        <w:ind w:left="2160" w:hanging="360"/>
      </w:pPr>
    </w:lvl>
    <w:lvl w:ilvl="3" w:tplc="2FCCF908" w:tentative="1">
      <w:start w:val="1"/>
      <w:numFmt w:val="decimal"/>
      <w:lvlText w:val="%4."/>
      <w:lvlJc w:val="left"/>
      <w:pPr>
        <w:tabs>
          <w:tab w:val="num" w:pos="2880"/>
        </w:tabs>
        <w:ind w:left="2880" w:hanging="360"/>
      </w:pPr>
    </w:lvl>
    <w:lvl w:ilvl="4" w:tplc="6052B0FE" w:tentative="1">
      <w:start w:val="1"/>
      <w:numFmt w:val="decimal"/>
      <w:lvlText w:val="%5."/>
      <w:lvlJc w:val="left"/>
      <w:pPr>
        <w:tabs>
          <w:tab w:val="num" w:pos="3600"/>
        </w:tabs>
        <w:ind w:left="3600" w:hanging="360"/>
      </w:pPr>
    </w:lvl>
    <w:lvl w:ilvl="5" w:tplc="9B08F4B2" w:tentative="1">
      <w:start w:val="1"/>
      <w:numFmt w:val="decimal"/>
      <w:lvlText w:val="%6."/>
      <w:lvlJc w:val="left"/>
      <w:pPr>
        <w:tabs>
          <w:tab w:val="num" w:pos="4320"/>
        </w:tabs>
        <w:ind w:left="4320" w:hanging="360"/>
      </w:pPr>
    </w:lvl>
    <w:lvl w:ilvl="6" w:tplc="DEE6E176" w:tentative="1">
      <w:start w:val="1"/>
      <w:numFmt w:val="decimal"/>
      <w:lvlText w:val="%7."/>
      <w:lvlJc w:val="left"/>
      <w:pPr>
        <w:tabs>
          <w:tab w:val="num" w:pos="5040"/>
        </w:tabs>
        <w:ind w:left="5040" w:hanging="360"/>
      </w:pPr>
    </w:lvl>
    <w:lvl w:ilvl="7" w:tplc="2F7CFBF6" w:tentative="1">
      <w:start w:val="1"/>
      <w:numFmt w:val="decimal"/>
      <w:lvlText w:val="%8."/>
      <w:lvlJc w:val="left"/>
      <w:pPr>
        <w:tabs>
          <w:tab w:val="num" w:pos="5760"/>
        </w:tabs>
        <w:ind w:left="5760" w:hanging="360"/>
      </w:pPr>
    </w:lvl>
    <w:lvl w:ilvl="8" w:tplc="A36045B6" w:tentative="1">
      <w:start w:val="1"/>
      <w:numFmt w:val="decimal"/>
      <w:lvlText w:val="%9."/>
      <w:lvlJc w:val="left"/>
      <w:pPr>
        <w:tabs>
          <w:tab w:val="num" w:pos="6480"/>
        </w:tabs>
        <w:ind w:left="6480" w:hanging="360"/>
      </w:pPr>
    </w:lvl>
  </w:abstractNum>
  <w:abstractNum w:abstractNumId="9">
    <w:nsid w:val="7C633A40"/>
    <w:multiLevelType w:val="hybridMultilevel"/>
    <w:tmpl w:val="7520C0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7"/>
  </w:num>
  <w:num w:numId="6">
    <w:abstractNumId w:val="8"/>
  </w:num>
  <w:num w:numId="7">
    <w:abstractNumId w:val="2"/>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D74"/>
    <w:rsid w:val="00005149"/>
    <w:rsid w:val="00026DE7"/>
    <w:rsid w:val="000337C3"/>
    <w:rsid w:val="000377D7"/>
    <w:rsid w:val="00042FF8"/>
    <w:rsid w:val="000564AA"/>
    <w:rsid w:val="00072060"/>
    <w:rsid w:val="0007271A"/>
    <w:rsid w:val="000B7F0D"/>
    <w:rsid w:val="000E1833"/>
    <w:rsid w:val="0013367C"/>
    <w:rsid w:val="001360D5"/>
    <w:rsid w:val="00152C71"/>
    <w:rsid w:val="001564F4"/>
    <w:rsid w:val="00196DA8"/>
    <w:rsid w:val="001D7777"/>
    <w:rsid w:val="001F531F"/>
    <w:rsid w:val="002069D4"/>
    <w:rsid w:val="002400D0"/>
    <w:rsid w:val="002620B7"/>
    <w:rsid w:val="00272F53"/>
    <w:rsid w:val="00274169"/>
    <w:rsid w:val="00276318"/>
    <w:rsid w:val="002A6036"/>
    <w:rsid w:val="00303CDD"/>
    <w:rsid w:val="003172FD"/>
    <w:rsid w:val="003271EC"/>
    <w:rsid w:val="00343BBC"/>
    <w:rsid w:val="003607EF"/>
    <w:rsid w:val="003642AC"/>
    <w:rsid w:val="0036479F"/>
    <w:rsid w:val="003C4E86"/>
    <w:rsid w:val="003E7950"/>
    <w:rsid w:val="003F3529"/>
    <w:rsid w:val="0041088C"/>
    <w:rsid w:val="00415528"/>
    <w:rsid w:val="00430830"/>
    <w:rsid w:val="0044185F"/>
    <w:rsid w:val="00477E24"/>
    <w:rsid w:val="004A138C"/>
    <w:rsid w:val="004A4C5A"/>
    <w:rsid w:val="004B1F0B"/>
    <w:rsid w:val="004B6CB4"/>
    <w:rsid w:val="004B7FC9"/>
    <w:rsid w:val="004E6EB4"/>
    <w:rsid w:val="004E724D"/>
    <w:rsid w:val="005263CA"/>
    <w:rsid w:val="0058358D"/>
    <w:rsid w:val="005863C8"/>
    <w:rsid w:val="005E00B3"/>
    <w:rsid w:val="00600C93"/>
    <w:rsid w:val="00615DF1"/>
    <w:rsid w:val="00646801"/>
    <w:rsid w:val="00647362"/>
    <w:rsid w:val="006507DE"/>
    <w:rsid w:val="006532C5"/>
    <w:rsid w:val="00660CD3"/>
    <w:rsid w:val="006706E2"/>
    <w:rsid w:val="006734D9"/>
    <w:rsid w:val="006977AC"/>
    <w:rsid w:val="006B4E4B"/>
    <w:rsid w:val="006C5D9D"/>
    <w:rsid w:val="006F45B7"/>
    <w:rsid w:val="006F6D90"/>
    <w:rsid w:val="00723799"/>
    <w:rsid w:val="00765FEA"/>
    <w:rsid w:val="007888FB"/>
    <w:rsid w:val="00796BDA"/>
    <w:rsid w:val="007D1809"/>
    <w:rsid w:val="008132F8"/>
    <w:rsid w:val="00813DC8"/>
    <w:rsid w:val="008150A5"/>
    <w:rsid w:val="008212C2"/>
    <w:rsid w:val="00830CF7"/>
    <w:rsid w:val="00872D74"/>
    <w:rsid w:val="008829EA"/>
    <w:rsid w:val="0089FE9C"/>
    <w:rsid w:val="008C3D08"/>
    <w:rsid w:val="008D6719"/>
    <w:rsid w:val="008D7297"/>
    <w:rsid w:val="008E560D"/>
    <w:rsid w:val="00920E0A"/>
    <w:rsid w:val="00932D94"/>
    <w:rsid w:val="00942FBC"/>
    <w:rsid w:val="009615E0"/>
    <w:rsid w:val="00966B1E"/>
    <w:rsid w:val="00981027"/>
    <w:rsid w:val="009C00A6"/>
    <w:rsid w:val="009D656C"/>
    <w:rsid w:val="009D6A12"/>
    <w:rsid w:val="009D7355"/>
    <w:rsid w:val="009E38D8"/>
    <w:rsid w:val="00A14FF2"/>
    <w:rsid w:val="00A33ACF"/>
    <w:rsid w:val="00A761E2"/>
    <w:rsid w:val="00A77AEA"/>
    <w:rsid w:val="00A81F21"/>
    <w:rsid w:val="00A9191A"/>
    <w:rsid w:val="00B43653"/>
    <w:rsid w:val="00BA0795"/>
    <w:rsid w:val="00BB0554"/>
    <w:rsid w:val="00BC072C"/>
    <w:rsid w:val="00BD4EF3"/>
    <w:rsid w:val="00BE7B76"/>
    <w:rsid w:val="00C04931"/>
    <w:rsid w:val="00C24694"/>
    <w:rsid w:val="00C35A0A"/>
    <w:rsid w:val="00C45693"/>
    <w:rsid w:val="00C83C92"/>
    <w:rsid w:val="00C91143"/>
    <w:rsid w:val="00CB13C5"/>
    <w:rsid w:val="00CB1817"/>
    <w:rsid w:val="00CC0FB6"/>
    <w:rsid w:val="00D24910"/>
    <w:rsid w:val="00D51095"/>
    <w:rsid w:val="00D528C1"/>
    <w:rsid w:val="00D6339F"/>
    <w:rsid w:val="00DB0644"/>
    <w:rsid w:val="00DB1E54"/>
    <w:rsid w:val="00DC0A31"/>
    <w:rsid w:val="00DD4AE7"/>
    <w:rsid w:val="00E10999"/>
    <w:rsid w:val="00E26B05"/>
    <w:rsid w:val="00E356CE"/>
    <w:rsid w:val="00E50006"/>
    <w:rsid w:val="00E541D0"/>
    <w:rsid w:val="00E8692C"/>
    <w:rsid w:val="00EE2117"/>
    <w:rsid w:val="00EE64C9"/>
    <w:rsid w:val="00EE68B1"/>
    <w:rsid w:val="00F248AE"/>
    <w:rsid w:val="00F328C3"/>
    <w:rsid w:val="00F339A0"/>
    <w:rsid w:val="00F50FEA"/>
    <w:rsid w:val="00F7006E"/>
    <w:rsid w:val="00F83C15"/>
    <w:rsid w:val="00FA6A84"/>
    <w:rsid w:val="00FC43E2"/>
    <w:rsid w:val="00FC6947"/>
    <w:rsid w:val="00FD4694"/>
    <w:rsid w:val="00FD580E"/>
    <w:rsid w:val="00FF4D7A"/>
    <w:rsid w:val="0110F376"/>
    <w:rsid w:val="022BC94F"/>
    <w:rsid w:val="023CAD69"/>
    <w:rsid w:val="03200C15"/>
    <w:rsid w:val="0325FD38"/>
    <w:rsid w:val="03F76665"/>
    <w:rsid w:val="049303BB"/>
    <w:rsid w:val="057FD547"/>
    <w:rsid w:val="05E058D6"/>
    <w:rsid w:val="06993068"/>
    <w:rsid w:val="06BC3A73"/>
    <w:rsid w:val="077C5E21"/>
    <w:rsid w:val="080CC5B2"/>
    <w:rsid w:val="0881C293"/>
    <w:rsid w:val="095116BA"/>
    <w:rsid w:val="096811EC"/>
    <w:rsid w:val="0A4C2DC2"/>
    <w:rsid w:val="0A79694C"/>
    <w:rsid w:val="0CC9DACD"/>
    <w:rsid w:val="0CDADC4F"/>
    <w:rsid w:val="0CEFF9B9"/>
    <w:rsid w:val="0D5F8CD8"/>
    <w:rsid w:val="0E83D51E"/>
    <w:rsid w:val="0EBB5A74"/>
    <w:rsid w:val="0EC645DD"/>
    <w:rsid w:val="10195723"/>
    <w:rsid w:val="103A2E8B"/>
    <w:rsid w:val="104E0E54"/>
    <w:rsid w:val="10809B7B"/>
    <w:rsid w:val="111CD836"/>
    <w:rsid w:val="12543D35"/>
    <w:rsid w:val="12AC84AF"/>
    <w:rsid w:val="130542BD"/>
    <w:rsid w:val="13454121"/>
    <w:rsid w:val="16F17F7A"/>
    <w:rsid w:val="17076DD3"/>
    <w:rsid w:val="17645403"/>
    <w:rsid w:val="17B627B3"/>
    <w:rsid w:val="17BB28C7"/>
    <w:rsid w:val="1A069CCD"/>
    <w:rsid w:val="1B941B05"/>
    <w:rsid w:val="1C348B88"/>
    <w:rsid w:val="1C8A8131"/>
    <w:rsid w:val="1CE5002A"/>
    <w:rsid w:val="1CFC0FFA"/>
    <w:rsid w:val="1E1E8B32"/>
    <w:rsid w:val="1F738CC7"/>
    <w:rsid w:val="1F9E71D7"/>
    <w:rsid w:val="2044CA9C"/>
    <w:rsid w:val="20A32A33"/>
    <w:rsid w:val="2179C305"/>
    <w:rsid w:val="22BF0E41"/>
    <w:rsid w:val="231B80F1"/>
    <w:rsid w:val="23CC6940"/>
    <w:rsid w:val="23F23782"/>
    <w:rsid w:val="24C570DB"/>
    <w:rsid w:val="27039123"/>
    <w:rsid w:val="2736B265"/>
    <w:rsid w:val="27C3BF93"/>
    <w:rsid w:val="27C8D7EA"/>
    <w:rsid w:val="28304267"/>
    <w:rsid w:val="2843858C"/>
    <w:rsid w:val="28BC2883"/>
    <w:rsid w:val="28C08750"/>
    <w:rsid w:val="2962558D"/>
    <w:rsid w:val="29BC575C"/>
    <w:rsid w:val="29C45439"/>
    <w:rsid w:val="29E687AF"/>
    <w:rsid w:val="2A125CE4"/>
    <w:rsid w:val="2AEECB7B"/>
    <w:rsid w:val="2B77DE5F"/>
    <w:rsid w:val="2B8DB994"/>
    <w:rsid w:val="2C05F30F"/>
    <w:rsid w:val="2C40A20E"/>
    <w:rsid w:val="2CA39852"/>
    <w:rsid w:val="2E5FD07B"/>
    <w:rsid w:val="2EA2EB92"/>
    <w:rsid w:val="2ECB3D4D"/>
    <w:rsid w:val="2EEDD922"/>
    <w:rsid w:val="2F44B9CF"/>
    <w:rsid w:val="2F78B228"/>
    <w:rsid w:val="3041D579"/>
    <w:rsid w:val="30F3AE4B"/>
    <w:rsid w:val="3152F2B2"/>
    <w:rsid w:val="324FC7FB"/>
    <w:rsid w:val="32CCA275"/>
    <w:rsid w:val="331F954A"/>
    <w:rsid w:val="33CF04C8"/>
    <w:rsid w:val="33DECB26"/>
    <w:rsid w:val="34F564A8"/>
    <w:rsid w:val="354AC821"/>
    <w:rsid w:val="3654D1F3"/>
    <w:rsid w:val="36923307"/>
    <w:rsid w:val="36B43E2B"/>
    <w:rsid w:val="37C94C2C"/>
    <w:rsid w:val="388DA75A"/>
    <w:rsid w:val="39015BB5"/>
    <w:rsid w:val="39600097"/>
    <w:rsid w:val="3992447F"/>
    <w:rsid w:val="3A7868F4"/>
    <w:rsid w:val="3ABA7B71"/>
    <w:rsid w:val="3C46C4A2"/>
    <w:rsid w:val="3CD96D58"/>
    <w:rsid w:val="3CED5E0D"/>
    <w:rsid w:val="3D5A6F10"/>
    <w:rsid w:val="3D8FB22F"/>
    <w:rsid w:val="3E05D4FA"/>
    <w:rsid w:val="3E753DB9"/>
    <w:rsid w:val="3E9BDD48"/>
    <w:rsid w:val="3EB9E78F"/>
    <w:rsid w:val="40742366"/>
    <w:rsid w:val="4075274C"/>
    <w:rsid w:val="407B8250"/>
    <w:rsid w:val="40F0662F"/>
    <w:rsid w:val="412111D5"/>
    <w:rsid w:val="41774915"/>
    <w:rsid w:val="425CD96F"/>
    <w:rsid w:val="42D9461D"/>
    <w:rsid w:val="42EECB98"/>
    <w:rsid w:val="44ADFC9A"/>
    <w:rsid w:val="44FD9715"/>
    <w:rsid w:val="454C4EB3"/>
    <w:rsid w:val="46A19F0C"/>
    <w:rsid w:val="46F50197"/>
    <w:rsid w:val="4767B1A0"/>
    <w:rsid w:val="4789D158"/>
    <w:rsid w:val="483307FF"/>
    <w:rsid w:val="499A1861"/>
    <w:rsid w:val="4A4A9AAB"/>
    <w:rsid w:val="4AA3F708"/>
    <w:rsid w:val="4AD6C6D9"/>
    <w:rsid w:val="4B06194A"/>
    <w:rsid w:val="4C9B8CA3"/>
    <w:rsid w:val="4D50AB5F"/>
    <w:rsid w:val="4D6C887A"/>
    <w:rsid w:val="4E09F3A4"/>
    <w:rsid w:val="4F3E0F53"/>
    <w:rsid w:val="4F711666"/>
    <w:rsid w:val="4FBF28D0"/>
    <w:rsid w:val="503EBF2B"/>
    <w:rsid w:val="50944D6B"/>
    <w:rsid w:val="50C91EC8"/>
    <w:rsid w:val="50EA81F2"/>
    <w:rsid w:val="523D9571"/>
    <w:rsid w:val="52A8B728"/>
    <w:rsid w:val="53D127BA"/>
    <w:rsid w:val="53D84AF7"/>
    <w:rsid w:val="54600CCB"/>
    <w:rsid w:val="5534EAA7"/>
    <w:rsid w:val="56856880"/>
    <w:rsid w:val="576753A8"/>
    <w:rsid w:val="581FF9B3"/>
    <w:rsid w:val="58AAD06D"/>
    <w:rsid w:val="5BA78C00"/>
    <w:rsid w:val="5BC20A8B"/>
    <w:rsid w:val="5BFDF097"/>
    <w:rsid w:val="5C32B108"/>
    <w:rsid w:val="5CA5373D"/>
    <w:rsid w:val="5D5DDAEC"/>
    <w:rsid w:val="5E43EBE6"/>
    <w:rsid w:val="5ED82EB2"/>
    <w:rsid w:val="5EE2E175"/>
    <w:rsid w:val="5FA2788B"/>
    <w:rsid w:val="600E281E"/>
    <w:rsid w:val="602C48C9"/>
    <w:rsid w:val="60576844"/>
    <w:rsid w:val="60EA3208"/>
    <w:rsid w:val="619EBA4A"/>
    <w:rsid w:val="61D50F93"/>
    <w:rsid w:val="62068607"/>
    <w:rsid w:val="6255C58E"/>
    <w:rsid w:val="6295D97F"/>
    <w:rsid w:val="63BC3C18"/>
    <w:rsid w:val="63C7D4CB"/>
    <w:rsid w:val="643D2E13"/>
    <w:rsid w:val="65142669"/>
    <w:rsid w:val="6527840E"/>
    <w:rsid w:val="653A2734"/>
    <w:rsid w:val="655F3E3B"/>
    <w:rsid w:val="65FE693A"/>
    <w:rsid w:val="66090DB4"/>
    <w:rsid w:val="6613C75E"/>
    <w:rsid w:val="66894784"/>
    <w:rsid w:val="66EA3EA7"/>
    <w:rsid w:val="672F5CD4"/>
    <w:rsid w:val="6792DF34"/>
    <w:rsid w:val="67A02DE8"/>
    <w:rsid w:val="67D6B0EF"/>
    <w:rsid w:val="6947DDBB"/>
    <w:rsid w:val="6A1ADC2B"/>
    <w:rsid w:val="6A3A2CD7"/>
    <w:rsid w:val="6B7FE158"/>
    <w:rsid w:val="6C927656"/>
    <w:rsid w:val="6CCF3B28"/>
    <w:rsid w:val="6CF24533"/>
    <w:rsid w:val="6D22C51E"/>
    <w:rsid w:val="6D7D9503"/>
    <w:rsid w:val="6E6A8E1F"/>
    <w:rsid w:val="6E8B6D3D"/>
    <w:rsid w:val="6EA35AC1"/>
    <w:rsid w:val="6ECED437"/>
    <w:rsid w:val="6EF52B36"/>
    <w:rsid w:val="7166EB8E"/>
    <w:rsid w:val="719A4204"/>
    <w:rsid w:val="72B6B7C1"/>
    <w:rsid w:val="73CA1932"/>
    <w:rsid w:val="73F9FE24"/>
    <w:rsid w:val="743F245A"/>
    <w:rsid w:val="74A294DA"/>
    <w:rsid w:val="753DB1C2"/>
    <w:rsid w:val="7709A625"/>
    <w:rsid w:val="77888345"/>
    <w:rsid w:val="77EEDD22"/>
    <w:rsid w:val="78661499"/>
    <w:rsid w:val="79590F65"/>
    <w:rsid w:val="7993472D"/>
    <w:rsid w:val="79D7E610"/>
    <w:rsid w:val="7A5452BE"/>
    <w:rsid w:val="7A981ABD"/>
    <w:rsid w:val="7B265757"/>
    <w:rsid w:val="7B462FD0"/>
    <w:rsid w:val="7B65A861"/>
    <w:rsid w:val="7D5DFBB7"/>
    <w:rsid w:val="7FFFD2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3D170"/>
  <w15:chartTrackingRefBased/>
  <w15:docId w15:val="{41C060D5-F8B6-45A8-A633-8046F39FE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6339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C45693"/>
    <w:pPr>
      <w:keepNext/>
      <w:jc w:val="both"/>
      <w:outlineLvl w:val="0"/>
    </w:pPr>
    <w:rPr>
      <w:b/>
      <w:bCs/>
    </w:rPr>
  </w:style>
  <w:style w:type="paragraph" w:styleId="Nagwek2">
    <w:name w:val="heading 2"/>
    <w:basedOn w:val="Normalny"/>
    <w:next w:val="Normalny"/>
    <w:link w:val="Nagwek2Znak"/>
    <w:uiPriority w:val="99"/>
    <w:qFormat/>
    <w:rsid w:val="00C45693"/>
    <w:pPr>
      <w:keepNext/>
      <w:jc w:val="center"/>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45693"/>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uiPriority w:val="99"/>
    <w:rsid w:val="00C45693"/>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C45693"/>
    <w:pPr>
      <w:jc w:val="both"/>
    </w:pPr>
    <w:rPr>
      <w:sz w:val="16"/>
      <w:szCs w:val="16"/>
    </w:rPr>
  </w:style>
  <w:style w:type="character" w:customStyle="1" w:styleId="TekstpodstawowyZnak">
    <w:name w:val="Tekst podstawowy Znak"/>
    <w:basedOn w:val="Domylnaczcionkaakapitu"/>
    <w:link w:val="Tekstpodstawowy"/>
    <w:uiPriority w:val="99"/>
    <w:rsid w:val="00C45693"/>
    <w:rPr>
      <w:rFonts w:ascii="Times New Roman" w:eastAsia="Times New Roman" w:hAnsi="Times New Roman" w:cs="Times New Roman"/>
      <w:sz w:val="16"/>
      <w:szCs w:val="16"/>
      <w:lang w:eastAsia="pl-PL"/>
    </w:rPr>
  </w:style>
  <w:style w:type="paragraph" w:styleId="Tytu">
    <w:name w:val="Title"/>
    <w:basedOn w:val="Normalny"/>
    <w:link w:val="TytuZnak"/>
    <w:uiPriority w:val="99"/>
    <w:qFormat/>
    <w:rsid w:val="00C45693"/>
    <w:pPr>
      <w:jc w:val="center"/>
    </w:pPr>
    <w:rPr>
      <w:b/>
      <w:bCs/>
    </w:rPr>
  </w:style>
  <w:style w:type="character" w:customStyle="1" w:styleId="TytuZnak">
    <w:name w:val="Tytuł Znak"/>
    <w:basedOn w:val="Domylnaczcionkaakapitu"/>
    <w:link w:val="Tytu"/>
    <w:uiPriority w:val="99"/>
    <w:rsid w:val="00C45693"/>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C45693"/>
    <w:pPr>
      <w:spacing w:before="100" w:beforeAutospacing="1" w:after="100" w:afterAutospacing="1"/>
    </w:pPr>
  </w:style>
  <w:style w:type="character" w:customStyle="1" w:styleId="normaltextrun">
    <w:name w:val="normaltextrun"/>
    <w:rsid w:val="00C45693"/>
  </w:style>
  <w:style w:type="character" w:customStyle="1" w:styleId="eop">
    <w:name w:val="eop"/>
    <w:rsid w:val="00C45693"/>
  </w:style>
  <w:style w:type="paragraph" w:customStyle="1" w:styleId="divpkt">
    <w:name w:val="div.pkt"/>
    <w:uiPriority w:val="99"/>
    <w:rsid w:val="00C45693"/>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paragraph" w:customStyle="1" w:styleId="divparagraph">
    <w:name w:val="div.paragraph"/>
    <w:uiPriority w:val="99"/>
    <w:rsid w:val="00C45693"/>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pparinner">
    <w:name w:val="p.parinner"/>
    <w:uiPriority w:val="99"/>
    <w:rsid w:val="00C45693"/>
    <w:pPr>
      <w:widowControl w:val="0"/>
      <w:autoSpaceDE w:val="0"/>
      <w:autoSpaceDN w:val="0"/>
      <w:adjustRightInd w:val="0"/>
      <w:spacing w:before="40" w:after="40" w:line="40" w:lineRule="atLeast"/>
      <w:jc w:val="both"/>
    </w:pPr>
    <w:rPr>
      <w:rFonts w:ascii="Helvetica" w:eastAsia="Times New Roman" w:hAnsi="Helvetica" w:cs="Helvetica"/>
      <w:color w:val="000000"/>
      <w:sz w:val="18"/>
      <w:szCs w:val="18"/>
      <w:lang w:eastAsia="pl-PL"/>
    </w:rPr>
  </w:style>
  <w:style w:type="paragraph" w:customStyle="1" w:styleId="h1chapter">
    <w:name w:val="h1.chapter"/>
    <w:uiPriority w:val="99"/>
    <w:rsid w:val="00C45693"/>
    <w:pPr>
      <w:widowControl w:val="0"/>
      <w:autoSpaceDE w:val="0"/>
      <w:autoSpaceDN w:val="0"/>
      <w:adjustRightInd w:val="0"/>
      <w:spacing w:before="180" w:after="0" w:line="180" w:lineRule="atLeast"/>
      <w:jc w:val="center"/>
    </w:pPr>
    <w:rPr>
      <w:rFonts w:ascii="Helvetica" w:eastAsia="Times New Roman" w:hAnsi="Helvetica" w:cs="Helvetica"/>
      <w:b/>
      <w:bCs/>
      <w:color w:val="000000"/>
      <w:sz w:val="18"/>
      <w:szCs w:val="18"/>
      <w:lang w:eastAsia="pl-PL"/>
    </w:rPr>
  </w:style>
  <w:style w:type="paragraph" w:styleId="Tekstkomentarza">
    <w:name w:val="annotation text"/>
    <w:basedOn w:val="Normalny"/>
    <w:link w:val="TekstkomentarzaZnak"/>
    <w:uiPriority w:val="99"/>
    <w:qFormat/>
    <w:rsid w:val="004B6CB4"/>
    <w:rPr>
      <w:sz w:val="20"/>
      <w:szCs w:val="20"/>
    </w:rPr>
  </w:style>
  <w:style w:type="character" w:customStyle="1" w:styleId="TekstkomentarzaZnak">
    <w:name w:val="Tekst komentarza Znak"/>
    <w:basedOn w:val="Domylnaczcionkaakapitu"/>
    <w:link w:val="Tekstkomentarza"/>
    <w:uiPriority w:val="99"/>
    <w:qFormat/>
    <w:rsid w:val="004B6CB4"/>
    <w:rPr>
      <w:rFonts w:ascii="Times New Roman" w:eastAsia="Times New Roman" w:hAnsi="Times New Roman" w:cs="Times New Roman"/>
      <w:sz w:val="20"/>
      <w:szCs w:val="20"/>
      <w:lang w:eastAsia="pl-PL"/>
    </w:rPr>
  </w:style>
  <w:style w:type="character" w:styleId="Hipercze">
    <w:name w:val="Hyperlink"/>
    <w:uiPriority w:val="99"/>
    <w:rsid w:val="004B6CB4"/>
    <w:rPr>
      <w:color w:val="0000FF"/>
      <w:u w:val="single"/>
    </w:rPr>
  </w:style>
  <w:style w:type="paragraph" w:customStyle="1" w:styleId="PKTpunkt">
    <w:name w:val="PKT – punkt"/>
    <w:uiPriority w:val="13"/>
    <w:qFormat/>
    <w:rsid w:val="004B6CB4"/>
    <w:pPr>
      <w:spacing w:after="0" w:line="360" w:lineRule="auto"/>
      <w:ind w:left="510" w:hanging="510"/>
      <w:jc w:val="both"/>
    </w:pPr>
    <w:rPr>
      <w:rFonts w:ascii="Times" w:eastAsia="Times New Roman" w:hAnsi="Times" w:cs="Arial"/>
      <w:bCs/>
      <w:sz w:val="24"/>
      <w:szCs w:val="20"/>
      <w:lang w:eastAsia="pl-PL"/>
    </w:rPr>
  </w:style>
  <w:style w:type="paragraph" w:styleId="Akapitzlist">
    <w:name w:val="List Paragraph"/>
    <w:basedOn w:val="Normalny"/>
    <w:uiPriority w:val="34"/>
    <w:qFormat/>
    <w:rsid w:val="004B6CB4"/>
    <w:pPr>
      <w:ind w:left="720"/>
      <w:contextualSpacing/>
    </w:pPr>
  </w:style>
  <w:style w:type="paragraph" w:customStyle="1" w:styleId="ARTartustawynprozporzdzenia">
    <w:name w:val="ART(§) – art. ustawy (§ np. rozporządzenia)"/>
    <w:uiPriority w:val="11"/>
    <w:qFormat/>
    <w:rsid w:val="006977AC"/>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character" w:customStyle="1" w:styleId="Ppogrubienie">
    <w:name w:val="_P_ – pogrubienie"/>
    <w:uiPriority w:val="1"/>
    <w:qFormat/>
    <w:rsid w:val="006977AC"/>
    <w:rPr>
      <w:rFonts w:cs="Times New Roman"/>
      <w:b/>
    </w:rPr>
  </w:style>
  <w:style w:type="paragraph" w:customStyle="1" w:styleId="USTustnpkodeksu">
    <w:name w:val="UST(§) – ust. (§ np. kodeksu)"/>
    <w:basedOn w:val="ARTartustawynprozporzdzenia"/>
    <w:link w:val="USTustnpkodeksuZnak"/>
    <w:uiPriority w:val="12"/>
    <w:qFormat/>
    <w:rsid w:val="004E724D"/>
    <w:pPr>
      <w:spacing w:before="0"/>
    </w:pPr>
    <w:rPr>
      <w:bCs/>
    </w:rPr>
  </w:style>
  <w:style w:type="character" w:customStyle="1" w:styleId="USTustnpkodeksuZnak">
    <w:name w:val="UST(§) – ust. (§ np. kodeksu) Znak"/>
    <w:link w:val="USTustnpkodeksu"/>
    <w:uiPriority w:val="12"/>
    <w:rsid w:val="004E724D"/>
    <w:rPr>
      <w:rFonts w:ascii="Times" w:eastAsia="Times New Roman" w:hAnsi="Times" w:cs="Arial"/>
      <w:bCs/>
      <w:sz w:val="24"/>
      <w:szCs w:val="20"/>
      <w:lang w:eastAsia="pl-PL"/>
    </w:rPr>
  </w:style>
  <w:style w:type="paragraph" w:customStyle="1" w:styleId="ROZDZODDZPRZEDMprzedmiotregulacjirozdziauluboddziau">
    <w:name w:val="ROZDZ(ODDZ)_PRZEDM – przedmiot regulacji rozdziału lub oddziału"/>
    <w:next w:val="ARTartustawynprozporzdzenia"/>
    <w:uiPriority w:val="10"/>
    <w:qFormat/>
    <w:rsid w:val="004E724D"/>
    <w:pPr>
      <w:keepNext/>
      <w:suppressAutoHyphens/>
      <w:spacing w:before="120" w:after="0" w:line="360" w:lineRule="auto"/>
      <w:jc w:val="center"/>
    </w:pPr>
    <w:rPr>
      <w:rFonts w:ascii="Times" w:eastAsiaTheme="minorEastAsia" w:hAnsi="Times" w:cs="Times New Roman"/>
      <w:b/>
      <w:bCs/>
      <w:sz w:val="24"/>
      <w:szCs w:val="24"/>
      <w:lang w:eastAsia="pl-PL"/>
    </w:rPr>
  </w:style>
  <w:style w:type="paragraph" w:customStyle="1" w:styleId="ROZDZODDZOZNoznaczenierozdziauluboddziau">
    <w:name w:val="ROZDZ(ODDZ)_OZN – oznaczenie rozdziału lub oddziału"/>
    <w:next w:val="ARTartustawynprozporzdzenia"/>
    <w:uiPriority w:val="10"/>
    <w:qFormat/>
    <w:rsid w:val="004E724D"/>
    <w:pPr>
      <w:keepNext/>
      <w:suppressAutoHyphens/>
      <w:spacing w:before="120" w:after="0" w:line="360" w:lineRule="auto"/>
      <w:jc w:val="center"/>
    </w:pPr>
    <w:rPr>
      <w:rFonts w:ascii="Times" w:eastAsiaTheme="minorEastAsia" w:hAnsi="Times" w:cs="Arial"/>
      <w:bCs/>
      <w:kern w:val="24"/>
      <w:sz w:val="24"/>
      <w:szCs w:val="24"/>
      <w:lang w:eastAsia="pl-PL"/>
    </w:rPr>
  </w:style>
  <w:style w:type="paragraph" w:customStyle="1" w:styleId="LITlitera">
    <w:name w:val="LIT – litera"/>
    <w:basedOn w:val="PKTpunkt"/>
    <w:uiPriority w:val="14"/>
    <w:qFormat/>
    <w:rsid w:val="004E724D"/>
    <w:pPr>
      <w:ind w:left="986" w:hanging="476"/>
    </w:pPr>
  </w:style>
  <w:style w:type="paragraph" w:customStyle="1" w:styleId="CZWSPLITczwsplnaliter">
    <w:name w:val="CZ_WSP_LIT – część wspólna liter"/>
    <w:basedOn w:val="LITlitera"/>
    <w:next w:val="USTustnpkodeksu"/>
    <w:uiPriority w:val="17"/>
    <w:qFormat/>
    <w:rsid w:val="004E724D"/>
    <w:pPr>
      <w:ind w:left="510" w:firstLine="0"/>
    </w:pPr>
    <w:rPr>
      <w:rFonts w:eastAsiaTheme="minorEastAsia"/>
      <w:szCs w:val="24"/>
    </w:rPr>
  </w:style>
  <w:style w:type="paragraph" w:customStyle="1" w:styleId="CZWSPPKTczwsplnapunktw">
    <w:name w:val="CZ_WSP_PKT – część wspólna punktów"/>
    <w:basedOn w:val="PKTpunkt"/>
    <w:next w:val="USTustnpkodeksu"/>
    <w:uiPriority w:val="16"/>
    <w:qFormat/>
    <w:rsid w:val="004E724D"/>
    <w:pPr>
      <w:ind w:left="0" w:firstLine="0"/>
    </w:pPr>
    <w:rPr>
      <w:rFonts w:eastAsiaTheme="minorEastAsia"/>
    </w:rPr>
  </w:style>
  <w:style w:type="character" w:customStyle="1" w:styleId="highlight-disabled">
    <w:name w:val="highlight-disabled"/>
    <w:basedOn w:val="Domylnaczcionkaakapitu"/>
    <w:rsid w:val="00BD4EF3"/>
  </w:style>
  <w:style w:type="paragraph" w:customStyle="1" w:styleId="ti-section-1">
    <w:name w:val="ti-section-1"/>
    <w:basedOn w:val="Normalny"/>
    <w:rsid w:val="00A77AEA"/>
    <w:pPr>
      <w:spacing w:before="100" w:beforeAutospacing="1" w:after="100" w:afterAutospacing="1"/>
    </w:pPr>
  </w:style>
  <w:style w:type="paragraph" w:customStyle="1" w:styleId="ti-section-2">
    <w:name w:val="ti-section-2"/>
    <w:basedOn w:val="Normalny"/>
    <w:rsid w:val="00A77AEA"/>
    <w:pPr>
      <w:spacing w:before="100" w:beforeAutospacing="1" w:after="100" w:afterAutospacing="1"/>
    </w:pPr>
  </w:style>
  <w:style w:type="character" w:customStyle="1" w:styleId="bold">
    <w:name w:val="bold"/>
    <w:rsid w:val="00A77AEA"/>
  </w:style>
  <w:style w:type="paragraph" w:customStyle="1" w:styleId="ti-art">
    <w:name w:val="ti-art"/>
    <w:basedOn w:val="Normalny"/>
    <w:rsid w:val="00A77AEA"/>
    <w:pPr>
      <w:spacing w:before="100" w:beforeAutospacing="1" w:after="100" w:afterAutospacing="1"/>
    </w:pPr>
  </w:style>
  <w:style w:type="paragraph" w:customStyle="1" w:styleId="sti-art">
    <w:name w:val="sti-art"/>
    <w:basedOn w:val="Normalny"/>
    <w:rsid w:val="00A77AEA"/>
    <w:pPr>
      <w:spacing w:before="100" w:beforeAutospacing="1" w:after="100" w:afterAutospacing="1"/>
    </w:pPr>
  </w:style>
  <w:style w:type="paragraph" w:customStyle="1" w:styleId="Normalny1">
    <w:name w:val="Normalny1"/>
    <w:basedOn w:val="Normalny"/>
    <w:rsid w:val="00A77AEA"/>
    <w:pPr>
      <w:spacing w:before="100" w:beforeAutospacing="1" w:after="100" w:afterAutospacing="1"/>
    </w:pPr>
  </w:style>
  <w:style w:type="paragraph" w:customStyle="1" w:styleId="paragraph">
    <w:name w:val="paragraph"/>
    <w:basedOn w:val="Normalny"/>
    <w:rsid w:val="006734D9"/>
    <w:pPr>
      <w:spacing w:before="100" w:beforeAutospacing="1" w:after="100" w:afterAutospacing="1"/>
    </w:pPr>
  </w:style>
  <w:style w:type="paragraph" w:customStyle="1" w:styleId="title-article-norm">
    <w:name w:val="title-article-norm"/>
    <w:basedOn w:val="Normalny"/>
    <w:rsid w:val="009D656C"/>
    <w:pPr>
      <w:spacing w:before="100" w:beforeAutospacing="1" w:after="100" w:afterAutospacing="1"/>
    </w:pPr>
  </w:style>
  <w:style w:type="paragraph" w:customStyle="1" w:styleId="stitle-article-norm">
    <w:name w:val="stitle-article-norm"/>
    <w:basedOn w:val="Normalny"/>
    <w:rsid w:val="009D656C"/>
    <w:pPr>
      <w:spacing w:before="100" w:beforeAutospacing="1" w:after="100" w:afterAutospacing="1"/>
    </w:pPr>
  </w:style>
  <w:style w:type="paragraph" w:customStyle="1" w:styleId="norm">
    <w:name w:val="norm"/>
    <w:basedOn w:val="Normalny"/>
    <w:rsid w:val="009D656C"/>
    <w:pPr>
      <w:spacing w:before="100" w:beforeAutospacing="1" w:after="100" w:afterAutospacing="1"/>
    </w:pPr>
  </w:style>
  <w:style w:type="character" w:styleId="Pogrubienie">
    <w:name w:val="Strong"/>
    <w:basedOn w:val="Domylnaczcionkaakapitu"/>
    <w:uiPriority w:val="22"/>
    <w:qFormat/>
    <w:rsid w:val="00042FF8"/>
    <w:rPr>
      <w:b/>
      <w:bCs/>
    </w:rPr>
  </w:style>
  <w:style w:type="paragraph" w:styleId="Tekstdymka">
    <w:name w:val="Balloon Text"/>
    <w:basedOn w:val="Normalny"/>
    <w:link w:val="TekstdymkaZnak"/>
    <w:uiPriority w:val="99"/>
    <w:semiHidden/>
    <w:unhideWhenUsed/>
    <w:rsid w:val="00EE68B1"/>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68B1"/>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rsid w:val="009D6A1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686731">
      <w:bodyDiv w:val="1"/>
      <w:marLeft w:val="0"/>
      <w:marRight w:val="0"/>
      <w:marTop w:val="0"/>
      <w:marBottom w:val="0"/>
      <w:divBdr>
        <w:top w:val="none" w:sz="0" w:space="0" w:color="auto"/>
        <w:left w:val="none" w:sz="0" w:space="0" w:color="auto"/>
        <w:bottom w:val="none" w:sz="0" w:space="0" w:color="auto"/>
        <w:right w:val="none" w:sz="0" w:space="0" w:color="auto"/>
      </w:divBdr>
    </w:div>
    <w:div w:id="1322463448">
      <w:bodyDiv w:val="1"/>
      <w:marLeft w:val="0"/>
      <w:marRight w:val="0"/>
      <w:marTop w:val="0"/>
      <w:marBottom w:val="0"/>
      <w:divBdr>
        <w:top w:val="none" w:sz="0" w:space="0" w:color="auto"/>
        <w:left w:val="none" w:sz="0" w:space="0" w:color="auto"/>
        <w:bottom w:val="none" w:sz="0" w:space="0" w:color="auto"/>
        <w:right w:val="none" w:sz="0" w:space="0" w:color="auto"/>
      </w:divBdr>
    </w:div>
    <w:div w:id="1385450241">
      <w:bodyDiv w:val="1"/>
      <w:marLeft w:val="0"/>
      <w:marRight w:val="0"/>
      <w:marTop w:val="0"/>
      <w:marBottom w:val="0"/>
      <w:divBdr>
        <w:top w:val="none" w:sz="0" w:space="0" w:color="auto"/>
        <w:left w:val="none" w:sz="0" w:space="0" w:color="auto"/>
        <w:bottom w:val="none" w:sz="0" w:space="0" w:color="auto"/>
        <w:right w:val="none" w:sz="0" w:space="0" w:color="auto"/>
      </w:divBdr>
    </w:div>
    <w:div w:id="1388257346">
      <w:bodyDiv w:val="1"/>
      <w:marLeft w:val="0"/>
      <w:marRight w:val="0"/>
      <w:marTop w:val="0"/>
      <w:marBottom w:val="0"/>
      <w:divBdr>
        <w:top w:val="none" w:sz="0" w:space="0" w:color="auto"/>
        <w:left w:val="none" w:sz="0" w:space="0" w:color="auto"/>
        <w:bottom w:val="none" w:sz="0" w:space="0" w:color="auto"/>
        <w:right w:val="none" w:sz="0" w:space="0" w:color="auto"/>
      </w:divBdr>
      <w:divsChild>
        <w:div w:id="840393660">
          <w:marLeft w:val="0"/>
          <w:marRight w:val="0"/>
          <w:marTop w:val="0"/>
          <w:marBottom w:val="0"/>
          <w:divBdr>
            <w:top w:val="none" w:sz="0" w:space="0" w:color="auto"/>
            <w:left w:val="none" w:sz="0" w:space="0" w:color="auto"/>
            <w:bottom w:val="none" w:sz="0" w:space="0" w:color="auto"/>
            <w:right w:val="none" w:sz="0" w:space="0" w:color="auto"/>
          </w:divBdr>
          <w:divsChild>
            <w:div w:id="248538287">
              <w:marLeft w:val="0"/>
              <w:marRight w:val="0"/>
              <w:marTop w:val="0"/>
              <w:marBottom w:val="0"/>
              <w:divBdr>
                <w:top w:val="none" w:sz="0" w:space="0" w:color="auto"/>
                <w:left w:val="none" w:sz="0" w:space="0" w:color="auto"/>
                <w:bottom w:val="none" w:sz="0" w:space="0" w:color="auto"/>
                <w:right w:val="none" w:sz="0" w:space="0" w:color="auto"/>
              </w:divBdr>
            </w:div>
          </w:divsChild>
        </w:div>
        <w:div w:id="1770469126">
          <w:marLeft w:val="0"/>
          <w:marRight w:val="0"/>
          <w:marTop w:val="0"/>
          <w:marBottom w:val="0"/>
          <w:divBdr>
            <w:top w:val="none" w:sz="0" w:space="0" w:color="auto"/>
            <w:left w:val="none" w:sz="0" w:space="0" w:color="auto"/>
            <w:bottom w:val="none" w:sz="0" w:space="0" w:color="auto"/>
            <w:right w:val="none" w:sz="0" w:space="0" w:color="auto"/>
          </w:divBdr>
          <w:divsChild>
            <w:div w:id="911355670">
              <w:marLeft w:val="0"/>
              <w:marRight w:val="0"/>
              <w:marTop w:val="0"/>
              <w:marBottom w:val="0"/>
              <w:divBdr>
                <w:top w:val="none" w:sz="0" w:space="0" w:color="auto"/>
                <w:left w:val="none" w:sz="0" w:space="0" w:color="auto"/>
                <w:bottom w:val="none" w:sz="0" w:space="0" w:color="auto"/>
                <w:right w:val="none" w:sz="0" w:space="0" w:color="auto"/>
              </w:divBdr>
            </w:div>
            <w:div w:id="1709797874">
              <w:marLeft w:val="0"/>
              <w:marRight w:val="0"/>
              <w:marTop w:val="0"/>
              <w:marBottom w:val="0"/>
              <w:divBdr>
                <w:top w:val="none" w:sz="0" w:space="0" w:color="auto"/>
                <w:left w:val="none" w:sz="0" w:space="0" w:color="auto"/>
                <w:bottom w:val="none" w:sz="0" w:space="0" w:color="auto"/>
                <w:right w:val="none" w:sz="0" w:space="0" w:color="auto"/>
              </w:divBdr>
            </w:div>
            <w:div w:id="2027368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493912">
      <w:bodyDiv w:val="1"/>
      <w:marLeft w:val="0"/>
      <w:marRight w:val="0"/>
      <w:marTop w:val="0"/>
      <w:marBottom w:val="0"/>
      <w:divBdr>
        <w:top w:val="none" w:sz="0" w:space="0" w:color="auto"/>
        <w:left w:val="none" w:sz="0" w:space="0" w:color="auto"/>
        <w:bottom w:val="none" w:sz="0" w:space="0" w:color="auto"/>
        <w:right w:val="none" w:sz="0" w:space="0" w:color="auto"/>
      </w:divBdr>
      <w:divsChild>
        <w:div w:id="1719743452">
          <w:marLeft w:val="300"/>
          <w:marRight w:val="0"/>
          <w:marTop w:val="0"/>
          <w:marBottom w:val="0"/>
          <w:divBdr>
            <w:top w:val="none" w:sz="0" w:space="0" w:color="auto"/>
            <w:left w:val="none" w:sz="0" w:space="0" w:color="auto"/>
            <w:bottom w:val="none" w:sz="0" w:space="0" w:color="auto"/>
            <w:right w:val="none" w:sz="0" w:space="0" w:color="auto"/>
          </w:divBdr>
        </w:div>
        <w:div w:id="144857384">
          <w:marLeft w:val="300"/>
          <w:marRight w:val="0"/>
          <w:marTop w:val="0"/>
          <w:marBottom w:val="0"/>
          <w:divBdr>
            <w:top w:val="none" w:sz="0" w:space="0" w:color="auto"/>
            <w:left w:val="none" w:sz="0" w:space="0" w:color="auto"/>
            <w:bottom w:val="none" w:sz="0" w:space="0" w:color="auto"/>
            <w:right w:val="none" w:sz="0" w:space="0" w:color="auto"/>
          </w:divBdr>
        </w:div>
        <w:div w:id="2012685254">
          <w:marLeft w:val="300"/>
          <w:marRight w:val="0"/>
          <w:marTop w:val="0"/>
          <w:marBottom w:val="0"/>
          <w:divBdr>
            <w:top w:val="none" w:sz="0" w:space="0" w:color="auto"/>
            <w:left w:val="none" w:sz="0" w:space="0" w:color="auto"/>
            <w:bottom w:val="none" w:sz="0" w:space="0" w:color="auto"/>
            <w:right w:val="none" w:sz="0" w:space="0" w:color="auto"/>
          </w:divBdr>
        </w:div>
      </w:divsChild>
    </w:div>
    <w:div w:id="2133479617">
      <w:bodyDiv w:val="1"/>
      <w:marLeft w:val="0"/>
      <w:marRight w:val="0"/>
      <w:marTop w:val="0"/>
      <w:marBottom w:val="0"/>
      <w:divBdr>
        <w:top w:val="none" w:sz="0" w:space="0" w:color="auto"/>
        <w:left w:val="none" w:sz="0" w:space="0" w:color="auto"/>
        <w:bottom w:val="none" w:sz="0" w:space="0" w:color="auto"/>
        <w:right w:val="none" w:sz="0" w:space="0" w:color="auto"/>
      </w:divBdr>
      <w:divsChild>
        <w:div w:id="228614134">
          <w:marLeft w:val="480"/>
          <w:marRight w:val="0"/>
          <w:marTop w:val="0"/>
          <w:marBottom w:val="0"/>
          <w:divBdr>
            <w:top w:val="none" w:sz="0" w:space="0" w:color="auto"/>
            <w:left w:val="none" w:sz="0" w:space="0" w:color="auto"/>
            <w:bottom w:val="none" w:sz="0" w:space="0" w:color="auto"/>
            <w:right w:val="none" w:sz="0" w:space="0" w:color="auto"/>
          </w:divBdr>
        </w:div>
        <w:div w:id="379019465">
          <w:marLeft w:val="480"/>
          <w:marRight w:val="0"/>
          <w:marTop w:val="0"/>
          <w:marBottom w:val="0"/>
          <w:divBdr>
            <w:top w:val="none" w:sz="0" w:space="0" w:color="auto"/>
            <w:left w:val="none" w:sz="0" w:space="0" w:color="auto"/>
            <w:bottom w:val="none" w:sz="0" w:space="0" w:color="auto"/>
            <w:right w:val="none" w:sz="0" w:space="0" w:color="auto"/>
          </w:divBdr>
        </w:div>
        <w:div w:id="753867274">
          <w:marLeft w:val="480"/>
          <w:marRight w:val="0"/>
          <w:marTop w:val="0"/>
          <w:marBottom w:val="0"/>
          <w:divBdr>
            <w:top w:val="none" w:sz="0" w:space="0" w:color="auto"/>
            <w:left w:val="none" w:sz="0" w:space="0" w:color="auto"/>
            <w:bottom w:val="none" w:sz="0" w:space="0" w:color="auto"/>
            <w:right w:val="none" w:sz="0" w:space="0" w:color="auto"/>
          </w:divBdr>
        </w:div>
        <w:div w:id="1070925525">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D1B5F-E36B-418F-8269-5960D08671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F5025-5707-4B12-8CD3-79BF72E16057}">
  <ds:schemaRefs>
    <ds:schemaRef ds:uri="http://schemas.microsoft.com/sharepoint/v3/contenttype/forms"/>
  </ds:schemaRefs>
</ds:datastoreItem>
</file>

<file path=customXml/itemProps3.xml><?xml version="1.0" encoding="utf-8"?>
<ds:datastoreItem xmlns:ds="http://schemas.openxmlformats.org/officeDocument/2006/customXml" ds:itemID="{98BF4665-E809-4F6C-9B4D-BB7E64C76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799AD2-F89A-421F-805D-6DF86359D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134</Pages>
  <Words>31924</Words>
  <Characters>191550</Characters>
  <Application>Microsoft Office Word</Application>
  <DocSecurity>0</DocSecurity>
  <Lines>1596</Lines>
  <Paragraphs>446</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223028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Chruszcz Agnieszka</dc:creator>
  <cp:keywords/>
  <dc:description/>
  <cp:lastModifiedBy>Książkiewicz Agnieszka</cp:lastModifiedBy>
  <cp:revision>2</cp:revision>
  <dcterms:created xsi:type="dcterms:W3CDTF">2021-02-12T08:58:00Z</dcterms:created>
  <dcterms:modified xsi:type="dcterms:W3CDTF">2021-02-12T08:58:00Z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