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A21DF" w14:textId="030E755F" w:rsidR="000B641D" w:rsidRPr="00395BFF" w:rsidRDefault="00E039D2">
      <w:pPr>
        <w:spacing w:after="266"/>
        <w:ind w:left="1243"/>
        <w:rPr>
          <w:sz w:val="24"/>
          <w:szCs w:val="24"/>
        </w:rPr>
      </w:pPr>
      <w:r>
        <w:t xml:space="preserve">  </w:t>
      </w:r>
      <w:r w:rsidR="00F83F19">
        <w:rPr>
          <w:noProof/>
        </w:rPr>
        <w:drawing>
          <wp:inline distT="0" distB="0" distL="0" distR="0" wp14:anchorId="36715284" wp14:editId="3477656D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 w:rsidRPr="00395BFF">
        <w:rPr>
          <w:sz w:val="24"/>
          <w:szCs w:val="24"/>
        </w:rPr>
        <w:tab/>
      </w:r>
      <w:r w:rsidR="00ED1491" w:rsidRPr="00395BFF">
        <w:rPr>
          <w:sz w:val="24"/>
          <w:szCs w:val="24"/>
        </w:rPr>
        <w:tab/>
      </w:r>
      <w:r w:rsidR="0039460D">
        <w:rPr>
          <w:sz w:val="24"/>
          <w:szCs w:val="24"/>
        </w:rPr>
        <w:t xml:space="preserve">                 </w:t>
      </w:r>
      <w:r w:rsidR="00ED1491" w:rsidRPr="00395BFF">
        <w:rPr>
          <w:sz w:val="24"/>
          <w:szCs w:val="24"/>
        </w:rPr>
        <w:t>Warszawa,</w:t>
      </w:r>
      <w:r w:rsidR="009F18AC">
        <w:rPr>
          <w:sz w:val="24"/>
          <w:szCs w:val="24"/>
        </w:rPr>
        <w:t xml:space="preserve"> </w:t>
      </w:r>
      <w:r w:rsidR="00A74059">
        <w:rPr>
          <w:sz w:val="24"/>
          <w:szCs w:val="24"/>
        </w:rPr>
        <w:t xml:space="preserve"> </w:t>
      </w:r>
      <w:r w:rsidR="0039460D">
        <w:rPr>
          <w:sz w:val="24"/>
          <w:szCs w:val="24"/>
        </w:rPr>
        <w:t>26</w:t>
      </w:r>
      <w:r w:rsidR="00A74059">
        <w:rPr>
          <w:sz w:val="24"/>
          <w:szCs w:val="24"/>
        </w:rPr>
        <w:t xml:space="preserve">   sierpnia</w:t>
      </w:r>
      <w:r w:rsidR="00B517F4" w:rsidRPr="00395BFF">
        <w:rPr>
          <w:sz w:val="24"/>
          <w:szCs w:val="24"/>
        </w:rPr>
        <w:t xml:space="preserve"> 2020 r.</w:t>
      </w:r>
    </w:p>
    <w:p w14:paraId="30E213C5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6C1D4966" w14:textId="77777777" w:rsidR="009B1ED8" w:rsidRPr="0068544D" w:rsidRDefault="00A72014" w:rsidP="0030618D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 w:rsidRPr="0068544D">
        <w:rPr>
          <w:b/>
          <w:i/>
          <w:color w:val="878887"/>
          <w:sz w:val="24"/>
        </w:rPr>
        <w:t>Konrad Szymański</w:t>
      </w:r>
    </w:p>
    <w:p w14:paraId="3A95D048" w14:textId="3FC02342" w:rsidR="0036308D" w:rsidRPr="00395BFF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bookmarkStart w:id="0" w:name="_GoBack"/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634E33">
        <w:rPr>
          <w:rFonts w:asciiTheme="minorHAnsi" w:hAnsiTheme="minorHAnsi" w:cs="Times New Roman"/>
          <w:color w:val="auto"/>
          <w:sz w:val="24"/>
          <w:szCs w:val="24"/>
        </w:rPr>
        <w:t>KPDPUE.92</w:t>
      </w:r>
      <w:r w:rsidR="009E6BE7">
        <w:rPr>
          <w:rFonts w:asciiTheme="minorHAnsi" w:hAnsiTheme="minorHAnsi" w:cs="Times New Roman"/>
          <w:color w:val="auto"/>
          <w:sz w:val="24"/>
          <w:szCs w:val="24"/>
        </w:rPr>
        <w:t>0.162.2020.KWM(8</w:t>
      </w:r>
      <w:r w:rsidR="00AF0BC0" w:rsidRPr="00C55819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293A8902" w14:textId="072DF154" w:rsidR="003B62D6" w:rsidRDefault="0030618D" w:rsidP="00AA02DA">
      <w:pPr>
        <w:spacing w:after="0" w:line="240" w:lineRule="auto"/>
        <w:ind w:right="-45"/>
        <w:jc w:val="both"/>
        <w:rPr>
          <w:sz w:val="24"/>
          <w:szCs w:val="24"/>
        </w:rPr>
      </w:pPr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A74059" w:rsidRPr="00A74059">
        <w:rPr>
          <w:rFonts w:asciiTheme="minorHAnsi" w:hAnsiTheme="minorHAnsi" w:cs="Times New Roman"/>
          <w:color w:val="auto"/>
          <w:sz w:val="24"/>
          <w:szCs w:val="24"/>
        </w:rPr>
        <w:t>DP-III.0211.8.2020</w:t>
      </w:r>
      <w:r w:rsidR="00A74059">
        <w:rPr>
          <w:rFonts w:asciiTheme="minorHAnsi" w:hAnsiTheme="minorHAnsi" w:cs="Times New Roman"/>
          <w:color w:val="auto"/>
          <w:sz w:val="24"/>
          <w:szCs w:val="24"/>
        </w:rPr>
        <w:t xml:space="preserve"> z 29.07.2020 r.</w:t>
      </w:r>
      <w:bookmarkEnd w:id="0"/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</w:p>
    <w:p w14:paraId="6E7CD5D0" w14:textId="72BD9E5C" w:rsidR="003B62D6" w:rsidRDefault="003B62D6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D146AB"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14:paraId="6F711FE3" w14:textId="05898130" w:rsidR="00D146AB" w:rsidRPr="00750643" w:rsidRDefault="00D146AB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  <w:t>Minister Cyfryzacji</w:t>
      </w:r>
    </w:p>
    <w:p w14:paraId="267287D4" w14:textId="77777777" w:rsidR="009E6BE7" w:rsidRPr="00395BFF" w:rsidRDefault="009E6BE7" w:rsidP="009E6BE7">
      <w:pPr>
        <w:spacing w:after="0"/>
        <w:ind w:left="-425"/>
        <w:rPr>
          <w:i/>
          <w:sz w:val="24"/>
          <w:szCs w:val="24"/>
        </w:rPr>
      </w:pPr>
    </w:p>
    <w:p w14:paraId="12D1975A" w14:textId="77777777" w:rsidR="009E6BE7" w:rsidRPr="00395BFF" w:rsidRDefault="009E6BE7" w:rsidP="009E6BE7">
      <w:pPr>
        <w:spacing w:after="0"/>
        <w:ind w:left="-425"/>
        <w:rPr>
          <w:i/>
          <w:sz w:val="24"/>
          <w:szCs w:val="24"/>
        </w:rPr>
      </w:pPr>
    </w:p>
    <w:p w14:paraId="0DA8082D" w14:textId="77777777" w:rsidR="009E6BE7" w:rsidRPr="00395BFF" w:rsidRDefault="009E6BE7" w:rsidP="009E6BE7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395BFF">
        <w:rPr>
          <w:rFonts w:ascii="Calibri" w:hAnsi="Calibri"/>
          <w:b/>
          <w:szCs w:val="24"/>
        </w:rPr>
        <w:t>Opinia</w:t>
      </w:r>
    </w:p>
    <w:p w14:paraId="024E6DD5" w14:textId="3F5EDD94" w:rsidR="009E6BE7" w:rsidRPr="00395BFF" w:rsidRDefault="009E6BE7" w:rsidP="009E6BE7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395BFF">
        <w:rPr>
          <w:rFonts w:ascii="Calibri" w:hAnsi="Calibri"/>
          <w:b/>
          <w:szCs w:val="24"/>
        </w:rPr>
        <w:t xml:space="preserve">o zgodności z prawem Unii Europejskiej </w:t>
      </w:r>
      <w:r w:rsidRPr="004E2EA6">
        <w:rPr>
          <w:rFonts w:ascii="Calibri" w:hAnsi="Calibri"/>
          <w:b/>
          <w:i/>
          <w:szCs w:val="24"/>
        </w:rPr>
        <w:t>projekt</w:t>
      </w:r>
      <w:r>
        <w:rPr>
          <w:rFonts w:ascii="Calibri" w:hAnsi="Calibri"/>
          <w:b/>
          <w:i/>
          <w:szCs w:val="24"/>
        </w:rPr>
        <w:t>u ustawy Prawo komunikacji elektronicznej</w:t>
      </w:r>
      <w:r w:rsidRPr="00395BFF">
        <w:rPr>
          <w:rFonts w:ascii="Calibri" w:hAnsi="Calibri"/>
          <w:b/>
          <w:i/>
          <w:iCs/>
          <w:szCs w:val="24"/>
        </w:rPr>
        <w:t xml:space="preserve">, </w:t>
      </w:r>
      <w:r w:rsidRPr="00395BFF">
        <w:rPr>
          <w:rFonts w:ascii="Calibri" w:hAnsi="Calibri"/>
          <w:b/>
          <w:szCs w:val="24"/>
        </w:rPr>
        <w:t>wyrażona przez ministra właściwego do spraw członkostwa Rzeczypospolitej Polskiej w Unii Europejskiej</w:t>
      </w:r>
    </w:p>
    <w:p w14:paraId="5FA66FF5" w14:textId="3FECC8D6" w:rsidR="005D7164" w:rsidRPr="00395BFF" w:rsidRDefault="005D7164" w:rsidP="005D7164">
      <w:pPr>
        <w:spacing w:after="0"/>
        <w:ind w:left="-425"/>
        <w:rPr>
          <w:i/>
          <w:sz w:val="24"/>
          <w:szCs w:val="24"/>
        </w:rPr>
      </w:pPr>
    </w:p>
    <w:p w14:paraId="79E18C3C" w14:textId="77777777" w:rsidR="00731946" w:rsidRPr="00395BFF" w:rsidRDefault="00731946" w:rsidP="005D7164">
      <w:pPr>
        <w:spacing w:after="0"/>
        <w:ind w:left="-425"/>
        <w:rPr>
          <w:i/>
          <w:sz w:val="24"/>
          <w:szCs w:val="24"/>
        </w:rPr>
      </w:pPr>
    </w:p>
    <w:p w14:paraId="0F6C4C2F" w14:textId="088FC5E9" w:rsidR="00731946" w:rsidRPr="00395BFF" w:rsidRDefault="00731946" w:rsidP="00B43857">
      <w:pPr>
        <w:spacing w:after="120"/>
        <w:rPr>
          <w:i/>
          <w:sz w:val="24"/>
          <w:szCs w:val="24"/>
        </w:rPr>
      </w:pPr>
    </w:p>
    <w:p w14:paraId="255C228B" w14:textId="768EA4E2" w:rsidR="005D7164" w:rsidRDefault="00D146AB" w:rsidP="00E61477">
      <w:pPr>
        <w:spacing w:after="120"/>
        <w:ind w:left="-142"/>
        <w:rPr>
          <w:i/>
          <w:sz w:val="24"/>
          <w:szCs w:val="24"/>
        </w:rPr>
      </w:pPr>
      <w:r>
        <w:rPr>
          <w:i/>
          <w:sz w:val="24"/>
          <w:szCs w:val="24"/>
        </w:rPr>
        <w:t>Szanowny Panie Ministrze</w:t>
      </w:r>
      <w:r w:rsidR="005D7164" w:rsidRPr="00395BFF">
        <w:rPr>
          <w:i/>
          <w:sz w:val="24"/>
          <w:szCs w:val="24"/>
        </w:rPr>
        <w:t xml:space="preserve">,     </w:t>
      </w:r>
    </w:p>
    <w:p w14:paraId="59587766" w14:textId="084033B2" w:rsidR="00E61477" w:rsidRPr="00E61477" w:rsidRDefault="00E61477" w:rsidP="00E61477">
      <w:pPr>
        <w:spacing w:after="120"/>
        <w:ind w:left="-142"/>
        <w:rPr>
          <w:sz w:val="24"/>
          <w:szCs w:val="24"/>
        </w:rPr>
      </w:pPr>
      <w:r w:rsidRPr="00E61477">
        <w:rPr>
          <w:sz w:val="24"/>
          <w:szCs w:val="24"/>
        </w:rPr>
        <w:t>w związku z przedłożonym projektem ustawy pozwalam sobie wyrazić poniższą opinię.</w:t>
      </w:r>
    </w:p>
    <w:p w14:paraId="61E4BE60" w14:textId="77777777" w:rsidR="003B5D38" w:rsidRDefault="003B5D38" w:rsidP="003B5D38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51FCF89D" w14:textId="77777777" w:rsidR="004A7727" w:rsidRPr="00533256" w:rsidRDefault="004A7727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  <w:u w:val="single"/>
        </w:rPr>
      </w:pPr>
      <w:r w:rsidRPr="00533256">
        <w:rPr>
          <w:b/>
          <w:i/>
          <w:sz w:val="24"/>
          <w:szCs w:val="24"/>
          <w:u w:val="single"/>
        </w:rPr>
        <w:t>Uwagi do przepisów z Działu I Postanowienia ogólne</w:t>
      </w:r>
    </w:p>
    <w:p w14:paraId="70DA9079" w14:textId="77777777" w:rsidR="004A7727" w:rsidRPr="00533256" w:rsidRDefault="004A7727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</w:rPr>
      </w:pPr>
      <w:r w:rsidRPr="00533256">
        <w:rPr>
          <w:b/>
          <w:i/>
          <w:sz w:val="24"/>
          <w:szCs w:val="24"/>
        </w:rPr>
        <w:t>Rozdział 1 Zakres ustawy</w:t>
      </w:r>
    </w:p>
    <w:p w14:paraId="0BE57250" w14:textId="35A685F4" w:rsidR="004A7727" w:rsidRDefault="004A7727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33256">
        <w:rPr>
          <w:sz w:val="24"/>
          <w:szCs w:val="24"/>
        </w:rPr>
        <w:t xml:space="preserve">W art. 2 w pkt 8 projektu zdefiniowane zostało pojęcie </w:t>
      </w:r>
      <w:r>
        <w:rPr>
          <w:sz w:val="24"/>
          <w:szCs w:val="24"/>
        </w:rPr>
        <w:t>„dostęp”</w:t>
      </w:r>
      <w:r w:rsidRPr="00533256">
        <w:rPr>
          <w:sz w:val="24"/>
          <w:szCs w:val="24"/>
        </w:rPr>
        <w:t xml:space="preserve">, które zgodnie z uzasadnieniem projektu </w:t>
      </w:r>
      <w:r w:rsidR="00013DE8">
        <w:rPr>
          <w:sz w:val="24"/>
          <w:szCs w:val="24"/>
        </w:rPr>
        <w:t>wdraża definicję zawartą</w:t>
      </w:r>
      <w:r w:rsidRPr="00533256">
        <w:rPr>
          <w:sz w:val="24"/>
          <w:szCs w:val="24"/>
        </w:rPr>
        <w:t xml:space="preserve"> w art. 2 pkt 27 dy</w:t>
      </w:r>
      <w:r w:rsidR="00013DE8">
        <w:rPr>
          <w:sz w:val="24"/>
          <w:szCs w:val="24"/>
        </w:rPr>
        <w:t>rektywy 2018/1972 ustanawiającej</w:t>
      </w:r>
      <w:r w:rsidRPr="00533256">
        <w:rPr>
          <w:sz w:val="24"/>
          <w:szCs w:val="24"/>
        </w:rPr>
        <w:t xml:space="preserve"> Europejski ko</w:t>
      </w:r>
      <w:r>
        <w:rPr>
          <w:sz w:val="24"/>
          <w:szCs w:val="24"/>
        </w:rPr>
        <w:t xml:space="preserve">deks łączności elektronicznej. </w:t>
      </w:r>
      <w:r w:rsidRPr="00533256">
        <w:rPr>
          <w:sz w:val="24"/>
          <w:szCs w:val="24"/>
        </w:rPr>
        <w:t>Definicja z dyrektywy odnosi się jednak do udostępniania urządzeń lub usług, tymczasem zaproponowana w pro</w:t>
      </w:r>
      <w:r>
        <w:rPr>
          <w:sz w:val="24"/>
          <w:szCs w:val="24"/>
        </w:rPr>
        <w:t>jekcie definicja jest szersza. Odnosi się ona</w:t>
      </w:r>
      <w:r w:rsidRPr="00533256">
        <w:rPr>
          <w:sz w:val="24"/>
          <w:szCs w:val="24"/>
        </w:rPr>
        <w:t xml:space="preserve"> bowiem ogólnie do udostępniania </w:t>
      </w:r>
      <w:r w:rsidRPr="00053A38">
        <w:rPr>
          <w:sz w:val="24"/>
          <w:szCs w:val="24"/>
          <w:u w:val="single"/>
        </w:rPr>
        <w:t>zasobów przedsiębiorcy telekomunikacyjnego</w:t>
      </w:r>
      <w:r w:rsidRPr="00533256">
        <w:rPr>
          <w:sz w:val="24"/>
          <w:szCs w:val="24"/>
        </w:rPr>
        <w:t>. Tym samym budzi ona wątpliwości pod kątem zgodności z dyrektywą 2018/1972.</w:t>
      </w:r>
      <w:r>
        <w:rPr>
          <w:sz w:val="24"/>
          <w:szCs w:val="24"/>
        </w:rPr>
        <w:t xml:space="preserve"> Definicja wymaga zmiany, w taki sposób, by nie budziło wątpliwości, że pod pojęciem „dostęp” mieszczą się wyłącznie </w:t>
      </w:r>
      <w:r w:rsidRPr="00053A38">
        <w:rPr>
          <w:sz w:val="24"/>
          <w:szCs w:val="24"/>
          <w:u w:val="single"/>
        </w:rPr>
        <w:t>urządzenia i usługi</w:t>
      </w:r>
      <w:r>
        <w:rPr>
          <w:sz w:val="24"/>
          <w:szCs w:val="24"/>
        </w:rPr>
        <w:t>, do których odnosi się pojęcie „dostęp” z dyrektywy 2018/1972.</w:t>
      </w:r>
    </w:p>
    <w:p w14:paraId="7C5F2061" w14:textId="52A71021" w:rsidR="004A7727" w:rsidRDefault="004A7727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2. W art. 2 pkt 58</w:t>
      </w:r>
      <w:r w:rsidRPr="00533256">
        <w:rPr>
          <w:sz w:val="24"/>
          <w:szCs w:val="24"/>
        </w:rPr>
        <w:t xml:space="preserve"> projektu zdefiniowano </w:t>
      </w:r>
      <w:r w:rsidR="00E61477">
        <w:rPr>
          <w:sz w:val="24"/>
          <w:szCs w:val="24"/>
        </w:rPr>
        <w:t>pojęcie „</w:t>
      </w:r>
      <w:r w:rsidRPr="00533256">
        <w:rPr>
          <w:sz w:val="24"/>
          <w:szCs w:val="24"/>
        </w:rPr>
        <w:t>sie</w:t>
      </w:r>
      <w:r>
        <w:rPr>
          <w:sz w:val="24"/>
          <w:szCs w:val="24"/>
        </w:rPr>
        <w:t>ć o bardzo dużej przepustowości</w:t>
      </w:r>
      <w:r w:rsidR="00E61477">
        <w:rPr>
          <w:sz w:val="24"/>
          <w:szCs w:val="24"/>
        </w:rPr>
        <w:t>”</w:t>
      </w:r>
      <w:r>
        <w:rPr>
          <w:sz w:val="24"/>
          <w:szCs w:val="24"/>
        </w:rPr>
        <w:t xml:space="preserve">. Pragnę zauważyć, </w:t>
      </w:r>
      <w:r w:rsidRPr="00533256">
        <w:rPr>
          <w:sz w:val="24"/>
          <w:szCs w:val="24"/>
        </w:rPr>
        <w:t>że zgodnie z art. 82 dyrektywy 2018/1972 kryteria, jakie ma spełniać taka sieć</w:t>
      </w:r>
      <w:r w:rsidR="00E61477">
        <w:rPr>
          <w:sz w:val="24"/>
          <w:szCs w:val="24"/>
        </w:rPr>
        <w:t>, mają zostać określone przez Organ Europejskich Regulatorów Łączności Elektronicznej (BEREC)</w:t>
      </w:r>
      <w:r>
        <w:rPr>
          <w:sz w:val="24"/>
          <w:szCs w:val="24"/>
        </w:rPr>
        <w:t xml:space="preserve"> do dnia 21 grudnia 2020 r. Dlatego też pragnę przypomnieć, że projektowana definicja będzie wymagała dostosowania do wytycznych BEREC, co będzie należało mieć na uwadze w toku procesu legislacyjnego. </w:t>
      </w:r>
    </w:p>
    <w:p w14:paraId="686A27B7" w14:textId="77777777" w:rsidR="004A7727" w:rsidRDefault="004A7727" w:rsidP="004A7727">
      <w:pPr>
        <w:spacing w:after="120" w:line="240" w:lineRule="auto"/>
        <w:ind w:left="-142"/>
        <w:jc w:val="both"/>
        <w:rPr>
          <w:b/>
          <w:i/>
          <w:color w:val="auto"/>
          <w:sz w:val="24"/>
          <w:szCs w:val="24"/>
        </w:rPr>
      </w:pPr>
      <w:r w:rsidRPr="00A853A7">
        <w:rPr>
          <w:b/>
          <w:i/>
          <w:color w:val="auto"/>
          <w:sz w:val="24"/>
          <w:szCs w:val="24"/>
        </w:rPr>
        <w:t>Rozdział 2 Wykonywanie gospodarczej działalności telekomunikacyjnej</w:t>
      </w:r>
    </w:p>
    <w:p w14:paraId="4B8288B2" w14:textId="3CADF0CE" w:rsidR="004A7727" w:rsidRPr="007C776C" w:rsidRDefault="004A7727" w:rsidP="004A7727">
      <w:pPr>
        <w:spacing w:after="120" w:line="240" w:lineRule="auto"/>
        <w:ind w:left="-142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</w:t>
      </w:r>
      <w:r w:rsidRPr="007C776C">
        <w:rPr>
          <w:color w:val="auto"/>
          <w:sz w:val="24"/>
          <w:szCs w:val="24"/>
        </w:rPr>
        <w:t xml:space="preserve">. Zgodnie z art. 5 ust. 1 projektu działalność telekomunikacyjna jest działalnością regulowaną i podlega tylko wpisowi do rejestru przedsiębiorców telekomunikacyjnych. </w:t>
      </w:r>
      <w:r w:rsidR="00E61477">
        <w:rPr>
          <w:color w:val="auto"/>
          <w:sz w:val="24"/>
          <w:szCs w:val="24"/>
        </w:rPr>
        <w:t>Art. 8 ust. 2 w związku z ust. 3</w:t>
      </w:r>
      <w:r w:rsidRPr="007C776C">
        <w:rPr>
          <w:color w:val="auto"/>
          <w:sz w:val="24"/>
          <w:szCs w:val="24"/>
        </w:rPr>
        <w:t xml:space="preserve"> projektu przewiduje, że przedsiębiorca telekomunikacyjny nie może rozpocząć działalności, w przypadku gdy jego wniosek o wpis do rejestru nie będzie zawierał wszystkich danych. Tymczasem z art. 12 ust. 3 dyrektywy 2018/1972 wynika, że po dokonaniu zgłoszenia, </w:t>
      </w:r>
      <w:r w:rsidRPr="007C776C">
        <w:rPr>
          <w:color w:val="auto"/>
          <w:sz w:val="24"/>
          <w:szCs w:val="24"/>
        </w:rPr>
        <w:lastRenderedPageBreak/>
        <w:t xml:space="preserve">jeżeli było ono wymagane, przedsiębiorstwo może rozpocząć działalność z zastrzeżeniem, w razie potrzeby, przepisów dotyczących praw użytkowania przewidzianych w tej dyrektywie. Motyw 42 dyrektywy mówi natomiast, że państwa członkowskie nie powinny w żaden sposób, </w:t>
      </w:r>
      <w:r w:rsidRPr="007C776C">
        <w:rPr>
          <w:color w:val="auto"/>
          <w:sz w:val="24"/>
          <w:szCs w:val="24"/>
          <w:u w:val="single"/>
        </w:rPr>
        <w:t>w tym ze względu na niekompletność zgłoszenia</w:t>
      </w:r>
      <w:r w:rsidRPr="007C776C">
        <w:rPr>
          <w:color w:val="auto"/>
          <w:sz w:val="24"/>
          <w:szCs w:val="24"/>
        </w:rPr>
        <w:t>, utrudniać dostarczania sieci lub świadczenia usług. Wynikałoby z tego, że braki we wniosku o wpis do rejestru składanym przez przedsiębiorcę telekomunikacyjnego nie powinny uniemożliwiać takiemu przedsiębiorstwu rozpoczęcia działalności telekomunikacyjnej.</w:t>
      </w:r>
      <w:r>
        <w:rPr>
          <w:color w:val="auto"/>
          <w:sz w:val="24"/>
          <w:szCs w:val="24"/>
        </w:rPr>
        <w:t xml:space="preserve"> W tym kontekście należy zauważyć, że we wniosku o wpis do rejestru prze</w:t>
      </w:r>
      <w:r w:rsidR="00E61477">
        <w:rPr>
          <w:color w:val="auto"/>
          <w:sz w:val="24"/>
          <w:szCs w:val="24"/>
        </w:rPr>
        <w:t>dsiębiorców telekomunikacyjnych</w:t>
      </w:r>
      <w:r>
        <w:rPr>
          <w:color w:val="auto"/>
          <w:sz w:val="24"/>
          <w:szCs w:val="24"/>
        </w:rPr>
        <w:t xml:space="preserve"> można wymagać potwierdzenia od przedsięb</w:t>
      </w:r>
      <w:r w:rsidR="00E61477">
        <w:rPr>
          <w:color w:val="auto"/>
          <w:sz w:val="24"/>
          <w:szCs w:val="24"/>
        </w:rPr>
        <w:t>iorcy prawdziwości i kompletności</w:t>
      </w:r>
      <w:r>
        <w:rPr>
          <w:color w:val="auto"/>
          <w:sz w:val="24"/>
          <w:szCs w:val="24"/>
        </w:rPr>
        <w:t xml:space="preserve"> danych, co wynika z Wytycznych </w:t>
      </w:r>
      <w:r w:rsidR="00E61477">
        <w:rPr>
          <w:color w:val="auto"/>
          <w:sz w:val="24"/>
          <w:szCs w:val="24"/>
        </w:rPr>
        <w:t>BEREC</w:t>
      </w:r>
      <w:r>
        <w:rPr>
          <w:color w:val="auto"/>
          <w:sz w:val="24"/>
          <w:szCs w:val="24"/>
        </w:rPr>
        <w:t xml:space="preserve"> w sprawie wzoru zgłoszenia z 6 grudnia 2019 r. wydanych na podstawie art. </w:t>
      </w:r>
      <w:r w:rsidR="00E61477">
        <w:rPr>
          <w:color w:val="auto"/>
          <w:sz w:val="24"/>
          <w:szCs w:val="24"/>
        </w:rPr>
        <w:t xml:space="preserve">14 ust. 4 dyrektywy 2018/1972. </w:t>
      </w:r>
      <w:r>
        <w:rPr>
          <w:color w:val="auto"/>
          <w:sz w:val="24"/>
          <w:szCs w:val="24"/>
        </w:rPr>
        <w:t>W przypadku braku informacji wymaganych we wniosku lub ich nieprawdziwości projektodawca powinien zatem przewidzieć inne sankcje, niż niemożność rozpoczęcia działalności telekomunikacyjnej.</w:t>
      </w:r>
    </w:p>
    <w:p w14:paraId="69C3001C" w14:textId="77777777" w:rsidR="004A7727" w:rsidRPr="00C1244B" w:rsidRDefault="004A7727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Rozdział 4</w:t>
      </w:r>
      <w:r w:rsidRPr="00533256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Konsultacje</w:t>
      </w:r>
    </w:p>
    <w:p w14:paraId="78E81E24" w14:textId="77777777" w:rsidR="004A7727" w:rsidRDefault="004A7727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4. Projektowany art. 35 przewiduje, że w stosunku do rozstrzygnięć Prezesa UKE w zakresie obowiązków niezbędnych</w:t>
      </w:r>
      <w:r w:rsidRPr="00FE7B7B">
        <w:rPr>
          <w:sz w:val="24"/>
          <w:szCs w:val="24"/>
        </w:rPr>
        <w:t xml:space="preserve"> dla zapewnienia łąc</w:t>
      </w:r>
      <w:r>
        <w:rPr>
          <w:sz w:val="24"/>
          <w:szCs w:val="24"/>
        </w:rPr>
        <w:t xml:space="preserve">zności z użytkownikiem końcowym nie jest wymagane przeprowadzanie postępowania konsolidacyjnego. Tymczasem z art. 32 ust. 3 lit. a) określającego rodzaje decyzji podlegających konsolidacji w związku z art. 61 ust. 2 lit. a) i b) dyrektywy 2018/1972 dotyczącym obowiązków w </w:t>
      </w:r>
      <w:r w:rsidRPr="00C1244B">
        <w:rPr>
          <w:sz w:val="24"/>
          <w:szCs w:val="24"/>
        </w:rPr>
        <w:t xml:space="preserve">zakresie dostępu i wzajemnych połączeń </w:t>
      </w:r>
      <w:r>
        <w:rPr>
          <w:sz w:val="24"/>
          <w:szCs w:val="24"/>
        </w:rPr>
        <w:t>wynika, że takie decyzje powinny podlegać konsolidacji.</w:t>
      </w:r>
    </w:p>
    <w:p w14:paraId="7BD94176" w14:textId="77777777" w:rsidR="004A7727" w:rsidRDefault="004A7727" w:rsidP="004A7727">
      <w:pPr>
        <w:spacing w:after="120" w:line="240" w:lineRule="auto"/>
        <w:ind w:left="-142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color w:val="auto"/>
          <w:sz w:val="24"/>
          <w:szCs w:val="24"/>
        </w:rPr>
        <w:t>Rozdział 5 Bezpieczeństwo sieci i usług oraz obowiązki na rzecz bezpieczeństwa państwa</w:t>
      </w:r>
    </w:p>
    <w:p w14:paraId="58B14BC5" w14:textId="7C2843EC" w:rsidR="004A7727" w:rsidRDefault="004A7727" w:rsidP="004A7727">
      <w:pPr>
        <w:spacing w:after="120"/>
        <w:ind w:left="-142"/>
        <w:jc w:val="both"/>
        <w:rPr>
          <w:rFonts w:asciiTheme="minorHAnsi" w:eastAsiaTheme="minorHAnsi" w:hAnsiTheme="minorHAnsi" w:cs="Times New Roman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5. Projektowany art. 50 ust. 2 przewiduje wyłączenie stosowania ustawy </w:t>
      </w:r>
      <w:r w:rsidR="00AA446D">
        <w:rPr>
          <w:rFonts w:asciiTheme="minorHAnsi" w:hAnsiTheme="minorHAnsi"/>
          <w:color w:val="auto"/>
          <w:sz w:val="24"/>
          <w:szCs w:val="24"/>
        </w:rPr>
        <w:t>–</w:t>
      </w:r>
      <w:r>
        <w:rPr>
          <w:rFonts w:asciiTheme="minorHAnsi" w:hAnsiTheme="minorHAnsi"/>
          <w:color w:val="auto"/>
          <w:sz w:val="24"/>
          <w:szCs w:val="24"/>
        </w:rPr>
        <w:t xml:space="preserve"> Prawo zamówień publicznych </w:t>
      </w:r>
      <w:r w:rsidR="00AA446D">
        <w:rPr>
          <w:rFonts w:asciiTheme="minorHAnsi" w:hAnsiTheme="minorHAnsi"/>
          <w:color w:val="auto"/>
          <w:sz w:val="24"/>
          <w:szCs w:val="24"/>
        </w:rPr>
        <w:t>w przypadku</w:t>
      </w:r>
      <w:r>
        <w:rPr>
          <w:rFonts w:asciiTheme="minorHAnsi" w:hAnsiTheme="minorHAnsi"/>
          <w:color w:val="auto"/>
          <w:sz w:val="24"/>
          <w:szCs w:val="24"/>
        </w:rPr>
        <w:t xml:space="preserve"> zamówień publicznych udzielanych w zakresie wykonywania zadań i obowiązków dotyczących przygotowania i utrzymywania wskazanych elementów sieci telekomunikacyjnych dla zapewnienia telekomunikacji na potrzeby systemu kierowania bezpieczeństwem narodowym, w tym obroną państwa.</w:t>
      </w:r>
    </w:p>
    <w:p w14:paraId="24B4A0CE" w14:textId="77777777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a. Po pierwsze zwracam uwagę na art. 8 dyrektywy 2014/24/UE w sprawie zamówień publicznych, który wyłącza zastosowanie tej dyrektywy do zamówień publicznych i konkursów, których głównym celem jest umożliwienie instytucjom zamawiającym udostępnienia lub eksploatacji publicznych sieci łączności lub świadczenia ogółowi społeczeństwa usługi lub usług łączności elektronicznej. W świetle  wyroku TSUE w sprawach połączonych C-462/03 </w:t>
      </w:r>
      <w:r>
        <w:rPr>
          <w:rFonts w:asciiTheme="minorHAnsi" w:hAnsiTheme="minorHAnsi"/>
          <w:i/>
          <w:iCs/>
          <w:color w:val="auto"/>
          <w:sz w:val="24"/>
          <w:szCs w:val="24"/>
        </w:rPr>
        <w:t>Strabag AG</w:t>
      </w:r>
      <w:r>
        <w:rPr>
          <w:rFonts w:asciiTheme="minorHAnsi" w:hAnsiTheme="minorHAnsi"/>
          <w:color w:val="auto"/>
          <w:sz w:val="24"/>
          <w:szCs w:val="24"/>
        </w:rPr>
        <w:t xml:space="preserve"> i C-463/03 </w:t>
      </w:r>
      <w:r>
        <w:rPr>
          <w:rFonts w:asciiTheme="minorHAnsi" w:hAnsiTheme="minorHAnsi"/>
          <w:i/>
          <w:iCs/>
          <w:color w:val="auto"/>
          <w:sz w:val="24"/>
          <w:szCs w:val="24"/>
        </w:rPr>
        <w:t>Kostmann GmbH</w:t>
      </w:r>
      <w:r>
        <w:rPr>
          <w:rFonts w:asciiTheme="minorHAnsi" w:hAnsiTheme="minorHAnsi"/>
          <w:color w:val="auto"/>
          <w:sz w:val="24"/>
          <w:szCs w:val="24"/>
        </w:rPr>
        <w:t xml:space="preserve">, należy stwierdzić, że  zastosowanie omawianego wyłączenia zależy od rodzaju działalności wykonywanej przez dany podmiot zamawiający oraz od związków między tą działalnością a planowanym przez tę instytucję zamówieniem. </w:t>
      </w:r>
    </w:p>
    <w:p w14:paraId="4089C951" w14:textId="77777777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Podkreślenia wymaga, że wyłączenie o którym mowa w art. 8 dyrektywy dotyczy eksploatacji publicznych sieci łączności lub świadczenia ogółowi społeczeństwa usługi lub usług łączności elektronicznej. Zgodnie z art. 2 lit. d dyrektywy 2002/21/WE w sprawie wspólnych ram regulacyjnych sieci i usług łączności elektronicznej, pojęcie publicznej sieci łączności odnosi się do sieci łączności elektronicznej wykorzystywanej </w:t>
      </w:r>
      <w:r>
        <w:rPr>
          <w:rFonts w:asciiTheme="minorHAnsi" w:hAnsiTheme="minorHAnsi"/>
          <w:color w:val="auto"/>
          <w:sz w:val="24"/>
          <w:szCs w:val="24"/>
          <w:u w:val="single"/>
        </w:rPr>
        <w:t>całkowicie lub głównie do świadczenia publicznie dostępnych usług łączności elektronicznej</w:t>
      </w:r>
      <w:r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00FCF109" w14:textId="77777777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Projektowane wyłączenie – na potrzeby bezpieczeństwa narodowego i obronności państwa – wydaje się natomiast odnosić do sieci, które nie będą służyć świadczeniu usług łączności dostępnych publicznie. </w:t>
      </w:r>
    </w:p>
    <w:p w14:paraId="02B79A20" w14:textId="17FC2FF5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lastRenderedPageBreak/>
        <w:t xml:space="preserve">Stąd dalsze rozważania nie będą dotyczyły art. 8 dyrektywy 2014/24, który w </w:t>
      </w:r>
      <w:r w:rsidR="00AA446D">
        <w:rPr>
          <w:rFonts w:asciiTheme="minorHAnsi" w:hAnsiTheme="minorHAnsi"/>
          <w:color w:val="auto"/>
          <w:sz w:val="24"/>
          <w:szCs w:val="24"/>
        </w:rPr>
        <w:t>tym przypadku</w:t>
      </w:r>
      <w:r>
        <w:rPr>
          <w:rFonts w:asciiTheme="minorHAnsi" w:hAnsiTheme="minorHAnsi"/>
          <w:color w:val="auto"/>
          <w:sz w:val="24"/>
          <w:szCs w:val="24"/>
        </w:rPr>
        <w:t xml:space="preserve"> nie znajduje zastosowania. </w:t>
      </w:r>
    </w:p>
    <w:p w14:paraId="58A06569" w14:textId="4DD6622D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b. Po drugie ze względu na to, że projektowane wyłączenie wiąże się z bezpieczeństwem narodowym, w tym z obroną państwa, rozważenia wymaga kwestia zastosowania dyrektywy 2009/81/WE w sprawie koordynacji procedur udzielania niektórych zamówień na roboty budowlane, dostawy i usługi przez instytucje lub podmioty zamawiające w dziedzinach obronności i bezpieczeństwa. Zgodnie z art. 2 </w:t>
      </w:r>
      <w:r w:rsidR="00AA446D">
        <w:rPr>
          <w:rFonts w:asciiTheme="minorHAnsi" w:hAnsiTheme="minorHAnsi"/>
          <w:color w:val="auto"/>
          <w:sz w:val="24"/>
          <w:szCs w:val="24"/>
        </w:rPr>
        <w:t xml:space="preserve">tej </w:t>
      </w:r>
      <w:r>
        <w:rPr>
          <w:rFonts w:asciiTheme="minorHAnsi" w:hAnsiTheme="minorHAnsi"/>
          <w:color w:val="auto"/>
          <w:sz w:val="24"/>
          <w:szCs w:val="24"/>
        </w:rPr>
        <w:t xml:space="preserve">dyrektywy znajduje ona zastosowanie m. in. do  zamówień udzielanych w dziedzinie bezpieczeństwa i obrony, których przedmiotem są: dostawy newralgicznego wyposażenia, w tym wszelkich jego części, komponentów lub podzespołów; roboty budowlane, dostawy i usługi bezpośrednio związane z ww. wyposażeniem, w przypadku wszelkich elementów związanych z jego okresem funkcjonowania; roboty budowlane i usługi do szczególnych celów wojskowych lub newralgiczne roboty budowlane lub usługi. Zgodnie z art. 1 pkt 7 dyrektywy pojęcia „newralgiczny sprzęt”, „newralgiczne roboty budowlane” i „newralgiczne usługi” oznaczają sprzęt, roboty budowlane i usługi do celów bezpieczeństwa, które wiążą się z korzystaniem z informacji niejawnych, wymagają ich wykorzystania lub zawierają je. </w:t>
      </w:r>
    </w:p>
    <w:p w14:paraId="1C5F63CB" w14:textId="0185F9EF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Dalszego wyjaśnien</w:t>
      </w:r>
      <w:r w:rsidR="00AA446D">
        <w:rPr>
          <w:rFonts w:asciiTheme="minorHAnsi" w:hAnsiTheme="minorHAnsi"/>
          <w:color w:val="auto"/>
          <w:sz w:val="24"/>
          <w:szCs w:val="24"/>
        </w:rPr>
        <w:t>ia przez projektodawcę wymaga</w:t>
      </w:r>
      <w:r>
        <w:rPr>
          <w:rFonts w:asciiTheme="minorHAnsi" w:hAnsiTheme="minorHAnsi"/>
          <w:color w:val="auto"/>
          <w:sz w:val="24"/>
          <w:szCs w:val="24"/>
        </w:rPr>
        <w:t xml:space="preserve">, </w:t>
      </w:r>
      <w:r w:rsidR="00AA446D">
        <w:rPr>
          <w:rFonts w:asciiTheme="minorHAnsi" w:hAnsiTheme="minorHAnsi"/>
          <w:color w:val="auto"/>
          <w:sz w:val="24"/>
          <w:szCs w:val="24"/>
        </w:rPr>
        <w:t>czy działania, o których mowa w </w:t>
      </w:r>
      <w:r>
        <w:rPr>
          <w:rFonts w:asciiTheme="minorHAnsi" w:hAnsiTheme="minorHAnsi"/>
          <w:color w:val="auto"/>
          <w:sz w:val="24"/>
          <w:szCs w:val="24"/>
        </w:rPr>
        <w:t>projektowanym art. 46 ust. 1, ze względu na ich charakter w ocenie projektodawcy można uznać za newralgiczne usługi w rozumieniu dyrektywy 2009/81/WE. W takim przypadku zastosowanie powinny jednak znaleźć przepisy ustawy – Prawo zamówień publicznych wdrażające tę dyrektywę. W przeciwnym razie, w k</w:t>
      </w:r>
      <w:r w:rsidR="00AA446D">
        <w:rPr>
          <w:rFonts w:asciiTheme="minorHAnsi" w:hAnsiTheme="minorHAnsi"/>
          <w:color w:val="auto"/>
          <w:sz w:val="24"/>
          <w:szCs w:val="24"/>
        </w:rPr>
        <w:t>ontekście uwag zawartych w pkt 5</w:t>
      </w:r>
      <w:r>
        <w:rPr>
          <w:rFonts w:asciiTheme="minorHAnsi" w:hAnsiTheme="minorHAnsi"/>
          <w:color w:val="auto"/>
          <w:sz w:val="24"/>
          <w:szCs w:val="24"/>
        </w:rPr>
        <w:t xml:space="preserve">a niniejszej opinii, należy wskazać, że zastosowanie powinny znaleźć przepisy ustawy – Prawo zamówień publicznych wdrażające dyrektywę 2014/24/UE. </w:t>
      </w:r>
    </w:p>
    <w:p w14:paraId="12842A88" w14:textId="1403A5C7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Wyłączenie stosowania tej ustawy nie jest jednak dopuszczalne na gruncie obu powyższych dyrektyw. </w:t>
      </w:r>
    </w:p>
    <w:p w14:paraId="73605754" w14:textId="220EEE92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c. Projektowane wyłączenie można ewentualnie rozpatrywa</w:t>
      </w:r>
      <w:r w:rsidR="00AA446D">
        <w:rPr>
          <w:rFonts w:asciiTheme="minorHAnsi" w:hAnsiTheme="minorHAnsi"/>
          <w:color w:val="auto"/>
          <w:sz w:val="24"/>
          <w:szCs w:val="24"/>
        </w:rPr>
        <w:t>ć w świetle art. 346 Traktatu o </w:t>
      </w:r>
      <w:r>
        <w:rPr>
          <w:rFonts w:asciiTheme="minorHAnsi" w:hAnsiTheme="minorHAnsi"/>
          <w:color w:val="auto"/>
          <w:sz w:val="24"/>
          <w:szCs w:val="24"/>
        </w:rPr>
        <w:t xml:space="preserve">funkcjonowaniu Unii Europejskiej. </w:t>
      </w:r>
    </w:p>
    <w:p w14:paraId="52032CFF" w14:textId="340DCF3C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Zgodnie z art. 346 </w:t>
      </w:r>
      <w:r w:rsidR="00AA446D">
        <w:rPr>
          <w:rFonts w:asciiTheme="minorHAnsi" w:hAnsiTheme="minorHAnsi"/>
          <w:color w:val="auto"/>
          <w:sz w:val="24"/>
          <w:szCs w:val="24"/>
        </w:rPr>
        <w:t xml:space="preserve">lit. a) </w:t>
      </w:r>
      <w:r>
        <w:rPr>
          <w:rFonts w:asciiTheme="minorHAnsi" w:hAnsiTheme="minorHAnsi"/>
          <w:color w:val="auto"/>
          <w:sz w:val="24"/>
          <w:szCs w:val="24"/>
        </w:rPr>
        <w:t xml:space="preserve">TFUE </w:t>
      </w:r>
      <w:r>
        <w:rPr>
          <w:rFonts w:asciiTheme="minorHAnsi" w:hAnsiTheme="minorHAnsi"/>
          <w:iCs/>
          <w:color w:val="auto"/>
          <w:sz w:val="24"/>
          <w:szCs w:val="24"/>
        </w:rPr>
        <w:t xml:space="preserve">państwo członkowskie nie ma obowiązku udzielania informacji, których ujawnienie uznaje za sprzeczne z podstawowymi interesami jego bezpieczeństwa. </w:t>
      </w:r>
      <w:r>
        <w:rPr>
          <w:rFonts w:asciiTheme="minorHAnsi" w:hAnsiTheme="minorHAnsi"/>
          <w:color w:val="auto"/>
          <w:sz w:val="24"/>
          <w:szCs w:val="24"/>
        </w:rPr>
        <w:t>Podkreślenia wym</w:t>
      </w:r>
      <w:r w:rsidR="00AA446D">
        <w:rPr>
          <w:rFonts w:asciiTheme="minorHAnsi" w:hAnsiTheme="minorHAnsi"/>
          <w:color w:val="auto"/>
          <w:sz w:val="24"/>
          <w:szCs w:val="24"/>
        </w:rPr>
        <w:t>aga jednak, że zgodnie z orzecz</w:t>
      </w:r>
      <w:r>
        <w:rPr>
          <w:rFonts w:asciiTheme="minorHAnsi" w:hAnsiTheme="minorHAnsi"/>
          <w:color w:val="auto"/>
          <w:sz w:val="24"/>
          <w:szCs w:val="24"/>
        </w:rPr>
        <w:t>ni</w:t>
      </w:r>
      <w:r w:rsidR="00AA446D">
        <w:rPr>
          <w:rFonts w:asciiTheme="minorHAnsi" w:hAnsiTheme="minorHAnsi"/>
          <w:color w:val="auto"/>
          <w:sz w:val="24"/>
          <w:szCs w:val="24"/>
        </w:rPr>
        <w:t>ctw</w:t>
      </w:r>
      <w:r>
        <w:rPr>
          <w:rFonts w:asciiTheme="minorHAnsi" w:hAnsiTheme="minorHAnsi"/>
          <w:color w:val="auto"/>
          <w:sz w:val="24"/>
          <w:szCs w:val="24"/>
        </w:rPr>
        <w:t xml:space="preserve">em TSUE (por. </w:t>
      </w:r>
      <w:r w:rsidR="00AA446D">
        <w:rPr>
          <w:rFonts w:asciiTheme="minorHAnsi" w:hAnsiTheme="minorHAnsi"/>
          <w:color w:val="auto"/>
          <w:sz w:val="24"/>
          <w:szCs w:val="24"/>
        </w:rPr>
        <w:t xml:space="preserve">wyrok </w:t>
      </w:r>
      <w:r>
        <w:rPr>
          <w:rFonts w:asciiTheme="minorHAnsi" w:hAnsiTheme="minorHAnsi"/>
          <w:color w:val="auto"/>
          <w:sz w:val="24"/>
          <w:szCs w:val="24"/>
        </w:rPr>
        <w:t xml:space="preserve">w sprawie C-414/97 </w:t>
      </w:r>
      <w:r>
        <w:rPr>
          <w:rFonts w:asciiTheme="minorHAnsi" w:hAnsiTheme="minorHAnsi"/>
          <w:iCs/>
          <w:color w:val="auto"/>
          <w:sz w:val="24"/>
          <w:szCs w:val="24"/>
        </w:rPr>
        <w:t>Komisja przeciwko Hiszpanii</w:t>
      </w:r>
      <w:r>
        <w:rPr>
          <w:rFonts w:asciiTheme="minorHAnsi" w:hAnsiTheme="minorHAnsi"/>
          <w:color w:val="auto"/>
          <w:sz w:val="24"/>
          <w:szCs w:val="24"/>
        </w:rPr>
        <w:t xml:space="preserve">, pkt 21) przewidziane w Traktacie zwolnienia od zasad dotyczą wyjątkowych, jasno określonych przypadków i ze względu na swój ograniczony charakter, nie podlegają szerokiej interpretacji. Ciężar dostarczenia dowodów na to, że zwolnienia są niezbędne w celu ochrony podstawowych interesów bezpieczeństwa państwa, spoczywa na państwach członkowskich. W konsekwencji TSUE stoi na stanowisku, że państwo członkowskie, które powołuje się na te wyjątki, musi wykazać, że potrzeba ochrony jego interesów nie mogła być zrealizowana w ramach postępowania przetargowego takiego jak przewidziane w dyrektywach (wyrok w sprawie C-474/12 </w:t>
      </w:r>
      <w:r>
        <w:rPr>
          <w:rFonts w:asciiTheme="minorHAnsi" w:hAnsiTheme="minorHAnsi"/>
          <w:iCs/>
          <w:color w:val="auto"/>
          <w:sz w:val="24"/>
          <w:szCs w:val="24"/>
        </w:rPr>
        <w:t>Schiebel Aircraft,</w:t>
      </w: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>
        <w:rPr>
          <w:rFonts w:asciiTheme="minorHAnsi" w:hAnsiTheme="minorHAnsi"/>
          <w:iCs/>
          <w:color w:val="auto"/>
          <w:sz w:val="24"/>
          <w:szCs w:val="24"/>
        </w:rPr>
        <w:t>pkt 34</w:t>
      </w:r>
      <w:r>
        <w:rPr>
          <w:rFonts w:asciiTheme="minorHAnsi" w:hAnsiTheme="minorHAnsi"/>
          <w:color w:val="auto"/>
          <w:sz w:val="24"/>
          <w:szCs w:val="24"/>
        </w:rPr>
        <w:t xml:space="preserve">). W tym kontekście należy dodatkowo zauważyć, że zgodnie z orzecznictwem TSUE – przykładowo – sama konieczność ustanowienia obowiązku dochowania poufności (wyrok w sprawie C-337/05 </w:t>
      </w:r>
      <w:r>
        <w:rPr>
          <w:rFonts w:asciiTheme="minorHAnsi" w:hAnsiTheme="minorHAnsi"/>
          <w:iCs/>
          <w:color w:val="auto"/>
          <w:sz w:val="24"/>
          <w:szCs w:val="24"/>
        </w:rPr>
        <w:t>Komisja przeciwko Włochom</w:t>
      </w:r>
      <w:r>
        <w:rPr>
          <w:rFonts w:asciiTheme="minorHAnsi" w:hAnsiTheme="minorHAnsi"/>
          <w:color w:val="auto"/>
          <w:sz w:val="24"/>
          <w:szCs w:val="24"/>
        </w:rPr>
        <w:t xml:space="preserve">, pkt 52), czy też uzasadnienia odnoszące się do sytuacji gospodarczej (wyrok w sprawie C-284/05 </w:t>
      </w:r>
      <w:r>
        <w:rPr>
          <w:rFonts w:asciiTheme="minorHAnsi" w:hAnsiTheme="minorHAnsi"/>
          <w:iCs/>
          <w:color w:val="auto"/>
          <w:sz w:val="24"/>
          <w:szCs w:val="24"/>
        </w:rPr>
        <w:t>Komisja przeciwko Finlandii</w:t>
      </w:r>
      <w:r>
        <w:rPr>
          <w:rFonts w:asciiTheme="minorHAnsi" w:hAnsiTheme="minorHAnsi"/>
          <w:color w:val="auto"/>
          <w:sz w:val="24"/>
          <w:szCs w:val="24"/>
        </w:rPr>
        <w:t xml:space="preserve">, pkt 50) nie wykluczają zastosowania postępowania przetargowego przy udzielaniu zamówienia. W odniesieniu do poufności danych utrwalony charakter ma natomiast orzecznictwo Trybunału, zgodnie </w:t>
      </w:r>
      <w:r>
        <w:rPr>
          <w:rFonts w:asciiTheme="minorHAnsi" w:hAnsiTheme="minorHAnsi"/>
          <w:color w:val="auto"/>
          <w:sz w:val="24"/>
          <w:szCs w:val="24"/>
        </w:rPr>
        <w:lastRenderedPageBreak/>
        <w:t xml:space="preserve">z którym może ona zostać zapewniona przez obowiązek zachowania tajemnicy, bez konieczności naruszania procedur dotyczących udzielania zamówień publicznych (wyrok w sprawie C-3/88 </w:t>
      </w:r>
      <w:r>
        <w:rPr>
          <w:rFonts w:asciiTheme="minorHAnsi" w:hAnsiTheme="minorHAnsi"/>
          <w:iCs/>
          <w:color w:val="auto"/>
          <w:sz w:val="24"/>
          <w:szCs w:val="24"/>
        </w:rPr>
        <w:t>Komisja przeciwko Włochom</w:t>
      </w:r>
      <w:r>
        <w:rPr>
          <w:rFonts w:asciiTheme="minorHAnsi" w:hAnsiTheme="minorHAnsi"/>
          <w:color w:val="auto"/>
          <w:sz w:val="24"/>
          <w:szCs w:val="24"/>
        </w:rPr>
        <w:t xml:space="preserve">, pkt 15). </w:t>
      </w:r>
    </w:p>
    <w:p w14:paraId="5EE219A9" w14:textId="304BC3A6" w:rsid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W mojej ocenie trudno zatem byłoby uzasadnić projektowane wyłączenie na gruncie art. 346 TFUE. W tym kontekście przypominam również o uprawnieniach Komisji Europejskiej przewidzianych w art. 348 TFUE. Jeżeli środki przyjęte na podstawie art. 346 TFUE powodują zakłócenie warunków konkurencji na rynku wewnętrznym, Komisja może prowadzić postępowanie mające na celu dostosowanie tych środków do zasad ustanowionych w Traktatach. Art. 348 TFUE przewiduje przy tym szczególną procedurę, na podstawie której Komisja lub państwa członkowskie mogą wnieść skargę bezpośrednio do TSUE, jeżeli uznają, że inne państwo członkowskie nadużywa uprawnień przewidzianych w art. 346. Oznacza to znaczne przyspieszenie i uproszczenie procedury zmierzającej do wydania wyroku przez TSUE. Nadużycie uprawnienia wynikającego z art. 346 TFUE może więc skutkować bardzo szybkim wniesieniem do TSUE skargi przez Komisję lub inne państwo członkowskie w procedurze przyspieszonej.</w:t>
      </w:r>
    </w:p>
    <w:p w14:paraId="39F5376C" w14:textId="4687920C" w:rsidR="004A7727" w:rsidRPr="004A7727" w:rsidRDefault="004A7727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d. Ponadto zwracam uwagę, że zgodnie z utrwalonym orzecznictwem T</w:t>
      </w:r>
      <w:r w:rsidR="00AA446D">
        <w:rPr>
          <w:rFonts w:asciiTheme="minorHAnsi" w:hAnsiTheme="minorHAnsi"/>
          <w:color w:val="auto"/>
          <w:sz w:val="24"/>
          <w:szCs w:val="24"/>
        </w:rPr>
        <w:t>S</w:t>
      </w:r>
      <w:r>
        <w:rPr>
          <w:rFonts w:asciiTheme="minorHAnsi" w:hAnsiTheme="minorHAnsi"/>
          <w:color w:val="auto"/>
          <w:sz w:val="24"/>
          <w:szCs w:val="24"/>
        </w:rPr>
        <w:t xml:space="preserve">UE nawet do zamówień publicznych wyłączonych spod obowiązku stosowania dyrektyw w sprawie zamówień publicznych należy stosować zasady traktatowe, </w:t>
      </w:r>
      <w:r w:rsidR="00AA446D">
        <w:rPr>
          <w:rFonts w:asciiTheme="minorHAnsi" w:hAnsiTheme="minorHAnsi"/>
          <w:color w:val="auto"/>
          <w:sz w:val="24"/>
          <w:szCs w:val="24"/>
        </w:rPr>
        <w:t>w tym zasady</w:t>
      </w:r>
      <w:r>
        <w:rPr>
          <w:rFonts w:asciiTheme="minorHAnsi" w:hAnsiTheme="minorHAnsi"/>
          <w:color w:val="auto"/>
          <w:sz w:val="24"/>
          <w:szCs w:val="24"/>
        </w:rPr>
        <w:t xml:space="preserve"> niedyskryminacji, równego traktowania, jawności, przejrzystości </w:t>
      </w:r>
      <w:r w:rsidR="00AA446D">
        <w:rPr>
          <w:rFonts w:asciiTheme="minorHAnsi" w:hAnsiTheme="minorHAnsi"/>
          <w:color w:val="auto"/>
          <w:sz w:val="24"/>
          <w:szCs w:val="24"/>
        </w:rPr>
        <w:t>i</w:t>
      </w:r>
      <w:r>
        <w:rPr>
          <w:rFonts w:asciiTheme="minorHAnsi" w:hAnsiTheme="minorHAnsi"/>
          <w:color w:val="auto"/>
          <w:sz w:val="24"/>
          <w:szCs w:val="24"/>
        </w:rPr>
        <w:t xml:space="preserve"> proporcjonalności, o ile dane zamówienie może mieć charakter transgraniczny (por. wyrok w sprawie C-699/17 </w:t>
      </w:r>
      <w:r>
        <w:rPr>
          <w:rFonts w:asciiTheme="minorHAnsi" w:hAnsiTheme="minorHAnsi"/>
          <w:i/>
          <w:iCs/>
          <w:color w:val="auto"/>
          <w:sz w:val="24"/>
          <w:szCs w:val="24"/>
        </w:rPr>
        <w:t>Allianz</w:t>
      </w:r>
      <w:r>
        <w:rPr>
          <w:rFonts w:asciiTheme="minorHAnsi" w:hAnsiTheme="minorHAnsi"/>
          <w:color w:val="auto"/>
          <w:sz w:val="24"/>
          <w:szCs w:val="24"/>
        </w:rPr>
        <w:t xml:space="preserve">, pkt 49). W przypadku pozostawienia w projekcie projektowanego wyłączenia, zasadne jest więc doprecyzowanie przepisu w celu zapewnienia przestrzegania wymienionych zasad. </w:t>
      </w:r>
    </w:p>
    <w:p w14:paraId="54B9A53E" w14:textId="6BF690E1" w:rsidR="004A7727" w:rsidRDefault="00AA446D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A7727">
        <w:rPr>
          <w:sz w:val="24"/>
          <w:szCs w:val="24"/>
        </w:rPr>
        <w:t>. Projektowany art. 43 ust. 2 nakłada na przedsiębiorcę łączności elektronicznej obowiązek poinformowania swoich użytkowników o przypadkach</w:t>
      </w:r>
      <w:r w:rsidR="004A7727" w:rsidRPr="00343733">
        <w:rPr>
          <w:sz w:val="24"/>
          <w:szCs w:val="24"/>
        </w:rPr>
        <w:t xml:space="preserve"> szczególnego i znacznego zagrożenia wystąpienia incydentu bezpieczeństw</w:t>
      </w:r>
      <w:r w:rsidR="004A7727">
        <w:rPr>
          <w:sz w:val="24"/>
          <w:szCs w:val="24"/>
        </w:rPr>
        <w:t>a. Obowiązek ten dotyczy jednak tylko przedsiębiorców</w:t>
      </w:r>
      <w:r w:rsidR="004A7727" w:rsidRPr="00343733">
        <w:rPr>
          <w:sz w:val="24"/>
          <w:szCs w:val="24"/>
        </w:rPr>
        <w:t xml:space="preserve"> wykonujący</w:t>
      </w:r>
      <w:r w:rsidR="004A7727">
        <w:rPr>
          <w:sz w:val="24"/>
          <w:szCs w:val="24"/>
        </w:rPr>
        <w:t>ch</w:t>
      </w:r>
      <w:r w:rsidR="004A7727" w:rsidRPr="00343733">
        <w:rPr>
          <w:sz w:val="24"/>
          <w:szCs w:val="24"/>
        </w:rPr>
        <w:t xml:space="preserve"> działalność na rynku detalicznym</w:t>
      </w:r>
      <w:r w:rsidR="004A7727">
        <w:rPr>
          <w:sz w:val="24"/>
          <w:szCs w:val="24"/>
        </w:rPr>
        <w:t>. Tymczasem z art. 40 ust. 3 dyrektywy 2018/1972 wynika, że taki obowiązek informacyjny powinien dotyczyć wszystkich przedsiębi</w:t>
      </w:r>
      <w:r w:rsidR="006374C3">
        <w:rPr>
          <w:sz w:val="24"/>
          <w:szCs w:val="24"/>
        </w:rPr>
        <w:t>orców łącz</w:t>
      </w:r>
      <w:r>
        <w:rPr>
          <w:sz w:val="24"/>
          <w:szCs w:val="24"/>
        </w:rPr>
        <w:t>ności elektronicznej. Wynika</w:t>
      </w:r>
      <w:r w:rsidR="006374C3">
        <w:rPr>
          <w:sz w:val="24"/>
          <w:szCs w:val="24"/>
        </w:rPr>
        <w:t xml:space="preserve"> z tego, że obowiązkiem informacyjnym powinni również zostać objęci przedsiębiorcy wykonujący działalność na rynku hurtowym. </w:t>
      </w:r>
    </w:p>
    <w:p w14:paraId="7105197B" w14:textId="0C59F9A1" w:rsidR="004A7727" w:rsidRDefault="00AA446D" w:rsidP="004A7727">
      <w:pPr>
        <w:spacing w:after="120" w:line="240" w:lineRule="auto"/>
        <w:ind w:left="-14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</w:t>
      </w:r>
      <w:r w:rsidR="004A7727">
        <w:rPr>
          <w:rFonts w:asciiTheme="minorHAnsi" w:hAnsiTheme="minorHAnsi"/>
          <w:sz w:val="24"/>
          <w:szCs w:val="24"/>
        </w:rPr>
        <w:t>. Projektowany art. 55</w:t>
      </w:r>
      <w:r w:rsidR="004A7727" w:rsidRPr="00962240">
        <w:rPr>
          <w:rFonts w:asciiTheme="minorHAnsi" w:hAnsiTheme="minorHAnsi"/>
          <w:sz w:val="24"/>
          <w:szCs w:val="24"/>
        </w:rPr>
        <w:t xml:space="preserve"> ust</w:t>
      </w:r>
      <w:r w:rsidR="006374C3">
        <w:rPr>
          <w:rFonts w:asciiTheme="minorHAnsi" w:hAnsiTheme="minorHAnsi"/>
          <w:sz w:val="24"/>
          <w:szCs w:val="24"/>
        </w:rPr>
        <w:t>.</w:t>
      </w:r>
      <w:r w:rsidR="004A7727" w:rsidRPr="00962240">
        <w:rPr>
          <w:rFonts w:asciiTheme="minorHAnsi" w:hAnsiTheme="minorHAnsi"/>
          <w:sz w:val="24"/>
          <w:szCs w:val="24"/>
        </w:rPr>
        <w:t xml:space="preserve"> 1 przewiduje obowiązek gromadzenia, przechowywania przez okres 12 miesięcy oraz udostępniania uprawnionym podmiotom, sądowi i prokuratorowi danych niezbędnych do</w:t>
      </w:r>
      <w:r w:rsidR="004A7727">
        <w:rPr>
          <w:rFonts w:asciiTheme="minorHAnsi" w:hAnsiTheme="minorHAnsi"/>
          <w:sz w:val="24"/>
          <w:szCs w:val="24"/>
        </w:rPr>
        <w:t xml:space="preserve"> ustalenia zakończenia sieci</w:t>
      </w:r>
      <w:r w:rsidR="004A7727" w:rsidRPr="00962240">
        <w:rPr>
          <w:rFonts w:asciiTheme="minorHAnsi" w:hAnsiTheme="minorHAnsi"/>
          <w:sz w:val="24"/>
          <w:szCs w:val="24"/>
        </w:rPr>
        <w:t xml:space="preserve"> telekomunikacyjnego urządzenia końcowego, użytkownika końcowego: a) inicjującego połączenie, b) do którego kierowane jest połączenie; oraz określenia: a) daty i godziny połączenia oraz czasu jego trwania, b) rodzaju połączenia, c) lokalizacji telekomunikacyjnego urządzenia końcowego.</w:t>
      </w:r>
      <w:r w:rsidR="004A7727">
        <w:rPr>
          <w:rFonts w:asciiTheme="minorHAnsi" w:hAnsiTheme="minorHAnsi"/>
          <w:sz w:val="24"/>
          <w:szCs w:val="24"/>
        </w:rPr>
        <w:t xml:space="preserve"> </w:t>
      </w:r>
    </w:p>
    <w:p w14:paraId="6BAF7B57" w14:textId="63B25AD1" w:rsidR="004A7727" w:rsidRDefault="004A7727" w:rsidP="004A7727">
      <w:pPr>
        <w:spacing w:after="120" w:line="240" w:lineRule="auto"/>
        <w:ind w:left="-14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tym kontekście chciałbym zwrócić uwagę na dotychczasowe orzecznictwo </w:t>
      </w:r>
      <w:r w:rsidRPr="00962240">
        <w:rPr>
          <w:rFonts w:asciiTheme="minorHAnsi" w:hAnsiTheme="minorHAnsi"/>
          <w:sz w:val="24"/>
          <w:szCs w:val="24"/>
        </w:rPr>
        <w:t>T</w:t>
      </w:r>
      <w:r w:rsidR="00AA446D">
        <w:rPr>
          <w:rFonts w:asciiTheme="minorHAnsi" w:hAnsiTheme="minorHAnsi"/>
          <w:sz w:val="24"/>
          <w:szCs w:val="24"/>
        </w:rPr>
        <w:t>SUE</w:t>
      </w:r>
      <w:r w:rsidRPr="00962240">
        <w:rPr>
          <w:rFonts w:asciiTheme="minorHAnsi" w:hAnsiTheme="minorHAnsi"/>
          <w:sz w:val="24"/>
          <w:szCs w:val="24"/>
        </w:rPr>
        <w:t xml:space="preserve"> w zakresie retencji danych telekomunikacyjnych</w:t>
      </w:r>
      <w:r>
        <w:rPr>
          <w:rFonts w:asciiTheme="minorHAnsi" w:hAnsiTheme="minorHAnsi"/>
          <w:sz w:val="24"/>
          <w:szCs w:val="24"/>
        </w:rPr>
        <w:t>.</w:t>
      </w:r>
    </w:p>
    <w:p w14:paraId="461BBBF4" w14:textId="0F42B0CC" w:rsidR="004A7727" w:rsidRPr="00417854" w:rsidRDefault="00AA446D" w:rsidP="006374C3">
      <w:pPr>
        <w:spacing w:after="120" w:line="240" w:lineRule="auto"/>
        <w:ind w:left="-142"/>
        <w:jc w:val="both"/>
        <w:rPr>
          <w:rFonts w:asciiTheme="minorHAnsi" w:hAnsiTheme="minorHAnsi"/>
          <w:bCs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4A7727" w:rsidRPr="00962240">
        <w:rPr>
          <w:rFonts w:asciiTheme="minorHAnsi" w:hAnsiTheme="minorHAnsi"/>
          <w:sz w:val="24"/>
          <w:szCs w:val="24"/>
        </w:rPr>
        <w:t xml:space="preserve">owszechny obowiązek zatrzymywania danych </w:t>
      </w:r>
      <w:r w:rsidR="004A7727">
        <w:rPr>
          <w:rFonts w:asciiTheme="minorHAnsi" w:hAnsiTheme="minorHAnsi"/>
          <w:sz w:val="24"/>
          <w:szCs w:val="24"/>
        </w:rPr>
        <w:t xml:space="preserve">o ruchu i lokalizacji użytkownika </w:t>
      </w:r>
      <w:r>
        <w:rPr>
          <w:rFonts w:asciiTheme="minorHAnsi" w:hAnsiTheme="minorHAnsi"/>
          <w:sz w:val="24"/>
          <w:szCs w:val="24"/>
        </w:rPr>
        <w:t>był</w:t>
      </w:r>
      <w:r w:rsidR="004A7727">
        <w:rPr>
          <w:rFonts w:asciiTheme="minorHAnsi" w:hAnsiTheme="minorHAnsi"/>
          <w:sz w:val="24"/>
          <w:szCs w:val="24"/>
        </w:rPr>
        <w:t xml:space="preserve"> dotychczas kwestionowany</w:t>
      </w:r>
      <w:r w:rsidR="004A7727" w:rsidRPr="00D362BF">
        <w:rPr>
          <w:rFonts w:asciiTheme="minorHAnsi" w:hAnsiTheme="minorHAnsi"/>
          <w:sz w:val="24"/>
          <w:szCs w:val="24"/>
        </w:rPr>
        <w:t xml:space="preserve"> </w:t>
      </w:r>
      <w:r w:rsidR="004A7727">
        <w:rPr>
          <w:rFonts w:asciiTheme="minorHAnsi" w:hAnsiTheme="minorHAnsi"/>
          <w:sz w:val="24"/>
          <w:szCs w:val="24"/>
        </w:rPr>
        <w:t>przez TSUE</w:t>
      </w:r>
      <w:r w:rsidR="004A7727" w:rsidRPr="00962240">
        <w:rPr>
          <w:rFonts w:asciiTheme="minorHAnsi" w:hAnsiTheme="minorHAnsi"/>
          <w:sz w:val="24"/>
          <w:szCs w:val="24"/>
        </w:rPr>
        <w:t>.</w:t>
      </w:r>
      <w:r w:rsidR="004A7727">
        <w:rPr>
          <w:rFonts w:asciiTheme="minorHAnsi" w:hAnsiTheme="minorHAnsi"/>
          <w:sz w:val="24"/>
          <w:szCs w:val="24"/>
        </w:rPr>
        <w:t xml:space="preserve"> Obecnie ta kwestia podlega ponownej ocenie Trybunału i powinna znaleźć niedługo rozwiązanie w wyrokach w sprawach</w:t>
      </w:r>
      <w:r w:rsidR="004A7727" w:rsidRPr="00962240">
        <w:rPr>
          <w:rFonts w:asciiTheme="minorHAnsi" w:hAnsiTheme="minorHAnsi"/>
          <w:sz w:val="24"/>
          <w:szCs w:val="24"/>
        </w:rPr>
        <w:t xml:space="preserve"> </w:t>
      </w:r>
      <w:r w:rsidR="004A7727" w:rsidRPr="002237AA">
        <w:rPr>
          <w:rFonts w:asciiTheme="minorHAnsi" w:hAnsiTheme="minorHAnsi"/>
          <w:bCs/>
          <w:sz w:val="24"/>
          <w:szCs w:val="24"/>
        </w:rPr>
        <w:t xml:space="preserve">C-623/17 </w:t>
      </w:r>
      <w:r w:rsidR="004A7727" w:rsidRPr="00417854">
        <w:rPr>
          <w:rFonts w:asciiTheme="minorHAnsi" w:hAnsiTheme="minorHAnsi"/>
          <w:bCs/>
          <w:i/>
          <w:sz w:val="24"/>
          <w:szCs w:val="24"/>
        </w:rPr>
        <w:t>Privacy International</w:t>
      </w:r>
      <w:r w:rsidR="004A7727" w:rsidRPr="002237AA">
        <w:rPr>
          <w:rFonts w:asciiTheme="minorHAnsi" w:hAnsiTheme="minorHAnsi"/>
          <w:bCs/>
          <w:sz w:val="24"/>
          <w:szCs w:val="24"/>
        </w:rPr>
        <w:t>,</w:t>
      </w:r>
      <w:r w:rsidR="004A7727" w:rsidRPr="002237AA">
        <w:rPr>
          <w:rFonts w:ascii="Times New Roman" w:eastAsiaTheme="minorEastAsia" w:hAnsi="Times New Roman" w:cs="Times New Roman"/>
          <w:bCs/>
          <w:iCs/>
          <w:color w:val="auto"/>
          <w:sz w:val="24"/>
          <w:szCs w:val="24"/>
        </w:rPr>
        <w:t xml:space="preserve"> </w:t>
      </w:r>
      <w:r w:rsidR="004A7727" w:rsidRPr="002237AA">
        <w:rPr>
          <w:rFonts w:asciiTheme="minorHAnsi" w:hAnsiTheme="minorHAnsi"/>
          <w:bCs/>
          <w:iCs/>
          <w:sz w:val="24"/>
          <w:szCs w:val="24"/>
        </w:rPr>
        <w:t xml:space="preserve">C-511/18 i C-512/18 </w:t>
      </w:r>
      <w:r w:rsidR="004A7727" w:rsidRPr="00417854">
        <w:rPr>
          <w:rFonts w:asciiTheme="minorHAnsi" w:hAnsiTheme="minorHAnsi"/>
          <w:bCs/>
          <w:i/>
          <w:iCs/>
          <w:sz w:val="24"/>
          <w:szCs w:val="24"/>
        </w:rPr>
        <w:t xml:space="preserve">La Quadrature du Net </w:t>
      </w:r>
      <w:r w:rsidR="004A7727" w:rsidRPr="00417854">
        <w:rPr>
          <w:rFonts w:asciiTheme="minorHAnsi" w:hAnsiTheme="minorHAnsi"/>
          <w:bCs/>
          <w:i/>
          <w:sz w:val="24"/>
          <w:szCs w:val="24"/>
        </w:rPr>
        <w:t>i in</w:t>
      </w:r>
      <w:r w:rsidR="004A7727" w:rsidRPr="002237AA">
        <w:rPr>
          <w:rFonts w:asciiTheme="minorHAnsi" w:hAnsiTheme="minorHAnsi"/>
          <w:bCs/>
          <w:sz w:val="24"/>
          <w:szCs w:val="24"/>
        </w:rPr>
        <w:t>.</w:t>
      </w:r>
      <w:r w:rsidR="004A7727">
        <w:rPr>
          <w:rFonts w:asciiTheme="minorHAnsi" w:hAnsiTheme="minorHAnsi"/>
          <w:bCs/>
          <w:iCs/>
          <w:sz w:val="24"/>
          <w:szCs w:val="24"/>
        </w:rPr>
        <w:t>,</w:t>
      </w:r>
      <w:r w:rsidR="004A7727" w:rsidRPr="002237AA">
        <w:rPr>
          <w:rFonts w:asciiTheme="minorHAnsi" w:hAnsiTheme="minorHAnsi"/>
          <w:bCs/>
          <w:iCs/>
          <w:sz w:val="24"/>
          <w:szCs w:val="24"/>
        </w:rPr>
        <w:t xml:space="preserve">C-520/18 </w:t>
      </w:r>
      <w:r w:rsidR="004A7727" w:rsidRPr="00417854">
        <w:rPr>
          <w:rFonts w:asciiTheme="minorHAnsi" w:hAnsiTheme="minorHAnsi"/>
          <w:bCs/>
          <w:i/>
          <w:iCs/>
          <w:sz w:val="24"/>
          <w:szCs w:val="24"/>
        </w:rPr>
        <w:t>Ordre des barreaux francophones et</w:t>
      </w:r>
      <w:r w:rsidR="004A7727" w:rsidRPr="00417854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4A7727" w:rsidRPr="00417854">
        <w:rPr>
          <w:rFonts w:asciiTheme="minorHAnsi" w:hAnsiTheme="minorHAnsi"/>
          <w:bCs/>
          <w:i/>
          <w:iCs/>
          <w:sz w:val="24"/>
          <w:szCs w:val="24"/>
        </w:rPr>
        <w:t xml:space="preserve">germanophone </w:t>
      </w:r>
      <w:r w:rsidR="004A7727" w:rsidRPr="00417854">
        <w:rPr>
          <w:rFonts w:asciiTheme="minorHAnsi" w:hAnsiTheme="minorHAnsi"/>
          <w:bCs/>
          <w:i/>
          <w:sz w:val="24"/>
          <w:szCs w:val="24"/>
        </w:rPr>
        <w:t>i in.</w:t>
      </w:r>
      <w:r w:rsidR="004A7727">
        <w:rPr>
          <w:rFonts w:asciiTheme="minorHAnsi" w:hAnsiTheme="minorHAnsi"/>
          <w:bCs/>
          <w:i/>
          <w:sz w:val="24"/>
          <w:szCs w:val="24"/>
        </w:rPr>
        <w:t xml:space="preserve">, </w:t>
      </w:r>
      <w:r w:rsidR="004A7727" w:rsidRPr="00417854">
        <w:rPr>
          <w:rFonts w:asciiTheme="minorHAnsi" w:hAnsiTheme="minorHAnsi"/>
          <w:bCs/>
          <w:sz w:val="24"/>
          <w:szCs w:val="24"/>
        </w:rPr>
        <w:t>C</w:t>
      </w:r>
      <w:r w:rsidR="004A7727" w:rsidRPr="00417854">
        <w:rPr>
          <w:rFonts w:ascii="MS Gothic" w:eastAsia="MS Gothic" w:hAnsi="MS Gothic" w:cs="MS Gothic"/>
          <w:bCs/>
          <w:sz w:val="24"/>
          <w:szCs w:val="24"/>
        </w:rPr>
        <w:t>‑</w:t>
      </w:r>
      <w:r w:rsidR="004A7727" w:rsidRPr="00417854">
        <w:rPr>
          <w:rFonts w:asciiTheme="minorHAnsi" w:hAnsiTheme="minorHAnsi"/>
          <w:bCs/>
          <w:sz w:val="24"/>
          <w:szCs w:val="24"/>
        </w:rPr>
        <w:t>746/18</w:t>
      </w:r>
      <w:r w:rsidR="006374C3">
        <w:rPr>
          <w:rFonts w:asciiTheme="minorHAnsi" w:hAnsiTheme="minorHAnsi"/>
          <w:bCs/>
          <w:i/>
          <w:sz w:val="24"/>
          <w:szCs w:val="24"/>
        </w:rPr>
        <w:t xml:space="preserve"> H.K.,</w:t>
      </w:r>
      <w:r w:rsidR="004A7727" w:rsidRPr="00417854">
        <w:rPr>
          <w:rFonts w:asciiTheme="minorHAnsi" w:hAnsiTheme="minorHAnsi"/>
          <w:bCs/>
          <w:sz w:val="24"/>
          <w:szCs w:val="24"/>
        </w:rPr>
        <w:t xml:space="preserve"> C-793/19 i C-794/19</w:t>
      </w:r>
      <w:r w:rsidR="004A7727">
        <w:rPr>
          <w:rFonts w:asciiTheme="minorHAnsi" w:hAnsiTheme="minorHAnsi"/>
          <w:bCs/>
          <w:i/>
          <w:sz w:val="24"/>
          <w:szCs w:val="24"/>
        </w:rPr>
        <w:t xml:space="preserve">  </w:t>
      </w:r>
      <w:r w:rsidR="004A7727" w:rsidRPr="004B67C3">
        <w:rPr>
          <w:rFonts w:asciiTheme="minorHAnsi" w:hAnsiTheme="minorHAnsi"/>
          <w:bCs/>
          <w:i/>
          <w:sz w:val="24"/>
          <w:szCs w:val="24"/>
        </w:rPr>
        <w:t>SpraceNet i in</w:t>
      </w:r>
      <w:r w:rsidR="006374C3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6374C3" w:rsidRPr="006374C3">
        <w:rPr>
          <w:rFonts w:asciiTheme="minorHAnsi" w:hAnsiTheme="minorHAnsi"/>
          <w:bCs/>
          <w:sz w:val="24"/>
          <w:szCs w:val="24"/>
        </w:rPr>
        <w:t xml:space="preserve">oraz C-140/20 </w:t>
      </w:r>
      <w:r w:rsidR="006374C3" w:rsidRPr="006374C3">
        <w:rPr>
          <w:rFonts w:asciiTheme="minorHAnsi" w:hAnsiTheme="minorHAnsi"/>
          <w:bCs/>
          <w:i/>
          <w:sz w:val="24"/>
          <w:szCs w:val="24"/>
        </w:rPr>
        <w:t>Commissioner of the Garda Síochána i in</w:t>
      </w:r>
      <w:r w:rsidR="004A7727" w:rsidRPr="004B67C3">
        <w:rPr>
          <w:rFonts w:asciiTheme="minorHAnsi" w:hAnsiTheme="minorHAnsi"/>
          <w:bCs/>
          <w:i/>
          <w:sz w:val="24"/>
          <w:szCs w:val="24"/>
        </w:rPr>
        <w:t>.</w:t>
      </w:r>
      <w:r w:rsidR="004A7727" w:rsidRPr="00417854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4A7727">
        <w:rPr>
          <w:rFonts w:asciiTheme="minorHAnsi" w:hAnsiTheme="minorHAnsi"/>
          <w:bCs/>
          <w:sz w:val="24"/>
          <w:szCs w:val="24"/>
        </w:rPr>
        <w:t xml:space="preserve">Projekt ustawy powinien zatem zostać w przyszłości przeanalizowany pod kątem ewentualnego dostosowania do wyroków TSUE w tych sprawach. </w:t>
      </w:r>
    </w:p>
    <w:p w14:paraId="31066984" w14:textId="77777777" w:rsidR="004A7727" w:rsidRPr="00962240" w:rsidRDefault="004A7727" w:rsidP="004A7727">
      <w:pPr>
        <w:spacing w:after="120" w:line="240" w:lineRule="auto"/>
        <w:ind w:left="-14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Zwracam uwagę na wyrok w sprawach</w:t>
      </w:r>
      <w:r w:rsidRPr="003E674F">
        <w:rPr>
          <w:rFonts w:asciiTheme="minorHAnsi" w:hAnsiTheme="minorHAnsi"/>
          <w:sz w:val="24"/>
          <w:szCs w:val="24"/>
        </w:rPr>
        <w:t xml:space="preserve"> C-203/15 i C-698/15 </w:t>
      </w:r>
      <w:r w:rsidRPr="003E674F">
        <w:rPr>
          <w:rFonts w:asciiTheme="minorHAnsi" w:hAnsiTheme="minorHAnsi"/>
          <w:i/>
          <w:sz w:val="24"/>
          <w:szCs w:val="24"/>
        </w:rPr>
        <w:t xml:space="preserve">Tele2 </w:t>
      </w:r>
      <w:r>
        <w:rPr>
          <w:rFonts w:asciiTheme="minorHAnsi" w:hAnsiTheme="minorHAnsi"/>
          <w:i/>
          <w:sz w:val="24"/>
          <w:szCs w:val="24"/>
        </w:rPr>
        <w:t>Sverige i Watson</w:t>
      </w:r>
      <w:r>
        <w:rPr>
          <w:rFonts w:asciiTheme="minorHAnsi" w:hAnsiTheme="minorHAnsi"/>
          <w:sz w:val="24"/>
          <w:szCs w:val="24"/>
        </w:rPr>
        <w:t xml:space="preserve">. W ocenie TSUE, na gruncie </w:t>
      </w:r>
      <w:r w:rsidRPr="003E674F">
        <w:rPr>
          <w:rFonts w:asciiTheme="minorHAnsi" w:hAnsiTheme="minorHAnsi"/>
          <w:sz w:val="24"/>
          <w:szCs w:val="24"/>
        </w:rPr>
        <w:t>art. 15 dyrektywy 2002/58/WE dotyczącej przetwarzania danych osobowych i ochrony prywatności w sektorze łączności elektronicznej</w:t>
      </w:r>
      <w:r>
        <w:rPr>
          <w:rFonts w:asciiTheme="minorHAnsi" w:hAnsiTheme="minorHAnsi"/>
          <w:sz w:val="24"/>
          <w:szCs w:val="24"/>
        </w:rPr>
        <w:t>, nie powinno się wprowadzać</w:t>
      </w:r>
      <w:r w:rsidRPr="003E674F">
        <w:rPr>
          <w:rFonts w:asciiTheme="minorHAnsi" w:hAnsiTheme="minorHAnsi"/>
          <w:sz w:val="24"/>
          <w:szCs w:val="24"/>
        </w:rPr>
        <w:t xml:space="preserve"> uogólnione</w:t>
      </w:r>
      <w:r>
        <w:rPr>
          <w:rFonts w:asciiTheme="minorHAnsi" w:hAnsiTheme="minorHAnsi"/>
          <w:sz w:val="24"/>
          <w:szCs w:val="24"/>
        </w:rPr>
        <w:t>go</w:t>
      </w:r>
      <w:r w:rsidRPr="003E674F">
        <w:rPr>
          <w:rFonts w:asciiTheme="minorHAnsi" w:hAnsiTheme="minorHAnsi"/>
          <w:sz w:val="24"/>
          <w:szCs w:val="24"/>
        </w:rPr>
        <w:t xml:space="preserve"> i niezróżnicowane</w:t>
      </w:r>
      <w:r>
        <w:rPr>
          <w:rFonts w:asciiTheme="minorHAnsi" w:hAnsiTheme="minorHAnsi"/>
          <w:sz w:val="24"/>
          <w:szCs w:val="24"/>
        </w:rPr>
        <w:t>go</w:t>
      </w:r>
      <w:r w:rsidRPr="003E674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obowiązku zatrzymywania</w:t>
      </w:r>
      <w:r w:rsidRPr="003E674F">
        <w:rPr>
          <w:rFonts w:asciiTheme="minorHAnsi" w:hAnsiTheme="minorHAnsi"/>
          <w:sz w:val="24"/>
          <w:szCs w:val="24"/>
        </w:rPr>
        <w:t xml:space="preserve"> wszystkich danych o ruchu oraz</w:t>
      </w:r>
      <w:r w:rsidRPr="00962240">
        <w:rPr>
          <w:rFonts w:asciiTheme="minorHAnsi" w:hAnsiTheme="minorHAnsi"/>
          <w:sz w:val="24"/>
          <w:szCs w:val="24"/>
        </w:rPr>
        <w:t xml:space="preserve"> danych dotyczących lokalizacji wszystkich abonentów i zarejestrowanych użytkowników wszystkich środków łączności elektronicznej. Ponadto zdaniem Trybunału </w:t>
      </w:r>
      <w:r>
        <w:rPr>
          <w:rFonts w:asciiTheme="minorHAnsi" w:hAnsiTheme="minorHAnsi"/>
          <w:sz w:val="24"/>
          <w:szCs w:val="24"/>
        </w:rPr>
        <w:t xml:space="preserve">dostęp </w:t>
      </w:r>
      <w:r w:rsidRPr="00962240">
        <w:rPr>
          <w:rFonts w:asciiTheme="minorHAnsi" w:hAnsiTheme="minorHAnsi"/>
          <w:sz w:val="24"/>
          <w:szCs w:val="24"/>
        </w:rPr>
        <w:t xml:space="preserve">właściwych organów </w:t>
      </w:r>
      <w:r>
        <w:rPr>
          <w:rFonts w:asciiTheme="minorHAnsi" w:hAnsiTheme="minorHAnsi"/>
          <w:sz w:val="24"/>
          <w:szCs w:val="24"/>
        </w:rPr>
        <w:t>do przechowywanych danych powinien być uzależniony</w:t>
      </w:r>
      <w:r w:rsidRPr="00962240">
        <w:rPr>
          <w:rFonts w:asciiTheme="minorHAnsi" w:hAnsiTheme="minorHAnsi"/>
          <w:sz w:val="24"/>
          <w:szCs w:val="24"/>
        </w:rPr>
        <w:t xml:space="preserve"> od uprzedniej kontroli sprawowanej przez sąd lub nie</w:t>
      </w:r>
      <w:r>
        <w:rPr>
          <w:rFonts w:asciiTheme="minorHAnsi" w:hAnsiTheme="minorHAnsi"/>
          <w:sz w:val="24"/>
          <w:szCs w:val="24"/>
        </w:rPr>
        <w:t xml:space="preserve">zależny organ administracyjny </w:t>
      </w:r>
      <w:r w:rsidRPr="00962240">
        <w:rPr>
          <w:rFonts w:asciiTheme="minorHAnsi" w:hAnsiTheme="minorHAnsi"/>
          <w:sz w:val="24"/>
          <w:szCs w:val="24"/>
        </w:rPr>
        <w:t xml:space="preserve">(wyrok w sprawach połączonych C-203/15 i C-685/15 </w:t>
      </w:r>
      <w:r w:rsidRPr="003E674F">
        <w:rPr>
          <w:rFonts w:asciiTheme="minorHAnsi" w:hAnsiTheme="minorHAnsi"/>
          <w:i/>
          <w:sz w:val="24"/>
          <w:szCs w:val="24"/>
        </w:rPr>
        <w:t>Tele2</w:t>
      </w:r>
      <w:r w:rsidRPr="00962240">
        <w:rPr>
          <w:rFonts w:asciiTheme="minorHAnsi" w:hAnsiTheme="minorHAnsi"/>
          <w:sz w:val="24"/>
          <w:szCs w:val="24"/>
        </w:rPr>
        <w:t xml:space="preserve"> </w:t>
      </w:r>
      <w:r w:rsidRPr="003E674F">
        <w:rPr>
          <w:rFonts w:asciiTheme="minorHAnsi" w:hAnsiTheme="minorHAnsi"/>
          <w:i/>
          <w:sz w:val="24"/>
          <w:szCs w:val="24"/>
        </w:rPr>
        <w:t>Sverige i in.,</w:t>
      </w:r>
      <w:r w:rsidRPr="00962240">
        <w:rPr>
          <w:rFonts w:asciiTheme="minorHAnsi" w:hAnsiTheme="minorHAnsi"/>
          <w:sz w:val="24"/>
          <w:szCs w:val="24"/>
        </w:rPr>
        <w:t xml:space="preserve"> pkt 125). </w:t>
      </w:r>
    </w:p>
    <w:p w14:paraId="5E0AB9AE" w14:textId="5C8CCA38" w:rsidR="004A7727" w:rsidRPr="00962240" w:rsidRDefault="004A7727" w:rsidP="004A7727">
      <w:pPr>
        <w:spacing w:after="120" w:line="240" w:lineRule="auto"/>
        <w:ind w:left="-14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kwestii </w:t>
      </w:r>
      <w:r w:rsidRPr="00CD063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udostępniania organom zatrzymanych danych telekomunikacyjnych, </w:t>
      </w:r>
      <w:r w:rsidR="00F87345">
        <w:rPr>
          <w:rFonts w:asciiTheme="minorHAnsi" w:hAnsiTheme="minorHAnsi"/>
          <w:sz w:val="24"/>
          <w:szCs w:val="24"/>
        </w:rPr>
        <w:t>TSUE</w:t>
      </w:r>
      <w:r>
        <w:rPr>
          <w:rFonts w:asciiTheme="minorHAnsi" w:hAnsiTheme="minorHAnsi"/>
          <w:sz w:val="24"/>
          <w:szCs w:val="24"/>
        </w:rPr>
        <w:t xml:space="preserve"> wskazał w</w:t>
      </w:r>
      <w:r w:rsidRPr="00CD063A">
        <w:rPr>
          <w:rFonts w:asciiTheme="minorHAnsi" w:hAnsiTheme="minorHAnsi"/>
          <w:sz w:val="24"/>
          <w:szCs w:val="24"/>
        </w:rPr>
        <w:t xml:space="preserve"> wyroku w sprawie C-207/16 </w:t>
      </w:r>
      <w:r w:rsidRPr="0013584D">
        <w:rPr>
          <w:rFonts w:asciiTheme="minorHAnsi" w:hAnsiTheme="minorHAnsi"/>
          <w:i/>
          <w:sz w:val="24"/>
          <w:szCs w:val="24"/>
        </w:rPr>
        <w:t>Ministerio Fiscal</w:t>
      </w:r>
      <w:r>
        <w:rPr>
          <w:rFonts w:asciiTheme="minorHAnsi" w:hAnsiTheme="minorHAnsi"/>
          <w:sz w:val="24"/>
          <w:szCs w:val="24"/>
        </w:rPr>
        <w:t>,</w:t>
      </w:r>
      <w:r w:rsidRPr="00CD063A">
        <w:rPr>
          <w:rFonts w:asciiTheme="minorHAnsi" w:hAnsiTheme="minorHAnsi"/>
          <w:sz w:val="24"/>
          <w:szCs w:val="24"/>
        </w:rPr>
        <w:t xml:space="preserve"> że im ba</w:t>
      </w:r>
      <w:r w:rsidR="00F87345">
        <w:rPr>
          <w:rFonts w:asciiTheme="minorHAnsi" w:hAnsiTheme="minorHAnsi"/>
          <w:sz w:val="24"/>
          <w:szCs w:val="24"/>
        </w:rPr>
        <w:t>rdziej zbierane dane ingerują w </w:t>
      </w:r>
      <w:r w:rsidRPr="00CD063A">
        <w:rPr>
          <w:rFonts w:asciiTheme="minorHAnsi" w:hAnsiTheme="minorHAnsi"/>
          <w:sz w:val="24"/>
          <w:szCs w:val="24"/>
        </w:rPr>
        <w:t xml:space="preserve">prywatność osoby, której dotyczą, tym bardziej należy ograniczyć do nich dostęp. </w:t>
      </w:r>
    </w:p>
    <w:p w14:paraId="5C82220C" w14:textId="2DC56365" w:rsidR="004A7727" w:rsidRDefault="004A7727" w:rsidP="004A7727">
      <w:pPr>
        <w:spacing w:after="120" w:line="240" w:lineRule="auto"/>
        <w:ind w:left="-14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Jeżeli natomiast chodzi </w:t>
      </w:r>
      <w:r w:rsidR="006374C3">
        <w:rPr>
          <w:rFonts w:asciiTheme="minorHAnsi" w:hAnsiTheme="minorHAnsi"/>
          <w:sz w:val="24"/>
          <w:szCs w:val="24"/>
        </w:rPr>
        <w:t xml:space="preserve">o </w:t>
      </w:r>
      <w:r>
        <w:rPr>
          <w:rFonts w:asciiTheme="minorHAnsi" w:hAnsiTheme="minorHAnsi"/>
          <w:sz w:val="24"/>
          <w:szCs w:val="24"/>
        </w:rPr>
        <w:t>czas</w:t>
      </w:r>
      <w:r w:rsidRPr="00962240">
        <w:rPr>
          <w:rFonts w:asciiTheme="minorHAnsi" w:hAnsiTheme="minorHAnsi"/>
          <w:sz w:val="24"/>
          <w:szCs w:val="24"/>
        </w:rPr>
        <w:t xml:space="preserve"> zatrzymania danych</w:t>
      </w:r>
      <w:r w:rsidR="00F87345">
        <w:rPr>
          <w:rFonts w:asciiTheme="minorHAnsi" w:hAnsiTheme="minorHAnsi"/>
          <w:sz w:val="24"/>
          <w:szCs w:val="24"/>
        </w:rPr>
        <w:t>,</w:t>
      </w:r>
      <w:r w:rsidRPr="00962240">
        <w:rPr>
          <w:rFonts w:asciiTheme="minorHAnsi" w:hAnsiTheme="minorHAnsi"/>
          <w:sz w:val="24"/>
          <w:szCs w:val="24"/>
        </w:rPr>
        <w:t xml:space="preserve"> TSUE zwrócił uwagę, że należy zagwarantować, że będzie on ograniczał się do tego, co ściśle niezbędne (wyrok w sprawach połączonych C</w:t>
      </w:r>
      <w:r w:rsidRPr="00962240">
        <w:rPr>
          <w:rFonts w:ascii="MS Gothic" w:eastAsia="MS Gothic" w:hAnsi="MS Gothic" w:cs="MS Gothic" w:hint="eastAsia"/>
          <w:sz w:val="24"/>
          <w:szCs w:val="24"/>
        </w:rPr>
        <w:t>‑</w:t>
      </w:r>
      <w:r w:rsidRPr="00962240">
        <w:rPr>
          <w:rFonts w:asciiTheme="minorHAnsi" w:hAnsiTheme="minorHAnsi"/>
          <w:sz w:val="24"/>
          <w:szCs w:val="24"/>
        </w:rPr>
        <w:t>293/12 i C</w:t>
      </w:r>
      <w:r w:rsidRPr="00962240">
        <w:rPr>
          <w:rFonts w:ascii="MS Gothic" w:eastAsia="MS Gothic" w:hAnsi="MS Gothic" w:cs="MS Gothic" w:hint="eastAsia"/>
          <w:sz w:val="24"/>
          <w:szCs w:val="24"/>
        </w:rPr>
        <w:t>‑</w:t>
      </w:r>
      <w:r w:rsidRPr="00962240">
        <w:rPr>
          <w:rFonts w:asciiTheme="minorHAnsi" w:hAnsiTheme="minorHAnsi"/>
          <w:sz w:val="24"/>
          <w:szCs w:val="24"/>
        </w:rPr>
        <w:t xml:space="preserve">594/12 </w:t>
      </w:r>
      <w:r w:rsidRPr="003E674F">
        <w:rPr>
          <w:rFonts w:asciiTheme="minorHAnsi" w:hAnsiTheme="minorHAnsi"/>
          <w:i/>
          <w:sz w:val="24"/>
          <w:szCs w:val="24"/>
        </w:rPr>
        <w:t>Digital Rights Ireland i in</w:t>
      </w:r>
      <w:r w:rsidRPr="00962240">
        <w:rPr>
          <w:rFonts w:asciiTheme="minorHAnsi" w:hAnsiTheme="minorHAnsi"/>
          <w:sz w:val="24"/>
          <w:szCs w:val="24"/>
        </w:rPr>
        <w:t>, pkt 64).</w:t>
      </w:r>
      <w:r>
        <w:rPr>
          <w:rFonts w:asciiTheme="minorHAnsi" w:hAnsiTheme="minorHAnsi"/>
          <w:sz w:val="24"/>
          <w:szCs w:val="24"/>
        </w:rPr>
        <w:t xml:space="preserve"> Należałoby zatem przedstawić uzasadnienie odnoś</w:t>
      </w:r>
      <w:r w:rsidR="00F87345">
        <w:rPr>
          <w:rFonts w:asciiTheme="minorHAnsi" w:hAnsiTheme="minorHAnsi"/>
          <w:sz w:val="24"/>
          <w:szCs w:val="24"/>
        </w:rPr>
        <w:t xml:space="preserve">nie do 12-miesięcznego terminu </w:t>
      </w:r>
      <w:r w:rsidR="00F87345" w:rsidRPr="00962240">
        <w:rPr>
          <w:rFonts w:asciiTheme="minorHAnsi" w:hAnsiTheme="minorHAnsi"/>
          <w:sz w:val="24"/>
          <w:szCs w:val="24"/>
        </w:rPr>
        <w:t xml:space="preserve">gromadzenia, przechowywania </w:t>
      </w:r>
      <w:r w:rsidR="00F87345">
        <w:rPr>
          <w:rFonts w:asciiTheme="minorHAnsi" w:hAnsiTheme="minorHAnsi"/>
          <w:sz w:val="24"/>
          <w:szCs w:val="24"/>
        </w:rPr>
        <w:t>i</w:t>
      </w:r>
      <w:r w:rsidR="00F87345" w:rsidRPr="00962240">
        <w:rPr>
          <w:rFonts w:asciiTheme="minorHAnsi" w:hAnsiTheme="minorHAnsi"/>
          <w:sz w:val="24"/>
          <w:szCs w:val="24"/>
        </w:rPr>
        <w:t xml:space="preserve"> udostępniania</w:t>
      </w:r>
      <w:r w:rsidR="00F87345">
        <w:rPr>
          <w:rFonts w:asciiTheme="minorHAnsi" w:hAnsiTheme="minorHAnsi"/>
          <w:sz w:val="24"/>
          <w:szCs w:val="24"/>
        </w:rPr>
        <w:t xml:space="preserve"> danych.</w:t>
      </w:r>
    </w:p>
    <w:p w14:paraId="07611E66" w14:textId="21B1AD98" w:rsidR="004A7727" w:rsidRPr="00D27F3B" w:rsidRDefault="00F87345" w:rsidP="004A7727">
      <w:pPr>
        <w:spacing w:after="0" w:line="240" w:lineRule="auto"/>
        <w:ind w:left="-14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="004A7727">
        <w:rPr>
          <w:rFonts w:asciiTheme="minorHAnsi" w:hAnsiTheme="minorHAnsi"/>
          <w:sz w:val="24"/>
          <w:szCs w:val="24"/>
        </w:rPr>
        <w:t>ależy</w:t>
      </w:r>
      <w:r>
        <w:rPr>
          <w:rFonts w:asciiTheme="minorHAnsi" w:hAnsiTheme="minorHAnsi"/>
          <w:sz w:val="24"/>
          <w:szCs w:val="24"/>
        </w:rPr>
        <w:t xml:space="preserve"> też</w:t>
      </w:r>
      <w:r w:rsidR="004A7727">
        <w:rPr>
          <w:rFonts w:asciiTheme="minorHAnsi" w:hAnsiTheme="minorHAnsi"/>
          <w:sz w:val="24"/>
          <w:szCs w:val="24"/>
        </w:rPr>
        <w:t xml:space="preserve"> pamiętać, że zgodnie z art. 15 dyrektywy </w:t>
      </w:r>
      <w:r w:rsidR="004A7727" w:rsidRPr="00D362BF">
        <w:rPr>
          <w:rFonts w:asciiTheme="minorHAnsi" w:hAnsiTheme="minorHAnsi"/>
          <w:sz w:val="24"/>
          <w:szCs w:val="24"/>
        </w:rPr>
        <w:t>2002/58/WE</w:t>
      </w:r>
      <w:r w:rsidR="004A7727">
        <w:rPr>
          <w:rFonts w:asciiTheme="minorHAnsi" w:hAnsiTheme="minorHAnsi"/>
          <w:sz w:val="24"/>
          <w:szCs w:val="24"/>
        </w:rPr>
        <w:t xml:space="preserve"> retencja danych telekomunikacyjnych powinna służyć wyłącznie </w:t>
      </w:r>
      <w:r w:rsidR="004A7727" w:rsidRPr="008269DB">
        <w:rPr>
          <w:rFonts w:asciiTheme="minorHAnsi" w:hAnsiTheme="minorHAnsi"/>
          <w:sz w:val="24"/>
          <w:szCs w:val="24"/>
        </w:rPr>
        <w:t>zapewnie</w:t>
      </w:r>
      <w:r w:rsidR="004A7727">
        <w:rPr>
          <w:rFonts w:asciiTheme="minorHAnsi" w:hAnsiTheme="minorHAnsi"/>
          <w:sz w:val="24"/>
          <w:szCs w:val="24"/>
        </w:rPr>
        <w:t>niu bezpieczeństwa narodowego</w:t>
      </w:r>
      <w:r w:rsidR="004A7727" w:rsidRPr="008269DB">
        <w:rPr>
          <w:rFonts w:asciiTheme="minorHAnsi" w:hAnsiTheme="minorHAnsi"/>
          <w:sz w:val="24"/>
          <w:szCs w:val="24"/>
        </w:rPr>
        <w:t>, obronności, bezpieczeńst</w:t>
      </w:r>
      <w:r w:rsidR="004A7727">
        <w:rPr>
          <w:rFonts w:asciiTheme="minorHAnsi" w:hAnsiTheme="minorHAnsi"/>
          <w:sz w:val="24"/>
          <w:szCs w:val="24"/>
        </w:rPr>
        <w:t>wa publicznego oraz zapobieganiu, dochodzeniu, wykrywaniu i karaniu</w:t>
      </w:r>
      <w:r w:rsidR="004A7727" w:rsidRPr="008269DB">
        <w:rPr>
          <w:rFonts w:asciiTheme="minorHAnsi" w:hAnsiTheme="minorHAnsi"/>
          <w:sz w:val="24"/>
          <w:szCs w:val="24"/>
        </w:rPr>
        <w:t xml:space="preserve"> przestępstw kryminalnych lub niedozwolonego używania sy</w:t>
      </w:r>
      <w:r w:rsidR="004A7727">
        <w:rPr>
          <w:rFonts w:asciiTheme="minorHAnsi" w:hAnsiTheme="minorHAnsi"/>
          <w:sz w:val="24"/>
          <w:szCs w:val="24"/>
        </w:rPr>
        <w:t xml:space="preserve">stemów łączności elektronicznej, a także ochronie innych wartości określonych w art. 23 ust. 1 rozporządzenia </w:t>
      </w:r>
      <w:r w:rsidR="004A7727" w:rsidRPr="00BC572F">
        <w:rPr>
          <w:rFonts w:asciiTheme="minorHAnsi" w:hAnsiTheme="minorHAnsi"/>
          <w:sz w:val="24"/>
          <w:szCs w:val="24"/>
        </w:rPr>
        <w:t>2016/679 w sprawie ochrony osób fizycznych w związku z przetwarzaniem danych osobowych i w sprawie swobodneg</w:t>
      </w:r>
      <w:r w:rsidR="004A7727">
        <w:rPr>
          <w:rFonts w:asciiTheme="minorHAnsi" w:hAnsiTheme="minorHAnsi"/>
          <w:sz w:val="24"/>
          <w:szCs w:val="24"/>
        </w:rPr>
        <w:t xml:space="preserve">o przepływu takich danych, tj. </w:t>
      </w:r>
      <w:r w:rsidR="004A7727" w:rsidRPr="00D27F3B">
        <w:rPr>
          <w:rFonts w:asciiTheme="minorHAnsi" w:hAnsiTheme="minorHAnsi"/>
          <w:sz w:val="24"/>
          <w:szCs w:val="24"/>
        </w:rPr>
        <w:t>ochrona niezależności sądów i postępowania sądowego (lit. f);</w:t>
      </w:r>
      <w:r w:rsidR="004A7727">
        <w:rPr>
          <w:rFonts w:asciiTheme="minorHAnsi" w:hAnsiTheme="minorHAnsi"/>
          <w:sz w:val="24"/>
          <w:szCs w:val="24"/>
        </w:rPr>
        <w:t xml:space="preserve"> </w:t>
      </w:r>
      <w:r w:rsidR="004A7727" w:rsidRPr="00D27F3B">
        <w:rPr>
          <w:rFonts w:asciiTheme="minorHAnsi" w:hAnsiTheme="minorHAnsi"/>
          <w:sz w:val="24"/>
          <w:szCs w:val="24"/>
        </w:rPr>
        <w:t>zapobieganie naruszeniom zasad etyki w zawodach regulowanych, prowadzenie postępowań w takich sprawach, wykrywanie oraz ściganie takich naruszeń (lit. g); funkcje kontrolne, inspekcyjne lub regulacyjne związane ze sprawowaniem władzy publicznej (lit. h);</w:t>
      </w:r>
      <w:r w:rsidR="004A7727">
        <w:rPr>
          <w:rFonts w:asciiTheme="minorHAnsi" w:hAnsiTheme="minorHAnsi"/>
          <w:sz w:val="24"/>
          <w:szCs w:val="24"/>
        </w:rPr>
        <w:t xml:space="preserve"> </w:t>
      </w:r>
      <w:r w:rsidR="004A7727" w:rsidRPr="00D27F3B">
        <w:rPr>
          <w:rFonts w:asciiTheme="minorHAnsi" w:hAnsiTheme="minorHAnsi"/>
          <w:sz w:val="24"/>
          <w:szCs w:val="24"/>
        </w:rPr>
        <w:t>ochrona osoby, której dane dotyczą, lub praw i wolności innych osób (lit. i);</w:t>
      </w:r>
      <w:r w:rsidR="004A7727">
        <w:rPr>
          <w:rFonts w:asciiTheme="minorHAnsi" w:hAnsiTheme="minorHAnsi"/>
          <w:sz w:val="24"/>
          <w:szCs w:val="24"/>
        </w:rPr>
        <w:t xml:space="preserve"> </w:t>
      </w:r>
      <w:r w:rsidR="004A7727" w:rsidRPr="00D27F3B">
        <w:rPr>
          <w:rFonts w:asciiTheme="minorHAnsi" w:hAnsiTheme="minorHAnsi"/>
          <w:sz w:val="24"/>
          <w:szCs w:val="24"/>
        </w:rPr>
        <w:t>egzekucja roszczeń cywilnoprawnych (lit. j);</w:t>
      </w:r>
      <w:r w:rsidR="004A7727">
        <w:rPr>
          <w:rFonts w:asciiTheme="minorHAnsi" w:hAnsiTheme="minorHAnsi"/>
          <w:sz w:val="24"/>
          <w:szCs w:val="24"/>
        </w:rPr>
        <w:t xml:space="preserve"> czy </w:t>
      </w:r>
      <w:r w:rsidR="004A7727" w:rsidRPr="00D27F3B">
        <w:rPr>
          <w:rFonts w:asciiTheme="minorHAnsi" w:hAnsiTheme="minorHAnsi"/>
          <w:sz w:val="24"/>
          <w:szCs w:val="24"/>
        </w:rPr>
        <w:t>inne ważne cele leżące w ogólnym interesie publicznym Unii lub państwa członkowskiego, w szczególności ważny interes gospodarczy lub finansowy Unii lub państwa członkowskiego (lit. e).</w:t>
      </w:r>
    </w:p>
    <w:p w14:paraId="33D7E215" w14:textId="483523C2" w:rsidR="004A7727" w:rsidRDefault="004A7727" w:rsidP="004A7727">
      <w:pPr>
        <w:spacing w:before="120" w:after="120" w:line="240" w:lineRule="auto"/>
        <w:ind w:left="-14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</w:t>
      </w:r>
      <w:r w:rsidRPr="00962240">
        <w:rPr>
          <w:rFonts w:asciiTheme="minorHAnsi" w:hAnsiTheme="minorHAnsi"/>
          <w:sz w:val="24"/>
          <w:szCs w:val="24"/>
        </w:rPr>
        <w:t xml:space="preserve">ytyczne TSUE </w:t>
      </w:r>
      <w:r>
        <w:rPr>
          <w:rFonts w:asciiTheme="minorHAnsi" w:hAnsiTheme="minorHAnsi"/>
          <w:sz w:val="24"/>
          <w:szCs w:val="24"/>
        </w:rPr>
        <w:t>– zarówno wynikające z dotychczasowego orzecznictwa</w:t>
      </w:r>
      <w:r w:rsidR="00F87345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jak i te, które wynikną z przyszłych wyroków – trzeba </w:t>
      </w:r>
      <w:r w:rsidRPr="00962240">
        <w:rPr>
          <w:rFonts w:asciiTheme="minorHAnsi" w:hAnsiTheme="minorHAnsi"/>
          <w:sz w:val="24"/>
          <w:szCs w:val="24"/>
        </w:rPr>
        <w:t>mieć na uwadze</w:t>
      </w:r>
      <w:r>
        <w:rPr>
          <w:rFonts w:asciiTheme="minorHAnsi" w:hAnsiTheme="minorHAnsi"/>
          <w:sz w:val="24"/>
          <w:szCs w:val="24"/>
        </w:rPr>
        <w:t xml:space="preserve"> przy projektowaniu przepisów ustawy.</w:t>
      </w:r>
      <w:r w:rsidRPr="00962240">
        <w:rPr>
          <w:rFonts w:asciiTheme="minorHAnsi" w:hAnsiTheme="minorHAnsi"/>
          <w:sz w:val="24"/>
          <w:szCs w:val="24"/>
        </w:rPr>
        <w:t xml:space="preserve"> Należy podkreślić, </w:t>
      </w:r>
      <w:r>
        <w:rPr>
          <w:rFonts w:asciiTheme="minorHAnsi" w:hAnsiTheme="minorHAnsi"/>
          <w:sz w:val="24"/>
          <w:szCs w:val="24"/>
        </w:rPr>
        <w:t>że zdaniem TSUE retencja danych telekomunikacyjnych jest co prawda dopuszczalna, ale</w:t>
      </w:r>
      <w:r w:rsidRPr="00962240">
        <w:rPr>
          <w:rFonts w:asciiTheme="minorHAnsi" w:hAnsiTheme="minorHAnsi"/>
          <w:sz w:val="24"/>
          <w:szCs w:val="24"/>
        </w:rPr>
        <w:t xml:space="preserve"> pod pewnymi warunkami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2E6BBCE5" w14:textId="29C83F8C" w:rsidR="004A7727" w:rsidRPr="004A7727" w:rsidRDefault="004A7727" w:rsidP="004A7727">
      <w:pPr>
        <w:spacing w:before="120" w:after="120" w:line="240" w:lineRule="auto"/>
        <w:ind w:left="-142"/>
        <w:jc w:val="both"/>
        <w:rPr>
          <w:rFonts w:asciiTheme="minorHAnsi" w:hAnsiTheme="minorHAnsi"/>
          <w:b/>
          <w:i/>
          <w:sz w:val="24"/>
          <w:szCs w:val="24"/>
          <w:u w:val="single"/>
        </w:rPr>
      </w:pPr>
      <w:r w:rsidRPr="004A7727">
        <w:rPr>
          <w:rFonts w:asciiTheme="minorHAnsi" w:hAnsiTheme="minorHAnsi"/>
          <w:b/>
          <w:i/>
          <w:sz w:val="24"/>
          <w:szCs w:val="24"/>
          <w:u w:val="single"/>
        </w:rPr>
        <w:t>Uwagi do przepisów Działu II Gospodarowanie częstotliwościami i zasobami numeracji</w:t>
      </w:r>
    </w:p>
    <w:p w14:paraId="7C090DDA" w14:textId="0A9F60A6" w:rsidR="004A7727" w:rsidRPr="004A7727" w:rsidRDefault="004A7727" w:rsidP="004A7727">
      <w:pPr>
        <w:spacing w:before="120" w:after="120" w:line="240" w:lineRule="auto"/>
        <w:ind w:left="-142"/>
        <w:jc w:val="both"/>
        <w:rPr>
          <w:rFonts w:asciiTheme="minorHAnsi" w:hAnsiTheme="minorHAnsi"/>
          <w:b/>
          <w:i/>
          <w:sz w:val="24"/>
          <w:szCs w:val="24"/>
        </w:rPr>
      </w:pPr>
      <w:r w:rsidRPr="004A7727">
        <w:rPr>
          <w:rFonts w:asciiTheme="minorHAnsi" w:hAnsiTheme="minorHAnsi"/>
          <w:b/>
          <w:i/>
          <w:sz w:val="24"/>
          <w:szCs w:val="24"/>
        </w:rPr>
        <w:t>Rozdział 3 Gospodarowanie zasobami numeracji</w:t>
      </w:r>
    </w:p>
    <w:p w14:paraId="02655651" w14:textId="1FD95A6E" w:rsidR="004A7727" w:rsidRDefault="00AA446D" w:rsidP="004A7727">
      <w:pPr>
        <w:spacing w:before="120" w:after="120" w:line="240" w:lineRule="auto"/>
        <w:ind w:left="-142"/>
        <w:jc w:val="both"/>
        <w:rPr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</w:t>
      </w:r>
      <w:r w:rsidR="004A7727">
        <w:rPr>
          <w:rFonts w:asciiTheme="minorHAnsi" w:hAnsiTheme="minorHAnsi"/>
          <w:sz w:val="24"/>
          <w:szCs w:val="24"/>
        </w:rPr>
        <w:t>. Projektowany art. 141 ust. 2 przewiduje konieczność poinformowania przez Prezesa UKE</w:t>
      </w:r>
      <w:r w:rsidR="004A7727" w:rsidRPr="004E714E">
        <w:rPr>
          <w:rFonts w:asciiTheme="minorHAnsi" w:hAnsiTheme="minorHAnsi"/>
          <w:sz w:val="24"/>
          <w:szCs w:val="24"/>
        </w:rPr>
        <w:t xml:space="preserve"> </w:t>
      </w:r>
      <w:r w:rsidR="004A7727">
        <w:rPr>
          <w:rFonts w:asciiTheme="minorHAnsi" w:hAnsiTheme="minorHAnsi"/>
          <w:sz w:val="24"/>
          <w:szCs w:val="24"/>
        </w:rPr>
        <w:t xml:space="preserve">na stronie internetowej </w:t>
      </w:r>
      <w:r w:rsidR="004A7727" w:rsidRPr="004E714E">
        <w:rPr>
          <w:rFonts w:asciiTheme="minorHAnsi" w:hAnsiTheme="minorHAnsi"/>
          <w:sz w:val="24"/>
          <w:szCs w:val="24"/>
        </w:rPr>
        <w:t>o cofnięciu prawa do wykorzystywania zasobów numeracji oraz o możliwości przydziału tej numeracji innemu przedsiębiorcy telekomunikacyjnemu.</w:t>
      </w:r>
      <w:r w:rsidR="004A7727">
        <w:rPr>
          <w:rFonts w:asciiTheme="minorHAnsi" w:hAnsiTheme="minorHAnsi"/>
          <w:sz w:val="24"/>
          <w:szCs w:val="24"/>
        </w:rPr>
        <w:t xml:space="preserve"> Tymczasem  </w:t>
      </w:r>
      <w:r w:rsidR="004A7727">
        <w:rPr>
          <w:sz w:val="24"/>
          <w:szCs w:val="24"/>
        </w:rPr>
        <w:t xml:space="preserve">z art. 19 ust. 4 dyrektywy 2018/1972 wynika że każdy </w:t>
      </w:r>
      <w:r w:rsidR="004A7727" w:rsidRPr="004E714E">
        <w:rPr>
          <w:sz w:val="24"/>
          <w:szCs w:val="24"/>
          <w:u w:val="single"/>
        </w:rPr>
        <w:t>zamiar cofnięcia</w:t>
      </w:r>
      <w:r w:rsidR="004A7727" w:rsidRPr="004E714E">
        <w:rPr>
          <w:sz w:val="24"/>
          <w:szCs w:val="24"/>
        </w:rPr>
        <w:t xml:space="preserve"> indywidualnych praw użytkowania zasobów numeracyjnych bez zgody posiadacza tych praw poddaje się pod konsultacje z zainteresowanymi stronami</w:t>
      </w:r>
      <w:r w:rsidR="004A7727">
        <w:rPr>
          <w:sz w:val="24"/>
          <w:szCs w:val="24"/>
        </w:rPr>
        <w:t xml:space="preserve">. Projektowany przepis należy zatem uzupełnić o konieczność przeprowadzenia przez Prezesa UKE konsultacji przed podjęciem decyzji w sprawie cofnięcia prawa do wykorzystywania numeracji. Analogiczna uwaga odnosi się do cofania prawa do wykorzystywania zasobów częstotliwości. Projektowany art. 94 odnoszący się do </w:t>
      </w:r>
      <w:r w:rsidR="004A7727">
        <w:rPr>
          <w:sz w:val="24"/>
          <w:szCs w:val="24"/>
        </w:rPr>
        <w:lastRenderedPageBreak/>
        <w:t>wydawania decyzji w sprawie cofania prawa do wykorzystywania częstotliwości nie przewiduje ko</w:t>
      </w:r>
      <w:r w:rsidR="00F87345">
        <w:rPr>
          <w:sz w:val="24"/>
          <w:szCs w:val="24"/>
        </w:rPr>
        <w:t>nieczności przeprowadzenia postę</w:t>
      </w:r>
      <w:r w:rsidR="004A7727">
        <w:rPr>
          <w:sz w:val="24"/>
          <w:szCs w:val="24"/>
        </w:rPr>
        <w:t xml:space="preserve">powania konsultacyjnego. </w:t>
      </w:r>
    </w:p>
    <w:p w14:paraId="04AD071E" w14:textId="4054491F" w:rsidR="004A7727" w:rsidRDefault="00AA446D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4A7727">
        <w:rPr>
          <w:sz w:val="24"/>
          <w:szCs w:val="24"/>
        </w:rPr>
        <w:t>. Projektowany art. 141 ust. 4 przewiduje możliwość cofnięcia numeracji przedsiębiorcy telekomunikacyjnemu w</w:t>
      </w:r>
      <w:r w:rsidR="004A7727" w:rsidRPr="00496BD9">
        <w:rPr>
          <w:sz w:val="24"/>
          <w:szCs w:val="24"/>
        </w:rPr>
        <w:t xml:space="preserve"> sytuacji wystąpienia zagrożenia naruszenia interoperacyjności lub ciągłości świadczenia usług telekomunikacyjnych </w:t>
      </w:r>
      <w:r w:rsidR="004A7727">
        <w:rPr>
          <w:sz w:val="24"/>
          <w:szCs w:val="24"/>
        </w:rPr>
        <w:t>w sieciach telekomunikacyjnych bez przeprowadzania wezwani</w:t>
      </w:r>
      <w:r w:rsidR="00F87345">
        <w:rPr>
          <w:sz w:val="24"/>
          <w:szCs w:val="24"/>
        </w:rPr>
        <w:t>a do usunięcia naruszenia, postępowania konsultacyjnego i </w:t>
      </w:r>
      <w:r w:rsidR="004A7727">
        <w:rPr>
          <w:sz w:val="24"/>
          <w:szCs w:val="24"/>
        </w:rPr>
        <w:t>procedury przetargowej. W takiej sytuacji Prezes UKE przydziela numerację wybranemu przez siebie przedsiębiorcy. Przepis ten rodzi dwie wątpliwośc</w:t>
      </w:r>
      <w:r w:rsidR="00F87345">
        <w:rPr>
          <w:sz w:val="24"/>
          <w:szCs w:val="24"/>
        </w:rPr>
        <w:t>i z punktu widzenia zgodności z </w:t>
      </w:r>
      <w:r w:rsidR="004A7727">
        <w:rPr>
          <w:sz w:val="24"/>
          <w:szCs w:val="24"/>
        </w:rPr>
        <w:t xml:space="preserve">dyrektywą 2018/1972. </w:t>
      </w:r>
    </w:p>
    <w:p w14:paraId="7CF6CB62" w14:textId="36560DD7" w:rsidR="004A7727" w:rsidRPr="000916AE" w:rsidRDefault="004A7727" w:rsidP="004A7727">
      <w:pPr>
        <w:spacing w:after="120" w:line="240" w:lineRule="auto"/>
        <w:ind w:left="-142"/>
        <w:jc w:val="both"/>
        <w:rPr>
          <w:color w:val="auto"/>
          <w:sz w:val="24"/>
          <w:szCs w:val="24"/>
        </w:rPr>
      </w:pPr>
      <w:r w:rsidRPr="00F3094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F30945">
        <w:rPr>
          <w:sz w:val="24"/>
          <w:szCs w:val="24"/>
        </w:rPr>
        <w:t>Po pierwsze</w:t>
      </w:r>
      <w:r w:rsidR="00F87345">
        <w:rPr>
          <w:sz w:val="24"/>
          <w:szCs w:val="24"/>
        </w:rPr>
        <w:t>,</w:t>
      </w:r>
      <w:r w:rsidRPr="00F30945">
        <w:rPr>
          <w:sz w:val="24"/>
          <w:szCs w:val="24"/>
        </w:rPr>
        <w:t xml:space="preserve"> przytoczony przepis skutkuje dolegliwymi konsekwencjami dla przedsiębiorcy telekomunikacyjnego. Odbierając mu prawo do wykorzystania numeracji pozbawia się go możliwości świadczenia usług. W</w:t>
      </w:r>
      <w:r w:rsidR="006374C3">
        <w:rPr>
          <w:sz w:val="24"/>
          <w:szCs w:val="24"/>
        </w:rPr>
        <w:t xml:space="preserve"> związku z tym przesłanki, które pozwalają na pozbawienie </w:t>
      </w:r>
      <w:r w:rsidR="006374C3" w:rsidRPr="00F30945">
        <w:rPr>
          <w:color w:val="auto"/>
          <w:sz w:val="24"/>
          <w:szCs w:val="24"/>
        </w:rPr>
        <w:t>przedsiębiorcy prawa do dals</w:t>
      </w:r>
      <w:r w:rsidR="006374C3">
        <w:rPr>
          <w:color w:val="auto"/>
          <w:sz w:val="24"/>
          <w:szCs w:val="24"/>
        </w:rPr>
        <w:t>zego wykorzystywania numeracji</w:t>
      </w:r>
      <w:r w:rsidR="00F87345">
        <w:rPr>
          <w:color w:val="auto"/>
          <w:sz w:val="24"/>
          <w:szCs w:val="24"/>
        </w:rPr>
        <w:t>,</w:t>
      </w:r>
      <w:r w:rsidR="006374C3">
        <w:rPr>
          <w:color w:val="auto"/>
          <w:sz w:val="24"/>
          <w:szCs w:val="24"/>
        </w:rPr>
        <w:t xml:space="preserve"> powinny być określone precyzyjnie. </w:t>
      </w:r>
      <w:r w:rsidR="000916AE">
        <w:rPr>
          <w:color w:val="auto"/>
          <w:sz w:val="24"/>
          <w:szCs w:val="24"/>
        </w:rPr>
        <w:t>Również z</w:t>
      </w:r>
      <w:r w:rsidR="000916AE" w:rsidRPr="00F30945">
        <w:rPr>
          <w:color w:val="auto"/>
          <w:sz w:val="24"/>
          <w:szCs w:val="24"/>
        </w:rPr>
        <w:t xml:space="preserve"> motywu 56 dyrektywy 2018/1972 wynika konieczność </w:t>
      </w:r>
      <w:r w:rsidR="000916AE" w:rsidRPr="00F30945">
        <w:rPr>
          <w:color w:val="auto"/>
          <w:sz w:val="24"/>
          <w:szCs w:val="24"/>
          <w:shd w:val="clear" w:color="auto" w:fill="FFFFFF"/>
        </w:rPr>
        <w:t>nakładania surowych wymogów w przypadku cofania istniejących praw zasobów numeracyjnych</w:t>
      </w:r>
      <w:r w:rsidR="00F87345">
        <w:rPr>
          <w:color w:val="auto"/>
          <w:sz w:val="24"/>
          <w:szCs w:val="24"/>
          <w:shd w:val="clear" w:color="auto" w:fill="FFFFFF"/>
        </w:rPr>
        <w:t>,</w:t>
      </w:r>
      <w:r w:rsidR="000916AE" w:rsidRPr="00F30945">
        <w:rPr>
          <w:color w:val="auto"/>
          <w:sz w:val="24"/>
          <w:szCs w:val="24"/>
          <w:shd w:val="clear" w:color="auto" w:fill="FFFFFF"/>
        </w:rPr>
        <w:t xml:space="preserve"> </w:t>
      </w:r>
      <w:r w:rsidR="000916AE">
        <w:rPr>
          <w:color w:val="auto"/>
          <w:sz w:val="24"/>
          <w:szCs w:val="24"/>
          <w:shd w:val="clear" w:color="auto" w:fill="FFFFFF"/>
        </w:rPr>
        <w:t xml:space="preserve">gdy prawa te </w:t>
      </w:r>
      <w:r w:rsidR="00F87345">
        <w:rPr>
          <w:color w:val="auto"/>
          <w:sz w:val="24"/>
          <w:szCs w:val="24"/>
          <w:shd w:val="clear" w:color="auto" w:fill="FFFFFF"/>
        </w:rPr>
        <w:t xml:space="preserve">zostały przyznane w </w:t>
      </w:r>
      <w:r w:rsidR="000916AE" w:rsidRPr="00F30945">
        <w:rPr>
          <w:color w:val="auto"/>
          <w:sz w:val="24"/>
          <w:szCs w:val="24"/>
          <w:shd w:val="clear" w:color="auto" w:fill="FFFFFF"/>
        </w:rPr>
        <w:t>drodze procedur konkurencyjnych lub porównawczych</w:t>
      </w:r>
      <w:r w:rsidR="000916AE">
        <w:rPr>
          <w:color w:val="auto"/>
          <w:sz w:val="24"/>
          <w:szCs w:val="24"/>
          <w:shd w:val="clear" w:color="auto" w:fill="FFFFFF"/>
        </w:rPr>
        <w:t xml:space="preserve">. </w:t>
      </w:r>
      <w:r w:rsidR="006374C3">
        <w:rPr>
          <w:sz w:val="24"/>
          <w:szCs w:val="24"/>
        </w:rPr>
        <w:t>Tymczasem</w:t>
      </w:r>
      <w:r w:rsidR="000916AE">
        <w:rPr>
          <w:sz w:val="24"/>
          <w:szCs w:val="24"/>
        </w:rPr>
        <w:t xml:space="preserve"> określona w art. 141 ust. 4</w:t>
      </w:r>
      <w:r w:rsidR="006374C3">
        <w:rPr>
          <w:sz w:val="24"/>
          <w:szCs w:val="24"/>
        </w:rPr>
        <w:t xml:space="preserve"> przesłanka</w:t>
      </w:r>
      <w:r w:rsidRPr="00F30945">
        <w:rPr>
          <w:sz w:val="24"/>
          <w:szCs w:val="24"/>
        </w:rPr>
        <w:t xml:space="preserve"> wystąpienia zagrożenia naruszenia interoperacyjności lub ciągłości świadczenia </w:t>
      </w:r>
      <w:r w:rsidRPr="00F30945">
        <w:rPr>
          <w:color w:val="auto"/>
          <w:sz w:val="24"/>
          <w:szCs w:val="24"/>
        </w:rPr>
        <w:t>usług</w:t>
      </w:r>
      <w:r w:rsidR="006374C3">
        <w:rPr>
          <w:color w:val="auto"/>
          <w:sz w:val="24"/>
          <w:szCs w:val="24"/>
        </w:rPr>
        <w:t xml:space="preserve"> jest bardzo ogólna i pozostawia Prezesowi UKE dużą </w:t>
      </w:r>
      <w:r w:rsidR="000916AE">
        <w:rPr>
          <w:color w:val="auto"/>
          <w:sz w:val="24"/>
          <w:szCs w:val="24"/>
        </w:rPr>
        <w:t>swobodę decyzyjną.</w:t>
      </w:r>
      <w:r>
        <w:rPr>
          <w:color w:val="auto"/>
          <w:sz w:val="24"/>
          <w:szCs w:val="24"/>
          <w:shd w:val="clear" w:color="auto" w:fill="FFFFFF"/>
        </w:rPr>
        <w:t xml:space="preserve"> Na marginesie pragnę zauważyć</w:t>
      </w:r>
      <w:r w:rsidRPr="006601B5">
        <w:rPr>
          <w:color w:val="auto"/>
          <w:sz w:val="24"/>
          <w:szCs w:val="24"/>
          <w:shd w:val="clear" w:color="auto" w:fill="FFFFFF"/>
        </w:rPr>
        <w:t xml:space="preserve">, że decyzja w </w:t>
      </w:r>
      <w:r w:rsidR="00F87345">
        <w:rPr>
          <w:color w:val="auto"/>
          <w:sz w:val="24"/>
          <w:szCs w:val="24"/>
          <w:shd w:val="clear" w:color="auto" w:fill="FFFFFF"/>
        </w:rPr>
        <w:t>przedmiocie</w:t>
      </w:r>
      <w:r w:rsidRPr="006601B5">
        <w:rPr>
          <w:color w:val="auto"/>
          <w:sz w:val="24"/>
          <w:szCs w:val="24"/>
          <w:shd w:val="clear" w:color="auto" w:fill="FFFFFF"/>
        </w:rPr>
        <w:t xml:space="preserve"> cofnięcia prawa do wykorzys</w:t>
      </w:r>
      <w:r>
        <w:rPr>
          <w:color w:val="auto"/>
          <w:sz w:val="24"/>
          <w:szCs w:val="24"/>
          <w:shd w:val="clear" w:color="auto" w:fill="FFFFFF"/>
        </w:rPr>
        <w:t>tywania zasobów numeracyjnych będzie wymagała</w:t>
      </w:r>
      <w:r w:rsidRPr="006601B5">
        <w:rPr>
          <w:color w:val="auto"/>
          <w:sz w:val="24"/>
          <w:szCs w:val="24"/>
          <w:shd w:val="clear" w:color="auto" w:fill="FFFFFF"/>
        </w:rPr>
        <w:t xml:space="preserve"> każdorazowej oceny pod kątem jej proporcjonalności do celów, którym ma służyć </w:t>
      </w:r>
      <w:r w:rsidR="00F87345">
        <w:rPr>
          <w:color w:val="auto"/>
          <w:sz w:val="24"/>
          <w:szCs w:val="24"/>
          <w:shd w:val="clear" w:color="auto" w:fill="FFFFFF"/>
        </w:rPr>
        <w:t xml:space="preserve">– </w:t>
      </w:r>
      <w:r w:rsidRPr="006601B5">
        <w:rPr>
          <w:color w:val="auto"/>
          <w:sz w:val="24"/>
          <w:szCs w:val="24"/>
          <w:shd w:val="clear" w:color="auto" w:fill="FFFFFF"/>
        </w:rPr>
        <w:t>zgodnie z art.  3 ust. 4 dyrektywy 2018/1972</w:t>
      </w:r>
      <w:r w:rsidR="00F87345">
        <w:rPr>
          <w:color w:val="auto"/>
          <w:sz w:val="24"/>
          <w:szCs w:val="24"/>
          <w:shd w:val="clear" w:color="auto" w:fill="FFFFFF"/>
        </w:rPr>
        <w:t>,</w:t>
      </w:r>
      <w:r w:rsidRPr="006601B5">
        <w:rPr>
          <w:color w:val="auto"/>
          <w:sz w:val="24"/>
          <w:szCs w:val="24"/>
          <w:shd w:val="clear" w:color="auto" w:fill="FFFFFF"/>
        </w:rPr>
        <w:t xml:space="preserve"> nakaz</w:t>
      </w:r>
      <w:r w:rsidR="00F87345">
        <w:rPr>
          <w:color w:val="auto"/>
          <w:sz w:val="24"/>
          <w:szCs w:val="24"/>
          <w:shd w:val="clear" w:color="auto" w:fill="FFFFFF"/>
        </w:rPr>
        <w:t>ującym proporcjonalne działanie</w:t>
      </w:r>
      <w:r w:rsidRPr="006601B5">
        <w:rPr>
          <w:color w:val="auto"/>
          <w:sz w:val="24"/>
          <w:szCs w:val="24"/>
          <w:shd w:val="clear" w:color="auto" w:fill="FFFFFF"/>
        </w:rPr>
        <w:t xml:space="preserve"> organów regulacyjnych</w:t>
      </w:r>
    </w:p>
    <w:p w14:paraId="22E57C5C" w14:textId="4F9F7BF2" w:rsidR="004A7727" w:rsidRDefault="004A7727" w:rsidP="004A7727">
      <w:pPr>
        <w:ind w:left="-142"/>
        <w:jc w:val="both"/>
        <w:rPr>
          <w:sz w:val="24"/>
          <w:szCs w:val="24"/>
        </w:rPr>
      </w:pPr>
      <w:r w:rsidRPr="006601B5">
        <w:rPr>
          <w:color w:val="auto"/>
          <w:sz w:val="24"/>
          <w:szCs w:val="24"/>
          <w:shd w:val="clear" w:color="auto" w:fill="FFFFFF"/>
        </w:rPr>
        <w:t xml:space="preserve">b. </w:t>
      </w:r>
      <w:r w:rsidRPr="006601B5">
        <w:rPr>
          <w:color w:val="auto"/>
          <w:sz w:val="24"/>
          <w:szCs w:val="24"/>
        </w:rPr>
        <w:t>Po drugie przydzielenie przez Prezesa UKE numeracji wybranemu przez siebie przedsiębiorcy nie spełnia warunku otwartości procedury przydzielania numeracji</w:t>
      </w:r>
      <w:r w:rsidR="00F87345">
        <w:rPr>
          <w:color w:val="auto"/>
          <w:sz w:val="24"/>
          <w:szCs w:val="24"/>
        </w:rPr>
        <w:t>,</w:t>
      </w:r>
      <w:r w:rsidRPr="006601B5">
        <w:rPr>
          <w:color w:val="auto"/>
          <w:sz w:val="24"/>
          <w:szCs w:val="24"/>
        </w:rPr>
        <w:t xml:space="preserve"> określonej w </w:t>
      </w:r>
      <w:r w:rsidRPr="006601B5">
        <w:rPr>
          <w:sz w:val="24"/>
          <w:szCs w:val="24"/>
        </w:rPr>
        <w:t xml:space="preserve">art. 94 ust. 2 dyrektywy 2018/1972. </w:t>
      </w:r>
    </w:p>
    <w:p w14:paraId="6238D413" w14:textId="4223E383" w:rsidR="004A7727" w:rsidRPr="004A7727" w:rsidRDefault="004A7727" w:rsidP="004A7727">
      <w:pPr>
        <w:ind w:left="-142"/>
        <w:jc w:val="both"/>
        <w:rPr>
          <w:color w:val="auto"/>
          <w:sz w:val="24"/>
          <w:szCs w:val="24"/>
          <w:shd w:val="clear" w:color="auto" w:fill="FFFFFF"/>
        </w:rPr>
      </w:pPr>
      <w:r w:rsidRPr="006601B5">
        <w:rPr>
          <w:sz w:val="24"/>
          <w:szCs w:val="24"/>
        </w:rPr>
        <w:t>Podsumowując</w:t>
      </w:r>
      <w:r w:rsidR="00F87345">
        <w:rPr>
          <w:sz w:val="24"/>
          <w:szCs w:val="24"/>
        </w:rPr>
        <w:t>,</w:t>
      </w:r>
      <w:r w:rsidRPr="006601B5">
        <w:rPr>
          <w:sz w:val="24"/>
          <w:szCs w:val="24"/>
        </w:rPr>
        <w:t xml:space="preserve"> projektowany przepis wymaga doprecyzowania przesłanki wystąpienia zagrożenia naruszenia interoperacyjności lub ciągłości świadczenia usług oraz zapewnienia</w:t>
      </w:r>
      <w:r w:rsidR="00F87345">
        <w:rPr>
          <w:sz w:val="24"/>
          <w:szCs w:val="24"/>
        </w:rPr>
        <w:t>,</w:t>
      </w:r>
      <w:r w:rsidRPr="006601B5">
        <w:rPr>
          <w:sz w:val="24"/>
          <w:szCs w:val="24"/>
        </w:rPr>
        <w:t xml:space="preserve"> by procedura przydzielania odebranej numeracji oparta była na kryterium otwartości. </w:t>
      </w:r>
    </w:p>
    <w:p w14:paraId="392CB58B" w14:textId="77777777" w:rsidR="004A7727" w:rsidRPr="00533256" w:rsidRDefault="004A7727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  <w:u w:val="single"/>
        </w:rPr>
      </w:pPr>
      <w:r w:rsidRPr="00533256">
        <w:rPr>
          <w:b/>
          <w:i/>
          <w:sz w:val="24"/>
          <w:szCs w:val="24"/>
          <w:u w:val="single"/>
        </w:rPr>
        <w:t>Uwagi do przepisów z Działu IV Regulowanie rynku komunikacji elektronicznej</w:t>
      </w:r>
    </w:p>
    <w:p w14:paraId="033D6AC5" w14:textId="77777777" w:rsidR="004A7727" w:rsidRPr="00533256" w:rsidRDefault="004A7727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Rozdział 1 </w:t>
      </w:r>
      <w:r w:rsidRPr="00533256">
        <w:rPr>
          <w:b/>
          <w:i/>
          <w:sz w:val="24"/>
          <w:szCs w:val="24"/>
        </w:rPr>
        <w:t>Analiza rynków, nakładanie obowiązków regulacyjnych</w:t>
      </w:r>
    </w:p>
    <w:p w14:paraId="6635AFCD" w14:textId="77777777" w:rsidR="004A7727" w:rsidRPr="00D05957" w:rsidRDefault="004A7727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 w:rsidRPr="00D05957">
        <w:rPr>
          <w:b/>
          <w:i/>
          <w:sz w:val="24"/>
          <w:szCs w:val="24"/>
        </w:rPr>
        <w:t xml:space="preserve">Rozdział 2 </w:t>
      </w:r>
      <w:r w:rsidRPr="00D05957">
        <w:rPr>
          <w:b/>
          <w:i/>
          <w:sz w:val="24"/>
          <w:szCs w:val="24"/>
          <w:lang w:eastAsia="en-US"/>
        </w:rPr>
        <w:t>Obowiązki na rynkach hurtowych</w:t>
      </w:r>
    </w:p>
    <w:p w14:paraId="34A63A12" w14:textId="36A6BE35" w:rsidR="004A7727" w:rsidRPr="006601B5" w:rsidRDefault="00AA446D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A7727" w:rsidRPr="00D05957">
        <w:rPr>
          <w:sz w:val="24"/>
          <w:szCs w:val="24"/>
        </w:rPr>
        <w:t>. Projektowany art. 195 ust. 7 umożliwia Prezesowi UKE nienakładanie lub nieutrzymywanie obowiązków w zakresie kontroli opłat na operatora, w przypadk</w:t>
      </w:r>
      <w:r w:rsidR="00F87345">
        <w:rPr>
          <w:sz w:val="24"/>
          <w:szCs w:val="24"/>
        </w:rPr>
        <w:t>u gdy dokonał on inwestycji w </w:t>
      </w:r>
      <w:r w:rsidR="004A7727" w:rsidRPr="00D05957">
        <w:rPr>
          <w:sz w:val="24"/>
          <w:szCs w:val="24"/>
        </w:rPr>
        <w:t>sieci nowej generacji. Przepis ten stanowi implementację art. 74 ust. 1 dyrektywy 2018/972, który jako warunek zwolnienia z obowiązku kontroli cen wymienia również istnienie presji cenowej. Projektowany przepis wymaga zatem uzupełnienia w tym zakresie.</w:t>
      </w:r>
      <w:r w:rsidR="004A7727" w:rsidRPr="00533256">
        <w:rPr>
          <w:sz w:val="24"/>
          <w:szCs w:val="24"/>
        </w:rPr>
        <w:t xml:space="preserve"> </w:t>
      </w:r>
    </w:p>
    <w:p w14:paraId="680E92E9" w14:textId="77777777" w:rsidR="004A7727" w:rsidRDefault="004A7727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  <w:u w:val="single"/>
          <w:lang w:eastAsia="en-US"/>
        </w:rPr>
      </w:pPr>
      <w:r w:rsidRPr="00CA38C8">
        <w:rPr>
          <w:b/>
          <w:i/>
          <w:color w:val="auto"/>
          <w:sz w:val="24"/>
          <w:szCs w:val="24"/>
          <w:u w:val="single"/>
        </w:rPr>
        <w:t xml:space="preserve">Uwagi do </w:t>
      </w:r>
      <w:r w:rsidRPr="0083115A">
        <w:rPr>
          <w:b/>
          <w:i/>
          <w:color w:val="auto"/>
          <w:sz w:val="24"/>
          <w:szCs w:val="24"/>
          <w:u w:val="single"/>
        </w:rPr>
        <w:t>przepisów z Działu V</w:t>
      </w:r>
      <w:r>
        <w:rPr>
          <w:b/>
          <w:i/>
          <w:color w:val="auto"/>
          <w:sz w:val="24"/>
          <w:szCs w:val="24"/>
          <w:u w:val="single"/>
        </w:rPr>
        <w:t>II</w:t>
      </w:r>
      <w:r w:rsidRPr="0083115A">
        <w:rPr>
          <w:b/>
          <w:i/>
          <w:color w:val="auto"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  <w:lang w:eastAsia="en-US"/>
        </w:rPr>
        <w:t>Usługi</w:t>
      </w:r>
    </w:p>
    <w:p w14:paraId="1226F4B3" w14:textId="77777777" w:rsidR="004A7727" w:rsidRPr="005527DC" w:rsidRDefault="004A7727" w:rsidP="004A7727">
      <w:pPr>
        <w:spacing w:after="120" w:line="240" w:lineRule="auto"/>
        <w:ind w:left="-142"/>
        <w:jc w:val="both"/>
        <w:rPr>
          <w:b/>
          <w:i/>
          <w:color w:val="auto"/>
          <w:sz w:val="24"/>
          <w:szCs w:val="24"/>
        </w:rPr>
      </w:pPr>
      <w:r>
        <w:rPr>
          <w:b/>
          <w:i/>
          <w:color w:val="auto"/>
          <w:sz w:val="24"/>
          <w:szCs w:val="24"/>
        </w:rPr>
        <w:t>Rozdział 1</w:t>
      </w:r>
      <w:r w:rsidRPr="00D11F4C">
        <w:rPr>
          <w:b/>
          <w:i/>
          <w:color w:val="auto"/>
          <w:sz w:val="24"/>
          <w:szCs w:val="24"/>
        </w:rPr>
        <w:t xml:space="preserve"> Prawa użytkowników końcowych</w:t>
      </w:r>
    </w:p>
    <w:p w14:paraId="7B863AC2" w14:textId="51289B62" w:rsidR="004A7727" w:rsidRPr="006601B5" w:rsidRDefault="00AA446D" w:rsidP="004A7727">
      <w:pPr>
        <w:spacing w:after="120"/>
        <w:ind w:left="-142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11</w:t>
      </w:r>
      <w:r w:rsidR="004A7727">
        <w:rPr>
          <w:rFonts w:asciiTheme="minorHAnsi" w:hAnsiTheme="minorHAnsi"/>
          <w:color w:val="auto"/>
          <w:sz w:val="24"/>
          <w:szCs w:val="24"/>
        </w:rPr>
        <w:t xml:space="preserve">. Projektowany art. 294 ust. 4 zawiera delegację dla </w:t>
      </w:r>
      <w:r w:rsidR="004A7727" w:rsidRPr="00C436EB">
        <w:rPr>
          <w:rFonts w:asciiTheme="minorHAnsi" w:hAnsiTheme="minorHAnsi"/>
          <w:color w:val="auto"/>
          <w:sz w:val="24"/>
          <w:szCs w:val="24"/>
        </w:rPr>
        <w:t>ministra właściwego do spraw</w:t>
      </w:r>
      <w:r w:rsidR="004A7727">
        <w:rPr>
          <w:rFonts w:asciiTheme="minorHAnsi" w:hAnsiTheme="minorHAnsi"/>
          <w:color w:val="auto"/>
          <w:sz w:val="24"/>
          <w:szCs w:val="24"/>
        </w:rPr>
        <w:t xml:space="preserve"> wewnętrznych do wydania rozporządzenia określającego wy</w:t>
      </w:r>
      <w:r w:rsidR="00F87345">
        <w:rPr>
          <w:rFonts w:asciiTheme="minorHAnsi" w:hAnsiTheme="minorHAnsi"/>
          <w:color w:val="auto"/>
          <w:sz w:val="24"/>
          <w:szCs w:val="24"/>
        </w:rPr>
        <w:t>magania dotyczące dokładności i </w:t>
      </w:r>
      <w:r w:rsidR="004A7727">
        <w:rPr>
          <w:rFonts w:asciiTheme="minorHAnsi" w:hAnsiTheme="minorHAnsi"/>
          <w:color w:val="auto"/>
          <w:sz w:val="24"/>
          <w:szCs w:val="24"/>
        </w:rPr>
        <w:t>niezawodności informacji o lokalizacji zakończenia sieci dla ruchomej publicznej sieci telekomunikacyjnej. Tymczasem z art. 109 ust. 6 dyrektywy 2018/1972 wynika, że to właściwe organy regulacyjne (</w:t>
      </w:r>
      <w:r w:rsidR="004A7727" w:rsidRPr="00E24A90">
        <w:rPr>
          <w:rFonts w:asciiTheme="minorHAnsi" w:hAnsiTheme="minorHAnsi"/>
          <w:color w:val="auto"/>
          <w:sz w:val="24"/>
          <w:szCs w:val="24"/>
        </w:rPr>
        <w:t>w razie koni</w:t>
      </w:r>
      <w:r w:rsidR="004A7727">
        <w:rPr>
          <w:rFonts w:asciiTheme="minorHAnsi" w:hAnsiTheme="minorHAnsi"/>
          <w:color w:val="auto"/>
          <w:sz w:val="24"/>
          <w:szCs w:val="24"/>
        </w:rPr>
        <w:t>eczności po konsultacji z BEREC)</w:t>
      </w:r>
      <w:r w:rsidR="004A7727" w:rsidRPr="00E24A90">
        <w:rPr>
          <w:rFonts w:asciiTheme="minorHAnsi" w:hAnsiTheme="minorHAnsi"/>
          <w:color w:val="auto"/>
          <w:sz w:val="24"/>
          <w:szCs w:val="24"/>
        </w:rPr>
        <w:t xml:space="preserve"> określają kryteria dokładności i niezawodności podanych informacji o lokalizacji osoby wykonującej połączenie.</w:t>
      </w:r>
      <w:r w:rsidR="004A7727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F87345">
        <w:rPr>
          <w:rFonts w:asciiTheme="minorHAnsi" w:hAnsiTheme="minorHAnsi"/>
          <w:color w:val="auto"/>
          <w:sz w:val="24"/>
          <w:szCs w:val="24"/>
        </w:rPr>
        <w:t>Zatem t</w:t>
      </w:r>
      <w:r w:rsidR="000916AE">
        <w:rPr>
          <w:rFonts w:asciiTheme="minorHAnsi" w:hAnsiTheme="minorHAnsi"/>
          <w:color w:val="auto"/>
          <w:sz w:val="24"/>
          <w:szCs w:val="24"/>
        </w:rPr>
        <w:t xml:space="preserve">o </w:t>
      </w:r>
      <w:r w:rsidR="000916AE">
        <w:rPr>
          <w:rFonts w:asciiTheme="minorHAnsi" w:hAnsiTheme="minorHAnsi"/>
          <w:color w:val="auto"/>
          <w:sz w:val="24"/>
          <w:szCs w:val="24"/>
        </w:rPr>
        <w:lastRenderedPageBreak/>
        <w:t>Prezes UKE</w:t>
      </w:r>
      <w:r w:rsidR="00F87345">
        <w:rPr>
          <w:rFonts w:asciiTheme="minorHAnsi" w:hAnsiTheme="minorHAnsi"/>
          <w:color w:val="auto"/>
          <w:sz w:val="24"/>
          <w:szCs w:val="24"/>
        </w:rPr>
        <w:t>,</w:t>
      </w:r>
      <w:r w:rsidR="000916AE">
        <w:rPr>
          <w:rFonts w:asciiTheme="minorHAnsi" w:hAnsiTheme="minorHAnsi"/>
          <w:color w:val="auto"/>
          <w:sz w:val="24"/>
          <w:szCs w:val="24"/>
        </w:rPr>
        <w:t xml:space="preserve"> a nie minister</w:t>
      </w:r>
      <w:r w:rsidR="00F87345">
        <w:rPr>
          <w:rFonts w:asciiTheme="minorHAnsi" w:hAnsiTheme="minorHAnsi"/>
          <w:color w:val="auto"/>
          <w:sz w:val="24"/>
          <w:szCs w:val="24"/>
        </w:rPr>
        <w:t>,</w:t>
      </w:r>
      <w:r w:rsidR="000916AE">
        <w:rPr>
          <w:rFonts w:asciiTheme="minorHAnsi" w:hAnsiTheme="minorHAnsi"/>
          <w:color w:val="auto"/>
          <w:sz w:val="24"/>
          <w:szCs w:val="24"/>
        </w:rPr>
        <w:t xml:space="preserve"> powinien być uprawniony do określenia wymagań dotyczących dokładności i niezawodności informacji o lokalizacji zakończenia sieci dla ruchomej publicznej sieci telekomunikacyjnej.</w:t>
      </w:r>
    </w:p>
    <w:p w14:paraId="77E92394" w14:textId="77777777" w:rsidR="000916AE" w:rsidRDefault="000916AE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</w:rPr>
      </w:pPr>
    </w:p>
    <w:p w14:paraId="147BEB83" w14:textId="351B6B1E" w:rsidR="004A7727" w:rsidRPr="003E02F3" w:rsidRDefault="004A7727" w:rsidP="004A7727">
      <w:pPr>
        <w:spacing w:after="120" w:line="240" w:lineRule="auto"/>
        <w:ind w:left="-142"/>
        <w:jc w:val="both"/>
        <w:rPr>
          <w:b/>
          <w:i/>
          <w:sz w:val="24"/>
          <w:szCs w:val="24"/>
        </w:rPr>
      </w:pPr>
      <w:r w:rsidRPr="003E02F3">
        <w:rPr>
          <w:b/>
          <w:i/>
          <w:sz w:val="24"/>
          <w:szCs w:val="24"/>
        </w:rPr>
        <w:t xml:space="preserve">Rozdział 2 Usługa powszechna </w:t>
      </w:r>
    </w:p>
    <w:p w14:paraId="7106B3FD" w14:textId="7B94B060" w:rsidR="004A7727" w:rsidRPr="006C28EA" w:rsidRDefault="00AA446D" w:rsidP="004A7727">
      <w:pPr>
        <w:spacing w:after="120" w:line="240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4A7727">
        <w:rPr>
          <w:sz w:val="24"/>
          <w:szCs w:val="24"/>
        </w:rPr>
        <w:t>. Projektowany art. 331</w:t>
      </w:r>
      <w:r w:rsidR="004A7727" w:rsidRPr="00533256">
        <w:rPr>
          <w:sz w:val="24"/>
          <w:szCs w:val="24"/>
        </w:rPr>
        <w:t xml:space="preserve"> stanowi, że do udziału w pokryciu dopłaty do kosztów realizacji obowiązku świadczenia usługi powszechnej zobowiązani są przedsiębiorcy telekomunikacyjni. Zgodnie z projektowaną definicją przedsiębiorcy telekomunikac</w:t>
      </w:r>
      <w:r w:rsidR="00E61477">
        <w:rPr>
          <w:sz w:val="24"/>
          <w:szCs w:val="24"/>
        </w:rPr>
        <w:t>yjnego</w:t>
      </w:r>
      <w:r w:rsidR="00F87345">
        <w:rPr>
          <w:sz w:val="24"/>
          <w:szCs w:val="24"/>
        </w:rPr>
        <w:t>,</w:t>
      </w:r>
      <w:r w:rsidR="00E61477">
        <w:rPr>
          <w:sz w:val="24"/>
          <w:szCs w:val="24"/>
        </w:rPr>
        <w:t xml:space="preserve"> </w:t>
      </w:r>
      <w:r w:rsidR="00F87345">
        <w:rPr>
          <w:sz w:val="24"/>
          <w:szCs w:val="24"/>
        </w:rPr>
        <w:t>zawartą</w:t>
      </w:r>
      <w:r w:rsidR="00E61477">
        <w:rPr>
          <w:sz w:val="24"/>
          <w:szCs w:val="24"/>
        </w:rPr>
        <w:t xml:space="preserve"> w art. 2 pkt 42</w:t>
      </w:r>
      <w:r w:rsidR="004A7727" w:rsidRPr="00533256">
        <w:rPr>
          <w:sz w:val="24"/>
          <w:szCs w:val="24"/>
        </w:rPr>
        <w:t>, kategoria ta nie obejmuje podmiotów świadczących usługę komunikacji interpersonalnej niewykorzystującej numerów. Tymczasem z art. 90 ust. 1 lit. b) dyrektywy 2018/972 wynika, że również dostawcy usług łączności interperson</w:t>
      </w:r>
      <w:r w:rsidR="004A7727">
        <w:rPr>
          <w:sz w:val="24"/>
          <w:szCs w:val="24"/>
        </w:rPr>
        <w:t xml:space="preserve">alnej niewykorzystujących numerów, </w:t>
      </w:r>
      <w:r w:rsidR="004A7727" w:rsidRPr="00533256">
        <w:rPr>
          <w:sz w:val="24"/>
          <w:szCs w:val="24"/>
        </w:rPr>
        <w:t>zgodnie z def</w:t>
      </w:r>
      <w:r w:rsidR="00F87345">
        <w:rPr>
          <w:sz w:val="24"/>
          <w:szCs w:val="24"/>
        </w:rPr>
        <w:t>inicją określoną w art. 2 pkt 4</w:t>
      </w:r>
      <w:r w:rsidR="004A7727" w:rsidRPr="00533256">
        <w:rPr>
          <w:sz w:val="24"/>
          <w:szCs w:val="24"/>
        </w:rPr>
        <w:t xml:space="preserve"> </w:t>
      </w:r>
      <w:r w:rsidR="00F87345">
        <w:rPr>
          <w:sz w:val="24"/>
          <w:szCs w:val="24"/>
        </w:rPr>
        <w:t>należący</w:t>
      </w:r>
      <w:r w:rsidR="004A7727" w:rsidRPr="00533256">
        <w:rPr>
          <w:sz w:val="24"/>
          <w:szCs w:val="24"/>
        </w:rPr>
        <w:t xml:space="preserve"> do kategorii dostawców u</w:t>
      </w:r>
      <w:r w:rsidR="004A7727">
        <w:rPr>
          <w:sz w:val="24"/>
          <w:szCs w:val="24"/>
        </w:rPr>
        <w:t xml:space="preserve">sługi łączności elektronicznej – </w:t>
      </w:r>
      <w:r w:rsidR="004A7727" w:rsidRPr="00533256">
        <w:rPr>
          <w:sz w:val="24"/>
          <w:szCs w:val="24"/>
        </w:rPr>
        <w:t>powinni brać udział w podziale kosztu netto obowiązku świadczenia usługi powszechnej. W związku z powyższym obowiązek udziału w pokryciu dopłaty do kosztów realizacji obowiązku świadczenia usługi powszechnej powinien dotyczyć przedsiębiorców komunikacji elektronicznej, w której to kategorii mieszczą się zarówno przedsiębiorcy telekomunikacyjni, jak i podmioty świadczące usługę komunikacji interpersonalnej niewykorzystującej numerów.</w:t>
      </w:r>
    </w:p>
    <w:p w14:paraId="7AB59799" w14:textId="5E2B31AC" w:rsidR="004A7727" w:rsidRDefault="004A7727" w:rsidP="004A7727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E61DCB">
        <w:rPr>
          <w:rFonts w:eastAsia="Times New Roman" w:cs="Times New Roman"/>
          <w:color w:val="auto"/>
          <w:sz w:val="24"/>
          <w:szCs w:val="24"/>
        </w:rPr>
        <w:t xml:space="preserve">Na zakończenie zastrzegam sobie możliwość zgłaszania kolejnych uwag do poszczególnych przepisów projektu na dalszych etapach procesu legislacyjnego. Dokonanie prawidłowej oceny zgodności projektu z prawem UE oraz ustalenie, czy wszystkie przepisy wymagające implementacji zostały transponowane, jest obecnie utrudnione z powodu braku tabeli zgodności. </w:t>
      </w:r>
      <w:r>
        <w:rPr>
          <w:rFonts w:eastAsia="Times New Roman" w:cs="Times New Roman"/>
          <w:color w:val="auto"/>
          <w:sz w:val="24"/>
          <w:szCs w:val="24"/>
        </w:rPr>
        <w:t xml:space="preserve">Dodatkowo zwracam uwagę, że </w:t>
      </w:r>
      <w:r>
        <w:rPr>
          <w:sz w:val="24"/>
          <w:szCs w:val="24"/>
        </w:rPr>
        <w:t xml:space="preserve">zgodnie z </w:t>
      </w:r>
      <w:r w:rsidRPr="004115B9">
        <w:rPr>
          <w:rFonts w:eastAsia="Times New Roman" w:cs="Times New Roman"/>
          <w:color w:val="auto"/>
          <w:sz w:val="24"/>
          <w:szCs w:val="24"/>
        </w:rPr>
        <w:t xml:space="preserve">§ 30 ust. </w:t>
      </w:r>
      <w:r>
        <w:rPr>
          <w:rFonts w:eastAsia="Times New Roman" w:cs="Times New Roman"/>
          <w:color w:val="auto"/>
          <w:sz w:val="24"/>
          <w:szCs w:val="24"/>
        </w:rPr>
        <w:t>2</w:t>
      </w:r>
      <w:r w:rsidRPr="004115B9">
        <w:rPr>
          <w:rFonts w:eastAsia="Times New Roman" w:cs="Times New Roman"/>
          <w:color w:val="auto"/>
          <w:sz w:val="24"/>
          <w:szCs w:val="24"/>
        </w:rPr>
        <w:t xml:space="preserve"> Regulaminu pracy Rady Ministrów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BC1FCF">
        <w:rPr>
          <w:sz w:val="24"/>
          <w:szCs w:val="24"/>
        </w:rPr>
        <w:t>przepisy stanowiące nadregulację w stosunku do</w:t>
      </w:r>
      <w:r>
        <w:rPr>
          <w:sz w:val="24"/>
          <w:szCs w:val="24"/>
        </w:rPr>
        <w:t> </w:t>
      </w:r>
      <w:r w:rsidRPr="00BC1FCF">
        <w:rPr>
          <w:sz w:val="24"/>
          <w:szCs w:val="24"/>
        </w:rPr>
        <w:t>wdrażanych pr</w:t>
      </w:r>
      <w:r w:rsidRPr="00F10BF6">
        <w:rPr>
          <w:sz w:val="24"/>
          <w:szCs w:val="24"/>
        </w:rPr>
        <w:t>zepisów pra</w:t>
      </w:r>
      <w:r>
        <w:rPr>
          <w:sz w:val="24"/>
          <w:szCs w:val="24"/>
        </w:rPr>
        <w:t>wa Unii Europejskiej powinny</w:t>
      </w:r>
      <w:r w:rsidRPr="00F10BF6">
        <w:rPr>
          <w:sz w:val="24"/>
          <w:szCs w:val="24"/>
        </w:rPr>
        <w:t xml:space="preserve"> zostać</w:t>
      </w:r>
      <w:r w:rsidRPr="00BC1FCF">
        <w:rPr>
          <w:sz w:val="24"/>
          <w:szCs w:val="24"/>
        </w:rPr>
        <w:t xml:space="preserve"> opisane w</w:t>
      </w:r>
      <w:r>
        <w:t> </w:t>
      </w:r>
      <w:r w:rsidRPr="00BC1FCF">
        <w:rPr>
          <w:sz w:val="24"/>
          <w:szCs w:val="24"/>
        </w:rPr>
        <w:t>odwróconej tabeli z</w:t>
      </w:r>
      <w:r w:rsidRPr="00F10BF6">
        <w:rPr>
          <w:sz w:val="24"/>
          <w:szCs w:val="24"/>
        </w:rPr>
        <w:t>bież</w:t>
      </w:r>
      <w:r w:rsidRPr="00BC1FCF">
        <w:rPr>
          <w:sz w:val="24"/>
          <w:szCs w:val="24"/>
        </w:rPr>
        <w:t>ności</w:t>
      </w:r>
      <w:r>
        <w:rPr>
          <w:sz w:val="24"/>
          <w:szCs w:val="24"/>
        </w:rPr>
        <w:t xml:space="preserve">. </w:t>
      </w:r>
    </w:p>
    <w:p w14:paraId="3A1D85AD" w14:textId="5AD1D19B" w:rsidR="004A7727" w:rsidRPr="004A7727" w:rsidRDefault="004A7727" w:rsidP="004A7727">
      <w:pPr>
        <w:spacing w:after="120" w:line="240" w:lineRule="auto"/>
        <w:ind w:left="-142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4A7727">
        <w:rPr>
          <w:rFonts w:eastAsia="Times New Roman" w:cs="Times New Roman"/>
          <w:b/>
          <w:color w:val="auto"/>
          <w:sz w:val="24"/>
          <w:szCs w:val="24"/>
        </w:rPr>
        <w:t>Z zastrzeżeniem powyższych uwag projekt ustawy jest zgodny z prawem Unii Europejskiej.</w:t>
      </w:r>
    </w:p>
    <w:p w14:paraId="30DC0C9B" w14:textId="77777777" w:rsidR="003B5D38" w:rsidRDefault="003B5D38" w:rsidP="003B5D38">
      <w:pPr>
        <w:pStyle w:val="Tekstpodstawowy"/>
        <w:spacing w:after="0"/>
        <w:jc w:val="both"/>
        <w:rPr>
          <w:rFonts w:ascii="Calibri" w:hAnsi="Calibri"/>
          <w:b/>
          <w:szCs w:val="24"/>
        </w:rPr>
      </w:pPr>
    </w:p>
    <w:p w14:paraId="04DC63B7" w14:textId="77777777" w:rsidR="003B5D38" w:rsidRDefault="003B5D38" w:rsidP="003B5D38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14:paraId="15EA08F3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Konrad Szymański</w:t>
      </w:r>
    </w:p>
    <w:p w14:paraId="4E65FEDC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Minister do Spraw Unii Europejskiej</w:t>
      </w:r>
    </w:p>
    <w:p w14:paraId="39EF1AAF" w14:textId="77777777" w:rsidR="003B5D38" w:rsidRDefault="003B5D38" w:rsidP="003B5D38">
      <w:pPr>
        <w:spacing w:after="0" w:line="360" w:lineRule="auto"/>
        <w:ind w:left="3544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/podpisano kwalifikowanym podpisem elektronicznym/</w:t>
      </w:r>
    </w:p>
    <w:p w14:paraId="286881DD" w14:textId="77777777" w:rsidR="00B9144F" w:rsidRPr="00395BFF" w:rsidRDefault="00B9144F" w:rsidP="00B43857">
      <w:pPr>
        <w:spacing w:after="120"/>
        <w:ind w:left="4248"/>
        <w:rPr>
          <w:rFonts w:asciiTheme="minorHAnsi" w:hAnsiTheme="minorHAnsi"/>
          <w:sz w:val="24"/>
          <w:szCs w:val="24"/>
        </w:rPr>
      </w:pPr>
    </w:p>
    <w:p w14:paraId="66506CF8" w14:textId="77777777" w:rsidR="00B9144F" w:rsidRPr="00731946" w:rsidRDefault="00B9144F" w:rsidP="00B43857">
      <w:pPr>
        <w:spacing w:after="0" w:line="240" w:lineRule="auto"/>
        <w:ind w:left="-425"/>
        <w:rPr>
          <w:i/>
        </w:rPr>
      </w:pPr>
    </w:p>
    <w:sectPr w:rsidR="00B9144F" w:rsidRPr="00731946" w:rsidSect="00AA446D">
      <w:headerReference w:type="default" r:id="rId8"/>
      <w:footerReference w:type="default" r:id="rId9"/>
      <w:pgSz w:w="11906" w:h="16838"/>
      <w:pgMar w:top="674" w:right="1440" w:bottom="907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4FE16" w14:textId="77777777" w:rsidR="00E51093" w:rsidRDefault="00E51093" w:rsidP="00884D92">
      <w:pPr>
        <w:spacing w:after="0" w:line="240" w:lineRule="auto"/>
      </w:pPr>
      <w:r>
        <w:separator/>
      </w:r>
    </w:p>
  </w:endnote>
  <w:endnote w:type="continuationSeparator" w:id="0">
    <w:p w14:paraId="31942D2E" w14:textId="77777777" w:rsidR="00E51093" w:rsidRDefault="00E51093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4456386"/>
      <w:docPartObj>
        <w:docPartGallery w:val="Page Numbers (Bottom of Page)"/>
        <w:docPartUnique/>
      </w:docPartObj>
    </w:sdtPr>
    <w:sdtEndPr/>
    <w:sdtContent>
      <w:p w14:paraId="4B4B43D8" w14:textId="19FAFC17" w:rsidR="00AA446D" w:rsidRDefault="00AA446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60D">
          <w:rPr>
            <w:noProof/>
          </w:rPr>
          <w:t>7</w:t>
        </w:r>
        <w:r>
          <w:fldChar w:fldCharType="end"/>
        </w:r>
      </w:p>
    </w:sdtContent>
  </w:sdt>
  <w:p w14:paraId="6983567C" w14:textId="77777777" w:rsidR="00AA446D" w:rsidRDefault="00AA44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0D686" w14:textId="77777777" w:rsidR="00E51093" w:rsidRDefault="00E51093" w:rsidP="00884D92">
      <w:pPr>
        <w:spacing w:after="0" w:line="240" w:lineRule="auto"/>
      </w:pPr>
      <w:r>
        <w:separator/>
      </w:r>
    </w:p>
  </w:footnote>
  <w:footnote w:type="continuationSeparator" w:id="0">
    <w:p w14:paraId="400E7D3A" w14:textId="77777777" w:rsidR="00E51093" w:rsidRDefault="00E51093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09E94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13DE8"/>
    <w:rsid w:val="00044ED8"/>
    <w:rsid w:val="000916AE"/>
    <w:rsid w:val="000A799C"/>
    <w:rsid w:val="000B641D"/>
    <w:rsid w:val="000B7445"/>
    <w:rsid w:val="000F5519"/>
    <w:rsid w:val="00117D71"/>
    <w:rsid w:val="001B4D9A"/>
    <w:rsid w:val="001C5196"/>
    <w:rsid w:val="001E3DB4"/>
    <w:rsid w:val="00236BC5"/>
    <w:rsid w:val="00240171"/>
    <w:rsid w:val="00274BD6"/>
    <w:rsid w:val="0029337C"/>
    <w:rsid w:val="002A44AC"/>
    <w:rsid w:val="002B36A3"/>
    <w:rsid w:val="002C256D"/>
    <w:rsid w:val="00302F43"/>
    <w:rsid w:val="0030618D"/>
    <w:rsid w:val="00321435"/>
    <w:rsid w:val="00336821"/>
    <w:rsid w:val="003444BD"/>
    <w:rsid w:val="00357A8A"/>
    <w:rsid w:val="0036308D"/>
    <w:rsid w:val="00381526"/>
    <w:rsid w:val="003848E7"/>
    <w:rsid w:val="0039460D"/>
    <w:rsid w:val="00395BFF"/>
    <w:rsid w:val="003B5D38"/>
    <w:rsid w:val="003B62D6"/>
    <w:rsid w:val="003C57B0"/>
    <w:rsid w:val="00427A5C"/>
    <w:rsid w:val="004A7727"/>
    <w:rsid w:val="004E2EA6"/>
    <w:rsid w:val="005D7164"/>
    <w:rsid w:val="00621CA0"/>
    <w:rsid w:val="00623A0F"/>
    <w:rsid w:val="00631ABF"/>
    <w:rsid w:val="00634E33"/>
    <w:rsid w:val="006374C3"/>
    <w:rsid w:val="0068544D"/>
    <w:rsid w:val="006A0040"/>
    <w:rsid w:val="00731946"/>
    <w:rsid w:val="00732F5C"/>
    <w:rsid w:val="008021E6"/>
    <w:rsid w:val="0086668D"/>
    <w:rsid w:val="00884D92"/>
    <w:rsid w:val="00890839"/>
    <w:rsid w:val="008F63BA"/>
    <w:rsid w:val="009275C7"/>
    <w:rsid w:val="00941E4B"/>
    <w:rsid w:val="0096349E"/>
    <w:rsid w:val="009B1ED8"/>
    <w:rsid w:val="009E6BE7"/>
    <w:rsid w:val="009F18AC"/>
    <w:rsid w:val="00A37FD5"/>
    <w:rsid w:val="00A60782"/>
    <w:rsid w:val="00A72014"/>
    <w:rsid w:val="00A74059"/>
    <w:rsid w:val="00AA02DA"/>
    <w:rsid w:val="00AA446D"/>
    <w:rsid w:val="00AC7494"/>
    <w:rsid w:val="00AF0BC0"/>
    <w:rsid w:val="00B11158"/>
    <w:rsid w:val="00B43857"/>
    <w:rsid w:val="00B517F4"/>
    <w:rsid w:val="00B9144F"/>
    <w:rsid w:val="00B9747E"/>
    <w:rsid w:val="00C54C2E"/>
    <w:rsid w:val="00C55819"/>
    <w:rsid w:val="00CB4E38"/>
    <w:rsid w:val="00CC223B"/>
    <w:rsid w:val="00CE6B13"/>
    <w:rsid w:val="00D146AB"/>
    <w:rsid w:val="00D41BFF"/>
    <w:rsid w:val="00D449C8"/>
    <w:rsid w:val="00DB39B4"/>
    <w:rsid w:val="00DD1C5F"/>
    <w:rsid w:val="00E039D2"/>
    <w:rsid w:val="00E23D0D"/>
    <w:rsid w:val="00E30F40"/>
    <w:rsid w:val="00E51093"/>
    <w:rsid w:val="00E61477"/>
    <w:rsid w:val="00EB404A"/>
    <w:rsid w:val="00ED1491"/>
    <w:rsid w:val="00ED41A8"/>
    <w:rsid w:val="00EE019B"/>
    <w:rsid w:val="00F64B7F"/>
    <w:rsid w:val="00F83F19"/>
    <w:rsid w:val="00F87345"/>
    <w:rsid w:val="00FA6F38"/>
    <w:rsid w:val="00FA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AB11F"/>
  <w15:docId w15:val="{DBD41FF8-7B4C-406A-AF94-34E99F0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4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4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47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4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47E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8E068-DC31-4C3F-92B2-DD30B9BC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3192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Wilimborek-Makulska Katarzyna</dc:creator>
  <cp:lastModifiedBy>Tomasini-Lewandowska Joanna</cp:lastModifiedBy>
  <cp:revision>2</cp:revision>
  <dcterms:created xsi:type="dcterms:W3CDTF">2020-08-26T11:21:00Z</dcterms:created>
  <dcterms:modified xsi:type="dcterms:W3CDTF">2020-08-26T11:21:00Z</dcterms:modified>
</cp:coreProperties>
</file>