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63F08" w14:textId="4411A2BF" w:rsidR="00551C60" w:rsidRPr="003203FB" w:rsidRDefault="00551C60" w:rsidP="003203FB">
      <w:pPr>
        <w:spacing w:after="120" w:line="240" w:lineRule="auto"/>
      </w:pPr>
    </w:p>
    <w:p w14:paraId="6D419F2B" w14:textId="2D6383DC" w:rsidR="00163DF5" w:rsidRPr="003A42FB" w:rsidRDefault="00163DF5" w:rsidP="00C53EAB">
      <w:pPr>
        <w:spacing w:after="120" w:line="240" w:lineRule="auto"/>
        <w:jc w:val="center"/>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UZASADNIENIE</w:t>
      </w:r>
    </w:p>
    <w:p w14:paraId="47551983" w14:textId="375FD584" w:rsidR="38DEF9C2" w:rsidRPr="003A42FB" w:rsidRDefault="38DEF9C2"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W styczniu 2016 r. Parlament Europejski podkreślił rolę, jaką w postępie cyfrowym odgrywają prywatne inwestycje w sieci dostępu do internetu, oraz znaczenie stabilnych ram prawnych w umożliwianiu wszystkim podmiotom inwestowania na wszystkich obszarach, w tym na obszarach wiejskich i oddalonych. Podobnie Rada Europejska wezwała w czerwcu 2016 r. do zapewnienia w całej Europie stałych i bezprzewodowych łączy szerokopasmowych o bardzo dużej przepustowości, co stanowi warunek przyszłej konkurencyjności, a także do przeprowadzenia reformy regulacyjnej w dziedzinie telekomunikacji w celu stworzenia zachęt do dużych inwestycji sieciowych, a jednocześnie wspierania efektywnej konkurencji i praw konsumentów. 14 września 2016 r. Komisja Europejska przedstawiła długo zapowiadaną kompleksową reformę regulacji telekomunikacyjnych. Jest to jeden z najambitniejszych projektów w ramach strategii Jednolitego Rynku Cyfrowego. Nowe przepisy zostały przedstawione w formie jednej dyrektywy – Europejskiego Kodeksu Łączności Elektronicznej. Towarzyszy im również pakiet dodatkowych dokumentów, w tym między innymi Komunikat Komisji do Parlamentu Europejskiego, Rady, Europejskiego Komitetu Ekonomiczno-Społecznego i Komitetu Regionów „Łączność dla konkurencyjnego jednolitego rynku cyfrowego: w kierunku europejskiego społeczeństwa gigabitowego”. W niniejszym komunikacie potwierdzono znaczenie dostępu do internetu dla jednolitego rynku cyfrowego i podkreślono, że Europie już teraz potrzebne jest rozmieszczenie sieci służących jej cyfrowej przyszłości. W tym celu w komunikacie przedstawiono wizję europejskiego „społeczeństwa gigabitowego”, w którym dostępność i wykorzystanie sieci o bardzo dużej przepustowości umożliwia powszechne korzystanie z produktów, usług i aplikacji w ramach jednolitego rynku cyfrowego. Realizacja tej wizji wymaga osiągnięcia do 2025 r. trzech celów strategicznych: zapewnienia gigabitowego dostępu do inter</w:t>
      </w:r>
      <w:bookmarkStart w:id="0" w:name="_GoBack"/>
      <w:bookmarkEnd w:id="0"/>
      <w:r w:rsidRPr="003A42FB">
        <w:rPr>
          <w:rFonts w:ascii="Times New Roman" w:eastAsia="Times New Roman" w:hAnsi="Times New Roman" w:cs="Times New Roman"/>
          <w:sz w:val="24"/>
          <w:szCs w:val="24"/>
        </w:rPr>
        <w:t>netu w miejscach stanowiących siłę napędową rozwoju społeczno-gospodarczego, aby w ten sposób wspierać wzrost i zatrudnienie w Europie; zapewnienia na wszystkich obszarach miejskich oraz na wszystkich głównych szlakach komunikacyjnych zasięgu sieci 5G, aby w ten sposób wspierać konkurencyjność Europy; zapewnienia we wszystkich gospodarstwach domowych w Europie dostępu do internetu o przepustowości co najmniej 100 Mb/s, aby w ten sposób wspierać spójność Europy.</w:t>
      </w:r>
      <w:r w:rsidR="3C8C1B65" w:rsidRPr="003A42FB">
        <w:rPr>
          <w:rFonts w:ascii="Times New Roman" w:eastAsia="Times New Roman" w:hAnsi="Times New Roman" w:cs="Times New Roman"/>
          <w:sz w:val="24"/>
          <w:szCs w:val="24"/>
        </w:rPr>
        <w:t xml:space="preserve"> Rząd Rzeczypospolitej Polskiej, w ślad za komunikatem Komisji, w ramach przyjętej przez Radę Ministrów dniu 10 marca 2020 roku aktualizacji Narodowego Planu Szerokopasmowego, zobowiązał się do realizacji tych celów w ciągu najbliższych 5 lat</w:t>
      </w:r>
      <w:r w:rsidR="00C53EAB" w:rsidRPr="003A42FB">
        <w:rPr>
          <w:rFonts w:ascii="Times New Roman" w:eastAsia="Times New Roman" w:hAnsi="Times New Roman" w:cs="Times New Roman"/>
          <w:sz w:val="24"/>
          <w:szCs w:val="24"/>
        </w:rPr>
        <w:t>.</w:t>
      </w:r>
    </w:p>
    <w:p w14:paraId="03958E84" w14:textId="7FD86A9C" w:rsidR="38DEF9C2" w:rsidRPr="003A42FB" w:rsidRDefault="38DEF9C2"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Aby pomóc urzeczywistnić tę wizję, w komunikacie zaproponowano szereg inicjatyw służących stworzeniu odpowiednich warunków dla niezbędnych inwestycji, które mają być zrealizowane głównie przez rynek. Inicjatywy te obejmują istotną reformę ram regulacyjnych w dziedzinie łączności elektronicznej w postaci towarzyszącego wniosku ustawodawczego w sprawie </w:t>
      </w:r>
      <w:r w:rsidR="2F9F2A80" w:rsidRPr="003A42FB">
        <w:rPr>
          <w:rFonts w:ascii="Times New Roman" w:eastAsia="Times New Roman" w:hAnsi="Times New Roman" w:cs="Times New Roman"/>
          <w:sz w:val="24"/>
          <w:szCs w:val="24"/>
        </w:rPr>
        <w:t>e</w:t>
      </w:r>
      <w:r w:rsidRPr="003A42FB">
        <w:rPr>
          <w:rFonts w:ascii="Times New Roman" w:eastAsia="Times New Roman" w:hAnsi="Times New Roman" w:cs="Times New Roman"/>
          <w:sz w:val="24"/>
          <w:szCs w:val="24"/>
        </w:rPr>
        <w:t>uropejskiego kodeksu łączności elektronicznej (kodeksu) i rozporządzenia w sprawie BEREC, plan działania w sprawie dostępu do sieci 5G dla Europy oraz dalsze środki finansowe i środki z zakresu polityki, wprowadzane zarówno na szczeblu unijnym, jak i krajowym i lokalnym, w tym inicjatywy „Wi-Fi dla Europy”, która ma sprzyjać powszechnej dostępności połączeń Wi-Fi dla obywateli w całej UE. Celem jest ożywienie europejskiej gospodarki cyfrowej i zwiększenie konkurencyjności, zachęcenie społeczeństw do aktywnego uczestnictwa w jednolitym rynku cyfrowym oraz sprostanie coraz większym potrzebom Europejczyków w zakresie łączności.</w:t>
      </w:r>
    </w:p>
    <w:p w14:paraId="7339C062" w14:textId="440CB557" w:rsidR="26C1DEE0" w:rsidRPr="003A42FB" w:rsidRDefault="26C1DEE0"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Rozwój szybkich sieci szerokopasmowych, zarówno światłowodowych jak i bezprzewodowych, jest uznawany za jeden ze strategicznych elementów rozwoju gospodarczego Polski i krajów UE. Duży nacisk w chwili obecnej kładzie się szczególnie na sieci 5G, które traktowane są jako jeden z najważniejszych czynników warunkujących postęp </w:t>
      </w:r>
      <w:r w:rsidRPr="003A42FB">
        <w:rPr>
          <w:rFonts w:ascii="Times New Roman" w:eastAsia="Times New Roman" w:hAnsi="Times New Roman" w:cs="Times New Roman"/>
          <w:sz w:val="24"/>
          <w:szCs w:val="24"/>
        </w:rPr>
        <w:lastRenderedPageBreak/>
        <w:t>ekonomiczny i techniczny, a także przezwyciężania kryzysu wywołanego pandemią. Sieci 5G są uruchamiane na całym świecie, a tempo tego procesu w poszczególnych państwach będzie decydowało o pozycji Unii Europejskiej na świecie, a tym samym o pozycji Polski. Umożliwią one realizację innowacyjnych projektów, takich jak inteligentne miasta, inteligentne systemy transportowe, przekształcając dotychczasowe modele biznesowe i wprowadzając nowe. Sieci 5G całkowicie zmienią sposoby interakcji pomiędzy urządzeniami mobilnymi i otaczającym użytkowników końcowych środowiskiem. Z tego względu sieć 5G dostępna od 2020 roku będzie prowadziła do wzmocnienia konkurencyjności i innowacyjności gospodarki kraju, dając szansę jego podmiotom gospodarczym na umocnienie swojej pozycji w technologicznie zaawansowanych obszarach.</w:t>
      </w:r>
    </w:p>
    <w:p w14:paraId="4D31B076" w14:textId="4E71F6EC" w:rsidR="5E5E7E32" w:rsidRPr="003A42FB" w:rsidRDefault="7DDD3B42"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W ostatnich miesiącach jesteśmy świadkami narastającej fali dezinformacji i rozprzestrzeniania się fake newsów dotyczących kluczowych dla obywateli kwestii: pandemii czy też mobilnej infrastruktury telekomunikacyjnej oraz sieci 5G. Z kolei wydarzenia z maja i czerwca 2020 roku pokazały, że mino intensywnych działań, mających na celu zdecydowane dementowanie wszelkich informacji wskazujących na szkodliwe oddziaływanie stacji bazowych telefonii komórkowej oraz na związek sieci 5G z panującą pandemią, okazały się one niewystarczające.</w:t>
      </w:r>
      <w:r w:rsidR="3B6E6DFC" w:rsidRPr="003A42FB">
        <w:rPr>
          <w:rFonts w:ascii="Times New Roman" w:eastAsia="Times New Roman" w:hAnsi="Times New Roman" w:cs="Times New Roman"/>
          <w:sz w:val="24"/>
          <w:szCs w:val="24"/>
        </w:rPr>
        <w:t xml:space="preserve"> Dodatkowo, pojawiły się też nawoływania do niszczenia tego typu infrastruktury. Mają one charakter systematycznego zasilania treściami, nakierowanymi na wywołanie określonych reakcji lub działań, co już nastąpiło. </w:t>
      </w:r>
      <w:r w:rsidR="1E30C08A" w:rsidRPr="003A42FB">
        <w:rPr>
          <w:rFonts w:ascii="Times New Roman" w:eastAsia="Times New Roman" w:hAnsi="Times New Roman" w:cs="Times New Roman"/>
          <w:sz w:val="24"/>
          <w:szCs w:val="24"/>
        </w:rPr>
        <w:t>W celu przeciwdziałania dezinformacji w tym zakresie uruchomiona została dedykowana stro</w:t>
      </w:r>
      <w:r w:rsidR="234A5C2C" w:rsidRPr="003A42FB">
        <w:rPr>
          <w:rFonts w:ascii="Times New Roman" w:eastAsia="Times New Roman" w:hAnsi="Times New Roman" w:cs="Times New Roman"/>
          <w:sz w:val="24"/>
          <w:szCs w:val="24"/>
        </w:rPr>
        <w:t>na</w:t>
      </w:r>
      <w:r w:rsidR="1E30C08A" w:rsidRPr="003A42FB">
        <w:rPr>
          <w:rFonts w:ascii="Times New Roman" w:eastAsia="Times New Roman" w:hAnsi="Times New Roman" w:cs="Times New Roman"/>
          <w:sz w:val="24"/>
          <w:szCs w:val="24"/>
        </w:rPr>
        <w:t xml:space="preserve"> internetow</w:t>
      </w:r>
      <w:r w:rsidR="3420A7BE" w:rsidRPr="003A42FB">
        <w:rPr>
          <w:rFonts w:ascii="Times New Roman" w:eastAsia="Times New Roman" w:hAnsi="Times New Roman" w:cs="Times New Roman"/>
          <w:sz w:val="24"/>
          <w:szCs w:val="24"/>
        </w:rPr>
        <w:t>a</w:t>
      </w:r>
      <w:r w:rsidR="1E30C08A" w:rsidRPr="003A42FB">
        <w:rPr>
          <w:rFonts w:ascii="Times New Roman" w:eastAsia="Times New Roman" w:hAnsi="Times New Roman" w:cs="Times New Roman"/>
          <w:sz w:val="24"/>
          <w:szCs w:val="24"/>
        </w:rPr>
        <w:t xml:space="preserve"> poświęcon</w:t>
      </w:r>
      <w:r w:rsidR="16E503FC" w:rsidRPr="003A42FB">
        <w:rPr>
          <w:rFonts w:ascii="Times New Roman" w:eastAsia="Times New Roman" w:hAnsi="Times New Roman" w:cs="Times New Roman"/>
          <w:sz w:val="24"/>
          <w:szCs w:val="24"/>
        </w:rPr>
        <w:t>a</w:t>
      </w:r>
      <w:r w:rsidR="1E30C08A" w:rsidRPr="003A42FB">
        <w:rPr>
          <w:rFonts w:ascii="Times New Roman" w:eastAsia="Times New Roman" w:hAnsi="Times New Roman" w:cs="Times New Roman"/>
          <w:sz w:val="24"/>
          <w:szCs w:val="24"/>
        </w:rPr>
        <w:t xml:space="preserve"> zagadnieniom dotyczącym sieci 5G, w tym także polu elektromagnetycznemu (</w:t>
      </w:r>
      <w:hyperlink r:id="rId11" w:history="1">
        <w:r w:rsidR="1E30C08A" w:rsidRPr="003A42FB">
          <w:rPr>
            <w:rStyle w:val="Hipercze"/>
            <w:rFonts w:ascii="Times New Roman" w:eastAsia="Calibri" w:hAnsi="Times New Roman" w:cs="Times New Roman"/>
            <w:color w:val="auto"/>
            <w:sz w:val="24"/>
            <w:szCs w:val="24"/>
            <w:u w:val="none"/>
          </w:rPr>
          <w:t>www.gov.pl/web/5G</w:t>
        </w:r>
      </w:hyperlink>
      <w:r w:rsidR="1E30C08A" w:rsidRPr="003A42FB">
        <w:rPr>
          <w:rFonts w:ascii="Times New Roman" w:eastAsia="Times New Roman" w:hAnsi="Times New Roman" w:cs="Times New Roman"/>
          <w:sz w:val="24"/>
          <w:szCs w:val="24"/>
        </w:rPr>
        <w:t>). Na stronie tej publikowane są aktualności dotyczące wdrożenia sieci 5G w Polsce i na świecie oraz informacje na temat badań i raportów dotyczących pola elektromagnetycznego. W ramach działań edukacyjnych udostępniono również napisany przystępnym językiem „Przewodnik po 5G”, w którym przedstawiono najważniejsze zagadnienia dotyczące sieci nowej generacji.</w:t>
      </w:r>
    </w:p>
    <w:p w14:paraId="45B47A1C" w14:textId="6A221693" w:rsidR="2CFE7CE7" w:rsidRPr="003A42FB" w:rsidRDefault="2CFE7CE7"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Sieci telekomunikacyjne, a w szczególności zasięg mobilnych sieci telekomunikacyjnych, gwarantują możliwość świadczenia obywatelom pracy zdalnej oraz edukacji zdalnej (przeprowadzanie zajęć przez internet), przy czym kontekst edukacji ma fundamentalne znaczenie, obok bezpieczeństwa publicznego. Przerwy w edukacji mogą głęboko zaszkodzić rozwojowi dziecka i utrudnić zmniejszenie różnic w osiągnięciach między rodzinami o wysokich i niskich dochodach. W obliczu sytuacji w jakiej obecnie znajduje się Polska w związku z pandemią koronawirusa, kluczowe jest zapewnienie wszystkim obywatelom dostępu do szerokopasmowego internetu. Jednocześnie, jako państwo musimy być technicznie przygotowani do sytuacji kolejnego możliwego lockdownu związanego m.in. z SARS CoV-2. </w:t>
      </w:r>
    </w:p>
    <w:p w14:paraId="214C538A" w14:textId="36663D7B" w:rsidR="5E5E7E32" w:rsidRPr="003A42FB" w:rsidRDefault="2CFE7CE7"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Rozwój szybkich sieci szerokopasmowych, zarówno światłowodowych jak i bezprzewodowych, jest uznawany za jeden ze strategicznych elementów rozwoju gospodarczego Polski i krajów UE. Duży nacisk w chwili obecnej kładzie się szczególnie na sieci 5G, które traktowane są jako jeden z najważniejszych czynników warunkujących postęp ekonomiczny i techniczny, a także przezwyciężania kryzysu wywołanego pandemią. Sieci 5G są uruchamiane na całym świecie, a tempo tego procesu w poszczególnych państwach będzie decydowało o pozycji Unii Europejskiej na świecie, a tym samym o pozycji Polski. Umożliwią one realizację innowacyjnych projektów, takich jak inteligentne miasta, inteligentne systemy transportowe, przekształcając dotychczasowe modele biznesowe i wprowadzając nowe. Sieci 5G całkowicie zmienią sposoby interakcji pomiędzy urządzeniami mobilnymi i otaczającym użytkowników końcowych środowiskiem. Z tego względu sieć 5G dostępna od 2020 roku będzie prowadziła do wzmocnienia konkurencyjności i innowacyjności gospodarki kraju, dając szansę jego podmiotom gospodarczym na umocnienie swojej pozycji w technologicznie zaawansowanych obszarach.</w:t>
      </w:r>
    </w:p>
    <w:p w14:paraId="7E035890" w14:textId="1712D3B2" w:rsidR="008F5B98" w:rsidRPr="003A42FB" w:rsidRDefault="45672DB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Projekt ustawy – Prawo komunikacji elektronicznej</w:t>
      </w:r>
      <w:r w:rsidR="6E0C6695" w:rsidRPr="003A42FB">
        <w:rPr>
          <w:rFonts w:ascii="Times New Roman" w:eastAsiaTheme="minorEastAsia" w:hAnsi="Times New Roman" w:cs="Times New Roman"/>
          <w:sz w:val="24"/>
          <w:szCs w:val="24"/>
        </w:rPr>
        <w:t xml:space="preserve">, </w:t>
      </w:r>
      <w:r w:rsidR="43A7F8EA" w:rsidRPr="003A42FB">
        <w:rPr>
          <w:rFonts w:ascii="Times New Roman" w:eastAsiaTheme="minorEastAsia" w:hAnsi="Times New Roman" w:cs="Times New Roman"/>
          <w:sz w:val="24"/>
          <w:szCs w:val="24"/>
        </w:rPr>
        <w:t xml:space="preserve">zwany </w:t>
      </w:r>
      <w:r w:rsidR="6E0C6695" w:rsidRPr="003A42FB">
        <w:rPr>
          <w:rFonts w:ascii="Times New Roman" w:eastAsiaTheme="minorEastAsia" w:hAnsi="Times New Roman" w:cs="Times New Roman"/>
          <w:sz w:val="24"/>
          <w:szCs w:val="24"/>
        </w:rPr>
        <w:t>dalej „</w:t>
      </w:r>
      <w:r w:rsidR="43404BD5" w:rsidRPr="003A42FB">
        <w:rPr>
          <w:rFonts w:ascii="Times New Roman" w:eastAsiaTheme="minorEastAsia" w:hAnsi="Times New Roman" w:cs="Times New Roman"/>
          <w:sz w:val="24"/>
          <w:szCs w:val="24"/>
        </w:rPr>
        <w:t>Pke</w:t>
      </w:r>
      <w:r w:rsidR="6E0C6695" w:rsidRPr="003A42FB">
        <w:rPr>
          <w:rFonts w:ascii="Times New Roman" w:eastAsiaTheme="minorEastAsia" w:hAnsi="Times New Roman" w:cs="Times New Roman"/>
          <w:sz w:val="24"/>
          <w:szCs w:val="24"/>
        </w:rPr>
        <w:t>”</w:t>
      </w:r>
      <w:r w:rsidR="2D3BDFD6" w:rsidRPr="003A42FB">
        <w:rPr>
          <w:rFonts w:ascii="Times New Roman" w:eastAsiaTheme="minorEastAsia" w:hAnsi="Times New Roman" w:cs="Times New Roman"/>
          <w:sz w:val="24"/>
          <w:szCs w:val="24"/>
        </w:rPr>
        <w:t xml:space="preserve"> lub “ustawa </w:t>
      </w:r>
      <w:r w:rsidR="43404BD5" w:rsidRPr="003A42FB">
        <w:rPr>
          <w:rFonts w:ascii="Times New Roman" w:eastAsiaTheme="minorEastAsia" w:hAnsi="Times New Roman" w:cs="Times New Roman"/>
          <w:sz w:val="24"/>
          <w:szCs w:val="24"/>
        </w:rPr>
        <w:t>Pke</w:t>
      </w:r>
      <w:r w:rsidR="2D3BDFD6" w:rsidRPr="003A42FB">
        <w:rPr>
          <w:rFonts w:ascii="Times New Roman" w:eastAsiaTheme="minorEastAsia" w:hAnsi="Times New Roman" w:cs="Times New Roman"/>
          <w:sz w:val="24"/>
          <w:szCs w:val="24"/>
        </w:rPr>
        <w:t>”,</w:t>
      </w:r>
      <w:r w:rsidR="43A7F8EA" w:rsidRPr="003A42FB">
        <w:rPr>
          <w:rFonts w:ascii="Times New Roman" w:eastAsiaTheme="minorEastAsia" w:hAnsi="Times New Roman" w:cs="Times New Roman"/>
          <w:sz w:val="24"/>
          <w:szCs w:val="24"/>
        </w:rPr>
        <w:t xml:space="preserve"> </w:t>
      </w:r>
      <w:r w:rsidR="14891BDC" w:rsidRPr="003A42FB">
        <w:rPr>
          <w:rFonts w:ascii="Times New Roman" w:eastAsiaTheme="minorEastAsia" w:hAnsi="Times New Roman" w:cs="Times New Roman"/>
          <w:sz w:val="24"/>
          <w:szCs w:val="24"/>
        </w:rPr>
        <w:t xml:space="preserve">kompleksowo reguluje </w:t>
      </w:r>
      <w:r w:rsidR="0D3E1240" w:rsidRPr="003A42FB">
        <w:rPr>
          <w:rFonts w:ascii="Times New Roman" w:eastAsiaTheme="minorEastAsia" w:hAnsi="Times New Roman" w:cs="Times New Roman"/>
          <w:sz w:val="24"/>
          <w:szCs w:val="24"/>
        </w:rPr>
        <w:t xml:space="preserve">między innymi </w:t>
      </w:r>
      <w:r w:rsidR="14891BDC" w:rsidRPr="003A42FB">
        <w:rPr>
          <w:rFonts w:ascii="Times New Roman" w:eastAsiaTheme="minorEastAsia" w:hAnsi="Times New Roman" w:cs="Times New Roman"/>
          <w:sz w:val="24"/>
          <w:szCs w:val="24"/>
        </w:rPr>
        <w:t xml:space="preserve">kwestie wykonywania </w:t>
      </w:r>
      <w:r w:rsidR="1961ACA7" w:rsidRPr="003A42FB">
        <w:rPr>
          <w:rFonts w:ascii="Times New Roman" w:eastAsiaTheme="minorEastAsia" w:hAnsi="Times New Roman" w:cs="Times New Roman"/>
          <w:sz w:val="24"/>
          <w:szCs w:val="24"/>
        </w:rPr>
        <w:t>działalności polegającej na świadczeniu usług komunikacji elektronicznej</w:t>
      </w:r>
      <w:r w:rsidR="14891BDC" w:rsidRPr="003A42FB">
        <w:rPr>
          <w:rFonts w:ascii="Times New Roman" w:eastAsiaTheme="minorEastAsia" w:hAnsi="Times New Roman" w:cs="Times New Roman"/>
          <w:sz w:val="24"/>
          <w:szCs w:val="24"/>
        </w:rPr>
        <w:t xml:space="preserve">, regulowania rynków </w:t>
      </w:r>
      <w:r w:rsidR="6E0C6695" w:rsidRPr="003A42FB">
        <w:rPr>
          <w:rFonts w:ascii="Times New Roman" w:eastAsiaTheme="minorEastAsia" w:hAnsi="Times New Roman" w:cs="Times New Roman"/>
          <w:sz w:val="24"/>
          <w:szCs w:val="24"/>
        </w:rPr>
        <w:t>komunikacji elektronicznej</w:t>
      </w:r>
      <w:r w:rsidR="14891BDC" w:rsidRPr="003A42FB">
        <w:rPr>
          <w:rFonts w:ascii="Times New Roman" w:eastAsiaTheme="minorEastAsia" w:hAnsi="Times New Roman" w:cs="Times New Roman"/>
          <w:sz w:val="24"/>
          <w:szCs w:val="24"/>
        </w:rPr>
        <w:t xml:space="preserve">, warunki gospodarowania częstotliwościami, zasobami orbitalnymi oraz </w:t>
      </w:r>
      <w:r w:rsidR="6E0C6695" w:rsidRPr="003A42FB">
        <w:rPr>
          <w:rFonts w:ascii="Times New Roman" w:eastAsiaTheme="minorEastAsia" w:hAnsi="Times New Roman" w:cs="Times New Roman"/>
          <w:sz w:val="24"/>
          <w:szCs w:val="24"/>
        </w:rPr>
        <w:t xml:space="preserve">zasobami </w:t>
      </w:r>
      <w:r w:rsidR="14891BDC" w:rsidRPr="003A42FB">
        <w:rPr>
          <w:rFonts w:ascii="Times New Roman" w:eastAsiaTheme="minorEastAsia" w:hAnsi="Times New Roman" w:cs="Times New Roman"/>
          <w:sz w:val="24"/>
          <w:szCs w:val="24"/>
        </w:rPr>
        <w:t>numeracj</w:t>
      </w:r>
      <w:r w:rsidR="6E0C6695" w:rsidRPr="003A42FB">
        <w:rPr>
          <w:rFonts w:ascii="Times New Roman" w:eastAsiaTheme="minorEastAsia" w:hAnsi="Times New Roman" w:cs="Times New Roman"/>
          <w:sz w:val="24"/>
          <w:szCs w:val="24"/>
        </w:rPr>
        <w:t>i</w:t>
      </w:r>
      <w:r w:rsidR="14891BDC" w:rsidRPr="003A42FB">
        <w:rPr>
          <w:rFonts w:ascii="Times New Roman" w:eastAsiaTheme="minorEastAsia" w:hAnsi="Times New Roman" w:cs="Times New Roman"/>
          <w:sz w:val="24"/>
          <w:szCs w:val="24"/>
        </w:rPr>
        <w:t xml:space="preserve">, a także prawa i obowiązki użytkowników, zasady przetwarzania danych telekomunikacyjnych i ochrony tajemnicy </w:t>
      </w:r>
      <w:r w:rsidR="1961ACA7" w:rsidRPr="003A42FB">
        <w:rPr>
          <w:rFonts w:ascii="Times New Roman" w:eastAsiaTheme="minorEastAsia" w:hAnsi="Times New Roman" w:cs="Times New Roman"/>
          <w:sz w:val="24"/>
          <w:szCs w:val="24"/>
        </w:rPr>
        <w:t>komunikacji elektronicznej</w:t>
      </w:r>
      <w:r w:rsidR="14891BDC" w:rsidRPr="003A42FB">
        <w:rPr>
          <w:rFonts w:ascii="Times New Roman" w:eastAsiaTheme="minorEastAsia" w:hAnsi="Times New Roman" w:cs="Times New Roman"/>
          <w:sz w:val="24"/>
          <w:szCs w:val="24"/>
        </w:rPr>
        <w:t xml:space="preserve">. Dotychczas materia ta była regulowana ustawą </w:t>
      </w:r>
      <w:r w:rsidRPr="003A42FB">
        <w:rPr>
          <w:rFonts w:ascii="Times New Roman" w:eastAsiaTheme="minorEastAsia" w:hAnsi="Times New Roman" w:cs="Times New Roman"/>
          <w:sz w:val="24"/>
          <w:szCs w:val="24"/>
        </w:rPr>
        <w:t xml:space="preserve">z dnia 16 lipca 2004 r. – Prawo </w:t>
      </w:r>
      <w:r w:rsidR="6E0C6695" w:rsidRPr="003A42FB">
        <w:rPr>
          <w:rFonts w:ascii="Times New Roman" w:eastAsiaTheme="minorEastAsia" w:hAnsi="Times New Roman" w:cs="Times New Roman"/>
          <w:sz w:val="24"/>
          <w:szCs w:val="24"/>
        </w:rPr>
        <w:t>telekomunikacyjne, zwan</w:t>
      </w:r>
      <w:r w:rsidR="35C7CB20" w:rsidRPr="003A42FB">
        <w:rPr>
          <w:rFonts w:ascii="Times New Roman" w:eastAsiaTheme="minorEastAsia" w:hAnsi="Times New Roman" w:cs="Times New Roman"/>
          <w:sz w:val="24"/>
          <w:szCs w:val="24"/>
        </w:rPr>
        <w:t>ą</w:t>
      </w:r>
      <w:r w:rsidR="6E0C6695" w:rsidRPr="003A42FB">
        <w:rPr>
          <w:rFonts w:ascii="Times New Roman" w:eastAsiaTheme="minorEastAsia" w:hAnsi="Times New Roman" w:cs="Times New Roman"/>
          <w:sz w:val="24"/>
          <w:szCs w:val="24"/>
        </w:rPr>
        <w:t xml:space="preserve"> </w:t>
      </w:r>
      <w:r w:rsidR="14891BDC" w:rsidRPr="003A42FB">
        <w:rPr>
          <w:rFonts w:ascii="Times New Roman" w:eastAsiaTheme="minorEastAsia" w:hAnsi="Times New Roman" w:cs="Times New Roman"/>
          <w:sz w:val="24"/>
          <w:szCs w:val="24"/>
        </w:rPr>
        <w:t>dalej „Pt”</w:t>
      </w:r>
      <w:r w:rsidR="1944E86E" w:rsidRPr="003A42FB">
        <w:rPr>
          <w:rFonts w:ascii="Times New Roman" w:eastAsiaTheme="minorEastAsia" w:hAnsi="Times New Roman" w:cs="Times New Roman"/>
          <w:sz w:val="24"/>
          <w:szCs w:val="24"/>
        </w:rPr>
        <w:t xml:space="preserve"> lub “ustawa Pt”</w:t>
      </w:r>
      <w:r w:rsidR="14891BDC"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14891BDC" w:rsidRPr="003A42FB">
        <w:rPr>
          <w:rFonts w:ascii="Times New Roman" w:eastAsiaTheme="minorEastAsia" w:hAnsi="Times New Roman" w:cs="Times New Roman"/>
          <w:sz w:val="24"/>
          <w:szCs w:val="24"/>
        </w:rPr>
        <w:t>która zostanie zastąpiona niniejszą ustawą.</w:t>
      </w:r>
    </w:p>
    <w:p w14:paraId="59B084DB" w14:textId="5A1783D4" w:rsidR="008F5B98" w:rsidRPr="003A42FB" w:rsidRDefault="008F5B9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Opracowanie nowej ustawy </w:t>
      </w:r>
      <w:r w:rsidR="003A753A" w:rsidRPr="003A42FB">
        <w:rPr>
          <w:rFonts w:ascii="Times New Roman" w:eastAsiaTheme="minorEastAsia" w:hAnsi="Times New Roman" w:cs="Times New Roman"/>
          <w:sz w:val="24"/>
          <w:szCs w:val="24"/>
        </w:rPr>
        <w:t>wynika z</w:t>
      </w:r>
      <w:r w:rsidRPr="003A42FB">
        <w:rPr>
          <w:rFonts w:ascii="Times New Roman" w:eastAsiaTheme="minorEastAsia" w:hAnsi="Times New Roman" w:cs="Times New Roman"/>
          <w:sz w:val="24"/>
          <w:szCs w:val="24"/>
        </w:rPr>
        <w:t xml:space="preserve"> </w:t>
      </w:r>
      <w:r w:rsidR="009D71C5" w:rsidRPr="003A42FB">
        <w:rPr>
          <w:rFonts w:ascii="Times New Roman" w:eastAsiaTheme="minorEastAsia" w:hAnsi="Times New Roman" w:cs="Times New Roman"/>
          <w:sz w:val="24"/>
          <w:szCs w:val="24"/>
        </w:rPr>
        <w:t xml:space="preserve">konieczności wdrożenia do </w:t>
      </w:r>
      <w:r w:rsidR="00C5796A" w:rsidRPr="003A42FB">
        <w:rPr>
          <w:rFonts w:ascii="Times New Roman" w:eastAsiaTheme="minorEastAsia" w:hAnsi="Times New Roman" w:cs="Times New Roman"/>
          <w:sz w:val="24"/>
          <w:szCs w:val="24"/>
        </w:rPr>
        <w:t xml:space="preserve">polskiego porządku prawnego </w:t>
      </w:r>
      <w:r w:rsidR="003A753A" w:rsidRPr="003A42FB">
        <w:rPr>
          <w:rFonts w:ascii="Times New Roman" w:eastAsiaTheme="minorEastAsia" w:hAnsi="Times New Roman" w:cs="Times New Roman"/>
          <w:sz w:val="24"/>
          <w:szCs w:val="24"/>
        </w:rPr>
        <w:t xml:space="preserve">przepisów </w:t>
      </w:r>
      <w:r w:rsidR="00C5796A" w:rsidRPr="003A42FB">
        <w:rPr>
          <w:rFonts w:ascii="Times New Roman" w:eastAsiaTheme="minorEastAsia" w:hAnsi="Times New Roman" w:cs="Times New Roman"/>
          <w:sz w:val="24"/>
          <w:szCs w:val="24"/>
        </w:rPr>
        <w:t>Dyrektywy Parlamentu Europejskiego i Rady (UE) 2018/1972 z dnia 11 grudnia 2018 r. ustanawiającej Europejski kodeks łączności elektroniczne</w:t>
      </w:r>
      <w:r w:rsidR="00673A7D" w:rsidRPr="003A42FB">
        <w:rPr>
          <w:rFonts w:ascii="Times New Roman" w:eastAsiaTheme="minorEastAsia" w:hAnsi="Times New Roman" w:cs="Times New Roman"/>
          <w:sz w:val="24"/>
          <w:szCs w:val="24"/>
        </w:rPr>
        <w:t>j</w:t>
      </w:r>
      <w:r w:rsidR="00C5796A" w:rsidRPr="003A42FB">
        <w:rPr>
          <w:rFonts w:ascii="Times New Roman" w:eastAsiaTheme="minorEastAsia" w:hAnsi="Times New Roman" w:cs="Times New Roman"/>
          <w:sz w:val="24"/>
          <w:szCs w:val="24"/>
        </w:rPr>
        <w:t xml:space="preserve"> (dalej również: „EKŁE”).</w:t>
      </w:r>
      <w:r w:rsidR="00B708B9" w:rsidRPr="003A42FB">
        <w:rPr>
          <w:rFonts w:ascii="Times New Roman" w:eastAsiaTheme="minorEastAsia" w:hAnsi="Times New Roman" w:cs="Times New Roman"/>
          <w:sz w:val="24"/>
          <w:szCs w:val="24"/>
        </w:rPr>
        <w:t xml:space="preserve"> </w:t>
      </w:r>
      <w:r w:rsidR="003A753A" w:rsidRPr="003A42FB">
        <w:rPr>
          <w:rStyle w:val="normaltextrun"/>
          <w:rFonts w:ascii="Times New Roman" w:hAnsi="Times New Roman" w:cs="Times New Roman"/>
          <w:sz w:val="24"/>
          <w:szCs w:val="24"/>
        </w:rPr>
        <w:t>Zastąpienie dotychczasowej ustawy Pt nowym aktem prawnym uzasadnione jest</w:t>
      </w:r>
      <w:r w:rsidR="003A753A" w:rsidRPr="003A42FB">
        <w:rPr>
          <w:rStyle w:val="normaltextrun"/>
          <w:rFonts w:ascii="Times New Roman" w:hAnsi="Times New Roman" w:cs="Times New Roman"/>
          <w:sz w:val="24"/>
          <w:szCs w:val="24"/>
          <w:u w:val="single"/>
        </w:rPr>
        <w:t xml:space="preserve"> </w:t>
      </w:r>
      <w:r w:rsidR="00C23A15" w:rsidRPr="003A42FB">
        <w:rPr>
          <w:rFonts w:ascii="Times New Roman" w:eastAsiaTheme="minorEastAsia" w:hAnsi="Times New Roman" w:cs="Times New Roman"/>
          <w:sz w:val="24"/>
          <w:szCs w:val="24"/>
        </w:rPr>
        <w:t>z</w:t>
      </w:r>
      <w:r w:rsidR="00B708B9" w:rsidRPr="003A42FB">
        <w:rPr>
          <w:rFonts w:ascii="Times New Roman" w:eastAsiaTheme="minorEastAsia" w:hAnsi="Times New Roman" w:cs="Times New Roman"/>
          <w:sz w:val="24"/>
          <w:szCs w:val="24"/>
        </w:rPr>
        <w:t>akres</w:t>
      </w:r>
      <w:r w:rsidR="003A753A" w:rsidRPr="003A42FB">
        <w:rPr>
          <w:rFonts w:ascii="Times New Roman" w:eastAsiaTheme="minorEastAsia" w:hAnsi="Times New Roman" w:cs="Times New Roman"/>
          <w:sz w:val="24"/>
          <w:szCs w:val="24"/>
        </w:rPr>
        <w:t>em</w:t>
      </w:r>
      <w:r w:rsidR="00B708B9" w:rsidRPr="003A42FB">
        <w:rPr>
          <w:rFonts w:ascii="Times New Roman" w:eastAsiaTheme="minorEastAsia" w:hAnsi="Times New Roman" w:cs="Times New Roman"/>
          <w:sz w:val="24"/>
          <w:szCs w:val="24"/>
        </w:rPr>
        <w:t xml:space="preserve"> i iloś</w:t>
      </w:r>
      <w:r w:rsidR="003A753A" w:rsidRPr="003A42FB">
        <w:rPr>
          <w:rFonts w:ascii="Times New Roman" w:eastAsiaTheme="minorEastAsia" w:hAnsi="Times New Roman" w:cs="Times New Roman"/>
          <w:sz w:val="24"/>
          <w:szCs w:val="24"/>
        </w:rPr>
        <w:t>cią</w:t>
      </w:r>
      <w:r w:rsidR="00B708B9" w:rsidRPr="003A42FB">
        <w:rPr>
          <w:rFonts w:ascii="Times New Roman" w:eastAsiaTheme="minorEastAsia" w:hAnsi="Times New Roman" w:cs="Times New Roman"/>
          <w:sz w:val="24"/>
          <w:szCs w:val="24"/>
        </w:rPr>
        <w:t xml:space="preserve"> zmian oraz koniecznoś</w:t>
      </w:r>
      <w:r w:rsidR="003A753A" w:rsidRPr="003A42FB">
        <w:rPr>
          <w:rFonts w:ascii="Times New Roman" w:eastAsiaTheme="minorEastAsia" w:hAnsi="Times New Roman" w:cs="Times New Roman"/>
          <w:sz w:val="24"/>
          <w:szCs w:val="24"/>
        </w:rPr>
        <w:t>cią</w:t>
      </w:r>
      <w:r w:rsidR="00B708B9" w:rsidRPr="003A42FB">
        <w:rPr>
          <w:rFonts w:ascii="Times New Roman" w:eastAsiaTheme="minorEastAsia" w:hAnsi="Times New Roman" w:cs="Times New Roman"/>
          <w:sz w:val="24"/>
          <w:szCs w:val="24"/>
        </w:rPr>
        <w:t xml:space="preserve"> uporządkowania</w:t>
      </w:r>
      <w:r w:rsidR="00AF7579" w:rsidRPr="003A42FB">
        <w:rPr>
          <w:rFonts w:ascii="Times New Roman" w:eastAsiaTheme="minorEastAsia" w:hAnsi="Times New Roman" w:cs="Times New Roman"/>
          <w:sz w:val="24"/>
          <w:szCs w:val="24"/>
        </w:rPr>
        <w:t>, przeredagowania i niejednokrotnie uproszczenia</w:t>
      </w:r>
      <w:r w:rsidR="00B708B9" w:rsidRPr="003A42FB">
        <w:rPr>
          <w:rFonts w:ascii="Times New Roman" w:eastAsiaTheme="minorEastAsia" w:hAnsi="Times New Roman" w:cs="Times New Roman"/>
          <w:sz w:val="24"/>
          <w:szCs w:val="24"/>
        </w:rPr>
        <w:t xml:space="preserve"> dotychczas funkcjonujących przepisów z zakresu </w:t>
      </w:r>
      <w:r w:rsidR="003A753A" w:rsidRPr="003A42FB">
        <w:rPr>
          <w:rFonts w:ascii="Times New Roman" w:eastAsiaTheme="minorEastAsia" w:hAnsi="Times New Roman" w:cs="Times New Roman"/>
          <w:sz w:val="24"/>
          <w:szCs w:val="24"/>
        </w:rPr>
        <w:t xml:space="preserve">ustawy - </w:t>
      </w:r>
      <w:r w:rsidR="00C53EAB" w:rsidRPr="003A42FB">
        <w:rPr>
          <w:rFonts w:ascii="Times New Roman" w:eastAsiaTheme="minorEastAsia" w:hAnsi="Times New Roman" w:cs="Times New Roman"/>
          <w:sz w:val="24"/>
          <w:szCs w:val="24"/>
        </w:rPr>
        <w:t>P</w:t>
      </w:r>
      <w:r w:rsidR="00B708B9" w:rsidRPr="003A42FB">
        <w:rPr>
          <w:rFonts w:ascii="Times New Roman" w:eastAsiaTheme="minorEastAsia" w:hAnsi="Times New Roman" w:cs="Times New Roman"/>
          <w:sz w:val="24"/>
          <w:szCs w:val="24"/>
        </w:rPr>
        <w:t>raw</w:t>
      </w:r>
      <w:r w:rsidR="003A753A" w:rsidRPr="003A42FB">
        <w:rPr>
          <w:rFonts w:ascii="Times New Roman" w:eastAsiaTheme="minorEastAsia" w:hAnsi="Times New Roman" w:cs="Times New Roman"/>
          <w:sz w:val="24"/>
          <w:szCs w:val="24"/>
        </w:rPr>
        <w:t>o</w:t>
      </w:r>
      <w:r w:rsidR="00B708B9" w:rsidRPr="003A42FB">
        <w:rPr>
          <w:rFonts w:ascii="Times New Roman" w:eastAsiaTheme="minorEastAsia" w:hAnsi="Times New Roman" w:cs="Times New Roman"/>
          <w:sz w:val="24"/>
          <w:szCs w:val="24"/>
        </w:rPr>
        <w:t xml:space="preserve"> telekomunikacyjne.</w:t>
      </w:r>
      <w:r w:rsidR="00C23A15" w:rsidRPr="003A42FB">
        <w:rPr>
          <w:rFonts w:ascii="Times New Roman" w:eastAsiaTheme="minorEastAsia" w:hAnsi="Times New Roman" w:cs="Times New Roman"/>
          <w:sz w:val="24"/>
          <w:szCs w:val="24"/>
        </w:rPr>
        <w:t xml:space="preserve"> </w:t>
      </w:r>
    </w:p>
    <w:p w14:paraId="47517343" w14:textId="596CC60A" w:rsidR="4FE16AFA" w:rsidRPr="003A42FB" w:rsidRDefault="4FE16AFA"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EKŁE:</w:t>
      </w:r>
    </w:p>
    <w:p w14:paraId="4FA4A302" w14:textId="78872AD8" w:rsidR="4FE16AFA" w:rsidRPr="003A42FB" w:rsidRDefault="4FE16AFA" w:rsidP="00C53EAB">
      <w:pPr>
        <w:pStyle w:val="Akapitzlist"/>
        <w:numPr>
          <w:ilvl w:val="0"/>
          <w:numId w:val="73"/>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zawiera szereg uaktualnionych przepisów regulujących sieci łączności elektronicznej (sieci telekomunikacyjne), usługi telekomunikacyjne oraz towarzyszące urządzenia i usługi;</w:t>
      </w:r>
    </w:p>
    <w:p w14:paraId="38C6E06D" w14:textId="3DDC2951" w:rsidR="4FE16AFA" w:rsidRPr="003A42FB" w:rsidRDefault="4FE16AFA" w:rsidP="00C53EAB">
      <w:pPr>
        <w:pStyle w:val="Akapitzlist"/>
        <w:numPr>
          <w:ilvl w:val="0"/>
          <w:numId w:val="73"/>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określa zadania wykonywane przez krajowe organy regulacyjne i inne właściwe organy, a także wprowadza szereg procedur służących zapewnieniu harmonizacji ram regulacyjnych w całej UE;</w:t>
      </w:r>
    </w:p>
    <w:p w14:paraId="57A568A8" w14:textId="3DBB22EA" w:rsidR="4FE16AFA" w:rsidRPr="003A42FB" w:rsidRDefault="4FE16AFA" w:rsidP="00C53EAB">
      <w:pPr>
        <w:pStyle w:val="Akapitzlist"/>
        <w:numPr>
          <w:ilvl w:val="0"/>
          <w:numId w:val="73"/>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ma na celu stymulowanie konkurencji i zwiększenie inwestycji w sieci </w:t>
      </w:r>
      <w:r w:rsidRPr="003A42FB">
        <w:rPr>
          <w:rFonts w:ascii="Times New Roman" w:eastAsia="Times New Roman" w:hAnsi="Times New Roman" w:cs="Times New Roman"/>
          <w:bCs/>
          <w:sz w:val="24"/>
          <w:szCs w:val="24"/>
        </w:rPr>
        <w:t>5G</w:t>
      </w:r>
      <w:r w:rsidRPr="003A42FB">
        <w:rPr>
          <w:rStyle w:val="Hipercze"/>
          <w:rFonts w:ascii="Times New Roman" w:eastAsia="Times New Roman" w:hAnsi="Times New Roman" w:cs="Times New Roman"/>
          <w:color w:val="auto"/>
          <w:sz w:val="24"/>
          <w:szCs w:val="24"/>
          <w:u w:val="none"/>
        </w:rPr>
        <w:t xml:space="preserve"> </w:t>
      </w:r>
      <w:r w:rsidRPr="003A42FB">
        <w:rPr>
          <w:rFonts w:ascii="Times New Roman" w:eastAsia="Times New Roman" w:hAnsi="Times New Roman" w:cs="Times New Roman"/>
          <w:sz w:val="24"/>
          <w:szCs w:val="24"/>
        </w:rPr>
        <w:t>i sieci o bardzo dużej przepustowości, tak aby wszyscy obywatele UE i wszystkie przedsiębiorstwa z UE mogli korzystać z łączności wysokiej jakości, cieszyć się wysokim poziomem ochrony konsumentów oraz większym wyborem innowacyjnych usług cyfrowych.</w:t>
      </w:r>
    </w:p>
    <w:p w14:paraId="2CE1B41E" w14:textId="34E199C1" w:rsidR="4FE16AFA" w:rsidRPr="003A42FB" w:rsidRDefault="4FE16AFA"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Cele ogólne EKŁE to:</w:t>
      </w:r>
    </w:p>
    <w:p w14:paraId="793A357B" w14:textId="2B48A81D" w:rsidR="4FE16AFA" w:rsidRPr="003A42FB" w:rsidRDefault="4FE16AFA" w:rsidP="00C53EAB">
      <w:pPr>
        <w:pStyle w:val="Akapitzlist"/>
        <w:numPr>
          <w:ilvl w:val="0"/>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t>promowanie łączności</w:t>
      </w:r>
      <w:r w:rsidRPr="003A42FB">
        <w:rPr>
          <w:rFonts w:ascii="Times New Roman" w:eastAsia="Times New Roman" w:hAnsi="Times New Roman" w:cs="Times New Roman"/>
          <w:sz w:val="24"/>
          <w:szCs w:val="24"/>
        </w:rPr>
        <w:t xml:space="preserve"> oraz korzystania z sieci o bardzo dużej przepustowości, w tym sieci stacjonarnych, ruchomych i bezprzewodowych przez wszystkich obywateli UE i wszystkie przedsiębiorstwa z UE;</w:t>
      </w:r>
    </w:p>
    <w:p w14:paraId="44EF1034" w14:textId="7E0BF722" w:rsidR="4FE16AFA" w:rsidRPr="003A42FB" w:rsidRDefault="4FE16AFA" w:rsidP="00C53EAB">
      <w:pPr>
        <w:pStyle w:val="Akapitzlist"/>
        <w:numPr>
          <w:ilvl w:val="0"/>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wspieranie interesów obywateli UE przez:</w:t>
      </w:r>
    </w:p>
    <w:p w14:paraId="1E6F314C" w14:textId="145059EF"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umożliwienie czerpania maksymalnych korzyści pod względem możliwości wyboru, ceny i jakości dzięki </w:t>
      </w:r>
      <w:r w:rsidRPr="003A42FB">
        <w:rPr>
          <w:rFonts w:ascii="Times New Roman" w:eastAsia="Times New Roman" w:hAnsi="Times New Roman" w:cs="Times New Roman"/>
          <w:b/>
          <w:bCs/>
          <w:sz w:val="24"/>
          <w:szCs w:val="24"/>
        </w:rPr>
        <w:t>wydajnej konkurencji</w:t>
      </w:r>
    </w:p>
    <w:p w14:paraId="587AEABC" w14:textId="2768BA25"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sz w:val="24"/>
          <w:szCs w:val="24"/>
        </w:rPr>
        <w:t xml:space="preserve">dbanie o </w:t>
      </w:r>
      <w:r w:rsidRPr="003A42FB">
        <w:rPr>
          <w:rFonts w:ascii="Times New Roman" w:eastAsia="Times New Roman" w:hAnsi="Times New Roman" w:cs="Times New Roman"/>
          <w:b/>
          <w:bCs/>
          <w:sz w:val="24"/>
          <w:szCs w:val="24"/>
        </w:rPr>
        <w:t>bezpieczeństwo sieci i usług</w:t>
      </w:r>
    </w:p>
    <w:p w14:paraId="43AC8E25" w14:textId="11CD4D07"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sz w:val="24"/>
          <w:szCs w:val="24"/>
        </w:rPr>
        <w:t xml:space="preserve">zapewnianie </w:t>
      </w:r>
      <w:r w:rsidRPr="003A42FB">
        <w:rPr>
          <w:rFonts w:ascii="Times New Roman" w:eastAsia="Times New Roman" w:hAnsi="Times New Roman" w:cs="Times New Roman"/>
          <w:b/>
          <w:bCs/>
          <w:sz w:val="24"/>
          <w:szCs w:val="24"/>
        </w:rPr>
        <w:t>ochrony konsumentów</w:t>
      </w:r>
      <w:r w:rsidRPr="003A42FB">
        <w:rPr>
          <w:rFonts w:ascii="Times New Roman" w:eastAsia="Times New Roman" w:hAnsi="Times New Roman" w:cs="Times New Roman"/>
          <w:sz w:val="24"/>
          <w:szCs w:val="24"/>
        </w:rPr>
        <w:t xml:space="preserve"> z wykorzystaniem szczególnych regulacji oraz</w:t>
      </w:r>
    </w:p>
    <w:p w14:paraId="63297D4C" w14:textId="5252E058"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sz w:val="24"/>
          <w:szCs w:val="24"/>
        </w:rPr>
        <w:t xml:space="preserve">zaspokajanie </w:t>
      </w:r>
      <w:r w:rsidRPr="003A42FB">
        <w:rPr>
          <w:rFonts w:ascii="Times New Roman" w:eastAsia="Times New Roman" w:hAnsi="Times New Roman" w:cs="Times New Roman"/>
          <w:b/>
          <w:bCs/>
          <w:sz w:val="24"/>
          <w:szCs w:val="24"/>
        </w:rPr>
        <w:t>potrzeb konkretnych grup społecznych</w:t>
      </w:r>
      <w:r w:rsidRPr="003A42FB">
        <w:rPr>
          <w:rFonts w:ascii="Times New Roman" w:eastAsia="Times New Roman" w:hAnsi="Times New Roman" w:cs="Times New Roman"/>
          <w:sz w:val="24"/>
          <w:szCs w:val="24"/>
        </w:rPr>
        <w:t>, zwłaszcza osób z niepełnosprawnościami, osób starszych i osób o szczególnych potrzebach społecznych;</w:t>
      </w:r>
    </w:p>
    <w:p w14:paraId="5FA3558A" w14:textId="38573EF2" w:rsidR="4FE16AFA" w:rsidRPr="003A42FB" w:rsidRDefault="4FE16AFA" w:rsidP="00C53EAB">
      <w:pPr>
        <w:pStyle w:val="Akapitzlist"/>
        <w:numPr>
          <w:ilvl w:val="0"/>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ułatwianie wchodzenia na rynek i </w:t>
      </w:r>
      <w:r w:rsidRPr="003A42FB">
        <w:rPr>
          <w:rFonts w:ascii="Times New Roman" w:eastAsia="Times New Roman" w:hAnsi="Times New Roman" w:cs="Times New Roman"/>
          <w:b/>
          <w:bCs/>
          <w:sz w:val="24"/>
          <w:szCs w:val="24"/>
        </w:rPr>
        <w:t>promowanie konkurencji</w:t>
      </w:r>
      <w:r w:rsidRPr="003A42FB">
        <w:rPr>
          <w:rFonts w:ascii="Times New Roman" w:eastAsia="Times New Roman" w:hAnsi="Times New Roman" w:cs="Times New Roman"/>
          <w:sz w:val="24"/>
          <w:szCs w:val="24"/>
        </w:rPr>
        <w:t xml:space="preserve"> przy dostarczaniu sieci telekomunikacyjnych i urządzeń towarzyszących;</w:t>
      </w:r>
    </w:p>
    <w:p w14:paraId="3DB6958D" w14:textId="5DDF993D" w:rsidR="4FE16AFA" w:rsidRPr="003A42FB" w:rsidRDefault="4FE16AFA" w:rsidP="00C53EAB">
      <w:pPr>
        <w:pStyle w:val="Akapitzlist"/>
        <w:numPr>
          <w:ilvl w:val="0"/>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t>przyczynianie się do rozwoju rynku wewnętrznego</w:t>
      </w:r>
      <w:r w:rsidRPr="003A42FB">
        <w:rPr>
          <w:rFonts w:ascii="Times New Roman" w:eastAsia="Times New Roman" w:hAnsi="Times New Roman" w:cs="Times New Roman"/>
          <w:sz w:val="24"/>
          <w:szCs w:val="24"/>
        </w:rPr>
        <w:t xml:space="preserve"> w obszarze sieci i usług telekomunikacyjnych w UE przez </w:t>
      </w:r>
      <w:r w:rsidRPr="003A42FB">
        <w:rPr>
          <w:rFonts w:ascii="Times New Roman" w:eastAsia="Times New Roman" w:hAnsi="Times New Roman" w:cs="Times New Roman"/>
          <w:b/>
          <w:bCs/>
          <w:sz w:val="24"/>
          <w:szCs w:val="24"/>
        </w:rPr>
        <w:t>opracowywanie wspólnych przepisów i przewidywalnych podejść regulacyjnych</w:t>
      </w:r>
      <w:r w:rsidRPr="003A42FB">
        <w:rPr>
          <w:rFonts w:ascii="Times New Roman" w:eastAsia="Times New Roman" w:hAnsi="Times New Roman" w:cs="Times New Roman"/>
          <w:sz w:val="24"/>
          <w:szCs w:val="24"/>
        </w:rPr>
        <w:t xml:space="preserve"> dotyczących:</w:t>
      </w:r>
    </w:p>
    <w:p w14:paraId="10B9A2FF" w14:textId="3F18D396"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skutecznego, wydajnego i skoordynowanego wykorzystania </w:t>
      </w:r>
      <w:r w:rsidRPr="003A42FB">
        <w:rPr>
          <w:rFonts w:ascii="Times New Roman" w:eastAsia="Times New Roman" w:hAnsi="Times New Roman" w:cs="Times New Roman"/>
          <w:b/>
          <w:bCs/>
          <w:sz w:val="24"/>
          <w:szCs w:val="24"/>
        </w:rPr>
        <w:t>widma radiowego</w:t>
      </w:r>
      <w:r w:rsidRPr="003A42FB">
        <w:rPr>
          <w:rFonts w:ascii="Times New Roman" w:eastAsia="Times New Roman" w:hAnsi="Times New Roman" w:cs="Times New Roman"/>
          <w:sz w:val="24"/>
          <w:szCs w:val="24"/>
        </w:rPr>
        <w:t>;</w:t>
      </w:r>
    </w:p>
    <w:p w14:paraId="6FBF9019" w14:textId="1BDF11AE"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t>otwartych innowacji</w:t>
      </w:r>
      <w:r w:rsidRPr="003A42FB">
        <w:rPr>
          <w:rFonts w:ascii="Times New Roman" w:eastAsia="Times New Roman" w:hAnsi="Times New Roman" w:cs="Times New Roman"/>
          <w:sz w:val="24"/>
          <w:szCs w:val="24"/>
        </w:rPr>
        <w:t>;</w:t>
      </w:r>
    </w:p>
    <w:p w14:paraId="12CDFC28" w14:textId="0D3103D4"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rozwijania </w:t>
      </w:r>
      <w:r w:rsidRPr="003A42FB">
        <w:rPr>
          <w:rFonts w:ascii="Times New Roman" w:eastAsia="Times New Roman" w:hAnsi="Times New Roman" w:cs="Times New Roman"/>
          <w:b/>
          <w:bCs/>
          <w:sz w:val="24"/>
          <w:szCs w:val="24"/>
        </w:rPr>
        <w:t>sieci transeuropejskich</w:t>
      </w:r>
      <w:r w:rsidRPr="003A42FB">
        <w:rPr>
          <w:rFonts w:ascii="Times New Roman" w:eastAsia="Times New Roman" w:hAnsi="Times New Roman" w:cs="Times New Roman"/>
          <w:sz w:val="24"/>
          <w:szCs w:val="24"/>
        </w:rPr>
        <w:t>;</w:t>
      </w:r>
    </w:p>
    <w:p w14:paraId="36455ABB" w14:textId="76E5CF50" w:rsidR="4FE16AFA"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lastRenderedPageBreak/>
        <w:t>dostępności i interoperacyjności ogólnoeuropejskich usług</w:t>
      </w:r>
      <w:r w:rsidRPr="003A42FB">
        <w:rPr>
          <w:rFonts w:ascii="Times New Roman" w:eastAsia="Times New Roman" w:hAnsi="Times New Roman" w:cs="Times New Roman"/>
          <w:sz w:val="24"/>
          <w:szCs w:val="24"/>
        </w:rPr>
        <w:t xml:space="preserve"> oraz</w:t>
      </w:r>
    </w:p>
    <w:p w14:paraId="3D705324" w14:textId="5FFC16BC" w:rsidR="750036A2" w:rsidRPr="003A42FB" w:rsidRDefault="4FE16AFA" w:rsidP="00C53EAB">
      <w:pPr>
        <w:pStyle w:val="Akapitzlist"/>
        <w:numPr>
          <w:ilvl w:val="1"/>
          <w:numId w:val="72"/>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t>połączeń między użytkownikami końcowymi</w:t>
      </w:r>
      <w:r w:rsidRPr="003A42FB">
        <w:rPr>
          <w:rFonts w:ascii="Times New Roman" w:eastAsia="Times New Roman" w:hAnsi="Times New Roman" w:cs="Times New Roman"/>
          <w:sz w:val="24"/>
          <w:szCs w:val="24"/>
        </w:rPr>
        <w:t>.</w:t>
      </w:r>
    </w:p>
    <w:p w14:paraId="4AD31CC8" w14:textId="23125DFC" w:rsidR="07A5ADFD" w:rsidRPr="003A42FB" w:rsidRDefault="07A5ADFD" w:rsidP="20DBCFD5">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Ponadto, należy wskazać, że ustawa Pke z racji tego, że zastępuje ustawę Pt, reguluje również kwestie </w:t>
      </w:r>
      <w:r w:rsidR="6B704D31" w:rsidRPr="003A42FB">
        <w:rPr>
          <w:rFonts w:ascii="Times New Roman" w:eastAsiaTheme="minorEastAsia" w:hAnsi="Times New Roman" w:cs="Times New Roman"/>
          <w:sz w:val="24"/>
          <w:szCs w:val="24"/>
        </w:rPr>
        <w:t>dotychczas w tej ustawie uregulowane</w:t>
      </w:r>
      <w:r w:rsidR="5D7D5831" w:rsidRPr="003A42FB">
        <w:rPr>
          <w:rFonts w:ascii="Times New Roman" w:eastAsiaTheme="minorEastAsia" w:hAnsi="Times New Roman" w:cs="Times New Roman"/>
          <w:sz w:val="24"/>
          <w:szCs w:val="24"/>
        </w:rPr>
        <w:t>,</w:t>
      </w:r>
      <w:r w:rsidR="5B574128" w:rsidRPr="003A42FB">
        <w:rPr>
          <w:rFonts w:ascii="Times New Roman" w:eastAsiaTheme="minorEastAsia" w:hAnsi="Times New Roman" w:cs="Times New Roman"/>
          <w:sz w:val="24"/>
          <w:szCs w:val="24"/>
        </w:rPr>
        <w:t xml:space="preserve"> ale</w:t>
      </w:r>
      <w:r w:rsidR="6B704D31" w:rsidRPr="003A42FB">
        <w:rPr>
          <w:rFonts w:ascii="Times New Roman" w:eastAsiaTheme="minorEastAsia" w:hAnsi="Times New Roman" w:cs="Times New Roman"/>
          <w:sz w:val="24"/>
          <w:szCs w:val="24"/>
        </w:rPr>
        <w:t xml:space="preserve"> niestanowiące zarazem implementacji EKŁE. Należy tu wymienić, m.in. </w:t>
      </w:r>
      <w:r w:rsidR="2D468BE6" w:rsidRPr="003A42FB">
        <w:rPr>
          <w:rFonts w:ascii="Times New Roman" w:eastAsiaTheme="minorEastAsia" w:hAnsi="Times New Roman" w:cs="Times New Roman"/>
          <w:sz w:val="24"/>
          <w:szCs w:val="24"/>
        </w:rPr>
        <w:t>przepisy</w:t>
      </w:r>
      <w:r w:rsidR="6B704D31" w:rsidRPr="003A42FB">
        <w:rPr>
          <w:rFonts w:ascii="Times New Roman" w:eastAsiaTheme="minorEastAsia" w:hAnsi="Times New Roman" w:cs="Times New Roman"/>
          <w:sz w:val="24"/>
          <w:szCs w:val="24"/>
        </w:rPr>
        <w:t xml:space="preserve"> </w:t>
      </w:r>
      <w:r w:rsidR="661282D2" w:rsidRPr="003A42FB">
        <w:rPr>
          <w:rFonts w:ascii="Times New Roman" w:eastAsiaTheme="minorEastAsia" w:hAnsi="Times New Roman" w:cs="Times New Roman"/>
          <w:sz w:val="24"/>
          <w:szCs w:val="24"/>
        </w:rPr>
        <w:t>dotyczące</w:t>
      </w:r>
      <w:r w:rsidR="6B704D31" w:rsidRPr="003A42FB">
        <w:rPr>
          <w:rFonts w:ascii="Times New Roman" w:eastAsiaTheme="minorEastAsia" w:hAnsi="Times New Roman" w:cs="Times New Roman"/>
          <w:sz w:val="24"/>
          <w:szCs w:val="24"/>
        </w:rPr>
        <w:t xml:space="preserve"> tajemni</w:t>
      </w:r>
      <w:r w:rsidR="7DAB8AA7" w:rsidRPr="003A42FB">
        <w:rPr>
          <w:rFonts w:ascii="Times New Roman" w:eastAsiaTheme="minorEastAsia" w:hAnsi="Times New Roman" w:cs="Times New Roman"/>
          <w:sz w:val="24"/>
          <w:szCs w:val="24"/>
        </w:rPr>
        <w:t xml:space="preserve">cy komunikacji </w:t>
      </w:r>
      <w:r w:rsidR="1188E1C2" w:rsidRPr="003A42FB">
        <w:rPr>
          <w:rFonts w:ascii="Times New Roman" w:eastAsiaTheme="minorEastAsia" w:hAnsi="Times New Roman" w:cs="Times New Roman"/>
          <w:sz w:val="24"/>
          <w:szCs w:val="24"/>
        </w:rPr>
        <w:t>elektronicznej</w:t>
      </w:r>
      <w:r w:rsidR="4DBAF9C0" w:rsidRPr="003A42FB">
        <w:rPr>
          <w:rFonts w:ascii="Times New Roman" w:eastAsiaTheme="minorEastAsia" w:hAnsi="Times New Roman" w:cs="Times New Roman"/>
          <w:sz w:val="24"/>
          <w:szCs w:val="24"/>
        </w:rPr>
        <w:t xml:space="preserve">, </w:t>
      </w:r>
      <w:r w:rsidR="5F1E46B7" w:rsidRPr="003A42FB">
        <w:rPr>
          <w:rFonts w:ascii="Times New Roman" w:eastAsiaTheme="minorEastAsia" w:hAnsi="Times New Roman" w:cs="Times New Roman"/>
          <w:sz w:val="24"/>
          <w:szCs w:val="24"/>
        </w:rPr>
        <w:t xml:space="preserve">które stanowią wdrożenie dyrektywy </w:t>
      </w:r>
      <w:r w:rsidR="5F1E46B7" w:rsidRPr="003A42FB">
        <w:rPr>
          <w:rFonts w:ascii="Times New Roman" w:eastAsiaTheme="minorEastAsia" w:hAnsi="Times New Roman" w:cs="Times New Roman"/>
          <w:caps/>
          <w:sz w:val="24"/>
          <w:szCs w:val="24"/>
        </w:rPr>
        <w:t xml:space="preserve">2002/58/WE </w:t>
      </w:r>
      <w:r w:rsidR="1D44C4A1" w:rsidRPr="003A42FB">
        <w:rPr>
          <w:rFonts w:ascii="Times New Roman" w:eastAsiaTheme="minorEastAsia" w:hAnsi="Times New Roman" w:cs="Times New Roman"/>
          <w:caps/>
          <w:sz w:val="24"/>
          <w:szCs w:val="24"/>
        </w:rPr>
        <w:t>P</w:t>
      </w:r>
      <w:r w:rsidR="1D44C4A1" w:rsidRPr="003A42FB">
        <w:rPr>
          <w:rFonts w:ascii="Times New Roman" w:eastAsiaTheme="minorEastAsia" w:hAnsi="Times New Roman" w:cs="Times New Roman"/>
          <w:sz w:val="24"/>
          <w:szCs w:val="24"/>
        </w:rPr>
        <w:t>arlamentu Europejskiego i Rady z dnia 12 lipca 2002 r. dotyczącej przetwarzania danych osobowych i ochrony prywatności w sektorze łączności elektronicznej (dyrektywa o prywatności i łączności elektronicznej) oraz kwestie wymagań dla u</w:t>
      </w:r>
      <w:r w:rsidR="77F466F3" w:rsidRPr="003A42FB">
        <w:rPr>
          <w:rFonts w:ascii="Times New Roman" w:eastAsiaTheme="minorEastAsia" w:hAnsi="Times New Roman" w:cs="Times New Roman"/>
          <w:sz w:val="24"/>
          <w:szCs w:val="24"/>
        </w:rPr>
        <w:t>rządzeń radiowych</w:t>
      </w:r>
      <w:r w:rsidR="08A2A980" w:rsidRPr="003A42FB">
        <w:rPr>
          <w:rFonts w:ascii="Times New Roman" w:eastAsiaTheme="minorEastAsia" w:hAnsi="Times New Roman" w:cs="Times New Roman"/>
          <w:sz w:val="24"/>
          <w:szCs w:val="24"/>
        </w:rPr>
        <w:t>, które wdrażają przepisy dyrektywy Parlamentu Europejskiego i Rady 2014/53/UE z dnia 16 kwietnia 2014 r. w sprawie harmonizacji ustawodawstw państw członkowskich dotyczących udostępniania na rynku urządzeń radiowych i uchylając</w:t>
      </w:r>
      <w:r w:rsidR="192C6061" w:rsidRPr="003A42FB">
        <w:rPr>
          <w:rFonts w:ascii="Times New Roman" w:eastAsiaTheme="minorEastAsia" w:hAnsi="Times New Roman" w:cs="Times New Roman"/>
          <w:sz w:val="24"/>
          <w:szCs w:val="24"/>
        </w:rPr>
        <w:t>ej</w:t>
      </w:r>
      <w:r w:rsidR="08A2A980" w:rsidRPr="003A42FB">
        <w:rPr>
          <w:rFonts w:ascii="Times New Roman" w:eastAsiaTheme="minorEastAsia" w:hAnsi="Times New Roman" w:cs="Times New Roman"/>
          <w:sz w:val="24"/>
          <w:szCs w:val="24"/>
        </w:rPr>
        <w:t xml:space="preserve"> dyrektywę 1999/5/WE.</w:t>
      </w:r>
      <w:r w:rsidR="77F466F3" w:rsidRPr="003A42FB">
        <w:rPr>
          <w:rFonts w:ascii="Times New Roman" w:eastAsiaTheme="minorEastAsia" w:hAnsi="Times New Roman" w:cs="Times New Roman"/>
          <w:sz w:val="24"/>
          <w:szCs w:val="24"/>
        </w:rPr>
        <w:t xml:space="preserve"> </w:t>
      </w:r>
    </w:p>
    <w:p w14:paraId="3EC7AAEE" w14:textId="77777777" w:rsidR="00AF7579" w:rsidRPr="003A42FB" w:rsidRDefault="00AF757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Celem zwiększenia przejrzystości przepisów i ich uporządkowania przyjęto nową systematykę ustawy, która w dużej mierze bazuje na systematyce przyjętej w EKŁE. Przepisy ustawy zostały pogrupowane w oddziały, rozdziały, te z kolei w następujące działy</w:t>
      </w:r>
      <w:r w:rsidR="002D4BA3" w:rsidRPr="003A42FB">
        <w:rPr>
          <w:rFonts w:ascii="Times New Roman" w:eastAsiaTheme="minorEastAsia" w:hAnsi="Times New Roman" w:cs="Times New Roman"/>
          <w:sz w:val="24"/>
          <w:szCs w:val="24"/>
        </w:rPr>
        <w:t xml:space="preserve"> według następującej systematyki</w:t>
      </w:r>
      <w:r w:rsidRPr="003A42FB">
        <w:rPr>
          <w:rFonts w:ascii="Times New Roman" w:eastAsiaTheme="minorEastAsia" w:hAnsi="Times New Roman" w:cs="Times New Roman"/>
          <w:sz w:val="24"/>
          <w:szCs w:val="24"/>
        </w:rPr>
        <w:t>:</w:t>
      </w:r>
    </w:p>
    <w:p w14:paraId="4CDC87BE" w14:textId="5BA51D8A" w:rsidR="003D5944" w:rsidRPr="003A42FB" w:rsidRDefault="0066128E" w:rsidP="00C53EAB">
      <w:p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DZIAŁ I. Postanowienia ogólne (w tym </w:t>
      </w:r>
      <w:r w:rsidR="003D5944" w:rsidRPr="003A42FB">
        <w:rPr>
          <w:rFonts w:ascii="Times New Roman" w:eastAsiaTheme="minorEastAsia" w:hAnsi="Times New Roman" w:cs="Times New Roman"/>
          <w:sz w:val="24"/>
          <w:szCs w:val="24"/>
        </w:rPr>
        <w:t>wpis do rejestru przedsiębiorców telekomunikacyjnych i</w:t>
      </w:r>
      <w:r w:rsidR="003D6878" w:rsidRPr="003A42FB">
        <w:rPr>
          <w:rFonts w:ascii="Times New Roman" w:eastAsiaTheme="minorEastAsia" w:hAnsi="Times New Roman" w:cs="Times New Roman"/>
          <w:sz w:val="24"/>
          <w:szCs w:val="24"/>
        </w:rPr>
        <w:t xml:space="preserve"> rejestru</w:t>
      </w:r>
      <w:r w:rsidR="003D5944" w:rsidRPr="003A42FB">
        <w:rPr>
          <w:rFonts w:ascii="Times New Roman" w:eastAsiaTheme="minorEastAsia" w:hAnsi="Times New Roman" w:cs="Times New Roman"/>
          <w:sz w:val="24"/>
          <w:szCs w:val="24"/>
        </w:rPr>
        <w:t xml:space="preserve"> jednostek samorządu terytorialnego, obowiązki informacyjne i sprawozdawcze przedsiębiorców, opłaty, postępowania konsultacyjne i konsolidacyjne,</w:t>
      </w:r>
      <w:r w:rsidR="003D6878" w:rsidRPr="003A42FB">
        <w:rPr>
          <w:rFonts w:ascii="Times New Roman" w:eastAsiaTheme="minorEastAsia" w:hAnsi="Times New Roman" w:cs="Times New Roman"/>
          <w:sz w:val="24"/>
          <w:szCs w:val="24"/>
        </w:rPr>
        <w:t xml:space="preserve"> </w:t>
      </w:r>
      <w:r w:rsidR="6378AB47" w:rsidRPr="003A42FB">
        <w:rPr>
          <w:rFonts w:ascii="Times New Roman" w:eastAsiaTheme="minorEastAsia" w:hAnsi="Times New Roman" w:cs="Times New Roman"/>
          <w:sz w:val="24"/>
          <w:szCs w:val="24"/>
        </w:rPr>
        <w:t>obowiązki na rzecz obronności, bezpieczeństwa państwa oraz bezpieczeństwa i porządku publicznego</w:t>
      </w:r>
      <w:r w:rsidR="00325FFB">
        <w:rPr>
          <w:rFonts w:ascii="Times New Roman" w:eastAsiaTheme="minorEastAsia" w:hAnsi="Times New Roman" w:cs="Times New Roman"/>
          <w:sz w:val="24"/>
          <w:szCs w:val="24"/>
        </w:rPr>
        <w:t>, a także regulacje dotyczące usługi publicznej o regulowanym dostępie PRS</w:t>
      </w:r>
      <w:r w:rsidR="003D5944" w:rsidRPr="003A42FB">
        <w:rPr>
          <w:rFonts w:ascii="Times New Roman" w:eastAsiaTheme="minorEastAsia" w:hAnsi="Times New Roman" w:cs="Times New Roman"/>
          <w:sz w:val="24"/>
          <w:szCs w:val="24"/>
        </w:rPr>
        <w:t>)</w:t>
      </w:r>
    </w:p>
    <w:p w14:paraId="753B4222" w14:textId="77777777" w:rsidR="003D5944" w:rsidRPr="003A42FB" w:rsidRDefault="003D5944" w:rsidP="00C53EAB">
      <w:p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DZIAŁ II. Gospodarowanie częstotliwościami i </w:t>
      </w:r>
      <w:r w:rsidR="003D6878" w:rsidRPr="003A42FB">
        <w:rPr>
          <w:rFonts w:ascii="Times New Roman" w:eastAsiaTheme="minorEastAsia" w:hAnsi="Times New Roman" w:cs="Times New Roman"/>
          <w:sz w:val="24"/>
          <w:szCs w:val="24"/>
        </w:rPr>
        <w:t>zasobami numeracji</w:t>
      </w:r>
      <w:r w:rsidR="003431EC" w:rsidRPr="003A42FB">
        <w:rPr>
          <w:rFonts w:ascii="Times New Roman" w:eastAsiaTheme="minorEastAsia" w:hAnsi="Times New Roman" w:cs="Times New Roman"/>
          <w:sz w:val="24"/>
          <w:szCs w:val="24"/>
        </w:rPr>
        <w:t xml:space="preserve"> (w tym gospodarowanie częstotliwościami, używanie i obsługa urządzeń radiowych i zarządzanie zasobami numeracji)</w:t>
      </w:r>
    </w:p>
    <w:p w14:paraId="65EF56AD" w14:textId="728D430D" w:rsidR="00E97D0F" w:rsidRPr="003A42FB" w:rsidRDefault="003D5944" w:rsidP="00E97D0F">
      <w:p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DZIAŁ III. Dostęp</w:t>
      </w:r>
      <w:r w:rsidR="00963CAE">
        <w:rPr>
          <w:rFonts w:ascii="Times New Roman" w:eastAsiaTheme="minorEastAsia" w:hAnsi="Times New Roman" w:cs="Times New Roman"/>
          <w:sz w:val="24"/>
          <w:szCs w:val="24"/>
        </w:rPr>
        <w:t xml:space="preserve"> telekomunikacyjny</w:t>
      </w:r>
      <w:r w:rsidRPr="003A42FB">
        <w:rPr>
          <w:rFonts w:ascii="Times New Roman" w:eastAsiaTheme="minorEastAsia" w:hAnsi="Times New Roman" w:cs="Times New Roman"/>
          <w:sz w:val="24"/>
          <w:szCs w:val="24"/>
        </w:rPr>
        <w:t xml:space="preserve"> (w tym</w:t>
      </w:r>
      <w:r w:rsidR="00073737" w:rsidRPr="003A42FB">
        <w:rPr>
          <w:rFonts w:ascii="Times New Roman" w:eastAsiaTheme="minorEastAsia" w:hAnsi="Times New Roman" w:cs="Times New Roman"/>
          <w:sz w:val="24"/>
          <w:szCs w:val="24"/>
        </w:rPr>
        <w:t xml:space="preserve"> zasady zapewnienia dostępu, </w:t>
      </w:r>
      <w:r w:rsidRPr="003A42FB">
        <w:rPr>
          <w:rFonts w:ascii="Times New Roman" w:eastAsiaTheme="minorEastAsia" w:hAnsi="Times New Roman" w:cs="Times New Roman"/>
          <w:sz w:val="24"/>
          <w:szCs w:val="24"/>
        </w:rPr>
        <w:t>dostęp symetryczny, koordynacja dostępu,</w:t>
      </w:r>
      <w:r w:rsidR="003431EC" w:rsidRPr="003A42FB">
        <w:rPr>
          <w:rFonts w:ascii="Times New Roman" w:eastAsiaTheme="minorEastAsia" w:hAnsi="Times New Roman" w:cs="Times New Roman"/>
          <w:sz w:val="24"/>
          <w:szCs w:val="24"/>
        </w:rPr>
        <w:t xml:space="preserve"> i </w:t>
      </w:r>
      <w:r w:rsidRPr="003A42FB">
        <w:rPr>
          <w:rFonts w:ascii="Times New Roman" w:eastAsiaTheme="minorEastAsia" w:hAnsi="Times New Roman" w:cs="Times New Roman"/>
          <w:sz w:val="24"/>
          <w:szCs w:val="24"/>
        </w:rPr>
        <w:t xml:space="preserve">decyzje </w:t>
      </w:r>
      <w:r w:rsidR="00781312">
        <w:rPr>
          <w:rFonts w:ascii="Times New Roman" w:eastAsiaTheme="minorEastAsia" w:hAnsi="Times New Roman" w:cs="Times New Roman"/>
          <w:sz w:val="24"/>
          <w:szCs w:val="24"/>
        </w:rPr>
        <w:t>obszarowe</w:t>
      </w:r>
      <w:r w:rsidR="00781312" w:rsidRPr="003A42FB">
        <w:rPr>
          <w:rFonts w:ascii="Times New Roman" w:eastAsiaTheme="minorEastAsia" w:hAnsi="Times New Roman" w:cs="Times New Roman"/>
          <w:sz w:val="24"/>
          <w:szCs w:val="24"/>
        </w:rPr>
        <w:t xml:space="preserve"> </w:t>
      </w:r>
      <w:r w:rsidR="00073737" w:rsidRPr="003A42FB">
        <w:rPr>
          <w:rFonts w:ascii="Times New Roman" w:eastAsiaTheme="minorEastAsia" w:hAnsi="Times New Roman" w:cs="Times New Roman"/>
          <w:sz w:val="24"/>
          <w:szCs w:val="24"/>
        </w:rPr>
        <w:t>w zakresie dostępu</w:t>
      </w:r>
      <w:r w:rsidR="00BB2DD7" w:rsidRPr="003A42FB">
        <w:rPr>
          <w:rFonts w:ascii="Times New Roman" w:eastAsiaTheme="minorEastAsia" w:hAnsi="Times New Roman" w:cs="Times New Roman"/>
          <w:sz w:val="24"/>
          <w:szCs w:val="24"/>
        </w:rPr>
        <w:t>)</w:t>
      </w:r>
    </w:p>
    <w:p w14:paraId="7AD274BB" w14:textId="3260D099" w:rsidR="00E97D0F" w:rsidRPr="003A42FB" w:rsidRDefault="00BB2DD7" w:rsidP="00E97D0F">
      <w:pPr>
        <w:spacing w:after="120" w:line="240" w:lineRule="auto"/>
        <w:ind w:left="567"/>
        <w:jc w:val="both"/>
        <w:rPr>
          <w:rFonts w:ascii="Times New Roman" w:hAnsi="Times New Roman" w:cs="Times New Roman"/>
          <w:bCs/>
          <w:sz w:val="24"/>
          <w:szCs w:val="24"/>
        </w:rPr>
      </w:pPr>
      <w:r w:rsidRPr="003A42FB">
        <w:rPr>
          <w:rFonts w:ascii="Times New Roman" w:hAnsi="Times New Roman" w:cs="Times New Roman"/>
          <w:bCs/>
          <w:sz w:val="24"/>
          <w:szCs w:val="24"/>
        </w:rPr>
        <w:t xml:space="preserve">DZIAŁ IV. Regulowanie rynku </w:t>
      </w:r>
      <w:r w:rsidR="003431EC" w:rsidRPr="003A42FB">
        <w:rPr>
          <w:rFonts w:ascii="Times New Roman" w:hAnsi="Times New Roman" w:cs="Times New Roman"/>
          <w:bCs/>
          <w:sz w:val="24"/>
          <w:szCs w:val="24"/>
        </w:rPr>
        <w:t>komunikacji elektronicznej</w:t>
      </w:r>
      <w:r w:rsidRPr="003A42FB">
        <w:rPr>
          <w:rFonts w:ascii="Times New Roman" w:hAnsi="Times New Roman" w:cs="Times New Roman"/>
          <w:bCs/>
          <w:sz w:val="24"/>
          <w:szCs w:val="24"/>
        </w:rPr>
        <w:t xml:space="preserve"> (w tym analiza rynków, nakładanie obowiązków regulacyjnych, obowiązki na rynkach hurtowych, ograniczenia na rynkach detalicznych, </w:t>
      </w:r>
      <w:r w:rsidR="00325FFB" w:rsidRPr="003A42FB">
        <w:rPr>
          <w:rFonts w:ascii="Times New Roman" w:hAnsi="Times New Roman" w:cs="Times New Roman"/>
          <w:bCs/>
          <w:sz w:val="24"/>
          <w:szCs w:val="24"/>
        </w:rPr>
        <w:t xml:space="preserve">szczegółowe warunki </w:t>
      </w:r>
      <w:r w:rsidR="00325FFB">
        <w:rPr>
          <w:rFonts w:ascii="Times New Roman" w:hAnsi="Times New Roman" w:cs="Times New Roman"/>
          <w:bCs/>
          <w:sz w:val="24"/>
          <w:szCs w:val="24"/>
        </w:rPr>
        <w:t xml:space="preserve">regulacyjne, </w:t>
      </w:r>
      <w:r w:rsidRPr="003A42FB">
        <w:rPr>
          <w:rFonts w:ascii="Times New Roman" w:hAnsi="Times New Roman" w:cs="Times New Roman"/>
          <w:bCs/>
          <w:sz w:val="24"/>
          <w:szCs w:val="24"/>
        </w:rPr>
        <w:t>szczegółowe warunki inwestowania</w:t>
      </w:r>
      <w:r w:rsidR="003431EC" w:rsidRPr="003A42FB">
        <w:rPr>
          <w:rFonts w:ascii="Times New Roman" w:hAnsi="Times New Roman" w:cs="Times New Roman"/>
          <w:bCs/>
          <w:sz w:val="24"/>
          <w:szCs w:val="24"/>
        </w:rPr>
        <w:t xml:space="preserve"> oraz rachunkowość regulacyjna i kalkulacja kosztów</w:t>
      </w:r>
      <w:r w:rsidRPr="003A42FB">
        <w:rPr>
          <w:rFonts w:ascii="Times New Roman" w:hAnsi="Times New Roman" w:cs="Times New Roman"/>
          <w:bCs/>
          <w:sz w:val="24"/>
          <w:szCs w:val="24"/>
        </w:rPr>
        <w:t>)</w:t>
      </w:r>
    </w:p>
    <w:p w14:paraId="7576C8F3" w14:textId="77777777" w:rsidR="00E97D0F" w:rsidRPr="003A42FB" w:rsidRDefault="00BB2DD7" w:rsidP="00E97D0F">
      <w:p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DZIAŁ V. Operator multipleksu i dostęp do multipleksu </w:t>
      </w:r>
    </w:p>
    <w:p w14:paraId="6DA4D7E9" w14:textId="77777777" w:rsidR="00E97D0F" w:rsidRPr="003A42FB" w:rsidRDefault="00BB2DD7" w:rsidP="00E97D0F">
      <w:pPr>
        <w:spacing w:after="120" w:line="240" w:lineRule="auto"/>
        <w:ind w:left="567"/>
        <w:jc w:val="both"/>
        <w:rPr>
          <w:rFonts w:ascii="Times New Roman" w:hAnsi="Times New Roman" w:cs="Times New Roman"/>
          <w:bCs/>
          <w:sz w:val="24"/>
          <w:szCs w:val="24"/>
        </w:rPr>
      </w:pPr>
      <w:r w:rsidRPr="003A42FB">
        <w:rPr>
          <w:rFonts w:ascii="Times New Roman" w:hAnsi="Times New Roman" w:cs="Times New Roman"/>
          <w:bCs/>
          <w:sz w:val="24"/>
          <w:szCs w:val="24"/>
        </w:rPr>
        <w:t>DZIAŁ VI. Urządzenia radiowe</w:t>
      </w:r>
    </w:p>
    <w:p w14:paraId="70D74011" w14:textId="30524595" w:rsidR="00BB2DD7" w:rsidRPr="003A42FB" w:rsidRDefault="00BB2DD7" w:rsidP="00E97D0F">
      <w:pPr>
        <w:spacing w:after="120" w:line="240" w:lineRule="auto"/>
        <w:ind w:left="567"/>
        <w:jc w:val="both"/>
        <w:rPr>
          <w:rFonts w:ascii="Times New Roman" w:hAnsi="Times New Roman" w:cs="Times New Roman"/>
          <w:bCs/>
          <w:sz w:val="24"/>
          <w:szCs w:val="24"/>
        </w:rPr>
      </w:pPr>
      <w:r w:rsidRPr="003A42FB">
        <w:rPr>
          <w:rFonts w:ascii="Times New Roman" w:hAnsi="Times New Roman" w:cs="Times New Roman"/>
          <w:bCs/>
          <w:sz w:val="24"/>
          <w:szCs w:val="24"/>
        </w:rPr>
        <w:t xml:space="preserve">DZIAŁ VII. </w:t>
      </w:r>
      <w:r w:rsidR="00325FFB">
        <w:rPr>
          <w:rFonts w:ascii="Times New Roman" w:hAnsi="Times New Roman" w:cs="Times New Roman"/>
          <w:bCs/>
          <w:sz w:val="24"/>
          <w:szCs w:val="24"/>
        </w:rPr>
        <w:t>Publicznie dostępne u</w:t>
      </w:r>
      <w:r w:rsidRPr="003A42FB">
        <w:rPr>
          <w:rFonts w:ascii="Times New Roman" w:hAnsi="Times New Roman" w:cs="Times New Roman"/>
          <w:bCs/>
          <w:sz w:val="24"/>
          <w:szCs w:val="24"/>
        </w:rPr>
        <w:t xml:space="preserve">sługi </w:t>
      </w:r>
      <w:r w:rsidR="00325FFB">
        <w:rPr>
          <w:rFonts w:ascii="Times New Roman" w:hAnsi="Times New Roman" w:cs="Times New Roman"/>
          <w:bCs/>
          <w:sz w:val="24"/>
          <w:szCs w:val="24"/>
        </w:rPr>
        <w:t xml:space="preserve">komunikacji elektronicznej </w:t>
      </w:r>
      <w:r w:rsidRPr="003A42FB">
        <w:rPr>
          <w:rFonts w:ascii="Times New Roman" w:hAnsi="Times New Roman" w:cs="Times New Roman"/>
          <w:bCs/>
          <w:sz w:val="24"/>
          <w:szCs w:val="24"/>
        </w:rPr>
        <w:t xml:space="preserve">(w tym prawa użytkowników końcowych, regulacje dotyczące usługi powszechnej, </w:t>
      </w:r>
      <w:r w:rsidR="003431EC" w:rsidRPr="003A42FB">
        <w:rPr>
          <w:rFonts w:ascii="Times New Roman" w:hAnsi="Times New Roman" w:cs="Times New Roman"/>
          <w:bCs/>
          <w:sz w:val="24"/>
          <w:szCs w:val="24"/>
        </w:rPr>
        <w:t xml:space="preserve">odpowiedzialności za niewykonanie lub nienależyte wykonanie usług komunikacji elektronicznej, </w:t>
      </w:r>
      <w:r w:rsidRPr="003A42FB">
        <w:rPr>
          <w:rFonts w:ascii="Times New Roman" w:hAnsi="Times New Roman" w:cs="Times New Roman"/>
          <w:bCs/>
          <w:sz w:val="24"/>
          <w:szCs w:val="24"/>
        </w:rPr>
        <w:t xml:space="preserve">tajemnicy komunikacji elektronicznej, a także kwestie cyfrowych transmisji radiofonicznych i telewizyjnych) </w:t>
      </w:r>
    </w:p>
    <w:p w14:paraId="02EB378F" w14:textId="1E3C88FD" w:rsidR="00BB2DD7" w:rsidRPr="005F69BF" w:rsidRDefault="00146F5E" w:rsidP="00C157D3">
      <w:pPr>
        <w:pStyle w:val="ROZDZODDZPRZEDMprzedmiotregulacjirozdziauluboddziau"/>
        <w:spacing w:before="0" w:after="120" w:line="240" w:lineRule="auto"/>
        <w:ind w:left="567"/>
        <w:jc w:val="both"/>
        <w:rPr>
          <w:rFonts w:ascii="Times New Roman" w:hAnsi="Times New Roman"/>
          <w:b w:val="0"/>
          <w:lang w:eastAsia="en-US"/>
        </w:rPr>
      </w:pPr>
      <w:r w:rsidRPr="003A42FB">
        <w:rPr>
          <w:rFonts w:ascii="Times New Roman" w:hAnsi="Times New Roman"/>
          <w:b w:val="0"/>
          <w:bCs w:val="0"/>
          <w:lang w:eastAsia="en-US"/>
        </w:rPr>
        <w:t>DZIAŁ</w:t>
      </w:r>
      <w:r w:rsidR="00BB2DD7" w:rsidRPr="003A42FB">
        <w:rPr>
          <w:rFonts w:ascii="Times New Roman" w:hAnsi="Times New Roman"/>
          <w:b w:val="0"/>
          <w:bCs w:val="0"/>
          <w:lang w:eastAsia="en-US"/>
        </w:rPr>
        <w:t xml:space="preserve"> </w:t>
      </w:r>
      <w:r w:rsidR="00BB2DD7" w:rsidRPr="003A42FB">
        <w:rPr>
          <w:rFonts w:ascii="Times New Roman" w:hAnsi="Times New Roman"/>
          <w:b w:val="0"/>
          <w:bCs w:val="0"/>
        </w:rPr>
        <w:t>VIII</w:t>
      </w:r>
      <w:r w:rsidR="00BB2DD7" w:rsidRPr="003A42FB">
        <w:rPr>
          <w:rFonts w:ascii="Times New Roman" w:hAnsi="Times New Roman"/>
          <w:b w:val="0"/>
          <w:bCs w:val="0"/>
          <w:lang w:eastAsia="en-US"/>
        </w:rPr>
        <w:t xml:space="preserve">. </w:t>
      </w:r>
      <w:r w:rsidR="003431EC" w:rsidRPr="003A42FB">
        <w:rPr>
          <w:rFonts w:ascii="Times New Roman" w:hAnsi="Times New Roman"/>
          <w:b w:val="0"/>
          <w:bCs w:val="0"/>
          <w:lang w:eastAsia="en-US"/>
        </w:rPr>
        <w:t xml:space="preserve">Organy właściwe w sprawach komunikacji elektronicznej </w:t>
      </w:r>
      <w:r w:rsidR="00C157D3" w:rsidRPr="00730D27">
        <w:rPr>
          <w:rFonts w:cs="Times"/>
          <w:b w:val="0"/>
          <w:bCs w:val="0"/>
        </w:rPr>
        <w:t>oraz postępowanie przed Prezesem UKE</w:t>
      </w:r>
      <w:r w:rsidR="00C157D3" w:rsidRPr="003A42FB" w:rsidDel="00C157D3">
        <w:rPr>
          <w:rFonts w:ascii="Times New Roman" w:hAnsi="Times New Roman"/>
          <w:b w:val="0"/>
          <w:bCs w:val="0"/>
          <w:lang w:eastAsia="en-US"/>
        </w:rPr>
        <w:t xml:space="preserve"> </w:t>
      </w:r>
      <w:r w:rsidR="00CE34E9" w:rsidRPr="005F69BF">
        <w:rPr>
          <w:rFonts w:ascii="Times New Roman" w:hAnsi="Times New Roman"/>
          <w:b w:val="0"/>
          <w:lang w:eastAsia="en-US"/>
        </w:rPr>
        <w:t>DZIAŁ IX. Przepisy karne i kary pieniężne</w:t>
      </w:r>
    </w:p>
    <w:p w14:paraId="28324290" w14:textId="24267AC8" w:rsidR="33487D30" w:rsidRPr="003A42FB" w:rsidRDefault="6DE9891D">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lang w:eastAsia="en-US"/>
        </w:rPr>
        <w:t xml:space="preserve">Projektodawca wskazuje, że zgodnie z zasadami prawidłowej legislacji, </w:t>
      </w:r>
      <w:r w:rsidR="71915B6F" w:rsidRPr="003A42FB">
        <w:rPr>
          <w:rFonts w:ascii="Times New Roman" w:hAnsi="Times New Roman" w:cs="Times New Roman"/>
          <w:szCs w:val="24"/>
          <w:lang w:eastAsia="en-US"/>
        </w:rPr>
        <w:t xml:space="preserve">posługuje się w większości </w:t>
      </w:r>
      <w:r w:rsidR="171AC135" w:rsidRPr="003A42FB">
        <w:rPr>
          <w:rFonts w:ascii="Times New Roman" w:hAnsi="Times New Roman" w:cs="Times New Roman"/>
          <w:szCs w:val="24"/>
          <w:lang w:eastAsia="en-US"/>
        </w:rPr>
        <w:t>przepisów</w:t>
      </w:r>
      <w:r w:rsidR="71915B6F" w:rsidRPr="003A42FB">
        <w:rPr>
          <w:rFonts w:ascii="Times New Roman" w:hAnsi="Times New Roman" w:cs="Times New Roman"/>
          <w:szCs w:val="24"/>
          <w:lang w:eastAsia="en-US"/>
        </w:rPr>
        <w:t xml:space="preserve"> liczbą pojedynczą celem zapobiegnięcia ewentualnym wątpliwościom związanym z określeniem </w:t>
      </w:r>
      <w:r w:rsidR="08480ABE" w:rsidRPr="003A42FB">
        <w:rPr>
          <w:rFonts w:ascii="Times New Roman" w:hAnsi="Times New Roman" w:cs="Times New Roman"/>
          <w:szCs w:val="24"/>
          <w:lang w:eastAsia="en-US"/>
        </w:rPr>
        <w:t>przedmiotu przepisu, do którego odnosi się czynność czasownikowa</w:t>
      </w:r>
      <w:r w:rsidR="09C3E750" w:rsidRPr="003A42FB">
        <w:rPr>
          <w:rFonts w:ascii="Times New Roman" w:hAnsi="Times New Roman" w:cs="Times New Roman"/>
          <w:szCs w:val="24"/>
          <w:lang w:eastAsia="en-US"/>
        </w:rPr>
        <w:t xml:space="preserve">, przyjmując, że </w:t>
      </w:r>
      <w:r w:rsidR="5C18FB74" w:rsidRPr="003A42FB">
        <w:rPr>
          <w:rFonts w:ascii="Times New Roman" w:hAnsi="Times New Roman" w:cs="Times New Roman"/>
          <w:szCs w:val="24"/>
          <w:lang w:eastAsia="en-US"/>
        </w:rPr>
        <w:t>jego</w:t>
      </w:r>
      <w:r w:rsidR="004E7F03" w:rsidRPr="003A42FB">
        <w:rPr>
          <w:rFonts w:ascii="Times New Roman" w:hAnsi="Times New Roman" w:cs="Times New Roman"/>
          <w:szCs w:val="24"/>
          <w:lang w:eastAsia="en-US"/>
        </w:rPr>
        <w:t xml:space="preserve"> </w:t>
      </w:r>
      <w:r w:rsidR="09C3E750" w:rsidRPr="003A42FB">
        <w:rPr>
          <w:rFonts w:ascii="Times New Roman" w:hAnsi="Times New Roman" w:cs="Times New Roman"/>
          <w:szCs w:val="24"/>
          <w:lang w:eastAsia="en-US"/>
        </w:rPr>
        <w:t xml:space="preserve">użycie w liczbie </w:t>
      </w:r>
      <w:r w:rsidR="586FB9D5" w:rsidRPr="003A42FB">
        <w:rPr>
          <w:rFonts w:ascii="Times New Roman" w:hAnsi="Times New Roman" w:cs="Times New Roman"/>
          <w:szCs w:val="24"/>
          <w:lang w:eastAsia="en-US"/>
        </w:rPr>
        <w:t>pojedynczej</w:t>
      </w:r>
      <w:r w:rsidR="441128D1" w:rsidRPr="003A42FB">
        <w:rPr>
          <w:rFonts w:ascii="Times New Roman" w:hAnsi="Times New Roman" w:cs="Times New Roman"/>
          <w:szCs w:val="24"/>
          <w:lang w:eastAsia="en-US"/>
        </w:rPr>
        <w:t xml:space="preserve"> nie stanowi limitu </w:t>
      </w:r>
      <w:r w:rsidR="7865C291" w:rsidRPr="003A42FB">
        <w:rPr>
          <w:rFonts w:ascii="Times New Roman" w:hAnsi="Times New Roman" w:cs="Times New Roman"/>
          <w:szCs w:val="24"/>
          <w:lang w:eastAsia="en-US"/>
        </w:rPr>
        <w:t>liczbowego i</w:t>
      </w:r>
      <w:r w:rsidR="688E5C33" w:rsidRPr="003A42FB">
        <w:rPr>
          <w:rFonts w:ascii="Times New Roman" w:hAnsi="Times New Roman" w:cs="Times New Roman"/>
          <w:szCs w:val="24"/>
          <w:lang w:eastAsia="en-US"/>
        </w:rPr>
        <w:t xml:space="preserve"> pozwala także na zastosowanie przepisów do liczby mnogiej</w:t>
      </w:r>
      <w:r w:rsidR="41A2086D" w:rsidRPr="003A42FB">
        <w:rPr>
          <w:rFonts w:ascii="Times New Roman" w:hAnsi="Times New Roman" w:cs="Times New Roman"/>
          <w:szCs w:val="24"/>
          <w:lang w:eastAsia="en-US"/>
        </w:rPr>
        <w:t>, jeżeli stoi za tym racjonalna przesłanka</w:t>
      </w:r>
      <w:r w:rsidR="688E5C33" w:rsidRPr="003A42FB">
        <w:rPr>
          <w:rFonts w:ascii="Times New Roman" w:hAnsi="Times New Roman" w:cs="Times New Roman"/>
          <w:szCs w:val="24"/>
          <w:lang w:eastAsia="en-US"/>
        </w:rPr>
        <w:t xml:space="preserve">. </w:t>
      </w:r>
      <w:r w:rsidR="7D54C81D" w:rsidRPr="003A42FB">
        <w:rPr>
          <w:rFonts w:ascii="Times New Roman" w:hAnsi="Times New Roman" w:cs="Times New Roman"/>
          <w:szCs w:val="24"/>
          <w:lang w:eastAsia="en-US"/>
        </w:rPr>
        <w:lastRenderedPageBreak/>
        <w:t>N</w:t>
      </w:r>
      <w:r w:rsidR="7D54C81D" w:rsidRPr="003A42FB">
        <w:rPr>
          <w:rFonts w:ascii="Times New Roman" w:hAnsi="Times New Roman" w:cs="Times New Roman"/>
          <w:szCs w:val="24"/>
        </w:rPr>
        <w:t xml:space="preserve">iemniej jednak w niektórych wypadkach charakter przedmiotu </w:t>
      </w:r>
      <w:r w:rsidR="7DDB7B89" w:rsidRPr="003A42FB">
        <w:rPr>
          <w:rFonts w:ascii="Times New Roman" w:hAnsi="Times New Roman" w:cs="Times New Roman"/>
          <w:szCs w:val="24"/>
        </w:rPr>
        <w:t>uzasadniał</w:t>
      </w:r>
      <w:r w:rsidR="7D54C81D" w:rsidRPr="003A42FB">
        <w:rPr>
          <w:rFonts w:ascii="Times New Roman" w:hAnsi="Times New Roman" w:cs="Times New Roman"/>
          <w:szCs w:val="24"/>
        </w:rPr>
        <w:t xml:space="preserve"> użycie</w:t>
      </w:r>
      <w:r w:rsidR="648260C9" w:rsidRPr="003A42FB">
        <w:rPr>
          <w:rFonts w:ascii="Times New Roman" w:hAnsi="Times New Roman" w:cs="Times New Roman"/>
          <w:szCs w:val="24"/>
        </w:rPr>
        <w:t xml:space="preserve"> przez projektodawcę</w:t>
      </w:r>
      <w:r w:rsidR="7D54C81D" w:rsidRPr="003A42FB">
        <w:rPr>
          <w:rFonts w:ascii="Times New Roman" w:hAnsi="Times New Roman" w:cs="Times New Roman"/>
          <w:szCs w:val="24"/>
        </w:rPr>
        <w:t xml:space="preserve"> liczby mnogiej jako trafniejszej językowo i logicznie</w:t>
      </w:r>
      <w:r w:rsidR="3BCD056C" w:rsidRPr="003A42FB">
        <w:rPr>
          <w:rFonts w:ascii="Times New Roman" w:hAnsi="Times New Roman" w:cs="Times New Roman"/>
          <w:szCs w:val="24"/>
        </w:rPr>
        <w:t>.</w:t>
      </w:r>
    </w:p>
    <w:p w14:paraId="10D62561" w14:textId="67060F96" w:rsidR="000B4120" w:rsidRPr="003A42FB" w:rsidRDefault="000B4120" w:rsidP="007E1633">
      <w:pPr>
        <w:pStyle w:val="ARTartustawynprozporzdzenia"/>
        <w:spacing w:before="0" w:after="120" w:line="240" w:lineRule="auto"/>
        <w:ind w:firstLine="0"/>
        <w:rPr>
          <w:rFonts w:ascii="Times New Roman" w:hAnsi="Times New Roman" w:cs="Times New Roman"/>
          <w:szCs w:val="24"/>
          <w:lang w:eastAsia="en-US"/>
        </w:rPr>
      </w:pPr>
      <w:r w:rsidRPr="003A42FB">
        <w:rPr>
          <w:rFonts w:ascii="Times New Roman" w:hAnsi="Times New Roman" w:cs="Times New Roman"/>
          <w:szCs w:val="24"/>
          <w:lang w:eastAsia="en-US"/>
        </w:rPr>
        <w:t xml:space="preserve">Należy wskazać, że projektodawca przyjął zasadę, iż w przypadku gdy przepis nie wskazuje czy określone postępowanie lub czynność wszczynane są lub dokonywane z urzędu albo na wniosek, oznacza to że mamy do czynienia z działaniem organu wyłącznie z urzędu. Jednak w kilku szczególnych przypadkach, tak aby uniknąć jakichkolwiek wątpliwości interpretacyjnych, wskazano wprost w przepisach na działanie z urzędu. </w:t>
      </w:r>
    </w:p>
    <w:p w14:paraId="2817EC68" w14:textId="19F05ABA" w:rsidR="76B3EFB7" w:rsidRPr="003A42FB" w:rsidRDefault="76B3EFB7" w:rsidP="76B3EFB7">
      <w:pPr>
        <w:pStyle w:val="ARTartustawynprozporzdzenia"/>
        <w:spacing w:before="0" w:after="120" w:line="240" w:lineRule="auto"/>
        <w:ind w:firstLine="0"/>
        <w:rPr>
          <w:rFonts w:ascii="Times New Roman" w:hAnsi="Times New Roman" w:cs="Times New Roman"/>
          <w:szCs w:val="24"/>
          <w:lang w:eastAsia="en-US"/>
        </w:rPr>
      </w:pPr>
    </w:p>
    <w:p w14:paraId="5731FDF4" w14:textId="77777777" w:rsidR="00146F5E" w:rsidRPr="003A42FB" w:rsidRDefault="00146F5E" w:rsidP="00C53EAB">
      <w:pPr>
        <w:pStyle w:val="ARTartustawynprozporzdzenia"/>
        <w:spacing w:before="0" w:after="120" w:line="240" w:lineRule="auto"/>
        <w:ind w:firstLine="0"/>
        <w:rPr>
          <w:rFonts w:ascii="Times New Roman" w:hAnsi="Times New Roman" w:cs="Times New Roman"/>
          <w:b/>
          <w:bCs/>
          <w:szCs w:val="24"/>
          <w:u w:val="single"/>
        </w:rPr>
      </w:pPr>
      <w:r w:rsidRPr="003A42FB">
        <w:rPr>
          <w:rFonts w:ascii="Times New Roman" w:hAnsi="Times New Roman" w:cs="Times New Roman"/>
          <w:b/>
          <w:bCs/>
          <w:szCs w:val="24"/>
          <w:u w:val="single"/>
        </w:rPr>
        <w:t>Szczegółowe regulacje</w:t>
      </w:r>
    </w:p>
    <w:p w14:paraId="532931CF" w14:textId="77777777" w:rsidR="00C53EAB" w:rsidRPr="003A42FB" w:rsidRDefault="00C53EAB" w:rsidP="00C53EAB">
      <w:pPr>
        <w:pStyle w:val="ARTartustawynprozporzdzenia"/>
        <w:spacing w:before="0" w:after="120" w:line="240" w:lineRule="auto"/>
        <w:ind w:firstLine="0"/>
        <w:rPr>
          <w:rFonts w:ascii="Times New Roman" w:hAnsi="Times New Roman" w:cs="Times New Roman"/>
          <w:b/>
          <w:bCs/>
          <w:szCs w:val="24"/>
          <w:u w:val="single"/>
          <w:lang w:eastAsia="en-US"/>
        </w:rPr>
      </w:pPr>
    </w:p>
    <w:p w14:paraId="0B354B13" w14:textId="77777777" w:rsidR="0066128E" w:rsidRPr="003A42FB" w:rsidRDefault="00E37FC4" w:rsidP="00C53EAB">
      <w:pPr>
        <w:pStyle w:val="TYTDZPRZEDMprzedmiotregulacjitytuulubdziau"/>
        <w:spacing w:before="0" w:after="120" w:line="240" w:lineRule="auto"/>
        <w:jc w:val="both"/>
        <w:rPr>
          <w:rFonts w:ascii="Times New Roman" w:eastAsiaTheme="minorEastAsia" w:hAnsi="Times New Roman"/>
          <w:szCs w:val="24"/>
          <w:lang w:eastAsia="en-US"/>
        </w:rPr>
      </w:pPr>
      <w:r w:rsidRPr="003A42FB">
        <w:rPr>
          <w:rFonts w:ascii="Times New Roman" w:eastAsiaTheme="minorEastAsia" w:hAnsi="Times New Roman"/>
          <w:szCs w:val="24"/>
          <w:lang w:eastAsia="en-US"/>
        </w:rPr>
        <w:t>I. DZIAŁ I. Postanowienia ogólne</w:t>
      </w:r>
    </w:p>
    <w:p w14:paraId="555830AB" w14:textId="77777777" w:rsidR="00E37FC4" w:rsidRPr="003A42FB" w:rsidRDefault="00E37FC4" w:rsidP="00C53EAB">
      <w:pPr>
        <w:pStyle w:val="ARTartustawynprozporzdzenia"/>
        <w:spacing w:before="0" w:after="120" w:line="240" w:lineRule="auto"/>
        <w:ind w:firstLine="0"/>
        <w:rPr>
          <w:rFonts w:ascii="Times New Roman" w:hAnsi="Times New Roman" w:cs="Times New Roman"/>
          <w:b/>
          <w:bCs/>
          <w:szCs w:val="24"/>
          <w:lang w:eastAsia="en-US"/>
        </w:rPr>
      </w:pPr>
      <w:r w:rsidRPr="003A42FB">
        <w:rPr>
          <w:rFonts w:ascii="Times New Roman" w:hAnsi="Times New Roman" w:cs="Times New Roman"/>
          <w:b/>
          <w:bCs/>
          <w:szCs w:val="24"/>
          <w:lang w:eastAsia="en-US"/>
        </w:rPr>
        <w:t>Rozdział 1 Zakres ustawy</w:t>
      </w:r>
    </w:p>
    <w:p w14:paraId="60F79D19" w14:textId="77777777" w:rsidR="00E37FC4" w:rsidRPr="003A42FB" w:rsidRDefault="000F496D" w:rsidP="00C53EAB">
      <w:pPr>
        <w:pStyle w:val="ARTartustawynprozporzdzenia"/>
        <w:spacing w:before="0" w:after="120" w:line="240" w:lineRule="auto"/>
        <w:ind w:firstLine="0"/>
        <w:rPr>
          <w:rFonts w:ascii="Times New Roman" w:hAnsi="Times New Roman" w:cs="Times New Roman"/>
          <w:b/>
          <w:bCs/>
          <w:szCs w:val="24"/>
          <w:lang w:eastAsia="en-US"/>
        </w:rPr>
      </w:pPr>
      <w:r w:rsidRPr="003A42FB">
        <w:rPr>
          <w:rFonts w:ascii="Times New Roman" w:hAnsi="Times New Roman" w:cs="Times New Roman"/>
          <w:b/>
          <w:bCs/>
          <w:szCs w:val="24"/>
          <w:lang w:eastAsia="en-US"/>
        </w:rPr>
        <w:t>Art. 1</w:t>
      </w:r>
    </w:p>
    <w:p w14:paraId="20E162F2" w14:textId="7EB0B79E" w:rsidR="003431EC" w:rsidRPr="003A42FB" w:rsidRDefault="002D4BA3" w:rsidP="20DBCFD5">
      <w:pPr>
        <w:pStyle w:val="USTustnpkodeksu"/>
        <w:spacing w:after="120" w:line="240" w:lineRule="auto"/>
        <w:ind w:firstLine="0"/>
        <w:rPr>
          <w:rFonts w:ascii="Times New Roman" w:hAnsi="Times New Roman" w:cs="Times New Roman"/>
        </w:rPr>
      </w:pPr>
      <w:r w:rsidRPr="7A2B01BB">
        <w:rPr>
          <w:rFonts w:ascii="Times New Roman" w:hAnsi="Times New Roman" w:cs="Times New Roman"/>
        </w:rPr>
        <w:t xml:space="preserve">Zasadniczy zakres regulacji ustawy - Prawo komunikacji elektronicznej (podmiotowy i przedmiotowy) został wskazany w jej art. 1. W myśl tego przepisu ustawa reguluje </w:t>
      </w:r>
      <w:r w:rsidR="003431EC" w:rsidRPr="7A2B01BB">
        <w:rPr>
          <w:rFonts w:ascii="Times New Roman" w:hAnsi="Times New Roman" w:cs="Times New Roman"/>
        </w:rPr>
        <w:t xml:space="preserve">zasady wykonywania i kontroli działalności polegającej na </w:t>
      </w:r>
      <w:r w:rsidR="4DE224B3" w:rsidRPr="7A2B01BB">
        <w:rPr>
          <w:rFonts w:ascii="Times New Roman" w:hAnsi="Times New Roman" w:cs="Times New Roman"/>
        </w:rPr>
        <w:t>zapewnianiu</w:t>
      </w:r>
      <w:r w:rsidR="003431EC" w:rsidRPr="7A2B01BB">
        <w:rPr>
          <w:rFonts w:ascii="Times New Roman" w:hAnsi="Times New Roman" w:cs="Times New Roman"/>
        </w:rPr>
        <w:t xml:space="preserve"> komunikacji elektronicznej, prawa i obowiązki </w:t>
      </w:r>
      <w:r w:rsidR="001C568C" w:rsidRPr="7A2B01BB">
        <w:rPr>
          <w:rFonts w:ascii="Times New Roman" w:hAnsi="Times New Roman" w:cs="Times New Roman"/>
        </w:rPr>
        <w:t xml:space="preserve">uczestników rynku komunikacji elektronicznej w tym </w:t>
      </w:r>
      <w:r w:rsidR="003431EC" w:rsidRPr="7A2B01BB">
        <w:rPr>
          <w:rFonts w:ascii="Times New Roman" w:hAnsi="Times New Roman" w:cs="Times New Roman"/>
        </w:rPr>
        <w:t>przedsiębiorców komunikacji elektronicznej</w:t>
      </w:r>
      <w:r w:rsidR="001C568C" w:rsidRPr="7A2B01BB">
        <w:rPr>
          <w:rFonts w:ascii="Times New Roman" w:hAnsi="Times New Roman" w:cs="Times New Roman"/>
        </w:rPr>
        <w:t xml:space="preserve">, </w:t>
      </w:r>
      <w:r w:rsidR="003431EC" w:rsidRPr="7A2B01BB">
        <w:rPr>
          <w:rFonts w:ascii="Times New Roman" w:hAnsi="Times New Roman" w:cs="Times New Roman"/>
        </w:rPr>
        <w:t>użytkowników końcowych</w:t>
      </w:r>
      <w:r w:rsidR="001C568C" w:rsidRPr="7A2B01BB">
        <w:rPr>
          <w:rFonts w:ascii="Times New Roman" w:hAnsi="Times New Roman" w:cs="Times New Roman"/>
        </w:rPr>
        <w:t xml:space="preserve"> oraz użytkowników urządzeń radiowych</w:t>
      </w:r>
      <w:r w:rsidR="003431EC" w:rsidRPr="7A2B01BB">
        <w:rPr>
          <w:rFonts w:ascii="Times New Roman" w:hAnsi="Times New Roman" w:cs="Times New Roman"/>
        </w:rPr>
        <w:t xml:space="preserve">, warunki podejmowania i wykonywania działalności polegającej na dostarczaniu </w:t>
      </w:r>
      <w:r w:rsidR="00397982">
        <w:rPr>
          <w:rFonts w:ascii="Times New Roman" w:hAnsi="Times New Roman" w:cs="Times New Roman"/>
        </w:rPr>
        <w:t xml:space="preserve">publicznych </w:t>
      </w:r>
      <w:r w:rsidR="003431EC" w:rsidRPr="7A2B01BB">
        <w:rPr>
          <w:rFonts w:ascii="Times New Roman" w:hAnsi="Times New Roman" w:cs="Times New Roman"/>
        </w:rPr>
        <w:t xml:space="preserve">sieci i udogodnień towarzyszących oraz świadczeniu </w:t>
      </w:r>
      <w:r w:rsidR="00397982">
        <w:rPr>
          <w:rFonts w:ascii="Times New Roman" w:hAnsi="Times New Roman" w:cs="Times New Roman"/>
        </w:rPr>
        <w:t xml:space="preserve">publicznie dostępnych </w:t>
      </w:r>
      <w:r w:rsidR="003431EC" w:rsidRPr="7A2B01BB">
        <w:rPr>
          <w:rFonts w:ascii="Times New Roman" w:hAnsi="Times New Roman" w:cs="Times New Roman"/>
        </w:rPr>
        <w:t xml:space="preserve">usług telekomunikacyjnych, zadania i obowiązki na rzecz </w:t>
      </w:r>
      <w:r w:rsidR="001C568C" w:rsidRPr="7A2B01BB">
        <w:rPr>
          <w:rFonts w:ascii="Times New Roman" w:hAnsi="Times New Roman" w:cs="Times New Roman"/>
        </w:rPr>
        <w:t>bezpieczeństwa państwa</w:t>
      </w:r>
      <w:r w:rsidR="003431EC" w:rsidRPr="7A2B01BB">
        <w:rPr>
          <w:rFonts w:ascii="Times New Roman" w:hAnsi="Times New Roman" w:cs="Times New Roman"/>
        </w:rPr>
        <w:t>,</w:t>
      </w:r>
      <w:r w:rsidR="001C568C" w:rsidRPr="7A2B01BB">
        <w:rPr>
          <w:rFonts w:ascii="Times New Roman" w:hAnsi="Times New Roman" w:cs="Times New Roman"/>
        </w:rPr>
        <w:t xml:space="preserve"> </w:t>
      </w:r>
      <w:r w:rsidR="0EDFDF6D" w:rsidRPr="00877F54">
        <w:rPr>
          <w:rFonts w:ascii="Times New Roman" w:eastAsia="Calibri" w:hAnsi="Times New Roman" w:cs="Times New Roman"/>
          <w:color w:val="000000" w:themeColor="text1"/>
          <w:szCs w:val="24"/>
        </w:rPr>
        <w:t>uzyskiwani</w:t>
      </w:r>
      <w:r w:rsidR="00A04A33">
        <w:rPr>
          <w:rFonts w:ascii="Times New Roman" w:eastAsia="Calibri" w:hAnsi="Times New Roman" w:cs="Times New Roman"/>
          <w:color w:val="000000" w:themeColor="text1"/>
          <w:szCs w:val="24"/>
        </w:rPr>
        <w:t>e</w:t>
      </w:r>
      <w:r w:rsidR="0EDFDF6D" w:rsidRPr="00877F54">
        <w:rPr>
          <w:rFonts w:ascii="Times New Roman" w:eastAsia="Calibri" w:hAnsi="Times New Roman" w:cs="Times New Roman"/>
          <w:color w:val="000000" w:themeColor="text1"/>
          <w:szCs w:val="24"/>
        </w:rPr>
        <w:t xml:space="preserve"> dostępu</w:t>
      </w:r>
      <w:r w:rsidR="6E37BBC2" w:rsidRPr="00877F54">
        <w:rPr>
          <w:rFonts w:ascii="Times New Roman" w:eastAsia="Calibri" w:hAnsi="Times New Roman" w:cs="Times New Roman"/>
          <w:color w:val="000000" w:themeColor="text1"/>
          <w:szCs w:val="24"/>
        </w:rPr>
        <w:t xml:space="preserve">, </w:t>
      </w:r>
      <w:r w:rsidR="0EDFDF6D" w:rsidRPr="00877F54">
        <w:rPr>
          <w:rFonts w:ascii="Times New Roman" w:eastAsia="Calibri" w:hAnsi="Times New Roman" w:cs="Times New Roman"/>
          <w:color w:val="000000" w:themeColor="text1"/>
          <w:szCs w:val="24"/>
        </w:rPr>
        <w:t>korzystani</w:t>
      </w:r>
      <w:r w:rsidR="00A04A33">
        <w:rPr>
          <w:rFonts w:ascii="Times New Roman" w:eastAsia="Calibri" w:hAnsi="Times New Roman" w:cs="Times New Roman"/>
          <w:color w:val="000000" w:themeColor="text1"/>
          <w:szCs w:val="24"/>
        </w:rPr>
        <w:t>e</w:t>
      </w:r>
      <w:r w:rsidR="4E3E60E1" w:rsidRPr="00877F54">
        <w:rPr>
          <w:rFonts w:ascii="Times New Roman" w:eastAsia="Calibri" w:hAnsi="Times New Roman" w:cs="Times New Roman"/>
          <w:color w:val="000000" w:themeColor="text1"/>
          <w:szCs w:val="24"/>
        </w:rPr>
        <w:t xml:space="preserve"> i zarządzani</w:t>
      </w:r>
      <w:r w:rsidR="00A04A33">
        <w:rPr>
          <w:rFonts w:ascii="Times New Roman" w:eastAsia="Calibri" w:hAnsi="Times New Roman" w:cs="Times New Roman"/>
          <w:color w:val="000000" w:themeColor="text1"/>
          <w:szCs w:val="24"/>
        </w:rPr>
        <w:t>e</w:t>
      </w:r>
      <w:r w:rsidR="4E3E60E1" w:rsidRPr="00877F54">
        <w:rPr>
          <w:rFonts w:ascii="Times New Roman" w:eastAsia="Calibri" w:hAnsi="Times New Roman" w:cs="Times New Roman"/>
          <w:color w:val="000000" w:themeColor="text1"/>
          <w:szCs w:val="24"/>
        </w:rPr>
        <w:t xml:space="preserve"> usługą PRS,</w:t>
      </w:r>
      <w:r w:rsidR="001C568C" w:rsidRPr="00877F54">
        <w:rPr>
          <w:rFonts w:ascii="Times New Roman" w:hAnsi="Times New Roman" w:cs="Times New Roman"/>
          <w:sz w:val="28"/>
          <w:szCs w:val="22"/>
        </w:rPr>
        <w:t xml:space="preserve"> </w:t>
      </w:r>
      <w:r w:rsidR="003431EC" w:rsidRPr="7A2B01BB">
        <w:rPr>
          <w:rFonts w:ascii="Times New Roman" w:hAnsi="Times New Roman" w:cs="Times New Roman"/>
        </w:rPr>
        <w:t xml:space="preserve">warunki gospodarowania częstotliwościami, zasobami orbitalnymi oraz </w:t>
      </w:r>
      <w:r w:rsidR="001C568C" w:rsidRPr="7A2B01BB">
        <w:rPr>
          <w:rFonts w:ascii="Times New Roman" w:hAnsi="Times New Roman" w:cs="Times New Roman"/>
        </w:rPr>
        <w:t xml:space="preserve">zasobami numeracji, </w:t>
      </w:r>
      <w:r w:rsidR="003431EC" w:rsidRPr="7A2B01BB">
        <w:rPr>
          <w:rFonts w:ascii="Times New Roman" w:hAnsi="Times New Roman" w:cs="Times New Roman"/>
        </w:rPr>
        <w:t xml:space="preserve">zasady dostępu oraz warunki regulowania rynku </w:t>
      </w:r>
      <w:r w:rsidR="7F37F1E3" w:rsidRPr="7A2B01BB">
        <w:rPr>
          <w:rFonts w:ascii="Times New Roman" w:hAnsi="Times New Roman" w:cs="Times New Roman"/>
        </w:rPr>
        <w:t>komunikacji elektronicznej</w:t>
      </w:r>
      <w:r w:rsidR="001C568C" w:rsidRPr="7A2B01BB">
        <w:rPr>
          <w:rFonts w:ascii="Times New Roman" w:hAnsi="Times New Roman" w:cs="Times New Roman"/>
        </w:rPr>
        <w:t xml:space="preserve">, </w:t>
      </w:r>
      <w:r w:rsidR="003431EC" w:rsidRPr="7A2B01BB">
        <w:rPr>
          <w:rFonts w:ascii="Times New Roman" w:hAnsi="Times New Roman" w:cs="Times New Roman"/>
        </w:rPr>
        <w:t>wymagania, jakim powinn</w:t>
      </w:r>
      <w:r w:rsidR="001C568C" w:rsidRPr="7A2B01BB">
        <w:rPr>
          <w:rFonts w:ascii="Times New Roman" w:hAnsi="Times New Roman" w:cs="Times New Roman"/>
        </w:rPr>
        <w:t xml:space="preserve">y odpowiadać urządzenia radiowe, </w:t>
      </w:r>
      <w:r w:rsidR="003431EC" w:rsidRPr="7A2B01BB">
        <w:rPr>
          <w:rFonts w:ascii="Times New Roman" w:hAnsi="Times New Roman" w:cs="Times New Roman"/>
        </w:rPr>
        <w:t>warunki przetwarzania danych, w tym danych osobowych, w ramach świadczenia usług komunikacji elektronicznej oraz ochrony tajemnicy komunikacji elektronicznej</w:t>
      </w:r>
      <w:r w:rsidRPr="7A2B01BB">
        <w:rPr>
          <w:rFonts w:ascii="Times New Roman" w:hAnsi="Times New Roman" w:cs="Times New Roman"/>
        </w:rPr>
        <w:t xml:space="preserve"> oraz</w:t>
      </w:r>
      <w:r w:rsidR="003431EC" w:rsidRPr="7A2B01BB">
        <w:rPr>
          <w:rFonts w:ascii="Times New Roman" w:hAnsi="Times New Roman" w:cs="Times New Roman"/>
        </w:rPr>
        <w:t xml:space="preserve"> funkcjonowanie organów właściwych w sprawach komunikacji elektronicznej, ich współdziałania z innymi organami krajowymi oraz instytucjami Unii Europejskiej w zakresie regulacji komunikacji elektronicznej.</w:t>
      </w:r>
      <w:r w:rsidR="5EC2B437" w:rsidRPr="7A2B01BB">
        <w:rPr>
          <w:rFonts w:ascii="Times New Roman" w:hAnsi="Times New Roman" w:cs="Times New Roman"/>
        </w:rPr>
        <w:t xml:space="preserve"> Analogiczny przepis funkcjonował w ustawie Pt.</w:t>
      </w:r>
    </w:p>
    <w:p w14:paraId="093C7306" w14:textId="77777777" w:rsidR="00D662DB" w:rsidRPr="003A42FB" w:rsidRDefault="00E37FC4" w:rsidP="00C53EAB">
      <w:pPr>
        <w:pStyle w:val="ARTartustawynprozporzdzenia"/>
        <w:spacing w:before="0" w:after="120" w:line="240" w:lineRule="auto"/>
        <w:ind w:firstLine="0"/>
        <w:rPr>
          <w:rFonts w:ascii="Times New Roman" w:hAnsi="Times New Roman" w:cs="Times New Roman"/>
          <w:b/>
          <w:bCs/>
          <w:szCs w:val="24"/>
          <w:lang w:eastAsia="en-US"/>
        </w:rPr>
      </w:pPr>
      <w:r w:rsidRPr="003A42FB">
        <w:rPr>
          <w:rFonts w:ascii="Times New Roman" w:hAnsi="Times New Roman" w:cs="Times New Roman"/>
          <w:b/>
          <w:bCs/>
          <w:szCs w:val="24"/>
          <w:lang w:eastAsia="en-US"/>
        </w:rPr>
        <w:t>A</w:t>
      </w:r>
      <w:r w:rsidR="000F496D" w:rsidRPr="003A42FB">
        <w:rPr>
          <w:rFonts w:ascii="Times New Roman" w:hAnsi="Times New Roman" w:cs="Times New Roman"/>
          <w:b/>
          <w:bCs/>
          <w:szCs w:val="24"/>
          <w:lang w:eastAsia="en-US"/>
        </w:rPr>
        <w:t>rt. 2</w:t>
      </w:r>
    </w:p>
    <w:p w14:paraId="1BC43D81" w14:textId="27B54B68" w:rsidR="00182E2F" w:rsidRPr="003A42FB" w:rsidRDefault="161D52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Projektowana ustawa częściowo powtarza definicje zawarte już w dotychczas obowiązującej ustawie Pt, przy czym w niektórych przypadkach zmienia je dostosowując je do brzmienia EKŁE lub zmien</w:t>
      </w:r>
      <w:r w:rsidR="0377681B" w:rsidRPr="003A42FB">
        <w:rPr>
          <w:rFonts w:ascii="Times New Roman" w:eastAsiaTheme="minorEastAsia" w:hAnsi="Times New Roman" w:cs="Times New Roman"/>
          <w:sz w:val="24"/>
          <w:szCs w:val="24"/>
        </w:rPr>
        <w:t>iających się realiów rynkowych.</w:t>
      </w:r>
    </w:p>
    <w:p w14:paraId="7C22645A" w14:textId="71EBACC2" w:rsidR="00443A6A" w:rsidRPr="003A42FB" w:rsidRDefault="00443A6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abonenta </w:t>
      </w:r>
      <w:r w:rsidRPr="003A42FB">
        <w:rPr>
          <w:rFonts w:ascii="Times New Roman" w:eastAsiaTheme="minorEastAsia" w:hAnsi="Times New Roman" w:cs="Times New Roman"/>
          <w:b/>
          <w:bCs/>
          <w:sz w:val="24"/>
          <w:szCs w:val="24"/>
        </w:rPr>
        <w:t>-</w:t>
      </w:r>
      <w:r w:rsidR="00B62763" w:rsidRPr="003A42FB">
        <w:rPr>
          <w:rFonts w:ascii="Times New Roman" w:eastAsiaTheme="minorEastAsia" w:hAnsi="Times New Roman" w:cs="Times New Roman"/>
          <w:sz w:val="24"/>
          <w:szCs w:val="24"/>
        </w:rPr>
        <w:t xml:space="preserve"> </w:t>
      </w:r>
      <w:r w:rsidR="5BCDB7EA" w:rsidRPr="003A42FB">
        <w:rPr>
          <w:rFonts w:ascii="Times New Roman" w:eastAsiaTheme="minorEastAsia" w:hAnsi="Times New Roman" w:cs="Times New Roman"/>
          <w:sz w:val="24"/>
          <w:szCs w:val="24"/>
        </w:rPr>
        <w:t xml:space="preserve">pojęcie </w:t>
      </w:r>
      <w:r w:rsidR="00B62763" w:rsidRPr="003A42FB">
        <w:rPr>
          <w:rFonts w:ascii="Times New Roman" w:eastAsiaTheme="minorEastAsia" w:hAnsi="Times New Roman" w:cs="Times New Roman"/>
          <w:sz w:val="24"/>
          <w:szCs w:val="24"/>
        </w:rPr>
        <w:t>oznacza</w:t>
      </w:r>
      <w:r w:rsidRPr="003A42FB">
        <w:rPr>
          <w:rFonts w:ascii="Times New Roman" w:eastAsiaTheme="minorEastAsia" w:hAnsi="Times New Roman" w:cs="Times New Roman"/>
          <w:sz w:val="24"/>
          <w:szCs w:val="24"/>
        </w:rPr>
        <w:t>jące</w:t>
      </w:r>
      <w:r w:rsidR="00B62763" w:rsidRPr="003A42FB">
        <w:rPr>
          <w:rFonts w:ascii="Times New Roman" w:eastAsiaTheme="minorEastAsia" w:hAnsi="Times New Roman" w:cs="Times New Roman"/>
          <w:sz w:val="24"/>
          <w:szCs w:val="24"/>
        </w:rPr>
        <w:t xml:space="preserve"> użytkownika będącego stroną umowy z dostawcą usług komunikacji elektronicznej. Definicja ta nie ma odpowiednika w przepisach EKŁE. W ustawie Pt występuje pojęcie abonenta</w:t>
      </w:r>
      <w:r w:rsidR="00261D6B" w:rsidRPr="003A42FB">
        <w:rPr>
          <w:rFonts w:ascii="Times New Roman" w:eastAsiaTheme="minorEastAsia" w:hAnsi="Times New Roman" w:cs="Times New Roman"/>
          <w:sz w:val="24"/>
          <w:szCs w:val="24"/>
        </w:rPr>
        <w:t>,</w:t>
      </w:r>
      <w:r w:rsidR="00B62763" w:rsidRPr="003A42FB">
        <w:rPr>
          <w:rFonts w:ascii="Times New Roman" w:eastAsiaTheme="minorEastAsia" w:hAnsi="Times New Roman" w:cs="Times New Roman"/>
          <w:sz w:val="24"/>
          <w:szCs w:val="24"/>
        </w:rPr>
        <w:t xml:space="preserve"> jednak w znaczeniu węższym odwołującym się wyłącznie do usług telekomunikacyjnych. W projektowanej ustawie definicja ta występuje w przepisach dotyczących relacji wynikających z umów o świadczenie us</w:t>
      </w:r>
      <w:r w:rsidR="00D72623" w:rsidRPr="003A42FB">
        <w:rPr>
          <w:rFonts w:ascii="Times New Roman" w:eastAsiaTheme="minorEastAsia" w:hAnsi="Times New Roman" w:cs="Times New Roman"/>
          <w:sz w:val="24"/>
          <w:szCs w:val="24"/>
        </w:rPr>
        <w:t>ług komunikacji elektronicznej.</w:t>
      </w:r>
    </w:p>
    <w:p w14:paraId="39C9A02C" w14:textId="75FB4683" w:rsidR="004B7EC5" w:rsidRPr="003A42FB" w:rsidRDefault="00443A6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aparatu publicznego </w:t>
      </w:r>
      <w:r w:rsidRPr="003A42FB">
        <w:rPr>
          <w:rFonts w:ascii="Times New Roman" w:eastAsiaTheme="minorEastAsia" w:hAnsi="Times New Roman" w:cs="Times New Roman"/>
          <w:sz w:val="24"/>
          <w:szCs w:val="24"/>
        </w:rPr>
        <w:t>–</w:t>
      </w:r>
      <w:r w:rsidR="004B7EC5" w:rsidRPr="003A42FB">
        <w:rPr>
          <w:rFonts w:ascii="Times New Roman" w:eastAsiaTheme="minorEastAsia" w:hAnsi="Times New Roman" w:cs="Times New Roman"/>
          <w:sz w:val="24"/>
          <w:szCs w:val="24"/>
        </w:rPr>
        <w:t xml:space="preserve"> </w:t>
      </w:r>
      <w:r w:rsidR="00B62763" w:rsidRPr="003A42FB">
        <w:rPr>
          <w:rFonts w:ascii="Times New Roman" w:eastAsiaTheme="minorEastAsia" w:hAnsi="Times New Roman" w:cs="Times New Roman"/>
          <w:sz w:val="24"/>
          <w:szCs w:val="24"/>
        </w:rPr>
        <w:t xml:space="preserve">pojęcie aparatu publicznego </w:t>
      </w:r>
      <w:r w:rsidR="524C049F" w:rsidRPr="003A42FB">
        <w:rPr>
          <w:rFonts w:ascii="Times New Roman" w:eastAsiaTheme="minorEastAsia" w:hAnsi="Times New Roman" w:cs="Times New Roman"/>
          <w:sz w:val="24"/>
          <w:szCs w:val="24"/>
        </w:rPr>
        <w:t xml:space="preserve">jest </w:t>
      </w:r>
      <w:r w:rsidR="00B62763" w:rsidRPr="003A42FB">
        <w:rPr>
          <w:rFonts w:ascii="Times New Roman" w:eastAsiaTheme="minorEastAsia" w:hAnsi="Times New Roman" w:cs="Times New Roman"/>
          <w:sz w:val="24"/>
          <w:szCs w:val="24"/>
        </w:rPr>
        <w:t>rozumian</w:t>
      </w:r>
      <w:r w:rsidR="28E721A2" w:rsidRPr="003A42FB">
        <w:rPr>
          <w:rFonts w:ascii="Times New Roman" w:eastAsiaTheme="minorEastAsia" w:hAnsi="Times New Roman" w:cs="Times New Roman"/>
          <w:sz w:val="24"/>
          <w:szCs w:val="24"/>
        </w:rPr>
        <w:t>e</w:t>
      </w:r>
      <w:r w:rsidR="00B62763" w:rsidRPr="003A42FB">
        <w:rPr>
          <w:rFonts w:ascii="Times New Roman" w:eastAsiaTheme="minorEastAsia" w:hAnsi="Times New Roman" w:cs="Times New Roman"/>
          <w:sz w:val="24"/>
          <w:szCs w:val="24"/>
        </w:rPr>
        <w:t xml:space="preserve"> jako publicznie dostępny telefon, w którym połączenie opłacane jest automatycznie, w szczególności za pomocą monety, żetonu, karty telefonicznej lub karty płatniczej. Definicja ta nie ma odpowiednika w przepisach EKŁ</w:t>
      </w:r>
      <w:r w:rsidR="00D72623" w:rsidRPr="003A42FB">
        <w:rPr>
          <w:rFonts w:ascii="Times New Roman" w:eastAsiaTheme="minorEastAsia" w:hAnsi="Times New Roman" w:cs="Times New Roman"/>
          <w:sz w:val="24"/>
          <w:szCs w:val="24"/>
        </w:rPr>
        <w:t xml:space="preserve">E, występuje zaś w ustawie Pt. </w:t>
      </w:r>
    </w:p>
    <w:p w14:paraId="0957D19B" w14:textId="07276666" w:rsidR="004B7EC5"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aparatury</w:t>
      </w:r>
      <w:r w:rsidRPr="003A42FB">
        <w:rPr>
          <w:rFonts w:ascii="Times New Roman" w:eastAsiaTheme="minorEastAsia" w:hAnsi="Times New Roman" w:cs="Times New Roman"/>
          <w:sz w:val="24"/>
          <w:szCs w:val="24"/>
        </w:rPr>
        <w:t xml:space="preserve"> – projekt ustawy przyjmuje tę definicję w rozumieniu przepisów ustawy z dnia 13 kwietnia 2007 r. o kompatybilności elektromagnetycznej (Dz. U. z 2019 r. poz. 2388). </w:t>
      </w:r>
      <w:r w:rsidRPr="003A42FB">
        <w:rPr>
          <w:rFonts w:ascii="Times New Roman" w:eastAsiaTheme="minorEastAsia" w:hAnsi="Times New Roman" w:cs="Times New Roman"/>
          <w:sz w:val="24"/>
          <w:szCs w:val="24"/>
        </w:rPr>
        <w:lastRenderedPageBreak/>
        <w:t xml:space="preserve">W rozumieniu </w:t>
      </w:r>
      <w:hyperlink r:id="rId12">
        <w:r w:rsidRPr="003A42FB">
          <w:rPr>
            <w:rStyle w:val="Hipercze"/>
            <w:rFonts w:ascii="Times New Roman" w:eastAsiaTheme="minorEastAsia" w:hAnsi="Times New Roman" w:cs="Times New Roman"/>
            <w:color w:val="auto"/>
            <w:sz w:val="24"/>
            <w:szCs w:val="24"/>
            <w:u w:val="none"/>
          </w:rPr>
          <w:t>art. 6 pkt 1</w:t>
        </w:r>
      </w:hyperlink>
      <w:r w:rsidRPr="003A42FB">
        <w:rPr>
          <w:rFonts w:ascii="Times New Roman" w:eastAsiaTheme="minorEastAsia" w:hAnsi="Times New Roman" w:cs="Times New Roman"/>
          <w:sz w:val="24"/>
          <w:szCs w:val="24"/>
        </w:rPr>
        <w:t xml:space="preserve"> ustawy o kompatybilności elektromagnetycznej aparaturą jest każdy gotowy wyrób lub zespół wyrobów, które są dostępne w obrocie jako odrębne jednostki funkcjonalne przeznaczone do używania lub do montażu przez użytkownika oraz zdolne do wywoływania zaburzeń elektromagnetycznych lub podatne na nie. Zasadnicze wymagania stawiane aparaturze dotyczą tego, aby nie wywoływała w swoim środowisku zaburzeń elektromagnetycznych o wartościach przekraczających odporność na zaburzenia innego urządzenia występujące w tym środowisku oraz sama posiadała wymaganą odporność na</w:t>
      </w:r>
      <w:r w:rsidR="00261D6B" w:rsidRPr="003A42FB">
        <w:rPr>
          <w:rFonts w:ascii="Times New Roman" w:eastAsiaTheme="minorEastAsia" w:hAnsi="Times New Roman" w:cs="Times New Roman"/>
          <w:sz w:val="24"/>
          <w:szCs w:val="24"/>
        </w:rPr>
        <w:t xml:space="preserve"> zaburzenia elektromagnetyczne.</w:t>
      </w:r>
      <w:r w:rsidR="369B2D45" w:rsidRPr="003A42FB">
        <w:rPr>
          <w:rFonts w:ascii="Times New Roman" w:eastAsiaTheme="minorEastAsia" w:hAnsi="Times New Roman" w:cs="Times New Roman"/>
          <w:sz w:val="24"/>
          <w:szCs w:val="24"/>
        </w:rPr>
        <w:t xml:space="preserve"> Definicja aparatury jest tożsama z definicją zawartą dotychczas w ustawie Pt. </w:t>
      </w:r>
    </w:p>
    <w:p w14:paraId="5FAEF4B6" w14:textId="367D5B56" w:rsidR="00DA6E7A" w:rsidRPr="003A42FB" w:rsidRDefault="00DA6E7A"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u w:val="single"/>
        </w:rPr>
        <w:t xml:space="preserve">Definicja częstotliwości zharmonizowanych </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projektowana definicja stanowi wdrożenie art. 2 pkt 25 EKŁE. </w:t>
      </w:r>
      <w:r w:rsidR="4D94277E" w:rsidRPr="003A42FB">
        <w:rPr>
          <w:rFonts w:ascii="Times New Roman" w:eastAsiaTheme="minorEastAsia" w:hAnsi="Times New Roman" w:cs="Times New Roman"/>
          <w:sz w:val="24"/>
          <w:szCs w:val="24"/>
        </w:rPr>
        <w:t>Pojęcie częstotliwości zharmonizowanych nie było zdefiniowane w ustawie Pt, gdyż ani ustawa ani wdrażany w niej pakiet dyrektyw telekomunikacyjnych nie zawierał</w:t>
      </w:r>
      <w:r w:rsidR="055129E0" w:rsidRPr="003A42FB">
        <w:rPr>
          <w:rFonts w:ascii="Times New Roman" w:eastAsiaTheme="minorEastAsia" w:hAnsi="Times New Roman" w:cs="Times New Roman"/>
          <w:sz w:val="24"/>
          <w:szCs w:val="24"/>
        </w:rPr>
        <w:t>,</w:t>
      </w:r>
      <w:r w:rsidR="4D94277E" w:rsidRPr="003A42FB">
        <w:rPr>
          <w:rFonts w:ascii="Times New Roman" w:eastAsiaTheme="minorEastAsia" w:hAnsi="Times New Roman" w:cs="Times New Roman"/>
          <w:sz w:val="24"/>
          <w:szCs w:val="24"/>
        </w:rPr>
        <w:t xml:space="preserve"> </w:t>
      </w:r>
      <w:r w:rsidR="600B9D18" w:rsidRPr="003A42FB">
        <w:rPr>
          <w:rFonts w:ascii="Times New Roman" w:eastAsiaTheme="minorEastAsia" w:hAnsi="Times New Roman" w:cs="Times New Roman"/>
          <w:sz w:val="24"/>
          <w:szCs w:val="24"/>
        </w:rPr>
        <w:t xml:space="preserve">w przeciwieństwie do EKŁE, </w:t>
      </w:r>
      <w:r w:rsidR="4D94277E" w:rsidRPr="003A42FB">
        <w:rPr>
          <w:rFonts w:ascii="Times New Roman" w:eastAsiaTheme="minorEastAsia" w:hAnsi="Times New Roman" w:cs="Times New Roman"/>
          <w:sz w:val="24"/>
          <w:szCs w:val="24"/>
        </w:rPr>
        <w:t xml:space="preserve">szczególnych regulacji </w:t>
      </w:r>
      <w:r w:rsidR="431B3B02" w:rsidRPr="003A42FB">
        <w:rPr>
          <w:rFonts w:ascii="Times New Roman" w:eastAsiaTheme="minorEastAsia" w:hAnsi="Times New Roman" w:cs="Times New Roman"/>
          <w:sz w:val="24"/>
          <w:szCs w:val="24"/>
        </w:rPr>
        <w:t>dotyczących tych częstotliwości.</w:t>
      </w:r>
      <w:r w:rsidR="4D94277E"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Częstotliwościami </w:t>
      </w:r>
      <w:r w:rsidR="00673A7D" w:rsidRPr="003A42FB">
        <w:rPr>
          <w:rFonts w:ascii="Times New Roman" w:eastAsiaTheme="minorEastAsia" w:hAnsi="Times New Roman" w:cs="Times New Roman"/>
          <w:sz w:val="24"/>
          <w:szCs w:val="24"/>
        </w:rPr>
        <w:t>z</w:t>
      </w:r>
      <w:r w:rsidRPr="003A42FB">
        <w:rPr>
          <w:rFonts w:ascii="Times New Roman" w:eastAsiaTheme="minorEastAsia" w:hAnsi="Times New Roman" w:cs="Times New Roman"/>
          <w:sz w:val="24"/>
          <w:szCs w:val="24"/>
        </w:rPr>
        <w:t xml:space="preserve">harmonizowanymi są te częstotliwości, których dostępność i efektywne wykorzystanie uregulowano za pomocą zharmonizowanych warunków ustanowionych w drodze technicznego środka wykonawczego zgodnie z art. 4 Decyzji nr 676/2002/WE. Proponowana definicja zawiera zatem, tak samo jak EKŁE, odniesienie do </w:t>
      </w:r>
      <w:r w:rsidR="003A753A" w:rsidRPr="003A42FB">
        <w:rPr>
          <w:rFonts w:ascii="Times New Roman" w:eastAsiaTheme="minorEastAsia" w:hAnsi="Times New Roman" w:cs="Times New Roman"/>
          <w:sz w:val="24"/>
          <w:szCs w:val="24"/>
        </w:rPr>
        <w:t>d</w:t>
      </w:r>
      <w:r w:rsidRPr="003A42FB">
        <w:rPr>
          <w:rFonts w:ascii="Times New Roman" w:eastAsiaTheme="minorEastAsia" w:hAnsi="Times New Roman" w:cs="Times New Roman"/>
          <w:sz w:val="24"/>
          <w:szCs w:val="24"/>
        </w:rPr>
        <w:t xml:space="preserve">ecyzji nr </w:t>
      </w:r>
      <w:r w:rsidRPr="003A42FB">
        <w:rPr>
          <w:rFonts w:ascii="Times New Roman" w:eastAsiaTheme="minorEastAsia" w:hAnsi="Times New Roman" w:cs="Times New Roman"/>
          <w:sz w:val="24"/>
          <w:szCs w:val="24"/>
          <w:shd w:val="clear" w:color="auto" w:fill="FFFFFF"/>
        </w:rPr>
        <w:t>676/2002/WE Parlamentu Europejskiego i Rady z dnia 7 marca 2002 r. w sprawie ram regulacyjnych dotyczących polityki spektrum radiowego we Wspólnocie Europejskiej (tzw. decyzja o spektrum radiowym). Celem decyzji jest ustanowienie w Unii Europejskiej polityki i prawnych ram dla zapewnienia koordynacji koncepcji politycznych, a tam gdzie sytuacja tego wymaga, harmonizacja warunków dostępności i skutecznego korzystania ze spektrum radiowego koniecznych do ustanowienia i funkcjonowania rynku wewnętrznego w obszarach objętych polityką Wspólnoty, takich jak łączność elektroniczna, transport oraz badania i rozwój.</w:t>
      </w:r>
      <w:r w:rsidRPr="003A42FB">
        <w:rPr>
          <w:rFonts w:ascii="Times New Roman" w:eastAsiaTheme="minorEastAsia" w:hAnsi="Times New Roman" w:cs="Times New Roman"/>
          <w:sz w:val="24"/>
          <w:szCs w:val="24"/>
        </w:rPr>
        <w:t xml:space="preserve"> Aby osiągnąć ten cel </w:t>
      </w:r>
      <w:r w:rsidRPr="003A42FB">
        <w:rPr>
          <w:rFonts w:ascii="Times New Roman" w:eastAsiaTheme="minorEastAsia" w:hAnsi="Times New Roman" w:cs="Times New Roman"/>
          <w:sz w:val="24"/>
          <w:szCs w:val="24"/>
          <w:shd w:val="clear" w:color="auto" w:fill="FFFFFF"/>
        </w:rPr>
        <w:t>Komisja, na podstawie art. 4 decyzji, przedkłada Komitetowi ds. Spektrum Radiowego, właściwe techniczne środki wykonawcze w celu zapewnienia zharmonizowanych warunków dostępności i skutecznego wykorzystania spektrum radiowego.</w:t>
      </w:r>
    </w:p>
    <w:p w14:paraId="5A7A2D16" w14:textId="42DB0E7B" w:rsidR="004B7EC5"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dostarczania sieci telekomunikacyjnej</w:t>
      </w:r>
      <w:r w:rsidRPr="003A42FB">
        <w:rPr>
          <w:rFonts w:ascii="Times New Roman" w:eastAsiaTheme="minorEastAsia" w:hAnsi="Times New Roman" w:cs="Times New Roman"/>
          <w:sz w:val="24"/>
          <w:szCs w:val="24"/>
        </w:rPr>
        <w:t xml:space="preserve"> – jest to jedna z kluczowych definicji, ponieważ istotnie wpływa na wyznaczenie zakresu działalności telekomunikacyjnej. Pojęcie to oznacza przygotowanie sieci telekomunikacyjnej w sposób umożliwiający świadczenie w niej usług, jej eksploatację, nadzór nad nią lub umożliwianie dostępu telekomunikacyjnego. </w:t>
      </w:r>
      <w:r w:rsidR="2FB3F8DE" w:rsidRPr="003A42FB">
        <w:rPr>
          <w:rFonts w:ascii="Times New Roman" w:eastAsiaTheme="minorEastAsia" w:hAnsi="Times New Roman" w:cs="Times New Roman"/>
          <w:sz w:val="24"/>
          <w:szCs w:val="24"/>
        </w:rPr>
        <w:t xml:space="preserve">Należy przy tym wskazać, że pojęcie „przygotowanie sieci telekomunikacyjnych” nie obejmuje wytworzenia (budowy) sieci telekomunikacyjnej. </w:t>
      </w:r>
      <w:r w:rsidRPr="003A42FB">
        <w:rPr>
          <w:rFonts w:ascii="Times New Roman" w:eastAsiaTheme="minorEastAsia" w:hAnsi="Times New Roman" w:cs="Times New Roman"/>
          <w:sz w:val="24"/>
          <w:szCs w:val="24"/>
        </w:rPr>
        <w:t>Definicja ta</w:t>
      </w:r>
      <w:r w:rsidR="002863C2" w:rsidRPr="003A42FB">
        <w:rPr>
          <w:rFonts w:ascii="Times New Roman" w:eastAsiaTheme="minorEastAsia" w:hAnsi="Times New Roman" w:cs="Times New Roman"/>
          <w:sz w:val="24"/>
          <w:szCs w:val="24"/>
        </w:rPr>
        <w:t xml:space="preserve"> jest odpowiednikiem definicji „</w:t>
      </w:r>
      <w:r w:rsidRPr="003A42FB">
        <w:rPr>
          <w:rFonts w:ascii="Times New Roman" w:eastAsiaTheme="minorEastAsia" w:hAnsi="Times New Roman" w:cs="Times New Roman"/>
          <w:sz w:val="24"/>
          <w:szCs w:val="24"/>
        </w:rPr>
        <w:t>dostarczania sieci łączności elektronicznej</w:t>
      </w:r>
      <w:r w:rsidR="002863C2" w:rsidRPr="003A42FB">
        <w:rPr>
          <w:rFonts w:ascii="Times New Roman" w:eastAsiaTheme="minorEastAsia" w:hAnsi="Times New Roman" w:cs="Times New Roman"/>
          <w:sz w:val="24"/>
          <w:szCs w:val="24"/>
        </w:rPr>
        <w:t>”</w:t>
      </w:r>
      <w:r w:rsidR="00D72623" w:rsidRPr="003A42FB">
        <w:rPr>
          <w:rFonts w:ascii="Times New Roman" w:eastAsiaTheme="minorEastAsia" w:hAnsi="Times New Roman" w:cs="Times New Roman"/>
          <w:sz w:val="24"/>
          <w:szCs w:val="24"/>
        </w:rPr>
        <w:t xml:space="preserve"> zawartej w art. 2 pkt 16 EKŁE</w:t>
      </w:r>
      <w:r w:rsidR="699235D5" w:rsidRPr="003A42FB">
        <w:rPr>
          <w:rFonts w:ascii="Times New Roman" w:eastAsiaTheme="minorEastAsia" w:hAnsi="Times New Roman" w:cs="Times New Roman"/>
          <w:sz w:val="24"/>
          <w:szCs w:val="24"/>
        </w:rPr>
        <w:t xml:space="preserve"> oraz jest zasadniczo</w:t>
      </w:r>
      <w:r w:rsidR="0CCB428E" w:rsidRPr="003A42FB">
        <w:rPr>
          <w:rFonts w:ascii="Times New Roman" w:eastAsiaTheme="minorEastAsia" w:hAnsi="Times New Roman" w:cs="Times New Roman"/>
          <w:sz w:val="24"/>
          <w:szCs w:val="24"/>
        </w:rPr>
        <w:t xml:space="preserve"> </w:t>
      </w:r>
      <w:r w:rsidR="482A4373" w:rsidRPr="003A42FB">
        <w:rPr>
          <w:rFonts w:ascii="Times New Roman" w:eastAsiaTheme="minorEastAsia" w:hAnsi="Times New Roman" w:cs="Times New Roman"/>
          <w:sz w:val="24"/>
          <w:szCs w:val="24"/>
        </w:rPr>
        <w:t>t</w:t>
      </w:r>
      <w:r w:rsidR="5384BAB4" w:rsidRPr="003A42FB">
        <w:rPr>
          <w:rFonts w:ascii="Times New Roman" w:eastAsiaTheme="minorEastAsia" w:hAnsi="Times New Roman" w:cs="Times New Roman"/>
          <w:sz w:val="24"/>
          <w:szCs w:val="24"/>
        </w:rPr>
        <w:t>ożsama z definicją zawart</w:t>
      </w:r>
      <w:r w:rsidR="526EB396" w:rsidRPr="003A42FB">
        <w:rPr>
          <w:rFonts w:ascii="Times New Roman" w:eastAsiaTheme="minorEastAsia" w:hAnsi="Times New Roman" w:cs="Times New Roman"/>
          <w:sz w:val="24"/>
          <w:szCs w:val="24"/>
        </w:rPr>
        <w:t>ą</w:t>
      </w:r>
      <w:r w:rsidR="5384BAB4" w:rsidRPr="003A42FB">
        <w:rPr>
          <w:rFonts w:ascii="Times New Roman" w:eastAsiaTheme="minorEastAsia" w:hAnsi="Times New Roman" w:cs="Times New Roman"/>
          <w:sz w:val="24"/>
          <w:szCs w:val="24"/>
        </w:rPr>
        <w:t xml:space="preserve"> dotychczas w ustawie Pt.</w:t>
      </w:r>
    </w:p>
    <w:p w14:paraId="0AA576C1" w14:textId="0DF02F34" w:rsidR="00CE7EA4" w:rsidRPr="003A42FB" w:rsidRDefault="004B7EC5" w:rsidP="20DBCFD5">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dostawcy</w:t>
      </w:r>
      <w:r w:rsidR="00B62763" w:rsidRPr="003A42FB">
        <w:rPr>
          <w:rFonts w:ascii="Times New Roman" w:eastAsiaTheme="minorEastAsia" w:hAnsi="Times New Roman" w:cs="Times New Roman"/>
          <w:b/>
          <w:bCs/>
          <w:sz w:val="24"/>
          <w:szCs w:val="24"/>
          <w:u w:val="single"/>
        </w:rPr>
        <w:t xml:space="preserve"> </w:t>
      </w:r>
      <w:r w:rsidR="00B97845" w:rsidRPr="003A42FB">
        <w:rPr>
          <w:rFonts w:ascii="Times New Roman" w:eastAsiaTheme="minorEastAsia" w:hAnsi="Times New Roman" w:cs="Times New Roman"/>
          <w:b/>
          <w:bCs/>
          <w:sz w:val="24"/>
          <w:szCs w:val="24"/>
          <w:u w:val="single"/>
        </w:rPr>
        <w:t xml:space="preserve">usług </w:t>
      </w:r>
      <w:r w:rsidRPr="003A42FB">
        <w:rPr>
          <w:rFonts w:ascii="Times New Roman" w:eastAsiaTheme="minorEastAsia" w:hAnsi="Times New Roman" w:cs="Times New Roman"/>
          <w:b/>
          <w:bCs/>
          <w:sz w:val="24"/>
          <w:szCs w:val="24"/>
          <w:u w:val="single"/>
        </w:rPr>
        <w:t>komunikacji elektronicznej</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
          <w:bCs/>
          <w:sz w:val="24"/>
          <w:szCs w:val="24"/>
        </w:rPr>
        <w:t xml:space="preserve"> </w:t>
      </w:r>
      <w:r w:rsidR="00B62763" w:rsidRPr="003A42FB">
        <w:rPr>
          <w:rFonts w:ascii="Times New Roman" w:eastAsiaTheme="minorEastAsia" w:hAnsi="Times New Roman" w:cs="Times New Roman"/>
          <w:sz w:val="24"/>
          <w:szCs w:val="24"/>
        </w:rPr>
        <w:t>dostawc</w:t>
      </w:r>
      <w:r w:rsidR="64DBB0AE" w:rsidRPr="003A42FB">
        <w:rPr>
          <w:rFonts w:ascii="Times New Roman" w:eastAsiaTheme="minorEastAsia" w:hAnsi="Times New Roman" w:cs="Times New Roman"/>
          <w:sz w:val="24"/>
          <w:szCs w:val="24"/>
        </w:rPr>
        <w:t>a</w:t>
      </w:r>
      <w:r w:rsidR="00B62763" w:rsidRPr="003A42FB">
        <w:rPr>
          <w:rFonts w:ascii="Times New Roman" w:eastAsiaTheme="minorEastAsia" w:hAnsi="Times New Roman" w:cs="Times New Roman"/>
          <w:sz w:val="24"/>
          <w:szCs w:val="24"/>
        </w:rPr>
        <w:t xml:space="preserve"> usług komunikacji elektronicznej </w:t>
      </w:r>
      <w:r w:rsidR="0F3AA197" w:rsidRPr="003A42FB">
        <w:rPr>
          <w:rFonts w:ascii="Times New Roman" w:eastAsiaTheme="minorEastAsia" w:hAnsi="Times New Roman" w:cs="Times New Roman"/>
          <w:sz w:val="24"/>
          <w:szCs w:val="24"/>
        </w:rPr>
        <w:t xml:space="preserve">jest </w:t>
      </w:r>
      <w:r w:rsidR="00B62763" w:rsidRPr="003A42FB">
        <w:rPr>
          <w:rFonts w:ascii="Times New Roman" w:eastAsiaTheme="minorEastAsia" w:hAnsi="Times New Roman" w:cs="Times New Roman"/>
          <w:sz w:val="24"/>
          <w:szCs w:val="24"/>
        </w:rPr>
        <w:t>rozumian</w:t>
      </w:r>
      <w:r w:rsidR="4FA9B47C" w:rsidRPr="003A42FB">
        <w:rPr>
          <w:rFonts w:ascii="Times New Roman" w:eastAsiaTheme="minorEastAsia" w:hAnsi="Times New Roman" w:cs="Times New Roman"/>
          <w:sz w:val="24"/>
          <w:szCs w:val="24"/>
        </w:rPr>
        <w:t>y</w:t>
      </w:r>
      <w:r w:rsidR="00B62763" w:rsidRPr="003A42FB">
        <w:rPr>
          <w:rFonts w:ascii="Times New Roman" w:eastAsiaTheme="minorEastAsia" w:hAnsi="Times New Roman" w:cs="Times New Roman"/>
          <w:sz w:val="24"/>
          <w:szCs w:val="24"/>
        </w:rPr>
        <w:t xml:space="preserve"> jako dostawca</w:t>
      </w:r>
      <w:r w:rsidR="54C83980" w:rsidRPr="003A42FB">
        <w:rPr>
          <w:rFonts w:ascii="Times New Roman" w:eastAsiaTheme="minorEastAsia" w:hAnsi="Times New Roman" w:cs="Times New Roman"/>
          <w:sz w:val="24"/>
          <w:szCs w:val="24"/>
        </w:rPr>
        <w:t xml:space="preserve"> publicznie dostępnych</w:t>
      </w:r>
      <w:r w:rsidR="00B62763" w:rsidRPr="003A42FB">
        <w:rPr>
          <w:rFonts w:ascii="Times New Roman" w:eastAsiaTheme="minorEastAsia" w:hAnsi="Times New Roman" w:cs="Times New Roman"/>
          <w:sz w:val="24"/>
          <w:szCs w:val="24"/>
        </w:rPr>
        <w:t xml:space="preserve"> usług telekomunikacyjn</w:t>
      </w:r>
      <w:r w:rsidR="4D3770C4" w:rsidRPr="003A42FB">
        <w:rPr>
          <w:rFonts w:ascii="Times New Roman" w:eastAsiaTheme="minorEastAsia" w:hAnsi="Times New Roman" w:cs="Times New Roman"/>
          <w:sz w:val="24"/>
          <w:szCs w:val="24"/>
        </w:rPr>
        <w:t>ych</w:t>
      </w:r>
      <w:r w:rsidR="00B62763" w:rsidRPr="003A42FB">
        <w:rPr>
          <w:rFonts w:ascii="Times New Roman" w:eastAsiaTheme="minorEastAsia" w:hAnsi="Times New Roman" w:cs="Times New Roman"/>
          <w:sz w:val="24"/>
          <w:szCs w:val="24"/>
        </w:rPr>
        <w:t xml:space="preserve"> lub podmiot świadczący </w:t>
      </w:r>
      <w:r w:rsidR="473D8B45" w:rsidRPr="003A42FB">
        <w:rPr>
          <w:rFonts w:ascii="Times New Roman" w:eastAsiaTheme="minorEastAsia" w:hAnsi="Times New Roman" w:cs="Times New Roman"/>
          <w:sz w:val="24"/>
          <w:szCs w:val="24"/>
        </w:rPr>
        <w:t xml:space="preserve">publicznie dostępne </w:t>
      </w:r>
      <w:r w:rsidR="00B62763" w:rsidRPr="003A42FB">
        <w:rPr>
          <w:rFonts w:ascii="Times New Roman" w:eastAsiaTheme="minorEastAsia" w:hAnsi="Times New Roman" w:cs="Times New Roman"/>
          <w:sz w:val="24"/>
          <w:szCs w:val="24"/>
        </w:rPr>
        <w:t>usług</w:t>
      </w:r>
      <w:r w:rsidR="48A6CF74" w:rsidRPr="003A42FB">
        <w:rPr>
          <w:rFonts w:ascii="Times New Roman" w:eastAsiaTheme="minorEastAsia" w:hAnsi="Times New Roman" w:cs="Times New Roman"/>
          <w:sz w:val="24"/>
          <w:szCs w:val="24"/>
        </w:rPr>
        <w:t>i</w:t>
      </w:r>
      <w:r w:rsidR="00B62763" w:rsidRPr="003A42FB">
        <w:rPr>
          <w:rFonts w:ascii="Times New Roman" w:eastAsiaTheme="minorEastAsia" w:hAnsi="Times New Roman" w:cs="Times New Roman"/>
          <w:sz w:val="24"/>
          <w:szCs w:val="24"/>
        </w:rPr>
        <w:t xml:space="preserve"> komunikacji interpersonalnej niewykorzystując</w:t>
      </w:r>
      <w:r w:rsidR="2BDC997F" w:rsidRPr="003A42FB">
        <w:rPr>
          <w:rFonts w:ascii="Times New Roman" w:eastAsiaTheme="minorEastAsia" w:hAnsi="Times New Roman" w:cs="Times New Roman"/>
          <w:sz w:val="24"/>
          <w:szCs w:val="24"/>
        </w:rPr>
        <w:t>e</w:t>
      </w:r>
      <w:r w:rsidR="00B62763" w:rsidRPr="003A42FB">
        <w:rPr>
          <w:rFonts w:ascii="Times New Roman" w:eastAsiaTheme="minorEastAsia" w:hAnsi="Times New Roman" w:cs="Times New Roman"/>
          <w:sz w:val="24"/>
          <w:szCs w:val="24"/>
        </w:rPr>
        <w:t xml:space="preserve"> numerów</w:t>
      </w:r>
      <w:r w:rsidR="675EA57F" w:rsidRPr="003A42FB">
        <w:rPr>
          <w:rFonts w:ascii="Times New Roman" w:eastAsiaTheme="minorEastAsia" w:hAnsi="Times New Roman" w:cs="Times New Roman"/>
          <w:sz w:val="24"/>
          <w:szCs w:val="24"/>
        </w:rPr>
        <w:t>.</w:t>
      </w:r>
      <w:r w:rsidR="00B62763" w:rsidRPr="003A42FB">
        <w:rPr>
          <w:rFonts w:ascii="Times New Roman" w:eastAsiaTheme="minorEastAsia" w:hAnsi="Times New Roman" w:cs="Times New Roman"/>
          <w:sz w:val="24"/>
          <w:szCs w:val="24"/>
        </w:rPr>
        <w:t xml:space="preserve"> Pojęcie</w:t>
      </w:r>
      <w:r w:rsidR="00D72623" w:rsidRPr="003A42FB">
        <w:rPr>
          <w:rFonts w:ascii="Times New Roman" w:eastAsiaTheme="minorEastAsia" w:hAnsi="Times New Roman" w:cs="Times New Roman"/>
          <w:sz w:val="24"/>
          <w:szCs w:val="24"/>
        </w:rPr>
        <w:t xml:space="preserve"> to nie występuje w ustawie Pt.</w:t>
      </w:r>
      <w:r w:rsidR="750D9B2C" w:rsidRPr="003A42FB">
        <w:rPr>
          <w:rFonts w:ascii="Times New Roman" w:eastAsiaTheme="minorEastAsia" w:hAnsi="Times New Roman" w:cs="Times New Roman"/>
          <w:sz w:val="24"/>
          <w:szCs w:val="24"/>
        </w:rPr>
        <w:t xml:space="preserve"> Wprowadzenie tej definicji jest konsekwencją </w:t>
      </w:r>
      <w:r w:rsidR="4BE976B6" w:rsidRPr="003A42FB">
        <w:rPr>
          <w:rFonts w:ascii="Times New Roman" w:eastAsiaTheme="minorEastAsia" w:hAnsi="Times New Roman" w:cs="Times New Roman"/>
          <w:sz w:val="24"/>
          <w:szCs w:val="24"/>
        </w:rPr>
        <w:t>zaimplementowania</w:t>
      </w:r>
      <w:r w:rsidR="750D9B2C" w:rsidRPr="003A42FB">
        <w:rPr>
          <w:rFonts w:ascii="Times New Roman" w:eastAsiaTheme="minorEastAsia" w:hAnsi="Times New Roman" w:cs="Times New Roman"/>
          <w:sz w:val="24"/>
          <w:szCs w:val="24"/>
        </w:rPr>
        <w:t xml:space="preserve"> w projektowanej ustawie kodeksowej definicji usługi łączności elektronicznej. </w:t>
      </w:r>
    </w:p>
    <w:p w14:paraId="422C4CFC" w14:textId="0DD679E1" w:rsidR="00FF7922" w:rsidRPr="003A42FB" w:rsidRDefault="021E6F9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dostępu</w:t>
      </w:r>
      <w:r w:rsidR="00781312">
        <w:rPr>
          <w:rFonts w:ascii="Times New Roman" w:eastAsiaTheme="minorEastAsia" w:hAnsi="Times New Roman" w:cs="Times New Roman"/>
          <w:b/>
          <w:bCs/>
          <w:sz w:val="24"/>
          <w:szCs w:val="24"/>
          <w:u w:val="single"/>
        </w:rPr>
        <w:t xml:space="preserve"> telekomunikacyjnego</w:t>
      </w:r>
      <w:r w:rsidRPr="003A42FB">
        <w:rPr>
          <w:rFonts w:ascii="Times New Roman" w:eastAsiaTheme="minorEastAsia" w:hAnsi="Times New Roman" w:cs="Times New Roman"/>
          <w:sz w:val="24"/>
          <w:szCs w:val="24"/>
        </w:rPr>
        <w:t xml:space="preserve"> – jest odpowiednikiem definicji dostępu zawartej w art. 2 </w:t>
      </w:r>
      <w:r w:rsidR="35C7CB20" w:rsidRPr="003A42FB">
        <w:rPr>
          <w:rFonts w:ascii="Times New Roman" w:eastAsiaTheme="minorEastAsia" w:hAnsi="Times New Roman" w:cs="Times New Roman"/>
          <w:sz w:val="24"/>
          <w:szCs w:val="24"/>
        </w:rPr>
        <w:t xml:space="preserve">w </w:t>
      </w:r>
      <w:r w:rsidRPr="003A42FB">
        <w:rPr>
          <w:rFonts w:ascii="Times New Roman" w:eastAsiaTheme="minorEastAsia" w:hAnsi="Times New Roman" w:cs="Times New Roman"/>
          <w:sz w:val="24"/>
          <w:szCs w:val="24"/>
        </w:rPr>
        <w:t xml:space="preserve">pkt 27 EKŁE. Wyszczególnia ona zasoby, które mogą być udostępniane przedsiębiorcy telekomunikacyjnemu do świadczenia usług telekomunikacyjnych. </w:t>
      </w:r>
      <w:r w:rsidR="293D3D79" w:rsidRPr="003A42FB">
        <w:rPr>
          <w:rFonts w:ascii="Times New Roman" w:eastAsiaTheme="minorEastAsia" w:hAnsi="Times New Roman" w:cs="Times New Roman"/>
          <w:sz w:val="24"/>
          <w:szCs w:val="24"/>
        </w:rPr>
        <w:t>Należy podkreślić, że zastąpienie określenia “urządzenia”</w:t>
      </w:r>
      <w:r w:rsidR="59042DA4" w:rsidRPr="003A42FB">
        <w:rPr>
          <w:rFonts w:ascii="Times New Roman" w:eastAsiaTheme="minorEastAsia" w:hAnsi="Times New Roman" w:cs="Times New Roman"/>
          <w:sz w:val="24"/>
          <w:szCs w:val="24"/>
        </w:rPr>
        <w:t xml:space="preserve"> z polskiej wersji językowej EKŁE</w:t>
      </w:r>
      <w:r w:rsidR="293D3D79" w:rsidRPr="003A42FB">
        <w:rPr>
          <w:rFonts w:ascii="Times New Roman" w:eastAsiaTheme="minorEastAsia" w:hAnsi="Times New Roman" w:cs="Times New Roman"/>
          <w:sz w:val="24"/>
          <w:szCs w:val="24"/>
        </w:rPr>
        <w:t xml:space="preserve"> określeniem “zasób” </w:t>
      </w:r>
      <w:r w:rsidR="02BBF23D" w:rsidRPr="003A42FB">
        <w:rPr>
          <w:rFonts w:ascii="Times New Roman" w:eastAsiaTheme="minorEastAsia" w:hAnsi="Times New Roman" w:cs="Times New Roman"/>
          <w:sz w:val="24"/>
          <w:szCs w:val="24"/>
        </w:rPr>
        <w:t xml:space="preserve">na gruncie </w:t>
      </w:r>
      <w:r w:rsidR="40C5E289"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02BBF23D" w:rsidRPr="003A42FB">
        <w:rPr>
          <w:rFonts w:ascii="Times New Roman" w:eastAsiaTheme="minorEastAsia" w:hAnsi="Times New Roman" w:cs="Times New Roman"/>
          <w:sz w:val="24"/>
          <w:szCs w:val="24"/>
        </w:rPr>
        <w:t xml:space="preserve"> </w:t>
      </w:r>
      <w:r w:rsidR="293D3D79" w:rsidRPr="003A42FB">
        <w:rPr>
          <w:rFonts w:ascii="Times New Roman" w:eastAsiaTheme="minorEastAsia" w:hAnsi="Times New Roman" w:cs="Times New Roman"/>
          <w:sz w:val="24"/>
          <w:szCs w:val="24"/>
        </w:rPr>
        <w:t xml:space="preserve">jest bardziej adekwatne, </w:t>
      </w:r>
      <w:r w:rsidR="79819259" w:rsidRPr="003A42FB">
        <w:rPr>
          <w:rFonts w:ascii="Times New Roman" w:eastAsiaTheme="minorEastAsia" w:hAnsi="Times New Roman" w:cs="Times New Roman"/>
          <w:sz w:val="24"/>
          <w:szCs w:val="24"/>
        </w:rPr>
        <w:t>w szczególności</w:t>
      </w:r>
      <w:r w:rsidR="293D3D79" w:rsidRPr="003A42FB">
        <w:rPr>
          <w:rFonts w:ascii="Times New Roman" w:eastAsiaTheme="minorEastAsia" w:hAnsi="Times New Roman" w:cs="Times New Roman"/>
          <w:sz w:val="24"/>
          <w:szCs w:val="24"/>
        </w:rPr>
        <w:t xml:space="preserve"> w kontekście </w:t>
      </w:r>
      <w:r w:rsidR="0058F91B" w:rsidRPr="003A42FB">
        <w:rPr>
          <w:rFonts w:ascii="Times New Roman" w:eastAsiaTheme="minorEastAsia" w:hAnsi="Times New Roman" w:cs="Times New Roman"/>
          <w:sz w:val="24"/>
          <w:szCs w:val="24"/>
        </w:rPr>
        <w:t>nieruchomości, w tym budynk</w:t>
      </w:r>
      <w:r w:rsidR="0096020D">
        <w:rPr>
          <w:rFonts w:ascii="Times New Roman" w:eastAsiaTheme="minorEastAsia" w:hAnsi="Times New Roman" w:cs="Times New Roman"/>
          <w:sz w:val="24"/>
          <w:szCs w:val="24"/>
        </w:rPr>
        <w:t>u</w:t>
      </w:r>
      <w:r w:rsidR="0058F91B" w:rsidRPr="003A42FB">
        <w:rPr>
          <w:rFonts w:ascii="Times New Roman" w:eastAsiaTheme="minorEastAsia" w:hAnsi="Times New Roman" w:cs="Times New Roman"/>
          <w:sz w:val="24"/>
          <w:szCs w:val="24"/>
        </w:rPr>
        <w:t xml:space="preserve"> stanowiący</w:t>
      </w:r>
      <w:r w:rsidR="3EFA2987" w:rsidRPr="003A42FB">
        <w:rPr>
          <w:rFonts w:ascii="Times New Roman" w:eastAsiaTheme="minorEastAsia" w:hAnsi="Times New Roman" w:cs="Times New Roman"/>
          <w:sz w:val="24"/>
          <w:szCs w:val="24"/>
        </w:rPr>
        <w:t>c</w:t>
      </w:r>
      <w:r w:rsidR="0058F91B" w:rsidRPr="003A42FB">
        <w:rPr>
          <w:rFonts w:ascii="Times New Roman" w:eastAsiaTheme="minorEastAsia" w:hAnsi="Times New Roman" w:cs="Times New Roman"/>
          <w:sz w:val="24"/>
          <w:szCs w:val="24"/>
        </w:rPr>
        <w:t xml:space="preserve">h jej </w:t>
      </w:r>
      <w:r w:rsidR="293D3D79" w:rsidRPr="003A42FB">
        <w:rPr>
          <w:rFonts w:ascii="Times New Roman" w:eastAsiaTheme="minorEastAsia" w:hAnsi="Times New Roman" w:cs="Times New Roman"/>
          <w:sz w:val="24"/>
          <w:szCs w:val="24"/>
        </w:rPr>
        <w:t>definiendum</w:t>
      </w:r>
      <w:r w:rsidR="21EB7CAB" w:rsidRPr="003A42FB">
        <w:rPr>
          <w:rFonts w:ascii="Times New Roman" w:eastAsiaTheme="minorEastAsia" w:hAnsi="Times New Roman" w:cs="Times New Roman"/>
          <w:sz w:val="24"/>
          <w:szCs w:val="24"/>
        </w:rPr>
        <w:t>.</w:t>
      </w:r>
      <w:r w:rsidR="2BD93C9B" w:rsidRPr="003A42FB">
        <w:rPr>
          <w:rFonts w:ascii="Times New Roman" w:eastAsiaTheme="minorEastAsia" w:hAnsi="Times New Roman" w:cs="Times New Roman"/>
          <w:sz w:val="24"/>
          <w:szCs w:val="24"/>
        </w:rPr>
        <w:t xml:space="preserve"> Ponadto desygnaty te nie stanowią zamkniętego katalogu zasobów, gdyż w definicji</w:t>
      </w:r>
      <w:r w:rsidR="520F4365" w:rsidRPr="003A42FB">
        <w:rPr>
          <w:rFonts w:ascii="Times New Roman" w:eastAsiaTheme="minorEastAsia" w:hAnsi="Times New Roman" w:cs="Times New Roman"/>
          <w:sz w:val="24"/>
          <w:szCs w:val="24"/>
        </w:rPr>
        <w:t xml:space="preserve"> – </w:t>
      </w:r>
      <w:r w:rsidR="5C71B0B6" w:rsidRPr="003A42FB">
        <w:rPr>
          <w:rFonts w:ascii="Times New Roman" w:eastAsiaTheme="minorEastAsia" w:hAnsi="Times New Roman" w:cs="Times New Roman"/>
          <w:sz w:val="24"/>
          <w:szCs w:val="24"/>
        </w:rPr>
        <w:t>na</w:t>
      </w:r>
      <w:r w:rsidR="2BD93C9B" w:rsidRPr="003A42FB">
        <w:rPr>
          <w:rFonts w:ascii="Times New Roman" w:eastAsiaTheme="minorEastAsia" w:hAnsi="Times New Roman" w:cs="Times New Roman"/>
          <w:sz w:val="24"/>
          <w:szCs w:val="24"/>
        </w:rPr>
        <w:t xml:space="preserve"> </w:t>
      </w:r>
      <w:r w:rsidR="520F4365" w:rsidRPr="003A42FB">
        <w:rPr>
          <w:rFonts w:ascii="Times New Roman" w:eastAsiaTheme="minorEastAsia" w:hAnsi="Times New Roman" w:cs="Times New Roman"/>
          <w:sz w:val="24"/>
          <w:szCs w:val="24"/>
        </w:rPr>
        <w:t xml:space="preserve">wzór art. </w:t>
      </w:r>
      <w:r w:rsidR="34CA2B7A" w:rsidRPr="003A42FB">
        <w:rPr>
          <w:rFonts w:ascii="Times New Roman" w:eastAsiaTheme="minorEastAsia" w:hAnsi="Times New Roman" w:cs="Times New Roman"/>
          <w:sz w:val="24"/>
          <w:szCs w:val="24"/>
        </w:rPr>
        <w:t>2 pkt</w:t>
      </w:r>
      <w:r w:rsidR="520F4365" w:rsidRPr="003A42FB">
        <w:rPr>
          <w:rFonts w:ascii="Times New Roman" w:eastAsiaTheme="minorEastAsia" w:hAnsi="Times New Roman" w:cs="Times New Roman"/>
          <w:sz w:val="24"/>
          <w:szCs w:val="24"/>
        </w:rPr>
        <w:t xml:space="preserve"> 27 EKŁE - </w:t>
      </w:r>
      <w:r w:rsidR="2BD93C9B" w:rsidRPr="003A42FB">
        <w:rPr>
          <w:rFonts w:ascii="Times New Roman" w:eastAsiaTheme="minorEastAsia" w:hAnsi="Times New Roman" w:cs="Times New Roman"/>
          <w:sz w:val="24"/>
          <w:szCs w:val="24"/>
        </w:rPr>
        <w:t>posłużono się wyrażeniem „w szczególności”. Nie mniej</w:t>
      </w:r>
      <w:r w:rsidR="69C7AF28" w:rsidRPr="003A42FB">
        <w:rPr>
          <w:rFonts w:ascii="Times New Roman" w:eastAsiaTheme="minorEastAsia" w:hAnsi="Times New Roman" w:cs="Times New Roman"/>
          <w:sz w:val="24"/>
          <w:szCs w:val="24"/>
        </w:rPr>
        <w:t xml:space="preserve">, nie </w:t>
      </w:r>
      <w:r w:rsidR="2BD93C9B" w:rsidRPr="003A42FB">
        <w:rPr>
          <w:rFonts w:ascii="Times New Roman" w:eastAsiaTheme="minorEastAsia" w:hAnsi="Times New Roman" w:cs="Times New Roman"/>
          <w:sz w:val="24"/>
          <w:szCs w:val="24"/>
        </w:rPr>
        <w:t>zachodzi obawa, że dostęp do zasob</w:t>
      </w:r>
      <w:r w:rsidR="4F7019C1" w:rsidRPr="003A42FB">
        <w:rPr>
          <w:rFonts w:ascii="Times New Roman" w:eastAsiaTheme="minorEastAsia" w:hAnsi="Times New Roman" w:cs="Times New Roman"/>
          <w:sz w:val="24"/>
          <w:szCs w:val="24"/>
        </w:rPr>
        <w:t xml:space="preserve">ów można rozciągnąć </w:t>
      </w:r>
      <w:r w:rsidR="005E4245">
        <w:rPr>
          <w:rFonts w:ascii="Times New Roman" w:eastAsiaTheme="minorEastAsia" w:hAnsi="Times New Roman" w:cs="Times New Roman"/>
          <w:sz w:val="24"/>
          <w:szCs w:val="24"/>
        </w:rPr>
        <w:lastRenderedPageBreak/>
        <w:t xml:space="preserve">np. </w:t>
      </w:r>
      <w:r w:rsidR="4F7019C1" w:rsidRPr="003A42FB">
        <w:rPr>
          <w:rFonts w:ascii="Times New Roman" w:eastAsiaTheme="minorEastAsia" w:hAnsi="Times New Roman" w:cs="Times New Roman"/>
          <w:sz w:val="24"/>
          <w:szCs w:val="24"/>
        </w:rPr>
        <w:t>na zasoby osobowe</w:t>
      </w:r>
      <w:r w:rsidR="00781312">
        <w:rPr>
          <w:rFonts w:ascii="Times New Roman" w:eastAsiaTheme="minorEastAsia" w:hAnsi="Times New Roman" w:cs="Times New Roman"/>
          <w:sz w:val="24"/>
          <w:szCs w:val="24"/>
        </w:rPr>
        <w:t>, ponieważ</w:t>
      </w:r>
      <w:r w:rsidR="005E4245">
        <w:rPr>
          <w:rFonts w:ascii="Times New Roman" w:eastAsiaTheme="minorEastAsia" w:hAnsi="Times New Roman" w:cs="Times New Roman"/>
          <w:sz w:val="24"/>
          <w:szCs w:val="24"/>
        </w:rPr>
        <w:t xml:space="preserve"> do powstania zobowiązania do zapewnienia </w:t>
      </w:r>
      <w:r w:rsidR="00862AB7">
        <w:rPr>
          <w:rFonts w:ascii="Times New Roman" w:eastAsiaTheme="minorEastAsia" w:hAnsi="Times New Roman" w:cs="Times New Roman"/>
          <w:sz w:val="24"/>
          <w:szCs w:val="24"/>
        </w:rPr>
        <w:t xml:space="preserve">dostępu do </w:t>
      </w:r>
      <w:r w:rsidR="005E4245">
        <w:rPr>
          <w:rFonts w:ascii="Times New Roman" w:eastAsiaTheme="minorEastAsia" w:hAnsi="Times New Roman" w:cs="Times New Roman"/>
          <w:sz w:val="24"/>
          <w:szCs w:val="24"/>
        </w:rPr>
        <w:t>określonego</w:t>
      </w:r>
      <w:r w:rsidR="00862AB7">
        <w:rPr>
          <w:rFonts w:ascii="Times New Roman" w:eastAsiaTheme="minorEastAsia" w:hAnsi="Times New Roman" w:cs="Times New Roman"/>
          <w:sz w:val="24"/>
          <w:szCs w:val="24"/>
        </w:rPr>
        <w:t xml:space="preserve"> zasobu</w:t>
      </w:r>
      <w:r w:rsidR="005E4245">
        <w:rPr>
          <w:rFonts w:ascii="Times New Roman" w:eastAsiaTheme="minorEastAsia" w:hAnsi="Times New Roman" w:cs="Times New Roman"/>
          <w:sz w:val="24"/>
          <w:szCs w:val="24"/>
        </w:rPr>
        <w:t xml:space="preserve">, niezbędny jest przepis </w:t>
      </w:r>
      <w:r w:rsidR="0096020D">
        <w:rPr>
          <w:rFonts w:ascii="Times New Roman" w:eastAsiaTheme="minorEastAsia" w:hAnsi="Times New Roman" w:cs="Times New Roman"/>
          <w:sz w:val="24"/>
          <w:szCs w:val="24"/>
        </w:rPr>
        <w:t>prawa powszechnie obowiązującego lub akt stosowania prawa</w:t>
      </w:r>
      <w:r w:rsidR="005E4245">
        <w:rPr>
          <w:rFonts w:ascii="Times New Roman" w:eastAsiaTheme="minorEastAsia" w:hAnsi="Times New Roman" w:cs="Times New Roman"/>
          <w:sz w:val="24"/>
          <w:szCs w:val="24"/>
        </w:rPr>
        <w:t xml:space="preserve"> wydany na podstawie </w:t>
      </w:r>
      <w:r w:rsidR="0096020D">
        <w:rPr>
          <w:rFonts w:ascii="Times New Roman" w:eastAsiaTheme="minorEastAsia" w:hAnsi="Times New Roman" w:cs="Times New Roman"/>
          <w:sz w:val="24"/>
          <w:szCs w:val="24"/>
        </w:rPr>
        <w:t>ustawy</w:t>
      </w:r>
      <w:r w:rsidR="00862AB7">
        <w:rPr>
          <w:rFonts w:ascii="Times New Roman" w:eastAsiaTheme="minorEastAsia" w:hAnsi="Times New Roman" w:cs="Times New Roman"/>
          <w:sz w:val="24"/>
          <w:szCs w:val="24"/>
        </w:rPr>
        <w:t>. Źródłem obowiązku dostępowego nie jest więc definicja per se</w:t>
      </w:r>
      <w:r w:rsidR="0096020D">
        <w:rPr>
          <w:rFonts w:ascii="Times New Roman" w:eastAsiaTheme="minorEastAsia" w:hAnsi="Times New Roman" w:cs="Times New Roman"/>
          <w:sz w:val="24"/>
          <w:szCs w:val="24"/>
        </w:rPr>
        <w:t>.</w:t>
      </w:r>
      <w:r w:rsidR="005E4245">
        <w:rPr>
          <w:rFonts w:ascii="Times New Roman" w:eastAsiaTheme="minorEastAsia" w:hAnsi="Times New Roman" w:cs="Times New Roman"/>
          <w:sz w:val="24"/>
          <w:szCs w:val="24"/>
        </w:rPr>
        <w:t xml:space="preserve"> </w:t>
      </w:r>
      <w:r w:rsidR="00401436">
        <w:rPr>
          <w:rFonts w:ascii="Times New Roman" w:eastAsiaTheme="minorEastAsia" w:hAnsi="Times New Roman" w:cs="Times New Roman"/>
          <w:sz w:val="24"/>
          <w:szCs w:val="24"/>
        </w:rPr>
        <w:t>Dostęp telekomunikacyjny obejmuje również dostęp określony w ustawie o wspieraniu rozwoju, m.in. dostęp do infrastruktury technicznej, czy dostęp do nieruchomości w tym do budynków.</w:t>
      </w:r>
    </w:p>
    <w:p w14:paraId="46DC5A58" w14:textId="0EBF06D5" w:rsidR="004B7EC5" w:rsidRPr="003A42FB" w:rsidRDefault="004B7EC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dostępu do lokalnej pętli abonenckiej</w:t>
      </w:r>
      <w:r w:rsidRPr="003A42FB">
        <w:rPr>
          <w:rFonts w:ascii="Times New Roman" w:eastAsiaTheme="minorEastAsia" w:hAnsi="Times New Roman" w:cs="Times New Roman"/>
          <w:sz w:val="24"/>
          <w:szCs w:val="24"/>
        </w:rPr>
        <w:t xml:space="preserve"> – </w:t>
      </w:r>
      <w:r w:rsidR="00080A68" w:rsidRPr="003A42FB">
        <w:rPr>
          <w:rFonts w:ascii="Times New Roman" w:eastAsiaTheme="minorEastAsia" w:hAnsi="Times New Roman" w:cs="Times New Roman"/>
          <w:sz w:val="24"/>
          <w:szCs w:val="24"/>
        </w:rPr>
        <w:t xml:space="preserve">dostęp do sieci polegający na korzystaniu z lokalnej pętli abonenckiej lub lokalnej podpętli abonenckiej przez innego przedsiębiorcę komunikacji elektronicznej. </w:t>
      </w:r>
      <w:r w:rsidR="3BA488CD" w:rsidRPr="003A42FB">
        <w:rPr>
          <w:rFonts w:ascii="Times New Roman" w:eastAsiaTheme="minorEastAsia" w:hAnsi="Times New Roman" w:cs="Times New Roman"/>
          <w:sz w:val="24"/>
          <w:szCs w:val="24"/>
        </w:rPr>
        <w:t xml:space="preserve">Definicja jest tożsama z dotychczasową definicją zawartą w ustawie Pt. </w:t>
      </w:r>
    </w:p>
    <w:p w14:paraId="78DCA9A1" w14:textId="755A930E" w:rsidR="004B7EC5" w:rsidRPr="003A42FB" w:rsidRDefault="004B7EC5"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elektronicznego przewodnika po programach </w:t>
      </w:r>
      <w:r w:rsidRPr="003A42FB">
        <w:rPr>
          <w:rFonts w:ascii="Times New Roman" w:eastAsiaTheme="minorEastAsia" w:hAnsi="Times New Roman" w:cs="Times New Roman"/>
          <w:b/>
          <w:bCs/>
          <w:sz w:val="24"/>
          <w:szCs w:val="24"/>
        </w:rPr>
        <w:t>-</w:t>
      </w:r>
      <w:r w:rsidR="6D2B1514" w:rsidRPr="003A42FB">
        <w:rPr>
          <w:rFonts w:ascii="Times New Roman" w:eastAsiaTheme="minorEastAsia" w:hAnsi="Times New Roman" w:cs="Times New Roman"/>
          <w:b/>
          <w:bCs/>
          <w:sz w:val="24"/>
          <w:szCs w:val="24"/>
        </w:rPr>
        <w:t xml:space="preserve"> </w:t>
      </w:r>
      <w:r w:rsidR="00565915" w:rsidRPr="003A42FB">
        <w:rPr>
          <w:rFonts w:ascii="Times New Roman" w:eastAsiaTheme="minorEastAsia" w:hAnsi="Times New Roman" w:cs="Times New Roman"/>
          <w:sz w:val="24"/>
          <w:szCs w:val="24"/>
        </w:rPr>
        <w:t xml:space="preserve">pojęcie elektronicznego przewodnika po programach </w:t>
      </w:r>
      <w:r w:rsidR="002863C2" w:rsidRPr="003A42FB">
        <w:rPr>
          <w:rFonts w:ascii="Times New Roman" w:eastAsiaTheme="minorEastAsia" w:hAnsi="Times New Roman" w:cs="Times New Roman"/>
          <w:sz w:val="24"/>
          <w:szCs w:val="24"/>
        </w:rPr>
        <w:t>rozumian</w:t>
      </w:r>
      <w:r w:rsidR="63ED64BF" w:rsidRPr="003A42FB">
        <w:rPr>
          <w:rFonts w:ascii="Times New Roman" w:eastAsiaTheme="minorEastAsia" w:hAnsi="Times New Roman" w:cs="Times New Roman"/>
          <w:sz w:val="24"/>
          <w:szCs w:val="24"/>
        </w:rPr>
        <w:t>e jest</w:t>
      </w:r>
      <w:r w:rsidR="002863C2" w:rsidRPr="003A42FB">
        <w:rPr>
          <w:rFonts w:ascii="Times New Roman" w:eastAsiaTheme="minorEastAsia" w:hAnsi="Times New Roman" w:cs="Times New Roman"/>
          <w:sz w:val="24"/>
          <w:szCs w:val="24"/>
        </w:rPr>
        <w:t xml:space="preserve"> jako środek lub rozwiązanie</w:t>
      </w:r>
      <w:r w:rsidR="00565915" w:rsidRPr="003A42FB">
        <w:rPr>
          <w:rFonts w:ascii="Times New Roman" w:eastAsiaTheme="minorEastAsia" w:hAnsi="Times New Roman" w:cs="Times New Roman"/>
          <w:sz w:val="24"/>
          <w:szCs w:val="24"/>
        </w:rPr>
        <w:t xml:space="preserve"> techniczne umożliwiające wybór programów, stosowane w systemach telewizji cyfrowej, zawierające dodatkowe dane opisujące programy występujące w cyfrowym sygnale telewizyjnym. Definicja ta nie ma odpowiednika w przepisach EKŁE. Pojęcie to występuje w ustawie Pt oraz w przepisach projekt</w:t>
      </w:r>
      <w:r w:rsidR="25899865" w:rsidRPr="003A42FB">
        <w:rPr>
          <w:rFonts w:ascii="Times New Roman" w:eastAsiaTheme="minorEastAsia" w:hAnsi="Times New Roman" w:cs="Times New Roman"/>
          <w:sz w:val="24"/>
          <w:szCs w:val="24"/>
        </w:rPr>
        <w:t>owanej ustawy</w:t>
      </w:r>
      <w:r w:rsidR="00565915" w:rsidRPr="003A42FB">
        <w:rPr>
          <w:rFonts w:ascii="Times New Roman" w:eastAsiaTheme="minorEastAsia" w:hAnsi="Times New Roman" w:cs="Times New Roman"/>
          <w:sz w:val="24"/>
          <w:szCs w:val="24"/>
        </w:rPr>
        <w:t xml:space="preserve"> regulujących cyfrowe transmisje radiofoniczne i w przepisach z zakres</w:t>
      </w:r>
      <w:r w:rsidR="00D72623" w:rsidRPr="003A42FB">
        <w:rPr>
          <w:rFonts w:ascii="Times New Roman" w:eastAsiaTheme="minorEastAsia" w:hAnsi="Times New Roman" w:cs="Times New Roman"/>
          <w:sz w:val="24"/>
          <w:szCs w:val="24"/>
        </w:rPr>
        <w:t xml:space="preserve">u dostępu telekomunikacyjnego. </w:t>
      </w:r>
    </w:p>
    <w:p w14:paraId="60A767A4" w14:textId="1F7683E9" w:rsidR="00EE32AB"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w:t>
      </w:r>
      <w:r w:rsidR="0048381A" w:rsidRPr="003A42FB">
        <w:rPr>
          <w:rFonts w:ascii="Times New Roman" w:eastAsiaTheme="minorEastAsia" w:hAnsi="Times New Roman" w:cs="Times New Roman"/>
          <w:b/>
          <w:bCs/>
          <w:sz w:val="24"/>
          <w:szCs w:val="24"/>
          <w:u w:val="single"/>
        </w:rPr>
        <w:t>a</w:t>
      </w:r>
      <w:r w:rsidRPr="003A42FB">
        <w:rPr>
          <w:rFonts w:ascii="Times New Roman" w:eastAsiaTheme="minorEastAsia" w:hAnsi="Times New Roman" w:cs="Times New Roman"/>
          <w:b/>
          <w:bCs/>
          <w:sz w:val="24"/>
          <w:szCs w:val="24"/>
          <w:u w:val="single"/>
        </w:rPr>
        <w:t xml:space="preserve"> fal radiowych</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 definicja fal radiowych </w:t>
      </w:r>
      <w:r w:rsidR="00EE32AB" w:rsidRPr="003A42FB">
        <w:rPr>
          <w:rFonts w:ascii="Times New Roman" w:eastAsiaTheme="minorEastAsia" w:hAnsi="Times New Roman" w:cs="Times New Roman"/>
          <w:sz w:val="24"/>
          <w:szCs w:val="24"/>
        </w:rPr>
        <w:t>wynika</w:t>
      </w:r>
      <w:r w:rsidRPr="003A42FB">
        <w:rPr>
          <w:rFonts w:ascii="Times New Roman" w:eastAsiaTheme="minorEastAsia" w:hAnsi="Times New Roman" w:cs="Times New Roman"/>
          <w:sz w:val="24"/>
          <w:szCs w:val="24"/>
        </w:rPr>
        <w:t xml:space="preserve"> z dyrektywy Parlamentu Europejskiego i Rady 2014/53/UE z dnia 16 kwietnia 2014 r. w sprawie harmonizacji ustawodawstw państw członkowskich dotyczących udostępniania na rynku urządzeń radiowych i uchylająca dyrektywę 1999/5/WE z dnia 16 kwietnia 2014 r. (Dz.</w:t>
      </w:r>
      <w:r w:rsidR="2EFBC1F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Urz.</w:t>
      </w:r>
      <w:r w:rsidR="18DB0EAA"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UE.</w:t>
      </w:r>
      <w:r w:rsidR="5D18415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L Nr 153, str. 62) i jest </w:t>
      </w:r>
      <w:r w:rsidR="00EE32AB" w:rsidRPr="003A42FB">
        <w:rPr>
          <w:rFonts w:ascii="Times New Roman" w:eastAsiaTheme="minorEastAsia" w:hAnsi="Times New Roman" w:cs="Times New Roman"/>
          <w:sz w:val="24"/>
          <w:szCs w:val="24"/>
        </w:rPr>
        <w:t xml:space="preserve">jednocześnie </w:t>
      </w:r>
      <w:r w:rsidRPr="003A42FB">
        <w:rPr>
          <w:rFonts w:ascii="Times New Roman" w:eastAsiaTheme="minorEastAsia" w:hAnsi="Times New Roman" w:cs="Times New Roman"/>
          <w:sz w:val="24"/>
          <w:szCs w:val="24"/>
        </w:rPr>
        <w:t xml:space="preserve">zgodna z definicja zawartą w </w:t>
      </w:r>
      <w:r w:rsidR="00163DF5" w:rsidRPr="003A42FB">
        <w:rPr>
          <w:rFonts w:ascii="Times New Roman" w:eastAsiaTheme="minorEastAsia" w:hAnsi="Times New Roman" w:cs="Times New Roman"/>
          <w:sz w:val="24"/>
          <w:szCs w:val="24"/>
        </w:rPr>
        <w:t>art. 1 Regulaminu Radiokomunikacyjnego</w:t>
      </w:r>
      <w:r w:rsidR="00EE32AB" w:rsidRPr="003A42FB">
        <w:rPr>
          <w:rFonts w:ascii="Times New Roman" w:eastAsiaTheme="minorEastAsia" w:hAnsi="Times New Roman" w:cs="Times New Roman"/>
          <w:sz w:val="24"/>
          <w:szCs w:val="24"/>
        </w:rPr>
        <w:t>.</w:t>
      </w:r>
    </w:p>
    <w:p w14:paraId="41795776" w14:textId="77777777" w:rsidR="00EE32AB" w:rsidRPr="003A42FB" w:rsidRDefault="00EE32A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Definicja wskazuje, że pod pojęciem fal radiowych należy rozumieć fale elektromagnetyczne o częstotliwościach niższych niż 3000 GHz, rozchodzące się w przestrzeni bez pomocy sztucznego przewodnika. Definicja w takim samym brzmieniu była zawarta w ustawie Pt (art. 2 pkt 7a).</w:t>
      </w:r>
    </w:p>
    <w:p w14:paraId="13F09051" w14:textId="792EDFE7" w:rsidR="3C32F528" w:rsidRPr="003A42FB" w:rsidRDefault="00EE32A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Definicja ta jest po</w:t>
      </w:r>
      <w:r w:rsidR="0048381A" w:rsidRPr="003A42FB">
        <w:rPr>
          <w:rFonts w:ascii="Times New Roman" w:eastAsiaTheme="minorEastAsia" w:hAnsi="Times New Roman" w:cs="Times New Roman"/>
          <w:sz w:val="24"/>
          <w:szCs w:val="24"/>
        </w:rPr>
        <w:t>wiązana z definicją urządzenia radiowego, które jest szczególnym rodzajem urządzenia telekomunikacyjnego i emituje lub odbiera fale radiowe na potrzeby radiokomunikacji lub radiolokacji, lub urządzenia telekomunikacyjnego, które musi zostać uzupełnione o dodatkowy element, aby mogło celowo emitować lub odbierać fale radiowe na potrzeby radiokomunikacji lub radiolokacji.</w:t>
      </w:r>
    </w:p>
    <w:p w14:paraId="6B631C48" w14:textId="780E64A2" w:rsidR="00324F13" w:rsidRDefault="00324F13" w:rsidP="00C53EAB">
      <w:pPr>
        <w:spacing w:after="120" w:line="240" w:lineRule="auto"/>
        <w:jc w:val="both"/>
        <w:rPr>
          <w:rFonts w:ascii="Times New Roman" w:eastAsiaTheme="minorEastAsia" w:hAnsi="Times New Roman" w:cs="Times New Roman"/>
          <w:b/>
          <w:bCs/>
          <w:sz w:val="24"/>
          <w:szCs w:val="24"/>
          <w:u w:val="single"/>
        </w:rPr>
      </w:pPr>
      <w:r>
        <w:rPr>
          <w:rFonts w:ascii="Times New Roman" w:eastAsiaTheme="minorEastAsia" w:hAnsi="Times New Roman" w:cs="Times New Roman"/>
          <w:b/>
          <w:bCs/>
          <w:sz w:val="24"/>
          <w:szCs w:val="24"/>
          <w:u w:val="single"/>
        </w:rPr>
        <w:t>Definicja in</w:t>
      </w:r>
      <w:r w:rsidR="00ED32FA">
        <w:rPr>
          <w:rFonts w:ascii="Times New Roman" w:eastAsiaTheme="minorEastAsia" w:hAnsi="Times New Roman" w:cs="Times New Roman"/>
          <w:b/>
          <w:bCs/>
          <w:sz w:val="24"/>
          <w:szCs w:val="24"/>
          <w:u w:val="single"/>
        </w:rPr>
        <w:t>f</w:t>
      </w:r>
      <w:r>
        <w:rPr>
          <w:rFonts w:ascii="Times New Roman" w:eastAsiaTheme="minorEastAsia" w:hAnsi="Times New Roman" w:cs="Times New Roman"/>
          <w:b/>
          <w:bCs/>
          <w:sz w:val="24"/>
          <w:szCs w:val="24"/>
          <w:u w:val="single"/>
        </w:rPr>
        <w:t>rastruktury</w:t>
      </w:r>
      <w:r w:rsidR="0096020D">
        <w:rPr>
          <w:rFonts w:ascii="Times New Roman" w:eastAsiaTheme="minorEastAsia" w:hAnsi="Times New Roman" w:cs="Times New Roman"/>
          <w:b/>
          <w:bCs/>
          <w:sz w:val="24"/>
          <w:szCs w:val="24"/>
          <w:u w:val="single"/>
        </w:rPr>
        <w:t xml:space="preserve"> techniczn</w:t>
      </w:r>
      <w:r>
        <w:rPr>
          <w:rFonts w:ascii="Times New Roman" w:eastAsiaTheme="minorEastAsia" w:hAnsi="Times New Roman" w:cs="Times New Roman"/>
          <w:b/>
          <w:bCs/>
          <w:sz w:val="24"/>
          <w:szCs w:val="24"/>
          <w:u w:val="single"/>
        </w:rPr>
        <w:t>ej –</w:t>
      </w:r>
      <w:r w:rsidR="0032116D">
        <w:rPr>
          <w:rFonts w:ascii="Times New Roman" w:eastAsiaTheme="minorEastAsia" w:hAnsi="Times New Roman" w:cs="Times New Roman"/>
          <w:b/>
          <w:bCs/>
          <w:sz w:val="24"/>
          <w:szCs w:val="24"/>
          <w:u w:val="single"/>
        </w:rPr>
        <w:t xml:space="preserve"> </w:t>
      </w:r>
      <w:r w:rsidR="0032116D">
        <w:rPr>
          <w:rFonts w:ascii="Times New Roman" w:eastAsiaTheme="minorEastAsia" w:hAnsi="Times New Roman" w:cs="Times New Roman"/>
          <w:bCs/>
          <w:sz w:val="24"/>
          <w:szCs w:val="24"/>
          <w:u w:val="single"/>
        </w:rPr>
        <w:t>ze względu na szczególne znaczenie</w:t>
      </w:r>
      <w:r w:rsidR="0032116D" w:rsidRPr="0032116D">
        <w:rPr>
          <w:rFonts w:ascii="Times New Roman" w:eastAsiaTheme="minorEastAsia" w:hAnsi="Times New Roman" w:cs="Times New Roman"/>
          <w:bCs/>
          <w:sz w:val="24"/>
          <w:szCs w:val="24"/>
          <w:u w:val="single"/>
        </w:rPr>
        <w:t xml:space="preserve"> </w:t>
      </w:r>
      <w:r w:rsidR="0032116D">
        <w:rPr>
          <w:rFonts w:ascii="Times New Roman" w:eastAsiaTheme="minorEastAsia" w:hAnsi="Times New Roman" w:cs="Times New Roman"/>
          <w:bCs/>
          <w:sz w:val="24"/>
          <w:szCs w:val="24"/>
          <w:u w:val="single"/>
        </w:rPr>
        <w:t>pojęcia infrastruktury technicznej</w:t>
      </w:r>
      <w:r w:rsidR="0032116D" w:rsidRPr="0032116D">
        <w:rPr>
          <w:rFonts w:ascii="Times New Roman" w:eastAsiaTheme="minorEastAsia" w:hAnsi="Times New Roman" w:cs="Times New Roman"/>
          <w:bCs/>
          <w:sz w:val="24"/>
          <w:szCs w:val="24"/>
          <w:u w:val="single"/>
        </w:rPr>
        <w:t>, proponuje się</w:t>
      </w:r>
      <w:r w:rsidR="0032116D">
        <w:rPr>
          <w:rFonts w:ascii="Times New Roman" w:eastAsiaTheme="minorEastAsia" w:hAnsi="Times New Roman" w:cs="Times New Roman"/>
          <w:b/>
          <w:bCs/>
          <w:sz w:val="24"/>
          <w:szCs w:val="24"/>
          <w:u w:val="single"/>
        </w:rPr>
        <w:t xml:space="preserve"> </w:t>
      </w:r>
      <w:r w:rsidR="0032116D">
        <w:rPr>
          <w:rFonts w:ascii="Times New Roman" w:eastAsiaTheme="minorEastAsia" w:hAnsi="Times New Roman" w:cs="Times New Roman"/>
          <w:bCs/>
          <w:sz w:val="24"/>
          <w:szCs w:val="24"/>
          <w:u w:val="single"/>
        </w:rPr>
        <w:t>zawarcie</w:t>
      </w:r>
      <w:r w:rsidR="0032116D" w:rsidRPr="0032116D">
        <w:rPr>
          <w:rFonts w:ascii="Times New Roman" w:eastAsiaTheme="minorEastAsia" w:hAnsi="Times New Roman" w:cs="Times New Roman"/>
          <w:bCs/>
          <w:sz w:val="24"/>
          <w:szCs w:val="24"/>
          <w:u w:val="single"/>
        </w:rPr>
        <w:t xml:space="preserve"> odesłania do</w:t>
      </w:r>
      <w:r w:rsidR="0032116D">
        <w:rPr>
          <w:rFonts w:ascii="Times New Roman" w:eastAsiaTheme="minorEastAsia" w:hAnsi="Times New Roman" w:cs="Times New Roman"/>
          <w:bCs/>
          <w:sz w:val="24"/>
          <w:szCs w:val="24"/>
          <w:u w:val="single"/>
        </w:rPr>
        <w:t xml:space="preserve"> definicji zawartej w</w:t>
      </w:r>
      <w:r w:rsidR="0032116D" w:rsidRPr="0032116D">
        <w:rPr>
          <w:rFonts w:ascii="Times New Roman" w:eastAsiaTheme="minorEastAsia" w:hAnsi="Times New Roman" w:cs="Times New Roman"/>
          <w:bCs/>
          <w:sz w:val="24"/>
          <w:szCs w:val="24"/>
          <w:u w:val="single"/>
        </w:rPr>
        <w:t xml:space="preserve"> art. 2 ust. 1 pkt 6 ustawy z dnia 7 maja 2010 r. o wspieraniu rozwoju usług i sieci telekomunikacyjnych</w:t>
      </w:r>
      <w:r w:rsidR="0032116D">
        <w:rPr>
          <w:rFonts w:ascii="Times New Roman" w:eastAsiaTheme="minorEastAsia" w:hAnsi="Times New Roman" w:cs="Times New Roman"/>
          <w:bCs/>
          <w:sz w:val="24"/>
          <w:szCs w:val="24"/>
          <w:u w:val="single"/>
        </w:rPr>
        <w:t xml:space="preserve">. </w:t>
      </w:r>
    </w:p>
    <w:p w14:paraId="4CCED3F8" w14:textId="7C6A1AAE" w:rsidR="00E5318F" w:rsidRPr="003A42FB" w:rsidRDefault="00E5318F"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u w:val="single"/>
        </w:rPr>
        <w:t>Definicja infrastruktury telekomunikacyjnej</w:t>
      </w:r>
      <w:r w:rsidRPr="003A42FB">
        <w:rPr>
          <w:rFonts w:ascii="Times New Roman" w:eastAsiaTheme="minorEastAsia" w:hAnsi="Times New Roman" w:cs="Times New Roman"/>
          <w:b/>
          <w:bCs/>
          <w:sz w:val="24"/>
          <w:szCs w:val="24"/>
        </w:rPr>
        <w:t xml:space="preserve"> – </w:t>
      </w:r>
      <w:r w:rsidR="00F60B2E" w:rsidRPr="003A42FB">
        <w:rPr>
          <w:rFonts w:ascii="Times New Roman" w:eastAsiaTheme="minorEastAsia" w:hAnsi="Times New Roman" w:cs="Times New Roman"/>
          <w:sz w:val="24"/>
          <w:szCs w:val="24"/>
        </w:rPr>
        <w:t xml:space="preserve">projektowana definicja stanowi </w:t>
      </w:r>
      <w:r w:rsidR="00862AB7">
        <w:rPr>
          <w:rFonts w:ascii="Times New Roman" w:eastAsiaTheme="minorEastAsia" w:hAnsi="Times New Roman" w:cs="Times New Roman"/>
          <w:sz w:val="24"/>
          <w:szCs w:val="24"/>
        </w:rPr>
        <w:t xml:space="preserve">pewną zmianę brzmienia w stosunku do </w:t>
      </w:r>
      <w:r w:rsidR="00862AB7" w:rsidRPr="003A42FB">
        <w:rPr>
          <w:rFonts w:ascii="Times New Roman" w:eastAsiaTheme="minorEastAsia" w:hAnsi="Times New Roman" w:cs="Times New Roman"/>
          <w:sz w:val="24"/>
          <w:szCs w:val="24"/>
        </w:rPr>
        <w:t>definicji infrastruktury telekomunikacyjnej zawartej w art. 2 pkt 8 Pt</w:t>
      </w:r>
      <w:r w:rsidR="00862AB7">
        <w:rPr>
          <w:rFonts w:ascii="Times New Roman" w:eastAsiaTheme="minorEastAsia" w:hAnsi="Times New Roman" w:cs="Times New Roman"/>
          <w:sz w:val="24"/>
          <w:szCs w:val="24"/>
        </w:rPr>
        <w:t xml:space="preserve">, ponieważ </w:t>
      </w:r>
      <w:r w:rsidR="00862AB7" w:rsidRPr="003A42FB">
        <w:rPr>
          <w:rFonts w:ascii="Times New Roman" w:eastAsiaTheme="minorEastAsia" w:hAnsi="Times New Roman" w:cs="Times New Roman"/>
          <w:sz w:val="24"/>
          <w:szCs w:val="24"/>
        </w:rPr>
        <w:t>.</w:t>
      </w:r>
      <w:r w:rsidR="0090629A">
        <w:rPr>
          <w:rFonts w:ascii="Times New Roman" w:eastAsiaTheme="minorEastAsia" w:hAnsi="Times New Roman" w:cs="Times New Roman"/>
          <w:sz w:val="24"/>
          <w:szCs w:val="24"/>
        </w:rPr>
        <w:t>wskazuje wprost</w:t>
      </w:r>
      <w:r w:rsidR="00862AB7">
        <w:rPr>
          <w:rFonts w:ascii="Times New Roman" w:eastAsiaTheme="minorEastAsia" w:hAnsi="Times New Roman" w:cs="Times New Roman"/>
          <w:sz w:val="24"/>
          <w:szCs w:val="24"/>
        </w:rPr>
        <w:t xml:space="preserve"> najważniejszą cechę desygnatów tego pojęcia, tj. ich „fizyczność”</w:t>
      </w:r>
      <w:r w:rsidR="00736772">
        <w:rPr>
          <w:rFonts w:ascii="Times New Roman" w:eastAsiaTheme="minorEastAsia" w:hAnsi="Times New Roman" w:cs="Times New Roman"/>
          <w:sz w:val="24"/>
          <w:szCs w:val="24"/>
        </w:rPr>
        <w:t>, bowiem są to wyłącznie</w:t>
      </w:r>
      <w:r w:rsidR="0090629A">
        <w:rPr>
          <w:rFonts w:ascii="Times New Roman" w:eastAsiaTheme="minorEastAsia" w:hAnsi="Times New Roman" w:cs="Times New Roman"/>
          <w:sz w:val="24"/>
          <w:szCs w:val="24"/>
        </w:rPr>
        <w:t xml:space="preserve"> takie</w:t>
      </w:r>
      <w:r w:rsidR="00736772">
        <w:rPr>
          <w:rFonts w:ascii="Times New Roman" w:eastAsiaTheme="minorEastAsia" w:hAnsi="Times New Roman" w:cs="Times New Roman"/>
          <w:sz w:val="24"/>
          <w:szCs w:val="24"/>
        </w:rPr>
        <w:t xml:space="preserve"> zasoby</w:t>
      </w:r>
      <w:r w:rsidR="00862AB7">
        <w:rPr>
          <w:rFonts w:ascii="Times New Roman" w:eastAsiaTheme="minorEastAsia" w:hAnsi="Times New Roman" w:cs="Times New Roman"/>
          <w:sz w:val="24"/>
          <w:szCs w:val="24"/>
        </w:rPr>
        <w:t>, którym można pr</w:t>
      </w:r>
      <w:r w:rsidR="00736772">
        <w:rPr>
          <w:rFonts w:ascii="Times New Roman" w:eastAsiaTheme="minorEastAsia" w:hAnsi="Times New Roman" w:cs="Times New Roman"/>
          <w:sz w:val="24"/>
          <w:szCs w:val="24"/>
        </w:rPr>
        <w:t>zypisać położenie w przestrzeni</w:t>
      </w:r>
      <w:r w:rsidR="00862AB7">
        <w:rPr>
          <w:rFonts w:ascii="Times New Roman" w:eastAsiaTheme="minorEastAsia" w:hAnsi="Times New Roman" w:cs="Times New Roman"/>
          <w:sz w:val="24"/>
          <w:szCs w:val="24"/>
        </w:rPr>
        <w:t xml:space="preserve">.  </w:t>
      </w:r>
      <w:r w:rsidR="00862AB7" w:rsidRPr="003A42FB">
        <w:rPr>
          <w:rFonts w:ascii="Times New Roman" w:eastAsiaTheme="minorEastAsia" w:hAnsi="Times New Roman" w:cs="Times New Roman"/>
          <w:sz w:val="24"/>
          <w:szCs w:val="24"/>
        </w:rPr>
        <w:t xml:space="preserve"> </w:t>
      </w:r>
    </w:p>
    <w:p w14:paraId="17B19AAD" w14:textId="0DD062F2" w:rsidR="00E5318F" w:rsidRPr="003A42FB" w:rsidRDefault="0C2F4CE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instrukcji</w:t>
      </w:r>
      <w:r w:rsidRPr="003A42FB">
        <w:rPr>
          <w:rFonts w:ascii="Times New Roman" w:eastAsiaTheme="minorEastAsia" w:hAnsi="Times New Roman" w:cs="Times New Roman"/>
          <w:b/>
          <w:bCs/>
          <w:sz w:val="24"/>
          <w:szCs w:val="24"/>
        </w:rPr>
        <w:t xml:space="preserve"> –</w:t>
      </w:r>
      <w:r w:rsidR="00D90338">
        <w:rPr>
          <w:rFonts w:ascii="Times New Roman" w:eastAsiaTheme="minorEastAsia" w:hAnsi="Times New Roman" w:cs="Times New Roman"/>
          <w:b/>
          <w:bCs/>
          <w:sz w:val="24"/>
          <w:szCs w:val="24"/>
        </w:rPr>
        <w:t xml:space="preserve"> </w:t>
      </w:r>
      <w:r w:rsidR="00FC31EB" w:rsidRPr="003A42FB">
        <w:rPr>
          <w:rFonts w:ascii="Times New Roman" w:eastAsiaTheme="minorEastAsia" w:hAnsi="Times New Roman" w:cs="Times New Roman"/>
          <w:sz w:val="24"/>
          <w:szCs w:val="24"/>
          <w:lang w:eastAsia="pl-PL"/>
        </w:rPr>
        <w:t xml:space="preserve">definicja instrukcji </w:t>
      </w:r>
      <w:r w:rsidR="285E8F07" w:rsidRPr="003A42FB">
        <w:rPr>
          <w:rFonts w:ascii="Times New Roman" w:eastAsiaTheme="minorEastAsia" w:hAnsi="Times New Roman" w:cs="Times New Roman"/>
          <w:sz w:val="24"/>
          <w:szCs w:val="24"/>
          <w:lang w:eastAsia="pl-PL"/>
        </w:rPr>
        <w:t>czyli</w:t>
      </w:r>
      <w:r w:rsidR="285E8F07" w:rsidRPr="003A42FB">
        <w:rPr>
          <w:rFonts w:ascii="Times New Roman" w:eastAsiaTheme="minorEastAsia" w:hAnsi="Times New Roman" w:cs="Times New Roman"/>
          <w:sz w:val="24"/>
          <w:szCs w:val="24"/>
        </w:rPr>
        <w:t xml:space="preserve"> dokument</w:t>
      </w:r>
      <w:r w:rsidR="00FC31EB" w:rsidRPr="003A42FB">
        <w:rPr>
          <w:rFonts w:ascii="Times New Roman" w:eastAsiaTheme="minorEastAsia" w:hAnsi="Times New Roman" w:cs="Times New Roman"/>
          <w:sz w:val="24"/>
          <w:szCs w:val="24"/>
        </w:rPr>
        <w:t>u</w:t>
      </w:r>
      <w:r w:rsidR="285E8F07" w:rsidRPr="003A42FB">
        <w:rPr>
          <w:rFonts w:ascii="Times New Roman" w:eastAsiaTheme="minorEastAsia" w:hAnsi="Times New Roman" w:cs="Times New Roman"/>
          <w:sz w:val="24"/>
          <w:szCs w:val="24"/>
        </w:rPr>
        <w:t xml:space="preserve"> </w:t>
      </w:r>
      <w:r w:rsidR="00FC31EB" w:rsidRPr="003A42FB">
        <w:rPr>
          <w:rFonts w:ascii="Times New Roman" w:eastAsiaTheme="minorEastAsia" w:hAnsi="Times New Roman" w:cs="Times New Roman"/>
          <w:sz w:val="24"/>
          <w:szCs w:val="24"/>
        </w:rPr>
        <w:t xml:space="preserve">stanowiącego </w:t>
      </w:r>
      <w:r w:rsidR="285E8F07" w:rsidRPr="003A42FB">
        <w:rPr>
          <w:rFonts w:ascii="Times New Roman" w:eastAsiaTheme="minorEastAsia" w:hAnsi="Times New Roman" w:cs="Times New Roman"/>
          <w:sz w:val="24"/>
          <w:szCs w:val="24"/>
        </w:rPr>
        <w:t>podstawę do przygotowania</w:t>
      </w:r>
      <w:r w:rsidR="285E8F07" w:rsidRPr="003A42FB">
        <w:rPr>
          <w:rFonts w:ascii="Times New Roman" w:eastAsiaTheme="minorEastAsia" w:hAnsi="Times New Roman" w:cs="Times New Roman"/>
          <w:sz w:val="24"/>
          <w:szCs w:val="24"/>
          <w:lang w:eastAsia="pl-PL"/>
        </w:rPr>
        <w:t xml:space="preserve"> przez przedsiębiorcę komunikacji elektronicznej</w:t>
      </w:r>
      <w:r w:rsidR="285E8F07" w:rsidRPr="003A42FB">
        <w:rPr>
          <w:rFonts w:ascii="Times New Roman" w:eastAsiaTheme="minorEastAsia" w:hAnsi="Times New Roman" w:cs="Times New Roman"/>
          <w:sz w:val="24"/>
          <w:szCs w:val="24"/>
        </w:rPr>
        <w:t xml:space="preserve"> sprawozdania z prowadzonej rachunkowości regulacyjnej, do którego zobowiązany jest przedsiębiorca komunikacji elektronicznej, na którego nałożono obowiązek prowadzenia rachunkowości regulacyjnej na podstawie art. </w:t>
      </w:r>
      <w:r w:rsidR="00E8265A">
        <w:rPr>
          <w:rFonts w:ascii="Times New Roman" w:eastAsiaTheme="minorEastAsia" w:hAnsi="Times New Roman" w:cs="Times New Roman"/>
          <w:sz w:val="24"/>
          <w:szCs w:val="24"/>
        </w:rPr>
        <w:t>215</w:t>
      </w:r>
      <w:r w:rsidR="59548931" w:rsidRPr="003A42FB">
        <w:rPr>
          <w:rFonts w:ascii="Times New Roman" w:eastAsiaTheme="minorEastAsia" w:hAnsi="Times New Roman" w:cs="Times New Roman"/>
          <w:sz w:val="24"/>
          <w:szCs w:val="24"/>
        </w:rPr>
        <w:t xml:space="preserve"> </w:t>
      </w:r>
      <w:r w:rsidR="285E8F07" w:rsidRPr="003A42FB">
        <w:rPr>
          <w:rFonts w:ascii="Times New Roman" w:eastAsiaTheme="minorEastAsia" w:hAnsi="Times New Roman" w:cs="Times New Roman"/>
          <w:sz w:val="24"/>
          <w:szCs w:val="24"/>
        </w:rPr>
        <w:t xml:space="preserve">lub art. </w:t>
      </w:r>
      <w:r w:rsidR="00E8265A" w:rsidRPr="00E8265A">
        <w:rPr>
          <w:rFonts w:ascii="Times New Roman" w:eastAsiaTheme="minorEastAsia" w:hAnsi="Times New Roman" w:cs="Times New Roman"/>
          <w:sz w:val="24"/>
          <w:szCs w:val="24"/>
        </w:rPr>
        <w:t>23</w:t>
      </w:r>
      <w:r w:rsidR="00E8265A" w:rsidRPr="0019178E">
        <w:rPr>
          <w:rFonts w:ascii="Times New Roman" w:eastAsiaTheme="minorEastAsia" w:hAnsi="Times New Roman" w:cs="Times New Roman"/>
          <w:sz w:val="24"/>
          <w:szCs w:val="24"/>
        </w:rPr>
        <w:t>1</w:t>
      </w:r>
      <w:r w:rsidR="00E8265A" w:rsidRPr="005F69BF">
        <w:rPr>
          <w:rFonts w:ascii="Times New Roman" w:hAnsi="Times New Roman" w:cs="Times New Roman"/>
          <w:sz w:val="24"/>
          <w:szCs w:val="24"/>
        </w:rPr>
        <w:t xml:space="preserve"> ust. 3 pkt 3 lit. a</w:t>
      </w:r>
      <w:r w:rsidR="00E8265A" w:rsidRPr="004966A2">
        <w:rPr>
          <w:rFonts w:cs="Times"/>
        </w:rPr>
        <w:t>.</w:t>
      </w:r>
      <w:r w:rsidR="285E8F07" w:rsidRPr="003A42FB">
        <w:rPr>
          <w:rFonts w:ascii="Times New Roman" w:eastAsiaTheme="minorEastAsia" w:hAnsi="Times New Roman" w:cs="Times New Roman"/>
          <w:sz w:val="24"/>
          <w:szCs w:val="24"/>
        </w:rPr>
        <w:t xml:space="preserve">. Definicja instrukcji wynika z celu rachunkowości regulacyjnej, określonego w art. </w:t>
      </w:r>
      <w:r w:rsidR="00E8265A" w:rsidRPr="003A42FB">
        <w:rPr>
          <w:rFonts w:ascii="Times New Roman" w:eastAsiaTheme="minorEastAsia" w:hAnsi="Times New Roman" w:cs="Times New Roman"/>
          <w:sz w:val="24"/>
          <w:szCs w:val="24"/>
        </w:rPr>
        <w:t>2</w:t>
      </w:r>
      <w:r w:rsidR="00E8265A">
        <w:rPr>
          <w:rFonts w:ascii="Times New Roman" w:eastAsiaTheme="minorEastAsia" w:hAnsi="Times New Roman" w:cs="Times New Roman"/>
          <w:sz w:val="24"/>
          <w:szCs w:val="24"/>
        </w:rPr>
        <w:t>53</w:t>
      </w:r>
      <w:r w:rsidR="684D8B48" w:rsidRPr="003A42FB">
        <w:rPr>
          <w:rFonts w:ascii="Times New Roman" w:eastAsiaTheme="minorEastAsia" w:hAnsi="Times New Roman" w:cs="Times New Roman"/>
          <w:sz w:val="24"/>
          <w:szCs w:val="24"/>
        </w:rPr>
        <w:t xml:space="preserve"> i była już określona w art. 2 pkt 9 Pt</w:t>
      </w:r>
      <w:r w:rsidR="285E8F07" w:rsidRPr="003A42FB">
        <w:rPr>
          <w:rFonts w:ascii="Times New Roman" w:eastAsiaTheme="minorEastAsia" w:hAnsi="Times New Roman" w:cs="Times New Roman"/>
          <w:sz w:val="24"/>
          <w:szCs w:val="24"/>
        </w:rPr>
        <w:t xml:space="preserve">. Szczegółowa treść instrukcji wynika z przedmiotu i sposobu prowadzenia działalności przez </w:t>
      </w:r>
      <w:r w:rsidR="285E8F07" w:rsidRPr="003A42FB">
        <w:rPr>
          <w:rFonts w:ascii="Times New Roman" w:eastAsiaTheme="minorEastAsia" w:hAnsi="Times New Roman" w:cs="Times New Roman"/>
          <w:sz w:val="24"/>
          <w:szCs w:val="24"/>
        </w:rPr>
        <w:lastRenderedPageBreak/>
        <w:t>przedsiębior</w:t>
      </w:r>
      <w:r w:rsidR="59C31A81" w:rsidRPr="003A42FB">
        <w:rPr>
          <w:rFonts w:ascii="Times New Roman" w:eastAsiaTheme="minorEastAsia" w:hAnsi="Times New Roman" w:cs="Times New Roman"/>
          <w:sz w:val="24"/>
          <w:szCs w:val="24"/>
        </w:rPr>
        <w:t>cę, ale musi ona być zgodna z prze</w:t>
      </w:r>
      <w:r w:rsidR="285E8F07" w:rsidRPr="003A42FB">
        <w:rPr>
          <w:rFonts w:ascii="Times New Roman" w:eastAsiaTheme="minorEastAsia" w:hAnsi="Times New Roman" w:cs="Times New Roman"/>
          <w:sz w:val="24"/>
          <w:szCs w:val="24"/>
        </w:rPr>
        <w:t xml:space="preserve">pisami </w:t>
      </w:r>
      <w:r w:rsidR="00F777FA">
        <w:rPr>
          <w:rFonts w:ascii="Times New Roman" w:eastAsiaTheme="minorEastAsia" w:hAnsi="Times New Roman" w:cs="Times New Roman"/>
          <w:sz w:val="24"/>
          <w:szCs w:val="24"/>
        </w:rPr>
        <w:t>Pke</w:t>
      </w:r>
      <w:r w:rsidR="00F777FA" w:rsidRPr="003A42FB">
        <w:rPr>
          <w:rFonts w:ascii="Times New Roman" w:eastAsiaTheme="minorEastAsia" w:hAnsi="Times New Roman" w:cs="Times New Roman"/>
          <w:sz w:val="24"/>
          <w:szCs w:val="24"/>
        </w:rPr>
        <w:t xml:space="preserve"> </w:t>
      </w:r>
      <w:r w:rsidR="285E8F07" w:rsidRPr="003A42FB">
        <w:rPr>
          <w:rFonts w:ascii="Times New Roman" w:eastAsiaTheme="minorEastAsia" w:hAnsi="Times New Roman" w:cs="Times New Roman"/>
          <w:sz w:val="24"/>
          <w:szCs w:val="24"/>
        </w:rPr>
        <w:t xml:space="preserve">oraz rozporządzenia wydawanego na podstawie </w:t>
      </w:r>
      <w:r w:rsidR="510F71BB" w:rsidRPr="003A42FB">
        <w:rPr>
          <w:rFonts w:ascii="Times New Roman" w:eastAsiaTheme="minorEastAsia" w:hAnsi="Times New Roman" w:cs="Times New Roman"/>
          <w:sz w:val="24"/>
          <w:szCs w:val="24"/>
        </w:rPr>
        <w:t xml:space="preserve">art. </w:t>
      </w:r>
      <w:r w:rsidR="00E8265A" w:rsidRPr="003A42FB">
        <w:rPr>
          <w:rFonts w:ascii="Times New Roman" w:eastAsiaTheme="minorEastAsia" w:hAnsi="Times New Roman" w:cs="Times New Roman"/>
          <w:sz w:val="24"/>
          <w:szCs w:val="24"/>
        </w:rPr>
        <w:t>2</w:t>
      </w:r>
      <w:r w:rsidR="00E8265A">
        <w:rPr>
          <w:rFonts w:ascii="Times New Roman" w:eastAsiaTheme="minorEastAsia" w:hAnsi="Times New Roman" w:cs="Times New Roman"/>
          <w:sz w:val="24"/>
          <w:szCs w:val="24"/>
        </w:rPr>
        <w:t>55</w:t>
      </w:r>
      <w:r w:rsidR="510F71BB" w:rsidRPr="003A42FB">
        <w:rPr>
          <w:rFonts w:ascii="Times New Roman" w:eastAsiaTheme="minorEastAsia" w:hAnsi="Times New Roman" w:cs="Times New Roman"/>
          <w:sz w:val="24"/>
          <w:szCs w:val="24"/>
        </w:rPr>
        <w:t xml:space="preserve">. </w:t>
      </w:r>
      <w:r w:rsidR="285E8F07" w:rsidRPr="003A42FB">
        <w:rPr>
          <w:rFonts w:ascii="Times New Roman" w:eastAsiaTheme="minorEastAsia" w:hAnsi="Times New Roman" w:cs="Times New Roman"/>
          <w:sz w:val="24"/>
          <w:szCs w:val="24"/>
        </w:rPr>
        <w:t xml:space="preserve">Instrukcja podlega zatwierdzeniu przez Prezesa UKE a </w:t>
      </w:r>
      <w:r w:rsidR="285E8F07" w:rsidRPr="009E3839">
        <w:rPr>
          <w:rFonts w:ascii="Times New Roman" w:eastAsiaTheme="minorEastAsia" w:hAnsi="Times New Roman" w:cs="Times New Roman"/>
          <w:sz w:val="24"/>
          <w:szCs w:val="24"/>
        </w:rPr>
        <w:t xml:space="preserve">następnie </w:t>
      </w:r>
      <w:r w:rsidR="009E3839" w:rsidRPr="009E3839">
        <w:rPr>
          <w:rFonts w:ascii="Times New Roman" w:eastAsiaTheme="minorEastAsia" w:hAnsi="Times New Roman" w:cs="Times New Roman"/>
          <w:sz w:val="24"/>
          <w:szCs w:val="24"/>
        </w:rPr>
        <w:t xml:space="preserve">udostępnieniu w </w:t>
      </w:r>
      <w:r w:rsidR="009E3839" w:rsidRPr="005F69BF">
        <w:rPr>
          <w:rFonts w:ascii="Times New Roman" w:hAnsi="Times New Roman" w:cs="Times New Roman"/>
          <w:sz w:val="24"/>
          <w:szCs w:val="24"/>
        </w:rPr>
        <w:t xml:space="preserve">Biuletynie Informacji Publicznej </w:t>
      </w:r>
      <w:r w:rsidR="285E8F07" w:rsidRPr="003A42FB">
        <w:rPr>
          <w:rFonts w:ascii="Times New Roman" w:eastAsiaTheme="minorEastAsia" w:hAnsi="Times New Roman" w:cs="Times New Roman"/>
          <w:sz w:val="24"/>
          <w:szCs w:val="24"/>
        </w:rPr>
        <w:t xml:space="preserve">na stronie </w:t>
      </w:r>
      <w:r w:rsidR="003A753A" w:rsidRPr="003A42FB">
        <w:rPr>
          <w:rFonts w:ascii="Times New Roman" w:eastAsiaTheme="minorEastAsia" w:hAnsi="Times New Roman" w:cs="Times New Roman"/>
          <w:sz w:val="24"/>
          <w:szCs w:val="24"/>
        </w:rPr>
        <w:t xml:space="preserve">podmiotowej </w:t>
      </w:r>
      <w:r w:rsidR="009E3839" w:rsidRPr="00395574">
        <w:rPr>
          <w:rFonts w:ascii="Times New Roman" w:eastAsiaTheme="minorEastAsia" w:hAnsi="Times New Roman" w:cs="Times New Roman"/>
          <w:sz w:val="24"/>
          <w:szCs w:val="24"/>
        </w:rPr>
        <w:t xml:space="preserve">Prezesa </w:t>
      </w:r>
      <w:r w:rsidR="003A753A" w:rsidRPr="003A42FB">
        <w:rPr>
          <w:rFonts w:ascii="Times New Roman" w:eastAsiaTheme="minorEastAsia" w:hAnsi="Times New Roman" w:cs="Times New Roman"/>
          <w:sz w:val="24"/>
          <w:szCs w:val="24"/>
        </w:rPr>
        <w:t>Urzędu Komunikacji Elektronicznej, zwanej dalej „stroną podmiotową BIP UKE”</w:t>
      </w:r>
      <w:r w:rsidR="0377681B" w:rsidRPr="003A42FB">
        <w:rPr>
          <w:rFonts w:ascii="Times New Roman" w:eastAsiaTheme="minorEastAsia" w:hAnsi="Times New Roman" w:cs="Times New Roman"/>
          <w:sz w:val="24"/>
          <w:szCs w:val="24"/>
        </w:rPr>
        <w:t>.</w:t>
      </w:r>
    </w:p>
    <w:p w14:paraId="462587AB" w14:textId="1E3D5561" w:rsidR="2A9CAFEC" w:rsidRPr="003A42FB" w:rsidRDefault="2A9CAFE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w:t>
      </w:r>
      <w:r w:rsidR="683FF198" w:rsidRPr="003A42FB">
        <w:rPr>
          <w:rFonts w:ascii="Times New Roman" w:eastAsiaTheme="minorEastAsia" w:hAnsi="Times New Roman" w:cs="Times New Roman"/>
          <w:b/>
          <w:bCs/>
          <w:sz w:val="24"/>
          <w:szCs w:val="24"/>
          <w:u w:val="single"/>
        </w:rPr>
        <w:t>a</w:t>
      </w:r>
      <w:r w:rsidR="0C2F4CEE" w:rsidRPr="003A42FB">
        <w:rPr>
          <w:rFonts w:ascii="Times New Roman" w:eastAsiaTheme="minorEastAsia" w:hAnsi="Times New Roman" w:cs="Times New Roman"/>
          <w:b/>
          <w:bCs/>
          <w:sz w:val="24"/>
          <w:szCs w:val="24"/>
          <w:u w:val="single"/>
        </w:rPr>
        <w:t xml:space="preserve"> interfejsu </w:t>
      </w:r>
      <w:r w:rsidRPr="003A42FB">
        <w:rPr>
          <w:rFonts w:ascii="Times New Roman" w:eastAsiaTheme="minorEastAsia" w:hAnsi="Times New Roman" w:cs="Times New Roman"/>
          <w:b/>
          <w:bCs/>
          <w:sz w:val="24"/>
          <w:szCs w:val="24"/>
          <w:u w:val="single"/>
        </w:rPr>
        <w:t xml:space="preserve">oraz </w:t>
      </w:r>
      <w:r w:rsidR="70BC7E72" w:rsidRPr="003A42FB">
        <w:rPr>
          <w:rFonts w:ascii="Times New Roman" w:eastAsiaTheme="minorEastAsia" w:hAnsi="Times New Roman" w:cs="Times New Roman"/>
          <w:b/>
          <w:bCs/>
          <w:sz w:val="24"/>
          <w:szCs w:val="24"/>
          <w:u w:val="single"/>
        </w:rPr>
        <w:t xml:space="preserve">interfejsu </w:t>
      </w:r>
      <w:r w:rsidR="6B9CC86E" w:rsidRPr="003A42FB">
        <w:rPr>
          <w:rFonts w:ascii="Times New Roman" w:eastAsiaTheme="minorEastAsia" w:hAnsi="Times New Roman" w:cs="Times New Roman"/>
          <w:b/>
          <w:bCs/>
          <w:sz w:val="24"/>
          <w:szCs w:val="24"/>
          <w:u w:val="single"/>
        </w:rPr>
        <w:t>programistycznego</w:t>
      </w:r>
      <w:r w:rsidR="70BC7E72" w:rsidRPr="003A42FB">
        <w:rPr>
          <w:rFonts w:ascii="Times New Roman" w:eastAsiaTheme="minorEastAsia" w:hAnsi="Times New Roman" w:cs="Times New Roman"/>
          <w:b/>
          <w:bCs/>
          <w:sz w:val="24"/>
          <w:szCs w:val="24"/>
          <w:u w:val="single"/>
        </w:rPr>
        <w:t xml:space="preserve"> aplikac</w:t>
      </w:r>
      <w:r w:rsidR="7FC0567B" w:rsidRPr="003A42FB">
        <w:rPr>
          <w:rFonts w:ascii="Times New Roman" w:eastAsiaTheme="minorEastAsia" w:hAnsi="Times New Roman" w:cs="Times New Roman"/>
          <w:b/>
          <w:bCs/>
          <w:sz w:val="24"/>
          <w:szCs w:val="24"/>
          <w:u w:val="single"/>
        </w:rPr>
        <w:t>ji</w:t>
      </w:r>
      <w:r w:rsidR="70BC7E72" w:rsidRPr="003A42FB">
        <w:rPr>
          <w:rFonts w:ascii="Times New Roman" w:eastAsiaTheme="minorEastAsia" w:hAnsi="Times New Roman" w:cs="Times New Roman"/>
          <w:b/>
          <w:bCs/>
          <w:sz w:val="24"/>
          <w:szCs w:val="24"/>
          <w:u w:val="single"/>
        </w:rPr>
        <w:t xml:space="preserve"> </w:t>
      </w:r>
      <w:r w:rsidR="70BC7E72" w:rsidRPr="003A42FB">
        <w:rPr>
          <w:rFonts w:ascii="Times New Roman" w:eastAsiaTheme="minorEastAsia" w:hAnsi="Times New Roman" w:cs="Times New Roman"/>
          <w:sz w:val="24"/>
          <w:szCs w:val="24"/>
        </w:rPr>
        <w:t xml:space="preserve">– </w:t>
      </w:r>
      <w:r w:rsidR="1DFA6499" w:rsidRPr="003A42FB">
        <w:rPr>
          <w:rFonts w:ascii="Times New Roman" w:eastAsiaTheme="minorEastAsia" w:hAnsi="Times New Roman" w:cs="Times New Roman"/>
          <w:sz w:val="24"/>
          <w:szCs w:val="24"/>
        </w:rPr>
        <w:t xml:space="preserve">zgodnie z tą definicją </w:t>
      </w:r>
      <w:r w:rsidR="332BE0F8" w:rsidRPr="003A42FB">
        <w:rPr>
          <w:rFonts w:ascii="Times New Roman" w:eastAsiaTheme="minorEastAsia" w:hAnsi="Times New Roman" w:cs="Times New Roman"/>
          <w:sz w:val="24"/>
          <w:szCs w:val="24"/>
        </w:rPr>
        <w:t>interfejs</w:t>
      </w:r>
      <w:r w:rsidRPr="003A42FB">
        <w:rPr>
          <w:rFonts w:ascii="Times New Roman" w:eastAsiaTheme="minorEastAsia" w:hAnsi="Times New Roman" w:cs="Times New Roman"/>
          <w:sz w:val="24"/>
          <w:szCs w:val="24"/>
        </w:rPr>
        <w:t xml:space="preserve"> oznacza układ elektryczny, elektroniczny lub optyczny, z oprogramowaniem lub bez oprogramowania</w:t>
      </w:r>
      <w:r w:rsidR="7E1F2EA7" w:rsidRPr="003A42FB">
        <w:rPr>
          <w:rFonts w:ascii="Times New Roman" w:eastAsiaTheme="minorEastAsia" w:hAnsi="Times New Roman" w:cs="Times New Roman"/>
          <w:sz w:val="24"/>
          <w:szCs w:val="24"/>
        </w:rPr>
        <w:t xml:space="preserve"> lub oprogramowanie </w:t>
      </w:r>
      <w:r w:rsidRPr="003A42FB">
        <w:rPr>
          <w:rFonts w:ascii="Times New Roman" w:eastAsiaTheme="minorEastAsia" w:hAnsi="Times New Roman" w:cs="Times New Roman"/>
          <w:sz w:val="24"/>
          <w:szCs w:val="24"/>
        </w:rPr>
        <w:t>umożliwiając</w:t>
      </w:r>
      <w:r w:rsidR="632EB647"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łączenie, współpracę i wymianę sygnałów o określonej postaci pomiędzy urządzeniami połączonymi za jego pośrednictwem zgodnie z odpowiednią specyfikacją techniczną. Definicja ta nie ma odpowiednika w przepisach EKŁE, występ</w:t>
      </w:r>
      <w:r w:rsidR="22B8C69A" w:rsidRPr="003A42FB">
        <w:rPr>
          <w:rFonts w:ascii="Times New Roman" w:eastAsiaTheme="minorEastAsia" w:hAnsi="Times New Roman" w:cs="Times New Roman"/>
          <w:sz w:val="24"/>
          <w:szCs w:val="24"/>
        </w:rPr>
        <w:t>uje</w:t>
      </w:r>
      <w:r w:rsidRPr="003A42FB">
        <w:rPr>
          <w:rFonts w:ascii="Times New Roman" w:eastAsiaTheme="minorEastAsia" w:hAnsi="Times New Roman" w:cs="Times New Roman"/>
          <w:sz w:val="24"/>
          <w:szCs w:val="24"/>
        </w:rPr>
        <w:t xml:space="preserve"> zaś w ustawie Pt. </w:t>
      </w:r>
    </w:p>
    <w:p w14:paraId="2BF434DB" w14:textId="4DCFD13A" w:rsidR="00A50E9C" w:rsidRPr="003A42FB" w:rsidRDefault="2A9CAFE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Pojęcie interfejsu program</w:t>
      </w:r>
      <w:r w:rsidR="19943285" w:rsidRPr="003A42FB">
        <w:rPr>
          <w:rFonts w:ascii="Times New Roman" w:eastAsiaTheme="minorEastAsia" w:hAnsi="Times New Roman" w:cs="Times New Roman"/>
          <w:sz w:val="24"/>
          <w:szCs w:val="24"/>
        </w:rPr>
        <w:t>istycznego aplikacji</w:t>
      </w:r>
      <w:r w:rsidRPr="003A42FB">
        <w:rPr>
          <w:rFonts w:ascii="Times New Roman" w:eastAsiaTheme="minorEastAsia" w:hAnsi="Times New Roman" w:cs="Times New Roman"/>
          <w:sz w:val="24"/>
          <w:szCs w:val="24"/>
        </w:rPr>
        <w:t xml:space="preserve"> rozumiane jest jako </w:t>
      </w:r>
      <w:r w:rsidR="15BCD354" w:rsidRPr="003A42FB">
        <w:rPr>
          <w:rFonts w:ascii="Times New Roman" w:eastAsiaTheme="minorEastAsia" w:hAnsi="Times New Roman" w:cs="Times New Roman"/>
          <w:sz w:val="24"/>
          <w:szCs w:val="24"/>
        </w:rPr>
        <w:t>interfejs</w:t>
      </w:r>
      <w:r w:rsidRPr="003A42FB">
        <w:rPr>
          <w:rFonts w:ascii="Times New Roman" w:eastAsiaTheme="minorEastAsia" w:hAnsi="Times New Roman" w:cs="Times New Roman"/>
          <w:sz w:val="24"/>
          <w:szCs w:val="24"/>
        </w:rPr>
        <w:t xml:space="preserve"> umożliwiając</w:t>
      </w:r>
      <w:r w:rsidR="1A343B9B" w:rsidRPr="003A42FB">
        <w:rPr>
          <w:rFonts w:ascii="Times New Roman" w:eastAsiaTheme="minorEastAsia" w:hAnsi="Times New Roman" w:cs="Times New Roman"/>
          <w:sz w:val="24"/>
          <w:szCs w:val="24"/>
        </w:rPr>
        <w:t>y</w:t>
      </w:r>
      <w:r w:rsidRPr="003A42FB">
        <w:rPr>
          <w:rFonts w:ascii="Times New Roman" w:eastAsiaTheme="minorEastAsia" w:hAnsi="Times New Roman" w:cs="Times New Roman"/>
          <w:sz w:val="24"/>
          <w:szCs w:val="24"/>
        </w:rPr>
        <w:t xml:space="preserve"> łączenie, współpracę, wymianę informacji pomiędzy aplikacjami dostarczanymi przez nadawców lub dostawców usług a urządzeniami telewizji cyfrowej służącymi do przekazywania cyfrowych sygnałów umożliwiających świadczenie usług telewizyjnych lub radio</w:t>
      </w:r>
      <w:r w:rsidR="4982B1DE" w:rsidRPr="003A42FB">
        <w:rPr>
          <w:rFonts w:ascii="Times New Roman" w:eastAsiaTheme="minorEastAsia" w:hAnsi="Times New Roman" w:cs="Times New Roman"/>
          <w:sz w:val="24"/>
          <w:szCs w:val="24"/>
        </w:rPr>
        <w:t>fonicznych</w:t>
      </w:r>
      <w:r w:rsidRPr="003A42FB">
        <w:rPr>
          <w:rFonts w:ascii="Times New Roman" w:eastAsiaTheme="minorEastAsia" w:hAnsi="Times New Roman" w:cs="Times New Roman"/>
          <w:sz w:val="24"/>
          <w:szCs w:val="24"/>
        </w:rPr>
        <w:t xml:space="preserve">. Definicja ta odpowiada </w:t>
      </w:r>
      <w:r w:rsidR="0377681B" w:rsidRPr="003A42FB">
        <w:rPr>
          <w:rFonts w:ascii="Times New Roman" w:eastAsiaTheme="minorEastAsia" w:hAnsi="Times New Roman" w:cs="Times New Roman"/>
          <w:sz w:val="24"/>
          <w:szCs w:val="24"/>
        </w:rPr>
        <w:t>definicji z art. 2 pkt 18 EKŁE.</w:t>
      </w:r>
    </w:p>
    <w:p w14:paraId="3EAAC9B4" w14:textId="50D62DBB" w:rsidR="001C0591"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interoperacyjności usług</w:t>
      </w:r>
      <w:r w:rsidRPr="003A42FB">
        <w:rPr>
          <w:rFonts w:ascii="Times New Roman" w:eastAsiaTheme="minorEastAsia" w:hAnsi="Times New Roman" w:cs="Times New Roman"/>
          <w:sz w:val="24"/>
          <w:szCs w:val="24"/>
        </w:rPr>
        <w:t xml:space="preserve"> </w:t>
      </w:r>
      <w:r w:rsidR="00C42F1C"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oznacza zdolność sieci telekomunikacyjnych </w:t>
      </w:r>
      <w:r w:rsidR="02733ED3" w:rsidRPr="003A42FB">
        <w:rPr>
          <w:rFonts w:ascii="Times New Roman" w:eastAsiaTheme="minorEastAsia" w:hAnsi="Times New Roman" w:cs="Times New Roman"/>
          <w:sz w:val="24"/>
          <w:szCs w:val="24"/>
        </w:rPr>
        <w:t xml:space="preserve">jak również odbiorników sygnału telewizyjnego i odbiorników radiofonii cyfrowej </w:t>
      </w:r>
      <w:r w:rsidR="00F15EBA">
        <w:rPr>
          <w:rFonts w:ascii="Times New Roman" w:eastAsiaTheme="minorEastAsia" w:hAnsi="Times New Roman" w:cs="Times New Roman"/>
          <w:sz w:val="24"/>
          <w:szCs w:val="24"/>
        </w:rPr>
        <w:t xml:space="preserve">oraz aplikacji </w:t>
      </w:r>
      <w:r w:rsidRPr="003A42FB">
        <w:rPr>
          <w:rFonts w:ascii="Times New Roman" w:eastAsiaTheme="minorEastAsia" w:hAnsi="Times New Roman" w:cs="Times New Roman"/>
          <w:sz w:val="24"/>
          <w:szCs w:val="24"/>
        </w:rPr>
        <w:t xml:space="preserve">do efektywnej współpracy w celu zapewnienia wzajemnego dostępu użytkowników do usług </w:t>
      </w:r>
      <w:r w:rsidR="4A27FBA0" w:rsidRPr="003A42FB">
        <w:rPr>
          <w:rFonts w:ascii="Times New Roman" w:eastAsiaTheme="minorEastAsia" w:hAnsi="Times New Roman" w:cs="Times New Roman"/>
          <w:sz w:val="24"/>
          <w:szCs w:val="24"/>
        </w:rPr>
        <w:t xml:space="preserve">przez nie </w:t>
      </w:r>
      <w:r w:rsidRPr="003A42FB">
        <w:rPr>
          <w:rFonts w:ascii="Times New Roman" w:eastAsiaTheme="minorEastAsia" w:hAnsi="Times New Roman" w:cs="Times New Roman"/>
          <w:sz w:val="24"/>
          <w:szCs w:val="24"/>
        </w:rPr>
        <w:t>świadczonych. Dzięki interoperacyjności możliwe jest niezakłócone korzystanie z usług telekomunikacyjnych przez użytkow</w:t>
      </w:r>
      <w:r w:rsidR="00D72623" w:rsidRPr="003A42FB">
        <w:rPr>
          <w:rFonts w:ascii="Times New Roman" w:eastAsiaTheme="minorEastAsia" w:hAnsi="Times New Roman" w:cs="Times New Roman"/>
          <w:sz w:val="24"/>
          <w:szCs w:val="24"/>
        </w:rPr>
        <w:t>ników różnych sieci i urządzeń.</w:t>
      </w:r>
    </w:p>
    <w:p w14:paraId="3450FD46" w14:textId="268BF7F5" w:rsidR="001C0591" w:rsidRPr="003A42FB" w:rsidRDefault="20D633B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kalkulacj</w:t>
      </w:r>
      <w:r w:rsidR="00070773" w:rsidRPr="003A42FB">
        <w:rPr>
          <w:rFonts w:ascii="Times New Roman" w:eastAsiaTheme="minorEastAsia" w:hAnsi="Times New Roman" w:cs="Times New Roman"/>
          <w:b/>
          <w:bCs/>
          <w:sz w:val="24"/>
          <w:szCs w:val="24"/>
          <w:u w:val="single"/>
        </w:rPr>
        <w:t>i</w:t>
      </w:r>
      <w:r w:rsidRPr="003A42FB">
        <w:rPr>
          <w:rFonts w:ascii="Times New Roman" w:eastAsiaTheme="minorEastAsia" w:hAnsi="Times New Roman" w:cs="Times New Roman"/>
          <w:b/>
          <w:bCs/>
          <w:sz w:val="24"/>
          <w:szCs w:val="24"/>
          <w:u w:val="single"/>
        </w:rPr>
        <w:t xml:space="preserve"> kosztów </w:t>
      </w:r>
      <w:r w:rsidR="360FB2FC" w:rsidRPr="003A42FB">
        <w:rPr>
          <w:rFonts w:ascii="Times New Roman" w:eastAsiaTheme="minorEastAsia" w:hAnsi="Times New Roman" w:cs="Times New Roman"/>
          <w:b/>
          <w:bCs/>
          <w:sz w:val="24"/>
          <w:szCs w:val="24"/>
        </w:rPr>
        <w:t>–</w:t>
      </w:r>
      <w:r w:rsidR="009347A4" w:rsidRPr="003A42FB">
        <w:rPr>
          <w:rFonts w:ascii="Times New Roman" w:eastAsiaTheme="minorEastAsia" w:hAnsi="Times New Roman" w:cs="Times New Roman"/>
          <w:b/>
          <w:bCs/>
          <w:sz w:val="24"/>
          <w:szCs w:val="24"/>
        </w:rPr>
        <w:t xml:space="preserve"> </w:t>
      </w:r>
      <w:r w:rsidR="000830F0" w:rsidRPr="003A42FB">
        <w:rPr>
          <w:rFonts w:ascii="Times New Roman" w:eastAsiaTheme="minorEastAsia" w:hAnsi="Times New Roman" w:cs="Times New Roman"/>
          <w:sz w:val="24"/>
          <w:szCs w:val="24"/>
          <w:lang w:eastAsia="pl-PL"/>
        </w:rPr>
        <w:t xml:space="preserve">definicja </w:t>
      </w:r>
      <w:r w:rsidR="360FB2FC" w:rsidRPr="003A42FB">
        <w:rPr>
          <w:rFonts w:ascii="Times New Roman" w:eastAsiaTheme="minorEastAsia" w:hAnsi="Times New Roman" w:cs="Times New Roman"/>
          <w:sz w:val="24"/>
          <w:szCs w:val="24"/>
          <w:lang w:eastAsia="pl-PL"/>
        </w:rPr>
        <w:t>kalkulacj</w:t>
      </w:r>
      <w:r w:rsidR="000830F0" w:rsidRPr="003A42FB">
        <w:rPr>
          <w:rFonts w:ascii="Times New Roman" w:eastAsiaTheme="minorEastAsia" w:hAnsi="Times New Roman" w:cs="Times New Roman"/>
          <w:sz w:val="24"/>
          <w:szCs w:val="24"/>
          <w:lang w:eastAsia="pl-PL"/>
        </w:rPr>
        <w:t>i</w:t>
      </w:r>
      <w:r w:rsidR="360FB2FC" w:rsidRPr="003A42FB">
        <w:rPr>
          <w:rFonts w:ascii="Times New Roman" w:eastAsiaTheme="minorEastAsia" w:hAnsi="Times New Roman" w:cs="Times New Roman"/>
          <w:sz w:val="24"/>
          <w:szCs w:val="24"/>
          <w:lang w:eastAsia="pl-PL"/>
        </w:rPr>
        <w:t xml:space="preserve"> kosztów, </w:t>
      </w:r>
      <w:r w:rsidR="360FB2FC" w:rsidRPr="003A42FB">
        <w:rPr>
          <w:rFonts w:ascii="Times New Roman" w:eastAsiaTheme="minorEastAsia" w:hAnsi="Times New Roman" w:cs="Times New Roman"/>
          <w:sz w:val="24"/>
          <w:szCs w:val="24"/>
        </w:rPr>
        <w:t xml:space="preserve">do prowadzenia której zobowiązany jest przedsiębiorca komunikacji elektronicznej, na którego nałożono ten obowiązek na podstawie art. </w:t>
      </w:r>
      <w:r w:rsidR="00E8265A">
        <w:rPr>
          <w:rFonts w:ascii="Times New Roman" w:eastAsiaTheme="minorEastAsia" w:hAnsi="Times New Roman" w:cs="Times New Roman"/>
          <w:sz w:val="24"/>
          <w:szCs w:val="24"/>
        </w:rPr>
        <w:t>216</w:t>
      </w:r>
      <w:r w:rsidR="00E8265A" w:rsidRPr="003A42FB">
        <w:rPr>
          <w:rFonts w:ascii="Times New Roman" w:eastAsiaTheme="minorEastAsia" w:hAnsi="Times New Roman" w:cs="Times New Roman"/>
          <w:sz w:val="24"/>
          <w:szCs w:val="24"/>
        </w:rPr>
        <w:t xml:space="preserve"> </w:t>
      </w:r>
      <w:r w:rsidR="00E8265A">
        <w:rPr>
          <w:rFonts w:ascii="Times New Roman" w:eastAsiaTheme="minorEastAsia" w:hAnsi="Times New Roman" w:cs="Times New Roman"/>
          <w:sz w:val="24"/>
          <w:szCs w:val="24"/>
        </w:rPr>
        <w:t>ust. 1</w:t>
      </w:r>
      <w:r w:rsidR="40FBFE49" w:rsidRPr="003A42FB">
        <w:rPr>
          <w:rFonts w:ascii="Times New Roman" w:eastAsiaTheme="minorEastAsia" w:hAnsi="Times New Roman" w:cs="Times New Roman"/>
          <w:sz w:val="24"/>
          <w:szCs w:val="24"/>
        </w:rPr>
        <w:t xml:space="preserve"> </w:t>
      </w:r>
      <w:r w:rsidR="360FB2FC" w:rsidRPr="003A42FB">
        <w:rPr>
          <w:rFonts w:ascii="Times New Roman" w:eastAsiaTheme="minorEastAsia" w:hAnsi="Times New Roman" w:cs="Times New Roman"/>
          <w:sz w:val="24"/>
          <w:szCs w:val="24"/>
        </w:rPr>
        <w:t xml:space="preserve">lub art. </w:t>
      </w:r>
      <w:r w:rsidR="00E8265A">
        <w:rPr>
          <w:rFonts w:ascii="Times New Roman" w:eastAsiaTheme="minorEastAsia" w:hAnsi="Times New Roman" w:cs="Times New Roman"/>
          <w:sz w:val="24"/>
          <w:szCs w:val="24"/>
        </w:rPr>
        <w:t>231 ust. 3 pkt 3 lit. b</w:t>
      </w:r>
      <w:r w:rsidR="006828B2">
        <w:rPr>
          <w:rFonts w:ascii="Times New Roman" w:eastAsiaTheme="minorEastAsia" w:hAnsi="Times New Roman" w:cs="Times New Roman"/>
          <w:sz w:val="24"/>
          <w:szCs w:val="24"/>
        </w:rPr>
        <w:t>.</w:t>
      </w:r>
      <w:r w:rsidR="360FB2FC" w:rsidRPr="003A42FB">
        <w:rPr>
          <w:rFonts w:ascii="Times New Roman" w:eastAsiaTheme="minorEastAsia" w:hAnsi="Times New Roman" w:cs="Times New Roman"/>
          <w:sz w:val="24"/>
          <w:szCs w:val="24"/>
        </w:rPr>
        <w:t xml:space="preserve"> Kalkulacja kosztów jest odpowiednikiem zapisanego w art. 74 EKŁE systemu księgowania kosztów</w:t>
      </w:r>
      <w:r w:rsidR="0C31C056" w:rsidRPr="003A42FB">
        <w:rPr>
          <w:rFonts w:ascii="Times New Roman" w:eastAsiaTheme="minorEastAsia" w:hAnsi="Times New Roman" w:cs="Times New Roman"/>
          <w:sz w:val="24"/>
          <w:szCs w:val="24"/>
        </w:rPr>
        <w:t xml:space="preserve"> i była już określona w art. 2 pkt 14 Pt</w:t>
      </w:r>
      <w:r w:rsidR="360FB2FC" w:rsidRPr="003A42FB">
        <w:rPr>
          <w:rFonts w:ascii="Times New Roman" w:eastAsiaTheme="minorEastAsia" w:hAnsi="Times New Roman" w:cs="Times New Roman"/>
          <w:sz w:val="24"/>
          <w:szCs w:val="24"/>
        </w:rPr>
        <w:t xml:space="preserve">. Ogólne zasady prowadzenia kalkulacji kosztów, w tym rożne sposoby kalkulacji kosztów wynikają z </w:t>
      </w:r>
      <w:r w:rsidR="00F777FA">
        <w:rPr>
          <w:rFonts w:ascii="Times New Roman" w:eastAsiaTheme="minorEastAsia" w:hAnsi="Times New Roman" w:cs="Times New Roman"/>
          <w:sz w:val="24"/>
          <w:szCs w:val="24"/>
        </w:rPr>
        <w:t>Pke</w:t>
      </w:r>
      <w:r w:rsidR="00F777FA" w:rsidRPr="003A42FB">
        <w:rPr>
          <w:rFonts w:ascii="Times New Roman" w:eastAsiaTheme="minorEastAsia" w:hAnsi="Times New Roman" w:cs="Times New Roman"/>
          <w:sz w:val="24"/>
          <w:szCs w:val="24"/>
        </w:rPr>
        <w:t xml:space="preserve"> </w:t>
      </w:r>
      <w:r w:rsidR="360FB2FC" w:rsidRPr="003A42FB">
        <w:rPr>
          <w:rFonts w:ascii="Times New Roman" w:eastAsiaTheme="minorEastAsia" w:hAnsi="Times New Roman" w:cs="Times New Roman"/>
          <w:sz w:val="24"/>
          <w:szCs w:val="24"/>
        </w:rPr>
        <w:t>i rozporządzenia wydawanego na podstawie</w:t>
      </w:r>
      <w:r w:rsidR="205190A4" w:rsidRPr="003A42FB">
        <w:rPr>
          <w:rFonts w:ascii="Times New Roman" w:eastAsiaTheme="minorEastAsia" w:hAnsi="Times New Roman" w:cs="Times New Roman"/>
          <w:sz w:val="24"/>
          <w:szCs w:val="24"/>
        </w:rPr>
        <w:t xml:space="preserve"> art. 230</w:t>
      </w:r>
      <w:r w:rsidR="360FB2FC" w:rsidRPr="003A42FB">
        <w:rPr>
          <w:rFonts w:ascii="Times New Roman" w:eastAsiaTheme="minorEastAsia" w:hAnsi="Times New Roman" w:cs="Times New Roman"/>
          <w:sz w:val="24"/>
          <w:szCs w:val="24"/>
        </w:rPr>
        <w:t>, zaś szczegółowe warunki – z opisu kalkulacji kosztów przygotowanego przez zobowiązanego przedsiębiorcę i zatwierdzonego przez Prezesa UKE</w:t>
      </w:r>
      <w:r w:rsidR="009A6C87">
        <w:rPr>
          <w:rFonts w:ascii="Times New Roman" w:eastAsiaTheme="minorEastAsia" w:hAnsi="Times New Roman" w:cs="Times New Roman"/>
          <w:sz w:val="24"/>
          <w:szCs w:val="24"/>
        </w:rPr>
        <w:t>.</w:t>
      </w:r>
      <w:r w:rsidR="360FB2FC" w:rsidRPr="003A42FB">
        <w:rPr>
          <w:rFonts w:ascii="Times New Roman" w:eastAsiaTheme="minorEastAsia" w:hAnsi="Times New Roman" w:cs="Times New Roman"/>
          <w:sz w:val="24"/>
          <w:szCs w:val="24"/>
        </w:rPr>
        <w:t xml:space="preserve"> Efekty prowadzenia kalkulacji kosztów zapisane są przez przedsiębiorcę komunikacji elektronicznej w dokumencie nazwanym przez ustawod</w:t>
      </w:r>
      <w:r w:rsidR="0377681B" w:rsidRPr="003A42FB">
        <w:rPr>
          <w:rFonts w:ascii="Times New Roman" w:eastAsiaTheme="minorEastAsia" w:hAnsi="Times New Roman" w:cs="Times New Roman"/>
          <w:sz w:val="24"/>
          <w:szCs w:val="24"/>
        </w:rPr>
        <w:t>awcę wyniki kalkulacji kosztów.</w:t>
      </w:r>
    </w:p>
    <w:p w14:paraId="373C5CCC" w14:textId="78E425F3" w:rsidR="00BC3734" w:rsidRPr="003A42FB" w:rsidRDefault="3E2F899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kolokacji</w:t>
      </w:r>
      <w:r w:rsidRPr="003A42FB">
        <w:rPr>
          <w:rFonts w:ascii="Times New Roman" w:eastAsiaTheme="minorEastAsia" w:hAnsi="Times New Roman" w:cs="Times New Roman"/>
          <w:sz w:val="24"/>
          <w:szCs w:val="24"/>
        </w:rPr>
        <w:t xml:space="preserve"> - oznacza ona udostępnianie fizycznej przestrzeni lub urządzeń technicznych w celu umieszczenia i podłączenia niezbędnego sprzętu operatora podłączającego swoją sieć do sieci innego operatora lub korzystającego z dostępu do lokalnej pętli abonenckiej. Definicja określa, że przedmiotem świadczenia </w:t>
      </w:r>
      <w:r w:rsidR="70F69E68" w:rsidRPr="003A42FB">
        <w:rPr>
          <w:rFonts w:ascii="Times New Roman" w:eastAsiaTheme="minorEastAsia" w:hAnsi="Times New Roman" w:cs="Times New Roman"/>
          <w:sz w:val="24"/>
          <w:szCs w:val="24"/>
        </w:rPr>
        <w:t>między</w:t>
      </w:r>
      <w:r w:rsidRPr="003A42FB">
        <w:rPr>
          <w:rFonts w:ascii="Times New Roman" w:eastAsiaTheme="minorEastAsia" w:hAnsi="Times New Roman" w:cs="Times New Roman"/>
          <w:sz w:val="24"/>
          <w:szCs w:val="24"/>
        </w:rPr>
        <w:t xml:space="preserve"> operatorami jest udostępnienie fizycznej przestrzeni lub urządzeń technicznych przystosowanych do umieszczenia i podłączenia sprzętu telekomunikacyjnego. Kolokacja dotyczy umieszczania sprzętu współpracującego operatora w obiekcie, w którym następuje połączenie sieci lub realizowany jest dostęp do pętli abonenckiej.</w:t>
      </w:r>
    </w:p>
    <w:p w14:paraId="6665FB7A" w14:textId="6831A946" w:rsidR="00BC3734" w:rsidRPr="003A42FB" w:rsidRDefault="00BC3734" w:rsidP="57B83108">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w:t>
      </w:r>
      <w:r w:rsidRPr="00013378">
        <w:rPr>
          <w:rFonts w:ascii="Times New Roman" w:eastAsiaTheme="minorEastAsia" w:hAnsi="Times New Roman" w:cs="Times New Roman"/>
          <w:b/>
          <w:bCs/>
          <w:sz w:val="24"/>
          <w:szCs w:val="24"/>
          <w:u w:val="single"/>
        </w:rPr>
        <w:t>komunikatu</w:t>
      </w:r>
      <w:r w:rsidR="004B6620" w:rsidRPr="00013378">
        <w:rPr>
          <w:rFonts w:ascii="Times New Roman" w:eastAsiaTheme="minorEastAsia" w:hAnsi="Times New Roman" w:cs="Times New Roman"/>
          <w:b/>
          <w:sz w:val="24"/>
          <w:szCs w:val="24"/>
          <w:u w:val="single"/>
        </w:rPr>
        <w:t xml:space="preserve"> </w:t>
      </w:r>
      <w:r w:rsidR="3E103005" w:rsidRPr="00013378">
        <w:rPr>
          <w:rFonts w:ascii="Times New Roman" w:eastAsiaTheme="minorEastAsia" w:hAnsi="Times New Roman" w:cs="Times New Roman"/>
          <w:b/>
          <w:sz w:val="24"/>
          <w:szCs w:val="24"/>
          <w:u w:val="single"/>
        </w:rPr>
        <w:t>elektronicznego</w:t>
      </w:r>
      <w:r w:rsidR="3E103005" w:rsidRPr="003A42FB">
        <w:rPr>
          <w:rFonts w:ascii="Times New Roman" w:eastAsiaTheme="minorEastAsia" w:hAnsi="Times New Roman" w:cs="Times New Roman"/>
          <w:sz w:val="24"/>
          <w:szCs w:val="24"/>
        </w:rPr>
        <w:t xml:space="preserve"> </w:t>
      </w:r>
      <w:r w:rsidR="004B6620" w:rsidRPr="003A42FB">
        <w:rPr>
          <w:rFonts w:ascii="Times New Roman" w:eastAsiaTheme="minorEastAsia" w:hAnsi="Times New Roman" w:cs="Times New Roman"/>
          <w:sz w:val="24"/>
          <w:szCs w:val="24"/>
        </w:rPr>
        <w:t xml:space="preserve">– zgodnie z projektowaną definicją komunikatem </w:t>
      </w:r>
      <w:r w:rsidR="6C7667F4" w:rsidRPr="003A42FB">
        <w:rPr>
          <w:rFonts w:ascii="Times New Roman" w:eastAsiaTheme="minorEastAsia" w:hAnsi="Times New Roman" w:cs="Times New Roman"/>
          <w:sz w:val="24"/>
          <w:szCs w:val="24"/>
        </w:rPr>
        <w:t xml:space="preserve">elektronicznym </w:t>
      </w:r>
      <w:r w:rsidR="004B6620" w:rsidRPr="003A42FB">
        <w:rPr>
          <w:rFonts w:ascii="Times New Roman" w:eastAsiaTheme="minorEastAsia" w:hAnsi="Times New Roman" w:cs="Times New Roman"/>
          <w:sz w:val="24"/>
          <w:szCs w:val="24"/>
        </w:rPr>
        <w:t>jest każda informacja wymieniana lub przekazywana między określonymi użytkownikami za pośrednictwem publicznie dostępnych usług komunikacji elektronicznej; nie obejmuje on informacji przekazanej jako część transmisji radio</w:t>
      </w:r>
      <w:r w:rsidR="57E17B32" w:rsidRPr="003A42FB">
        <w:rPr>
          <w:rFonts w:ascii="Times New Roman" w:eastAsiaTheme="minorEastAsia" w:hAnsi="Times New Roman" w:cs="Times New Roman"/>
          <w:sz w:val="24"/>
          <w:szCs w:val="24"/>
        </w:rPr>
        <w:t>fonicznych</w:t>
      </w:r>
      <w:r w:rsidR="004B6620" w:rsidRPr="003A42FB">
        <w:rPr>
          <w:rFonts w:ascii="Times New Roman" w:eastAsiaTheme="minorEastAsia" w:hAnsi="Times New Roman" w:cs="Times New Roman"/>
          <w:sz w:val="24"/>
          <w:szCs w:val="24"/>
        </w:rPr>
        <w:t xml:space="preserve"> lub telewizyjnych transmitowanych poprzez sieć telekomunikacyjną, z wyjątkiem informacji odnoszącej się do możliwego do zidentyfikowania abonenta lub użytkownika otrzymującego informację.</w:t>
      </w:r>
      <w:r w:rsidR="6FA7D6C0" w:rsidRPr="003A42FB">
        <w:rPr>
          <w:rFonts w:ascii="Times New Roman" w:eastAsiaTheme="minorEastAsia" w:hAnsi="Times New Roman" w:cs="Times New Roman"/>
          <w:sz w:val="24"/>
          <w:szCs w:val="24"/>
        </w:rPr>
        <w:t xml:space="preserve"> Definicja ta w zasadniczej mierze powtarza treść definicji komunikatu zawartej w ustawie Pt</w:t>
      </w:r>
      <w:r w:rsidR="01690562" w:rsidRPr="003A42FB">
        <w:rPr>
          <w:rFonts w:ascii="Times New Roman" w:eastAsiaTheme="minorEastAsia" w:hAnsi="Times New Roman" w:cs="Times New Roman"/>
          <w:sz w:val="24"/>
          <w:szCs w:val="24"/>
        </w:rPr>
        <w:t>.</w:t>
      </w:r>
      <w:r w:rsidR="6FA7D6C0" w:rsidRPr="003A42FB">
        <w:rPr>
          <w:rFonts w:ascii="Times New Roman" w:eastAsiaTheme="minorEastAsia" w:hAnsi="Times New Roman" w:cs="Times New Roman"/>
          <w:sz w:val="24"/>
          <w:szCs w:val="24"/>
        </w:rPr>
        <w:t xml:space="preserve"> </w:t>
      </w:r>
      <w:r w:rsidR="7D7EFF1A" w:rsidRPr="003A42FB">
        <w:rPr>
          <w:rFonts w:ascii="Times New Roman" w:eastAsiaTheme="minorEastAsia" w:hAnsi="Times New Roman" w:cs="Times New Roman"/>
          <w:sz w:val="24"/>
          <w:szCs w:val="24"/>
        </w:rPr>
        <w:t xml:space="preserve">Rozszerza </w:t>
      </w:r>
      <w:r w:rsidR="6FA7D6C0" w:rsidRPr="003A42FB">
        <w:rPr>
          <w:rFonts w:ascii="Times New Roman" w:eastAsiaTheme="minorEastAsia" w:hAnsi="Times New Roman" w:cs="Times New Roman"/>
          <w:sz w:val="24"/>
          <w:szCs w:val="24"/>
        </w:rPr>
        <w:t xml:space="preserve">przy tym </w:t>
      </w:r>
      <w:r w:rsidR="370A44A6" w:rsidRPr="003A42FB">
        <w:rPr>
          <w:rFonts w:ascii="Times New Roman" w:eastAsiaTheme="minorEastAsia" w:hAnsi="Times New Roman" w:cs="Times New Roman"/>
          <w:sz w:val="24"/>
          <w:szCs w:val="24"/>
        </w:rPr>
        <w:t>to</w:t>
      </w:r>
      <w:r w:rsidR="3BC23EDC" w:rsidRPr="003A42FB">
        <w:rPr>
          <w:rFonts w:ascii="Times New Roman" w:eastAsiaTheme="minorEastAsia" w:hAnsi="Times New Roman" w:cs="Times New Roman"/>
          <w:sz w:val="24"/>
          <w:szCs w:val="24"/>
        </w:rPr>
        <w:t xml:space="preserve"> pojęci</w:t>
      </w:r>
      <w:r w:rsidR="45D49A26" w:rsidRPr="003A42FB">
        <w:rPr>
          <w:rFonts w:ascii="Times New Roman" w:eastAsiaTheme="minorEastAsia" w:hAnsi="Times New Roman" w:cs="Times New Roman"/>
          <w:sz w:val="24"/>
          <w:szCs w:val="24"/>
        </w:rPr>
        <w:t>e</w:t>
      </w:r>
      <w:r w:rsidR="3BC23EDC" w:rsidRPr="003A42FB">
        <w:rPr>
          <w:rFonts w:ascii="Times New Roman" w:eastAsiaTheme="minorEastAsia" w:hAnsi="Times New Roman" w:cs="Times New Roman"/>
          <w:sz w:val="24"/>
          <w:szCs w:val="24"/>
        </w:rPr>
        <w:t xml:space="preserve"> na informacje przekazywane za pośrednictwem publicznie dostępnych usług komunikacji elektronicznej</w:t>
      </w:r>
      <w:r w:rsidR="24709D93" w:rsidRPr="003A42FB">
        <w:rPr>
          <w:rFonts w:ascii="Times New Roman" w:eastAsiaTheme="minorEastAsia" w:hAnsi="Times New Roman" w:cs="Times New Roman"/>
          <w:sz w:val="24"/>
          <w:szCs w:val="24"/>
        </w:rPr>
        <w:t xml:space="preserve">, a nie jak dotychczas jedynie publicznie </w:t>
      </w:r>
      <w:r w:rsidR="24709D93" w:rsidRPr="003A42FB">
        <w:rPr>
          <w:rFonts w:ascii="Times New Roman" w:eastAsiaTheme="minorEastAsia" w:hAnsi="Times New Roman" w:cs="Times New Roman"/>
          <w:sz w:val="24"/>
          <w:szCs w:val="24"/>
        </w:rPr>
        <w:lastRenderedPageBreak/>
        <w:t xml:space="preserve">dostępnych usług telekomunikacyjnych. </w:t>
      </w:r>
      <w:r w:rsidR="684D6075" w:rsidRPr="003A42FB">
        <w:rPr>
          <w:rFonts w:ascii="Times New Roman" w:eastAsiaTheme="minorEastAsia" w:hAnsi="Times New Roman" w:cs="Times New Roman"/>
          <w:sz w:val="24"/>
          <w:szCs w:val="24"/>
        </w:rPr>
        <w:t xml:space="preserve">Definicja stanowi wdrożenie art. 2 lit. d dyrektywy </w:t>
      </w:r>
      <w:r w:rsidR="684D6075" w:rsidRPr="003A42FB">
        <w:rPr>
          <w:rFonts w:ascii="Times New Roman" w:eastAsiaTheme="minorEastAsia" w:hAnsi="Times New Roman" w:cs="Times New Roman"/>
          <w:caps/>
          <w:sz w:val="24"/>
          <w:szCs w:val="24"/>
        </w:rPr>
        <w:t xml:space="preserve">2002/58/WE </w:t>
      </w:r>
      <w:r w:rsidR="684D6075" w:rsidRPr="003A42FB">
        <w:rPr>
          <w:rFonts w:ascii="Times New Roman" w:eastAsiaTheme="minorEastAsia" w:hAnsi="Times New Roman" w:cs="Times New Roman"/>
          <w:sz w:val="24"/>
          <w:szCs w:val="24"/>
        </w:rPr>
        <w:t>o prywatności i łączności elektronicznej.</w:t>
      </w:r>
    </w:p>
    <w:p w14:paraId="3CF93701" w14:textId="1A2A897B" w:rsidR="00922D94" w:rsidRPr="003A42FB" w:rsidRDefault="16B617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konsumenta</w:t>
      </w:r>
      <w:r w:rsidRPr="003A42FB">
        <w:rPr>
          <w:rFonts w:ascii="Times New Roman" w:eastAsiaTheme="minorEastAsia" w:hAnsi="Times New Roman" w:cs="Times New Roman"/>
          <w:b/>
          <w:bCs/>
          <w:sz w:val="24"/>
          <w:szCs w:val="24"/>
        </w:rPr>
        <w:t xml:space="preserve"> -</w:t>
      </w:r>
      <w:r w:rsidR="2A9CAFEC" w:rsidRPr="003A42FB">
        <w:rPr>
          <w:rFonts w:ascii="Times New Roman" w:eastAsiaTheme="minorEastAsia" w:hAnsi="Times New Roman" w:cs="Times New Roman"/>
          <w:sz w:val="24"/>
          <w:szCs w:val="24"/>
        </w:rPr>
        <w:t xml:space="preserve"> </w:t>
      </w:r>
      <w:r w:rsidR="50672DF1" w:rsidRPr="003A42FB">
        <w:rPr>
          <w:rFonts w:ascii="Times New Roman" w:eastAsiaTheme="minorEastAsia" w:hAnsi="Times New Roman" w:cs="Times New Roman"/>
          <w:sz w:val="24"/>
          <w:szCs w:val="24"/>
        </w:rPr>
        <w:t xml:space="preserve">zgodnie z tą definicją </w:t>
      </w:r>
      <w:r w:rsidR="2A9CAFEC" w:rsidRPr="003A42FB">
        <w:rPr>
          <w:rFonts w:ascii="Times New Roman" w:eastAsiaTheme="minorEastAsia" w:hAnsi="Times New Roman" w:cs="Times New Roman"/>
          <w:sz w:val="24"/>
          <w:szCs w:val="24"/>
        </w:rPr>
        <w:t xml:space="preserve">konsument </w:t>
      </w:r>
      <w:r w:rsidR="24566D64" w:rsidRPr="003A42FB">
        <w:rPr>
          <w:rFonts w:ascii="Times New Roman" w:eastAsiaTheme="minorEastAsia" w:hAnsi="Times New Roman" w:cs="Times New Roman"/>
          <w:sz w:val="24"/>
          <w:szCs w:val="24"/>
        </w:rPr>
        <w:t xml:space="preserve">oznacza </w:t>
      </w:r>
      <w:r w:rsidR="2A9CAFEC" w:rsidRPr="003A42FB">
        <w:rPr>
          <w:rFonts w:ascii="Times New Roman" w:eastAsiaTheme="minorEastAsia" w:hAnsi="Times New Roman" w:cs="Times New Roman"/>
          <w:sz w:val="24"/>
          <w:szCs w:val="24"/>
        </w:rPr>
        <w:t>osob</w:t>
      </w:r>
      <w:r w:rsidR="1B1FFD84" w:rsidRPr="003A42FB">
        <w:rPr>
          <w:rFonts w:ascii="Times New Roman" w:eastAsiaTheme="minorEastAsia" w:hAnsi="Times New Roman" w:cs="Times New Roman"/>
          <w:sz w:val="24"/>
          <w:szCs w:val="24"/>
        </w:rPr>
        <w:t>ę</w:t>
      </w:r>
      <w:r w:rsidR="2A9CAFEC" w:rsidRPr="003A42FB">
        <w:rPr>
          <w:rFonts w:ascii="Times New Roman" w:eastAsiaTheme="minorEastAsia" w:hAnsi="Times New Roman" w:cs="Times New Roman"/>
          <w:sz w:val="24"/>
          <w:szCs w:val="24"/>
        </w:rPr>
        <w:t xml:space="preserve"> fizyczn</w:t>
      </w:r>
      <w:r w:rsidR="12F15BC5" w:rsidRPr="003A42FB">
        <w:rPr>
          <w:rFonts w:ascii="Times New Roman" w:eastAsiaTheme="minorEastAsia" w:hAnsi="Times New Roman" w:cs="Times New Roman"/>
          <w:sz w:val="24"/>
          <w:szCs w:val="24"/>
        </w:rPr>
        <w:t>ą</w:t>
      </w:r>
      <w:r w:rsidR="2A9CAFEC" w:rsidRPr="003A42FB">
        <w:rPr>
          <w:rFonts w:ascii="Times New Roman" w:eastAsiaTheme="minorEastAsia" w:hAnsi="Times New Roman" w:cs="Times New Roman"/>
          <w:sz w:val="24"/>
          <w:szCs w:val="24"/>
        </w:rPr>
        <w:t xml:space="preserve"> wnioskując</w:t>
      </w:r>
      <w:r w:rsidR="74EA4EC3" w:rsidRPr="003A42FB">
        <w:rPr>
          <w:rFonts w:ascii="Times New Roman" w:eastAsiaTheme="minorEastAsia" w:hAnsi="Times New Roman" w:cs="Times New Roman"/>
          <w:sz w:val="24"/>
          <w:szCs w:val="24"/>
        </w:rPr>
        <w:t>ą</w:t>
      </w:r>
      <w:r w:rsidR="2A9CAFEC" w:rsidRPr="003A42FB">
        <w:rPr>
          <w:rFonts w:ascii="Times New Roman" w:eastAsiaTheme="minorEastAsia" w:hAnsi="Times New Roman" w:cs="Times New Roman"/>
          <w:sz w:val="24"/>
          <w:szCs w:val="24"/>
        </w:rPr>
        <w:t xml:space="preserve"> o świadczenie publicznie dostępnych usług komunikacji elektronicznej lub korzystając</w:t>
      </w:r>
      <w:r w:rsidR="737DF8AF" w:rsidRPr="003A42FB">
        <w:rPr>
          <w:rFonts w:ascii="Times New Roman" w:eastAsiaTheme="minorEastAsia" w:hAnsi="Times New Roman" w:cs="Times New Roman"/>
          <w:sz w:val="24"/>
          <w:szCs w:val="24"/>
        </w:rPr>
        <w:t>ą</w:t>
      </w:r>
      <w:r w:rsidR="2A9CAFEC" w:rsidRPr="003A42FB">
        <w:rPr>
          <w:rFonts w:ascii="Times New Roman" w:eastAsiaTheme="minorEastAsia" w:hAnsi="Times New Roman" w:cs="Times New Roman"/>
          <w:sz w:val="24"/>
          <w:szCs w:val="24"/>
        </w:rPr>
        <w:t xml:space="preserve"> z takich usług dla celów niezwiązanych bezpośrednio z jej działalnością gospodarczą lub wykonywaniem zawodu. Definicja ta odpowiada definicji z art. 2 pkt 15 EKŁE. Do pojęcia konsumenta odwołują się w największej mierze przepisy działu VII regulujące uprawnienia konsumen</w:t>
      </w:r>
      <w:r w:rsidR="0377681B" w:rsidRPr="003A42FB">
        <w:rPr>
          <w:rFonts w:ascii="Times New Roman" w:eastAsiaTheme="minorEastAsia" w:hAnsi="Times New Roman" w:cs="Times New Roman"/>
          <w:sz w:val="24"/>
          <w:szCs w:val="24"/>
        </w:rPr>
        <w:t xml:space="preserve">ta w relacji z dostawcą usług. </w:t>
      </w:r>
    </w:p>
    <w:p w14:paraId="732A1719" w14:textId="38CB243D" w:rsidR="00C42F1C"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Definicje lokalnej pętli abonenckiej i lokalnej podpętli abonenckiej</w:t>
      </w:r>
      <w:r w:rsidRPr="003A42FB">
        <w:rPr>
          <w:rFonts w:ascii="Times New Roman" w:eastAsiaTheme="minorEastAsia" w:hAnsi="Times New Roman" w:cs="Times New Roman"/>
          <w:sz w:val="24"/>
          <w:szCs w:val="24"/>
        </w:rPr>
        <w:t xml:space="preserve"> - lokalna pętla abonencka jest obwodem, który łączy zakończenie sieci zainstalowane u użytkownika końcowego z punktem dostępu do sieci stacjonarnej. Pojęcie lokalnej pętli abonenckiej łączy się z definicją lokalnej podpętli abonenckiej, która jest częściową lokalną pętlą abonencką łączącą zakończenie sieci z pośrednim punktem dostępu do stacjonarnej publicznej sieci telekomunikacyjnej, w szczególności z koncentratorem lub innym urządzeniem dostępu pośredniego do stacjonarnej publicznej sieci telekomunikacyjnej. Definicja ta pokrywa się częściowo z definicją lokalnej pętli abonenckiej, zaś różnica dotyczy punktu, w którym obwód ten ulega zakończeniu po stronie sieciowej. Podpętla nie sięga bowiem do przełącznicy głównej, ale kończy się na koncentratorze lub innym urządzeniu dostępu pośredniego do publicznej st</w:t>
      </w:r>
      <w:r w:rsidR="00D72623" w:rsidRPr="003A42FB">
        <w:rPr>
          <w:rFonts w:ascii="Times New Roman" w:eastAsiaTheme="minorEastAsia" w:hAnsi="Times New Roman" w:cs="Times New Roman"/>
          <w:sz w:val="24"/>
          <w:szCs w:val="24"/>
        </w:rPr>
        <w:t>acjonarnej sieci telefonicznej.</w:t>
      </w:r>
      <w:r w:rsidR="3E23A15C" w:rsidRPr="003A42FB">
        <w:rPr>
          <w:rFonts w:ascii="Times New Roman" w:eastAsiaTheme="minorEastAsia" w:hAnsi="Times New Roman" w:cs="Times New Roman"/>
          <w:sz w:val="24"/>
          <w:szCs w:val="24"/>
        </w:rPr>
        <w:t xml:space="preserve"> Definicje występowały w Pt.</w:t>
      </w:r>
    </w:p>
    <w:p w14:paraId="689ACEF1" w14:textId="083EE21F" w:rsidR="00C42F1C" w:rsidRPr="003A42FB" w:rsidRDefault="2B7028C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lokalnej sieci radiowej</w:t>
      </w:r>
      <w:r w:rsidRPr="003A42FB">
        <w:rPr>
          <w:rFonts w:ascii="Times New Roman" w:eastAsiaTheme="minorEastAsia" w:hAnsi="Times New Roman" w:cs="Times New Roman"/>
          <w:sz w:val="24"/>
          <w:szCs w:val="24"/>
        </w:rPr>
        <w:t xml:space="preserve"> – definicja lokalnej sieci radiowej jest wprowadzona w związku z projektowanymi postanowieniami </w:t>
      </w:r>
      <w:r w:rsidRPr="00401436">
        <w:rPr>
          <w:rFonts w:ascii="Times New Roman" w:eastAsiaTheme="minorEastAsia" w:hAnsi="Times New Roman" w:cs="Times New Roman"/>
          <w:sz w:val="24"/>
          <w:szCs w:val="24"/>
        </w:rPr>
        <w:t xml:space="preserve">art. 5 ust. 3, art. </w:t>
      </w:r>
      <w:r w:rsidR="7CE643BB" w:rsidRPr="00401436">
        <w:rPr>
          <w:rFonts w:ascii="Times New Roman" w:eastAsiaTheme="minorEastAsia" w:hAnsi="Times New Roman" w:cs="Times New Roman"/>
          <w:sz w:val="24"/>
          <w:szCs w:val="24"/>
        </w:rPr>
        <w:t>3</w:t>
      </w:r>
      <w:r w:rsidR="00401436" w:rsidRPr="005F69BF">
        <w:rPr>
          <w:rFonts w:ascii="Times New Roman" w:eastAsiaTheme="minorEastAsia" w:hAnsi="Times New Roman" w:cs="Times New Roman"/>
          <w:sz w:val="24"/>
          <w:szCs w:val="24"/>
        </w:rPr>
        <w:t>48</w:t>
      </w:r>
      <w:r w:rsidRPr="00401436">
        <w:rPr>
          <w:rFonts w:ascii="Times New Roman" w:eastAsiaTheme="minorEastAsia" w:hAnsi="Times New Roman" w:cs="Times New Roman"/>
          <w:sz w:val="24"/>
          <w:szCs w:val="24"/>
        </w:rPr>
        <w:t>-</w:t>
      </w:r>
      <w:r w:rsidR="7A9D26CC" w:rsidRPr="00401436">
        <w:rPr>
          <w:rFonts w:ascii="Times New Roman" w:eastAsiaTheme="minorEastAsia" w:hAnsi="Times New Roman" w:cs="Times New Roman"/>
          <w:sz w:val="24"/>
          <w:szCs w:val="24"/>
        </w:rPr>
        <w:t>3</w:t>
      </w:r>
      <w:r w:rsidR="00401436" w:rsidRPr="005F69BF">
        <w:rPr>
          <w:rFonts w:ascii="Times New Roman" w:eastAsiaTheme="minorEastAsia" w:hAnsi="Times New Roman" w:cs="Times New Roman"/>
          <w:sz w:val="24"/>
          <w:szCs w:val="24"/>
        </w:rPr>
        <w:t>49</w:t>
      </w:r>
      <w:r w:rsidR="7A9D26CC" w:rsidRPr="00401436">
        <w:rPr>
          <w:rFonts w:ascii="Times New Roman" w:eastAsiaTheme="minorEastAsia" w:hAnsi="Times New Roman" w:cs="Times New Roman"/>
          <w:sz w:val="24"/>
          <w:szCs w:val="24"/>
        </w:rPr>
        <w:t xml:space="preserve"> </w:t>
      </w:r>
      <w:r w:rsidRPr="00401436">
        <w:rPr>
          <w:rFonts w:ascii="Times New Roman" w:eastAsiaTheme="minorEastAsia" w:hAnsi="Times New Roman" w:cs="Times New Roman"/>
          <w:sz w:val="24"/>
          <w:szCs w:val="24"/>
        </w:rPr>
        <w:t xml:space="preserve">i art </w:t>
      </w:r>
      <w:r w:rsidR="590DA62F" w:rsidRPr="00401436">
        <w:rPr>
          <w:rFonts w:ascii="Times New Roman" w:eastAsiaTheme="minorEastAsia" w:hAnsi="Times New Roman" w:cs="Times New Roman"/>
          <w:sz w:val="24"/>
          <w:szCs w:val="24"/>
        </w:rPr>
        <w:t>3</w:t>
      </w:r>
      <w:r w:rsidR="00401436" w:rsidRPr="005F69BF">
        <w:rPr>
          <w:rFonts w:ascii="Times New Roman" w:eastAsiaTheme="minorEastAsia" w:hAnsi="Times New Roman" w:cs="Times New Roman"/>
          <w:sz w:val="24"/>
          <w:szCs w:val="24"/>
        </w:rPr>
        <w:t xml:space="preserve">83 </w:t>
      </w:r>
      <w:r w:rsidR="43759A59"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Zgodnie z propozycją, lokalną sieć radiową definiuje się jako system dostępu bezprzewodowego o niskiej mocy i bliskim zasięgu, stwarzający niskie ryzyko zakłóceń dla innych tego typu systemów stosowanych w pobliżu przez innych użytkowników, wykorzystujący na zasadzie niewyłączności widmo radiowe, dla którego warunki dostępności i efektywnego użytkowania zharmonizowano na poziomie unijnym. Punkty dostępu do lokalnej sieci radiowej stanowią zazwyczaj rozszerzenie usługi świadczonej przez dostawcę za pośrednictwem łącza stacjonarnego. Lokalne sieci radiowe zapewniają dostęp do internetu m.in. w różnego rodzaju budynkach, zarówno prywatnych jak i budynkach użyteczności publicznej. Korzystanie z </w:t>
      </w:r>
      <w:bookmarkStart w:id="1" w:name="_Hlk33886786"/>
      <w:r w:rsidRPr="003A42FB">
        <w:rPr>
          <w:rFonts w:ascii="Times New Roman" w:eastAsiaTheme="minorEastAsia" w:hAnsi="Times New Roman" w:cs="Times New Roman"/>
          <w:sz w:val="24"/>
          <w:szCs w:val="24"/>
        </w:rPr>
        <w:t xml:space="preserve">lokalnych sieci radiowych </w:t>
      </w:r>
      <w:bookmarkEnd w:id="1"/>
      <w:r w:rsidRPr="003A42FB">
        <w:rPr>
          <w:rFonts w:ascii="Times New Roman" w:eastAsiaTheme="minorEastAsia" w:hAnsi="Times New Roman" w:cs="Times New Roman"/>
          <w:sz w:val="24"/>
          <w:szCs w:val="24"/>
        </w:rPr>
        <w:t>przez użytkowników końcowych, jak, w szczególności wewnątrz budynków, może zastępować transmisję danych w ramach usług mobilnych i zmniejszać obciążenie sieci ruchomych, co zostało wskazane w motywie 137 EKŁE.</w:t>
      </w:r>
    </w:p>
    <w:p w14:paraId="32F56CD6" w14:textId="4D720789" w:rsidR="00061A56" w:rsidRPr="003A42FB" w:rsidRDefault="748D5FD8"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multipleksu </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b/>
          <w:bCs/>
          <w:sz w:val="24"/>
          <w:szCs w:val="24"/>
        </w:rPr>
        <w:t xml:space="preserve"> </w:t>
      </w:r>
      <w:r w:rsidR="2A9CAFEC" w:rsidRPr="003A42FB">
        <w:rPr>
          <w:rFonts w:ascii="Times New Roman" w:eastAsiaTheme="minorEastAsia" w:hAnsi="Times New Roman" w:cs="Times New Roman"/>
          <w:sz w:val="24"/>
          <w:szCs w:val="24"/>
        </w:rPr>
        <w:t>pojęcie multipleksu rozumiane</w:t>
      </w:r>
      <w:r w:rsidR="712CCAEE" w:rsidRPr="003A42FB">
        <w:rPr>
          <w:rFonts w:ascii="Times New Roman" w:eastAsiaTheme="minorEastAsia" w:hAnsi="Times New Roman" w:cs="Times New Roman"/>
          <w:sz w:val="24"/>
          <w:szCs w:val="24"/>
        </w:rPr>
        <w:t xml:space="preserve"> jest</w:t>
      </w:r>
      <w:r w:rsidR="2A9CAFEC" w:rsidRPr="003A42FB">
        <w:rPr>
          <w:rFonts w:ascii="Times New Roman" w:eastAsiaTheme="minorEastAsia" w:hAnsi="Times New Roman" w:cs="Times New Roman"/>
          <w:sz w:val="24"/>
          <w:szCs w:val="24"/>
        </w:rPr>
        <w:t xml:space="preserve"> jako zespolony strumień danych cyfrowych, składający się z dwóch lub więcej strumieni utworzonych z danych wchodzących w skład treści programów radiofonicznych lub telewizyjnych, oraz danych dodatkowych, obejmujących w szczególności dane związane z systemem dostępu warunkowego lub usługami dodatkowymi. Definicja ta nie ma odpowiednika w przepisach EKŁE, występuje zaś w ustawie Pt. Projekt posługuje się tą definicją w dziale V dotyczącym obowiązków operatora multipleksu oraz zasad dostępu do multipleksu.</w:t>
      </w:r>
    </w:p>
    <w:p w14:paraId="7076E59D" w14:textId="0C55C86C" w:rsidR="00061A56" w:rsidRPr="003A42FB" w:rsidRDefault="5FC63E67"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nadawcy</w:t>
      </w:r>
      <w:r w:rsidRPr="003A42FB">
        <w:rPr>
          <w:rFonts w:ascii="Times New Roman" w:eastAsiaTheme="minorEastAsia" w:hAnsi="Times New Roman" w:cs="Times New Roman"/>
          <w:sz w:val="24"/>
          <w:szCs w:val="24"/>
        </w:rPr>
        <w:t xml:space="preserve"> – </w:t>
      </w:r>
      <w:r w:rsidR="64C1D2F1" w:rsidRPr="003A42FB">
        <w:rPr>
          <w:rFonts w:ascii="Times New Roman" w:eastAsiaTheme="minorEastAsia" w:hAnsi="Times New Roman" w:cs="Times New Roman"/>
          <w:sz w:val="24"/>
          <w:szCs w:val="24"/>
        </w:rPr>
        <w:t xml:space="preserve">pod pojęciem </w:t>
      </w:r>
      <w:r w:rsidRPr="003A42FB">
        <w:rPr>
          <w:rFonts w:ascii="Times New Roman" w:eastAsiaTheme="minorEastAsia" w:hAnsi="Times New Roman" w:cs="Times New Roman"/>
          <w:sz w:val="24"/>
          <w:szCs w:val="24"/>
        </w:rPr>
        <w:t>nadawc</w:t>
      </w:r>
      <w:r w:rsidR="533A8F2D" w:rsidRPr="003A42FB">
        <w:rPr>
          <w:rFonts w:ascii="Times New Roman" w:eastAsiaTheme="minorEastAsia" w:hAnsi="Times New Roman" w:cs="Times New Roman"/>
          <w:sz w:val="24"/>
          <w:szCs w:val="24"/>
        </w:rPr>
        <w:t>y</w:t>
      </w:r>
      <w:r w:rsidRPr="003A42FB">
        <w:rPr>
          <w:rFonts w:ascii="Times New Roman" w:eastAsiaTheme="minorEastAsia" w:hAnsi="Times New Roman" w:cs="Times New Roman"/>
          <w:sz w:val="24"/>
          <w:szCs w:val="24"/>
        </w:rPr>
        <w:t xml:space="preserve"> w </w:t>
      </w:r>
      <w:r w:rsidR="3AE58CE5" w:rsidRPr="003A42FB">
        <w:rPr>
          <w:rFonts w:ascii="Times New Roman" w:eastAsiaTheme="minorEastAsia" w:hAnsi="Times New Roman" w:cs="Times New Roman"/>
          <w:sz w:val="24"/>
          <w:szCs w:val="24"/>
        </w:rPr>
        <w:t>projektowanej ustawie</w:t>
      </w:r>
      <w:r w:rsidRPr="003A42FB">
        <w:rPr>
          <w:rFonts w:ascii="Times New Roman" w:eastAsiaTheme="minorEastAsia" w:hAnsi="Times New Roman" w:cs="Times New Roman"/>
          <w:sz w:val="24"/>
          <w:szCs w:val="24"/>
        </w:rPr>
        <w:t xml:space="preserve"> </w:t>
      </w:r>
      <w:r w:rsidR="67CD451F" w:rsidRPr="003A42FB">
        <w:rPr>
          <w:rFonts w:ascii="Times New Roman" w:eastAsiaTheme="minorEastAsia" w:hAnsi="Times New Roman" w:cs="Times New Roman"/>
          <w:sz w:val="24"/>
          <w:szCs w:val="24"/>
        </w:rPr>
        <w:t xml:space="preserve">należy rozumieć </w:t>
      </w:r>
      <w:r w:rsidRPr="003A42FB">
        <w:rPr>
          <w:rFonts w:ascii="Times New Roman" w:eastAsiaTheme="minorEastAsia" w:hAnsi="Times New Roman" w:cs="Times New Roman"/>
          <w:sz w:val="24"/>
          <w:szCs w:val="24"/>
        </w:rPr>
        <w:t>nadawc</w:t>
      </w:r>
      <w:r w:rsidR="25350413" w:rsidRPr="003A42FB">
        <w:rPr>
          <w:rFonts w:ascii="Times New Roman" w:eastAsiaTheme="minorEastAsia" w:hAnsi="Times New Roman" w:cs="Times New Roman"/>
          <w:sz w:val="24"/>
          <w:szCs w:val="24"/>
        </w:rPr>
        <w:t xml:space="preserve">ę </w:t>
      </w:r>
      <w:r w:rsidR="22071E7D" w:rsidRPr="003A42FB">
        <w:rPr>
          <w:rFonts w:ascii="Times New Roman" w:eastAsiaTheme="minorEastAsia" w:hAnsi="Times New Roman" w:cs="Times New Roman"/>
          <w:sz w:val="24"/>
          <w:szCs w:val="24"/>
        </w:rPr>
        <w:t>zdefiniowanego w</w:t>
      </w:r>
      <w:r w:rsidRPr="003A42FB">
        <w:rPr>
          <w:rFonts w:ascii="Times New Roman" w:eastAsiaTheme="minorEastAsia" w:hAnsi="Times New Roman" w:cs="Times New Roman"/>
          <w:sz w:val="24"/>
          <w:szCs w:val="24"/>
        </w:rPr>
        <w:t xml:space="preserve"> art. 4 pkt 5 ustawy z dnia 29 grudnia 1992 r. o radiofonii i telewizji.</w:t>
      </w:r>
    </w:p>
    <w:p w14:paraId="05082428" w14:textId="76116E69" w:rsidR="66E39F98" w:rsidRPr="003A42FB" w:rsidRDefault="66E39F9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nadużycia telekomunikacyjnego</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 nadużyci</w:t>
      </w:r>
      <w:r w:rsidR="512F0C05"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telekomunikacyjne rozumiane</w:t>
      </w:r>
      <w:r w:rsidR="014A3A14" w:rsidRPr="003A42FB">
        <w:rPr>
          <w:rFonts w:ascii="Times New Roman" w:eastAsiaTheme="minorEastAsia" w:hAnsi="Times New Roman" w:cs="Times New Roman"/>
          <w:sz w:val="24"/>
          <w:szCs w:val="24"/>
        </w:rPr>
        <w:t xml:space="preserve"> jest </w:t>
      </w:r>
      <w:r w:rsidRPr="003A42FB">
        <w:rPr>
          <w:rFonts w:ascii="Times New Roman" w:eastAsiaTheme="minorEastAsia" w:hAnsi="Times New Roman" w:cs="Times New Roman"/>
          <w:sz w:val="24"/>
          <w:szCs w:val="24"/>
        </w:rPr>
        <w:t xml:space="preserve">jako </w:t>
      </w:r>
      <w:r w:rsidR="000D46A7" w:rsidRPr="003A42FB">
        <w:rPr>
          <w:rFonts w:ascii="Times New Roman" w:eastAsiaTheme="minorEastAsia" w:hAnsi="Times New Roman" w:cs="Times New Roman"/>
          <w:sz w:val="24"/>
          <w:szCs w:val="24"/>
        </w:rPr>
        <w:t>świadczenie lub korzystanie z usługi telekomunikacyjnej, urządzeń telekomunikacyjnych, niezgodnie z ich przeznaczeniem oraz przepisami prawa, których celem lub skutkiem jest wyrządzenie szkody przedsiębiorcy telekomunikacyjnemu lub osiągnięcie nienależnych korzyści</w:t>
      </w:r>
      <w:r w:rsidRPr="003A42FB">
        <w:rPr>
          <w:rFonts w:ascii="Times New Roman" w:eastAsiaTheme="minorEastAsia" w:hAnsi="Times New Roman" w:cs="Times New Roman"/>
          <w:sz w:val="24"/>
          <w:szCs w:val="24"/>
        </w:rPr>
        <w:t xml:space="preserve">. </w:t>
      </w:r>
      <w:r w:rsidR="00634729" w:rsidRPr="003A42FB">
        <w:rPr>
          <w:rFonts w:ascii="Times New Roman" w:eastAsiaTheme="minorEastAsia" w:hAnsi="Times New Roman" w:cs="Times New Roman"/>
          <w:sz w:val="24"/>
          <w:szCs w:val="24"/>
        </w:rPr>
        <w:t xml:space="preserve">Nadużycia telekomunikacyjne nie dotyczą infrastruktury i spory w tym zakresie powinny być rozliczane przez operatorów na mocy zawartych umów lub sporów </w:t>
      </w:r>
      <w:r w:rsidR="00634729" w:rsidRPr="003A42FB">
        <w:rPr>
          <w:rFonts w:ascii="Times New Roman" w:eastAsiaTheme="minorEastAsia" w:hAnsi="Times New Roman" w:cs="Times New Roman"/>
          <w:sz w:val="24"/>
          <w:szCs w:val="24"/>
        </w:rPr>
        <w:lastRenderedPageBreak/>
        <w:t xml:space="preserve">cywilnoprawnych. </w:t>
      </w:r>
      <w:r w:rsidRPr="003A42FB">
        <w:rPr>
          <w:rFonts w:ascii="Times New Roman" w:eastAsiaTheme="minorEastAsia" w:hAnsi="Times New Roman" w:cs="Times New Roman"/>
          <w:sz w:val="24"/>
          <w:szCs w:val="24"/>
        </w:rPr>
        <w:t>Definicja ta nie ma odpowiednika w przepisach EKŁE oraz nie wystę</w:t>
      </w:r>
      <w:r w:rsidR="6F1FB18C" w:rsidRPr="003A42FB">
        <w:rPr>
          <w:rFonts w:ascii="Times New Roman" w:eastAsiaTheme="minorEastAsia" w:hAnsi="Times New Roman" w:cs="Times New Roman"/>
          <w:sz w:val="24"/>
          <w:szCs w:val="24"/>
        </w:rPr>
        <w:t>puje</w:t>
      </w:r>
      <w:r w:rsidRPr="003A42FB">
        <w:rPr>
          <w:rFonts w:ascii="Times New Roman" w:eastAsiaTheme="minorEastAsia" w:hAnsi="Times New Roman" w:cs="Times New Roman"/>
          <w:sz w:val="24"/>
          <w:szCs w:val="24"/>
        </w:rPr>
        <w:t xml:space="preserve"> w ustawie Pt.</w:t>
      </w:r>
    </w:p>
    <w:p w14:paraId="4EC1318E" w14:textId="79C8C16C" w:rsidR="00061A56" w:rsidRPr="003A42FB" w:rsidRDefault="748D5FD8"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numeru alarmowego</w:t>
      </w:r>
      <w:r w:rsidR="2A9CAFEC" w:rsidRPr="003A42FB">
        <w:rPr>
          <w:rFonts w:ascii="Times New Roman" w:eastAsiaTheme="minorEastAsia" w:hAnsi="Times New Roman" w:cs="Times New Roman"/>
          <w:b/>
          <w:bCs/>
          <w:sz w:val="24"/>
          <w:szCs w:val="24"/>
        </w:rPr>
        <w:t xml:space="preserve"> -</w:t>
      </w:r>
      <w:r w:rsidR="2A9CAFEC" w:rsidRPr="003A42FB">
        <w:rPr>
          <w:rFonts w:ascii="Times New Roman" w:eastAsiaTheme="minorEastAsia" w:hAnsi="Times New Roman" w:cs="Times New Roman"/>
          <w:sz w:val="24"/>
          <w:szCs w:val="24"/>
        </w:rPr>
        <w:t xml:space="preserve"> numer alarmow</w:t>
      </w:r>
      <w:r w:rsidR="5E19FFB8" w:rsidRPr="003A42FB">
        <w:rPr>
          <w:rFonts w:ascii="Times New Roman" w:eastAsiaTheme="minorEastAsia" w:hAnsi="Times New Roman" w:cs="Times New Roman"/>
          <w:sz w:val="24"/>
          <w:szCs w:val="24"/>
        </w:rPr>
        <w:t>y</w:t>
      </w:r>
      <w:r w:rsidR="2A9CAFEC" w:rsidRPr="003A42FB">
        <w:rPr>
          <w:rFonts w:ascii="Times New Roman" w:eastAsiaTheme="minorEastAsia" w:hAnsi="Times New Roman" w:cs="Times New Roman"/>
          <w:sz w:val="24"/>
          <w:szCs w:val="24"/>
        </w:rPr>
        <w:t xml:space="preserve"> rozumian</w:t>
      </w:r>
      <w:r w:rsidR="3BB3C2B8" w:rsidRPr="003A42FB">
        <w:rPr>
          <w:rFonts w:ascii="Times New Roman" w:eastAsiaTheme="minorEastAsia" w:hAnsi="Times New Roman" w:cs="Times New Roman"/>
          <w:sz w:val="24"/>
          <w:szCs w:val="24"/>
        </w:rPr>
        <w:t>y</w:t>
      </w:r>
      <w:r w:rsidR="78E0F8E7" w:rsidRPr="003A42FB">
        <w:rPr>
          <w:rFonts w:ascii="Times New Roman" w:eastAsiaTheme="minorEastAsia" w:hAnsi="Times New Roman" w:cs="Times New Roman"/>
          <w:sz w:val="24"/>
          <w:szCs w:val="24"/>
        </w:rPr>
        <w:t xml:space="preserve"> jest</w:t>
      </w:r>
      <w:r w:rsidR="2A9CAFEC" w:rsidRPr="003A42FB">
        <w:rPr>
          <w:rFonts w:ascii="Times New Roman" w:eastAsiaTheme="minorEastAsia" w:hAnsi="Times New Roman" w:cs="Times New Roman"/>
          <w:sz w:val="24"/>
          <w:szCs w:val="24"/>
        </w:rPr>
        <w:t xml:space="preserve"> jako numer ustalony w ustawie lub w planie numeracji krajowej dla publicznych sieci telekomunikacyjnych udostępniany służbom ustawowo powołanym do niesienia pomocy. Definicja ta nie ma wprost odpowiednika w przepisach EKŁE, występ</w:t>
      </w:r>
      <w:r w:rsidR="1CD5DA02" w:rsidRPr="003A42FB">
        <w:rPr>
          <w:rFonts w:ascii="Times New Roman" w:eastAsiaTheme="minorEastAsia" w:hAnsi="Times New Roman" w:cs="Times New Roman"/>
          <w:sz w:val="24"/>
          <w:szCs w:val="24"/>
        </w:rPr>
        <w:t>uje</w:t>
      </w:r>
      <w:r w:rsidR="2A9CAFEC" w:rsidRPr="003A42FB">
        <w:rPr>
          <w:rFonts w:ascii="Times New Roman" w:eastAsiaTheme="minorEastAsia" w:hAnsi="Times New Roman" w:cs="Times New Roman"/>
          <w:sz w:val="24"/>
          <w:szCs w:val="24"/>
        </w:rPr>
        <w:t xml:space="preserve"> zaś w ustawie Pt. Pojęcie to jest wykorzystywane w przepisach określających status numeru 112 oraz dotyczących lokalizacji wywołań alarmowych.</w:t>
      </w:r>
    </w:p>
    <w:p w14:paraId="11D853E6" w14:textId="25B15189" w:rsidR="00565915" w:rsidRPr="003A42FB" w:rsidRDefault="748D5FD8" w:rsidP="00852AC8">
      <w:pPr>
        <w:tabs>
          <w:tab w:val="left" w:pos="2820"/>
          <w:tab w:val="left" w:pos="6237"/>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numeru geograficznego</w:t>
      </w:r>
      <w:r w:rsidR="2A9CAFEC" w:rsidRPr="003A42FB">
        <w:rPr>
          <w:rFonts w:ascii="Times New Roman" w:eastAsiaTheme="minorEastAsia" w:hAnsi="Times New Roman" w:cs="Times New Roman"/>
          <w:b/>
          <w:bCs/>
          <w:sz w:val="24"/>
          <w:szCs w:val="24"/>
          <w:u w:val="single"/>
        </w:rPr>
        <w:t xml:space="preserve"> i niegeograficznego</w:t>
      </w:r>
      <w:r w:rsidR="595C3479" w:rsidRPr="00852AC8">
        <w:rPr>
          <w:rFonts w:ascii="Times New Roman" w:eastAsiaTheme="minorEastAsia" w:hAnsi="Times New Roman" w:cs="Times New Roman"/>
          <w:b/>
          <w:bCs/>
          <w:sz w:val="24"/>
          <w:szCs w:val="24"/>
        </w:rPr>
        <w:t xml:space="preserve"> – </w:t>
      </w:r>
      <w:r w:rsidR="595C3479" w:rsidRPr="003A42FB">
        <w:rPr>
          <w:rFonts w:ascii="Times New Roman" w:eastAsiaTheme="minorEastAsia" w:hAnsi="Times New Roman" w:cs="Times New Roman"/>
          <w:sz w:val="24"/>
          <w:szCs w:val="24"/>
        </w:rPr>
        <w:t xml:space="preserve">projektowana ustawa </w:t>
      </w:r>
      <w:r w:rsidR="2A9CAFEC" w:rsidRPr="003A42FB">
        <w:rPr>
          <w:rFonts w:ascii="Times New Roman" w:eastAsiaTheme="minorEastAsia" w:hAnsi="Times New Roman" w:cs="Times New Roman"/>
          <w:sz w:val="24"/>
          <w:szCs w:val="24"/>
        </w:rPr>
        <w:t>defini</w:t>
      </w:r>
      <w:r w:rsidR="2FBB7E90" w:rsidRPr="003A42FB">
        <w:rPr>
          <w:rFonts w:ascii="Times New Roman" w:eastAsiaTheme="minorEastAsia" w:hAnsi="Times New Roman" w:cs="Times New Roman"/>
          <w:sz w:val="24"/>
          <w:szCs w:val="24"/>
        </w:rPr>
        <w:t>uje</w:t>
      </w:r>
      <w:r w:rsidR="2A9CAFEC" w:rsidRPr="003A42FB">
        <w:rPr>
          <w:rFonts w:ascii="Times New Roman" w:eastAsiaTheme="minorEastAsia" w:hAnsi="Times New Roman" w:cs="Times New Roman"/>
          <w:sz w:val="24"/>
          <w:szCs w:val="24"/>
        </w:rPr>
        <w:t xml:space="preserve"> pojęcia numeru geograficznego i niegeograficznego. Numer geograficzny został scharakteryzowany jako numer zawierający wskaźnik obszaru geograficznego, wykorzystywany do kierowania połączeń do stałej lokalizacji zakończenia sieci. Z kolei numer niegeograficzny zdefiniowano jako nieposiadający wskaźnika, z doprecyzowaniem, że są to w szczególności numery zakończenia sieci ruchomej, numery</w:t>
      </w:r>
      <w:r w:rsidR="4B5B0FE2" w:rsidRPr="003A42FB">
        <w:rPr>
          <w:rFonts w:ascii="Times New Roman" w:eastAsiaTheme="minorEastAsia" w:hAnsi="Times New Roman" w:cs="Times New Roman"/>
          <w:sz w:val="24"/>
          <w:szCs w:val="24"/>
        </w:rPr>
        <w:t>,</w:t>
      </w:r>
      <w:r w:rsidR="2A9CAFEC" w:rsidRPr="003A42FB">
        <w:rPr>
          <w:rFonts w:ascii="Times New Roman" w:eastAsiaTheme="minorEastAsia" w:hAnsi="Times New Roman" w:cs="Times New Roman"/>
          <w:sz w:val="24"/>
          <w:szCs w:val="24"/>
        </w:rPr>
        <w:t xml:space="preserve"> do których połączenia są bezpłatne albo </w:t>
      </w:r>
      <w:r w:rsidR="02D48BBF" w:rsidRPr="003A42FB">
        <w:rPr>
          <w:rFonts w:ascii="Times New Roman" w:eastAsiaTheme="minorEastAsia" w:hAnsi="Times New Roman" w:cs="Times New Roman"/>
          <w:sz w:val="24"/>
          <w:szCs w:val="24"/>
        </w:rPr>
        <w:t>numery wykorzystywane do świadczenia usług z dodatkowym świadczeniem (tzw. premium rate)</w:t>
      </w:r>
      <w:r w:rsidR="2A9CAFEC" w:rsidRPr="003A42FB">
        <w:rPr>
          <w:rFonts w:ascii="Times New Roman" w:eastAsiaTheme="minorEastAsia" w:hAnsi="Times New Roman" w:cs="Times New Roman"/>
          <w:sz w:val="24"/>
          <w:szCs w:val="24"/>
        </w:rPr>
        <w:t>. Odpowiedniki powyższych definicji zawarte są w art. 2 pkt 33 i 34 EKŁE. Projekt odwołuje się do rozróżnienia na numery geograficzne i niegeograficzne w szczególności w przepisach regulujących przenoszenie numeru w ramach tej samej sieci oraz d</w:t>
      </w:r>
      <w:r w:rsidR="0377681B" w:rsidRPr="003A42FB">
        <w:rPr>
          <w:rFonts w:ascii="Times New Roman" w:eastAsiaTheme="minorEastAsia" w:hAnsi="Times New Roman" w:cs="Times New Roman"/>
          <w:sz w:val="24"/>
          <w:szCs w:val="24"/>
        </w:rPr>
        <w:t xml:space="preserve">o sieci innego dostawcy usług. </w:t>
      </w:r>
    </w:p>
    <w:p w14:paraId="31F03ED8" w14:textId="4D7B9422" w:rsidR="00565915" w:rsidRPr="003A42FB" w:rsidRDefault="2A9CAFEC"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Definicje odbiornika radiofonii cyfrowej, odbiornika sygnału telewizyjnego oraz samochodowego odbiornika radiofonicznego</w:t>
      </w:r>
      <w:r w:rsidR="271119B3" w:rsidRPr="003A42FB">
        <w:rPr>
          <w:rFonts w:ascii="Times New Roman" w:eastAsiaTheme="minorEastAsia" w:hAnsi="Times New Roman" w:cs="Times New Roman"/>
          <w:sz w:val="24"/>
          <w:szCs w:val="24"/>
        </w:rPr>
        <w:t xml:space="preserve"> – projektowane przepisy </w:t>
      </w:r>
      <w:r w:rsidR="51EE6AE8" w:rsidRPr="003A42FB">
        <w:rPr>
          <w:rFonts w:ascii="Times New Roman" w:eastAsiaTheme="minorEastAsia" w:hAnsi="Times New Roman" w:cs="Times New Roman"/>
          <w:sz w:val="24"/>
          <w:szCs w:val="24"/>
        </w:rPr>
        <w:t>odnoszą się do</w:t>
      </w:r>
      <w:r w:rsidR="5FA50980" w:rsidRPr="003A42FB">
        <w:rPr>
          <w:rFonts w:ascii="Times New Roman" w:eastAsiaTheme="minorEastAsia" w:hAnsi="Times New Roman" w:cs="Times New Roman"/>
          <w:sz w:val="24"/>
          <w:szCs w:val="24"/>
        </w:rPr>
        <w:t xml:space="preserve"> </w:t>
      </w:r>
      <w:r w:rsidR="7110DEA9" w:rsidRPr="003A42FB">
        <w:rPr>
          <w:rFonts w:ascii="Times New Roman" w:eastAsiaTheme="minorEastAsia" w:hAnsi="Times New Roman" w:cs="Times New Roman"/>
          <w:sz w:val="24"/>
          <w:szCs w:val="24"/>
        </w:rPr>
        <w:t>trz</w:t>
      </w:r>
      <w:r w:rsidR="08182461" w:rsidRPr="003A42FB">
        <w:rPr>
          <w:rFonts w:ascii="Times New Roman" w:eastAsiaTheme="minorEastAsia" w:hAnsi="Times New Roman" w:cs="Times New Roman"/>
          <w:sz w:val="24"/>
          <w:szCs w:val="24"/>
        </w:rPr>
        <w:t>ech</w:t>
      </w:r>
      <w:r w:rsidR="055C2CEC" w:rsidRPr="003A42FB">
        <w:rPr>
          <w:rFonts w:ascii="Times New Roman" w:eastAsiaTheme="minorEastAsia" w:hAnsi="Times New Roman" w:cs="Times New Roman"/>
          <w:sz w:val="24"/>
          <w:szCs w:val="24"/>
        </w:rPr>
        <w:t xml:space="preserve"> </w:t>
      </w:r>
      <w:r w:rsidR="69A9D0FC" w:rsidRPr="003A42FB">
        <w:rPr>
          <w:rFonts w:ascii="Times New Roman" w:eastAsiaTheme="minorEastAsia" w:hAnsi="Times New Roman" w:cs="Times New Roman"/>
          <w:sz w:val="24"/>
          <w:szCs w:val="24"/>
        </w:rPr>
        <w:t>rodzajów urządzeń</w:t>
      </w:r>
      <w:r w:rsidRPr="003A42FB">
        <w:rPr>
          <w:rFonts w:ascii="Times New Roman" w:eastAsiaTheme="minorEastAsia" w:hAnsi="Times New Roman" w:cs="Times New Roman"/>
          <w:sz w:val="24"/>
          <w:szCs w:val="24"/>
        </w:rPr>
        <w:t xml:space="preserve"> służąc</w:t>
      </w:r>
      <w:r w:rsidR="145BF37B" w:rsidRPr="003A42FB">
        <w:rPr>
          <w:rFonts w:ascii="Times New Roman" w:eastAsiaTheme="minorEastAsia" w:hAnsi="Times New Roman" w:cs="Times New Roman"/>
          <w:sz w:val="24"/>
          <w:szCs w:val="24"/>
        </w:rPr>
        <w:t>ych</w:t>
      </w:r>
      <w:r w:rsidRPr="003A42FB">
        <w:rPr>
          <w:rFonts w:ascii="Times New Roman" w:eastAsiaTheme="minorEastAsia" w:hAnsi="Times New Roman" w:cs="Times New Roman"/>
          <w:sz w:val="24"/>
          <w:szCs w:val="24"/>
        </w:rPr>
        <w:t xml:space="preserve"> do odbioru transmisji cyfrowych</w:t>
      </w:r>
      <w:r w:rsidR="3B604567" w:rsidRPr="003A42FB">
        <w:rPr>
          <w:rFonts w:ascii="Times New Roman" w:eastAsiaTheme="minorEastAsia" w:hAnsi="Times New Roman" w:cs="Times New Roman"/>
          <w:sz w:val="24"/>
          <w:szCs w:val="24"/>
        </w:rPr>
        <w:t>.</w:t>
      </w:r>
      <w:r w:rsidR="269F21D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Pojęcia te nie są definiowane w EKŁE. Dotychczas w ustawie Pt definiowane było jedynie pojęcie odbiornika cyfrowego, które zakresem odpowiada projektowanej definicji odbiornika sygnału telewizyjnego. W związku z nowymi wymogami EKŁE dotyczącymi odbiorników radiofonicznych wbudowanych do pojazdów kategorii M zasadne jest uzupełnienie dotychczasowego katalogu definicji</w:t>
      </w:r>
      <w:r w:rsidR="7B0EE18E" w:rsidRPr="003A42FB">
        <w:rPr>
          <w:rFonts w:ascii="Times New Roman" w:eastAsiaTheme="minorEastAsia" w:hAnsi="Times New Roman" w:cs="Times New Roman"/>
          <w:sz w:val="24"/>
          <w:szCs w:val="24"/>
        </w:rPr>
        <w:t xml:space="preserve"> o definicję odbiornika radiofonii cyfrowej oraz samochodowego odbiornika radiofonicznego</w:t>
      </w:r>
      <w:r w:rsidRPr="003A42FB">
        <w:rPr>
          <w:rFonts w:ascii="Times New Roman" w:eastAsiaTheme="minorEastAsia" w:hAnsi="Times New Roman" w:cs="Times New Roman"/>
          <w:sz w:val="24"/>
          <w:szCs w:val="24"/>
        </w:rPr>
        <w:t>. Przez odbiornik radiofonii cyfrowej należy rozumieć</w:t>
      </w:r>
      <w:r w:rsidR="5A24CBE3" w:rsidRPr="003A42FB">
        <w:rPr>
          <w:rFonts w:ascii="Times New Roman" w:eastAsia="Times New Roman" w:hAnsi="Times New Roman" w:cs="Times New Roman"/>
          <w:sz w:val="24"/>
          <w:szCs w:val="24"/>
        </w:rPr>
        <w:t xml:space="preserve"> urządzenie służące do odbioru cyfrowych transmisji radiofonicznych, zawierające co najmniej tuner obejmujący głowicę wysokiej częstotliwości i demodulator, a także demultiplekser i dekodery odbieranych usług oraz antenę lub złącze antenowe</w:t>
      </w:r>
      <w:r w:rsidRPr="003A42FB">
        <w:rPr>
          <w:rFonts w:ascii="Times New Roman" w:eastAsiaTheme="minorEastAsia" w:hAnsi="Times New Roman" w:cs="Times New Roman"/>
          <w:sz w:val="24"/>
          <w:szCs w:val="24"/>
        </w:rPr>
        <w:t>. Odbiornikiem sygnału telewizyjnego jest urządzenie</w:t>
      </w:r>
      <w:r w:rsidR="51C2D91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służące do odbioru cyfrowych transmisji telewizyjnych zawierające co najmniej tuner obejmujący głowicę wysokiej częstotliwości i demodulator, demultiplekser i dekodery oraz wyświetlacz obrazu albo niezawierające takiego wyświetlacza. Samochodowym odbiornikiem radiofonicznym jest odbiornik radiofonii cyfrowej, który jest wbudowany do pojazdów kategorii M (osobowych).</w:t>
      </w:r>
    </w:p>
    <w:p w14:paraId="052FD16E" w14:textId="2536F178" w:rsidR="00D72623" w:rsidRPr="003A42FB" w:rsidRDefault="2A9CAFEC"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w:t>
      </w:r>
      <w:r w:rsidR="1C6D590D" w:rsidRPr="003A42FB">
        <w:rPr>
          <w:rFonts w:ascii="Times New Roman" w:eastAsiaTheme="minorEastAsia" w:hAnsi="Times New Roman" w:cs="Times New Roman"/>
          <w:b/>
          <w:bCs/>
          <w:sz w:val="24"/>
          <w:szCs w:val="24"/>
          <w:u w:val="single"/>
        </w:rPr>
        <w:t>operator</w:t>
      </w:r>
      <w:r w:rsidRPr="003A42FB">
        <w:rPr>
          <w:rFonts w:ascii="Times New Roman" w:eastAsiaTheme="minorEastAsia" w:hAnsi="Times New Roman" w:cs="Times New Roman"/>
          <w:b/>
          <w:bCs/>
          <w:sz w:val="24"/>
          <w:szCs w:val="24"/>
          <w:u w:val="single"/>
        </w:rPr>
        <w:t>a</w:t>
      </w:r>
      <w:r w:rsidR="1C6D590D" w:rsidRPr="003A42FB">
        <w:rPr>
          <w:rFonts w:ascii="Times New Roman" w:eastAsiaTheme="minorEastAsia" w:hAnsi="Times New Roman" w:cs="Times New Roman"/>
          <w:b/>
          <w:bCs/>
          <w:sz w:val="24"/>
          <w:szCs w:val="24"/>
          <w:u w:val="single"/>
        </w:rPr>
        <w:t xml:space="preserve"> multipleksu</w:t>
      </w:r>
      <w:r w:rsidRPr="003A42FB">
        <w:rPr>
          <w:rFonts w:ascii="Times New Roman" w:eastAsiaTheme="minorEastAsia" w:hAnsi="Times New Roman" w:cs="Times New Roman"/>
          <w:sz w:val="24"/>
          <w:szCs w:val="24"/>
        </w:rPr>
        <w:t xml:space="preserve"> - pojęcie</w:t>
      </w:r>
      <w:r w:rsidR="27749CE8" w:rsidRPr="003A42FB">
        <w:rPr>
          <w:rFonts w:ascii="Times New Roman" w:eastAsiaTheme="minorEastAsia" w:hAnsi="Times New Roman" w:cs="Times New Roman"/>
          <w:sz w:val="24"/>
          <w:szCs w:val="24"/>
        </w:rPr>
        <w:t xml:space="preserve"> to oznacza</w:t>
      </w:r>
      <w:r w:rsidRPr="003A42FB">
        <w:rPr>
          <w:rFonts w:ascii="Times New Roman" w:eastAsiaTheme="minorEastAsia" w:hAnsi="Times New Roman" w:cs="Times New Roman"/>
          <w:sz w:val="24"/>
          <w:szCs w:val="24"/>
        </w:rPr>
        <w:t xml:space="preserve"> podmiot, który uzyskał rezerwację częstotliwości na rozpowszechnianie lub rozprowadzanie programów telewizyjnych lub radiofonicznych w sposób cyfrowy drogą rozsiewczą naziemną w multipleksie oraz prowadzący działalność telekomunikacyjną i posiadający własną infrastrukturę telekomunikacyjną lub posiadający umowę o świadczenie usługi transmisji sygnału multipleksu z operatorem sieci nadawczej. </w:t>
      </w:r>
      <w:r w:rsidR="6AB776E4" w:rsidRPr="003A42FB">
        <w:rPr>
          <w:rFonts w:ascii="Times New Roman" w:eastAsiaTheme="minorEastAsia" w:hAnsi="Times New Roman" w:cs="Times New Roman"/>
          <w:sz w:val="24"/>
          <w:szCs w:val="24"/>
        </w:rPr>
        <w:t>Pojęcie to nie ma odpowiednika w EKŁE, występuje zaś na gruncie Pt.</w:t>
      </w:r>
    </w:p>
    <w:p w14:paraId="7C7F22A7" w14:textId="25C88E6B" w:rsidR="00244B5C" w:rsidRPr="003A42FB" w:rsidRDefault="00D72623"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w:t>
      </w:r>
      <w:r w:rsidR="00565915" w:rsidRPr="003A42FB">
        <w:rPr>
          <w:rFonts w:ascii="Times New Roman" w:eastAsiaTheme="minorEastAsia" w:hAnsi="Times New Roman" w:cs="Times New Roman"/>
          <w:sz w:val="24"/>
          <w:szCs w:val="24"/>
          <w:u w:val="single"/>
        </w:rPr>
        <w:t xml:space="preserve"> </w:t>
      </w:r>
      <w:r w:rsidR="00565915" w:rsidRPr="003A42FB">
        <w:rPr>
          <w:rFonts w:ascii="Times New Roman" w:eastAsiaTheme="minorEastAsia" w:hAnsi="Times New Roman" w:cs="Times New Roman"/>
          <w:b/>
          <w:bCs/>
          <w:sz w:val="24"/>
          <w:szCs w:val="24"/>
          <w:u w:val="single"/>
        </w:rPr>
        <w:t>operatora sieci nadawczej</w:t>
      </w:r>
      <w:r w:rsidR="0056591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w definicji wskazano</w:t>
      </w:r>
      <w:r w:rsidR="00565915" w:rsidRPr="003A42FB">
        <w:rPr>
          <w:rFonts w:ascii="Times New Roman" w:eastAsiaTheme="minorEastAsia" w:hAnsi="Times New Roman" w:cs="Times New Roman"/>
          <w:sz w:val="24"/>
          <w:szCs w:val="24"/>
        </w:rPr>
        <w:t>, że jest to przedsiębiorca telekomunikacyjny świadczący usługi transmisji sygnałów radiodyfuzyjnych dro</w:t>
      </w:r>
      <w:r w:rsidRPr="003A42FB">
        <w:rPr>
          <w:rFonts w:ascii="Times New Roman" w:eastAsiaTheme="minorEastAsia" w:hAnsi="Times New Roman" w:cs="Times New Roman"/>
          <w:sz w:val="24"/>
          <w:szCs w:val="24"/>
        </w:rPr>
        <w:t>gą rozsiewczą naziemną.</w:t>
      </w:r>
      <w:r w:rsidR="301BC170" w:rsidRPr="003A42FB">
        <w:rPr>
          <w:rFonts w:ascii="Times New Roman" w:eastAsiaTheme="minorEastAsia" w:hAnsi="Times New Roman" w:cs="Times New Roman"/>
          <w:sz w:val="24"/>
          <w:szCs w:val="24"/>
        </w:rPr>
        <w:t xml:space="preserve"> Definicja jest stosowana na gruncie Pt.</w:t>
      </w:r>
    </w:p>
    <w:p w14:paraId="668F2C75" w14:textId="09A5587B" w:rsidR="00DE1418"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połączenia</w:t>
      </w:r>
      <w:r w:rsidRPr="003A42FB">
        <w:rPr>
          <w:rFonts w:ascii="Times New Roman" w:eastAsiaTheme="minorEastAsia" w:hAnsi="Times New Roman" w:cs="Times New Roman"/>
          <w:sz w:val="24"/>
          <w:szCs w:val="24"/>
        </w:rPr>
        <w:t xml:space="preserve"> – oznacza fizyczne lub logiczne połączenie telekomunikacyjnych urządzeń końcowych pozwalające na przesłanie </w:t>
      </w:r>
      <w:r w:rsidR="0090629A">
        <w:rPr>
          <w:rFonts w:ascii="Times New Roman" w:eastAsiaTheme="minorEastAsia" w:hAnsi="Times New Roman" w:cs="Times New Roman"/>
          <w:sz w:val="24"/>
          <w:szCs w:val="24"/>
        </w:rPr>
        <w:t>komunikatów elektronicznych</w:t>
      </w:r>
      <w:r w:rsidRPr="003A42FB">
        <w:rPr>
          <w:rFonts w:ascii="Times New Roman" w:eastAsiaTheme="minorEastAsia" w:hAnsi="Times New Roman" w:cs="Times New Roman"/>
          <w:sz w:val="24"/>
          <w:szCs w:val="24"/>
        </w:rPr>
        <w:t xml:space="preserve">. Połączenie </w:t>
      </w:r>
      <w:r w:rsidRPr="003A42FB">
        <w:rPr>
          <w:rFonts w:ascii="Times New Roman" w:eastAsiaTheme="minorEastAsia" w:hAnsi="Times New Roman" w:cs="Times New Roman"/>
          <w:sz w:val="24"/>
          <w:szCs w:val="24"/>
        </w:rPr>
        <w:lastRenderedPageBreak/>
        <w:t>służy do przesyłania treści rozmów telefonicznych i innych informacji przekazywanych za pomocą sieci telekomunikacyjnych.</w:t>
      </w:r>
      <w:r w:rsidR="7C5DB699" w:rsidRPr="003A42FB">
        <w:rPr>
          <w:rFonts w:ascii="Times New Roman" w:eastAsiaTheme="minorEastAsia" w:hAnsi="Times New Roman" w:cs="Times New Roman"/>
          <w:sz w:val="24"/>
          <w:szCs w:val="24"/>
        </w:rPr>
        <w:t xml:space="preserve"> Definicja jest stosowana na gruncie Pt.</w:t>
      </w:r>
    </w:p>
    <w:p w14:paraId="5A92C70E" w14:textId="4EA591C7" w:rsidR="00B37080" w:rsidRPr="003A42FB" w:rsidRDefault="1C6D590D"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połączenia głosowego</w:t>
      </w:r>
      <w:r w:rsidR="1D47D661" w:rsidRPr="003A42FB">
        <w:rPr>
          <w:rFonts w:ascii="Times New Roman" w:eastAsiaTheme="minorEastAsia" w:hAnsi="Times New Roman" w:cs="Times New Roman"/>
          <w:b/>
          <w:bCs/>
          <w:sz w:val="24"/>
          <w:szCs w:val="24"/>
          <w:u w:val="single"/>
        </w:rPr>
        <w:t xml:space="preserve"> </w:t>
      </w:r>
      <w:r w:rsidR="1D47D661" w:rsidRPr="003A42FB">
        <w:rPr>
          <w:rFonts w:ascii="Times New Roman" w:eastAsiaTheme="minorEastAsia" w:hAnsi="Times New Roman" w:cs="Times New Roman"/>
          <w:b/>
          <w:bCs/>
          <w:sz w:val="24"/>
          <w:szCs w:val="24"/>
        </w:rPr>
        <w:t xml:space="preserve">- </w:t>
      </w:r>
      <w:r w:rsidR="0371DC0B" w:rsidRPr="003A42FB">
        <w:rPr>
          <w:rFonts w:ascii="Times New Roman" w:eastAsiaTheme="minorEastAsia" w:hAnsi="Times New Roman" w:cs="Times New Roman"/>
          <w:sz w:val="24"/>
          <w:szCs w:val="24"/>
        </w:rPr>
        <w:t xml:space="preserve"> to pojęcie oznaczające</w:t>
      </w:r>
      <w:r w:rsidR="1D47D661" w:rsidRPr="003A42FB">
        <w:rPr>
          <w:rFonts w:ascii="Times New Roman" w:eastAsiaTheme="minorEastAsia" w:hAnsi="Times New Roman" w:cs="Times New Roman"/>
          <w:sz w:val="24"/>
          <w:szCs w:val="24"/>
        </w:rPr>
        <w:t xml:space="preserve"> połączenie ustanowione za pomocą publicznie dostępnej usługi </w:t>
      </w:r>
      <w:r w:rsidR="44171BD2" w:rsidRPr="003A42FB">
        <w:rPr>
          <w:rFonts w:ascii="Times New Roman" w:eastAsiaTheme="minorEastAsia" w:hAnsi="Times New Roman" w:cs="Times New Roman"/>
          <w:sz w:val="24"/>
          <w:szCs w:val="24"/>
        </w:rPr>
        <w:t>komunikacji interpersonalnej</w:t>
      </w:r>
      <w:r w:rsidR="1D47D661" w:rsidRPr="003A42FB">
        <w:rPr>
          <w:rFonts w:ascii="Times New Roman" w:eastAsiaTheme="minorEastAsia" w:hAnsi="Times New Roman" w:cs="Times New Roman"/>
          <w:sz w:val="24"/>
          <w:szCs w:val="24"/>
        </w:rPr>
        <w:t>, pozwalające na dwukierunkową komunikację głosową. Odpowiednik tej definicji zawarty jest w art. 2 pkt 31 EKŁE. Pojęcie połączenia głosowego zastępuje zakresowo tożsame pojęcie połączenia telefonicznego występujące</w:t>
      </w:r>
      <w:r w:rsidR="152F44FC" w:rsidRPr="003A42FB">
        <w:rPr>
          <w:rFonts w:ascii="Times New Roman" w:eastAsiaTheme="minorEastAsia" w:hAnsi="Times New Roman" w:cs="Times New Roman"/>
          <w:sz w:val="24"/>
          <w:szCs w:val="24"/>
        </w:rPr>
        <w:t xml:space="preserve"> w ustawie Pt.</w:t>
      </w:r>
    </w:p>
    <w:p w14:paraId="0EDBC761" w14:textId="274013DE" w:rsidR="001A0975" w:rsidRPr="003A42FB" w:rsidRDefault="00B3708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połączenia sieci</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
          <w:bCs/>
          <w:sz w:val="24"/>
          <w:szCs w:val="24"/>
        </w:rPr>
        <w:t xml:space="preserve"> </w:t>
      </w:r>
      <w:r w:rsidR="00290604" w:rsidRPr="003A42FB">
        <w:rPr>
          <w:rFonts w:ascii="Times New Roman" w:eastAsiaTheme="minorEastAsia" w:hAnsi="Times New Roman" w:cs="Times New Roman"/>
          <w:sz w:val="24"/>
          <w:szCs w:val="24"/>
        </w:rPr>
        <w:t xml:space="preserve">oznacza współdziałanie dwóch podmiotów, które ustanawiają połączenie dwóch </w:t>
      </w:r>
      <w:r w:rsidR="00707A39">
        <w:rPr>
          <w:rFonts w:ascii="Times New Roman" w:eastAsiaTheme="minorEastAsia" w:hAnsi="Times New Roman" w:cs="Times New Roman"/>
          <w:sz w:val="24"/>
          <w:szCs w:val="24"/>
        </w:rPr>
        <w:t xml:space="preserve"> sieci telekomunikacyjnych</w:t>
      </w:r>
      <w:r w:rsidR="00290604" w:rsidRPr="003A42FB">
        <w:rPr>
          <w:rFonts w:ascii="Times New Roman" w:eastAsiaTheme="minorEastAsia" w:hAnsi="Times New Roman" w:cs="Times New Roman"/>
          <w:sz w:val="24"/>
          <w:szCs w:val="24"/>
        </w:rPr>
        <w:t>. Połączenie sieci jest szczególnym przypadkiem dostępu</w:t>
      </w:r>
      <w:r w:rsidR="00707A39">
        <w:rPr>
          <w:rFonts w:ascii="Times New Roman" w:eastAsiaTheme="minorEastAsia" w:hAnsi="Times New Roman" w:cs="Times New Roman"/>
          <w:sz w:val="24"/>
          <w:szCs w:val="24"/>
        </w:rPr>
        <w:t xml:space="preserve"> telekomunikacyjnego</w:t>
      </w:r>
      <w:r w:rsidR="383BDCD0" w:rsidRPr="003A42FB">
        <w:rPr>
          <w:rFonts w:ascii="Times New Roman" w:eastAsiaTheme="minorEastAsia" w:hAnsi="Times New Roman" w:cs="Times New Roman"/>
          <w:sz w:val="24"/>
          <w:szCs w:val="24"/>
        </w:rPr>
        <w:t>. Definicja jest stosowana na gruncie Pt.</w:t>
      </w:r>
    </w:p>
    <w:p w14:paraId="58D24518" w14:textId="1CF59D41" w:rsidR="001A0975" w:rsidRPr="003A42FB" w:rsidRDefault="001A0975" w:rsidP="00C53EAB">
      <w:pPr>
        <w:spacing w:after="120" w:line="240" w:lineRule="auto"/>
        <w:jc w:val="both"/>
        <w:rPr>
          <w:rFonts w:ascii="Times New Roman" w:eastAsiaTheme="minorEastAsia" w:hAnsi="Times New Roman" w:cs="Times New Roman"/>
          <w:b/>
          <w:bCs/>
          <w:sz w:val="24"/>
          <w:szCs w:val="24"/>
          <w:u w:val="single"/>
          <w:shd w:val="clear" w:color="auto" w:fill="FFFFFF"/>
        </w:rPr>
      </w:pPr>
      <w:r w:rsidRPr="003A42FB">
        <w:rPr>
          <w:rFonts w:ascii="Times New Roman" w:eastAsiaTheme="minorEastAsia" w:hAnsi="Times New Roman" w:cs="Times New Roman"/>
          <w:b/>
          <w:bCs/>
          <w:sz w:val="24"/>
          <w:szCs w:val="24"/>
          <w:u w:val="single"/>
        </w:rPr>
        <w:t xml:space="preserve">Definicja </w:t>
      </w:r>
      <w:r w:rsidRPr="003A42FB">
        <w:rPr>
          <w:rFonts w:ascii="Times New Roman" w:eastAsiaTheme="minorEastAsia" w:hAnsi="Times New Roman" w:cs="Times New Roman"/>
          <w:b/>
          <w:bCs/>
          <w:sz w:val="24"/>
          <w:szCs w:val="24"/>
          <w:u w:val="single"/>
          <w:shd w:val="clear" w:color="auto" w:fill="FFFFFF"/>
        </w:rPr>
        <w:t>powiązanych zasobów i powiązanych usług</w:t>
      </w:r>
      <w:r w:rsidRPr="003A42FB">
        <w:rPr>
          <w:rFonts w:ascii="Times New Roman" w:eastAsiaTheme="minorEastAsia" w:hAnsi="Times New Roman" w:cs="Times New Roman"/>
          <w:bCs/>
          <w:sz w:val="24"/>
          <w:szCs w:val="24"/>
          <w:shd w:val="clear" w:color="auto" w:fill="FFFFFF"/>
        </w:rPr>
        <w:t xml:space="preserve"> -</w:t>
      </w:r>
      <w:r w:rsidRPr="003A42FB">
        <w:rPr>
          <w:rFonts w:ascii="Times New Roman" w:eastAsiaTheme="minorEastAsia" w:hAnsi="Times New Roman" w:cs="Times New Roman"/>
          <w:b/>
          <w:bCs/>
          <w:sz w:val="24"/>
          <w:szCs w:val="24"/>
          <w:shd w:val="clear" w:color="auto" w:fill="FFFFFF"/>
        </w:rPr>
        <w:t xml:space="preserve"> </w:t>
      </w:r>
      <w:r w:rsidRPr="003A42FB">
        <w:rPr>
          <w:rFonts w:ascii="Times New Roman" w:eastAsiaTheme="minorEastAsia" w:hAnsi="Times New Roman" w:cs="Times New Roman"/>
          <w:sz w:val="24"/>
          <w:szCs w:val="24"/>
        </w:rPr>
        <w:t>zgodnie z zaproponowaną definicją powiązanych zasobów, są to: powiązane usługi, infrastruktura techniczna, okablowanie pomiędzy zakończeniami sieci w obiekcie budowlanym a najbliższym punktem dystrybucji, anteny</w:t>
      </w:r>
      <w:r w:rsidR="00707A39">
        <w:rPr>
          <w:rFonts w:ascii="Times New Roman" w:eastAsiaTheme="minorEastAsia" w:hAnsi="Times New Roman" w:cs="Times New Roman"/>
          <w:sz w:val="24"/>
          <w:szCs w:val="24"/>
        </w:rPr>
        <w:t>, jak również inne</w:t>
      </w:r>
      <w:r w:rsidR="00C6758F">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urządzenia, powiązane z siecią telekomunikacyjną lub usługami telekomunikacyjnymi, które umożliwiają lub wspierają dostarczanie usług za pośrednictwem tych sieci lub usług lub które mogą służyć do tego celu.</w:t>
      </w:r>
    </w:p>
    <w:p w14:paraId="063AFEF1" w14:textId="159E755F" w:rsidR="001A0975" w:rsidRPr="003A42FB" w:rsidRDefault="001A097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obecnie obowiązującą definicją zawartą w art. 2 pkt 44 uchylanego </w:t>
      </w:r>
      <w:r w:rsidR="00707A39">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udogodnienia towarzyszące składają się m.in. z infrastruktury fizycznej, budynków, wejść do budynków, kanałów, masztów, szafek, anten, wież i innych konstrukcji nośnych. Wszystkie wskazane desygnaty mieszczą się w pojęciu infrastruktury technicznej zawartej w ustawie </w:t>
      </w:r>
      <w:r w:rsidR="00372B80" w:rsidRPr="003A42FB">
        <w:rPr>
          <w:rFonts w:ascii="Times New Roman" w:eastAsiaTheme="minorEastAsia" w:hAnsi="Times New Roman" w:cs="Times New Roman"/>
          <w:sz w:val="24"/>
          <w:szCs w:val="24"/>
        </w:rPr>
        <w:t xml:space="preserve">z dnia 7 maja 2010 r. </w:t>
      </w:r>
      <w:r w:rsidRPr="003A42FB">
        <w:rPr>
          <w:rFonts w:ascii="Times New Roman" w:eastAsiaTheme="minorEastAsia" w:hAnsi="Times New Roman" w:cs="Times New Roman"/>
          <w:sz w:val="24"/>
          <w:szCs w:val="24"/>
        </w:rPr>
        <w:t>o wspieraniu rozwoju</w:t>
      </w:r>
      <w:r w:rsidR="003A753A" w:rsidRPr="003A42FB">
        <w:rPr>
          <w:rFonts w:ascii="Times New Roman" w:eastAsiaTheme="minorEastAsia" w:hAnsi="Times New Roman" w:cs="Times New Roman"/>
          <w:sz w:val="24"/>
          <w:szCs w:val="24"/>
        </w:rPr>
        <w:t xml:space="preserve"> usług i sieci telekomunikacyjnych</w:t>
      </w:r>
      <w:r w:rsidR="009605E7" w:rsidRPr="003A42FB">
        <w:rPr>
          <w:rFonts w:ascii="Times New Roman" w:eastAsiaTheme="minorEastAsia" w:hAnsi="Times New Roman" w:cs="Times New Roman"/>
          <w:sz w:val="24"/>
          <w:szCs w:val="24"/>
        </w:rPr>
        <w:t xml:space="preserve"> (Dz. U. z 2019 r. poz. 2410 oraz z 2020 r. poz. 471 i 875)</w:t>
      </w:r>
      <w:r w:rsidR="003A753A" w:rsidRPr="003A42FB">
        <w:rPr>
          <w:rFonts w:ascii="Times New Roman" w:eastAsiaTheme="minorEastAsia" w:hAnsi="Times New Roman" w:cs="Times New Roman"/>
          <w:sz w:val="24"/>
          <w:szCs w:val="24"/>
        </w:rPr>
        <w:t xml:space="preserve"> (dalej „ustawa o wspieraniu rozwoju”)</w:t>
      </w:r>
      <w:r w:rsidR="003A753A" w:rsidRPr="003A42FB">
        <w:rPr>
          <w:rStyle w:val="Odwoanieprzypisudolnego"/>
          <w:rFonts w:ascii="Times New Roman" w:hAnsi="Times New Roman" w:cs="Times New Roman"/>
          <w:sz w:val="24"/>
          <w:szCs w:val="24"/>
        </w:rPr>
        <w:footnoteReference w:id="2"/>
      </w:r>
      <w:r w:rsidRPr="003A42FB">
        <w:rPr>
          <w:rFonts w:ascii="Times New Roman" w:eastAsiaTheme="minorEastAsia" w:hAnsi="Times New Roman" w:cs="Times New Roman"/>
          <w:sz w:val="24"/>
          <w:szCs w:val="24"/>
        </w:rPr>
        <w:t xml:space="preserve">. Natomiast zgodnie z art. 2 pkt 6 ustawy o wspieraniu rozwoju, infrastrukturę techniczną stanowi każdy element sieci, który może służyć do umieszczenia w nim lub na nim elementów sieci telekomunikacyjnej, nie stając się jednocześnie aktywnym elementem tej sieci telekomunikacyjnej, taki jak rurociągi, kanalizacja, maszty, kanały, komory, studzienki, szafki, budynki i wejścia do budynków, instalacje antenowe, konstrukcje wsporcze anten i urządzeń radiowych, wieże i słupy. Wyłączone z zakresu definicji zostały wprost: kable, w tym włókna światłowodowe; elementy sieci wykorzystywane do zaopatrzenia w wodę przeznaczoną do spożycia przez ludzi oraz kanały technologiczne. </w:t>
      </w:r>
    </w:p>
    <w:p w14:paraId="4BDEB94D" w14:textId="22E059E6" w:rsidR="001A0975" w:rsidRPr="003A42FB" w:rsidRDefault="204BE60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Ze względu na potrzebę wprowadzenia większej przejrzystości przepisów gałęzi prawa telekomunikacyjnego, proponuje się ujednolicenie siatki pojęciowej. Definiowane wyrażenie „powiązane zasoby” cechuje się większą precyzją, jednoznacznością i zrozumiałością niż „udogodnienia towarzyszące”. Dotychczasowe tłumaczenie z języka angielskiego, zdefiniowanego w art. 2 lit. e dyrektywy ramowej oraz w art. 2 pkt 10 EKŁE określenia „associated facilities” jako udogodnień towarzyszących, nie może zostać uznane za nazbyt trafne. Występujący we frazie przymiotnik „associated” powinien zostać przetłumaczony jako „powiązane”, ew. „związane”. Odnosząc się natomiast do określenia „udogodnienia” (w wersji angielskiej „facilities”) należy zauważyć, w języku prawnym i prawniczym występuje ono najczęściej w kontekście rozwiązań zapewniających dostępność urządzeń lub usług dla osób z niepełnosprawnościami, tak jak pojęcie to jest rozumiane w świetle projektowanego art. </w:t>
      </w:r>
      <w:r w:rsidR="72E7459B" w:rsidRPr="003A42FB">
        <w:rPr>
          <w:rFonts w:ascii="Times New Roman" w:eastAsiaTheme="minorEastAsia" w:hAnsi="Times New Roman" w:cs="Times New Roman"/>
          <w:sz w:val="24"/>
          <w:szCs w:val="24"/>
        </w:rPr>
        <w:t>255</w:t>
      </w:r>
      <w:r w:rsidRPr="003A42FB">
        <w:rPr>
          <w:rFonts w:ascii="Times New Roman" w:eastAsiaTheme="minorEastAsia" w:hAnsi="Times New Roman" w:cs="Times New Roman"/>
          <w:sz w:val="24"/>
          <w:szCs w:val="24"/>
        </w:rPr>
        <w:t xml:space="preserve"> ust. 1 pkt 6 </w:t>
      </w:r>
      <w:r w:rsidR="00707A39">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„Powiązane”, będące pierwszą częścią pojęcia definiowanego wskazuje związek desygnatów pojęcia z siecią telekomunikacyjną lub usługami telekomunikacyjnymi, natomiast druga część („zasób”) kładzie akcent na cel, któremu mają służyć.</w:t>
      </w:r>
    </w:p>
    <w:p w14:paraId="5364E3CE" w14:textId="6BBA4789" w:rsidR="00244B5C" w:rsidRPr="003A42FB" w:rsidRDefault="5834F9C7" w:rsidP="05FC3F6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W celu zwiększenia przejrzystości przepisów, proponuje się również definicję „powiązanych usług” zastępującą, mniej intuicyjną definicję „usług towarzyszących”. Zgodnie z art. 2 pkt </w:t>
      </w:r>
      <w:r w:rsidR="48B57098" w:rsidRPr="003A42FB">
        <w:rPr>
          <w:rFonts w:ascii="Times New Roman" w:eastAsiaTheme="minorEastAsia" w:hAnsi="Times New Roman" w:cs="Times New Roman"/>
          <w:sz w:val="24"/>
          <w:szCs w:val="24"/>
        </w:rPr>
        <w:t xml:space="preserve">39 </w:t>
      </w:r>
      <w:r w:rsidR="00707A39">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powiązane usługi to usługi związane z siecią lub usługami telekomunikacyjnymi, które umożliwiają lub wspierają dostarczanie usług za pośrednictwem tych sieci lub usług, lub które mogą służyć do tego celu, i obejmują między innymi systemy translacji numerów lub systemy o równoważnych funkcjach, systemy dostępu warunkowego i elektroniczne przewodniki po programach, jak również inne usługi, takie jak usługi identyfikacji, lokalizacji oraz sygnalizowania obecności. Proponowana zmiana w zakresie wyrażenia definiowanego nie wiąże się z rozszerzeniem lub zawę</w:t>
      </w:r>
      <w:r w:rsidR="7DCAD06E" w:rsidRPr="003A42FB">
        <w:rPr>
          <w:rFonts w:ascii="Times New Roman" w:eastAsiaTheme="minorEastAsia" w:hAnsi="Times New Roman" w:cs="Times New Roman"/>
          <w:sz w:val="24"/>
          <w:szCs w:val="24"/>
        </w:rPr>
        <w:t>żeniem wyrażenia definiującego.</w:t>
      </w:r>
    </w:p>
    <w:p w14:paraId="37851A73" w14:textId="6C3F5072" w:rsidR="7F18E6D1" w:rsidRDefault="7F18E6D1" w:rsidP="7F18E6D1">
      <w:pPr>
        <w:spacing w:after="120" w:line="240" w:lineRule="auto"/>
        <w:jc w:val="both"/>
        <w:rPr>
          <w:rFonts w:ascii="Times New Roman" w:eastAsiaTheme="minorEastAsia" w:hAnsi="Times New Roman" w:cs="Times New Roman"/>
          <w:sz w:val="24"/>
          <w:szCs w:val="24"/>
        </w:rPr>
      </w:pPr>
    </w:p>
    <w:p w14:paraId="4AF23FBB" w14:textId="2088E644" w:rsidR="00DE1418" w:rsidRPr="003A42FB" w:rsidRDefault="3E2F899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przedsiębiorcy komunikacji elektronicznej</w:t>
      </w:r>
      <w:r w:rsidRPr="003A42FB">
        <w:rPr>
          <w:rFonts w:ascii="Times New Roman" w:eastAsiaTheme="minorEastAsia" w:hAnsi="Times New Roman" w:cs="Times New Roman"/>
          <w:sz w:val="24"/>
          <w:szCs w:val="24"/>
        </w:rPr>
        <w:t xml:space="preserve"> – </w:t>
      </w:r>
      <w:r w:rsidR="5261FF5D" w:rsidRPr="003A42FB">
        <w:rPr>
          <w:rFonts w:ascii="Times New Roman" w:eastAsiaTheme="minorEastAsia" w:hAnsi="Times New Roman" w:cs="Times New Roman"/>
          <w:sz w:val="24"/>
          <w:szCs w:val="24"/>
        </w:rPr>
        <w:t>wprowadzenie definicji przedsiębiorcy komunikacji elektronicznej wynika z rozszerzenia w EKŁE zakresu podmiotowego</w:t>
      </w:r>
      <w:r w:rsidR="092B51E0" w:rsidRPr="003A42FB">
        <w:rPr>
          <w:rFonts w:ascii="Times New Roman" w:eastAsiaTheme="minorEastAsia" w:hAnsi="Times New Roman" w:cs="Times New Roman"/>
          <w:sz w:val="24"/>
          <w:szCs w:val="24"/>
        </w:rPr>
        <w:t xml:space="preserve"> regulacji</w:t>
      </w:r>
      <w:r w:rsidR="5261FF5D" w:rsidRPr="003A42FB">
        <w:rPr>
          <w:rFonts w:ascii="Times New Roman" w:eastAsiaTheme="minorEastAsia" w:hAnsi="Times New Roman" w:cs="Times New Roman"/>
          <w:sz w:val="24"/>
          <w:szCs w:val="24"/>
        </w:rPr>
        <w:t xml:space="preserve"> i objęcie </w:t>
      </w:r>
      <w:r w:rsidR="371FB5E6" w:rsidRPr="003A42FB">
        <w:rPr>
          <w:rFonts w:ascii="Times New Roman" w:eastAsiaTheme="minorEastAsia" w:hAnsi="Times New Roman" w:cs="Times New Roman"/>
          <w:sz w:val="24"/>
          <w:szCs w:val="24"/>
        </w:rPr>
        <w:t>nimi</w:t>
      </w:r>
      <w:r w:rsidR="5261FF5D" w:rsidRPr="003A42FB">
        <w:rPr>
          <w:rFonts w:ascii="Times New Roman" w:eastAsiaTheme="minorEastAsia" w:hAnsi="Times New Roman" w:cs="Times New Roman"/>
          <w:sz w:val="24"/>
          <w:szCs w:val="24"/>
        </w:rPr>
        <w:t>, poza tradycyjnymi przedsiębiorcami telekomunikacyjnymi, również podmiotów</w:t>
      </w:r>
      <w:r w:rsidR="31579D13" w:rsidRPr="003A42FB">
        <w:rPr>
          <w:rFonts w:ascii="Times New Roman" w:eastAsiaTheme="minorEastAsia" w:hAnsi="Times New Roman" w:cs="Times New Roman"/>
          <w:sz w:val="24"/>
          <w:szCs w:val="24"/>
        </w:rPr>
        <w:t xml:space="preserve"> </w:t>
      </w:r>
      <w:r w:rsidR="5261FF5D" w:rsidRPr="003A42FB">
        <w:rPr>
          <w:rFonts w:ascii="Times New Roman" w:eastAsiaTheme="minorEastAsia" w:hAnsi="Times New Roman" w:cs="Times New Roman"/>
          <w:sz w:val="24"/>
          <w:szCs w:val="24"/>
        </w:rPr>
        <w:t xml:space="preserve">dotąd pozostających poza regulacją pakietu dyrektyw telekomunikacyjnych, tj. podmiotów świadczących usługę komunikacji interpersonalnej niewykorzystującej numerów. Przyjęcie nowej szerokiej definicji oraz pozostawienie zarazem definicji przedsiębiorcy telekomunikacyjnego podyktowane jest różnym zakresem podmiotowym poszczególnych przepisów. Ponadto należy wskazać, że wpisowi do rejestru będą podlegali wyłącznie przedsiębiorcy telekomunikacyjni, natomiast podmioty świadczące usługę komunikacji interpersonalnej niewykorzystującej numerów nie będą podlegać takiemu wpisowi. Wynika to z brzmienia art. 12 ust. 2 EKŁE, który to przepis wyłącza te podmioty z podlegania ogólnemu zezwoleniu. </w:t>
      </w:r>
    </w:p>
    <w:p w14:paraId="30CFA95C" w14:textId="77777777" w:rsidR="4354F87B" w:rsidRPr="003A42FB" w:rsidRDefault="4354F87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przedsiębiorcy telekomunikacyjnego</w:t>
      </w:r>
      <w:r w:rsidRPr="003A42FB">
        <w:rPr>
          <w:rFonts w:ascii="Times New Roman" w:eastAsiaTheme="minorEastAsia" w:hAnsi="Times New Roman" w:cs="Times New Roman"/>
          <w:sz w:val="24"/>
          <w:szCs w:val="24"/>
        </w:rPr>
        <w:t xml:space="preserve"> – zaproponowana definicja odpowiada treścią dotychczasowej definicji przedsiębiorcy telekomunikacyjnego zawartej w art. 2 pkt 27 Pt. Przedsiębiorcami telekomunikacyjnymi są przedsiębiorcy i inne podmioty dostarczające sieci publiczne, świadczące usługi telekomunikacyjne oraz powiązane usługi. Zachowano podział na dostawcę usług telekomunikacyjnych, którym jest podmiot świadczący usługi telekomunikacyjne, oraz na operatora, którym jest podmiot dostarczający publiczne sieci telekomunikacyjne lub świadczący powiązane usługi. Wdrażając EKŁE zdecydowano się na pozostawienie tej definicji oraz dodanie szerszej definicji – przedsiębiorcy komunikacji elektronicznej.</w:t>
      </w:r>
    </w:p>
    <w:p w14:paraId="3E627301" w14:textId="77777777" w:rsidR="00B37080" w:rsidRPr="003A42FB" w:rsidRDefault="00B3708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przyłącza telekomunikacyjnego </w:t>
      </w:r>
      <w:r w:rsidR="004B6620"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004B6620" w:rsidRPr="003A42FB">
        <w:rPr>
          <w:rFonts w:ascii="Times New Roman" w:eastAsiaTheme="minorEastAsia" w:hAnsi="Times New Roman" w:cs="Times New Roman"/>
          <w:sz w:val="24"/>
          <w:szCs w:val="24"/>
        </w:rPr>
        <w:t xml:space="preserve">definicja ta powtarza treść </w:t>
      </w:r>
      <w:r w:rsidR="00080A68" w:rsidRPr="003A42FB">
        <w:rPr>
          <w:rFonts w:ascii="Times New Roman" w:eastAsiaTheme="minorEastAsia" w:hAnsi="Times New Roman" w:cs="Times New Roman"/>
          <w:sz w:val="24"/>
          <w:szCs w:val="24"/>
        </w:rPr>
        <w:t>definicji</w:t>
      </w:r>
      <w:r w:rsidR="004B6620" w:rsidRPr="003A42FB">
        <w:rPr>
          <w:rFonts w:ascii="Times New Roman" w:eastAsiaTheme="minorEastAsia" w:hAnsi="Times New Roman" w:cs="Times New Roman"/>
          <w:sz w:val="24"/>
          <w:szCs w:val="24"/>
        </w:rPr>
        <w:t xml:space="preserve"> </w:t>
      </w:r>
      <w:r w:rsidR="00080A68" w:rsidRPr="003A42FB">
        <w:rPr>
          <w:rFonts w:ascii="Times New Roman" w:eastAsiaTheme="minorEastAsia" w:hAnsi="Times New Roman" w:cs="Times New Roman"/>
          <w:sz w:val="24"/>
          <w:szCs w:val="24"/>
        </w:rPr>
        <w:t>zawartej</w:t>
      </w:r>
      <w:r w:rsidR="004B6620" w:rsidRPr="003A42FB">
        <w:rPr>
          <w:rFonts w:ascii="Times New Roman" w:eastAsiaTheme="minorEastAsia" w:hAnsi="Times New Roman" w:cs="Times New Roman"/>
          <w:sz w:val="24"/>
          <w:szCs w:val="24"/>
        </w:rPr>
        <w:t xml:space="preserve"> w art. 2 pkt </w:t>
      </w:r>
      <w:r w:rsidR="00080A68" w:rsidRPr="003A42FB">
        <w:rPr>
          <w:rFonts w:ascii="Times New Roman" w:eastAsiaTheme="minorEastAsia" w:hAnsi="Times New Roman" w:cs="Times New Roman"/>
          <w:sz w:val="24"/>
          <w:szCs w:val="24"/>
        </w:rPr>
        <w:t>27b Pt. Jet to odcinek od złącza rozgałęźnego do zakończenia linii lub kanalizacji w obiekcie budowlanym lub system bezprzewodowy.</w:t>
      </w:r>
    </w:p>
    <w:p w14:paraId="69E60B12" w14:textId="77777777" w:rsidR="00B37080" w:rsidRPr="003A42FB" w:rsidRDefault="00B37080"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u w:val="single"/>
        </w:rPr>
        <w:t>Definicja publicznej sieci telekomunikacyjnej</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 </w:t>
      </w:r>
      <w:r w:rsidR="00080A68" w:rsidRPr="003A42FB">
        <w:rPr>
          <w:rFonts w:ascii="Times New Roman" w:eastAsiaTheme="minorEastAsia" w:hAnsi="Times New Roman" w:cs="Times New Roman"/>
          <w:sz w:val="24"/>
          <w:szCs w:val="24"/>
        </w:rPr>
        <w:t>jest to</w:t>
      </w:r>
      <w:r w:rsidR="00080A68" w:rsidRPr="003A42FB">
        <w:rPr>
          <w:rFonts w:ascii="Times New Roman" w:eastAsiaTheme="minorEastAsia" w:hAnsi="Times New Roman" w:cs="Times New Roman"/>
          <w:b/>
          <w:bCs/>
          <w:sz w:val="24"/>
          <w:szCs w:val="24"/>
        </w:rPr>
        <w:t xml:space="preserve"> </w:t>
      </w:r>
      <w:r w:rsidR="00080A68" w:rsidRPr="003A42FB">
        <w:rPr>
          <w:rFonts w:ascii="Times New Roman" w:eastAsiaTheme="minorEastAsia" w:hAnsi="Times New Roman" w:cs="Times New Roman"/>
          <w:sz w:val="24"/>
          <w:szCs w:val="24"/>
        </w:rPr>
        <w:t>sieć telekomunikacyjna wykorzystywana głównie do świadczenia publicznie dostępnych usług telekomunikacyjnych. W tym zakresie projektowana definicja stanowi powtórzenie definicji zawartej w art. 2 pkt 29 Pt.</w:t>
      </w:r>
    </w:p>
    <w:p w14:paraId="5C81A1B6" w14:textId="578F346F" w:rsidR="00B37080" w:rsidRPr="003A42FB" w:rsidRDefault="3890BDB5"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publicznie dostępnej usługi komunikacji elektronicznej </w:t>
      </w:r>
      <w:r w:rsidRPr="003A42FB">
        <w:rPr>
          <w:rFonts w:ascii="Times New Roman" w:eastAsiaTheme="minorEastAsia" w:hAnsi="Times New Roman" w:cs="Times New Roman"/>
          <w:b/>
          <w:bCs/>
          <w:sz w:val="24"/>
          <w:szCs w:val="24"/>
        </w:rPr>
        <w:t xml:space="preserve">– </w:t>
      </w:r>
      <w:r w:rsidR="61A63FCB" w:rsidRPr="003A42FB">
        <w:rPr>
          <w:rFonts w:ascii="Times New Roman" w:eastAsiaTheme="minorEastAsia" w:hAnsi="Times New Roman" w:cs="Times New Roman"/>
          <w:sz w:val="24"/>
          <w:szCs w:val="24"/>
        </w:rPr>
        <w:t>pojęcie to</w:t>
      </w:r>
      <w:r w:rsidR="61A63FCB" w:rsidRPr="003A42FB">
        <w:rPr>
          <w:rFonts w:ascii="Times New Roman" w:eastAsiaTheme="minorEastAsia" w:hAnsi="Times New Roman" w:cs="Times New Roman"/>
          <w:b/>
          <w:bCs/>
          <w:sz w:val="24"/>
          <w:szCs w:val="24"/>
        </w:rPr>
        <w:t xml:space="preserve"> </w:t>
      </w:r>
      <w:r w:rsidR="278E12E1" w:rsidRPr="003A42FB">
        <w:rPr>
          <w:rFonts w:ascii="Times New Roman" w:eastAsiaTheme="minorEastAsia" w:hAnsi="Times New Roman" w:cs="Times New Roman"/>
          <w:sz w:val="24"/>
          <w:szCs w:val="24"/>
        </w:rPr>
        <w:t xml:space="preserve">oznacza </w:t>
      </w:r>
      <w:r w:rsidR="54D7D1A2" w:rsidRPr="003A42FB">
        <w:rPr>
          <w:rFonts w:ascii="Times New Roman" w:eastAsiaTheme="minorEastAsia" w:hAnsi="Times New Roman" w:cs="Times New Roman"/>
          <w:sz w:val="24"/>
          <w:szCs w:val="24"/>
        </w:rPr>
        <w:t>publicznie dostępn</w:t>
      </w:r>
      <w:r w:rsidR="1F943E0C" w:rsidRPr="003A42FB">
        <w:rPr>
          <w:rFonts w:ascii="Times New Roman" w:eastAsiaTheme="minorEastAsia" w:hAnsi="Times New Roman" w:cs="Times New Roman"/>
          <w:sz w:val="24"/>
          <w:szCs w:val="24"/>
        </w:rPr>
        <w:t>ą</w:t>
      </w:r>
      <w:r w:rsidR="54D7D1A2" w:rsidRPr="003A42FB">
        <w:rPr>
          <w:rFonts w:ascii="Times New Roman" w:eastAsiaTheme="minorEastAsia" w:hAnsi="Times New Roman" w:cs="Times New Roman"/>
          <w:sz w:val="24"/>
          <w:szCs w:val="24"/>
        </w:rPr>
        <w:t xml:space="preserve"> usług</w:t>
      </w:r>
      <w:r w:rsidR="7C52C22E" w:rsidRPr="003A42FB">
        <w:rPr>
          <w:rFonts w:ascii="Times New Roman" w:eastAsiaTheme="minorEastAsia" w:hAnsi="Times New Roman" w:cs="Times New Roman"/>
          <w:sz w:val="24"/>
          <w:szCs w:val="24"/>
        </w:rPr>
        <w:t>ę</w:t>
      </w:r>
      <w:r w:rsidR="54D7D1A2" w:rsidRPr="003A42FB">
        <w:rPr>
          <w:rFonts w:ascii="Times New Roman" w:eastAsiaTheme="minorEastAsia" w:hAnsi="Times New Roman" w:cs="Times New Roman"/>
          <w:sz w:val="24"/>
          <w:szCs w:val="24"/>
        </w:rPr>
        <w:t xml:space="preserve"> komunikacji elektronicznej rozumian</w:t>
      </w:r>
      <w:r w:rsidR="30D9A4E5" w:rsidRPr="003A42FB">
        <w:rPr>
          <w:rFonts w:ascii="Times New Roman" w:eastAsiaTheme="minorEastAsia" w:hAnsi="Times New Roman" w:cs="Times New Roman"/>
          <w:sz w:val="24"/>
          <w:szCs w:val="24"/>
        </w:rPr>
        <w:t>ą</w:t>
      </w:r>
      <w:r w:rsidR="54D7D1A2" w:rsidRPr="003A42FB">
        <w:rPr>
          <w:rFonts w:ascii="Times New Roman" w:eastAsiaTheme="minorEastAsia" w:hAnsi="Times New Roman" w:cs="Times New Roman"/>
          <w:sz w:val="24"/>
          <w:szCs w:val="24"/>
        </w:rPr>
        <w:t xml:space="preserve"> jako usługa komunikacji elektronicznej dostępna dla ogółu użytkowników.</w:t>
      </w:r>
    </w:p>
    <w:p w14:paraId="2B19FB05" w14:textId="77777777" w:rsidR="00B37080" w:rsidRPr="003A42FB" w:rsidRDefault="00B37080"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u w:val="single"/>
        </w:rPr>
        <w:t xml:space="preserve">Definicja publicznie dostępnej usługi komunikacji interpersonalnej </w:t>
      </w:r>
      <w:r w:rsidRPr="003A42FB">
        <w:rPr>
          <w:rFonts w:ascii="Times New Roman" w:eastAsiaTheme="minorEastAsia" w:hAnsi="Times New Roman" w:cs="Times New Roman"/>
          <w:sz w:val="24"/>
          <w:szCs w:val="24"/>
        </w:rPr>
        <w:t xml:space="preserve">– </w:t>
      </w:r>
      <w:r w:rsidR="004C2CF3" w:rsidRPr="003A42FB">
        <w:rPr>
          <w:rFonts w:ascii="Times New Roman" w:eastAsiaTheme="minorEastAsia" w:hAnsi="Times New Roman" w:cs="Times New Roman"/>
          <w:sz w:val="24"/>
          <w:szCs w:val="24"/>
        </w:rPr>
        <w:t xml:space="preserve">zgodnie z definicją jest to usługa komunikacji interpersonalnej dostępna dla ogółu użytkowników. </w:t>
      </w:r>
    </w:p>
    <w:p w14:paraId="7DC821DE" w14:textId="4694EB0F" w:rsidR="00A26EFC" w:rsidRPr="003A42FB" w:rsidRDefault="3890BDB5"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publicznie dostępnej usługi komunikacji głosowej </w:t>
      </w:r>
      <w:r w:rsidRPr="003A42FB">
        <w:rPr>
          <w:rFonts w:ascii="Times New Roman" w:eastAsiaTheme="minorEastAsia" w:hAnsi="Times New Roman" w:cs="Times New Roman"/>
          <w:b/>
          <w:bCs/>
          <w:sz w:val="24"/>
          <w:szCs w:val="24"/>
        </w:rPr>
        <w:t xml:space="preserve">- </w:t>
      </w:r>
      <w:r w:rsidR="47010CD6" w:rsidRPr="003A42FB">
        <w:rPr>
          <w:rFonts w:ascii="Times New Roman" w:eastAsiaTheme="minorEastAsia" w:hAnsi="Times New Roman" w:cs="Times New Roman"/>
          <w:sz w:val="24"/>
          <w:szCs w:val="24"/>
        </w:rPr>
        <w:t xml:space="preserve">definicja ta </w:t>
      </w:r>
      <w:r w:rsidR="5636BEDF" w:rsidRPr="003A42FB">
        <w:rPr>
          <w:rFonts w:ascii="Times New Roman" w:eastAsiaTheme="minorEastAsia" w:hAnsi="Times New Roman" w:cs="Times New Roman"/>
          <w:sz w:val="24"/>
          <w:szCs w:val="24"/>
        </w:rPr>
        <w:t>oznacza</w:t>
      </w:r>
      <w:r w:rsidR="1D47D661" w:rsidRPr="003A42FB">
        <w:rPr>
          <w:rFonts w:ascii="Times New Roman" w:eastAsiaTheme="minorEastAsia" w:hAnsi="Times New Roman" w:cs="Times New Roman"/>
          <w:sz w:val="24"/>
          <w:szCs w:val="24"/>
        </w:rPr>
        <w:t xml:space="preserve"> usług</w:t>
      </w:r>
      <w:r w:rsidR="3968F6D6" w:rsidRPr="003A42FB">
        <w:rPr>
          <w:rFonts w:ascii="Times New Roman" w:eastAsiaTheme="minorEastAsia" w:hAnsi="Times New Roman" w:cs="Times New Roman"/>
          <w:sz w:val="24"/>
          <w:szCs w:val="24"/>
        </w:rPr>
        <w:t>ę</w:t>
      </w:r>
      <w:r w:rsidR="1D47D661" w:rsidRPr="003A42FB">
        <w:rPr>
          <w:rFonts w:ascii="Times New Roman" w:eastAsiaTheme="minorEastAsia" w:hAnsi="Times New Roman" w:cs="Times New Roman"/>
          <w:sz w:val="24"/>
          <w:szCs w:val="24"/>
        </w:rPr>
        <w:t xml:space="preserve"> telekomunikacyjn</w:t>
      </w:r>
      <w:r w:rsidR="2AD57B12" w:rsidRPr="003A42FB">
        <w:rPr>
          <w:rFonts w:ascii="Times New Roman" w:eastAsiaTheme="minorEastAsia" w:hAnsi="Times New Roman" w:cs="Times New Roman"/>
          <w:sz w:val="24"/>
          <w:szCs w:val="24"/>
        </w:rPr>
        <w:t>ą</w:t>
      </w:r>
      <w:r w:rsidR="1D47D661" w:rsidRPr="003A42FB">
        <w:rPr>
          <w:rFonts w:ascii="Times New Roman" w:eastAsiaTheme="minorEastAsia" w:hAnsi="Times New Roman" w:cs="Times New Roman"/>
          <w:sz w:val="24"/>
          <w:szCs w:val="24"/>
        </w:rPr>
        <w:t xml:space="preserve"> dostępn</w:t>
      </w:r>
      <w:r w:rsidR="21812058" w:rsidRPr="003A42FB">
        <w:rPr>
          <w:rFonts w:ascii="Times New Roman" w:eastAsiaTheme="minorEastAsia" w:hAnsi="Times New Roman" w:cs="Times New Roman"/>
          <w:sz w:val="24"/>
          <w:szCs w:val="24"/>
        </w:rPr>
        <w:t>ą</w:t>
      </w:r>
      <w:r w:rsidR="1D47D661" w:rsidRPr="003A42FB">
        <w:rPr>
          <w:rFonts w:ascii="Times New Roman" w:eastAsiaTheme="minorEastAsia" w:hAnsi="Times New Roman" w:cs="Times New Roman"/>
          <w:sz w:val="24"/>
          <w:szCs w:val="24"/>
        </w:rPr>
        <w:t xml:space="preserve"> dla ogółu użytkowników, dla inicjowania i odbierania, bezpośrednio lub pośrednio, połączeń głosowych krajowych lub krajowych i międzynarodowych, za pomocą numeru lub numerów ustalonych w krajowym lub </w:t>
      </w:r>
      <w:r w:rsidR="1D47D661" w:rsidRPr="003A42FB">
        <w:rPr>
          <w:rFonts w:ascii="Times New Roman" w:eastAsiaTheme="minorEastAsia" w:hAnsi="Times New Roman" w:cs="Times New Roman"/>
          <w:sz w:val="24"/>
          <w:szCs w:val="24"/>
        </w:rPr>
        <w:lastRenderedPageBreak/>
        <w:t>międzynarodowym planie numeracji. W ustawie Pt odpowiednikiem tej definicji jest pojęcie publicznie dostępnej usługi telefonicznej.</w:t>
      </w:r>
    </w:p>
    <w:p w14:paraId="391E3494" w14:textId="28B8DBA9" w:rsidR="00B37080" w:rsidRPr="003A42FB" w:rsidRDefault="1D47D661"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publicznie dostępnej usługi telekomunikacyjnej</w:t>
      </w:r>
      <w:r w:rsidR="1117071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 </w:t>
      </w:r>
      <w:r w:rsidR="79FDA750" w:rsidRPr="003A42FB">
        <w:rPr>
          <w:rFonts w:ascii="Times New Roman" w:eastAsiaTheme="minorEastAsia" w:hAnsi="Times New Roman" w:cs="Times New Roman"/>
          <w:sz w:val="24"/>
          <w:szCs w:val="24"/>
        </w:rPr>
        <w:t>pojęcie to oznacza</w:t>
      </w:r>
      <w:r w:rsidR="30FA587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usługę telekomunikacyjną dostępną dla ogółu użytkowników. </w:t>
      </w:r>
    </w:p>
    <w:p w14:paraId="0267F364" w14:textId="5B619D9C" w:rsidR="00090620" w:rsidRPr="003A42FB" w:rsidRDefault="706FFCD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punktu dystrybucji</w:t>
      </w:r>
      <w:r w:rsidRPr="003A42FB">
        <w:rPr>
          <w:rFonts w:ascii="Times New Roman" w:eastAsiaTheme="minorEastAsia" w:hAnsi="Times New Roman" w:cs="Times New Roman"/>
          <w:sz w:val="24"/>
          <w:szCs w:val="24"/>
        </w:rPr>
        <w:t xml:space="preserve"> – proponowana </w:t>
      </w:r>
      <w:r w:rsidR="03098FF0" w:rsidRPr="003A42FB">
        <w:rPr>
          <w:rFonts w:ascii="Times New Roman" w:eastAsiaTheme="minorEastAsia" w:hAnsi="Times New Roman" w:cs="Times New Roman"/>
          <w:sz w:val="24"/>
          <w:szCs w:val="24"/>
        </w:rPr>
        <w:t>definicja</w:t>
      </w:r>
      <w:r w:rsidRPr="003A42FB">
        <w:rPr>
          <w:rFonts w:ascii="Times New Roman" w:eastAsiaTheme="minorEastAsia" w:hAnsi="Times New Roman" w:cs="Times New Roman"/>
          <w:sz w:val="24"/>
          <w:szCs w:val="24"/>
        </w:rPr>
        <w:t xml:space="preserve"> jest związana z obowiązkiem udzielenia dostępu do </w:t>
      </w:r>
      <w:r w:rsidR="00707A39">
        <w:rPr>
          <w:rFonts w:ascii="Times New Roman" w:eastAsiaTheme="minorEastAsia" w:hAnsi="Times New Roman" w:cs="Times New Roman"/>
          <w:sz w:val="24"/>
          <w:szCs w:val="24"/>
        </w:rPr>
        <w:t>infrastruktury technicznej w budynku</w:t>
      </w:r>
      <w:r w:rsidRPr="003A42FB">
        <w:rPr>
          <w:rFonts w:ascii="Times New Roman" w:eastAsiaTheme="minorEastAsia" w:hAnsi="Times New Roman" w:cs="Times New Roman"/>
          <w:sz w:val="24"/>
          <w:szCs w:val="24"/>
        </w:rPr>
        <w:t xml:space="preserve">, rozszerzonym – w odpowiednich przypadkach – także na odcinek do pierwszego punktu koncentracji lub dystrybucji (art. </w:t>
      </w:r>
      <w:r w:rsidR="2CFAD84C" w:rsidRPr="003A42FB">
        <w:rPr>
          <w:rFonts w:ascii="Times New Roman" w:eastAsiaTheme="minorEastAsia" w:hAnsi="Times New Roman" w:cs="Times New Roman"/>
          <w:sz w:val="24"/>
          <w:szCs w:val="24"/>
        </w:rPr>
        <w:t>1</w:t>
      </w:r>
      <w:r w:rsidR="00730D27">
        <w:rPr>
          <w:rFonts w:ascii="Times New Roman" w:eastAsiaTheme="minorEastAsia" w:hAnsi="Times New Roman" w:cs="Times New Roman"/>
          <w:sz w:val="24"/>
          <w:szCs w:val="24"/>
        </w:rPr>
        <w:t>76</w:t>
      </w:r>
      <w:r w:rsidRPr="003A42FB">
        <w:rPr>
          <w:rFonts w:ascii="Times New Roman" w:eastAsiaTheme="minorEastAsia" w:hAnsi="Times New Roman" w:cs="Times New Roman"/>
          <w:sz w:val="24"/>
          <w:szCs w:val="24"/>
          <w:vertAlign w:val="superscript"/>
        </w:rPr>
        <w:t xml:space="preserve"> </w:t>
      </w:r>
      <w:r w:rsidRPr="003A42FB">
        <w:rPr>
          <w:rFonts w:ascii="Times New Roman" w:eastAsiaTheme="minorEastAsia" w:hAnsi="Times New Roman" w:cs="Times New Roman"/>
          <w:sz w:val="24"/>
          <w:szCs w:val="24"/>
        </w:rPr>
        <w:t xml:space="preserve">ust. 1 </w:t>
      </w:r>
      <w:r w:rsidR="00707A39">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Zgodnie z propozycją definicji, punkt dystrybucji to fizyczny punkt, w którym możliwe jest zapewnienie dostępu wymagającego połączenia elementów sieci telekomunikacyjnej przedsiębiorcy telekomunikacyjnego z elementami sieci telekomunikacyjnej lub powiązanymi zasobami znajdującymi się pomiędzy tym punktem a zakończeniami sieci</w:t>
      </w:r>
      <w:r w:rsidR="00707A39">
        <w:rPr>
          <w:rFonts w:ascii="Times New Roman" w:eastAsiaTheme="minorEastAsia" w:hAnsi="Times New Roman" w:cs="Times New Roman"/>
          <w:sz w:val="24"/>
          <w:szCs w:val="24"/>
        </w:rPr>
        <w:t>.</w:t>
      </w:r>
    </w:p>
    <w:p w14:paraId="1EE0C7AE" w14:textId="22DBC5D0" w:rsidR="00992C6E" w:rsidRPr="003A42FB" w:rsidRDefault="6321AFF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rachunkowości regulacyjnej</w:t>
      </w:r>
      <w:r w:rsidRPr="003A42FB">
        <w:rPr>
          <w:rFonts w:ascii="Times New Roman" w:eastAsiaTheme="minorEastAsia" w:hAnsi="Times New Roman" w:cs="Times New Roman"/>
          <w:sz w:val="24"/>
          <w:szCs w:val="24"/>
        </w:rPr>
        <w:t xml:space="preserve"> –</w:t>
      </w:r>
      <w:r w:rsidR="009347A4" w:rsidRPr="003A42FB">
        <w:rPr>
          <w:rFonts w:ascii="Times New Roman" w:eastAsiaTheme="minorEastAsia" w:hAnsi="Times New Roman" w:cs="Times New Roman"/>
          <w:sz w:val="24"/>
          <w:szCs w:val="24"/>
        </w:rPr>
        <w:t xml:space="preserve"> </w:t>
      </w:r>
      <w:r w:rsidR="000830F0" w:rsidRPr="003A42FB">
        <w:rPr>
          <w:rFonts w:ascii="Times New Roman" w:eastAsiaTheme="minorEastAsia" w:hAnsi="Times New Roman" w:cs="Times New Roman"/>
          <w:sz w:val="24"/>
          <w:szCs w:val="24"/>
          <w:lang w:eastAsia="pl-PL"/>
        </w:rPr>
        <w:t>definicja rachunkowości regulacyjnej</w:t>
      </w:r>
      <w:r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rPr>
        <w:t xml:space="preserve">do prowadzenia której zobowiązany jest przedsiębiorca komunikacji elektronicznej, na którego nałożono ten obowiązek na podstawie art. </w:t>
      </w:r>
      <w:r w:rsidR="00EB3762">
        <w:rPr>
          <w:rFonts w:ascii="Times New Roman" w:eastAsiaTheme="minorEastAsia" w:hAnsi="Times New Roman" w:cs="Times New Roman"/>
          <w:sz w:val="24"/>
          <w:szCs w:val="24"/>
        </w:rPr>
        <w:t>215</w:t>
      </w:r>
      <w:r w:rsidR="00EB3762" w:rsidRPr="003A42FB">
        <w:rPr>
          <w:rFonts w:ascii="Times New Roman" w:eastAsiaTheme="minorEastAsia" w:hAnsi="Times New Roman" w:cs="Times New Roman"/>
          <w:sz w:val="24"/>
          <w:szCs w:val="24"/>
        </w:rPr>
        <w:t xml:space="preserve"> lub art. </w:t>
      </w:r>
      <w:r w:rsidR="00EB3762" w:rsidRPr="00E8265A">
        <w:rPr>
          <w:rFonts w:ascii="Times New Roman" w:eastAsiaTheme="minorEastAsia" w:hAnsi="Times New Roman" w:cs="Times New Roman"/>
          <w:sz w:val="24"/>
          <w:szCs w:val="24"/>
        </w:rPr>
        <w:t>23</w:t>
      </w:r>
      <w:r w:rsidR="00EB3762" w:rsidRPr="0019178E">
        <w:rPr>
          <w:rFonts w:ascii="Times New Roman" w:eastAsiaTheme="minorEastAsia" w:hAnsi="Times New Roman" w:cs="Times New Roman"/>
          <w:sz w:val="24"/>
          <w:szCs w:val="24"/>
        </w:rPr>
        <w:t>1</w:t>
      </w:r>
      <w:r w:rsidR="00EB3762" w:rsidRPr="00501525">
        <w:rPr>
          <w:rFonts w:ascii="Times New Roman" w:hAnsi="Times New Roman" w:cs="Times New Roman"/>
          <w:sz w:val="24"/>
          <w:szCs w:val="24"/>
        </w:rPr>
        <w:t xml:space="preserve"> ust. 3 pkt 3 lit. a</w:t>
      </w:r>
      <w:r w:rsidRPr="003A42FB">
        <w:rPr>
          <w:rFonts w:ascii="Times New Roman" w:eastAsiaTheme="minorEastAsia" w:hAnsi="Times New Roman" w:cs="Times New Roman"/>
          <w:sz w:val="24"/>
          <w:szCs w:val="24"/>
        </w:rPr>
        <w:t>. Rachunkowość regulacyjna jest odpowiednikiem zapisanej w art. 71 EKŁE rozdzielności księgowej</w:t>
      </w:r>
      <w:r w:rsidR="1C547038" w:rsidRPr="003A42FB">
        <w:rPr>
          <w:rFonts w:ascii="Times New Roman" w:eastAsiaTheme="minorEastAsia" w:hAnsi="Times New Roman" w:cs="Times New Roman"/>
          <w:sz w:val="24"/>
          <w:szCs w:val="24"/>
        </w:rPr>
        <w:t xml:space="preserve"> i była już określona w art. 2 pkt 32 Pt</w:t>
      </w:r>
      <w:r w:rsidRPr="003A42FB">
        <w:rPr>
          <w:rFonts w:ascii="Times New Roman" w:eastAsiaTheme="minorEastAsia" w:hAnsi="Times New Roman" w:cs="Times New Roman"/>
          <w:sz w:val="24"/>
          <w:szCs w:val="24"/>
        </w:rPr>
        <w:t xml:space="preserve">. Ogólne zasady prowadzenia rachunkowości regulacyjnej wynikają z </w:t>
      </w:r>
      <w:r w:rsidR="00F777FA">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rozporządzenia wydawanego na podstawie </w:t>
      </w:r>
      <w:r w:rsidR="7A417A93" w:rsidRPr="003A42FB">
        <w:rPr>
          <w:rFonts w:ascii="Times New Roman" w:eastAsiaTheme="minorEastAsia" w:hAnsi="Times New Roman" w:cs="Times New Roman"/>
          <w:sz w:val="24"/>
          <w:szCs w:val="24"/>
        </w:rPr>
        <w:t xml:space="preserve">art. </w:t>
      </w:r>
      <w:r w:rsidR="00EB3762" w:rsidRPr="003A42FB">
        <w:rPr>
          <w:rFonts w:ascii="Times New Roman" w:eastAsiaTheme="minorEastAsia" w:hAnsi="Times New Roman" w:cs="Times New Roman"/>
          <w:sz w:val="24"/>
          <w:szCs w:val="24"/>
        </w:rPr>
        <w:t>2</w:t>
      </w:r>
      <w:r w:rsidR="00EB3762">
        <w:rPr>
          <w:rFonts w:ascii="Times New Roman" w:eastAsiaTheme="minorEastAsia" w:hAnsi="Times New Roman" w:cs="Times New Roman"/>
          <w:sz w:val="24"/>
          <w:szCs w:val="24"/>
        </w:rPr>
        <w:t>55</w:t>
      </w:r>
      <w:r w:rsidRPr="003A42FB">
        <w:rPr>
          <w:rFonts w:ascii="Times New Roman" w:eastAsiaTheme="minorEastAsia" w:hAnsi="Times New Roman" w:cs="Times New Roman"/>
          <w:sz w:val="24"/>
          <w:szCs w:val="24"/>
        </w:rPr>
        <w:t>, zaś szczegółowe warunki – z instrukcji przygotowanej przez zobowiązanego przedsiębiorcę i zatwierdzonej przez Prezesa UKE</w:t>
      </w:r>
      <w:r w:rsidR="00F777FA">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Efekty prowadzenia rachunkowości regulacyjnej zapisane są przez przedsiębiorcę komunikacji elektronicznej w dokumencie nazwanym przez ustawodawcę sprawozdanie z prowadzonej rachunkowości regulacyjnej.</w:t>
      </w:r>
    </w:p>
    <w:p w14:paraId="128ADBC8" w14:textId="64409101" w:rsidR="00992C6E" w:rsidRPr="003A42FB" w:rsidRDefault="6321AFF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Definicja rachunkowości regulacyjnej odwołuje się do przepisów ustawy z dnia 29 września 1994 r. o rachunkowości (Dz.</w:t>
      </w:r>
      <w:r w:rsidR="197ECE6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 z 2019 r. poz. 351, 1495, 1571, 1655 i 1680), z czego wynika, że </w:t>
      </w:r>
      <w:r w:rsidR="004D1F8F" w:rsidRPr="003A42FB">
        <w:rPr>
          <w:rFonts w:ascii="Times New Roman" w:eastAsiaTheme="minorEastAsia" w:hAnsi="Times New Roman" w:cs="Times New Roman"/>
          <w:sz w:val="24"/>
          <w:szCs w:val="24"/>
        </w:rPr>
        <w:t>pewne</w:t>
      </w:r>
      <w:r w:rsidRPr="003A42FB">
        <w:rPr>
          <w:rFonts w:ascii="Times New Roman" w:eastAsiaTheme="minorEastAsia" w:hAnsi="Times New Roman" w:cs="Times New Roman"/>
          <w:sz w:val="24"/>
          <w:szCs w:val="24"/>
        </w:rPr>
        <w:t xml:space="preserve"> reguły dotyczące rachunkowości zapisane w ww. ustawie o rachunkowości powinny być stosowane przez przedsiębiorcę komunikacji elektronicznej podczas prowadzenie przez niego rachunkowości regulacyjnej, </w:t>
      </w:r>
      <w:r w:rsidR="004D1F8F" w:rsidRPr="003A42FB">
        <w:rPr>
          <w:rFonts w:ascii="Times New Roman" w:eastAsiaTheme="minorEastAsia" w:hAnsi="Times New Roman" w:cs="Times New Roman"/>
          <w:sz w:val="24"/>
          <w:szCs w:val="24"/>
        </w:rPr>
        <w:t xml:space="preserve">w szczególności te wskazane wprost w Pke lub w rozporządzeniu wydawanym na podstawie art. </w:t>
      </w:r>
      <w:r w:rsidR="00EB3762" w:rsidRPr="003A42FB">
        <w:rPr>
          <w:rFonts w:ascii="Times New Roman" w:eastAsiaTheme="minorEastAsia" w:hAnsi="Times New Roman" w:cs="Times New Roman"/>
          <w:sz w:val="24"/>
          <w:szCs w:val="24"/>
        </w:rPr>
        <w:t>2</w:t>
      </w:r>
      <w:r w:rsidR="00EB3762">
        <w:rPr>
          <w:rFonts w:ascii="Times New Roman" w:eastAsiaTheme="minorEastAsia" w:hAnsi="Times New Roman" w:cs="Times New Roman"/>
          <w:sz w:val="24"/>
          <w:szCs w:val="24"/>
        </w:rPr>
        <w:t>55</w:t>
      </w:r>
      <w:r w:rsidR="004D1F8F" w:rsidRPr="003A42FB">
        <w:rPr>
          <w:rFonts w:ascii="Times New Roman" w:eastAsiaTheme="minorEastAsia" w:hAnsi="Times New Roman" w:cs="Times New Roman"/>
          <w:sz w:val="24"/>
          <w:szCs w:val="24"/>
        </w:rPr>
        <w:t xml:space="preserve">. </w:t>
      </w:r>
    </w:p>
    <w:p w14:paraId="32E6CCF3" w14:textId="77777777" w:rsidR="00992C6E" w:rsidRPr="003A42FB" w:rsidRDefault="00992C6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Prowadzenie rachunkowości regulacyjnej nie wpływa na obowiązki wynikające z ustawy o rachunkowości.</w:t>
      </w:r>
    </w:p>
    <w:p w14:paraId="7E514184" w14:textId="0B516384" w:rsidR="00DE1418"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radiolokacji</w:t>
      </w:r>
      <w:r w:rsidRPr="003A42FB">
        <w:rPr>
          <w:rFonts w:ascii="Times New Roman" w:eastAsiaTheme="minorEastAsia" w:hAnsi="Times New Roman" w:cs="Times New Roman"/>
          <w:sz w:val="24"/>
          <w:szCs w:val="24"/>
        </w:rPr>
        <w:t xml:space="preserve"> – definicja implementowana z dyrektywy 2014/53/UE z dnia 16 kwietnia 2014 r. w sprawie harmonizacji ustawodawstw państw członkowskich dotyczących udostępniania na rynku urządzeń radiowych i uchylającej dyrektywę 1999/5/WE z dnia 16 kwietnia 2014 r. (Dz.Urz.</w:t>
      </w:r>
      <w:r w:rsidR="00816DC9"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UE.L Nr 153, str. 62). Radiolokacja oznacza określanie położenia, prędkości lub innych parametrów obiektu lub uzyskiwanie informacji dotyczących tych parametrów dzięki właściwościom propagacyjnym fal radiowych. Ustawa odwołuje się do radiolokacji w kontekście używania urządzeń radiowych służących radiolokacji, które to urządzenia wysyłają oraz odbierają fale elektromagnetyczne odbite od obiektów podlegających pomiarom.</w:t>
      </w:r>
    </w:p>
    <w:p w14:paraId="10350522" w14:textId="3EF68001" w:rsidR="00EE32AB" w:rsidRPr="003A42FB" w:rsidRDefault="00EE32A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Definicja w takim samym brzmieniu </w:t>
      </w:r>
      <w:r w:rsidR="73DF3B83" w:rsidRPr="003A42FB">
        <w:rPr>
          <w:rFonts w:ascii="Times New Roman" w:eastAsiaTheme="minorEastAsia" w:hAnsi="Times New Roman" w:cs="Times New Roman"/>
          <w:sz w:val="24"/>
          <w:szCs w:val="24"/>
        </w:rPr>
        <w:t>jest</w:t>
      </w:r>
      <w:r w:rsidRPr="003A42FB">
        <w:rPr>
          <w:rFonts w:ascii="Times New Roman" w:eastAsiaTheme="minorEastAsia" w:hAnsi="Times New Roman" w:cs="Times New Roman"/>
          <w:sz w:val="24"/>
          <w:szCs w:val="24"/>
        </w:rPr>
        <w:t xml:space="preserve"> zawart</w:t>
      </w:r>
      <w:r w:rsidR="00080A68" w:rsidRPr="003A42FB">
        <w:rPr>
          <w:rFonts w:ascii="Times New Roman" w:eastAsiaTheme="minorEastAsia" w:hAnsi="Times New Roman" w:cs="Times New Roman"/>
          <w:sz w:val="24"/>
          <w:szCs w:val="24"/>
        </w:rPr>
        <w:t>a w ustawie Pt (art. 2 pkt 32a)</w:t>
      </w:r>
      <w:r w:rsidR="63BF1D48" w:rsidRPr="003A42FB">
        <w:rPr>
          <w:rFonts w:ascii="Times New Roman" w:eastAsiaTheme="minorEastAsia" w:hAnsi="Times New Roman" w:cs="Times New Roman"/>
          <w:sz w:val="24"/>
          <w:szCs w:val="24"/>
        </w:rPr>
        <w:t>.</w:t>
      </w:r>
    </w:p>
    <w:p w14:paraId="40D9C13D" w14:textId="0DE69058" w:rsidR="2167ED7B" w:rsidRPr="003A42FB" w:rsidRDefault="63BF1D4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rezerwacji częstotliwości</w:t>
      </w:r>
      <w:r w:rsidRPr="003A42FB">
        <w:rPr>
          <w:rFonts w:ascii="Times New Roman" w:eastAsiaTheme="minorEastAsia" w:hAnsi="Times New Roman" w:cs="Times New Roman"/>
          <w:sz w:val="24"/>
          <w:szCs w:val="24"/>
        </w:rPr>
        <w:t xml:space="preserve"> - ustawa Pt posług</w:t>
      </w:r>
      <w:r w:rsidR="7655E429" w:rsidRPr="003A42FB">
        <w:rPr>
          <w:rFonts w:ascii="Times New Roman" w:eastAsiaTheme="minorEastAsia" w:hAnsi="Times New Roman" w:cs="Times New Roman"/>
          <w:sz w:val="24"/>
          <w:szCs w:val="24"/>
        </w:rPr>
        <w:t>uje</w:t>
      </w:r>
      <w:r w:rsidRPr="003A42FB">
        <w:rPr>
          <w:rFonts w:ascii="Times New Roman" w:eastAsiaTheme="minorEastAsia" w:hAnsi="Times New Roman" w:cs="Times New Roman"/>
          <w:sz w:val="24"/>
          <w:szCs w:val="24"/>
        </w:rPr>
        <w:t xml:space="preserve"> się pojęciem rezerwacji częstotliwości w tym samym znac</w:t>
      </w:r>
      <w:r w:rsidR="391528AA" w:rsidRPr="003A42FB">
        <w:rPr>
          <w:rFonts w:ascii="Times New Roman" w:eastAsiaTheme="minorEastAsia" w:hAnsi="Times New Roman" w:cs="Times New Roman"/>
          <w:sz w:val="24"/>
          <w:szCs w:val="24"/>
        </w:rPr>
        <w:t>zeniu jak w proponowanej definicji, jednakże definicja ta</w:t>
      </w:r>
      <w:r w:rsidR="77EC58AE" w:rsidRPr="003A42FB">
        <w:rPr>
          <w:rFonts w:ascii="Times New Roman" w:eastAsiaTheme="minorEastAsia" w:hAnsi="Times New Roman" w:cs="Times New Roman"/>
          <w:sz w:val="24"/>
          <w:szCs w:val="24"/>
        </w:rPr>
        <w:t>ka</w:t>
      </w:r>
      <w:r w:rsidR="391528AA" w:rsidRPr="003A42FB">
        <w:rPr>
          <w:rFonts w:ascii="Times New Roman" w:eastAsiaTheme="minorEastAsia" w:hAnsi="Times New Roman" w:cs="Times New Roman"/>
          <w:sz w:val="24"/>
          <w:szCs w:val="24"/>
        </w:rPr>
        <w:t xml:space="preserve"> nie była zawarta w słowniczku do ustawy. Ze względu </w:t>
      </w:r>
      <w:r w:rsidR="1A5AAC66" w:rsidRPr="003A42FB">
        <w:rPr>
          <w:rFonts w:ascii="Times New Roman" w:eastAsiaTheme="minorEastAsia" w:hAnsi="Times New Roman" w:cs="Times New Roman"/>
          <w:sz w:val="24"/>
          <w:szCs w:val="24"/>
        </w:rPr>
        <w:t xml:space="preserve">jednak </w:t>
      </w:r>
      <w:r w:rsidR="391528AA" w:rsidRPr="003A42FB">
        <w:rPr>
          <w:rFonts w:ascii="Times New Roman" w:eastAsiaTheme="minorEastAsia" w:hAnsi="Times New Roman" w:cs="Times New Roman"/>
          <w:sz w:val="24"/>
          <w:szCs w:val="24"/>
        </w:rPr>
        <w:t>na kluczowe znaczenie pojęcia rezerw</w:t>
      </w:r>
      <w:r w:rsidR="64C6A2E0" w:rsidRPr="003A42FB">
        <w:rPr>
          <w:rFonts w:ascii="Times New Roman" w:eastAsiaTheme="minorEastAsia" w:hAnsi="Times New Roman" w:cs="Times New Roman"/>
          <w:sz w:val="24"/>
          <w:szCs w:val="24"/>
        </w:rPr>
        <w:t>acji częstotliwości</w:t>
      </w:r>
      <w:r w:rsidR="6DC29D36" w:rsidRPr="003A42FB">
        <w:rPr>
          <w:rFonts w:ascii="Times New Roman" w:eastAsiaTheme="minorEastAsia" w:hAnsi="Times New Roman" w:cs="Times New Roman"/>
          <w:sz w:val="24"/>
          <w:szCs w:val="24"/>
        </w:rPr>
        <w:t xml:space="preserve"> dla regulacji ustawy, zwłaszcza w obszarze gospodarki częstotliwościami </w:t>
      </w:r>
      <w:r w:rsidR="34FE56B2" w:rsidRPr="003A42FB">
        <w:rPr>
          <w:rFonts w:ascii="Times New Roman" w:eastAsiaTheme="minorEastAsia" w:hAnsi="Times New Roman" w:cs="Times New Roman"/>
          <w:sz w:val="24"/>
          <w:szCs w:val="24"/>
        </w:rPr>
        <w:t xml:space="preserve">proponuje się </w:t>
      </w:r>
      <w:r w:rsidR="25B60370" w:rsidRPr="003A42FB">
        <w:rPr>
          <w:rFonts w:ascii="Times New Roman" w:eastAsiaTheme="minorEastAsia" w:hAnsi="Times New Roman" w:cs="Times New Roman"/>
          <w:sz w:val="24"/>
          <w:szCs w:val="24"/>
        </w:rPr>
        <w:t xml:space="preserve">przeniesienie definicji do słowniczka. </w:t>
      </w:r>
      <w:r w:rsidR="58525630" w:rsidRPr="003A42FB">
        <w:rPr>
          <w:rFonts w:ascii="Times New Roman" w:eastAsiaTheme="minorEastAsia" w:hAnsi="Times New Roman" w:cs="Times New Roman"/>
          <w:sz w:val="24"/>
          <w:szCs w:val="24"/>
        </w:rPr>
        <w:t xml:space="preserve">Rezerwacja częstotliwości określa </w:t>
      </w:r>
      <w:r w:rsidRPr="003A42FB">
        <w:rPr>
          <w:rFonts w:ascii="Times New Roman" w:eastAsiaTheme="minorEastAsia" w:hAnsi="Times New Roman" w:cs="Times New Roman"/>
          <w:sz w:val="24"/>
          <w:szCs w:val="24"/>
        </w:rPr>
        <w:t xml:space="preserve">częstotliwości lub zasoby orbitalne, które w okresie rezerwacji pozostają w dyspozycji podmiotu, na rzecz którego dokonano rezerwacji, przeniesiono uprawnienia do </w:t>
      </w:r>
      <w:r w:rsidRPr="003A42FB">
        <w:rPr>
          <w:rFonts w:ascii="Times New Roman" w:eastAsiaTheme="minorEastAsia" w:hAnsi="Times New Roman" w:cs="Times New Roman"/>
          <w:sz w:val="24"/>
          <w:szCs w:val="24"/>
        </w:rPr>
        <w:lastRenderedPageBreak/>
        <w:t>częstotliwości lub uprawnienia do dysponowania częstotliwościami na cele związane z uzyskiwaniem pozwoleń radiowych</w:t>
      </w:r>
      <w:r w:rsidR="48A76BC6" w:rsidRPr="003A42FB">
        <w:rPr>
          <w:rFonts w:ascii="Times New Roman" w:eastAsiaTheme="minorEastAsia" w:hAnsi="Times New Roman" w:cs="Times New Roman"/>
          <w:sz w:val="24"/>
          <w:szCs w:val="24"/>
        </w:rPr>
        <w:t>.</w:t>
      </w:r>
    </w:p>
    <w:p w14:paraId="3C2420DE" w14:textId="77777777" w:rsidR="004C2CF3" w:rsidRPr="003A42FB" w:rsidRDefault="004C2CF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ruchomej publicznej sieci telekomunikacyjnej</w:t>
      </w:r>
      <w:r w:rsidRPr="003A42FB">
        <w:rPr>
          <w:rFonts w:ascii="Times New Roman" w:eastAsiaTheme="minorEastAsia" w:hAnsi="Times New Roman" w:cs="Times New Roman"/>
          <w:sz w:val="24"/>
          <w:szCs w:val="24"/>
        </w:rPr>
        <w:t xml:space="preserve"> –</w:t>
      </w:r>
      <w:r w:rsidR="00080A68" w:rsidRPr="003A42FB">
        <w:rPr>
          <w:rFonts w:ascii="Times New Roman" w:eastAsiaTheme="minorEastAsia" w:hAnsi="Times New Roman" w:cs="Times New Roman"/>
          <w:sz w:val="24"/>
          <w:szCs w:val="24"/>
        </w:rPr>
        <w:t xml:space="preserve"> zgodnie z projektowaną definicją ruchoma publiczna sieć telekomunikacyjna jest publiczną sieć telekomunikacyjną, w której zakończenia sieci nie mają stałej lokalizacji.</w:t>
      </w:r>
    </w:p>
    <w:p w14:paraId="09CA5659" w14:textId="002F3F83" w:rsidR="00F03462" w:rsidRPr="003A42FB" w:rsidRDefault="00F0346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ruchomej sieci telekomunikacyjnej</w:t>
      </w:r>
      <w:r w:rsidRPr="003A42FB">
        <w:rPr>
          <w:rFonts w:ascii="Times New Roman" w:hAnsi="Times New Roman" w:cs="Times New Roman"/>
          <w:sz w:val="24"/>
          <w:szCs w:val="24"/>
        </w:rPr>
        <w:t xml:space="preserve"> </w:t>
      </w:r>
      <w:r w:rsidRPr="003A42FB">
        <w:rPr>
          <w:rFonts w:ascii="Times New Roman" w:eastAsiaTheme="minorEastAsia" w:hAnsi="Times New Roman" w:cs="Times New Roman"/>
          <w:sz w:val="24"/>
          <w:szCs w:val="24"/>
        </w:rPr>
        <w:t>– zgodnie z projektowana definicją ruchoma sieć telekomunikacyjna to sieć, w której zakończenia sieci nie mają stałej lokalizacji;</w:t>
      </w:r>
    </w:p>
    <w:p w14:paraId="13E18DF0" w14:textId="5F93671A" w:rsidR="00DE1418" w:rsidRPr="003A42FB" w:rsidRDefault="00DE1418" w:rsidP="43EE6F82">
      <w:pPr>
        <w:spacing w:after="120" w:line="240" w:lineRule="auto"/>
        <w:jc w:val="both"/>
        <w:rPr>
          <w:rFonts w:ascii="Times New Roman" w:eastAsiaTheme="minorEastAsia" w:hAnsi="Times New Roman" w:cs="Times New Roman"/>
          <w:sz w:val="24"/>
          <w:szCs w:val="24"/>
        </w:rPr>
      </w:pPr>
      <w:r w:rsidRPr="43EE6F82">
        <w:rPr>
          <w:rFonts w:ascii="Times New Roman" w:eastAsiaTheme="minorEastAsia" w:hAnsi="Times New Roman" w:cs="Times New Roman"/>
          <w:b/>
          <w:bCs/>
          <w:sz w:val="24"/>
          <w:szCs w:val="24"/>
          <w:u w:val="single"/>
        </w:rPr>
        <w:t>Definicja rynku detalicznego</w:t>
      </w:r>
      <w:r w:rsidRPr="43EE6F82">
        <w:rPr>
          <w:rFonts w:ascii="Times New Roman" w:eastAsiaTheme="minorEastAsia" w:hAnsi="Times New Roman" w:cs="Times New Roman"/>
          <w:sz w:val="24"/>
          <w:szCs w:val="24"/>
        </w:rPr>
        <w:t xml:space="preserve"> – rynek ten to rynek </w:t>
      </w:r>
      <w:r w:rsidR="44A689B9" w:rsidRPr="43EE6F82">
        <w:rPr>
          <w:rFonts w:ascii="Times New Roman" w:eastAsiaTheme="minorEastAsia" w:hAnsi="Times New Roman" w:cs="Times New Roman"/>
          <w:sz w:val="24"/>
          <w:szCs w:val="24"/>
        </w:rPr>
        <w:t>produktów</w:t>
      </w:r>
      <w:r w:rsidRPr="43EE6F82">
        <w:rPr>
          <w:rFonts w:ascii="Times New Roman" w:eastAsiaTheme="minorEastAsia" w:hAnsi="Times New Roman" w:cs="Times New Roman"/>
          <w:sz w:val="24"/>
          <w:szCs w:val="24"/>
        </w:rPr>
        <w:t xml:space="preserve"> i usług w zakresie usług </w:t>
      </w:r>
      <w:r w:rsidR="21C9B4C1" w:rsidRPr="43EE6F82">
        <w:rPr>
          <w:rFonts w:ascii="Times New Roman" w:eastAsiaTheme="minorEastAsia" w:hAnsi="Times New Roman" w:cs="Times New Roman"/>
          <w:sz w:val="24"/>
          <w:szCs w:val="24"/>
        </w:rPr>
        <w:t>komunikacji elektronicznej</w:t>
      </w:r>
      <w:r w:rsidRPr="43EE6F82">
        <w:rPr>
          <w:rFonts w:ascii="Times New Roman" w:eastAsiaTheme="minorEastAsia" w:hAnsi="Times New Roman" w:cs="Times New Roman"/>
          <w:sz w:val="24"/>
          <w:szCs w:val="24"/>
        </w:rPr>
        <w:t xml:space="preserve"> dla użytkowników końcowych. Definicja ta ma szczególne znaczeni</w:t>
      </w:r>
      <w:r w:rsidR="3402CBA6" w:rsidRPr="43EE6F82">
        <w:rPr>
          <w:rFonts w:ascii="Times New Roman" w:eastAsiaTheme="minorEastAsia" w:hAnsi="Times New Roman" w:cs="Times New Roman"/>
          <w:sz w:val="24"/>
          <w:szCs w:val="24"/>
        </w:rPr>
        <w:t>e</w:t>
      </w:r>
      <w:r w:rsidRPr="43EE6F82">
        <w:rPr>
          <w:rFonts w:ascii="Times New Roman" w:eastAsiaTheme="minorEastAsia" w:hAnsi="Times New Roman" w:cs="Times New Roman"/>
          <w:sz w:val="24"/>
          <w:szCs w:val="24"/>
        </w:rPr>
        <w:t xml:space="preserve"> w kontekście przepisów dotyczących regulowania rynku telekomunikacyjnego. Ponadto odwołuje się do definicji użytkownika końcowego, gdyż rynki detaliczne są rynkami</w:t>
      </w:r>
      <w:r w:rsidR="2BC79DDA" w:rsidRPr="43EE6F82">
        <w:rPr>
          <w:rFonts w:ascii="Times New Roman" w:eastAsiaTheme="minorEastAsia" w:hAnsi="Times New Roman" w:cs="Times New Roman"/>
          <w:sz w:val="24"/>
          <w:szCs w:val="24"/>
        </w:rPr>
        <w:t>,</w:t>
      </w:r>
      <w:r w:rsidRPr="43EE6F82">
        <w:rPr>
          <w:rFonts w:ascii="Times New Roman" w:eastAsiaTheme="minorEastAsia" w:hAnsi="Times New Roman" w:cs="Times New Roman"/>
          <w:sz w:val="24"/>
          <w:szCs w:val="24"/>
        </w:rPr>
        <w:t xml:space="preserve"> na których po stronie popytowej występuje użytkownik końcowy.</w:t>
      </w:r>
      <w:r w:rsidR="29423AE0" w:rsidRPr="43EE6F82">
        <w:rPr>
          <w:rFonts w:ascii="Times New Roman" w:eastAsiaTheme="minorEastAsia" w:hAnsi="Times New Roman" w:cs="Times New Roman"/>
          <w:sz w:val="24"/>
          <w:szCs w:val="24"/>
        </w:rPr>
        <w:t xml:space="preserve"> Definicja była stosowana na gruncie Pt.</w:t>
      </w:r>
    </w:p>
    <w:p w14:paraId="7938DF3A" w14:textId="1DD7949E" w:rsidR="7E57CF7C" w:rsidRDefault="7E57CF7C" w:rsidP="43EE6F82">
      <w:pPr>
        <w:spacing w:after="120" w:line="240" w:lineRule="auto"/>
        <w:jc w:val="both"/>
        <w:rPr>
          <w:rFonts w:ascii="Times New Roman" w:eastAsiaTheme="minorEastAsia" w:hAnsi="Times New Roman" w:cs="Times New Roman"/>
          <w:sz w:val="24"/>
          <w:szCs w:val="24"/>
        </w:rPr>
      </w:pPr>
      <w:r w:rsidRPr="43EE6F82">
        <w:rPr>
          <w:rFonts w:ascii="Times New Roman" w:eastAsiaTheme="minorEastAsia" w:hAnsi="Times New Roman" w:cs="Times New Roman"/>
          <w:b/>
          <w:bCs/>
          <w:sz w:val="24"/>
          <w:szCs w:val="24"/>
          <w:u w:val="single"/>
        </w:rPr>
        <w:t>Definicja satelitarnej usługi publicznej o regulowanym dostępie (public regulated service - PRS) -</w:t>
      </w:r>
      <w:r w:rsidRPr="43EE6F82">
        <w:rPr>
          <w:rFonts w:ascii="Times New Roman" w:eastAsiaTheme="minorEastAsia" w:hAnsi="Times New Roman" w:cs="Times New Roman"/>
          <w:sz w:val="24"/>
          <w:szCs w:val="24"/>
        </w:rPr>
        <w:t xml:space="preserve"> projekt ustawy przyjmuje tę definicję w rozumieniu Rozporządzenia Parlamentu Europejskiego i Rady (UE) nr 1285/2013 z dnia 11 grudnia 2013 r. w sprawie realizacji i eksploatacji europejskich systemów nawigacji satelitarnej oraz uchylającego rozporządzenie Rady (WE) nr 876/2002 i rozporządzenie Parlamentu Europejskiego i Rady (WE) nr 683/2008. W rozumieniu art. 2 ust. 4 lit. d ww. rozporządzenia, PRS jest usługą zarezerwowaną dla użytkowników upoważnionych przez władze publiczne, przeznaczoną do szczególnych zastosowań, które wymagają wysokiego poziomu ciągłości usług, nieodpłatną dla państw członkowskich Unii Europejskiej, Rady Unii Europejskiej, Komisji Europejskiej, Europejskiej Służby Działań Zewnętrznych i w stosownych przypadkach, należycie upoważnionych agencji unijnych. Usługa ta wykorzystuje silne, zakodowane sygnały. Definicja ta nie ma odpowiednika w przepisach EKŁE, jest jednak następstwem konieczności przyjęcia przez państwa członkowskie UE uregulowań prawnych dotyczących PRS, o czym przesądzają art. 3 i 15 oraz motywy 7, 12,13 i 14 Decyzji PE i Rady (UE) 1104/2011/UE z dnia 25 października 2011 r. w sprawie warunków dostępu do usługi publicznej o regulowanym dostępie oferowanej przez globalny system nawigacji satelitarnej utworzony w ramach programu Galileo.</w:t>
      </w:r>
    </w:p>
    <w:p w14:paraId="22D8A1EE" w14:textId="1FDA0519" w:rsidR="00DE1418"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sieci dostępu</w:t>
      </w:r>
      <w:r w:rsidRPr="003A42FB">
        <w:rPr>
          <w:rFonts w:ascii="Times New Roman" w:eastAsiaTheme="minorEastAsia" w:hAnsi="Times New Roman" w:cs="Times New Roman"/>
          <w:sz w:val="24"/>
          <w:szCs w:val="24"/>
        </w:rPr>
        <w:t xml:space="preserve"> – </w:t>
      </w:r>
      <w:r w:rsidR="001E097C" w:rsidRPr="003A42FB">
        <w:rPr>
          <w:rFonts w:ascii="Times New Roman" w:eastAsiaTheme="minorEastAsia" w:hAnsi="Times New Roman" w:cs="Times New Roman"/>
          <w:sz w:val="24"/>
          <w:szCs w:val="24"/>
        </w:rPr>
        <w:t>siecią dostępu jest</w:t>
      </w:r>
      <w:r w:rsidRPr="003A42FB">
        <w:rPr>
          <w:rFonts w:ascii="Times New Roman" w:eastAsiaTheme="minorEastAsia" w:hAnsi="Times New Roman" w:cs="Times New Roman"/>
          <w:sz w:val="24"/>
          <w:szCs w:val="24"/>
        </w:rPr>
        <w:t xml:space="preserve"> </w:t>
      </w:r>
      <w:r w:rsidR="00E800ED">
        <w:rPr>
          <w:rFonts w:ascii="Times New Roman" w:eastAsiaTheme="minorEastAsia" w:hAnsi="Times New Roman" w:cs="Times New Roman"/>
          <w:sz w:val="24"/>
          <w:szCs w:val="24"/>
        </w:rPr>
        <w:t>infrastruktura telekomunikacyjna na odcinku</w:t>
      </w:r>
      <w:r w:rsidRPr="003A42FB">
        <w:rPr>
          <w:rFonts w:ascii="Times New Roman" w:eastAsiaTheme="minorEastAsia" w:hAnsi="Times New Roman" w:cs="Times New Roman"/>
          <w:sz w:val="24"/>
          <w:szCs w:val="24"/>
        </w:rPr>
        <w:t xml:space="preserve"> pomiędzy zakończeniem sieci a punktem, w którym możliwe jest uzyskanie dostępu, obejmującą w szczególności łącza abonenckie, urządzenia do koncentracji łączy abonenckich lub urządzenia do zarządzania siecią dostępu. Bazuje ona na trzech innych definiowanych pojęciach: </w:t>
      </w:r>
      <w:r w:rsidR="00C4709E">
        <w:rPr>
          <w:rFonts w:ascii="Times New Roman" w:eastAsiaTheme="minorEastAsia" w:hAnsi="Times New Roman" w:cs="Times New Roman"/>
          <w:sz w:val="24"/>
          <w:szCs w:val="24"/>
        </w:rPr>
        <w:t>infrastruktury telekomunikacyjnej</w:t>
      </w:r>
      <w:r w:rsidRPr="003A42FB">
        <w:rPr>
          <w:rFonts w:ascii="Times New Roman" w:eastAsiaTheme="minorEastAsia" w:hAnsi="Times New Roman" w:cs="Times New Roman"/>
          <w:sz w:val="24"/>
          <w:szCs w:val="24"/>
        </w:rPr>
        <w:t>, zakończenia sieci</w:t>
      </w:r>
      <w:r w:rsidR="00C4709E">
        <w:rPr>
          <w:rFonts w:ascii="Times New Roman" w:eastAsiaTheme="minorEastAsia" w:hAnsi="Times New Roman" w:cs="Times New Roman"/>
          <w:sz w:val="24"/>
          <w:szCs w:val="24"/>
        </w:rPr>
        <w:t xml:space="preserve"> i punktu dystrybucji.</w:t>
      </w:r>
    </w:p>
    <w:p w14:paraId="416DA0D6" w14:textId="0D2BBDC4" w:rsidR="00090620" w:rsidRPr="003A42FB" w:rsidRDefault="00090620" w:rsidP="141B1C1F">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sieci o bardzo dużej przepustowości</w:t>
      </w:r>
      <w:r w:rsidRPr="003A42FB">
        <w:rPr>
          <w:rFonts w:ascii="Times New Roman" w:eastAsiaTheme="minorEastAsia" w:hAnsi="Times New Roman" w:cs="Times New Roman"/>
          <w:sz w:val="24"/>
          <w:szCs w:val="24"/>
        </w:rPr>
        <w:t xml:space="preserve"> - </w:t>
      </w:r>
      <w:r w:rsidR="00823B7E" w:rsidRPr="003A42FB">
        <w:rPr>
          <w:rFonts w:ascii="Times New Roman" w:eastAsiaTheme="minorEastAsia" w:hAnsi="Times New Roman" w:cs="Times New Roman"/>
          <w:sz w:val="24"/>
          <w:szCs w:val="24"/>
        </w:rPr>
        <w:t>w</w:t>
      </w:r>
      <w:r w:rsidRPr="003A42FB">
        <w:rPr>
          <w:rFonts w:ascii="Times New Roman" w:eastAsiaTheme="minorEastAsia" w:hAnsi="Times New Roman" w:cs="Times New Roman"/>
          <w:sz w:val="24"/>
          <w:szCs w:val="24"/>
        </w:rPr>
        <w:t xml:space="preserve">ymagania dotyczące możliwości sieci łączności elektronicznej stale rosną. Podczas gdy w przeszłości odnosiły się one głównie zwiększania przepustowości łącza dostępnego ogólnie i dla poszczególnych użytkowników, obecnie na znaczeniu zyskują inne parametry jakościowe związane z opóźnieniem i niezawodnością sieci. Ze względu na rosnące potrzeby, światłowody są instalowane coraz bliżej użytkownika, a sieci o bardzo dużej przepustowości wymagają parametrów wydajności równoważnych tym, jakie może zapewnić sieć oparta na elementach światłowodowych przynajmniej na odcinku do punktu dystrybucji w miejscu świadczenia usługi. W przypadku połączeń stacjonarnych odpowiada to wydajności sieci równoważnej wydajności, jaką można osiągnąć dzięki instalacji światłowodu na odcinku do budynku wielorodzinnego uznawanego za miejsce świadczenia usługi. W przypadku połączeń bezprzewodowych odpowiada to wydajności sieci podobnej do tej, jaką można osiągnąć dzięki instalacji światłowodu na odcinku do stacji bazowej uznawanej za miejsce świadczenia usługi. Różnice w subiektywnym odczuciu, doświadczeniu użytkowników końcowych, wynikające z różnych właściwości </w:t>
      </w:r>
      <w:r w:rsidRPr="003A42FB">
        <w:rPr>
          <w:rFonts w:ascii="Times New Roman" w:eastAsiaTheme="minorEastAsia" w:hAnsi="Times New Roman" w:cs="Times New Roman"/>
          <w:sz w:val="24"/>
          <w:szCs w:val="24"/>
        </w:rPr>
        <w:lastRenderedPageBreak/>
        <w:t xml:space="preserve">mediów, za pomocą których sieć ostatecznie łączy się z zakończeniem sieci, nie powinny być brane pod uwagę do celów ustalania, czy daną sieć bezprzewodową można uznać za zapewniającą podobną wydajność sieciową. </w:t>
      </w:r>
      <w:r w:rsidR="00C4709E">
        <w:rPr>
          <w:rFonts w:ascii="Times New Roman" w:eastAsiaTheme="minorEastAsia" w:hAnsi="Times New Roman" w:cs="Times New Roman"/>
          <w:sz w:val="24"/>
          <w:szCs w:val="24"/>
        </w:rPr>
        <w:t xml:space="preserve">Relewantną w tym zakresie jest obiektywna jakość świadczonych usług (eng. „quality of service”). </w:t>
      </w:r>
      <w:r w:rsidRPr="003A42FB">
        <w:rPr>
          <w:rFonts w:ascii="Times New Roman" w:eastAsiaTheme="minorEastAsia" w:hAnsi="Times New Roman" w:cs="Times New Roman"/>
          <w:sz w:val="24"/>
          <w:szCs w:val="24"/>
        </w:rPr>
        <w:t>Zgodnie z zasadą neutralności technologicznej nie należy wykluczać innych technologii i mediów transmisyjnych, jeżeli pod względem możliwości są porównywalne z siecią opartą na elementach światłowodowych, w tym m.in. przyszłych generacji sieci bezprzewodowych, opartych o ulepszone interfejsy radiowe i gęstszą architekturę sieci.</w:t>
      </w:r>
    </w:p>
    <w:p w14:paraId="42150940" w14:textId="77F38608" w:rsidR="00BC3C21" w:rsidRPr="003A42FB" w:rsidRDefault="00090620"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 xml:space="preserve">Sieć o bardzo dużej przepustowości to </w:t>
      </w:r>
      <w:r w:rsidR="00C4709E">
        <w:rPr>
          <w:rFonts w:ascii="Times New Roman" w:eastAsiaTheme="minorEastAsia" w:hAnsi="Times New Roman" w:cs="Times New Roman"/>
          <w:sz w:val="24"/>
          <w:szCs w:val="24"/>
        </w:rPr>
        <w:t>publiczna</w:t>
      </w:r>
      <w:r w:rsidR="00730D27">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sieć telekomunikacyjna, która składa się z linii światłowodowych przynajmniej do punktu dystrybucji w miejscu świadczenia usługi lub sieć </w:t>
      </w:r>
      <w:r w:rsidRPr="00C4709E">
        <w:rPr>
          <w:rFonts w:ascii="Times New Roman" w:eastAsiaTheme="minorEastAsia" w:hAnsi="Times New Roman" w:cs="Times New Roman"/>
          <w:sz w:val="24"/>
          <w:szCs w:val="24"/>
        </w:rPr>
        <w:t>telekomunikacyjna</w:t>
      </w:r>
      <w:r w:rsidR="00BC3C21" w:rsidRPr="00C4709E">
        <w:rPr>
          <w:rFonts w:ascii="Times New Roman" w:eastAsiaTheme="minorEastAsia" w:hAnsi="Times New Roman" w:cs="Times New Roman"/>
          <w:sz w:val="24"/>
          <w:szCs w:val="24"/>
        </w:rPr>
        <w:t xml:space="preserve"> lub co najmniej  do stacji bazowej telefonii komórkowej, a także sieć, </w:t>
      </w:r>
      <w:r w:rsidRPr="00C4709E">
        <w:rPr>
          <w:rFonts w:ascii="Times New Roman" w:eastAsiaTheme="minorEastAsia" w:hAnsi="Times New Roman" w:cs="Times New Roman"/>
          <w:sz w:val="24"/>
          <w:szCs w:val="24"/>
        </w:rPr>
        <w:t>która jest w stanie zapewnić w typowych warunkach panujących w czasie największego natężenia ruchu podobną wydajność sieci do parametrów uzyskiwanych na liniach światłowodowych</w:t>
      </w:r>
      <w:r w:rsidR="00C4709E" w:rsidRPr="00C4709E">
        <w:rPr>
          <w:rFonts w:ascii="Times New Roman" w:eastAsiaTheme="minorEastAsia" w:hAnsi="Times New Roman" w:cs="Times New Roman"/>
          <w:sz w:val="24"/>
          <w:szCs w:val="24"/>
        </w:rPr>
        <w:t xml:space="preserve">, </w:t>
      </w:r>
      <w:r w:rsidR="00C4709E" w:rsidRPr="00C4709E">
        <w:rPr>
          <w:rFonts w:ascii="Times New Roman" w:hAnsi="Times New Roman" w:cs="Times New Roman"/>
          <w:sz w:val="24"/>
          <w:szCs w:val="24"/>
        </w:rPr>
        <w:t xml:space="preserve">Podobne parametry jakościowe usługi dostępu do internetu odnoszą się do: pobierania i wysyłania danych, odporności, parametrów związanych z błędami oraz opóźnienia i jego zmienności. </w:t>
      </w:r>
    </w:p>
    <w:p w14:paraId="56C415CA" w14:textId="64632165" w:rsidR="00090620" w:rsidRPr="003A42FB" w:rsidRDefault="0009062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Definicja sieci o bardzo dużej przepustowości stanowi transpozycję art. 2 pkt 2 EKŁE. Zgodnie z art. 82 EKŁE, szczegółowe kryteria dotyczące wymogów, które mają być spełnione przez sieć</w:t>
      </w:r>
      <w:r w:rsidR="0A7B9C2C"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aby została uznana za sieć o bardzo dużej przepustowości</w:t>
      </w:r>
      <w:r w:rsidR="00730D27">
        <w:rPr>
          <w:rFonts w:ascii="Times New Roman" w:eastAsiaTheme="minorEastAsia" w:hAnsi="Times New Roman" w:cs="Times New Roman"/>
          <w:sz w:val="24"/>
          <w:szCs w:val="24"/>
        </w:rPr>
        <w:t xml:space="preserve"> są </w:t>
      </w:r>
      <w:r w:rsidRPr="003A42FB">
        <w:rPr>
          <w:rFonts w:ascii="Times New Roman" w:eastAsiaTheme="minorEastAsia" w:hAnsi="Times New Roman" w:cs="Times New Roman"/>
          <w:sz w:val="24"/>
          <w:szCs w:val="24"/>
        </w:rPr>
        <w:t xml:space="preserve">określone w Wytycznych </w:t>
      </w:r>
      <w:r w:rsidR="009605E7" w:rsidRPr="003A42FB">
        <w:rPr>
          <w:rFonts w:ascii="Times New Roman" w:eastAsiaTheme="minorEastAsia" w:hAnsi="Times New Roman" w:cs="Times New Roman"/>
          <w:sz w:val="24"/>
          <w:szCs w:val="24"/>
        </w:rPr>
        <w:t>Organu Europejskich Regulatorów Łączności Elektronicznej (</w:t>
      </w:r>
      <w:r w:rsidRPr="003A42FB">
        <w:rPr>
          <w:rFonts w:ascii="Times New Roman" w:eastAsiaTheme="minorEastAsia" w:hAnsi="Times New Roman" w:cs="Times New Roman"/>
          <w:sz w:val="24"/>
          <w:szCs w:val="24"/>
        </w:rPr>
        <w:t>BEREC</w:t>
      </w:r>
      <w:r w:rsidR="009605E7"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00730D27">
        <w:rPr>
          <w:rFonts w:ascii="Times New Roman" w:eastAsiaTheme="minorEastAsia" w:hAnsi="Times New Roman" w:cs="Times New Roman"/>
          <w:sz w:val="24"/>
          <w:szCs w:val="24"/>
        </w:rPr>
        <w:t xml:space="preserve">Wytyczne w tym zakresie zostały wydane 1 października 2020 r. i są dostępne pod adresem: </w:t>
      </w:r>
      <w:hyperlink r:id="rId13" w:history="1">
        <w:r w:rsidR="00730D27" w:rsidRPr="0040467C">
          <w:rPr>
            <w:rStyle w:val="Hipercze"/>
            <w:rFonts w:ascii="Times New Roman" w:eastAsiaTheme="minorEastAsia" w:hAnsi="Times New Roman" w:cs="Times New Roman"/>
            <w:sz w:val="24"/>
            <w:szCs w:val="24"/>
          </w:rPr>
          <w:t>https://berec.europa.eu/eng/document_register/subject_matter/berec/regulatory_best_practices/guidelines/9439-berec-guidelines-on-very-high-capacity-networks</w:t>
        </w:r>
      </w:hyperlink>
      <w:r w:rsidR="00730D27">
        <w:rPr>
          <w:rFonts w:ascii="Times New Roman" w:eastAsiaTheme="minorEastAsia" w:hAnsi="Times New Roman" w:cs="Times New Roman"/>
          <w:sz w:val="24"/>
          <w:szCs w:val="24"/>
        </w:rPr>
        <w:t>. Zgodnie z art. 82 EKŁE, wytyczne będą regularnie aktualizowane.</w:t>
      </w:r>
    </w:p>
    <w:p w14:paraId="78CDF6F4" w14:textId="3C0EA47C" w:rsidR="00DE1418"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sieci telekomunikacyjnej</w:t>
      </w:r>
      <w:r w:rsidRPr="003A42FB">
        <w:rPr>
          <w:rFonts w:ascii="Times New Roman" w:eastAsiaTheme="minorEastAsia" w:hAnsi="Times New Roman" w:cs="Times New Roman"/>
          <w:sz w:val="24"/>
          <w:szCs w:val="24"/>
        </w:rPr>
        <w:t xml:space="preserve"> – </w:t>
      </w:r>
      <w:r w:rsidR="00823B7E" w:rsidRPr="003A42FB">
        <w:rPr>
          <w:rFonts w:ascii="Times New Roman" w:eastAsiaTheme="minorEastAsia" w:hAnsi="Times New Roman" w:cs="Times New Roman"/>
          <w:sz w:val="24"/>
          <w:szCs w:val="24"/>
        </w:rPr>
        <w:t>w myśl projektowanej definicji sieć telekomunikacyjna to systemy transmisyjne, a także urządzenia telekomunikacyjne</w:t>
      </w:r>
      <w:r w:rsidR="007E5A68" w:rsidRPr="003A42FB">
        <w:rPr>
          <w:rFonts w:ascii="Times New Roman" w:eastAsiaTheme="minorEastAsia" w:hAnsi="Times New Roman" w:cs="Times New Roman"/>
          <w:sz w:val="24"/>
          <w:szCs w:val="24"/>
        </w:rPr>
        <w:t xml:space="preserve"> </w:t>
      </w:r>
      <w:r w:rsidR="00823B7E" w:rsidRPr="003A42FB">
        <w:rPr>
          <w:rFonts w:ascii="Times New Roman" w:eastAsiaTheme="minorEastAsia" w:hAnsi="Times New Roman" w:cs="Times New Roman"/>
          <w:sz w:val="24"/>
          <w:szCs w:val="24"/>
        </w:rPr>
        <w:t>oraz inne zasoby, w tym nieaktywne elementy sieci, które umożliwiają przekazywanie sygnałów za pomocą przewodów, fal radiowych, optycznych lub innych środków wykorzystujących energię elektromagnetyczną, niezależnie od ro</w:t>
      </w:r>
      <w:r w:rsidR="004C2CF3" w:rsidRPr="003A42FB">
        <w:rPr>
          <w:rFonts w:ascii="Times New Roman" w:eastAsiaTheme="minorEastAsia" w:hAnsi="Times New Roman" w:cs="Times New Roman"/>
          <w:sz w:val="24"/>
          <w:szCs w:val="24"/>
        </w:rPr>
        <w:t>dzaju przekazywanej informacji.</w:t>
      </w:r>
      <w:r w:rsidR="08679D30" w:rsidRPr="003A42FB">
        <w:rPr>
          <w:rFonts w:ascii="Times New Roman" w:eastAsiaTheme="minorEastAsia" w:hAnsi="Times New Roman" w:cs="Times New Roman"/>
          <w:sz w:val="24"/>
          <w:szCs w:val="24"/>
        </w:rPr>
        <w:t xml:space="preserve"> Definicja była stosowana na gruncie Pt.</w:t>
      </w:r>
      <w:r w:rsidR="00C4709E">
        <w:rPr>
          <w:rFonts w:ascii="Times New Roman" w:eastAsiaTheme="minorEastAsia" w:hAnsi="Times New Roman" w:cs="Times New Roman"/>
          <w:sz w:val="24"/>
          <w:szCs w:val="24"/>
        </w:rPr>
        <w:t xml:space="preserve"> Sieć telekomunikacyjna stanowi funkcjonalną całość, składającą się z różnych elementów oraz warstw – logicznej oraz fizycznej.</w:t>
      </w:r>
    </w:p>
    <w:p w14:paraId="1936F590" w14:textId="77777777" w:rsidR="00163DF5" w:rsidRPr="003A42FB" w:rsidRDefault="00163DF5"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u w:val="single"/>
        </w:rPr>
        <w:t>Definicja</w:t>
      </w:r>
      <w:r w:rsidR="00DE1418" w:rsidRPr="003A42FB">
        <w:rPr>
          <w:rFonts w:ascii="Times New Roman" w:eastAsiaTheme="minorEastAsia" w:hAnsi="Times New Roman" w:cs="Times New Roman"/>
          <w:b/>
          <w:bCs/>
          <w:sz w:val="24"/>
          <w:szCs w:val="24"/>
          <w:u w:val="single"/>
        </w:rPr>
        <w:t xml:space="preserve"> służby radiokomunikacyjnej </w:t>
      </w:r>
      <w:r w:rsidR="004C2CF3" w:rsidRPr="003A42FB">
        <w:rPr>
          <w:rFonts w:ascii="Times New Roman" w:eastAsiaTheme="minorEastAsia" w:hAnsi="Times New Roman" w:cs="Times New Roman"/>
          <w:sz w:val="24"/>
          <w:szCs w:val="24"/>
        </w:rPr>
        <w:t>- z</w:t>
      </w:r>
      <w:r w:rsidRPr="003A42FB">
        <w:rPr>
          <w:rFonts w:ascii="Times New Roman" w:eastAsiaTheme="minorEastAsia" w:hAnsi="Times New Roman" w:cs="Times New Roman"/>
          <w:sz w:val="24"/>
          <w:szCs w:val="24"/>
        </w:rPr>
        <w:t>godnie z projektowanym brzmieniem ustawy pod pojęciem służby radiokomunikacyjnej należy rozumieć nadawanie, przesyłanie lub odbiór fal radiowych dla wypełnienia zadań określonych dla danej służby w międzynarodowych przepisach radiokomunikacyjnych. Definicja ta była zawarta już w ustawie Pt (art. 2 pkt 36). Definicja nie określa zadań poszczególnych służb, a odsyła w tym zakresie do międzynarodowych przepisów radiokomunikacyjnych. Rodzaje służb zostały wskazane i usystematyzowane w Regulaminie Radiokomunikacyjnym, który wskazuje między innymi służbę stałą, służbę operacji kosmicznych, czy służbę ruchomą – ponad 40 służb.</w:t>
      </w:r>
    </w:p>
    <w:p w14:paraId="506BF837" w14:textId="7CBB50AF" w:rsidR="004C2CF3" w:rsidRPr="003A42FB" w:rsidRDefault="52A1937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w:t>
      </w:r>
      <w:r w:rsidR="021E6F92" w:rsidRPr="003A42FB">
        <w:rPr>
          <w:rFonts w:ascii="Times New Roman" w:eastAsiaTheme="minorEastAsia" w:hAnsi="Times New Roman" w:cs="Times New Roman"/>
          <w:b/>
          <w:bCs/>
          <w:sz w:val="24"/>
          <w:szCs w:val="24"/>
          <w:u w:val="single"/>
        </w:rPr>
        <w:t>służby radiokomunikacyjnej amatorskiej</w:t>
      </w:r>
      <w:r w:rsidR="5CD5DACD" w:rsidRPr="003A42FB">
        <w:rPr>
          <w:rFonts w:ascii="Times New Roman" w:eastAsiaTheme="minorEastAsia" w:hAnsi="Times New Roman" w:cs="Times New Roman"/>
          <w:sz w:val="24"/>
          <w:szCs w:val="24"/>
        </w:rPr>
        <w:t xml:space="preserve"> - z</w:t>
      </w:r>
      <w:r w:rsidR="220F6974" w:rsidRPr="003A42FB">
        <w:rPr>
          <w:rFonts w:ascii="Times New Roman" w:eastAsiaTheme="minorEastAsia" w:hAnsi="Times New Roman" w:cs="Times New Roman"/>
          <w:sz w:val="24"/>
          <w:szCs w:val="24"/>
        </w:rPr>
        <w:t>adania poszczególnych służb radiokomunikacyjnych wynikają zasadniczo z Regulaminu Radiokomunikacyjnego, jednak służba radiokomunikacyjna amatorska ma charakter szcze</w:t>
      </w:r>
      <w:r w:rsidR="44630866" w:rsidRPr="003A42FB">
        <w:rPr>
          <w:rFonts w:ascii="Times New Roman" w:eastAsiaTheme="minorEastAsia" w:hAnsi="Times New Roman" w:cs="Times New Roman"/>
          <w:sz w:val="24"/>
          <w:szCs w:val="24"/>
        </w:rPr>
        <w:t xml:space="preserve">gólny, w związku z czym ustawa </w:t>
      </w:r>
      <w:r w:rsidR="43404BD5" w:rsidRPr="003A42FB">
        <w:rPr>
          <w:rFonts w:ascii="Times New Roman" w:eastAsiaTheme="minorEastAsia" w:hAnsi="Times New Roman" w:cs="Times New Roman"/>
          <w:sz w:val="24"/>
          <w:szCs w:val="24"/>
        </w:rPr>
        <w:t>Pke</w:t>
      </w:r>
      <w:r w:rsidR="44630866" w:rsidRPr="003A42FB">
        <w:rPr>
          <w:rFonts w:ascii="Times New Roman" w:eastAsiaTheme="minorEastAsia" w:hAnsi="Times New Roman" w:cs="Times New Roman"/>
          <w:sz w:val="24"/>
          <w:szCs w:val="24"/>
        </w:rPr>
        <w:t>, tak samo jak P</w:t>
      </w:r>
      <w:r w:rsidR="220F6974" w:rsidRPr="003A42FB">
        <w:rPr>
          <w:rFonts w:ascii="Times New Roman" w:eastAsiaTheme="minorEastAsia" w:hAnsi="Times New Roman" w:cs="Times New Roman"/>
          <w:sz w:val="24"/>
          <w:szCs w:val="24"/>
        </w:rPr>
        <w:t xml:space="preserve">t, przewiduje w tym zakresie dodatkowe odrębne regulacje. Poprzez służbę radiokomunikacyjną amatorską należy rozumieć służbę radiokomunikacyjną mającą na celu nawiązywanie wzajemnych łączności, badania techniczne oraz indywidualne szkolenie wykonywane w celach niezarobkowych przez uprawnione osoby wyłącznie dla potrzeb własnych. Definicja ta również wynika z Regulaminu Radiokomunikacyjnego, a jej bardzo </w:t>
      </w:r>
      <w:r w:rsidR="220F6974" w:rsidRPr="003A42FB">
        <w:rPr>
          <w:rFonts w:ascii="Times New Roman" w:eastAsiaTheme="minorEastAsia" w:hAnsi="Times New Roman" w:cs="Times New Roman"/>
          <w:sz w:val="24"/>
          <w:szCs w:val="24"/>
        </w:rPr>
        <w:lastRenderedPageBreak/>
        <w:t>istotnym elementem jest wskazanie, że działalność radioamatorska nie może służyć celom zarobkowym.</w:t>
      </w:r>
    </w:p>
    <w:p w14:paraId="29135693" w14:textId="37801FF8" w:rsidR="004C2CF3" w:rsidRPr="003A42FB" w:rsidRDefault="00080A68" w:rsidP="00C53EAB">
      <w:pPr>
        <w:pStyle w:val="PKTpunkt"/>
        <w:spacing w:after="120" w:line="240" w:lineRule="auto"/>
        <w:ind w:left="0" w:firstLine="0"/>
        <w:rPr>
          <w:rFonts w:ascii="Times New Roman" w:hAnsi="Times New Roman" w:cs="Times New Roman"/>
          <w:szCs w:val="24"/>
        </w:rPr>
      </w:pPr>
      <w:r w:rsidRPr="003A42FB">
        <w:rPr>
          <w:rFonts w:ascii="Times New Roman" w:hAnsi="Times New Roman" w:cs="Times New Roman"/>
          <w:b/>
          <w:szCs w:val="24"/>
          <w:u w:val="single"/>
          <w:lang w:eastAsia="en-US"/>
        </w:rPr>
        <w:t>Definic</w:t>
      </w:r>
      <w:r w:rsidR="004C2CF3" w:rsidRPr="003A42FB">
        <w:rPr>
          <w:rFonts w:ascii="Times New Roman" w:hAnsi="Times New Roman" w:cs="Times New Roman"/>
          <w:b/>
          <w:szCs w:val="24"/>
          <w:u w:val="single"/>
          <w:lang w:eastAsia="en-US"/>
        </w:rPr>
        <w:t>ja stacjonarnej publicznej sieci telekomunikacyjnej</w:t>
      </w:r>
      <w:r w:rsidR="004C2CF3" w:rsidRPr="003A42FB">
        <w:rPr>
          <w:rFonts w:ascii="Times New Roman" w:hAnsi="Times New Roman" w:cs="Times New Roman"/>
          <w:b/>
          <w:szCs w:val="24"/>
          <w:lang w:eastAsia="en-US"/>
        </w:rPr>
        <w:t xml:space="preserve"> </w:t>
      </w:r>
      <w:r w:rsidR="004C2CF3" w:rsidRPr="003A42FB">
        <w:rPr>
          <w:rFonts w:ascii="Times New Roman" w:hAnsi="Times New Roman" w:cs="Times New Roman"/>
          <w:szCs w:val="24"/>
          <w:lang w:eastAsia="en-US"/>
        </w:rPr>
        <w:t>–</w:t>
      </w:r>
      <w:r w:rsidRPr="003A42FB">
        <w:rPr>
          <w:rFonts w:ascii="Times New Roman" w:hAnsi="Times New Roman" w:cs="Times New Roman"/>
          <w:szCs w:val="24"/>
          <w:lang w:eastAsia="en-US"/>
        </w:rPr>
        <w:t xml:space="preserve"> zgodnie z projektowaną definicją jest to publiczna sieć telekomunikacyjna, w której zakończenia sieci mają stałą lokalizację.</w:t>
      </w:r>
      <w:r w:rsidR="57F49F57" w:rsidRPr="003A42FB">
        <w:rPr>
          <w:rFonts w:ascii="Times New Roman" w:hAnsi="Times New Roman" w:cs="Times New Roman"/>
          <w:szCs w:val="24"/>
          <w:lang w:eastAsia="en-US"/>
        </w:rPr>
        <w:t xml:space="preserve"> </w:t>
      </w:r>
      <w:r w:rsidR="57F49F57" w:rsidRPr="003A42FB">
        <w:rPr>
          <w:rFonts w:ascii="Times New Roman" w:hAnsi="Times New Roman" w:cs="Times New Roman"/>
          <w:szCs w:val="24"/>
        </w:rPr>
        <w:t>Definicja jest stosowana na gruncie Pt.</w:t>
      </w:r>
    </w:p>
    <w:p w14:paraId="0373F54B" w14:textId="77777777" w:rsidR="003A42FB" w:rsidRPr="003A42FB" w:rsidRDefault="00F616A3"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b/>
          <w:sz w:val="24"/>
          <w:szCs w:val="24"/>
          <w:u w:val="single"/>
        </w:rPr>
        <w:t>Definicja stacjonarnej sieci telekomunikacyjnej</w:t>
      </w:r>
      <w:r w:rsidRPr="003A42FB">
        <w:rPr>
          <w:rFonts w:ascii="Times New Roman" w:hAnsi="Times New Roman" w:cs="Times New Roman"/>
          <w:sz w:val="24"/>
          <w:szCs w:val="24"/>
        </w:rPr>
        <w:t xml:space="preserve"> - zgodnie z projektowaną definicją jest to sieć telekomunikacyjna, w której zakończenia sieci mają stałą lokalizację.</w:t>
      </w:r>
      <w:r w:rsidR="00FB04D8" w:rsidRPr="003A42FB">
        <w:rPr>
          <w:rFonts w:ascii="Times New Roman" w:hAnsi="Times New Roman" w:cs="Times New Roman"/>
          <w:sz w:val="24"/>
          <w:szCs w:val="24"/>
        </w:rPr>
        <w:t xml:space="preserve"> </w:t>
      </w:r>
    </w:p>
    <w:p w14:paraId="47B72451" w14:textId="1295E3DD" w:rsidR="00565915" w:rsidRPr="003A42FB" w:rsidRDefault="1117071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sygnału multipleksu</w:t>
      </w:r>
      <w:r w:rsidRPr="003A42FB">
        <w:rPr>
          <w:rFonts w:ascii="Times New Roman" w:eastAsiaTheme="minorEastAsia" w:hAnsi="Times New Roman" w:cs="Times New Roman"/>
          <w:sz w:val="24"/>
          <w:szCs w:val="24"/>
        </w:rPr>
        <w:t xml:space="preserve"> - </w:t>
      </w:r>
      <w:r w:rsidR="12D3D58D" w:rsidRPr="003A42FB">
        <w:rPr>
          <w:rFonts w:ascii="Times New Roman" w:eastAsiaTheme="minorEastAsia" w:hAnsi="Times New Roman" w:cs="Times New Roman"/>
          <w:sz w:val="24"/>
          <w:szCs w:val="24"/>
        </w:rPr>
        <w:t>oznacza</w:t>
      </w:r>
      <w:r w:rsidRPr="003A42FB">
        <w:rPr>
          <w:rFonts w:ascii="Times New Roman" w:eastAsiaTheme="minorEastAsia" w:hAnsi="Times New Roman" w:cs="Times New Roman"/>
          <w:sz w:val="24"/>
          <w:szCs w:val="24"/>
        </w:rPr>
        <w:t xml:space="preserve"> sygnał radiowy transmitowany z użyciem kanału lub bloku częstotliwościowego w służbie radiodyfuzyjnej, przenoszący treści zawarte w multipleksie.</w:t>
      </w:r>
      <w:r w:rsidR="3C5CC6F7" w:rsidRPr="003A42FB">
        <w:rPr>
          <w:rFonts w:ascii="Times New Roman" w:eastAsiaTheme="minorEastAsia" w:hAnsi="Times New Roman" w:cs="Times New Roman"/>
          <w:sz w:val="24"/>
          <w:szCs w:val="24"/>
        </w:rPr>
        <w:t xml:space="preserve"> Definicja jest stosowana na gruncie Pt.</w:t>
      </w:r>
    </w:p>
    <w:p w14:paraId="7D263747" w14:textId="23305F6B" w:rsidR="00241D14" w:rsidRPr="003A42FB" w:rsidRDefault="7FD523A6"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systemu dostępu warunkowego</w:t>
      </w:r>
      <w:r w:rsidRPr="003A42FB">
        <w:rPr>
          <w:rFonts w:ascii="Times New Roman" w:eastAsiaTheme="minorEastAsia" w:hAnsi="Times New Roman" w:cs="Times New Roman"/>
          <w:sz w:val="24"/>
          <w:szCs w:val="24"/>
        </w:rPr>
        <w:t xml:space="preserve"> - system dostępu warunkowego rozumian</w:t>
      </w:r>
      <w:r w:rsidR="00AC48E7">
        <w:rPr>
          <w:rFonts w:ascii="Times New Roman" w:eastAsiaTheme="minorEastAsia" w:hAnsi="Times New Roman" w:cs="Times New Roman"/>
          <w:sz w:val="24"/>
          <w:szCs w:val="24"/>
        </w:rPr>
        <w:t xml:space="preserve">y jest </w:t>
      </w:r>
      <w:r w:rsidRPr="003A42FB">
        <w:rPr>
          <w:rFonts w:ascii="Times New Roman" w:eastAsiaTheme="minorEastAsia" w:hAnsi="Times New Roman" w:cs="Times New Roman"/>
          <w:sz w:val="24"/>
          <w:szCs w:val="24"/>
        </w:rPr>
        <w:t xml:space="preserve"> jako środki lub rozwiązania techniczne, które powodują, że dostęp do zrozumiałej formy zabezpieczonych transmisji radio</w:t>
      </w:r>
      <w:r w:rsidR="70F2AE2B" w:rsidRPr="003A42FB">
        <w:rPr>
          <w:rFonts w:ascii="Times New Roman" w:eastAsiaTheme="minorEastAsia" w:hAnsi="Times New Roman" w:cs="Times New Roman"/>
          <w:sz w:val="24"/>
          <w:szCs w:val="24"/>
        </w:rPr>
        <w:t>fonicznych</w:t>
      </w:r>
      <w:r w:rsidRPr="003A42FB">
        <w:rPr>
          <w:rFonts w:ascii="Times New Roman" w:eastAsiaTheme="minorEastAsia" w:hAnsi="Times New Roman" w:cs="Times New Roman"/>
          <w:sz w:val="24"/>
          <w:szCs w:val="24"/>
        </w:rPr>
        <w:t xml:space="preserve"> lub telewizyjnych jest uwarunkowany posiadaniem abonamentu lub uprzednio uzyskanego indywidualnego zezwolenia. Definicja ta ma swój odpowiednik w art. 2 pkt 12 EKŁE oraz w art. 2 pkt 39 ustawy Pt.</w:t>
      </w:r>
    </w:p>
    <w:p w14:paraId="44511B36" w14:textId="18A10F3E" w:rsidR="3297BDE5" w:rsidRPr="003A42FB" w:rsidRDefault="3297BDE5" w:rsidP="009347A4">
      <w:pPr>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u w:val="single"/>
        </w:rPr>
        <w:t>Definicja sytuacji szczególnego zagrożenia</w:t>
      </w:r>
      <w:r w:rsidRPr="003A42FB">
        <w:rPr>
          <w:rFonts w:ascii="Times New Roman" w:eastAsia="Times New Roman" w:hAnsi="Times New Roman" w:cs="Times New Roman"/>
          <w:b/>
          <w:bCs/>
          <w:sz w:val="24"/>
          <w:szCs w:val="24"/>
        </w:rPr>
        <w:t xml:space="preserve"> </w:t>
      </w:r>
      <w:r w:rsidRPr="003A42FB">
        <w:rPr>
          <w:rFonts w:ascii="Times New Roman" w:eastAsia="Times New Roman" w:hAnsi="Times New Roman" w:cs="Times New Roman"/>
          <w:sz w:val="24"/>
          <w:szCs w:val="24"/>
        </w:rPr>
        <w:t xml:space="preserve">– w propozycji podtrzymano pojęcia i odniesienia do sytuacji kryzysowych i stanów nadzwyczajnych według zapisów obowiązującej ustawy. </w:t>
      </w:r>
    </w:p>
    <w:p w14:paraId="4C3D3F27" w14:textId="22B487E7" w:rsidR="3297BDE5" w:rsidRPr="003A42FB" w:rsidRDefault="3297BDE5" w:rsidP="009347A4">
      <w:pPr>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Dodatkowo wprowadzono pojęcie </w:t>
      </w:r>
      <w:r w:rsidRPr="003A42FB">
        <w:rPr>
          <w:rFonts w:ascii="Times New Roman" w:eastAsia="Times New Roman" w:hAnsi="Times New Roman" w:cs="Times New Roman"/>
          <w:i/>
          <w:iCs/>
          <w:sz w:val="24"/>
          <w:szCs w:val="24"/>
        </w:rPr>
        <w:t>„w warunkach zewnętrznego zagrożenia bezpieczeństwa państwa i czasu wojny”</w:t>
      </w:r>
      <w:r w:rsidRPr="003A42FB">
        <w:rPr>
          <w:rFonts w:ascii="Times New Roman" w:eastAsia="Times New Roman" w:hAnsi="Times New Roman" w:cs="Times New Roman"/>
          <w:sz w:val="24"/>
          <w:szCs w:val="24"/>
        </w:rPr>
        <w:t xml:space="preserve">, które funkcjonuje w przepisach prawa powszechnie obowiązującego np. w art. 136, art. 229 Konstytucji Rzeczypospolitej Polskiej oraz art. 6 </w:t>
      </w:r>
      <w:r w:rsidRPr="003A42FB">
        <w:rPr>
          <w:rFonts w:ascii="Times New Roman" w:eastAsia="Times New Roman" w:hAnsi="Times New Roman" w:cs="Times New Roman"/>
          <w:i/>
          <w:iCs/>
          <w:sz w:val="24"/>
          <w:szCs w:val="24"/>
        </w:rPr>
        <w:t>ustawy z dnia 21 listopada 1967 r. o powszechnym obowiązku obrony Rzeczypospolitej Polskiej (Dz. U. 2019, poz. 1541, z późn. zm.)</w:t>
      </w:r>
      <w:r w:rsidRPr="003A42FB">
        <w:rPr>
          <w:rFonts w:ascii="Times New Roman" w:eastAsia="Times New Roman" w:hAnsi="Times New Roman" w:cs="Times New Roman"/>
          <w:sz w:val="24"/>
          <w:szCs w:val="24"/>
        </w:rPr>
        <w:t xml:space="preserve"> i nawiązuje do sytuacji państwa, w czasie której organy administracji publicznej oraz przedsiębiorcy zobowiązani są do realizacji określonych zadań obronnych, w tym zadań na rzecz Sił Zbrojnych Rzeczypospolitej Polskiej. Zadania te będą realizowane przede wszystkim przed formalnym wprowadzeniem np. stanu wyjątkowego albo stanu wojennego. W związku z tym, tak sformułowana i rozumiana definicja </w:t>
      </w:r>
      <w:r w:rsidRPr="003A42FB">
        <w:rPr>
          <w:rFonts w:ascii="Times New Roman" w:eastAsia="Times New Roman" w:hAnsi="Times New Roman" w:cs="Times New Roman"/>
          <w:i/>
          <w:iCs/>
          <w:sz w:val="24"/>
          <w:szCs w:val="24"/>
        </w:rPr>
        <w:t>„sytuacji szczególnego zagrożenia”</w:t>
      </w:r>
      <w:r w:rsidRPr="003A42FB">
        <w:rPr>
          <w:rFonts w:ascii="Times New Roman" w:eastAsia="Times New Roman" w:hAnsi="Times New Roman" w:cs="Times New Roman"/>
          <w:sz w:val="24"/>
          <w:szCs w:val="24"/>
        </w:rPr>
        <w:t xml:space="preserve"> ma kluczowe znaczenie dla realizacji ustawowych zadań przez Siły Zbrojne RP i zabezpieczenia ich potrzeb telekomunikacyjnych. </w:t>
      </w:r>
    </w:p>
    <w:p w14:paraId="4747D497" w14:textId="77777777" w:rsidR="003A42FB" w:rsidRPr="003A42FB" w:rsidRDefault="3297BDE5"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Ponadto w definicji podkreślono rolę przedsiębiorcy komunikacji elektronicznej polegającą na jego współpracy w sytuacjach wskazanych w lit. a z właściwymi podmiotami państwowymi.</w:t>
      </w:r>
    </w:p>
    <w:p w14:paraId="3E0F54A6" w14:textId="65FF051C" w:rsidR="004C2CF3" w:rsidRPr="003A42FB" w:rsidRDefault="003A42F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imes New Roman" w:hAnsi="Times New Roman" w:cs="Times New Roman"/>
          <w:b/>
          <w:sz w:val="24"/>
          <w:szCs w:val="24"/>
          <w:u w:val="single"/>
        </w:rPr>
        <w:t>D</w:t>
      </w:r>
      <w:r w:rsidR="004C2CF3" w:rsidRPr="003A42FB">
        <w:rPr>
          <w:rFonts w:ascii="Times New Roman" w:eastAsiaTheme="minorEastAsia" w:hAnsi="Times New Roman" w:cs="Times New Roman"/>
          <w:b/>
          <w:bCs/>
          <w:sz w:val="24"/>
          <w:szCs w:val="24"/>
          <w:u w:val="single"/>
        </w:rPr>
        <w:t xml:space="preserve">efinicja szkodliwych zaburzeń elektromagnetycznych </w:t>
      </w:r>
      <w:r w:rsidR="004C2CF3" w:rsidRPr="003A42FB">
        <w:rPr>
          <w:rFonts w:ascii="Times New Roman" w:eastAsiaTheme="minorEastAsia" w:hAnsi="Times New Roman" w:cs="Times New Roman"/>
          <w:sz w:val="24"/>
          <w:szCs w:val="24"/>
        </w:rPr>
        <w:t>- definicja szkodliwego zaburzenia w takim samym brzmieniu była zawarta w ustawie Pt (art. 2 pkt 40). Szkodliwe zaburzenie elektromagnetyczne jest to zaburzenie elektromagnetyczne w rozumieniu przepisów ustawy o kompatybilności elektromagnetycznej, które przekracza dopuszczalne poziomy zaburzeń. Zgodnie zaś z tą ustawą zaburzenie elektromagnetyczne to dowolne zjawisko elektromagnetyczne, które może obniżyć jakość działania urządzeń albo niekorzystnie wpłynąć na materię ożywioną i nieożywioną.</w:t>
      </w:r>
    </w:p>
    <w:p w14:paraId="116DD0BB" w14:textId="77777777" w:rsidR="00241D14" w:rsidRPr="003A42FB" w:rsidRDefault="004C2CF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szkodliwych zakłóceń</w:t>
      </w:r>
      <w:r w:rsidRPr="003A42FB">
        <w:rPr>
          <w:rFonts w:ascii="Times New Roman" w:eastAsiaTheme="minorEastAsia" w:hAnsi="Times New Roman" w:cs="Times New Roman"/>
          <w:sz w:val="24"/>
          <w:szCs w:val="24"/>
        </w:rPr>
        <w:t xml:space="preserve"> - definicja szkodliwych zakłóceń stanowi wdrożenie art. 2 pkt 20 EKŁE. Przez szkodliwe zakłócenia należy rozumieć zakłócenia, które zagrażają funkcjonowaniu służby radionawigacyjnej lub innej służby radiokomunikacyjnej związanej z bezpieczeństwem lub w sposób poważny pogarszają, utrudniają lub wielokrotnie przerywają wykonywanie służby radiokomunikacyjnej działającej zgodnie z przepisami prawa.  Pojęcie szkodliwych zakłóceń, inaczej niż to ma miejsce w przypadku pojęcia szkodliwego zaburzenia elektromagnetycznego, dotyczy wyłącznie funkcjonowania radiokomunikacji.</w:t>
      </w:r>
    </w:p>
    <w:p w14:paraId="5CAF8618" w14:textId="4B950AC5" w:rsidR="1D47D661" w:rsidRPr="003A42FB" w:rsidRDefault="1D47D661"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b/>
          <w:bCs/>
          <w:sz w:val="24"/>
          <w:szCs w:val="24"/>
          <w:u w:val="single"/>
        </w:rPr>
        <w:lastRenderedPageBreak/>
        <w:t>Definicje świadczenia usług telekomunikacyjnych oraz świadczenia usług komunikacji elektronicznej</w:t>
      </w:r>
      <w:r w:rsidRPr="003A42FB">
        <w:rPr>
          <w:rFonts w:ascii="Times New Roman" w:eastAsiaTheme="minorEastAsia" w:hAnsi="Times New Roman" w:cs="Times New Roman"/>
          <w:sz w:val="24"/>
          <w:szCs w:val="24"/>
        </w:rPr>
        <w:t xml:space="preserve"> -</w:t>
      </w:r>
      <w:r w:rsidR="33838834" w:rsidRPr="003A42FB">
        <w:rPr>
          <w:rFonts w:ascii="Times New Roman" w:eastAsiaTheme="minorEastAsia" w:hAnsi="Times New Roman" w:cs="Times New Roman"/>
          <w:sz w:val="24"/>
          <w:szCs w:val="24"/>
        </w:rPr>
        <w:t xml:space="preserve"> </w:t>
      </w:r>
      <w:r w:rsidR="7A4F56E5" w:rsidRPr="003A42FB">
        <w:rPr>
          <w:rFonts w:ascii="Times New Roman" w:eastAsiaTheme="minorEastAsia" w:hAnsi="Times New Roman" w:cs="Times New Roman"/>
          <w:sz w:val="24"/>
          <w:szCs w:val="24"/>
        </w:rPr>
        <w:t>d</w:t>
      </w:r>
      <w:r w:rsidRPr="003A42FB">
        <w:rPr>
          <w:rFonts w:ascii="Times New Roman" w:eastAsiaTheme="minorEastAsia" w:hAnsi="Times New Roman" w:cs="Times New Roman"/>
          <w:sz w:val="24"/>
          <w:szCs w:val="24"/>
        </w:rPr>
        <w:t>efinicje te uwzględniają wprowadzone w projekcie rozróżnienie na usługi komunikacji elektronicznej oraz węższe zakre</w:t>
      </w:r>
      <w:r w:rsidR="11170715" w:rsidRPr="003A42FB">
        <w:rPr>
          <w:rFonts w:ascii="Times New Roman" w:eastAsiaTheme="minorEastAsia" w:hAnsi="Times New Roman" w:cs="Times New Roman"/>
          <w:sz w:val="24"/>
          <w:szCs w:val="24"/>
        </w:rPr>
        <w:t xml:space="preserve">sowo usługi telekomunikacyjne. </w:t>
      </w:r>
      <w:r w:rsidR="1C6AAAC8" w:rsidRPr="003A42FB">
        <w:rPr>
          <w:rFonts w:ascii="Times New Roman" w:eastAsiaTheme="minorEastAsia" w:hAnsi="Times New Roman" w:cs="Times New Roman"/>
          <w:sz w:val="24"/>
          <w:szCs w:val="24"/>
        </w:rPr>
        <w:t>Ś</w:t>
      </w:r>
      <w:r w:rsidR="1C6AAAC8" w:rsidRPr="003A42FB">
        <w:rPr>
          <w:rFonts w:ascii="Times New Roman" w:eastAsia="Times New Roman" w:hAnsi="Times New Roman" w:cs="Times New Roman"/>
          <w:sz w:val="24"/>
          <w:szCs w:val="24"/>
        </w:rPr>
        <w:t>wiadczenie usług komunikacji elektronicznej oznacza świadczenie usług telekomunikacyjnych lub usług komunikacji interpersonalnej niewykorzystujących numerów. Natomiast świadczeniem usług telekomunikacyjnych jest wykonywanie usług za pomocą własnej sieci, z wykorzystaniem sieci innego operatora lub sprzedaż we własnym imieniu i na własny rachunek usługi telekomunikacyjnej wykonywanej przez innego dostawcę usług.</w:t>
      </w:r>
    </w:p>
    <w:p w14:paraId="743F7DE4" w14:textId="1C372042" w:rsidR="00E33C64" w:rsidRPr="003A42FB" w:rsidRDefault="00E33C64"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imes New Roman" w:hAnsi="Times New Roman" w:cs="Times New Roman"/>
          <w:b/>
          <w:bCs/>
          <w:sz w:val="24"/>
          <w:szCs w:val="24"/>
          <w:u w:val="single"/>
        </w:rPr>
        <w:t>Definicja telekomunikacji</w:t>
      </w:r>
      <w:r w:rsidRPr="003A42FB">
        <w:rPr>
          <w:rFonts w:ascii="Times New Roman" w:eastAsia="Times New Roman" w:hAnsi="Times New Roman" w:cs="Times New Roman"/>
          <w:sz w:val="24"/>
          <w:szCs w:val="24"/>
        </w:rPr>
        <w:t xml:space="preserve"> – zgodnie z projektowaną definicją telekomunikacją jest nadawanie, odbiór lub transmisję informacji, niezależnie od ich rodzaju, za pomocą przewodów, fal radiowych bądź optycznych lub innych środków wykorzystujących energię elektromagnetyczną.</w:t>
      </w:r>
      <w:r w:rsidR="1F6CB399" w:rsidRPr="003A42FB">
        <w:rPr>
          <w:rFonts w:ascii="Times New Roman" w:eastAsia="Times New Roman" w:hAnsi="Times New Roman" w:cs="Times New Roman"/>
          <w:sz w:val="24"/>
          <w:szCs w:val="24"/>
        </w:rPr>
        <w:t xml:space="preserve"> </w:t>
      </w:r>
      <w:r w:rsidR="1F6CB399" w:rsidRPr="003A42FB">
        <w:rPr>
          <w:rFonts w:ascii="Times New Roman" w:eastAsiaTheme="minorEastAsia" w:hAnsi="Times New Roman" w:cs="Times New Roman"/>
          <w:sz w:val="24"/>
          <w:szCs w:val="24"/>
        </w:rPr>
        <w:t>Definicja jest stosowana na gruncie Pt.</w:t>
      </w:r>
    </w:p>
    <w:p w14:paraId="61EAC752" w14:textId="457D8C70" w:rsidR="00241D14" w:rsidRPr="003A42FB" w:rsidRDefault="7FD523A6" w:rsidP="00C53EAB">
      <w:pPr>
        <w:tabs>
          <w:tab w:val="left" w:pos="2820"/>
        </w:tabs>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imes New Roman" w:hAnsi="Times New Roman" w:cs="Times New Roman"/>
          <w:b/>
          <w:bCs/>
          <w:sz w:val="24"/>
          <w:szCs w:val="24"/>
          <w:u w:val="single"/>
        </w:rPr>
        <w:t>Definicje</w:t>
      </w:r>
      <w:r w:rsidR="3E2F8996" w:rsidRPr="003A42FB">
        <w:rPr>
          <w:rFonts w:ascii="Times New Roman" w:eastAsia="Times New Roman" w:hAnsi="Times New Roman" w:cs="Times New Roman"/>
          <w:b/>
          <w:bCs/>
          <w:sz w:val="24"/>
          <w:szCs w:val="24"/>
          <w:u w:val="single"/>
        </w:rPr>
        <w:t xml:space="preserve"> telekomunikacyjne</w:t>
      </w:r>
      <w:r w:rsidR="3E2F8996" w:rsidRPr="003A42FB">
        <w:rPr>
          <w:rFonts w:ascii="Times New Roman" w:eastAsiaTheme="minorEastAsia" w:hAnsi="Times New Roman" w:cs="Times New Roman"/>
          <w:b/>
          <w:bCs/>
          <w:sz w:val="24"/>
          <w:szCs w:val="24"/>
          <w:u w:val="single"/>
        </w:rPr>
        <w:t>go urządzenia końcowego</w:t>
      </w:r>
      <w:r w:rsidRPr="003A42FB">
        <w:rPr>
          <w:rFonts w:ascii="Times New Roman" w:eastAsiaTheme="minorEastAsia" w:hAnsi="Times New Roman" w:cs="Times New Roman"/>
          <w:b/>
          <w:bCs/>
          <w:sz w:val="24"/>
          <w:szCs w:val="24"/>
          <w:u w:val="single"/>
        </w:rPr>
        <w:t xml:space="preserve"> oraz urządzenia telekomunikacyjnego</w:t>
      </w:r>
      <w:r w:rsidR="61A48A76" w:rsidRPr="003A42FB">
        <w:rPr>
          <w:rFonts w:ascii="Times New Roman" w:eastAsiaTheme="minorEastAsia" w:hAnsi="Times New Roman" w:cs="Times New Roman"/>
          <w:sz w:val="24"/>
          <w:szCs w:val="24"/>
        </w:rPr>
        <w:t xml:space="preserve"> </w:t>
      </w:r>
      <w:r w:rsidR="6604B5AA" w:rsidRPr="003A42FB">
        <w:rPr>
          <w:rFonts w:ascii="Times New Roman" w:eastAsiaTheme="minorEastAsia" w:hAnsi="Times New Roman" w:cs="Times New Roman"/>
          <w:sz w:val="24"/>
          <w:szCs w:val="24"/>
        </w:rPr>
        <w:t>-</w:t>
      </w:r>
      <w:r w:rsidR="5248C16F" w:rsidRPr="003A42FB">
        <w:rPr>
          <w:rFonts w:ascii="Times New Roman" w:eastAsiaTheme="minorEastAsia" w:hAnsi="Times New Roman" w:cs="Times New Roman"/>
          <w:sz w:val="24"/>
          <w:szCs w:val="24"/>
        </w:rPr>
        <w:t xml:space="preserve"> </w:t>
      </w:r>
      <w:r w:rsidR="270A5D47" w:rsidRPr="003A42FB">
        <w:rPr>
          <w:rFonts w:ascii="Times New Roman" w:eastAsiaTheme="minorEastAsia" w:hAnsi="Times New Roman" w:cs="Times New Roman"/>
          <w:sz w:val="24"/>
          <w:szCs w:val="24"/>
        </w:rPr>
        <w:t>zgodnie z def</w:t>
      </w:r>
      <w:r w:rsidR="77D734E7" w:rsidRPr="003A42FB">
        <w:rPr>
          <w:rFonts w:ascii="Times New Roman" w:eastAsiaTheme="minorEastAsia" w:hAnsi="Times New Roman" w:cs="Times New Roman"/>
          <w:sz w:val="24"/>
          <w:szCs w:val="24"/>
        </w:rPr>
        <w:t>inicją u</w:t>
      </w:r>
      <w:r w:rsidRPr="003A42FB">
        <w:rPr>
          <w:rFonts w:ascii="Times New Roman" w:eastAsiaTheme="minorEastAsia" w:hAnsi="Times New Roman" w:cs="Times New Roman"/>
          <w:sz w:val="24"/>
          <w:szCs w:val="24"/>
        </w:rPr>
        <w:t>rządzeniem telekomunikacyjnym jest urządzenie elektryczne lub elektroniczne przeznaczone do zapewniania telekomunikacji. Natomiast telekomunikacyjnym urządzeniem końcowym jest urządzenie telekomunikacyjne przeznaczone do podłączenia bezpośrednio lub pośrednio do zakończeń sieci.</w:t>
      </w:r>
    </w:p>
    <w:p w14:paraId="30C8C136" w14:textId="4C636B89" w:rsidR="00602BCA" w:rsidRPr="003A42FB" w:rsidRDefault="00DE1418"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b/>
          <w:bCs/>
          <w:sz w:val="24"/>
          <w:szCs w:val="24"/>
          <w:u w:val="single"/>
        </w:rPr>
        <w:t>Definicja trwałego nośnika</w:t>
      </w:r>
      <w:r w:rsidRPr="003A42FB">
        <w:rPr>
          <w:rFonts w:ascii="Times New Roman" w:eastAsiaTheme="minorEastAsia" w:hAnsi="Times New Roman" w:cs="Times New Roman"/>
          <w:sz w:val="24"/>
          <w:szCs w:val="24"/>
          <w:u w:val="single"/>
        </w:rPr>
        <w:t xml:space="preserve"> </w:t>
      </w:r>
      <w:r w:rsidRPr="003A42FB">
        <w:rPr>
          <w:rFonts w:ascii="Times New Roman" w:eastAsiaTheme="minorEastAsia" w:hAnsi="Times New Roman" w:cs="Times New Roman"/>
          <w:sz w:val="24"/>
          <w:szCs w:val="24"/>
        </w:rPr>
        <w:t xml:space="preserve">– </w:t>
      </w:r>
      <w:r w:rsidR="004C2CF3" w:rsidRPr="003A42FB">
        <w:rPr>
          <w:rFonts w:ascii="Times New Roman" w:eastAsiaTheme="minorEastAsia" w:hAnsi="Times New Roman" w:cs="Times New Roman"/>
          <w:sz w:val="24"/>
          <w:szCs w:val="24"/>
          <w:shd w:val="clear" w:color="auto" w:fill="FFFFFF"/>
        </w:rPr>
        <w:t>p</w:t>
      </w:r>
      <w:r w:rsidR="0072293E" w:rsidRPr="003A42FB">
        <w:rPr>
          <w:rFonts w:ascii="Times New Roman" w:eastAsiaTheme="minorEastAsia" w:hAnsi="Times New Roman" w:cs="Times New Roman"/>
          <w:sz w:val="24"/>
          <w:szCs w:val="24"/>
          <w:shd w:val="clear" w:color="auto" w:fill="FFFFFF"/>
        </w:rPr>
        <w:t xml:space="preserve">ojęcie trwałego nośnika zostało zdefiniowane w art. 2 </w:t>
      </w:r>
      <w:r w:rsidR="00D6136B" w:rsidRPr="003A42FB">
        <w:rPr>
          <w:rFonts w:ascii="Times New Roman" w:eastAsiaTheme="minorEastAsia" w:hAnsi="Times New Roman" w:cs="Times New Roman"/>
          <w:sz w:val="24"/>
          <w:szCs w:val="24"/>
          <w:shd w:val="clear" w:color="auto" w:fill="FFFFFF"/>
        </w:rPr>
        <w:t xml:space="preserve">w </w:t>
      </w:r>
      <w:r w:rsidR="0072293E" w:rsidRPr="003A42FB">
        <w:rPr>
          <w:rFonts w:ascii="Times New Roman" w:eastAsiaTheme="minorEastAsia" w:hAnsi="Times New Roman" w:cs="Times New Roman"/>
          <w:sz w:val="24"/>
          <w:szCs w:val="24"/>
          <w:shd w:val="clear" w:color="auto" w:fill="FFFFFF"/>
        </w:rPr>
        <w:t>pkt 4 ustawy z dnia 30 maja 2014 r. o prawach konsumenta (Dz.</w:t>
      </w:r>
      <w:r w:rsidR="00816DC9" w:rsidRPr="003A42FB">
        <w:rPr>
          <w:rFonts w:ascii="Times New Roman" w:eastAsiaTheme="minorEastAsia" w:hAnsi="Times New Roman" w:cs="Times New Roman"/>
          <w:sz w:val="24"/>
          <w:szCs w:val="24"/>
          <w:shd w:val="clear" w:color="auto" w:fill="FFFFFF"/>
        </w:rPr>
        <w:t xml:space="preserve"> </w:t>
      </w:r>
      <w:r w:rsidR="0072293E" w:rsidRPr="003A42FB">
        <w:rPr>
          <w:rFonts w:ascii="Times New Roman" w:eastAsiaTheme="minorEastAsia" w:hAnsi="Times New Roman" w:cs="Times New Roman"/>
          <w:sz w:val="24"/>
          <w:szCs w:val="24"/>
          <w:shd w:val="clear" w:color="auto" w:fill="FFFFFF"/>
        </w:rPr>
        <w:t>U. z 2020 r. poz. 287). W myśl tego przepisu t</w:t>
      </w:r>
      <w:r w:rsidR="0072293E" w:rsidRPr="003A42FB">
        <w:rPr>
          <w:rFonts w:ascii="Times New Roman" w:eastAsiaTheme="minorEastAsia" w:hAnsi="Times New Roman" w:cs="Times New Roman"/>
          <w:sz w:val="24"/>
          <w:szCs w:val="24"/>
          <w:lang w:eastAsia="pl-PL"/>
        </w:rPr>
        <w:t xml:space="preserve">rwały nośnik jest materiałem lub narzędziem, które umożliwia konsumentowi lub przedsiębiorcy przechowywanie informacji, zapewniając mu dostęp do tych informacji przez czas odpowiedni do celów, którym informacje służą oraz pozwala na odtworzenie przechowywanych informacji w niezmienionej postaci. W praktyce trwały nośnik musi spełniać te same funkcje co forma papierowa. </w:t>
      </w:r>
    </w:p>
    <w:p w14:paraId="26565BB3" w14:textId="45014503" w:rsidR="004C2CF3" w:rsidRPr="003A42FB" w:rsidRDefault="004C2CF3" w:rsidP="141B1C1F">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urządzenia radiowego</w:t>
      </w:r>
      <w:r w:rsidRPr="003A42FB">
        <w:rPr>
          <w:rFonts w:ascii="Times New Roman" w:eastAsiaTheme="minorEastAsia" w:hAnsi="Times New Roman" w:cs="Times New Roman"/>
          <w:sz w:val="24"/>
          <w:szCs w:val="24"/>
        </w:rPr>
        <w:t xml:space="preserve"> – definicja urządzenia radiowego w takim samym brzmieniu była zawarta w ustawie Pt (art. 2 pkt 45) i stanowiła implementację nadal obowiązującej dyrektywy 2014/53/UE w sprawie harmonizacji ustawodawstw państw członkowskich dotyczących udostępniania na rynku urządzeń radiowych. Urządzenie radiowe zgodnie z projektowaną definicją jest urządzeniem telekomunikacyjnym, a zatem urządzeniem elektrycznym lub elektronicznym przeznaczonym do zapewniania telekomunikacji, które celowo, samodzielnie lub z wykorzystaniem dodatkowego elementu, emituje lub odbiera fale radiowe.</w:t>
      </w:r>
    </w:p>
    <w:p w14:paraId="651D4149" w14:textId="512B99EF" w:rsidR="786FF7C5" w:rsidRPr="003A42FB" w:rsidRDefault="786FF7C5"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usługi </w:t>
      </w:r>
      <w:r w:rsidR="03D05283" w:rsidRPr="003A42FB">
        <w:rPr>
          <w:rFonts w:ascii="Times New Roman" w:eastAsiaTheme="minorEastAsia" w:hAnsi="Times New Roman" w:cs="Times New Roman"/>
          <w:b/>
          <w:bCs/>
          <w:sz w:val="24"/>
          <w:szCs w:val="24"/>
          <w:u w:val="single"/>
        </w:rPr>
        <w:t>fakultatywnego</w:t>
      </w:r>
      <w:r w:rsidR="00FB04D8" w:rsidRPr="003A42FB">
        <w:rPr>
          <w:rFonts w:ascii="Times New Roman" w:eastAsiaTheme="minorEastAsia" w:hAnsi="Times New Roman" w:cs="Times New Roman"/>
          <w:b/>
          <w:bCs/>
          <w:sz w:val="24"/>
          <w:szCs w:val="24"/>
          <w:u w:val="single"/>
        </w:rPr>
        <w:t xml:space="preserve"> </w:t>
      </w:r>
      <w:r w:rsidRPr="003A42FB">
        <w:rPr>
          <w:rFonts w:ascii="Times New Roman" w:eastAsiaTheme="minorEastAsia" w:hAnsi="Times New Roman" w:cs="Times New Roman"/>
          <w:b/>
          <w:bCs/>
          <w:sz w:val="24"/>
          <w:szCs w:val="24"/>
          <w:u w:val="single"/>
        </w:rPr>
        <w:t>obciążania rachunku</w:t>
      </w:r>
      <w:r w:rsidRPr="003A42FB">
        <w:rPr>
          <w:rFonts w:ascii="Times New Roman" w:eastAsiaTheme="minorEastAsia" w:hAnsi="Times New Roman" w:cs="Times New Roman"/>
          <w:sz w:val="24"/>
          <w:szCs w:val="24"/>
        </w:rPr>
        <w:t xml:space="preserve"> – definicja ta oznacza </w:t>
      </w:r>
      <w:r w:rsidR="00670309" w:rsidRPr="003A42FB">
        <w:rPr>
          <w:rFonts w:ascii="Times New Roman" w:eastAsia="Times New Roman" w:hAnsi="Times New Roman" w:cs="Times New Roman"/>
          <w:sz w:val="24"/>
          <w:szCs w:val="24"/>
        </w:rPr>
        <w:t>usługę</w:t>
      </w:r>
      <w:r w:rsidR="5A36CE75" w:rsidRPr="003A42FB">
        <w:rPr>
          <w:rFonts w:ascii="Times New Roman" w:eastAsia="Times New Roman" w:hAnsi="Times New Roman" w:cs="Times New Roman"/>
          <w:sz w:val="24"/>
          <w:szCs w:val="24"/>
        </w:rPr>
        <w:t xml:space="preserve"> </w:t>
      </w:r>
      <w:r w:rsidR="00670309" w:rsidRPr="003A42FB">
        <w:rPr>
          <w:rFonts w:ascii="Times New Roman" w:eastAsia="Times New Roman" w:hAnsi="Times New Roman" w:cs="Times New Roman"/>
          <w:sz w:val="24"/>
          <w:szCs w:val="24"/>
        </w:rPr>
        <w:t>polegająca na pośredniczeniu przez dostawcę usług komunikacji elektronicznej w sprzedaży towarów lub świadczeniu usług</w:t>
      </w:r>
      <w:r w:rsidR="5A36CE75" w:rsidRPr="003A42FB">
        <w:rPr>
          <w:rFonts w:ascii="Times New Roman" w:eastAsia="Times New Roman" w:hAnsi="Times New Roman" w:cs="Times New Roman"/>
          <w:sz w:val="24"/>
          <w:szCs w:val="24"/>
        </w:rPr>
        <w:t xml:space="preserve"> </w:t>
      </w:r>
      <w:r w:rsidR="00670309" w:rsidRPr="003A42FB">
        <w:rPr>
          <w:rFonts w:ascii="Times New Roman" w:eastAsia="Times New Roman" w:hAnsi="Times New Roman" w:cs="Times New Roman"/>
          <w:sz w:val="24"/>
          <w:szCs w:val="24"/>
        </w:rPr>
        <w:t>lub pośredniczeniu w płatności za te towary lub usługi, której wartość jest uwzględniana na rachunku za wykonane usługi komunikacji elektronicznej</w:t>
      </w:r>
      <w:r w:rsidR="00A112F7">
        <w:rPr>
          <w:rFonts w:ascii="Times New Roman" w:eastAsia="Times New Roman" w:hAnsi="Times New Roman" w:cs="Times New Roman"/>
          <w:sz w:val="24"/>
          <w:szCs w:val="24"/>
        </w:rPr>
        <w:t xml:space="preserve"> </w:t>
      </w:r>
      <w:r w:rsidR="00A112F7" w:rsidRPr="00A112F7">
        <w:rPr>
          <w:rFonts w:ascii="Times New Roman" w:eastAsia="Times New Roman" w:hAnsi="Times New Roman" w:cs="Times New Roman"/>
          <w:sz w:val="24"/>
          <w:szCs w:val="24"/>
        </w:rPr>
        <w:t>lub p</w:t>
      </w:r>
      <w:r w:rsidR="00A112F7">
        <w:rPr>
          <w:rFonts w:ascii="Times New Roman" w:eastAsia="Times New Roman" w:hAnsi="Times New Roman" w:cs="Times New Roman"/>
          <w:sz w:val="24"/>
          <w:szCs w:val="24"/>
        </w:rPr>
        <w:t>okrywana ze środków z doładowań.</w:t>
      </w:r>
    </w:p>
    <w:p w14:paraId="016E7C2A" w14:textId="3394EDF5" w:rsidR="009A6575" w:rsidRPr="003A42FB" w:rsidRDefault="754121A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usługi komunikacji interpersonalnej</w:t>
      </w:r>
      <w:r w:rsidRPr="003A42FB">
        <w:rPr>
          <w:rFonts w:ascii="Times New Roman" w:eastAsiaTheme="minorEastAsia" w:hAnsi="Times New Roman" w:cs="Times New Roman"/>
          <w:sz w:val="24"/>
          <w:szCs w:val="24"/>
        </w:rPr>
        <w:t xml:space="preserve"> - usługa komunikacji interpersonalnej rozumiana </w:t>
      </w:r>
      <w:r w:rsidR="48E46E8D" w:rsidRPr="003A42FB">
        <w:rPr>
          <w:rFonts w:ascii="Times New Roman" w:eastAsiaTheme="minorEastAsia" w:hAnsi="Times New Roman" w:cs="Times New Roman"/>
          <w:sz w:val="24"/>
          <w:szCs w:val="24"/>
        </w:rPr>
        <w:t xml:space="preserve">jest </w:t>
      </w:r>
      <w:r w:rsidRPr="003A42FB">
        <w:rPr>
          <w:rFonts w:ascii="Times New Roman" w:eastAsiaTheme="minorEastAsia" w:hAnsi="Times New Roman" w:cs="Times New Roman"/>
          <w:sz w:val="24"/>
          <w:szCs w:val="24"/>
        </w:rPr>
        <w:t>jako usługa umożliwiająca bezpośrednią interpersonalną i interaktywną wymianę informacji za pośrednictwem sieci telekomunikacyjnej między skończoną liczbą osób, gdzie osoby inicjujące połączenie lub uczestniczące w nim decydują o jego odbiorcy lub odbiorcach, z wyłączeniem usług, w których interpersonalna i interaktywna komunikacja stanowi wyłącznie funkcję podrzędną względem innej usługi podstawowej</w:t>
      </w:r>
      <w:r w:rsidR="11170715" w:rsidRPr="003A42FB">
        <w:rPr>
          <w:rFonts w:ascii="Times New Roman" w:eastAsiaTheme="minorEastAsia" w:hAnsi="Times New Roman" w:cs="Times New Roman"/>
          <w:sz w:val="24"/>
          <w:szCs w:val="24"/>
        </w:rPr>
        <w:t>.</w:t>
      </w:r>
      <w:r w:rsidR="78874D4B" w:rsidRPr="003A42FB">
        <w:rPr>
          <w:rFonts w:ascii="Times New Roman" w:eastAsiaTheme="minorEastAsia" w:hAnsi="Times New Roman" w:cs="Times New Roman"/>
          <w:sz w:val="24"/>
          <w:szCs w:val="24"/>
        </w:rPr>
        <w:t xml:space="preserve"> Definicja usługi komunikacji interpersonalnej jest implementacją kodeksowej definicji usługi łączności interpersonalnej w odniesieniu do której EKŁE w motywie 17 wskazuje na wszystkie rodzaje poczty elektronicznej, usług przekazywania wiadomości lub czatów grupowych</w:t>
      </w:r>
      <w:r w:rsidR="14FF4C64" w:rsidRPr="003A42FB">
        <w:rPr>
          <w:rFonts w:ascii="Times New Roman" w:eastAsiaTheme="minorEastAsia" w:hAnsi="Times New Roman" w:cs="Times New Roman"/>
          <w:sz w:val="24"/>
          <w:szCs w:val="24"/>
        </w:rPr>
        <w:t xml:space="preserve">. Dodatkowo </w:t>
      </w:r>
      <w:r w:rsidR="6FCB687C" w:rsidRPr="003A42FB">
        <w:rPr>
          <w:rFonts w:ascii="Times New Roman" w:eastAsiaTheme="minorEastAsia" w:hAnsi="Times New Roman" w:cs="Times New Roman"/>
          <w:sz w:val="24"/>
          <w:szCs w:val="24"/>
        </w:rPr>
        <w:t>definicja ta</w:t>
      </w:r>
      <w:r w:rsidR="009A6575" w:rsidRPr="003A42FB">
        <w:rPr>
          <w:rFonts w:ascii="Times New Roman" w:eastAsiaTheme="minorEastAsia" w:hAnsi="Times New Roman" w:cs="Times New Roman"/>
          <w:sz w:val="24"/>
          <w:szCs w:val="24"/>
        </w:rPr>
        <w:t xml:space="preserve"> </w:t>
      </w:r>
      <w:r w:rsidR="292453A2" w:rsidRPr="003A42FB">
        <w:rPr>
          <w:rFonts w:ascii="Times New Roman" w:eastAsiaTheme="minorEastAsia" w:hAnsi="Times New Roman" w:cs="Times New Roman"/>
          <w:sz w:val="24"/>
          <w:szCs w:val="24"/>
        </w:rPr>
        <w:t>określa</w:t>
      </w:r>
      <w:r w:rsidR="1456D639" w:rsidRPr="003A42FB">
        <w:rPr>
          <w:rFonts w:ascii="Times New Roman" w:eastAsiaTheme="minorEastAsia" w:hAnsi="Times New Roman" w:cs="Times New Roman"/>
          <w:sz w:val="24"/>
          <w:szCs w:val="24"/>
        </w:rPr>
        <w:t xml:space="preserve"> usług</w:t>
      </w:r>
      <w:r w:rsidR="48F91189" w:rsidRPr="003A42FB">
        <w:rPr>
          <w:rFonts w:ascii="Times New Roman" w:eastAsiaTheme="minorEastAsia" w:hAnsi="Times New Roman" w:cs="Times New Roman"/>
          <w:sz w:val="24"/>
          <w:szCs w:val="24"/>
        </w:rPr>
        <w:t>ę</w:t>
      </w:r>
      <w:r w:rsidR="1456D639" w:rsidRPr="003A42FB">
        <w:rPr>
          <w:rFonts w:ascii="Times New Roman" w:eastAsiaTheme="minorEastAsia" w:hAnsi="Times New Roman" w:cs="Times New Roman"/>
          <w:sz w:val="24"/>
          <w:szCs w:val="24"/>
        </w:rPr>
        <w:t xml:space="preserve"> komunikacji interpersonalnej wykorzystując</w:t>
      </w:r>
      <w:r w:rsidR="7C64F6B6" w:rsidRPr="003A42FB">
        <w:rPr>
          <w:rFonts w:ascii="Times New Roman" w:eastAsiaTheme="minorEastAsia" w:hAnsi="Times New Roman" w:cs="Times New Roman"/>
          <w:sz w:val="24"/>
          <w:szCs w:val="24"/>
        </w:rPr>
        <w:t>ą</w:t>
      </w:r>
      <w:r w:rsidR="1456D639" w:rsidRPr="003A42FB">
        <w:rPr>
          <w:rFonts w:ascii="Times New Roman" w:eastAsiaTheme="minorEastAsia" w:hAnsi="Times New Roman" w:cs="Times New Roman"/>
          <w:sz w:val="24"/>
          <w:szCs w:val="24"/>
        </w:rPr>
        <w:t xml:space="preserve"> numery oraz u</w:t>
      </w:r>
      <w:r w:rsidR="009A6575" w:rsidRPr="003A42FB">
        <w:rPr>
          <w:rFonts w:ascii="Times New Roman" w:eastAsiaTheme="minorEastAsia" w:hAnsi="Times New Roman" w:cs="Times New Roman"/>
          <w:sz w:val="24"/>
          <w:szCs w:val="24"/>
        </w:rPr>
        <w:t>sług</w:t>
      </w:r>
      <w:r w:rsidR="400AF3C1" w:rsidRPr="003A42FB">
        <w:rPr>
          <w:rFonts w:ascii="Times New Roman" w:eastAsiaTheme="minorEastAsia" w:hAnsi="Times New Roman" w:cs="Times New Roman"/>
          <w:sz w:val="24"/>
          <w:szCs w:val="24"/>
        </w:rPr>
        <w:t>ę</w:t>
      </w:r>
      <w:r w:rsidR="009A6575" w:rsidRPr="003A42FB">
        <w:rPr>
          <w:rFonts w:ascii="Times New Roman" w:eastAsiaTheme="minorEastAsia" w:hAnsi="Times New Roman" w:cs="Times New Roman"/>
          <w:sz w:val="24"/>
          <w:szCs w:val="24"/>
        </w:rPr>
        <w:t xml:space="preserve"> </w:t>
      </w:r>
      <w:r w:rsidR="009A6575" w:rsidRPr="003A42FB">
        <w:rPr>
          <w:rFonts w:ascii="Times New Roman" w:eastAsiaTheme="minorEastAsia" w:hAnsi="Times New Roman" w:cs="Times New Roman"/>
          <w:sz w:val="24"/>
          <w:szCs w:val="24"/>
        </w:rPr>
        <w:lastRenderedPageBreak/>
        <w:t>komunikacji interpersonalnej niewykorzystując</w:t>
      </w:r>
      <w:r w:rsidR="24A4C9E8" w:rsidRPr="003A42FB">
        <w:rPr>
          <w:rFonts w:ascii="Times New Roman" w:eastAsiaTheme="minorEastAsia" w:hAnsi="Times New Roman" w:cs="Times New Roman"/>
          <w:sz w:val="24"/>
          <w:szCs w:val="24"/>
        </w:rPr>
        <w:t>ą</w:t>
      </w:r>
      <w:r w:rsidR="009A6575" w:rsidRPr="003A42FB">
        <w:rPr>
          <w:rFonts w:ascii="Times New Roman" w:eastAsiaTheme="minorEastAsia" w:hAnsi="Times New Roman" w:cs="Times New Roman"/>
          <w:sz w:val="24"/>
          <w:szCs w:val="24"/>
        </w:rPr>
        <w:t xml:space="preserve"> numerów, a kryterium rozróżnienia tych usług jest możliwość połączenia z numerami z planu numeracji krajowej lub międzynarodowej. </w:t>
      </w:r>
    </w:p>
    <w:p w14:paraId="2C7BA7E4" w14:textId="686002AE" w:rsidR="07A10C6F" w:rsidRPr="003A42FB" w:rsidRDefault="07A10C6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Usługi komunikacji interpersonalnej, tak jak inne usługi komunikacji elektronicznej są świadczone zazwyczaj za wynagrodzeniem.</w:t>
      </w:r>
    </w:p>
    <w:p w14:paraId="13D185D5" w14:textId="19E6B016" w:rsidR="006E0790" w:rsidRPr="003A42FB" w:rsidRDefault="006E079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sz w:val="24"/>
          <w:szCs w:val="24"/>
          <w:u w:val="single"/>
        </w:rPr>
        <w:t>Definicja usługi z dodatkowym świadczeniem</w:t>
      </w:r>
      <w:r w:rsidRPr="003A42FB">
        <w:rPr>
          <w:rFonts w:ascii="Times New Roman" w:eastAsiaTheme="minorEastAsia" w:hAnsi="Times New Roman" w:cs="Times New Roman"/>
          <w:b/>
          <w:sz w:val="24"/>
          <w:szCs w:val="24"/>
        </w:rPr>
        <w:t xml:space="preserve"> – </w:t>
      </w:r>
      <w:r w:rsidRPr="003A42FB">
        <w:rPr>
          <w:rFonts w:ascii="Times New Roman" w:eastAsiaTheme="minorEastAsia" w:hAnsi="Times New Roman" w:cs="Times New Roman"/>
          <w:sz w:val="24"/>
          <w:szCs w:val="24"/>
        </w:rPr>
        <w:t>zgodnie z definicją jest to usługa telekomunikacyjna</w:t>
      </w:r>
      <w:r w:rsidR="00533CD4" w:rsidRPr="003A42FB">
        <w:rPr>
          <w:rFonts w:ascii="Times New Roman" w:eastAsiaTheme="minorEastAsia" w:hAnsi="Times New Roman" w:cs="Times New Roman"/>
          <w:sz w:val="24"/>
          <w:szCs w:val="24"/>
        </w:rPr>
        <w:t>, której towarzyszy inne,</w:t>
      </w:r>
      <w:r w:rsidRPr="003A42FB">
        <w:rPr>
          <w:rFonts w:ascii="Times New Roman" w:eastAsiaTheme="minorEastAsia" w:hAnsi="Times New Roman" w:cs="Times New Roman"/>
          <w:sz w:val="24"/>
          <w:szCs w:val="24"/>
        </w:rPr>
        <w:t xml:space="preserve"> dodatkow</w:t>
      </w:r>
      <w:r w:rsidR="00533CD4"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świadczenie polegając</w:t>
      </w:r>
      <w:r w:rsidR="00533CD4"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z reguły na udostępnieniu drogą telekomunikacyjną aktualnych wiadomości, utworów, treści rozrywkowych lub innych informacji realizowan</w:t>
      </w:r>
      <w:r w:rsidR="00533CD4" w:rsidRPr="003A42FB">
        <w:rPr>
          <w:rFonts w:ascii="Times New Roman" w:eastAsiaTheme="minorEastAsia" w:hAnsi="Times New Roman" w:cs="Times New Roman"/>
          <w:sz w:val="24"/>
          <w:szCs w:val="24"/>
        </w:rPr>
        <w:t xml:space="preserve">e przez dostawcę usług telekomunikacyjnych lub </w:t>
      </w:r>
      <w:r w:rsidRPr="003A42FB">
        <w:rPr>
          <w:rFonts w:ascii="Times New Roman" w:eastAsiaTheme="minorEastAsia" w:hAnsi="Times New Roman" w:cs="Times New Roman"/>
          <w:sz w:val="24"/>
          <w:szCs w:val="24"/>
        </w:rPr>
        <w:t>przez inny podmiot.</w:t>
      </w:r>
      <w:r w:rsidR="00533CD4" w:rsidRPr="003A42FB">
        <w:rPr>
          <w:rFonts w:ascii="Times New Roman" w:eastAsia="Times New Roman" w:hAnsi="Times New Roman" w:cs="Times New Roman"/>
          <w:sz w:val="24"/>
          <w:szCs w:val="24"/>
        </w:rPr>
        <w:t xml:space="preserve"> </w:t>
      </w:r>
    </w:p>
    <w:p w14:paraId="3AA3855C" w14:textId="65A39D9E" w:rsidR="00F02018" w:rsidRPr="003A42FB" w:rsidRDefault="004C2CF3"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 xml:space="preserve">Definicja usługi o wartości wzbogaconej </w:t>
      </w:r>
      <w:r w:rsidR="00F02018" w:rsidRPr="003A42FB">
        <w:rPr>
          <w:rFonts w:ascii="Times New Roman" w:eastAsiaTheme="minorEastAsia" w:hAnsi="Times New Roman" w:cs="Times New Roman"/>
          <w:b/>
          <w:bCs/>
          <w:sz w:val="24"/>
          <w:szCs w:val="24"/>
        </w:rPr>
        <w:t>–</w:t>
      </w:r>
      <w:r w:rsidRPr="003A42FB">
        <w:rPr>
          <w:rFonts w:ascii="Times New Roman" w:eastAsiaTheme="minorEastAsia" w:hAnsi="Times New Roman" w:cs="Times New Roman"/>
          <w:b/>
          <w:bCs/>
          <w:sz w:val="24"/>
          <w:szCs w:val="24"/>
        </w:rPr>
        <w:t xml:space="preserve"> </w:t>
      </w:r>
      <w:r w:rsidR="00F02018" w:rsidRPr="003A42FB">
        <w:rPr>
          <w:rFonts w:ascii="Times New Roman" w:eastAsiaTheme="minorEastAsia" w:hAnsi="Times New Roman" w:cs="Times New Roman"/>
          <w:sz w:val="24"/>
          <w:szCs w:val="24"/>
        </w:rPr>
        <w:t xml:space="preserve">zgodnie z projektowaną definicją jest to usługa </w:t>
      </w:r>
      <w:r w:rsidR="008138FE" w:rsidRPr="003A42FB">
        <w:rPr>
          <w:rFonts w:ascii="Times New Roman" w:eastAsiaTheme="minorEastAsia" w:hAnsi="Times New Roman" w:cs="Times New Roman"/>
          <w:sz w:val="24"/>
          <w:szCs w:val="24"/>
        </w:rPr>
        <w:t>komunikacji elektronicznej</w:t>
      </w:r>
      <w:r w:rsidR="009D6508" w:rsidRPr="003A42FB">
        <w:rPr>
          <w:rFonts w:ascii="Times New Roman" w:eastAsiaTheme="minorEastAsia" w:hAnsi="Times New Roman" w:cs="Times New Roman"/>
          <w:sz w:val="24"/>
          <w:szCs w:val="24"/>
        </w:rPr>
        <w:t xml:space="preserve"> wymagająca</w:t>
      </w:r>
      <w:r w:rsidR="00F02018" w:rsidRPr="003A42FB">
        <w:rPr>
          <w:rFonts w:ascii="Times New Roman" w:eastAsiaTheme="minorEastAsia" w:hAnsi="Times New Roman" w:cs="Times New Roman"/>
          <w:sz w:val="24"/>
          <w:szCs w:val="24"/>
        </w:rPr>
        <w:t xml:space="preserve"> przetworzenia danych o lokalizacji. Jest odpowiednikiem definicji usług tworzących wartość dodaną zdefiniowanych w </w:t>
      </w:r>
      <w:hyperlink r:id="rId14">
        <w:r w:rsidR="00F02018" w:rsidRPr="003A42FB">
          <w:rPr>
            <w:rStyle w:val="Hipercze"/>
            <w:rFonts w:ascii="Times New Roman" w:eastAsiaTheme="minorEastAsia" w:hAnsi="Times New Roman" w:cs="Times New Roman"/>
            <w:color w:val="auto"/>
            <w:sz w:val="24"/>
            <w:szCs w:val="24"/>
            <w:u w:val="none"/>
          </w:rPr>
          <w:t>art. 2 lit. g</w:t>
        </w:r>
      </w:hyperlink>
      <w:r w:rsidR="00F02018" w:rsidRPr="003A42FB">
        <w:rPr>
          <w:rFonts w:ascii="Times New Roman" w:eastAsiaTheme="minorEastAsia" w:hAnsi="Times New Roman" w:cs="Times New Roman"/>
          <w:sz w:val="24"/>
          <w:szCs w:val="24"/>
        </w:rPr>
        <w:t xml:space="preserve"> dyrektywy 2002/58/WE o prywatności.</w:t>
      </w:r>
    </w:p>
    <w:p w14:paraId="4D67D260" w14:textId="3F904BC8" w:rsidR="00602BCA" w:rsidRPr="003A42FB" w:rsidRDefault="0F319B53"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usługi komunikacji elektronicznej</w:t>
      </w:r>
      <w:r w:rsidR="04F5FA38" w:rsidRPr="003A42FB">
        <w:rPr>
          <w:rFonts w:ascii="Times New Roman" w:eastAsiaTheme="minorEastAsia" w:hAnsi="Times New Roman" w:cs="Times New Roman"/>
          <w:sz w:val="24"/>
          <w:szCs w:val="24"/>
        </w:rPr>
        <w:t xml:space="preserve"> – zgodnie z tą definicją </w:t>
      </w:r>
      <w:r w:rsidRPr="003A42FB">
        <w:rPr>
          <w:rFonts w:ascii="Times New Roman" w:eastAsiaTheme="minorEastAsia" w:hAnsi="Times New Roman" w:cs="Times New Roman"/>
          <w:sz w:val="24"/>
          <w:szCs w:val="24"/>
        </w:rPr>
        <w:t>usługa komunikacji elektronicznej rozumiana</w:t>
      </w:r>
      <w:r w:rsidR="4D279C49" w:rsidRPr="003A42FB">
        <w:rPr>
          <w:rFonts w:ascii="Times New Roman" w:eastAsiaTheme="minorEastAsia" w:hAnsi="Times New Roman" w:cs="Times New Roman"/>
          <w:sz w:val="24"/>
          <w:szCs w:val="24"/>
        </w:rPr>
        <w:t xml:space="preserve"> jest</w:t>
      </w:r>
      <w:r w:rsidRPr="003A42FB">
        <w:rPr>
          <w:rFonts w:ascii="Times New Roman" w:eastAsiaTheme="minorEastAsia" w:hAnsi="Times New Roman" w:cs="Times New Roman"/>
          <w:sz w:val="24"/>
          <w:szCs w:val="24"/>
        </w:rPr>
        <w:t xml:space="preserve"> jako usługa świadczona za pośrednictwem sieci telekomunikacyjnej, zwykle za wynagrodzeniem obejmująca:</w:t>
      </w:r>
    </w:p>
    <w:p w14:paraId="09C1496C" w14:textId="77777777" w:rsidR="00602BCA" w:rsidRPr="003A42FB" w:rsidRDefault="00602BC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 usługę dostępu do internetu w rozumieniu art. 2 akapit drugi pkt 2 rozporządzenia (UE) 2015/2120,</w:t>
      </w:r>
    </w:p>
    <w:p w14:paraId="440D9CFC" w14:textId="77777777" w:rsidR="00602BCA" w:rsidRPr="003A42FB" w:rsidRDefault="00602BC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b) usługę komunikacji interpersonalnej, </w:t>
      </w:r>
    </w:p>
    <w:p w14:paraId="6136FA6A" w14:textId="77777777" w:rsidR="00602BCA" w:rsidRPr="003A42FB" w:rsidRDefault="00602BC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c) usługi polegające całkowicie lub głównie na przekazywaniu sygnałów, w tym usługi transmisyjne stosowane na potrzeby świadczenia usług komunikacji maszyna – maszyna oraz na potrzeby nadawania.</w:t>
      </w:r>
    </w:p>
    <w:p w14:paraId="4D9D3AF0" w14:textId="1F01AF16" w:rsidR="00602BCA" w:rsidRPr="003A42FB" w:rsidRDefault="00602BCA"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 powyższego zakresu definicyjnego zostały wprost wyłączone usługi związane z zapewnianiem albo wykonywaniem kontroli treści przekazywanych przy wykorzystaniu sieci telekomunikacyjnych lub usług komunikacji elektronicznej. Taki zakres definicji odpowiada definicji usługi łączności elektronicznej z art. 2 pkt 4 EKŁE</w:t>
      </w:r>
      <w:r w:rsidR="2A259852" w:rsidRPr="003A42FB">
        <w:rPr>
          <w:rFonts w:ascii="Times New Roman" w:eastAsiaTheme="minorEastAsia" w:hAnsi="Times New Roman" w:cs="Times New Roman"/>
          <w:sz w:val="24"/>
          <w:szCs w:val="24"/>
        </w:rPr>
        <w:t>.</w:t>
      </w:r>
    </w:p>
    <w:p w14:paraId="2224F617" w14:textId="77777777" w:rsidR="00FF7922" w:rsidRPr="003A42FB" w:rsidRDefault="2A259852" w:rsidP="00C53EAB">
      <w:pPr>
        <w:spacing w:after="120" w:line="240" w:lineRule="auto"/>
        <w:jc w:val="both"/>
        <w:rPr>
          <w:rFonts w:ascii="Times New Roman" w:eastAsiaTheme="minorEastAsia" w:hAnsi="Times New Roman" w:cs="Times New Roman"/>
          <w:sz w:val="24"/>
          <w:szCs w:val="24"/>
        </w:rPr>
      </w:pPr>
      <w:r w:rsidRPr="35FAB603">
        <w:rPr>
          <w:rFonts w:ascii="Times New Roman" w:eastAsiaTheme="minorEastAsia" w:hAnsi="Times New Roman" w:cs="Times New Roman"/>
          <w:sz w:val="24"/>
          <w:szCs w:val="24"/>
        </w:rPr>
        <w:t>Zakres definicji usługi komunikacji elektronicznej obejmuje również usługi rozprowadzania programów telewizyjnych i radiowych do abonentów.</w:t>
      </w:r>
      <w:r w:rsidR="1FBBA161" w:rsidRPr="35FAB603">
        <w:rPr>
          <w:rFonts w:ascii="Times New Roman" w:eastAsiaTheme="minorEastAsia" w:hAnsi="Times New Roman" w:cs="Times New Roman"/>
          <w:sz w:val="24"/>
          <w:szCs w:val="24"/>
        </w:rPr>
        <w:t xml:space="preserve"> Usługi te nie zostały wprost wymienione w definicji, gdyż definicja ma szeroki zakres a wskazywanie enumeratywnie niektórych usług wchodzących w skład usługi komunikacji elektronicznej mogłoby </w:t>
      </w:r>
      <w:r w:rsidR="2FDB86B0" w:rsidRPr="35FAB603">
        <w:rPr>
          <w:rFonts w:ascii="Times New Roman" w:eastAsiaTheme="minorEastAsia" w:hAnsi="Times New Roman" w:cs="Times New Roman"/>
          <w:sz w:val="24"/>
          <w:szCs w:val="24"/>
        </w:rPr>
        <w:t>wywołać</w:t>
      </w:r>
      <w:r w:rsidR="1FBBA161" w:rsidRPr="35FAB603">
        <w:rPr>
          <w:rFonts w:ascii="Times New Roman" w:eastAsiaTheme="minorEastAsia" w:hAnsi="Times New Roman" w:cs="Times New Roman"/>
          <w:sz w:val="24"/>
          <w:szCs w:val="24"/>
        </w:rPr>
        <w:t xml:space="preserve"> wątpliwości interpretacyjne względem usług wprost niewskazanych w definicji.</w:t>
      </w:r>
      <w:r w:rsidR="5F705013" w:rsidRPr="35FAB603">
        <w:rPr>
          <w:rFonts w:ascii="Times New Roman" w:eastAsiaTheme="minorEastAsia" w:hAnsi="Times New Roman" w:cs="Times New Roman"/>
          <w:sz w:val="24"/>
          <w:szCs w:val="24"/>
        </w:rPr>
        <w:t xml:space="preserve"> Usługi rozprowadzania programów były zaliczane do usług telekomunikacyjnych już na gruncie ustawy Pt, gdzie funkcjonuje węższa zakresowo niż definicja usług komunikacji elektronicznej definicja usług telekomunikacyjnych. Kwestia ta została jednoznacznie rozstrzygnięta w wyroku Trybunału Sprawiedliwości Unii Europejskiej z dnia 7 listopada 2013 r. w sprawie C-518/11 (UPC Nederland BV v. Gemeente Hilversum) oraz wyroku Sądu Ochrony Konkurencji i Konsumentów z dnia 8 listopada 2013 r., (sygn. akt XVII AmA 5/12).</w:t>
      </w:r>
    </w:p>
    <w:p w14:paraId="5569EBDE" w14:textId="6B517773" w:rsidR="00086241" w:rsidRPr="003A42FB" w:rsidRDefault="00201042" w:rsidP="00C53EAB">
      <w:pPr>
        <w:spacing w:after="120" w:line="240" w:lineRule="auto"/>
        <w:jc w:val="both"/>
        <w:rPr>
          <w:rFonts w:ascii="Times New Roman" w:eastAsia="Times New Roman" w:hAnsi="Times New Roman" w:cs="Times New Roman"/>
          <w:sz w:val="24"/>
          <w:szCs w:val="24"/>
        </w:rPr>
      </w:pPr>
      <w:r w:rsidRPr="43EE6F82">
        <w:rPr>
          <w:rFonts w:ascii="Times New Roman" w:eastAsiaTheme="minorEastAsia" w:hAnsi="Times New Roman" w:cs="Times New Roman"/>
          <w:b/>
          <w:bCs/>
          <w:sz w:val="24"/>
          <w:szCs w:val="24"/>
          <w:u w:val="single"/>
        </w:rPr>
        <w:t xml:space="preserve">Definicja usługi telekomunikacyjnej </w:t>
      </w:r>
      <w:r w:rsidRPr="43EE6F82">
        <w:rPr>
          <w:rFonts w:ascii="Times New Roman" w:eastAsiaTheme="minorEastAsia" w:hAnsi="Times New Roman" w:cs="Times New Roman"/>
          <w:b/>
          <w:bCs/>
          <w:sz w:val="24"/>
          <w:szCs w:val="24"/>
        </w:rPr>
        <w:t xml:space="preserve">- </w:t>
      </w:r>
      <w:r w:rsidR="004B6620" w:rsidRPr="43EE6F82">
        <w:rPr>
          <w:rFonts w:ascii="Times New Roman" w:eastAsiaTheme="minorEastAsia" w:hAnsi="Times New Roman" w:cs="Times New Roman"/>
          <w:sz w:val="24"/>
          <w:szCs w:val="24"/>
        </w:rPr>
        <w:t>usługa telekomunikacyjna jest pojęciem zakresowo węższym niż usługa komunikacji elektronicznej, gdyż nie obejmuje usług komunikacji interpersonalnej niewykorzystujących numer</w:t>
      </w:r>
      <w:r w:rsidR="2ECED77D" w:rsidRPr="43EE6F82">
        <w:rPr>
          <w:rFonts w:ascii="Times New Roman" w:eastAsiaTheme="minorEastAsia" w:hAnsi="Times New Roman" w:cs="Times New Roman"/>
          <w:sz w:val="24"/>
          <w:szCs w:val="24"/>
        </w:rPr>
        <w:t>ów</w:t>
      </w:r>
      <w:r w:rsidR="004B6620" w:rsidRPr="43EE6F82">
        <w:rPr>
          <w:rFonts w:ascii="Times New Roman" w:eastAsiaTheme="minorEastAsia" w:hAnsi="Times New Roman" w:cs="Times New Roman"/>
          <w:sz w:val="24"/>
          <w:szCs w:val="24"/>
        </w:rPr>
        <w:t>.</w:t>
      </w:r>
      <w:r w:rsidR="4E4BADE3" w:rsidRPr="43EE6F82">
        <w:rPr>
          <w:rFonts w:ascii="Times New Roman" w:eastAsiaTheme="minorEastAsia" w:hAnsi="Times New Roman" w:cs="Times New Roman"/>
          <w:sz w:val="24"/>
          <w:szCs w:val="24"/>
        </w:rPr>
        <w:t xml:space="preserve"> Usługą telekomunikacyjną jest</w:t>
      </w:r>
      <w:r w:rsidR="004B6620" w:rsidRPr="43EE6F82">
        <w:rPr>
          <w:rFonts w:ascii="Times New Roman" w:eastAsiaTheme="minorEastAsia" w:hAnsi="Times New Roman" w:cs="Times New Roman"/>
          <w:sz w:val="24"/>
          <w:szCs w:val="24"/>
        </w:rPr>
        <w:t xml:space="preserve"> </w:t>
      </w:r>
      <w:r w:rsidR="70C25E17" w:rsidRPr="43EE6F82">
        <w:rPr>
          <w:rFonts w:ascii="Times New Roman" w:eastAsia="Times New Roman" w:hAnsi="Times New Roman" w:cs="Times New Roman"/>
          <w:sz w:val="24"/>
          <w:szCs w:val="24"/>
        </w:rPr>
        <w:t>usług</w:t>
      </w:r>
      <w:r w:rsidR="6A66C4B8" w:rsidRPr="43EE6F82">
        <w:rPr>
          <w:rFonts w:ascii="Times New Roman" w:eastAsia="Times New Roman" w:hAnsi="Times New Roman" w:cs="Times New Roman"/>
          <w:sz w:val="24"/>
          <w:szCs w:val="24"/>
        </w:rPr>
        <w:t>a</w:t>
      </w:r>
      <w:r w:rsidR="70C25E17" w:rsidRPr="43EE6F82">
        <w:rPr>
          <w:rFonts w:ascii="Times New Roman" w:eastAsia="Times New Roman" w:hAnsi="Times New Roman" w:cs="Times New Roman"/>
          <w:sz w:val="24"/>
          <w:szCs w:val="24"/>
        </w:rPr>
        <w:t xml:space="preserve"> komunikacji elektronicznej z wyłączeniem usługi komunikacji interpersonalnej niewykorzystującej numerów</w:t>
      </w:r>
      <w:r w:rsidR="14AE1128" w:rsidRPr="43EE6F82">
        <w:rPr>
          <w:rFonts w:ascii="Times New Roman" w:eastAsia="Times New Roman" w:hAnsi="Times New Roman" w:cs="Times New Roman"/>
          <w:sz w:val="24"/>
          <w:szCs w:val="24"/>
        </w:rPr>
        <w:t>.</w:t>
      </w:r>
    </w:p>
    <w:p w14:paraId="199D21BB" w14:textId="3F5C1BFE" w:rsidR="00086241" w:rsidRPr="003A42FB" w:rsidRDefault="0008624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użytkowania cywilnego, użytkowania rządowego oraz użytkowania cywilno-rządowego</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 definicje te zostały przeniesione z Krajowej Tablicy Przeznaczeń Częstotliwości stanowiącej załącznik do rozporządzenia Rady Ministrów z dnia 27 grudnia 2013 r. w sprawie </w:t>
      </w:r>
      <w:r w:rsidRPr="003A42FB">
        <w:rPr>
          <w:rFonts w:ascii="Times New Roman" w:eastAsiaTheme="minorEastAsia" w:hAnsi="Times New Roman" w:cs="Times New Roman"/>
          <w:sz w:val="24"/>
          <w:szCs w:val="24"/>
        </w:rPr>
        <w:lastRenderedPageBreak/>
        <w:t>Krajowej Tablicy Przeznaczeń Częstotliwości. Definicje użytkowania cywilnego, rządowego i cywilno-rządowego powinny wynikać z aktu prawnego rangi ustawowej.</w:t>
      </w:r>
    </w:p>
    <w:p w14:paraId="039B404C" w14:textId="31E254A2" w:rsidR="00CC5781" w:rsidRPr="003A42FB" w:rsidRDefault="2076EDE2" w:rsidP="00C53EAB">
      <w:pPr>
        <w:tabs>
          <w:tab w:val="left" w:pos="2820"/>
        </w:tabs>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u w:val="single"/>
        </w:rPr>
        <w:t>Definicja użytkownika</w:t>
      </w:r>
      <w:r w:rsidRPr="003A42FB">
        <w:rPr>
          <w:rFonts w:ascii="Times New Roman" w:eastAsiaTheme="minorEastAsia" w:hAnsi="Times New Roman" w:cs="Times New Roman"/>
          <w:sz w:val="24"/>
          <w:szCs w:val="24"/>
        </w:rPr>
        <w:t xml:space="preserve"> - użytkownik</w:t>
      </w:r>
      <w:r w:rsidR="0C2B0BE5" w:rsidRPr="003A42FB">
        <w:rPr>
          <w:rFonts w:ascii="Times New Roman" w:eastAsiaTheme="minorEastAsia" w:hAnsi="Times New Roman" w:cs="Times New Roman"/>
          <w:sz w:val="24"/>
          <w:szCs w:val="24"/>
        </w:rPr>
        <w:t xml:space="preserve"> jest</w:t>
      </w:r>
      <w:r w:rsidRPr="003A42FB">
        <w:rPr>
          <w:rFonts w:ascii="Times New Roman" w:eastAsiaTheme="minorEastAsia" w:hAnsi="Times New Roman" w:cs="Times New Roman"/>
          <w:sz w:val="24"/>
          <w:szCs w:val="24"/>
        </w:rPr>
        <w:t xml:space="preserve"> rozumiany jako podmiot korzystający z publicznie dostępnej usługi komunikacji elektronicznej lub żądający świadczenia takiej usługi. </w:t>
      </w:r>
    </w:p>
    <w:p w14:paraId="166C9102" w14:textId="60FC6B42" w:rsidR="00CC5781" w:rsidRDefault="00CC5781"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użytkownika końcowego</w:t>
      </w:r>
      <w:r w:rsidR="004B6620" w:rsidRPr="003A42FB">
        <w:rPr>
          <w:rFonts w:ascii="Times New Roman" w:eastAsiaTheme="minorEastAsia" w:hAnsi="Times New Roman" w:cs="Times New Roman"/>
          <w:b/>
          <w:bCs/>
          <w:sz w:val="24"/>
          <w:szCs w:val="24"/>
          <w:u w:val="single"/>
        </w:rPr>
        <w:t xml:space="preserve"> </w:t>
      </w:r>
      <w:r w:rsidR="004B6620" w:rsidRPr="003A42FB">
        <w:rPr>
          <w:rFonts w:ascii="Times New Roman" w:eastAsiaTheme="minorEastAsia" w:hAnsi="Times New Roman" w:cs="Times New Roman"/>
          <w:sz w:val="24"/>
          <w:szCs w:val="24"/>
        </w:rPr>
        <w:t>- użytkownikiem końcowym jest podmiot korzystający z publicznie dostępnej usługi komunikacji elektronicznej lub żądający świadczenia takiej usługi, dla zaspokojenia własnych potrzeb.</w:t>
      </w:r>
    </w:p>
    <w:p w14:paraId="395CF52A" w14:textId="0E0363AC" w:rsidR="00E33959" w:rsidRPr="00E33959" w:rsidRDefault="00E33959" w:rsidP="00E33959">
      <w:p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b/>
          <w:bCs/>
          <w:sz w:val="24"/>
          <w:szCs w:val="24"/>
          <w:u w:val="single"/>
        </w:rPr>
        <w:t>Definicja użytkownika PRS</w:t>
      </w:r>
      <w:r w:rsidRPr="7F18E6D1">
        <w:rPr>
          <w:rFonts w:ascii="Times New Roman" w:eastAsiaTheme="minorEastAsia" w:hAnsi="Times New Roman" w:cs="Times New Roman"/>
          <w:sz w:val="24"/>
          <w:szCs w:val="24"/>
        </w:rPr>
        <w:t xml:space="preserve"> - projekt ustawy przyjmuje tę definicję w rozumieniu Decyzji Parlamentu Europejskiego i Rady nr 1104/2011/UE z dnia 25 października 2011 r. w sprawie warunków dostępu do usługi publicznej o regulowanym dostępie.</w:t>
      </w:r>
    </w:p>
    <w:p w14:paraId="639F97ED" w14:textId="1E3C9F03" w:rsidR="007E466F" w:rsidRPr="003A42FB" w:rsidRDefault="007E466F" w:rsidP="0EF294F3">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użytkownika rządowego</w:t>
      </w:r>
      <w:r w:rsidRPr="003A42FB">
        <w:rPr>
          <w:rFonts w:ascii="Times New Roman" w:eastAsiaTheme="minorEastAsia" w:hAnsi="Times New Roman" w:cs="Times New Roman"/>
          <w:b/>
          <w:bCs/>
          <w:sz w:val="24"/>
          <w:szCs w:val="24"/>
        </w:rPr>
        <w:t xml:space="preserve"> - </w:t>
      </w:r>
      <w:r w:rsidRPr="003A42FB">
        <w:rPr>
          <w:rFonts w:ascii="Times New Roman" w:eastAsiaTheme="minorEastAsia" w:hAnsi="Times New Roman" w:cs="Times New Roman"/>
          <w:sz w:val="24"/>
          <w:szCs w:val="24"/>
        </w:rPr>
        <w:t xml:space="preserve">zaproponowana definicja uwzględnia katalog podmiotów dotychczas wskazywanych w art. 4 Pt. Art. 4 Pt wskazywał, że przepisu dotyczącego wymogu posiadania pozwolenia radiowego, nie stosuje się do wykonywania działalności telekomunikacyjnej oraz używania urządzeń radiowych w przypadku wymienionych w tym przepisie podmiotów publicznych, w zakresie określonej przepisem działalności. Zatem </w:t>
      </w:r>
      <w:r w:rsidR="00EE32AB" w:rsidRPr="003A42FB">
        <w:rPr>
          <w:rFonts w:ascii="Times New Roman" w:eastAsiaTheme="minorEastAsia" w:hAnsi="Times New Roman" w:cs="Times New Roman"/>
          <w:sz w:val="24"/>
          <w:szCs w:val="24"/>
        </w:rPr>
        <w:t xml:space="preserve">przepis </w:t>
      </w:r>
      <w:r w:rsidRPr="003A42FB">
        <w:rPr>
          <w:rFonts w:ascii="Times New Roman" w:eastAsiaTheme="minorEastAsia" w:hAnsi="Times New Roman" w:cs="Times New Roman"/>
          <w:sz w:val="24"/>
          <w:szCs w:val="24"/>
        </w:rPr>
        <w:t xml:space="preserve">określał pośrednio grupę użytkowników, którzy w określonych okolicznościach są traktowani odmiennie od pozostałych użytkowników widma radiowego. Katalog ten pozostaje aktualny i zawiera m.in. komórki organizacyjne i jednostki organizacyjne podległe Ministrowi Obrony Narodowej, </w:t>
      </w:r>
      <w:r w:rsidR="0EBA20A6" w:rsidRPr="003A42FB">
        <w:rPr>
          <w:rFonts w:ascii="Times New Roman" w:eastAsiaTheme="minorEastAsia" w:hAnsi="Times New Roman" w:cs="Times New Roman"/>
          <w:sz w:val="24"/>
          <w:szCs w:val="24"/>
        </w:rPr>
        <w:t xml:space="preserve">ministrowi właściwemu do spraw wewnętrznych, </w:t>
      </w:r>
      <w:r w:rsidRPr="003A42FB">
        <w:rPr>
          <w:rFonts w:ascii="Times New Roman" w:eastAsiaTheme="minorEastAsia" w:hAnsi="Times New Roman" w:cs="Times New Roman"/>
          <w:sz w:val="24"/>
          <w:szCs w:val="24"/>
        </w:rPr>
        <w:t>ministrowi właściwemu do spraw administracji publicznej, jednostki organizacyjne ABW, CBA, AW.</w:t>
      </w:r>
    </w:p>
    <w:p w14:paraId="15C5FEBB" w14:textId="2964B5C7" w:rsidR="0005778A" w:rsidRPr="003A42FB" w:rsidRDefault="6C9BB26B" w:rsidP="00C53EAB">
      <w:pPr>
        <w:tabs>
          <w:tab w:val="left" w:pos="282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zakończenia sieci</w:t>
      </w:r>
      <w:r w:rsidRPr="003A42FB">
        <w:rPr>
          <w:rFonts w:ascii="Times New Roman" w:eastAsiaTheme="minorEastAsia" w:hAnsi="Times New Roman" w:cs="Times New Roman"/>
          <w:sz w:val="24"/>
          <w:szCs w:val="24"/>
        </w:rPr>
        <w:t xml:space="preserve"> - pojęcie zakończenia sieci </w:t>
      </w:r>
      <w:r w:rsidR="00AB247E">
        <w:rPr>
          <w:rFonts w:ascii="Times New Roman" w:eastAsiaTheme="minorEastAsia" w:hAnsi="Times New Roman" w:cs="Times New Roman"/>
          <w:sz w:val="24"/>
          <w:szCs w:val="24"/>
        </w:rPr>
        <w:t xml:space="preserve">jest </w:t>
      </w:r>
      <w:r w:rsidRPr="003A42FB">
        <w:rPr>
          <w:rFonts w:ascii="Times New Roman" w:eastAsiaTheme="minorEastAsia" w:hAnsi="Times New Roman" w:cs="Times New Roman"/>
          <w:sz w:val="24"/>
          <w:szCs w:val="24"/>
        </w:rPr>
        <w:t>rozumi</w:t>
      </w:r>
      <w:r w:rsidR="00AB247E">
        <w:rPr>
          <w:rFonts w:ascii="Times New Roman" w:eastAsiaTheme="minorEastAsia" w:hAnsi="Times New Roman" w:cs="Times New Roman"/>
          <w:sz w:val="24"/>
          <w:szCs w:val="24"/>
        </w:rPr>
        <w:t xml:space="preserve">ane </w:t>
      </w:r>
      <w:r w:rsidRPr="003A42FB">
        <w:rPr>
          <w:rFonts w:ascii="Times New Roman" w:eastAsiaTheme="minorEastAsia" w:hAnsi="Times New Roman" w:cs="Times New Roman"/>
          <w:sz w:val="24"/>
          <w:szCs w:val="24"/>
        </w:rPr>
        <w:t xml:space="preserve"> jako fizyczny punkt, w którym abonent otrzymuje dostęp do publicznej sieci telekomunikacyjnej. W przypadku sieci stosujących komutację lub przekierowywanie, zakończenie sieci identyfikuje się za pomocą konkretnego adresu sieciowego, który może być przypisany do numeru lub nazwy abonenta.</w:t>
      </w:r>
    </w:p>
    <w:p w14:paraId="46BCB3C3" w14:textId="77777777" w:rsidR="00D662DB" w:rsidRPr="003A42FB" w:rsidRDefault="00DE141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u w:val="single"/>
        </w:rPr>
        <w:t>Definicja zasobów orbitalnych</w:t>
      </w:r>
      <w:r w:rsidRPr="003A42FB">
        <w:rPr>
          <w:rFonts w:ascii="Times New Roman" w:eastAsiaTheme="minorEastAsia" w:hAnsi="Times New Roman" w:cs="Times New Roman"/>
          <w:sz w:val="24"/>
          <w:szCs w:val="24"/>
        </w:rPr>
        <w:t xml:space="preserve"> </w:t>
      </w:r>
      <w:r w:rsidR="0040164E"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0040164E" w:rsidRPr="003A42FB">
        <w:rPr>
          <w:rFonts w:ascii="Times New Roman" w:eastAsiaTheme="minorEastAsia" w:hAnsi="Times New Roman" w:cs="Times New Roman"/>
          <w:sz w:val="24"/>
          <w:szCs w:val="24"/>
        </w:rPr>
        <w:t xml:space="preserve">definicja wskazująca, że przez zasoby orbitalne należy rozumieć pozycje na orbicie geostacjonarnej lub orbity satelitarne, które są lub mogą być wykorzystywane do umieszczania sztucznych satelitów Ziemi przeznaczonych do zapewniania telekomunikacji, jest tożsama z definicją zawartą w ustawie Pt (art. 2 pkt 53). Orbita geostacjonarna to </w:t>
      </w:r>
      <w:hyperlink r:id="rId15">
        <w:r w:rsidR="0040164E" w:rsidRPr="003A42FB">
          <w:rPr>
            <w:rFonts w:ascii="Times New Roman" w:eastAsiaTheme="minorEastAsia" w:hAnsi="Times New Roman" w:cs="Times New Roman"/>
            <w:sz w:val="24"/>
            <w:szCs w:val="24"/>
          </w:rPr>
          <w:t>orbita</w:t>
        </w:r>
      </w:hyperlink>
      <w:r w:rsidR="0040164E" w:rsidRPr="003A42FB">
        <w:rPr>
          <w:rFonts w:ascii="Times New Roman" w:eastAsiaTheme="minorEastAsia" w:hAnsi="Times New Roman" w:cs="Times New Roman"/>
          <w:sz w:val="24"/>
          <w:szCs w:val="24"/>
        </w:rPr>
        <w:t> okołoziemska, zapewniająca krążącemu po niej </w:t>
      </w:r>
      <w:hyperlink r:id="rId16">
        <w:r w:rsidR="0040164E" w:rsidRPr="003A42FB">
          <w:rPr>
            <w:rFonts w:ascii="Times New Roman" w:eastAsiaTheme="minorEastAsia" w:hAnsi="Times New Roman" w:cs="Times New Roman"/>
            <w:sz w:val="24"/>
            <w:szCs w:val="24"/>
          </w:rPr>
          <w:t>satelicie</w:t>
        </w:r>
      </w:hyperlink>
      <w:r w:rsidR="0040164E" w:rsidRPr="003A42FB">
        <w:rPr>
          <w:rFonts w:ascii="Times New Roman" w:eastAsiaTheme="minorEastAsia" w:hAnsi="Times New Roman" w:cs="Times New Roman"/>
          <w:sz w:val="24"/>
          <w:szCs w:val="24"/>
        </w:rPr>
        <w:t> zachowanie stałej pozycji nad wybranym punktem </w:t>
      </w:r>
      <w:hyperlink r:id="rId17">
        <w:r w:rsidR="0040164E" w:rsidRPr="003A42FB">
          <w:rPr>
            <w:rFonts w:ascii="Times New Roman" w:eastAsiaTheme="minorEastAsia" w:hAnsi="Times New Roman" w:cs="Times New Roman"/>
            <w:sz w:val="24"/>
            <w:szCs w:val="24"/>
          </w:rPr>
          <w:t>równika</w:t>
        </w:r>
      </w:hyperlink>
      <w:r w:rsidR="0040164E" w:rsidRPr="003A42FB">
        <w:rPr>
          <w:rFonts w:ascii="Times New Roman" w:eastAsiaTheme="minorEastAsia" w:hAnsi="Times New Roman" w:cs="Times New Roman"/>
          <w:sz w:val="24"/>
          <w:szCs w:val="24"/>
        </w:rPr>
        <w:t> </w:t>
      </w:r>
      <w:hyperlink r:id="rId18">
        <w:r w:rsidR="0040164E" w:rsidRPr="003A42FB">
          <w:rPr>
            <w:rFonts w:ascii="Times New Roman" w:eastAsiaTheme="minorEastAsia" w:hAnsi="Times New Roman" w:cs="Times New Roman"/>
            <w:sz w:val="24"/>
            <w:szCs w:val="24"/>
          </w:rPr>
          <w:t>Ziemi</w:t>
        </w:r>
      </w:hyperlink>
      <w:r w:rsidR="0040164E" w:rsidRPr="003A42FB">
        <w:rPr>
          <w:rFonts w:ascii="Times New Roman" w:eastAsiaTheme="minorEastAsia" w:hAnsi="Times New Roman" w:cs="Times New Roman"/>
          <w:sz w:val="24"/>
          <w:szCs w:val="24"/>
        </w:rPr>
        <w:t>. Orbita geostacjonarna jest orbitą </w:t>
      </w:r>
      <w:hyperlink r:id="rId19">
        <w:r w:rsidR="0040164E" w:rsidRPr="003A42FB">
          <w:rPr>
            <w:rFonts w:ascii="Times New Roman" w:eastAsiaTheme="minorEastAsia" w:hAnsi="Times New Roman" w:cs="Times New Roman"/>
            <w:sz w:val="24"/>
            <w:szCs w:val="24"/>
          </w:rPr>
          <w:t>kołową</w:t>
        </w:r>
      </w:hyperlink>
      <w:r w:rsidR="0040164E" w:rsidRPr="003A42FB">
        <w:rPr>
          <w:rFonts w:ascii="Times New Roman" w:eastAsiaTheme="minorEastAsia" w:hAnsi="Times New Roman" w:cs="Times New Roman"/>
          <w:sz w:val="24"/>
          <w:szCs w:val="24"/>
        </w:rPr>
        <w:t xml:space="preserve"> i przebiega na wysokości 35 786 km nad równikiem (42 160 km od środka Ziemi). Orbita satelitarna to z kolei droga, po której porusza się sztuczny satelita. </w:t>
      </w:r>
      <w:r w:rsidR="00EE32AB" w:rsidRPr="003A42FB">
        <w:rPr>
          <w:rFonts w:ascii="Times New Roman" w:eastAsiaTheme="minorEastAsia" w:hAnsi="Times New Roman" w:cs="Times New Roman"/>
          <w:sz w:val="24"/>
          <w:szCs w:val="24"/>
        </w:rPr>
        <w:t>W powyższym zakresie obowiązują regulacje międzynarodowe</w:t>
      </w:r>
      <w:r w:rsidR="0040164E" w:rsidRPr="003A42FB">
        <w:rPr>
          <w:rFonts w:ascii="Times New Roman" w:eastAsiaTheme="minorEastAsia" w:hAnsi="Times New Roman" w:cs="Times New Roman"/>
          <w:sz w:val="24"/>
          <w:szCs w:val="24"/>
        </w:rPr>
        <w:t>.</w:t>
      </w:r>
    </w:p>
    <w:p w14:paraId="418115D6" w14:textId="77777777" w:rsidR="00D662DB"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3.</w:t>
      </w:r>
    </w:p>
    <w:p w14:paraId="508FD9E1" w14:textId="179E4EB7" w:rsidR="00D662DB" w:rsidRPr="003A42FB" w:rsidRDefault="00D662D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ust. </w:t>
      </w:r>
      <w:r w:rsidR="006F36A6">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upoważnia ministra właściwego do spraw informatyzacji do nadawania charakteru obowiązującego wymaganiom i zaleceniom ustanawianym przez niektóre organizacje i instytucje międzynarodowe. Minister może to uczynić w drodze fakultatywnego rozporządzenia.</w:t>
      </w:r>
      <w:r w:rsidR="7E16C25F" w:rsidRPr="003A42FB">
        <w:rPr>
          <w:rFonts w:ascii="Times New Roman" w:eastAsiaTheme="minorEastAsia" w:hAnsi="Times New Roman" w:cs="Times New Roman"/>
          <w:sz w:val="24"/>
          <w:szCs w:val="24"/>
        </w:rPr>
        <w:t xml:space="preserve"> Taka regulacja funkcjonowała już na gruncie Pt.</w:t>
      </w:r>
    </w:p>
    <w:p w14:paraId="49C728B3" w14:textId="77777777" w:rsidR="00D662DB" w:rsidRPr="003A42FB" w:rsidRDefault="00D662DB" w:rsidP="00C53EAB">
      <w:pPr>
        <w:pStyle w:val="ARTartustawynprozporzdzenia"/>
        <w:spacing w:before="0" w:after="120" w:line="240" w:lineRule="auto"/>
        <w:ind w:firstLine="0"/>
        <w:rPr>
          <w:rFonts w:ascii="Times New Roman" w:hAnsi="Times New Roman" w:cs="Times New Roman"/>
          <w:b/>
          <w:bCs/>
          <w:szCs w:val="24"/>
        </w:rPr>
      </w:pPr>
      <w:r w:rsidRPr="003A42FB">
        <w:rPr>
          <w:rFonts w:ascii="Times New Roman" w:hAnsi="Times New Roman" w:cs="Times New Roman"/>
          <w:b/>
          <w:bCs/>
          <w:szCs w:val="24"/>
        </w:rPr>
        <w:t xml:space="preserve">Art. </w:t>
      </w:r>
      <w:r w:rsidR="00CD144A" w:rsidRPr="003A42FB">
        <w:rPr>
          <w:rFonts w:ascii="Times New Roman" w:hAnsi="Times New Roman" w:cs="Times New Roman"/>
          <w:b/>
          <w:bCs/>
          <w:szCs w:val="24"/>
        </w:rPr>
        <w:t>4</w:t>
      </w:r>
      <w:r w:rsidR="000F496D" w:rsidRPr="003A42FB">
        <w:rPr>
          <w:rFonts w:ascii="Times New Roman" w:hAnsi="Times New Roman" w:cs="Times New Roman"/>
          <w:b/>
          <w:bCs/>
          <w:szCs w:val="24"/>
        </w:rPr>
        <w:t>.</w:t>
      </w:r>
    </w:p>
    <w:p w14:paraId="1DF0AF52" w14:textId="2B8AB9A9" w:rsidR="00D662DB" w:rsidRPr="003A42FB" w:rsidRDefault="00D662DB"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Zgodnie z przepisem ust. 1 Prezes UKE uwzględnia przy stosowaniu ustawy </w:t>
      </w:r>
      <w:r w:rsidR="0E4A83AB" w:rsidRPr="003A42FB">
        <w:rPr>
          <w:rFonts w:ascii="Times New Roman" w:hAnsi="Times New Roman" w:cs="Times New Roman"/>
          <w:szCs w:val="24"/>
        </w:rPr>
        <w:t xml:space="preserve">w największym możliwie stopniu </w:t>
      </w:r>
      <w:r w:rsidRPr="003A42FB">
        <w:rPr>
          <w:rFonts w:ascii="Times New Roman" w:hAnsi="Times New Roman" w:cs="Times New Roman"/>
          <w:szCs w:val="24"/>
        </w:rPr>
        <w:t>wytyczne i zalecenia Komisji Europejskiej w ich aktualnym brzmieniu.</w:t>
      </w:r>
      <w:r w:rsidR="7C9B82BC" w:rsidRPr="003A42FB">
        <w:rPr>
          <w:rFonts w:ascii="Times New Roman" w:hAnsi="Times New Roman" w:cs="Times New Roman"/>
          <w:szCs w:val="24"/>
        </w:rPr>
        <w:t xml:space="preserve"> Przepis stanowi wdrożenie min. art. 38 i 64 EKŁE.</w:t>
      </w:r>
    </w:p>
    <w:p w14:paraId="683C9A78" w14:textId="2F3E7788" w:rsidR="00D662DB" w:rsidRPr="003A42FB" w:rsidRDefault="60BF4779" w:rsidP="141B1C1F">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W</w:t>
      </w:r>
      <w:r w:rsidR="00D662DB" w:rsidRPr="003A42FB">
        <w:rPr>
          <w:rFonts w:ascii="Times New Roman" w:hAnsi="Times New Roman" w:cs="Times New Roman"/>
          <w:szCs w:val="24"/>
        </w:rPr>
        <w:t xml:space="preserve"> przypadku </w:t>
      </w:r>
      <w:r w:rsidR="25581042" w:rsidRPr="003A42FB">
        <w:rPr>
          <w:rFonts w:ascii="Times New Roman" w:hAnsi="Times New Roman" w:cs="Times New Roman"/>
          <w:szCs w:val="24"/>
        </w:rPr>
        <w:t>zaleceń wydanych na podstawie art. 38 EKŁE, czyli działań mających na celu zapewnienie zharmo</w:t>
      </w:r>
      <w:r w:rsidR="30B83C74" w:rsidRPr="003A42FB">
        <w:rPr>
          <w:rFonts w:ascii="Times New Roman" w:hAnsi="Times New Roman" w:cs="Times New Roman"/>
          <w:szCs w:val="24"/>
        </w:rPr>
        <w:t>nizowanego stosowania dyrektywy w przypadku gdy Komisja stwierdzi rozbieżności we wdrażaniu przez krajowe organy regulacyjne ich zadań regul</w:t>
      </w:r>
      <w:r w:rsidR="7866E66C" w:rsidRPr="003A42FB">
        <w:rPr>
          <w:rFonts w:ascii="Times New Roman" w:hAnsi="Times New Roman" w:cs="Times New Roman"/>
          <w:szCs w:val="24"/>
        </w:rPr>
        <w:t xml:space="preserve">acyjnych, istnieje </w:t>
      </w:r>
      <w:r w:rsidR="7866E66C" w:rsidRPr="003A42FB">
        <w:rPr>
          <w:rFonts w:ascii="Times New Roman" w:hAnsi="Times New Roman" w:cs="Times New Roman"/>
          <w:szCs w:val="24"/>
        </w:rPr>
        <w:lastRenderedPageBreak/>
        <w:t>możliwość</w:t>
      </w:r>
      <w:r w:rsidR="25581042" w:rsidRPr="003A42FB">
        <w:rPr>
          <w:rFonts w:ascii="Times New Roman" w:hAnsi="Times New Roman" w:cs="Times New Roman"/>
          <w:szCs w:val="24"/>
        </w:rPr>
        <w:t xml:space="preserve"> </w:t>
      </w:r>
      <w:r w:rsidR="00D662DB" w:rsidRPr="003A42FB">
        <w:rPr>
          <w:rFonts w:ascii="Times New Roman" w:hAnsi="Times New Roman" w:cs="Times New Roman"/>
          <w:szCs w:val="24"/>
        </w:rPr>
        <w:t xml:space="preserve">odstąpienia od stosowania zaleceń </w:t>
      </w:r>
      <w:r w:rsidR="559BA26D" w:rsidRPr="003A42FB">
        <w:rPr>
          <w:rFonts w:ascii="Times New Roman" w:hAnsi="Times New Roman" w:cs="Times New Roman"/>
          <w:szCs w:val="24"/>
        </w:rPr>
        <w:t>i obowiązek</w:t>
      </w:r>
      <w:r w:rsidR="00D662DB" w:rsidRPr="003A42FB">
        <w:rPr>
          <w:rFonts w:ascii="Times New Roman" w:hAnsi="Times New Roman" w:cs="Times New Roman"/>
          <w:szCs w:val="24"/>
        </w:rPr>
        <w:t xml:space="preserve"> powiad</w:t>
      </w:r>
      <w:r w:rsidR="21A6A0B5" w:rsidRPr="003A42FB">
        <w:rPr>
          <w:rFonts w:ascii="Times New Roman" w:hAnsi="Times New Roman" w:cs="Times New Roman"/>
          <w:szCs w:val="24"/>
        </w:rPr>
        <w:t>omienia</w:t>
      </w:r>
      <w:r w:rsidR="00D662DB" w:rsidRPr="003A42FB">
        <w:rPr>
          <w:rFonts w:ascii="Times New Roman" w:hAnsi="Times New Roman" w:cs="Times New Roman"/>
          <w:szCs w:val="24"/>
        </w:rPr>
        <w:t xml:space="preserve"> o tym fakcie Komisji Europejskiej. W sytuacji odstąpienia od stosowania zaleceń Prezes UKE ma </w:t>
      </w:r>
      <w:r w:rsidR="150B4DE8" w:rsidRPr="003A42FB">
        <w:rPr>
          <w:rFonts w:ascii="Times New Roman" w:hAnsi="Times New Roman" w:cs="Times New Roman"/>
          <w:szCs w:val="24"/>
        </w:rPr>
        <w:t xml:space="preserve">również </w:t>
      </w:r>
      <w:r w:rsidR="00D662DB" w:rsidRPr="003A42FB">
        <w:rPr>
          <w:rFonts w:ascii="Times New Roman" w:hAnsi="Times New Roman" w:cs="Times New Roman"/>
          <w:szCs w:val="24"/>
        </w:rPr>
        <w:t xml:space="preserve">obowiązek uzasadnić swoje stanowisko. Przepis ust. </w:t>
      </w:r>
      <w:r w:rsidR="006239CB">
        <w:rPr>
          <w:rFonts w:ascii="Times New Roman" w:hAnsi="Times New Roman" w:cs="Times New Roman"/>
          <w:szCs w:val="24"/>
        </w:rPr>
        <w:t>3</w:t>
      </w:r>
      <w:r w:rsidR="00D662DB" w:rsidRPr="003A42FB">
        <w:rPr>
          <w:rFonts w:ascii="Times New Roman" w:hAnsi="Times New Roman" w:cs="Times New Roman"/>
          <w:szCs w:val="24"/>
        </w:rPr>
        <w:t xml:space="preserve"> stanowi implementację art. 10 ust. 2 EKŁE, który zobowiązuje państwa członkowskie, przy podejmowaniu decyzji w zakresie rynków krajowych, do uwzględniania w jak największym stopniu wytycznych, opinii, zaleceń, wspólnych stanowisk, najlepszych praktyk oraz metodologii przyjmowanych przez BEREC. Przepis doprecyzowuje, że chodzi o uwzględnianie wytycznych, opinii, zaleceń, wspólnych stanowisk, najlepszych praktyk oraz metodologii w ich aktualnym brzmieniu.</w:t>
      </w:r>
    </w:p>
    <w:p w14:paraId="31440F13"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2484FC0F" w14:textId="77777777" w:rsidR="00E37FC4" w:rsidRPr="003A42FB" w:rsidRDefault="00E37FC4"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ROZDZIAŁ 2. Wykonywanie gospodarczej działalności telekomunikacyjnej</w:t>
      </w:r>
    </w:p>
    <w:p w14:paraId="7DDCC508" w14:textId="77777777" w:rsidR="001F4207" w:rsidRPr="003A42FB" w:rsidRDefault="001F4207" w:rsidP="00C53EAB">
      <w:pPr>
        <w:pStyle w:val="TYTDZPRZEDMprzedmiotregulacjitytuulubdziau"/>
        <w:spacing w:before="0" w:after="120" w:line="240" w:lineRule="auto"/>
        <w:jc w:val="both"/>
        <w:rPr>
          <w:rFonts w:ascii="Times New Roman" w:eastAsiaTheme="minorEastAsia" w:hAnsi="Times New Roman"/>
          <w:szCs w:val="24"/>
        </w:rPr>
      </w:pPr>
      <w:r w:rsidRPr="003A42FB">
        <w:rPr>
          <w:rFonts w:ascii="Times New Roman" w:eastAsiaTheme="minorEastAsia" w:hAnsi="Times New Roman"/>
          <w:szCs w:val="24"/>
        </w:rPr>
        <w:t xml:space="preserve">Oddział 1. </w:t>
      </w:r>
      <w:r w:rsidRPr="003A42FB">
        <w:rPr>
          <w:rFonts w:ascii="Times New Roman" w:eastAsiaTheme="minorEastAsia" w:hAnsi="Times New Roman"/>
          <w:szCs w:val="24"/>
          <w:lang w:eastAsia="en-US"/>
        </w:rPr>
        <w:t>Wpis do rejestru przedsiębiorców telekomunikacyjnych i j</w:t>
      </w:r>
      <w:r w:rsidRPr="003A42FB">
        <w:rPr>
          <w:rFonts w:ascii="Times New Roman" w:eastAsiaTheme="minorEastAsia" w:hAnsi="Times New Roman"/>
          <w:szCs w:val="24"/>
        </w:rPr>
        <w:t xml:space="preserve">ednostek </w:t>
      </w:r>
      <w:r w:rsidRPr="003A42FB">
        <w:rPr>
          <w:rFonts w:ascii="Times New Roman" w:eastAsiaTheme="minorEastAsia" w:hAnsi="Times New Roman"/>
          <w:szCs w:val="24"/>
          <w:lang w:eastAsia="en-US"/>
        </w:rPr>
        <w:t>s</w:t>
      </w:r>
      <w:r w:rsidRPr="003A42FB">
        <w:rPr>
          <w:rFonts w:ascii="Times New Roman" w:eastAsiaTheme="minorEastAsia" w:hAnsi="Times New Roman"/>
          <w:szCs w:val="24"/>
        </w:rPr>
        <w:t xml:space="preserve">amorządu </w:t>
      </w:r>
      <w:r w:rsidRPr="003A42FB">
        <w:rPr>
          <w:rFonts w:ascii="Times New Roman" w:eastAsiaTheme="minorEastAsia" w:hAnsi="Times New Roman"/>
          <w:szCs w:val="24"/>
          <w:lang w:eastAsia="en-US"/>
        </w:rPr>
        <w:t>t</w:t>
      </w:r>
      <w:r w:rsidRPr="003A42FB">
        <w:rPr>
          <w:rFonts w:ascii="Times New Roman" w:eastAsiaTheme="minorEastAsia" w:hAnsi="Times New Roman"/>
          <w:szCs w:val="24"/>
        </w:rPr>
        <w:t>erytorialnego</w:t>
      </w:r>
    </w:p>
    <w:p w14:paraId="4DA108A1" w14:textId="0382B010" w:rsidR="025F6527"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art. 5-1</w:t>
      </w:r>
      <w:r w:rsidR="00842421" w:rsidRPr="003A42FB">
        <w:rPr>
          <w:rFonts w:ascii="Times New Roman" w:eastAsiaTheme="minorEastAsia" w:hAnsi="Times New Roman" w:cs="Times New Roman"/>
          <w:sz w:val="24"/>
          <w:szCs w:val="24"/>
        </w:rPr>
        <w:t>8</w:t>
      </w:r>
      <w:r w:rsidRPr="003A42FB">
        <w:rPr>
          <w:rFonts w:ascii="Times New Roman" w:eastAsiaTheme="minorEastAsia" w:hAnsi="Times New Roman" w:cs="Times New Roman"/>
          <w:sz w:val="24"/>
          <w:szCs w:val="24"/>
        </w:rPr>
        <w:t xml:space="preserve"> </w:t>
      </w:r>
      <w:r w:rsidR="0052113B" w:rsidRPr="003A42FB">
        <w:rPr>
          <w:rFonts w:ascii="Times New Roman" w:eastAsiaTheme="minorEastAsia" w:hAnsi="Times New Roman" w:cs="Times New Roman"/>
          <w:sz w:val="24"/>
          <w:szCs w:val="24"/>
        </w:rPr>
        <w:t>ustawy </w:t>
      </w:r>
      <w:r w:rsidR="43404BD5" w:rsidRPr="003A42FB">
        <w:rPr>
          <w:rFonts w:ascii="Times New Roman" w:eastAsiaTheme="minorEastAsia" w:hAnsi="Times New Roman" w:cs="Times New Roman"/>
          <w:sz w:val="24"/>
          <w:szCs w:val="24"/>
        </w:rPr>
        <w:t>Pke</w:t>
      </w:r>
      <w:r w:rsidR="00EE28D0"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dotyczące funkcjonowania rejestru przedsiębiorców telekomunikacyjnych stanowią wdrożenie art. 12 i 14 EKŁE.</w:t>
      </w:r>
      <w:r w:rsidRPr="003A42FB">
        <w:rPr>
          <w:rFonts w:ascii="Times New Roman" w:eastAsiaTheme="minorEastAsia" w:hAnsi="Times New Roman" w:cs="Times New Roman"/>
          <w:b/>
          <w:bCs/>
          <w:sz w:val="24"/>
          <w:szCs w:val="24"/>
        </w:rPr>
        <w:t xml:space="preserve"> </w:t>
      </w:r>
      <w:r w:rsidR="74425EF6" w:rsidRPr="003A42FB">
        <w:rPr>
          <w:rFonts w:ascii="Times New Roman" w:eastAsiaTheme="minorEastAsia" w:hAnsi="Times New Roman" w:cs="Times New Roman"/>
          <w:sz w:val="24"/>
          <w:szCs w:val="24"/>
        </w:rPr>
        <w:t>Przepisy dotyczące rejestru jednostek samorządu terytorialnego wykonujących działalność w zakresie telekomunikacji nie stanowią implementacji EKŁE.</w:t>
      </w:r>
      <w:r w:rsidR="00D93DD5" w:rsidRPr="003A42FB">
        <w:rPr>
          <w:rFonts w:ascii="Times New Roman" w:eastAsiaTheme="minorEastAsia" w:hAnsi="Times New Roman" w:cs="Times New Roman"/>
          <w:sz w:val="24"/>
          <w:szCs w:val="24"/>
        </w:rPr>
        <w:t xml:space="preserve"> Dodatkowo przepisy unijne wyłączyły z ogólnego zezwolenia dostawców usług komunikacji interpersonalnej niewykorzystującej numerów.</w:t>
      </w:r>
      <w:r w:rsidR="0B3F8C11" w:rsidRPr="003A42FB">
        <w:rPr>
          <w:rFonts w:ascii="Times New Roman" w:eastAsiaTheme="minorEastAsia" w:hAnsi="Times New Roman" w:cs="Times New Roman"/>
          <w:sz w:val="24"/>
          <w:szCs w:val="24"/>
        </w:rPr>
        <w:t xml:space="preserve"> </w:t>
      </w:r>
      <w:r w:rsidR="4F959243" w:rsidRPr="003A42FB">
        <w:rPr>
          <w:rFonts w:ascii="Times New Roman" w:eastAsiaTheme="minorEastAsia" w:hAnsi="Times New Roman" w:cs="Times New Roman"/>
          <w:sz w:val="24"/>
          <w:szCs w:val="24"/>
        </w:rPr>
        <w:t xml:space="preserve">Projektowane przepisy znajdowały się w art. 10-13 </w:t>
      </w:r>
      <w:r w:rsidR="4CA08BF8" w:rsidRPr="003A42FB">
        <w:rPr>
          <w:rFonts w:ascii="Times New Roman" w:eastAsiaTheme="minorEastAsia" w:hAnsi="Times New Roman" w:cs="Times New Roman"/>
          <w:sz w:val="24"/>
          <w:szCs w:val="24"/>
        </w:rPr>
        <w:t xml:space="preserve">ustawy </w:t>
      </w:r>
      <w:r w:rsidR="4F959243" w:rsidRPr="003A42FB">
        <w:rPr>
          <w:rFonts w:ascii="Times New Roman" w:eastAsiaTheme="minorEastAsia" w:hAnsi="Times New Roman" w:cs="Times New Roman"/>
          <w:sz w:val="24"/>
          <w:szCs w:val="24"/>
        </w:rPr>
        <w:t>Pt.</w:t>
      </w:r>
    </w:p>
    <w:p w14:paraId="26ED46D9" w14:textId="4158205C"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5</w:t>
      </w:r>
    </w:p>
    <w:p w14:paraId="54DC5DD9" w14:textId="78B2A6C1" w:rsidR="00B012F1" w:rsidRPr="003A42FB" w:rsidRDefault="00744F7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 xml:space="preserve">Przepisy EKŁE wzorem poprzednich dyrektyw wyłączają obowiązek uzyskania decyzji administracyjnej uprawniającej do prowadzenia działalności telekomunikacyjnej przed jej rozpoczęciem. Natomiast </w:t>
      </w:r>
      <w:r w:rsidR="025F6527" w:rsidRPr="003A42FB">
        <w:rPr>
          <w:rFonts w:ascii="Times New Roman" w:eastAsiaTheme="minorEastAsia" w:hAnsi="Times New Roman" w:cs="Times New Roman"/>
          <w:sz w:val="24"/>
          <w:szCs w:val="24"/>
        </w:rPr>
        <w:t xml:space="preserve">stosowany przez państwa członkowskie system zezwoleń powinien być jak najmniej restrykcyjny, umożliwiać dostarczanie sieci i świadczenie usług telekomunikacyjnych, a także </w:t>
      </w:r>
      <w:r w:rsidR="04FE30F7" w:rsidRPr="003A42FB">
        <w:rPr>
          <w:rFonts w:ascii="Times New Roman" w:eastAsiaTheme="minorEastAsia" w:hAnsi="Times New Roman" w:cs="Times New Roman"/>
          <w:sz w:val="24"/>
          <w:szCs w:val="24"/>
        </w:rPr>
        <w:t xml:space="preserve">być </w:t>
      </w:r>
      <w:r w:rsidR="025F6527" w:rsidRPr="003A42FB">
        <w:rPr>
          <w:rFonts w:ascii="Times New Roman" w:eastAsiaTheme="minorEastAsia" w:hAnsi="Times New Roman" w:cs="Times New Roman"/>
          <w:sz w:val="24"/>
          <w:szCs w:val="24"/>
        </w:rPr>
        <w:t>tak skonstruowany, aby sprzyjać rozwojowi nowych usług i sieci, ograniczając wszelkie wymogi proceduralne jedynie do wymogu zgłoszenia deklaratywnego</w:t>
      </w:r>
      <w:r w:rsidR="00D93DD5" w:rsidRPr="003A42FB">
        <w:rPr>
          <w:rFonts w:ascii="Times New Roman" w:eastAsiaTheme="minorEastAsia" w:hAnsi="Times New Roman" w:cs="Times New Roman"/>
          <w:sz w:val="24"/>
          <w:szCs w:val="24"/>
        </w:rPr>
        <w:t xml:space="preserve"> o zamiarze rozpoczęcia działalności telekomunikacyjnej wraz z krótką informacją o podejmowanej działalności umożliwiającą regulatorowi prowadzenia rejestru podmiotów prowadzących taką działalność.</w:t>
      </w:r>
      <w:r w:rsidR="00D93DD5" w:rsidRPr="003A42FB">
        <w:rPr>
          <w:rFonts w:ascii="Times New Roman" w:eastAsiaTheme="minorEastAsia" w:hAnsi="Times New Roman" w:cs="Times New Roman"/>
          <w:b/>
          <w:bCs/>
          <w:sz w:val="24"/>
          <w:szCs w:val="24"/>
        </w:rPr>
        <w:t xml:space="preserve"> </w:t>
      </w:r>
    </w:p>
    <w:p w14:paraId="6383F1BD" w14:textId="77777777" w:rsidR="00C96D57"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Uznanie działalności telekomunikacyjnej </w:t>
      </w:r>
      <w:r w:rsidR="14430AB6" w:rsidRPr="003A42FB">
        <w:rPr>
          <w:rFonts w:ascii="Times New Roman" w:eastAsiaTheme="minorEastAsia" w:hAnsi="Times New Roman" w:cs="Times New Roman"/>
          <w:sz w:val="24"/>
          <w:szCs w:val="24"/>
        </w:rPr>
        <w:t>zgodnie z art. 1 ust. 1 pkt 1</w:t>
      </w:r>
      <w:r w:rsidR="3A890A54"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14430AB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(prowadzonej jako działalność gospodarcza) za działalność regulowaną oznacza</w:t>
      </w:r>
      <w:r w:rsidR="00D93DD5" w:rsidRPr="003A42FB">
        <w:rPr>
          <w:rFonts w:ascii="Times New Roman" w:eastAsiaTheme="minorEastAsia" w:hAnsi="Times New Roman" w:cs="Times New Roman"/>
          <w:sz w:val="24"/>
          <w:szCs w:val="24"/>
        </w:rPr>
        <w:t xml:space="preserve"> w polskich realiach</w:t>
      </w:r>
      <w:r w:rsidRPr="003A42FB">
        <w:rPr>
          <w:rFonts w:ascii="Times New Roman" w:eastAsiaTheme="minorEastAsia" w:hAnsi="Times New Roman" w:cs="Times New Roman"/>
          <w:sz w:val="24"/>
          <w:szCs w:val="24"/>
        </w:rPr>
        <w:t>, że do jej podjęcia konieczne będzie złożenie wniosku o wpis do rejestru przedsiębiorców telekomunikacyjnych, zwanego dalej „rejestrem PT”.</w:t>
      </w:r>
      <w:r w:rsidRPr="003A42FB">
        <w:rPr>
          <w:rFonts w:ascii="Times New Roman" w:eastAsiaTheme="minorEastAsia" w:hAnsi="Times New Roman" w:cs="Times New Roman"/>
          <w:b/>
          <w:bCs/>
          <w:sz w:val="24"/>
          <w:szCs w:val="24"/>
        </w:rPr>
        <w:t xml:space="preserve"> </w:t>
      </w:r>
      <w:r w:rsidR="00D93DD5" w:rsidRPr="003A42FB">
        <w:rPr>
          <w:rFonts w:ascii="Times New Roman" w:eastAsiaTheme="minorEastAsia" w:hAnsi="Times New Roman" w:cs="Times New Roman"/>
          <w:b/>
          <w:bCs/>
          <w:sz w:val="24"/>
          <w:szCs w:val="24"/>
        </w:rPr>
        <w:t xml:space="preserve"> </w:t>
      </w:r>
      <w:r w:rsidR="5F7CE577" w:rsidRPr="003A42FB">
        <w:rPr>
          <w:rFonts w:ascii="Times New Roman" w:eastAsiaTheme="minorEastAsia" w:hAnsi="Times New Roman" w:cs="Times New Roman"/>
          <w:sz w:val="24"/>
          <w:szCs w:val="24"/>
        </w:rPr>
        <w:t>Jest to rejestr działalności regulowanej w rozumieniu art. 43 ustawy z dnia 6 marca 2018 r. </w:t>
      </w:r>
      <w:r w:rsidR="0052113B" w:rsidRPr="003A42FB">
        <w:rPr>
          <w:rFonts w:ascii="Times New Roman" w:eastAsiaTheme="minorEastAsia" w:hAnsi="Times New Roman" w:cs="Times New Roman"/>
          <w:sz w:val="24"/>
          <w:szCs w:val="24"/>
        </w:rPr>
        <w:t xml:space="preserve">- </w:t>
      </w:r>
      <w:r w:rsidR="5F7CE577" w:rsidRPr="003A42FB">
        <w:rPr>
          <w:rFonts w:ascii="Times New Roman" w:eastAsiaTheme="minorEastAsia" w:hAnsi="Times New Roman" w:cs="Times New Roman"/>
          <w:sz w:val="24"/>
          <w:szCs w:val="24"/>
        </w:rPr>
        <w:t xml:space="preserve">Prawo przedsiębiorców (Dz. U. </w:t>
      </w:r>
      <w:r w:rsidR="0052113B" w:rsidRPr="003A42FB">
        <w:rPr>
          <w:rStyle w:val="normaltextrun"/>
          <w:rFonts w:ascii="Times New Roman" w:hAnsi="Times New Roman" w:cs="Times New Roman"/>
          <w:sz w:val="24"/>
          <w:szCs w:val="24"/>
        </w:rPr>
        <w:t>2019 r. poz. 1292 i 1495 oraz z 2020 r. poz. 424 i 1086)</w:t>
      </w:r>
      <w:r w:rsidR="5F7CE577" w:rsidRPr="003A42FB">
        <w:rPr>
          <w:rFonts w:ascii="Times New Roman" w:eastAsiaTheme="minorEastAsia" w:hAnsi="Times New Roman" w:cs="Times New Roman"/>
          <w:sz w:val="24"/>
          <w:szCs w:val="24"/>
        </w:rPr>
        <w:t xml:space="preserve">) i odpowiada wymogom tej ustawy. </w:t>
      </w:r>
      <w:r w:rsidR="5F7CE577" w:rsidRPr="003A42FB">
        <w:rPr>
          <w:rFonts w:ascii="Times New Roman" w:eastAsiaTheme="minorEastAsia" w:hAnsi="Times New Roman" w:cs="Times New Roman"/>
          <w:b/>
          <w:bCs/>
          <w:sz w:val="24"/>
          <w:szCs w:val="24"/>
        </w:rPr>
        <w:t xml:space="preserve"> </w:t>
      </w:r>
      <w:r w:rsidR="7DADD418" w:rsidRPr="003A42FB">
        <w:rPr>
          <w:rFonts w:ascii="Times New Roman" w:eastAsiaTheme="minorEastAsia" w:hAnsi="Times New Roman" w:cs="Times New Roman"/>
          <w:sz w:val="24"/>
          <w:szCs w:val="24"/>
        </w:rPr>
        <w:t xml:space="preserve">Zobowiązanymi do złożenia wniosku o wpis do rejestru PT są </w:t>
      </w:r>
      <w:r w:rsidR="311EF25D" w:rsidRPr="003A42FB">
        <w:rPr>
          <w:rFonts w:ascii="Times New Roman" w:eastAsiaTheme="minorEastAsia" w:hAnsi="Times New Roman" w:cs="Times New Roman"/>
          <w:sz w:val="24"/>
          <w:szCs w:val="24"/>
        </w:rPr>
        <w:t xml:space="preserve">zarówno </w:t>
      </w:r>
      <w:r w:rsidR="7DADD418" w:rsidRPr="003A42FB">
        <w:rPr>
          <w:rFonts w:ascii="Times New Roman" w:eastAsiaTheme="minorEastAsia" w:hAnsi="Times New Roman" w:cs="Times New Roman"/>
          <w:sz w:val="24"/>
          <w:szCs w:val="24"/>
        </w:rPr>
        <w:t>przedsiębiorcy prowadzący działalność telekomunikacyjną w publicznych sieciach telekomunikacyjnych, jak również podmioty, które świadczą usługi w sieciach niepublicznych (instytucje naukowo-badawcze, szkoły wyższe itp.).</w:t>
      </w:r>
    </w:p>
    <w:p w14:paraId="131C801D" w14:textId="135546DD" w:rsidR="00744F7D" w:rsidRPr="003A42FB" w:rsidRDefault="7DADD418" w:rsidP="007E60BE">
      <w:pPr>
        <w:pStyle w:val="Nagwek2"/>
        <w:shd w:val="clear" w:color="auto" w:fill="FFFFFF"/>
        <w:spacing w:before="0" w:beforeAutospacing="0" w:after="120" w:afterAutospacing="0"/>
        <w:jc w:val="both"/>
        <w:rPr>
          <w:rFonts w:eastAsiaTheme="minorEastAsia"/>
          <w:sz w:val="24"/>
          <w:szCs w:val="24"/>
        </w:rPr>
      </w:pPr>
      <w:r w:rsidRPr="003A42FB">
        <w:rPr>
          <w:rFonts w:eastAsiaTheme="minorEastAsia"/>
          <w:b w:val="0"/>
          <w:bCs w:val="0"/>
          <w:sz w:val="24"/>
          <w:szCs w:val="24"/>
          <w:lang w:eastAsia="en-US"/>
        </w:rPr>
        <w:t xml:space="preserve">Do rejestru PT wpisywana jest </w:t>
      </w:r>
      <w:r w:rsidR="311EF25D" w:rsidRPr="003A42FB">
        <w:rPr>
          <w:rFonts w:eastAsiaTheme="minorEastAsia"/>
          <w:b w:val="0"/>
          <w:bCs w:val="0"/>
          <w:sz w:val="24"/>
          <w:szCs w:val="24"/>
          <w:lang w:eastAsia="en-US"/>
        </w:rPr>
        <w:t xml:space="preserve">także </w:t>
      </w:r>
      <w:r w:rsidRPr="003A42FB">
        <w:rPr>
          <w:rFonts w:eastAsiaTheme="minorEastAsia"/>
          <w:b w:val="0"/>
          <w:bCs w:val="0"/>
          <w:sz w:val="24"/>
          <w:szCs w:val="24"/>
          <w:lang w:eastAsia="en-US"/>
        </w:rPr>
        <w:t>działalność telekomunikacyjna prowadzona przez przedsiębiorcę telekomunikacyjnego z państwa członkowskiego UE albo państwa, które zawarło z UE umowę regulującą swobodę świadczenia usług, czasowo świadczącego w Polsce usługi.</w:t>
      </w:r>
      <w:r w:rsidR="00C96D57" w:rsidRPr="003A42FB">
        <w:rPr>
          <w:rFonts w:eastAsiaTheme="minorEastAsia"/>
          <w:b w:val="0"/>
          <w:bCs w:val="0"/>
          <w:sz w:val="24"/>
          <w:szCs w:val="24"/>
          <w:lang w:eastAsia="en-US"/>
        </w:rPr>
        <w:t xml:space="preserve"> Regulacja taka wynika z przepisów ustawy z dnia 6 marca 2018 r. o zasadach uczestnictwa przedsiębiorców zagranicznych i innych osób zagranicznych w obrocie gospodarczym na terytorium Rzeczypospolitej Polskiej, które określając w art. 5 ust. 1 generalną zasadę, że usługodawca z państwa członkowskiego może czasowo świadczyć usługi na zasadach określonych w przepisach Traktatu o funkcjonowaniu Unii Europejskiej albo w postanowieniach umów regulujących swobodę świadczenia usług bez konieczności uzyskania </w:t>
      </w:r>
      <w:r w:rsidR="00C96D57" w:rsidRPr="003A42FB">
        <w:rPr>
          <w:rFonts w:eastAsiaTheme="minorEastAsia"/>
          <w:b w:val="0"/>
          <w:bCs w:val="0"/>
          <w:sz w:val="24"/>
          <w:szCs w:val="24"/>
          <w:lang w:eastAsia="en-US"/>
        </w:rPr>
        <w:lastRenderedPageBreak/>
        <w:t xml:space="preserve">wpisu do rejestru przedsiębiorców w Krajowym Rejestrze Sądowym albo Centralnej Ewidencji i Informacji o Działalności Gospodarczej, dopuszczają wprowadzenie odrębnych regulacji </w:t>
      </w:r>
      <w:r w:rsidR="002A0A6D" w:rsidRPr="003A42FB">
        <w:rPr>
          <w:rFonts w:eastAsiaTheme="minorEastAsia"/>
          <w:b w:val="0"/>
          <w:bCs w:val="0"/>
          <w:sz w:val="24"/>
          <w:szCs w:val="24"/>
          <w:lang w:eastAsia="en-US"/>
        </w:rPr>
        <w:t>w zakresie wpisu do rejestru działalności regulowanej</w:t>
      </w:r>
      <w:r w:rsidR="00C96D57" w:rsidRPr="003A42FB">
        <w:rPr>
          <w:rFonts w:eastAsiaTheme="minorEastAsia"/>
          <w:b w:val="0"/>
          <w:bCs w:val="0"/>
          <w:sz w:val="24"/>
          <w:szCs w:val="24"/>
          <w:lang w:eastAsia="en-US"/>
        </w:rPr>
        <w:t xml:space="preserve">. </w:t>
      </w:r>
    </w:p>
    <w:p w14:paraId="2D8AF715" w14:textId="38DF45FC" w:rsidR="00B012F1" w:rsidRPr="003A42FB" w:rsidRDefault="1808250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W przypadku jednostek samorządu terytorialnego wykonujących działalność w zakresie telekomunikacji konieczne będzie złożenie wniosku o wpis do rejestru jednostek samorządu terytorialnego zwanego „rejestrem JST”.</w:t>
      </w:r>
      <w:r w:rsidRPr="003A42FB">
        <w:rPr>
          <w:rFonts w:ascii="Times New Roman" w:eastAsiaTheme="minorEastAsia" w:hAnsi="Times New Roman" w:cs="Times New Roman"/>
          <w:b/>
          <w:bCs/>
          <w:sz w:val="24"/>
          <w:szCs w:val="24"/>
        </w:rPr>
        <w:t xml:space="preserve"> </w:t>
      </w:r>
      <w:r w:rsidR="2AFDAFD5" w:rsidRPr="003A42FB">
        <w:rPr>
          <w:rFonts w:ascii="Times New Roman" w:eastAsiaTheme="minorEastAsia" w:hAnsi="Times New Roman" w:cs="Times New Roman"/>
          <w:sz w:val="24"/>
          <w:szCs w:val="24"/>
        </w:rPr>
        <w:t xml:space="preserve">Jest to rejestr odrębny od rejestru przedsiębiorców telekomunikacyjnych z tego powodu ma osobno wyodrębnione przepisy bez odesłań jak w dotychczasowym art. 13a </w:t>
      </w:r>
      <w:r w:rsidR="483F7040" w:rsidRPr="003A42FB">
        <w:rPr>
          <w:rFonts w:ascii="Times New Roman" w:eastAsiaTheme="minorEastAsia" w:hAnsi="Times New Roman" w:cs="Times New Roman"/>
          <w:sz w:val="24"/>
          <w:szCs w:val="24"/>
        </w:rPr>
        <w:t>Pt</w:t>
      </w:r>
      <w:r w:rsidR="4153747D" w:rsidRPr="003A42FB">
        <w:rPr>
          <w:rFonts w:ascii="Times New Roman" w:eastAsiaTheme="minorEastAsia" w:hAnsi="Times New Roman" w:cs="Times New Roman"/>
          <w:sz w:val="24"/>
          <w:szCs w:val="24"/>
        </w:rPr>
        <w:t>.</w:t>
      </w:r>
      <w:r w:rsidR="2AFDAFD5" w:rsidRPr="003A42FB">
        <w:rPr>
          <w:rFonts w:ascii="Times New Roman" w:eastAsiaTheme="minorEastAsia" w:hAnsi="Times New Roman" w:cs="Times New Roman"/>
          <w:sz w:val="24"/>
          <w:szCs w:val="24"/>
        </w:rPr>
        <w:t xml:space="preserve"> Należy przy tym podkreślić, że działalność telekomunikacyjna jednostek samorządowych może być, w zależności od jej charakteru</w:t>
      </w:r>
      <w:r w:rsidR="4153747D" w:rsidRPr="003A42FB">
        <w:rPr>
          <w:rFonts w:ascii="Times New Roman" w:eastAsiaTheme="minorEastAsia" w:hAnsi="Times New Roman" w:cs="Times New Roman"/>
          <w:sz w:val="24"/>
          <w:szCs w:val="24"/>
        </w:rPr>
        <w:t xml:space="preserve"> (zakresu działalności)</w:t>
      </w:r>
      <w:r w:rsidR="2AFDAFD5" w:rsidRPr="003A42FB">
        <w:rPr>
          <w:rFonts w:ascii="Times New Roman" w:eastAsiaTheme="minorEastAsia" w:hAnsi="Times New Roman" w:cs="Times New Roman"/>
          <w:sz w:val="24"/>
          <w:szCs w:val="24"/>
        </w:rPr>
        <w:t>, wpisana do rejestru JSR albo do rejestru przedsiębiorców telekomunikacyjnych</w:t>
      </w:r>
      <w:r w:rsidR="4153747D" w:rsidRPr="003A42FB">
        <w:rPr>
          <w:rFonts w:ascii="Times New Roman" w:eastAsiaTheme="minorEastAsia" w:hAnsi="Times New Roman" w:cs="Times New Roman"/>
          <w:sz w:val="24"/>
          <w:szCs w:val="24"/>
        </w:rPr>
        <w:t>, względnie do obydwu rejestrów</w:t>
      </w:r>
      <w:r w:rsidR="2AFDAFD5" w:rsidRPr="003A42FB">
        <w:rPr>
          <w:rFonts w:ascii="Times New Roman" w:eastAsiaTheme="minorEastAsia" w:hAnsi="Times New Roman" w:cs="Times New Roman"/>
          <w:b/>
          <w:bCs/>
          <w:sz w:val="24"/>
          <w:szCs w:val="24"/>
        </w:rPr>
        <w:t>.</w:t>
      </w:r>
    </w:p>
    <w:p w14:paraId="60E8494A" w14:textId="799D4B87" w:rsidR="00B012F1" w:rsidRPr="003A42FB" w:rsidRDefault="52640C9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Oba rejestry są jawne i prowadzone przez Prezesa UKE w systemie teleinformatycznym udostępnionym na stronie podmiotowej BIP UKE.</w:t>
      </w:r>
      <w:r w:rsidRPr="003A42FB">
        <w:rPr>
          <w:rFonts w:ascii="Times New Roman" w:eastAsiaTheme="minorEastAsia" w:hAnsi="Times New Roman" w:cs="Times New Roman"/>
          <w:b/>
          <w:bCs/>
          <w:sz w:val="24"/>
          <w:szCs w:val="24"/>
        </w:rPr>
        <w:t xml:space="preserve"> </w:t>
      </w:r>
      <w:r w:rsidR="007A610D" w:rsidRPr="003A42FB">
        <w:rPr>
          <w:rFonts w:ascii="Times New Roman" w:eastAsiaTheme="minorEastAsia" w:hAnsi="Times New Roman" w:cs="Times New Roman"/>
          <w:bCs/>
          <w:sz w:val="24"/>
          <w:szCs w:val="24"/>
        </w:rPr>
        <w:t>K</w:t>
      </w:r>
      <w:r w:rsidR="007A610D" w:rsidRPr="003A42FB">
        <w:rPr>
          <w:rFonts w:ascii="Times New Roman" w:eastAsiaTheme="minorEastAsia" w:hAnsi="Times New Roman" w:cs="Times New Roman"/>
          <w:sz w:val="24"/>
          <w:szCs w:val="24"/>
        </w:rPr>
        <w:t>ompetencją Prezesa UKE jest utrzymywanie urządzeń niezbędnych do prowadzenia rejestrów oraz podejmowanie wszelkich czynności związanych z dokonywaniem wpisów i wydawaniem zaświadczeń.</w:t>
      </w:r>
    </w:p>
    <w:p w14:paraId="23ADB2B6" w14:textId="4F6AAA6C" w:rsidR="00B012F1" w:rsidRPr="003A42FB" w:rsidRDefault="025F6527" w:rsidP="001D37B9">
      <w:pPr>
        <w:autoSpaceDE w:val="0"/>
        <w:autoSpaceDN w:val="0"/>
        <w:adjustRightInd w:val="0"/>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art. 5 ust.</w:t>
      </w:r>
      <w:r w:rsidR="006E4C0D">
        <w:rPr>
          <w:rFonts w:ascii="Times New Roman" w:eastAsiaTheme="minorEastAsia" w:hAnsi="Times New Roman" w:cs="Times New Roman"/>
          <w:sz w:val="24"/>
          <w:szCs w:val="24"/>
        </w:rPr>
        <w:t>4</w:t>
      </w:r>
      <w:r w:rsidR="006E4C0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przesądza, że czynność polegająca na umożliwianiu korzystania z dostępu do publicznej sieci telekomunikacyjnej za pośrednictwem lokalnej sieci radiowej nie jest działalnością podlegającą wpisowi do rejestru, pod warunkiem</w:t>
      </w:r>
      <w:r w:rsidR="566E7B4F"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że jest to działalność dodatkowa w stosunku do wykonywanej przez podmiot działalności, innej niż telekomunikacyjna. Sam fakt zapewnienia dostępu do sieci telekomunikacyjnej poprzez lokalną sieć radiową nie stanowi</w:t>
      </w:r>
      <w:r w:rsidR="009C2FCB">
        <w:rPr>
          <w:rFonts w:ascii="Times New Roman" w:eastAsiaTheme="minorEastAsia" w:hAnsi="Times New Roman" w:cs="Times New Roman"/>
          <w:sz w:val="24"/>
          <w:szCs w:val="24"/>
        </w:rPr>
        <w:t xml:space="preserve"> zawsze</w:t>
      </w:r>
      <w:r w:rsidRPr="003A42FB">
        <w:rPr>
          <w:rFonts w:ascii="Times New Roman" w:eastAsiaTheme="minorEastAsia" w:hAnsi="Times New Roman" w:cs="Times New Roman"/>
          <w:sz w:val="24"/>
          <w:szCs w:val="24"/>
        </w:rPr>
        <w:t xml:space="preserve"> przejawu działalności telekomunikacyjnej.</w:t>
      </w:r>
      <w:r w:rsidR="009C2FCB">
        <w:rPr>
          <w:rFonts w:ascii="Times New Roman" w:eastAsiaTheme="minorEastAsia" w:hAnsi="Times New Roman" w:cs="Times New Roman"/>
          <w:sz w:val="24"/>
          <w:szCs w:val="24"/>
        </w:rPr>
        <w:t xml:space="preserve"> Takie rozwiązanie wynika wprost z art. 56 ust. 2 EKŁE, który przesądza, że „</w:t>
      </w:r>
      <w:r w:rsidR="009C2FCB" w:rsidRPr="009C2FCB">
        <w:rPr>
          <w:rFonts w:ascii="Times New Roman" w:eastAsiaTheme="minorEastAsia" w:hAnsi="Times New Roman" w:cs="Times New Roman"/>
          <w:i/>
          <w:sz w:val="24"/>
          <w:szCs w:val="24"/>
        </w:rPr>
        <w:t>W przypadku gdy takie zapewnianie dostępu nie jest częścią działalności gospodarczej lub ma charakter dodatkowy w stosunku do działalności gospodarczej lub usługi publicznej, która nie jest uzależniona od przekazywania sygnałów w tych sieciach, przedsiębiorstwo, organ publiczny lub użytkownik końcowy, którzy zapewniają taki dostęp, nie podlegają ogólnemu zezwoleniu na dostarczanie sieci i usług łączności elektronicznej na podstawie art. 12, obowiązkom dotyczącym praw użytkowników końcowych na podstawie części III tytuł II ani obowiązkowi zapewnienia wzajemnego połączenia ich sieci na podstawie art. 61 ust. 1.</w:t>
      </w:r>
      <w:r w:rsidR="009C2FCB" w:rsidRPr="009C2FCB">
        <w:rPr>
          <w:rFonts w:ascii="Times New Roman" w:eastAsiaTheme="minorEastAsia" w:hAnsi="Times New Roman" w:cs="Times New Roman"/>
          <w:sz w:val="24"/>
          <w:szCs w:val="24"/>
        </w:rPr>
        <w:t>”</w:t>
      </w:r>
      <w:r w:rsidR="009C2FCB">
        <w:rPr>
          <w:rFonts w:ascii="Times New Roman" w:eastAsiaTheme="minorEastAsia" w:hAnsi="Times New Roman" w:cs="Times New Roman"/>
          <w:sz w:val="24"/>
          <w:szCs w:val="24"/>
        </w:rPr>
        <w:t>. W związku z niepodleganiem</w:t>
      </w:r>
      <w:r w:rsidR="002128EB">
        <w:rPr>
          <w:rFonts w:ascii="Times New Roman" w:eastAsiaTheme="minorEastAsia" w:hAnsi="Times New Roman" w:cs="Times New Roman"/>
          <w:sz w:val="24"/>
          <w:szCs w:val="24"/>
        </w:rPr>
        <w:t xml:space="preserve"> – </w:t>
      </w:r>
      <w:r w:rsidR="009C2FCB">
        <w:rPr>
          <w:rFonts w:ascii="Times New Roman" w:eastAsiaTheme="minorEastAsia" w:hAnsi="Times New Roman" w:cs="Times New Roman"/>
          <w:sz w:val="24"/>
          <w:szCs w:val="24"/>
        </w:rPr>
        <w:t xml:space="preserve"> określonych p</w:t>
      </w:r>
      <w:r w:rsidR="002128EB">
        <w:rPr>
          <w:rFonts w:ascii="Times New Roman" w:eastAsiaTheme="minorEastAsia" w:hAnsi="Times New Roman" w:cs="Times New Roman"/>
          <w:sz w:val="24"/>
          <w:szCs w:val="24"/>
        </w:rPr>
        <w:t>odmiotów, w określonej sytuacji –</w:t>
      </w:r>
      <w:r w:rsidR="009C2FCB">
        <w:rPr>
          <w:rFonts w:ascii="Times New Roman" w:eastAsiaTheme="minorEastAsia" w:hAnsi="Times New Roman" w:cs="Times New Roman"/>
          <w:sz w:val="24"/>
          <w:szCs w:val="24"/>
        </w:rPr>
        <w:t xml:space="preserve"> szeregu obowiązków związanych z ogólnym zezwoleniem </w:t>
      </w:r>
      <w:r w:rsidR="009C2FCB" w:rsidRPr="009C2FCB">
        <w:rPr>
          <w:rFonts w:ascii="Times New Roman" w:eastAsiaTheme="minorEastAsia" w:hAnsi="Times New Roman" w:cs="Times New Roman"/>
          <w:sz w:val="24"/>
          <w:szCs w:val="24"/>
        </w:rPr>
        <w:t>na dostarczanie sieci i usług łączności elektronicznej</w:t>
      </w:r>
      <w:r w:rsidR="009C2FCB">
        <w:rPr>
          <w:rFonts w:ascii="Times New Roman" w:eastAsiaTheme="minorEastAsia" w:hAnsi="Times New Roman" w:cs="Times New Roman"/>
          <w:sz w:val="24"/>
          <w:szCs w:val="24"/>
        </w:rPr>
        <w:t xml:space="preserve">, nie można </w:t>
      </w:r>
      <w:r w:rsidR="002128EB">
        <w:rPr>
          <w:rFonts w:ascii="Times New Roman" w:eastAsiaTheme="minorEastAsia" w:hAnsi="Times New Roman" w:cs="Times New Roman"/>
          <w:sz w:val="24"/>
          <w:szCs w:val="24"/>
        </w:rPr>
        <w:t>zakwalifikować takiego działania jako działalności telekomunikacyjnej.</w:t>
      </w:r>
      <w:r w:rsidR="009C2FCB">
        <w:rPr>
          <w:rFonts w:ascii="Times New Roman" w:eastAsiaTheme="minorEastAsia" w:hAnsi="Times New Roman" w:cs="Times New Roman"/>
          <w:sz w:val="24"/>
          <w:szCs w:val="24"/>
        </w:rPr>
        <w:t xml:space="preserve"> </w:t>
      </w:r>
      <w:r w:rsidR="002128EB">
        <w:rPr>
          <w:rFonts w:ascii="Times New Roman" w:eastAsiaTheme="minorEastAsia" w:hAnsi="Times New Roman" w:cs="Times New Roman"/>
          <w:sz w:val="24"/>
          <w:szCs w:val="24"/>
        </w:rPr>
        <w:t xml:space="preserve">Ze względu jednak, że rozwiązanie to nie jest </w:t>
      </w:r>
      <w:r w:rsidR="002128EB" w:rsidRPr="005F69BF">
        <w:rPr>
          <w:rFonts w:ascii="Times New Roman" w:eastAsiaTheme="minorEastAsia" w:hAnsi="Times New Roman" w:cs="Times New Roman"/>
          <w:i/>
          <w:sz w:val="24"/>
          <w:szCs w:val="24"/>
        </w:rPr>
        <w:t>prima facie</w:t>
      </w:r>
      <w:r w:rsidR="002128EB">
        <w:rPr>
          <w:rFonts w:ascii="Times New Roman" w:eastAsiaTheme="minorEastAsia" w:hAnsi="Times New Roman" w:cs="Times New Roman"/>
          <w:sz w:val="24"/>
          <w:szCs w:val="24"/>
        </w:rPr>
        <w:t xml:space="preserve"> oczywiste, zasadne wydaje się umieszczenie stosownego przepisu właśnie w art. 5, który odnosi się do działalności telekomunikacyjnej, podlegającej wpisowi do rejestru.</w:t>
      </w:r>
      <w:r w:rsidR="00CC1B14">
        <w:rPr>
          <w:rFonts w:ascii="Times New Roman" w:eastAsiaTheme="minorEastAsia" w:hAnsi="Times New Roman" w:cs="Times New Roman"/>
          <w:sz w:val="24"/>
          <w:szCs w:val="24"/>
        </w:rPr>
        <w:t xml:space="preserve"> </w:t>
      </w:r>
      <w:r w:rsidR="00D717F4">
        <w:rPr>
          <w:rFonts w:ascii="Times New Roman" w:eastAsiaTheme="minorEastAsia" w:hAnsi="Times New Roman" w:cs="Times New Roman"/>
          <w:sz w:val="24"/>
          <w:szCs w:val="24"/>
        </w:rPr>
        <w:t xml:space="preserve">To swoiste wyłączenie </w:t>
      </w:r>
      <w:r w:rsidRPr="003A42FB">
        <w:rPr>
          <w:rFonts w:ascii="Times New Roman" w:eastAsiaTheme="minorEastAsia" w:hAnsi="Times New Roman" w:cs="Times New Roman"/>
          <w:sz w:val="24"/>
          <w:szCs w:val="24"/>
        </w:rPr>
        <w:t>będzie miał</w:t>
      </w:r>
      <w:r w:rsidR="00D717F4">
        <w:rPr>
          <w:rFonts w:ascii="Times New Roman" w:eastAsiaTheme="minorEastAsia" w:hAnsi="Times New Roman" w:cs="Times New Roman"/>
          <w:sz w:val="24"/>
          <w:szCs w:val="24"/>
        </w:rPr>
        <w:t>o</w:t>
      </w:r>
      <w:r w:rsidRPr="003A42FB">
        <w:rPr>
          <w:rFonts w:ascii="Times New Roman" w:eastAsiaTheme="minorEastAsia" w:hAnsi="Times New Roman" w:cs="Times New Roman"/>
          <w:sz w:val="24"/>
          <w:szCs w:val="24"/>
        </w:rPr>
        <w:t xml:space="preserve"> zastosowania </w:t>
      </w:r>
      <w:r w:rsidR="00CC1B14">
        <w:rPr>
          <w:rFonts w:ascii="Times New Roman" w:eastAsiaTheme="minorEastAsia" w:hAnsi="Times New Roman" w:cs="Times New Roman"/>
          <w:sz w:val="24"/>
          <w:szCs w:val="24"/>
        </w:rPr>
        <w:t>praktyczne w</w:t>
      </w:r>
      <w:r w:rsidRPr="003A42FB">
        <w:rPr>
          <w:rFonts w:ascii="Times New Roman" w:eastAsiaTheme="minorEastAsia" w:hAnsi="Times New Roman" w:cs="Times New Roman"/>
          <w:sz w:val="24"/>
          <w:szCs w:val="24"/>
        </w:rPr>
        <w:t xml:space="preserve"> sytuacji</w:t>
      </w:r>
      <w:r w:rsidR="63265481"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gdy </w:t>
      </w:r>
      <w:r w:rsidR="00CC1B14">
        <w:rPr>
          <w:rFonts w:ascii="Times New Roman" w:eastAsiaTheme="minorEastAsia" w:hAnsi="Times New Roman" w:cs="Times New Roman"/>
          <w:sz w:val="24"/>
          <w:szCs w:val="24"/>
        </w:rPr>
        <w:t xml:space="preserve">umożliwianie </w:t>
      </w:r>
      <w:r w:rsidRPr="003A42FB">
        <w:rPr>
          <w:rFonts w:ascii="Times New Roman" w:eastAsiaTheme="minorEastAsia" w:hAnsi="Times New Roman" w:cs="Times New Roman"/>
          <w:sz w:val="24"/>
          <w:szCs w:val="24"/>
        </w:rPr>
        <w:t>korzystani</w:t>
      </w:r>
      <w:r w:rsidR="00CC1B14">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z dostępu do publicznej sieci telekomunikacyjnej za pośrednictwem lokalnej sieci radiowej </w:t>
      </w:r>
      <w:r w:rsidR="00CC1B14">
        <w:rPr>
          <w:rFonts w:ascii="Times New Roman" w:eastAsiaTheme="minorEastAsia" w:hAnsi="Times New Roman" w:cs="Times New Roman"/>
          <w:sz w:val="24"/>
          <w:szCs w:val="24"/>
        </w:rPr>
        <w:t xml:space="preserve">będzie odbywać się </w:t>
      </w:r>
      <w:r w:rsidRPr="003A42FB">
        <w:rPr>
          <w:rFonts w:ascii="Times New Roman" w:eastAsiaTheme="minorEastAsia" w:hAnsi="Times New Roman" w:cs="Times New Roman"/>
          <w:sz w:val="24"/>
          <w:szCs w:val="24"/>
        </w:rPr>
        <w:t>w przestrzeni prywatnej</w:t>
      </w:r>
      <w:r w:rsidR="00CC1B14">
        <w:rPr>
          <w:rFonts w:ascii="Times New Roman" w:eastAsiaTheme="minorEastAsia" w:hAnsi="Times New Roman" w:cs="Times New Roman"/>
          <w:sz w:val="24"/>
          <w:szCs w:val="24"/>
        </w:rPr>
        <w:t xml:space="preserve"> lub </w:t>
      </w:r>
      <w:r w:rsidRPr="003A42FB">
        <w:rPr>
          <w:rFonts w:ascii="Times New Roman" w:eastAsiaTheme="minorEastAsia" w:hAnsi="Times New Roman" w:cs="Times New Roman"/>
          <w:sz w:val="24"/>
          <w:szCs w:val="24"/>
        </w:rPr>
        <w:t xml:space="preserve">na ograniczonej przestrzeni publicznej na zasadach niekomercyjnych </w:t>
      </w:r>
      <w:r w:rsidR="00CC1B14">
        <w:rPr>
          <w:rFonts w:ascii="Times New Roman" w:eastAsiaTheme="minorEastAsia" w:hAnsi="Times New Roman" w:cs="Times New Roman"/>
          <w:sz w:val="24"/>
          <w:szCs w:val="24"/>
        </w:rPr>
        <w:t>albo</w:t>
      </w:r>
      <w:r w:rsidRPr="003A42FB">
        <w:rPr>
          <w:rFonts w:ascii="Times New Roman" w:eastAsiaTheme="minorEastAsia" w:hAnsi="Times New Roman" w:cs="Times New Roman"/>
          <w:sz w:val="24"/>
          <w:szCs w:val="24"/>
        </w:rPr>
        <w:t xml:space="preserve"> w charakterze usługi stanowiącej dodatek do</w:t>
      </w:r>
      <w:r w:rsidR="00CC1B14">
        <w:rPr>
          <w:rFonts w:ascii="Times New Roman" w:eastAsiaTheme="minorEastAsia" w:hAnsi="Times New Roman" w:cs="Times New Roman"/>
          <w:sz w:val="24"/>
          <w:szCs w:val="24"/>
        </w:rPr>
        <w:t> </w:t>
      </w:r>
      <w:r w:rsidRPr="003A42FB">
        <w:rPr>
          <w:rFonts w:ascii="Times New Roman" w:eastAsiaTheme="minorEastAsia" w:hAnsi="Times New Roman" w:cs="Times New Roman"/>
          <w:sz w:val="24"/>
          <w:szCs w:val="24"/>
        </w:rPr>
        <w:t xml:space="preserve">innego rodzaju działalności, która nie jest zależna od takiego dostępu. </w:t>
      </w:r>
      <w:r w:rsidR="002128EB">
        <w:rPr>
          <w:rFonts w:ascii="Times New Roman" w:eastAsiaTheme="minorEastAsia" w:hAnsi="Times New Roman" w:cs="Times New Roman"/>
          <w:sz w:val="24"/>
          <w:szCs w:val="24"/>
        </w:rPr>
        <w:t>Ustęp ten</w:t>
      </w:r>
      <w:r w:rsidRPr="003A42FB">
        <w:rPr>
          <w:rFonts w:ascii="Times New Roman" w:eastAsiaTheme="minorEastAsia" w:hAnsi="Times New Roman" w:cs="Times New Roman"/>
          <w:sz w:val="24"/>
          <w:szCs w:val="24"/>
        </w:rPr>
        <w:t xml:space="preserve"> stanowi transpozycję art. 56 ust. 1 </w:t>
      </w:r>
      <w:r w:rsidR="009C2FCB">
        <w:rPr>
          <w:rFonts w:ascii="Times New Roman" w:eastAsiaTheme="minorEastAsia" w:hAnsi="Times New Roman" w:cs="Times New Roman"/>
          <w:sz w:val="24"/>
          <w:szCs w:val="24"/>
        </w:rPr>
        <w:t xml:space="preserve">i </w:t>
      </w:r>
      <w:r w:rsidRPr="003A42FB">
        <w:rPr>
          <w:rFonts w:ascii="Times New Roman" w:eastAsiaTheme="minorEastAsia" w:hAnsi="Times New Roman" w:cs="Times New Roman"/>
          <w:sz w:val="24"/>
          <w:szCs w:val="24"/>
        </w:rPr>
        <w:t xml:space="preserve">ust. 6 lit. </w:t>
      </w:r>
      <w:r w:rsidR="00EE28D0" w:rsidRPr="003A42FB">
        <w:rPr>
          <w:rFonts w:ascii="Times New Roman" w:eastAsiaTheme="minorEastAsia" w:hAnsi="Times New Roman" w:cs="Times New Roman"/>
          <w:sz w:val="24"/>
          <w:szCs w:val="24"/>
        </w:rPr>
        <w:t xml:space="preserve">a </w:t>
      </w:r>
      <w:r w:rsidRPr="003A42FB">
        <w:rPr>
          <w:rFonts w:ascii="Times New Roman" w:eastAsiaTheme="minorEastAsia" w:hAnsi="Times New Roman" w:cs="Times New Roman"/>
          <w:sz w:val="24"/>
          <w:szCs w:val="24"/>
        </w:rPr>
        <w:t>EKŁE.</w:t>
      </w:r>
    </w:p>
    <w:p w14:paraId="1E12E239" w14:textId="1988DCB9"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6</w:t>
      </w:r>
    </w:p>
    <w:p w14:paraId="2CF4CDB3" w14:textId="4B0B652C"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celu zachowania przejrzystości przepisów rozdzielono jednostki redakcyjne dla przepisów dotyczących rejestru PT, jak i rejestru JST.</w:t>
      </w:r>
      <w:r w:rsidR="3191984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Art. 6 określa treść wniosku o wpis do rejestru PT, który zgodnie z art. 12 ust. 4 EKŁE, ogranicza ilość deklarowanych przez przedsiębiorcę telekomunikacyjnego informacji do wskazania najważniejszych jakimi są:</w:t>
      </w:r>
    </w:p>
    <w:p w14:paraId="4FDF6866" w14:textId="7B312A0C"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f</w:t>
      </w:r>
      <w:r w:rsidR="025F6527" w:rsidRPr="003A42FB">
        <w:rPr>
          <w:rFonts w:ascii="Times New Roman" w:eastAsiaTheme="minorEastAsia" w:hAnsi="Times New Roman" w:cs="Times New Roman"/>
          <w:sz w:val="24"/>
          <w:szCs w:val="24"/>
        </w:rPr>
        <w:t>irma lub nazwa wnioskodawcy oraz dane teleadresowe;</w:t>
      </w:r>
    </w:p>
    <w:p w14:paraId="7E69903E" w14:textId="28271B73"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w:t>
      </w:r>
      <w:r w:rsidR="025F6527" w:rsidRPr="003A42FB">
        <w:rPr>
          <w:rFonts w:ascii="Times New Roman" w:eastAsiaTheme="minorEastAsia" w:hAnsi="Times New Roman" w:cs="Times New Roman"/>
          <w:sz w:val="24"/>
          <w:szCs w:val="24"/>
        </w:rPr>
        <w:t>znaczenie formy prawnej;</w:t>
      </w:r>
    </w:p>
    <w:p w14:paraId="730660D0" w14:textId="7F54E5D0"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n</w:t>
      </w:r>
      <w:r w:rsidR="025F6527" w:rsidRPr="003A42FB">
        <w:rPr>
          <w:rFonts w:ascii="Times New Roman" w:eastAsiaTheme="minorEastAsia" w:hAnsi="Times New Roman" w:cs="Times New Roman"/>
          <w:sz w:val="24"/>
          <w:szCs w:val="24"/>
        </w:rPr>
        <w:t>umer rejestrowy;</w:t>
      </w:r>
    </w:p>
    <w:p w14:paraId="02559E42" w14:textId="770150FF"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w:t>
      </w:r>
      <w:r w:rsidR="025F6527" w:rsidRPr="003A42FB">
        <w:rPr>
          <w:rFonts w:ascii="Times New Roman" w:eastAsiaTheme="minorEastAsia" w:hAnsi="Times New Roman" w:cs="Times New Roman"/>
          <w:sz w:val="24"/>
          <w:szCs w:val="24"/>
        </w:rPr>
        <w:t>ane osoby do kontaktu;</w:t>
      </w:r>
    </w:p>
    <w:p w14:paraId="0EDB98BF" w14:textId="088D5155"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w:t>
      </w:r>
      <w:r w:rsidR="025F6527" w:rsidRPr="003A42FB">
        <w:rPr>
          <w:rFonts w:ascii="Times New Roman" w:eastAsiaTheme="minorEastAsia" w:hAnsi="Times New Roman" w:cs="Times New Roman"/>
          <w:sz w:val="24"/>
          <w:szCs w:val="24"/>
        </w:rPr>
        <w:t>pis sieci telekomunikacyjnej, usługi telekomunikacyjnej lub usług powiązanych;</w:t>
      </w:r>
    </w:p>
    <w:p w14:paraId="61CE2E4F" w14:textId="7F168064" w:rsidR="00B012F1" w:rsidRPr="003A42FB" w:rsidRDefault="00785706"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planowana </w:t>
      </w:r>
      <w:r w:rsidR="0052113B" w:rsidRPr="003A42FB">
        <w:rPr>
          <w:rFonts w:ascii="Times New Roman" w:eastAsiaTheme="minorEastAsia" w:hAnsi="Times New Roman" w:cs="Times New Roman"/>
          <w:sz w:val="24"/>
          <w:szCs w:val="24"/>
        </w:rPr>
        <w:t>d</w:t>
      </w:r>
      <w:r w:rsidR="025F6527" w:rsidRPr="003A42FB">
        <w:rPr>
          <w:rFonts w:ascii="Times New Roman" w:eastAsiaTheme="minorEastAsia" w:hAnsi="Times New Roman" w:cs="Times New Roman"/>
          <w:sz w:val="24"/>
          <w:szCs w:val="24"/>
        </w:rPr>
        <w:t>at</w:t>
      </w:r>
      <w:r w:rsidR="00361F4F" w:rsidRPr="003A42FB">
        <w:rPr>
          <w:rFonts w:ascii="Times New Roman" w:eastAsiaTheme="minorEastAsia" w:hAnsi="Times New Roman" w:cs="Times New Roman"/>
          <w:sz w:val="24"/>
          <w:szCs w:val="24"/>
        </w:rPr>
        <w:t>a</w:t>
      </w:r>
      <w:r w:rsidR="025F6527" w:rsidRPr="003A42FB">
        <w:rPr>
          <w:rFonts w:ascii="Times New Roman" w:eastAsiaTheme="minorEastAsia" w:hAnsi="Times New Roman" w:cs="Times New Roman"/>
          <w:sz w:val="24"/>
          <w:szCs w:val="24"/>
        </w:rPr>
        <w:t xml:space="preserve"> rozpoczęcia działalności telekomunikacyjnej;</w:t>
      </w:r>
    </w:p>
    <w:p w14:paraId="054A2874" w14:textId="35FBAF3F"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w:t>
      </w:r>
      <w:r w:rsidR="025F6527" w:rsidRPr="003A42FB">
        <w:rPr>
          <w:rFonts w:ascii="Times New Roman" w:eastAsiaTheme="minorEastAsia" w:hAnsi="Times New Roman" w:cs="Times New Roman"/>
          <w:sz w:val="24"/>
          <w:szCs w:val="24"/>
        </w:rPr>
        <w:t>dres strony internetowej</w:t>
      </w:r>
      <w:r w:rsidR="00361F4F" w:rsidRPr="003A42FB">
        <w:rPr>
          <w:rFonts w:ascii="Times New Roman" w:eastAsiaTheme="minorEastAsia" w:hAnsi="Times New Roman" w:cs="Times New Roman"/>
          <w:sz w:val="24"/>
          <w:szCs w:val="24"/>
        </w:rPr>
        <w:t xml:space="preserve">, </w:t>
      </w:r>
      <w:r w:rsidR="204DA0BE" w:rsidRPr="003A42FB">
        <w:rPr>
          <w:rFonts w:ascii="Times New Roman" w:eastAsiaTheme="minorEastAsia" w:hAnsi="Times New Roman" w:cs="Times New Roman"/>
          <w:sz w:val="24"/>
          <w:szCs w:val="24"/>
        </w:rPr>
        <w:t>jeżeli taką stronę wnioskodawca posiada</w:t>
      </w:r>
      <w:r w:rsidR="025F6527" w:rsidRPr="003A42FB">
        <w:rPr>
          <w:rFonts w:ascii="Times New Roman" w:eastAsiaTheme="minorEastAsia" w:hAnsi="Times New Roman" w:cs="Times New Roman"/>
          <w:sz w:val="24"/>
          <w:szCs w:val="24"/>
        </w:rPr>
        <w:t>;</w:t>
      </w:r>
    </w:p>
    <w:p w14:paraId="64A954FE" w14:textId="137EDC15" w:rsidR="00B012F1" w:rsidRPr="003A42FB" w:rsidRDefault="0052113B" w:rsidP="00C53EAB">
      <w:pPr>
        <w:pStyle w:val="Akapitzlist"/>
        <w:numPr>
          <w:ilvl w:val="0"/>
          <w:numId w:val="24"/>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w:t>
      </w:r>
      <w:r w:rsidR="025F6527" w:rsidRPr="003A42FB">
        <w:rPr>
          <w:rFonts w:ascii="Times New Roman" w:eastAsiaTheme="minorEastAsia" w:hAnsi="Times New Roman" w:cs="Times New Roman"/>
          <w:sz w:val="24"/>
          <w:szCs w:val="24"/>
        </w:rPr>
        <w:t>bszar</w:t>
      </w:r>
      <w:r w:rsidR="20B553E0" w:rsidRPr="003A42FB">
        <w:rPr>
          <w:rFonts w:ascii="Times New Roman" w:eastAsiaTheme="minorEastAsia" w:hAnsi="Times New Roman" w:cs="Times New Roman"/>
          <w:sz w:val="24"/>
          <w:szCs w:val="24"/>
        </w:rPr>
        <w:t>,</w:t>
      </w:r>
      <w:r w:rsidR="025F6527" w:rsidRPr="003A42FB">
        <w:rPr>
          <w:rFonts w:ascii="Times New Roman" w:eastAsiaTheme="minorEastAsia" w:hAnsi="Times New Roman" w:cs="Times New Roman"/>
          <w:sz w:val="24"/>
          <w:szCs w:val="24"/>
        </w:rPr>
        <w:t xml:space="preserve"> na którym będzie wykonywana działalność telekomunikacyjna</w:t>
      </w:r>
      <w:r w:rsidR="213F3849" w:rsidRPr="003A42FB">
        <w:rPr>
          <w:rFonts w:ascii="Times New Roman" w:eastAsiaTheme="minorEastAsia" w:hAnsi="Times New Roman" w:cs="Times New Roman"/>
          <w:sz w:val="24"/>
          <w:szCs w:val="24"/>
        </w:rPr>
        <w:t>.</w:t>
      </w:r>
    </w:p>
    <w:p w14:paraId="29D2BDBF" w14:textId="34761137" w:rsidR="00B012F1" w:rsidRPr="003A42FB" w:rsidRDefault="007A610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Ponieważ nie można żądać od wnioskodawcy dokumentów potwierdzających poszczególne informacje w</w:t>
      </w:r>
      <w:r w:rsidR="025F6527" w:rsidRPr="003A42FB">
        <w:rPr>
          <w:rFonts w:ascii="Times New Roman" w:eastAsiaTheme="minorEastAsia" w:hAnsi="Times New Roman" w:cs="Times New Roman"/>
          <w:sz w:val="24"/>
          <w:szCs w:val="24"/>
        </w:rPr>
        <w:t xml:space="preserve">niosek o wpis do rejestru </w:t>
      </w:r>
      <w:r w:rsidRPr="003A42FB">
        <w:rPr>
          <w:rFonts w:ascii="Times New Roman" w:eastAsiaTheme="minorEastAsia" w:hAnsi="Times New Roman" w:cs="Times New Roman"/>
          <w:sz w:val="24"/>
          <w:szCs w:val="24"/>
        </w:rPr>
        <w:t xml:space="preserve">PT </w:t>
      </w:r>
      <w:r w:rsidR="025F6527" w:rsidRPr="003A42FB">
        <w:rPr>
          <w:rFonts w:ascii="Times New Roman" w:eastAsiaTheme="minorEastAsia" w:hAnsi="Times New Roman" w:cs="Times New Roman"/>
          <w:sz w:val="24"/>
          <w:szCs w:val="24"/>
        </w:rPr>
        <w:t xml:space="preserve">zawiera </w:t>
      </w:r>
      <w:r w:rsidR="00361F4F" w:rsidRPr="003A42FB">
        <w:rPr>
          <w:rFonts w:ascii="Times New Roman" w:eastAsiaTheme="minorEastAsia" w:hAnsi="Times New Roman" w:cs="Times New Roman"/>
          <w:sz w:val="24"/>
          <w:szCs w:val="24"/>
        </w:rPr>
        <w:t xml:space="preserve">także </w:t>
      </w:r>
      <w:r w:rsidR="025F6527" w:rsidRPr="003A42FB">
        <w:rPr>
          <w:rFonts w:ascii="Times New Roman" w:eastAsiaTheme="minorEastAsia" w:hAnsi="Times New Roman" w:cs="Times New Roman"/>
          <w:sz w:val="24"/>
          <w:szCs w:val="24"/>
        </w:rPr>
        <w:t xml:space="preserve">oświadczenie </w:t>
      </w:r>
      <w:r w:rsidR="00361F4F" w:rsidRPr="003A42FB">
        <w:rPr>
          <w:rFonts w:ascii="Times New Roman" w:eastAsiaTheme="minorEastAsia" w:hAnsi="Times New Roman" w:cs="Times New Roman"/>
          <w:sz w:val="24"/>
          <w:szCs w:val="24"/>
        </w:rPr>
        <w:t xml:space="preserve">o świadomości </w:t>
      </w:r>
      <w:r w:rsidR="025F6527" w:rsidRPr="003A42FB">
        <w:rPr>
          <w:rFonts w:ascii="Times New Roman" w:eastAsiaTheme="minorEastAsia" w:hAnsi="Times New Roman" w:cs="Times New Roman"/>
          <w:sz w:val="24"/>
          <w:szCs w:val="24"/>
        </w:rPr>
        <w:t>odpowiedzialności karnej za składanie fałszywego oświadczenia. Klauzula ta zastępuje pouczenie organu</w:t>
      </w:r>
      <w:r w:rsidR="00A01484" w:rsidRPr="003A42FB">
        <w:rPr>
          <w:rFonts w:ascii="Times New Roman" w:eastAsiaTheme="minorEastAsia" w:hAnsi="Times New Roman" w:cs="Times New Roman"/>
          <w:sz w:val="24"/>
          <w:szCs w:val="24"/>
        </w:rPr>
        <w:t xml:space="preserve"> warunkujące ponoszenie odpowiedzialności</w:t>
      </w:r>
      <w:r w:rsidR="025F6527" w:rsidRPr="003A42FB">
        <w:rPr>
          <w:rFonts w:ascii="Times New Roman" w:eastAsiaTheme="minorEastAsia" w:hAnsi="Times New Roman" w:cs="Times New Roman"/>
          <w:sz w:val="24"/>
          <w:szCs w:val="24"/>
        </w:rPr>
        <w:t>.</w:t>
      </w:r>
      <w:r w:rsidR="00A01484" w:rsidRPr="003A42FB">
        <w:rPr>
          <w:rFonts w:ascii="Times New Roman" w:eastAsiaTheme="minorEastAsia" w:hAnsi="Times New Roman" w:cs="Times New Roman"/>
          <w:sz w:val="24"/>
          <w:szCs w:val="24"/>
        </w:rPr>
        <w:t xml:space="preserve"> Złożone oświadczenie stanowi potwierdzenie zgodności danych ze stanem faktycznym i jego treść nie może być modyfikowana.</w:t>
      </w:r>
    </w:p>
    <w:p w14:paraId="13CA4B38" w14:textId="1D214389"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7</w:t>
      </w:r>
    </w:p>
    <w:p w14:paraId="29F99E9C" w14:textId="41A89CEE"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Analogicznie do art. 6, w art. 7 wskazano informacje jakie jednostka samorządu terytorialnego wykonująca działalność w zakresie telekomunikacji musi podać we wniosku o wpis do rejestru JST</w:t>
      </w:r>
      <w:r w:rsidR="106E43F6" w:rsidRPr="003A42FB">
        <w:rPr>
          <w:rFonts w:ascii="Times New Roman" w:eastAsiaTheme="minorEastAsia" w:hAnsi="Times New Roman" w:cs="Times New Roman"/>
          <w:sz w:val="24"/>
          <w:szCs w:val="24"/>
        </w:rPr>
        <w:t>. Są to</w:t>
      </w:r>
      <w:r w:rsidRPr="003A42FB">
        <w:rPr>
          <w:rFonts w:ascii="Times New Roman" w:eastAsiaTheme="minorEastAsia" w:hAnsi="Times New Roman" w:cs="Times New Roman"/>
          <w:sz w:val="24"/>
          <w:szCs w:val="24"/>
        </w:rPr>
        <w:t xml:space="preserve"> mianowicie:</w:t>
      </w:r>
    </w:p>
    <w:p w14:paraId="52582815" w14:textId="0C5CEA0F"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w:t>
      </w:r>
      <w:r w:rsidR="025F6527" w:rsidRPr="003A42FB">
        <w:rPr>
          <w:rFonts w:ascii="Times New Roman" w:eastAsiaTheme="minorEastAsia" w:hAnsi="Times New Roman" w:cs="Times New Roman"/>
          <w:sz w:val="24"/>
          <w:szCs w:val="24"/>
        </w:rPr>
        <w:t>azwa i dane teleadresowe wnioskodawcy;</w:t>
      </w:r>
    </w:p>
    <w:p w14:paraId="5B654DE8" w14:textId="638C0BDA"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w:t>
      </w:r>
      <w:r w:rsidR="025F6527" w:rsidRPr="003A42FB">
        <w:rPr>
          <w:rFonts w:ascii="Times New Roman" w:eastAsiaTheme="minorEastAsia" w:hAnsi="Times New Roman" w:cs="Times New Roman"/>
          <w:sz w:val="24"/>
          <w:szCs w:val="24"/>
        </w:rPr>
        <w:t>umer rejestrowy</w:t>
      </w:r>
    </w:p>
    <w:p w14:paraId="5E77088B" w14:textId="0EAF9233"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w:t>
      </w:r>
      <w:r w:rsidR="025F6527" w:rsidRPr="003A42FB">
        <w:rPr>
          <w:rFonts w:ascii="Times New Roman" w:eastAsiaTheme="minorEastAsia" w:hAnsi="Times New Roman" w:cs="Times New Roman"/>
          <w:sz w:val="24"/>
          <w:szCs w:val="24"/>
        </w:rPr>
        <w:t>umer TERYT;</w:t>
      </w:r>
    </w:p>
    <w:p w14:paraId="00D1C44A" w14:textId="00886681"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w:t>
      </w:r>
      <w:r w:rsidR="025F6527" w:rsidRPr="003A42FB">
        <w:rPr>
          <w:rFonts w:ascii="Times New Roman" w:eastAsiaTheme="minorEastAsia" w:hAnsi="Times New Roman" w:cs="Times New Roman"/>
          <w:sz w:val="24"/>
          <w:szCs w:val="24"/>
        </w:rPr>
        <w:t>znaczenie formy prawnej prowadzenia działalności w zakresie telekomunikacji przez wnioskodawcę;</w:t>
      </w:r>
    </w:p>
    <w:p w14:paraId="04D02FCF" w14:textId="0BD10A47"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f</w:t>
      </w:r>
      <w:r w:rsidR="025F6527" w:rsidRPr="003A42FB">
        <w:rPr>
          <w:rFonts w:ascii="Times New Roman" w:eastAsiaTheme="minorEastAsia" w:hAnsi="Times New Roman" w:cs="Times New Roman"/>
          <w:sz w:val="24"/>
          <w:szCs w:val="24"/>
        </w:rPr>
        <w:t>irm</w:t>
      </w:r>
      <w:r w:rsidR="00361F4F" w:rsidRPr="003A42FB">
        <w:rPr>
          <w:rFonts w:ascii="Times New Roman" w:eastAsiaTheme="minorEastAsia" w:hAnsi="Times New Roman" w:cs="Times New Roman"/>
          <w:sz w:val="24"/>
          <w:szCs w:val="24"/>
        </w:rPr>
        <w:t xml:space="preserve">a </w:t>
      </w:r>
      <w:r w:rsidR="025F6527" w:rsidRPr="003A42FB">
        <w:rPr>
          <w:rFonts w:ascii="Times New Roman" w:eastAsiaTheme="minorEastAsia" w:hAnsi="Times New Roman" w:cs="Times New Roman"/>
          <w:sz w:val="24"/>
          <w:szCs w:val="24"/>
        </w:rPr>
        <w:t>lub nazw</w:t>
      </w:r>
      <w:r w:rsidR="00361F4F" w:rsidRPr="003A42FB">
        <w:rPr>
          <w:rFonts w:ascii="Times New Roman" w:eastAsiaTheme="minorEastAsia" w:hAnsi="Times New Roman" w:cs="Times New Roman"/>
          <w:sz w:val="24"/>
          <w:szCs w:val="24"/>
        </w:rPr>
        <w:t>a</w:t>
      </w:r>
      <w:r w:rsidR="025F6527" w:rsidRPr="003A42FB">
        <w:rPr>
          <w:rFonts w:ascii="Times New Roman" w:eastAsiaTheme="minorEastAsia" w:hAnsi="Times New Roman" w:cs="Times New Roman"/>
          <w:sz w:val="24"/>
          <w:szCs w:val="24"/>
        </w:rPr>
        <w:t xml:space="preserve"> podmiotu prowadzającego działalność w zakresie telekomunikacji, jeśli ta działalność jest prowadzona w formie wyodrębnionej;</w:t>
      </w:r>
    </w:p>
    <w:p w14:paraId="381370C5" w14:textId="6D840E19"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w:t>
      </w:r>
      <w:r w:rsidR="025F6527" w:rsidRPr="003A42FB">
        <w:rPr>
          <w:rFonts w:ascii="Times New Roman" w:eastAsiaTheme="minorEastAsia" w:hAnsi="Times New Roman" w:cs="Times New Roman"/>
          <w:sz w:val="24"/>
          <w:szCs w:val="24"/>
        </w:rPr>
        <w:t>pis działalności w zakresie telekomunikacji;</w:t>
      </w:r>
    </w:p>
    <w:p w14:paraId="5D989851" w14:textId="47F8FACE"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w:t>
      </w:r>
      <w:r w:rsidR="025F6527" w:rsidRPr="003A42FB">
        <w:rPr>
          <w:rFonts w:ascii="Times New Roman" w:eastAsiaTheme="minorEastAsia" w:hAnsi="Times New Roman" w:cs="Times New Roman"/>
          <w:sz w:val="24"/>
          <w:szCs w:val="24"/>
        </w:rPr>
        <w:t>ane dotyczące uchwały organ</w:t>
      </w:r>
      <w:r w:rsidR="006E4C0D">
        <w:rPr>
          <w:rFonts w:ascii="Times New Roman" w:eastAsiaTheme="minorEastAsia" w:hAnsi="Times New Roman" w:cs="Times New Roman"/>
          <w:sz w:val="24"/>
          <w:szCs w:val="24"/>
        </w:rPr>
        <w:t>u</w:t>
      </w:r>
      <w:r w:rsidR="025F6527" w:rsidRPr="003A42FB">
        <w:rPr>
          <w:rFonts w:ascii="Times New Roman" w:eastAsiaTheme="minorEastAsia" w:hAnsi="Times New Roman" w:cs="Times New Roman"/>
          <w:sz w:val="24"/>
          <w:szCs w:val="24"/>
        </w:rPr>
        <w:t xml:space="preserve"> stanowiącego o rozpoczęciu działalności w zakresie telekomunikacji;</w:t>
      </w:r>
    </w:p>
    <w:p w14:paraId="54030729" w14:textId="57266ED7" w:rsidR="00C32D9D"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w:t>
      </w:r>
      <w:r w:rsidR="00C32D9D" w:rsidRPr="003A42FB">
        <w:rPr>
          <w:rFonts w:ascii="Times New Roman" w:eastAsiaTheme="minorEastAsia" w:hAnsi="Times New Roman" w:cs="Times New Roman"/>
          <w:sz w:val="24"/>
          <w:szCs w:val="24"/>
        </w:rPr>
        <w:t>ane osoby do kontaktu;</w:t>
      </w:r>
    </w:p>
    <w:p w14:paraId="4EF27CDB" w14:textId="098F9F8E"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w:t>
      </w:r>
      <w:r w:rsidR="025F6527" w:rsidRPr="003A42FB">
        <w:rPr>
          <w:rFonts w:ascii="Times New Roman" w:eastAsiaTheme="minorEastAsia" w:hAnsi="Times New Roman" w:cs="Times New Roman"/>
          <w:sz w:val="24"/>
          <w:szCs w:val="24"/>
        </w:rPr>
        <w:t>bszar</w:t>
      </w:r>
      <w:r w:rsidR="1DB13610" w:rsidRPr="003A42FB">
        <w:rPr>
          <w:rFonts w:ascii="Times New Roman" w:eastAsiaTheme="minorEastAsia" w:hAnsi="Times New Roman" w:cs="Times New Roman"/>
          <w:sz w:val="24"/>
          <w:szCs w:val="24"/>
        </w:rPr>
        <w:t>,</w:t>
      </w:r>
      <w:r w:rsidR="025F6527" w:rsidRPr="003A42FB">
        <w:rPr>
          <w:rFonts w:ascii="Times New Roman" w:eastAsiaTheme="minorEastAsia" w:hAnsi="Times New Roman" w:cs="Times New Roman"/>
          <w:sz w:val="24"/>
          <w:szCs w:val="24"/>
        </w:rPr>
        <w:t xml:space="preserve"> na którym będzie wykonywana działalność </w:t>
      </w:r>
      <w:r w:rsidR="31C821BB" w:rsidRPr="003A42FB">
        <w:rPr>
          <w:rFonts w:ascii="Times New Roman" w:eastAsiaTheme="minorEastAsia" w:hAnsi="Times New Roman" w:cs="Times New Roman"/>
          <w:sz w:val="24"/>
          <w:szCs w:val="24"/>
        </w:rPr>
        <w:t>w zakresie telekomunikacji</w:t>
      </w:r>
      <w:r w:rsidR="025F6527" w:rsidRPr="003A42FB">
        <w:rPr>
          <w:rFonts w:ascii="Times New Roman" w:eastAsiaTheme="minorEastAsia" w:hAnsi="Times New Roman" w:cs="Times New Roman"/>
          <w:sz w:val="24"/>
          <w:szCs w:val="24"/>
        </w:rPr>
        <w:t>;</w:t>
      </w:r>
    </w:p>
    <w:p w14:paraId="404D2B9E" w14:textId="65E8C328" w:rsidR="00B012F1" w:rsidRPr="003A42FB" w:rsidRDefault="0052113B" w:rsidP="00C53EAB">
      <w:pPr>
        <w:pStyle w:val="Akapitzlist"/>
        <w:numPr>
          <w:ilvl w:val="0"/>
          <w:numId w:val="2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w:t>
      </w:r>
      <w:r w:rsidR="025F6527" w:rsidRPr="003A42FB">
        <w:rPr>
          <w:rFonts w:ascii="Times New Roman" w:eastAsiaTheme="minorEastAsia" w:hAnsi="Times New Roman" w:cs="Times New Roman"/>
          <w:sz w:val="24"/>
          <w:szCs w:val="24"/>
        </w:rPr>
        <w:t>a</w:t>
      </w:r>
      <w:r w:rsidR="00C32D9D" w:rsidRPr="003A42FB">
        <w:rPr>
          <w:rFonts w:ascii="Times New Roman" w:eastAsiaTheme="minorEastAsia" w:hAnsi="Times New Roman" w:cs="Times New Roman"/>
          <w:sz w:val="24"/>
          <w:szCs w:val="24"/>
        </w:rPr>
        <w:t xml:space="preserve">ta </w:t>
      </w:r>
      <w:r w:rsidR="025F6527" w:rsidRPr="003A42FB">
        <w:rPr>
          <w:rFonts w:ascii="Times New Roman" w:eastAsiaTheme="minorEastAsia" w:hAnsi="Times New Roman" w:cs="Times New Roman"/>
          <w:sz w:val="24"/>
          <w:szCs w:val="24"/>
        </w:rPr>
        <w:t xml:space="preserve">rozpoczęcia działalności </w:t>
      </w:r>
      <w:r w:rsidR="66BE3860" w:rsidRPr="003A42FB">
        <w:rPr>
          <w:rFonts w:ascii="Times New Roman" w:eastAsiaTheme="minorEastAsia" w:hAnsi="Times New Roman" w:cs="Times New Roman"/>
          <w:sz w:val="24"/>
          <w:szCs w:val="24"/>
        </w:rPr>
        <w:t>w zakresie telekomunikacji</w:t>
      </w:r>
      <w:r w:rsidR="4294D52F" w:rsidRPr="003A42FB">
        <w:rPr>
          <w:rFonts w:ascii="Times New Roman" w:eastAsiaTheme="minorEastAsia" w:hAnsi="Times New Roman" w:cs="Times New Roman"/>
          <w:sz w:val="24"/>
          <w:szCs w:val="24"/>
        </w:rPr>
        <w:t>.</w:t>
      </w:r>
    </w:p>
    <w:p w14:paraId="7351353D" w14:textId="1D5839ED"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Wniosek o wpis do rejestru JST </w:t>
      </w:r>
      <w:r w:rsidR="00A01484" w:rsidRPr="003A42FB">
        <w:rPr>
          <w:rFonts w:ascii="Times New Roman" w:eastAsiaTheme="minorEastAsia" w:hAnsi="Times New Roman" w:cs="Times New Roman"/>
          <w:sz w:val="24"/>
          <w:szCs w:val="24"/>
        </w:rPr>
        <w:t>analogicznie do wniosku o wpis do rejestru PT</w:t>
      </w:r>
      <w:r w:rsidR="6DA2CB1B" w:rsidRPr="003A42FB">
        <w:rPr>
          <w:rFonts w:ascii="Times New Roman" w:eastAsiaTheme="minorEastAsia" w:hAnsi="Times New Roman" w:cs="Times New Roman"/>
          <w:sz w:val="24"/>
          <w:szCs w:val="24"/>
        </w:rPr>
        <w:t xml:space="preserve"> zawiera</w:t>
      </w:r>
      <w:r w:rsidRPr="003A42FB">
        <w:rPr>
          <w:rFonts w:ascii="Times New Roman" w:eastAsiaTheme="minorEastAsia" w:hAnsi="Times New Roman" w:cs="Times New Roman"/>
          <w:sz w:val="24"/>
          <w:szCs w:val="24"/>
        </w:rPr>
        <w:t xml:space="preserve"> oświadczenie </w:t>
      </w:r>
      <w:r w:rsidR="00C32D9D" w:rsidRPr="003A42FB">
        <w:rPr>
          <w:rFonts w:ascii="Times New Roman" w:eastAsiaTheme="minorEastAsia" w:hAnsi="Times New Roman" w:cs="Times New Roman"/>
          <w:sz w:val="24"/>
          <w:szCs w:val="24"/>
        </w:rPr>
        <w:t xml:space="preserve">o świadomości </w:t>
      </w:r>
      <w:r w:rsidRPr="003A42FB">
        <w:rPr>
          <w:rFonts w:ascii="Times New Roman" w:eastAsiaTheme="minorEastAsia" w:hAnsi="Times New Roman" w:cs="Times New Roman"/>
          <w:sz w:val="24"/>
          <w:szCs w:val="24"/>
        </w:rPr>
        <w:t>odpowiedzialności karnej za składanie fałszywego oświadczenia</w:t>
      </w:r>
      <w:r w:rsidR="00C32D9D" w:rsidRPr="003A42FB">
        <w:rPr>
          <w:rFonts w:ascii="Times New Roman" w:eastAsiaTheme="minorEastAsia" w:hAnsi="Times New Roman" w:cs="Times New Roman"/>
          <w:sz w:val="24"/>
          <w:szCs w:val="24"/>
        </w:rPr>
        <w:t xml:space="preserve"> przy czym</w:t>
      </w:r>
      <w:r w:rsidR="00FF7922" w:rsidRPr="003A42FB">
        <w:rPr>
          <w:rFonts w:ascii="Times New Roman" w:eastAsiaTheme="minorEastAsia" w:hAnsi="Times New Roman" w:cs="Times New Roman"/>
          <w:sz w:val="24"/>
          <w:szCs w:val="24"/>
        </w:rPr>
        <w:t xml:space="preserve"> k</w:t>
      </w:r>
      <w:r w:rsidRPr="003A42FB">
        <w:rPr>
          <w:rFonts w:ascii="Times New Roman" w:eastAsiaTheme="minorEastAsia" w:hAnsi="Times New Roman" w:cs="Times New Roman"/>
          <w:sz w:val="24"/>
          <w:szCs w:val="24"/>
        </w:rPr>
        <w:t>lauzula ta zastępuje pouczenie organu.</w:t>
      </w:r>
    </w:p>
    <w:p w14:paraId="6B997548" w14:textId="5E934278"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8</w:t>
      </w:r>
    </w:p>
    <w:p w14:paraId="4921A149" w14:textId="79349782"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8 określa zasady dokonywania przez Prezesa UKE wpisu do rejestr PT albo rejestru JST. </w:t>
      </w:r>
      <w:r w:rsidR="00DB4D63" w:rsidRPr="003A42FB">
        <w:rPr>
          <w:rFonts w:ascii="Times New Roman" w:eastAsiaTheme="minorEastAsia" w:hAnsi="Times New Roman" w:cs="Times New Roman"/>
          <w:sz w:val="24"/>
          <w:szCs w:val="24"/>
        </w:rPr>
        <w:t xml:space="preserve">Zgodnie z art. 43 ust. 1 ustawy </w:t>
      </w:r>
      <w:r w:rsidR="1BC4622E" w:rsidRPr="003A42FB">
        <w:rPr>
          <w:rFonts w:ascii="Times New Roman" w:eastAsiaTheme="minorEastAsia" w:hAnsi="Times New Roman" w:cs="Times New Roman"/>
          <w:sz w:val="24"/>
          <w:szCs w:val="24"/>
        </w:rPr>
        <w:t xml:space="preserve">- </w:t>
      </w:r>
      <w:r w:rsidR="00DB4D63" w:rsidRPr="003A42FB">
        <w:rPr>
          <w:rFonts w:ascii="Times New Roman" w:eastAsiaTheme="minorEastAsia" w:hAnsi="Times New Roman" w:cs="Times New Roman"/>
          <w:sz w:val="24"/>
          <w:szCs w:val="24"/>
        </w:rPr>
        <w:t xml:space="preserve">Prawo przedsiębiorców rejestracja powinna nastąpić przed rozpoczęciem działalności telekomunikacyjnej. Dlatego wniosek o wpis należy złożyć z odpowiednim wyprzedzeniem. </w:t>
      </w:r>
      <w:r w:rsidRPr="003A42FB">
        <w:rPr>
          <w:rFonts w:ascii="Times New Roman" w:eastAsiaTheme="minorEastAsia" w:hAnsi="Times New Roman" w:cs="Times New Roman"/>
          <w:sz w:val="24"/>
          <w:szCs w:val="24"/>
        </w:rPr>
        <w:t>Prezes UKE dokonuje wpisu</w:t>
      </w:r>
      <w:r w:rsidR="00A24F18" w:rsidRPr="003A42FB">
        <w:rPr>
          <w:rFonts w:ascii="Times New Roman" w:eastAsiaTheme="minorEastAsia" w:hAnsi="Times New Roman" w:cs="Times New Roman"/>
          <w:sz w:val="24"/>
          <w:szCs w:val="24"/>
        </w:rPr>
        <w:t xml:space="preserve"> albo zmiany wpisu</w:t>
      </w:r>
      <w:r w:rsidRPr="003A42FB">
        <w:rPr>
          <w:rFonts w:ascii="Times New Roman" w:eastAsiaTheme="minorEastAsia" w:hAnsi="Times New Roman" w:cs="Times New Roman"/>
          <w:sz w:val="24"/>
          <w:szCs w:val="24"/>
        </w:rPr>
        <w:t xml:space="preserve"> w terminie 3 dni roboczych od dnia wpływu tego wniosku lub od dnia </w:t>
      </w:r>
      <w:r w:rsidR="00C32D9D" w:rsidRPr="003A42FB">
        <w:rPr>
          <w:rFonts w:ascii="Times New Roman" w:eastAsiaTheme="minorEastAsia" w:hAnsi="Times New Roman" w:cs="Times New Roman"/>
          <w:sz w:val="24"/>
          <w:szCs w:val="24"/>
        </w:rPr>
        <w:t xml:space="preserve">jego </w:t>
      </w:r>
      <w:r w:rsidRPr="003A42FB">
        <w:rPr>
          <w:rFonts w:ascii="Times New Roman" w:eastAsiaTheme="minorEastAsia" w:hAnsi="Times New Roman" w:cs="Times New Roman"/>
          <w:sz w:val="24"/>
          <w:szCs w:val="24"/>
        </w:rPr>
        <w:t>uzupełnienia. Konieczność uzupełnienia wniosku następuje w sytuacji, w której wniosek nie zawiera kompletnych danych. W takim wypadku Prezes UKE wzywa wnioskodawcę do uzupełnienia wniosku w terminie 7 dni od dnia doręczenia wezwania</w:t>
      </w:r>
      <w:r w:rsidR="00A01484" w:rsidRPr="003A42FB">
        <w:rPr>
          <w:rFonts w:ascii="Times New Roman" w:eastAsiaTheme="minorEastAsia" w:hAnsi="Times New Roman" w:cs="Times New Roman"/>
          <w:sz w:val="24"/>
          <w:szCs w:val="24"/>
        </w:rPr>
        <w:t xml:space="preserve">, przy czym wezwanie powinno nastąpić w terminie </w:t>
      </w:r>
      <w:r w:rsidR="00A01484" w:rsidRPr="003A42FB">
        <w:rPr>
          <w:rFonts w:ascii="Times New Roman" w:eastAsiaTheme="minorEastAsia" w:hAnsi="Times New Roman" w:cs="Times New Roman"/>
          <w:sz w:val="24"/>
          <w:szCs w:val="24"/>
        </w:rPr>
        <w:lastRenderedPageBreak/>
        <w:t>przewidzianym na dokonanie wpisu do rejestru, czyli w ciągu 3 dni od dnia wpływu wniosku.</w:t>
      </w:r>
      <w:r w:rsidRPr="003A42FB">
        <w:rPr>
          <w:rFonts w:ascii="Times New Roman" w:eastAsiaTheme="minorEastAsia" w:hAnsi="Times New Roman" w:cs="Times New Roman"/>
          <w:sz w:val="24"/>
          <w:szCs w:val="24"/>
        </w:rPr>
        <w:t xml:space="preserve"> Bezskuteczny upływ terminu skutkuje pozostawianiem wniosku bez rozpoznania. </w:t>
      </w:r>
    </w:p>
    <w:p w14:paraId="7C0D9CF5" w14:textId="2C0DE6B9"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Ponieważ wniosek o wpis ma charakter deklaratoryjny, </w:t>
      </w:r>
      <w:r w:rsidR="007A610D" w:rsidRPr="003A42FB">
        <w:rPr>
          <w:rFonts w:ascii="Times New Roman" w:eastAsiaTheme="minorEastAsia" w:hAnsi="Times New Roman" w:cs="Times New Roman"/>
          <w:sz w:val="24"/>
          <w:szCs w:val="24"/>
        </w:rPr>
        <w:t xml:space="preserve">to wnioskodawca może rozpocząć wykonywanie działalności telekomunikacyjnej albo </w:t>
      </w:r>
      <w:r w:rsidR="08A54AC4" w:rsidRPr="003A42FB">
        <w:rPr>
          <w:rFonts w:ascii="Times New Roman" w:eastAsiaTheme="minorEastAsia" w:hAnsi="Times New Roman" w:cs="Times New Roman"/>
          <w:sz w:val="24"/>
          <w:szCs w:val="24"/>
        </w:rPr>
        <w:t>z</w:t>
      </w:r>
      <w:r w:rsidR="007A610D" w:rsidRPr="003A42FB">
        <w:rPr>
          <w:rFonts w:ascii="Times New Roman" w:eastAsiaTheme="minorEastAsia" w:hAnsi="Times New Roman" w:cs="Times New Roman"/>
          <w:sz w:val="24"/>
          <w:szCs w:val="24"/>
        </w:rPr>
        <w:t xml:space="preserve"> zakresu telekomunikacji </w:t>
      </w:r>
      <w:r w:rsidRPr="003A42FB">
        <w:rPr>
          <w:rFonts w:ascii="Times New Roman" w:eastAsiaTheme="minorEastAsia" w:hAnsi="Times New Roman" w:cs="Times New Roman"/>
          <w:sz w:val="24"/>
          <w:szCs w:val="24"/>
        </w:rPr>
        <w:t xml:space="preserve">jeśli Prezes UKE nie dokona wpisu do </w:t>
      </w:r>
      <w:r w:rsidR="007A610D" w:rsidRPr="003A42FB">
        <w:rPr>
          <w:rFonts w:ascii="Times New Roman" w:eastAsiaTheme="minorEastAsia" w:hAnsi="Times New Roman" w:cs="Times New Roman"/>
          <w:sz w:val="24"/>
          <w:szCs w:val="24"/>
        </w:rPr>
        <w:t xml:space="preserve">właściwego </w:t>
      </w:r>
      <w:r w:rsidRPr="003A42FB">
        <w:rPr>
          <w:rFonts w:ascii="Times New Roman" w:eastAsiaTheme="minorEastAsia" w:hAnsi="Times New Roman" w:cs="Times New Roman"/>
          <w:sz w:val="24"/>
          <w:szCs w:val="24"/>
        </w:rPr>
        <w:t>rejestru w terminie 3 dni roboczych od dnia wpływu kompletnego wniosku</w:t>
      </w:r>
      <w:r w:rsidR="63F34668" w:rsidRPr="003A42FB">
        <w:rPr>
          <w:rFonts w:ascii="Times New Roman" w:eastAsiaTheme="minorEastAsia" w:hAnsi="Times New Roman" w:cs="Times New Roman"/>
          <w:sz w:val="24"/>
          <w:szCs w:val="24"/>
        </w:rPr>
        <w:t xml:space="preserve">. </w:t>
      </w:r>
    </w:p>
    <w:p w14:paraId="4B890625" w14:textId="0C71FEE5" w:rsidR="4802621F" w:rsidRPr="003A42FB" w:rsidRDefault="4802621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Ponadto Prezes UKE</w:t>
      </w:r>
      <w:r w:rsidR="7FCE6AB7"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74E0FE93" w:rsidRPr="003A42FB">
        <w:rPr>
          <w:rFonts w:ascii="Times New Roman" w:eastAsiaTheme="minorEastAsia" w:hAnsi="Times New Roman" w:cs="Times New Roman"/>
          <w:sz w:val="24"/>
          <w:szCs w:val="24"/>
        </w:rPr>
        <w:t>wzorem art. 11 ustawy</w:t>
      </w:r>
      <w:r w:rsidR="0823B946" w:rsidRPr="003A42FB">
        <w:rPr>
          <w:rFonts w:ascii="Times New Roman" w:eastAsiaTheme="minorEastAsia" w:hAnsi="Times New Roman" w:cs="Times New Roman"/>
          <w:sz w:val="24"/>
          <w:szCs w:val="24"/>
        </w:rPr>
        <w:t xml:space="preserve"> z dnia 6 marca 2018 r. o Centralnej Ewidencji i Informacji</w:t>
      </w:r>
      <w:r w:rsidR="0052113B" w:rsidRPr="003A42FB">
        <w:rPr>
          <w:rFonts w:ascii="Times New Roman" w:eastAsiaTheme="minorEastAsia" w:hAnsi="Times New Roman" w:cs="Times New Roman"/>
          <w:sz w:val="24"/>
          <w:szCs w:val="24"/>
        </w:rPr>
        <w:t xml:space="preserve"> o Działalności Gospodarczej i Punkcie Informacji dla Przedsiębiorcy</w:t>
      </w:r>
      <w:r w:rsidR="0823B946" w:rsidRPr="003A42FB">
        <w:rPr>
          <w:rFonts w:ascii="Times New Roman" w:eastAsiaTheme="minorEastAsia" w:hAnsi="Times New Roman" w:cs="Times New Roman"/>
          <w:sz w:val="24"/>
          <w:szCs w:val="24"/>
        </w:rPr>
        <w:t xml:space="preserve"> </w:t>
      </w:r>
      <w:r w:rsidR="4D4EED84" w:rsidRPr="003A42FB">
        <w:rPr>
          <w:rFonts w:ascii="Times New Roman" w:eastAsiaTheme="minorEastAsia" w:hAnsi="Times New Roman" w:cs="Times New Roman"/>
          <w:sz w:val="24"/>
          <w:szCs w:val="24"/>
        </w:rPr>
        <w:t>(</w:t>
      </w:r>
      <w:r w:rsidR="0823B946" w:rsidRPr="003A42FB">
        <w:rPr>
          <w:rFonts w:ascii="Times New Roman" w:eastAsiaTheme="minorEastAsia" w:hAnsi="Times New Roman" w:cs="Times New Roman"/>
          <w:sz w:val="24"/>
          <w:szCs w:val="24"/>
        </w:rPr>
        <w:t>Dz.</w:t>
      </w:r>
      <w:r w:rsidR="00816DC9" w:rsidRPr="003A42FB">
        <w:rPr>
          <w:rFonts w:ascii="Times New Roman" w:eastAsiaTheme="minorEastAsia" w:hAnsi="Times New Roman" w:cs="Times New Roman"/>
          <w:sz w:val="24"/>
          <w:szCs w:val="24"/>
        </w:rPr>
        <w:t xml:space="preserve"> </w:t>
      </w:r>
      <w:r w:rsidR="0823B946" w:rsidRPr="003A42FB">
        <w:rPr>
          <w:rFonts w:ascii="Times New Roman" w:eastAsiaTheme="minorEastAsia" w:hAnsi="Times New Roman" w:cs="Times New Roman"/>
          <w:sz w:val="24"/>
          <w:szCs w:val="24"/>
        </w:rPr>
        <w:t>U.</w:t>
      </w:r>
      <w:r w:rsidR="6142F518" w:rsidRPr="003A42FB">
        <w:rPr>
          <w:rFonts w:ascii="Times New Roman" w:eastAsiaTheme="minorEastAsia" w:hAnsi="Times New Roman" w:cs="Times New Roman"/>
          <w:sz w:val="24"/>
          <w:szCs w:val="24"/>
        </w:rPr>
        <w:t xml:space="preserve"> z 2019 r. poz. 129</w:t>
      </w:r>
      <w:r w:rsidR="3ACC0C50" w:rsidRPr="003A42FB">
        <w:rPr>
          <w:rFonts w:ascii="Times New Roman" w:eastAsiaTheme="minorEastAsia" w:hAnsi="Times New Roman" w:cs="Times New Roman"/>
          <w:sz w:val="24"/>
          <w:szCs w:val="24"/>
        </w:rPr>
        <w:t>1</w:t>
      </w:r>
      <w:r w:rsidR="5E2016E5" w:rsidRPr="003A42FB">
        <w:rPr>
          <w:rFonts w:ascii="Times New Roman" w:eastAsiaTheme="minorEastAsia" w:hAnsi="Times New Roman" w:cs="Times New Roman"/>
          <w:sz w:val="24"/>
          <w:szCs w:val="24"/>
        </w:rPr>
        <w:t>,</w:t>
      </w:r>
      <w:r w:rsidR="744EA674" w:rsidRPr="003A42FB">
        <w:rPr>
          <w:rFonts w:ascii="Times New Roman" w:eastAsiaTheme="minorEastAsia" w:hAnsi="Times New Roman" w:cs="Times New Roman"/>
          <w:sz w:val="24"/>
          <w:szCs w:val="24"/>
        </w:rPr>
        <w:t xml:space="preserve"> </w:t>
      </w:r>
      <w:r w:rsidR="0052113B" w:rsidRPr="003A42FB">
        <w:rPr>
          <w:rFonts w:ascii="Times New Roman" w:eastAsiaTheme="minorEastAsia" w:hAnsi="Times New Roman" w:cs="Times New Roman"/>
          <w:sz w:val="24"/>
          <w:szCs w:val="24"/>
        </w:rPr>
        <w:t>1495 i 1649</w:t>
      </w:r>
      <w:r w:rsidR="7C94F565" w:rsidRPr="003A42FB">
        <w:rPr>
          <w:rFonts w:ascii="Times New Roman" w:eastAsiaTheme="minorEastAsia" w:hAnsi="Times New Roman" w:cs="Times New Roman"/>
          <w:sz w:val="24"/>
          <w:szCs w:val="24"/>
        </w:rPr>
        <w:t>)</w:t>
      </w:r>
      <w:r w:rsidR="0823B946" w:rsidRPr="003A42FB">
        <w:rPr>
          <w:rFonts w:ascii="Times New Roman" w:eastAsiaTheme="minorEastAsia" w:hAnsi="Times New Roman" w:cs="Times New Roman"/>
          <w:sz w:val="24"/>
          <w:szCs w:val="24"/>
        </w:rPr>
        <w:t>,</w:t>
      </w:r>
      <w:r w:rsidR="469A167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korzysta z informacji zawartych w</w:t>
      </w:r>
      <w:r w:rsidR="60A7450B" w:rsidRPr="003A42FB">
        <w:rPr>
          <w:rFonts w:ascii="Times New Roman" w:eastAsiaTheme="minorEastAsia" w:hAnsi="Times New Roman" w:cs="Times New Roman"/>
          <w:sz w:val="24"/>
          <w:szCs w:val="24"/>
        </w:rPr>
        <w:t xml:space="preserve"> publicznie dostępnych </w:t>
      </w:r>
      <w:r w:rsidRPr="003A42FB">
        <w:rPr>
          <w:rFonts w:ascii="Times New Roman" w:eastAsiaTheme="minorEastAsia" w:hAnsi="Times New Roman" w:cs="Times New Roman"/>
          <w:sz w:val="24"/>
          <w:szCs w:val="24"/>
        </w:rPr>
        <w:t>rejestrac</w:t>
      </w:r>
      <w:r w:rsidR="119281F9" w:rsidRPr="003A42FB">
        <w:rPr>
          <w:rFonts w:ascii="Times New Roman" w:eastAsiaTheme="minorEastAsia" w:hAnsi="Times New Roman" w:cs="Times New Roman"/>
          <w:sz w:val="24"/>
          <w:szCs w:val="24"/>
        </w:rPr>
        <w:t>h</w:t>
      </w:r>
      <w:r w:rsidR="4401AE6D" w:rsidRPr="003A42FB">
        <w:rPr>
          <w:rFonts w:ascii="Times New Roman" w:eastAsiaTheme="minorEastAsia" w:hAnsi="Times New Roman" w:cs="Times New Roman"/>
          <w:sz w:val="24"/>
          <w:szCs w:val="24"/>
        </w:rPr>
        <w:t xml:space="preserve"> funkcjonujących</w:t>
      </w:r>
      <w:r w:rsidRPr="003A42FB">
        <w:rPr>
          <w:rFonts w:ascii="Times New Roman" w:eastAsiaTheme="minorEastAsia" w:hAnsi="Times New Roman" w:cs="Times New Roman"/>
          <w:sz w:val="24"/>
          <w:szCs w:val="24"/>
        </w:rPr>
        <w:t xml:space="preserve"> w </w:t>
      </w:r>
      <w:r w:rsidR="281E60A0" w:rsidRPr="003A42FB">
        <w:rPr>
          <w:rFonts w:ascii="Times New Roman" w:eastAsiaTheme="minorEastAsia" w:hAnsi="Times New Roman" w:cs="Times New Roman"/>
          <w:sz w:val="24"/>
          <w:szCs w:val="24"/>
        </w:rPr>
        <w:t>postaci</w:t>
      </w:r>
      <w:r w:rsidRPr="003A42FB">
        <w:rPr>
          <w:rFonts w:ascii="Times New Roman" w:eastAsiaTheme="minorEastAsia" w:hAnsi="Times New Roman" w:cs="Times New Roman"/>
          <w:sz w:val="24"/>
          <w:szCs w:val="24"/>
        </w:rPr>
        <w:t xml:space="preserve"> elektronicznej</w:t>
      </w:r>
      <w:r w:rsidR="6AB9C041" w:rsidRPr="003A42FB">
        <w:rPr>
          <w:rFonts w:ascii="Times New Roman" w:eastAsiaTheme="minorEastAsia" w:hAnsi="Times New Roman" w:cs="Times New Roman"/>
          <w:sz w:val="24"/>
          <w:szCs w:val="24"/>
        </w:rPr>
        <w:t xml:space="preserve"> (np. KRS, CEIDG)</w:t>
      </w:r>
      <w:r w:rsidRPr="003A42FB">
        <w:rPr>
          <w:rFonts w:ascii="Times New Roman" w:eastAsiaTheme="minorEastAsia" w:hAnsi="Times New Roman" w:cs="Times New Roman"/>
          <w:sz w:val="24"/>
          <w:szCs w:val="24"/>
        </w:rPr>
        <w:t>, w szczególności w celu weryfikacji danych wpisanych do rejestru PT albo rejestru JST, a także prostuje z urzędu wpis zawierający oczywiste błędy.</w:t>
      </w:r>
      <w:r w:rsidR="00785706" w:rsidRPr="003A42FB">
        <w:rPr>
          <w:rFonts w:ascii="Times New Roman" w:eastAsiaTheme="minorEastAsia" w:hAnsi="Times New Roman" w:cs="Times New Roman"/>
          <w:sz w:val="24"/>
          <w:szCs w:val="24"/>
        </w:rPr>
        <w:t xml:space="preserve"> W przypadku wystąpienia rozbieżności między danymi np. w CEIDG a danymi zamieszczonymi we wniosku stosuje się dane z CEIDG</w:t>
      </w:r>
      <w:r w:rsidR="00DA5A27">
        <w:rPr>
          <w:rFonts w:ascii="Times New Roman" w:eastAsiaTheme="minorEastAsia" w:hAnsi="Times New Roman" w:cs="Times New Roman"/>
          <w:sz w:val="24"/>
          <w:szCs w:val="24"/>
        </w:rPr>
        <w:t xml:space="preserve">, </w:t>
      </w:r>
      <w:r w:rsidR="00DA5A27" w:rsidRPr="00DA5A27">
        <w:rPr>
          <w:rFonts w:ascii="Times New Roman" w:eastAsiaTheme="minorEastAsia" w:hAnsi="Times New Roman" w:cs="Times New Roman"/>
          <w:sz w:val="24"/>
          <w:szCs w:val="24"/>
        </w:rPr>
        <w:t>o czym Prezes UKE informuje wnioskodawcę</w:t>
      </w:r>
      <w:r w:rsidR="00785706" w:rsidRPr="003A42FB">
        <w:rPr>
          <w:rFonts w:ascii="Times New Roman" w:eastAsiaTheme="minorEastAsia" w:hAnsi="Times New Roman" w:cs="Times New Roman"/>
          <w:sz w:val="24"/>
          <w:szCs w:val="24"/>
        </w:rPr>
        <w:t>.</w:t>
      </w:r>
    </w:p>
    <w:p w14:paraId="54C06968" w14:textId="5AF287C0"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9 i art. 10</w:t>
      </w:r>
    </w:p>
    <w:p w14:paraId="30F2D1F9" w14:textId="4A18DACF"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w/w przepisach projekt ustawy precyzuje, jakie informacje mają być opublikowane w rejestrach</w:t>
      </w:r>
      <w:r w:rsidR="00C32D9D" w:rsidRPr="003A42FB">
        <w:rPr>
          <w:rFonts w:ascii="Times New Roman" w:eastAsiaTheme="minorEastAsia" w:hAnsi="Times New Roman" w:cs="Times New Roman"/>
          <w:sz w:val="24"/>
          <w:szCs w:val="24"/>
        </w:rPr>
        <w:t>, czyli kolejny numer wpisu w poszczególnych rejestrach oraz</w:t>
      </w:r>
      <w:r w:rsidRPr="003A42FB">
        <w:rPr>
          <w:rFonts w:ascii="Times New Roman" w:eastAsiaTheme="minorEastAsia" w:hAnsi="Times New Roman" w:cs="Times New Roman"/>
          <w:sz w:val="24"/>
          <w:szCs w:val="24"/>
        </w:rPr>
        <w:t xml:space="preserve"> wszystkie informacje z wniosku o wpis do rejestru, z wyjątkiem informacji o osobie upoważnionej do reprezentowania wnioskodawcy przez Prezesem UKE</w:t>
      </w:r>
      <w:r w:rsidR="009B34F3">
        <w:rPr>
          <w:rFonts w:ascii="Times New Roman" w:eastAsiaTheme="minorEastAsia" w:hAnsi="Times New Roman" w:cs="Times New Roman"/>
          <w:sz w:val="24"/>
          <w:szCs w:val="24"/>
        </w:rPr>
        <w:t xml:space="preserve"> oraz </w:t>
      </w:r>
      <w:r w:rsidR="009B34F3" w:rsidRPr="009B34F3">
        <w:rPr>
          <w:rFonts w:ascii="Times New Roman" w:eastAsiaTheme="minorEastAsia" w:hAnsi="Times New Roman" w:cs="Times New Roman"/>
          <w:sz w:val="24"/>
          <w:szCs w:val="24"/>
        </w:rPr>
        <w:t>datę wpływu wniosku o wpis do rejest</w:t>
      </w:r>
      <w:r w:rsidR="009B34F3">
        <w:rPr>
          <w:rFonts w:ascii="Times New Roman" w:eastAsiaTheme="minorEastAsia" w:hAnsi="Times New Roman" w:cs="Times New Roman"/>
          <w:sz w:val="24"/>
          <w:szCs w:val="24"/>
        </w:rPr>
        <w:t>ru PT oraz datę dokonania wpisu.</w:t>
      </w:r>
    </w:p>
    <w:p w14:paraId="68E43339" w14:textId="7F07C3D9" w:rsidR="00785706" w:rsidRPr="003A42FB" w:rsidRDefault="0078570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Nowością w rejestrze PT i rejestrze JST jest informacja o dacie wykreślenia podmiotu z rejestru. Informacja ta ma walor archiwalny. </w:t>
      </w:r>
    </w:p>
    <w:p w14:paraId="3DC03D08" w14:textId="02223595"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11</w:t>
      </w:r>
    </w:p>
    <w:p w14:paraId="294FC984" w14:textId="368F0E6B" w:rsidR="00B012F1"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art. 11 stanowią transpozycję art. 14 EKŁE. </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Ponieważ wpis do rejestru następuje bez konieczności wydawania decyzji administracyjnej, Prezes UKE ma obowiązek wydawania z urzędu zaświadczeń o dokonanych wpisach. Ust. 2 zawiera informacje, jakie mają znaleźć się w zaświadczeniu. Poza danymi zawartymi w rejestrze, zaświadczenie ma również zawierać informację o prawach przysługujących przedsiębiorcy telekomunikacyjnemu</w:t>
      </w:r>
      <w:r w:rsidR="00C32D9D" w:rsidRPr="003A42FB">
        <w:rPr>
          <w:rFonts w:ascii="Times New Roman" w:eastAsiaTheme="minorEastAsia" w:hAnsi="Times New Roman" w:cs="Times New Roman"/>
          <w:sz w:val="24"/>
          <w:szCs w:val="24"/>
        </w:rPr>
        <w:t xml:space="preserve"> lub jednostce samorządu terytorialnego wykonującej działalność z zakresu telekomunikacji </w:t>
      </w:r>
      <w:r w:rsidRPr="003A42FB">
        <w:rPr>
          <w:rFonts w:ascii="Times New Roman" w:eastAsiaTheme="minorEastAsia" w:hAnsi="Times New Roman" w:cs="Times New Roman"/>
          <w:sz w:val="24"/>
          <w:szCs w:val="24"/>
        </w:rPr>
        <w:t xml:space="preserve">na podstawie </w:t>
      </w:r>
      <w:r w:rsidR="00C32D9D" w:rsidRPr="003A42FB">
        <w:rPr>
          <w:rFonts w:ascii="Times New Roman" w:eastAsiaTheme="minorEastAsia" w:hAnsi="Times New Roman" w:cs="Times New Roman"/>
          <w:sz w:val="24"/>
          <w:szCs w:val="24"/>
        </w:rPr>
        <w:t xml:space="preserve">niniejszej </w:t>
      </w:r>
      <w:r w:rsidRPr="003A42FB">
        <w:rPr>
          <w:rFonts w:ascii="Times New Roman" w:eastAsiaTheme="minorEastAsia" w:hAnsi="Times New Roman" w:cs="Times New Roman"/>
          <w:sz w:val="24"/>
          <w:szCs w:val="24"/>
        </w:rPr>
        <w:t xml:space="preserve">ustawy. Zaświadczenie </w:t>
      </w:r>
      <w:r w:rsidR="00C32D9D" w:rsidRPr="003A42FB">
        <w:rPr>
          <w:rFonts w:ascii="Times New Roman" w:eastAsiaTheme="minorEastAsia" w:hAnsi="Times New Roman" w:cs="Times New Roman"/>
          <w:sz w:val="24"/>
          <w:szCs w:val="24"/>
        </w:rPr>
        <w:t xml:space="preserve">wydane w postaci elektronicznej mające moc dokumentu urzędowego </w:t>
      </w:r>
      <w:r w:rsidRPr="003A42FB">
        <w:rPr>
          <w:rFonts w:ascii="Times New Roman" w:eastAsiaTheme="minorEastAsia" w:hAnsi="Times New Roman" w:cs="Times New Roman"/>
          <w:sz w:val="24"/>
          <w:szCs w:val="24"/>
        </w:rPr>
        <w:t xml:space="preserve">doręcza się </w:t>
      </w:r>
      <w:r w:rsidR="00520FA5" w:rsidRPr="003A42FB">
        <w:rPr>
          <w:rFonts w:ascii="Times New Roman" w:eastAsiaTheme="minorEastAsia" w:hAnsi="Times New Roman" w:cs="Times New Roman"/>
          <w:sz w:val="24"/>
          <w:szCs w:val="24"/>
        </w:rPr>
        <w:t xml:space="preserve">bezpłatnie </w:t>
      </w:r>
      <w:r w:rsidR="0074180B">
        <w:rPr>
          <w:rFonts w:ascii="Times New Roman" w:eastAsiaTheme="minorEastAsia" w:hAnsi="Times New Roman" w:cs="Times New Roman"/>
          <w:sz w:val="24"/>
          <w:szCs w:val="24"/>
        </w:rPr>
        <w:t>przy użyciu PUE UKE</w:t>
      </w:r>
      <w:r w:rsidRPr="003A42FB">
        <w:rPr>
          <w:rFonts w:ascii="Times New Roman" w:eastAsiaTheme="minorEastAsia" w:hAnsi="Times New Roman" w:cs="Times New Roman"/>
          <w:sz w:val="24"/>
          <w:szCs w:val="24"/>
        </w:rPr>
        <w:t>.</w:t>
      </w:r>
    </w:p>
    <w:p w14:paraId="22ED4847" w14:textId="42225CBC" w:rsidR="5C2609F5" w:rsidRPr="003A42FB" w:rsidRDefault="5C2609F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Dokumenty urzędowe, sporządzone w przepisanej formie przez powołane do tego organy władzy publicznej i przez inne organy państwowe w zakresie ich działania, stanowią dowód tego, co zostało w nich urzędowo zaświadczone (</w:t>
      </w:r>
      <w:hyperlink r:id="rId20" w:history="1">
        <w:r w:rsidRPr="003A42FB">
          <w:rPr>
            <w:rStyle w:val="Hipercze"/>
            <w:rFonts w:ascii="Times New Roman" w:eastAsia="Calibri" w:hAnsi="Times New Roman" w:cs="Times New Roman"/>
            <w:color w:val="auto"/>
            <w:sz w:val="24"/>
            <w:szCs w:val="24"/>
            <w:u w:val="none"/>
          </w:rPr>
          <w:t>art. 244 § 1</w:t>
        </w:r>
      </w:hyperlink>
      <w:r w:rsidRPr="003A42FB">
        <w:rPr>
          <w:rFonts w:ascii="Times New Roman" w:eastAsiaTheme="minorEastAsia" w:hAnsi="Times New Roman" w:cs="Times New Roman"/>
          <w:sz w:val="24"/>
          <w:szCs w:val="24"/>
        </w:rPr>
        <w:t xml:space="preserve"> </w:t>
      </w:r>
      <w:r w:rsidR="0052113B" w:rsidRPr="003A42FB">
        <w:rPr>
          <w:rFonts w:ascii="Times New Roman" w:eastAsiaTheme="minorEastAsia" w:hAnsi="Times New Roman" w:cs="Times New Roman"/>
          <w:sz w:val="24"/>
          <w:szCs w:val="24"/>
        </w:rPr>
        <w:t>ustawy z dnia z 17 listopada 1964 Kodeks postępowania cywilnego</w:t>
      </w:r>
      <w:r w:rsidR="00F6284A" w:rsidRPr="003A42FB">
        <w:rPr>
          <w:rFonts w:ascii="Times New Roman" w:eastAsiaTheme="minorEastAsia" w:hAnsi="Times New Roman" w:cs="Times New Roman"/>
          <w:sz w:val="24"/>
          <w:szCs w:val="24"/>
        </w:rPr>
        <w:t xml:space="preserve"> (Dz. U. z 2019 r. poz. 1460, 1469 1495, 1649, 1655, 1798, 1802, 1818, 2070, 2089, 2128, 2217 oraz z 2020 r. poz. 288, 462, 875, 956, 1017 i 1086)</w:t>
      </w:r>
      <w:r w:rsidR="0052113B" w:rsidRPr="003A42FB">
        <w:rPr>
          <w:rFonts w:ascii="Times New Roman" w:eastAsiaTheme="minorEastAsia" w:hAnsi="Times New Roman" w:cs="Times New Roman"/>
          <w:sz w:val="24"/>
          <w:szCs w:val="24"/>
        </w:rPr>
        <w:t>, zwanej dalej „</w:t>
      </w:r>
      <w:r w:rsidR="00F6284A" w:rsidRPr="003A42FB">
        <w:rPr>
          <w:rFonts w:ascii="Times New Roman" w:eastAsiaTheme="minorEastAsia" w:hAnsi="Times New Roman" w:cs="Times New Roman"/>
          <w:sz w:val="24"/>
          <w:szCs w:val="24"/>
        </w:rPr>
        <w:t>kpc</w:t>
      </w:r>
      <w:r w:rsidR="0052113B"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Zaświadczenie korzysta z domniemania autentyczności i domniemania zgodności tego, co zostało zaświadczone z treścią rejestru i z rzeczywistym stanem prawnym, jednak są to domniemania wzruszalne w sposób przewidziany w art. 252 </w:t>
      </w:r>
      <w:r w:rsidR="00F6284A" w:rsidRPr="003A42FB">
        <w:rPr>
          <w:rFonts w:ascii="Times New Roman" w:eastAsiaTheme="minorEastAsia" w:hAnsi="Times New Roman" w:cs="Times New Roman"/>
          <w:sz w:val="24"/>
          <w:szCs w:val="24"/>
        </w:rPr>
        <w:t>kpc</w:t>
      </w:r>
      <w:r w:rsidRPr="003A42FB">
        <w:rPr>
          <w:rFonts w:ascii="Times New Roman" w:eastAsiaTheme="minorEastAsia" w:hAnsi="Times New Roman" w:cs="Times New Roman"/>
          <w:sz w:val="24"/>
          <w:szCs w:val="24"/>
        </w:rPr>
        <w:t>.</w:t>
      </w:r>
    </w:p>
    <w:p w14:paraId="40744DC1" w14:textId="6220F907" w:rsidR="00D4386C" w:rsidRPr="003A42FB" w:rsidRDefault="00D4386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Ma to na celu ułatwienie wywiązywania się przedsiębiorców z wymogów formalnych istniejących, np. w związku z przetargami.</w:t>
      </w:r>
    </w:p>
    <w:p w14:paraId="24125B12" w14:textId="3873D5DA" w:rsidR="00EE5DA5" w:rsidRPr="003A42FB" w:rsidRDefault="00EE5DA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umożliwiono podmiotom wpisanym do rejestru PT</w:t>
      </w:r>
      <w:r w:rsidR="003E2E73" w:rsidRPr="003A42FB">
        <w:rPr>
          <w:rFonts w:ascii="Times New Roman" w:eastAsiaTheme="minorEastAsia" w:hAnsi="Times New Roman" w:cs="Times New Roman"/>
          <w:sz w:val="24"/>
          <w:szCs w:val="24"/>
        </w:rPr>
        <w:t xml:space="preserve"> albo</w:t>
      </w:r>
      <w:r w:rsidRPr="003A42FB">
        <w:rPr>
          <w:rFonts w:ascii="Times New Roman" w:eastAsiaTheme="minorEastAsia" w:hAnsi="Times New Roman" w:cs="Times New Roman"/>
          <w:sz w:val="24"/>
          <w:szCs w:val="24"/>
        </w:rPr>
        <w:t xml:space="preserve"> rejestru JST samodzielne pobieranie zaświadczenia. Przepisy przewidują weryfikację </w:t>
      </w:r>
      <w:r w:rsidR="003E2E73" w:rsidRPr="003A42FB">
        <w:rPr>
          <w:rFonts w:ascii="Times New Roman" w:eastAsiaTheme="minorEastAsia" w:hAnsi="Times New Roman" w:cs="Times New Roman"/>
          <w:sz w:val="24"/>
          <w:szCs w:val="24"/>
        </w:rPr>
        <w:t xml:space="preserve">prawdziwości </w:t>
      </w:r>
      <w:r w:rsidRPr="003A42FB">
        <w:rPr>
          <w:rFonts w:ascii="Times New Roman" w:eastAsiaTheme="minorEastAsia" w:hAnsi="Times New Roman" w:cs="Times New Roman"/>
          <w:sz w:val="24"/>
          <w:szCs w:val="24"/>
        </w:rPr>
        <w:t xml:space="preserve">zaświadczenia. Proponowane brzmienie jest podobne do rozwiązania przyjętego w </w:t>
      </w:r>
      <w:r w:rsidR="003E2E73" w:rsidRPr="003A42FB">
        <w:rPr>
          <w:rFonts w:ascii="Times New Roman" w:eastAsiaTheme="minorEastAsia" w:hAnsi="Times New Roman" w:cs="Times New Roman"/>
          <w:sz w:val="24"/>
          <w:szCs w:val="24"/>
        </w:rPr>
        <w:t>art. 50 ust. 4b i 4c ustawy</w:t>
      </w:r>
      <w:r w:rsidRPr="003A42FB">
        <w:rPr>
          <w:rFonts w:ascii="Times New Roman" w:eastAsiaTheme="minorEastAsia" w:hAnsi="Times New Roman" w:cs="Times New Roman"/>
          <w:sz w:val="24"/>
          <w:szCs w:val="24"/>
        </w:rPr>
        <w:t xml:space="preserve"> z dnia 13 października 1998 r. o sy</w:t>
      </w:r>
      <w:r w:rsidR="003E2E73" w:rsidRPr="003A42FB">
        <w:rPr>
          <w:rFonts w:ascii="Times New Roman" w:eastAsiaTheme="minorEastAsia" w:hAnsi="Times New Roman" w:cs="Times New Roman"/>
          <w:sz w:val="24"/>
          <w:szCs w:val="24"/>
        </w:rPr>
        <w:t>stemie ubezpieczeń społecznych</w:t>
      </w:r>
      <w:r w:rsidRPr="003A42FB">
        <w:rPr>
          <w:rFonts w:ascii="Times New Roman" w:eastAsiaTheme="minorEastAsia" w:hAnsi="Times New Roman" w:cs="Times New Roman"/>
          <w:sz w:val="24"/>
          <w:szCs w:val="24"/>
        </w:rPr>
        <w:t>.</w:t>
      </w:r>
    </w:p>
    <w:p w14:paraId="528DF296" w14:textId="79DAA66A"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lastRenderedPageBreak/>
        <w:t>Art. 12</w:t>
      </w:r>
    </w:p>
    <w:p w14:paraId="6BA87776" w14:textId="626E01E6" w:rsidR="00B012F1" w:rsidRPr="003A42FB" w:rsidRDefault="1808250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Artykuł 12 dotyczy aktualizacji danych w rejestrze</w:t>
      </w:r>
      <w:r w:rsidR="77E70431" w:rsidRPr="003A42FB">
        <w:rPr>
          <w:rFonts w:ascii="Times New Roman" w:eastAsiaTheme="minorEastAsia" w:hAnsi="Times New Roman" w:cs="Times New Roman"/>
          <w:sz w:val="24"/>
          <w:szCs w:val="24"/>
        </w:rPr>
        <w:t xml:space="preserve"> PT albo rejestrze JST</w:t>
      </w:r>
      <w:r w:rsidRPr="003A42FB">
        <w:rPr>
          <w:rFonts w:ascii="Times New Roman" w:eastAsiaTheme="minorEastAsia" w:hAnsi="Times New Roman" w:cs="Times New Roman"/>
          <w:sz w:val="24"/>
          <w:szCs w:val="24"/>
        </w:rPr>
        <w:t>. W przypadku zmiany danych wskazywanych we wniosku, wnioskodawca ma 7 dni od dnia zmiany tych danych na złożenie do Prezesa UKE wniosku o zmianę wpisu w rejestrze PT albo rejestrze JST. Wniosek o zmianę wpisu powinien zawierać numer z rejestru PT albo rejestru JST, dane które podlegają zmianie oraz oświadczenie</w:t>
      </w:r>
      <w:r w:rsidR="77E70431" w:rsidRPr="003A42FB">
        <w:rPr>
          <w:rFonts w:ascii="Times New Roman" w:eastAsiaTheme="minorEastAsia" w:hAnsi="Times New Roman" w:cs="Times New Roman"/>
          <w:sz w:val="24"/>
          <w:szCs w:val="24"/>
        </w:rPr>
        <w:t xml:space="preserve"> o świadomości odpowiedzialności karnej za składanie fałszywych zeznań</w:t>
      </w:r>
      <w:r w:rsidRPr="003A42FB">
        <w:rPr>
          <w:rFonts w:ascii="Times New Roman" w:eastAsiaTheme="minorEastAsia" w:hAnsi="Times New Roman" w:cs="Times New Roman"/>
          <w:sz w:val="24"/>
          <w:szCs w:val="24"/>
        </w:rPr>
        <w:t xml:space="preserve">. Prezes UKE po dokonaniu wpisu wydaje wnioskodawcy zaświadczenie, o którym mowa w art. 11 ustawy </w:t>
      </w:r>
      <w:r w:rsidR="7F0C4941"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w:t>
      </w:r>
    </w:p>
    <w:p w14:paraId="019ED691" w14:textId="447E6176" w:rsidR="00785706" w:rsidRPr="003A42FB" w:rsidRDefault="0078570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gdy wniosek nie zawiera kompletnych danych stosuje się art. 8 ust. 2.</w:t>
      </w:r>
    </w:p>
    <w:p w14:paraId="68CA9841" w14:textId="76B33413" w:rsidR="00842421" w:rsidRPr="003A42FB" w:rsidRDefault="4AD31E2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Wniosek o zmianę wpisu opatrzony jest kwalifikowanym podpisem elektronicznym, podpisem zaufanym albo podpisem osobistym.</w:t>
      </w:r>
    </w:p>
    <w:p w14:paraId="1D40F3D5" w14:textId="4FEDD69C" w:rsidR="00C03F50" w:rsidRPr="003A42FB" w:rsidRDefault="00C03F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 obowiązku złożenia wniosku o aktualizację wpisu do rejestru PT zwolniony jest przedsiębiorca telekomunikacyjna, którego dane w zakresie firmy lub adresu stałego miejsca wykonywania działalności gospodarczej, lub adresu strony internetowej zostały zmienione w Centralnej Ewidencji i Informacji o Działalności Gospodarczej. W takim wypadku Prezes UKE z urzędu dokonuje zmiany wpisu w rejestrze PT i wydaje aktualne zaświadczenie sposób określony w art. 11.</w:t>
      </w:r>
    </w:p>
    <w:p w14:paraId="5D1E3A12" w14:textId="4ED5A63E" w:rsidR="00B012F1" w:rsidRPr="003A42FB" w:rsidRDefault="1808250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13</w:t>
      </w:r>
    </w:p>
    <w:p w14:paraId="0EC79922" w14:textId="4F37475D" w:rsidR="00BD55A3" w:rsidRPr="003A42FB" w:rsidRDefault="1808250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Artykuł 1</w:t>
      </w:r>
      <w:r w:rsidR="354D255C" w:rsidRPr="003A42FB">
        <w:rPr>
          <w:rFonts w:ascii="Times New Roman" w:eastAsiaTheme="minorEastAsia" w:hAnsi="Times New Roman" w:cs="Times New Roman"/>
          <w:sz w:val="24"/>
          <w:szCs w:val="24"/>
        </w:rPr>
        <w:t>3</w:t>
      </w:r>
      <w:r w:rsidRPr="003A42FB">
        <w:rPr>
          <w:rFonts w:ascii="Times New Roman" w:eastAsiaTheme="minorEastAsia" w:hAnsi="Times New Roman" w:cs="Times New Roman"/>
          <w:sz w:val="24"/>
          <w:szCs w:val="24"/>
        </w:rPr>
        <w:t xml:space="preserve"> zawiera przesłanki wykreślenia z rejestru PT. </w:t>
      </w:r>
      <w:r w:rsidR="00BD55A3" w:rsidRPr="003A42FB">
        <w:rPr>
          <w:rFonts w:ascii="Times New Roman" w:eastAsiaTheme="minorEastAsia" w:hAnsi="Times New Roman" w:cs="Times New Roman"/>
          <w:sz w:val="24"/>
          <w:szCs w:val="24"/>
        </w:rPr>
        <w:t>P</w:t>
      </w:r>
      <w:r w:rsidR="00785706" w:rsidRPr="003A42FB">
        <w:rPr>
          <w:rFonts w:ascii="Times New Roman" w:eastAsiaTheme="minorEastAsia" w:hAnsi="Times New Roman" w:cs="Times New Roman"/>
          <w:sz w:val="24"/>
          <w:szCs w:val="24"/>
        </w:rPr>
        <w:t xml:space="preserve">oza wykreśleniem wpisu na skutek złożonego przez przedsiębiorcę wniosku </w:t>
      </w:r>
      <w:r w:rsidR="00BD55A3" w:rsidRPr="003A42FB">
        <w:rPr>
          <w:rFonts w:ascii="Times New Roman" w:eastAsiaTheme="minorEastAsia" w:hAnsi="Times New Roman" w:cs="Times New Roman"/>
          <w:sz w:val="24"/>
          <w:szCs w:val="24"/>
        </w:rPr>
        <w:t xml:space="preserve">i sytuacji gdy podmiot przestał istnieć, Prezes UKE wydaje decyzję administracyjną. </w:t>
      </w:r>
    </w:p>
    <w:p w14:paraId="7D267D07" w14:textId="7A2FE4F5" w:rsidR="00B012F1" w:rsidRPr="003A42FB" w:rsidRDefault="1808250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354D255C" w:rsidRPr="003A42FB">
        <w:rPr>
          <w:rFonts w:ascii="Times New Roman" w:eastAsiaTheme="minorEastAsia" w:hAnsi="Times New Roman" w:cs="Times New Roman"/>
          <w:b/>
          <w:bCs/>
          <w:sz w:val="24"/>
          <w:szCs w:val="24"/>
        </w:rPr>
        <w:t>4</w:t>
      </w:r>
    </w:p>
    <w:p w14:paraId="092A0C94" w14:textId="2650A5D7" w:rsidR="00B012F1" w:rsidRPr="003A42FB" w:rsidRDefault="1808250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Wykreślenie podmiotu z rejestru JST następuje jedynie </w:t>
      </w:r>
      <w:r w:rsidR="497033E7" w:rsidRPr="003A42FB">
        <w:rPr>
          <w:rFonts w:ascii="Times New Roman" w:eastAsiaTheme="minorEastAsia" w:hAnsi="Times New Roman" w:cs="Times New Roman"/>
          <w:sz w:val="24"/>
          <w:szCs w:val="24"/>
        </w:rPr>
        <w:t>na</w:t>
      </w:r>
      <w:r w:rsidRPr="003A42FB">
        <w:rPr>
          <w:rFonts w:ascii="Times New Roman" w:eastAsiaTheme="minorEastAsia" w:hAnsi="Times New Roman" w:cs="Times New Roman"/>
          <w:sz w:val="24"/>
          <w:szCs w:val="24"/>
        </w:rPr>
        <w:t xml:space="preserve"> jego wniosek</w:t>
      </w:r>
      <w:r w:rsidR="00957577">
        <w:rPr>
          <w:rFonts w:ascii="Times New Roman" w:eastAsiaTheme="minorEastAsia" w:hAnsi="Times New Roman" w:cs="Times New Roman"/>
          <w:sz w:val="24"/>
          <w:szCs w:val="24"/>
        </w:rPr>
        <w:t xml:space="preserve"> lub </w:t>
      </w:r>
      <w:r w:rsidR="00957577" w:rsidRPr="00957577">
        <w:rPr>
          <w:rFonts w:ascii="Times New Roman" w:eastAsiaTheme="minorEastAsia" w:hAnsi="Times New Roman" w:cs="Times New Roman"/>
          <w:sz w:val="24"/>
          <w:szCs w:val="24"/>
        </w:rPr>
        <w:t>w przypadku likwidacji podmiotu</w:t>
      </w:r>
      <w:r w:rsidRPr="003A42FB">
        <w:rPr>
          <w:rFonts w:ascii="Times New Roman" w:eastAsiaTheme="minorEastAsia" w:hAnsi="Times New Roman" w:cs="Times New Roman"/>
          <w:sz w:val="24"/>
          <w:szCs w:val="24"/>
        </w:rPr>
        <w:t>.</w:t>
      </w:r>
    </w:p>
    <w:p w14:paraId="42F614A9" w14:textId="5E936AFF" w:rsidR="00520FA5" w:rsidRPr="003A42FB" w:rsidRDefault="354D255C"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15</w:t>
      </w:r>
    </w:p>
    <w:p w14:paraId="1AAE8A29" w14:textId="49D33552" w:rsidR="00520FA5" w:rsidRPr="003A42FB" w:rsidRDefault="354D255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15 w ust. 1 nakłada na podmioty wpisane do rejestru PT albo rejestru JST obowiązek złożenia wniosku o wykreślenie z właściwego rejestru w terminie 14 dni od dnia zaprzestania wykonywania swojej działalności. </w:t>
      </w:r>
    </w:p>
    <w:p w14:paraId="3EEE7F38" w14:textId="2928E2D5" w:rsidR="00520FA5" w:rsidRPr="003A42FB" w:rsidRDefault="00520FA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Wniosek o wykreślenie z rejestru zawiera numer z właściwego rejestru oraz datę zaprzestania działalności telekomunikacyjnej. </w:t>
      </w:r>
    </w:p>
    <w:p w14:paraId="2293138B" w14:textId="3628E71F" w:rsidR="00957577" w:rsidRPr="003A42FB" w:rsidRDefault="00957577" w:rsidP="00C53EAB">
      <w:pPr>
        <w:spacing w:after="120" w:line="240" w:lineRule="auto"/>
        <w:jc w:val="both"/>
        <w:rPr>
          <w:rFonts w:ascii="Times New Roman" w:eastAsiaTheme="minorEastAsia" w:hAnsi="Times New Roman" w:cs="Times New Roman"/>
          <w:sz w:val="24"/>
          <w:szCs w:val="24"/>
        </w:rPr>
      </w:pPr>
      <w:r w:rsidRPr="00957577">
        <w:rPr>
          <w:rFonts w:ascii="Times New Roman" w:eastAsiaTheme="minorEastAsia" w:hAnsi="Times New Roman" w:cs="Times New Roman"/>
          <w:sz w:val="24"/>
          <w:szCs w:val="24"/>
        </w:rPr>
        <w:t>Wykreślenie wpisu z rejestru PT albo rejestru JST podmiotu do niego wpisanego nie ozna</w:t>
      </w:r>
      <w:r>
        <w:rPr>
          <w:rFonts w:ascii="Times New Roman" w:eastAsiaTheme="minorEastAsia" w:hAnsi="Times New Roman" w:cs="Times New Roman"/>
          <w:sz w:val="24"/>
          <w:szCs w:val="24"/>
        </w:rPr>
        <w:t>cza usunięcia danych z rejestru. Wpis ma charakter archiwalny</w:t>
      </w:r>
    </w:p>
    <w:p w14:paraId="12D29813" w14:textId="111C98EC"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16</w:t>
      </w:r>
    </w:p>
    <w:p w14:paraId="3496AA2F" w14:textId="2092D58E" w:rsidR="00AE4E8D" w:rsidRPr="003A42FB" w:rsidRDefault="025F652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ust. 1 uniemożliwia uzyskanie ponownego wpisu do rejestru PT przed upływem</w:t>
      </w:r>
      <w:r w:rsidR="00BD55A3" w:rsidRPr="003A42FB">
        <w:rPr>
          <w:rFonts w:ascii="Times New Roman" w:eastAsiaTheme="minorEastAsia" w:hAnsi="Times New Roman" w:cs="Times New Roman"/>
          <w:sz w:val="24"/>
          <w:szCs w:val="24"/>
        </w:rPr>
        <w:t xml:space="preserve"> okresu na jaki została wydana decyzja</w:t>
      </w:r>
      <w:r w:rsidRPr="003A42FB">
        <w:rPr>
          <w:rFonts w:ascii="Times New Roman" w:eastAsiaTheme="minorEastAsia" w:hAnsi="Times New Roman" w:cs="Times New Roman"/>
          <w:sz w:val="24"/>
          <w:szCs w:val="24"/>
        </w:rPr>
        <w:t xml:space="preserve"> o zakazie wykonywania działalności telekomunikacyjnej</w:t>
      </w:r>
      <w:r w:rsidR="00BD55A3" w:rsidRPr="003A42FB">
        <w:rPr>
          <w:rFonts w:ascii="Times New Roman" w:eastAsiaTheme="minorEastAsia" w:hAnsi="Times New Roman" w:cs="Times New Roman"/>
          <w:sz w:val="24"/>
          <w:szCs w:val="24"/>
        </w:rPr>
        <w:t xml:space="preserve">, o której mowa w art. </w:t>
      </w:r>
      <w:r w:rsidR="00B31383">
        <w:rPr>
          <w:rFonts w:ascii="Times New Roman" w:eastAsiaTheme="minorEastAsia" w:hAnsi="Times New Roman" w:cs="Times New Roman"/>
          <w:sz w:val="24"/>
          <w:szCs w:val="24"/>
        </w:rPr>
        <w:t>428</w:t>
      </w:r>
      <w:r w:rsidR="00B31383" w:rsidRPr="003A42FB">
        <w:rPr>
          <w:rFonts w:ascii="Times New Roman" w:eastAsiaTheme="minorEastAsia" w:hAnsi="Times New Roman" w:cs="Times New Roman"/>
          <w:sz w:val="24"/>
          <w:szCs w:val="24"/>
        </w:rPr>
        <w:t xml:space="preserve"> </w:t>
      </w:r>
      <w:r w:rsidR="00BD55A3" w:rsidRPr="003A42FB">
        <w:rPr>
          <w:rFonts w:ascii="Times New Roman" w:eastAsiaTheme="minorEastAsia" w:hAnsi="Times New Roman" w:cs="Times New Roman"/>
          <w:sz w:val="24"/>
          <w:szCs w:val="24"/>
        </w:rPr>
        <w:t>ust. 6 Pke</w:t>
      </w:r>
      <w:r w:rsidRPr="003A42FB">
        <w:rPr>
          <w:rFonts w:ascii="Times New Roman" w:eastAsiaTheme="minorEastAsia" w:hAnsi="Times New Roman" w:cs="Times New Roman"/>
          <w:sz w:val="24"/>
          <w:szCs w:val="24"/>
        </w:rPr>
        <w:t>. Natomiast ust. 2 zakazuje dokonania wpisu do rejestru przedsiębiorcy, który w okresie 3 lat poprzedzających złożenie wniosku o wpis wykonywał działalność telekomunikacyjną będącą działalnością gospodarczą wymagającą dokonania wpisu do rejestru bez takiego wpisu. Ust. 2 nie dotyczy sytuacji</w:t>
      </w:r>
      <w:r w:rsidR="303A3303" w:rsidRPr="003A42FB">
        <w:rPr>
          <w:rFonts w:ascii="Times New Roman" w:eastAsiaTheme="minorEastAsia" w:hAnsi="Times New Roman" w:cs="Times New Roman"/>
          <w:sz w:val="24"/>
          <w:szCs w:val="24"/>
        </w:rPr>
        <w:t>,</w:t>
      </w:r>
      <w:r w:rsidR="00816DC9" w:rsidRPr="003A42FB">
        <w:rPr>
          <w:rFonts w:ascii="Times New Roman" w:eastAsiaTheme="minorEastAsia" w:hAnsi="Times New Roman" w:cs="Times New Roman"/>
          <w:sz w:val="24"/>
          <w:szCs w:val="24"/>
        </w:rPr>
        <w:t xml:space="preserve"> </w:t>
      </w:r>
      <w:r w:rsidR="3CB58BAB" w:rsidRPr="003A42FB">
        <w:rPr>
          <w:rFonts w:ascii="Times New Roman" w:eastAsiaTheme="minorEastAsia" w:hAnsi="Times New Roman" w:cs="Times New Roman"/>
          <w:sz w:val="24"/>
          <w:szCs w:val="24"/>
        </w:rPr>
        <w:t>w</w:t>
      </w:r>
      <w:r w:rsidR="00842421" w:rsidRPr="003A42FB">
        <w:rPr>
          <w:rFonts w:ascii="Times New Roman" w:eastAsiaTheme="minorEastAsia" w:hAnsi="Times New Roman" w:cs="Times New Roman"/>
          <w:sz w:val="24"/>
          <w:szCs w:val="24"/>
        </w:rPr>
        <w:t xml:space="preserve"> której przedsiębiorca telekomunikacyjny rozpoczął wykonywanie działalności telekomunikacyjnej w związku z brakiem dokonania przez Prezesa UKE wpisu do rejestru PT w terminie 3 dni od otrzymania wniosku o wpis</w:t>
      </w:r>
      <w:r w:rsidR="00BD55A3" w:rsidRPr="003A42FB">
        <w:rPr>
          <w:rFonts w:ascii="Times New Roman" w:eastAsiaTheme="minorEastAsia" w:hAnsi="Times New Roman" w:cs="Times New Roman"/>
          <w:sz w:val="24"/>
          <w:szCs w:val="24"/>
        </w:rPr>
        <w:t xml:space="preserve"> oraz sytuacji w której przedsiębiorca został wykreślony</w:t>
      </w:r>
      <w:r w:rsidR="001A681B" w:rsidRPr="003A42FB">
        <w:rPr>
          <w:rFonts w:ascii="Times New Roman" w:eastAsiaTheme="minorEastAsia" w:hAnsi="Times New Roman" w:cs="Times New Roman"/>
          <w:sz w:val="24"/>
          <w:szCs w:val="24"/>
        </w:rPr>
        <w:t xml:space="preserve"> z rejestru na skutek braku realizacji obowiązków informacyjnych, o których mowa w art. 20 ust 1</w:t>
      </w:r>
      <w:r w:rsidR="00011438" w:rsidRPr="003A42FB">
        <w:rPr>
          <w:rFonts w:ascii="Times New Roman" w:eastAsiaTheme="minorEastAsia" w:hAnsi="Times New Roman" w:cs="Times New Roman"/>
          <w:sz w:val="24"/>
          <w:szCs w:val="24"/>
        </w:rPr>
        <w:t>,</w:t>
      </w:r>
      <w:r w:rsidR="001A681B" w:rsidRPr="003A42FB">
        <w:rPr>
          <w:rFonts w:ascii="Times New Roman" w:eastAsiaTheme="minorEastAsia" w:hAnsi="Times New Roman" w:cs="Times New Roman"/>
          <w:sz w:val="24"/>
          <w:szCs w:val="24"/>
        </w:rPr>
        <w:t xml:space="preserve"> za kolejne 2 lata</w:t>
      </w:r>
      <w:r w:rsidR="00842421" w:rsidRPr="003A42FB">
        <w:rPr>
          <w:rFonts w:ascii="Times New Roman" w:eastAsiaTheme="minorEastAsia" w:hAnsi="Times New Roman" w:cs="Times New Roman"/>
          <w:sz w:val="24"/>
          <w:szCs w:val="24"/>
        </w:rPr>
        <w:t>.</w:t>
      </w:r>
    </w:p>
    <w:p w14:paraId="61A4633B" w14:textId="130B929C" w:rsidR="00B012F1" w:rsidRPr="003A42FB" w:rsidRDefault="025F6527" w:rsidP="00C53EAB">
      <w:p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b/>
          <w:bCs/>
          <w:sz w:val="24"/>
          <w:szCs w:val="24"/>
        </w:rPr>
        <w:t>Art. 1</w:t>
      </w:r>
      <w:r w:rsidR="00842421" w:rsidRPr="003A42FB">
        <w:rPr>
          <w:rFonts w:ascii="Times New Roman" w:eastAsia="Times New Roman" w:hAnsi="Times New Roman" w:cs="Times New Roman"/>
          <w:b/>
          <w:bCs/>
          <w:sz w:val="24"/>
          <w:szCs w:val="24"/>
        </w:rPr>
        <w:t>7</w:t>
      </w:r>
    </w:p>
    <w:p w14:paraId="128C8A00" w14:textId="693ECBF2" w:rsidR="005301D0" w:rsidRPr="003A42FB" w:rsidDel="00872F8A" w:rsidRDefault="025F6527"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lastRenderedPageBreak/>
        <w:t>Artykuł 1</w:t>
      </w:r>
      <w:r w:rsidR="00842421" w:rsidRPr="003A42FB">
        <w:rPr>
          <w:rFonts w:ascii="Times New Roman" w:eastAsia="Times New Roman" w:hAnsi="Times New Roman" w:cs="Times New Roman"/>
          <w:sz w:val="24"/>
          <w:szCs w:val="24"/>
        </w:rPr>
        <w:t>7</w:t>
      </w:r>
      <w:r w:rsidRPr="003A42FB">
        <w:rPr>
          <w:rFonts w:ascii="Times New Roman" w:eastAsia="Times New Roman" w:hAnsi="Times New Roman" w:cs="Times New Roman"/>
          <w:sz w:val="24"/>
          <w:szCs w:val="24"/>
        </w:rPr>
        <w:t xml:space="preserve"> stanowi</w:t>
      </w:r>
      <w:r w:rsidR="005301D0" w:rsidRPr="003A42FB">
        <w:rPr>
          <w:rFonts w:ascii="Times New Roman" w:eastAsia="Times New Roman" w:hAnsi="Times New Roman" w:cs="Times New Roman"/>
          <w:sz w:val="24"/>
          <w:szCs w:val="24"/>
        </w:rPr>
        <w:t xml:space="preserve">, że wniosek o wpis, zmianę wpisu lub o wykreślenie z rejestru PT albo rejestru JST </w:t>
      </w:r>
      <w:r w:rsidR="00957577">
        <w:rPr>
          <w:rFonts w:ascii="Times New Roman" w:eastAsia="Times New Roman" w:hAnsi="Times New Roman" w:cs="Times New Roman"/>
          <w:sz w:val="24"/>
          <w:szCs w:val="24"/>
        </w:rPr>
        <w:t xml:space="preserve">składa się </w:t>
      </w:r>
      <w:r w:rsidR="00957577">
        <w:t xml:space="preserve">przy użyciu formularza elektronicznego zamieszczonego na </w:t>
      </w:r>
      <w:r w:rsidR="00957577" w:rsidRPr="1D32FB49">
        <w:rPr>
          <w:rFonts w:cs="Times"/>
        </w:rPr>
        <w:t>PUE UKE</w:t>
      </w:r>
      <w:r w:rsidR="65FA4548" w:rsidRPr="003A42FB">
        <w:rPr>
          <w:rFonts w:ascii="Times New Roman" w:eastAsia="Times New Roman" w:hAnsi="Times New Roman" w:cs="Times New Roman"/>
          <w:sz w:val="24"/>
          <w:szCs w:val="24"/>
        </w:rPr>
        <w:t xml:space="preserve">, w formie dokumentu elektronicznego opatrzonego kwalifikowanym podpisem elektronicznym, podpisem osobistym albo podpisem zaufanym. </w:t>
      </w:r>
    </w:p>
    <w:p w14:paraId="4C08C285" w14:textId="2922ED8A" w:rsidR="005301D0" w:rsidRPr="003A42FB" w:rsidRDefault="005301D0"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Prezes UKE </w:t>
      </w:r>
      <w:r w:rsidR="4FBE5C60" w:rsidRPr="003A42FB">
        <w:rPr>
          <w:rFonts w:ascii="Times New Roman" w:eastAsia="Times New Roman" w:hAnsi="Times New Roman" w:cs="Times New Roman"/>
          <w:sz w:val="24"/>
          <w:szCs w:val="24"/>
        </w:rPr>
        <w:t xml:space="preserve">poinformuje, na stronie podmiotowej BIP UKE, o adresie elektronicznym, pod którym udostępniony jest ten formularz. Prezes UKE określi również </w:t>
      </w:r>
      <w:r w:rsidR="4FBE5C60" w:rsidRPr="003A42FB">
        <w:rPr>
          <w:rFonts w:ascii="Times New Roman" w:eastAsia="Times" w:hAnsi="Times New Roman" w:cs="Times New Roman"/>
          <w:sz w:val="24"/>
          <w:szCs w:val="24"/>
        </w:rPr>
        <w:t xml:space="preserve">wzór wniosku </w:t>
      </w:r>
      <w:r w:rsidR="205D5850" w:rsidRPr="003A42FB">
        <w:rPr>
          <w:rFonts w:ascii="Times New Roman" w:eastAsia="Times New Roman" w:hAnsi="Times New Roman" w:cs="Times New Roman"/>
          <w:sz w:val="24"/>
          <w:szCs w:val="24"/>
        </w:rPr>
        <w:t>o wpis, zmianę wpisu lub o wykreślenie z rejestru PT albo rejestru JST</w:t>
      </w:r>
      <w:r w:rsidR="205D5850" w:rsidRPr="003A42FB">
        <w:rPr>
          <w:rFonts w:ascii="Times New Roman" w:eastAsia="Times" w:hAnsi="Times New Roman" w:cs="Times New Roman"/>
          <w:sz w:val="24"/>
          <w:szCs w:val="24"/>
        </w:rPr>
        <w:t xml:space="preserve"> </w:t>
      </w:r>
      <w:r w:rsidR="4FBE5C60" w:rsidRPr="003A42FB">
        <w:rPr>
          <w:rFonts w:ascii="Times New Roman" w:eastAsia="Times" w:hAnsi="Times New Roman" w:cs="Times New Roman"/>
          <w:sz w:val="24"/>
          <w:szCs w:val="24"/>
        </w:rPr>
        <w:t>w formie dokumentu elektronicznego w rozumieniu ustawy z dnia 17 lutego 2005 r. o informatyzacji działalności podmiotów realizujących zadania publiczne.</w:t>
      </w:r>
      <w:r w:rsidR="4FBE5C60" w:rsidRPr="003A42FB">
        <w:rPr>
          <w:rFonts w:ascii="Times New Roman" w:eastAsia="Times New Roman" w:hAnsi="Times New Roman" w:cs="Times New Roman"/>
          <w:sz w:val="24"/>
          <w:szCs w:val="24"/>
        </w:rPr>
        <w:t xml:space="preserve"> </w:t>
      </w:r>
    </w:p>
    <w:p w14:paraId="59F5102E" w14:textId="1DF660AC" w:rsidR="00EA114B" w:rsidRPr="003A42FB" w:rsidRDefault="00EA114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ust. 4 stanowi delegację dla ministra właściwego do spraw informatyzacji do określenia szczegółowego zakresu danych wniosku o wpis, zmianę wpisu lub wykreślenie z rejestru PT lub rejestr JST mając na celu uproszczenie i ułatwienie podejmowania działalności w zakresie telekomunikacji, a także koniecznością zapewnienia Prezesowi UKE informacji niezbędnych do właściwego realizowania jego obowiązków.  </w:t>
      </w:r>
    </w:p>
    <w:p w14:paraId="6A466348" w14:textId="386F6748"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842421" w:rsidRPr="003A42FB">
        <w:rPr>
          <w:rFonts w:ascii="Times New Roman" w:eastAsiaTheme="minorEastAsia" w:hAnsi="Times New Roman" w:cs="Times New Roman"/>
          <w:b/>
          <w:bCs/>
          <w:sz w:val="24"/>
          <w:szCs w:val="24"/>
        </w:rPr>
        <w:t>8</w:t>
      </w:r>
    </w:p>
    <w:p w14:paraId="0D207902" w14:textId="5AD4B173" w:rsidR="00B012F1" w:rsidRPr="003A42FB" w:rsidRDefault="025F652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Zupełnie nowym w stosunku do przepisów Pt jest art. 1</w:t>
      </w:r>
      <w:r w:rsidR="00842421" w:rsidRPr="003A42FB">
        <w:rPr>
          <w:rFonts w:ascii="Times New Roman" w:eastAsiaTheme="minorEastAsia" w:hAnsi="Times New Roman" w:cs="Times New Roman"/>
          <w:sz w:val="24"/>
          <w:szCs w:val="24"/>
        </w:rPr>
        <w:t>8</w:t>
      </w:r>
      <w:r w:rsidRPr="003A42FB">
        <w:rPr>
          <w:rFonts w:ascii="Times New Roman" w:eastAsiaTheme="minorEastAsia" w:hAnsi="Times New Roman" w:cs="Times New Roman"/>
          <w:sz w:val="24"/>
          <w:szCs w:val="24"/>
        </w:rPr>
        <w:t xml:space="preserve">, który nałożył na Prezesa UKE obowiązek przekazywania do BEREC drogą elektroniczną wszystkich wniosków, na podstawie których dokonano wpisu do rejestru </w:t>
      </w:r>
      <w:r w:rsidR="34B53E52"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przy czym należy wskazać, że wpisem do jest również zmiana wpisu albo wykreślenie podmiotu wpisanego do rejestru. BEREC będzie prowadził od grudnia 2020 r. bazę danych dotyczącą wszystkich zgłoszeń (w przypadku Polski – wniosków).</w:t>
      </w:r>
      <w:r w:rsidRPr="003A42FB">
        <w:rPr>
          <w:rFonts w:ascii="Times New Roman" w:eastAsiaTheme="minorEastAsia" w:hAnsi="Times New Roman" w:cs="Times New Roman"/>
          <w:b/>
          <w:bCs/>
          <w:sz w:val="24"/>
          <w:szCs w:val="24"/>
        </w:rPr>
        <w:t xml:space="preserve"> </w:t>
      </w:r>
    </w:p>
    <w:p w14:paraId="48FFE916" w14:textId="77777777" w:rsidR="001F4207" w:rsidRPr="003A42FB" w:rsidRDefault="001F4207"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rPr>
        <w:t>Oddział 2.</w:t>
      </w:r>
      <w:r w:rsidRPr="003A42FB">
        <w:rPr>
          <w:rFonts w:ascii="Times New Roman" w:hAnsi="Times New Roman" w:cs="Times New Roman"/>
          <w:b/>
          <w:lang w:eastAsia="en-US"/>
        </w:rPr>
        <w:t xml:space="preserve"> Obowiązki informacyjne</w:t>
      </w:r>
      <w:r w:rsidRPr="003A42FB">
        <w:rPr>
          <w:rFonts w:ascii="Times New Roman" w:hAnsi="Times New Roman" w:cs="Times New Roman"/>
          <w:b/>
        </w:rPr>
        <w:t xml:space="preserve"> i sprawozdawcz</w:t>
      </w:r>
      <w:r w:rsidR="003C1840" w:rsidRPr="003A42FB">
        <w:rPr>
          <w:rFonts w:ascii="Times New Roman" w:hAnsi="Times New Roman" w:cs="Times New Roman"/>
          <w:b/>
        </w:rPr>
        <w:t>e</w:t>
      </w:r>
    </w:p>
    <w:p w14:paraId="5E55C233" w14:textId="58D66D84" w:rsidR="00906517" w:rsidRPr="003A42FB" w:rsidRDefault="0090651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175C4538" w:rsidRPr="003A42FB">
        <w:rPr>
          <w:rFonts w:ascii="Times New Roman" w:eastAsiaTheme="minorEastAsia" w:hAnsi="Times New Roman" w:cs="Times New Roman"/>
          <w:b/>
          <w:bCs/>
          <w:sz w:val="24"/>
          <w:szCs w:val="24"/>
        </w:rPr>
        <w:t>19</w:t>
      </w:r>
    </w:p>
    <w:p w14:paraId="5239BC59" w14:textId="7EAE1E1A" w:rsidR="00906517" w:rsidRPr="003A42FB" w:rsidRDefault="0090651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jest implementacją art. 20 ust. 1 EKŁE i stanowi podstawę do gromadzenia i przekazywania danych o działalności przedsiębiorców </w:t>
      </w:r>
      <w:r w:rsidR="00110166"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przez organ regulacyjny. Przepis art.</w:t>
      </w:r>
      <w:r w:rsidR="0001443D" w:rsidRPr="003A42FB">
        <w:rPr>
          <w:rFonts w:ascii="Times New Roman" w:eastAsiaTheme="minorEastAsia" w:hAnsi="Times New Roman" w:cs="Times New Roman"/>
          <w:sz w:val="24"/>
          <w:szCs w:val="24"/>
        </w:rPr>
        <w:t xml:space="preserve"> </w:t>
      </w:r>
      <w:r w:rsidR="7F93B38A" w:rsidRPr="003A42FB">
        <w:rPr>
          <w:rFonts w:ascii="Times New Roman" w:eastAsiaTheme="minorEastAsia" w:hAnsi="Times New Roman" w:cs="Times New Roman"/>
          <w:sz w:val="24"/>
          <w:szCs w:val="24"/>
        </w:rPr>
        <w:t>19</w:t>
      </w:r>
      <w:r w:rsidRPr="003A42FB">
        <w:rPr>
          <w:rFonts w:ascii="Times New Roman" w:eastAsiaTheme="minorEastAsia" w:hAnsi="Times New Roman" w:cs="Times New Roman"/>
          <w:sz w:val="24"/>
          <w:szCs w:val="24"/>
        </w:rPr>
        <w:t xml:space="preserve"> zobowiązuje wszystkich przedsiębiorców komunikacji elektronicznej, a także dysponentów zasobów częstotliwościowych, numeracyjnych oraz pozycji orbitalnych uzyskanych na podstawie uprawnień indywidualnych, z wyłączeniem </w:t>
      </w:r>
      <w:r w:rsidR="0C8E823F" w:rsidRPr="003A42FB">
        <w:rPr>
          <w:rFonts w:ascii="Times New Roman" w:eastAsiaTheme="minorEastAsia" w:hAnsi="Times New Roman" w:cs="Times New Roman"/>
          <w:sz w:val="24"/>
          <w:szCs w:val="24"/>
        </w:rPr>
        <w:t>użytkowników rządowych,</w:t>
      </w:r>
      <w:r w:rsidRPr="003A42FB">
        <w:rPr>
          <w:rFonts w:ascii="Times New Roman" w:eastAsiaTheme="minorEastAsia" w:hAnsi="Times New Roman" w:cs="Times New Roman"/>
          <w:sz w:val="24"/>
          <w:szCs w:val="24"/>
        </w:rPr>
        <w:t xml:space="preserve"> do przekazywania informacji na żądanie Prezesa UKE skierowane indywidualnie do zobowiązanego podmiotu. Zakres informacji, do których udostepnienia zobowiązany jest podmiot obejmuje informacje niezbędne do wykonywania przez Prezesa UKE uprawnień i obowiązków określonych w projektowanej ustawie</w:t>
      </w:r>
      <w:r w:rsidR="00852A3F" w:rsidRPr="003A42FB">
        <w:rPr>
          <w:rFonts w:ascii="Times New Roman" w:eastAsiaTheme="minorEastAsia" w:hAnsi="Times New Roman" w:cs="Times New Roman"/>
          <w:sz w:val="24"/>
          <w:szCs w:val="24"/>
        </w:rPr>
        <w:t xml:space="preserve"> lub innych przepisach</w:t>
      </w:r>
      <w:r w:rsidRPr="003A42FB">
        <w:rPr>
          <w:rFonts w:ascii="Times New Roman" w:eastAsiaTheme="minorEastAsia" w:hAnsi="Times New Roman" w:cs="Times New Roman"/>
          <w:sz w:val="24"/>
          <w:szCs w:val="24"/>
        </w:rPr>
        <w:t xml:space="preserve">. Zakres żądania powinien dotyczyć jedynie informacji niezbędnych dla Prezesa UKE oraz powinien być proporcjonalny do realizowanego celu. </w:t>
      </w:r>
      <w:r w:rsidR="0093399D">
        <w:rPr>
          <w:rFonts w:ascii="Times New Roman" w:eastAsiaTheme="minorEastAsia" w:hAnsi="Times New Roman" w:cs="Times New Roman"/>
          <w:sz w:val="24"/>
          <w:szCs w:val="24"/>
        </w:rPr>
        <w:t>Jednocześnie ze względu na brzmienie przepisów EKŁE wskazujących, że chodzi o wszelkie informacje, w tym finansowe, mające zapewnić zgodność z przepisami UE a także z przyjętymi na ich podstawie, także w przyszłości, opiniami i decyzjami, nie jest możliwe określenie z góry zamkniętego katalogu takich informacji.</w:t>
      </w:r>
    </w:p>
    <w:p w14:paraId="2E5E474E" w14:textId="1780522D" w:rsidR="00906517" w:rsidRPr="003A42FB" w:rsidRDefault="0090651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gdy informacje pozyskane są niewystarczające Prezes UKE może pozyskiwać te informacje od innych pod</w:t>
      </w:r>
      <w:r w:rsidR="00110166" w:rsidRPr="003A42FB">
        <w:rPr>
          <w:rFonts w:ascii="Times New Roman" w:eastAsiaTheme="minorEastAsia" w:hAnsi="Times New Roman" w:cs="Times New Roman"/>
          <w:sz w:val="24"/>
          <w:szCs w:val="24"/>
        </w:rPr>
        <w:t>miotów działających w sektorze komunikacji elektronicznej</w:t>
      </w:r>
      <w:r w:rsidRPr="003A42FB">
        <w:rPr>
          <w:rFonts w:ascii="Times New Roman" w:eastAsiaTheme="minorEastAsia" w:hAnsi="Times New Roman" w:cs="Times New Roman"/>
          <w:sz w:val="24"/>
          <w:szCs w:val="24"/>
        </w:rPr>
        <w:t xml:space="preserve"> lub innych sektorach ściśle powiązanych z sektorem </w:t>
      </w:r>
      <w:r w:rsidR="00110166"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Przy czym podmioty te mają obowiązek przedstawienia informacji na żądanie organu regulacyjnego. </w:t>
      </w:r>
      <w:r w:rsidR="0FB4C4CF" w:rsidRPr="003A42FB">
        <w:rPr>
          <w:rFonts w:ascii="Times New Roman" w:eastAsiaTheme="minorEastAsia" w:hAnsi="Times New Roman" w:cs="Times New Roman"/>
          <w:sz w:val="24"/>
          <w:szCs w:val="24"/>
        </w:rPr>
        <w:t>Przepis ten jest nowością w porównaniu do obecnie obowiązujących przepisów ustawy Pt.</w:t>
      </w:r>
    </w:p>
    <w:p w14:paraId="74361409" w14:textId="43799F8F" w:rsidR="00906517" w:rsidRPr="003A42FB" w:rsidRDefault="0090651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 pozyskania informacji Prezes UKE może opracować formularz, który służyć ma ujednoliceniu i spójności pozyskiwanych danych.</w:t>
      </w:r>
    </w:p>
    <w:p w14:paraId="15009301" w14:textId="6D06392A" w:rsidR="42367A63" w:rsidRPr="003A42FB" w:rsidRDefault="42367A6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Treść projektowanego przepisu bazuje na dotychczasowym art. 6 Pt z modyfikacjami wynikającymi z wdrożenia EKŁE.</w:t>
      </w:r>
    </w:p>
    <w:p w14:paraId="2B5D7AEF" w14:textId="7B0C0162" w:rsidR="00906517" w:rsidRPr="003A42FB" w:rsidRDefault="0090651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lastRenderedPageBreak/>
        <w:t xml:space="preserve">Art. </w:t>
      </w:r>
      <w:r w:rsidR="519653ED" w:rsidRPr="003A42FB">
        <w:rPr>
          <w:rFonts w:ascii="Times New Roman" w:eastAsiaTheme="minorEastAsia" w:hAnsi="Times New Roman" w:cs="Times New Roman"/>
          <w:b/>
          <w:bCs/>
          <w:sz w:val="24"/>
          <w:szCs w:val="24"/>
        </w:rPr>
        <w:t>20</w:t>
      </w:r>
    </w:p>
    <w:p w14:paraId="3F93BE11" w14:textId="2273E46D" w:rsidR="00FF7922" w:rsidRPr="003A42FB" w:rsidRDefault="00FF792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art. 20 przewiduje obowiązki informacyjne przedsiębiorców, które realizowane są w sposób stały, tj. są przekazywane corocznie oraz wykonywane bez wezwania Prezesa UKE.</w:t>
      </w:r>
      <w:r w:rsidR="08E3C5BA" w:rsidRPr="003A42FB">
        <w:rPr>
          <w:rFonts w:ascii="Times New Roman" w:eastAsiaTheme="minorEastAsia" w:hAnsi="Times New Roman" w:cs="Times New Roman"/>
          <w:sz w:val="24"/>
          <w:szCs w:val="24"/>
        </w:rPr>
        <w:t xml:space="preserve"> Kwestia ta była uregulowana dotychczas w art. 7 ustaw</w:t>
      </w:r>
      <w:r w:rsidR="1FC196AB" w:rsidRPr="003A42FB">
        <w:rPr>
          <w:rFonts w:ascii="Times New Roman" w:eastAsiaTheme="minorEastAsia" w:hAnsi="Times New Roman" w:cs="Times New Roman"/>
          <w:sz w:val="24"/>
          <w:szCs w:val="24"/>
        </w:rPr>
        <w:t>y</w:t>
      </w:r>
      <w:r w:rsidR="08E3C5BA" w:rsidRPr="003A42FB">
        <w:rPr>
          <w:rFonts w:ascii="Times New Roman" w:eastAsiaTheme="minorEastAsia" w:hAnsi="Times New Roman" w:cs="Times New Roman"/>
          <w:sz w:val="24"/>
          <w:szCs w:val="24"/>
        </w:rPr>
        <w:t xml:space="preserve"> Pt. </w:t>
      </w:r>
    </w:p>
    <w:p w14:paraId="649B292E" w14:textId="4A38D1C6" w:rsidR="00FF7922" w:rsidRPr="003A42FB" w:rsidRDefault="00FF792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Obowiązkiem objęci są przedsiębiorcy wpisani do rejestru PT. Przedmiotem obowiązku informacyjnego są dane o rodzaju i zakresie działalności telekomunikacyjnej oraz wielkości sprzedaży usług telekomunikacyjnych. Dane powinny być przekazywane do dnia 31 marca za poprzedzający rok kalendarzowy. Zgodnie z ust. 2 obowiązkowi przedłożenia sprawozdania z działalności telekomunikacyjnej podlega również podmiot wykreślony z rejestru PT, za okres wykonywanej działalności telekomunikacyjnej w roku, w którym nastąpiło wykreślenie z rejestru. </w:t>
      </w:r>
    </w:p>
    <w:p w14:paraId="1C2DE01B" w14:textId="0DDC965E" w:rsidR="00ED3240" w:rsidRPr="003A42FB" w:rsidDel="00872F8A" w:rsidRDefault="00ED3240" w:rsidP="00C53EAB">
      <w:pPr>
        <w:spacing w:after="120" w:line="240" w:lineRule="auto"/>
        <w:jc w:val="both"/>
        <w:rPr>
          <w:rFonts w:ascii="Times New Roman" w:eastAsia="Times" w:hAnsi="Times New Roman" w:cs="Times New Roman"/>
          <w:sz w:val="24"/>
          <w:szCs w:val="24"/>
        </w:rPr>
      </w:pPr>
      <w:r w:rsidRPr="003A42FB">
        <w:rPr>
          <w:rFonts w:ascii="Times New Roman" w:eastAsia="Times New Roman" w:hAnsi="Times New Roman" w:cs="Times New Roman"/>
          <w:sz w:val="24"/>
          <w:szCs w:val="24"/>
        </w:rPr>
        <w:t xml:space="preserve">Sprawozdanie przekazywane </w:t>
      </w:r>
      <w:r w:rsidR="10A88FAA" w:rsidRPr="003A42FB">
        <w:rPr>
          <w:rFonts w:ascii="Times New Roman" w:eastAsia="Times New Roman" w:hAnsi="Times New Roman" w:cs="Times New Roman"/>
          <w:sz w:val="24"/>
          <w:szCs w:val="24"/>
        </w:rPr>
        <w:t>będzie na elektroniczną skrzynkę podawczą Prezesa UKE,</w:t>
      </w:r>
      <w:r w:rsidR="10A88FAA" w:rsidRPr="003A42FB">
        <w:rPr>
          <w:rFonts w:ascii="Times New Roman" w:eastAsia="Times New Roman" w:hAnsi="Times New Roman" w:cs="Times New Roman"/>
          <w:sz w:val="24"/>
          <w:szCs w:val="24"/>
          <w:u w:val="single"/>
        </w:rPr>
        <w:t xml:space="preserve"> </w:t>
      </w:r>
      <w:r w:rsidR="10A88FAA" w:rsidRPr="003A42FB">
        <w:rPr>
          <w:rFonts w:ascii="Times New Roman" w:eastAsia="Times New Roman" w:hAnsi="Times New Roman" w:cs="Times New Roman"/>
          <w:sz w:val="24"/>
          <w:szCs w:val="24"/>
        </w:rPr>
        <w:t>przy użyciu formularzy elektronicznych, w formie dokumentu elektronicznego opatrzonego kwalifikowanym podpisem elektronicznym, podpisem osobistym albo podpisem zaufanym. Prezes UKE poinformuje, na stronie podmiotowej BIP UKE, o adresach elektronicznych, pod którymi udostępnione będą te formularze.</w:t>
      </w:r>
    </w:p>
    <w:p w14:paraId="2B5EF208" w14:textId="41DD6F98" w:rsidR="00ED3240" w:rsidRPr="003A42FB" w:rsidDel="00872F8A" w:rsidRDefault="10A88FAA" w:rsidP="00C53EAB">
      <w:pPr>
        <w:spacing w:after="120" w:line="240" w:lineRule="auto"/>
        <w:jc w:val="both"/>
        <w:rPr>
          <w:rFonts w:ascii="Times New Roman" w:eastAsia="Times" w:hAnsi="Times New Roman" w:cs="Times New Roman"/>
          <w:sz w:val="24"/>
          <w:szCs w:val="24"/>
        </w:rPr>
      </w:pPr>
      <w:r w:rsidRPr="003A42FB">
        <w:rPr>
          <w:rFonts w:ascii="Times New Roman" w:eastAsia="Times" w:hAnsi="Times New Roman" w:cs="Times New Roman"/>
          <w:sz w:val="24"/>
          <w:szCs w:val="24"/>
        </w:rPr>
        <w:t>Prezes UKE określi również wzór dokumentu, przy użyciu którego przekazywane będą dane, w formie dokumentu elektronicznego w rozumieniu ustawy z dnia 17 lutego 2005 r. o informatyzacji działalności podmiotów realizujących zadania publiczne.</w:t>
      </w:r>
    </w:p>
    <w:p w14:paraId="4243B505" w14:textId="5036EA60" w:rsidR="00FF7922" w:rsidRPr="003A42FB" w:rsidRDefault="00C912D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imes" w:hAnsi="Times New Roman" w:cs="Times New Roman"/>
          <w:sz w:val="24"/>
          <w:szCs w:val="24"/>
        </w:rPr>
        <w:t>Minister właściwy do spraw informatyzacji określi, w drodze rozporządzenia szczegółowy zakres danych podlegających obowiązkowi sprawozdawczemu, wraz z objaśnieniami co do sposobu ich przedstawiania, kierując się koniecznością zapewnienia Prezesowi UKE informacji niezbędnych do właściwego realizowania jego obowiązków oraz potrzebą usprawnienia i ujednolicenia procesu przekazywania danych.</w:t>
      </w:r>
      <w:r w:rsidRPr="003A42FB">
        <w:rPr>
          <w:rFonts w:ascii="Times New Roman" w:hAnsi="Times New Roman" w:cs="Times New Roman"/>
          <w:sz w:val="24"/>
          <w:szCs w:val="24"/>
        </w:rPr>
        <w:t xml:space="preserve"> </w:t>
      </w:r>
      <w:r w:rsidR="00FF7922" w:rsidRPr="003A42FB">
        <w:rPr>
          <w:rFonts w:ascii="Times New Roman" w:eastAsiaTheme="minorEastAsia" w:hAnsi="Times New Roman" w:cs="Times New Roman"/>
          <w:sz w:val="24"/>
          <w:szCs w:val="24"/>
        </w:rPr>
        <w:t xml:space="preserve">Nieprzedłożenie danych o zakresie i rodzaju działalności telekomunikacyjnej i wielkości sprzedaży albo udzielenie informacji nieprawdziwych lub niepełnych jest sankcjonowane karą pieniężną nakładaną na przedsiębiorcę przez Prezesa UKE. </w:t>
      </w:r>
    </w:p>
    <w:p w14:paraId="4B5FD9D5" w14:textId="692F6242" w:rsidR="00FF7922" w:rsidRPr="003A42FB" w:rsidRDefault="00FF7922"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Art. 21</w:t>
      </w:r>
    </w:p>
    <w:p w14:paraId="653FEFEA" w14:textId="00D484E8" w:rsidR="00906517" w:rsidRPr="003A42FB" w:rsidRDefault="0090651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t>
      </w:r>
      <w:r w:rsidR="020639E4" w:rsidRPr="003A42FB">
        <w:rPr>
          <w:rFonts w:ascii="Times New Roman" w:eastAsiaTheme="minorEastAsia" w:hAnsi="Times New Roman" w:cs="Times New Roman"/>
          <w:sz w:val="24"/>
          <w:szCs w:val="24"/>
        </w:rPr>
        <w:t>s</w:t>
      </w:r>
      <w:r w:rsidRPr="003A42FB">
        <w:rPr>
          <w:rFonts w:ascii="Times New Roman" w:eastAsiaTheme="minorEastAsia" w:hAnsi="Times New Roman" w:cs="Times New Roman"/>
          <w:sz w:val="24"/>
          <w:szCs w:val="24"/>
        </w:rPr>
        <w:t xml:space="preserve">tanowi implementację niektórych postanowień art. 20 EKŁE, który stanowi m. in. o współdziałaniu władz regulacyjnych z odpowiednimi organami w innych państwach członkowskich oraz z Komisją Europejską, poprzez wymianę informacji. Przepis art. </w:t>
      </w:r>
      <w:r w:rsidR="1AD549B1" w:rsidRPr="003A42FB">
        <w:rPr>
          <w:rFonts w:ascii="Times New Roman" w:eastAsiaTheme="minorEastAsia" w:hAnsi="Times New Roman" w:cs="Times New Roman"/>
          <w:sz w:val="24"/>
          <w:szCs w:val="24"/>
        </w:rPr>
        <w:t>21</w:t>
      </w:r>
      <w:r w:rsidRPr="003A42FB">
        <w:rPr>
          <w:rFonts w:ascii="Times New Roman" w:eastAsiaTheme="minorEastAsia" w:hAnsi="Times New Roman" w:cs="Times New Roman"/>
          <w:sz w:val="24"/>
          <w:szCs w:val="24"/>
        </w:rPr>
        <w:t xml:space="preserve"> stanowi ogólną podstawę do przekazywania informacji otrzymanych od przedsiębiorców telekomunikacyjnych i mówi o tym, że Prezes UKE</w:t>
      </w:r>
      <w:r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rPr>
        <w:t xml:space="preserve">zapewnia dostęp do informacji otrzymanych od przedsiębiorców komunikacji elektronicznej, a także dysponentów zasobów częstotliwościowych, numeracyjnych oraz pozycji orbitalnych uzyskanych na podstawie uprawnień indywidualnych, organom regulacyjnym innych państw członkowskich oraz państw członkowskich EFTA, BEREC i Komisji Europejskiej. Jednocześnie Prezes UKE jest zobligowany do powiadomienia podmiotów, od których uzyskał informacje na żądanie, o </w:t>
      </w:r>
      <w:r w:rsidR="00F20F72" w:rsidRPr="003A42FB">
        <w:rPr>
          <w:rFonts w:ascii="Times New Roman" w:eastAsiaTheme="minorEastAsia" w:hAnsi="Times New Roman" w:cs="Times New Roman"/>
          <w:sz w:val="24"/>
          <w:szCs w:val="24"/>
        </w:rPr>
        <w:t xml:space="preserve">udostępnieniu tych informacji. </w:t>
      </w:r>
    </w:p>
    <w:p w14:paraId="0F31F9C6" w14:textId="4EFF37F8" w:rsidR="40D75C79" w:rsidRPr="003A42FB" w:rsidRDefault="40D75C7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zasadniczo powtarza treść art. 8 ustawy Pt z modyfikacją wynikającą z EKŁE (polegająca na uwzględnieniu BEREC wśród podmiotów/instytucji, którym </w:t>
      </w:r>
      <w:r w:rsidR="71D532EF" w:rsidRPr="003A42FB">
        <w:rPr>
          <w:rFonts w:ascii="Times New Roman" w:eastAsiaTheme="minorEastAsia" w:hAnsi="Times New Roman" w:cs="Times New Roman"/>
          <w:sz w:val="24"/>
          <w:szCs w:val="24"/>
        </w:rPr>
        <w:t>udostępniane są informacje).</w:t>
      </w:r>
    </w:p>
    <w:p w14:paraId="00E380CA" w14:textId="04832226" w:rsidR="000F496D" w:rsidRPr="003A42FB" w:rsidRDefault="0090651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FF7922" w:rsidRPr="003A42FB">
        <w:rPr>
          <w:rFonts w:ascii="Times New Roman" w:eastAsiaTheme="minorEastAsia" w:hAnsi="Times New Roman" w:cs="Times New Roman"/>
          <w:b/>
          <w:bCs/>
          <w:sz w:val="24"/>
          <w:szCs w:val="24"/>
        </w:rPr>
        <w:t>22</w:t>
      </w:r>
      <w:r w:rsidRPr="003A42FB">
        <w:rPr>
          <w:rFonts w:ascii="Times New Roman" w:eastAsiaTheme="minorEastAsia" w:hAnsi="Times New Roman" w:cs="Times New Roman"/>
          <w:b/>
          <w:bCs/>
          <w:sz w:val="24"/>
          <w:szCs w:val="24"/>
        </w:rPr>
        <w:t xml:space="preserve"> </w:t>
      </w:r>
    </w:p>
    <w:p w14:paraId="005B599F" w14:textId="0D9DAAD0" w:rsidR="00906517" w:rsidRPr="003A42FB" w:rsidRDefault="0090651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jest kontynuacją implementacji art. 20 EKŁE. Projektowany przepis dotyczy ochrony tajemnicy podmiotu wykonującego obowiązek informacyjny. Dotyczy więc obowiązku realizowanego przez przedsiębiorców komunikacji elektronicznej, a także dysponentów </w:t>
      </w:r>
      <w:r w:rsidRPr="003A42FB">
        <w:rPr>
          <w:rFonts w:ascii="Times New Roman" w:eastAsiaTheme="minorEastAsia" w:hAnsi="Times New Roman" w:cs="Times New Roman"/>
          <w:sz w:val="24"/>
          <w:szCs w:val="24"/>
        </w:rPr>
        <w:lastRenderedPageBreak/>
        <w:t xml:space="preserve">zasobów częstotliwościowych, numeracyjnych oraz pozycji orbitalnych uzyskanych na podstawie uprawnień indywidualnych, innych podmiotów działających w sektorze </w:t>
      </w:r>
      <w:r w:rsidR="00F20F72"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lub innych sektorach ściśle powiązanych z sektorem </w:t>
      </w:r>
      <w:r w:rsidR="00F20F72"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z wyłączeniem jednostek prowadzących działalność telekomunikacyjną w administracji. Wymienione podmioty mogą zastrzec informacje, dokumenty lub ich części</w:t>
      </w:r>
      <w:r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rPr>
        <w:t>zawierające tajemnicę przedsiębiorstwa, dostarczane na żądanie Prezesa UKE lub na podstawie przepisów ustawy. Zastrzegając część informacji lub dokumentu podmiot przekazuje również wersję informacji lub dokumentu niezwierającą zastrzeżonych części. W przypadku nieprzekazania wersji informacji lub dokumentu niezawierającej zastrzeżonych części, zastrzeżenie uważa się za nieskuteczne. Projektowane przepisy przyznają Prezesowi UKE możliwość</w:t>
      </w:r>
      <w:r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rPr>
        <w:t xml:space="preserve">uchylenia zastrzeżenia w drodze decyzji, jeżeli uzna, że dane te </w:t>
      </w:r>
      <w:r w:rsidR="5880C622" w:rsidRPr="003A42FB">
        <w:rPr>
          <w:rFonts w:ascii="Times New Roman" w:eastAsiaTheme="minorEastAsia" w:hAnsi="Times New Roman" w:cs="Times New Roman"/>
          <w:sz w:val="24"/>
          <w:szCs w:val="24"/>
        </w:rPr>
        <w:t>nie stanowią tajemnicy przedsiębiorstwa</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lang w:eastAsia="pl-PL"/>
        </w:rPr>
        <w:t xml:space="preserve"> Dokumenty przekazuje się innym organom krajowym, zagranicznym organom regulacyjnym, Komisji Europejskiej lub BEREC </w:t>
      </w:r>
      <w:r w:rsidRPr="003A42FB">
        <w:rPr>
          <w:rFonts w:ascii="Times New Roman" w:eastAsiaTheme="minorEastAsia" w:hAnsi="Times New Roman" w:cs="Times New Roman"/>
          <w:sz w:val="24"/>
          <w:szCs w:val="24"/>
        </w:rPr>
        <w:t>wraz z zastrzeżeniem oraz pod warunkiem jego przestrzegania.</w:t>
      </w:r>
    </w:p>
    <w:p w14:paraId="600ACA7D" w14:textId="3C95A959" w:rsidR="0A6309EE" w:rsidRPr="003A42FB" w:rsidRDefault="0A6309E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Odpowiednikiem tego przepisu jest art. 9 ustawy Pt, którego treść nie została jednak </w:t>
      </w:r>
      <w:r w:rsidR="01790BD7" w:rsidRPr="003A42FB">
        <w:rPr>
          <w:rFonts w:ascii="Times New Roman" w:eastAsiaTheme="minorEastAsia" w:hAnsi="Times New Roman" w:cs="Times New Roman"/>
          <w:sz w:val="24"/>
          <w:szCs w:val="24"/>
        </w:rPr>
        <w:t xml:space="preserve">w prosty sposób przeniesiona, ze względu na konieczność uwzględnienia brzmienia art. 20 EKŁE i doprecyzowania kwestii </w:t>
      </w:r>
      <w:r w:rsidR="6520D7A8" w:rsidRPr="003A42FB">
        <w:rPr>
          <w:rFonts w:ascii="Times New Roman" w:eastAsiaTheme="minorEastAsia" w:hAnsi="Times New Roman" w:cs="Times New Roman"/>
          <w:sz w:val="24"/>
          <w:szCs w:val="24"/>
        </w:rPr>
        <w:t>zastrzegania informacji.</w:t>
      </w:r>
    </w:p>
    <w:p w14:paraId="1B030BF8"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rPr>
      </w:pPr>
    </w:p>
    <w:p w14:paraId="4534456D" w14:textId="77777777" w:rsidR="00DD6F27" w:rsidRPr="003A42FB" w:rsidRDefault="00DD6F27"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rPr>
        <w:t xml:space="preserve">ROZDZIAŁ 3. Opłaty </w:t>
      </w:r>
    </w:p>
    <w:p w14:paraId="6E223971" w14:textId="35C1CCEB" w:rsidR="00DD6F27" w:rsidRPr="003A42FB" w:rsidRDefault="00DD6F27" w:rsidP="00C53EAB">
      <w:pPr>
        <w:pStyle w:val="h1chapter"/>
        <w:spacing w:before="0" w:after="120" w:line="240" w:lineRule="auto"/>
        <w:jc w:val="both"/>
        <w:rPr>
          <w:rFonts w:ascii="Times New Roman" w:hAnsi="Times New Roman" w:cs="Times New Roman"/>
          <w:color w:val="auto"/>
          <w:sz w:val="24"/>
          <w:szCs w:val="24"/>
        </w:rPr>
      </w:pPr>
      <w:r w:rsidRPr="003A42FB">
        <w:rPr>
          <w:rFonts w:ascii="Times New Roman" w:hAnsi="Times New Roman" w:cs="Times New Roman"/>
          <w:color w:val="auto"/>
          <w:sz w:val="24"/>
          <w:szCs w:val="24"/>
        </w:rPr>
        <w:t>Art.</w:t>
      </w:r>
      <w:r w:rsidR="00FF7922" w:rsidRPr="003A42FB">
        <w:rPr>
          <w:rFonts w:ascii="Times New Roman" w:hAnsi="Times New Roman" w:cs="Times New Roman"/>
          <w:color w:val="auto"/>
          <w:sz w:val="24"/>
          <w:szCs w:val="24"/>
        </w:rPr>
        <w:t xml:space="preserve"> </w:t>
      </w:r>
      <w:r w:rsidR="1D4E2793" w:rsidRPr="003A42FB">
        <w:rPr>
          <w:rFonts w:ascii="Times New Roman" w:hAnsi="Times New Roman" w:cs="Times New Roman"/>
          <w:color w:val="auto"/>
          <w:sz w:val="24"/>
          <w:szCs w:val="24"/>
        </w:rPr>
        <w:t>23</w:t>
      </w:r>
      <w:r w:rsidRPr="003A42FB">
        <w:rPr>
          <w:rFonts w:ascii="Times New Roman" w:hAnsi="Times New Roman" w:cs="Times New Roman"/>
          <w:color w:val="auto"/>
          <w:sz w:val="24"/>
          <w:szCs w:val="24"/>
        </w:rPr>
        <w:t xml:space="preserve"> </w:t>
      </w:r>
    </w:p>
    <w:p w14:paraId="43008D24" w14:textId="747B9A56" w:rsidR="00DD0DA5" w:rsidRPr="003A42FB" w:rsidRDefault="00F20D89" w:rsidP="00DD0DA5">
      <w:pPr>
        <w:pStyle w:val="ARTartustawynprozporzdzenia"/>
        <w:keepNext/>
        <w:spacing w:before="0" w:line="240" w:lineRule="auto"/>
        <w:ind w:firstLine="0"/>
        <w:rPr>
          <w:rFonts w:ascii="Times New Roman" w:hAnsi="Times New Roman" w:cs="Times New Roman"/>
          <w:szCs w:val="24"/>
        </w:rPr>
      </w:pPr>
      <w:r w:rsidRPr="003A42FB">
        <w:rPr>
          <w:rFonts w:ascii="Times New Roman" w:hAnsi="Times New Roman" w:cs="Times New Roman"/>
          <w:szCs w:val="24"/>
        </w:rPr>
        <w:t>Projektowany przepis przewiduje uiszczanie rocznej opłaty telekomunikacyjnej przez podmioty korzystające z zezwolenia ogólnego na pokrycie kosztów</w:t>
      </w:r>
      <w:r w:rsidR="00DD0DA5" w:rsidRPr="003A42FB">
        <w:rPr>
          <w:rFonts w:ascii="Times New Roman" w:hAnsi="Times New Roman" w:cs="Times New Roman"/>
          <w:szCs w:val="24"/>
        </w:rPr>
        <w:t xml:space="preserve"> </w:t>
      </w:r>
      <w:r w:rsidRPr="003A42FB">
        <w:rPr>
          <w:rFonts w:ascii="Times New Roman" w:hAnsi="Times New Roman" w:cs="Times New Roman"/>
          <w:szCs w:val="24"/>
        </w:rPr>
        <w:t>funkcjonowania organów regulacyjnych, tj. Prezesa UKE oraz ministra właściwego ds. informatyzacji</w:t>
      </w:r>
      <w:r w:rsidR="4C3F2719" w:rsidRPr="003A42FB">
        <w:rPr>
          <w:rFonts w:ascii="Times New Roman" w:hAnsi="Times New Roman" w:cs="Times New Roman"/>
          <w:szCs w:val="24"/>
        </w:rPr>
        <w:t xml:space="preserve">, z wyłączeniem </w:t>
      </w:r>
      <w:r w:rsidR="1C4B8D37" w:rsidRPr="003A42FB">
        <w:rPr>
          <w:rFonts w:ascii="Times New Roman" w:hAnsi="Times New Roman" w:cs="Times New Roman"/>
          <w:szCs w:val="24"/>
        </w:rPr>
        <w:t>kosztów</w:t>
      </w:r>
      <w:r w:rsidR="317EF28B" w:rsidRPr="003A42FB">
        <w:rPr>
          <w:rFonts w:ascii="Times New Roman" w:hAnsi="Times New Roman" w:cs="Times New Roman"/>
          <w:szCs w:val="24"/>
        </w:rPr>
        <w:t xml:space="preserve"> zwi</w:t>
      </w:r>
      <w:r w:rsidR="272D78B1" w:rsidRPr="003A42FB">
        <w:rPr>
          <w:rFonts w:ascii="Times New Roman" w:hAnsi="Times New Roman" w:cs="Times New Roman"/>
          <w:szCs w:val="24"/>
        </w:rPr>
        <w:t>ą</w:t>
      </w:r>
      <w:r w:rsidR="317EF28B" w:rsidRPr="003A42FB">
        <w:rPr>
          <w:rFonts w:ascii="Times New Roman" w:hAnsi="Times New Roman" w:cs="Times New Roman"/>
          <w:szCs w:val="24"/>
        </w:rPr>
        <w:t xml:space="preserve">zanych z </w:t>
      </w:r>
      <w:r w:rsidR="4C3F2719" w:rsidRPr="003A42FB">
        <w:rPr>
          <w:rFonts w:ascii="Times New Roman" w:hAnsi="Times New Roman" w:cs="Times New Roman"/>
          <w:szCs w:val="24"/>
        </w:rPr>
        <w:t>prowadzen</w:t>
      </w:r>
      <w:r w:rsidR="08705202" w:rsidRPr="003A42FB">
        <w:rPr>
          <w:rFonts w:ascii="Times New Roman" w:hAnsi="Times New Roman" w:cs="Times New Roman"/>
          <w:szCs w:val="24"/>
        </w:rPr>
        <w:t>iem</w:t>
      </w:r>
      <w:r w:rsidR="4C3F2719" w:rsidRPr="003A42FB">
        <w:rPr>
          <w:rFonts w:ascii="Times New Roman" w:hAnsi="Times New Roman" w:cs="Times New Roman"/>
          <w:szCs w:val="24"/>
        </w:rPr>
        <w:t xml:space="preserve"> gospodarki zasobami numeracji i częstotliwośc</w:t>
      </w:r>
      <w:r w:rsidR="00DD0DA5" w:rsidRPr="003A42FB">
        <w:rPr>
          <w:rFonts w:ascii="Times New Roman" w:hAnsi="Times New Roman" w:cs="Times New Roman"/>
          <w:szCs w:val="24"/>
        </w:rPr>
        <w:t xml:space="preserve">i. Należy tu podkreślić, że roczna opłata telekomunikacyjna jest uiszczana tylko przez przedsiębiorców telekomunikacyjnych, dlatego dotyczy tylko kosztów realizacji zadań dotyczących telekomunikacji, w tym </w:t>
      </w:r>
      <w:r w:rsidR="008A6631" w:rsidRPr="003A42FB">
        <w:rPr>
          <w:rFonts w:ascii="Times New Roman" w:hAnsi="Times New Roman" w:cs="Times New Roman"/>
          <w:szCs w:val="24"/>
        </w:rPr>
        <w:t>m.in. rozstrzygania sporów między przedsiębiorcami telekomunikacyjnymi</w:t>
      </w:r>
      <w:r w:rsidR="00B44005" w:rsidRPr="003A42FB">
        <w:rPr>
          <w:rFonts w:ascii="Times New Roman" w:hAnsi="Times New Roman" w:cs="Times New Roman"/>
          <w:szCs w:val="24"/>
        </w:rPr>
        <w:t>,</w:t>
      </w:r>
      <w:r w:rsidR="008A6631" w:rsidRPr="003A42FB">
        <w:rPr>
          <w:rFonts w:ascii="Times New Roman" w:hAnsi="Times New Roman" w:cs="Times New Roman"/>
          <w:szCs w:val="24"/>
        </w:rPr>
        <w:t xml:space="preserve"> badania, weryfikacji i kontroli rynków właściwych produktów i usług telekomunikacyjnych oraz </w:t>
      </w:r>
      <w:r w:rsidR="00DD0DA5" w:rsidRPr="003A42FB">
        <w:rPr>
          <w:rFonts w:ascii="Times New Roman" w:hAnsi="Times New Roman" w:cs="Times New Roman"/>
          <w:szCs w:val="24"/>
        </w:rPr>
        <w:t>wydawani</w:t>
      </w:r>
      <w:r w:rsidR="008A6631" w:rsidRPr="003A42FB">
        <w:rPr>
          <w:rFonts w:ascii="Times New Roman" w:hAnsi="Times New Roman" w:cs="Times New Roman"/>
          <w:szCs w:val="24"/>
        </w:rPr>
        <w:t>a</w:t>
      </w:r>
      <w:r w:rsidR="00DD0DA5" w:rsidRPr="003A42FB">
        <w:rPr>
          <w:rFonts w:ascii="Times New Roman" w:hAnsi="Times New Roman" w:cs="Times New Roman"/>
          <w:szCs w:val="24"/>
        </w:rPr>
        <w:t xml:space="preserve"> decyzji administracyjnych</w:t>
      </w:r>
      <w:r w:rsidR="008A6631" w:rsidRPr="003A42FB">
        <w:rPr>
          <w:rFonts w:ascii="Times New Roman" w:hAnsi="Times New Roman" w:cs="Times New Roman"/>
          <w:szCs w:val="24"/>
        </w:rPr>
        <w:t xml:space="preserve"> </w:t>
      </w:r>
      <w:r w:rsidR="000E4B39" w:rsidRPr="003A42FB">
        <w:rPr>
          <w:rFonts w:ascii="Times New Roman" w:hAnsi="Times New Roman" w:cs="Times New Roman"/>
          <w:szCs w:val="24"/>
        </w:rPr>
        <w:t>dotyczących realizacji zadań dotyczących telekomunikacji</w:t>
      </w:r>
      <w:r w:rsidR="00DD0DA5" w:rsidRPr="003A42FB">
        <w:rPr>
          <w:rFonts w:ascii="Times New Roman" w:hAnsi="Times New Roman" w:cs="Times New Roman"/>
          <w:szCs w:val="24"/>
        </w:rPr>
        <w:t>, z wyłączeniem decyzji, za które odrębne przepisy przewidują pobieranie opłat</w:t>
      </w:r>
      <w:r w:rsidR="008A6631" w:rsidRPr="003A42FB">
        <w:rPr>
          <w:rFonts w:ascii="Times New Roman" w:hAnsi="Times New Roman" w:cs="Times New Roman"/>
          <w:szCs w:val="24"/>
        </w:rPr>
        <w:t>.</w:t>
      </w:r>
      <w:r w:rsidR="0068716A" w:rsidRPr="003A42FB">
        <w:rPr>
          <w:rFonts w:ascii="Times New Roman" w:hAnsi="Times New Roman" w:cs="Times New Roman"/>
          <w:szCs w:val="24"/>
        </w:rPr>
        <w:t xml:space="preserve"> Jest to szczególnie istotne ze względu na rozszerzenie zakresu ustawy Pke w stosunku do Pt i możliwoś</w:t>
      </w:r>
      <w:r w:rsidR="008A2D66" w:rsidRPr="003A42FB">
        <w:rPr>
          <w:rFonts w:ascii="Times New Roman" w:hAnsi="Times New Roman" w:cs="Times New Roman"/>
          <w:szCs w:val="24"/>
        </w:rPr>
        <w:t>ć</w:t>
      </w:r>
      <w:r w:rsidR="0068716A" w:rsidRPr="003A42FB">
        <w:rPr>
          <w:rFonts w:ascii="Times New Roman" w:hAnsi="Times New Roman" w:cs="Times New Roman"/>
          <w:szCs w:val="24"/>
        </w:rPr>
        <w:t xml:space="preserve"> wydawania decyzji </w:t>
      </w:r>
      <w:r w:rsidR="008A2D66" w:rsidRPr="003A42FB">
        <w:rPr>
          <w:rFonts w:ascii="Times New Roman" w:hAnsi="Times New Roman" w:cs="Times New Roman"/>
          <w:szCs w:val="24"/>
        </w:rPr>
        <w:t>przez Prezesa UKE w stosunku do</w:t>
      </w:r>
      <w:r w:rsidR="0068716A" w:rsidRPr="003A42FB">
        <w:rPr>
          <w:rFonts w:ascii="Times New Roman" w:hAnsi="Times New Roman" w:cs="Times New Roman"/>
          <w:szCs w:val="24"/>
        </w:rPr>
        <w:t xml:space="preserve"> inn</w:t>
      </w:r>
      <w:r w:rsidR="008A2D66" w:rsidRPr="003A42FB">
        <w:rPr>
          <w:rFonts w:ascii="Times New Roman" w:hAnsi="Times New Roman" w:cs="Times New Roman"/>
          <w:szCs w:val="24"/>
        </w:rPr>
        <w:t>ych</w:t>
      </w:r>
      <w:r w:rsidR="0068716A" w:rsidRPr="003A42FB">
        <w:rPr>
          <w:rFonts w:ascii="Times New Roman" w:hAnsi="Times New Roman" w:cs="Times New Roman"/>
          <w:szCs w:val="24"/>
        </w:rPr>
        <w:t xml:space="preserve"> podmiotów niż przedsiębiorcy telekomunikacyjni.</w:t>
      </w:r>
    </w:p>
    <w:p w14:paraId="4413DD12" w14:textId="3BFF8CD1" w:rsidR="1020F925" w:rsidRPr="003A42FB" w:rsidRDefault="00F20D8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Wysokość tych kosztów, jak również wpływów z opłaty telekomunikacyjnej będzie podlegała </w:t>
      </w:r>
      <w:r w:rsidR="4EF25F67" w:rsidRPr="003A42FB">
        <w:rPr>
          <w:rFonts w:ascii="Times New Roman" w:eastAsiaTheme="minorEastAsia" w:hAnsi="Times New Roman" w:cs="Times New Roman"/>
          <w:sz w:val="24"/>
          <w:szCs w:val="24"/>
        </w:rPr>
        <w:t>udostępnieniu</w:t>
      </w:r>
      <w:r w:rsidRPr="003A42FB">
        <w:rPr>
          <w:rFonts w:ascii="Times New Roman" w:eastAsiaTheme="minorEastAsia" w:hAnsi="Times New Roman" w:cs="Times New Roman"/>
          <w:sz w:val="24"/>
          <w:szCs w:val="24"/>
        </w:rPr>
        <w:t xml:space="preserve"> </w:t>
      </w:r>
      <w:r w:rsidR="00D77D4A" w:rsidRPr="005F69BF">
        <w:rPr>
          <w:rFonts w:ascii="Times New Roman" w:hAnsi="Times New Roman" w:cs="Times New Roman"/>
          <w:sz w:val="24"/>
          <w:szCs w:val="24"/>
        </w:rPr>
        <w:t>na stronie podmiotowej BIP UKE</w:t>
      </w:r>
      <w:r w:rsidRPr="00C856D1">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 projektowanym przepisie zastosowano mechanizm przewidziany w art. 16 EKŁE, zgodnie z którym państwa członkowskie mogą zdecydować o niepobieraniu opłat administracyjnych od przedsiębiorstw, których obroty nie przekraczają określonego progu lub których działalność nie pozwala uzyskać minimalnego udziału w rynku lub ma bardzo ograniczony zasięg terytorialny. W</w:t>
      </w:r>
      <w:r w:rsidR="003D110A"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związku z tym zostały przewidziane uregulowania uzależniające obowiązek uiszczania i wysokość tej opłaty od wysokości przychodów w</w:t>
      </w:r>
      <w:r w:rsidR="003D110A"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roku obrotowym poprzedzającym o dwa lata rok za który opłata jest należna oraz od okresu prowadzenia działalności objętej zgłoszeniem. </w:t>
      </w:r>
      <w:r w:rsidR="003D110A" w:rsidRPr="003A42FB">
        <w:rPr>
          <w:rFonts w:ascii="Times New Roman" w:eastAsiaTheme="minorEastAsia" w:hAnsi="Times New Roman" w:cs="Times New Roman"/>
          <w:sz w:val="24"/>
          <w:szCs w:val="24"/>
        </w:rPr>
        <w:t>Z</w:t>
      </w:r>
      <w:r w:rsidRPr="003A42FB">
        <w:rPr>
          <w:rFonts w:ascii="Times New Roman" w:eastAsiaTheme="minorEastAsia" w:hAnsi="Times New Roman" w:cs="Times New Roman"/>
          <w:sz w:val="24"/>
          <w:szCs w:val="24"/>
        </w:rPr>
        <w:t xml:space="preserve"> obowiązku uiszczania rocznej opłaty </w:t>
      </w:r>
      <w:r w:rsidR="2DD4A472" w:rsidRPr="003A42FB">
        <w:rPr>
          <w:rFonts w:ascii="Times New Roman" w:eastAsiaTheme="minorEastAsia" w:hAnsi="Times New Roman" w:cs="Times New Roman"/>
          <w:sz w:val="24"/>
          <w:szCs w:val="24"/>
        </w:rPr>
        <w:t>telekomunikacyjnej</w:t>
      </w:r>
      <w:r w:rsidRPr="003A42FB">
        <w:rPr>
          <w:rFonts w:ascii="Times New Roman" w:eastAsiaTheme="minorEastAsia" w:hAnsi="Times New Roman" w:cs="Times New Roman"/>
          <w:sz w:val="24"/>
          <w:szCs w:val="24"/>
        </w:rPr>
        <w:t xml:space="preserve"> zwolnieni zostali przedsiębiorcy, w pierwszych dwóch latach prowadzonej działalności</w:t>
      </w:r>
      <w:r w:rsidR="5AEDCFD1" w:rsidRPr="003A42FB">
        <w:rPr>
          <w:rFonts w:ascii="Times New Roman" w:eastAsiaTheme="minorEastAsia" w:hAnsi="Times New Roman" w:cs="Times New Roman"/>
          <w:sz w:val="24"/>
          <w:szCs w:val="24"/>
        </w:rPr>
        <w:t xml:space="preserve"> oraz </w:t>
      </w:r>
      <w:r w:rsidR="7E411567" w:rsidRPr="003A42FB">
        <w:rPr>
          <w:rFonts w:ascii="Times New Roman" w:eastAsiaTheme="minorEastAsia" w:hAnsi="Times New Roman" w:cs="Times New Roman"/>
          <w:sz w:val="24"/>
          <w:szCs w:val="24"/>
        </w:rPr>
        <w:t>przedsiębiorcy</w:t>
      </w:r>
      <w:r w:rsidR="5AEDCFD1" w:rsidRPr="003A42FB">
        <w:rPr>
          <w:rFonts w:ascii="Times New Roman" w:eastAsiaTheme="minorEastAsia" w:hAnsi="Times New Roman" w:cs="Times New Roman"/>
          <w:sz w:val="24"/>
          <w:szCs w:val="24"/>
        </w:rPr>
        <w:t>, których</w:t>
      </w:r>
      <w:r w:rsidR="350520DA" w:rsidRPr="003A42FB">
        <w:rPr>
          <w:rFonts w:ascii="Times New Roman" w:eastAsiaTheme="minorEastAsia" w:hAnsi="Times New Roman" w:cs="Times New Roman"/>
          <w:sz w:val="24"/>
          <w:szCs w:val="24"/>
        </w:rPr>
        <w:t xml:space="preserve"> </w:t>
      </w:r>
      <w:r w:rsidR="631004AC" w:rsidRPr="003A42FB">
        <w:rPr>
          <w:rFonts w:ascii="Times New Roman" w:eastAsiaTheme="minorEastAsia" w:hAnsi="Times New Roman" w:cs="Times New Roman"/>
          <w:sz w:val="24"/>
          <w:szCs w:val="24"/>
        </w:rPr>
        <w:t xml:space="preserve">przychody z tytułu prowadzenia działalności telekomunikacyjnej osiągnięte w roku obrotowym poprzedzającym o 2 lata rok, za który ta opłata jest należna, </w:t>
      </w:r>
      <w:r w:rsidR="5EBCB978" w:rsidRPr="003A42FB">
        <w:rPr>
          <w:rFonts w:ascii="Times New Roman" w:eastAsiaTheme="minorEastAsia" w:hAnsi="Times New Roman" w:cs="Times New Roman"/>
          <w:sz w:val="24"/>
          <w:szCs w:val="24"/>
        </w:rPr>
        <w:t>wyn</w:t>
      </w:r>
      <w:r w:rsidR="4AC68B78" w:rsidRPr="003A42FB">
        <w:rPr>
          <w:rFonts w:ascii="Times New Roman" w:eastAsiaTheme="minorEastAsia" w:hAnsi="Times New Roman" w:cs="Times New Roman"/>
          <w:sz w:val="24"/>
          <w:szCs w:val="24"/>
        </w:rPr>
        <w:t>iosły</w:t>
      </w:r>
      <w:r w:rsidR="631004AC" w:rsidRPr="003A42FB">
        <w:rPr>
          <w:rFonts w:ascii="Times New Roman" w:eastAsiaTheme="minorEastAsia" w:hAnsi="Times New Roman" w:cs="Times New Roman"/>
          <w:sz w:val="24"/>
          <w:szCs w:val="24"/>
        </w:rPr>
        <w:t xml:space="preserve"> 10 milionów złotych</w:t>
      </w:r>
      <w:r w:rsidR="7B8A099C" w:rsidRPr="003A42FB">
        <w:rPr>
          <w:rFonts w:ascii="Times New Roman" w:eastAsiaTheme="minorEastAsia" w:hAnsi="Times New Roman" w:cs="Times New Roman"/>
          <w:sz w:val="24"/>
          <w:szCs w:val="24"/>
        </w:rPr>
        <w:t xml:space="preserve"> lub mniej</w:t>
      </w:r>
      <w:r w:rsidR="631004AC" w:rsidRPr="003A42FB">
        <w:rPr>
          <w:rFonts w:ascii="Times New Roman" w:eastAsiaTheme="minorEastAsia" w:hAnsi="Times New Roman" w:cs="Times New Roman"/>
          <w:sz w:val="24"/>
          <w:szCs w:val="24"/>
        </w:rPr>
        <w:t>.</w:t>
      </w:r>
      <w:r w:rsidR="003D110A" w:rsidRPr="003A42FB">
        <w:rPr>
          <w:rFonts w:ascii="Times New Roman" w:eastAsiaTheme="minorEastAsia" w:hAnsi="Times New Roman" w:cs="Times New Roman"/>
          <w:sz w:val="24"/>
          <w:szCs w:val="24"/>
        </w:rPr>
        <w:t xml:space="preserve"> </w:t>
      </w:r>
      <w:r w:rsidR="1020F925" w:rsidRPr="003A42FB">
        <w:rPr>
          <w:rFonts w:ascii="Times New Roman" w:eastAsiaTheme="minorEastAsia" w:hAnsi="Times New Roman" w:cs="Times New Roman"/>
          <w:sz w:val="24"/>
          <w:szCs w:val="24"/>
        </w:rPr>
        <w:t>Wysokość opłaty może ulec obniżeniu w związku z zawarciem umowy inwestycyjnej, a je</w:t>
      </w:r>
      <w:r w:rsidR="77B50514" w:rsidRPr="003A42FB">
        <w:rPr>
          <w:rFonts w:ascii="Times New Roman" w:eastAsiaTheme="minorEastAsia" w:hAnsi="Times New Roman" w:cs="Times New Roman"/>
          <w:sz w:val="24"/>
          <w:szCs w:val="24"/>
        </w:rPr>
        <w:t xml:space="preserve">j wysokość </w:t>
      </w:r>
      <w:r w:rsidR="1020F925" w:rsidRPr="003A42FB">
        <w:rPr>
          <w:rFonts w:ascii="Times New Roman" w:eastAsiaTheme="minorEastAsia" w:hAnsi="Times New Roman" w:cs="Times New Roman"/>
          <w:sz w:val="24"/>
          <w:szCs w:val="24"/>
        </w:rPr>
        <w:t xml:space="preserve">nie może przekroczyć 0,05% rocznych przychodów przedsiębiorcy telekomunikacyjnego obowiązanego </w:t>
      </w:r>
      <w:r w:rsidR="1020F925" w:rsidRPr="003A42FB">
        <w:rPr>
          <w:rFonts w:ascii="Times New Roman" w:eastAsiaTheme="minorEastAsia" w:hAnsi="Times New Roman" w:cs="Times New Roman"/>
          <w:sz w:val="24"/>
          <w:szCs w:val="24"/>
        </w:rPr>
        <w:lastRenderedPageBreak/>
        <w:t>do uiszczenia rocznej opłaty telekomunikacyjnej, z tytułu prowadzenia działalności telekomunikacyjnej, uzyskanych w roku obrotowym poprzedzającym o 2 lata rok, za który ta opłata jest należna.</w:t>
      </w:r>
    </w:p>
    <w:p w14:paraId="05467EE2" w14:textId="0BBAB9C6" w:rsidR="00F0555A" w:rsidRPr="003A42FB" w:rsidRDefault="094EDDA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Szczegółowy sposób ustalania wysokości wskaźnika rocznej opłaty </w:t>
      </w:r>
      <w:r w:rsidR="00783A01" w:rsidRPr="003A42FB">
        <w:rPr>
          <w:rFonts w:ascii="Times New Roman" w:eastAsiaTheme="minorEastAsia" w:hAnsi="Times New Roman" w:cs="Times New Roman"/>
          <w:sz w:val="24"/>
          <w:szCs w:val="24"/>
        </w:rPr>
        <w:t xml:space="preserve">telekomunikacyjnej </w:t>
      </w:r>
      <w:r w:rsidRPr="003A42FB">
        <w:rPr>
          <w:rFonts w:ascii="Times New Roman" w:eastAsiaTheme="minorEastAsia" w:hAnsi="Times New Roman" w:cs="Times New Roman"/>
          <w:sz w:val="24"/>
          <w:szCs w:val="24"/>
        </w:rPr>
        <w:t>zostanie określony w rozporządzeniu ministra właściwego ds. informatyzacji. Z kolei, coroczna wysokość tego wskaźnika będzie określana przez ministra właściwego ds. informatyzacji w drodze komunikatu. Zasady dotyczące ustanowienia rocznej opłaty telekomunikacyjnej s</w:t>
      </w:r>
      <w:r w:rsidR="51305415" w:rsidRPr="003A42FB">
        <w:rPr>
          <w:rFonts w:ascii="Times New Roman" w:eastAsiaTheme="minorEastAsia" w:hAnsi="Times New Roman" w:cs="Times New Roman"/>
          <w:sz w:val="24"/>
          <w:szCs w:val="24"/>
        </w:rPr>
        <w:t>tanowią wdrożenie art. 16 EKŁE</w:t>
      </w:r>
      <w:r w:rsidR="1102F113" w:rsidRPr="003A42FB">
        <w:rPr>
          <w:rFonts w:ascii="Times New Roman" w:eastAsiaTheme="minorEastAsia" w:hAnsi="Times New Roman" w:cs="Times New Roman"/>
          <w:sz w:val="24"/>
          <w:szCs w:val="24"/>
        </w:rPr>
        <w:t xml:space="preserve"> i </w:t>
      </w:r>
      <w:r w:rsidR="67E47998" w:rsidRPr="003A42FB">
        <w:rPr>
          <w:rFonts w:ascii="Times New Roman" w:eastAsiaTheme="minorEastAsia" w:hAnsi="Times New Roman" w:cs="Times New Roman"/>
          <w:sz w:val="24"/>
          <w:szCs w:val="24"/>
        </w:rPr>
        <w:t xml:space="preserve">do tej pory były określone w </w:t>
      </w:r>
      <w:r w:rsidR="1102F113" w:rsidRPr="003A42FB">
        <w:rPr>
          <w:rFonts w:ascii="Times New Roman" w:eastAsiaTheme="minorEastAsia" w:hAnsi="Times New Roman" w:cs="Times New Roman"/>
          <w:sz w:val="24"/>
          <w:szCs w:val="24"/>
        </w:rPr>
        <w:t>art.</w:t>
      </w:r>
      <w:r w:rsidR="4A2DA9BD" w:rsidRPr="003A42FB">
        <w:rPr>
          <w:rFonts w:ascii="Times New Roman" w:eastAsiaTheme="minorEastAsia" w:hAnsi="Times New Roman" w:cs="Times New Roman"/>
          <w:sz w:val="24"/>
          <w:szCs w:val="24"/>
        </w:rPr>
        <w:t xml:space="preserve"> </w:t>
      </w:r>
      <w:r w:rsidR="1102F113" w:rsidRPr="003A42FB">
        <w:rPr>
          <w:rFonts w:ascii="Times New Roman" w:eastAsiaTheme="minorEastAsia" w:hAnsi="Times New Roman" w:cs="Times New Roman"/>
          <w:sz w:val="24"/>
          <w:szCs w:val="24"/>
        </w:rPr>
        <w:t>183 Pt</w:t>
      </w:r>
      <w:r w:rsidR="51305415" w:rsidRPr="003A42FB">
        <w:rPr>
          <w:rFonts w:ascii="Times New Roman" w:eastAsiaTheme="minorEastAsia" w:hAnsi="Times New Roman" w:cs="Times New Roman"/>
          <w:sz w:val="24"/>
          <w:szCs w:val="24"/>
        </w:rPr>
        <w:t>.</w:t>
      </w:r>
      <w:r w:rsidR="2D10B6B6" w:rsidRPr="003A42FB">
        <w:rPr>
          <w:rFonts w:ascii="Times New Roman" w:eastAsiaTheme="minorEastAsia" w:hAnsi="Times New Roman" w:cs="Times New Roman"/>
          <w:sz w:val="24"/>
          <w:szCs w:val="24"/>
        </w:rPr>
        <w:t xml:space="preserve"> Najważniejsza zmiana w stosunku do przepisów z Pt dotyczy podwyższenia</w:t>
      </w:r>
      <w:r w:rsidR="613A60BB" w:rsidRPr="003A42FB">
        <w:rPr>
          <w:rFonts w:ascii="Times New Roman" w:eastAsiaTheme="minorEastAsia" w:hAnsi="Times New Roman" w:cs="Times New Roman"/>
          <w:sz w:val="24"/>
          <w:szCs w:val="24"/>
        </w:rPr>
        <w:t xml:space="preserve"> z 4 do 10 mln</w:t>
      </w:r>
      <w:r w:rsidR="2D10B6B6" w:rsidRPr="003A42FB">
        <w:rPr>
          <w:rFonts w:ascii="Times New Roman" w:eastAsiaTheme="minorEastAsia" w:hAnsi="Times New Roman" w:cs="Times New Roman"/>
          <w:sz w:val="24"/>
          <w:szCs w:val="24"/>
        </w:rPr>
        <w:t xml:space="preserve"> progu przychodów</w:t>
      </w:r>
      <w:r w:rsidR="00630863" w:rsidRPr="003A42FB">
        <w:rPr>
          <w:rFonts w:ascii="Times New Roman" w:eastAsiaTheme="minorEastAsia" w:hAnsi="Times New Roman" w:cs="Times New Roman"/>
          <w:sz w:val="24"/>
          <w:szCs w:val="24"/>
        </w:rPr>
        <w:t xml:space="preserve"> z tytułu prowadzenia działalności telekomunikacyjnej</w:t>
      </w:r>
      <w:r w:rsidR="2D10B6B6" w:rsidRPr="003A42FB">
        <w:rPr>
          <w:rFonts w:ascii="Times New Roman" w:eastAsiaTheme="minorEastAsia" w:hAnsi="Times New Roman" w:cs="Times New Roman"/>
          <w:sz w:val="24"/>
          <w:szCs w:val="24"/>
        </w:rPr>
        <w:t>, poni</w:t>
      </w:r>
      <w:r w:rsidR="6DD41610" w:rsidRPr="003A42FB">
        <w:rPr>
          <w:rFonts w:ascii="Times New Roman" w:eastAsiaTheme="minorEastAsia" w:hAnsi="Times New Roman" w:cs="Times New Roman"/>
          <w:sz w:val="24"/>
          <w:szCs w:val="24"/>
        </w:rPr>
        <w:t>ż</w:t>
      </w:r>
      <w:r w:rsidR="2D10B6B6" w:rsidRPr="003A42FB">
        <w:rPr>
          <w:rFonts w:ascii="Times New Roman" w:eastAsiaTheme="minorEastAsia" w:hAnsi="Times New Roman" w:cs="Times New Roman"/>
          <w:sz w:val="24"/>
          <w:szCs w:val="24"/>
        </w:rPr>
        <w:t>ej którego przedsiębiorcy są zwolni</w:t>
      </w:r>
      <w:r w:rsidR="1C3DF653" w:rsidRPr="003A42FB">
        <w:rPr>
          <w:rFonts w:ascii="Times New Roman" w:eastAsiaTheme="minorEastAsia" w:hAnsi="Times New Roman" w:cs="Times New Roman"/>
          <w:sz w:val="24"/>
          <w:szCs w:val="24"/>
        </w:rPr>
        <w:t>eni z uiszczania roczn</w:t>
      </w:r>
      <w:r w:rsidR="1C459058" w:rsidRPr="003A42FB">
        <w:rPr>
          <w:rFonts w:ascii="Times New Roman" w:eastAsiaTheme="minorEastAsia" w:hAnsi="Times New Roman" w:cs="Times New Roman"/>
          <w:sz w:val="24"/>
          <w:szCs w:val="24"/>
        </w:rPr>
        <w:t>ej</w:t>
      </w:r>
      <w:r w:rsidR="1C3DF653" w:rsidRPr="003A42FB">
        <w:rPr>
          <w:rFonts w:ascii="Times New Roman" w:eastAsiaTheme="minorEastAsia" w:hAnsi="Times New Roman" w:cs="Times New Roman"/>
          <w:sz w:val="24"/>
          <w:szCs w:val="24"/>
        </w:rPr>
        <w:t xml:space="preserve"> opłaty</w:t>
      </w:r>
      <w:r w:rsidR="1E527B60" w:rsidRPr="003A42FB">
        <w:rPr>
          <w:rFonts w:ascii="Times New Roman" w:eastAsiaTheme="minorEastAsia" w:hAnsi="Times New Roman" w:cs="Times New Roman"/>
          <w:sz w:val="24"/>
          <w:szCs w:val="24"/>
        </w:rPr>
        <w:t xml:space="preserve"> telekomunikacyjnej</w:t>
      </w:r>
      <w:r w:rsidR="768EF40D" w:rsidRPr="003A42FB">
        <w:rPr>
          <w:rFonts w:ascii="Times New Roman" w:eastAsiaTheme="minorEastAsia" w:hAnsi="Times New Roman" w:cs="Times New Roman"/>
          <w:sz w:val="24"/>
          <w:szCs w:val="24"/>
        </w:rPr>
        <w:t>.</w:t>
      </w:r>
    </w:p>
    <w:p w14:paraId="65C3C6A0" w14:textId="422B80CA" w:rsidR="00783A01" w:rsidRPr="003A42FB" w:rsidRDefault="00A440D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Dodatkowo</w:t>
      </w:r>
      <w:r w:rsidR="00783A01" w:rsidRPr="003A42FB">
        <w:rPr>
          <w:rFonts w:ascii="Times New Roman" w:eastAsiaTheme="minorEastAsia" w:hAnsi="Times New Roman" w:cs="Times New Roman"/>
          <w:sz w:val="24"/>
          <w:szCs w:val="24"/>
        </w:rPr>
        <w:t xml:space="preserve">, w celu zachowania większej poprawności legislacyjnej, przeniesiono do ustawy część przepisów, które dotychczas były </w:t>
      </w:r>
      <w:r w:rsidR="004C46ED" w:rsidRPr="003A42FB">
        <w:rPr>
          <w:rFonts w:ascii="Times New Roman" w:eastAsiaTheme="minorEastAsia" w:hAnsi="Times New Roman" w:cs="Times New Roman"/>
          <w:sz w:val="24"/>
          <w:szCs w:val="24"/>
        </w:rPr>
        <w:t xml:space="preserve">zapisane </w:t>
      </w:r>
      <w:r w:rsidR="00783A01" w:rsidRPr="003A42FB">
        <w:rPr>
          <w:rFonts w:ascii="Times New Roman" w:eastAsiaTheme="minorEastAsia" w:hAnsi="Times New Roman" w:cs="Times New Roman"/>
          <w:sz w:val="24"/>
          <w:szCs w:val="24"/>
        </w:rPr>
        <w:t>w rozporządzeniu, dotycząc</w:t>
      </w:r>
      <w:r w:rsidR="002B601C">
        <w:rPr>
          <w:rFonts w:ascii="Times New Roman" w:eastAsiaTheme="minorEastAsia" w:hAnsi="Times New Roman" w:cs="Times New Roman"/>
          <w:sz w:val="24"/>
          <w:szCs w:val="24"/>
        </w:rPr>
        <w:t>ych</w:t>
      </w:r>
      <w:r w:rsidR="00783A01" w:rsidRPr="003A42FB">
        <w:rPr>
          <w:rFonts w:ascii="Times New Roman" w:eastAsiaTheme="minorEastAsia" w:hAnsi="Times New Roman" w:cs="Times New Roman"/>
          <w:sz w:val="24"/>
          <w:szCs w:val="24"/>
        </w:rPr>
        <w:t xml:space="preserve"> sposobów uiszczania opłaty telekomunikacyjnej (raty kwartalne, półroczne lub zapłata jednorazowa).</w:t>
      </w:r>
    </w:p>
    <w:p w14:paraId="23BD9926" w14:textId="694D02C1" w:rsidR="00F0555A" w:rsidRPr="003A42FB" w:rsidRDefault="000F496D" w:rsidP="00C53EAB">
      <w:pPr>
        <w:pStyle w:val="h1chapter"/>
        <w:spacing w:before="0" w:after="120" w:line="240" w:lineRule="auto"/>
        <w:jc w:val="both"/>
        <w:rPr>
          <w:rFonts w:ascii="Times New Roman" w:hAnsi="Times New Roman" w:cs="Times New Roman"/>
          <w:color w:val="auto"/>
          <w:sz w:val="24"/>
          <w:szCs w:val="24"/>
        </w:rPr>
      </w:pPr>
      <w:r w:rsidRPr="003A42FB">
        <w:rPr>
          <w:rFonts w:ascii="Times New Roman" w:hAnsi="Times New Roman" w:cs="Times New Roman"/>
          <w:color w:val="auto"/>
          <w:sz w:val="24"/>
          <w:szCs w:val="24"/>
        </w:rPr>
        <w:t xml:space="preserve">Art. </w:t>
      </w:r>
      <w:r w:rsidR="6581F331" w:rsidRPr="003A42FB">
        <w:rPr>
          <w:rFonts w:ascii="Times New Roman" w:hAnsi="Times New Roman" w:cs="Times New Roman"/>
          <w:color w:val="auto"/>
          <w:sz w:val="24"/>
          <w:szCs w:val="24"/>
        </w:rPr>
        <w:t>24</w:t>
      </w:r>
    </w:p>
    <w:p w14:paraId="37A396D5" w14:textId="56060A5D" w:rsidR="00B43AF6" w:rsidRPr="003A42FB" w:rsidRDefault="00B43AF6" w:rsidP="00C53EAB">
      <w:pPr>
        <w:pStyle w:val="h1chapter"/>
        <w:spacing w:before="0" w:after="120" w:line="240" w:lineRule="auto"/>
        <w:jc w:val="both"/>
        <w:rPr>
          <w:rFonts w:ascii="Times New Roman" w:hAnsi="Times New Roman" w:cs="Times New Roman"/>
          <w:b w:val="0"/>
          <w:bCs w:val="0"/>
          <w:color w:val="auto"/>
          <w:sz w:val="24"/>
          <w:szCs w:val="24"/>
          <w:lang w:eastAsia="en-US"/>
        </w:rPr>
      </w:pPr>
      <w:r w:rsidRPr="003A42FB">
        <w:rPr>
          <w:rFonts w:ascii="Times New Roman" w:hAnsi="Times New Roman" w:cs="Times New Roman"/>
          <w:b w:val="0"/>
          <w:bCs w:val="0"/>
          <w:color w:val="auto"/>
          <w:sz w:val="24"/>
          <w:szCs w:val="24"/>
          <w:lang w:eastAsia="en-US"/>
        </w:rPr>
        <w:t>Kwestie związane z opłatami za częstotliwości były przedmiotem regulacji art. 185 Pt. Proponowany przepis jest zasadniczo tożsamy z funkcjonującymi dotychczas regulacjami</w:t>
      </w:r>
      <w:r w:rsidR="000D50E3" w:rsidRPr="003A42FB">
        <w:rPr>
          <w:rFonts w:ascii="Times New Roman" w:hAnsi="Times New Roman" w:cs="Times New Roman"/>
          <w:b w:val="0"/>
          <w:bCs w:val="0"/>
          <w:color w:val="auto"/>
          <w:sz w:val="24"/>
          <w:szCs w:val="24"/>
          <w:lang w:eastAsia="en-US"/>
        </w:rPr>
        <w:t xml:space="preserve"> w tym zakresie</w:t>
      </w:r>
      <w:r w:rsidRPr="003A42FB">
        <w:rPr>
          <w:rFonts w:ascii="Times New Roman" w:hAnsi="Times New Roman" w:cs="Times New Roman"/>
          <w:b w:val="0"/>
          <w:bCs w:val="0"/>
          <w:color w:val="auto"/>
          <w:sz w:val="24"/>
          <w:szCs w:val="24"/>
          <w:lang w:eastAsia="en-US"/>
        </w:rPr>
        <w:t>.</w:t>
      </w:r>
      <w:r w:rsidR="3FBBC73F" w:rsidRPr="003A42FB">
        <w:rPr>
          <w:rFonts w:ascii="Times New Roman" w:hAnsi="Times New Roman" w:cs="Times New Roman"/>
          <w:b w:val="0"/>
          <w:bCs w:val="0"/>
          <w:color w:val="auto"/>
          <w:sz w:val="24"/>
          <w:szCs w:val="24"/>
          <w:lang w:eastAsia="en-US"/>
        </w:rPr>
        <w:t xml:space="preserve"> Przepisy stanowią jednocześnie wdrożenie art. 42 EKŁE.</w:t>
      </w:r>
    </w:p>
    <w:p w14:paraId="7BFBB9AF" w14:textId="557971FF" w:rsidR="000D50E3" w:rsidRPr="003A42FB" w:rsidRDefault="78C09CDC" w:rsidP="00C53EAB">
      <w:pPr>
        <w:pStyle w:val="h1chapter"/>
        <w:spacing w:before="0" w:after="120" w:line="240" w:lineRule="auto"/>
        <w:jc w:val="both"/>
        <w:rPr>
          <w:rFonts w:ascii="Times New Roman" w:hAnsi="Times New Roman" w:cs="Times New Roman"/>
          <w:b w:val="0"/>
          <w:bCs w:val="0"/>
          <w:color w:val="auto"/>
          <w:sz w:val="24"/>
          <w:szCs w:val="24"/>
          <w:lang w:eastAsia="en-US"/>
        </w:rPr>
      </w:pPr>
      <w:r w:rsidRPr="003A42FB">
        <w:rPr>
          <w:rFonts w:ascii="Times New Roman" w:hAnsi="Times New Roman" w:cs="Times New Roman"/>
          <w:b w:val="0"/>
          <w:bCs w:val="0"/>
          <w:color w:val="auto"/>
          <w:sz w:val="24"/>
          <w:szCs w:val="24"/>
          <w:lang w:eastAsia="en-US"/>
        </w:rPr>
        <w:t>Utrzymana zostaje generalna zasada, zgodnie z którą podmiot, który uzyskał prawo do dysponowania częstotliwością w rezerwacji częstotliwości, uiszcza roczną opłatę za prawo do dysponowania częstotliwością</w:t>
      </w:r>
      <w:r w:rsidR="5BF51A57" w:rsidRPr="003A42FB">
        <w:rPr>
          <w:rFonts w:ascii="Times New Roman" w:hAnsi="Times New Roman" w:cs="Times New Roman"/>
          <w:b w:val="0"/>
          <w:bCs w:val="0"/>
          <w:color w:val="auto"/>
          <w:sz w:val="24"/>
          <w:szCs w:val="24"/>
          <w:lang w:eastAsia="en-US"/>
        </w:rPr>
        <w:t>, a nie jej faktyczne wykorzystywanie</w:t>
      </w:r>
      <w:r w:rsidRPr="003A42FB">
        <w:rPr>
          <w:rFonts w:ascii="Times New Roman" w:hAnsi="Times New Roman" w:cs="Times New Roman"/>
          <w:b w:val="0"/>
          <w:bCs w:val="0"/>
          <w:color w:val="auto"/>
          <w:sz w:val="24"/>
          <w:szCs w:val="24"/>
          <w:lang w:eastAsia="en-US"/>
        </w:rPr>
        <w:t xml:space="preserve">. Wysokość opłaty zostanie określona w drodze rozporządzenia Rady Ministrów, przy czym w ustawie </w:t>
      </w:r>
      <w:r w:rsidR="43404BD5" w:rsidRPr="003A42FB">
        <w:rPr>
          <w:rFonts w:ascii="Times New Roman" w:hAnsi="Times New Roman" w:cs="Times New Roman"/>
          <w:b w:val="0"/>
          <w:bCs w:val="0"/>
          <w:color w:val="auto"/>
          <w:sz w:val="24"/>
          <w:szCs w:val="24"/>
          <w:lang w:eastAsia="en-US"/>
        </w:rPr>
        <w:t>Pke</w:t>
      </w:r>
      <w:r w:rsidRPr="003A42FB">
        <w:rPr>
          <w:rFonts w:ascii="Times New Roman" w:hAnsi="Times New Roman" w:cs="Times New Roman"/>
          <w:b w:val="0"/>
          <w:bCs w:val="0"/>
          <w:color w:val="auto"/>
          <w:sz w:val="24"/>
          <w:szCs w:val="24"/>
          <w:lang w:eastAsia="en-US"/>
        </w:rPr>
        <w:t xml:space="preserve"> wskazane są </w:t>
      </w:r>
      <w:r w:rsidR="688E41CA" w:rsidRPr="003A42FB">
        <w:rPr>
          <w:rFonts w:ascii="Times New Roman" w:hAnsi="Times New Roman" w:cs="Times New Roman"/>
          <w:b w:val="0"/>
          <w:bCs w:val="0"/>
          <w:color w:val="auto"/>
          <w:sz w:val="24"/>
          <w:szCs w:val="24"/>
          <w:lang w:eastAsia="en-US"/>
        </w:rPr>
        <w:t xml:space="preserve">górne </w:t>
      </w:r>
      <w:r w:rsidRPr="003A42FB">
        <w:rPr>
          <w:rFonts w:ascii="Times New Roman" w:hAnsi="Times New Roman" w:cs="Times New Roman"/>
          <w:b w:val="0"/>
          <w:bCs w:val="0"/>
          <w:color w:val="auto"/>
          <w:sz w:val="24"/>
          <w:szCs w:val="24"/>
          <w:lang w:eastAsia="en-US"/>
        </w:rPr>
        <w:t>limity opłat w poszczególnych służbach radiokomunikacyjnych. Limity nie zostały zmienione w stosunku do limit</w:t>
      </w:r>
      <w:r w:rsidR="688E41CA" w:rsidRPr="003A42FB">
        <w:rPr>
          <w:rFonts w:ascii="Times New Roman" w:hAnsi="Times New Roman" w:cs="Times New Roman"/>
          <w:b w:val="0"/>
          <w:bCs w:val="0"/>
          <w:color w:val="auto"/>
          <w:sz w:val="24"/>
          <w:szCs w:val="24"/>
          <w:lang w:eastAsia="en-US"/>
        </w:rPr>
        <w:t>ów obowiązujących w ustawie Pt.</w:t>
      </w:r>
    </w:p>
    <w:p w14:paraId="218C293D" w14:textId="3F5BAEF1" w:rsidR="00B43AF6" w:rsidRPr="003A42FB" w:rsidRDefault="00B43AF6" w:rsidP="00C53EAB">
      <w:pPr>
        <w:pStyle w:val="h1chapter"/>
        <w:spacing w:before="0" w:after="120" w:line="240" w:lineRule="auto"/>
        <w:jc w:val="both"/>
        <w:rPr>
          <w:rFonts w:ascii="Times New Roman" w:hAnsi="Times New Roman" w:cs="Times New Roman"/>
          <w:b w:val="0"/>
          <w:bCs w:val="0"/>
          <w:color w:val="auto"/>
          <w:sz w:val="24"/>
          <w:szCs w:val="24"/>
          <w:lang w:eastAsia="en-US"/>
        </w:rPr>
      </w:pPr>
      <w:r w:rsidRPr="003A42FB">
        <w:rPr>
          <w:rFonts w:ascii="Times New Roman" w:hAnsi="Times New Roman" w:cs="Times New Roman"/>
          <w:b w:val="0"/>
          <w:bCs w:val="0"/>
          <w:color w:val="auto"/>
          <w:sz w:val="24"/>
          <w:szCs w:val="24"/>
          <w:lang w:eastAsia="en-US"/>
        </w:rPr>
        <w:t xml:space="preserve">Zachowano także przewidziane </w:t>
      </w:r>
      <w:r w:rsidR="000D50E3" w:rsidRPr="003A42FB">
        <w:rPr>
          <w:rFonts w:ascii="Times New Roman" w:hAnsi="Times New Roman" w:cs="Times New Roman"/>
          <w:b w:val="0"/>
          <w:bCs w:val="0"/>
          <w:color w:val="auto"/>
          <w:sz w:val="24"/>
          <w:szCs w:val="24"/>
          <w:lang w:eastAsia="en-US"/>
        </w:rPr>
        <w:t xml:space="preserve">już </w:t>
      </w:r>
      <w:r w:rsidRPr="003A42FB">
        <w:rPr>
          <w:rFonts w:ascii="Times New Roman" w:hAnsi="Times New Roman" w:cs="Times New Roman"/>
          <w:b w:val="0"/>
          <w:bCs w:val="0"/>
          <w:color w:val="auto"/>
          <w:sz w:val="24"/>
          <w:szCs w:val="24"/>
          <w:lang w:eastAsia="en-US"/>
        </w:rPr>
        <w:t xml:space="preserve">w ustawie Pt </w:t>
      </w:r>
      <w:r w:rsidR="000D50E3" w:rsidRPr="003A42FB">
        <w:rPr>
          <w:rFonts w:ascii="Times New Roman" w:hAnsi="Times New Roman" w:cs="Times New Roman"/>
          <w:b w:val="0"/>
          <w:bCs w:val="0"/>
          <w:color w:val="auto"/>
          <w:sz w:val="24"/>
          <w:szCs w:val="24"/>
          <w:lang w:eastAsia="en-US"/>
        </w:rPr>
        <w:t xml:space="preserve">przepisy określające </w:t>
      </w:r>
      <w:r w:rsidRPr="003A42FB">
        <w:rPr>
          <w:rFonts w:ascii="Times New Roman" w:hAnsi="Times New Roman" w:cs="Times New Roman"/>
          <w:b w:val="0"/>
          <w:bCs w:val="0"/>
          <w:color w:val="auto"/>
          <w:sz w:val="24"/>
          <w:szCs w:val="24"/>
          <w:lang w:eastAsia="en-US"/>
        </w:rPr>
        <w:t xml:space="preserve">sytuacje, w których limit opłaty ulega obniżeniu </w:t>
      </w:r>
      <w:r w:rsidR="000D50E3" w:rsidRPr="003A42FB">
        <w:rPr>
          <w:rFonts w:ascii="Times New Roman" w:hAnsi="Times New Roman" w:cs="Times New Roman"/>
          <w:b w:val="0"/>
          <w:bCs w:val="0"/>
          <w:color w:val="auto"/>
          <w:sz w:val="24"/>
          <w:szCs w:val="24"/>
          <w:lang w:eastAsia="en-US"/>
        </w:rPr>
        <w:t>do 50% oraz</w:t>
      </w:r>
      <w:r w:rsidRPr="003A42FB">
        <w:rPr>
          <w:rFonts w:ascii="Times New Roman" w:hAnsi="Times New Roman" w:cs="Times New Roman"/>
          <w:b w:val="0"/>
          <w:bCs w:val="0"/>
          <w:color w:val="auto"/>
          <w:sz w:val="24"/>
          <w:szCs w:val="24"/>
          <w:lang w:eastAsia="en-US"/>
        </w:rPr>
        <w:t xml:space="preserve"> sytuacje</w:t>
      </w:r>
      <w:r w:rsidR="41DF31D5" w:rsidRPr="003A42FB">
        <w:rPr>
          <w:rFonts w:ascii="Times New Roman" w:hAnsi="Times New Roman" w:cs="Times New Roman"/>
          <w:b w:val="0"/>
          <w:bCs w:val="0"/>
          <w:color w:val="auto"/>
          <w:sz w:val="24"/>
          <w:szCs w:val="24"/>
          <w:lang w:eastAsia="en-US"/>
        </w:rPr>
        <w:t>,</w:t>
      </w:r>
      <w:r w:rsidRPr="003A42FB">
        <w:rPr>
          <w:rFonts w:ascii="Times New Roman" w:hAnsi="Times New Roman" w:cs="Times New Roman"/>
          <w:b w:val="0"/>
          <w:bCs w:val="0"/>
          <w:color w:val="auto"/>
          <w:sz w:val="24"/>
          <w:szCs w:val="24"/>
          <w:lang w:eastAsia="en-US"/>
        </w:rPr>
        <w:t xml:space="preserve"> kiedy</w:t>
      </w:r>
      <w:r w:rsidR="000D50E3" w:rsidRPr="003A42FB">
        <w:rPr>
          <w:rFonts w:ascii="Times New Roman" w:hAnsi="Times New Roman" w:cs="Times New Roman"/>
          <w:b w:val="0"/>
          <w:bCs w:val="0"/>
          <w:color w:val="auto"/>
          <w:sz w:val="24"/>
          <w:szCs w:val="24"/>
          <w:lang w:eastAsia="en-US"/>
        </w:rPr>
        <w:t xml:space="preserve"> ze względu na sposób wykorzystywania widma,</w:t>
      </w:r>
      <w:r w:rsidRPr="003A42FB">
        <w:rPr>
          <w:rFonts w:ascii="Times New Roman" w:hAnsi="Times New Roman" w:cs="Times New Roman"/>
          <w:b w:val="0"/>
          <w:bCs w:val="0"/>
          <w:color w:val="auto"/>
          <w:sz w:val="24"/>
          <w:szCs w:val="24"/>
          <w:lang w:eastAsia="en-US"/>
        </w:rPr>
        <w:t xml:space="preserve"> nie pobiera się </w:t>
      </w:r>
      <w:r w:rsidR="000D50E3" w:rsidRPr="003A42FB">
        <w:rPr>
          <w:rFonts w:ascii="Times New Roman" w:hAnsi="Times New Roman" w:cs="Times New Roman"/>
          <w:b w:val="0"/>
          <w:bCs w:val="0"/>
          <w:color w:val="auto"/>
          <w:sz w:val="24"/>
          <w:szCs w:val="24"/>
          <w:lang w:eastAsia="en-US"/>
        </w:rPr>
        <w:t xml:space="preserve">w ogóle </w:t>
      </w:r>
      <w:r w:rsidRPr="003A42FB">
        <w:rPr>
          <w:rFonts w:ascii="Times New Roman" w:hAnsi="Times New Roman" w:cs="Times New Roman"/>
          <w:b w:val="0"/>
          <w:bCs w:val="0"/>
          <w:color w:val="auto"/>
          <w:sz w:val="24"/>
          <w:szCs w:val="24"/>
          <w:lang w:eastAsia="en-US"/>
        </w:rPr>
        <w:t>opłat za prawo do dysponowania częstotliwością.</w:t>
      </w:r>
    </w:p>
    <w:p w14:paraId="106D02C0" w14:textId="77777777" w:rsidR="000D50E3" w:rsidRPr="003A42FB" w:rsidRDefault="000D50E3" w:rsidP="00C53EAB">
      <w:pPr>
        <w:pStyle w:val="h1chapter"/>
        <w:spacing w:before="0" w:after="120" w:line="240" w:lineRule="auto"/>
        <w:jc w:val="both"/>
        <w:rPr>
          <w:rFonts w:ascii="Times New Roman" w:hAnsi="Times New Roman" w:cs="Times New Roman"/>
          <w:b w:val="0"/>
          <w:bCs w:val="0"/>
          <w:color w:val="auto"/>
          <w:sz w:val="24"/>
          <w:szCs w:val="24"/>
          <w:lang w:eastAsia="en-US"/>
        </w:rPr>
      </w:pPr>
      <w:r w:rsidRPr="003A42FB">
        <w:rPr>
          <w:rFonts w:ascii="Times New Roman" w:hAnsi="Times New Roman" w:cs="Times New Roman"/>
          <w:b w:val="0"/>
          <w:bCs w:val="0"/>
          <w:color w:val="auto"/>
          <w:sz w:val="24"/>
          <w:szCs w:val="24"/>
          <w:lang w:eastAsia="en-US"/>
        </w:rPr>
        <w:t>W drodze rozporządzenia Rady Ministrów zostanie także uregulowana wysokość, termin i sposób uiszczania opłat w przypadku dysponowania częstotliwością przez użytkowników rządowych.</w:t>
      </w:r>
    </w:p>
    <w:p w14:paraId="1DDDE659" w14:textId="77777777" w:rsidR="000D50E3" w:rsidRPr="003A42FB" w:rsidRDefault="000D50E3" w:rsidP="00C53EAB">
      <w:pPr>
        <w:pStyle w:val="h1chapter"/>
        <w:spacing w:before="0" w:after="120" w:line="240" w:lineRule="auto"/>
        <w:jc w:val="both"/>
        <w:rPr>
          <w:rFonts w:ascii="Times New Roman" w:hAnsi="Times New Roman" w:cs="Times New Roman"/>
          <w:b w:val="0"/>
          <w:bCs w:val="0"/>
          <w:color w:val="auto"/>
          <w:sz w:val="24"/>
          <w:szCs w:val="24"/>
          <w:lang w:eastAsia="en-US"/>
        </w:rPr>
      </w:pPr>
      <w:r w:rsidRPr="003A42FB">
        <w:rPr>
          <w:rFonts w:ascii="Times New Roman" w:hAnsi="Times New Roman" w:cs="Times New Roman"/>
          <w:b w:val="0"/>
          <w:bCs w:val="0"/>
          <w:color w:val="auto"/>
          <w:sz w:val="24"/>
          <w:szCs w:val="24"/>
          <w:lang w:eastAsia="en-US"/>
        </w:rPr>
        <w:t>Do wniesienia opłaty za dysponowanie częstotliwością obowiązane są także podmioty nieposiadające rezerwacji częstotliwości, które uzyskały prawo do wykorzystywania częstotliwości w pozwoleniu.</w:t>
      </w:r>
    </w:p>
    <w:p w14:paraId="41FEE23E" w14:textId="2F172319" w:rsidR="00E142C4" w:rsidRPr="003A42FB" w:rsidRDefault="000D50E3" w:rsidP="00C53EAB">
      <w:pPr>
        <w:pStyle w:val="h1chapter"/>
        <w:spacing w:before="0" w:after="120" w:line="240" w:lineRule="auto"/>
        <w:jc w:val="both"/>
        <w:rPr>
          <w:rFonts w:ascii="Times New Roman" w:hAnsi="Times New Roman" w:cs="Times New Roman"/>
          <w:b w:val="0"/>
          <w:bCs w:val="0"/>
          <w:color w:val="auto"/>
          <w:sz w:val="24"/>
          <w:szCs w:val="24"/>
          <w:lang w:eastAsia="en-US"/>
        </w:rPr>
      </w:pPr>
      <w:r w:rsidRPr="003A42FB">
        <w:rPr>
          <w:rFonts w:ascii="Times New Roman" w:hAnsi="Times New Roman" w:cs="Times New Roman"/>
          <w:b w:val="0"/>
          <w:bCs w:val="0"/>
          <w:color w:val="auto"/>
          <w:sz w:val="24"/>
          <w:szCs w:val="24"/>
          <w:lang w:eastAsia="en-US"/>
        </w:rPr>
        <w:t>Należy zauważyć, że oprócz obowiązku uiszczania opłaty rocznej, która związana jest z przysługującym podmiotowi prawem do dysponowania lub wykorzystywania częstotliwości, ustawa przewiduje utrzymanie opłaty dodatkowej. Zgodnie z ust. 6 podmiot, na rzecz którego dokonano rezerwacji częstotliwości w drodze pos</w:t>
      </w:r>
      <w:r w:rsidR="00160D69" w:rsidRPr="003A42FB">
        <w:rPr>
          <w:rFonts w:ascii="Times New Roman" w:hAnsi="Times New Roman" w:cs="Times New Roman"/>
          <w:b w:val="0"/>
          <w:bCs w:val="0"/>
          <w:color w:val="auto"/>
          <w:sz w:val="24"/>
          <w:szCs w:val="24"/>
          <w:lang w:eastAsia="en-US"/>
        </w:rPr>
        <w:t>t</w:t>
      </w:r>
      <w:r w:rsidR="00DB4AE2" w:rsidRPr="003A42FB">
        <w:rPr>
          <w:rFonts w:ascii="Times New Roman" w:hAnsi="Times New Roman" w:cs="Times New Roman"/>
          <w:b w:val="0"/>
          <w:bCs w:val="0"/>
          <w:color w:val="auto"/>
          <w:sz w:val="24"/>
          <w:szCs w:val="24"/>
          <w:lang w:eastAsia="en-US"/>
        </w:rPr>
        <w:t>ępowania rezerwacyjnego po postę</w:t>
      </w:r>
      <w:r w:rsidR="00160D69" w:rsidRPr="003A42FB">
        <w:rPr>
          <w:rFonts w:ascii="Times New Roman" w:hAnsi="Times New Roman" w:cs="Times New Roman"/>
          <w:b w:val="0"/>
          <w:bCs w:val="0"/>
          <w:color w:val="auto"/>
          <w:sz w:val="24"/>
          <w:szCs w:val="24"/>
          <w:lang w:eastAsia="en-US"/>
        </w:rPr>
        <w:t xml:space="preserve">powaniu selekcyjnym </w:t>
      </w:r>
      <w:r w:rsidRPr="003A42FB">
        <w:rPr>
          <w:rFonts w:ascii="Times New Roman" w:hAnsi="Times New Roman" w:cs="Times New Roman"/>
          <w:b w:val="0"/>
          <w:bCs w:val="0"/>
          <w:color w:val="auto"/>
          <w:sz w:val="24"/>
          <w:szCs w:val="24"/>
          <w:lang w:eastAsia="en-US"/>
        </w:rPr>
        <w:t>uiszcza dodatkową opłatę za dokonanie rezerwacji częstotliwości, w terminie 14 dni od dnia doręczenia decyzji w sprawie rezerwacji częstotliwości</w:t>
      </w:r>
      <w:r w:rsidR="00160D69" w:rsidRPr="003A42FB">
        <w:rPr>
          <w:rFonts w:ascii="Times New Roman" w:hAnsi="Times New Roman" w:cs="Times New Roman"/>
          <w:b w:val="0"/>
          <w:bCs w:val="0"/>
          <w:color w:val="auto"/>
          <w:sz w:val="24"/>
          <w:szCs w:val="24"/>
          <w:lang w:eastAsia="en-US"/>
        </w:rPr>
        <w:t xml:space="preserve">, w kwocie zadeklarowanej w </w:t>
      </w:r>
      <w:r w:rsidRPr="003A42FB">
        <w:rPr>
          <w:rFonts w:ascii="Times New Roman" w:hAnsi="Times New Roman" w:cs="Times New Roman"/>
          <w:b w:val="0"/>
          <w:bCs w:val="0"/>
          <w:color w:val="auto"/>
          <w:sz w:val="24"/>
          <w:szCs w:val="24"/>
          <w:lang w:eastAsia="en-US"/>
        </w:rPr>
        <w:t>postępowaniu</w:t>
      </w:r>
      <w:r w:rsidR="00160D69" w:rsidRPr="003A42FB">
        <w:rPr>
          <w:rFonts w:ascii="Times New Roman" w:hAnsi="Times New Roman" w:cs="Times New Roman"/>
          <w:b w:val="0"/>
          <w:bCs w:val="0"/>
          <w:color w:val="auto"/>
          <w:sz w:val="24"/>
          <w:szCs w:val="24"/>
          <w:lang w:eastAsia="en-US"/>
        </w:rPr>
        <w:t xml:space="preserve"> selekcyjnym</w:t>
      </w:r>
      <w:r w:rsidRPr="003A42FB">
        <w:rPr>
          <w:rFonts w:ascii="Times New Roman" w:hAnsi="Times New Roman" w:cs="Times New Roman"/>
          <w:b w:val="0"/>
          <w:bCs w:val="0"/>
          <w:color w:val="auto"/>
          <w:sz w:val="24"/>
          <w:szCs w:val="24"/>
          <w:lang w:eastAsia="en-US"/>
        </w:rPr>
        <w:t>, nie niższej niż opłata roczna za prawo do dysponowania częstotliwością, ustalonej zgodnie z warunkami podanymi w rezerwacji częstotliwości.</w:t>
      </w:r>
      <w:r w:rsidR="00160D69" w:rsidRPr="003A42FB">
        <w:rPr>
          <w:rFonts w:ascii="Times New Roman" w:hAnsi="Times New Roman" w:cs="Times New Roman"/>
          <w:b w:val="0"/>
          <w:bCs w:val="0"/>
          <w:color w:val="auto"/>
          <w:sz w:val="24"/>
          <w:szCs w:val="24"/>
          <w:lang w:eastAsia="en-US"/>
        </w:rPr>
        <w:t xml:space="preserve"> Tak samo podmiot</w:t>
      </w:r>
      <w:r w:rsidR="6EC66FA4" w:rsidRPr="003A42FB">
        <w:rPr>
          <w:rFonts w:ascii="Times New Roman" w:hAnsi="Times New Roman" w:cs="Times New Roman"/>
          <w:b w:val="0"/>
          <w:bCs w:val="0"/>
          <w:color w:val="auto"/>
          <w:sz w:val="24"/>
          <w:szCs w:val="24"/>
          <w:lang w:eastAsia="en-US"/>
        </w:rPr>
        <w:t>,</w:t>
      </w:r>
      <w:r w:rsidR="00160D69" w:rsidRPr="003A42FB">
        <w:rPr>
          <w:rFonts w:ascii="Times New Roman" w:hAnsi="Times New Roman" w:cs="Times New Roman"/>
          <w:b w:val="0"/>
          <w:bCs w:val="0"/>
          <w:color w:val="auto"/>
          <w:sz w:val="24"/>
          <w:szCs w:val="24"/>
          <w:lang w:eastAsia="en-US"/>
        </w:rPr>
        <w:t xml:space="preserve"> na rzecz którego dokonano rezerwacji częstotliwości na kolejny okres jest obowiązany uiścić, w terminie 14 dni od dnia doręczenia decyzji w sprawie rezerwacji częstotliwości, jednorazową opłatę za dokonanie rezerwacji częstotliwości na kolejny okres. W takim przypadku opłata będzie stanowić iloczyn wartości częstotliwości o szerokości 1 MHz dla takiego samego obszaru i wykorzystania uzyskanej w wyniku przeprowadzonego ostatniego </w:t>
      </w:r>
      <w:r w:rsidR="00160D69" w:rsidRPr="003A42FB">
        <w:rPr>
          <w:rFonts w:ascii="Times New Roman" w:hAnsi="Times New Roman" w:cs="Times New Roman"/>
          <w:b w:val="0"/>
          <w:bCs w:val="0"/>
          <w:color w:val="auto"/>
          <w:sz w:val="24"/>
          <w:szCs w:val="24"/>
          <w:lang w:eastAsia="en-US"/>
        </w:rPr>
        <w:lastRenderedPageBreak/>
        <w:t>postępowania selekcyjnego na częstotliwości z danego zakresu, ilości widma objętego rezerwacją na kolejny okres oraz średniorocznych wskaźników cen towarów i usług konsumpcyjnych ogółem ogłaszanych przez Prezesa Głównego Urzędu Statystycznego. Opłatę określa się proporcjonalnie do okresu, na jaki dokonywana jest rezerwacja częstotliwości. Natomiast w przypadku złożenia wniosku o dokonanie rezerwacji częstotliwości na kolejny okres z zakresu, dla którego nie było wcześniej przep</w:t>
      </w:r>
      <w:r w:rsidR="00DB4AE2" w:rsidRPr="003A42FB">
        <w:rPr>
          <w:rFonts w:ascii="Times New Roman" w:hAnsi="Times New Roman" w:cs="Times New Roman"/>
          <w:b w:val="0"/>
          <w:bCs w:val="0"/>
          <w:color w:val="auto"/>
          <w:sz w:val="24"/>
          <w:szCs w:val="24"/>
          <w:lang w:eastAsia="en-US"/>
        </w:rPr>
        <w:t>rowadzone i rozstrzygnięte postę</w:t>
      </w:r>
      <w:r w:rsidR="00160D69" w:rsidRPr="003A42FB">
        <w:rPr>
          <w:rFonts w:ascii="Times New Roman" w:hAnsi="Times New Roman" w:cs="Times New Roman"/>
          <w:b w:val="0"/>
          <w:bCs w:val="0"/>
          <w:color w:val="auto"/>
          <w:sz w:val="24"/>
          <w:szCs w:val="24"/>
          <w:lang w:eastAsia="en-US"/>
        </w:rPr>
        <w:t>powanie selekcyjne, kwotę opłaty ustala Prezes UKE na podstawie opinii powołanego przez siebie biegłego lub biegłych. Koszt opinii biegłego lub biegłych ponosi podmiot, który złożył wniosek o odnowienie rezerwacji częstotliwości na kolejny okres, w terminie 14 dni od dnia zawiadomienia wnioskodawcy przez Prezesa UKE o sporządzeniu opinii.</w:t>
      </w:r>
    </w:p>
    <w:p w14:paraId="2771F9A3" w14:textId="33E575CB" w:rsidR="00E142C4" w:rsidRPr="003A42FB" w:rsidRDefault="000F496D" w:rsidP="00C53EAB">
      <w:pPr>
        <w:pStyle w:val="Tekstkomentarza"/>
        <w:spacing w:after="120"/>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41F40700" w:rsidRPr="003A42FB">
        <w:rPr>
          <w:rFonts w:ascii="Times New Roman" w:eastAsiaTheme="minorEastAsia" w:hAnsi="Times New Roman" w:cs="Times New Roman"/>
          <w:b/>
          <w:bCs/>
          <w:sz w:val="24"/>
          <w:szCs w:val="24"/>
        </w:rPr>
        <w:t>25</w:t>
      </w:r>
      <w:r w:rsidRPr="003A42FB">
        <w:rPr>
          <w:rFonts w:ascii="Times New Roman" w:eastAsiaTheme="minorEastAsia" w:hAnsi="Times New Roman" w:cs="Times New Roman"/>
          <w:b/>
          <w:bCs/>
          <w:sz w:val="24"/>
          <w:szCs w:val="24"/>
        </w:rPr>
        <w:t xml:space="preserve"> </w:t>
      </w:r>
    </w:p>
    <w:p w14:paraId="2DE67F90" w14:textId="2D4336D7" w:rsidR="0037430F" w:rsidRPr="003A42FB" w:rsidRDefault="006B04D5" w:rsidP="5372851C">
      <w:pPr>
        <w:pStyle w:val="Tekstkomentarza"/>
        <w:spacing w:after="120"/>
        <w:jc w:val="both"/>
        <w:rPr>
          <w:rFonts w:ascii="Times New Roman" w:eastAsiaTheme="minorEastAsia" w:hAnsi="Times New Roman" w:cs="Times New Roman"/>
          <w:b/>
          <w:bCs/>
          <w:sz w:val="24"/>
          <w:szCs w:val="24"/>
        </w:rPr>
      </w:pPr>
      <w:r w:rsidRPr="5372851C">
        <w:rPr>
          <w:rFonts w:ascii="Times New Roman" w:eastAsiaTheme="minorEastAsia" w:hAnsi="Times New Roman" w:cs="Times New Roman"/>
          <w:sz w:val="24"/>
          <w:szCs w:val="24"/>
        </w:rPr>
        <w:t xml:space="preserve">Projektowany przepis reguluje kwestie </w:t>
      </w:r>
      <w:r w:rsidR="00597450" w:rsidRPr="5372851C">
        <w:rPr>
          <w:rFonts w:ascii="Times New Roman" w:eastAsiaTheme="minorEastAsia" w:hAnsi="Times New Roman" w:cs="Times New Roman"/>
          <w:sz w:val="24"/>
          <w:szCs w:val="24"/>
        </w:rPr>
        <w:t xml:space="preserve">maksymalnej </w:t>
      </w:r>
      <w:r w:rsidRPr="5372851C">
        <w:rPr>
          <w:rFonts w:ascii="Times New Roman" w:eastAsiaTheme="minorEastAsia" w:hAnsi="Times New Roman" w:cs="Times New Roman"/>
          <w:sz w:val="24"/>
          <w:szCs w:val="24"/>
        </w:rPr>
        <w:t xml:space="preserve">wysokości opłat za prawo </w:t>
      </w:r>
      <w:r w:rsidR="246B4D66" w:rsidRPr="5372851C">
        <w:rPr>
          <w:rFonts w:ascii="Times New Roman" w:eastAsiaTheme="minorEastAsia" w:hAnsi="Times New Roman" w:cs="Times New Roman"/>
          <w:sz w:val="24"/>
          <w:szCs w:val="24"/>
        </w:rPr>
        <w:t xml:space="preserve">do </w:t>
      </w:r>
      <w:r w:rsidRPr="5372851C">
        <w:rPr>
          <w:rFonts w:ascii="Times New Roman" w:eastAsiaTheme="minorEastAsia" w:hAnsi="Times New Roman" w:cs="Times New Roman"/>
          <w:sz w:val="24"/>
          <w:szCs w:val="24"/>
        </w:rPr>
        <w:t xml:space="preserve">wykorzystywania zasobów numeracji. </w:t>
      </w:r>
      <w:r w:rsidR="0037430F" w:rsidRPr="5372851C">
        <w:rPr>
          <w:rFonts w:ascii="Times New Roman" w:eastAsiaTheme="minorEastAsia" w:hAnsi="Times New Roman" w:cs="Times New Roman"/>
          <w:sz w:val="24"/>
          <w:szCs w:val="24"/>
        </w:rPr>
        <w:t xml:space="preserve">Ponadto w przepisie tym wskazano </w:t>
      </w:r>
      <w:r w:rsidR="2471F9B3" w:rsidRPr="5372851C">
        <w:rPr>
          <w:rFonts w:ascii="Times New Roman" w:eastAsiaTheme="minorEastAsia" w:hAnsi="Times New Roman" w:cs="Times New Roman"/>
          <w:sz w:val="24"/>
          <w:szCs w:val="24"/>
        </w:rPr>
        <w:t>zasady i warunki</w:t>
      </w:r>
      <w:r w:rsidR="0037430F" w:rsidRPr="5372851C">
        <w:rPr>
          <w:rFonts w:ascii="Times New Roman" w:eastAsiaTheme="minorEastAsia" w:hAnsi="Times New Roman" w:cs="Times New Roman"/>
          <w:sz w:val="24"/>
          <w:szCs w:val="24"/>
        </w:rPr>
        <w:t xml:space="preserve"> uiszczania tych opłat. Dotychczas wymogi </w:t>
      </w:r>
      <w:r w:rsidR="42A3884C" w:rsidRPr="5372851C">
        <w:rPr>
          <w:rFonts w:ascii="Times New Roman" w:eastAsiaTheme="minorEastAsia" w:hAnsi="Times New Roman" w:cs="Times New Roman"/>
          <w:sz w:val="24"/>
          <w:szCs w:val="24"/>
        </w:rPr>
        <w:t xml:space="preserve">dotyczące </w:t>
      </w:r>
      <w:r w:rsidR="1C80102B" w:rsidRPr="5372851C">
        <w:rPr>
          <w:rFonts w:ascii="Times New Roman" w:eastAsiaTheme="minorEastAsia" w:hAnsi="Times New Roman" w:cs="Times New Roman"/>
          <w:sz w:val="24"/>
          <w:szCs w:val="24"/>
        </w:rPr>
        <w:t>zasad i warunków</w:t>
      </w:r>
      <w:r w:rsidR="42A3884C" w:rsidRPr="5372851C">
        <w:rPr>
          <w:rFonts w:ascii="Times New Roman" w:eastAsiaTheme="minorEastAsia" w:hAnsi="Times New Roman" w:cs="Times New Roman"/>
          <w:sz w:val="24"/>
          <w:szCs w:val="24"/>
        </w:rPr>
        <w:t xml:space="preserve"> uiszczania opłat </w:t>
      </w:r>
      <w:r w:rsidR="0037430F" w:rsidRPr="5372851C">
        <w:rPr>
          <w:rFonts w:ascii="Times New Roman" w:eastAsiaTheme="minorEastAsia" w:hAnsi="Times New Roman" w:cs="Times New Roman"/>
          <w:sz w:val="24"/>
          <w:szCs w:val="24"/>
        </w:rPr>
        <w:t>zawarte były w rozporządzeniu w sprawie wysokości, terminów i sposobu uiszczania opłat za prawo do wykorzystywania zasobów numeracji.</w:t>
      </w:r>
    </w:p>
    <w:p w14:paraId="49F0BBF5" w14:textId="320489B1" w:rsidR="008020F2" w:rsidRPr="003A42FB" w:rsidRDefault="0037430F" w:rsidP="5372851C">
      <w:pPr>
        <w:pStyle w:val="Tekstkomentarza"/>
        <w:spacing w:after="120"/>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Zgodnie z ust. 2 opłaty  obejmują pełny rok kalendarzowy. Natomiast jeżeli w danym roku kalendarzowym podmiot posiada prawo do wykorzystywania zasobów numeracji przez okres krótszy od roku, uiszcza on opłatę w wysokości odpowiadającej 1/12 opłaty rocznej za każdy rozpoczęty miesiąc kalendarzowy, w którym podmiotowi to prawo przysługiwało. Opłatę uiszcza się jednorazowo za cały rok</w:t>
      </w:r>
      <w:r w:rsidR="006351C9" w:rsidRPr="5372851C">
        <w:rPr>
          <w:rFonts w:ascii="Times New Roman" w:eastAsiaTheme="minorEastAsia" w:hAnsi="Times New Roman" w:cs="Times New Roman"/>
          <w:sz w:val="24"/>
          <w:szCs w:val="24"/>
        </w:rPr>
        <w:t xml:space="preserve"> lub w ratach półrocznych</w:t>
      </w:r>
      <w:r w:rsidR="00793DD6" w:rsidRPr="5372851C">
        <w:rPr>
          <w:rFonts w:ascii="Times New Roman" w:eastAsiaTheme="minorEastAsia" w:hAnsi="Times New Roman" w:cs="Times New Roman"/>
          <w:sz w:val="24"/>
          <w:szCs w:val="24"/>
        </w:rPr>
        <w:t xml:space="preserve"> (ust.</w:t>
      </w:r>
      <w:r w:rsidR="58D98669" w:rsidRPr="5372851C">
        <w:rPr>
          <w:rFonts w:ascii="Times New Roman" w:eastAsiaTheme="minorEastAsia" w:hAnsi="Times New Roman" w:cs="Times New Roman"/>
          <w:sz w:val="24"/>
          <w:szCs w:val="24"/>
        </w:rPr>
        <w:t xml:space="preserve"> </w:t>
      </w:r>
      <w:r w:rsidR="00793DD6" w:rsidRPr="5372851C">
        <w:rPr>
          <w:rFonts w:ascii="Times New Roman" w:eastAsiaTheme="minorEastAsia" w:hAnsi="Times New Roman" w:cs="Times New Roman"/>
          <w:sz w:val="24"/>
          <w:szCs w:val="24"/>
        </w:rPr>
        <w:t>4)</w:t>
      </w:r>
      <w:r w:rsidR="006351C9" w:rsidRPr="5372851C">
        <w:rPr>
          <w:rFonts w:ascii="Times New Roman" w:eastAsiaTheme="minorEastAsia" w:hAnsi="Times New Roman" w:cs="Times New Roman"/>
          <w:sz w:val="24"/>
          <w:szCs w:val="24"/>
        </w:rPr>
        <w:t xml:space="preserve">. </w:t>
      </w:r>
    </w:p>
    <w:p w14:paraId="4B1D1A70" w14:textId="269F6464" w:rsidR="006351C9" w:rsidRPr="003A42FB" w:rsidRDefault="006351C9" w:rsidP="00AE4E8D">
      <w:pPr>
        <w:pStyle w:val="Tekstkomentarza"/>
        <w:spacing w:after="120"/>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W ust. 3 wskazano przypadki, w których mimo</w:t>
      </w:r>
      <w:r w:rsidR="0037430F" w:rsidRPr="003A42FB">
        <w:rPr>
          <w:rFonts w:ascii="Times New Roman" w:eastAsiaTheme="minorEastAsia" w:hAnsi="Times New Roman" w:cs="Times New Roman"/>
          <w:sz w:val="24"/>
          <w:szCs w:val="24"/>
        </w:rPr>
        <w:t xml:space="preserve"> cofnięcia przydziału numeracji lub zmiany jego zakresu </w:t>
      </w:r>
      <w:r w:rsidRPr="003A42FB">
        <w:rPr>
          <w:rFonts w:ascii="Times New Roman" w:eastAsiaTheme="minorEastAsia" w:hAnsi="Times New Roman" w:cs="Times New Roman"/>
          <w:sz w:val="24"/>
          <w:szCs w:val="24"/>
        </w:rPr>
        <w:t xml:space="preserve">podmiot powinien uiścić opłatę </w:t>
      </w:r>
      <w:r w:rsidR="00E013CA">
        <w:rPr>
          <w:rFonts w:ascii="Times New Roman" w:eastAsiaTheme="minorEastAsia" w:hAnsi="Times New Roman" w:cs="Times New Roman"/>
          <w:sz w:val="24"/>
          <w:szCs w:val="24"/>
        </w:rPr>
        <w:t>obejmującą pełny rok kalendarzowy</w:t>
      </w:r>
      <w:r w:rsidRPr="003A42FB">
        <w:rPr>
          <w:rFonts w:ascii="Times New Roman" w:eastAsiaTheme="minorEastAsia" w:hAnsi="Times New Roman" w:cs="Times New Roman"/>
          <w:sz w:val="24"/>
          <w:szCs w:val="24"/>
        </w:rPr>
        <w:t xml:space="preserve"> tj.</w:t>
      </w:r>
      <w:r w:rsidRPr="003A42FB">
        <w:rPr>
          <w:rFonts w:ascii="Times New Roman" w:eastAsiaTheme="minorEastAsia" w:hAnsi="Times New Roman" w:cs="Times New Roman"/>
          <w:bCs/>
          <w:sz w:val="24"/>
          <w:szCs w:val="24"/>
          <w:lang w:eastAsia="pl-PL"/>
        </w:rPr>
        <w:t xml:space="preserve"> </w:t>
      </w:r>
      <w:r w:rsidRPr="003A42FB">
        <w:rPr>
          <w:rFonts w:ascii="Times New Roman" w:eastAsiaTheme="minorEastAsia" w:hAnsi="Times New Roman" w:cs="Times New Roman"/>
          <w:bCs/>
          <w:sz w:val="24"/>
          <w:szCs w:val="24"/>
        </w:rPr>
        <w:t>nieefektywne wykorzystywanie przyznanych zasobów numeracji, brak uruchomienia usługi na danym numerze w terminie 12 miesięcy od otrzymania decyzji o przyznaniu prawa do wykorzystywania zasobów nume</w:t>
      </w:r>
      <w:bookmarkStart w:id="2" w:name="mip44758641"/>
      <w:bookmarkEnd w:id="2"/>
      <w:r w:rsidRPr="003A42FB">
        <w:rPr>
          <w:rFonts w:ascii="Times New Roman" w:eastAsiaTheme="minorEastAsia" w:hAnsi="Times New Roman" w:cs="Times New Roman"/>
          <w:bCs/>
          <w:sz w:val="24"/>
          <w:szCs w:val="24"/>
        </w:rPr>
        <w:t>racji, wykorzystywanie numeracji w sposób niezgodny z warunkami przyznania numeracji lub jej przeznaczeniem,</w:t>
      </w:r>
      <w:bookmarkStart w:id="3" w:name="mip44758642"/>
      <w:bookmarkEnd w:id="3"/>
      <w:r w:rsidRPr="003A42FB">
        <w:rPr>
          <w:rFonts w:ascii="Times New Roman" w:eastAsiaTheme="minorEastAsia" w:hAnsi="Times New Roman" w:cs="Times New Roman"/>
          <w:bCs/>
          <w:sz w:val="24"/>
          <w:szCs w:val="24"/>
        </w:rPr>
        <w:t xml:space="preserve"> brak wnoszenia opłat za prawo do wykorzystywania </w:t>
      </w:r>
      <w:r w:rsidR="008020F2" w:rsidRPr="003A42FB">
        <w:rPr>
          <w:rFonts w:ascii="Times New Roman" w:eastAsiaTheme="minorEastAsia" w:hAnsi="Times New Roman" w:cs="Times New Roman"/>
          <w:bCs/>
          <w:sz w:val="24"/>
          <w:szCs w:val="24"/>
        </w:rPr>
        <w:t xml:space="preserve">zasobów </w:t>
      </w:r>
      <w:r w:rsidRPr="003A42FB">
        <w:rPr>
          <w:rFonts w:ascii="Times New Roman" w:eastAsiaTheme="minorEastAsia" w:hAnsi="Times New Roman" w:cs="Times New Roman"/>
          <w:bCs/>
          <w:sz w:val="24"/>
          <w:szCs w:val="24"/>
        </w:rPr>
        <w:t>numeracji</w:t>
      </w:r>
      <w:bookmarkStart w:id="4" w:name="mip44758643"/>
      <w:bookmarkEnd w:id="4"/>
      <w:r w:rsidRPr="003A42FB">
        <w:rPr>
          <w:rFonts w:ascii="Times New Roman" w:eastAsiaTheme="minorEastAsia" w:hAnsi="Times New Roman" w:cs="Times New Roman"/>
          <w:bCs/>
          <w:sz w:val="24"/>
          <w:szCs w:val="24"/>
        </w:rPr>
        <w:t>, zaistnienie bezpośredniego zagrożenia naruszenia interoperacyjności lub ciągłości świadczenia usług telekomunikacyjnych</w:t>
      </w:r>
      <w:r w:rsidR="008020F2" w:rsidRPr="003A42FB">
        <w:rPr>
          <w:rFonts w:ascii="Times New Roman" w:eastAsiaTheme="minorEastAsia" w:hAnsi="Times New Roman" w:cs="Times New Roman"/>
          <w:bCs/>
          <w:sz w:val="24"/>
          <w:szCs w:val="24"/>
        </w:rPr>
        <w:t>.</w:t>
      </w:r>
      <w:r w:rsidR="00793DD6" w:rsidRPr="003A42FB">
        <w:rPr>
          <w:rFonts w:ascii="Times New Roman" w:eastAsiaTheme="minorEastAsia" w:hAnsi="Times New Roman" w:cs="Times New Roman"/>
          <w:sz w:val="24"/>
          <w:szCs w:val="24"/>
          <w:lang w:eastAsia="pl-PL"/>
        </w:rPr>
        <w:t xml:space="preserve"> </w:t>
      </w:r>
      <w:r w:rsidR="00793DD6" w:rsidRPr="003A42FB">
        <w:rPr>
          <w:rFonts w:ascii="Times New Roman" w:eastAsiaTheme="minorEastAsia" w:hAnsi="Times New Roman" w:cs="Times New Roman"/>
          <w:bCs/>
          <w:sz w:val="24"/>
          <w:szCs w:val="24"/>
        </w:rPr>
        <w:t xml:space="preserve">Zgodnie z ust. 6 obowiązek uiszczania opłat za prawo do wykorzystywania zasobów numeracji ustaje nie później niż z upływem 30 dni od daty złożenia wniosku o </w:t>
      </w:r>
      <w:r w:rsidR="00E013CA">
        <w:rPr>
          <w:rFonts w:ascii="Times New Roman" w:eastAsiaTheme="minorEastAsia" w:hAnsi="Times New Roman" w:cs="Times New Roman"/>
          <w:bCs/>
          <w:sz w:val="24"/>
          <w:szCs w:val="24"/>
        </w:rPr>
        <w:t>rezygnację z</w:t>
      </w:r>
      <w:r w:rsidR="00793DD6" w:rsidRPr="003A42FB">
        <w:rPr>
          <w:rFonts w:ascii="Times New Roman" w:eastAsiaTheme="minorEastAsia" w:hAnsi="Times New Roman" w:cs="Times New Roman"/>
          <w:bCs/>
          <w:sz w:val="24"/>
          <w:szCs w:val="24"/>
        </w:rPr>
        <w:t xml:space="preserve"> prawa do wykorzystywania tej numeracji.</w:t>
      </w:r>
    </w:p>
    <w:p w14:paraId="5211389F" w14:textId="3839DCB0" w:rsidR="007554D4" w:rsidRPr="003A42FB" w:rsidRDefault="00793DD6" w:rsidP="00C53EAB">
      <w:pPr>
        <w:pStyle w:val="Tekstkomentarza"/>
        <w:spacing w:after="120"/>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bCs/>
          <w:sz w:val="24"/>
          <w:szCs w:val="24"/>
        </w:rPr>
        <w:t>W ust. 7 zawarta została delegacja ustawowa d</w:t>
      </w:r>
      <w:r w:rsidR="00C7428D" w:rsidRPr="003A42FB">
        <w:rPr>
          <w:rFonts w:ascii="Times New Roman" w:eastAsiaTheme="minorEastAsia" w:hAnsi="Times New Roman" w:cs="Times New Roman"/>
          <w:bCs/>
          <w:sz w:val="24"/>
          <w:szCs w:val="24"/>
        </w:rPr>
        <w:t>la ministra właściwego do spraw informatyzacji do wydania w porozumieniu z ministrem właściwym do spraw finansów rozporządzenia określającego wysokość, terminy i sposoby uiszczania opłat za prawo do wykorzystywania zasobów numeracji.</w:t>
      </w:r>
    </w:p>
    <w:p w14:paraId="06074519" w14:textId="04E4CA56" w:rsidR="00D35329" w:rsidRPr="003A42FB" w:rsidRDefault="000F496D" w:rsidP="00C53EAB">
      <w:pPr>
        <w:pStyle w:val="Tekstkomentarza"/>
        <w:spacing w:after="120"/>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D419DC6" w:rsidRPr="003A42FB">
        <w:rPr>
          <w:rFonts w:ascii="Times New Roman" w:eastAsiaTheme="minorEastAsia" w:hAnsi="Times New Roman" w:cs="Times New Roman"/>
          <w:b/>
          <w:bCs/>
          <w:sz w:val="24"/>
          <w:szCs w:val="24"/>
        </w:rPr>
        <w:t>26</w:t>
      </w:r>
      <w:r w:rsidRPr="003A42FB">
        <w:rPr>
          <w:rFonts w:ascii="Times New Roman" w:eastAsiaTheme="minorEastAsia" w:hAnsi="Times New Roman" w:cs="Times New Roman"/>
          <w:b/>
          <w:bCs/>
          <w:sz w:val="24"/>
          <w:szCs w:val="24"/>
        </w:rPr>
        <w:t xml:space="preserve"> </w:t>
      </w:r>
    </w:p>
    <w:p w14:paraId="7731BFA7" w14:textId="42DAA25A" w:rsidR="007554D4" w:rsidRPr="003A42FB" w:rsidRDefault="0DB794BF" w:rsidP="00C53EAB">
      <w:pPr>
        <w:pStyle w:val="Tekstkomentarza"/>
        <w:spacing w:after="12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wskazuje, iż opłaty, o których mowa w art. </w:t>
      </w:r>
      <w:r w:rsidR="2BD8709E" w:rsidRPr="003A42FB">
        <w:rPr>
          <w:rFonts w:ascii="Times New Roman" w:eastAsiaTheme="minorEastAsia" w:hAnsi="Times New Roman" w:cs="Times New Roman"/>
          <w:sz w:val="24"/>
          <w:szCs w:val="24"/>
        </w:rPr>
        <w:t>23</w:t>
      </w:r>
      <w:r w:rsidR="209DE616" w:rsidRPr="003A42FB">
        <w:rPr>
          <w:rFonts w:ascii="Times New Roman" w:eastAsiaTheme="minorEastAsia" w:hAnsi="Times New Roman" w:cs="Times New Roman"/>
          <w:sz w:val="24"/>
          <w:szCs w:val="24"/>
        </w:rPr>
        <w:t>-</w:t>
      </w:r>
      <w:r w:rsidR="2ABF9504" w:rsidRPr="003A42FB">
        <w:rPr>
          <w:rFonts w:ascii="Times New Roman" w:eastAsiaTheme="minorEastAsia" w:hAnsi="Times New Roman" w:cs="Times New Roman"/>
          <w:sz w:val="24"/>
          <w:szCs w:val="24"/>
        </w:rPr>
        <w:t>25</w:t>
      </w:r>
      <w:r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28CF3D1A"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7D35CE68" w:rsidRPr="003A42FB">
        <w:rPr>
          <w:rFonts w:ascii="Times New Roman" w:eastAsiaTheme="minorEastAsia" w:hAnsi="Times New Roman" w:cs="Times New Roman"/>
          <w:sz w:val="24"/>
          <w:szCs w:val="24"/>
        </w:rPr>
        <w:t>tak jak to miało miejsce pod rządami Pt</w:t>
      </w:r>
      <w:r w:rsidR="55C7A0C0" w:rsidRPr="003A42FB">
        <w:rPr>
          <w:rFonts w:ascii="Times New Roman" w:eastAsiaTheme="minorEastAsia" w:hAnsi="Times New Roman" w:cs="Times New Roman"/>
          <w:sz w:val="24"/>
          <w:szCs w:val="24"/>
        </w:rPr>
        <w:t>,</w:t>
      </w:r>
      <w:r w:rsidR="7D35CE6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są pobierane przez UKE, co ma charakter czynności materialno-technicznej. Opłaty te stanowią dochód budżetu państwa</w:t>
      </w:r>
      <w:r w:rsidR="2AEEC888" w:rsidRPr="003A42FB">
        <w:rPr>
          <w:rFonts w:ascii="Times New Roman" w:eastAsiaTheme="minorEastAsia" w:hAnsi="Times New Roman" w:cs="Times New Roman"/>
          <w:sz w:val="24"/>
          <w:szCs w:val="24"/>
        </w:rPr>
        <w:t xml:space="preserve"> lub przychód Funduszu Szerokopasmowego</w:t>
      </w:r>
      <w:r w:rsidRPr="003A42FB">
        <w:rPr>
          <w:rFonts w:ascii="Times New Roman" w:eastAsiaTheme="minorEastAsia" w:hAnsi="Times New Roman" w:cs="Times New Roman"/>
          <w:sz w:val="24"/>
          <w:szCs w:val="24"/>
        </w:rPr>
        <w:t xml:space="preserve">. </w:t>
      </w:r>
    </w:p>
    <w:p w14:paraId="2DBD36C3" w14:textId="0453F6AC" w:rsidR="00D35329" w:rsidRPr="003A42FB" w:rsidRDefault="000F496D" w:rsidP="00C53EAB">
      <w:pPr>
        <w:pStyle w:val="Tekstkomentarza"/>
        <w:spacing w:after="120"/>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15DC3ABA" w:rsidRPr="003A42FB">
        <w:rPr>
          <w:rFonts w:ascii="Times New Roman" w:eastAsiaTheme="minorEastAsia" w:hAnsi="Times New Roman" w:cs="Times New Roman"/>
          <w:b/>
          <w:bCs/>
          <w:sz w:val="24"/>
          <w:szCs w:val="24"/>
        </w:rPr>
        <w:t>27</w:t>
      </w:r>
      <w:r w:rsidRPr="003A42FB">
        <w:rPr>
          <w:rFonts w:ascii="Times New Roman" w:eastAsiaTheme="minorEastAsia" w:hAnsi="Times New Roman" w:cs="Times New Roman"/>
          <w:b/>
          <w:bCs/>
          <w:sz w:val="24"/>
          <w:szCs w:val="24"/>
        </w:rPr>
        <w:t xml:space="preserve"> </w:t>
      </w:r>
    </w:p>
    <w:p w14:paraId="31D8B5E0" w14:textId="79692836" w:rsidR="007554D4" w:rsidRPr="003A42FB" w:rsidRDefault="0DB794BF" w:rsidP="00C53EAB">
      <w:pPr>
        <w:pStyle w:val="Tekstkomentarza"/>
        <w:spacing w:after="12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stanowi, iż do</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opłat o których mowa w art. </w:t>
      </w:r>
      <w:r w:rsidR="727CC5F4" w:rsidRPr="003A42FB">
        <w:rPr>
          <w:rFonts w:ascii="Times New Roman" w:eastAsiaTheme="minorEastAsia" w:hAnsi="Times New Roman" w:cs="Times New Roman"/>
          <w:sz w:val="24"/>
          <w:szCs w:val="24"/>
        </w:rPr>
        <w:t>23</w:t>
      </w:r>
      <w:r w:rsidR="209DE616" w:rsidRPr="003A42FB">
        <w:rPr>
          <w:rFonts w:ascii="Times New Roman" w:eastAsiaTheme="minorEastAsia" w:hAnsi="Times New Roman" w:cs="Times New Roman"/>
          <w:sz w:val="24"/>
          <w:szCs w:val="24"/>
        </w:rPr>
        <w:t>-</w:t>
      </w:r>
      <w:r w:rsidR="01162CE7" w:rsidRPr="003A42FB">
        <w:rPr>
          <w:rFonts w:ascii="Times New Roman" w:eastAsiaTheme="minorEastAsia" w:hAnsi="Times New Roman" w:cs="Times New Roman"/>
          <w:sz w:val="24"/>
          <w:szCs w:val="24"/>
        </w:rPr>
        <w:t>25</w:t>
      </w:r>
      <w:r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stosuje się przepisy o postępowaniu egzekucyjnym w administracji w zakresie egzekucji obowiązków o charakterze pieniężnym. </w:t>
      </w:r>
      <w:r w:rsidR="6EA1F302" w:rsidRPr="003A42FB">
        <w:rPr>
          <w:rFonts w:ascii="Times New Roman" w:eastAsiaTheme="minorEastAsia" w:hAnsi="Times New Roman" w:cs="Times New Roman"/>
          <w:sz w:val="24"/>
          <w:szCs w:val="24"/>
        </w:rPr>
        <w:t>Kwestię tę reguluje dział II. – egzekucja należności pieniężnych ustawy z dnia z dnia 17 czerwca 1966 r. o postępowaniu egzekucyjnym w administracji</w:t>
      </w:r>
      <w:r w:rsidR="009605E7" w:rsidRPr="003A42FB">
        <w:rPr>
          <w:rFonts w:ascii="Times New Roman" w:eastAsiaTheme="minorEastAsia" w:hAnsi="Times New Roman" w:cs="Times New Roman"/>
          <w:sz w:val="24"/>
          <w:szCs w:val="24"/>
        </w:rPr>
        <w:t xml:space="preserve"> (Dz. U. z 2019 r. poz. 1438, 1495, 1501, 1553, 1579, 1798, 4901, 2070 oraz z 2020 r. poz. 288)</w:t>
      </w:r>
      <w:r w:rsidR="6EA1F302" w:rsidRPr="003A42FB">
        <w:rPr>
          <w:rFonts w:ascii="Times New Roman" w:eastAsiaTheme="minorEastAsia" w:hAnsi="Times New Roman" w:cs="Times New Roman"/>
          <w:sz w:val="24"/>
          <w:szCs w:val="24"/>
        </w:rPr>
        <w:t xml:space="preserve">. Egzekucji podlega </w:t>
      </w:r>
      <w:r w:rsidR="6EA1F302" w:rsidRPr="003A42FB">
        <w:rPr>
          <w:rFonts w:ascii="Times New Roman" w:eastAsiaTheme="minorEastAsia" w:hAnsi="Times New Roman" w:cs="Times New Roman"/>
          <w:sz w:val="24"/>
          <w:szCs w:val="24"/>
        </w:rPr>
        <w:lastRenderedPageBreak/>
        <w:t>należność główna oraz odsetki ustawowe. Prezes UKE, będący wierzycielem składa wniosek do organu egzekucyjnego (jakim jest właściwy naczelnik urzędu skarbowego), który to organ na podstawie wystawionego przez Prezesa UKE tytułu wykonawczego wszczyna egzekucje administracyjną.</w:t>
      </w:r>
      <w:r w:rsidR="344A86C6" w:rsidRPr="003A42FB">
        <w:rPr>
          <w:rFonts w:ascii="Times New Roman" w:eastAsiaTheme="minorEastAsia" w:hAnsi="Times New Roman" w:cs="Times New Roman"/>
          <w:sz w:val="24"/>
          <w:szCs w:val="24"/>
        </w:rPr>
        <w:t xml:space="preserve"> W tym zakresie Pke powiela rozwiązania funkcjonujące na gruncie ustawy Pt.</w:t>
      </w:r>
    </w:p>
    <w:p w14:paraId="7ED5E67A" w14:textId="540C87DD" w:rsidR="00D35329" w:rsidRPr="003A42FB" w:rsidRDefault="00D35329" w:rsidP="00C53EAB">
      <w:pPr>
        <w:pStyle w:val="Tekstkomentarza"/>
        <w:spacing w:after="120"/>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3B35B81" w:rsidRPr="003A42FB">
        <w:rPr>
          <w:rFonts w:ascii="Times New Roman" w:eastAsiaTheme="minorEastAsia" w:hAnsi="Times New Roman" w:cs="Times New Roman"/>
          <w:b/>
          <w:bCs/>
          <w:sz w:val="24"/>
          <w:szCs w:val="24"/>
        </w:rPr>
        <w:t>28</w:t>
      </w:r>
    </w:p>
    <w:p w14:paraId="45659D9F" w14:textId="284970EF" w:rsidR="00B97D30" w:rsidRPr="003A42FB" w:rsidRDefault="6EA1F302" w:rsidP="00C53EAB">
      <w:pPr>
        <w:pStyle w:val="Tekstkomentarza"/>
        <w:spacing w:after="12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zawiera</w:t>
      </w:r>
      <w:r w:rsidR="367B08C3"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w:t>
      </w:r>
      <w:r w:rsidR="367B08C3" w:rsidRPr="003A42FB">
        <w:rPr>
          <w:rFonts w:ascii="Times New Roman" w:eastAsiaTheme="minorEastAsia" w:hAnsi="Times New Roman" w:cs="Times New Roman"/>
          <w:sz w:val="24"/>
          <w:szCs w:val="24"/>
        </w:rPr>
        <w:t>nalo</w:t>
      </w:r>
      <w:r w:rsidRPr="003A42FB">
        <w:rPr>
          <w:rFonts w:ascii="Times New Roman" w:eastAsiaTheme="minorEastAsia" w:hAnsi="Times New Roman" w:cs="Times New Roman"/>
          <w:sz w:val="24"/>
          <w:szCs w:val="24"/>
        </w:rPr>
        <w:t xml:space="preserve">giczną do dotychczas obowiązującej na gruncie ustawy </w:t>
      </w:r>
      <w:r w:rsidR="009605E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Prawo telekomunikacyjne</w:t>
      </w:r>
      <w:r w:rsidR="367B08C3"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regulację, zgodnie z którą </w:t>
      </w:r>
      <w:r w:rsidR="367B08C3" w:rsidRPr="003A42FB">
        <w:rPr>
          <w:rFonts w:ascii="Times New Roman" w:eastAsiaTheme="minorEastAsia" w:hAnsi="Times New Roman" w:cs="Times New Roman"/>
          <w:sz w:val="24"/>
          <w:szCs w:val="24"/>
        </w:rPr>
        <w:t>w</w:t>
      </w:r>
      <w:r w:rsidRPr="003A42FB">
        <w:rPr>
          <w:rFonts w:ascii="Times New Roman" w:eastAsiaTheme="minorEastAsia" w:hAnsi="Times New Roman" w:cs="Times New Roman"/>
          <w:sz w:val="24"/>
          <w:szCs w:val="24"/>
        </w:rPr>
        <w:t xml:space="preserve"> zakresie nieuregulowanym w ustawie </w:t>
      </w:r>
      <w:r w:rsidR="43404BD5" w:rsidRPr="003A42FB">
        <w:rPr>
          <w:rFonts w:ascii="Times New Roman" w:eastAsiaTheme="minorEastAsia" w:hAnsi="Times New Roman" w:cs="Times New Roman"/>
          <w:sz w:val="24"/>
          <w:szCs w:val="24"/>
        </w:rPr>
        <w:t>Pke</w:t>
      </w:r>
      <w:r w:rsidR="367B08C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do opłat, o których mowa w art. 24-26, stosuje się odpowiednio przepisy rozdziałów 5</w:t>
      </w:r>
      <w:r w:rsidR="77B49B60" w:rsidRPr="003A42FB">
        <w:rPr>
          <w:rFonts w:ascii="Times New Roman" w:eastAsiaTheme="minorEastAsia" w:hAnsi="Times New Roman" w:cs="Times New Roman"/>
          <w:sz w:val="24"/>
          <w:szCs w:val="24"/>
        </w:rPr>
        <w:t>-6, 7</w:t>
      </w:r>
      <w:r w:rsidRPr="003A42FB">
        <w:rPr>
          <w:rFonts w:ascii="Times New Roman" w:eastAsiaTheme="minorEastAsia" w:hAnsi="Times New Roman" w:cs="Times New Roman"/>
          <w:sz w:val="24"/>
          <w:szCs w:val="24"/>
        </w:rPr>
        <w:t>-9</w:t>
      </w:r>
      <w:r w:rsidR="27746FB9" w:rsidRPr="003A42FB">
        <w:rPr>
          <w:rFonts w:ascii="Times New Roman" w:eastAsiaTheme="minorEastAsia" w:hAnsi="Times New Roman" w:cs="Times New Roman"/>
          <w:sz w:val="24"/>
          <w:szCs w:val="24"/>
        </w:rPr>
        <w:t xml:space="preserve"> oraz 13-15 </w:t>
      </w:r>
      <w:r w:rsidRPr="003A42FB">
        <w:rPr>
          <w:rFonts w:ascii="Times New Roman" w:eastAsiaTheme="minorEastAsia" w:hAnsi="Times New Roman" w:cs="Times New Roman"/>
          <w:sz w:val="24"/>
          <w:szCs w:val="24"/>
        </w:rPr>
        <w:t>działu III ustawy z dnia 29 sierpnia 1997 r. - Ordynacja podatkowa</w:t>
      </w:r>
      <w:r w:rsidR="009605E7" w:rsidRPr="003A42FB">
        <w:rPr>
          <w:rFonts w:ascii="Times New Roman" w:eastAsiaTheme="minorEastAsia" w:hAnsi="Times New Roman" w:cs="Times New Roman"/>
          <w:sz w:val="24"/>
          <w:szCs w:val="24"/>
        </w:rPr>
        <w:t xml:space="preserve"> (Dz. U. z 2019 r. poz. 900, 924, 1018, 1495, 1520, 1553, 1556, 1649, 1655, 1667, 1751, 1818, 1978, 2020 oraz z 2020 r. poz. 285, 568, 695, 1065, 1086 i 1106)</w:t>
      </w:r>
      <w:r w:rsidRPr="003A42FB">
        <w:rPr>
          <w:rFonts w:ascii="Times New Roman" w:eastAsiaTheme="minorEastAsia" w:hAnsi="Times New Roman" w:cs="Times New Roman"/>
          <w:sz w:val="24"/>
          <w:szCs w:val="24"/>
        </w:rPr>
        <w:t>. Uprawnienia organów podatkowych określone w tych przepisach przysługują Prezesowi UKE.</w:t>
      </w:r>
      <w:r w:rsidR="367B08C3" w:rsidRPr="003A42FB">
        <w:rPr>
          <w:rFonts w:ascii="Times New Roman" w:eastAsiaTheme="minorEastAsia" w:hAnsi="Times New Roman" w:cs="Times New Roman"/>
          <w:sz w:val="24"/>
          <w:szCs w:val="24"/>
        </w:rPr>
        <w:t xml:space="preserve"> </w:t>
      </w:r>
      <w:r w:rsidR="269F019F" w:rsidRPr="003A42FB">
        <w:rPr>
          <w:rFonts w:ascii="Times New Roman" w:eastAsiaTheme="minorEastAsia" w:hAnsi="Times New Roman" w:cs="Times New Roman"/>
          <w:sz w:val="24"/>
          <w:szCs w:val="24"/>
        </w:rPr>
        <w:t>Rozdziały 5-</w:t>
      </w:r>
      <w:r w:rsidR="7B196EAC" w:rsidRPr="003A42FB">
        <w:rPr>
          <w:rFonts w:ascii="Times New Roman" w:eastAsiaTheme="minorEastAsia" w:hAnsi="Times New Roman" w:cs="Times New Roman"/>
          <w:sz w:val="24"/>
          <w:szCs w:val="24"/>
        </w:rPr>
        <w:t>6, 7-</w:t>
      </w:r>
      <w:r w:rsidR="269F019F" w:rsidRPr="003A42FB">
        <w:rPr>
          <w:rFonts w:ascii="Times New Roman" w:eastAsiaTheme="minorEastAsia" w:hAnsi="Times New Roman" w:cs="Times New Roman"/>
          <w:sz w:val="24"/>
          <w:szCs w:val="24"/>
        </w:rPr>
        <w:t xml:space="preserve">9 oraz 13-15 </w:t>
      </w:r>
      <w:r w:rsidR="367B08C3" w:rsidRPr="003A42FB">
        <w:rPr>
          <w:rFonts w:ascii="Times New Roman" w:eastAsiaTheme="minorEastAsia" w:hAnsi="Times New Roman" w:cs="Times New Roman"/>
          <w:sz w:val="24"/>
          <w:szCs w:val="24"/>
        </w:rPr>
        <w:t>Dział</w:t>
      </w:r>
      <w:r w:rsidR="269F019F" w:rsidRPr="003A42FB">
        <w:rPr>
          <w:rFonts w:ascii="Times New Roman" w:eastAsiaTheme="minorEastAsia" w:hAnsi="Times New Roman" w:cs="Times New Roman"/>
          <w:sz w:val="24"/>
          <w:szCs w:val="24"/>
        </w:rPr>
        <w:t>u</w:t>
      </w:r>
      <w:r w:rsidR="367B08C3" w:rsidRPr="003A42FB">
        <w:rPr>
          <w:rFonts w:ascii="Times New Roman" w:eastAsiaTheme="minorEastAsia" w:hAnsi="Times New Roman" w:cs="Times New Roman"/>
          <w:sz w:val="24"/>
          <w:szCs w:val="24"/>
        </w:rPr>
        <w:t xml:space="preserve"> III Ordynacji podatkowej do</w:t>
      </w:r>
      <w:r w:rsidR="269F019F" w:rsidRPr="003A42FB">
        <w:rPr>
          <w:rFonts w:ascii="Times New Roman" w:eastAsiaTheme="minorEastAsia" w:hAnsi="Times New Roman" w:cs="Times New Roman"/>
          <w:sz w:val="24"/>
          <w:szCs w:val="24"/>
        </w:rPr>
        <w:t>tyczą</w:t>
      </w:r>
      <w:r w:rsidR="367B08C3" w:rsidRPr="003A42FB">
        <w:rPr>
          <w:rFonts w:ascii="Times New Roman" w:eastAsiaTheme="minorEastAsia" w:hAnsi="Times New Roman" w:cs="Times New Roman"/>
          <w:sz w:val="24"/>
          <w:szCs w:val="24"/>
        </w:rPr>
        <w:t xml:space="preserve"> z</w:t>
      </w:r>
      <w:r w:rsidR="269F019F" w:rsidRPr="003A42FB">
        <w:rPr>
          <w:rFonts w:ascii="Times New Roman" w:eastAsiaTheme="minorEastAsia" w:hAnsi="Times New Roman" w:cs="Times New Roman"/>
          <w:sz w:val="24"/>
          <w:szCs w:val="24"/>
        </w:rPr>
        <w:t>obowiązań podatkowych i regulują</w:t>
      </w:r>
      <w:r w:rsidR="367B08C3" w:rsidRPr="003A42FB">
        <w:rPr>
          <w:rFonts w:ascii="Times New Roman" w:eastAsiaTheme="minorEastAsia" w:hAnsi="Times New Roman" w:cs="Times New Roman"/>
          <w:sz w:val="24"/>
          <w:szCs w:val="24"/>
        </w:rPr>
        <w:t xml:space="preserve"> kwestie zaległości podatkowych, odsetek za zwłokę, wygaśnięcia zobowiązań podatkowych, ulg, przedawnień, nadpłaty</w:t>
      </w:r>
      <w:r w:rsidR="269F019F" w:rsidRPr="003A42FB">
        <w:rPr>
          <w:rFonts w:ascii="Times New Roman" w:eastAsiaTheme="minorEastAsia" w:hAnsi="Times New Roman" w:cs="Times New Roman"/>
          <w:sz w:val="24"/>
          <w:szCs w:val="24"/>
        </w:rPr>
        <w:t xml:space="preserve">, </w:t>
      </w:r>
      <w:r w:rsidR="7BF9401D" w:rsidRPr="003A42FB">
        <w:rPr>
          <w:rFonts w:ascii="Times New Roman" w:eastAsiaTheme="minorEastAsia" w:hAnsi="Times New Roman" w:cs="Times New Roman"/>
          <w:sz w:val="24"/>
          <w:szCs w:val="24"/>
        </w:rPr>
        <w:t xml:space="preserve">odpowiedzialności solidarnej i podatkowej osób trzecich, a także praw i obowiązki następców prawnych i podmiotów przekształconych. </w:t>
      </w:r>
    </w:p>
    <w:p w14:paraId="7D0A80BE" w14:textId="20FF3CE9" w:rsidR="00D35329" w:rsidRPr="003A42FB" w:rsidRDefault="00D35329" w:rsidP="00C53EAB">
      <w:pPr>
        <w:pStyle w:val="Tekstkomentarza"/>
        <w:spacing w:after="120"/>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DE19F2" w:rsidRPr="003A42FB">
        <w:rPr>
          <w:rFonts w:ascii="Times New Roman" w:eastAsiaTheme="minorEastAsia" w:hAnsi="Times New Roman" w:cs="Times New Roman"/>
          <w:b/>
          <w:bCs/>
          <w:sz w:val="24"/>
          <w:szCs w:val="24"/>
        </w:rPr>
        <w:t xml:space="preserve"> </w:t>
      </w:r>
      <w:r w:rsidR="3C470E07" w:rsidRPr="003A42FB">
        <w:rPr>
          <w:rFonts w:ascii="Times New Roman" w:eastAsiaTheme="minorEastAsia" w:hAnsi="Times New Roman" w:cs="Times New Roman"/>
          <w:b/>
          <w:bCs/>
          <w:sz w:val="24"/>
          <w:szCs w:val="24"/>
        </w:rPr>
        <w:t>29</w:t>
      </w:r>
      <w:r w:rsidR="000F496D" w:rsidRPr="003A42FB">
        <w:rPr>
          <w:rFonts w:ascii="Times New Roman" w:eastAsiaTheme="minorEastAsia" w:hAnsi="Times New Roman" w:cs="Times New Roman"/>
          <w:b/>
          <w:bCs/>
          <w:sz w:val="24"/>
          <w:szCs w:val="24"/>
        </w:rPr>
        <w:t xml:space="preserve"> </w:t>
      </w:r>
    </w:p>
    <w:p w14:paraId="6DEA2773" w14:textId="0321BE58" w:rsidR="005A4185" w:rsidRPr="003A42FB" w:rsidRDefault="009D747C">
      <w:pPr>
        <w:pStyle w:val="Tekstkomentarza"/>
        <w:spacing w:after="120"/>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Przepis ma na celu uregulowanie sytuacji, kiedy przydzielenie rezerwacji częstotliwości lub zasobów orbitalnych wiąże się z dodatkowymi kosztami administracyjnymi związanymi z rejestracją w</w:t>
      </w:r>
      <w:r w:rsidRPr="003A42FB">
        <w:rPr>
          <w:rFonts w:ascii="Times New Roman" w:eastAsia="Times New Roman" w:hAnsi="Times New Roman" w:cs="Times New Roman"/>
          <w:sz w:val="24"/>
          <w:szCs w:val="24"/>
          <w:lang w:eastAsia="pl-PL"/>
        </w:rPr>
        <w:t xml:space="preserve"> </w:t>
      </w:r>
      <w:r w:rsidR="2B50018F" w:rsidRPr="003A42FB">
        <w:rPr>
          <w:rFonts w:ascii="Times New Roman" w:eastAsia="Times New Roman" w:hAnsi="Times New Roman" w:cs="Times New Roman"/>
          <w:sz w:val="24"/>
          <w:szCs w:val="24"/>
        </w:rPr>
        <w:t>Międzynarodowym Związku Telekomunikacyjnym</w:t>
      </w:r>
      <w:r w:rsidR="2B50018F" w:rsidRPr="003A42FB">
        <w:rPr>
          <w:rFonts w:ascii="Times New Roman" w:hAnsi="Times New Roman" w:cs="Times New Roman"/>
          <w:sz w:val="24"/>
          <w:szCs w:val="24"/>
        </w:rPr>
        <w:t xml:space="preserve"> (</w:t>
      </w:r>
      <w:r w:rsidRPr="003A42FB">
        <w:rPr>
          <w:rFonts w:ascii="Times New Roman" w:eastAsiaTheme="minorEastAsia" w:hAnsi="Times New Roman" w:cs="Times New Roman"/>
          <w:sz w:val="24"/>
          <w:szCs w:val="24"/>
          <w:lang w:eastAsia="pl-PL"/>
        </w:rPr>
        <w:t>ITU</w:t>
      </w:r>
      <w:r w:rsidR="101DA6C3" w:rsidRPr="003A42FB">
        <w:rPr>
          <w:rFonts w:ascii="Times New Roman" w:eastAsiaTheme="minorEastAsia" w:hAnsi="Times New Roman" w:cs="Times New Roman"/>
          <w:sz w:val="24"/>
          <w:szCs w:val="24"/>
          <w:lang w:eastAsia="pl-PL"/>
        </w:rPr>
        <w:t>)</w:t>
      </w:r>
      <w:r w:rsidRPr="003A42FB">
        <w:rPr>
          <w:rFonts w:ascii="Times New Roman" w:eastAsiaTheme="minorEastAsia" w:hAnsi="Times New Roman" w:cs="Times New Roman"/>
          <w:sz w:val="24"/>
          <w:szCs w:val="24"/>
          <w:lang w:eastAsia="pl-PL"/>
        </w:rPr>
        <w:t>. W takiej sytuacji obowiązany do poniesienia tych kosztów będzie podmiot, który złożył wniosek o rezerwację częstotliwości lub zasobów orbitalnych – czyli podmiot, który uzyska prawo do dysponowania cennymi zasobami dla własnych potrzeb.</w:t>
      </w:r>
      <w:r w:rsidR="7F64D361" w:rsidRPr="003A42FB">
        <w:rPr>
          <w:rFonts w:ascii="Times New Roman" w:eastAsiaTheme="minorEastAsia" w:hAnsi="Times New Roman" w:cs="Times New Roman"/>
          <w:sz w:val="24"/>
          <w:szCs w:val="24"/>
          <w:lang w:eastAsia="pl-PL"/>
        </w:rPr>
        <w:t xml:space="preserve"> </w:t>
      </w:r>
      <w:r w:rsidR="1EC5193D" w:rsidRPr="003A42FB">
        <w:rPr>
          <w:rFonts w:ascii="Times New Roman" w:eastAsia="Times New Roman" w:hAnsi="Times New Roman" w:cs="Times New Roman"/>
          <w:sz w:val="24"/>
          <w:szCs w:val="24"/>
        </w:rPr>
        <w:t>Kwestie trybu uiszczenia kosztów regulowane są w ramach regulacji i procedur ITU.</w:t>
      </w:r>
      <w:r w:rsidR="1EC5193D" w:rsidRPr="003A42FB">
        <w:rPr>
          <w:rFonts w:ascii="Times New Roman" w:hAnsi="Times New Roman" w:cs="Times New Roman"/>
          <w:sz w:val="24"/>
          <w:szCs w:val="24"/>
        </w:rPr>
        <w:t xml:space="preserve"> </w:t>
      </w:r>
      <w:r w:rsidR="7F64D361" w:rsidRPr="003A42FB">
        <w:rPr>
          <w:rFonts w:ascii="Times New Roman" w:eastAsiaTheme="minorEastAsia" w:hAnsi="Times New Roman" w:cs="Times New Roman"/>
          <w:sz w:val="24"/>
          <w:szCs w:val="24"/>
          <w:lang w:eastAsia="pl-PL"/>
        </w:rPr>
        <w:t>Jest to rozwiązanie nowe, nie wynikające przy tym z EKŁE.</w:t>
      </w:r>
    </w:p>
    <w:p w14:paraId="5EEEE82F"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142236D8" w14:textId="77777777" w:rsidR="00784429" w:rsidRPr="003A42FB" w:rsidRDefault="00784429"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 xml:space="preserve">ROZDZIAŁ 4. Konsultacje </w:t>
      </w:r>
    </w:p>
    <w:p w14:paraId="2CA7B81B" w14:textId="5E71AAE4" w:rsidR="009C6F2E" w:rsidRPr="003A42FB" w:rsidRDefault="009C6F2E"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rPr>
        <w:t xml:space="preserve">Oddział 1. </w:t>
      </w:r>
      <w:r w:rsidRPr="003A42FB">
        <w:rPr>
          <w:rFonts w:ascii="Times New Roman" w:hAnsi="Times New Roman" w:cs="Times New Roman"/>
          <w:b/>
          <w:lang w:eastAsia="en-US"/>
        </w:rPr>
        <w:t>Postępowanie konsultacyjne – art. 3</w:t>
      </w:r>
      <w:r w:rsidR="5F274183" w:rsidRPr="003A42FB">
        <w:rPr>
          <w:rFonts w:ascii="Times New Roman" w:hAnsi="Times New Roman" w:cs="Times New Roman"/>
          <w:b/>
          <w:lang w:eastAsia="en-US"/>
        </w:rPr>
        <w:t>0</w:t>
      </w:r>
      <w:r w:rsidR="38D89CC6" w:rsidRPr="003A42FB">
        <w:rPr>
          <w:rFonts w:ascii="Times New Roman" w:hAnsi="Times New Roman" w:cs="Times New Roman"/>
          <w:b/>
          <w:lang w:eastAsia="en-US"/>
        </w:rPr>
        <w:t>-3</w:t>
      </w:r>
      <w:r w:rsidR="1EF8C411" w:rsidRPr="003A42FB">
        <w:rPr>
          <w:rFonts w:ascii="Times New Roman" w:hAnsi="Times New Roman" w:cs="Times New Roman"/>
          <w:b/>
          <w:lang w:eastAsia="en-US"/>
        </w:rPr>
        <w:t>4</w:t>
      </w:r>
    </w:p>
    <w:p w14:paraId="40DCE04D" w14:textId="1463819F" w:rsidR="00CB30F0" w:rsidRPr="003A42FB" w:rsidRDefault="00FD01DD" w:rsidP="00C53EAB">
      <w:pPr>
        <w:pStyle w:val="h1chapter"/>
        <w:spacing w:before="0" w:after="120" w:line="240" w:lineRule="auto"/>
        <w:jc w:val="both"/>
        <w:rPr>
          <w:rFonts w:ascii="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 xml:space="preserve">Projektowane art. </w:t>
      </w:r>
      <w:r w:rsidR="02F06089" w:rsidRPr="003A42FB">
        <w:rPr>
          <w:rFonts w:ascii="Times New Roman" w:hAnsi="Times New Roman" w:cs="Times New Roman"/>
          <w:b w:val="0"/>
          <w:bCs w:val="0"/>
          <w:color w:val="auto"/>
          <w:sz w:val="24"/>
          <w:szCs w:val="24"/>
          <w:lang w:eastAsia="en-US"/>
        </w:rPr>
        <w:t>30</w:t>
      </w:r>
      <w:r w:rsidR="38D89CC6" w:rsidRPr="003A42FB">
        <w:rPr>
          <w:rFonts w:ascii="Times New Roman" w:hAnsi="Times New Roman" w:cs="Times New Roman"/>
          <w:b w:val="0"/>
          <w:bCs w:val="0"/>
          <w:color w:val="auto"/>
          <w:sz w:val="24"/>
          <w:szCs w:val="24"/>
          <w:lang w:eastAsia="en-US"/>
        </w:rPr>
        <w:t>-</w:t>
      </w:r>
      <w:r w:rsidR="504E6373" w:rsidRPr="003A42FB">
        <w:rPr>
          <w:rFonts w:ascii="Times New Roman" w:hAnsi="Times New Roman" w:cs="Times New Roman"/>
          <w:b w:val="0"/>
          <w:bCs w:val="0"/>
          <w:color w:val="auto"/>
          <w:sz w:val="24"/>
          <w:szCs w:val="24"/>
          <w:lang w:eastAsia="en-US"/>
        </w:rPr>
        <w:t>34</w:t>
      </w:r>
      <w:r w:rsidR="009C6F2E" w:rsidRPr="003A42FB">
        <w:rPr>
          <w:rFonts w:ascii="Times New Roman" w:hAnsi="Times New Roman" w:cs="Times New Roman"/>
          <w:b w:val="0"/>
          <w:bCs w:val="0"/>
          <w:color w:val="auto"/>
          <w:sz w:val="24"/>
          <w:szCs w:val="24"/>
          <w:lang w:eastAsia="en-US"/>
        </w:rPr>
        <w:t xml:space="preserve"> </w:t>
      </w:r>
      <w:r w:rsidR="000D71FB" w:rsidRPr="003A42FB">
        <w:rPr>
          <w:rFonts w:ascii="Times New Roman" w:hAnsi="Times New Roman" w:cs="Times New Roman"/>
          <w:b w:val="0"/>
          <w:bCs w:val="0"/>
          <w:color w:val="auto"/>
          <w:sz w:val="24"/>
          <w:szCs w:val="24"/>
        </w:rPr>
        <w:t>dotyczące postępowania konsultacyjnego stanowią wdrożenie art. 23 EKŁE</w:t>
      </w:r>
      <w:r w:rsidR="00704454" w:rsidRPr="003A42FB">
        <w:rPr>
          <w:rFonts w:ascii="Times New Roman" w:hAnsi="Times New Roman" w:cs="Times New Roman"/>
          <w:b w:val="0"/>
          <w:bCs w:val="0"/>
          <w:color w:val="auto"/>
          <w:sz w:val="24"/>
          <w:szCs w:val="24"/>
        </w:rPr>
        <w:t>.</w:t>
      </w:r>
      <w:r w:rsidR="01BAE47D" w:rsidRPr="003A42FB">
        <w:rPr>
          <w:rFonts w:ascii="Times New Roman" w:hAnsi="Times New Roman" w:cs="Times New Roman"/>
          <w:b w:val="0"/>
          <w:bCs w:val="0"/>
          <w:color w:val="auto"/>
          <w:sz w:val="24"/>
          <w:szCs w:val="24"/>
        </w:rPr>
        <w:t xml:space="preserve"> Regulacje w zbliżonym kształcie funkcjonowały już na gruncie ustawy Pt i wdrażały przepisy pakietu dyrektyw łączności elektronicznej.</w:t>
      </w:r>
    </w:p>
    <w:p w14:paraId="3C81B858" w14:textId="4BDB0B4C" w:rsidR="000D71FB" w:rsidRPr="003A42FB" w:rsidRDefault="001F0D8C" w:rsidP="00C53EAB">
      <w:pPr>
        <w:pStyle w:val="h1chapter"/>
        <w:spacing w:before="0" w:after="120" w:line="240" w:lineRule="auto"/>
        <w:jc w:val="both"/>
        <w:rPr>
          <w:rFonts w:ascii="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Prezes</w:t>
      </w:r>
      <w:r w:rsidR="008B3A29" w:rsidRPr="003A42FB">
        <w:rPr>
          <w:rFonts w:ascii="Times New Roman" w:hAnsi="Times New Roman" w:cs="Times New Roman"/>
          <w:b w:val="0"/>
          <w:bCs w:val="0"/>
          <w:color w:val="auto"/>
          <w:sz w:val="24"/>
          <w:szCs w:val="24"/>
        </w:rPr>
        <w:t xml:space="preserve"> UKE, zgodnie z art. </w:t>
      </w:r>
      <w:r w:rsidR="1E6062D1" w:rsidRPr="003A42FB">
        <w:rPr>
          <w:rFonts w:ascii="Times New Roman" w:hAnsi="Times New Roman" w:cs="Times New Roman"/>
          <w:b w:val="0"/>
          <w:bCs w:val="0"/>
          <w:color w:val="auto"/>
          <w:sz w:val="24"/>
          <w:szCs w:val="24"/>
        </w:rPr>
        <w:t>30</w:t>
      </w:r>
      <w:r w:rsidR="008B3A29" w:rsidRPr="003A42FB">
        <w:rPr>
          <w:rFonts w:ascii="Times New Roman" w:hAnsi="Times New Roman" w:cs="Times New Roman"/>
          <w:b w:val="0"/>
          <w:bCs w:val="0"/>
          <w:color w:val="auto"/>
          <w:sz w:val="24"/>
          <w:szCs w:val="24"/>
        </w:rPr>
        <w:t xml:space="preserve">, obowiązkowo przeprowadza </w:t>
      </w:r>
      <w:r w:rsidR="003663A9" w:rsidRPr="003A42FB">
        <w:rPr>
          <w:rFonts w:ascii="Times New Roman" w:hAnsi="Times New Roman" w:cs="Times New Roman"/>
          <w:b w:val="0"/>
          <w:bCs w:val="0"/>
          <w:color w:val="auto"/>
          <w:sz w:val="24"/>
          <w:szCs w:val="24"/>
        </w:rPr>
        <w:t>z</w:t>
      </w:r>
      <w:r w:rsidR="000E5680" w:rsidRPr="003A42FB">
        <w:rPr>
          <w:rFonts w:ascii="Times New Roman" w:hAnsi="Times New Roman" w:cs="Times New Roman"/>
          <w:b w:val="0"/>
          <w:bCs w:val="0"/>
          <w:color w:val="auto"/>
          <w:sz w:val="24"/>
          <w:szCs w:val="24"/>
        </w:rPr>
        <w:t xml:space="preserve"> zainteresowanymi podmiotami </w:t>
      </w:r>
      <w:r w:rsidR="008B3A29" w:rsidRPr="003A42FB">
        <w:rPr>
          <w:rFonts w:ascii="Times New Roman" w:hAnsi="Times New Roman" w:cs="Times New Roman"/>
          <w:b w:val="0"/>
          <w:bCs w:val="0"/>
          <w:color w:val="auto"/>
          <w:sz w:val="24"/>
          <w:szCs w:val="24"/>
        </w:rPr>
        <w:t xml:space="preserve">konsultacje przed podjęciem rozstrzygnięcia mającego znaczący wpływ na rynek właściwy. Ustawa zawiera przy tym zamknięty katalog spraw objętych obowiązkiem przeprowadzania konsultacji – są to sprawy wskazane w art. </w:t>
      </w:r>
      <w:r w:rsidR="698CDE35" w:rsidRPr="003A42FB">
        <w:rPr>
          <w:rFonts w:ascii="Times New Roman" w:hAnsi="Times New Roman" w:cs="Times New Roman"/>
          <w:b w:val="0"/>
          <w:bCs w:val="0"/>
          <w:color w:val="auto"/>
          <w:sz w:val="24"/>
          <w:szCs w:val="24"/>
        </w:rPr>
        <w:t>30</w:t>
      </w:r>
      <w:r w:rsidR="00340573" w:rsidRPr="003A42FB">
        <w:rPr>
          <w:rFonts w:ascii="Times New Roman" w:hAnsi="Times New Roman" w:cs="Times New Roman"/>
          <w:b w:val="0"/>
          <w:color w:val="auto"/>
          <w:sz w:val="24"/>
          <w:szCs w:val="24"/>
        </w:rPr>
        <w:t xml:space="preserve"> </w:t>
      </w:r>
      <w:r w:rsidR="008B3A29" w:rsidRPr="003A42FB">
        <w:rPr>
          <w:rFonts w:ascii="Times New Roman" w:hAnsi="Times New Roman" w:cs="Times New Roman"/>
          <w:b w:val="0"/>
          <w:bCs w:val="0"/>
          <w:color w:val="auto"/>
          <w:sz w:val="24"/>
          <w:szCs w:val="24"/>
        </w:rPr>
        <w:t>ust. 1 (wymienione wprost</w:t>
      </w:r>
      <w:r w:rsidR="00730136" w:rsidRPr="003A42FB">
        <w:rPr>
          <w:rFonts w:ascii="Times New Roman" w:hAnsi="Times New Roman" w:cs="Times New Roman"/>
          <w:b w:val="0"/>
          <w:bCs w:val="0"/>
          <w:color w:val="auto"/>
          <w:sz w:val="24"/>
          <w:szCs w:val="24"/>
        </w:rPr>
        <w:t xml:space="preserve"> w art. </w:t>
      </w:r>
      <w:r w:rsidR="449DF02F" w:rsidRPr="003A42FB">
        <w:rPr>
          <w:rFonts w:ascii="Times New Roman" w:hAnsi="Times New Roman" w:cs="Times New Roman"/>
          <w:b w:val="0"/>
          <w:bCs w:val="0"/>
          <w:color w:val="auto"/>
          <w:sz w:val="24"/>
          <w:szCs w:val="24"/>
        </w:rPr>
        <w:t>30</w:t>
      </w:r>
      <w:r w:rsidR="00730136" w:rsidRPr="003A42FB">
        <w:rPr>
          <w:rFonts w:ascii="Times New Roman" w:hAnsi="Times New Roman" w:cs="Times New Roman"/>
          <w:b w:val="0"/>
          <w:bCs w:val="0"/>
          <w:color w:val="auto"/>
          <w:sz w:val="24"/>
          <w:szCs w:val="24"/>
        </w:rPr>
        <w:t xml:space="preserve"> ust. 1 lub poprzez odesłanie</w:t>
      </w:r>
      <w:r w:rsidR="008B3A29" w:rsidRPr="003A42FB">
        <w:rPr>
          <w:rFonts w:ascii="Times New Roman" w:hAnsi="Times New Roman" w:cs="Times New Roman"/>
          <w:b w:val="0"/>
          <w:bCs w:val="0"/>
          <w:color w:val="auto"/>
          <w:sz w:val="24"/>
          <w:szCs w:val="24"/>
        </w:rPr>
        <w:t xml:space="preserve"> </w:t>
      </w:r>
      <w:r w:rsidR="00730136" w:rsidRPr="003A42FB">
        <w:rPr>
          <w:rFonts w:ascii="Times New Roman" w:hAnsi="Times New Roman" w:cs="Times New Roman"/>
          <w:b w:val="0"/>
          <w:bCs w:val="0"/>
          <w:color w:val="auto"/>
          <w:sz w:val="24"/>
          <w:szCs w:val="24"/>
        </w:rPr>
        <w:t xml:space="preserve">do </w:t>
      </w:r>
      <w:r w:rsidR="008B3A29" w:rsidRPr="003A42FB">
        <w:rPr>
          <w:rFonts w:ascii="Times New Roman" w:hAnsi="Times New Roman" w:cs="Times New Roman"/>
          <w:b w:val="0"/>
          <w:bCs w:val="0"/>
          <w:color w:val="auto"/>
          <w:sz w:val="24"/>
          <w:szCs w:val="24"/>
        </w:rPr>
        <w:t>inny</w:t>
      </w:r>
      <w:r w:rsidR="00730136" w:rsidRPr="003A42FB">
        <w:rPr>
          <w:rFonts w:ascii="Times New Roman" w:hAnsi="Times New Roman" w:cs="Times New Roman"/>
          <w:b w:val="0"/>
          <w:bCs w:val="0"/>
          <w:color w:val="auto"/>
          <w:sz w:val="24"/>
          <w:szCs w:val="24"/>
        </w:rPr>
        <w:t>ch przepisów</w:t>
      </w:r>
      <w:r w:rsidR="008B3A29" w:rsidRPr="003A42FB">
        <w:rPr>
          <w:rFonts w:ascii="Times New Roman" w:hAnsi="Times New Roman" w:cs="Times New Roman"/>
          <w:b w:val="0"/>
          <w:bCs w:val="0"/>
          <w:color w:val="auto"/>
          <w:sz w:val="24"/>
          <w:szCs w:val="24"/>
        </w:rPr>
        <w:t xml:space="preserve"> </w:t>
      </w:r>
      <w:r w:rsidR="00FA15E4" w:rsidRPr="003A42FB">
        <w:rPr>
          <w:rFonts w:ascii="Times New Roman" w:hAnsi="Times New Roman" w:cs="Times New Roman"/>
          <w:b w:val="0"/>
          <w:bCs w:val="0"/>
          <w:color w:val="auto"/>
          <w:sz w:val="24"/>
          <w:szCs w:val="24"/>
        </w:rPr>
        <w:t>P</w:t>
      </w:r>
      <w:r w:rsidR="00FA15E4">
        <w:rPr>
          <w:rFonts w:ascii="Times New Roman" w:hAnsi="Times New Roman" w:cs="Times New Roman"/>
          <w:b w:val="0"/>
          <w:bCs w:val="0"/>
          <w:color w:val="auto"/>
          <w:sz w:val="24"/>
          <w:szCs w:val="24"/>
        </w:rPr>
        <w:t>ke</w:t>
      </w:r>
      <w:r w:rsidR="00FA15E4" w:rsidRPr="003A42FB">
        <w:rPr>
          <w:rFonts w:ascii="Times New Roman" w:hAnsi="Times New Roman" w:cs="Times New Roman"/>
          <w:b w:val="0"/>
          <w:bCs w:val="0"/>
          <w:color w:val="auto"/>
          <w:sz w:val="24"/>
          <w:szCs w:val="24"/>
        </w:rPr>
        <w:t xml:space="preserve"> </w:t>
      </w:r>
      <w:r w:rsidR="008B3A29" w:rsidRPr="003A42FB">
        <w:rPr>
          <w:rFonts w:ascii="Times New Roman" w:hAnsi="Times New Roman" w:cs="Times New Roman"/>
          <w:b w:val="0"/>
          <w:bCs w:val="0"/>
          <w:color w:val="auto"/>
          <w:sz w:val="24"/>
          <w:szCs w:val="24"/>
        </w:rPr>
        <w:t>oraz innych przepis</w:t>
      </w:r>
      <w:r w:rsidR="00730136" w:rsidRPr="003A42FB">
        <w:rPr>
          <w:rFonts w:ascii="Times New Roman" w:hAnsi="Times New Roman" w:cs="Times New Roman"/>
          <w:b w:val="0"/>
          <w:bCs w:val="0"/>
          <w:color w:val="auto"/>
          <w:sz w:val="24"/>
          <w:szCs w:val="24"/>
        </w:rPr>
        <w:t>ów</w:t>
      </w:r>
      <w:r w:rsidR="008B3A29" w:rsidRPr="003A42FB">
        <w:rPr>
          <w:rFonts w:ascii="Times New Roman" w:hAnsi="Times New Roman" w:cs="Times New Roman"/>
          <w:b w:val="0"/>
          <w:bCs w:val="0"/>
          <w:color w:val="auto"/>
          <w:sz w:val="24"/>
          <w:szCs w:val="24"/>
        </w:rPr>
        <w:t xml:space="preserve"> </w:t>
      </w:r>
      <w:r w:rsidR="00730136" w:rsidRPr="003A42FB">
        <w:rPr>
          <w:rFonts w:ascii="Times New Roman" w:hAnsi="Times New Roman" w:cs="Times New Roman"/>
          <w:b w:val="0"/>
          <w:bCs w:val="0"/>
          <w:color w:val="auto"/>
          <w:sz w:val="24"/>
          <w:szCs w:val="24"/>
        </w:rPr>
        <w:t>ustawy</w:t>
      </w:r>
      <w:r w:rsidR="008B3A29" w:rsidRPr="003A42FB">
        <w:rPr>
          <w:rFonts w:ascii="Times New Roman" w:hAnsi="Times New Roman" w:cs="Times New Roman"/>
          <w:b w:val="0"/>
          <w:bCs w:val="0"/>
          <w:color w:val="auto"/>
          <w:sz w:val="24"/>
          <w:szCs w:val="24"/>
        </w:rPr>
        <w:t xml:space="preserve"> o wspieraniu rozwoju). </w:t>
      </w:r>
      <w:r w:rsidR="00E12751" w:rsidRPr="003A42FB">
        <w:rPr>
          <w:rFonts w:ascii="Times New Roman" w:hAnsi="Times New Roman" w:cs="Times New Roman"/>
          <w:b w:val="0"/>
          <w:bCs w:val="0"/>
          <w:color w:val="auto"/>
          <w:sz w:val="24"/>
          <w:szCs w:val="24"/>
        </w:rPr>
        <w:t xml:space="preserve">Są to m.in. projekty rozstrzygnięć w sprawach określenia rynku właściwego, nałożenia, </w:t>
      </w:r>
      <w:r w:rsidR="6E0806FD" w:rsidRPr="003A42FB">
        <w:rPr>
          <w:rFonts w:ascii="Times New Roman" w:hAnsi="Times New Roman" w:cs="Times New Roman"/>
          <w:b w:val="0"/>
          <w:bCs w:val="0"/>
          <w:color w:val="auto"/>
          <w:sz w:val="24"/>
          <w:szCs w:val="24"/>
        </w:rPr>
        <w:t>uchylenia</w:t>
      </w:r>
      <w:r w:rsidR="00E12751" w:rsidRPr="003A42FB">
        <w:rPr>
          <w:rFonts w:ascii="Times New Roman" w:hAnsi="Times New Roman" w:cs="Times New Roman"/>
          <w:b w:val="0"/>
          <w:bCs w:val="0"/>
          <w:color w:val="auto"/>
          <w:sz w:val="24"/>
          <w:szCs w:val="24"/>
        </w:rPr>
        <w:t xml:space="preserve">, utrzymania lub zmiany obowiązków regulacyjnych w stosunku do przedsiębiorcy </w:t>
      </w:r>
      <w:r w:rsidR="00B95880" w:rsidRPr="003A42FB">
        <w:rPr>
          <w:rFonts w:ascii="Times New Roman" w:hAnsi="Times New Roman" w:cs="Times New Roman"/>
          <w:b w:val="0"/>
          <w:bCs w:val="0"/>
          <w:color w:val="auto"/>
          <w:sz w:val="24"/>
          <w:szCs w:val="24"/>
        </w:rPr>
        <w:t>komunikacji elektronicznej</w:t>
      </w:r>
      <w:r w:rsidR="00E12751" w:rsidRPr="003A42FB">
        <w:rPr>
          <w:rFonts w:ascii="Times New Roman" w:hAnsi="Times New Roman" w:cs="Times New Roman"/>
          <w:b w:val="0"/>
          <w:bCs w:val="0"/>
          <w:color w:val="auto"/>
          <w:sz w:val="24"/>
          <w:szCs w:val="24"/>
        </w:rPr>
        <w:t xml:space="preserve"> o znaczącej pozycji lub nieposiadającego takiej pozycji</w:t>
      </w:r>
      <w:r w:rsidR="00B6600D" w:rsidRPr="003A42FB">
        <w:rPr>
          <w:rFonts w:ascii="Times New Roman" w:hAnsi="Times New Roman" w:cs="Times New Roman"/>
          <w:b w:val="0"/>
          <w:bCs w:val="0"/>
          <w:color w:val="auto"/>
          <w:sz w:val="24"/>
          <w:szCs w:val="24"/>
        </w:rPr>
        <w:t>, oraz nałożenia, uchylenia, zmiany lub utrzymania obowiązków dostępowych symetrycznych</w:t>
      </w:r>
      <w:r w:rsidR="00E12751" w:rsidRPr="003A42FB">
        <w:rPr>
          <w:rFonts w:ascii="Times New Roman" w:hAnsi="Times New Roman" w:cs="Times New Roman"/>
          <w:b w:val="0"/>
          <w:bCs w:val="0"/>
          <w:color w:val="auto"/>
          <w:sz w:val="24"/>
          <w:szCs w:val="24"/>
        </w:rPr>
        <w:t>.</w:t>
      </w:r>
    </w:p>
    <w:p w14:paraId="1A010B9D" w14:textId="77986497" w:rsidR="005C0DB3" w:rsidRPr="003A42FB" w:rsidRDefault="00E1275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EKŁE podobnie jak dyrektywa ramowa wskazuje, które postępowania nie są objęte obowiązkiem przeprowadzenia postępowania konsultacyjnego –</w:t>
      </w:r>
      <w:r w:rsidR="00A909B4" w:rsidRPr="003A42FB">
        <w:rPr>
          <w:rFonts w:ascii="Times New Roman" w:eastAsiaTheme="minorEastAsia" w:hAnsi="Times New Roman" w:cs="Times New Roman"/>
          <w:sz w:val="24"/>
          <w:szCs w:val="24"/>
        </w:rPr>
        <w:t xml:space="preserve"> rozstrzygania</w:t>
      </w:r>
      <w:r w:rsidRPr="003A42FB">
        <w:rPr>
          <w:rFonts w:ascii="Times New Roman" w:eastAsiaTheme="minorEastAsia" w:hAnsi="Times New Roman" w:cs="Times New Roman"/>
          <w:sz w:val="24"/>
          <w:szCs w:val="24"/>
        </w:rPr>
        <w:t xml:space="preserve"> sporów transgranicznych, a także sytuacje</w:t>
      </w:r>
      <w:r w:rsidR="1022B1FE"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gdy </w:t>
      </w:r>
      <w:r w:rsidR="00A909B4" w:rsidRPr="003A42FB">
        <w:rPr>
          <w:rFonts w:ascii="Times New Roman" w:eastAsiaTheme="minorEastAsia" w:hAnsi="Times New Roman" w:cs="Times New Roman"/>
          <w:sz w:val="24"/>
          <w:szCs w:val="24"/>
        </w:rPr>
        <w:t>organ w wyjątkowych okolicznościach, gdy zachodzi pilna potrzeba podjęcia działania w celu ochrony konkurencji i interesów użytkowników, tymczasowo przyjął dane rozstrzygnięcie</w:t>
      </w:r>
      <w:r w:rsidR="00F02CE0" w:rsidRPr="003A42FB">
        <w:rPr>
          <w:rFonts w:ascii="Times New Roman" w:eastAsiaTheme="minorEastAsia" w:hAnsi="Times New Roman" w:cs="Times New Roman"/>
          <w:sz w:val="24"/>
          <w:szCs w:val="24"/>
        </w:rPr>
        <w:t xml:space="preserve"> bez przeprowadzania postępowania konsolidacyjnego</w:t>
      </w:r>
      <w:r w:rsidR="00CB30F0" w:rsidRPr="003A42FB">
        <w:rPr>
          <w:rFonts w:ascii="Times New Roman" w:eastAsiaTheme="minorEastAsia" w:hAnsi="Times New Roman" w:cs="Times New Roman"/>
          <w:sz w:val="24"/>
          <w:szCs w:val="24"/>
        </w:rPr>
        <w:t xml:space="preserve">. Ostatni z przypadków został wdrożony w projektowanym art. </w:t>
      </w:r>
      <w:r w:rsidR="6D79D5F8" w:rsidRPr="003A42FB">
        <w:rPr>
          <w:rFonts w:ascii="Times New Roman" w:eastAsiaTheme="minorEastAsia" w:hAnsi="Times New Roman" w:cs="Times New Roman"/>
          <w:sz w:val="24"/>
          <w:szCs w:val="24"/>
        </w:rPr>
        <w:t>32</w:t>
      </w:r>
      <w:r w:rsidR="00CB30F0" w:rsidRPr="003A42FB">
        <w:rPr>
          <w:rFonts w:ascii="Times New Roman" w:eastAsiaTheme="minorEastAsia" w:hAnsi="Times New Roman" w:cs="Times New Roman"/>
          <w:sz w:val="24"/>
          <w:szCs w:val="24"/>
        </w:rPr>
        <w:t xml:space="preserve"> </w:t>
      </w:r>
      <w:r w:rsidR="00CB30F0" w:rsidRPr="003A42FB">
        <w:rPr>
          <w:rFonts w:ascii="Times New Roman" w:eastAsiaTheme="minorEastAsia" w:hAnsi="Times New Roman" w:cs="Times New Roman"/>
          <w:sz w:val="24"/>
          <w:szCs w:val="24"/>
        </w:rPr>
        <w:lastRenderedPageBreak/>
        <w:t xml:space="preserve">dotyczącym </w:t>
      </w:r>
      <w:r w:rsidR="003751D3" w:rsidRPr="003A42FB">
        <w:rPr>
          <w:rFonts w:ascii="Times New Roman" w:eastAsiaTheme="minorEastAsia" w:hAnsi="Times New Roman" w:cs="Times New Roman"/>
          <w:sz w:val="24"/>
          <w:szCs w:val="24"/>
        </w:rPr>
        <w:t xml:space="preserve">kwestii </w:t>
      </w:r>
      <w:r w:rsidR="00CB30F0" w:rsidRPr="003A42FB">
        <w:rPr>
          <w:rFonts w:ascii="Times New Roman" w:eastAsiaTheme="minorEastAsia" w:hAnsi="Times New Roman" w:cs="Times New Roman"/>
          <w:sz w:val="24"/>
          <w:szCs w:val="24"/>
        </w:rPr>
        <w:t>pominięcia</w:t>
      </w:r>
      <w:r w:rsidR="00F02CE0" w:rsidRPr="003A42FB">
        <w:rPr>
          <w:rFonts w:ascii="Times New Roman" w:eastAsiaTheme="minorEastAsia" w:hAnsi="Times New Roman" w:cs="Times New Roman"/>
          <w:sz w:val="24"/>
          <w:szCs w:val="24"/>
        </w:rPr>
        <w:t xml:space="preserve"> konsultacji</w:t>
      </w:r>
      <w:r w:rsidR="00CB30F0" w:rsidRPr="003A42FB">
        <w:rPr>
          <w:rFonts w:ascii="Times New Roman" w:eastAsiaTheme="minorEastAsia" w:hAnsi="Times New Roman" w:cs="Times New Roman"/>
          <w:sz w:val="24"/>
          <w:szCs w:val="24"/>
        </w:rPr>
        <w:t>.</w:t>
      </w:r>
      <w:r w:rsidR="00F02CE0" w:rsidRPr="003A42FB">
        <w:rPr>
          <w:rFonts w:ascii="Times New Roman" w:eastAsiaTheme="minorEastAsia" w:hAnsi="Times New Roman" w:cs="Times New Roman"/>
          <w:sz w:val="24"/>
          <w:szCs w:val="24"/>
        </w:rPr>
        <w:t xml:space="preserve"> EKŁE nie wskazuje na jaki okres może zostać w tym przypadku wydane rozstrzygnięcie tymczasowe. W projekcie ustawy przyjęto, tak jak dotychczas, iż zostaje ono wydane na okres nieprzekraczający 6 miesięcy.   </w:t>
      </w:r>
    </w:p>
    <w:p w14:paraId="21469CDA" w14:textId="77777777" w:rsidR="002D2F49" w:rsidRPr="003A42FB" w:rsidRDefault="002D2F4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doprecyzowują wymagania zawarte w EKŁE, wskazując, że konsultacjom poddaje się projekt rozstrzygnięcia wraz z uzasadnieniem. Projekty rozstrzygnięć, stanowiska zgłaszane przez uczestników konsultacji zamieszczane są na stronie podmiotowej BIP UKE. Strona ta stanowi jeden punkt informacyjny, który umożliwia dostęp do wszystkich bieżących konsultacji – zgodnie z wymogiem art. 23 ust. 3 EKŁE.</w:t>
      </w:r>
      <w:r w:rsidR="003663A9" w:rsidRPr="003A42FB">
        <w:rPr>
          <w:rFonts w:ascii="Times New Roman" w:eastAsiaTheme="minorEastAsia" w:hAnsi="Times New Roman" w:cs="Times New Roman"/>
          <w:sz w:val="24"/>
          <w:szCs w:val="24"/>
        </w:rPr>
        <w:t xml:space="preserve"> Postępowanie konsultacyjne</w:t>
      </w:r>
      <w:r w:rsidR="00F02CE0" w:rsidRPr="003A42FB">
        <w:rPr>
          <w:rFonts w:ascii="Times New Roman" w:eastAsiaTheme="minorEastAsia" w:hAnsi="Times New Roman" w:cs="Times New Roman"/>
          <w:sz w:val="24"/>
          <w:szCs w:val="24"/>
        </w:rPr>
        <w:t>, stosow</w:t>
      </w:r>
      <w:r w:rsidR="003663A9" w:rsidRPr="003A42FB">
        <w:rPr>
          <w:rFonts w:ascii="Times New Roman" w:eastAsiaTheme="minorEastAsia" w:hAnsi="Times New Roman" w:cs="Times New Roman"/>
          <w:sz w:val="24"/>
          <w:szCs w:val="24"/>
        </w:rPr>
        <w:t xml:space="preserve">nie do postanowień EKŁE, będzie trwało co najmniej 30 dni (termin ten jest analogiczny do dotychczasowego terminu określonego w przepisach Pt). </w:t>
      </w:r>
    </w:p>
    <w:p w14:paraId="50919CF9" w14:textId="6AE7F94C" w:rsidR="00CB30F0" w:rsidRPr="003A42FB" w:rsidRDefault="2853579A" w:rsidP="7D10B8D0">
      <w:pPr>
        <w:pStyle w:val="h1chapter"/>
        <w:spacing w:before="0" w:after="120" w:line="240" w:lineRule="auto"/>
        <w:jc w:val="both"/>
        <w:rPr>
          <w:rFonts w:ascii="Times New Roman" w:eastAsia="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Należy podkreślić, że art. 23 EKŁE</w:t>
      </w:r>
      <w:r w:rsidRPr="003A42FB">
        <w:rPr>
          <w:rFonts w:ascii="Times New Roman" w:hAnsi="Times New Roman" w:cs="Times New Roman"/>
          <w:color w:val="auto"/>
          <w:sz w:val="24"/>
          <w:szCs w:val="24"/>
        </w:rPr>
        <w:t xml:space="preserve"> </w:t>
      </w:r>
      <w:r w:rsidRPr="003A42FB">
        <w:rPr>
          <w:rFonts w:ascii="Times New Roman" w:hAnsi="Times New Roman" w:cs="Times New Roman"/>
          <w:b w:val="0"/>
          <w:bCs w:val="0"/>
          <w:color w:val="auto"/>
          <w:sz w:val="24"/>
          <w:szCs w:val="24"/>
        </w:rPr>
        <w:t xml:space="preserve">w przeważającej </w:t>
      </w:r>
      <w:r w:rsidR="36BA2A13" w:rsidRPr="003A42FB">
        <w:rPr>
          <w:rFonts w:ascii="Times New Roman" w:hAnsi="Times New Roman" w:cs="Times New Roman"/>
          <w:b w:val="0"/>
          <w:bCs w:val="0"/>
          <w:color w:val="auto"/>
          <w:sz w:val="24"/>
          <w:szCs w:val="24"/>
        </w:rPr>
        <w:t>części powtarza</w:t>
      </w:r>
      <w:r w:rsidRPr="003A42FB">
        <w:rPr>
          <w:rFonts w:ascii="Times New Roman" w:hAnsi="Times New Roman" w:cs="Times New Roman"/>
          <w:b w:val="0"/>
          <w:bCs w:val="0"/>
          <w:color w:val="auto"/>
          <w:sz w:val="24"/>
          <w:szCs w:val="24"/>
        </w:rPr>
        <w:t xml:space="preserve"> treść art. 6 dyrektywy ramowej. </w:t>
      </w:r>
      <w:r w:rsidR="36BA2A13" w:rsidRPr="003A42FB">
        <w:rPr>
          <w:rFonts w:ascii="Times New Roman" w:hAnsi="Times New Roman" w:cs="Times New Roman"/>
          <w:b w:val="0"/>
          <w:bCs w:val="0"/>
          <w:color w:val="auto"/>
          <w:sz w:val="24"/>
          <w:szCs w:val="24"/>
        </w:rPr>
        <w:t>Z tego względu również treść projektowanych przepisów nie odbiega znacznie od brzmienia dotychczas obowiązujących art. 15-17 Pt.</w:t>
      </w:r>
      <w:r w:rsidR="166913EE" w:rsidRPr="003A42FB">
        <w:rPr>
          <w:rFonts w:ascii="Times New Roman" w:hAnsi="Times New Roman" w:cs="Times New Roman"/>
          <w:b w:val="0"/>
          <w:bCs w:val="0"/>
          <w:color w:val="auto"/>
          <w:sz w:val="24"/>
          <w:szCs w:val="24"/>
        </w:rPr>
        <w:t xml:space="preserve"> Wprowadzone prze</w:t>
      </w:r>
      <w:r w:rsidR="4E3B42B4" w:rsidRPr="003A42FB">
        <w:rPr>
          <w:rFonts w:ascii="Times New Roman" w:hAnsi="Times New Roman" w:cs="Times New Roman"/>
          <w:b w:val="0"/>
          <w:bCs w:val="0"/>
          <w:color w:val="auto"/>
          <w:sz w:val="24"/>
          <w:szCs w:val="24"/>
        </w:rPr>
        <w:t>pisy mają charakter porządkujący i zwiększający przejrzystość regulacji dotyczącej postępowania konsultacyjnego.</w:t>
      </w:r>
      <w:r w:rsidR="59069610" w:rsidRPr="003A42FB">
        <w:rPr>
          <w:rFonts w:ascii="Times New Roman" w:hAnsi="Times New Roman" w:cs="Times New Roman"/>
          <w:b w:val="0"/>
          <w:bCs w:val="0"/>
          <w:color w:val="auto"/>
          <w:sz w:val="24"/>
          <w:szCs w:val="24"/>
        </w:rPr>
        <w:t xml:space="preserve"> Dodano również w art. 33 regulację, zgodnie z którą </w:t>
      </w:r>
      <w:r w:rsidR="6267DD53" w:rsidRPr="003A42FB">
        <w:rPr>
          <w:rFonts w:ascii="Times New Roman" w:hAnsi="Times New Roman" w:cs="Times New Roman"/>
          <w:b w:val="0"/>
          <w:bCs w:val="0"/>
          <w:color w:val="auto"/>
          <w:sz w:val="24"/>
          <w:szCs w:val="24"/>
        </w:rPr>
        <w:t>Pr</w:t>
      </w:r>
      <w:r w:rsidR="6267DD53" w:rsidRPr="003A42FB">
        <w:rPr>
          <w:rFonts w:ascii="Times New Roman" w:eastAsia="Times New Roman" w:hAnsi="Times New Roman" w:cs="Times New Roman"/>
          <w:b w:val="0"/>
          <w:bCs w:val="0"/>
          <w:color w:val="auto"/>
          <w:sz w:val="24"/>
          <w:szCs w:val="24"/>
        </w:rPr>
        <w:t>ezes UKE</w:t>
      </w:r>
      <w:r w:rsidR="59069610" w:rsidRPr="003A42FB">
        <w:rPr>
          <w:rFonts w:ascii="Times New Roman" w:hAnsi="Times New Roman" w:cs="Times New Roman"/>
          <w:b w:val="0"/>
          <w:bCs w:val="0"/>
          <w:color w:val="auto"/>
          <w:sz w:val="24"/>
          <w:szCs w:val="24"/>
        </w:rPr>
        <w:t xml:space="preserve"> będzie miał obowiązek</w:t>
      </w:r>
      <w:r w:rsidR="59069610" w:rsidRPr="003A42FB">
        <w:rPr>
          <w:rFonts w:ascii="Times New Roman" w:eastAsia="Times New Roman" w:hAnsi="Times New Roman" w:cs="Times New Roman"/>
          <w:b w:val="0"/>
          <w:bCs w:val="0"/>
          <w:color w:val="auto"/>
          <w:sz w:val="24"/>
          <w:szCs w:val="24"/>
        </w:rPr>
        <w:t xml:space="preserve"> udostępnia</w:t>
      </w:r>
      <w:r w:rsidR="64FD0C1E" w:rsidRPr="003A42FB">
        <w:rPr>
          <w:rFonts w:ascii="Times New Roman" w:eastAsia="Times New Roman" w:hAnsi="Times New Roman" w:cs="Times New Roman"/>
          <w:b w:val="0"/>
          <w:bCs w:val="0"/>
          <w:color w:val="auto"/>
          <w:sz w:val="24"/>
          <w:szCs w:val="24"/>
        </w:rPr>
        <w:t>nia</w:t>
      </w:r>
      <w:r w:rsidR="59069610" w:rsidRPr="003A42FB">
        <w:rPr>
          <w:rFonts w:ascii="Times New Roman" w:eastAsia="Times New Roman" w:hAnsi="Times New Roman" w:cs="Times New Roman"/>
          <w:b w:val="0"/>
          <w:bCs w:val="0"/>
          <w:color w:val="auto"/>
          <w:sz w:val="24"/>
          <w:szCs w:val="24"/>
        </w:rPr>
        <w:t xml:space="preserve"> na stronie podmiotowej BIP UKE decyzj</w:t>
      </w:r>
      <w:r w:rsidR="0F1C810E" w:rsidRPr="003A42FB">
        <w:rPr>
          <w:rFonts w:ascii="Times New Roman" w:eastAsia="Times New Roman" w:hAnsi="Times New Roman" w:cs="Times New Roman"/>
          <w:b w:val="0"/>
          <w:bCs w:val="0"/>
          <w:color w:val="auto"/>
          <w:sz w:val="24"/>
          <w:szCs w:val="24"/>
        </w:rPr>
        <w:t>i</w:t>
      </w:r>
      <w:r w:rsidR="59069610" w:rsidRPr="003A42FB">
        <w:rPr>
          <w:rFonts w:ascii="Times New Roman" w:eastAsia="Times New Roman" w:hAnsi="Times New Roman" w:cs="Times New Roman"/>
          <w:b w:val="0"/>
          <w:bCs w:val="0"/>
          <w:color w:val="auto"/>
          <w:sz w:val="24"/>
          <w:szCs w:val="24"/>
        </w:rPr>
        <w:t xml:space="preserve"> wydan</w:t>
      </w:r>
      <w:r w:rsidR="727A9A8A" w:rsidRPr="003A42FB">
        <w:rPr>
          <w:rFonts w:ascii="Times New Roman" w:eastAsia="Times New Roman" w:hAnsi="Times New Roman" w:cs="Times New Roman"/>
          <w:b w:val="0"/>
          <w:bCs w:val="0"/>
          <w:color w:val="auto"/>
          <w:sz w:val="24"/>
          <w:szCs w:val="24"/>
        </w:rPr>
        <w:t>ych</w:t>
      </w:r>
      <w:r w:rsidR="59069610" w:rsidRPr="003A42FB">
        <w:rPr>
          <w:rFonts w:ascii="Times New Roman" w:eastAsia="Times New Roman" w:hAnsi="Times New Roman" w:cs="Times New Roman"/>
          <w:b w:val="0"/>
          <w:bCs w:val="0"/>
          <w:color w:val="auto"/>
          <w:sz w:val="24"/>
          <w:szCs w:val="24"/>
        </w:rPr>
        <w:t xml:space="preserve"> po przeprowadzeniu postępowania konsultacyjnego,</w:t>
      </w:r>
      <w:r w:rsidR="16A41FEE" w:rsidRPr="003A42FB">
        <w:rPr>
          <w:rFonts w:ascii="Times New Roman" w:eastAsia="Times New Roman" w:hAnsi="Times New Roman" w:cs="Times New Roman"/>
          <w:b w:val="0"/>
          <w:bCs w:val="0"/>
          <w:color w:val="auto"/>
          <w:sz w:val="24"/>
          <w:szCs w:val="24"/>
        </w:rPr>
        <w:t xml:space="preserve"> co ma na celu zapewnienie większej transparentności procesu konsultacji i możliwości zapoznania się przez wszyst</w:t>
      </w:r>
      <w:r w:rsidR="659F7E15" w:rsidRPr="003A42FB">
        <w:rPr>
          <w:rFonts w:ascii="Times New Roman" w:eastAsia="Times New Roman" w:hAnsi="Times New Roman" w:cs="Times New Roman"/>
          <w:b w:val="0"/>
          <w:bCs w:val="0"/>
          <w:color w:val="auto"/>
          <w:sz w:val="24"/>
          <w:szCs w:val="24"/>
        </w:rPr>
        <w:t>kie zainteresowane podmioty z ostateczną treścią konsultowanego rozstrzygnięcia. Przepis zpaewnia przy tym, iż publikacji nie będą podlegały te fragme</w:t>
      </w:r>
      <w:r w:rsidR="127FE57E" w:rsidRPr="003A42FB">
        <w:rPr>
          <w:rFonts w:ascii="Times New Roman" w:eastAsia="Times New Roman" w:hAnsi="Times New Roman" w:cs="Times New Roman"/>
          <w:b w:val="0"/>
          <w:bCs w:val="0"/>
          <w:color w:val="auto"/>
          <w:sz w:val="24"/>
          <w:szCs w:val="24"/>
        </w:rPr>
        <w:t>n</w:t>
      </w:r>
      <w:r w:rsidR="659F7E15" w:rsidRPr="003A42FB">
        <w:rPr>
          <w:rFonts w:ascii="Times New Roman" w:eastAsia="Times New Roman" w:hAnsi="Times New Roman" w:cs="Times New Roman"/>
          <w:b w:val="0"/>
          <w:bCs w:val="0"/>
          <w:color w:val="auto"/>
          <w:sz w:val="24"/>
          <w:szCs w:val="24"/>
        </w:rPr>
        <w:t xml:space="preserve">ty decyzji, które </w:t>
      </w:r>
      <w:r w:rsidR="59069610" w:rsidRPr="003A42FB">
        <w:rPr>
          <w:rFonts w:ascii="Times New Roman" w:eastAsia="Times New Roman" w:hAnsi="Times New Roman" w:cs="Times New Roman"/>
          <w:b w:val="0"/>
          <w:bCs w:val="0"/>
          <w:color w:val="auto"/>
          <w:sz w:val="24"/>
          <w:szCs w:val="24"/>
        </w:rPr>
        <w:t>stanowią tajemnice prawnie chronione.</w:t>
      </w:r>
      <w:r w:rsidR="2FC041D5" w:rsidRPr="003A42FB">
        <w:rPr>
          <w:rFonts w:ascii="Times New Roman" w:eastAsia="Times New Roman" w:hAnsi="Times New Roman" w:cs="Times New Roman"/>
          <w:b w:val="0"/>
          <w:bCs w:val="0"/>
          <w:color w:val="auto"/>
          <w:sz w:val="24"/>
          <w:szCs w:val="24"/>
        </w:rPr>
        <w:t xml:space="preserve"> Dotyczy to między innymi informacji stanowiących tajemnicę przedsiębiorstwa czy dane osobowe podlegające ochronie.</w:t>
      </w:r>
    </w:p>
    <w:p w14:paraId="7E9A2997" w14:textId="77777777" w:rsidR="00AE4E8D" w:rsidRPr="003A42FB" w:rsidRDefault="4E3B42B4" w:rsidP="00C53EAB">
      <w:pPr>
        <w:pStyle w:val="ROZDZODDZOZNoznaczenierozdziauluboddziau"/>
        <w:spacing w:before="0" w:after="120" w:line="240" w:lineRule="auto"/>
        <w:jc w:val="both"/>
        <w:rPr>
          <w:rFonts w:ascii="Times New Roman" w:hAnsi="Times New Roman" w:cs="Times New Roman"/>
          <w:bCs w:val="0"/>
        </w:rPr>
      </w:pPr>
      <w:r w:rsidRPr="003A42FB">
        <w:rPr>
          <w:rFonts w:ascii="Times New Roman" w:hAnsi="Times New Roman" w:cs="Times New Roman"/>
          <w:bCs w:val="0"/>
        </w:rPr>
        <w:lastRenderedPageBreak/>
        <w:t xml:space="preserve">Podobnie jak dotychczasowa ustawa – Prawo telekomunikacyjne, również projektowana ustawa zawiera w art. </w:t>
      </w:r>
      <w:r w:rsidR="0C8728F2" w:rsidRPr="003A42FB">
        <w:rPr>
          <w:rFonts w:ascii="Times New Roman" w:hAnsi="Times New Roman" w:cs="Times New Roman"/>
          <w:bCs w:val="0"/>
        </w:rPr>
        <w:t>34</w:t>
      </w:r>
      <w:r w:rsidRPr="003A42FB">
        <w:rPr>
          <w:rFonts w:ascii="Times New Roman" w:hAnsi="Times New Roman" w:cs="Times New Roman"/>
          <w:bCs w:val="0"/>
        </w:rPr>
        <w:t xml:space="preserve"> wyłączenie stosowania, do spraw objętych postępowaniem konsultacyjnym – art. 79a ustawy z dnia 1960 r. – Kodeks postępowania administracyjnego</w:t>
      </w:r>
      <w:r w:rsidR="36463F8F" w:rsidRPr="003A42FB">
        <w:rPr>
          <w:rFonts w:ascii="Times New Roman" w:hAnsi="Times New Roman" w:cs="Times New Roman"/>
          <w:bCs w:val="0"/>
        </w:rPr>
        <w:t xml:space="preserve"> (Dz. U. z 2020 r.</w:t>
      </w:r>
      <w:r w:rsidR="440D7A92" w:rsidRPr="003A42FB">
        <w:rPr>
          <w:rFonts w:ascii="Times New Roman" w:hAnsi="Times New Roman" w:cs="Times New Roman"/>
          <w:bCs w:val="0"/>
        </w:rPr>
        <w:t xml:space="preserve"> poz. 256 i 695), zwanym dalej „</w:t>
      </w:r>
      <w:r w:rsidR="170CBA89" w:rsidRPr="003A42FB">
        <w:rPr>
          <w:rFonts w:ascii="Times New Roman" w:hAnsi="Times New Roman" w:cs="Times New Roman"/>
          <w:bCs w:val="0"/>
        </w:rPr>
        <w:t>k</w:t>
      </w:r>
      <w:r w:rsidR="36463F8F" w:rsidRPr="003A42FB">
        <w:rPr>
          <w:rFonts w:ascii="Times New Roman" w:hAnsi="Times New Roman" w:cs="Times New Roman"/>
          <w:bCs w:val="0"/>
        </w:rPr>
        <w:t>pa”</w:t>
      </w:r>
      <w:r w:rsidRPr="003A42FB">
        <w:rPr>
          <w:rFonts w:ascii="Times New Roman" w:hAnsi="Times New Roman" w:cs="Times New Roman"/>
          <w:bCs w:val="0"/>
        </w:rPr>
        <w:t xml:space="preserve">. </w:t>
      </w:r>
      <w:r w:rsidR="23D1E99D" w:rsidRPr="003A42FB">
        <w:rPr>
          <w:rFonts w:ascii="Times New Roman" w:hAnsi="Times New Roman" w:cs="Times New Roman"/>
          <w:bCs w:val="0"/>
        </w:rPr>
        <w:t>Zgodnie z a</w:t>
      </w:r>
      <w:r w:rsidR="6DBE061E" w:rsidRPr="003A42FB">
        <w:rPr>
          <w:rFonts w:ascii="Times New Roman" w:hAnsi="Times New Roman" w:cs="Times New Roman"/>
          <w:bCs w:val="0"/>
        </w:rPr>
        <w:t xml:space="preserve">rt. 79a kpa </w:t>
      </w:r>
      <w:r w:rsidR="725F39D7" w:rsidRPr="003A42FB">
        <w:rPr>
          <w:rFonts w:ascii="Times New Roman" w:hAnsi="Times New Roman" w:cs="Times New Roman"/>
          <w:bCs w:val="0"/>
        </w:rPr>
        <w:t xml:space="preserve">w postępowaniu wszczętym na żądanie strony, informując o możliwości wypowiedzenia się co do zebranych dowodów i materiałów oraz zgłoszonych żądań, organ administracji publicznej jest obowiązany do wskazania przesłanek zależnych od strony, które nie zostały na dzień wysłania informacji spełnione lub wykazane, co może skutkować wydaniem decyzji niezgodnej z żądaniem strony. </w:t>
      </w:r>
      <w:r w:rsidR="23D1E99D" w:rsidRPr="003A42FB">
        <w:rPr>
          <w:rFonts w:ascii="Times New Roman" w:hAnsi="Times New Roman" w:cs="Times New Roman"/>
          <w:bCs w:val="0"/>
        </w:rPr>
        <w:t xml:space="preserve">W terminie wyznaczonym na wypowiedzenie się co do zebranych dowodów i materiałów oraz zgłoszonych żądań, strona może przedłożyć dodatkowe dowody celem wykazania spełnienia w/w przesłanek. </w:t>
      </w:r>
      <w:r w:rsidR="22C5C8E3" w:rsidRPr="003A42FB">
        <w:rPr>
          <w:rFonts w:ascii="Times New Roman" w:hAnsi="Times New Roman" w:cs="Times New Roman"/>
          <w:bCs w:val="0"/>
        </w:rPr>
        <w:t>Zasadne jest u</w:t>
      </w:r>
      <w:r w:rsidR="3072D932" w:rsidRPr="003A42FB">
        <w:rPr>
          <w:rFonts w:ascii="Times New Roman" w:hAnsi="Times New Roman" w:cs="Times New Roman"/>
          <w:bCs w:val="0"/>
        </w:rPr>
        <w:t>trzymanie wyłącz</w:t>
      </w:r>
      <w:r w:rsidR="22C5C8E3" w:rsidRPr="003A42FB">
        <w:rPr>
          <w:rFonts w:ascii="Times New Roman" w:hAnsi="Times New Roman" w:cs="Times New Roman"/>
          <w:bCs w:val="0"/>
        </w:rPr>
        <w:t>enia</w:t>
      </w:r>
      <w:r w:rsidR="3072D932" w:rsidRPr="003A42FB">
        <w:rPr>
          <w:rFonts w:ascii="Times New Roman" w:hAnsi="Times New Roman" w:cs="Times New Roman"/>
          <w:bCs w:val="0"/>
        </w:rPr>
        <w:t xml:space="preserve"> stosowania art.</w:t>
      </w:r>
      <w:r w:rsidR="22C5C8E3" w:rsidRPr="003A42FB">
        <w:rPr>
          <w:rFonts w:ascii="Times New Roman" w:hAnsi="Times New Roman" w:cs="Times New Roman"/>
          <w:bCs w:val="0"/>
        </w:rPr>
        <w:t xml:space="preserve"> 79a kpa. Instytucja</w:t>
      </w:r>
      <w:r w:rsidR="3072D932" w:rsidRPr="003A42FB">
        <w:rPr>
          <w:rFonts w:ascii="Times New Roman" w:hAnsi="Times New Roman" w:cs="Times New Roman"/>
          <w:bCs w:val="0"/>
        </w:rPr>
        <w:t xml:space="preserve"> postępowania konsultacyjnego, które przeprowadza Prezes </w:t>
      </w:r>
      <w:r w:rsidR="22C5C8E3" w:rsidRPr="003A42FB">
        <w:rPr>
          <w:rFonts w:ascii="Times New Roman" w:hAnsi="Times New Roman" w:cs="Times New Roman"/>
          <w:bCs w:val="0"/>
        </w:rPr>
        <w:t>UKE</w:t>
      </w:r>
      <w:r w:rsidR="3072D932" w:rsidRPr="003A42FB">
        <w:rPr>
          <w:rFonts w:ascii="Times New Roman" w:hAnsi="Times New Roman" w:cs="Times New Roman"/>
          <w:bCs w:val="0"/>
        </w:rPr>
        <w:t xml:space="preserve"> przed podjęciem rozstrzygnięcia w określonych w </w:t>
      </w:r>
      <w:r w:rsidR="22C5C8E3" w:rsidRPr="003A42FB">
        <w:rPr>
          <w:rFonts w:ascii="Times New Roman" w:hAnsi="Times New Roman" w:cs="Times New Roman"/>
          <w:bCs w:val="0"/>
        </w:rPr>
        <w:t xml:space="preserve">projektowanym </w:t>
      </w:r>
      <w:r w:rsidR="3072D932" w:rsidRPr="003A42FB">
        <w:rPr>
          <w:rFonts w:ascii="Times New Roman" w:hAnsi="Times New Roman" w:cs="Times New Roman"/>
          <w:bCs w:val="0"/>
        </w:rPr>
        <w:t xml:space="preserve">art. </w:t>
      </w:r>
      <w:r w:rsidR="2188DD31" w:rsidRPr="003A42FB">
        <w:rPr>
          <w:rFonts w:ascii="Times New Roman" w:hAnsi="Times New Roman" w:cs="Times New Roman"/>
          <w:bCs w:val="0"/>
        </w:rPr>
        <w:t>31</w:t>
      </w:r>
      <w:r w:rsidR="3072D932" w:rsidRPr="003A42FB">
        <w:rPr>
          <w:rFonts w:ascii="Times New Roman" w:hAnsi="Times New Roman" w:cs="Times New Roman"/>
          <w:bCs w:val="0"/>
        </w:rPr>
        <w:t xml:space="preserve"> sprawach, ma </w:t>
      </w:r>
      <w:r w:rsidR="22C5C8E3" w:rsidRPr="003A42FB">
        <w:rPr>
          <w:rFonts w:ascii="Times New Roman" w:hAnsi="Times New Roman" w:cs="Times New Roman"/>
          <w:bCs w:val="0"/>
        </w:rPr>
        <w:t xml:space="preserve">już </w:t>
      </w:r>
      <w:r w:rsidR="3072D932" w:rsidRPr="003A42FB">
        <w:rPr>
          <w:rFonts w:ascii="Times New Roman" w:hAnsi="Times New Roman" w:cs="Times New Roman"/>
          <w:bCs w:val="0"/>
        </w:rPr>
        <w:t xml:space="preserve">na celu umożliwienie zainteresowanym podmiotom wyrażenie, w określonym terminie, stanowiska do projektu rozstrzygnięcia. </w:t>
      </w:r>
      <w:r w:rsidR="22C5C8E3" w:rsidRPr="003A42FB">
        <w:rPr>
          <w:rFonts w:ascii="Times New Roman" w:hAnsi="Times New Roman" w:cs="Times New Roman"/>
          <w:bCs w:val="0"/>
        </w:rPr>
        <w:t>Projektowany a</w:t>
      </w:r>
      <w:r w:rsidR="3072D932" w:rsidRPr="003A42FB">
        <w:rPr>
          <w:rFonts w:ascii="Times New Roman" w:hAnsi="Times New Roman" w:cs="Times New Roman"/>
          <w:bCs w:val="0"/>
        </w:rPr>
        <w:t xml:space="preserve">rt. </w:t>
      </w:r>
      <w:r w:rsidR="508829E2" w:rsidRPr="003A42FB">
        <w:rPr>
          <w:rFonts w:ascii="Times New Roman" w:hAnsi="Times New Roman" w:cs="Times New Roman"/>
          <w:bCs w:val="0"/>
        </w:rPr>
        <w:t>31</w:t>
      </w:r>
      <w:r w:rsidR="3072D932" w:rsidRPr="003A42FB">
        <w:rPr>
          <w:rFonts w:ascii="Times New Roman" w:hAnsi="Times New Roman" w:cs="Times New Roman"/>
          <w:bCs w:val="0"/>
        </w:rPr>
        <w:t xml:space="preserve"> ust. 1 zawiera przy tym wymóg, aby Prezes UKE ogłosił rozpoczęcie postępowania konsultacyjnego, określając przedmiot i termin tego postępowania i udostępniając projekt rozstrzygnięcia wraz z uzasadnieniem. </w:t>
      </w:r>
      <w:r w:rsidR="73A6D048" w:rsidRPr="003A42FB">
        <w:rPr>
          <w:rFonts w:ascii="Times New Roman" w:hAnsi="Times New Roman" w:cs="Times New Roman"/>
          <w:bCs w:val="0"/>
        </w:rPr>
        <w:t xml:space="preserve">Przy czym termin zgłaszania stanowisk nie może być krótszy niż 30 dni od dnia jego udostępnienia </w:t>
      </w:r>
      <w:r w:rsidR="3072D932" w:rsidRPr="003A42FB">
        <w:rPr>
          <w:rFonts w:ascii="Times New Roman" w:hAnsi="Times New Roman" w:cs="Times New Roman"/>
          <w:bCs w:val="0"/>
        </w:rPr>
        <w:t>P</w:t>
      </w:r>
      <w:r w:rsidR="218AE796" w:rsidRPr="003A42FB">
        <w:rPr>
          <w:rFonts w:ascii="Times New Roman" w:hAnsi="Times New Roman" w:cs="Times New Roman"/>
          <w:bCs w:val="0"/>
        </w:rPr>
        <w:t>rojektowane p</w:t>
      </w:r>
      <w:r w:rsidR="3072D932" w:rsidRPr="003A42FB">
        <w:rPr>
          <w:rFonts w:ascii="Times New Roman" w:hAnsi="Times New Roman" w:cs="Times New Roman"/>
          <w:bCs w:val="0"/>
        </w:rPr>
        <w:t>rzepisy nie precyzują wprawdzie, jakie elementy ma zawierać uzasadnienie, należy jednak wskazać, że w przypadku projektów postanowień i decyzji uzasadnienie powinno odpowiadać wymaganiom kpa. Dzięki wymogowi udostępnienia uzasadnienia zainteresowany podmiot ma możliwość zapoznania się z przesłankami, jakie zaważ</w:t>
      </w:r>
      <w:r w:rsidR="218AE796" w:rsidRPr="003A42FB">
        <w:rPr>
          <w:rFonts w:ascii="Times New Roman" w:hAnsi="Times New Roman" w:cs="Times New Roman"/>
          <w:bCs w:val="0"/>
        </w:rPr>
        <w:t xml:space="preserve">yły na rozstrzygnięciu sprawy. </w:t>
      </w:r>
      <w:r w:rsidR="3072D932" w:rsidRPr="003A42FB">
        <w:rPr>
          <w:rFonts w:ascii="Times New Roman" w:hAnsi="Times New Roman" w:cs="Times New Roman"/>
          <w:bCs w:val="0"/>
        </w:rPr>
        <w:t xml:space="preserve">Uwzględniając powyższe argumenty, należy uznać, że </w:t>
      </w:r>
      <w:r w:rsidR="1C07066D" w:rsidRPr="003A42FB">
        <w:rPr>
          <w:rFonts w:ascii="Times New Roman" w:hAnsi="Times New Roman" w:cs="Times New Roman"/>
          <w:bCs w:val="0"/>
        </w:rPr>
        <w:t>przewidziane</w:t>
      </w:r>
      <w:r w:rsidR="3072D932" w:rsidRPr="003A42FB">
        <w:rPr>
          <w:rFonts w:ascii="Times New Roman" w:hAnsi="Times New Roman" w:cs="Times New Roman"/>
          <w:bCs w:val="0"/>
        </w:rPr>
        <w:t xml:space="preserve"> w </w:t>
      </w:r>
      <w:r w:rsidR="218AE796" w:rsidRPr="003A42FB">
        <w:rPr>
          <w:rFonts w:ascii="Times New Roman" w:hAnsi="Times New Roman" w:cs="Times New Roman"/>
          <w:bCs w:val="0"/>
        </w:rPr>
        <w:t xml:space="preserve">projektowanym </w:t>
      </w:r>
      <w:r w:rsidR="3072D932" w:rsidRPr="003A42FB">
        <w:rPr>
          <w:rFonts w:ascii="Times New Roman" w:hAnsi="Times New Roman" w:cs="Times New Roman"/>
          <w:bCs w:val="0"/>
        </w:rPr>
        <w:t xml:space="preserve">art. </w:t>
      </w:r>
      <w:r w:rsidR="7E0F40D6" w:rsidRPr="003A42FB">
        <w:rPr>
          <w:rFonts w:ascii="Times New Roman" w:hAnsi="Times New Roman" w:cs="Times New Roman"/>
          <w:bCs w:val="0"/>
        </w:rPr>
        <w:t>30</w:t>
      </w:r>
      <w:r w:rsidR="218AE796" w:rsidRPr="003A42FB">
        <w:rPr>
          <w:rFonts w:ascii="Times New Roman" w:hAnsi="Times New Roman" w:cs="Times New Roman"/>
          <w:bCs w:val="0"/>
        </w:rPr>
        <w:t xml:space="preserve"> i n.</w:t>
      </w:r>
      <w:r w:rsidR="3072D932" w:rsidRPr="003A42FB">
        <w:rPr>
          <w:rFonts w:ascii="Times New Roman" w:hAnsi="Times New Roman" w:cs="Times New Roman"/>
          <w:bCs w:val="0"/>
        </w:rPr>
        <w:t xml:space="preserve"> postępowanie konsultacyjne </w:t>
      </w:r>
      <w:r w:rsidR="218AE796" w:rsidRPr="003A42FB">
        <w:rPr>
          <w:rFonts w:ascii="Times New Roman" w:hAnsi="Times New Roman" w:cs="Times New Roman"/>
          <w:bCs w:val="0"/>
        </w:rPr>
        <w:t>jest procedurą zbliżoną do instytucji zawartej w art. 79a kpa, gwarantującą stronie otrzymanie informacji o kierunku w jakim zmierza postępowanie, zanim zostanie wydana decyzja.</w:t>
      </w:r>
      <w:r w:rsidR="01D2CD41" w:rsidRPr="003A42FB">
        <w:rPr>
          <w:rFonts w:ascii="Times New Roman" w:hAnsi="Times New Roman" w:cs="Times New Roman"/>
          <w:bCs w:val="0"/>
        </w:rPr>
        <w:t xml:space="preserve"> </w:t>
      </w:r>
    </w:p>
    <w:p w14:paraId="192F8598" w14:textId="7B3A8DFF" w:rsidR="00E37ADC" w:rsidRPr="003A42FB" w:rsidRDefault="00E37ADC"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rPr>
        <w:t xml:space="preserve">Oddział 2. </w:t>
      </w:r>
      <w:r w:rsidRPr="003A42FB">
        <w:rPr>
          <w:rFonts w:ascii="Times New Roman" w:hAnsi="Times New Roman" w:cs="Times New Roman"/>
          <w:b/>
          <w:lang w:eastAsia="en-US"/>
        </w:rPr>
        <w:t xml:space="preserve">Postępowanie konsolidacyjne – art. </w:t>
      </w:r>
      <w:r w:rsidR="5F7BDD2C" w:rsidRPr="003A42FB">
        <w:rPr>
          <w:rFonts w:ascii="Times New Roman" w:hAnsi="Times New Roman" w:cs="Times New Roman"/>
          <w:b/>
          <w:lang w:eastAsia="en-US"/>
        </w:rPr>
        <w:t>35</w:t>
      </w:r>
      <w:r w:rsidR="53CB2BF7" w:rsidRPr="003A42FB">
        <w:rPr>
          <w:rFonts w:ascii="Times New Roman" w:hAnsi="Times New Roman" w:cs="Times New Roman"/>
          <w:b/>
          <w:lang w:eastAsia="en-US"/>
        </w:rPr>
        <w:t>-</w:t>
      </w:r>
      <w:r w:rsidR="3C19C6E4" w:rsidRPr="003A42FB">
        <w:rPr>
          <w:rFonts w:ascii="Times New Roman" w:hAnsi="Times New Roman" w:cs="Times New Roman"/>
          <w:b/>
          <w:lang w:eastAsia="en-US"/>
        </w:rPr>
        <w:t>38</w:t>
      </w:r>
    </w:p>
    <w:p w14:paraId="37CE5383" w14:textId="73FB61F0" w:rsidR="00F02CE0" w:rsidRPr="003A42FB" w:rsidRDefault="00A36D59" w:rsidP="00C53EAB">
      <w:pPr>
        <w:pStyle w:val="h1chapter"/>
        <w:spacing w:before="0" w:after="120" w:line="240" w:lineRule="auto"/>
        <w:jc w:val="both"/>
        <w:rPr>
          <w:rFonts w:ascii="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Projektowane przepisy stanowią wdrożenie art. 32 i 33 EKŁE.</w:t>
      </w:r>
      <w:r w:rsidR="08AA8E59" w:rsidRPr="003A42FB">
        <w:rPr>
          <w:rFonts w:ascii="Times New Roman" w:hAnsi="Times New Roman" w:cs="Times New Roman"/>
          <w:b w:val="0"/>
          <w:bCs w:val="0"/>
          <w:color w:val="auto"/>
          <w:sz w:val="24"/>
          <w:szCs w:val="24"/>
        </w:rPr>
        <w:t xml:space="preserve"> Regulacje w zbliżonym kształcie funkcjonowały już na gruncie ustawy Pt i wdrażały przepisy pakietu dyrektyw łączności elektronicznej.</w:t>
      </w:r>
    </w:p>
    <w:p w14:paraId="08951552" w14:textId="29A8DC6D" w:rsidR="002272EF" w:rsidRPr="003A42FB" w:rsidRDefault="185321D4">
      <w:pPr>
        <w:pStyle w:val="h1chapter"/>
        <w:spacing w:before="0" w:after="120" w:line="240" w:lineRule="auto"/>
        <w:jc w:val="both"/>
        <w:rPr>
          <w:rFonts w:ascii="Times New Roman" w:eastAsia="Times New Roman" w:hAnsi="Times New Roman" w:cs="Times New Roman"/>
          <w:color w:val="auto"/>
          <w:sz w:val="24"/>
          <w:szCs w:val="24"/>
        </w:rPr>
      </w:pPr>
      <w:r w:rsidRPr="003A42FB">
        <w:rPr>
          <w:rFonts w:ascii="Times New Roman" w:hAnsi="Times New Roman" w:cs="Times New Roman"/>
          <w:b w:val="0"/>
          <w:bCs w:val="0"/>
          <w:color w:val="auto"/>
          <w:sz w:val="24"/>
          <w:szCs w:val="24"/>
        </w:rPr>
        <w:t xml:space="preserve">Postępowanie konsolidacyjne przeprowadzane jest po zakończeniu postępowania konsultacyjnego i dotyczy </w:t>
      </w:r>
      <w:r w:rsidR="00D27819">
        <w:rPr>
          <w:rFonts w:ascii="Times New Roman" w:hAnsi="Times New Roman" w:cs="Times New Roman"/>
          <w:b w:val="0"/>
          <w:bCs w:val="0"/>
          <w:color w:val="auto"/>
          <w:sz w:val="24"/>
          <w:szCs w:val="24"/>
        </w:rPr>
        <w:t xml:space="preserve">wskazanych </w:t>
      </w:r>
      <w:r w:rsidRPr="003A42FB">
        <w:rPr>
          <w:rFonts w:ascii="Times New Roman" w:hAnsi="Times New Roman" w:cs="Times New Roman"/>
          <w:b w:val="0"/>
          <w:bCs w:val="0"/>
          <w:color w:val="auto"/>
          <w:sz w:val="24"/>
          <w:szCs w:val="24"/>
        </w:rPr>
        <w:t>rozstrzygnięć mogących mieć wpływ na stosunki handlowe między państwami członkowskimi.</w:t>
      </w:r>
      <w:r w:rsidR="7D9F8FFE" w:rsidRPr="003A42FB">
        <w:rPr>
          <w:rFonts w:ascii="Times New Roman" w:hAnsi="Times New Roman" w:cs="Times New Roman"/>
          <w:b w:val="0"/>
          <w:bCs w:val="0"/>
          <w:color w:val="auto"/>
          <w:sz w:val="24"/>
          <w:szCs w:val="24"/>
        </w:rPr>
        <w:t xml:space="preserve"> W takim przypadku Prezes UKE ma obowiązek przed wydaniem rozstrzygnięcia przesłać Komisji Europejskiej, BEREC i organom regulacyjnym innych państw członkowskich projekty rozstrzygnięć wraz z ich uzasadnieniem.</w:t>
      </w:r>
      <w:r w:rsidR="0FBA87F5" w:rsidRPr="003A42FB">
        <w:rPr>
          <w:rFonts w:ascii="Times New Roman" w:hAnsi="Times New Roman" w:cs="Times New Roman"/>
          <w:b w:val="0"/>
          <w:bCs w:val="0"/>
          <w:color w:val="auto"/>
          <w:sz w:val="24"/>
          <w:szCs w:val="24"/>
        </w:rPr>
        <w:t xml:space="preserve"> Przepisy Pke wskazują, pomimo </w:t>
      </w:r>
      <w:r w:rsidR="5441D168" w:rsidRPr="003A42FB">
        <w:rPr>
          <w:rFonts w:ascii="Times New Roman" w:hAnsi="Times New Roman" w:cs="Times New Roman"/>
          <w:b w:val="0"/>
          <w:bCs w:val="0"/>
          <w:color w:val="auto"/>
          <w:sz w:val="24"/>
          <w:szCs w:val="24"/>
        </w:rPr>
        <w:t xml:space="preserve">braku </w:t>
      </w:r>
      <w:r w:rsidR="0FBA87F5" w:rsidRPr="003A42FB">
        <w:rPr>
          <w:rFonts w:ascii="Times New Roman" w:hAnsi="Times New Roman" w:cs="Times New Roman"/>
          <w:b w:val="0"/>
          <w:bCs w:val="0"/>
          <w:color w:val="auto"/>
          <w:sz w:val="24"/>
          <w:szCs w:val="24"/>
        </w:rPr>
        <w:t>wyraźne</w:t>
      </w:r>
      <w:r w:rsidR="462E6B93" w:rsidRPr="003A42FB">
        <w:rPr>
          <w:rFonts w:ascii="Times New Roman" w:hAnsi="Times New Roman" w:cs="Times New Roman"/>
          <w:b w:val="0"/>
          <w:bCs w:val="0"/>
          <w:color w:val="auto"/>
          <w:sz w:val="24"/>
          <w:szCs w:val="24"/>
        </w:rPr>
        <w:t xml:space="preserve">j regulacji w EKŁE w tym zakresie, </w:t>
      </w:r>
      <w:r w:rsidR="1BEDF0B0" w:rsidRPr="003A42FB">
        <w:rPr>
          <w:rFonts w:ascii="Times New Roman" w:hAnsi="Times New Roman" w:cs="Times New Roman"/>
          <w:b w:val="0"/>
          <w:bCs w:val="0"/>
          <w:color w:val="auto"/>
          <w:sz w:val="24"/>
          <w:szCs w:val="24"/>
        </w:rPr>
        <w:t>że</w:t>
      </w:r>
      <w:r w:rsidR="0FBA87F5" w:rsidRPr="003A42FB">
        <w:rPr>
          <w:rFonts w:ascii="Times New Roman" w:hAnsi="Times New Roman" w:cs="Times New Roman"/>
          <w:b w:val="0"/>
          <w:bCs w:val="0"/>
          <w:color w:val="auto"/>
          <w:sz w:val="24"/>
          <w:szCs w:val="24"/>
        </w:rPr>
        <w:t xml:space="preserve"> </w:t>
      </w:r>
      <w:r w:rsidR="1522AD1D" w:rsidRPr="003A42FB">
        <w:rPr>
          <w:rFonts w:ascii="Times New Roman" w:hAnsi="Times New Roman" w:cs="Times New Roman"/>
          <w:b w:val="0"/>
          <w:bCs w:val="0"/>
          <w:color w:val="auto"/>
          <w:sz w:val="24"/>
          <w:szCs w:val="24"/>
        </w:rPr>
        <w:t xml:space="preserve">Prezes UKE będzie zobligowany </w:t>
      </w:r>
      <w:r w:rsidR="63F6295A" w:rsidRPr="003A42FB">
        <w:rPr>
          <w:rFonts w:ascii="Times New Roman" w:eastAsia="Times New Roman" w:hAnsi="Times New Roman" w:cs="Times New Roman"/>
          <w:b w:val="0"/>
          <w:bCs w:val="0"/>
          <w:color w:val="auto"/>
          <w:sz w:val="24"/>
          <w:szCs w:val="24"/>
        </w:rPr>
        <w:t>udostępnia</w:t>
      </w:r>
      <w:r w:rsidR="50ACFB0A" w:rsidRPr="003A42FB">
        <w:rPr>
          <w:rFonts w:ascii="Times New Roman" w:eastAsia="Times New Roman" w:hAnsi="Times New Roman" w:cs="Times New Roman"/>
          <w:b w:val="0"/>
          <w:bCs w:val="0"/>
          <w:color w:val="auto"/>
          <w:sz w:val="24"/>
          <w:szCs w:val="24"/>
        </w:rPr>
        <w:t>ć</w:t>
      </w:r>
      <w:r w:rsidR="63F6295A" w:rsidRPr="003A42FB">
        <w:rPr>
          <w:rFonts w:ascii="Times New Roman" w:eastAsia="Times New Roman" w:hAnsi="Times New Roman" w:cs="Times New Roman"/>
          <w:b w:val="0"/>
          <w:bCs w:val="0"/>
          <w:color w:val="auto"/>
          <w:sz w:val="24"/>
          <w:szCs w:val="24"/>
        </w:rPr>
        <w:t xml:space="preserve"> na stronie podmiotowej BIP UKE dokumenty przekazane Komisji Europejskiej a następnie udostępnia otrzymane w tej sprawie opinie i decyzje Komisji Europejskiej. </w:t>
      </w:r>
      <w:r w:rsidR="00BB57B2" w:rsidRPr="003A42FB">
        <w:rPr>
          <w:rFonts w:ascii="Times New Roman" w:eastAsia="Times New Roman" w:hAnsi="Times New Roman" w:cs="Times New Roman"/>
          <w:b w:val="0"/>
          <w:bCs w:val="0"/>
          <w:color w:val="auto"/>
          <w:sz w:val="24"/>
          <w:szCs w:val="24"/>
        </w:rPr>
        <w:t xml:space="preserve">Przepis zapewni dostęp do istotnych stanowisk Komisji Europejskiej, które będą miały wpływ na treść </w:t>
      </w:r>
      <w:r w:rsidR="34873ECD" w:rsidRPr="003A42FB">
        <w:rPr>
          <w:rFonts w:ascii="Times New Roman" w:eastAsia="Times New Roman" w:hAnsi="Times New Roman" w:cs="Times New Roman"/>
          <w:b w:val="0"/>
          <w:bCs w:val="0"/>
          <w:color w:val="auto"/>
          <w:sz w:val="24"/>
          <w:szCs w:val="24"/>
        </w:rPr>
        <w:t>projektowanej</w:t>
      </w:r>
      <w:r w:rsidR="00BB57B2" w:rsidRPr="003A42FB">
        <w:rPr>
          <w:rFonts w:ascii="Times New Roman" w:eastAsia="Times New Roman" w:hAnsi="Times New Roman" w:cs="Times New Roman"/>
          <w:b w:val="0"/>
          <w:bCs w:val="0"/>
          <w:color w:val="auto"/>
          <w:sz w:val="24"/>
          <w:szCs w:val="24"/>
        </w:rPr>
        <w:t xml:space="preserve"> decyzji. </w:t>
      </w:r>
      <w:r w:rsidR="63F6295A" w:rsidRPr="003A42FB">
        <w:rPr>
          <w:rFonts w:ascii="Times New Roman" w:eastAsia="Times New Roman" w:hAnsi="Times New Roman" w:cs="Times New Roman"/>
          <w:b w:val="0"/>
          <w:bCs w:val="0"/>
          <w:color w:val="auto"/>
          <w:sz w:val="24"/>
          <w:szCs w:val="24"/>
        </w:rPr>
        <w:t>Udostępnieniu nie podlegają informacje stanowiące tajemnice prawnie chronione.</w:t>
      </w:r>
    </w:p>
    <w:p w14:paraId="6C29D408" w14:textId="06CCFCB0" w:rsidR="002272EF" w:rsidRPr="003A42FB" w:rsidRDefault="6041BF1E" w:rsidP="7D10B8D0">
      <w:pPr>
        <w:pStyle w:val="h1chapter"/>
        <w:spacing w:before="0" w:after="120" w:line="240" w:lineRule="auto"/>
        <w:jc w:val="both"/>
        <w:rPr>
          <w:rFonts w:ascii="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 xml:space="preserve">Projektowane przepisy określają kolejne etapy postępowania, kompetencje i obowiązki Prezesa UKE, które przy tym związane są z kompetencjami Komisji Europejskiej i BEREC (badającymi czy projektowane rozstrzygnięcie będzie stanowiło przeszkodę w funkcjonowaniu jednolitego rynku). </w:t>
      </w:r>
      <w:r w:rsidR="575DD269" w:rsidRPr="003A42FB">
        <w:rPr>
          <w:rFonts w:ascii="Times New Roman" w:hAnsi="Times New Roman" w:cs="Times New Roman"/>
          <w:b w:val="0"/>
          <w:bCs w:val="0"/>
          <w:color w:val="auto"/>
          <w:sz w:val="24"/>
          <w:szCs w:val="24"/>
        </w:rPr>
        <w:t xml:space="preserve">Postępowanie konsolidacyjne jest jednym z instrumentów zapewniających jednolite stosowanie przepisów EKŁE we wszystkich państwach członkowskich. </w:t>
      </w:r>
      <w:r w:rsidR="61E7B67A" w:rsidRPr="003A42FB">
        <w:rPr>
          <w:rFonts w:ascii="Times New Roman" w:hAnsi="Times New Roman" w:cs="Times New Roman"/>
          <w:b w:val="0"/>
          <w:bCs w:val="0"/>
          <w:color w:val="auto"/>
          <w:sz w:val="24"/>
          <w:szCs w:val="24"/>
        </w:rPr>
        <w:t>Wyjątkiem post</w:t>
      </w:r>
      <w:r w:rsidR="7D82C552" w:rsidRPr="003A42FB">
        <w:rPr>
          <w:rFonts w:ascii="Times New Roman" w:hAnsi="Times New Roman" w:cs="Times New Roman"/>
          <w:b w:val="0"/>
          <w:bCs w:val="0"/>
          <w:color w:val="auto"/>
          <w:sz w:val="24"/>
          <w:szCs w:val="24"/>
        </w:rPr>
        <w:t>ę</w:t>
      </w:r>
      <w:r w:rsidR="61E7B67A" w:rsidRPr="003A42FB">
        <w:rPr>
          <w:rFonts w:ascii="Times New Roman" w:hAnsi="Times New Roman" w:cs="Times New Roman"/>
          <w:b w:val="0"/>
          <w:bCs w:val="0"/>
          <w:color w:val="auto"/>
          <w:sz w:val="24"/>
          <w:szCs w:val="24"/>
        </w:rPr>
        <w:t>powania</w:t>
      </w:r>
      <w:r w:rsidR="440D7A92" w:rsidRPr="003A42FB">
        <w:rPr>
          <w:rFonts w:ascii="Times New Roman" w:hAnsi="Times New Roman" w:cs="Times New Roman"/>
          <w:b w:val="0"/>
          <w:bCs w:val="0"/>
          <w:color w:val="auto"/>
          <w:sz w:val="24"/>
          <w:szCs w:val="24"/>
        </w:rPr>
        <w:t>,</w:t>
      </w:r>
      <w:r w:rsidR="221FE264" w:rsidRPr="003A42FB">
        <w:rPr>
          <w:rFonts w:ascii="Times New Roman" w:hAnsi="Times New Roman" w:cs="Times New Roman"/>
          <w:b w:val="0"/>
          <w:bCs w:val="0"/>
          <w:color w:val="auto"/>
          <w:sz w:val="24"/>
          <w:szCs w:val="24"/>
        </w:rPr>
        <w:t xml:space="preserve"> w ramach którego</w:t>
      </w:r>
      <w:r w:rsidR="259C0ACA" w:rsidRPr="003A42FB">
        <w:rPr>
          <w:rFonts w:ascii="Times New Roman" w:hAnsi="Times New Roman" w:cs="Times New Roman"/>
          <w:b w:val="0"/>
          <w:bCs w:val="0"/>
          <w:color w:val="auto"/>
          <w:sz w:val="24"/>
          <w:szCs w:val="24"/>
        </w:rPr>
        <w:t xml:space="preserve"> projekt rozstrzygnięcia podlega</w:t>
      </w:r>
      <w:r w:rsidR="61E7B67A" w:rsidRPr="003A42FB">
        <w:rPr>
          <w:rFonts w:ascii="Times New Roman" w:hAnsi="Times New Roman" w:cs="Times New Roman"/>
          <w:b w:val="0"/>
          <w:bCs w:val="0"/>
          <w:color w:val="auto"/>
          <w:sz w:val="24"/>
          <w:szCs w:val="24"/>
        </w:rPr>
        <w:t xml:space="preserve"> konsultacji, ale nie konsolidacji, jest postępowanie w sprawie nałożenia </w:t>
      </w:r>
      <w:r w:rsidR="65513FDF" w:rsidRPr="003A42FB">
        <w:rPr>
          <w:rFonts w:ascii="Times New Roman" w:hAnsi="Times New Roman" w:cs="Times New Roman"/>
          <w:b w:val="0"/>
          <w:bCs w:val="0"/>
          <w:color w:val="auto"/>
          <w:sz w:val="24"/>
          <w:szCs w:val="24"/>
        </w:rPr>
        <w:t xml:space="preserve">na operatora obowiązku kolokacji, udostępniania elementów sieci telekomunikacyjnej oraz powiązanych zasobów, które zostały </w:t>
      </w:r>
      <w:r w:rsidR="65513FDF" w:rsidRPr="003A42FB">
        <w:rPr>
          <w:rFonts w:ascii="Times New Roman" w:hAnsi="Times New Roman" w:cs="Times New Roman"/>
          <w:b w:val="0"/>
          <w:bCs w:val="0"/>
          <w:color w:val="auto"/>
          <w:sz w:val="24"/>
          <w:szCs w:val="24"/>
        </w:rPr>
        <w:lastRenderedPageBreak/>
        <w:t xml:space="preserve">umieszczone na nieruchomości w związku z wykonywaniem uprawnień wynikających z przepisów prawa, wyroku sądu lub decyzji, </w:t>
      </w:r>
      <w:r w:rsidR="573AB1CE" w:rsidRPr="003A42FB">
        <w:rPr>
          <w:rFonts w:ascii="Times New Roman" w:hAnsi="Times New Roman" w:cs="Times New Roman"/>
          <w:b w:val="0"/>
          <w:bCs w:val="0"/>
          <w:color w:val="auto"/>
          <w:sz w:val="24"/>
          <w:szCs w:val="24"/>
        </w:rPr>
        <w:t>o który</w:t>
      </w:r>
      <w:r w:rsidR="440D7A92" w:rsidRPr="003A42FB">
        <w:rPr>
          <w:rFonts w:ascii="Times New Roman" w:hAnsi="Times New Roman" w:cs="Times New Roman"/>
          <w:b w:val="0"/>
          <w:bCs w:val="0"/>
          <w:color w:val="auto"/>
          <w:sz w:val="24"/>
          <w:szCs w:val="24"/>
        </w:rPr>
        <w:t>ch</w:t>
      </w:r>
      <w:r w:rsidR="573AB1CE" w:rsidRPr="003A42FB">
        <w:rPr>
          <w:rFonts w:ascii="Times New Roman" w:hAnsi="Times New Roman" w:cs="Times New Roman"/>
          <w:b w:val="0"/>
          <w:bCs w:val="0"/>
          <w:color w:val="auto"/>
          <w:sz w:val="24"/>
          <w:szCs w:val="24"/>
        </w:rPr>
        <w:t xml:space="preserve"> mowa w art. </w:t>
      </w:r>
      <w:r w:rsidR="00DB7BF4">
        <w:rPr>
          <w:rFonts w:ascii="Times New Roman" w:hAnsi="Times New Roman" w:cs="Times New Roman"/>
          <w:b w:val="0"/>
          <w:bCs w:val="0"/>
          <w:color w:val="auto"/>
          <w:sz w:val="24"/>
          <w:szCs w:val="24"/>
        </w:rPr>
        <w:t>181</w:t>
      </w:r>
      <w:r w:rsidR="00DB7BF4" w:rsidRPr="003A42FB">
        <w:rPr>
          <w:rFonts w:ascii="Times New Roman" w:hAnsi="Times New Roman" w:cs="Times New Roman"/>
          <w:b w:val="0"/>
          <w:bCs w:val="0"/>
          <w:color w:val="auto"/>
          <w:sz w:val="24"/>
          <w:szCs w:val="24"/>
        </w:rPr>
        <w:t xml:space="preserve"> </w:t>
      </w:r>
      <w:r w:rsidR="440D7A92" w:rsidRPr="003A42FB">
        <w:rPr>
          <w:rFonts w:ascii="Times New Roman" w:hAnsi="Times New Roman" w:cs="Times New Roman"/>
          <w:b w:val="0"/>
          <w:bCs w:val="0"/>
          <w:color w:val="auto"/>
          <w:sz w:val="24"/>
          <w:szCs w:val="24"/>
        </w:rPr>
        <w:t xml:space="preserve">projektu </w:t>
      </w:r>
      <w:r w:rsidR="36463F8F" w:rsidRPr="003A42FB">
        <w:rPr>
          <w:rFonts w:ascii="Times New Roman" w:hAnsi="Times New Roman" w:cs="Times New Roman"/>
          <w:b w:val="0"/>
          <w:bCs w:val="0"/>
          <w:color w:val="auto"/>
          <w:sz w:val="24"/>
          <w:szCs w:val="24"/>
        </w:rPr>
        <w:t xml:space="preserve">ustawy </w:t>
      </w:r>
      <w:r w:rsidR="024CA77A" w:rsidRPr="003A42FB">
        <w:rPr>
          <w:rFonts w:ascii="Times New Roman" w:hAnsi="Times New Roman" w:cs="Times New Roman"/>
          <w:b w:val="0"/>
          <w:bCs w:val="0"/>
          <w:color w:val="auto"/>
          <w:sz w:val="24"/>
          <w:szCs w:val="24"/>
        </w:rPr>
        <w:t>Pke</w:t>
      </w:r>
      <w:r w:rsidR="440D7A92" w:rsidRPr="003A42FB">
        <w:rPr>
          <w:rFonts w:ascii="Times New Roman" w:hAnsi="Times New Roman" w:cs="Times New Roman"/>
          <w:b w:val="0"/>
          <w:bCs w:val="0"/>
          <w:color w:val="auto"/>
          <w:sz w:val="24"/>
          <w:szCs w:val="24"/>
        </w:rPr>
        <w:t xml:space="preserve">. </w:t>
      </w:r>
    </w:p>
    <w:p w14:paraId="402DA077" w14:textId="7EB1145B" w:rsidR="002272EF" w:rsidRPr="003A42FB" w:rsidRDefault="05B75578" w:rsidP="00C53EAB">
      <w:pPr>
        <w:pStyle w:val="h1chapter"/>
        <w:spacing w:before="0" w:after="120" w:line="240" w:lineRule="auto"/>
        <w:jc w:val="both"/>
        <w:rPr>
          <w:rFonts w:ascii="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Krajowy</w:t>
      </w:r>
      <w:r w:rsidR="39D357B3" w:rsidRPr="003A42FB">
        <w:rPr>
          <w:rFonts w:ascii="Times New Roman" w:hAnsi="Times New Roman" w:cs="Times New Roman"/>
          <w:b w:val="0"/>
          <w:bCs w:val="0"/>
          <w:color w:val="auto"/>
          <w:sz w:val="24"/>
          <w:szCs w:val="24"/>
        </w:rPr>
        <w:t xml:space="preserve"> organ regulacyjny, zgodnie z art. 32 ust. 8 EKŁE powinien uwzględniać w jak największym stopniu uwagi innych krajowych organów regulacyjnych, BEREC i Komisji Europejskiej. </w:t>
      </w:r>
      <w:r w:rsidR="433A79AC" w:rsidRPr="003A42FB">
        <w:rPr>
          <w:rFonts w:ascii="Times New Roman" w:hAnsi="Times New Roman" w:cs="Times New Roman"/>
          <w:b w:val="0"/>
          <w:bCs w:val="0"/>
          <w:color w:val="auto"/>
          <w:sz w:val="24"/>
          <w:szCs w:val="24"/>
        </w:rPr>
        <w:t>P</w:t>
      </w:r>
      <w:r w:rsidR="0F517EB0" w:rsidRPr="003A42FB">
        <w:rPr>
          <w:rFonts w:ascii="Times New Roman" w:hAnsi="Times New Roman" w:cs="Times New Roman"/>
          <w:b w:val="0"/>
          <w:bCs w:val="0"/>
          <w:color w:val="auto"/>
          <w:sz w:val="24"/>
          <w:szCs w:val="24"/>
        </w:rPr>
        <w:t>rze</w:t>
      </w:r>
      <w:r w:rsidR="39D357B3" w:rsidRPr="003A42FB">
        <w:rPr>
          <w:rFonts w:ascii="Times New Roman" w:hAnsi="Times New Roman" w:cs="Times New Roman"/>
          <w:b w:val="0"/>
          <w:bCs w:val="0"/>
          <w:color w:val="auto"/>
          <w:sz w:val="24"/>
          <w:szCs w:val="24"/>
        </w:rPr>
        <w:t>pis wskazuje</w:t>
      </w:r>
      <w:r w:rsidR="4ECC8E31" w:rsidRPr="003A42FB">
        <w:rPr>
          <w:rFonts w:ascii="Times New Roman" w:hAnsi="Times New Roman" w:cs="Times New Roman"/>
          <w:b w:val="0"/>
          <w:bCs w:val="0"/>
          <w:color w:val="auto"/>
          <w:sz w:val="24"/>
          <w:szCs w:val="24"/>
        </w:rPr>
        <w:t xml:space="preserve"> zatem</w:t>
      </w:r>
      <w:r w:rsidR="39D357B3" w:rsidRPr="003A42FB">
        <w:rPr>
          <w:rFonts w:ascii="Times New Roman" w:hAnsi="Times New Roman" w:cs="Times New Roman"/>
          <w:b w:val="0"/>
          <w:bCs w:val="0"/>
          <w:color w:val="auto"/>
          <w:sz w:val="24"/>
          <w:szCs w:val="24"/>
        </w:rPr>
        <w:t xml:space="preserve">, iż Prezes UKE nie ma obowiązku uwzględnienia tych uwag w całości. Kodeks przewiduje jednak w tym zakresie </w:t>
      </w:r>
      <w:r w:rsidR="56B70B3B" w:rsidRPr="003A42FB">
        <w:rPr>
          <w:rFonts w:ascii="Times New Roman" w:hAnsi="Times New Roman" w:cs="Times New Roman"/>
          <w:b w:val="0"/>
          <w:bCs w:val="0"/>
          <w:color w:val="auto"/>
          <w:sz w:val="24"/>
          <w:szCs w:val="24"/>
        </w:rPr>
        <w:t>wyjątek</w:t>
      </w:r>
      <w:r w:rsidR="39D357B3" w:rsidRPr="003A42FB">
        <w:rPr>
          <w:rFonts w:ascii="Times New Roman" w:hAnsi="Times New Roman" w:cs="Times New Roman"/>
          <w:b w:val="0"/>
          <w:bCs w:val="0"/>
          <w:color w:val="auto"/>
          <w:sz w:val="24"/>
          <w:szCs w:val="24"/>
        </w:rPr>
        <w:t>, kiedy to organ jest zobowiązany uwzględnić stanowisko Komisji Europejskiej</w:t>
      </w:r>
      <w:r w:rsidR="01371B49" w:rsidRPr="003A42FB">
        <w:rPr>
          <w:rFonts w:ascii="Times New Roman" w:hAnsi="Times New Roman" w:cs="Times New Roman"/>
          <w:b w:val="0"/>
          <w:bCs w:val="0"/>
          <w:color w:val="auto"/>
          <w:sz w:val="24"/>
          <w:szCs w:val="24"/>
        </w:rPr>
        <w:t xml:space="preserve">, co zostało również przewidziane w projektowanym art. </w:t>
      </w:r>
      <w:r w:rsidR="21EB5FCA" w:rsidRPr="003A42FB">
        <w:rPr>
          <w:rFonts w:ascii="Times New Roman" w:hAnsi="Times New Roman" w:cs="Times New Roman"/>
          <w:b w:val="0"/>
          <w:bCs w:val="0"/>
          <w:color w:val="auto"/>
          <w:sz w:val="24"/>
          <w:szCs w:val="24"/>
        </w:rPr>
        <w:t>36</w:t>
      </w:r>
      <w:r w:rsidR="01371B49" w:rsidRPr="003A42FB">
        <w:rPr>
          <w:rFonts w:ascii="Times New Roman" w:hAnsi="Times New Roman" w:cs="Times New Roman"/>
          <w:b w:val="0"/>
          <w:bCs w:val="0"/>
          <w:color w:val="auto"/>
          <w:sz w:val="24"/>
          <w:szCs w:val="24"/>
        </w:rPr>
        <w:t xml:space="preserve"> ust. 2</w:t>
      </w:r>
      <w:r w:rsidR="56B70B3B" w:rsidRPr="003A42FB">
        <w:rPr>
          <w:rFonts w:ascii="Times New Roman" w:hAnsi="Times New Roman" w:cs="Times New Roman"/>
          <w:b w:val="0"/>
          <w:bCs w:val="0"/>
          <w:color w:val="auto"/>
          <w:sz w:val="24"/>
          <w:szCs w:val="24"/>
        </w:rPr>
        <w:t>.</w:t>
      </w:r>
      <w:r w:rsidR="01371B49" w:rsidRPr="003A42FB">
        <w:rPr>
          <w:rFonts w:ascii="Times New Roman" w:hAnsi="Times New Roman" w:cs="Times New Roman"/>
          <w:b w:val="0"/>
          <w:bCs w:val="0"/>
          <w:color w:val="auto"/>
          <w:sz w:val="24"/>
          <w:szCs w:val="24"/>
        </w:rPr>
        <w:t xml:space="preserve"> </w:t>
      </w:r>
      <w:r w:rsidR="56B70B3B" w:rsidRPr="003A42FB">
        <w:rPr>
          <w:rFonts w:ascii="Times New Roman" w:hAnsi="Times New Roman" w:cs="Times New Roman"/>
          <w:b w:val="0"/>
          <w:bCs w:val="0"/>
          <w:color w:val="auto"/>
          <w:sz w:val="24"/>
          <w:szCs w:val="24"/>
        </w:rPr>
        <w:t>P</w:t>
      </w:r>
      <w:r w:rsidR="4E90ABD2" w:rsidRPr="003A42FB">
        <w:rPr>
          <w:rFonts w:ascii="Times New Roman" w:hAnsi="Times New Roman" w:cs="Times New Roman"/>
          <w:b w:val="0"/>
          <w:bCs w:val="0"/>
          <w:color w:val="auto"/>
          <w:sz w:val="24"/>
          <w:szCs w:val="24"/>
        </w:rPr>
        <w:t xml:space="preserve">rzypadek dotyczy wydania przez Komisję Europejską decyzji </w:t>
      </w:r>
      <w:r w:rsidR="59627FDB" w:rsidRPr="003A42FB">
        <w:rPr>
          <w:rFonts w:ascii="Times New Roman" w:hAnsi="Times New Roman" w:cs="Times New Roman"/>
          <w:b w:val="0"/>
          <w:bCs w:val="0"/>
          <w:color w:val="auto"/>
          <w:sz w:val="24"/>
          <w:szCs w:val="24"/>
        </w:rPr>
        <w:t xml:space="preserve">wzywającej do wycofania projektu rozstrzygnięcia w zakresie ustalenia znaczącej pozycji rynkowej oraz w zakresie zdefiniowania rynku właściwego różnego od tych, które zdefiniowano w zaleceniu Komisji Europejskiej w sprawie właściwych rynków produktów i usług w sektorze łączności elektronicznej podlegających regulacji </w:t>
      </w:r>
      <w:r w:rsidR="59627FDB" w:rsidRPr="005F69BF">
        <w:rPr>
          <w:rFonts w:ascii="Times New Roman" w:hAnsi="Times New Roman" w:cs="Times New Roman"/>
          <w:b w:val="0"/>
          <w:i/>
          <w:color w:val="auto"/>
          <w:sz w:val="24"/>
          <w:szCs w:val="24"/>
        </w:rPr>
        <w:t>ex ante</w:t>
      </w:r>
      <w:r w:rsidR="59627FDB" w:rsidRPr="003A42FB">
        <w:rPr>
          <w:rFonts w:ascii="Times New Roman" w:hAnsi="Times New Roman" w:cs="Times New Roman"/>
          <w:b w:val="0"/>
          <w:bCs w:val="0"/>
          <w:color w:val="auto"/>
          <w:sz w:val="24"/>
          <w:szCs w:val="24"/>
        </w:rPr>
        <w:t>. Przepis ten jest zgodny z dotychczasowym brzmieniem art.</w:t>
      </w:r>
      <w:r w:rsidR="4B76191C" w:rsidRPr="003A42FB">
        <w:rPr>
          <w:rFonts w:ascii="Times New Roman" w:hAnsi="Times New Roman" w:cs="Times New Roman"/>
          <w:b w:val="0"/>
          <w:bCs w:val="0"/>
          <w:color w:val="auto"/>
          <w:sz w:val="24"/>
          <w:szCs w:val="24"/>
        </w:rPr>
        <w:t xml:space="preserve"> 19 ust. 2 Pt.</w:t>
      </w:r>
    </w:p>
    <w:p w14:paraId="2C97C7C3" w14:textId="62F99F5A" w:rsidR="00634EDD" w:rsidRPr="003A42FB" w:rsidRDefault="002272EF" w:rsidP="00C53EAB">
      <w:pPr>
        <w:pStyle w:val="h1chapter"/>
        <w:spacing w:before="0" w:after="120" w:line="240" w:lineRule="auto"/>
        <w:jc w:val="both"/>
        <w:rPr>
          <w:rFonts w:ascii="Times New Roman" w:hAnsi="Times New Roman" w:cs="Times New Roman"/>
          <w:b w:val="0"/>
          <w:bCs w:val="0"/>
          <w:color w:val="auto"/>
          <w:sz w:val="24"/>
          <w:szCs w:val="24"/>
        </w:rPr>
      </w:pPr>
      <w:r w:rsidRPr="003A42FB">
        <w:rPr>
          <w:rFonts w:ascii="Times New Roman" w:hAnsi="Times New Roman" w:cs="Times New Roman"/>
          <w:b w:val="0"/>
          <w:bCs w:val="0"/>
          <w:color w:val="auto"/>
          <w:sz w:val="24"/>
          <w:szCs w:val="24"/>
        </w:rPr>
        <w:t>W zakresie konsolidacji rynku</w:t>
      </w:r>
      <w:r w:rsidR="00B72722" w:rsidRPr="003A42FB">
        <w:rPr>
          <w:rFonts w:ascii="Times New Roman" w:hAnsi="Times New Roman" w:cs="Times New Roman"/>
          <w:b w:val="0"/>
          <w:bCs w:val="0"/>
          <w:color w:val="auto"/>
          <w:sz w:val="24"/>
          <w:szCs w:val="24"/>
        </w:rPr>
        <w:t xml:space="preserve"> </w:t>
      </w:r>
      <w:r w:rsidR="0076540C" w:rsidRPr="003A42FB">
        <w:rPr>
          <w:rFonts w:ascii="Times New Roman" w:hAnsi="Times New Roman" w:cs="Times New Roman"/>
          <w:b w:val="0"/>
          <w:bCs w:val="0"/>
          <w:color w:val="auto"/>
          <w:sz w:val="24"/>
          <w:szCs w:val="24"/>
        </w:rPr>
        <w:t xml:space="preserve">wewnętrznego przepisy EKŁE w dużej mierze stanowią powtórzenie treści art. 7 dyrektywy ramowej. Nowym fragmentem, który </w:t>
      </w:r>
      <w:r w:rsidR="00670959" w:rsidRPr="003A42FB">
        <w:rPr>
          <w:rFonts w:ascii="Times New Roman" w:hAnsi="Times New Roman" w:cs="Times New Roman"/>
          <w:b w:val="0"/>
          <w:bCs w:val="0"/>
          <w:color w:val="auto"/>
          <w:sz w:val="24"/>
          <w:szCs w:val="24"/>
        </w:rPr>
        <w:t xml:space="preserve">jest wdrażany w projektowanym art. </w:t>
      </w:r>
      <w:r w:rsidR="2E933D0E" w:rsidRPr="003A42FB">
        <w:rPr>
          <w:rFonts w:ascii="Times New Roman" w:hAnsi="Times New Roman" w:cs="Times New Roman"/>
          <w:b w:val="0"/>
          <w:bCs w:val="0"/>
          <w:color w:val="auto"/>
          <w:sz w:val="24"/>
          <w:szCs w:val="24"/>
        </w:rPr>
        <w:t>36</w:t>
      </w:r>
      <w:r w:rsidR="00B13692" w:rsidRPr="003A42FB">
        <w:rPr>
          <w:rFonts w:ascii="Times New Roman" w:hAnsi="Times New Roman" w:cs="Times New Roman"/>
          <w:b w:val="0"/>
          <w:bCs w:val="0"/>
          <w:color w:val="auto"/>
          <w:sz w:val="24"/>
          <w:szCs w:val="24"/>
        </w:rPr>
        <w:t xml:space="preserve"> </w:t>
      </w:r>
      <w:r w:rsidR="00670959" w:rsidRPr="003A42FB">
        <w:rPr>
          <w:rFonts w:ascii="Times New Roman" w:hAnsi="Times New Roman" w:cs="Times New Roman"/>
          <w:b w:val="0"/>
          <w:bCs w:val="0"/>
          <w:color w:val="auto"/>
          <w:sz w:val="24"/>
          <w:szCs w:val="24"/>
        </w:rPr>
        <w:t xml:space="preserve">ust. </w:t>
      </w:r>
      <w:r w:rsidR="00B13692" w:rsidRPr="003A42FB">
        <w:rPr>
          <w:rFonts w:ascii="Times New Roman" w:hAnsi="Times New Roman" w:cs="Times New Roman"/>
          <w:b w:val="0"/>
          <w:bCs w:val="0"/>
          <w:color w:val="auto"/>
          <w:sz w:val="24"/>
          <w:szCs w:val="24"/>
        </w:rPr>
        <w:t>5</w:t>
      </w:r>
      <w:r w:rsidR="00670959" w:rsidRPr="003A42FB">
        <w:rPr>
          <w:rFonts w:ascii="Times New Roman" w:hAnsi="Times New Roman" w:cs="Times New Roman"/>
          <w:b w:val="0"/>
          <w:bCs w:val="0"/>
          <w:color w:val="auto"/>
          <w:sz w:val="24"/>
          <w:szCs w:val="24"/>
        </w:rPr>
        <w:t>,</w:t>
      </w:r>
      <w:r w:rsidR="0076540C" w:rsidRPr="003A42FB">
        <w:rPr>
          <w:rFonts w:ascii="Times New Roman" w:hAnsi="Times New Roman" w:cs="Times New Roman"/>
          <w:b w:val="0"/>
          <w:bCs w:val="0"/>
          <w:color w:val="auto"/>
          <w:sz w:val="24"/>
          <w:szCs w:val="24"/>
        </w:rPr>
        <w:t xml:space="preserve"> jest umożliwienie krajowemu organowi regulacyjnemu wycofania w każdej chwili projektowanego środka.</w:t>
      </w:r>
      <w:r w:rsidR="00670959" w:rsidRPr="003A42FB">
        <w:rPr>
          <w:rFonts w:ascii="Times New Roman" w:hAnsi="Times New Roman" w:cs="Times New Roman"/>
          <w:b w:val="0"/>
          <w:bCs w:val="0"/>
          <w:color w:val="auto"/>
          <w:sz w:val="24"/>
          <w:szCs w:val="24"/>
        </w:rPr>
        <w:t xml:space="preserve"> </w:t>
      </w:r>
      <w:r w:rsidR="0076540C" w:rsidRPr="003A42FB">
        <w:rPr>
          <w:rFonts w:ascii="Times New Roman" w:hAnsi="Times New Roman" w:cs="Times New Roman"/>
          <w:b w:val="0"/>
          <w:bCs w:val="0"/>
          <w:color w:val="auto"/>
          <w:sz w:val="24"/>
          <w:szCs w:val="24"/>
        </w:rPr>
        <w:t xml:space="preserve"> </w:t>
      </w:r>
    </w:p>
    <w:p w14:paraId="41C8F396" w14:textId="0DE93418" w:rsidR="00B74782" w:rsidRPr="003A42FB" w:rsidRDefault="00DA296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 xml:space="preserve">Istotna zmiana została przewidziana w art. 33 EKŁE regulującym procedurę spójnego stosowania środków naprawczych. </w:t>
      </w:r>
      <w:r w:rsidR="0001050E" w:rsidRPr="003A42FB">
        <w:rPr>
          <w:rFonts w:ascii="Times New Roman" w:eastAsiaTheme="minorEastAsia" w:hAnsi="Times New Roman" w:cs="Times New Roman"/>
          <w:sz w:val="24"/>
          <w:szCs w:val="24"/>
        </w:rPr>
        <w:t xml:space="preserve">Procedura ta odnosi się do projektów rozstrzygnięć dotyczących dostępu i wzajemnych połączeń, analizy rynku w związku ze środkami naprawczymi dotyczącymi dostępu nałożonymi na przedsiębiorstwa o znaczącej pozycji rynkowej, ograniczeń regulacyjnych w usługach detalicznych. Procedura ta jest stosowana gdy Komisja Europejska uzna, że projekt rozstrzygnięcia stanowiłby przeszkodę do tworzenia jednolitego rynku lub że istnieją poważne wątpliwości co do zgodności tego rozstrzygnięcia z prawem Unii Europejskiej. </w:t>
      </w:r>
      <w:r w:rsidR="00682FC3" w:rsidRPr="003A42FB">
        <w:rPr>
          <w:rFonts w:ascii="Times New Roman" w:eastAsiaTheme="minorEastAsia" w:hAnsi="Times New Roman" w:cs="Times New Roman"/>
          <w:sz w:val="24"/>
          <w:szCs w:val="24"/>
        </w:rPr>
        <w:t xml:space="preserve">Nowym przepisem jest dodanie w katalogu możliwych działań Komisji Europejskiej uprawnienia do podjęcia decyzji </w:t>
      </w:r>
      <w:r w:rsidR="00B74782" w:rsidRPr="003A42FB">
        <w:rPr>
          <w:rFonts w:ascii="Times New Roman" w:eastAsiaTheme="minorEastAsia" w:hAnsi="Times New Roman" w:cs="Times New Roman"/>
          <w:sz w:val="24"/>
          <w:szCs w:val="24"/>
          <w:lang w:eastAsia="pl-PL"/>
        </w:rPr>
        <w:t>zobowiązującą krajowy organ regulacyjny do wycofania planowanego środka</w:t>
      </w:r>
      <w:r w:rsidR="00B74782" w:rsidRPr="003A42FB">
        <w:rPr>
          <w:rFonts w:ascii="Times New Roman" w:eastAsiaTheme="minorEastAsia" w:hAnsi="Times New Roman" w:cs="Times New Roman"/>
          <w:b/>
          <w:bCs/>
          <w:sz w:val="24"/>
          <w:szCs w:val="24"/>
        </w:rPr>
        <w:t xml:space="preserve"> </w:t>
      </w:r>
      <w:r w:rsidR="003357AD" w:rsidRPr="003A42FB">
        <w:rPr>
          <w:rFonts w:ascii="Times New Roman" w:eastAsiaTheme="minorEastAsia" w:hAnsi="Times New Roman" w:cs="Times New Roman"/>
          <w:sz w:val="24"/>
          <w:szCs w:val="24"/>
        </w:rPr>
        <w:t xml:space="preserve">w przypadku, gdy objęty jest art. 61 ust. 3 akapit 2 lub art. 76 ust. 2 EKŁE (m.in. rozszerzanie obowiązku udzielania dostępu poza pierwszym punktem koncentracji lub dystrybucji; regulacje w zakresie nowych elementów sieci o bardzo dużej przepustowości). Krajowy organ regulacyjny ma obowiązek uwzględnić decyzje Komisji. Dotychczas w ramach procedury dotyczącej spójnego stosowania środków naprawczych Komisja Europejska mogła jedynie zgłosić wątpliwości, czy wydać zalecenie dokonania zmiany lub wycofania planowanego środka.  Nowe uprawnienie Komisji i związany z tym obowiązek Prezesa UKE uwzględnienia decyzji Komisji zawarto w art. </w:t>
      </w:r>
      <w:r w:rsidR="0F217BAE" w:rsidRPr="003A42FB">
        <w:rPr>
          <w:rFonts w:ascii="Times New Roman" w:eastAsiaTheme="minorEastAsia" w:hAnsi="Times New Roman" w:cs="Times New Roman"/>
          <w:sz w:val="24"/>
          <w:szCs w:val="24"/>
        </w:rPr>
        <w:t>37</w:t>
      </w:r>
      <w:r w:rsidR="003357AD" w:rsidRPr="003A42FB">
        <w:rPr>
          <w:rFonts w:ascii="Times New Roman" w:eastAsiaTheme="minorEastAsia" w:hAnsi="Times New Roman" w:cs="Times New Roman"/>
          <w:sz w:val="24"/>
          <w:szCs w:val="24"/>
        </w:rPr>
        <w:t xml:space="preserve"> ust. </w:t>
      </w:r>
      <w:r w:rsidR="00156403" w:rsidRPr="003A42FB">
        <w:rPr>
          <w:rFonts w:ascii="Times New Roman" w:eastAsiaTheme="minorEastAsia" w:hAnsi="Times New Roman" w:cs="Times New Roman"/>
          <w:sz w:val="24"/>
          <w:szCs w:val="24"/>
        </w:rPr>
        <w:t>7</w:t>
      </w:r>
      <w:r w:rsidR="003357AD" w:rsidRPr="003A42FB">
        <w:rPr>
          <w:rFonts w:ascii="Times New Roman" w:eastAsiaTheme="minorEastAsia" w:hAnsi="Times New Roman" w:cs="Times New Roman"/>
          <w:sz w:val="24"/>
          <w:szCs w:val="24"/>
        </w:rPr>
        <w:t>.</w:t>
      </w:r>
    </w:p>
    <w:p w14:paraId="0E4E2AAB" w14:textId="77777777" w:rsidR="00696205" w:rsidRPr="003A42FB" w:rsidRDefault="00696205" w:rsidP="00C53EAB">
      <w:pPr>
        <w:spacing w:after="120" w:line="240" w:lineRule="auto"/>
        <w:jc w:val="both"/>
        <w:rPr>
          <w:rFonts w:ascii="Times New Roman" w:hAnsi="Times New Roman" w:cs="Times New Roman"/>
          <w:b/>
          <w:bCs/>
          <w:sz w:val="24"/>
          <w:szCs w:val="24"/>
        </w:rPr>
      </w:pPr>
    </w:p>
    <w:p w14:paraId="02CC5818" w14:textId="754D1125" w:rsidR="0081787B" w:rsidRPr="003A42FB" w:rsidRDefault="0019350B" w:rsidP="0EDF54BB">
      <w:pPr>
        <w:spacing w:after="120" w:line="240" w:lineRule="auto"/>
        <w:jc w:val="both"/>
        <w:rPr>
          <w:rFonts w:ascii="Times New Roman" w:eastAsia="Times" w:hAnsi="Times New Roman" w:cs="Times New Roman"/>
          <w:b/>
          <w:bCs/>
          <w:sz w:val="24"/>
          <w:szCs w:val="24"/>
        </w:rPr>
      </w:pPr>
      <w:r w:rsidRPr="003A42FB">
        <w:rPr>
          <w:rFonts w:ascii="Times New Roman" w:hAnsi="Times New Roman" w:cs="Times New Roman"/>
          <w:b/>
          <w:bCs/>
          <w:sz w:val="24"/>
          <w:szCs w:val="24"/>
        </w:rPr>
        <w:t xml:space="preserve">ROZDZIAŁ 5. </w:t>
      </w:r>
      <w:r w:rsidR="6F412A00" w:rsidRPr="003A42FB">
        <w:rPr>
          <w:rFonts w:ascii="Times New Roman" w:eastAsia="Times" w:hAnsi="Times New Roman" w:cs="Times New Roman"/>
          <w:b/>
          <w:bCs/>
          <w:sz w:val="24"/>
          <w:szCs w:val="24"/>
        </w:rPr>
        <w:t xml:space="preserve"> </w:t>
      </w:r>
    </w:p>
    <w:p w14:paraId="495180D5" w14:textId="28C81D18" w:rsidR="0081787B" w:rsidRPr="003A42FB" w:rsidRDefault="1D167C95" w:rsidP="00C53EAB">
      <w:pPr>
        <w:spacing w:after="120" w:line="240" w:lineRule="auto"/>
        <w:jc w:val="both"/>
        <w:rPr>
          <w:rFonts w:ascii="Times New Roman" w:eastAsia="Times" w:hAnsi="Times New Roman" w:cs="Times New Roman"/>
          <w:b/>
          <w:bCs/>
          <w:sz w:val="24"/>
          <w:szCs w:val="24"/>
        </w:rPr>
      </w:pPr>
      <w:r w:rsidRPr="003A42FB">
        <w:rPr>
          <w:rFonts w:ascii="Times New Roman" w:eastAsia="Times" w:hAnsi="Times New Roman" w:cs="Times New Roman"/>
          <w:b/>
          <w:bCs/>
          <w:sz w:val="24"/>
          <w:szCs w:val="24"/>
        </w:rPr>
        <w:t>Z</w:t>
      </w:r>
      <w:r w:rsidR="6F412A00" w:rsidRPr="003A42FB">
        <w:rPr>
          <w:rFonts w:ascii="Times New Roman" w:eastAsia="Times" w:hAnsi="Times New Roman" w:cs="Times New Roman"/>
          <w:b/>
          <w:bCs/>
          <w:sz w:val="24"/>
          <w:szCs w:val="24"/>
        </w:rPr>
        <w:t>adania i obowiązki na rzecz obronności, bezpieczeństwa państwa oraz bezpieczeństwa i porządku publicznego</w:t>
      </w:r>
    </w:p>
    <w:p w14:paraId="300BD362" w14:textId="010692E8" w:rsidR="6F412A00" w:rsidRPr="003A42FB" w:rsidRDefault="00AE4E8D" w:rsidP="00AE4E8D">
      <w:pPr>
        <w:spacing w:after="120" w:line="240" w:lineRule="auto"/>
        <w:jc w:val="both"/>
        <w:rPr>
          <w:rFonts w:ascii="Times New Roman" w:eastAsia="Times New Roman" w:hAnsi="Times New Roman" w:cs="Times New Roman"/>
          <w:b/>
          <w:sz w:val="24"/>
          <w:szCs w:val="24"/>
        </w:rPr>
      </w:pPr>
      <w:r w:rsidRPr="003A42FB">
        <w:rPr>
          <w:rFonts w:ascii="Times New Roman" w:eastAsia="Times New Roman" w:hAnsi="Times New Roman" w:cs="Times New Roman"/>
          <w:b/>
          <w:sz w:val="24"/>
          <w:szCs w:val="24"/>
        </w:rPr>
        <w:t xml:space="preserve">Art. </w:t>
      </w:r>
      <w:r w:rsidR="13B7DB3B" w:rsidRPr="11D842DB">
        <w:rPr>
          <w:rFonts w:ascii="Times New Roman" w:eastAsia="Times New Roman" w:hAnsi="Times New Roman" w:cs="Times New Roman"/>
          <w:b/>
          <w:bCs/>
          <w:sz w:val="24"/>
          <w:szCs w:val="24"/>
        </w:rPr>
        <w:t>39</w:t>
      </w:r>
    </w:p>
    <w:p w14:paraId="75146924" w14:textId="0D416FED" w:rsidR="6F412A00" w:rsidRPr="003A42FB" w:rsidRDefault="706EE8B6" w:rsidP="44799C57">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W </w:t>
      </w:r>
      <w:r w:rsidR="4626C8C9" w:rsidRPr="003A42FB">
        <w:rPr>
          <w:rFonts w:ascii="Times New Roman" w:eastAsia="Times New Roman" w:hAnsi="Times New Roman" w:cs="Times New Roman"/>
          <w:sz w:val="24"/>
          <w:szCs w:val="24"/>
        </w:rPr>
        <w:t xml:space="preserve">art. </w:t>
      </w:r>
      <w:r w:rsidR="727FDC33" w:rsidRPr="11D842DB">
        <w:rPr>
          <w:rFonts w:ascii="Times New Roman" w:eastAsia="Times New Roman" w:hAnsi="Times New Roman" w:cs="Times New Roman"/>
          <w:sz w:val="24"/>
          <w:szCs w:val="24"/>
        </w:rPr>
        <w:t>39</w:t>
      </w:r>
      <w:r w:rsidR="4626C8C9" w:rsidRPr="003A42FB">
        <w:rPr>
          <w:rFonts w:ascii="Times New Roman" w:eastAsia="Times New Roman" w:hAnsi="Times New Roman" w:cs="Times New Roman"/>
          <w:sz w:val="24"/>
          <w:szCs w:val="24"/>
        </w:rPr>
        <w:t xml:space="preserve"> uregulowane zostały kwestie dotyczące zadań planistycznych przedsiębiorcy telekomunikacyjnego na wypadek wystąpienia sytuacji szczególnego zagrożenia. Utrzymany został, w porównaniu z ustaw</w:t>
      </w:r>
      <w:r w:rsidR="76537A04" w:rsidRPr="003A42FB">
        <w:rPr>
          <w:rFonts w:ascii="Times New Roman" w:eastAsia="Times New Roman" w:hAnsi="Times New Roman" w:cs="Times New Roman"/>
          <w:sz w:val="24"/>
          <w:szCs w:val="24"/>
        </w:rPr>
        <w:t>ą P</w:t>
      </w:r>
      <w:r w:rsidR="6E6AF2D0" w:rsidRPr="003A42FB">
        <w:rPr>
          <w:rFonts w:ascii="Times New Roman" w:eastAsia="Times New Roman" w:hAnsi="Times New Roman" w:cs="Times New Roman"/>
          <w:sz w:val="24"/>
          <w:szCs w:val="24"/>
        </w:rPr>
        <w:t>rawo telekomunikacyjne</w:t>
      </w:r>
      <w:r w:rsidR="4626C8C9" w:rsidRPr="003A42FB">
        <w:rPr>
          <w:rFonts w:ascii="Times New Roman" w:eastAsia="Times New Roman" w:hAnsi="Times New Roman" w:cs="Times New Roman"/>
          <w:sz w:val="24"/>
          <w:szCs w:val="24"/>
        </w:rPr>
        <w:t xml:space="preserve"> obowiązek sporządzania przez przedsiębiorcę telekomunikacyjnego planu działań na wypadek wystąpienia sytuacji szczególnego zagrożenia. Obszary, których ma dotyczyć plan, pokrywają się z aktualnie występującymi w obowiązującej ustawie. </w:t>
      </w:r>
      <w:r w:rsidR="018243C9" w:rsidRPr="003A42FB">
        <w:rPr>
          <w:rFonts w:ascii="Times New Roman" w:eastAsia="Times New Roman" w:hAnsi="Times New Roman" w:cs="Times New Roman"/>
          <w:sz w:val="24"/>
          <w:szCs w:val="24"/>
        </w:rPr>
        <w:t xml:space="preserve">Uregulowano </w:t>
      </w:r>
      <w:r w:rsidR="50E9940E" w:rsidRPr="003A42FB">
        <w:rPr>
          <w:rFonts w:ascii="Times New Roman" w:eastAsia="Times New Roman" w:hAnsi="Times New Roman" w:cs="Times New Roman"/>
          <w:sz w:val="24"/>
          <w:szCs w:val="24"/>
        </w:rPr>
        <w:t xml:space="preserve">w projekcie </w:t>
      </w:r>
      <w:r w:rsidR="4DB65CAD" w:rsidRPr="003A42FB">
        <w:rPr>
          <w:rFonts w:ascii="Times New Roman" w:eastAsia="Times New Roman" w:hAnsi="Times New Roman" w:cs="Times New Roman"/>
          <w:sz w:val="24"/>
          <w:szCs w:val="24"/>
        </w:rPr>
        <w:t xml:space="preserve">- ujęte dotychczas w rozporządzeniu - </w:t>
      </w:r>
      <w:r w:rsidR="0127A02E" w:rsidRPr="003A42FB">
        <w:rPr>
          <w:rFonts w:ascii="Times New Roman" w:eastAsia="Times New Roman" w:hAnsi="Times New Roman" w:cs="Times New Roman"/>
          <w:sz w:val="24"/>
          <w:szCs w:val="24"/>
        </w:rPr>
        <w:t>kwestie dotyczące</w:t>
      </w:r>
      <w:r w:rsidR="3A368B9E" w:rsidRPr="003A42FB">
        <w:rPr>
          <w:rFonts w:ascii="Times New Roman" w:eastAsia="Times New Roman" w:hAnsi="Times New Roman" w:cs="Times New Roman"/>
          <w:sz w:val="24"/>
          <w:szCs w:val="24"/>
        </w:rPr>
        <w:t>:</w:t>
      </w:r>
      <w:r w:rsidR="0127A02E" w:rsidRPr="003A42FB">
        <w:rPr>
          <w:rFonts w:ascii="Times New Roman" w:eastAsia="Times New Roman" w:hAnsi="Times New Roman" w:cs="Times New Roman"/>
          <w:sz w:val="24"/>
          <w:szCs w:val="24"/>
        </w:rPr>
        <w:t xml:space="preserve"> terminu sporządzania planu przez przedsiębiorcę, </w:t>
      </w:r>
      <w:r w:rsidR="6C676851" w:rsidRPr="4A4E9FA3">
        <w:rPr>
          <w:rFonts w:ascii="Times New Roman" w:eastAsia="Times New Roman" w:hAnsi="Times New Roman" w:cs="Times New Roman"/>
          <w:sz w:val="24"/>
          <w:szCs w:val="24"/>
        </w:rPr>
        <w:t xml:space="preserve">konieczności </w:t>
      </w:r>
      <w:r w:rsidR="279533AE" w:rsidRPr="003A42FB">
        <w:rPr>
          <w:rFonts w:ascii="Times New Roman" w:eastAsia="Times New Roman" w:hAnsi="Times New Roman" w:cs="Times New Roman"/>
          <w:sz w:val="24"/>
          <w:szCs w:val="24"/>
        </w:rPr>
        <w:t>ujęcia danych udostępnionych przez organy uzgadniające plan</w:t>
      </w:r>
      <w:r w:rsidR="7F3C7180" w:rsidRPr="4A4E9FA3">
        <w:rPr>
          <w:rFonts w:ascii="Times New Roman" w:eastAsia="Times New Roman" w:hAnsi="Times New Roman" w:cs="Times New Roman"/>
          <w:sz w:val="24"/>
          <w:szCs w:val="24"/>
        </w:rPr>
        <w:t xml:space="preserve"> albo inne organy </w:t>
      </w:r>
      <w:r w:rsidR="7F3C7180" w:rsidRPr="4A4E9FA3">
        <w:rPr>
          <w:rFonts w:ascii="Times New Roman" w:eastAsia="Times New Roman" w:hAnsi="Times New Roman" w:cs="Times New Roman"/>
          <w:sz w:val="24"/>
          <w:szCs w:val="24"/>
        </w:rPr>
        <w:lastRenderedPageBreak/>
        <w:t>wskazane przez te orany oraz trybu udostępniania tych danych</w:t>
      </w:r>
      <w:r w:rsidR="279533AE" w:rsidRPr="003A42FB">
        <w:rPr>
          <w:rFonts w:ascii="Times New Roman" w:eastAsia="Times New Roman" w:hAnsi="Times New Roman" w:cs="Times New Roman"/>
          <w:sz w:val="24"/>
          <w:szCs w:val="24"/>
        </w:rPr>
        <w:t xml:space="preserve">, </w:t>
      </w:r>
      <w:r w:rsidR="19973751" w:rsidRPr="003A42FB">
        <w:rPr>
          <w:rFonts w:ascii="Times New Roman" w:eastAsia="Times New Roman" w:hAnsi="Times New Roman" w:cs="Times New Roman"/>
          <w:sz w:val="24"/>
          <w:szCs w:val="24"/>
        </w:rPr>
        <w:t>tryb</w:t>
      </w:r>
      <w:r w:rsidR="22ECF7D8" w:rsidRPr="003A42FB">
        <w:rPr>
          <w:rFonts w:ascii="Times New Roman" w:eastAsia="Times New Roman" w:hAnsi="Times New Roman" w:cs="Times New Roman"/>
          <w:sz w:val="24"/>
          <w:szCs w:val="24"/>
        </w:rPr>
        <w:t>u</w:t>
      </w:r>
      <w:r w:rsidR="19973751" w:rsidRPr="003A42FB">
        <w:rPr>
          <w:rFonts w:ascii="Times New Roman" w:eastAsia="Times New Roman" w:hAnsi="Times New Roman" w:cs="Times New Roman"/>
          <w:sz w:val="24"/>
          <w:szCs w:val="24"/>
        </w:rPr>
        <w:t xml:space="preserve"> uzgodnienia projektu planu, tryb</w:t>
      </w:r>
      <w:r w:rsidR="19E24797" w:rsidRPr="003A42FB">
        <w:rPr>
          <w:rFonts w:ascii="Times New Roman" w:eastAsia="Times New Roman" w:hAnsi="Times New Roman" w:cs="Times New Roman"/>
          <w:sz w:val="24"/>
          <w:szCs w:val="24"/>
        </w:rPr>
        <w:t>u</w:t>
      </w:r>
      <w:r w:rsidR="19973751" w:rsidRPr="003A42FB">
        <w:rPr>
          <w:rFonts w:ascii="Times New Roman" w:eastAsia="Times New Roman" w:hAnsi="Times New Roman" w:cs="Times New Roman"/>
          <w:sz w:val="24"/>
          <w:szCs w:val="24"/>
        </w:rPr>
        <w:t xml:space="preserve"> </w:t>
      </w:r>
      <w:r w:rsidR="19051C28" w:rsidRPr="003A42FB">
        <w:rPr>
          <w:rFonts w:ascii="Times New Roman" w:eastAsia="Times New Roman" w:hAnsi="Times New Roman" w:cs="Times New Roman"/>
          <w:sz w:val="24"/>
          <w:szCs w:val="24"/>
        </w:rPr>
        <w:t>sprawdzenia</w:t>
      </w:r>
      <w:r w:rsidR="19973751" w:rsidRPr="003A42FB">
        <w:rPr>
          <w:rFonts w:ascii="Times New Roman" w:eastAsia="Times New Roman" w:hAnsi="Times New Roman" w:cs="Times New Roman"/>
          <w:sz w:val="24"/>
          <w:szCs w:val="24"/>
        </w:rPr>
        <w:t xml:space="preserve"> kompletn</w:t>
      </w:r>
      <w:r w:rsidR="72F1DC2F" w:rsidRPr="003A42FB">
        <w:rPr>
          <w:rFonts w:ascii="Times New Roman" w:eastAsia="Times New Roman" w:hAnsi="Times New Roman" w:cs="Times New Roman"/>
          <w:sz w:val="24"/>
          <w:szCs w:val="24"/>
        </w:rPr>
        <w:t xml:space="preserve">ości projektu planu przez Prezesa UKE oraz </w:t>
      </w:r>
      <w:r w:rsidR="040FE2A4" w:rsidRPr="4A4E9FA3">
        <w:rPr>
          <w:rFonts w:ascii="Times New Roman" w:eastAsia="Times New Roman" w:hAnsi="Times New Roman" w:cs="Times New Roman"/>
          <w:sz w:val="24"/>
          <w:szCs w:val="24"/>
        </w:rPr>
        <w:t xml:space="preserve">przesłanek powodujących konieczność </w:t>
      </w:r>
      <w:r w:rsidR="455DDEA7" w:rsidRPr="4A4E9FA3">
        <w:rPr>
          <w:rFonts w:ascii="Times New Roman" w:eastAsia="Times New Roman" w:hAnsi="Times New Roman" w:cs="Times New Roman"/>
          <w:sz w:val="24"/>
          <w:szCs w:val="24"/>
        </w:rPr>
        <w:t>aktualizacji planu.</w:t>
      </w:r>
      <w:r w:rsidR="00FA15E4">
        <w:rPr>
          <w:rFonts w:ascii="Times New Roman" w:eastAsia="Times New Roman" w:hAnsi="Times New Roman" w:cs="Times New Roman"/>
          <w:sz w:val="24"/>
          <w:szCs w:val="24"/>
        </w:rPr>
        <w:t xml:space="preserve"> </w:t>
      </w:r>
      <w:r w:rsidR="6F412A00" w:rsidRPr="003A42FB">
        <w:rPr>
          <w:rFonts w:ascii="Times New Roman" w:eastAsia="Times New Roman" w:hAnsi="Times New Roman" w:cs="Times New Roman"/>
          <w:sz w:val="24"/>
          <w:szCs w:val="24"/>
        </w:rPr>
        <w:t xml:space="preserve">Rada Ministrów określa w drodze rozporządzenia szczegółową zawartość planu, tryb jego sporządzania, uzgadniania, wprowadzenia do stosowania i aktualizacji oraz okres jego ważności. Rada Ministrów przy nakładaniu obowiązku sporządzania planu weźmie pod uwagę </w:t>
      </w:r>
      <w:r w:rsidR="18C01B87" w:rsidRPr="003A42FB">
        <w:rPr>
          <w:rFonts w:ascii="Times New Roman" w:eastAsia="Times New Roman" w:hAnsi="Times New Roman" w:cs="Times New Roman"/>
          <w:sz w:val="24"/>
          <w:szCs w:val="24"/>
        </w:rPr>
        <w:t>zakres i rodzaj wykonywanej działalności telekomunikacyjnej oraz wielkość przedsiębiorcy telekomunikacyjnego i jego znaczenie dla obronności, bezpieczeństwa państwa oraz bezpieczeństwa i porządku publicznego</w:t>
      </w:r>
      <w:r w:rsidR="572D671E" w:rsidRPr="003A42FB">
        <w:rPr>
          <w:rFonts w:ascii="Times New Roman" w:eastAsia="Times New Roman" w:hAnsi="Times New Roman" w:cs="Times New Roman"/>
          <w:sz w:val="24"/>
          <w:szCs w:val="24"/>
        </w:rPr>
        <w:t>.</w:t>
      </w:r>
      <w:r w:rsidR="18C01B87" w:rsidRPr="003A42FB">
        <w:rPr>
          <w:rFonts w:ascii="Times New Roman" w:eastAsia="Times New Roman" w:hAnsi="Times New Roman" w:cs="Times New Roman"/>
          <w:sz w:val="24"/>
          <w:szCs w:val="24"/>
        </w:rPr>
        <w:t xml:space="preserve"> </w:t>
      </w:r>
      <w:r w:rsidR="4F22FCAA" w:rsidRPr="003A42FB">
        <w:rPr>
          <w:rFonts w:ascii="Times New Roman" w:eastAsia="Times New Roman" w:hAnsi="Times New Roman" w:cs="Times New Roman"/>
          <w:sz w:val="24"/>
          <w:szCs w:val="24"/>
        </w:rPr>
        <w:t xml:space="preserve">Ponadto w rozporządzeniu Rada Ministrów może określić </w:t>
      </w:r>
      <w:r w:rsidR="6F412A00" w:rsidRPr="003A42FB">
        <w:rPr>
          <w:rFonts w:ascii="Times New Roman" w:eastAsia="Times New Roman" w:hAnsi="Times New Roman" w:cs="Times New Roman"/>
          <w:sz w:val="24"/>
          <w:szCs w:val="24"/>
        </w:rPr>
        <w:t>rodzaje działalności telekomunikacyjnej lub rodzaje przedsiębiorców telekomunikacyjnych niepodlegających obowiązkowi sporządzania planu</w:t>
      </w:r>
      <w:r w:rsidR="3D24AB89" w:rsidRPr="003A42FB">
        <w:rPr>
          <w:rFonts w:ascii="Times New Roman" w:eastAsia="Times New Roman" w:hAnsi="Times New Roman" w:cs="Times New Roman"/>
          <w:sz w:val="24"/>
          <w:szCs w:val="24"/>
        </w:rPr>
        <w:t>, jak również sposób i zakres przekazywania planu organom uzgadniającym plan</w:t>
      </w:r>
      <w:r w:rsidR="6F412A00" w:rsidRPr="003A42FB">
        <w:rPr>
          <w:rFonts w:ascii="Times New Roman" w:eastAsia="Times New Roman" w:hAnsi="Times New Roman" w:cs="Times New Roman"/>
          <w:sz w:val="24"/>
          <w:szCs w:val="24"/>
        </w:rPr>
        <w:t>.</w:t>
      </w:r>
      <w:r w:rsidR="19A213D8" w:rsidRPr="003A42FB">
        <w:rPr>
          <w:rFonts w:ascii="Times New Roman" w:eastAsia="Times New Roman" w:hAnsi="Times New Roman" w:cs="Times New Roman"/>
          <w:sz w:val="24"/>
          <w:szCs w:val="24"/>
        </w:rPr>
        <w:t xml:space="preserve"> </w:t>
      </w:r>
      <w:r w:rsidR="3CA1156E" w:rsidRPr="4A4E9FA3">
        <w:rPr>
          <w:rFonts w:ascii="Times New Roman" w:eastAsia="Times New Roman" w:hAnsi="Times New Roman" w:cs="Times New Roman"/>
          <w:sz w:val="24"/>
          <w:szCs w:val="24"/>
        </w:rPr>
        <w:t xml:space="preserve">W chwili obecnej </w:t>
      </w:r>
      <w:r w:rsidR="1B417D6B" w:rsidRPr="5F74275A">
        <w:rPr>
          <w:rFonts w:ascii="Times New Roman" w:eastAsia="Times New Roman" w:hAnsi="Times New Roman" w:cs="Times New Roman"/>
          <w:sz w:val="24"/>
          <w:szCs w:val="24"/>
        </w:rPr>
        <w:t>przedsiębiorca</w:t>
      </w:r>
      <w:r w:rsidR="16ADAC3C" w:rsidRPr="4A4E9FA3">
        <w:rPr>
          <w:rFonts w:ascii="Times New Roman" w:eastAsia="Times New Roman" w:hAnsi="Times New Roman" w:cs="Times New Roman"/>
          <w:sz w:val="24"/>
          <w:szCs w:val="24"/>
        </w:rPr>
        <w:t xml:space="preserve"> telekomunikacyjny</w:t>
      </w:r>
      <w:r w:rsidR="19A213D8" w:rsidRPr="003A42FB">
        <w:rPr>
          <w:rFonts w:ascii="Times New Roman" w:eastAsia="Times New Roman" w:hAnsi="Times New Roman" w:cs="Times New Roman"/>
          <w:sz w:val="24"/>
          <w:szCs w:val="24"/>
        </w:rPr>
        <w:t xml:space="preserve"> ma bowiem obowiązek </w:t>
      </w:r>
      <w:r w:rsidR="1C36F1BC" w:rsidRPr="003A42FB">
        <w:rPr>
          <w:rFonts w:ascii="Times New Roman" w:eastAsia="Times New Roman" w:hAnsi="Times New Roman" w:cs="Times New Roman"/>
          <w:sz w:val="24"/>
          <w:szCs w:val="24"/>
        </w:rPr>
        <w:t xml:space="preserve">przekazania planu tylko w takim zakresie, w jakim </w:t>
      </w:r>
      <w:r w:rsidR="157E0ED0" w:rsidRPr="4A4E9FA3">
        <w:rPr>
          <w:rFonts w:ascii="Times New Roman" w:eastAsia="Times New Roman" w:hAnsi="Times New Roman" w:cs="Times New Roman"/>
          <w:sz w:val="24"/>
          <w:szCs w:val="24"/>
        </w:rPr>
        <w:t xml:space="preserve">podlegał on uzgodnieniu z danym organem. </w:t>
      </w:r>
      <w:r w:rsidR="5EA5C427" w:rsidRPr="4A4E9FA3">
        <w:rPr>
          <w:rFonts w:ascii="Times New Roman" w:eastAsia="Times New Roman" w:hAnsi="Times New Roman" w:cs="Times New Roman"/>
          <w:sz w:val="24"/>
          <w:szCs w:val="24"/>
        </w:rPr>
        <w:t>Niemniej może zaistnieć potrzeba przesłania organo</w:t>
      </w:r>
      <w:r w:rsidR="6F0CE8EB" w:rsidRPr="4A4E9FA3">
        <w:rPr>
          <w:rFonts w:ascii="Times New Roman" w:eastAsia="Times New Roman" w:hAnsi="Times New Roman" w:cs="Times New Roman"/>
          <w:sz w:val="24"/>
          <w:szCs w:val="24"/>
        </w:rPr>
        <w:t>wi</w:t>
      </w:r>
      <w:r w:rsidR="5EA5C427" w:rsidRPr="4A4E9FA3">
        <w:rPr>
          <w:rFonts w:ascii="Times New Roman" w:eastAsia="Times New Roman" w:hAnsi="Times New Roman" w:cs="Times New Roman"/>
          <w:sz w:val="24"/>
          <w:szCs w:val="24"/>
        </w:rPr>
        <w:t xml:space="preserve"> uzgadnia</w:t>
      </w:r>
      <w:r w:rsidR="5F9ED28F" w:rsidRPr="4A4E9FA3">
        <w:rPr>
          <w:rFonts w:ascii="Times New Roman" w:eastAsia="Times New Roman" w:hAnsi="Times New Roman" w:cs="Times New Roman"/>
          <w:sz w:val="24"/>
          <w:szCs w:val="24"/>
        </w:rPr>
        <w:t>jąc</w:t>
      </w:r>
      <w:r w:rsidR="06F1E7E6" w:rsidRPr="4A4E9FA3">
        <w:rPr>
          <w:rFonts w:ascii="Times New Roman" w:eastAsia="Times New Roman" w:hAnsi="Times New Roman" w:cs="Times New Roman"/>
          <w:sz w:val="24"/>
          <w:szCs w:val="24"/>
        </w:rPr>
        <w:t>emu</w:t>
      </w:r>
      <w:r w:rsidR="5F9ED28F" w:rsidRPr="4A4E9FA3">
        <w:rPr>
          <w:rFonts w:ascii="Times New Roman" w:eastAsia="Times New Roman" w:hAnsi="Times New Roman" w:cs="Times New Roman"/>
          <w:sz w:val="24"/>
          <w:szCs w:val="24"/>
        </w:rPr>
        <w:t xml:space="preserve"> całego planu albo wskazanej jego części. </w:t>
      </w:r>
      <w:r w:rsidR="6F412A00" w:rsidRPr="003A42FB">
        <w:rPr>
          <w:rFonts w:ascii="Times New Roman" w:eastAsia="Times New Roman" w:hAnsi="Times New Roman" w:cs="Times New Roman"/>
          <w:sz w:val="24"/>
          <w:szCs w:val="24"/>
        </w:rPr>
        <w:t xml:space="preserve">Zrezygnowano z możliwości określenia rodzajów przedsiębiorców telekomunikacyjnych obowiązanych do uzgadniania zawartości planów, gdyż z praktyki wynika, że każdy przedsiębiorca sporządzający plan dokonuje </w:t>
      </w:r>
      <w:r w:rsidR="1CA7B73D" w:rsidRPr="003A42FB">
        <w:rPr>
          <w:rFonts w:ascii="Times New Roman" w:eastAsia="Times New Roman" w:hAnsi="Times New Roman" w:cs="Times New Roman"/>
          <w:sz w:val="24"/>
          <w:szCs w:val="24"/>
        </w:rPr>
        <w:t>uzgodnienia</w:t>
      </w:r>
      <w:r w:rsidR="6F412A00" w:rsidRPr="003A42FB">
        <w:rPr>
          <w:rFonts w:ascii="Times New Roman" w:eastAsia="Times New Roman" w:hAnsi="Times New Roman" w:cs="Times New Roman"/>
          <w:sz w:val="24"/>
          <w:szCs w:val="24"/>
        </w:rPr>
        <w:t>.</w:t>
      </w:r>
      <w:r w:rsidR="7827678A" w:rsidRPr="003A42FB">
        <w:rPr>
          <w:rFonts w:ascii="Times New Roman" w:eastAsia="Times New Roman" w:hAnsi="Times New Roman" w:cs="Times New Roman"/>
          <w:sz w:val="24"/>
          <w:szCs w:val="24"/>
        </w:rPr>
        <w:t xml:space="preserve"> </w:t>
      </w:r>
    </w:p>
    <w:p w14:paraId="6200E5BB" w14:textId="226F9F08" w:rsidR="00AE4E8D" w:rsidRPr="003A42FB" w:rsidRDefault="00AE4E8D" w:rsidP="44799C57">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sz w:val="24"/>
          <w:szCs w:val="24"/>
        </w:rPr>
        <w:t xml:space="preserve">Art. </w:t>
      </w:r>
      <w:r w:rsidR="4B4BC67E" w:rsidRPr="5F74275A">
        <w:rPr>
          <w:rFonts w:ascii="Times New Roman" w:eastAsia="Times New Roman" w:hAnsi="Times New Roman" w:cs="Times New Roman"/>
          <w:b/>
          <w:bCs/>
          <w:sz w:val="24"/>
          <w:szCs w:val="24"/>
        </w:rPr>
        <w:t>40</w:t>
      </w:r>
    </w:p>
    <w:p w14:paraId="3E1F1C41" w14:textId="2F34B7C5" w:rsidR="6F412A00" w:rsidRPr="003A42FB" w:rsidRDefault="4626C8C9" w:rsidP="5F74275A">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W art. </w:t>
      </w:r>
      <w:r w:rsidR="3D8EFE45" w:rsidRPr="5F74275A">
        <w:rPr>
          <w:rFonts w:ascii="Times New Roman" w:eastAsia="Times New Roman" w:hAnsi="Times New Roman" w:cs="Times New Roman"/>
          <w:sz w:val="24"/>
          <w:szCs w:val="24"/>
        </w:rPr>
        <w:t>40</w:t>
      </w:r>
      <w:r w:rsidRPr="003A42FB">
        <w:rPr>
          <w:rFonts w:ascii="Times New Roman" w:eastAsia="Times New Roman" w:hAnsi="Times New Roman" w:cs="Times New Roman"/>
          <w:sz w:val="24"/>
          <w:szCs w:val="24"/>
        </w:rPr>
        <w:t xml:space="preserve"> utrzymane zostają przepisy art. 178 ustawy </w:t>
      </w:r>
      <w:r w:rsidR="4E763D75" w:rsidRPr="003A42FB">
        <w:rPr>
          <w:rFonts w:ascii="Times New Roman" w:eastAsia="Times New Roman" w:hAnsi="Times New Roman" w:cs="Times New Roman"/>
          <w:sz w:val="24"/>
          <w:szCs w:val="24"/>
        </w:rPr>
        <w:t>Pt</w:t>
      </w:r>
      <w:r w:rsidRPr="003A42FB">
        <w:rPr>
          <w:rFonts w:ascii="Times New Roman" w:eastAsia="Times New Roman" w:hAnsi="Times New Roman" w:cs="Times New Roman"/>
          <w:sz w:val="24"/>
          <w:szCs w:val="24"/>
        </w:rPr>
        <w:t>, dotyczące uprawnienia Prezesa UKE do nałożenia, w drodze decyzji, na przedsiębiorców telekomunikacyjnych obowiązku utrzymania ciągłości świadczenia usług telekomunikacyjnych lub dostarczania sieci, ich odtwarzania oraz wprowadzania ograniczeń w swojej działalności. Nowością jest wprowadzenie obowiązku odtwarzania z uwzględnieniem pierwszeństwa również dla operatorów usług kluczowych oraz operatorów infrastruktury krytycznej.</w:t>
      </w:r>
    </w:p>
    <w:p w14:paraId="75AF4DB8" w14:textId="605A8C8D" w:rsidR="6F412A00" w:rsidRPr="005F69BF" w:rsidRDefault="4D124BAF" w:rsidP="5F74275A">
      <w:pPr>
        <w:spacing w:after="120" w:line="240" w:lineRule="auto"/>
        <w:jc w:val="both"/>
        <w:rPr>
          <w:rFonts w:ascii="Times New Roman" w:eastAsia="Times New Roman" w:hAnsi="Times New Roman" w:cs="Times New Roman"/>
          <w:sz w:val="24"/>
          <w:szCs w:val="24"/>
        </w:rPr>
      </w:pPr>
      <w:r w:rsidRPr="5F74275A">
        <w:rPr>
          <w:rFonts w:ascii="Times New Roman" w:eastAsia="Times New Roman" w:hAnsi="Times New Roman" w:cs="Times New Roman"/>
          <w:sz w:val="24"/>
          <w:szCs w:val="24"/>
        </w:rPr>
        <w:t>Now</w:t>
      </w:r>
      <w:r w:rsidR="0AE9F0BC" w:rsidRPr="5F74275A">
        <w:rPr>
          <w:rFonts w:ascii="Times New Roman" w:eastAsia="Times New Roman" w:hAnsi="Times New Roman" w:cs="Times New Roman"/>
          <w:sz w:val="24"/>
          <w:szCs w:val="24"/>
        </w:rPr>
        <w:t>e</w:t>
      </w:r>
      <w:r w:rsidRPr="5F74275A">
        <w:rPr>
          <w:rFonts w:ascii="Times New Roman" w:eastAsia="Times New Roman" w:hAnsi="Times New Roman" w:cs="Times New Roman"/>
          <w:sz w:val="24"/>
          <w:szCs w:val="24"/>
        </w:rPr>
        <w:t xml:space="preserve"> </w:t>
      </w:r>
      <w:r w:rsidR="53C43B00" w:rsidRPr="5F74275A">
        <w:rPr>
          <w:rFonts w:ascii="Times New Roman" w:eastAsia="Times New Roman" w:hAnsi="Times New Roman" w:cs="Times New Roman"/>
          <w:sz w:val="24"/>
          <w:szCs w:val="24"/>
        </w:rPr>
        <w:t>są</w:t>
      </w:r>
      <w:r w:rsidRPr="5F74275A">
        <w:rPr>
          <w:rFonts w:ascii="Times New Roman" w:eastAsia="Times New Roman" w:hAnsi="Times New Roman" w:cs="Times New Roman"/>
          <w:sz w:val="24"/>
          <w:szCs w:val="24"/>
        </w:rPr>
        <w:t xml:space="preserve"> również przesłank</w:t>
      </w:r>
      <w:r w:rsidR="10EC263D" w:rsidRPr="5F74275A">
        <w:rPr>
          <w:rFonts w:ascii="Times New Roman" w:eastAsia="Times New Roman" w:hAnsi="Times New Roman" w:cs="Times New Roman"/>
          <w:sz w:val="24"/>
          <w:szCs w:val="24"/>
        </w:rPr>
        <w:t>i</w:t>
      </w:r>
      <w:r w:rsidRPr="5F74275A">
        <w:rPr>
          <w:rFonts w:ascii="Times New Roman" w:eastAsia="Times New Roman" w:hAnsi="Times New Roman" w:cs="Times New Roman"/>
          <w:sz w:val="24"/>
          <w:szCs w:val="24"/>
        </w:rPr>
        <w:t xml:space="preserve"> dla Prezesa UKE do </w:t>
      </w:r>
      <w:r w:rsidR="65855D06" w:rsidRPr="5F74275A">
        <w:rPr>
          <w:rFonts w:ascii="Times New Roman" w:eastAsia="Times New Roman" w:hAnsi="Times New Roman" w:cs="Times New Roman"/>
          <w:sz w:val="24"/>
          <w:szCs w:val="24"/>
        </w:rPr>
        <w:t xml:space="preserve">nałożenia </w:t>
      </w:r>
      <w:r w:rsidRPr="5F74275A">
        <w:rPr>
          <w:rFonts w:ascii="Times New Roman" w:eastAsia="Times New Roman" w:hAnsi="Times New Roman" w:cs="Times New Roman"/>
          <w:sz w:val="24"/>
          <w:szCs w:val="24"/>
        </w:rPr>
        <w:t xml:space="preserve">ograniczeń </w:t>
      </w:r>
      <w:r w:rsidR="0BCBE349" w:rsidRPr="5F74275A">
        <w:rPr>
          <w:rFonts w:ascii="Times New Roman" w:eastAsia="Times New Roman" w:hAnsi="Times New Roman" w:cs="Times New Roman"/>
          <w:sz w:val="24"/>
          <w:szCs w:val="24"/>
        </w:rPr>
        <w:t>w wyniku</w:t>
      </w:r>
      <w:r w:rsidR="1DE618F2" w:rsidRPr="5F74275A">
        <w:rPr>
          <w:rFonts w:ascii="Times New Roman" w:eastAsia="Times New Roman" w:hAnsi="Times New Roman" w:cs="Times New Roman"/>
          <w:sz w:val="24"/>
          <w:szCs w:val="24"/>
        </w:rPr>
        <w:t xml:space="preserve"> wprowadzeni</w:t>
      </w:r>
      <w:r w:rsidR="72AC3B7B" w:rsidRPr="5F74275A">
        <w:rPr>
          <w:rFonts w:ascii="Times New Roman" w:eastAsia="Times New Roman" w:hAnsi="Times New Roman" w:cs="Times New Roman"/>
          <w:sz w:val="24"/>
          <w:szCs w:val="24"/>
        </w:rPr>
        <w:t>a</w:t>
      </w:r>
      <w:r w:rsidR="1DE618F2" w:rsidRPr="5F74275A">
        <w:rPr>
          <w:rFonts w:ascii="Times New Roman" w:eastAsia="Times New Roman" w:hAnsi="Times New Roman" w:cs="Times New Roman"/>
          <w:sz w:val="24"/>
          <w:szCs w:val="24"/>
        </w:rPr>
        <w:t xml:space="preserve"> </w:t>
      </w:r>
      <w:r w:rsidR="31C6F213" w:rsidRPr="5F74275A">
        <w:rPr>
          <w:rFonts w:ascii="Times New Roman" w:eastAsia="Times New Roman" w:hAnsi="Times New Roman" w:cs="Times New Roman"/>
          <w:sz w:val="24"/>
          <w:szCs w:val="24"/>
        </w:rPr>
        <w:t>stopni</w:t>
      </w:r>
      <w:r w:rsidR="239DA4CD" w:rsidRPr="5F74275A">
        <w:rPr>
          <w:rFonts w:ascii="Times New Roman" w:eastAsia="Times New Roman" w:hAnsi="Times New Roman" w:cs="Times New Roman"/>
          <w:sz w:val="24"/>
          <w:szCs w:val="24"/>
        </w:rPr>
        <w:t>a</w:t>
      </w:r>
      <w:r w:rsidR="31C6F213" w:rsidRPr="5F74275A">
        <w:rPr>
          <w:rFonts w:ascii="Times New Roman" w:eastAsia="Times New Roman" w:hAnsi="Times New Roman" w:cs="Times New Roman"/>
          <w:sz w:val="24"/>
          <w:szCs w:val="24"/>
        </w:rPr>
        <w:t xml:space="preserve"> alarmow</w:t>
      </w:r>
      <w:r w:rsidR="74C2C1B5" w:rsidRPr="5F74275A">
        <w:rPr>
          <w:rFonts w:ascii="Times New Roman" w:eastAsia="Times New Roman" w:hAnsi="Times New Roman" w:cs="Times New Roman"/>
          <w:sz w:val="24"/>
          <w:szCs w:val="24"/>
        </w:rPr>
        <w:t>ego</w:t>
      </w:r>
      <w:r w:rsidR="31C6F213" w:rsidRPr="5F74275A">
        <w:rPr>
          <w:rFonts w:ascii="Times New Roman" w:eastAsia="Times New Roman" w:hAnsi="Times New Roman" w:cs="Times New Roman"/>
          <w:sz w:val="24"/>
          <w:szCs w:val="24"/>
        </w:rPr>
        <w:t xml:space="preserve"> CRP</w:t>
      </w:r>
      <w:r w:rsidR="04AD1DDB" w:rsidRPr="5F74275A">
        <w:rPr>
          <w:rFonts w:ascii="Times New Roman" w:eastAsia="Times New Roman" w:hAnsi="Times New Roman" w:cs="Times New Roman"/>
          <w:sz w:val="24"/>
          <w:szCs w:val="24"/>
        </w:rPr>
        <w:t xml:space="preserve">, a także ograniczeń </w:t>
      </w:r>
      <w:r w:rsidR="09A3B7AF" w:rsidRPr="5F74275A">
        <w:rPr>
          <w:rFonts w:ascii="Times New Roman" w:eastAsia="Times New Roman" w:hAnsi="Times New Roman" w:cs="Times New Roman"/>
          <w:sz w:val="24"/>
          <w:szCs w:val="24"/>
        </w:rPr>
        <w:t>dotyczących</w:t>
      </w:r>
      <w:r w:rsidR="04AD1DDB" w:rsidRPr="5F74275A">
        <w:rPr>
          <w:rFonts w:ascii="Times New Roman" w:eastAsia="Times New Roman" w:hAnsi="Times New Roman" w:cs="Times New Roman"/>
          <w:sz w:val="24"/>
          <w:szCs w:val="24"/>
        </w:rPr>
        <w:t xml:space="preserve"> używania urządzeń radiowych w przypadku</w:t>
      </w:r>
      <w:r w:rsidR="38F90FD7" w:rsidRPr="5F74275A">
        <w:rPr>
          <w:rFonts w:ascii="Times New Roman" w:eastAsia="Times New Roman" w:hAnsi="Times New Roman" w:cs="Times New Roman"/>
          <w:sz w:val="24"/>
          <w:szCs w:val="24"/>
        </w:rPr>
        <w:t xml:space="preserve"> wystąpienia trwałych lub cyklicznych zakłóceń urządzenia radiowego wykorzystywanego bezpośrednio na rzecz obronności, cyberbezpieczeństwa, bezpieczeństwa państwa oraz bezpieczeństwa i porządku publicznego</w:t>
      </w:r>
      <w:r w:rsidR="31C6F213" w:rsidRPr="5F74275A">
        <w:rPr>
          <w:rFonts w:ascii="Times New Roman" w:eastAsia="Times New Roman" w:hAnsi="Times New Roman" w:cs="Times New Roman"/>
          <w:sz w:val="24"/>
          <w:szCs w:val="24"/>
        </w:rPr>
        <w:t xml:space="preserve">. </w:t>
      </w:r>
      <w:r w:rsidR="6FCB8955" w:rsidRPr="5F74275A">
        <w:rPr>
          <w:rFonts w:ascii="Times New Roman" w:eastAsia="Times New Roman" w:hAnsi="Times New Roman" w:cs="Times New Roman"/>
          <w:sz w:val="24"/>
          <w:szCs w:val="24"/>
        </w:rPr>
        <w:t>Ma to na celu</w:t>
      </w:r>
      <w:r w:rsidR="6FCB8955" w:rsidRPr="5F74275A">
        <w:rPr>
          <w:rFonts w:ascii="Calibri" w:eastAsia="Calibri" w:hAnsi="Calibri" w:cs="Calibri"/>
          <w:sz w:val="24"/>
          <w:szCs w:val="24"/>
        </w:rPr>
        <w:t xml:space="preserve"> uwzglę</w:t>
      </w:r>
      <w:r w:rsidR="6FCB8955" w:rsidRPr="005F69BF">
        <w:rPr>
          <w:rFonts w:ascii="Times New Roman" w:eastAsia="Times New Roman" w:hAnsi="Times New Roman" w:cs="Times New Roman"/>
          <w:sz w:val="24"/>
          <w:szCs w:val="24"/>
        </w:rPr>
        <w:t>dnienie nagłych i na chwilę obecną niedających się przewidzieć sytuacji, w których infrastruktura przedsiębiorcy komunikacji elektronicznej może mieć negatywny wpływ na systemy radioelektroniczne, w skład których wchodzą urządzenia radiowe, a których prawidłowe i niezakłócone działanie służy do realizacji celów związanych z zapewnieniem bezpieczeńs</w:t>
      </w:r>
      <w:r w:rsidR="6E011E26" w:rsidRPr="005F69BF">
        <w:rPr>
          <w:rFonts w:ascii="Times New Roman" w:eastAsia="Times New Roman" w:hAnsi="Times New Roman" w:cs="Times New Roman"/>
          <w:sz w:val="24"/>
          <w:szCs w:val="24"/>
        </w:rPr>
        <w:t>twa państwa.</w:t>
      </w:r>
      <w:r w:rsidR="50DA2E03" w:rsidRPr="5F74275A">
        <w:rPr>
          <w:rFonts w:ascii="Times New Roman" w:eastAsia="Times New Roman" w:hAnsi="Times New Roman" w:cs="Times New Roman"/>
          <w:sz w:val="24"/>
          <w:szCs w:val="24"/>
        </w:rPr>
        <w:t xml:space="preserve"> O</w:t>
      </w:r>
      <w:r w:rsidR="50DA2E03" w:rsidRPr="005F69BF">
        <w:rPr>
          <w:rFonts w:ascii="Times New Roman" w:eastAsia="Times New Roman" w:hAnsi="Times New Roman" w:cs="Times New Roman"/>
          <w:sz w:val="24"/>
          <w:szCs w:val="24"/>
        </w:rPr>
        <w:t xml:space="preserve">głoszenie stopnia alarmowego CRP powinno być postrzegane względem sfery cyberprzestrzeni </w:t>
      </w:r>
      <w:r w:rsidR="459997A1" w:rsidRPr="005F69BF">
        <w:rPr>
          <w:rFonts w:ascii="Times New Roman" w:eastAsia="Times New Roman" w:hAnsi="Times New Roman" w:cs="Times New Roman"/>
          <w:sz w:val="24"/>
          <w:szCs w:val="24"/>
        </w:rPr>
        <w:t>jako potencjalna przesłanka do wprowa</w:t>
      </w:r>
      <w:r w:rsidR="4608604B" w:rsidRPr="005F69BF">
        <w:rPr>
          <w:rFonts w:ascii="Times New Roman" w:eastAsia="Times New Roman" w:hAnsi="Times New Roman" w:cs="Times New Roman"/>
          <w:sz w:val="24"/>
          <w:szCs w:val="24"/>
        </w:rPr>
        <w:t xml:space="preserve">dzenia przez Prezesa UKE ograniczeń </w:t>
      </w:r>
      <w:r w:rsidR="4608604B" w:rsidRPr="7707D7C3">
        <w:rPr>
          <w:rFonts w:ascii="Times New Roman" w:eastAsia="Times New Roman" w:hAnsi="Times New Roman" w:cs="Times New Roman"/>
          <w:sz w:val="24"/>
          <w:szCs w:val="24"/>
        </w:rPr>
        <w:t xml:space="preserve">w </w:t>
      </w:r>
      <w:r w:rsidR="4338C8CD" w:rsidRPr="7707D7C3">
        <w:rPr>
          <w:rFonts w:ascii="Times New Roman" w:eastAsia="Times New Roman" w:hAnsi="Times New Roman" w:cs="Times New Roman"/>
          <w:sz w:val="24"/>
          <w:szCs w:val="24"/>
        </w:rPr>
        <w:t xml:space="preserve">telekomunikacji </w:t>
      </w:r>
      <w:r w:rsidR="4608604B" w:rsidRPr="005F69BF">
        <w:rPr>
          <w:rFonts w:ascii="Times New Roman" w:eastAsia="Times New Roman" w:hAnsi="Times New Roman" w:cs="Times New Roman"/>
          <w:sz w:val="24"/>
          <w:szCs w:val="24"/>
        </w:rPr>
        <w:t xml:space="preserve">w sytuacji </w:t>
      </w:r>
      <w:r w:rsidR="42CDF88C" w:rsidRPr="005F69BF">
        <w:rPr>
          <w:rFonts w:ascii="Times New Roman" w:eastAsia="Times New Roman" w:hAnsi="Times New Roman" w:cs="Times New Roman"/>
          <w:sz w:val="24"/>
          <w:szCs w:val="24"/>
        </w:rPr>
        <w:t>pojawienia się zagrożeń cybe</w:t>
      </w:r>
      <w:r w:rsidR="1755CDCB" w:rsidRPr="7707D7C3">
        <w:rPr>
          <w:rFonts w:ascii="Times New Roman" w:eastAsia="Times New Roman" w:hAnsi="Times New Roman" w:cs="Times New Roman"/>
          <w:sz w:val="24"/>
          <w:szCs w:val="24"/>
        </w:rPr>
        <w:t>r</w:t>
      </w:r>
      <w:r w:rsidR="42CDF88C" w:rsidRPr="005F69BF">
        <w:rPr>
          <w:rFonts w:ascii="Times New Roman" w:eastAsia="Times New Roman" w:hAnsi="Times New Roman" w:cs="Times New Roman"/>
          <w:sz w:val="24"/>
          <w:szCs w:val="24"/>
        </w:rPr>
        <w:t>przestrzeni</w:t>
      </w:r>
      <w:r w:rsidR="50DA2E03" w:rsidRPr="005F69BF">
        <w:rPr>
          <w:rFonts w:ascii="Times New Roman" w:eastAsia="Times New Roman" w:hAnsi="Times New Roman" w:cs="Times New Roman"/>
          <w:sz w:val="24"/>
          <w:szCs w:val="24"/>
        </w:rPr>
        <w:t xml:space="preserve">. </w:t>
      </w:r>
    </w:p>
    <w:p w14:paraId="3B6913FA" w14:textId="0CCEEAC5" w:rsidR="6F412A00" w:rsidRPr="003A42FB" w:rsidRDefault="4626C8C9"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Ponadto, celem ograniczenia liczby podmiotów mogących wystąpić do Prezesa UKE z </w:t>
      </w:r>
      <w:r w:rsidR="0866AE22" w:rsidRPr="003A42FB">
        <w:rPr>
          <w:rFonts w:ascii="Times New Roman" w:eastAsia="Times New Roman" w:hAnsi="Times New Roman" w:cs="Times New Roman"/>
          <w:sz w:val="24"/>
          <w:szCs w:val="24"/>
        </w:rPr>
        <w:t xml:space="preserve">uzasadnionym </w:t>
      </w:r>
      <w:r w:rsidRPr="003A42FB">
        <w:rPr>
          <w:rFonts w:ascii="Times New Roman" w:eastAsia="Times New Roman" w:hAnsi="Times New Roman" w:cs="Times New Roman"/>
          <w:sz w:val="24"/>
          <w:szCs w:val="24"/>
        </w:rPr>
        <w:t xml:space="preserve">wnioskiem o wydanie powyższej decyzji, zrezygnowano z bardzo szerokiego katalogu tych podmiotów i wskazano tylko kilka, tj. </w:t>
      </w:r>
      <w:r w:rsidR="49B1B856" w:rsidRPr="7707D7C3">
        <w:rPr>
          <w:rFonts w:ascii="Times New Roman" w:eastAsia="Times New Roman" w:hAnsi="Times New Roman" w:cs="Times New Roman"/>
          <w:sz w:val="24"/>
          <w:szCs w:val="24"/>
        </w:rPr>
        <w:t xml:space="preserve">Ministra Obrony Narodowej, </w:t>
      </w:r>
      <w:r w:rsidRPr="003A42FB">
        <w:rPr>
          <w:rFonts w:ascii="Times New Roman" w:eastAsia="Times New Roman" w:hAnsi="Times New Roman" w:cs="Times New Roman"/>
          <w:sz w:val="24"/>
          <w:szCs w:val="24"/>
        </w:rPr>
        <w:t xml:space="preserve">Komendanta Głównego Policji, </w:t>
      </w:r>
      <w:r w:rsidR="6C36F430" w:rsidRPr="7707D7C3">
        <w:rPr>
          <w:rFonts w:ascii="Times New Roman" w:eastAsia="Times New Roman" w:hAnsi="Times New Roman" w:cs="Times New Roman"/>
          <w:sz w:val="24"/>
          <w:szCs w:val="24"/>
        </w:rPr>
        <w:t>Komendanta Centralnego Biura Śledczego Policji,</w:t>
      </w:r>
      <w:r w:rsidRPr="7707D7C3">
        <w:rPr>
          <w:rFonts w:ascii="Times New Roman" w:eastAsia="Times New Roman" w:hAnsi="Times New Roman" w:cs="Times New Roman"/>
          <w:sz w:val="24"/>
          <w:szCs w:val="24"/>
        </w:rPr>
        <w:t xml:space="preserve"> </w:t>
      </w:r>
      <w:r w:rsidRPr="003A42FB">
        <w:rPr>
          <w:rFonts w:ascii="Times New Roman" w:eastAsia="Times New Roman" w:hAnsi="Times New Roman" w:cs="Times New Roman"/>
          <w:sz w:val="24"/>
          <w:szCs w:val="24"/>
        </w:rPr>
        <w:t xml:space="preserve">komendanta wojewódzkiego Policji, Komendanta Głównego Straży Granicznej, Komendanta Głównego Żandarmerii Wojskowej, Szefa Agencji Bezpieczeństwa Wewnętrznego, Szefa Służby Kontrwywiadu Wojskowego </w:t>
      </w:r>
      <w:r w:rsidR="39651EA8" w:rsidRPr="7707D7C3">
        <w:rPr>
          <w:rFonts w:ascii="Times New Roman" w:eastAsia="Times New Roman" w:hAnsi="Times New Roman" w:cs="Times New Roman"/>
          <w:sz w:val="24"/>
          <w:szCs w:val="24"/>
        </w:rPr>
        <w:t>oraz</w:t>
      </w:r>
      <w:r w:rsidRPr="003A42FB">
        <w:rPr>
          <w:rFonts w:ascii="Times New Roman" w:eastAsia="Times New Roman" w:hAnsi="Times New Roman" w:cs="Times New Roman"/>
          <w:sz w:val="24"/>
          <w:szCs w:val="24"/>
        </w:rPr>
        <w:t xml:space="preserve"> Komendanta Służby Ochrony Państwa.</w:t>
      </w:r>
      <w:r w:rsidR="35C20F30" w:rsidRPr="7707D7C3">
        <w:rPr>
          <w:rFonts w:ascii="Times New Roman" w:eastAsia="Times New Roman" w:hAnsi="Times New Roman" w:cs="Times New Roman"/>
          <w:sz w:val="24"/>
          <w:szCs w:val="24"/>
        </w:rPr>
        <w:t xml:space="preserve"> </w:t>
      </w:r>
      <w:r w:rsidR="3F407A2E" w:rsidRPr="7707D7C3">
        <w:rPr>
          <w:rFonts w:ascii="Times New Roman" w:eastAsia="Times New Roman" w:hAnsi="Times New Roman" w:cs="Times New Roman"/>
          <w:sz w:val="24"/>
          <w:szCs w:val="24"/>
        </w:rPr>
        <w:t xml:space="preserve">Nową regulacją jest </w:t>
      </w:r>
      <w:r w:rsidR="35C20F30" w:rsidRPr="7707D7C3">
        <w:rPr>
          <w:rFonts w:ascii="Times New Roman" w:eastAsia="Times New Roman" w:hAnsi="Times New Roman" w:cs="Times New Roman"/>
          <w:sz w:val="24"/>
          <w:szCs w:val="24"/>
        </w:rPr>
        <w:t>też</w:t>
      </w:r>
      <w:r w:rsidR="75459522" w:rsidRPr="7707D7C3">
        <w:rPr>
          <w:rFonts w:ascii="Times New Roman" w:eastAsia="Times New Roman" w:hAnsi="Times New Roman" w:cs="Times New Roman"/>
          <w:sz w:val="24"/>
          <w:szCs w:val="24"/>
        </w:rPr>
        <w:t xml:space="preserve"> to</w:t>
      </w:r>
      <w:r w:rsidR="35C20F30" w:rsidRPr="7707D7C3">
        <w:rPr>
          <w:rFonts w:ascii="Times New Roman" w:eastAsia="Times New Roman" w:hAnsi="Times New Roman" w:cs="Times New Roman"/>
          <w:sz w:val="24"/>
          <w:szCs w:val="24"/>
        </w:rPr>
        <w:t xml:space="preserve">, że </w:t>
      </w:r>
      <w:r w:rsidR="6ECA1017" w:rsidRPr="7707D7C3">
        <w:rPr>
          <w:rFonts w:ascii="Times New Roman" w:eastAsia="Times New Roman" w:hAnsi="Times New Roman" w:cs="Times New Roman"/>
          <w:sz w:val="24"/>
          <w:szCs w:val="24"/>
        </w:rPr>
        <w:t>decyzja ogłoszona ustnie doręczana jest stronie na piśmie w terminie 14 dni od dnia jej ogłoszenia.</w:t>
      </w:r>
    </w:p>
    <w:p w14:paraId="022653A2" w14:textId="79115078" w:rsidR="00AE4E8D" w:rsidRPr="003A42FB" w:rsidRDefault="00AE4E8D"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sz w:val="24"/>
          <w:szCs w:val="24"/>
        </w:rPr>
        <w:t xml:space="preserve">Art. </w:t>
      </w:r>
      <w:r w:rsidR="7D009DAD" w:rsidRPr="7707D7C3">
        <w:rPr>
          <w:rFonts w:ascii="Times New Roman" w:eastAsia="Times New Roman" w:hAnsi="Times New Roman" w:cs="Times New Roman"/>
          <w:b/>
          <w:bCs/>
          <w:sz w:val="24"/>
          <w:szCs w:val="24"/>
        </w:rPr>
        <w:t>41</w:t>
      </w:r>
    </w:p>
    <w:p w14:paraId="213FCD4C" w14:textId="06F694CF" w:rsidR="6F412A00" w:rsidRDefault="6F412A00" w:rsidP="7707D7C3">
      <w:pPr>
        <w:spacing w:after="120" w:line="240" w:lineRule="auto"/>
        <w:jc w:val="both"/>
        <w:rPr>
          <w:rFonts w:ascii="Times New Roman" w:eastAsia="Times New Roman" w:hAnsi="Times New Roman" w:cs="Times New Roman"/>
          <w:sz w:val="24"/>
          <w:szCs w:val="24"/>
        </w:rPr>
      </w:pPr>
      <w:r w:rsidRPr="7707D7C3">
        <w:rPr>
          <w:rFonts w:ascii="Times New Roman" w:eastAsia="Times New Roman" w:hAnsi="Times New Roman" w:cs="Times New Roman"/>
          <w:sz w:val="24"/>
          <w:szCs w:val="24"/>
        </w:rPr>
        <w:t xml:space="preserve">W art. </w:t>
      </w:r>
      <w:r w:rsidR="68942820" w:rsidRPr="7707D7C3">
        <w:rPr>
          <w:rFonts w:ascii="Times New Roman" w:eastAsia="Times New Roman" w:hAnsi="Times New Roman" w:cs="Times New Roman"/>
          <w:sz w:val="24"/>
          <w:szCs w:val="24"/>
        </w:rPr>
        <w:t>41</w:t>
      </w:r>
      <w:r w:rsidRPr="7707D7C3">
        <w:rPr>
          <w:rFonts w:ascii="Times New Roman" w:eastAsia="Times New Roman" w:hAnsi="Times New Roman" w:cs="Times New Roman"/>
          <w:sz w:val="24"/>
          <w:szCs w:val="24"/>
        </w:rPr>
        <w:t xml:space="preserve"> utrzymano przepisy </w:t>
      </w:r>
      <w:r w:rsidR="08130B7D" w:rsidRPr="7707D7C3">
        <w:rPr>
          <w:rFonts w:ascii="Times New Roman" w:eastAsia="Times New Roman" w:hAnsi="Times New Roman" w:cs="Times New Roman"/>
          <w:sz w:val="24"/>
          <w:szCs w:val="24"/>
        </w:rPr>
        <w:t xml:space="preserve">dotyczące </w:t>
      </w:r>
      <w:r w:rsidR="3C8591B1" w:rsidRPr="7707D7C3">
        <w:rPr>
          <w:rFonts w:ascii="Times New Roman" w:eastAsia="Times New Roman" w:hAnsi="Times New Roman" w:cs="Times New Roman"/>
          <w:sz w:val="24"/>
          <w:szCs w:val="24"/>
        </w:rPr>
        <w:t xml:space="preserve">udostępniania przez przedsiębiorców telekomunikacyjnych urządzeń telekomunikacyjnych do przeprowadzania akcji ratowniczej, a </w:t>
      </w:r>
      <w:r w:rsidR="3C8591B1" w:rsidRPr="7707D7C3">
        <w:rPr>
          <w:rFonts w:ascii="Times New Roman" w:eastAsia="Times New Roman" w:hAnsi="Times New Roman" w:cs="Times New Roman"/>
          <w:sz w:val="24"/>
          <w:szCs w:val="24"/>
        </w:rPr>
        <w:lastRenderedPageBreak/>
        <w:t xml:space="preserve">także </w:t>
      </w:r>
      <w:r w:rsidR="08130B7D" w:rsidRPr="7707D7C3">
        <w:rPr>
          <w:rFonts w:ascii="Times New Roman" w:eastAsia="Times New Roman" w:hAnsi="Times New Roman" w:cs="Times New Roman"/>
          <w:sz w:val="24"/>
          <w:szCs w:val="24"/>
        </w:rPr>
        <w:t>możliwości udostępniania w sytuacji szczególnego zagrożenia przez podmioty niebędące przedsiębiorcami telekomunikacyjnymi radiowych (głównie środowisko radioamatorskie) urządzeń nadawczych lub nadawczo-odbiorczych stosowanych w służbach radiokomunikacyjnych, niezbędnych do przeprowadzania akcji ratowniczych</w:t>
      </w:r>
      <w:r w:rsidR="05A067EB" w:rsidRPr="7707D7C3">
        <w:rPr>
          <w:rFonts w:ascii="Times New Roman" w:eastAsia="Times New Roman" w:hAnsi="Times New Roman" w:cs="Times New Roman"/>
          <w:sz w:val="24"/>
          <w:szCs w:val="24"/>
        </w:rPr>
        <w:t xml:space="preserve"> o zasięgu międzynarodowym</w:t>
      </w:r>
      <w:r w:rsidR="08130B7D" w:rsidRPr="7707D7C3">
        <w:rPr>
          <w:rFonts w:ascii="Times New Roman" w:eastAsia="Times New Roman" w:hAnsi="Times New Roman" w:cs="Times New Roman"/>
          <w:sz w:val="24"/>
          <w:szCs w:val="24"/>
        </w:rPr>
        <w:t>.</w:t>
      </w:r>
      <w:r w:rsidR="6C397FB9" w:rsidRPr="7707D7C3">
        <w:rPr>
          <w:rFonts w:ascii="Times New Roman" w:eastAsia="Times New Roman" w:hAnsi="Times New Roman" w:cs="Times New Roman"/>
          <w:sz w:val="24"/>
          <w:szCs w:val="24"/>
        </w:rPr>
        <w:t xml:space="preserve"> Doprecyzowano </w:t>
      </w:r>
      <w:r w:rsidR="1E956A45" w:rsidRPr="7707D7C3">
        <w:rPr>
          <w:rFonts w:ascii="Times New Roman" w:eastAsia="Times New Roman" w:hAnsi="Times New Roman" w:cs="Times New Roman"/>
          <w:sz w:val="24"/>
          <w:szCs w:val="24"/>
        </w:rPr>
        <w:t>jednocześnie</w:t>
      </w:r>
      <w:r w:rsidR="0D5A88AB" w:rsidRPr="7707D7C3">
        <w:rPr>
          <w:rFonts w:ascii="Times New Roman" w:eastAsia="Times New Roman" w:hAnsi="Times New Roman" w:cs="Times New Roman"/>
          <w:sz w:val="24"/>
          <w:szCs w:val="24"/>
        </w:rPr>
        <w:t xml:space="preserve"> kilka kwestii</w:t>
      </w:r>
      <w:r w:rsidR="743AB56B" w:rsidRPr="7707D7C3">
        <w:rPr>
          <w:rFonts w:ascii="Times New Roman" w:eastAsia="Times New Roman" w:hAnsi="Times New Roman" w:cs="Times New Roman"/>
          <w:sz w:val="24"/>
          <w:szCs w:val="24"/>
        </w:rPr>
        <w:t xml:space="preserve">, przy czym </w:t>
      </w:r>
      <w:r w:rsidR="1B8978E9" w:rsidRPr="7707D7C3">
        <w:rPr>
          <w:rFonts w:ascii="Times New Roman" w:eastAsia="Times New Roman" w:hAnsi="Times New Roman" w:cs="Times New Roman"/>
          <w:sz w:val="24"/>
          <w:szCs w:val="24"/>
        </w:rPr>
        <w:t xml:space="preserve">regulacją ustawową objęto na jednakowych zasadach </w:t>
      </w:r>
      <w:r w:rsidR="34E4A57E" w:rsidRPr="7707D7C3">
        <w:rPr>
          <w:rFonts w:ascii="Times New Roman" w:eastAsia="Times New Roman" w:hAnsi="Times New Roman" w:cs="Times New Roman"/>
          <w:sz w:val="24"/>
          <w:szCs w:val="24"/>
        </w:rPr>
        <w:t>również udostępnianie urządzeń telekomunikacyjnych przez przedsiębiorców telekomunikacyjnych.</w:t>
      </w:r>
      <w:r w:rsidR="5F24F7EE" w:rsidRPr="7707D7C3">
        <w:rPr>
          <w:rFonts w:ascii="Times New Roman" w:eastAsia="Times New Roman" w:hAnsi="Times New Roman" w:cs="Times New Roman"/>
          <w:sz w:val="24"/>
          <w:szCs w:val="24"/>
        </w:rPr>
        <w:t xml:space="preserve"> Dotyczą one: wskazania</w:t>
      </w:r>
      <w:r w:rsidR="1E956A45" w:rsidRPr="7707D7C3">
        <w:rPr>
          <w:rFonts w:ascii="Times New Roman" w:eastAsia="Times New Roman" w:hAnsi="Times New Roman" w:cs="Times New Roman"/>
          <w:sz w:val="24"/>
          <w:szCs w:val="24"/>
        </w:rPr>
        <w:t xml:space="preserve">, że podstawę udostępnienia </w:t>
      </w:r>
      <w:r w:rsidR="04C80FBD" w:rsidRPr="7707D7C3">
        <w:rPr>
          <w:rFonts w:ascii="Times New Roman" w:eastAsia="Times New Roman" w:hAnsi="Times New Roman" w:cs="Times New Roman"/>
          <w:sz w:val="24"/>
          <w:szCs w:val="24"/>
        </w:rPr>
        <w:t xml:space="preserve">w obu przypadkach </w:t>
      </w:r>
      <w:r w:rsidR="1E956A45" w:rsidRPr="7707D7C3">
        <w:rPr>
          <w:rFonts w:ascii="Times New Roman" w:eastAsia="Times New Roman" w:hAnsi="Times New Roman" w:cs="Times New Roman"/>
          <w:sz w:val="24"/>
          <w:szCs w:val="24"/>
        </w:rPr>
        <w:t xml:space="preserve">stanowi pisemne lub </w:t>
      </w:r>
      <w:r w:rsidR="2E2AD0D9" w:rsidRPr="7707D7C3">
        <w:rPr>
          <w:rFonts w:ascii="Times New Roman" w:eastAsia="Times New Roman" w:hAnsi="Times New Roman" w:cs="Times New Roman"/>
          <w:sz w:val="24"/>
          <w:szCs w:val="24"/>
        </w:rPr>
        <w:t xml:space="preserve">ewentualnie </w:t>
      </w:r>
      <w:r w:rsidR="1E956A45" w:rsidRPr="7707D7C3">
        <w:rPr>
          <w:rFonts w:ascii="Times New Roman" w:eastAsia="Times New Roman" w:hAnsi="Times New Roman" w:cs="Times New Roman"/>
          <w:sz w:val="24"/>
          <w:szCs w:val="24"/>
        </w:rPr>
        <w:t>ustne żądanie</w:t>
      </w:r>
      <w:r w:rsidR="763B0D6C" w:rsidRPr="7707D7C3">
        <w:rPr>
          <w:rFonts w:ascii="Times New Roman" w:eastAsia="Times New Roman" w:hAnsi="Times New Roman" w:cs="Times New Roman"/>
          <w:sz w:val="24"/>
          <w:szCs w:val="24"/>
        </w:rPr>
        <w:t xml:space="preserve"> podmiotu</w:t>
      </w:r>
      <w:r w:rsidR="7F558391" w:rsidRPr="7707D7C3">
        <w:rPr>
          <w:rFonts w:ascii="Times New Roman" w:eastAsia="Times New Roman" w:hAnsi="Times New Roman" w:cs="Times New Roman"/>
          <w:sz w:val="24"/>
          <w:szCs w:val="24"/>
        </w:rPr>
        <w:t xml:space="preserve"> żądającego udostępnienia, trybu zwrotu urządzenia</w:t>
      </w:r>
      <w:r w:rsidR="7FD9B5B3" w:rsidRPr="7707D7C3">
        <w:rPr>
          <w:rFonts w:ascii="Times New Roman" w:eastAsia="Times New Roman" w:hAnsi="Times New Roman" w:cs="Times New Roman"/>
          <w:sz w:val="24"/>
          <w:szCs w:val="24"/>
        </w:rPr>
        <w:t xml:space="preserve"> oraz postępowania w przypadku utraty lub zniszczenia urządzenia</w:t>
      </w:r>
      <w:r w:rsidR="1E956A45" w:rsidRPr="7707D7C3">
        <w:rPr>
          <w:rFonts w:ascii="Times New Roman" w:eastAsia="Times New Roman" w:hAnsi="Times New Roman" w:cs="Times New Roman"/>
          <w:sz w:val="24"/>
          <w:szCs w:val="24"/>
        </w:rPr>
        <w:t>.</w:t>
      </w:r>
      <w:r w:rsidR="657D5538" w:rsidRPr="7707D7C3">
        <w:rPr>
          <w:rFonts w:ascii="Times New Roman" w:eastAsia="Times New Roman" w:hAnsi="Times New Roman" w:cs="Times New Roman"/>
          <w:sz w:val="24"/>
          <w:szCs w:val="24"/>
        </w:rPr>
        <w:t xml:space="preserve"> W upoważnieniu ustawowym stanowiącym podstawę do wydania rozporządzenia </w:t>
      </w:r>
      <w:r w:rsidR="1DD10D7E" w:rsidRPr="7707D7C3">
        <w:rPr>
          <w:rFonts w:ascii="Times New Roman" w:eastAsia="Times New Roman" w:hAnsi="Times New Roman" w:cs="Times New Roman"/>
          <w:sz w:val="24"/>
          <w:szCs w:val="24"/>
        </w:rPr>
        <w:t>ujęto potrzebę uregulowania również kwestii udostępniania urządzeń telekomuni</w:t>
      </w:r>
      <w:r w:rsidR="0374AD03" w:rsidRPr="7707D7C3">
        <w:rPr>
          <w:rFonts w:ascii="Times New Roman" w:eastAsia="Times New Roman" w:hAnsi="Times New Roman" w:cs="Times New Roman"/>
          <w:sz w:val="24"/>
          <w:szCs w:val="24"/>
        </w:rPr>
        <w:t xml:space="preserve">kacyjnych rzez przedsiębiorców telekomunikacyjnych. Upoważnienie rozszerzono o </w:t>
      </w:r>
      <w:r w:rsidR="79E91857" w:rsidRPr="7707D7C3">
        <w:rPr>
          <w:rFonts w:ascii="Times New Roman" w:eastAsia="Times New Roman" w:hAnsi="Times New Roman" w:cs="Times New Roman"/>
          <w:sz w:val="24"/>
          <w:szCs w:val="24"/>
        </w:rPr>
        <w:t>określenie trybu i sposobu zwrotu urządzenia.</w:t>
      </w:r>
    </w:p>
    <w:p w14:paraId="2821D199" w14:textId="0C339523" w:rsidR="7707D7C3" w:rsidRDefault="7707D7C3" w:rsidP="7707D7C3">
      <w:pPr>
        <w:spacing w:after="120" w:line="240" w:lineRule="auto"/>
        <w:jc w:val="both"/>
        <w:rPr>
          <w:rFonts w:ascii="Times New Roman" w:eastAsia="Times New Roman" w:hAnsi="Times New Roman" w:cs="Times New Roman"/>
          <w:sz w:val="24"/>
          <w:szCs w:val="24"/>
        </w:rPr>
      </w:pPr>
    </w:p>
    <w:p w14:paraId="5E1CAEA2" w14:textId="0DC15765" w:rsidR="6F412A00" w:rsidRPr="003A42FB" w:rsidRDefault="102B146C"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W projekcie ustawy zrezygnowano z przepisu zawartego w aktualnym </w:t>
      </w:r>
      <w:r w:rsidRPr="005F69BF">
        <w:rPr>
          <w:rFonts w:ascii="Times New Roman" w:eastAsia="Times New Roman" w:hAnsi="Times New Roman" w:cs="Times New Roman"/>
          <w:b/>
          <w:sz w:val="24"/>
          <w:szCs w:val="24"/>
        </w:rPr>
        <w:t>art. 179 ust. 2 ustawy – Prawo telekomunikacyjne</w:t>
      </w:r>
      <w:r w:rsidRPr="003A42FB">
        <w:rPr>
          <w:rFonts w:ascii="Times New Roman" w:eastAsia="Times New Roman" w:hAnsi="Times New Roman" w:cs="Times New Roman"/>
          <w:sz w:val="24"/>
          <w:szCs w:val="24"/>
        </w:rPr>
        <w:t xml:space="preserve">. </w:t>
      </w:r>
      <w:r w:rsidR="7447150D" w:rsidRPr="003A42FB">
        <w:rPr>
          <w:rFonts w:ascii="Times New Roman" w:eastAsia="Times New Roman" w:hAnsi="Times New Roman" w:cs="Times New Roman"/>
          <w:sz w:val="24"/>
          <w:szCs w:val="24"/>
        </w:rPr>
        <w:t>ze względu na fakt, że nie zawiera żadnej normy prawnej, lecz jedynie informację, że przedsiębiorca wykonuje obowiązki zawarte w planach, decyzjach i umowach</w:t>
      </w:r>
      <w:r w:rsidR="30ED6F66" w:rsidRPr="003A42FB">
        <w:rPr>
          <w:rFonts w:ascii="Times New Roman" w:eastAsia="Times New Roman" w:hAnsi="Times New Roman" w:cs="Times New Roman"/>
          <w:sz w:val="24"/>
          <w:szCs w:val="24"/>
        </w:rPr>
        <w:t xml:space="preserve">, celem </w:t>
      </w:r>
      <w:r w:rsidR="6F3AC3A4" w:rsidRPr="003A42FB">
        <w:rPr>
          <w:rFonts w:ascii="Times New Roman" w:eastAsia="Times New Roman" w:hAnsi="Times New Roman" w:cs="Times New Roman"/>
          <w:sz w:val="24"/>
          <w:szCs w:val="24"/>
        </w:rPr>
        <w:t>p</w:t>
      </w:r>
      <w:r w:rsidR="30ED6F66" w:rsidRPr="003A42FB">
        <w:rPr>
          <w:rFonts w:ascii="Times New Roman" w:eastAsia="Times New Roman" w:hAnsi="Times New Roman" w:cs="Times New Roman"/>
          <w:sz w:val="24"/>
          <w:szCs w:val="24"/>
        </w:rPr>
        <w:t>rzygotowania i utrzymania wskazanych elementów sieci telekomunikacyjnyc</w:t>
      </w:r>
      <w:r w:rsidR="54081843" w:rsidRPr="003A42FB">
        <w:rPr>
          <w:rFonts w:ascii="Times New Roman" w:eastAsia="Times New Roman" w:hAnsi="Times New Roman" w:cs="Times New Roman"/>
          <w:sz w:val="24"/>
          <w:szCs w:val="24"/>
        </w:rPr>
        <w:t>h na potrzeby systemu kierowania bezpieczeństwem narodowym. T</w:t>
      </w:r>
      <w:r w:rsidR="7447150D" w:rsidRPr="003A42FB">
        <w:rPr>
          <w:rFonts w:ascii="Times New Roman" w:eastAsia="Times New Roman" w:hAnsi="Times New Roman" w:cs="Times New Roman"/>
          <w:sz w:val="24"/>
          <w:szCs w:val="24"/>
        </w:rPr>
        <w:t>akie obowiązki nie dotyczą wszystkich przedsiębiorców telekomunikacyjnych, lecz</w:t>
      </w:r>
      <w:r w:rsidR="23C24550" w:rsidRPr="003A42FB">
        <w:rPr>
          <w:rFonts w:ascii="Times New Roman" w:eastAsia="Times New Roman" w:hAnsi="Times New Roman" w:cs="Times New Roman"/>
          <w:sz w:val="24"/>
          <w:szCs w:val="24"/>
        </w:rPr>
        <w:t xml:space="preserve"> tych, których te decyzje, umowy i plany dotyczą.</w:t>
      </w:r>
      <w:r w:rsidR="131E574D" w:rsidRPr="003A42FB">
        <w:rPr>
          <w:rFonts w:ascii="Times New Roman" w:eastAsia="Times New Roman" w:hAnsi="Times New Roman" w:cs="Times New Roman"/>
          <w:sz w:val="24"/>
          <w:szCs w:val="24"/>
        </w:rPr>
        <w:t xml:space="preserve"> </w:t>
      </w:r>
      <w:r w:rsidR="7447150D" w:rsidRPr="003A42FB">
        <w:rPr>
          <w:rFonts w:ascii="Times New Roman" w:eastAsia="Times New Roman" w:hAnsi="Times New Roman" w:cs="Times New Roman"/>
          <w:sz w:val="24"/>
          <w:szCs w:val="24"/>
        </w:rPr>
        <w:t xml:space="preserve">Taki przepis może </w:t>
      </w:r>
      <w:r w:rsidR="1F8DEA1D" w:rsidRPr="003A42FB">
        <w:rPr>
          <w:rFonts w:ascii="Times New Roman" w:eastAsia="Times New Roman" w:hAnsi="Times New Roman" w:cs="Times New Roman"/>
          <w:sz w:val="24"/>
          <w:szCs w:val="24"/>
        </w:rPr>
        <w:t>być niezrozumiały dla</w:t>
      </w:r>
      <w:r w:rsidR="7447150D" w:rsidRPr="003A42FB">
        <w:rPr>
          <w:rFonts w:ascii="Times New Roman" w:eastAsia="Times New Roman" w:hAnsi="Times New Roman" w:cs="Times New Roman"/>
          <w:sz w:val="24"/>
          <w:szCs w:val="24"/>
        </w:rPr>
        <w:t xml:space="preserve"> przedsiębiorcy</w:t>
      </w:r>
      <w:r w:rsidR="0D96B506" w:rsidRPr="003A42FB">
        <w:rPr>
          <w:rFonts w:ascii="Times New Roman" w:eastAsia="Times New Roman" w:hAnsi="Times New Roman" w:cs="Times New Roman"/>
          <w:sz w:val="24"/>
          <w:szCs w:val="24"/>
        </w:rPr>
        <w:t xml:space="preserve"> telekomunikacyjnego</w:t>
      </w:r>
      <w:r w:rsidR="1843864D" w:rsidRPr="003A42FB">
        <w:rPr>
          <w:rFonts w:ascii="Times New Roman" w:eastAsia="Times New Roman" w:hAnsi="Times New Roman" w:cs="Times New Roman"/>
          <w:sz w:val="24"/>
          <w:szCs w:val="24"/>
        </w:rPr>
        <w:t xml:space="preserve"> (zwłaszcza małego, prowadzącego działalności na </w:t>
      </w:r>
      <w:r w:rsidR="58495CEA" w:rsidRPr="003A42FB">
        <w:rPr>
          <w:rFonts w:ascii="Times New Roman" w:eastAsia="Times New Roman" w:hAnsi="Times New Roman" w:cs="Times New Roman"/>
          <w:sz w:val="24"/>
          <w:szCs w:val="24"/>
        </w:rPr>
        <w:t>niewielkim</w:t>
      </w:r>
      <w:r w:rsidR="1843864D" w:rsidRPr="003A42FB">
        <w:rPr>
          <w:rFonts w:ascii="Times New Roman" w:eastAsia="Times New Roman" w:hAnsi="Times New Roman" w:cs="Times New Roman"/>
          <w:sz w:val="24"/>
          <w:szCs w:val="24"/>
        </w:rPr>
        <w:t xml:space="preserve"> obszarze kraju)</w:t>
      </w:r>
      <w:r w:rsidR="0D96B506" w:rsidRPr="003A42FB">
        <w:rPr>
          <w:rFonts w:ascii="Times New Roman" w:eastAsia="Times New Roman" w:hAnsi="Times New Roman" w:cs="Times New Roman"/>
          <w:sz w:val="24"/>
          <w:szCs w:val="24"/>
        </w:rPr>
        <w:t>, którego nie dotyczą powyższe decyzje, umowy i plany</w:t>
      </w:r>
      <w:r w:rsidR="7447150D" w:rsidRPr="003A42FB">
        <w:rPr>
          <w:rFonts w:ascii="Times New Roman" w:eastAsia="Times New Roman" w:hAnsi="Times New Roman" w:cs="Times New Roman"/>
          <w:sz w:val="24"/>
          <w:szCs w:val="24"/>
        </w:rPr>
        <w:t>.</w:t>
      </w:r>
    </w:p>
    <w:p w14:paraId="0104FAE0" w14:textId="2E6E56CA" w:rsidR="7707D7C3" w:rsidRDefault="7707D7C3" w:rsidP="7707D7C3">
      <w:pPr>
        <w:spacing w:after="120" w:line="240" w:lineRule="auto"/>
        <w:jc w:val="both"/>
        <w:rPr>
          <w:rFonts w:ascii="Times New Roman" w:eastAsia="Times New Roman" w:hAnsi="Times New Roman" w:cs="Times New Roman"/>
          <w:b/>
          <w:bCs/>
          <w:sz w:val="24"/>
          <w:szCs w:val="24"/>
        </w:rPr>
      </w:pPr>
    </w:p>
    <w:p w14:paraId="47AB8031" w14:textId="3CB78B36" w:rsidR="00AE4E8D" w:rsidRPr="003A42FB" w:rsidRDefault="00AE4E8D"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sz w:val="24"/>
          <w:szCs w:val="24"/>
        </w:rPr>
        <w:t xml:space="preserve">Art. </w:t>
      </w:r>
      <w:r w:rsidR="1DC2D464" w:rsidRPr="7707D7C3">
        <w:rPr>
          <w:rFonts w:ascii="Times New Roman" w:eastAsia="Times New Roman" w:hAnsi="Times New Roman" w:cs="Times New Roman"/>
          <w:b/>
          <w:bCs/>
          <w:sz w:val="24"/>
          <w:szCs w:val="24"/>
        </w:rPr>
        <w:t>42</w:t>
      </w:r>
    </w:p>
    <w:p w14:paraId="0963CBA4" w14:textId="6864716E" w:rsidR="00AE4E8D" w:rsidRPr="003A42FB" w:rsidRDefault="6DCEFCCA"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W art. </w:t>
      </w:r>
      <w:r w:rsidR="77CCDE92" w:rsidRPr="7707D7C3">
        <w:rPr>
          <w:rFonts w:ascii="Times New Roman" w:eastAsia="Times New Roman" w:hAnsi="Times New Roman" w:cs="Times New Roman"/>
          <w:sz w:val="24"/>
          <w:szCs w:val="24"/>
        </w:rPr>
        <w:t>42</w:t>
      </w:r>
      <w:r w:rsidRPr="003A42FB">
        <w:rPr>
          <w:rFonts w:ascii="Times New Roman" w:eastAsia="Times New Roman" w:hAnsi="Times New Roman" w:cs="Times New Roman"/>
          <w:sz w:val="24"/>
          <w:szCs w:val="24"/>
        </w:rPr>
        <w:t xml:space="preserve"> </w:t>
      </w:r>
      <w:r w:rsidR="753A0FD9" w:rsidRPr="003A42FB">
        <w:rPr>
          <w:rFonts w:ascii="Times New Roman" w:eastAsia="Times New Roman" w:hAnsi="Times New Roman" w:cs="Times New Roman"/>
          <w:sz w:val="24"/>
          <w:szCs w:val="24"/>
        </w:rPr>
        <w:t>utrzymano</w:t>
      </w:r>
      <w:r w:rsidRPr="003A42FB">
        <w:rPr>
          <w:rFonts w:ascii="Times New Roman" w:eastAsia="Times New Roman" w:hAnsi="Times New Roman" w:cs="Times New Roman"/>
          <w:sz w:val="24"/>
          <w:szCs w:val="24"/>
        </w:rPr>
        <w:t xml:space="preserve"> przepis art. 178 ust. 3 dodając, na wniosek Ministerstwa Obrony </w:t>
      </w:r>
      <w:r w:rsidR="7B1C741B" w:rsidRPr="003A42FB">
        <w:rPr>
          <w:rFonts w:ascii="Times New Roman" w:eastAsia="Times New Roman" w:hAnsi="Times New Roman" w:cs="Times New Roman"/>
          <w:sz w:val="24"/>
          <w:szCs w:val="24"/>
        </w:rPr>
        <w:t>Narodowej</w:t>
      </w:r>
      <w:r w:rsidR="2A8EF1BF" w:rsidRPr="7707D7C3">
        <w:rPr>
          <w:rFonts w:ascii="Times New Roman" w:eastAsia="Times New Roman" w:hAnsi="Times New Roman" w:cs="Times New Roman"/>
          <w:sz w:val="24"/>
          <w:szCs w:val="24"/>
        </w:rPr>
        <w:t xml:space="preserve"> oraz Ministra Spraw Wewnętrznych i Administracji</w:t>
      </w:r>
      <w:r w:rsidRPr="7707D7C3">
        <w:rPr>
          <w:rFonts w:ascii="Times New Roman" w:eastAsia="Times New Roman" w:hAnsi="Times New Roman" w:cs="Times New Roman"/>
          <w:sz w:val="24"/>
          <w:szCs w:val="24"/>
        </w:rPr>
        <w:t xml:space="preserve">, </w:t>
      </w:r>
      <w:r w:rsidR="2920049C" w:rsidRPr="7707D7C3">
        <w:rPr>
          <w:rFonts w:ascii="Times New Roman" w:eastAsia="Times New Roman" w:hAnsi="Times New Roman" w:cs="Times New Roman"/>
          <w:sz w:val="24"/>
          <w:szCs w:val="24"/>
        </w:rPr>
        <w:t>odpowiednio</w:t>
      </w:r>
      <w:r w:rsidRPr="003A42FB">
        <w:rPr>
          <w:rFonts w:ascii="Times New Roman" w:eastAsia="Times New Roman" w:hAnsi="Times New Roman" w:cs="Times New Roman"/>
          <w:sz w:val="24"/>
          <w:szCs w:val="24"/>
        </w:rPr>
        <w:t xml:space="preserve"> Mini</w:t>
      </w:r>
      <w:r w:rsidR="287433D8" w:rsidRPr="003A42FB">
        <w:rPr>
          <w:rFonts w:ascii="Times New Roman" w:eastAsia="Times New Roman" w:hAnsi="Times New Roman" w:cs="Times New Roman"/>
          <w:sz w:val="24"/>
          <w:szCs w:val="24"/>
        </w:rPr>
        <w:t>stra Obrony Narodowej</w:t>
      </w:r>
      <w:r w:rsidR="729B4792" w:rsidRPr="7707D7C3">
        <w:rPr>
          <w:rFonts w:ascii="Times New Roman" w:eastAsia="Times New Roman" w:hAnsi="Times New Roman" w:cs="Times New Roman"/>
          <w:sz w:val="24"/>
          <w:szCs w:val="24"/>
        </w:rPr>
        <w:t xml:space="preserve"> i </w:t>
      </w:r>
      <w:r w:rsidR="307995CC" w:rsidRPr="7707D7C3">
        <w:rPr>
          <w:rFonts w:ascii="Times New Roman" w:eastAsia="Times New Roman" w:hAnsi="Times New Roman" w:cs="Times New Roman"/>
          <w:sz w:val="24"/>
          <w:szCs w:val="24"/>
        </w:rPr>
        <w:t>Komendanta</w:t>
      </w:r>
      <w:r w:rsidR="729B4792" w:rsidRPr="7707D7C3">
        <w:rPr>
          <w:rFonts w:ascii="Times New Roman" w:eastAsia="Times New Roman" w:hAnsi="Times New Roman" w:cs="Times New Roman"/>
          <w:sz w:val="24"/>
          <w:szCs w:val="24"/>
        </w:rPr>
        <w:t xml:space="preserve"> Centralnego Biura Śledczego Policji</w:t>
      </w:r>
      <w:r w:rsidR="287433D8" w:rsidRPr="003A42FB">
        <w:rPr>
          <w:rFonts w:ascii="Times New Roman" w:eastAsia="Times New Roman" w:hAnsi="Times New Roman" w:cs="Times New Roman"/>
          <w:sz w:val="24"/>
          <w:szCs w:val="24"/>
        </w:rPr>
        <w:t>.</w:t>
      </w:r>
    </w:p>
    <w:p w14:paraId="726240E2" w14:textId="5CD1754C" w:rsidR="7707D7C3" w:rsidRDefault="7707D7C3" w:rsidP="7707D7C3">
      <w:pPr>
        <w:spacing w:after="120" w:line="240" w:lineRule="auto"/>
        <w:jc w:val="both"/>
        <w:rPr>
          <w:rFonts w:ascii="Times New Roman" w:eastAsia="Times New Roman" w:hAnsi="Times New Roman" w:cs="Times New Roman"/>
          <w:sz w:val="24"/>
          <w:szCs w:val="24"/>
        </w:rPr>
      </w:pPr>
    </w:p>
    <w:p w14:paraId="66C34558" w14:textId="020F50BE" w:rsidR="6F412A00" w:rsidRPr="003A42FB" w:rsidRDefault="4B3366F0"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W kolejnych artykułach </w:t>
      </w:r>
      <w:r w:rsidR="6F412A00" w:rsidRPr="003A42FB">
        <w:rPr>
          <w:rFonts w:ascii="Times New Roman" w:eastAsia="Times New Roman" w:hAnsi="Times New Roman" w:cs="Times New Roman"/>
          <w:sz w:val="24"/>
          <w:szCs w:val="24"/>
        </w:rPr>
        <w:t>ujęte zostały kwestie dotyczące:</w:t>
      </w:r>
    </w:p>
    <w:p w14:paraId="77F1256C" w14:textId="2F4DE8AC" w:rsidR="6F412A00" w:rsidRPr="003A42FB" w:rsidRDefault="6F412A00" w:rsidP="00C53EAB">
      <w:pPr>
        <w:pStyle w:val="Akapitzlist"/>
        <w:numPr>
          <w:ilvl w:val="0"/>
          <w:numId w:val="70"/>
        </w:num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zapewnienia przez przedsiębiorców </w:t>
      </w:r>
      <w:r w:rsidR="6EBCA414" w:rsidRPr="1342A4B8">
        <w:rPr>
          <w:rFonts w:ascii="Times New Roman" w:eastAsia="Times New Roman" w:hAnsi="Times New Roman" w:cs="Times New Roman"/>
          <w:sz w:val="24"/>
          <w:szCs w:val="24"/>
        </w:rPr>
        <w:t xml:space="preserve">telekomunikacyjnych </w:t>
      </w:r>
      <w:r w:rsidR="17DB0F48" w:rsidRPr="1B19A076">
        <w:rPr>
          <w:rFonts w:ascii="Times New Roman" w:eastAsia="Times New Roman" w:hAnsi="Times New Roman" w:cs="Times New Roman"/>
          <w:sz w:val="24"/>
          <w:szCs w:val="24"/>
        </w:rPr>
        <w:t>“</w:t>
      </w:r>
      <w:r w:rsidRPr="003A42FB">
        <w:rPr>
          <w:rFonts w:ascii="Times New Roman" w:eastAsia="Times New Roman" w:hAnsi="Times New Roman" w:cs="Times New Roman"/>
          <w:sz w:val="24"/>
          <w:szCs w:val="24"/>
        </w:rPr>
        <w:t>warunków dostępu i utrwalania</w:t>
      </w:r>
      <w:r w:rsidR="62101A0C" w:rsidRPr="1B19A076">
        <w:rPr>
          <w:rFonts w:ascii="Times New Roman" w:eastAsia="Times New Roman" w:hAnsi="Times New Roman" w:cs="Times New Roman"/>
          <w:sz w:val="24"/>
          <w:szCs w:val="24"/>
        </w:rPr>
        <w:t>”</w:t>
      </w:r>
      <w:r w:rsidRPr="003A42FB">
        <w:rPr>
          <w:rFonts w:ascii="Times New Roman" w:eastAsia="Times New Roman" w:hAnsi="Times New Roman" w:cs="Times New Roman"/>
          <w:sz w:val="24"/>
          <w:szCs w:val="24"/>
        </w:rPr>
        <w:t xml:space="preserve"> (art. </w:t>
      </w:r>
      <w:r w:rsidR="00DD29C4" w:rsidRPr="161B4ADC">
        <w:rPr>
          <w:rFonts w:ascii="Times New Roman" w:eastAsia="Times New Roman" w:hAnsi="Times New Roman" w:cs="Times New Roman"/>
          <w:sz w:val="24"/>
          <w:szCs w:val="24"/>
        </w:rPr>
        <w:t>43</w:t>
      </w:r>
      <w:r w:rsidRPr="161B4ADC">
        <w:rPr>
          <w:rFonts w:ascii="Times New Roman" w:eastAsia="Times New Roman" w:hAnsi="Times New Roman" w:cs="Times New Roman"/>
          <w:sz w:val="24"/>
          <w:szCs w:val="24"/>
        </w:rPr>
        <w:t xml:space="preserve">, </w:t>
      </w:r>
      <w:r w:rsidR="39C95DE9" w:rsidRPr="161B4ADC">
        <w:rPr>
          <w:rFonts w:ascii="Times New Roman" w:eastAsia="Times New Roman" w:hAnsi="Times New Roman" w:cs="Times New Roman"/>
          <w:sz w:val="24"/>
          <w:szCs w:val="24"/>
        </w:rPr>
        <w:t>44</w:t>
      </w:r>
      <w:r w:rsidRPr="003A42FB">
        <w:rPr>
          <w:rFonts w:ascii="Times New Roman" w:eastAsia="Times New Roman" w:hAnsi="Times New Roman" w:cs="Times New Roman"/>
          <w:sz w:val="24"/>
          <w:szCs w:val="24"/>
        </w:rPr>
        <w:t xml:space="preserve"> i </w:t>
      </w:r>
      <w:r w:rsidR="00B1F38C" w:rsidRPr="161B4ADC">
        <w:rPr>
          <w:rFonts w:ascii="Times New Roman" w:eastAsia="Times New Roman" w:hAnsi="Times New Roman" w:cs="Times New Roman"/>
          <w:sz w:val="24"/>
          <w:szCs w:val="24"/>
        </w:rPr>
        <w:t>46</w:t>
      </w:r>
      <w:r w:rsidRPr="003A42FB">
        <w:rPr>
          <w:rFonts w:ascii="Times New Roman" w:eastAsia="Times New Roman" w:hAnsi="Times New Roman" w:cs="Times New Roman"/>
          <w:sz w:val="24"/>
          <w:szCs w:val="24"/>
        </w:rPr>
        <w:t>),</w:t>
      </w:r>
    </w:p>
    <w:p w14:paraId="2054FD22" w14:textId="733236E2" w:rsidR="6F412A00" w:rsidRPr="003A42FB" w:rsidRDefault="1B7A059E" w:rsidP="3CE7F165">
      <w:pPr>
        <w:pStyle w:val="Akapitzlist"/>
        <w:numPr>
          <w:ilvl w:val="0"/>
          <w:numId w:val="70"/>
        </w:numPr>
        <w:spacing w:after="120" w:line="240" w:lineRule="auto"/>
        <w:jc w:val="both"/>
        <w:rPr>
          <w:rFonts w:eastAsiaTheme="minorEastAsia"/>
          <w:sz w:val="24"/>
          <w:szCs w:val="24"/>
        </w:rPr>
      </w:pPr>
      <w:r w:rsidRPr="1342A4B8">
        <w:rPr>
          <w:rFonts w:ascii="Times New Roman" w:eastAsia="Times New Roman" w:hAnsi="Times New Roman" w:cs="Times New Roman"/>
          <w:sz w:val="24"/>
          <w:szCs w:val="24"/>
        </w:rPr>
        <w:t xml:space="preserve">przygotowania </w:t>
      </w:r>
      <w:r w:rsidR="0CFAA032" w:rsidRPr="1342A4B8">
        <w:rPr>
          <w:rFonts w:ascii="Times New Roman" w:eastAsia="Times New Roman" w:hAnsi="Times New Roman" w:cs="Times New Roman"/>
          <w:sz w:val="24"/>
          <w:szCs w:val="24"/>
        </w:rPr>
        <w:t>przedsiębiorców telekomunikacyjnych</w:t>
      </w:r>
      <w:r w:rsidR="1EF63028" w:rsidRPr="003A42FB">
        <w:rPr>
          <w:rFonts w:ascii="Times New Roman" w:eastAsia="Times New Roman" w:hAnsi="Times New Roman" w:cs="Times New Roman"/>
          <w:sz w:val="24"/>
          <w:szCs w:val="24"/>
        </w:rPr>
        <w:t xml:space="preserve"> technicznych i organizacyjnych warunków udostępniania oraz </w:t>
      </w:r>
      <w:r w:rsidR="00E97BFD" w:rsidRPr="003A42FB">
        <w:rPr>
          <w:rFonts w:ascii="Times New Roman" w:eastAsia="Times New Roman" w:hAnsi="Times New Roman" w:cs="Times New Roman"/>
          <w:sz w:val="24"/>
          <w:szCs w:val="24"/>
        </w:rPr>
        <w:t xml:space="preserve">udostępniania przetwarzanych danych uprawnionym podmiotom oraz sądowi i prokuratorowi (art. </w:t>
      </w:r>
      <w:r w:rsidR="2996166E" w:rsidRPr="161B4ADC">
        <w:rPr>
          <w:rFonts w:ascii="Times New Roman" w:eastAsia="Times New Roman" w:hAnsi="Times New Roman" w:cs="Times New Roman"/>
          <w:sz w:val="24"/>
          <w:szCs w:val="24"/>
        </w:rPr>
        <w:t>45</w:t>
      </w:r>
      <w:r w:rsidR="00E97BFD" w:rsidRPr="161B4ADC">
        <w:rPr>
          <w:rFonts w:ascii="Times New Roman" w:eastAsia="Times New Roman" w:hAnsi="Times New Roman" w:cs="Times New Roman"/>
          <w:sz w:val="24"/>
          <w:szCs w:val="24"/>
        </w:rPr>
        <w:t xml:space="preserve">, </w:t>
      </w:r>
      <w:r w:rsidR="185C04EB" w:rsidRPr="161B4ADC">
        <w:rPr>
          <w:rFonts w:ascii="Times New Roman" w:eastAsia="Times New Roman" w:hAnsi="Times New Roman" w:cs="Times New Roman"/>
          <w:sz w:val="24"/>
          <w:szCs w:val="24"/>
        </w:rPr>
        <w:t>46</w:t>
      </w:r>
      <w:r w:rsidR="00E97BFD" w:rsidRPr="003A42FB">
        <w:rPr>
          <w:rFonts w:ascii="Times New Roman" w:eastAsia="Times New Roman" w:hAnsi="Times New Roman" w:cs="Times New Roman"/>
          <w:sz w:val="24"/>
          <w:szCs w:val="24"/>
        </w:rPr>
        <w:t>),</w:t>
      </w:r>
    </w:p>
    <w:p w14:paraId="7ECF3CE7" w14:textId="3D6EF8BE" w:rsidR="6F412A00" w:rsidRPr="003A42FB" w:rsidRDefault="6F412A00" w:rsidP="00C53EAB">
      <w:pPr>
        <w:pStyle w:val="Akapitzlist"/>
        <w:numPr>
          <w:ilvl w:val="0"/>
          <w:numId w:val="70"/>
        </w:numPr>
        <w:spacing w:after="120" w:line="240" w:lineRule="auto"/>
        <w:jc w:val="both"/>
        <w:rPr>
          <w:rFonts w:eastAsiaTheme="minorEastAsia"/>
          <w:sz w:val="24"/>
          <w:szCs w:val="24"/>
        </w:rPr>
      </w:pPr>
      <w:r w:rsidRPr="003A42FB">
        <w:rPr>
          <w:rFonts w:ascii="Times New Roman" w:eastAsia="Times New Roman" w:hAnsi="Times New Roman" w:cs="Times New Roman"/>
          <w:sz w:val="24"/>
          <w:szCs w:val="24"/>
        </w:rPr>
        <w:t xml:space="preserve">zatrzymywania, przechowywania i udostępniania </w:t>
      </w:r>
      <w:r w:rsidR="420CA38F" w:rsidRPr="1342A4B8">
        <w:rPr>
          <w:rFonts w:ascii="Times New Roman" w:eastAsia="Times New Roman" w:hAnsi="Times New Roman" w:cs="Times New Roman"/>
          <w:sz w:val="24"/>
          <w:szCs w:val="24"/>
        </w:rPr>
        <w:t xml:space="preserve">przedsiębiorców telekomunikacyjnych </w:t>
      </w:r>
      <w:r w:rsidRPr="003A42FB">
        <w:rPr>
          <w:rFonts w:ascii="Times New Roman" w:eastAsia="Times New Roman" w:hAnsi="Times New Roman" w:cs="Times New Roman"/>
          <w:sz w:val="24"/>
          <w:szCs w:val="24"/>
        </w:rPr>
        <w:t xml:space="preserve">danych (art. </w:t>
      </w:r>
      <w:r w:rsidR="67FD8938" w:rsidRPr="1B19A076">
        <w:rPr>
          <w:rFonts w:ascii="Times New Roman" w:eastAsia="Times New Roman" w:hAnsi="Times New Roman" w:cs="Times New Roman"/>
          <w:sz w:val="24"/>
          <w:szCs w:val="24"/>
        </w:rPr>
        <w:t>47</w:t>
      </w:r>
      <w:r w:rsidRPr="003A42FB">
        <w:rPr>
          <w:rFonts w:ascii="Times New Roman" w:eastAsia="Times New Roman" w:hAnsi="Times New Roman" w:cs="Times New Roman"/>
          <w:sz w:val="24"/>
          <w:szCs w:val="24"/>
        </w:rPr>
        <w:t xml:space="preserve"> i </w:t>
      </w:r>
      <w:r w:rsidR="261B5CB8" w:rsidRPr="1B19A076">
        <w:rPr>
          <w:rFonts w:ascii="Times New Roman" w:eastAsia="Times New Roman" w:hAnsi="Times New Roman" w:cs="Times New Roman"/>
          <w:sz w:val="24"/>
          <w:szCs w:val="24"/>
        </w:rPr>
        <w:t>48</w:t>
      </w:r>
      <w:r w:rsidRPr="003A42FB">
        <w:rPr>
          <w:rFonts w:ascii="Times New Roman" w:eastAsia="Times New Roman" w:hAnsi="Times New Roman" w:cs="Times New Roman"/>
          <w:sz w:val="24"/>
          <w:szCs w:val="24"/>
        </w:rPr>
        <w:t>)</w:t>
      </w:r>
      <w:r w:rsidR="4E6C27BD" w:rsidRPr="003A42FB">
        <w:rPr>
          <w:rFonts w:ascii="Times New Roman" w:eastAsia="Times New Roman" w:hAnsi="Times New Roman" w:cs="Times New Roman"/>
          <w:sz w:val="24"/>
          <w:szCs w:val="24"/>
        </w:rPr>
        <w:t>, zwanych dalej w uzasadnieniu “danymi retencyjnymi”</w:t>
      </w:r>
      <w:r w:rsidR="009605E7" w:rsidRPr="003A42FB">
        <w:rPr>
          <w:rFonts w:ascii="Times New Roman" w:eastAsia="Times New Roman" w:hAnsi="Times New Roman" w:cs="Times New Roman"/>
          <w:sz w:val="24"/>
          <w:szCs w:val="24"/>
        </w:rPr>
        <w:t>.</w:t>
      </w:r>
    </w:p>
    <w:p w14:paraId="671AFDCC" w14:textId="17BA6357" w:rsidR="6F412A00" w:rsidRPr="003A42FB" w:rsidRDefault="00E97BFD" w:rsidP="2C8D7B33">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Powyższe przepisy, w porównaniu z obecnymi przepisami, zostały przeredagowane w taki sposób, aby wyróżnić poszczególne sposoby prowadzenia działań operacyjnych</w:t>
      </w:r>
      <w:r w:rsidR="0C01C199" w:rsidRPr="003A42FB">
        <w:rPr>
          <w:rFonts w:ascii="Times New Roman" w:eastAsia="Times New Roman" w:hAnsi="Times New Roman" w:cs="Times New Roman"/>
          <w:sz w:val="24"/>
          <w:szCs w:val="24"/>
        </w:rPr>
        <w:t xml:space="preserve"> oraz usystematyzować te przepisy</w:t>
      </w:r>
      <w:r w:rsidRPr="003A42FB">
        <w:rPr>
          <w:rFonts w:ascii="Times New Roman" w:eastAsia="Times New Roman" w:hAnsi="Times New Roman" w:cs="Times New Roman"/>
          <w:sz w:val="24"/>
          <w:szCs w:val="24"/>
        </w:rPr>
        <w:t xml:space="preserve">. </w:t>
      </w:r>
    </w:p>
    <w:p w14:paraId="4CDCEAAF" w14:textId="4CC4859F" w:rsidR="6F412A00" w:rsidRPr="003A42FB" w:rsidRDefault="11E425DB" w:rsidP="584CC5D2">
      <w:pPr>
        <w:spacing w:after="120" w:line="240" w:lineRule="auto"/>
        <w:jc w:val="both"/>
        <w:rPr>
          <w:rFonts w:ascii="Times New Roman" w:eastAsia="Times New Roman" w:hAnsi="Times New Roman" w:cs="Times New Roman"/>
          <w:sz w:val="24"/>
          <w:szCs w:val="24"/>
        </w:rPr>
      </w:pPr>
      <w:r w:rsidRPr="584CC5D2">
        <w:rPr>
          <w:rFonts w:ascii="Times New Roman" w:eastAsia="Times New Roman" w:hAnsi="Times New Roman" w:cs="Times New Roman"/>
          <w:sz w:val="24"/>
          <w:szCs w:val="24"/>
        </w:rPr>
        <w:t xml:space="preserve">Zmiany merytoryczne </w:t>
      </w:r>
      <w:r w:rsidR="4C281673" w:rsidRPr="584CC5D2">
        <w:rPr>
          <w:rFonts w:ascii="Times New Roman" w:eastAsia="Times New Roman" w:hAnsi="Times New Roman" w:cs="Times New Roman"/>
          <w:sz w:val="24"/>
          <w:szCs w:val="24"/>
        </w:rPr>
        <w:t>w tym zakresie to</w:t>
      </w:r>
      <w:r w:rsidR="00E97BFD" w:rsidRPr="584CC5D2">
        <w:rPr>
          <w:rFonts w:ascii="Times New Roman" w:eastAsia="Times New Roman" w:hAnsi="Times New Roman" w:cs="Times New Roman"/>
          <w:sz w:val="24"/>
          <w:szCs w:val="24"/>
        </w:rPr>
        <w:t>:</w:t>
      </w:r>
    </w:p>
    <w:p w14:paraId="1BC90858" w14:textId="11E13958" w:rsidR="49297A28" w:rsidRDefault="49297A28" w:rsidP="584CC5D2">
      <w:pPr>
        <w:spacing w:after="120" w:line="240" w:lineRule="auto"/>
        <w:jc w:val="both"/>
        <w:rPr>
          <w:rFonts w:ascii="Times New Roman" w:eastAsia="Times New Roman" w:hAnsi="Times New Roman" w:cs="Times New Roman"/>
          <w:sz w:val="24"/>
          <w:szCs w:val="24"/>
        </w:rPr>
      </w:pPr>
      <w:r w:rsidRPr="005F69BF">
        <w:rPr>
          <w:rFonts w:ascii="Times New Roman" w:eastAsia="Times New Roman" w:hAnsi="Times New Roman" w:cs="Times New Roman"/>
          <w:b/>
          <w:bCs/>
          <w:sz w:val="24"/>
          <w:szCs w:val="24"/>
        </w:rPr>
        <w:t>Art. 43</w:t>
      </w:r>
    </w:p>
    <w:p w14:paraId="2956FA1C" w14:textId="65496730" w:rsidR="6F412A00" w:rsidRPr="003A42FB" w:rsidRDefault="2EEFDAD0" w:rsidP="584CC5D2">
      <w:pPr>
        <w:pStyle w:val="Akapitzlist"/>
        <w:numPr>
          <w:ilvl w:val="0"/>
          <w:numId w:val="69"/>
        </w:numPr>
        <w:spacing w:after="120" w:line="240" w:lineRule="auto"/>
        <w:jc w:val="both"/>
        <w:rPr>
          <w:rFonts w:ascii="Times New Roman" w:eastAsiaTheme="minorEastAsia" w:hAnsi="Times New Roman" w:cs="Times New Roman"/>
          <w:sz w:val="24"/>
          <w:szCs w:val="24"/>
        </w:rPr>
      </w:pPr>
      <w:r w:rsidRPr="584CC5D2">
        <w:rPr>
          <w:rFonts w:ascii="Times New Roman" w:eastAsia="Times New Roman" w:hAnsi="Times New Roman" w:cs="Times New Roman"/>
          <w:sz w:val="24"/>
          <w:szCs w:val="24"/>
        </w:rPr>
        <w:t xml:space="preserve">w art. </w:t>
      </w:r>
      <w:r w:rsidR="7A1F659B" w:rsidRPr="584CC5D2">
        <w:rPr>
          <w:rFonts w:ascii="Times New Roman" w:eastAsia="Times New Roman" w:hAnsi="Times New Roman" w:cs="Times New Roman"/>
          <w:sz w:val="24"/>
          <w:szCs w:val="24"/>
        </w:rPr>
        <w:t>43</w:t>
      </w:r>
      <w:r w:rsidRPr="584CC5D2">
        <w:rPr>
          <w:rFonts w:ascii="Times New Roman" w:eastAsia="Times New Roman" w:hAnsi="Times New Roman" w:cs="Times New Roman"/>
          <w:sz w:val="24"/>
          <w:szCs w:val="24"/>
        </w:rPr>
        <w:t xml:space="preserve"> ust. 1 </w:t>
      </w:r>
      <w:r w:rsidR="5F129182" w:rsidRPr="584CC5D2">
        <w:rPr>
          <w:rFonts w:ascii="Times New Roman" w:eastAsia="Times New Roman" w:hAnsi="Times New Roman" w:cs="Times New Roman"/>
          <w:sz w:val="24"/>
          <w:szCs w:val="24"/>
        </w:rPr>
        <w:t xml:space="preserve">pkt 1 lit. </w:t>
      </w:r>
      <w:r w:rsidR="7ED4547B" w:rsidRPr="584CC5D2">
        <w:rPr>
          <w:rFonts w:ascii="Times New Roman" w:eastAsia="Times New Roman" w:hAnsi="Times New Roman" w:cs="Times New Roman"/>
          <w:sz w:val="24"/>
          <w:szCs w:val="24"/>
        </w:rPr>
        <w:t>a</w:t>
      </w:r>
      <w:r w:rsidR="5F129182" w:rsidRPr="584CC5D2">
        <w:rPr>
          <w:rFonts w:ascii="Times New Roman" w:eastAsia="Times New Roman" w:hAnsi="Times New Roman" w:cs="Times New Roman"/>
          <w:sz w:val="24"/>
          <w:szCs w:val="24"/>
        </w:rPr>
        <w:t xml:space="preserve"> dodan</w:t>
      </w:r>
      <w:r w:rsidR="51C7942A" w:rsidRPr="584CC5D2">
        <w:rPr>
          <w:rFonts w:ascii="Times New Roman" w:eastAsia="Times New Roman" w:hAnsi="Times New Roman" w:cs="Times New Roman"/>
          <w:sz w:val="24"/>
          <w:szCs w:val="24"/>
        </w:rPr>
        <w:t>o</w:t>
      </w:r>
      <w:r w:rsidR="5F129182" w:rsidRPr="584CC5D2">
        <w:rPr>
          <w:rFonts w:ascii="Times New Roman" w:eastAsia="Times New Roman" w:hAnsi="Times New Roman" w:cs="Times New Roman"/>
          <w:sz w:val="24"/>
          <w:szCs w:val="24"/>
        </w:rPr>
        <w:t xml:space="preserve"> obowiąz</w:t>
      </w:r>
      <w:r w:rsidR="0321C215" w:rsidRPr="584CC5D2">
        <w:rPr>
          <w:rFonts w:ascii="Times New Roman" w:eastAsia="Times New Roman" w:hAnsi="Times New Roman" w:cs="Times New Roman"/>
          <w:sz w:val="24"/>
          <w:szCs w:val="24"/>
        </w:rPr>
        <w:t>ek</w:t>
      </w:r>
      <w:r w:rsidR="5F129182" w:rsidRPr="584CC5D2">
        <w:rPr>
          <w:rFonts w:ascii="Times New Roman" w:eastAsia="Times New Roman" w:hAnsi="Times New Roman" w:cs="Times New Roman"/>
          <w:sz w:val="24"/>
          <w:szCs w:val="24"/>
        </w:rPr>
        <w:t xml:space="preserve"> udostępniania uprawnionym   podmiotom</w:t>
      </w:r>
      <w:r w:rsidR="060FADE5" w:rsidRPr="584CC5D2">
        <w:rPr>
          <w:rFonts w:ascii="Times New Roman" w:eastAsia="Times" w:hAnsi="Times New Roman" w:cs="Times New Roman"/>
          <w:sz w:val="24"/>
          <w:szCs w:val="24"/>
        </w:rPr>
        <w:t xml:space="preserve"> danych lokalizacyjnych powstających lub transmitowanych w sieci telekomunikacyjnej </w:t>
      </w:r>
      <w:r w:rsidR="060FADE5" w:rsidRPr="584CC5D2">
        <w:rPr>
          <w:rFonts w:ascii="Times New Roman" w:eastAsia="Times" w:hAnsi="Times New Roman" w:cs="Times New Roman"/>
          <w:sz w:val="24"/>
          <w:szCs w:val="24"/>
        </w:rPr>
        <w:lastRenderedPageBreak/>
        <w:t>innego przedsiębiorcy telekomunikacyjnego w ramach roamingu krajowego</w:t>
      </w:r>
      <w:r w:rsidR="060FADE5" w:rsidRPr="584CC5D2">
        <w:rPr>
          <w:rFonts w:ascii="Times New Roman" w:eastAsia="Times New Roman" w:hAnsi="Times New Roman" w:cs="Times New Roman"/>
          <w:sz w:val="24"/>
          <w:szCs w:val="24"/>
        </w:rPr>
        <w:t xml:space="preserve"> oraz </w:t>
      </w:r>
      <w:r w:rsidR="5F129182" w:rsidRPr="584CC5D2">
        <w:rPr>
          <w:rFonts w:ascii="Times New Roman" w:eastAsia="Times New Roman" w:hAnsi="Times New Roman" w:cs="Times New Roman"/>
          <w:sz w:val="24"/>
          <w:szCs w:val="24"/>
        </w:rPr>
        <w:t xml:space="preserve">danych o lokalizacji, w sposób zapewniający bieżącą i aktualną lokalizację urządzenia na terytorium Rzeczypospolitej Polskiej, bez względu na technologię świadczonej usługi, </w:t>
      </w:r>
      <w:r w:rsidR="126176DA" w:rsidRPr="584CC5D2">
        <w:rPr>
          <w:rFonts w:ascii="Times New Roman" w:eastAsia="Times New Roman" w:hAnsi="Times New Roman" w:cs="Times New Roman"/>
          <w:sz w:val="24"/>
          <w:szCs w:val="24"/>
        </w:rPr>
        <w:t xml:space="preserve">co zapewni pełniejsze wykonywanie zadań przez </w:t>
      </w:r>
      <w:r w:rsidR="08671985" w:rsidRPr="584CC5D2">
        <w:rPr>
          <w:rFonts w:ascii="Times New Roman" w:eastAsia="Times New Roman" w:hAnsi="Times New Roman" w:cs="Times New Roman"/>
          <w:sz w:val="24"/>
          <w:szCs w:val="24"/>
        </w:rPr>
        <w:t>uprawnione</w:t>
      </w:r>
      <w:r w:rsidR="126176DA" w:rsidRPr="584CC5D2">
        <w:rPr>
          <w:rFonts w:ascii="Times New Roman" w:eastAsia="Times New Roman" w:hAnsi="Times New Roman" w:cs="Times New Roman"/>
          <w:sz w:val="24"/>
          <w:szCs w:val="24"/>
        </w:rPr>
        <w:t xml:space="preserve"> podmioty</w:t>
      </w:r>
      <w:r w:rsidR="58858E84" w:rsidRPr="584CC5D2">
        <w:rPr>
          <w:rFonts w:ascii="Times New Roman" w:eastAsia="Times New Roman" w:hAnsi="Times New Roman" w:cs="Times New Roman"/>
          <w:sz w:val="24"/>
          <w:szCs w:val="24"/>
        </w:rPr>
        <w:t xml:space="preserve">. Proponowana zmiana umożliwi uzyskiwanie przez podmioty uprawnione podczas realizacji kontroli operacyjnej danych lokalizacyjnych urządzenia końcowego, które działa w sieci innego przedsiębiorcy w ramach roamingu krajowego oraz zapewni dostęp do aktualnej lokalizacji niezależnie od tego czy zostało wykonane połączenie </w:t>
      </w:r>
    </w:p>
    <w:p w14:paraId="49DBC151" w14:textId="4C08984B" w:rsidR="052CB1C6" w:rsidRPr="003A42FB" w:rsidRDefault="052CB1C6" w:rsidP="584CC5D2">
      <w:pPr>
        <w:pStyle w:val="Akapitzlist"/>
        <w:numPr>
          <w:ilvl w:val="0"/>
          <w:numId w:val="69"/>
        </w:numPr>
        <w:spacing w:after="120" w:line="240" w:lineRule="auto"/>
        <w:jc w:val="both"/>
        <w:rPr>
          <w:rFonts w:ascii="Times New Roman" w:eastAsiaTheme="minorEastAsia" w:hAnsi="Times New Roman" w:cs="Times New Roman"/>
          <w:sz w:val="24"/>
          <w:szCs w:val="24"/>
        </w:rPr>
      </w:pPr>
      <w:r w:rsidRPr="584CC5D2">
        <w:rPr>
          <w:rFonts w:ascii="Times New Roman" w:eastAsia="Times New Roman" w:hAnsi="Times New Roman" w:cs="Times New Roman"/>
          <w:sz w:val="24"/>
          <w:szCs w:val="24"/>
        </w:rPr>
        <w:t xml:space="preserve">w art. </w:t>
      </w:r>
      <w:r w:rsidR="2E1C1228" w:rsidRPr="584CC5D2">
        <w:rPr>
          <w:rFonts w:ascii="Times New Roman" w:eastAsia="Times New Roman" w:hAnsi="Times New Roman" w:cs="Times New Roman"/>
          <w:sz w:val="24"/>
          <w:szCs w:val="24"/>
        </w:rPr>
        <w:t>43</w:t>
      </w:r>
      <w:r w:rsidRPr="584CC5D2">
        <w:rPr>
          <w:rFonts w:ascii="Times New Roman" w:eastAsia="Times New Roman" w:hAnsi="Times New Roman" w:cs="Times New Roman"/>
          <w:sz w:val="24"/>
          <w:szCs w:val="24"/>
        </w:rPr>
        <w:t xml:space="preserve"> ust 1 pkt 2 doprecyzowan</w:t>
      </w:r>
      <w:r w:rsidR="01BB277F" w:rsidRPr="584CC5D2">
        <w:rPr>
          <w:rFonts w:ascii="Times New Roman" w:eastAsia="Times New Roman" w:hAnsi="Times New Roman" w:cs="Times New Roman"/>
          <w:sz w:val="24"/>
          <w:szCs w:val="24"/>
        </w:rPr>
        <w:t>o</w:t>
      </w:r>
      <w:r w:rsidRPr="584CC5D2">
        <w:rPr>
          <w:rFonts w:ascii="Times New Roman" w:eastAsia="Times New Roman" w:hAnsi="Times New Roman" w:cs="Times New Roman"/>
          <w:sz w:val="24"/>
          <w:szCs w:val="24"/>
        </w:rPr>
        <w:t xml:space="preserve">, że </w:t>
      </w:r>
      <w:r w:rsidR="65721F2A" w:rsidRPr="584CC5D2">
        <w:rPr>
          <w:rFonts w:ascii="Times New Roman" w:eastAsia="Times New Roman" w:hAnsi="Times New Roman" w:cs="Times New Roman"/>
          <w:sz w:val="24"/>
          <w:szCs w:val="24"/>
        </w:rPr>
        <w:t xml:space="preserve">przedsiębiorca telekomunikacyjny </w:t>
      </w:r>
      <w:r w:rsidR="37AB5718" w:rsidRPr="584CC5D2">
        <w:rPr>
          <w:rFonts w:ascii="Times New Roman" w:eastAsia="Times New Roman" w:hAnsi="Times New Roman" w:cs="Times New Roman"/>
          <w:sz w:val="24"/>
          <w:szCs w:val="24"/>
        </w:rPr>
        <w:t>nie “utrwala i udo</w:t>
      </w:r>
      <w:r w:rsidR="0EB13DB5" w:rsidRPr="584CC5D2">
        <w:rPr>
          <w:rFonts w:ascii="Times New Roman" w:eastAsia="Times New Roman" w:hAnsi="Times New Roman" w:cs="Times New Roman"/>
          <w:sz w:val="24"/>
          <w:szCs w:val="24"/>
        </w:rPr>
        <w:t xml:space="preserve">stępnia </w:t>
      </w:r>
      <w:r w:rsidR="2CA8957F" w:rsidRPr="584CC5D2">
        <w:rPr>
          <w:rFonts w:ascii="Times New Roman" w:eastAsia="Times New Roman" w:hAnsi="Times New Roman" w:cs="Times New Roman"/>
          <w:sz w:val="24"/>
          <w:szCs w:val="24"/>
        </w:rPr>
        <w:t>komunikaty i dane” lecz “</w:t>
      </w:r>
      <w:r w:rsidR="7728B857" w:rsidRPr="584CC5D2">
        <w:rPr>
          <w:rFonts w:ascii="Times New Roman" w:eastAsia="Times New Roman" w:hAnsi="Times New Roman" w:cs="Times New Roman"/>
          <w:sz w:val="24"/>
          <w:szCs w:val="24"/>
        </w:rPr>
        <w:t>zapewnienia warunki techniczne do utrwalania i udostępniania</w:t>
      </w:r>
      <w:r w:rsidR="7222D9BE" w:rsidRPr="584CC5D2">
        <w:rPr>
          <w:rFonts w:ascii="Times New Roman" w:eastAsia="Times New Roman" w:hAnsi="Times New Roman" w:cs="Times New Roman"/>
          <w:sz w:val="24"/>
          <w:szCs w:val="24"/>
        </w:rPr>
        <w:t xml:space="preserve"> </w:t>
      </w:r>
      <w:r w:rsidR="7EF00686" w:rsidRPr="584CC5D2">
        <w:rPr>
          <w:rFonts w:ascii="Times New Roman" w:eastAsia="Times New Roman" w:hAnsi="Times New Roman" w:cs="Times New Roman"/>
          <w:sz w:val="24"/>
          <w:szCs w:val="24"/>
        </w:rPr>
        <w:t>komunikatów i danych</w:t>
      </w:r>
      <w:r w:rsidR="7728B857" w:rsidRPr="584CC5D2">
        <w:rPr>
          <w:rFonts w:ascii="Times New Roman" w:eastAsia="Times New Roman" w:hAnsi="Times New Roman" w:cs="Times New Roman"/>
          <w:sz w:val="24"/>
          <w:szCs w:val="24"/>
        </w:rPr>
        <w:t xml:space="preserve"> przez podmiot wskazany w postanowieniu sądu lub prokuratora</w:t>
      </w:r>
      <w:r w:rsidR="31030B56" w:rsidRPr="584CC5D2">
        <w:rPr>
          <w:rFonts w:ascii="Times New Roman" w:eastAsia="Times New Roman" w:hAnsi="Times New Roman" w:cs="Times New Roman"/>
          <w:sz w:val="24"/>
          <w:szCs w:val="24"/>
        </w:rPr>
        <w:t>”, co jest zgodne z praktyką.</w:t>
      </w:r>
    </w:p>
    <w:p w14:paraId="6EB751FD" w14:textId="728BB05D" w:rsidR="208985FE" w:rsidRPr="003A42FB" w:rsidRDefault="208985FE" w:rsidP="005F69BF">
      <w:pPr>
        <w:pStyle w:val="Akapitzlist"/>
        <w:numPr>
          <w:ilvl w:val="0"/>
          <w:numId w:val="69"/>
        </w:numPr>
        <w:spacing w:after="120" w:line="240" w:lineRule="auto"/>
        <w:jc w:val="both"/>
        <w:rPr>
          <w:rFonts w:ascii="Times New Roman" w:eastAsiaTheme="minorEastAsia" w:hAnsi="Times New Roman" w:cs="Times New Roman"/>
          <w:sz w:val="24"/>
          <w:szCs w:val="24"/>
        </w:rPr>
      </w:pPr>
      <w:r w:rsidRPr="584CC5D2">
        <w:rPr>
          <w:rFonts w:ascii="Times New Roman" w:eastAsia="Times New Roman" w:hAnsi="Times New Roman" w:cs="Times New Roman"/>
          <w:sz w:val="24"/>
          <w:szCs w:val="24"/>
        </w:rPr>
        <w:t>w</w:t>
      </w:r>
      <w:r w:rsidR="0206CBB4" w:rsidRPr="584CC5D2">
        <w:rPr>
          <w:rFonts w:ascii="Times New Roman" w:eastAsia="Times New Roman" w:hAnsi="Times New Roman" w:cs="Times New Roman"/>
          <w:sz w:val="24"/>
          <w:szCs w:val="24"/>
        </w:rPr>
        <w:t xml:space="preserve"> art. </w:t>
      </w:r>
      <w:r w:rsidR="34382636" w:rsidRPr="584CC5D2">
        <w:rPr>
          <w:rFonts w:ascii="Times New Roman" w:eastAsia="Times New Roman" w:hAnsi="Times New Roman" w:cs="Times New Roman"/>
          <w:sz w:val="24"/>
          <w:szCs w:val="24"/>
        </w:rPr>
        <w:t>43</w:t>
      </w:r>
      <w:r w:rsidR="0206CBB4" w:rsidRPr="584CC5D2">
        <w:rPr>
          <w:rFonts w:ascii="Times New Roman" w:eastAsia="Times New Roman" w:hAnsi="Times New Roman" w:cs="Times New Roman"/>
          <w:sz w:val="24"/>
          <w:szCs w:val="24"/>
        </w:rPr>
        <w:t xml:space="preserve"> dodano </w:t>
      </w:r>
      <w:r w:rsidR="6BB91C5D" w:rsidRPr="584CC5D2">
        <w:rPr>
          <w:rFonts w:ascii="Times New Roman" w:eastAsia="Times New Roman" w:hAnsi="Times New Roman" w:cs="Times New Roman"/>
          <w:sz w:val="24"/>
          <w:szCs w:val="24"/>
        </w:rPr>
        <w:t xml:space="preserve">ust. 3 </w:t>
      </w:r>
      <w:r w:rsidR="3409570D" w:rsidRPr="584CC5D2">
        <w:rPr>
          <w:rFonts w:ascii="Times New Roman" w:eastAsia="Times New Roman" w:hAnsi="Times New Roman" w:cs="Times New Roman"/>
          <w:sz w:val="24"/>
          <w:szCs w:val="24"/>
        </w:rPr>
        <w:t xml:space="preserve"> </w:t>
      </w:r>
      <w:r w:rsidR="22D0F2F1" w:rsidRPr="584CC5D2">
        <w:rPr>
          <w:rFonts w:ascii="Times New Roman" w:eastAsia="Times New Roman" w:hAnsi="Times New Roman" w:cs="Times New Roman"/>
          <w:sz w:val="24"/>
          <w:szCs w:val="24"/>
        </w:rPr>
        <w:t>precyz</w:t>
      </w:r>
      <w:r w:rsidR="6A846B09" w:rsidRPr="584CC5D2">
        <w:rPr>
          <w:rFonts w:ascii="Times New Roman" w:eastAsia="Times New Roman" w:hAnsi="Times New Roman" w:cs="Times New Roman"/>
          <w:sz w:val="24"/>
          <w:szCs w:val="24"/>
        </w:rPr>
        <w:t>ując</w:t>
      </w:r>
      <w:r w:rsidR="06A6FF21" w:rsidRPr="584CC5D2">
        <w:rPr>
          <w:rFonts w:ascii="Times New Roman" w:eastAsia="Times New Roman" w:hAnsi="Times New Roman" w:cs="Times New Roman"/>
          <w:sz w:val="24"/>
          <w:szCs w:val="24"/>
        </w:rPr>
        <w:t>y</w:t>
      </w:r>
      <w:r w:rsidR="22D0F2F1" w:rsidRPr="584CC5D2">
        <w:rPr>
          <w:rFonts w:ascii="Times New Roman" w:eastAsia="Times New Roman" w:hAnsi="Times New Roman" w:cs="Times New Roman"/>
          <w:sz w:val="24"/>
          <w:szCs w:val="24"/>
        </w:rPr>
        <w:t xml:space="preserve"> tryb określenia </w:t>
      </w:r>
      <w:r w:rsidR="636CF3A0" w:rsidRPr="584CC5D2">
        <w:rPr>
          <w:rFonts w:ascii="Times New Roman" w:eastAsia="Times New Roman" w:hAnsi="Times New Roman" w:cs="Times New Roman"/>
          <w:sz w:val="24"/>
          <w:szCs w:val="24"/>
        </w:rPr>
        <w:t xml:space="preserve">sposobu realizacji </w:t>
      </w:r>
      <w:r w:rsidR="22D0F2F1" w:rsidRPr="584CC5D2">
        <w:rPr>
          <w:rFonts w:ascii="Times New Roman" w:eastAsia="Times New Roman" w:hAnsi="Times New Roman" w:cs="Times New Roman"/>
          <w:sz w:val="24"/>
          <w:szCs w:val="24"/>
        </w:rPr>
        <w:t xml:space="preserve">warunków zapewnienia dostępu i utrwalania </w:t>
      </w:r>
      <w:r w:rsidR="03E15A84" w:rsidRPr="584CC5D2">
        <w:rPr>
          <w:rFonts w:ascii="Times New Roman" w:eastAsia="Times New Roman" w:hAnsi="Times New Roman" w:cs="Times New Roman"/>
          <w:sz w:val="24"/>
          <w:szCs w:val="24"/>
        </w:rPr>
        <w:t>zgodnie z wymogami</w:t>
      </w:r>
      <w:r w:rsidR="22D0F2F1" w:rsidRPr="584CC5D2">
        <w:rPr>
          <w:rFonts w:ascii="Times New Roman" w:eastAsia="Times New Roman" w:hAnsi="Times New Roman" w:cs="Times New Roman"/>
          <w:sz w:val="24"/>
          <w:szCs w:val="24"/>
        </w:rPr>
        <w:t xml:space="preserve"> określony</w:t>
      </w:r>
      <w:r w:rsidR="08CC8287" w:rsidRPr="584CC5D2">
        <w:rPr>
          <w:rFonts w:ascii="Times New Roman" w:eastAsia="Times New Roman" w:hAnsi="Times New Roman" w:cs="Times New Roman"/>
          <w:sz w:val="24"/>
          <w:szCs w:val="24"/>
        </w:rPr>
        <w:t>mi</w:t>
      </w:r>
      <w:r w:rsidR="22D0F2F1" w:rsidRPr="584CC5D2">
        <w:rPr>
          <w:rFonts w:ascii="Times New Roman" w:eastAsia="Times New Roman" w:hAnsi="Times New Roman" w:cs="Times New Roman"/>
          <w:sz w:val="24"/>
          <w:szCs w:val="24"/>
        </w:rPr>
        <w:t xml:space="preserve"> przepisami rozporządzenia, </w:t>
      </w:r>
      <w:r w:rsidR="42426475" w:rsidRPr="584CC5D2">
        <w:rPr>
          <w:rFonts w:ascii="Times New Roman" w:eastAsia="Times New Roman" w:hAnsi="Times New Roman" w:cs="Times New Roman"/>
          <w:sz w:val="24"/>
          <w:szCs w:val="24"/>
        </w:rPr>
        <w:t>co</w:t>
      </w:r>
      <w:r w:rsidR="22D0F2F1" w:rsidRPr="584CC5D2">
        <w:rPr>
          <w:rFonts w:ascii="Times New Roman" w:eastAsia="Times New Roman" w:hAnsi="Times New Roman" w:cs="Times New Roman"/>
          <w:sz w:val="24"/>
          <w:szCs w:val="24"/>
        </w:rPr>
        <w:t xml:space="preserve"> nie stwarza możliwości wskazywania nowych sposobów realizacji dostępu i utrwalania. Dotychczasowa praktyka pokazuje, że pomimo obowiązywania przepisów rozporządzenia regulującego tę problematykę, przedsiębiorcy niejednokrotnie zwracają się do uprawnionych podmiotów z pytaniami w tym zakresie. Przepis znajdzie zastosowanie w szczególności do małych przedsiębiorców, u których czynności związane z zapewnieniem warunków dostępu i utrwalania prowadzone będą z wykorzystaniem urządzeń podmiotów uprawnionych</w:t>
      </w:r>
      <w:r w:rsidR="798FFF33" w:rsidRPr="584CC5D2">
        <w:rPr>
          <w:rFonts w:ascii="Times New Roman" w:eastAsia="Times New Roman" w:hAnsi="Times New Roman" w:cs="Times New Roman"/>
          <w:sz w:val="24"/>
          <w:szCs w:val="24"/>
        </w:rPr>
        <w:t>.</w:t>
      </w:r>
    </w:p>
    <w:p w14:paraId="1E98641E" w14:textId="574EA022" w:rsidR="6BE1AF4B" w:rsidRPr="003A42FB" w:rsidRDefault="6BE1AF4B" w:rsidP="005F69BF">
      <w:pPr>
        <w:pStyle w:val="Akapitzlist"/>
        <w:numPr>
          <w:ilvl w:val="0"/>
          <w:numId w:val="69"/>
        </w:numPr>
        <w:spacing w:after="120" w:line="240" w:lineRule="auto"/>
        <w:jc w:val="both"/>
        <w:rPr>
          <w:rFonts w:ascii="Times New Roman" w:eastAsiaTheme="minorEastAsia" w:hAnsi="Times New Roman" w:cs="Times New Roman"/>
          <w:sz w:val="24"/>
          <w:szCs w:val="24"/>
        </w:rPr>
      </w:pPr>
      <w:r w:rsidRPr="584CC5D2">
        <w:rPr>
          <w:rFonts w:ascii="Times New Roman" w:eastAsia="Times New Roman" w:hAnsi="Times New Roman" w:cs="Times New Roman"/>
          <w:sz w:val="24"/>
          <w:szCs w:val="24"/>
        </w:rPr>
        <w:t xml:space="preserve">w art. </w:t>
      </w:r>
      <w:r w:rsidR="790F8CCB" w:rsidRPr="584CC5D2">
        <w:rPr>
          <w:rFonts w:ascii="Times New Roman" w:eastAsia="Times New Roman" w:hAnsi="Times New Roman" w:cs="Times New Roman"/>
          <w:sz w:val="24"/>
          <w:szCs w:val="24"/>
        </w:rPr>
        <w:t>43</w:t>
      </w:r>
      <w:r w:rsidRPr="584CC5D2">
        <w:rPr>
          <w:rFonts w:ascii="Times New Roman" w:eastAsia="Times New Roman" w:hAnsi="Times New Roman" w:cs="Times New Roman"/>
          <w:sz w:val="24"/>
          <w:szCs w:val="24"/>
        </w:rPr>
        <w:t xml:space="preserve"> dodano </w:t>
      </w:r>
      <w:r w:rsidR="6EFCFAF6" w:rsidRPr="584CC5D2">
        <w:rPr>
          <w:rFonts w:ascii="Times New Roman" w:eastAsia="Times New Roman" w:hAnsi="Times New Roman" w:cs="Times New Roman"/>
          <w:sz w:val="24"/>
          <w:szCs w:val="24"/>
        </w:rPr>
        <w:t>w</w:t>
      </w:r>
      <w:r w:rsidR="6122BBA5" w:rsidRPr="584CC5D2">
        <w:rPr>
          <w:rFonts w:ascii="Times New Roman" w:eastAsia="Times New Roman" w:hAnsi="Times New Roman" w:cs="Times New Roman"/>
          <w:sz w:val="24"/>
          <w:szCs w:val="24"/>
        </w:rPr>
        <w:t xml:space="preserve"> </w:t>
      </w:r>
      <w:r w:rsidRPr="584CC5D2">
        <w:rPr>
          <w:rFonts w:ascii="Times New Roman" w:eastAsia="Times New Roman" w:hAnsi="Times New Roman" w:cs="Times New Roman"/>
          <w:sz w:val="24"/>
          <w:szCs w:val="24"/>
        </w:rPr>
        <w:t>ust</w:t>
      </w:r>
      <w:r w:rsidR="008616CA" w:rsidRPr="584CC5D2">
        <w:rPr>
          <w:rFonts w:ascii="Times New Roman" w:eastAsia="Times New Roman" w:hAnsi="Times New Roman" w:cs="Times New Roman"/>
          <w:sz w:val="24"/>
          <w:szCs w:val="24"/>
        </w:rPr>
        <w:t xml:space="preserve">. </w:t>
      </w:r>
      <w:r w:rsidR="2165DC71" w:rsidRPr="584CC5D2">
        <w:rPr>
          <w:rFonts w:ascii="Times New Roman" w:eastAsia="Times New Roman" w:hAnsi="Times New Roman" w:cs="Times New Roman"/>
          <w:sz w:val="24"/>
          <w:szCs w:val="24"/>
        </w:rPr>
        <w:t xml:space="preserve">5 </w:t>
      </w:r>
      <w:r w:rsidR="605E6E4E" w:rsidRPr="584CC5D2">
        <w:rPr>
          <w:rFonts w:ascii="Times New Roman" w:eastAsia="Times New Roman" w:hAnsi="Times New Roman" w:cs="Times New Roman"/>
          <w:sz w:val="24"/>
          <w:szCs w:val="24"/>
        </w:rPr>
        <w:t>, że w umowach dotyczących interfejsów reguluje się co najmniej kwestie</w:t>
      </w:r>
      <w:r w:rsidR="6122BBA5" w:rsidRPr="584CC5D2">
        <w:rPr>
          <w:rFonts w:ascii="Times New Roman" w:eastAsia="Times New Roman" w:hAnsi="Times New Roman" w:cs="Times New Roman"/>
          <w:sz w:val="24"/>
          <w:szCs w:val="24"/>
        </w:rPr>
        <w:t xml:space="preserve"> </w:t>
      </w:r>
      <w:r w:rsidR="07406047" w:rsidRPr="584CC5D2">
        <w:rPr>
          <w:rFonts w:ascii="Times New Roman" w:eastAsia="Times New Roman" w:hAnsi="Times New Roman" w:cs="Times New Roman"/>
          <w:sz w:val="24"/>
          <w:szCs w:val="24"/>
        </w:rPr>
        <w:t>ich finansowania oraz</w:t>
      </w:r>
      <w:r w:rsidRPr="584CC5D2">
        <w:rPr>
          <w:rFonts w:ascii="Times New Roman" w:eastAsia="Times New Roman" w:hAnsi="Times New Roman" w:cs="Times New Roman"/>
          <w:sz w:val="24"/>
          <w:szCs w:val="24"/>
        </w:rPr>
        <w:t xml:space="preserve"> sposób</w:t>
      </w:r>
      <w:r w:rsidR="7C32C82D" w:rsidRPr="584CC5D2">
        <w:rPr>
          <w:rFonts w:ascii="Times New Roman" w:eastAsia="Times New Roman" w:hAnsi="Times New Roman" w:cs="Times New Roman"/>
          <w:sz w:val="24"/>
          <w:szCs w:val="24"/>
        </w:rPr>
        <w:t xml:space="preserve"> </w:t>
      </w:r>
      <w:r w:rsidR="0CE99E05" w:rsidRPr="584CC5D2">
        <w:rPr>
          <w:rFonts w:ascii="Times New Roman" w:eastAsia="Times New Roman" w:hAnsi="Times New Roman" w:cs="Times New Roman"/>
          <w:sz w:val="24"/>
          <w:szCs w:val="24"/>
        </w:rPr>
        <w:t xml:space="preserve">współpracy </w:t>
      </w:r>
      <w:r w:rsidR="7C32C82D" w:rsidRPr="584CC5D2">
        <w:rPr>
          <w:rFonts w:ascii="Times New Roman" w:eastAsia="Times New Roman" w:hAnsi="Times New Roman" w:cs="Times New Roman"/>
          <w:sz w:val="24"/>
          <w:szCs w:val="24"/>
        </w:rPr>
        <w:t>w przypadku awarii interfejsu</w:t>
      </w:r>
      <w:r w:rsidR="1EDBD669" w:rsidRPr="584CC5D2">
        <w:rPr>
          <w:rFonts w:ascii="Times New Roman" w:eastAsia="Times New Roman" w:hAnsi="Times New Roman" w:cs="Times New Roman"/>
          <w:sz w:val="24"/>
          <w:szCs w:val="24"/>
        </w:rPr>
        <w:t>, co</w:t>
      </w:r>
      <w:r w:rsidR="2F14E2B0" w:rsidRPr="584CC5D2">
        <w:rPr>
          <w:rFonts w:ascii="Times New Roman" w:eastAsia="Times New Roman" w:hAnsi="Times New Roman" w:cs="Times New Roman"/>
          <w:sz w:val="24"/>
          <w:szCs w:val="24"/>
        </w:rPr>
        <w:t xml:space="preserve"> gwarant</w:t>
      </w:r>
      <w:r w:rsidR="54027152" w:rsidRPr="584CC5D2">
        <w:rPr>
          <w:rFonts w:ascii="Times New Roman" w:eastAsia="Times New Roman" w:hAnsi="Times New Roman" w:cs="Times New Roman"/>
          <w:sz w:val="24"/>
          <w:szCs w:val="24"/>
        </w:rPr>
        <w:t>owałoby</w:t>
      </w:r>
      <w:r w:rsidR="7C32C82D" w:rsidRPr="584CC5D2">
        <w:rPr>
          <w:rFonts w:ascii="Times New Roman" w:eastAsia="Times New Roman" w:hAnsi="Times New Roman" w:cs="Times New Roman"/>
          <w:sz w:val="24"/>
          <w:szCs w:val="24"/>
        </w:rPr>
        <w:t xml:space="preserve"> ciągłość dostępu i utrwalania treści i danych</w:t>
      </w:r>
      <w:r w:rsidR="16913AD2" w:rsidRPr="584CC5D2">
        <w:rPr>
          <w:rFonts w:ascii="Times New Roman" w:eastAsia="Times New Roman" w:hAnsi="Times New Roman" w:cs="Times New Roman"/>
          <w:sz w:val="24"/>
          <w:szCs w:val="24"/>
        </w:rPr>
        <w:t>.</w:t>
      </w:r>
    </w:p>
    <w:p w14:paraId="4BCBD76F" w14:textId="003C8F69" w:rsidR="2E196656" w:rsidRPr="005F69BF" w:rsidRDefault="2E196656" w:rsidP="005F69BF">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Art. 4</w:t>
      </w:r>
      <w:r w:rsidR="30E1810D" w:rsidRPr="584CC5D2">
        <w:rPr>
          <w:rFonts w:ascii="Times New Roman" w:eastAsia="Times New Roman" w:hAnsi="Times New Roman" w:cs="Times New Roman"/>
          <w:b/>
          <w:bCs/>
          <w:sz w:val="24"/>
          <w:szCs w:val="24"/>
        </w:rPr>
        <w:t>5</w:t>
      </w:r>
    </w:p>
    <w:p w14:paraId="6C415976" w14:textId="135533FE" w:rsidR="2C8D7B33" w:rsidRPr="003A42FB" w:rsidRDefault="2A8B13B1" w:rsidP="005F69BF">
      <w:pPr>
        <w:spacing w:after="120" w:line="240" w:lineRule="auto"/>
        <w:jc w:val="both"/>
        <w:rPr>
          <w:rFonts w:ascii="Times New Roman" w:eastAsiaTheme="minorEastAsia" w:hAnsi="Times New Roman" w:cs="Times New Roman"/>
          <w:sz w:val="24"/>
          <w:szCs w:val="24"/>
        </w:rPr>
      </w:pPr>
      <w:r w:rsidRPr="584CC5D2">
        <w:rPr>
          <w:rFonts w:ascii="Times New Roman" w:eastAsia="Times New Roman" w:hAnsi="Times New Roman" w:cs="Times New Roman"/>
          <w:sz w:val="24"/>
          <w:szCs w:val="24"/>
        </w:rPr>
        <w:t>W art.</w:t>
      </w:r>
      <w:r w:rsidR="7373ACD9" w:rsidRPr="584CC5D2">
        <w:rPr>
          <w:rFonts w:ascii="Times New Roman" w:eastAsia="Times New Roman" w:hAnsi="Times New Roman" w:cs="Times New Roman"/>
          <w:sz w:val="24"/>
          <w:szCs w:val="24"/>
        </w:rPr>
        <w:t xml:space="preserve"> </w:t>
      </w:r>
      <w:r w:rsidR="2928997E" w:rsidRPr="584CC5D2">
        <w:rPr>
          <w:rFonts w:ascii="Times New Roman" w:eastAsia="Times New Roman" w:hAnsi="Times New Roman" w:cs="Times New Roman"/>
          <w:sz w:val="24"/>
          <w:szCs w:val="24"/>
        </w:rPr>
        <w:t>43 ust. 9</w:t>
      </w:r>
      <w:r w:rsidRPr="584CC5D2">
        <w:rPr>
          <w:rFonts w:ascii="Times New Roman" w:eastAsia="Times New Roman" w:hAnsi="Times New Roman" w:cs="Times New Roman"/>
          <w:sz w:val="24"/>
          <w:szCs w:val="24"/>
        </w:rPr>
        <w:t xml:space="preserve">  dodano przepis mający na celu złagodzenie warunków przygotowania się mikro- i małych przedsiębiorców do realizacji warunków dostępu i utrwalania. Przepis ten wskazuje bezpośrednio na możliwość zrealizowania tego obowiązku za pomocą urządzeń podmiotu uprawnionego oraz w </w:t>
      </w:r>
      <w:r w:rsidR="1773EA5B" w:rsidRPr="584CC5D2">
        <w:rPr>
          <w:rFonts w:ascii="Times New Roman" w:eastAsia="Times New Roman" w:hAnsi="Times New Roman" w:cs="Times New Roman"/>
          <w:sz w:val="24"/>
          <w:szCs w:val="24"/>
        </w:rPr>
        <w:t>drodze</w:t>
      </w:r>
      <w:r w:rsidRPr="584CC5D2">
        <w:rPr>
          <w:rFonts w:ascii="Times New Roman" w:eastAsia="Times New Roman" w:hAnsi="Times New Roman" w:cs="Times New Roman"/>
          <w:sz w:val="24"/>
          <w:szCs w:val="24"/>
        </w:rPr>
        <w:t xml:space="preserve"> powierzenia na podstawie umowy realizacji obowiązku innemu przedsiębiorcy telekomunikacyjnemu np.  posiadającemu interfejs. Ponadto przy tak sformułowanym zapisie możliwa będzie również każda inna forma zapewnienia warunków dostępu i utrwalania w zależności od uwarunkowań posiadanej przez przedsiębiorcę infrastruktury, np. przekazanie kontrolowanych treści przekazów na nośnikach</w:t>
      </w:r>
      <w:r w:rsidR="38F0D746" w:rsidRPr="584CC5D2">
        <w:rPr>
          <w:rFonts w:ascii="Times New Roman" w:eastAsia="Times New Roman" w:hAnsi="Times New Roman" w:cs="Times New Roman"/>
          <w:sz w:val="24"/>
          <w:szCs w:val="24"/>
        </w:rPr>
        <w:t>. Jednocześnie zrezygnowano z obecnego przepisu art. 179 ust. 4d</w:t>
      </w:r>
      <w:r w:rsidR="5D7D373C" w:rsidRPr="584CC5D2">
        <w:rPr>
          <w:rFonts w:ascii="Times New Roman" w:eastAsia="Times New Roman" w:hAnsi="Times New Roman" w:cs="Times New Roman"/>
          <w:sz w:val="24"/>
          <w:szCs w:val="24"/>
        </w:rPr>
        <w:t xml:space="preserve"> ze względu na fakt</w:t>
      </w:r>
      <w:r w:rsidR="366EADA9" w:rsidRPr="584CC5D2">
        <w:rPr>
          <w:rFonts w:ascii="Times New Roman" w:eastAsia="Times New Roman" w:hAnsi="Times New Roman" w:cs="Times New Roman"/>
          <w:sz w:val="24"/>
          <w:szCs w:val="24"/>
        </w:rPr>
        <w:t>, że stosowanie interfejsu nie jest obligatoryjne, więc niezasadne jest wskazywanie, że ich stosowanie nie dotyczy mik</w:t>
      </w:r>
      <w:r w:rsidR="5CE7F2E9" w:rsidRPr="584CC5D2">
        <w:rPr>
          <w:rFonts w:ascii="Times New Roman" w:eastAsia="Times New Roman" w:hAnsi="Times New Roman" w:cs="Times New Roman"/>
          <w:sz w:val="24"/>
          <w:szCs w:val="24"/>
        </w:rPr>
        <w:t>ro- i małych przedsiębiorców</w:t>
      </w:r>
      <w:r w:rsidR="21DA6046" w:rsidRPr="584CC5D2">
        <w:rPr>
          <w:rFonts w:ascii="Times New Roman" w:eastAsia="Times New Roman" w:hAnsi="Times New Roman" w:cs="Times New Roman"/>
          <w:sz w:val="24"/>
          <w:szCs w:val="24"/>
        </w:rPr>
        <w:t>.</w:t>
      </w:r>
    </w:p>
    <w:p w14:paraId="229BF857" w14:textId="29855D7D" w:rsidR="67C72CB0" w:rsidRPr="003A42FB" w:rsidRDefault="093D741F" w:rsidP="584CC5D2">
      <w:pPr>
        <w:spacing w:after="120" w:line="240" w:lineRule="auto"/>
        <w:jc w:val="both"/>
        <w:rPr>
          <w:rFonts w:ascii="Times New Roman" w:eastAsiaTheme="minorEastAsia" w:hAnsi="Times New Roman" w:cs="Times New Roman"/>
          <w:sz w:val="24"/>
          <w:szCs w:val="24"/>
        </w:rPr>
      </w:pPr>
      <w:r w:rsidRPr="20FC73BA">
        <w:rPr>
          <w:rFonts w:ascii="Times New Roman" w:eastAsia="Times New Roman" w:hAnsi="Times New Roman" w:cs="Times New Roman"/>
          <w:sz w:val="24"/>
          <w:szCs w:val="24"/>
        </w:rPr>
        <w:t>W</w:t>
      </w:r>
      <w:r w:rsidR="67C72CB0" w:rsidRPr="20FC73BA">
        <w:rPr>
          <w:rFonts w:ascii="Times New Roman" w:eastAsia="Times New Roman" w:hAnsi="Times New Roman" w:cs="Times New Roman"/>
          <w:sz w:val="24"/>
          <w:szCs w:val="24"/>
        </w:rPr>
        <w:t xml:space="preserve"> art. </w:t>
      </w:r>
      <w:r w:rsidR="0840AC62" w:rsidRPr="20FC73BA">
        <w:rPr>
          <w:rFonts w:ascii="Times New Roman" w:eastAsia="Times New Roman" w:hAnsi="Times New Roman" w:cs="Times New Roman"/>
          <w:sz w:val="24"/>
          <w:szCs w:val="24"/>
        </w:rPr>
        <w:t>45</w:t>
      </w:r>
      <w:r w:rsidR="67C72CB0" w:rsidRPr="20FC73BA">
        <w:rPr>
          <w:rFonts w:ascii="Times New Roman" w:eastAsia="Times New Roman" w:hAnsi="Times New Roman" w:cs="Times New Roman"/>
          <w:sz w:val="24"/>
          <w:szCs w:val="24"/>
        </w:rPr>
        <w:t xml:space="preserve"> doprecyzowano obowiązek polegający na </w:t>
      </w:r>
      <w:r w:rsidR="62539118" w:rsidRPr="20FC73BA">
        <w:rPr>
          <w:rFonts w:ascii="Times New Roman" w:eastAsia="Times New Roman" w:hAnsi="Times New Roman" w:cs="Times New Roman"/>
          <w:sz w:val="24"/>
          <w:szCs w:val="24"/>
        </w:rPr>
        <w:t>przygotowaniu technicznych i organizacyjnych warunków udostępniania oraz udostępnianiu przetwarzanych danych uprawnionym podmiotom oraz sądowi i prokuratorowi</w:t>
      </w:r>
      <w:r w:rsidR="6F911AFA" w:rsidRPr="20FC73BA">
        <w:rPr>
          <w:rFonts w:ascii="Times New Roman" w:eastAsia="Times New Roman" w:hAnsi="Times New Roman" w:cs="Times New Roman"/>
          <w:sz w:val="24"/>
          <w:szCs w:val="24"/>
        </w:rPr>
        <w:t xml:space="preserve">, </w:t>
      </w:r>
      <w:r w:rsidR="40CBBF9B" w:rsidRPr="20FC73BA">
        <w:rPr>
          <w:rFonts w:ascii="Times New Roman" w:eastAsia="Times New Roman" w:hAnsi="Times New Roman" w:cs="Times New Roman"/>
          <w:sz w:val="24"/>
          <w:szCs w:val="24"/>
        </w:rPr>
        <w:t xml:space="preserve">objęte aktualnie art. 180d ustawy – Prawo telekomunikacyjne, </w:t>
      </w:r>
      <w:r w:rsidR="5BFF64D1" w:rsidRPr="20FC73BA">
        <w:rPr>
          <w:rFonts w:ascii="Times New Roman" w:eastAsia="Times New Roman" w:hAnsi="Times New Roman" w:cs="Times New Roman"/>
          <w:sz w:val="24"/>
          <w:szCs w:val="24"/>
        </w:rPr>
        <w:t xml:space="preserve">m. in. </w:t>
      </w:r>
      <w:r w:rsidR="40CBBF9B" w:rsidRPr="20FC73BA">
        <w:rPr>
          <w:rFonts w:ascii="Times New Roman" w:eastAsia="Times New Roman" w:hAnsi="Times New Roman" w:cs="Times New Roman"/>
          <w:sz w:val="24"/>
          <w:szCs w:val="24"/>
        </w:rPr>
        <w:t>poprzez usunięcie odniesienia do “warunków dost</w:t>
      </w:r>
      <w:r w:rsidR="580E69CE" w:rsidRPr="20FC73BA">
        <w:rPr>
          <w:rFonts w:ascii="Times New Roman" w:eastAsia="Times New Roman" w:hAnsi="Times New Roman" w:cs="Times New Roman"/>
          <w:sz w:val="24"/>
          <w:szCs w:val="24"/>
        </w:rPr>
        <w:t>ępu i utrwalania”.</w:t>
      </w:r>
      <w:r w:rsidR="5DD1005E" w:rsidRPr="20FC73BA">
        <w:rPr>
          <w:rFonts w:ascii="Times New Roman" w:eastAsia="Times New Roman" w:hAnsi="Times New Roman" w:cs="Times New Roman"/>
          <w:sz w:val="24"/>
          <w:szCs w:val="24"/>
        </w:rPr>
        <w:t xml:space="preserve"> S</w:t>
      </w:r>
      <w:r w:rsidR="5DD1005E" w:rsidRPr="005F69BF">
        <w:rPr>
          <w:rFonts w:ascii="Times New Roman" w:eastAsia="Times New Roman" w:hAnsi="Times New Roman" w:cs="Times New Roman"/>
          <w:sz w:val="24"/>
          <w:szCs w:val="24"/>
        </w:rPr>
        <w:t>tanowi</w:t>
      </w:r>
      <w:r w:rsidR="5DD1005E" w:rsidRPr="20FC73BA">
        <w:rPr>
          <w:rFonts w:ascii="Times New Roman" w:eastAsia="Times New Roman" w:hAnsi="Times New Roman" w:cs="Times New Roman"/>
          <w:sz w:val="24"/>
          <w:szCs w:val="24"/>
        </w:rPr>
        <w:t xml:space="preserve"> on</w:t>
      </w:r>
      <w:r w:rsidR="5DD1005E" w:rsidRPr="005F69BF">
        <w:rPr>
          <w:rFonts w:ascii="Times New Roman" w:eastAsia="Times New Roman" w:hAnsi="Times New Roman" w:cs="Times New Roman"/>
          <w:sz w:val="24"/>
          <w:szCs w:val="24"/>
        </w:rPr>
        <w:t xml:space="preserve"> podstawę prawną dla obowiązku</w:t>
      </w:r>
      <w:r w:rsidR="5DD1005E" w:rsidRPr="20FC73BA">
        <w:rPr>
          <w:rFonts w:ascii="Times New Roman" w:eastAsia="Times New Roman" w:hAnsi="Times New Roman" w:cs="Times New Roman"/>
          <w:sz w:val="24"/>
          <w:szCs w:val="24"/>
        </w:rPr>
        <w:t xml:space="preserve"> </w:t>
      </w:r>
      <w:r w:rsidR="5DD1005E" w:rsidRPr="005F69BF">
        <w:rPr>
          <w:rFonts w:ascii="Times New Roman" w:eastAsia="Times New Roman" w:hAnsi="Times New Roman" w:cs="Times New Roman"/>
          <w:sz w:val="24"/>
          <w:szCs w:val="24"/>
        </w:rPr>
        <w:t>w zakresie przygotowania odpowiednich warunków technicznych i organizacyjnych umożliwiających udostępnianie danych realizowanych w ramach tzw. ustaleń telekomunikacyjnych</w:t>
      </w:r>
      <w:r w:rsidR="4675E11E" w:rsidRPr="20FC73BA">
        <w:rPr>
          <w:rFonts w:ascii="Times New Roman" w:eastAsia="Times New Roman" w:hAnsi="Times New Roman" w:cs="Times New Roman"/>
          <w:sz w:val="24"/>
          <w:szCs w:val="24"/>
        </w:rPr>
        <w:t>, oraz d</w:t>
      </w:r>
      <w:r w:rsidR="5DD1005E" w:rsidRPr="005F69BF">
        <w:rPr>
          <w:rFonts w:ascii="Times New Roman" w:eastAsia="Times New Roman" w:hAnsi="Times New Roman" w:cs="Times New Roman"/>
          <w:sz w:val="24"/>
          <w:szCs w:val="24"/>
        </w:rPr>
        <w:t>o określenia sposobu udostępniania tych danych</w:t>
      </w:r>
      <w:r w:rsidR="62539118" w:rsidRPr="20FC73BA">
        <w:rPr>
          <w:rFonts w:ascii="Times New Roman" w:eastAsia="Times New Roman" w:hAnsi="Times New Roman" w:cs="Times New Roman"/>
          <w:sz w:val="24"/>
          <w:szCs w:val="24"/>
        </w:rPr>
        <w:t xml:space="preserve"> </w:t>
      </w:r>
      <w:r w:rsidR="128BB143" w:rsidRPr="20FC73BA">
        <w:rPr>
          <w:rFonts w:ascii="Times New Roman" w:eastAsia="Times New Roman" w:hAnsi="Times New Roman" w:cs="Times New Roman"/>
          <w:sz w:val="24"/>
          <w:szCs w:val="24"/>
        </w:rPr>
        <w:t>Uzupełniono przepisy o konieczność przekazania danych identyfikujących sieć oraz kraj, w przypadku</w:t>
      </w:r>
      <w:r w:rsidR="1DD37803" w:rsidRPr="20FC73BA">
        <w:rPr>
          <w:rFonts w:ascii="Times New Roman" w:eastAsia="Times New Roman" w:hAnsi="Times New Roman" w:cs="Times New Roman"/>
          <w:sz w:val="24"/>
          <w:szCs w:val="24"/>
        </w:rPr>
        <w:t>,</w:t>
      </w:r>
      <w:r w:rsidR="128BB143" w:rsidRPr="20FC73BA">
        <w:rPr>
          <w:rFonts w:ascii="Times New Roman" w:eastAsia="Times New Roman" w:hAnsi="Times New Roman" w:cs="Times New Roman"/>
          <w:sz w:val="24"/>
          <w:szCs w:val="24"/>
        </w:rPr>
        <w:t xml:space="preserve"> gdy urządzenie końcowe znajduje się poza granicami Rzeczypospolitej Polskiej. Jest to przepis analogiczny do przepisu zawartego w obowiązującym rozporządzeniu Ministra Infrastruktury z dnia 28 grudnia 2009 r. w sprawie szczegółowego wykazu danych oraz rodzajów operatorów publicznej</w:t>
      </w:r>
      <w:r w:rsidR="42A02EDB" w:rsidRPr="20FC73BA">
        <w:rPr>
          <w:rFonts w:ascii="Times New Roman" w:eastAsia="Times New Roman" w:hAnsi="Times New Roman" w:cs="Times New Roman"/>
          <w:sz w:val="24"/>
          <w:szCs w:val="24"/>
        </w:rPr>
        <w:t xml:space="preserve"> </w:t>
      </w:r>
      <w:r w:rsidR="128BB143" w:rsidRPr="20FC73BA">
        <w:rPr>
          <w:rFonts w:ascii="Times New Roman" w:eastAsia="Times New Roman" w:hAnsi="Times New Roman" w:cs="Times New Roman"/>
          <w:sz w:val="24"/>
          <w:szCs w:val="24"/>
        </w:rPr>
        <w:t xml:space="preserve">sieci telekomunikacyjnej </w:t>
      </w:r>
      <w:r w:rsidR="128BB143" w:rsidRPr="20FC73BA">
        <w:rPr>
          <w:rFonts w:ascii="Times New Roman" w:eastAsia="Times New Roman" w:hAnsi="Times New Roman" w:cs="Times New Roman"/>
          <w:sz w:val="24"/>
          <w:szCs w:val="24"/>
        </w:rPr>
        <w:lastRenderedPageBreak/>
        <w:t>lub dostawców publicznie dostępnych usług telekomunikacyjnych obowiązanych do ich zatrzymywania i przechowywania</w:t>
      </w:r>
      <w:r w:rsidR="3D9CF05D" w:rsidRPr="20FC73BA">
        <w:rPr>
          <w:rFonts w:ascii="Times New Roman" w:eastAsia="Times New Roman" w:hAnsi="Times New Roman" w:cs="Times New Roman"/>
          <w:sz w:val="24"/>
          <w:szCs w:val="24"/>
        </w:rPr>
        <w:t>.</w:t>
      </w:r>
    </w:p>
    <w:p w14:paraId="130218D4" w14:textId="39BD508D" w:rsidR="67C72CB0" w:rsidRPr="003A42FB" w:rsidRDefault="3D9CF05D" w:rsidP="005F69BF">
      <w:pPr>
        <w:spacing w:after="120" w:line="240" w:lineRule="auto"/>
        <w:jc w:val="both"/>
        <w:rPr>
          <w:rFonts w:ascii="Times New Roman" w:eastAsia="Times New Roman" w:hAnsi="Times New Roman" w:cs="Times New Roman"/>
          <w:sz w:val="24"/>
          <w:szCs w:val="24"/>
        </w:rPr>
      </w:pPr>
      <w:r w:rsidRPr="005F69BF">
        <w:rPr>
          <w:rFonts w:ascii="Times New Roman" w:eastAsia="Times New Roman" w:hAnsi="Times New Roman" w:cs="Times New Roman"/>
          <w:b/>
          <w:bCs/>
          <w:sz w:val="24"/>
          <w:szCs w:val="24"/>
        </w:rPr>
        <w:t>Art. 46</w:t>
      </w:r>
    </w:p>
    <w:p w14:paraId="56CF7340" w14:textId="52924D26" w:rsidR="2E54A8F1" w:rsidRPr="003A42FB" w:rsidRDefault="0A9FD858" w:rsidP="20FC73BA">
      <w:pPr>
        <w:spacing w:after="120" w:line="240" w:lineRule="auto"/>
        <w:jc w:val="both"/>
        <w:rPr>
          <w:rFonts w:ascii="Times New Roman" w:eastAsiaTheme="minorEastAsia" w:hAnsi="Times New Roman" w:cs="Times New Roman"/>
          <w:sz w:val="24"/>
          <w:szCs w:val="24"/>
        </w:rPr>
      </w:pPr>
      <w:r w:rsidRPr="20FC73BA">
        <w:rPr>
          <w:rFonts w:ascii="Times New Roman" w:eastAsia="Times New Roman" w:hAnsi="Times New Roman" w:cs="Times New Roman"/>
          <w:sz w:val="24"/>
          <w:szCs w:val="24"/>
        </w:rPr>
        <w:t xml:space="preserve">Art. 46 zawiera niezmienione w </w:t>
      </w:r>
      <w:r w:rsidR="582AFFF6" w:rsidRPr="20FC73BA">
        <w:rPr>
          <w:rFonts w:ascii="Times New Roman" w:eastAsia="Times New Roman" w:hAnsi="Times New Roman" w:cs="Times New Roman"/>
          <w:sz w:val="24"/>
          <w:szCs w:val="24"/>
        </w:rPr>
        <w:t>stosunku</w:t>
      </w:r>
      <w:r w:rsidRPr="20FC73BA">
        <w:rPr>
          <w:rFonts w:ascii="Times New Roman" w:eastAsia="Times New Roman" w:hAnsi="Times New Roman" w:cs="Times New Roman"/>
          <w:sz w:val="24"/>
          <w:szCs w:val="24"/>
        </w:rPr>
        <w:t xml:space="preserve"> do obecnych przepisów </w:t>
      </w:r>
      <w:r w:rsidR="1F027796" w:rsidRPr="20FC73BA">
        <w:rPr>
          <w:rFonts w:ascii="Times New Roman" w:eastAsia="Times New Roman" w:hAnsi="Times New Roman" w:cs="Times New Roman"/>
          <w:sz w:val="24"/>
          <w:szCs w:val="24"/>
        </w:rPr>
        <w:t>upoważnienia</w:t>
      </w:r>
      <w:r w:rsidRPr="20FC73BA">
        <w:rPr>
          <w:rFonts w:ascii="Times New Roman" w:eastAsia="Times New Roman" w:hAnsi="Times New Roman" w:cs="Times New Roman"/>
          <w:sz w:val="24"/>
          <w:szCs w:val="24"/>
        </w:rPr>
        <w:t xml:space="preserve"> ujęt</w:t>
      </w:r>
      <w:r w:rsidR="189BD429" w:rsidRPr="20FC73BA">
        <w:rPr>
          <w:rFonts w:ascii="Times New Roman" w:eastAsia="Times New Roman" w:hAnsi="Times New Roman" w:cs="Times New Roman"/>
          <w:sz w:val="24"/>
          <w:szCs w:val="24"/>
        </w:rPr>
        <w:t xml:space="preserve">e w art. 179 ust. 12 oraz </w:t>
      </w:r>
      <w:r w:rsidR="75154537" w:rsidRPr="20FC73BA">
        <w:rPr>
          <w:rFonts w:ascii="Times New Roman" w:eastAsia="Times New Roman" w:hAnsi="Times New Roman" w:cs="Times New Roman"/>
          <w:sz w:val="24"/>
          <w:szCs w:val="24"/>
        </w:rPr>
        <w:t>art.</w:t>
      </w:r>
      <w:r w:rsidR="189BD429" w:rsidRPr="20FC73BA">
        <w:rPr>
          <w:rFonts w:ascii="Times New Roman" w:eastAsia="Times New Roman" w:hAnsi="Times New Roman" w:cs="Times New Roman"/>
          <w:sz w:val="24"/>
          <w:szCs w:val="24"/>
        </w:rPr>
        <w:t>18</w:t>
      </w:r>
      <w:r w:rsidR="40CFE0B6" w:rsidRPr="20FC73BA">
        <w:rPr>
          <w:rFonts w:ascii="Times New Roman" w:eastAsia="Times New Roman" w:hAnsi="Times New Roman" w:cs="Times New Roman"/>
          <w:sz w:val="24"/>
          <w:szCs w:val="24"/>
        </w:rPr>
        <w:t xml:space="preserve">2 </w:t>
      </w:r>
      <w:r w:rsidR="05E84441" w:rsidRPr="20FC73BA">
        <w:rPr>
          <w:rFonts w:ascii="Times New Roman" w:eastAsia="Times New Roman" w:hAnsi="Times New Roman" w:cs="Times New Roman"/>
          <w:sz w:val="24"/>
          <w:szCs w:val="24"/>
        </w:rPr>
        <w:t>ustawy</w:t>
      </w:r>
      <w:r w:rsidR="40CFE0B6" w:rsidRPr="20FC73BA">
        <w:rPr>
          <w:rFonts w:ascii="Times New Roman" w:eastAsia="Times New Roman" w:hAnsi="Times New Roman" w:cs="Times New Roman"/>
          <w:sz w:val="24"/>
          <w:szCs w:val="24"/>
        </w:rPr>
        <w:t xml:space="preserve"> – Prawo telekomunikacyjne.</w:t>
      </w:r>
      <w:r w:rsidR="6FF2714E" w:rsidRPr="20FC73BA">
        <w:rPr>
          <w:rFonts w:ascii="Times New Roman" w:eastAsia="Times New Roman" w:hAnsi="Times New Roman" w:cs="Times New Roman"/>
          <w:sz w:val="24"/>
          <w:szCs w:val="24"/>
        </w:rPr>
        <w:t xml:space="preserve"> </w:t>
      </w:r>
      <w:r w:rsidR="5CD1DFE7" w:rsidRPr="20FC73BA">
        <w:rPr>
          <w:rFonts w:ascii="Times New Roman" w:eastAsia="Times New Roman" w:hAnsi="Times New Roman" w:cs="Times New Roman"/>
          <w:sz w:val="24"/>
          <w:szCs w:val="24"/>
        </w:rPr>
        <w:t>P</w:t>
      </w:r>
      <w:r w:rsidR="2E54A8F1" w:rsidRPr="20FC73BA">
        <w:rPr>
          <w:rFonts w:ascii="Times New Roman" w:eastAsia="Times New Roman" w:hAnsi="Times New Roman" w:cs="Times New Roman"/>
          <w:sz w:val="24"/>
          <w:szCs w:val="24"/>
        </w:rPr>
        <w:t xml:space="preserve">odkreślić należy, </w:t>
      </w:r>
      <w:r w:rsidR="654CBEB1" w:rsidRPr="20FC73BA">
        <w:rPr>
          <w:rFonts w:ascii="Times New Roman" w:eastAsia="Times New Roman" w:hAnsi="Times New Roman" w:cs="Times New Roman"/>
          <w:sz w:val="24"/>
          <w:szCs w:val="24"/>
        </w:rPr>
        <w:t>ż</w:t>
      </w:r>
      <w:r w:rsidR="2E54A8F1" w:rsidRPr="20FC73BA">
        <w:rPr>
          <w:rFonts w:ascii="Times New Roman" w:eastAsia="Times New Roman" w:hAnsi="Times New Roman" w:cs="Times New Roman"/>
          <w:sz w:val="24"/>
          <w:szCs w:val="24"/>
        </w:rPr>
        <w:t xml:space="preserve">e </w:t>
      </w:r>
      <w:r w:rsidR="59728CB5" w:rsidRPr="20FC73BA">
        <w:rPr>
          <w:rFonts w:ascii="Times New Roman" w:eastAsia="Times New Roman" w:hAnsi="Times New Roman" w:cs="Times New Roman"/>
          <w:sz w:val="24"/>
          <w:szCs w:val="24"/>
        </w:rPr>
        <w:t>wskazanie w rozporządzeniu</w:t>
      </w:r>
      <w:r w:rsidR="14D84434" w:rsidRPr="20FC73BA">
        <w:rPr>
          <w:rFonts w:ascii="Times New Roman" w:eastAsia="Times New Roman" w:hAnsi="Times New Roman" w:cs="Times New Roman"/>
          <w:sz w:val="24"/>
          <w:szCs w:val="24"/>
        </w:rPr>
        <w:t>, na podstawie art. 46 ust 1 pkt 2</w:t>
      </w:r>
      <w:r w:rsidR="48BCA48D" w:rsidRPr="20FC73BA">
        <w:rPr>
          <w:rFonts w:ascii="Times New Roman" w:eastAsia="Times New Roman" w:hAnsi="Times New Roman" w:cs="Times New Roman"/>
          <w:sz w:val="24"/>
          <w:szCs w:val="24"/>
        </w:rPr>
        <w:t>,</w:t>
      </w:r>
      <w:r w:rsidR="14D84434" w:rsidRPr="20FC73BA">
        <w:rPr>
          <w:rFonts w:ascii="Times New Roman" w:eastAsia="Times New Roman" w:hAnsi="Times New Roman" w:cs="Times New Roman"/>
          <w:sz w:val="24"/>
          <w:szCs w:val="24"/>
        </w:rPr>
        <w:t xml:space="preserve"> </w:t>
      </w:r>
      <w:r w:rsidR="59728CB5" w:rsidRPr="20FC73BA">
        <w:rPr>
          <w:rFonts w:ascii="Times New Roman" w:eastAsia="Times New Roman" w:hAnsi="Times New Roman" w:cs="Times New Roman"/>
          <w:sz w:val="24"/>
          <w:szCs w:val="24"/>
        </w:rPr>
        <w:t xml:space="preserve">rodzajów działalności telekomunikacyjnej lub rodzajów przedsiębiorców telekomunikacyjnych niepodlegających obowiązkowi zapewnienia warunków dostępu i utrwalania, jest </w:t>
      </w:r>
      <w:r w:rsidR="2E54A8F1" w:rsidRPr="20FC73BA">
        <w:rPr>
          <w:rFonts w:ascii="Times New Roman" w:eastAsia="Times New Roman" w:hAnsi="Times New Roman" w:cs="Times New Roman"/>
          <w:sz w:val="24"/>
          <w:szCs w:val="24"/>
        </w:rPr>
        <w:t>zabieg</w:t>
      </w:r>
      <w:r w:rsidR="7CDD8017" w:rsidRPr="20FC73BA">
        <w:rPr>
          <w:rFonts w:ascii="Times New Roman" w:eastAsia="Times New Roman" w:hAnsi="Times New Roman" w:cs="Times New Roman"/>
          <w:sz w:val="24"/>
          <w:szCs w:val="24"/>
        </w:rPr>
        <w:t>iem niezbędnym</w:t>
      </w:r>
      <w:r w:rsidR="2E54A8F1" w:rsidRPr="20FC73BA">
        <w:rPr>
          <w:rFonts w:ascii="Times New Roman" w:eastAsia="Times New Roman" w:hAnsi="Times New Roman" w:cs="Times New Roman"/>
          <w:sz w:val="24"/>
          <w:szCs w:val="24"/>
        </w:rPr>
        <w:t xml:space="preserve"> do prawidłowego określenia rodzaju działalności/usług podlegających</w:t>
      </w:r>
      <w:r w:rsidR="47CB5FEF" w:rsidRPr="20FC73BA">
        <w:rPr>
          <w:rFonts w:ascii="Times New Roman" w:eastAsia="Times New Roman" w:hAnsi="Times New Roman" w:cs="Times New Roman"/>
          <w:sz w:val="24"/>
          <w:szCs w:val="24"/>
        </w:rPr>
        <w:t xml:space="preserve"> temu</w:t>
      </w:r>
      <w:r w:rsidR="2E54A8F1" w:rsidRPr="20FC73BA">
        <w:rPr>
          <w:rFonts w:ascii="Times New Roman" w:eastAsia="Times New Roman" w:hAnsi="Times New Roman" w:cs="Times New Roman"/>
          <w:sz w:val="24"/>
          <w:szCs w:val="24"/>
        </w:rPr>
        <w:t xml:space="preserve"> obowiązkowi.</w:t>
      </w:r>
      <w:r w:rsidR="07186782" w:rsidRPr="20FC73BA">
        <w:rPr>
          <w:rFonts w:ascii="Times New Roman" w:eastAsia="Times New Roman" w:hAnsi="Times New Roman" w:cs="Times New Roman"/>
          <w:sz w:val="24"/>
          <w:szCs w:val="24"/>
        </w:rPr>
        <w:t xml:space="preserve"> Trudno byłoby w ustawie – wobec elastycznie zmieniających się warunków rynkowych, </w:t>
      </w:r>
      <w:r w:rsidR="0FEDA0B2" w:rsidRPr="20FC73BA">
        <w:rPr>
          <w:rFonts w:ascii="Times New Roman" w:eastAsia="Times New Roman" w:hAnsi="Times New Roman" w:cs="Times New Roman"/>
          <w:sz w:val="24"/>
          <w:szCs w:val="24"/>
        </w:rPr>
        <w:t xml:space="preserve">rodzajów działalności telekomunikacyjnej, </w:t>
      </w:r>
      <w:r w:rsidR="3DDE53E9" w:rsidRPr="20FC73BA">
        <w:rPr>
          <w:rFonts w:ascii="Times New Roman" w:eastAsia="Times New Roman" w:hAnsi="Times New Roman" w:cs="Times New Roman"/>
          <w:sz w:val="24"/>
          <w:szCs w:val="24"/>
        </w:rPr>
        <w:t xml:space="preserve">usług </w:t>
      </w:r>
      <w:r w:rsidR="7C83391A" w:rsidRPr="20FC73BA">
        <w:rPr>
          <w:rFonts w:ascii="Times New Roman" w:eastAsia="Times New Roman" w:hAnsi="Times New Roman" w:cs="Times New Roman"/>
          <w:sz w:val="24"/>
          <w:szCs w:val="24"/>
        </w:rPr>
        <w:t>telekomunikacyjnych i wynikających z tego potrzeb uprawnionych podmiotów</w:t>
      </w:r>
      <w:r w:rsidR="3DDE53E9" w:rsidRPr="20FC73BA">
        <w:rPr>
          <w:rFonts w:ascii="Times New Roman" w:eastAsia="Times New Roman" w:hAnsi="Times New Roman" w:cs="Times New Roman"/>
          <w:sz w:val="24"/>
          <w:szCs w:val="24"/>
        </w:rPr>
        <w:t xml:space="preserve"> – ustalić, które </w:t>
      </w:r>
      <w:r w:rsidR="0F1367A0" w:rsidRPr="20FC73BA">
        <w:rPr>
          <w:rFonts w:ascii="Times New Roman" w:eastAsia="Times New Roman" w:hAnsi="Times New Roman" w:cs="Times New Roman"/>
          <w:sz w:val="24"/>
          <w:szCs w:val="24"/>
        </w:rPr>
        <w:t>rodzaje działalności lub rodzaje przedsiębiorców podlegałyby zwolnieniu z obowiązku.</w:t>
      </w:r>
    </w:p>
    <w:p w14:paraId="346B663A" w14:textId="072620B8" w:rsidR="6A1D1830" w:rsidRDefault="6A1D1830" w:rsidP="20FC73BA">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Art. 47</w:t>
      </w:r>
    </w:p>
    <w:p w14:paraId="1FA184C7" w14:textId="7B59768B" w:rsidR="6F412A00" w:rsidRPr="003A42FB" w:rsidRDefault="1B32E9D9" w:rsidP="584CC5D2">
      <w:pPr>
        <w:pStyle w:val="Akapitzlist"/>
        <w:numPr>
          <w:ilvl w:val="0"/>
          <w:numId w:val="69"/>
        </w:numPr>
        <w:spacing w:after="120" w:line="240" w:lineRule="auto"/>
        <w:jc w:val="both"/>
        <w:rPr>
          <w:rFonts w:ascii="Times New Roman" w:eastAsiaTheme="minorEastAsia" w:hAnsi="Times New Roman" w:cs="Times New Roman"/>
          <w:sz w:val="24"/>
          <w:szCs w:val="24"/>
        </w:rPr>
      </w:pPr>
      <w:r w:rsidRPr="20FC73BA">
        <w:rPr>
          <w:rFonts w:ascii="Times New Roman" w:eastAsia="Times New Roman" w:hAnsi="Times New Roman" w:cs="Times New Roman"/>
          <w:sz w:val="24"/>
          <w:szCs w:val="24"/>
        </w:rPr>
        <w:t>w</w:t>
      </w:r>
      <w:r w:rsidR="3F12D81F" w:rsidRPr="20FC73BA">
        <w:rPr>
          <w:rFonts w:ascii="Times New Roman" w:eastAsia="Times New Roman" w:hAnsi="Times New Roman" w:cs="Times New Roman"/>
          <w:sz w:val="24"/>
          <w:szCs w:val="24"/>
        </w:rPr>
        <w:t xml:space="preserve"> art. </w:t>
      </w:r>
      <w:r w:rsidR="79AE7428" w:rsidRPr="20FC73BA">
        <w:rPr>
          <w:rFonts w:ascii="Times New Roman" w:eastAsia="Times New Roman" w:hAnsi="Times New Roman" w:cs="Times New Roman"/>
          <w:sz w:val="24"/>
          <w:szCs w:val="24"/>
        </w:rPr>
        <w:t>47</w:t>
      </w:r>
      <w:r w:rsidR="3F12D81F" w:rsidRPr="20FC73BA">
        <w:rPr>
          <w:rFonts w:ascii="Times New Roman" w:eastAsia="Times New Roman" w:hAnsi="Times New Roman" w:cs="Times New Roman"/>
          <w:sz w:val="24"/>
          <w:szCs w:val="24"/>
        </w:rPr>
        <w:t xml:space="preserve"> ust. 1 </w:t>
      </w:r>
      <w:r w:rsidR="2550133E" w:rsidRPr="20FC73BA">
        <w:rPr>
          <w:rFonts w:ascii="Times New Roman" w:eastAsia="Times New Roman" w:hAnsi="Times New Roman" w:cs="Times New Roman"/>
          <w:sz w:val="24"/>
          <w:szCs w:val="24"/>
        </w:rPr>
        <w:t xml:space="preserve">pkt 2 </w:t>
      </w:r>
      <w:r w:rsidR="6F412A00" w:rsidRPr="20FC73BA">
        <w:rPr>
          <w:rFonts w:ascii="Times New Roman" w:eastAsia="Times New Roman" w:hAnsi="Times New Roman" w:cs="Times New Roman"/>
          <w:sz w:val="24"/>
          <w:szCs w:val="24"/>
        </w:rPr>
        <w:t>nałoż</w:t>
      </w:r>
      <w:r w:rsidR="0D8E0EB3" w:rsidRPr="20FC73BA">
        <w:rPr>
          <w:rFonts w:ascii="Times New Roman" w:eastAsia="Times New Roman" w:hAnsi="Times New Roman" w:cs="Times New Roman"/>
          <w:sz w:val="24"/>
          <w:szCs w:val="24"/>
        </w:rPr>
        <w:t>ono</w:t>
      </w:r>
      <w:r w:rsidR="6F412A00" w:rsidRPr="20FC73BA">
        <w:rPr>
          <w:rFonts w:ascii="Times New Roman" w:eastAsia="Times New Roman" w:hAnsi="Times New Roman" w:cs="Times New Roman"/>
          <w:sz w:val="24"/>
          <w:szCs w:val="24"/>
        </w:rPr>
        <w:t xml:space="preserve"> na przedsiębiorców telekomunikacyjnych obowiąz</w:t>
      </w:r>
      <w:r w:rsidR="32324A58" w:rsidRPr="20FC73BA">
        <w:rPr>
          <w:rFonts w:ascii="Times New Roman" w:eastAsia="Times New Roman" w:hAnsi="Times New Roman" w:cs="Times New Roman"/>
          <w:sz w:val="24"/>
          <w:szCs w:val="24"/>
        </w:rPr>
        <w:t>e</w:t>
      </w:r>
      <w:r w:rsidR="6F412A00" w:rsidRPr="20FC73BA">
        <w:rPr>
          <w:rFonts w:ascii="Times New Roman" w:eastAsia="Times New Roman" w:hAnsi="Times New Roman" w:cs="Times New Roman"/>
          <w:sz w:val="24"/>
          <w:szCs w:val="24"/>
        </w:rPr>
        <w:t>k udostępniania uprawnionym podmiotom oraz sądowi i prokuratorowi danych retencyjny</w:t>
      </w:r>
      <w:r w:rsidR="7828480B" w:rsidRPr="20FC73BA">
        <w:rPr>
          <w:rFonts w:ascii="Times New Roman" w:eastAsia="Times New Roman" w:hAnsi="Times New Roman" w:cs="Times New Roman"/>
          <w:sz w:val="24"/>
          <w:szCs w:val="24"/>
        </w:rPr>
        <w:t>ch</w:t>
      </w:r>
      <w:r w:rsidR="6F412A00" w:rsidRPr="20FC73BA">
        <w:rPr>
          <w:rFonts w:ascii="Times New Roman" w:eastAsia="Times New Roman" w:hAnsi="Times New Roman" w:cs="Times New Roman"/>
          <w:sz w:val="24"/>
          <w:szCs w:val="24"/>
        </w:rPr>
        <w:t>, w określonym jednolitym elektronicznym formacie</w:t>
      </w:r>
      <w:r w:rsidR="365E6493" w:rsidRPr="20FC73BA">
        <w:rPr>
          <w:rFonts w:ascii="Times New Roman" w:eastAsia="Times New Roman" w:hAnsi="Times New Roman" w:cs="Times New Roman"/>
          <w:sz w:val="24"/>
          <w:szCs w:val="24"/>
        </w:rPr>
        <w:t>. Obecnie brak takich zasad skutkuje tym, że każdy przedsiębiorca udostępnia dane retencyjne w odmienny sposób, co powoduje trudności w procesie przetwarzania przez uprawnione podmioty oraz sąd i prokuratora udostępnionych danych retencyjnych. Zasadne jest zatem, celem znacznego przyśpieszenia czynności operacyjnych i procesowych, zwłaszcza tych wymagających przetworzenia bardzo dużej liczny danych, ustalenie jednolitych struktur udostępnianych danych retencyjnych. Powyższy obowiązek stosowania ujednoliconego formatu udostępnianych danych proponuje się wprowadzić w drodze rozporządzenia wydanego na podstawie art. 56 ust. 3. Propozycja ta wynika także z treści Dezyderatu nr 7 Komisji do spraw Służb Specjalnych nr KSS/VIII/Z‑819/2018 z dnia 28 października 2018 r.</w:t>
      </w:r>
      <w:r w:rsidR="365E6493" w:rsidRPr="20FC73BA">
        <w:rPr>
          <w:rFonts w:ascii="Times New Roman" w:eastAsia="Times New Roman" w:hAnsi="Times New Roman" w:cs="Times New Roman"/>
          <w:sz w:val="24"/>
          <w:szCs w:val="24"/>
          <w:vertAlign w:val="superscript"/>
        </w:rPr>
        <w:t xml:space="preserve"> </w:t>
      </w:r>
      <w:r w:rsidR="365E6493" w:rsidRPr="20FC73BA">
        <w:rPr>
          <w:rFonts w:ascii="Times New Roman" w:eastAsia="Times New Roman" w:hAnsi="Times New Roman" w:cs="Times New Roman"/>
          <w:sz w:val="24"/>
          <w:szCs w:val="24"/>
        </w:rPr>
        <w:t>dotyczącego ujednolicenia formatów danych telekomunikacyjnych i bankowych pozyskiwanych przez służby i organy ścigania</w:t>
      </w:r>
      <w:r w:rsidR="6F412A00" w:rsidRPr="20FC73BA">
        <w:rPr>
          <w:rFonts w:ascii="Times New Roman" w:eastAsia="Times New Roman" w:hAnsi="Times New Roman" w:cs="Times New Roman"/>
          <w:sz w:val="24"/>
          <w:szCs w:val="24"/>
        </w:rPr>
        <w:t>,</w:t>
      </w:r>
    </w:p>
    <w:p w14:paraId="14A44C01" w14:textId="3225AB82" w:rsidR="70DD0A5F" w:rsidRPr="003A42FB" w:rsidRDefault="70DD0A5F" w:rsidP="20FC73BA">
      <w:pPr>
        <w:pStyle w:val="Akapitzlist"/>
        <w:numPr>
          <w:ilvl w:val="0"/>
          <w:numId w:val="69"/>
        </w:numPr>
        <w:spacing w:after="120" w:line="240" w:lineRule="auto"/>
        <w:jc w:val="both"/>
        <w:rPr>
          <w:rFonts w:ascii="Times New Roman" w:hAnsi="Times New Roman" w:cs="Times New Roman"/>
          <w:sz w:val="24"/>
          <w:szCs w:val="24"/>
        </w:rPr>
      </w:pPr>
      <w:r w:rsidRPr="20FC73BA">
        <w:rPr>
          <w:rFonts w:ascii="Times New Roman" w:eastAsia="Times New Roman" w:hAnsi="Times New Roman" w:cs="Times New Roman"/>
          <w:sz w:val="24"/>
          <w:szCs w:val="24"/>
        </w:rPr>
        <w:t xml:space="preserve">w art. </w:t>
      </w:r>
      <w:r w:rsidR="6B5B8052" w:rsidRPr="20FC73BA">
        <w:rPr>
          <w:rFonts w:ascii="Times New Roman" w:eastAsia="Times New Roman" w:hAnsi="Times New Roman" w:cs="Times New Roman"/>
          <w:sz w:val="24"/>
          <w:szCs w:val="24"/>
        </w:rPr>
        <w:t>47</w:t>
      </w:r>
      <w:r w:rsidRPr="20FC73BA">
        <w:rPr>
          <w:rFonts w:ascii="Times New Roman" w:eastAsia="Times New Roman" w:hAnsi="Times New Roman" w:cs="Times New Roman"/>
          <w:sz w:val="24"/>
          <w:szCs w:val="24"/>
        </w:rPr>
        <w:t xml:space="preserve"> ust. 6 nałożono na przedsiębiorcę telekomunikacyjnego prz</w:t>
      </w:r>
      <w:r w:rsidR="242BEFB7" w:rsidRPr="20FC73BA">
        <w:rPr>
          <w:rFonts w:ascii="Times New Roman" w:eastAsia="Times New Roman" w:hAnsi="Times New Roman" w:cs="Times New Roman"/>
          <w:sz w:val="24"/>
          <w:szCs w:val="24"/>
        </w:rPr>
        <w:t>e</w:t>
      </w:r>
      <w:r w:rsidRPr="20FC73BA">
        <w:rPr>
          <w:rFonts w:ascii="Times New Roman" w:eastAsia="Times New Roman" w:hAnsi="Times New Roman" w:cs="Times New Roman"/>
          <w:sz w:val="24"/>
          <w:szCs w:val="24"/>
        </w:rPr>
        <w:t xml:space="preserve">jmującego użytkowników </w:t>
      </w:r>
      <w:r w:rsidR="4CF51539" w:rsidRPr="20FC73BA">
        <w:rPr>
          <w:rFonts w:ascii="Times New Roman" w:eastAsia="Times New Roman" w:hAnsi="Times New Roman" w:cs="Times New Roman"/>
          <w:sz w:val="24"/>
          <w:szCs w:val="24"/>
        </w:rPr>
        <w:t xml:space="preserve">przedsiębiorcy, który zaprzestaje </w:t>
      </w:r>
      <w:r w:rsidR="25FA3602" w:rsidRPr="20FC73BA">
        <w:rPr>
          <w:rFonts w:ascii="Times New Roman" w:eastAsia="Times New Roman" w:hAnsi="Times New Roman" w:cs="Times New Roman"/>
          <w:sz w:val="24"/>
          <w:szCs w:val="24"/>
        </w:rPr>
        <w:t>działalności</w:t>
      </w:r>
      <w:r w:rsidR="7A6FCF68" w:rsidRPr="20FC73BA">
        <w:rPr>
          <w:rFonts w:ascii="Times New Roman" w:eastAsia="Times New Roman" w:hAnsi="Times New Roman" w:cs="Times New Roman"/>
          <w:sz w:val="24"/>
          <w:szCs w:val="24"/>
        </w:rPr>
        <w:t xml:space="preserve"> </w:t>
      </w:r>
      <w:r w:rsidR="785AB652" w:rsidRPr="20FC73BA">
        <w:rPr>
          <w:rFonts w:ascii="Times New Roman" w:eastAsia="Times New Roman" w:hAnsi="Times New Roman" w:cs="Times New Roman"/>
          <w:sz w:val="24"/>
          <w:szCs w:val="24"/>
        </w:rPr>
        <w:t>telekomunikacyjnej</w:t>
      </w:r>
      <w:r w:rsidR="7A6FCF68" w:rsidRPr="20FC73BA">
        <w:rPr>
          <w:rFonts w:ascii="Times New Roman" w:eastAsia="Times New Roman" w:hAnsi="Times New Roman" w:cs="Times New Roman"/>
          <w:sz w:val="24"/>
          <w:szCs w:val="24"/>
        </w:rPr>
        <w:t xml:space="preserve"> </w:t>
      </w:r>
      <w:r w:rsidRPr="20FC73BA">
        <w:rPr>
          <w:rFonts w:ascii="Times New Roman" w:eastAsia="Times New Roman" w:hAnsi="Times New Roman" w:cs="Times New Roman"/>
          <w:sz w:val="24"/>
          <w:szCs w:val="24"/>
        </w:rPr>
        <w:t>obowiązek prz</w:t>
      </w:r>
      <w:r w:rsidR="14B6C66C" w:rsidRPr="20FC73BA">
        <w:rPr>
          <w:rFonts w:ascii="Times New Roman" w:eastAsia="Times New Roman" w:hAnsi="Times New Roman" w:cs="Times New Roman"/>
          <w:sz w:val="24"/>
          <w:szCs w:val="24"/>
        </w:rPr>
        <w:t xml:space="preserve">yjęcia danych retencyjnych od </w:t>
      </w:r>
      <w:r w:rsidR="2EE1B345" w:rsidRPr="20FC73BA">
        <w:rPr>
          <w:rFonts w:ascii="Times New Roman" w:eastAsia="Times New Roman" w:hAnsi="Times New Roman" w:cs="Times New Roman"/>
          <w:sz w:val="24"/>
          <w:szCs w:val="24"/>
        </w:rPr>
        <w:t xml:space="preserve">tego </w:t>
      </w:r>
      <w:r w:rsidR="41425428" w:rsidRPr="20FC73BA">
        <w:rPr>
          <w:rFonts w:ascii="Times New Roman" w:eastAsia="Times New Roman" w:hAnsi="Times New Roman" w:cs="Times New Roman"/>
          <w:sz w:val="24"/>
          <w:szCs w:val="24"/>
        </w:rPr>
        <w:t>przedsiębiorcy</w:t>
      </w:r>
      <w:r w:rsidR="31667EFA" w:rsidRPr="20FC73BA">
        <w:rPr>
          <w:rFonts w:ascii="Times New Roman" w:eastAsia="Times New Roman" w:hAnsi="Times New Roman" w:cs="Times New Roman"/>
          <w:sz w:val="24"/>
          <w:szCs w:val="24"/>
        </w:rPr>
        <w:t xml:space="preserve">. W </w:t>
      </w:r>
      <w:r w:rsidR="12DE2223" w:rsidRPr="20FC73BA">
        <w:rPr>
          <w:rFonts w:ascii="Times New Roman" w:eastAsia="Times New Roman" w:hAnsi="Times New Roman" w:cs="Times New Roman"/>
          <w:sz w:val="24"/>
          <w:szCs w:val="24"/>
        </w:rPr>
        <w:t>przypadku</w:t>
      </w:r>
      <w:r w:rsidR="31667EFA" w:rsidRPr="20FC73BA">
        <w:rPr>
          <w:rFonts w:ascii="Times New Roman" w:eastAsia="Times New Roman" w:hAnsi="Times New Roman" w:cs="Times New Roman"/>
          <w:sz w:val="24"/>
          <w:szCs w:val="24"/>
        </w:rPr>
        <w:t xml:space="preserve"> braku takiej możliwości, dane te przyjmuje Prezes UKE</w:t>
      </w:r>
      <w:r w:rsidR="53EAB60C" w:rsidRPr="20FC73BA">
        <w:rPr>
          <w:rFonts w:ascii="Times New Roman" w:eastAsia="Times New Roman" w:hAnsi="Times New Roman" w:cs="Times New Roman"/>
          <w:sz w:val="24"/>
          <w:szCs w:val="24"/>
        </w:rPr>
        <w:t xml:space="preserve"> (ust. 7)</w:t>
      </w:r>
      <w:r w:rsidR="6AEB1ACE" w:rsidRPr="20FC73BA">
        <w:rPr>
          <w:rFonts w:ascii="Times New Roman" w:eastAsia="Times New Roman" w:hAnsi="Times New Roman" w:cs="Times New Roman"/>
          <w:sz w:val="24"/>
          <w:szCs w:val="24"/>
        </w:rPr>
        <w:t xml:space="preserve">. Posiada jednak uprawnienie do </w:t>
      </w:r>
      <w:r w:rsidR="3EE0B27C" w:rsidRPr="20FC73BA">
        <w:rPr>
          <w:rFonts w:ascii="Times New Roman" w:eastAsia="Times New Roman" w:hAnsi="Times New Roman" w:cs="Times New Roman"/>
          <w:sz w:val="24"/>
          <w:szCs w:val="24"/>
        </w:rPr>
        <w:t>upewnienia</w:t>
      </w:r>
      <w:r w:rsidR="6AEB1ACE" w:rsidRPr="20FC73BA">
        <w:rPr>
          <w:rFonts w:ascii="Times New Roman" w:eastAsia="Times New Roman" w:hAnsi="Times New Roman" w:cs="Times New Roman"/>
          <w:sz w:val="24"/>
          <w:szCs w:val="24"/>
        </w:rPr>
        <w:t xml:space="preserve"> się, że dołożono wszelkich starań do przekazania </w:t>
      </w:r>
      <w:r w:rsidR="4C2E7A83" w:rsidRPr="20FC73BA">
        <w:rPr>
          <w:rFonts w:ascii="Times New Roman" w:eastAsia="Times New Roman" w:hAnsi="Times New Roman" w:cs="Times New Roman"/>
          <w:sz w:val="24"/>
          <w:szCs w:val="24"/>
        </w:rPr>
        <w:t xml:space="preserve">tych </w:t>
      </w:r>
      <w:r w:rsidR="6AEB1ACE" w:rsidRPr="20FC73BA">
        <w:rPr>
          <w:rFonts w:ascii="Times New Roman" w:eastAsia="Times New Roman" w:hAnsi="Times New Roman" w:cs="Times New Roman"/>
          <w:sz w:val="24"/>
          <w:szCs w:val="24"/>
        </w:rPr>
        <w:t xml:space="preserve">danych między przedsiębiorcami. </w:t>
      </w:r>
      <w:r w:rsidR="350BDE8E" w:rsidRPr="20FC73BA">
        <w:rPr>
          <w:rFonts w:ascii="Times New Roman" w:eastAsia="Times New Roman" w:hAnsi="Times New Roman" w:cs="Times New Roman"/>
          <w:sz w:val="24"/>
          <w:szCs w:val="24"/>
        </w:rPr>
        <w:t>Wprowadzon</w:t>
      </w:r>
      <w:r w:rsidR="0C4A2990" w:rsidRPr="20FC73BA">
        <w:rPr>
          <w:rFonts w:ascii="Times New Roman" w:eastAsia="Times New Roman" w:hAnsi="Times New Roman" w:cs="Times New Roman"/>
          <w:sz w:val="24"/>
          <w:szCs w:val="24"/>
        </w:rPr>
        <w:t>o</w:t>
      </w:r>
      <w:r w:rsidR="350BDE8E" w:rsidRPr="20FC73BA">
        <w:rPr>
          <w:rFonts w:ascii="Times New Roman" w:eastAsia="Times New Roman" w:hAnsi="Times New Roman" w:cs="Times New Roman"/>
          <w:sz w:val="24"/>
          <w:szCs w:val="24"/>
        </w:rPr>
        <w:t xml:space="preserve"> też termin 90 dni na przekazanie danych retencyjnych Prezesowi UKE, zarówno w powyższym przypadku, jak </w:t>
      </w:r>
      <w:r w:rsidR="41D13939" w:rsidRPr="20FC73BA">
        <w:rPr>
          <w:rFonts w:ascii="Times New Roman" w:eastAsia="Times New Roman" w:hAnsi="Times New Roman" w:cs="Times New Roman"/>
          <w:sz w:val="24"/>
          <w:szCs w:val="24"/>
        </w:rPr>
        <w:t xml:space="preserve">i po </w:t>
      </w:r>
      <w:r w:rsidR="350BDE8E" w:rsidRPr="20FC73BA">
        <w:rPr>
          <w:rFonts w:ascii="Times New Roman" w:eastAsia="Times New Roman" w:hAnsi="Times New Roman" w:cs="Times New Roman"/>
          <w:sz w:val="24"/>
          <w:szCs w:val="24"/>
        </w:rPr>
        <w:t>upadłym przedsi</w:t>
      </w:r>
      <w:r w:rsidR="312442D8" w:rsidRPr="20FC73BA">
        <w:rPr>
          <w:rFonts w:ascii="Times New Roman" w:eastAsia="Times New Roman" w:hAnsi="Times New Roman" w:cs="Times New Roman"/>
          <w:sz w:val="24"/>
          <w:szCs w:val="24"/>
        </w:rPr>
        <w:t>ębiorcy</w:t>
      </w:r>
      <w:r w:rsidR="63A3BA97" w:rsidRPr="20FC73BA">
        <w:rPr>
          <w:rFonts w:ascii="Times New Roman" w:eastAsia="Times New Roman" w:hAnsi="Times New Roman" w:cs="Times New Roman"/>
          <w:sz w:val="24"/>
          <w:szCs w:val="24"/>
        </w:rPr>
        <w:t xml:space="preserve"> (ust. 9 i 10)</w:t>
      </w:r>
      <w:r w:rsidR="312442D8" w:rsidRPr="20FC73BA">
        <w:rPr>
          <w:rFonts w:ascii="Times New Roman" w:eastAsia="Times New Roman" w:hAnsi="Times New Roman" w:cs="Times New Roman"/>
          <w:sz w:val="24"/>
          <w:szCs w:val="24"/>
        </w:rPr>
        <w:t>.</w:t>
      </w:r>
      <w:r w:rsidR="1A7CC191" w:rsidRPr="20FC73BA">
        <w:rPr>
          <w:rFonts w:ascii="Times New Roman" w:eastAsia="Times New Roman" w:hAnsi="Times New Roman" w:cs="Times New Roman"/>
          <w:sz w:val="24"/>
          <w:szCs w:val="24"/>
        </w:rPr>
        <w:t xml:space="preserve"> Odpowiednio rozszerzono też zakres upoważnienia ustawowego w ust. 11.</w:t>
      </w:r>
    </w:p>
    <w:p w14:paraId="13B8BFD0" w14:textId="3D9BB45B" w:rsidR="43211A9A" w:rsidRPr="005F69BF" w:rsidRDefault="43211A9A" w:rsidP="20FC73BA">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Art. 48</w:t>
      </w:r>
    </w:p>
    <w:p w14:paraId="0826346F" w14:textId="51C2981A" w:rsidR="5EC14F01" w:rsidRPr="003A42FB" w:rsidRDefault="5A551816" w:rsidP="5F84DF07">
      <w:pPr>
        <w:spacing w:after="120" w:line="240" w:lineRule="auto"/>
        <w:jc w:val="both"/>
        <w:rPr>
          <w:rFonts w:ascii="Times New Roman" w:eastAsiaTheme="minorEastAsia" w:hAnsi="Times New Roman" w:cs="Times New Roman"/>
          <w:sz w:val="24"/>
          <w:szCs w:val="24"/>
        </w:rPr>
      </w:pPr>
      <w:r w:rsidRPr="69A7DB06">
        <w:rPr>
          <w:rFonts w:ascii="Times New Roman" w:eastAsia="Times New Roman" w:hAnsi="Times New Roman" w:cs="Times New Roman"/>
          <w:sz w:val="24"/>
          <w:szCs w:val="24"/>
        </w:rPr>
        <w:t>W</w:t>
      </w:r>
      <w:r w:rsidR="5EC14F01" w:rsidRPr="69A7DB06">
        <w:rPr>
          <w:rFonts w:ascii="Times New Roman" w:eastAsia="Times New Roman" w:hAnsi="Times New Roman" w:cs="Times New Roman"/>
          <w:sz w:val="24"/>
          <w:szCs w:val="24"/>
        </w:rPr>
        <w:t xml:space="preserve"> art. </w:t>
      </w:r>
      <w:r w:rsidR="7A48B18F" w:rsidRPr="69A7DB06">
        <w:rPr>
          <w:rFonts w:ascii="Times New Roman" w:eastAsia="Times New Roman" w:hAnsi="Times New Roman" w:cs="Times New Roman"/>
          <w:sz w:val="24"/>
          <w:szCs w:val="24"/>
        </w:rPr>
        <w:t>48</w:t>
      </w:r>
      <w:r w:rsidR="5EC14F01" w:rsidRPr="69A7DB06">
        <w:rPr>
          <w:rFonts w:ascii="Times New Roman" w:eastAsia="Times New Roman" w:hAnsi="Times New Roman" w:cs="Times New Roman"/>
          <w:sz w:val="24"/>
          <w:szCs w:val="24"/>
        </w:rPr>
        <w:t xml:space="preserve"> ust. </w:t>
      </w:r>
      <w:r w:rsidR="01D0B488" w:rsidRPr="69A7DB06">
        <w:rPr>
          <w:rFonts w:ascii="Times New Roman" w:eastAsia="Times New Roman" w:hAnsi="Times New Roman" w:cs="Times New Roman"/>
          <w:sz w:val="24"/>
          <w:szCs w:val="24"/>
        </w:rPr>
        <w:t xml:space="preserve">3 stanowi nowe upoważnienie do wydania rozporządzenia regulującego </w:t>
      </w:r>
      <w:r w:rsidR="367087A8" w:rsidRPr="69A7DB06">
        <w:rPr>
          <w:rFonts w:ascii="Times New Roman" w:eastAsia="Times New Roman" w:hAnsi="Times New Roman" w:cs="Times New Roman"/>
          <w:sz w:val="24"/>
          <w:szCs w:val="24"/>
        </w:rPr>
        <w:t xml:space="preserve">w sposób szczegółowy rodzaj, strukturę i sposób zapisu danych retencyjnych </w:t>
      </w:r>
      <w:r w:rsidR="72E4CEE2" w:rsidRPr="69A7DB06">
        <w:rPr>
          <w:rFonts w:ascii="Times New Roman" w:eastAsia="Times New Roman" w:hAnsi="Times New Roman" w:cs="Times New Roman"/>
          <w:sz w:val="24"/>
          <w:szCs w:val="24"/>
        </w:rPr>
        <w:t xml:space="preserve">udostępnianych uprawnionym podmiotom, a także sądowi i prokuratorowi, przez przedsiębiorców telekomunikacyjnych. </w:t>
      </w:r>
      <w:r w:rsidR="71EF5F25" w:rsidRPr="69A7DB06">
        <w:rPr>
          <w:rFonts w:ascii="Times New Roman" w:eastAsia="Times New Roman" w:hAnsi="Times New Roman" w:cs="Times New Roman"/>
          <w:sz w:val="24"/>
          <w:szCs w:val="24"/>
        </w:rPr>
        <w:t>Proponuje</w:t>
      </w:r>
      <w:r w:rsidR="72E4CEE2" w:rsidRPr="69A7DB06">
        <w:rPr>
          <w:rFonts w:ascii="Times New Roman" w:eastAsia="Times New Roman" w:hAnsi="Times New Roman" w:cs="Times New Roman"/>
          <w:sz w:val="24"/>
          <w:szCs w:val="24"/>
        </w:rPr>
        <w:t xml:space="preserve"> się, aby</w:t>
      </w:r>
      <w:r w:rsidR="3EB2E716" w:rsidRPr="69A7DB06">
        <w:rPr>
          <w:rFonts w:ascii="Times New Roman" w:eastAsia="Times New Roman" w:hAnsi="Times New Roman" w:cs="Times New Roman"/>
          <w:sz w:val="24"/>
          <w:szCs w:val="24"/>
        </w:rPr>
        <w:t xml:space="preserve"> ze względu na specyfikę regulacji </w:t>
      </w:r>
      <w:r w:rsidR="5CD6E3C5" w:rsidRPr="69A7DB06">
        <w:rPr>
          <w:rFonts w:ascii="Times New Roman" w:eastAsia="Times New Roman" w:hAnsi="Times New Roman" w:cs="Times New Roman"/>
          <w:sz w:val="24"/>
          <w:szCs w:val="24"/>
        </w:rPr>
        <w:t xml:space="preserve">dotyczącą szczegółowego formatu danych, które będą udostępniane na użytek uprawnionych podmiotów, </w:t>
      </w:r>
      <w:r w:rsidR="5534C910" w:rsidRPr="69A7DB06">
        <w:rPr>
          <w:rFonts w:ascii="Times New Roman" w:eastAsia="Times New Roman" w:hAnsi="Times New Roman" w:cs="Times New Roman"/>
          <w:sz w:val="24"/>
          <w:szCs w:val="24"/>
        </w:rPr>
        <w:t>projekt rozporządzenia zosta</w:t>
      </w:r>
      <w:r w:rsidR="680F4784" w:rsidRPr="69A7DB06">
        <w:rPr>
          <w:rFonts w:ascii="Times New Roman" w:eastAsia="Times New Roman" w:hAnsi="Times New Roman" w:cs="Times New Roman"/>
          <w:sz w:val="24"/>
          <w:szCs w:val="24"/>
        </w:rPr>
        <w:t>ć</w:t>
      </w:r>
      <w:r w:rsidR="5534C910" w:rsidRPr="69A7DB06">
        <w:rPr>
          <w:rFonts w:ascii="Times New Roman" w:eastAsia="Times New Roman" w:hAnsi="Times New Roman" w:cs="Times New Roman"/>
          <w:sz w:val="24"/>
          <w:szCs w:val="24"/>
        </w:rPr>
        <w:t xml:space="preserve"> </w:t>
      </w:r>
      <w:r w:rsidR="602E91D7" w:rsidRPr="69A7DB06">
        <w:rPr>
          <w:rFonts w:ascii="Times New Roman" w:eastAsia="Times New Roman" w:hAnsi="Times New Roman" w:cs="Times New Roman"/>
          <w:sz w:val="24"/>
          <w:szCs w:val="24"/>
        </w:rPr>
        <w:t>sporządzony w ramach w</w:t>
      </w:r>
      <w:r w:rsidR="0883AE68" w:rsidRPr="69A7DB06">
        <w:rPr>
          <w:rFonts w:ascii="Times New Roman" w:eastAsia="Times New Roman" w:hAnsi="Times New Roman" w:cs="Times New Roman"/>
          <w:sz w:val="24"/>
          <w:szCs w:val="24"/>
        </w:rPr>
        <w:t>spółpracy</w:t>
      </w:r>
      <w:r w:rsidR="602E91D7" w:rsidRPr="69A7DB06">
        <w:rPr>
          <w:rFonts w:ascii="Times New Roman" w:eastAsia="Times New Roman" w:hAnsi="Times New Roman" w:cs="Times New Roman"/>
          <w:sz w:val="24"/>
          <w:szCs w:val="24"/>
        </w:rPr>
        <w:t xml:space="preserve"> uprawnion</w:t>
      </w:r>
      <w:r w:rsidR="63835BF2" w:rsidRPr="69A7DB06">
        <w:rPr>
          <w:rFonts w:ascii="Times New Roman" w:eastAsia="Times New Roman" w:hAnsi="Times New Roman" w:cs="Times New Roman"/>
          <w:sz w:val="24"/>
          <w:szCs w:val="24"/>
        </w:rPr>
        <w:t>ych</w:t>
      </w:r>
      <w:r w:rsidR="602E91D7" w:rsidRPr="69A7DB06">
        <w:rPr>
          <w:rFonts w:ascii="Times New Roman" w:eastAsia="Times New Roman" w:hAnsi="Times New Roman" w:cs="Times New Roman"/>
          <w:sz w:val="24"/>
          <w:szCs w:val="24"/>
        </w:rPr>
        <w:t xml:space="preserve"> podmiot</w:t>
      </w:r>
      <w:r w:rsidR="514B1E2F" w:rsidRPr="69A7DB06">
        <w:rPr>
          <w:rFonts w:ascii="Times New Roman" w:eastAsia="Times New Roman" w:hAnsi="Times New Roman" w:cs="Times New Roman"/>
          <w:sz w:val="24"/>
          <w:szCs w:val="24"/>
        </w:rPr>
        <w:t>ów</w:t>
      </w:r>
      <w:r w:rsidR="602E91D7" w:rsidRPr="69A7DB06">
        <w:rPr>
          <w:rFonts w:ascii="Times New Roman" w:eastAsia="Times New Roman" w:hAnsi="Times New Roman" w:cs="Times New Roman"/>
          <w:sz w:val="24"/>
          <w:szCs w:val="24"/>
        </w:rPr>
        <w:t xml:space="preserve"> i wydany </w:t>
      </w:r>
      <w:r w:rsidR="4DC5722C" w:rsidRPr="69A7DB06">
        <w:rPr>
          <w:rFonts w:ascii="Times New Roman" w:eastAsia="Times New Roman" w:hAnsi="Times New Roman" w:cs="Times New Roman"/>
          <w:sz w:val="24"/>
          <w:szCs w:val="24"/>
        </w:rPr>
        <w:t>przez ministra właściwego do spraw wewnętrznych.</w:t>
      </w:r>
      <w:r w:rsidR="31A3B25B" w:rsidRPr="69A7DB06">
        <w:rPr>
          <w:rFonts w:ascii="Times New Roman" w:eastAsia="Calibri" w:hAnsi="Times New Roman" w:cs="Times New Roman"/>
          <w:sz w:val="24"/>
          <w:szCs w:val="24"/>
        </w:rPr>
        <w:t>.</w:t>
      </w:r>
    </w:p>
    <w:p w14:paraId="58A30C99" w14:textId="44EACDCF" w:rsidR="660D657E" w:rsidRPr="005F69BF" w:rsidRDefault="660D657E" w:rsidP="69A7DB06">
      <w:pPr>
        <w:spacing w:after="120" w:line="240" w:lineRule="auto"/>
        <w:jc w:val="both"/>
        <w:rPr>
          <w:rFonts w:ascii="Times New Roman" w:eastAsia="Calibri" w:hAnsi="Times New Roman" w:cs="Times New Roman"/>
          <w:b/>
          <w:bCs/>
          <w:sz w:val="24"/>
          <w:szCs w:val="24"/>
        </w:rPr>
      </w:pPr>
      <w:r w:rsidRPr="005F69BF">
        <w:rPr>
          <w:rFonts w:ascii="Times New Roman" w:eastAsia="Calibri" w:hAnsi="Times New Roman" w:cs="Times New Roman"/>
          <w:b/>
          <w:bCs/>
          <w:sz w:val="24"/>
          <w:szCs w:val="24"/>
        </w:rPr>
        <w:t>Art. 49 i 50</w:t>
      </w:r>
    </w:p>
    <w:p w14:paraId="69800032" w14:textId="34645C85" w:rsidR="6F412A00" w:rsidRPr="003A42FB" w:rsidRDefault="660D657E" w:rsidP="69A7DB06">
      <w:pPr>
        <w:spacing w:after="120" w:line="240" w:lineRule="auto"/>
        <w:jc w:val="both"/>
        <w:rPr>
          <w:rFonts w:ascii="Times New Roman" w:eastAsia="Times New Roman" w:hAnsi="Times New Roman" w:cs="Times New Roman"/>
          <w:sz w:val="24"/>
          <w:szCs w:val="24"/>
        </w:rPr>
      </w:pPr>
      <w:r w:rsidRPr="026868A2">
        <w:rPr>
          <w:rFonts w:ascii="Times New Roman" w:eastAsia="Times New Roman" w:hAnsi="Times New Roman" w:cs="Times New Roman"/>
          <w:sz w:val="24"/>
          <w:szCs w:val="24"/>
        </w:rPr>
        <w:t>W</w:t>
      </w:r>
      <w:r w:rsidR="4E73581B" w:rsidRPr="026868A2">
        <w:rPr>
          <w:rFonts w:ascii="Times New Roman" w:eastAsia="Times New Roman" w:hAnsi="Times New Roman" w:cs="Times New Roman"/>
          <w:sz w:val="24"/>
          <w:szCs w:val="24"/>
        </w:rPr>
        <w:t xml:space="preserve"> art. </w:t>
      </w:r>
      <w:r w:rsidR="6E188874" w:rsidRPr="026868A2">
        <w:rPr>
          <w:rFonts w:ascii="Times New Roman" w:eastAsia="Times New Roman" w:hAnsi="Times New Roman" w:cs="Times New Roman"/>
          <w:sz w:val="24"/>
          <w:szCs w:val="24"/>
        </w:rPr>
        <w:t>49</w:t>
      </w:r>
      <w:r w:rsidR="4E73581B" w:rsidRPr="026868A2">
        <w:rPr>
          <w:rFonts w:ascii="Times New Roman" w:eastAsia="Times New Roman" w:hAnsi="Times New Roman" w:cs="Times New Roman"/>
          <w:sz w:val="24"/>
          <w:szCs w:val="24"/>
        </w:rPr>
        <w:t xml:space="preserve"> i </w:t>
      </w:r>
      <w:r w:rsidR="0EC615DC" w:rsidRPr="026868A2">
        <w:rPr>
          <w:rFonts w:ascii="Times New Roman" w:eastAsia="Times New Roman" w:hAnsi="Times New Roman" w:cs="Times New Roman"/>
          <w:sz w:val="24"/>
          <w:szCs w:val="24"/>
        </w:rPr>
        <w:t>50</w:t>
      </w:r>
      <w:r w:rsidR="4E73581B" w:rsidRPr="026868A2">
        <w:rPr>
          <w:rFonts w:ascii="Times New Roman" w:eastAsia="Times New Roman" w:hAnsi="Times New Roman" w:cs="Times New Roman"/>
          <w:sz w:val="24"/>
          <w:szCs w:val="24"/>
        </w:rPr>
        <w:t xml:space="preserve"> </w:t>
      </w:r>
      <w:r w:rsidR="06B1A6E9" w:rsidRPr="026868A2">
        <w:rPr>
          <w:rFonts w:ascii="Times New Roman" w:eastAsia="Times New Roman" w:hAnsi="Times New Roman" w:cs="Times New Roman"/>
          <w:sz w:val="24"/>
          <w:szCs w:val="24"/>
        </w:rPr>
        <w:t xml:space="preserve">przeredagowano i </w:t>
      </w:r>
      <w:r w:rsidR="6F412A00" w:rsidRPr="026868A2">
        <w:rPr>
          <w:rFonts w:ascii="Times New Roman" w:eastAsia="Times New Roman" w:hAnsi="Times New Roman" w:cs="Times New Roman"/>
          <w:sz w:val="24"/>
          <w:szCs w:val="24"/>
        </w:rPr>
        <w:t>uzupełni</w:t>
      </w:r>
      <w:r w:rsidR="6B20011B" w:rsidRPr="026868A2">
        <w:rPr>
          <w:rFonts w:ascii="Times New Roman" w:eastAsia="Times New Roman" w:hAnsi="Times New Roman" w:cs="Times New Roman"/>
          <w:sz w:val="24"/>
          <w:szCs w:val="24"/>
        </w:rPr>
        <w:t>ono</w:t>
      </w:r>
      <w:r w:rsidR="6F412A00" w:rsidRPr="026868A2">
        <w:rPr>
          <w:rFonts w:ascii="Times New Roman" w:eastAsia="Times New Roman" w:hAnsi="Times New Roman" w:cs="Times New Roman"/>
          <w:sz w:val="24"/>
          <w:szCs w:val="24"/>
        </w:rPr>
        <w:t xml:space="preserve"> przepis</w:t>
      </w:r>
      <w:r w:rsidR="59084BDD" w:rsidRPr="026868A2">
        <w:rPr>
          <w:rFonts w:ascii="Times New Roman" w:eastAsia="Times New Roman" w:hAnsi="Times New Roman" w:cs="Times New Roman"/>
          <w:sz w:val="24"/>
          <w:szCs w:val="24"/>
        </w:rPr>
        <w:t>y</w:t>
      </w:r>
      <w:r w:rsidR="6F412A00" w:rsidRPr="026868A2">
        <w:rPr>
          <w:rFonts w:ascii="Times New Roman" w:eastAsia="Times New Roman" w:hAnsi="Times New Roman" w:cs="Times New Roman"/>
          <w:sz w:val="24"/>
          <w:szCs w:val="24"/>
        </w:rPr>
        <w:t xml:space="preserve"> w zakresie wspólnej realizacji obowiązków przez przedsiębiorców telekomunikacyjnych, przekazywania obowiązków </w:t>
      </w:r>
      <w:r w:rsidR="6F412A00" w:rsidRPr="026868A2">
        <w:rPr>
          <w:rFonts w:ascii="Times New Roman" w:eastAsia="Times New Roman" w:hAnsi="Times New Roman" w:cs="Times New Roman"/>
          <w:sz w:val="24"/>
          <w:szCs w:val="24"/>
        </w:rPr>
        <w:lastRenderedPageBreak/>
        <w:t xml:space="preserve">innemu przedsiębiorcy telekomunikacyjnemu oraz obowiązków informacyjnych wobec Prezesa UKE. </w:t>
      </w:r>
    </w:p>
    <w:p w14:paraId="2C956235" w14:textId="5BB8C6DC" w:rsidR="6F412A00" w:rsidRPr="003A42FB" w:rsidRDefault="6F412A00" w:rsidP="005F69BF">
      <w:pPr>
        <w:spacing w:after="120" w:line="240" w:lineRule="auto"/>
        <w:jc w:val="both"/>
        <w:rPr>
          <w:rFonts w:ascii="Times New Roman" w:eastAsia="Times New Roman" w:hAnsi="Times New Roman" w:cs="Times New Roman"/>
          <w:sz w:val="24"/>
          <w:szCs w:val="24"/>
          <w:u w:val="single"/>
        </w:rPr>
      </w:pPr>
      <w:r w:rsidRPr="69A7DB06">
        <w:rPr>
          <w:rFonts w:ascii="Times New Roman" w:eastAsia="Times New Roman" w:hAnsi="Times New Roman" w:cs="Times New Roman"/>
          <w:sz w:val="24"/>
          <w:szCs w:val="24"/>
          <w:u w:val="single"/>
        </w:rPr>
        <w:t>Wspólne wykonywanie obowiązków przez przedsiębiorców telekomunikacyjnych</w:t>
      </w:r>
    </w:p>
    <w:p w14:paraId="5FDF397E" w14:textId="093E276C" w:rsidR="6F412A00" w:rsidRPr="003A42FB" w:rsidRDefault="4626C8C9" w:rsidP="005F69BF">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 xml:space="preserve">Treść projektowanego art. </w:t>
      </w:r>
      <w:r w:rsidR="7C1684D1" w:rsidRPr="69A7DB06">
        <w:rPr>
          <w:rFonts w:ascii="Times New Roman" w:eastAsia="Times New Roman" w:hAnsi="Times New Roman" w:cs="Times New Roman"/>
          <w:sz w:val="24"/>
          <w:szCs w:val="24"/>
        </w:rPr>
        <w:t>49</w:t>
      </w:r>
      <w:r w:rsidRPr="69A7DB06">
        <w:rPr>
          <w:rFonts w:ascii="Times New Roman" w:eastAsia="Times New Roman" w:hAnsi="Times New Roman" w:cs="Times New Roman"/>
          <w:sz w:val="24"/>
          <w:szCs w:val="24"/>
        </w:rPr>
        <w:t xml:space="preserve"> ust. 1 i 2 wynika z potrzeby zapewniania uprawnień przedsiębiorcy telekomunikacyjnego do wspólnego wykonywania obowiązku udostępniania danych albo powierzenia go innemu przedsiębiorcy. Takie rozwiązania zostały przewidziane w ustawie w odniesieniu do obowiązków dotyczących zapewnienia warunków dostępu i utrwalania oraz zatrzymywania, przechowywania, udostępniania i ochrony danych retencyjnych. W odniesieniu do danych, o których mowa w art. 180d</w:t>
      </w:r>
      <w:r w:rsidR="66EDBE90" w:rsidRPr="69A7DB06">
        <w:rPr>
          <w:rFonts w:ascii="Times New Roman" w:eastAsia="Times New Roman" w:hAnsi="Times New Roman" w:cs="Times New Roman"/>
          <w:sz w:val="24"/>
          <w:szCs w:val="24"/>
        </w:rPr>
        <w:t xml:space="preserve"> Pt</w:t>
      </w:r>
      <w:r w:rsidRPr="69A7DB06">
        <w:rPr>
          <w:rFonts w:ascii="Times New Roman" w:eastAsia="Times New Roman" w:hAnsi="Times New Roman" w:cs="Times New Roman"/>
          <w:sz w:val="24"/>
          <w:szCs w:val="24"/>
        </w:rPr>
        <w:t xml:space="preserve">, takie uprawnienia przedsiębiorcy telekomunikacyjnego w aktualnych przepisach nie istnieją. </w:t>
      </w:r>
    </w:p>
    <w:p w14:paraId="4D8839EE" w14:textId="35FD4716" w:rsidR="6F412A00" w:rsidRPr="003A42FB" w:rsidRDefault="6F412A00" w:rsidP="005F69BF">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Ponadto, w odróżnieniu od obecnych regulacji, powyższe przepisy umiejscowiono w jednej jednostce redakcyjnej, z ujęciem wszystkich rodzajów czynności operacyjnych.</w:t>
      </w:r>
    </w:p>
    <w:p w14:paraId="7C109087" w14:textId="77400DF2" w:rsidR="6F412A00" w:rsidRPr="003A42FB" w:rsidRDefault="6F412A00" w:rsidP="005F69BF">
      <w:pPr>
        <w:spacing w:after="120" w:line="240" w:lineRule="auto"/>
        <w:jc w:val="both"/>
        <w:rPr>
          <w:rFonts w:ascii="Times New Roman" w:eastAsia="Times New Roman" w:hAnsi="Times New Roman" w:cs="Times New Roman"/>
          <w:sz w:val="24"/>
          <w:szCs w:val="24"/>
          <w:u w:val="single"/>
        </w:rPr>
      </w:pPr>
      <w:r w:rsidRPr="69A7DB06">
        <w:rPr>
          <w:rFonts w:ascii="Times New Roman" w:eastAsia="Times New Roman" w:hAnsi="Times New Roman" w:cs="Times New Roman"/>
          <w:sz w:val="24"/>
          <w:szCs w:val="24"/>
          <w:u w:val="single"/>
        </w:rPr>
        <w:t>Zmiany dotyczące wprowadzenia obowiązku informacyjnego wobec Prezesa UKE</w:t>
      </w:r>
    </w:p>
    <w:p w14:paraId="6E8F018F" w14:textId="2854D12F" w:rsidR="6F412A00" w:rsidRPr="003A42FB" w:rsidRDefault="4626C8C9" w:rsidP="005F69BF">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 xml:space="preserve">Aktualne przepisy ustawy tylko w zakresie zapewnienia warunków dostępu i utrwalania regulują obowiązek informacyjny wobec Prezesa UKE w sytuacji wspólnego wykonywania obowiązku zapewnienia warunków dostępu i utrwalania albo jego powierzenia oraz wskazania Prezesowi UKE jednostki lub osoby reprezentującej przedsiębiorcę. Brak jest natomiast analogicznych przepisów dotyczących takich obowiązków informacyjnych w odniesieniu do zatrzymywania, przechowywania, udostępniania i ochrony danych retencyjnych oraz udostępniania uprawnionym podmiotom oraz sądowi i prokuratorowi danych, o których mowa w art. 180d </w:t>
      </w:r>
      <w:r w:rsidR="4EB6D0F7" w:rsidRPr="69A7DB06">
        <w:rPr>
          <w:rFonts w:ascii="Times New Roman" w:eastAsia="Times New Roman" w:hAnsi="Times New Roman" w:cs="Times New Roman"/>
          <w:sz w:val="24"/>
          <w:szCs w:val="24"/>
        </w:rPr>
        <w:t xml:space="preserve">Pt </w:t>
      </w:r>
      <w:r w:rsidRPr="69A7DB06">
        <w:rPr>
          <w:rFonts w:ascii="Times New Roman" w:eastAsia="Times New Roman" w:hAnsi="Times New Roman" w:cs="Times New Roman"/>
          <w:sz w:val="24"/>
          <w:szCs w:val="24"/>
        </w:rPr>
        <w:t>(projektowany art. 53), związanych ze świadczoną usługą telekomunikacyjną.</w:t>
      </w:r>
    </w:p>
    <w:p w14:paraId="2E38C59B" w14:textId="307B0A31" w:rsidR="6F412A00" w:rsidRPr="003A42FB" w:rsidRDefault="6F412A00" w:rsidP="005F69BF">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 xml:space="preserve">Proponuje się uregulowanie w art. </w:t>
      </w:r>
      <w:r w:rsidR="2F7AB70E" w:rsidRPr="69A7DB06">
        <w:rPr>
          <w:rFonts w:ascii="Times New Roman" w:eastAsia="Times New Roman" w:hAnsi="Times New Roman" w:cs="Times New Roman"/>
          <w:sz w:val="24"/>
          <w:szCs w:val="24"/>
        </w:rPr>
        <w:t>50</w:t>
      </w:r>
      <w:r w:rsidRPr="69A7DB06">
        <w:rPr>
          <w:rFonts w:ascii="Times New Roman" w:eastAsia="Times New Roman" w:hAnsi="Times New Roman" w:cs="Times New Roman"/>
          <w:sz w:val="24"/>
          <w:szCs w:val="24"/>
        </w:rPr>
        <w:t xml:space="preserve"> ust. 1, obowiązku dla przedsiębiorcy, z ujęciem wszystkich rodzajów czynności operacyjnych, wskazania Prezesowi UKE:</w:t>
      </w:r>
    </w:p>
    <w:p w14:paraId="449D9650" w14:textId="64F6F40D" w:rsidR="6F412A00" w:rsidRPr="003A42FB" w:rsidRDefault="6F412A00" w:rsidP="584CC5D2">
      <w:pPr>
        <w:pStyle w:val="Akapitzlist"/>
        <w:numPr>
          <w:ilvl w:val="0"/>
          <w:numId w:val="9"/>
        </w:numPr>
        <w:spacing w:after="120" w:line="240" w:lineRule="auto"/>
        <w:jc w:val="both"/>
        <w:rPr>
          <w:rFonts w:ascii="Times New Roman" w:eastAsiaTheme="minorEastAsia" w:hAnsi="Times New Roman" w:cs="Times New Roman"/>
          <w:sz w:val="24"/>
          <w:szCs w:val="24"/>
        </w:rPr>
      </w:pPr>
      <w:r w:rsidRPr="69A7DB06">
        <w:rPr>
          <w:rFonts w:ascii="Times New Roman" w:eastAsia="Times New Roman" w:hAnsi="Times New Roman" w:cs="Times New Roman"/>
          <w:sz w:val="24"/>
          <w:szCs w:val="24"/>
        </w:rPr>
        <w:t>jednostki organizacyjnej lub osoby mającej siedzibę lub miejsce zamieszkania na terytorium Rzeczypospolitej Polskiej uprawnionej do reprezentowania tego przedsiębiorcy w sprawach związanych z wykonywaniem przedmiotowych obowiązków,</w:t>
      </w:r>
    </w:p>
    <w:p w14:paraId="1E0EB6EB" w14:textId="05878D66" w:rsidR="6F412A00" w:rsidRPr="003A42FB" w:rsidRDefault="6F412A00" w:rsidP="584CC5D2">
      <w:pPr>
        <w:pStyle w:val="Akapitzlist"/>
        <w:numPr>
          <w:ilvl w:val="0"/>
          <w:numId w:val="9"/>
        </w:numPr>
        <w:spacing w:after="120" w:line="240" w:lineRule="auto"/>
        <w:jc w:val="both"/>
        <w:rPr>
          <w:rFonts w:ascii="Times New Roman" w:eastAsiaTheme="minorEastAsia" w:hAnsi="Times New Roman" w:cs="Times New Roman"/>
          <w:sz w:val="24"/>
          <w:szCs w:val="24"/>
        </w:rPr>
      </w:pPr>
      <w:r w:rsidRPr="69A7DB06">
        <w:rPr>
          <w:rFonts w:ascii="Times New Roman" w:eastAsia="Times New Roman" w:hAnsi="Times New Roman" w:cs="Times New Roman"/>
          <w:sz w:val="24"/>
          <w:szCs w:val="24"/>
        </w:rPr>
        <w:t>niezwłocznie po zawarciu umowy, przedsiębiorcy telekomunikacyjnego, który będzie w jego imieniu wykonywał przedmiotowe obowiązki,</w:t>
      </w:r>
    </w:p>
    <w:p w14:paraId="4EB65C9B" w14:textId="5C05C6D5" w:rsidR="6F412A00" w:rsidRPr="003A42FB" w:rsidRDefault="6F412A00" w:rsidP="584CC5D2">
      <w:pPr>
        <w:pStyle w:val="Akapitzlist"/>
        <w:numPr>
          <w:ilvl w:val="0"/>
          <w:numId w:val="9"/>
        </w:numPr>
        <w:spacing w:after="120" w:line="240" w:lineRule="auto"/>
        <w:jc w:val="both"/>
        <w:rPr>
          <w:rFonts w:ascii="Times New Roman" w:eastAsiaTheme="minorEastAsia" w:hAnsi="Times New Roman" w:cs="Times New Roman"/>
          <w:sz w:val="24"/>
          <w:szCs w:val="24"/>
        </w:rPr>
      </w:pPr>
      <w:r w:rsidRPr="69A7DB06">
        <w:rPr>
          <w:rFonts w:ascii="Times New Roman" w:eastAsia="Times New Roman" w:hAnsi="Times New Roman" w:cs="Times New Roman"/>
          <w:sz w:val="24"/>
          <w:szCs w:val="24"/>
        </w:rPr>
        <w:t xml:space="preserve">niezwłocznie po zawarciu umowy, przedsiębiorcy telekomunikacyjnego, wspólnie z którym będzie wykonywał przedmiotowe obowiązki. </w:t>
      </w:r>
    </w:p>
    <w:p w14:paraId="65BF7E16" w14:textId="7B42B6DD" w:rsidR="6F412A00" w:rsidRPr="003A42FB" w:rsidRDefault="6F412A00" w:rsidP="005F69BF">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 xml:space="preserve">W art. </w:t>
      </w:r>
      <w:r w:rsidR="05B782F5" w:rsidRPr="69A7DB06">
        <w:rPr>
          <w:rFonts w:ascii="Times New Roman" w:eastAsia="Times New Roman" w:hAnsi="Times New Roman" w:cs="Times New Roman"/>
          <w:sz w:val="24"/>
          <w:szCs w:val="24"/>
        </w:rPr>
        <w:t>50</w:t>
      </w:r>
      <w:r w:rsidRPr="69A7DB06">
        <w:rPr>
          <w:rFonts w:ascii="Times New Roman" w:eastAsia="Times New Roman" w:hAnsi="Times New Roman" w:cs="Times New Roman"/>
          <w:sz w:val="24"/>
          <w:szCs w:val="24"/>
        </w:rPr>
        <w:t xml:space="preserve"> ust. 2 nałożono obowiązek informowania Prezesa o każdej zmianie informacji, którą przedsiębiorca przekazał, zgodnie z </w:t>
      </w:r>
      <w:r w:rsidR="00AE4E8D" w:rsidRPr="69A7DB06">
        <w:rPr>
          <w:rFonts w:ascii="Times New Roman" w:eastAsia="Times New Roman" w:hAnsi="Times New Roman" w:cs="Times New Roman"/>
          <w:sz w:val="24"/>
          <w:szCs w:val="24"/>
        </w:rPr>
        <w:t>ust. 1</w:t>
      </w:r>
    </w:p>
    <w:p w14:paraId="3ABF508A" w14:textId="60984D86" w:rsidR="1C55498F" w:rsidRPr="005F69BF" w:rsidRDefault="1C55498F" w:rsidP="69A7DB06">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Art. 5</w:t>
      </w:r>
      <w:r w:rsidR="4281274A" w:rsidRPr="69A7DB06">
        <w:rPr>
          <w:rFonts w:ascii="Times New Roman" w:eastAsia="Times New Roman" w:hAnsi="Times New Roman" w:cs="Times New Roman"/>
          <w:b/>
          <w:bCs/>
          <w:sz w:val="24"/>
          <w:szCs w:val="24"/>
        </w:rPr>
        <w:t>2</w:t>
      </w:r>
    </w:p>
    <w:p w14:paraId="2B2B91C8" w14:textId="2549F6C7" w:rsidR="6F412A00" w:rsidRPr="003A42FB" w:rsidRDefault="55E47E54" w:rsidP="584CC5D2">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A</w:t>
      </w:r>
      <w:r w:rsidR="50CD326E" w:rsidRPr="69A7DB06">
        <w:rPr>
          <w:rFonts w:ascii="Times New Roman" w:eastAsia="Times New Roman" w:hAnsi="Times New Roman" w:cs="Times New Roman"/>
          <w:sz w:val="24"/>
          <w:szCs w:val="24"/>
        </w:rPr>
        <w:t>rt. 5</w:t>
      </w:r>
      <w:r w:rsidR="6CA8A0E8" w:rsidRPr="69A7DB06">
        <w:rPr>
          <w:rFonts w:ascii="Times New Roman" w:eastAsia="Times New Roman" w:hAnsi="Times New Roman" w:cs="Times New Roman"/>
          <w:sz w:val="24"/>
          <w:szCs w:val="24"/>
        </w:rPr>
        <w:t>3 rozs</w:t>
      </w:r>
      <w:r w:rsidR="0DD231C5" w:rsidRPr="69A7DB06">
        <w:rPr>
          <w:rFonts w:ascii="Times New Roman" w:eastAsia="Times New Roman" w:hAnsi="Times New Roman" w:cs="Times New Roman"/>
          <w:sz w:val="24"/>
          <w:szCs w:val="24"/>
        </w:rPr>
        <w:t xml:space="preserve">zerzono, na postulat przedsiębiorców telekomunikacyjnych, o wskazanie katalogu danych, które powinny być ujęte w </w:t>
      </w:r>
      <w:r w:rsidR="337AC6A9" w:rsidRPr="69A7DB06">
        <w:rPr>
          <w:rFonts w:ascii="Times New Roman" w:eastAsia="Times New Roman" w:hAnsi="Times New Roman" w:cs="Times New Roman"/>
          <w:sz w:val="24"/>
          <w:szCs w:val="24"/>
        </w:rPr>
        <w:t>elektronicznym wykazie abonentów.</w:t>
      </w:r>
    </w:p>
    <w:p w14:paraId="175117E4" w14:textId="119CFC50" w:rsidR="3F54F8A5" w:rsidRDefault="3F54F8A5" w:rsidP="69A7DB06">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Art. 53</w:t>
      </w:r>
    </w:p>
    <w:p w14:paraId="5B4CAC07" w14:textId="6482CACD" w:rsidR="3F54F8A5" w:rsidRDefault="3F54F8A5" w:rsidP="005F69BF">
      <w:pPr>
        <w:spacing w:after="120" w:line="240" w:lineRule="auto"/>
        <w:jc w:val="both"/>
        <w:rPr>
          <w:rFonts w:ascii="Times New Roman" w:eastAsia="Times New Roman" w:hAnsi="Times New Roman" w:cs="Times New Roman"/>
          <w:sz w:val="24"/>
          <w:szCs w:val="24"/>
        </w:rPr>
      </w:pPr>
      <w:r w:rsidRPr="69A7DB06">
        <w:rPr>
          <w:rFonts w:ascii="Times New Roman" w:eastAsia="Times New Roman" w:hAnsi="Times New Roman" w:cs="Times New Roman"/>
          <w:sz w:val="24"/>
          <w:szCs w:val="24"/>
        </w:rPr>
        <w:t>Art. 53 rozszerzono o wskazanie 6-godzinnego terminu blokowania połączeń</w:t>
      </w:r>
      <w:r w:rsidR="62B8BBA9" w:rsidRPr="69A7DB06">
        <w:rPr>
          <w:rFonts w:ascii="Times New Roman" w:eastAsia="Times New Roman" w:hAnsi="Times New Roman" w:cs="Times New Roman"/>
          <w:sz w:val="24"/>
          <w:szCs w:val="24"/>
        </w:rPr>
        <w:t xml:space="preserve"> lub komunikatów elektronicznych</w:t>
      </w:r>
      <w:r w:rsidRPr="69A7DB06">
        <w:rPr>
          <w:rFonts w:ascii="Times New Roman" w:eastAsia="Times New Roman" w:hAnsi="Times New Roman" w:cs="Times New Roman"/>
          <w:sz w:val="24"/>
          <w:szCs w:val="24"/>
        </w:rPr>
        <w:t xml:space="preserve"> na żądanie uprawnionych podmiotów, mając na uwadze, że szybkość takiego blokowania może mieć bardzo istotne znaczenie dla </w:t>
      </w:r>
      <w:r w:rsidR="6C088C76" w:rsidRPr="69A7DB06">
        <w:rPr>
          <w:rFonts w:ascii="Times New Roman" w:eastAsia="Times New Roman" w:hAnsi="Times New Roman" w:cs="Times New Roman"/>
          <w:sz w:val="24"/>
          <w:szCs w:val="24"/>
        </w:rPr>
        <w:t>bezpieczeństwa</w:t>
      </w:r>
      <w:r w:rsidRPr="69A7DB06">
        <w:rPr>
          <w:rFonts w:ascii="Times New Roman" w:eastAsia="Times New Roman" w:hAnsi="Times New Roman" w:cs="Times New Roman"/>
          <w:sz w:val="24"/>
          <w:szCs w:val="24"/>
        </w:rPr>
        <w:t xml:space="preserve"> </w:t>
      </w:r>
      <w:r w:rsidR="78104936" w:rsidRPr="69A7DB06">
        <w:rPr>
          <w:rFonts w:ascii="Times New Roman" w:eastAsia="Times New Roman" w:hAnsi="Times New Roman" w:cs="Times New Roman"/>
          <w:sz w:val="24"/>
          <w:szCs w:val="24"/>
        </w:rPr>
        <w:t>państwa</w:t>
      </w:r>
      <w:r w:rsidR="54B0DAE6" w:rsidRPr="69A7DB06">
        <w:rPr>
          <w:rFonts w:ascii="Times New Roman" w:eastAsia="Times New Roman" w:hAnsi="Times New Roman" w:cs="Times New Roman"/>
          <w:sz w:val="24"/>
          <w:szCs w:val="24"/>
        </w:rPr>
        <w:t>.</w:t>
      </w:r>
    </w:p>
    <w:p w14:paraId="07BE0017" w14:textId="501DC07E" w:rsidR="54B0DAE6" w:rsidRDefault="54B0DAE6" w:rsidP="69A7DB06">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Art. 54</w:t>
      </w:r>
    </w:p>
    <w:p w14:paraId="2E31F9E5" w14:textId="2035ADD5" w:rsidR="6592583B" w:rsidRDefault="6592583B" w:rsidP="69A7DB06">
      <w:pPr>
        <w:spacing w:after="120" w:line="240" w:lineRule="auto"/>
        <w:jc w:val="both"/>
        <w:rPr>
          <w:rFonts w:ascii="Times New Roman" w:eastAsia="Times New Roman" w:hAnsi="Times New Roman" w:cs="Times New Roman"/>
          <w:sz w:val="24"/>
          <w:szCs w:val="24"/>
        </w:rPr>
      </w:pPr>
      <w:r w:rsidRPr="026868A2">
        <w:rPr>
          <w:rFonts w:ascii="Times New Roman" w:eastAsia="Times New Roman" w:hAnsi="Times New Roman" w:cs="Times New Roman"/>
          <w:sz w:val="24"/>
          <w:szCs w:val="24"/>
        </w:rPr>
        <w:t xml:space="preserve">W art. 54 doprecyzowano przepisy dotyczące przekazywania przez przedsiębiorców telekomunikacyjnych informacji o danych o infrastrukturze. </w:t>
      </w:r>
      <w:r w:rsidR="503ACAAE" w:rsidRPr="026868A2">
        <w:rPr>
          <w:rFonts w:ascii="Times New Roman" w:eastAsia="Times New Roman" w:hAnsi="Times New Roman" w:cs="Times New Roman"/>
          <w:sz w:val="24"/>
          <w:szCs w:val="24"/>
        </w:rPr>
        <w:t xml:space="preserve">Wskazano, że dane przekazywane są w postaci elektronicznej oraz, że dane te mogą być udostępniane lub przekazywane Ministrowi Obrony </w:t>
      </w:r>
      <w:r w:rsidR="5BFF9332" w:rsidRPr="026868A2">
        <w:rPr>
          <w:rFonts w:ascii="Times New Roman" w:eastAsia="Times New Roman" w:hAnsi="Times New Roman" w:cs="Times New Roman"/>
          <w:sz w:val="24"/>
          <w:szCs w:val="24"/>
        </w:rPr>
        <w:t>Narodowej</w:t>
      </w:r>
      <w:r w:rsidR="503ACAAE" w:rsidRPr="026868A2">
        <w:rPr>
          <w:rFonts w:ascii="Times New Roman" w:eastAsia="Times New Roman" w:hAnsi="Times New Roman" w:cs="Times New Roman"/>
          <w:sz w:val="24"/>
          <w:szCs w:val="24"/>
        </w:rPr>
        <w:t xml:space="preserve"> ora</w:t>
      </w:r>
      <w:r w:rsidR="3F80828B" w:rsidRPr="026868A2">
        <w:rPr>
          <w:rFonts w:ascii="Times New Roman" w:eastAsia="Times New Roman" w:hAnsi="Times New Roman" w:cs="Times New Roman"/>
          <w:sz w:val="24"/>
          <w:szCs w:val="24"/>
        </w:rPr>
        <w:t>z minist</w:t>
      </w:r>
      <w:r w:rsidR="680BA750" w:rsidRPr="026868A2">
        <w:rPr>
          <w:rFonts w:ascii="Times New Roman" w:eastAsia="Times New Roman" w:hAnsi="Times New Roman" w:cs="Times New Roman"/>
          <w:sz w:val="24"/>
          <w:szCs w:val="24"/>
        </w:rPr>
        <w:t>rowi</w:t>
      </w:r>
      <w:r w:rsidR="3F80828B" w:rsidRPr="026868A2">
        <w:rPr>
          <w:rFonts w:ascii="Times New Roman" w:eastAsia="Times New Roman" w:hAnsi="Times New Roman" w:cs="Times New Roman"/>
          <w:sz w:val="24"/>
          <w:szCs w:val="24"/>
        </w:rPr>
        <w:t xml:space="preserve"> właściwemu do spraw wewnętrznych. </w:t>
      </w:r>
      <w:r w:rsidR="503ACAAE" w:rsidRPr="026868A2">
        <w:rPr>
          <w:rFonts w:ascii="Times New Roman" w:eastAsia="Times New Roman" w:hAnsi="Times New Roman" w:cs="Times New Roman"/>
          <w:sz w:val="24"/>
          <w:szCs w:val="24"/>
        </w:rPr>
        <w:t xml:space="preserve"> </w:t>
      </w:r>
      <w:r w:rsidR="6A113636" w:rsidRPr="026868A2">
        <w:rPr>
          <w:rFonts w:ascii="Times New Roman" w:eastAsia="Times New Roman" w:hAnsi="Times New Roman" w:cs="Times New Roman"/>
          <w:sz w:val="24"/>
          <w:szCs w:val="24"/>
        </w:rPr>
        <w:t xml:space="preserve">Dane te </w:t>
      </w:r>
      <w:r w:rsidR="6A113636" w:rsidRPr="026868A2">
        <w:rPr>
          <w:rFonts w:ascii="Times New Roman" w:eastAsia="Times New Roman" w:hAnsi="Times New Roman" w:cs="Times New Roman"/>
          <w:sz w:val="24"/>
          <w:szCs w:val="24"/>
        </w:rPr>
        <w:lastRenderedPageBreak/>
        <w:t xml:space="preserve">mogą być udostępniane lub przekazywane, w zależności od tego czy należy przez </w:t>
      </w:r>
      <w:r w:rsidR="12115E53" w:rsidRPr="026868A2">
        <w:rPr>
          <w:rFonts w:ascii="Times New Roman" w:eastAsia="Times New Roman" w:hAnsi="Times New Roman" w:cs="Times New Roman"/>
          <w:sz w:val="24"/>
          <w:szCs w:val="24"/>
        </w:rPr>
        <w:t>to rozumieć “udost</w:t>
      </w:r>
      <w:r w:rsidR="4948A2F5" w:rsidRPr="026868A2">
        <w:rPr>
          <w:rFonts w:ascii="Times New Roman" w:eastAsia="Times New Roman" w:hAnsi="Times New Roman" w:cs="Times New Roman"/>
          <w:sz w:val="24"/>
          <w:szCs w:val="24"/>
        </w:rPr>
        <w:t>ę</w:t>
      </w:r>
      <w:r w:rsidR="12115E53" w:rsidRPr="026868A2">
        <w:rPr>
          <w:rFonts w:ascii="Times New Roman" w:eastAsia="Times New Roman" w:hAnsi="Times New Roman" w:cs="Times New Roman"/>
          <w:sz w:val="24"/>
          <w:szCs w:val="24"/>
        </w:rPr>
        <w:t>pnieni</w:t>
      </w:r>
      <w:r w:rsidR="35F2F0E3" w:rsidRPr="026868A2">
        <w:rPr>
          <w:rFonts w:ascii="Times New Roman" w:eastAsia="Times New Roman" w:hAnsi="Times New Roman" w:cs="Times New Roman"/>
          <w:sz w:val="24"/>
          <w:szCs w:val="24"/>
        </w:rPr>
        <w:t>e</w:t>
      </w:r>
      <w:r w:rsidR="12115E53" w:rsidRPr="026868A2">
        <w:rPr>
          <w:rFonts w:ascii="Times New Roman" w:eastAsia="Times New Roman" w:hAnsi="Times New Roman" w:cs="Times New Roman"/>
          <w:sz w:val="24"/>
          <w:szCs w:val="24"/>
        </w:rPr>
        <w:t xml:space="preserve">” czyli </w:t>
      </w:r>
      <w:r w:rsidR="7F27DF35" w:rsidRPr="026868A2">
        <w:rPr>
          <w:rFonts w:ascii="Times New Roman" w:eastAsia="Times New Roman" w:hAnsi="Times New Roman" w:cs="Times New Roman"/>
          <w:sz w:val="24"/>
          <w:szCs w:val="24"/>
        </w:rPr>
        <w:t>możliwość</w:t>
      </w:r>
      <w:r w:rsidR="12115E53" w:rsidRPr="026868A2">
        <w:rPr>
          <w:rFonts w:ascii="Times New Roman" w:eastAsia="Times New Roman" w:hAnsi="Times New Roman" w:cs="Times New Roman"/>
          <w:sz w:val="24"/>
          <w:szCs w:val="24"/>
        </w:rPr>
        <w:t xml:space="preserve"> wglądu do </w:t>
      </w:r>
      <w:r w:rsidR="2072895F" w:rsidRPr="026868A2">
        <w:rPr>
          <w:rFonts w:ascii="Times New Roman" w:eastAsia="Times New Roman" w:hAnsi="Times New Roman" w:cs="Times New Roman"/>
          <w:sz w:val="24"/>
          <w:szCs w:val="24"/>
        </w:rPr>
        <w:t>tych danych</w:t>
      </w:r>
      <w:r w:rsidR="2C6536FA" w:rsidRPr="026868A2">
        <w:rPr>
          <w:rFonts w:ascii="Times New Roman" w:eastAsia="Times New Roman" w:hAnsi="Times New Roman" w:cs="Times New Roman"/>
          <w:sz w:val="24"/>
          <w:szCs w:val="24"/>
        </w:rPr>
        <w:t xml:space="preserve"> lub dostęp </w:t>
      </w:r>
      <w:r w:rsidR="1AAB5549" w:rsidRPr="026868A2">
        <w:rPr>
          <w:rFonts w:ascii="Times New Roman" w:eastAsia="Times New Roman" w:hAnsi="Times New Roman" w:cs="Times New Roman"/>
          <w:sz w:val="24"/>
          <w:szCs w:val="24"/>
        </w:rPr>
        <w:t xml:space="preserve">online, czy “przekazywanie” rozumiane jako przekazanie danych </w:t>
      </w:r>
      <w:r w:rsidR="4DB92F6F" w:rsidRPr="026868A2">
        <w:rPr>
          <w:rFonts w:ascii="Times New Roman" w:eastAsia="Times New Roman" w:hAnsi="Times New Roman" w:cs="Times New Roman"/>
          <w:sz w:val="24"/>
          <w:szCs w:val="24"/>
        </w:rPr>
        <w:t>“</w:t>
      </w:r>
      <w:r w:rsidR="1AAB5549" w:rsidRPr="026868A2">
        <w:rPr>
          <w:rFonts w:ascii="Times New Roman" w:eastAsia="Times New Roman" w:hAnsi="Times New Roman" w:cs="Times New Roman"/>
          <w:sz w:val="24"/>
          <w:szCs w:val="24"/>
        </w:rPr>
        <w:t>w całości</w:t>
      </w:r>
      <w:r w:rsidR="6B23BD82" w:rsidRPr="026868A2">
        <w:rPr>
          <w:rFonts w:ascii="Times New Roman" w:eastAsia="Times New Roman" w:hAnsi="Times New Roman" w:cs="Times New Roman"/>
          <w:sz w:val="24"/>
          <w:szCs w:val="24"/>
        </w:rPr>
        <w:t>”</w:t>
      </w:r>
      <w:r w:rsidR="7821CB1A" w:rsidRPr="026868A2">
        <w:rPr>
          <w:rFonts w:ascii="Times New Roman" w:eastAsia="Times New Roman" w:hAnsi="Times New Roman" w:cs="Times New Roman"/>
          <w:sz w:val="24"/>
          <w:szCs w:val="24"/>
        </w:rPr>
        <w:t>, w postaci papierowej albo elektronicznej.</w:t>
      </w:r>
      <w:r w:rsidR="6D97FC11" w:rsidRPr="026868A2">
        <w:rPr>
          <w:rFonts w:ascii="Times New Roman" w:eastAsia="Times New Roman" w:hAnsi="Times New Roman" w:cs="Times New Roman"/>
          <w:sz w:val="24"/>
          <w:szCs w:val="24"/>
        </w:rPr>
        <w:t xml:space="preserve"> Ponadto, upoważnienie do rozporządzenia przewiduje, że wskazany zostanie </w:t>
      </w:r>
      <w:r w:rsidR="0D030DDB" w:rsidRPr="026868A2">
        <w:rPr>
          <w:rFonts w:ascii="Times New Roman" w:eastAsia="Times New Roman" w:hAnsi="Times New Roman" w:cs="Times New Roman"/>
          <w:sz w:val="24"/>
          <w:szCs w:val="24"/>
        </w:rPr>
        <w:t xml:space="preserve">nie tylko zakres, ale także </w:t>
      </w:r>
      <w:r w:rsidR="5D79EAC1" w:rsidRPr="026868A2">
        <w:rPr>
          <w:rFonts w:ascii="Times New Roman" w:eastAsia="Times New Roman" w:hAnsi="Times New Roman" w:cs="Times New Roman"/>
          <w:sz w:val="24"/>
          <w:szCs w:val="24"/>
        </w:rPr>
        <w:t xml:space="preserve">jednolity format </w:t>
      </w:r>
      <w:r w:rsidR="4A567526" w:rsidRPr="026868A2">
        <w:rPr>
          <w:rFonts w:ascii="Times New Roman" w:eastAsia="Times New Roman" w:hAnsi="Times New Roman" w:cs="Times New Roman"/>
          <w:sz w:val="24"/>
          <w:szCs w:val="24"/>
        </w:rPr>
        <w:t>przekazywania</w:t>
      </w:r>
      <w:r w:rsidR="5D79EAC1" w:rsidRPr="026868A2">
        <w:rPr>
          <w:rFonts w:ascii="Times New Roman" w:eastAsia="Times New Roman" w:hAnsi="Times New Roman" w:cs="Times New Roman"/>
          <w:sz w:val="24"/>
          <w:szCs w:val="24"/>
        </w:rPr>
        <w:t xml:space="preserve"> danych </w:t>
      </w:r>
      <w:r w:rsidR="1C712437" w:rsidRPr="026868A2">
        <w:rPr>
          <w:rFonts w:ascii="Times New Roman" w:eastAsia="Times New Roman" w:hAnsi="Times New Roman" w:cs="Times New Roman"/>
          <w:sz w:val="24"/>
          <w:szCs w:val="24"/>
        </w:rPr>
        <w:t xml:space="preserve">i wzory formularzy do ich przekazywania </w:t>
      </w:r>
      <w:r w:rsidR="5D79EAC1" w:rsidRPr="026868A2">
        <w:rPr>
          <w:rFonts w:ascii="Times New Roman" w:eastAsia="Times New Roman" w:hAnsi="Times New Roman" w:cs="Times New Roman"/>
          <w:sz w:val="24"/>
          <w:szCs w:val="24"/>
        </w:rPr>
        <w:t xml:space="preserve">oraz </w:t>
      </w:r>
      <w:r w:rsidR="6D97FC11" w:rsidRPr="026868A2">
        <w:rPr>
          <w:rFonts w:ascii="Times New Roman" w:eastAsia="Times New Roman" w:hAnsi="Times New Roman" w:cs="Times New Roman"/>
          <w:sz w:val="24"/>
          <w:szCs w:val="24"/>
        </w:rPr>
        <w:t xml:space="preserve">rodzaj </w:t>
      </w:r>
      <w:r w:rsidR="12182659" w:rsidRPr="026868A2">
        <w:rPr>
          <w:rFonts w:ascii="Times New Roman" w:eastAsia="Times New Roman" w:hAnsi="Times New Roman" w:cs="Times New Roman"/>
          <w:sz w:val="24"/>
          <w:szCs w:val="24"/>
        </w:rPr>
        <w:t>przedsiębiorców</w:t>
      </w:r>
      <w:r w:rsidR="6D97FC11" w:rsidRPr="026868A2">
        <w:rPr>
          <w:rFonts w:ascii="Times New Roman" w:eastAsia="Times New Roman" w:hAnsi="Times New Roman" w:cs="Times New Roman"/>
          <w:sz w:val="24"/>
          <w:szCs w:val="24"/>
        </w:rPr>
        <w:t xml:space="preserve"> telekomunikacyjnych </w:t>
      </w:r>
      <w:r w:rsidR="3CCFF8F3" w:rsidRPr="026868A2">
        <w:rPr>
          <w:rFonts w:ascii="Times New Roman" w:eastAsia="Times New Roman" w:hAnsi="Times New Roman" w:cs="Times New Roman"/>
          <w:sz w:val="24"/>
          <w:szCs w:val="24"/>
        </w:rPr>
        <w:t>którzy nie będą podlegali obowiązkowi przekazywania danych o infrastrukturze.</w:t>
      </w:r>
    </w:p>
    <w:p w14:paraId="3ECDD57D" w14:textId="0AB19496" w:rsidR="7F18E6D1" w:rsidRDefault="7F18E6D1" w:rsidP="005F69BF">
      <w:pPr>
        <w:pStyle w:val="Akapitzlist"/>
        <w:spacing w:after="120" w:line="240" w:lineRule="auto"/>
        <w:jc w:val="both"/>
        <w:rPr>
          <w:rFonts w:ascii="Times New Roman" w:eastAsia="Times New Roman" w:hAnsi="Times New Roman" w:cs="Times New Roman"/>
          <w:sz w:val="24"/>
          <w:szCs w:val="24"/>
        </w:rPr>
      </w:pPr>
    </w:p>
    <w:p w14:paraId="366CDF35" w14:textId="564FECF4" w:rsidR="4A64CC57" w:rsidRDefault="4A64CC57" w:rsidP="7F18E6D1">
      <w:pPr>
        <w:spacing w:after="120" w:line="240" w:lineRule="auto"/>
        <w:jc w:val="both"/>
        <w:rPr>
          <w:rFonts w:ascii="Times New Roman" w:eastAsia="Times New Roman" w:hAnsi="Times New Roman" w:cs="Times New Roman"/>
          <w:b/>
          <w:bCs/>
          <w:sz w:val="24"/>
          <w:szCs w:val="24"/>
        </w:rPr>
      </w:pPr>
      <w:r w:rsidRPr="005F69BF">
        <w:rPr>
          <w:rFonts w:ascii="Times New Roman" w:eastAsia="Times New Roman" w:hAnsi="Times New Roman" w:cs="Times New Roman"/>
          <w:b/>
          <w:bCs/>
          <w:sz w:val="24"/>
          <w:szCs w:val="24"/>
        </w:rPr>
        <w:t xml:space="preserve">ROZDZIAŁ </w:t>
      </w:r>
      <w:r w:rsidR="006A1E30">
        <w:rPr>
          <w:rFonts w:ascii="Times New Roman" w:eastAsia="Times New Roman" w:hAnsi="Times New Roman" w:cs="Times New Roman"/>
          <w:b/>
          <w:bCs/>
          <w:sz w:val="24"/>
          <w:szCs w:val="24"/>
        </w:rPr>
        <w:t>6</w:t>
      </w:r>
    </w:p>
    <w:p w14:paraId="6A8A2134" w14:textId="1A647C57" w:rsidR="4A64CC57" w:rsidRDefault="00832F4D" w:rsidP="7F18E6D1">
      <w:pPr>
        <w:spacing w:after="12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Satelitarna u</w:t>
      </w:r>
      <w:r w:rsidR="4A64CC57" w:rsidRPr="005F69BF">
        <w:rPr>
          <w:rFonts w:ascii="Times New Roman" w:eastAsia="Times New Roman" w:hAnsi="Times New Roman" w:cs="Times New Roman"/>
          <w:b/>
          <w:bCs/>
          <w:sz w:val="24"/>
          <w:szCs w:val="24"/>
        </w:rPr>
        <w:t>sługa publiczna o regulowanym dostępie</w:t>
      </w:r>
    </w:p>
    <w:p w14:paraId="5CC0B613" w14:textId="599DE275" w:rsidR="7240063B" w:rsidRPr="003A42FB" w:rsidRDefault="7240063B" w:rsidP="00AE4E8D">
      <w:p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b/>
          <w:bCs/>
          <w:sz w:val="24"/>
          <w:szCs w:val="24"/>
        </w:rPr>
        <w:t>Art.</w:t>
      </w:r>
      <w:r w:rsidR="00AE4E8D" w:rsidRPr="003A42FB">
        <w:rPr>
          <w:rFonts w:ascii="Times New Roman" w:eastAsia="Times New Roman" w:hAnsi="Times New Roman" w:cs="Times New Roman"/>
          <w:b/>
          <w:bCs/>
          <w:sz w:val="24"/>
          <w:szCs w:val="24"/>
        </w:rPr>
        <w:t xml:space="preserve"> </w:t>
      </w:r>
      <w:r w:rsidR="00FF5FB8">
        <w:rPr>
          <w:rFonts w:ascii="Times New Roman" w:eastAsia="Times New Roman" w:hAnsi="Times New Roman" w:cs="Times New Roman"/>
          <w:b/>
          <w:bCs/>
          <w:sz w:val="24"/>
          <w:szCs w:val="24"/>
        </w:rPr>
        <w:t>55</w:t>
      </w:r>
    </w:p>
    <w:p w14:paraId="6E4C486A" w14:textId="1905838A" w:rsidR="203E0F58" w:rsidRPr="003A42FB" w:rsidRDefault="203E0F58" w:rsidP="00AE4E8D">
      <w:pPr>
        <w:spacing w:after="120" w:line="240" w:lineRule="auto"/>
        <w:jc w:val="both"/>
        <w:rPr>
          <w:rFonts w:ascii="Times New Roman" w:eastAsia="Times New Roman" w:hAnsi="Times New Roman" w:cs="Times New Roman"/>
          <w:sz w:val="24"/>
          <w:szCs w:val="24"/>
        </w:rPr>
      </w:pPr>
      <w:r w:rsidRPr="7F18E6D1">
        <w:rPr>
          <w:rFonts w:ascii="Times New Roman" w:eastAsia="Times New Roman" w:hAnsi="Times New Roman" w:cs="Times New Roman"/>
          <w:sz w:val="24"/>
          <w:szCs w:val="24"/>
        </w:rPr>
        <w:t xml:space="preserve">Celem wprowadzenia art. </w:t>
      </w:r>
      <w:r w:rsidR="00FF5FB8">
        <w:rPr>
          <w:rFonts w:ascii="Times New Roman" w:eastAsia="Times New Roman" w:hAnsi="Times New Roman" w:cs="Times New Roman"/>
          <w:sz w:val="24"/>
          <w:szCs w:val="24"/>
        </w:rPr>
        <w:t>55</w:t>
      </w:r>
      <w:r w:rsidR="00FF5FB8" w:rsidRPr="7F18E6D1">
        <w:rPr>
          <w:rFonts w:ascii="Times New Roman" w:eastAsia="Times New Roman" w:hAnsi="Times New Roman" w:cs="Times New Roman"/>
          <w:sz w:val="24"/>
          <w:szCs w:val="24"/>
        </w:rPr>
        <w:t xml:space="preserve"> </w:t>
      </w:r>
      <w:r w:rsidRPr="7F18E6D1">
        <w:rPr>
          <w:rFonts w:ascii="Times New Roman" w:eastAsia="Times New Roman" w:hAnsi="Times New Roman" w:cs="Times New Roman"/>
          <w:sz w:val="24"/>
          <w:szCs w:val="24"/>
        </w:rPr>
        <w:t xml:space="preserve">jest wskazanie ministra właściwego do spraw wewnętrznych jako organu odpowiedzialnego za PRS oraz Szefa Agencji Bezpieczeństwa Wewnętrznego jako organu współpracującego oraz umocowanie prawne jednostki zarządzającej w Polsce PRS (CPA Polska – Competent PRS Authority). </w:t>
      </w:r>
      <w:r w:rsidR="00F35274">
        <w:rPr>
          <w:rFonts w:ascii="Times New Roman" w:eastAsia="Times New Roman" w:hAnsi="Times New Roman" w:cs="Times New Roman"/>
          <w:sz w:val="24"/>
          <w:szCs w:val="24"/>
        </w:rPr>
        <w:t xml:space="preserve">Dodatkowo przedmiotowy artykuł określa zakres zadań </w:t>
      </w:r>
      <w:r w:rsidR="00F46C42">
        <w:rPr>
          <w:rFonts w:ascii="Times New Roman" w:eastAsia="Times New Roman" w:hAnsi="Times New Roman" w:cs="Times New Roman"/>
          <w:sz w:val="24"/>
          <w:szCs w:val="24"/>
        </w:rPr>
        <w:t>realizowanych</w:t>
      </w:r>
      <w:r w:rsidR="002334FB">
        <w:rPr>
          <w:rFonts w:ascii="Times New Roman" w:eastAsia="Times New Roman" w:hAnsi="Times New Roman" w:cs="Times New Roman"/>
          <w:sz w:val="24"/>
          <w:szCs w:val="24"/>
        </w:rPr>
        <w:t xml:space="preserve"> przez </w:t>
      </w:r>
      <w:r w:rsidR="002618B2">
        <w:rPr>
          <w:rFonts w:ascii="Times New Roman" w:eastAsia="Times New Roman" w:hAnsi="Times New Roman" w:cs="Times New Roman"/>
          <w:sz w:val="24"/>
          <w:szCs w:val="24"/>
        </w:rPr>
        <w:t xml:space="preserve">ministra właściwego ds. spraw wewnętrznych oraz </w:t>
      </w:r>
      <w:r w:rsidR="002334FB">
        <w:rPr>
          <w:rFonts w:ascii="Times New Roman" w:eastAsia="Times New Roman" w:hAnsi="Times New Roman" w:cs="Times New Roman"/>
          <w:sz w:val="24"/>
          <w:szCs w:val="24"/>
        </w:rPr>
        <w:t xml:space="preserve">Szefa </w:t>
      </w:r>
      <w:r w:rsidR="002618B2">
        <w:rPr>
          <w:rFonts w:ascii="Times New Roman" w:eastAsia="Times New Roman" w:hAnsi="Times New Roman" w:cs="Times New Roman"/>
          <w:sz w:val="24"/>
          <w:szCs w:val="24"/>
        </w:rPr>
        <w:t>ABW w zakresie zarządzania usługą PRS</w:t>
      </w:r>
      <w:r w:rsidR="002334FB">
        <w:rPr>
          <w:rFonts w:ascii="Times New Roman" w:eastAsia="Times New Roman" w:hAnsi="Times New Roman" w:cs="Times New Roman"/>
          <w:sz w:val="24"/>
          <w:szCs w:val="24"/>
        </w:rPr>
        <w:t xml:space="preserve"> w Polsce</w:t>
      </w:r>
      <w:r w:rsidR="002618B2">
        <w:rPr>
          <w:rFonts w:ascii="Times New Roman" w:eastAsia="Times New Roman" w:hAnsi="Times New Roman" w:cs="Times New Roman"/>
          <w:sz w:val="24"/>
          <w:szCs w:val="24"/>
        </w:rPr>
        <w:t xml:space="preserve">. </w:t>
      </w:r>
      <w:r w:rsidR="7420ECA5" w:rsidRPr="7F18E6D1">
        <w:rPr>
          <w:rFonts w:ascii="Times New Roman" w:eastAsia="Times New Roman" w:hAnsi="Times New Roman" w:cs="Times New Roman"/>
          <w:sz w:val="24"/>
          <w:szCs w:val="24"/>
        </w:rPr>
        <w:t>Obowiązek wskazania jednostki zarządzającej PRS wynika z art. 5. Decyzji Parlamentu Europejskiego i Rady nr 1104/2011/UE z dnia 25 października 2011 r. w sprawie warunków dostępu do usługi publicznej o regulowanym dostępie.</w:t>
      </w:r>
    </w:p>
    <w:p w14:paraId="104A5CE9" w14:textId="2EBEAF85" w:rsidR="203E0F58" w:rsidRPr="003A42FB" w:rsidRDefault="203E0F58" w:rsidP="00AE4E8D">
      <w:pPr>
        <w:spacing w:after="120" w:line="240" w:lineRule="auto"/>
        <w:jc w:val="both"/>
        <w:rPr>
          <w:rFonts w:ascii="Times New Roman" w:hAnsi="Times New Roman" w:cs="Times New Roman"/>
          <w:sz w:val="24"/>
          <w:szCs w:val="24"/>
        </w:rPr>
      </w:pPr>
      <w:r w:rsidRPr="003A42FB">
        <w:rPr>
          <w:rFonts w:ascii="Times New Roman" w:eastAsia="Times New Roman" w:hAnsi="Times New Roman" w:cs="Times New Roman"/>
          <w:sz w:val="24"/>
          <w:szCs w:val="24"/>
        </w:rPr>
        <w:t xml:space="preserve">Podstawę działania CPA stanowią: </w:t>
      </w:r>
    </w:p>
    <w:p w14:paraId="62BF20FF" w14:textId="3F88EB98" w:rsidR="203E0F58" w:rsidRPr="003A42FB" w:rsidRDefault="203E0F58" w:rsidP="00AE4E8D">
      <w:pPr>
        <w:spacing w:after="120" w:line="240" w:lineRule="auto"/>
        <w:jc w:val="both"/>
        <w:rPr>
          <w:rFonts w:ascii="Times New Roman" w:hAnsi="Times New Roman" w:cs="Times New Roman"/>
          <w:sz w:val="24"/>
          <w:szCs w:val="24"/>
        </w:rPr>
      </w:pPr>
      <w:r w:rsidRPr="003A42FB">
        <w:rPr>
          <w:rFonts w:ascii="Times New Roman" w:eastAsia="Times New Roman" w:hAnsi="Times New Roman" w:cs="Times New Roman"/>
          <w:sz w:val="24"/>
          <w:szCs w:val="24"/>
        </w:rPr>
        <w:t xml:space="preserve">-   Rozporządzenie Parlamentu Europejskiego i Rady (UE) nr 1285/2013 z dnia 11 grudnia 2013 r. w sprawie realizacji i eksploatacji europejskich systemów nawigacji satelitarnej oraz uchylające rozporządzenie Rady (WE) nr 876/2002 i rozporządzenie Parlamentu Europejskiego i Rady (WE) nr 683/2008. </w:t>
      </w:r>
    </w:p>
    <w:p w14:paraId="3764CB43" w14:textId="0394013B" w:rsidR="203E0F58" w:rsidRPr="003A42FB" w:rsidRDefault="203E0F58" w:rsidP="00AE4E8D">
      <w:pPr>
        <w:spacing w:after="120" w:line="240" w:lineRule="auto"/>
        <w:jc w:val="both"/>
        <w:rPr>
          <w:rFonts w:ascii="Times New Roman" w:hAnsi="Times New Roman" w:cs="Times New Roman"/>
          <w:sz w:val="24"/>
          <w:szCs w:val="24"/>
        </w:rPr>
      </w:pPr>
      <w:r w:rsidRPr="7F18E6D1">
        <w:rPr>
          <w:rFonts w:ascii="Times New Roman" w:eastAsia="Times New Roman" w:hAnsi="Times New Roman" w:cs="Times New Roman"/>
          <w:sz w:val="24"/>
          <w:szCs w:val="24"/>
        </w:rPr>
        <w:t>-  Decyzja Parlamentu Europejskiego i Rady nr 1104/2011/UE z dnia 25 października 2011 r. w sprawie warunków dostępu do usługi publicznej o regulowanym dostępie (</w:t>
      </w:r>
      <w:r w:rsidR="0909B189" w:rsidRPr="7F18E6D1">
        <w:rPr>
          <w:rFonts w:ascii="Times New Roman" w:eastAsia="Times New Roman" w:hAnsi="Times New Roman" w:cs="Times New Roman"/>
          <w:sz w:val="24"/>
          <w:szCs w:val="24"/>
        </w:rPr>
        <w:t xml:space="preserve">zwana </w:t>
      </w:r>
      <w:r w:rsidRPr="7F18E6D1">
        <w:rPr>
          <w:rFonts w:ascii="Times New Roman" w:eastAsia="Times New Roman" w:hAnsi="Times New Roman" w:cs="Times New Roman"/>
          <w:sz w:val="24"/>
          <w:szCs w:val="24"/>
        </w:rPr>
        <w:t>dalej: Decyzj</w:t>
      </w:r>
      <w:r w:rsidR="7D2F7F8C" w:rsidRPr="7F18E6D1">
        <w:rPr>
          <w:rFonts w:ascii="Times New Roman" w:eastAsia="Times New Roman" w:hAnsi="Times New Roman" w:cs="Times New Roman"/>
          <w:sz w:val="24"/>
          <w:szCs w:val="24"/>
        </w:rPr>
        <w:t>ą</w:t>
      </w:r>
      <w:r w:rsidRPr="7F18E6D1">
        <w:rPr>
          <w:rFonts w:ascii="Times New Roman" w:eastAsia="Times New Roman" w:hAnsi="Times New Roman" w:cs="Times New Roman"/>
          <w:sz w:val="24"/>
          <w:szCs w:val="24"/>
        </w:rPr>
        <w:t xml:space="preserve"> PRS).</w:t>
      </w:r>
    </w:p>
    <w:p w14:paraId="2C9A4D78" w14:textId="415C35A2" w:rsidR="203E0F58" w:rsidRPr="003A42FB" w:rsidRDefault="203E0F58" w:rsidP="00AE4E8D">
      <w:pPr>
        <w:spacing w:after="120" w:line="240" w:lineRule="auto"/>
        <w:jc w:val="both"/>
        <w:rPr>
          <w:rFonts w:ascii="Times New Roman" w:hAnsi="Times New Roman" w:cs="Times New Roman"/>
          <w:sz w:val="24"/>
          <w:szCs w:val="24"/>
        </w:rPr>
      </w:pPr>
      <w:r w:rsidRPr="003A42FB">
        <w:rPr>
          <w:rFonts w:ascii="Times New Roman" w:eastAsia="Times New Roman" w:hAnsi="Times New Roman" w:cs="Times New Roman"/>
          <w:sz w:val="24"/>
          <w:szCs w:val="24"/>
        </w:rPr>
        <w:t xml:space="preserve">-   Decyzja delegowana Komisji z dnia 15 września 2015 r. uzupełniająca decyzję Parlamentu Europejskiego i Rady nr 1104/2011/UE w odniesieniu do wspólnych minimalnych norm, których muszą przestrzegać organy odpowiedzialne za PRS (tzw. Common Minimum Standards, zwana dalej CMS lub wspólnymi minimalnymi normami). </w:t>
      </w:r>
    </w:p>
    <w:p w14:paraId="59C54FEC" w14:textId="0F8A0D98" w:rsidR="203E0F58" w:rsidRPr="003A42FB" w:rsidRDefault="203E0F58" w:rsidP="00AE4E8D">
      <w:pPr>
        <w:spacing w:after="120" w:line="240" w:lineRule="auto"/>
        <w:jc w:val="both"/>
        <w:rPr>
          <w:rFonts w:ascii="Times New Roman" w:hAnsi="Times New Roman" w:cs="Times New Roman"/>
          <w:sz w:val="24"/>
          <w:szCs w:val="24"/>
        </w:rPr>
      </w:pPr>
      <w:r w:rsidRPr="7F18E6D1">
        <w:rPr>
          <w:rFonts w:ascii="Times New Roman" w:eastAsia="Times New Roman" w:hAnsi="Times New Roman" w:cs="Times New Roman"/>
          <w:sz w:val="24"/>
          <w:szCs w:val="24"/>
        </w:rPr>
        <w:t xml:space="preserve">Zgodnie z Decyzją PRS, do zadań CPA należy zarządzanie użytkownikami, zarządzanie prawidłowym wykorzystaniem PRS, ułatwianie relacji między podmiotami odpowiedzialnymi za bezpieczeństwo oraz zapewnienie stałej kontroli użytkowników, zgodnie ze wspólnymi minimalnymi normami. Decyzja PRS pozostawia jednak państwom członkowskim pewien stopień elastyczności, aby mogły one skutecznie określić zakresy odpowiedzialności poszczególnych podmiotów. </w:t>
      </w:r>
    </w:p>
    <w:p w14:paraId="7013BB24" w14:textId="61F8F081" w:rsidR="45A9F59A" w:rsidRDefault="45A9F59A" w:rsidP="7F18E6D1">
      <w:pPr>
        <w:spacing w:after="120" w:line="240" w:lineRule="auto"/>
        <w:jc w:val="both"/>
        <w:rPr>
          <w:rFonts w:ascii="Times New Roman" w:eastAsia="Times New Roman" w:hAnsi="Times New Roman" w:cs="Times New Roman"/>
          <w:sz w:val="24"/>
          <w:szCs w:val="24"/>
        </w:rPr>
      </w:pPr>
      <w:r w:rsidRPr="7F18E6D1">
        <w:rPr>
          <w:rFonts w:ascii="Times New Roman" w:eastAsia="Times New Roman" w:hAnsi="Times New Roman" w:cs="Times New Roman"/>
          <w:sz w:val="24"/>
          <w:szCs w:val="24"/>
        </w:rPr>
        <w:t>W szczególności jest to:</w:t>
      </w:r>
    </w:p>
    <w:p w14:paraId="039D8D32" w14:textId="0274556B" w:rsidR="45A9F59A" w:rsidRDefault="45A9F59A" w:rsidP="005F69BF">
      <w:pPr>
        <w:pStyle w:val="Akapitzlist"/>
        <w:numPr>
          <w:ilvl w:val="0"/>
          <w:numId w:val="8"/>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 aby informacje dotyczące PRS, w tym informacje niejawne i wrażliwe oraz klucze kryptograficzne stosowane w PRS (dalej: klucze) były zarządzane zgodnie z instrukcjami bezpieczeństwa programu, wytycznymi dotyczącymi klasyfikacji oraz instrukcjami COMSEC (art. 4 CMS).</w:t>
      </w:r>
    </w:p>
    <w:p w14:paraId="1A7342C0" w14:textId="45C1544E" w:rsidR="45A9F59A" w:rsidRDefault="45A9F59A" w:rsidP="005F69BF">
      <w:pPr>
        <w:pStyle w:val="Akapitzlist"/>
        <w:numPr>
          <w:ilvl w:val="0"/>
          <w:numId w:val="8"/>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 xml:space="preserve">Przyznawanie dostępu do informacji dotyczących PRS, w tym informacji niejawnych i wrażliwych będących w posiadaniu CPA, zgodnie z odpowiednimi krajowymi </w:t>
      </w:r>
      <w:r w:rsidRPr="7F18E6D1">
        <w:rPr>
          <w:rFonts w:ascii="Times New Roman" w:eastAsia="Times New Roman" w:hAnsi="Times New Roman" w:cs="Times New Roman"/>
          <w:sz w:val="24"/>
          <w:szCs w:val="24"/>
        </w:rPr>
        <w:lastRenderedPageBreak/>
        <w:t>przepisami ustawowymi i wykonawczymi dotyczącymi dostępu do informacji niejawnych oraz z punktami 2, 3 i 5 załącznika I CMS (art. 5 CMS).</w:t>
      </w:r>
    </w:p>
    <w:p w14:paraId="6F5B4E84" w14:textId="7F484700" w:rsidR="45A9F59A" w:rsidRDefault="45A9F59A" w:rsidP="005F69BF">
      <w:pPr>
        <w:pStyle w:val="Akapitzlist"/>
        <w:numPr>
          <w:ilvl w:val="0"/>
          <w:numId w:val="8"/>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Zapewnianie, aby działania, procedury operacyjne i decyzje związane z PRS nie stanowiły zagrożenia dla bezpieczeństwa systemu lub państw członkowskich UE. W tym celu:</w:t>
      </w:r>
    </w:p>
    <w:p w14:paraId="4E7546D3" w14:textId="6C934A29" w:rsidR="45A9F59A" w:rsidRDefault="45A9F59A" w:rsidP="005F69BF">
      <w:pPr>
        <w:pStyle w:val="Akapitzlist"/>
        <w:numPr>
          <w:ilvl w:val="1"/>
          <w:numId w:val="7"/>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 utworzenia odpowiedniego systemu gromadzenia i przekazywania danych nt. naruszeń bezpieczeństwa i narażenia na szwank niejawnych informacji dotyczących PRS (wykaz naruszeń);</w:t>
      </w:r>
    </w:p>
    <w:p w14:paraId="6A556823" w14:textId="1337309E" w:rsidR="45A9F59A" w:rsidRDefault="45A9F59A" w:rsidP="005F69BF">
      <w:pPr>
        <w:pStyle w:val="Akapitzlist"/>
        <w:numPr>
          <w:ilvl w:val="1"/>
          <w:numId w:val="7"/>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 aby każdy podmiot, który operuje elementami PRS i któremu zostały przekazane informacje niejawne dotyczące usługi PRS wyznaczył w swej strukturze punkt kontaktowy;</w:t>
      </w:r>
    </w:p>
    <w:p w14:paraId="18C5863E" w14:textId="7B54F6A0" w:rsidR="45A9F59A" w:rsidRDefault="45A9F59A" w:rsidP="005F69BF">
      <w:pPr>
        <w:pStyle w:val="Akapitzlist"/>
        <w:numPr>
          <w:ilvl w:val="1"/>
          <w:numId w:val="7"/>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przeprowadzanie inspekcji wszystkich podmiotów operujących elementami i informacjami dotyczącymi PRS;</w:t>
      </w:r>
    </w:p>
    <w:p w14:paraId="5591B4D1" w14:textId="3C24C324" w:rsidR="45A9F59A" w:rsidRDefault="45A9F59A" w:rsidP="005F69BF">
      <w:pPr>
        <w:pStyle w:val="Akapitzlist"/>
        <w:numPr>
          <w:ilvl w:val="1"/>
          <w:numId w:val="7"/>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tworzenie i aktualizowanie planu zarządzania PRS określającego zasady korzystania z PRS i produkcji sprzętu PRS (art. 6 CMS).</w:t>
      </w:r>
    </w:p>
    <w:p w14:paraId="195FDB55" w14:textId="1A236116" w:rsidR="45A9F59A" w:rsidRDefault="45A9F59A" w:rsidP="005F69BF">
      <w:pPr>
        <w:pStyle w:val="Akapitzlist"/>
        <w:numPr>
          <w:ilvl w:val="0"/>
          <w:numId w:val="6"/>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 xml:space="preserve">Sprawowanie nadzoru nad użytkownikami PRS mającymi miejsce zamieszkania/siedzibę na terytorium państwa, w tym: </w:t>
      </w:r>
    </w:p>
    <w:p w14:paraId="62FC4735" w14:textId="1264332D" w:rsidR="45A9F59A" w:rsidRDefault="45A9F59A" w:rsidP="005F69BF">
      <w:pPr>
        <w:pStyle w:val="Akapitzlist"/>
        <w:numPr>
          <w:ilvl w:val="0"/>
          <w:numId w:val="5"/>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tworzenie grup użytkowników PRS (w początkowej fazie rozwoju systemu za pośrednictwem Komisji Europejskiej – KE, a w późniejszym okresie za pośrednictwem Centrum Monitorowania Bezpieczeństwa systemu Galileo - Galileo Security Monitoring Centre - GSMC) (art. 7 CMS);</w:t>
      </w:r>
    </w:p>
    <w:p w14:paraId="6C3C9693" w14:textId="3761E3D0" w:rsidR="45A9F59A" w:rsidRDefault="45A9F59A" w:rsidP="005F69BF">
      <w:pPr>
        <w:pStyle w:val="Akapitzlist"/>
        <w:numPr>
          <w:ilvl w:val="0"/>
          <w:numId w:val="5"/>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określanie prawa dostępu do PRS dla poszczególnych użytkowników oraz zarządzanie tymi prawami (art. 8 CMS, art. 5 Decyzji PRS);</w:t>
      </w:r>
    </w:p>
    <w:p w14:paraId="750F4973" w14:textId="14F28BA8" w:rsidR="45A9F59A" w:rsidRDefault="45A9F59A" w:rsidP="005F69BF">
      <w:pPr>
        <w:pStyle w:val="Akapitzlist"/>
        <w:numPr>
          <w:ilvl w:val="0"/>
          <w:numId w:val="4"/>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Tworzenie i aktualizowanie planu zarządzania określającego procedury, zgodnie z którymi należy postępować przy dystrybucji, produkcji, testowaniu, używaniu i wycofywaniu z użycia kluczy PRS i związanych z nimi informacji, dotyczących PRS oraz zapewnienie by klucze PRS dostępne były wyłącznie dla użytkowników PRS (art. 9 CMS).</w:t>
      </w:r>
    </w:p>
    <w:p w14:paraId="49C67174" w14:textId="02A8914B" w:rsidR="45A9F59A" w:rsidRDefault="45A9F59A" w:rsidP="005F69BF">
      <w:pPr>
        <w:pStyle w:val="Akapitzlist"/>
        <w:numPr>
          <w:ilvl w:val="0"/>
          <w:numId w:val="4"/>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 utworzenia i stosowania przez krajowe wspólnoty użytkowników PRS koncepcji i procedur operacyjnych dotyczących korzystania z PRS (art. 10 CMS).</w:t>
      </w:r>
    </w:p>
    <w:p w14:paraId="03188CFA" w14:textId="021D1404" w:rsidR="45A9F59A" w:rsidRDefault="45A9F59A" w:rsidP="005F69BF">
      <w:pPr>
        <w:pStyle w:val="Akapitzlist"/>
        <w:numPr>
          <w:ilvl w:val="0"/>
          <w:numId w:val="4"/>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Wnioskowanie o wydanie akredytacji/zezwolenia Rady Akredytacji w zakresie Bezpieczeństwa (Security Accreditation Board - SAB) dla podmiotów, którym mogą być zlecone zadania opracowania lub produkcji sprzętu PRS, pod warunkiem, że podmioty te:</w:t>
      </w:r>
    </w:p>
    <w:p w14:paraId="4E09F5CE" w14:textId="7997E976" w:rsidR="45A9F59A" w:rsidRDefault="45A9F59A" w:rsidP="005F69BF">
      <w:pPr>
        <w:pStyle w:val="Akapitzlist"/>
        <w:numPr>
          <w:ilvl w:val="0"/>
          <w:numId w:val="3"/>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zapewniają poziom ochrony informacji niejawnych podczas negocjacji poprzedzających zawarcie odpowiednich umów oraz na wszystkich etapach cyklu życia tych umów;</w:t>
      </w:r>
    </w:p>
    <w:p w14:paraId="3509244D" w14:textId="78A5E750" w:rsidR="45A9F59A" w:rsidRDefault="45A9F59A" w:rsidP="005F69BF">
      <w:pPr>
        <w:pStyle w:val="Akapitzlist"/>
        <w:numPr>
          <w:ilvl w:val="0"/>
          <w:numId w:val="3"/>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 xml:space="preserve">posiadają stosowne świadectwa bezpieczeństwa przemysłowego, w </w:t>
      </w:r>
      <w:r w:rsidR="246D246B" w:rsidRPr="7F18E6D1">
        <w:rPr>
          <w:rFonts w:ascii="Times New Roman" w:eastAsia="Times New Roman" w:hAnsi="Times New Roman" w:cs="Times New Roman"/>
          <w:sz w:val="24"/>
          <w:szCs w:val="24"/>
        </w:rPr>
        <w:t>przypadku,</w:t>
      </w:r>
      <w:r w:rsidRPr="7F18E6D1">
        <w:rPr>
          <w:rFonts w:ascii="Times New Roman" w:eastAsia="Times New Roman" w:hAnsi="Times New Roman" w:cs="Times New Roman"/>
          <w:sz w:val="24"/>
          <w:szCs w:val="24"/>
        </w:rPr>
        <w:t xml:space="preserve"> gdy informacje dotycząca PRS lub elementów PRS, którymi ma operować w obrębie swojego zakładu, są oznaczone klauzulą niejawności CONFIDENTIEL UE/EU CONFIDENTIAL lub wyższą;</w:t>
      </w:r>
    </w:p>
    <w:p w14:paraId="4F00B97F" w14:textId="1FB4399F" w:rsidR="45A9F59A" w:rsidRDefault="45A9F59A" w:rsidP="005F69BF">
      <w:pPr>
        <w:pStyle w:val="Akapitzlist"/>
        <w:numPr>
          <w:ilvl w:val="0"/>
          <w:numId w:val="3"/>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oficjalnie zobowiązały się do prowadzenia działalności wymagającej korzystania z niejawnych informacji dotyczących PRS związanych z opracowaniem i produkcją sprzętu PRS;</w:t>
      </w:r>
    </w:p>
    <w:p w14:paraId="09604917" w14:textId="5C43381A" w:rsidR="45A9F59A" w:rsidRDefault="45A9F59A" w:rsidP="005F69BF">
      <w:pPr>
        <w:pStyle w:val="Akapitzlist"/>
        <w:numPr>
          <w:ilvl w:val="0"/>
          <w:numId w:val="3"/>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 xml:space="preserve">oficjalnie zobowiązały się do zatrudnienia w powyższej działalności jedynie osób posiadających stosowne poświadczenie bezpieczeństwa, w </w:t>
      </w:r>
      <w:r w:rsidR="5A527763" w:rsidRPr="7F18E6D1">
        <w:rPr>
          <w:rFonts w:ascii="Times New Roman" w:eastAsia="Times New Roman" w:hAnsi="Times New Roman" w:cs="Times New Roman"/>
          <w:sz w:val="24"/>
          <w:szCs w:val="24"/>
        </w:rPr>
        <w:t>przypadku,</w:t>
      </w:r>
      <w:r w:rsidRPr="7F18E6D1">
        <w:rPr>
          <w:rFonts w:ascii="Times New Roman" w:eastAsia="Times New Roman" w:hAnsi="Times New Roman" w:cs="Times New Roman"/>
          <w:sz w:val="24"/>
          <w:szCs w:val="24"/>
        </w:rPr>
        <w:t xml:space="preserve"> gdy informacja dotycząca PRS lub sprzęt PRS są oznaczone klauzulą niejawności CONFIDENTIEL UE/EU CONFIDENTIAL lub wyższą;</w:t>
      </w:r>
    </w:p>
    <w:p w14:paraId="4057C777" w14:textId="66547ECB" w:rsidR="45A9F59A" w:rsidRDefault="45A9F59A" w:rsidP="005F69BF">
      <w:pPr>
        <w:pStyle w:val="Akapitzlist"/>
        <w:numPr>
          <w:ilvl w:val="0"/>
          <w:numId w:val="3"/>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lastRenderedPageBreak/>
        <w:t>w przypadku modułów bezpieczeństwa PRS i innych produktów kryptograficznych PRS: stanowią własność (wyłączną bądź poprzez udział większościowy) państwa członkowskiego lub posiadają członków zarządu, którzy są obywatelami państw członkowskich posiadającymi poświadczenie bezpieczeństwa przyznane przez państwo członkowskie, którym podmioty te przekazały wyłączne uprawnienia podejmowania decyzji związanych z PRS; (art. 11 CMS).</w:t>
      </w:r>
    </w:p>
    <w:p w14:paraId="644706BF" w14:textId="73293140" w:rsidR="45A9F59A" w:rsidRDefault="45A9F59A"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 aby każdy podmiot po uzyskaniu akredytacji/zezwolenia od SAB opracowywał lub produkował sprzęt jedynie, gdy spełnione są warunki określone w art. 11 CMS (art. 11 CMS).</w:t>
      </w:r>
    </w:p>
    <w:p w14:paraId="257595C2" w14:textId="07CE6030" w:rsidR="45A9F59A" w:rsidRDefault="45A9F59A"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Przeprowadzanie kontroli i inspekcji w odniesieniu do podmiotów opracowujących i produkujących technologie PRS (art. 11 CMS).</w:t>
      </w:r>
    </w:p>
    <w:p w14:paraId="12444D4F" w14:textId="1FD967DC" w:rsidR="15FD37F0" w:rsidRDefault="15FD37F0"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w:t>
      </w:r>
      <w:r w:rsidR="45A9F59A" w:rsidRPr="7F18E6D1">
        <w:rPr>
          <w:rFonts w:ascii="Times New Roman" w:eastAsia="Times New Roman" w:hAnsi="Times New Roman" w:cs="Times New Roman"/>
          <w:sz w:val="24"/>
          <w:szCs w:val="24"/>
        </w:rPr>
        <w:t xml:space="preserve"> aby pierwsze wprowadzenie klucza szyfrującego do modułów bezpieczeństwa PRS (tzw. „kluczowanie”), wyprodukowanych przez krajowy podmiot, zostało przeprowadzone zgodnie z przepisami bezpieczeństwa oraz wyznaczenie podmiotu, który ma przeprowadzić powyższą operację oraz obiektu, w którym ma zostać wykonana (art. 12 CMS).</w:t>
      </w:r>
    </w:p>
    <w:p w14:paraId="7489212C" w14:textId="3CE2A4A4" w:rsidR="478B1CD9" w:rsidRDefault="478B1CD9"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w:t>
      </w:r>
      <w:r w:rsidR="45A9F59A" w:rsidRPr="7F18E6D1">
        <w:rPr>
          <w:rFonts w:ascii="Times New Roman" w:eastAsia="Times New Roman" w:hAnsi="Times New Roman" w:cs="Times New Roman"/>
          <w:sz w:val="24"/>
          <w:szCs w:val="24"/>
        </w:rPr>
        <w:t xml:space="preserve"> aby krajowe podmioty opracowujące lub produkujące moduły bezpieczeństwa PRS działały zgodnie z profilem ochrony modułów bezpieczeństwa (art. 13 CMS).</w:t>
      </w:r>
    </w:p>
    <w:p w14:paraId="7FC25280" w14:textId="33731E00" w:rsidR="3D802465" w:rsidRDefault="3D802465"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Zapewnienie,</w:t>
      </w:r>
      <w:r w:rsidR="45A9F59A" w:rsidRPr="7F18E6D1">
        <w:rPr>
          <w:rFonts w:ascii="Times New Roman" w:eastAsia="Times New Roman" w:hAnsi="Times New Roman" w:cs="Times New Roman"/>
          <w:sz w:val="24"/>
          <w:szCs w:val="24"/>
        </w:rPr>
        <w:t xml:space="preserve"> aby krajowe podmioty integrujące moduły bezpieczeństwa PRS z innym sprzętem PRS stosowały odpowiednie środki ochrony (art. 14 CMS).</w:t>
      </w:r>
    </w:p>
    <w:p w14:paraId="556D0D23" w14:textId="67FC0C3C" w:rsidR="45A9F59A" w:rsidRDefault="45A9F59A"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Ocena czy wywóz poza Unię Europejską lub transfer wewnątrzunijny elementów PRS dokonywany jest zgodnie z obowiązującymi przepisami oraz notyfikacja swojej oceny odpowiednim organom krajowym (art. 15 i 17 CMS).</w:t>
      </w:r>
    </w:p>
    <w:p w14:paraId="7BC7FD19" w14:textId="6AA1D408" w:rsidR="45A9F59A" w:rsidRDefault="45A9F59A" w:rsidP="005F69BF">
      <w:pPr>
        <w:pStyle w:val="Akapitzlist"/>
        <w:numPr>
          <w:ilvl w:val="0"/>
          <w:numId w:val="2"/>
        </w:numPr>
        <w:spacing w:after="120" w:line="240" w:lineRule="auto"/>
        <w:jc w:val="both"/>
        <w:rPr>
          <w:rFonts w:eastAsiaTheme="minorEastAsia"/>
          <w:sz w:val="24"/>
          <w:szCs w:val="24"/>
        </w:rPr>
      </w:pPr>
      <w:r w:rsidRPr="7F18E6D1">
        <w:rPr>
          <w:rFonts w:ascii="Times New Roman" w:eastAsia="Times New Roman" w:hAnsi="Times New Roman" w:cs="Times New Roman"/>
          <w:sz w:val="24"/>
          <w:szCs w:val="24"/>
        </w:rPr>
        <w:t xml:space="preserve">Zapewnienie akredytacji bezpieczeństwa dla połączeń głosowych i łączy transmisji danych łączących CPA z GSMC u krajowego organu ds. akredytacji bezpieczeństwa (ABW) (art. 16 CMS). </w:t>
      </w:r>
    </w:p>
    <w:p w14:paraId="3FCB6A9D" w14:textId="0940047D" w:rsidR="7F18E6D1" w:rsidRDefault="7F18E6D1" w:rsidP="7F18E6D1">
      <w:pPr>
        <w:spacing w:after="120" w:line="240" w:lineRule="auto"/>
        <w:jc w:val="both"/>
        <w:rPr>
          <w:rFonts w:ascii="Times New Roman" w:eastAsia="Times New Roman" w:hAnsi="Times New Roman" w:cs="Times New Roman"/>
          <w:sz w:val="24"/>
          <w:szCs w:val="24"/>
        </w:rPr>
      </w:pPr>
    </w:p>
    <w:p w14:paraId="002D8BD4" w14:textId="1F8D2EE8" w:rsidR="203E0F58" w:rsidRPr="003A42FB" w:rsidRDefault="203E0F58" w:rsidP="00AE4E8D">
      <w:pPr>
        <w:spacing w:after="120" w:line="240" w:lineRule="auto"/>
        <w:jc w:val="both"/>
        <w:rPr>
          <w:rFonts w:ascii="Times New Roman" w:hAnsi="Times New Roman" w:cs="Times New Roman"/>
          <w:sz w:val="24"/>
          <w:szCs w:val="24"/>
        </w:rPr>
      </w:pPr>
      <w:r w:rsidRPr="003A42FB">
        <w:rPr>
          <w:rFonts w:ascii="Times New Roman" w:eastAsia="Times New Roman" w:hAnsi="Times New Roman" w:cs="Times New Roman"/>
          <w:sz w:val="24"/>
          <w:szCs w:val="24"/>
        </w:rPr>
        <w:t xml:space="preserve">Komitet Ekonomiczny Rady Ministrów na posiedzeniu w dniu 14 lipca 2006 r. podjął decyzję o wyznaczeniu MSWiA jako podmiotu koordynującego kwestie wykorzystania sygnału PRS na potrzeby służb rządowych. Zespół CPA Polska funkcjonuje w urzędzie obsługującym ministra właściwego do spraw wewnętrznych od dnia 1 września 2014 roku. </w:t>
      </w:r>
    </w:p>
    <w:p w14:paraId="7CD10ED6" w14:textId="3626FDF7" w:rsidR="1A3CEF4E" w:rsidRPr="003A42FB" w:rsidRDefault="203E0F58" w:rsidP="1A3CEF4E">
      <w:pPr>
        <w:spacing w:after="120" w:line="240" w:lineRule="auto"/>
        <w:jc w:val="both"/>
        <w:rPr>
          <w:rFonts w:ascii="Times New Roman" w:hAnsi="Times New Roman" w:cs="Times New Roman"/>
          <w:sz w:val="24"/>
          <w:szCs w:val="24"/>
        </w:rPr>
      </w:pPr>
      <w:r w:rsidRPr="003A42FB">
        <w:rPr>
          <w:rFonts w:ascii="Times New Roman" w:eastAsia="Times New Roman" w:hAnsi="Times New Roman" w:cs="Times New Roman"/>
          <w:sz w:val="24"/>
          <w:szCs w:val="24"/>
        </w:rPr>
        <w:t xml:space="preserve">Część zadań CPA powinna być wykonywana we współpracy lub za zgodą krajowej władzy bezpieczeństwa (National Security Authority – NSA) oraz krajowego organu dystrybucji (National Distribution Agency – NDA). W Polsce funkcję obu organów pełni Agencja Bezpieczeństwa Wewnętrznego (ABW), stąd </w:t>
      </w:r>
      <w:r w:rsidR="00E23353">
        <w:rPr>
          <w:rFonts w:ascii="Times New Roman" w:eastAsia="Times New Roman" w:hAnsi="Times New Roman" w:cs="Times New Roman"/>
          <w:sz w:val="24"/>
          <w:szCs w:val="24"/>
        </w:rPr>
        <w:t xml:space="preserve">do </w:t>
      </w:r>
      <w:r w:rsidR="000B5313">
        <w:rPr>
          <w:rFonts w:ascii="Times New Roman" w:eastAsia="Times New Roman" w:hAnsi="Times New Roman" w:cs="Times New Roman"/>
          <w:sz w:val="24"/>
          <w:szCs w:val="24"/>
        </w:rPr>
        <w:t>projektowanej ustawy</w:t>
      </w:r>
      <w:r w:rsidR="00E23353" w:rsidRPr="003A42FB">
        <w:rPr>
          <w:rFonts w:ascii="Times New Roman" w:eastAsia="Times New Roman" w:hAnsi="Times New Roman" w:cs="Times New Roman"/>
          <w:sz w:val="24"/>
          <w:szCs w:val="24"/>
        </w:rPr>
        <w:t xml:space="preserve"> </w:t>
      </w:r>
      <w:r w:rsidRPr="003A42FB">
        <w:rPr>
          <w:rFonts w:ascii="Times New Roman" w:eastAsia="Times New Roman" w:hAnsi="Times New Roman" w:cs="Times New Roman"/>
          <w:sz w:val="24"/>
          <w:szCs w:val="24"/>
        </w:rPr>
        <w:t xml:space="preserve">Pke </w:t>
      </w:r>
      <w:r w:rsidR="000B5313">
        <w:rPr>
          <w:rFonts w:ascii="Times New Roman" w:eastAsia="Times New Roman" w:hAnsi="Times New Roman" w:cs="Times New Roman"/>
          <w:sz w:val="24"/>
          <w:szCs w:val="24"/>
        </w:rPr>
        <w:t xml:space="preserve">wprowadzono </w:t>
      </w:r>
      <w:r w:rsidRPr="003A42FB">
        <w:rPr>
          <w:rFonts w:ascii="Times New Roman" w:eastAsia="Times New Roman" w:hAnsi="Times New Roman" w:cs="Times New Roman"/>
          <w:sz w:val="24"/>
          <w:szCs w:val="24"/>
        </w:rPr>
        <w:t xml:space="preserve">zapisy </w:t>
      </w:r>
      <w:r w:rsidR="00EA67F6">
        <w:rPr>
          <w:rFonts w:ascii="Times New Roman" w:eastAsia="Times New Roman" w:hAnsi="Times New Roman" w:cs="Times New Roman"/>
          <w:sz w:val="24"/>
          <w:szCs w:val="24"/>
        </w:rPr>
        <w:t xml:space="preserve">określające zasady </w:t>
      </w:r>
      <w:r w:rsidRPr="003A42FB">
        <w:rPr>
          <w:rFonts w:ascii="Times New Roman" w:eastAsia="Times New Roman" w:hAnsi="Times New Roman" w:cs="Times New Roman"/>
          <w:sz w:val="24"/>
          <w:szCs w:val="24"/>
        </w:rPr>
        <w:t>współpracy Szefa ABW z ministrem właściwym ds. wewnętrznych w zakresie PRS.</w:t>
      </w:r>
    </w:p>
    <w:p w14:paraId="310BA2BD" w14:textId="73E69B89" w:rsidR="20141F9D" w:rsidRPr="003A42FB" w:rsidRDefault="20141F9D" w:rsidP="1A3CEF4E">
      <w:p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b/>
          <w:bCs/>
          <w:sz w:val="24"/>
          <w:szCs w:val="24"/>
        </w:rPr>
        <w:t>Art.</w:t>
      </w:r>
      <w:r w:rsidR="00AE4E8D" w:rsidRPr="003A42FB">
        <w:rPr>
          <w:rFonts w:ascii="Times New Roman" w:eastAsia="Times New Roman" w:hAnsi="Times New Roman" w:cs="Times New Roman"/>
          <w:b/>
          <w:bCs/>
          <w:sz w:val="24"/>
          <w:szCs w:val="24"/>
        </w:rPr>
        <w:t xml:space="preserve"> </w:t>
      </w:r>
      <w:r w:rsidR="008A2D17">
        <w:rPr>
          <w:rFonts w:ascii="Times New Roman" w:eastAsia="Times New Roman" w:hAnsi="Times New Roman" w:cs="Times New Roman"/>
          <w:b/>
          <w:bCs/>
          <w:sz w:val="24"/>
          <w:szCs w:val="24"/>
        </w:rPr>
        <w:t>56</w:t>
      </w:r>
    </w:p>
    <w:p w14:paraId="5A322C38" w14:textId="30CF260A" w:rsidR="20141F9D" w:rsidRPr="003A42FB" w:rsidRDefault="20141F9D" w:rsidP="1A3CEF4E">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Zgodnie z definicją PRS zawartą w art. 2 ust. 4 lit. d Rozporządzenia Parlamentu Europejskiego i Rady (UE) nr 1285/2013 z dnia 11 grudnia 2013 r. w sprawie realizacji i eksploatacji europejskich systemów nawigacji satelitarnej oraz uchylające rozporządzenie Rady (WE) nr 876/2002 i rozporządzenie Parlamentu Europejskiego i Rady (WE) nr 683/2008 jest to usługa zarezerwowana dla użytkowników upoważnionych przez władze publiczne oraz przeznaczona do szczególnych zastosowań, które wymagają wysokiego poziomu ciągłości usług. Dlatego też w Pke zastosowano otwarty katalog grup użytkowników PRS. </w:t>
      </w:r>
    </w:p>
    <w:p w14:paraId="0DE22EF3" w14:textId="5422B4A3" w:rsidR="1A3CEF4E" w:rsidRPr="003A42FB" w:rsidRDefault="20141F9D" w:rsidP="1A3CEF4E">
      <w:pPr>
        <w:spacing w:after="120" w:line="240" w:lineRule="auto"/>
        <w:jc w:val="both"/>
        <w:rPr>
          <w:rFonts w:ascii="Times New Roman" w:hAnsi="Times New Roman" w:cs="Times New Roman"/>
          <w:sz w:val="24"/>
          <w:szCs w:val="24"/>
        </w:rPr>
      </w:pPr>
      <w:r w:rsidRPr="7F18E6D1">
        <w:rPr>
          <w:rFonts w:ascii="Times New Roman" w:eastAsia="Times New Roman" w:hAnsi="Times New Roman" w:cs="Times New Roman"/>
          <w:sz w:val="24"/>
          <w:szCs w:val="24"/>
        </w:rPr>
        <w:lastRenderedPageBreak/>
        <w:t xml:space="preserve">Z racji tego, iż PRS będzie nieograniczona i nieprzerwanie dostępna w każdej części świata nawet w przypadku całkowitego zablokowania innych usług systemu Galileo, co może być spowodowane np. działaniami terrorystycznymi lub wojennymi, i w związku z tym jest planowana do wykorzystywania głównie przez organy administracji państw członkowskich oraz Europejską Służbę Działań Zewnętrznych, zasadne jest umieszczenie przepisów dotyczących PRS </w:t>
      </w:r>
      <w:r w:rsidR="31A59C52" w:rsidRPr="7F18E6D1">
        <w:rPr>
          <w:rFonts w:ascii="Times New Roman" w:eastAsia="Times New Roman" w:hAnsi="Times New Roman" w:cs="Times New Roman"/>
          <w:sz w:val="24"/>
          <w:szCs w:val="24"/>
        </w:rPr>
        <w:t xml:space="preserve"> jako wyodrębnioną część ustawy - Rozdział </w:t>
      </w:r>
      <w:r w:rsidR="00F97B3E">
        <w:rPr>
          <w:rFonts w:ascii="Times New Roman" w:eastAsia="Times New Roman" w:hAnsi="Times New Roman" w:cs="Times New Roman"/>
          <w:sz w:val="24"/>
          <w:szCs w:val="24"/>
        </w:rPr>
        <w:t>6</w:t>
      </w:r>
      <w:r w:rsidR="31A59C52" w:rsidRPr="7F18E6D1">
        <w:rPr>
          <w:rFonts w:ascii="Times New Roman" w:eastAsia="Times New Roman" w:hAnsi="Times New Roman" w:cs="Times New Roman"/>
          <w:sz w:val="24"/>
          <w:szCs w:val="24"/>
        </w:rPr>
        <w:t>.</w:t>
      </w:r>
    </w:p>
    <w:p w14:paraId="01738A76" w14:textId="591AB5C0" w:rsidR="7F18E6D1" w:rsidRDefault="31A59C52" w:rsidP="7F18E6D1">
      <w:pPr>
        <w:spacing w:after="120" w:line="240" w:lineRule="auto"/>
        <w:jc w:val="both"/>
        <w:rPr>
          <w:rFonts w:ascii="Times New Roman" w:eastAsia="Times New Roman" w:hAnsi="Times New Roman" w:cs="Times New Roman"/>
          <w:sz w:val="24"/>
          <w:szCs w:val="24"/>
        </w:rPr>
      </w:pPr>
      <w:r w:rsidRPr="7F18E6D1">
        <w:rPr>
          <w:rFonts w:ascii="Times New Roman" w:eastAsia="Times New Roman" w:hAnsi="Times New Roman" w:cs="Times New Roman"/>
          <w:sz w:val="24"/>
          <w:szCs w:val="24"/>
        </w:rPr>
        <w:t>W celu efektywnego wykorzystania PRS w Polsce minister właściwy do spraw wewnętrznych może tworzyć grupy użytkowników będące zbiorem użytkowników PRS, mających ten sam obszar lub zakres wykorzystania PRS oraz ustalić dla nich grupowy punkt kontaktowy. Grupy mogą mieć charakter stały lub być tworzone ad hoc. Użytkownicy PRS planujący korzystanie z PRS w określonych przedziałach czasu, poprzez swój punkt kontaktowy zgłaszają zapotrzebowanie na dostęp do usługi do grupowego punktu kontaktowego. Grupowy punkt kontaktowy występuje do jednostki zarządzającej PRS o przydział kluczy kryptograficznych PRS i to za jego pośrednictwem przekazywane są użytkownikom PRS klucze kryptograficzne PRS. Grupowe punkty kontaktowe przekazują jednostce zarządzającej PRS uzyskane od użytkowników informacje dotyczące zakłóceń PRS oraz problemów związanych z funkcjonowaniem usługi.</w:t>
      </w:r>
    </w:p>
    <w:p w14:paraId="1D680138" w14:textId="020D39CF" w:rsidR="1A3CEF4E" w:rsidRPr="003A42FB" w:rsidRDefault="20141F9D" w:rsidP="1A3CEF4E">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t xml:space="preserve">Art. </w:t>
      </w:r>
      <w:r w:rsidR="009E4CE6">
        <w:rPr>
          <w:rFonts w:ascii="Times New Roman" w:eastAsia="Times New Roman" w:hAnsi="Times New Roman" w:cs="Times New Roman"/>
          <w:b/>
          <w:bCs/>
          <w:sz w:val="24"/>
          <w:szCs w:val="24"/>
        </w:rPr>
        <w:t>57</w:t>
      </w:r>
      <w:r w:rsidR="009E4CE6" w:rsidRPr="003A42FB">
        <w:rPr>
          <w:rFonts w:ascii="Times New Roman" w:eastAsia="Times New Roman" w:hAnsi="Times New Roman" w:cs="Times New Roman"/>
          <w:b/>
          <w:bCs/>
          <w:sz w:val="24"/>
          <w:szCs w:val="24"/>
        </w:rPr>
        <w:t xml:space="preserve"> </w:t>
      </w:r>
    </w:p>
    <w:p w14:paraId="552FAB28" w14:textId="18DD638E" w:rsidR="0D63388D" w:rsidRDefault="0D63388D" w:rsidP="7F18E6D1">
      <w:pPr>
        <w:spacing w:after="120" w:line="240" w:lineRule="auto"/>
        <w:jc w:val="both"/>
        <w:rPr>
          <w:rFonts w:ascii="Times New Roman" w:eastAsia="Times New Roman" w:hAnsi="Times New Roman" w:cs="Times New Roman"/>
          <w:sz w:val="24"/>
          <w:szCs w:val="24"/>
        </w:rPr>
      </w:pPr>
      <w:r w:rsidRPr="7F18E6D1">
        <w:rPr>
          <w:rFonts w:ascii="Times New Roman" w:eastAsia="Times New Roman" w:hAnsi="Times New Roman" w:cs="Times New Roman"/>
          <w:sz w:val="24"/>
          <w:szCs w:val="24"/>
        </w:rPr>
        <w:t xml:space="preserve">Minister właściwy do spraw wewnętrznych będzie przyznawał użytkownikom dostęp </w:t>
      </w:r>
      <w:r>
        <w:br/>
      </w:r>
      <w:r w:rsidRPr="7F18E6D1">
        <w:rPr>
          <w:rFonts w:ascii="Times New Roman" w:eastAsia="Times New Roman" w:hAnsi="Times New Roman" w:cs="Times New Roman"/>
          <w:sz w:val="24"/>
          <w:szCs w:val="24"/>
        </w:rPr>
        <w:t>do PRS oraz udzielał pozwolenia na produkowanie sprzętu</w:t>
      </w:r>
      <w:r w:rsidR="00B4252A">
        <w:rPr>
          <w:rFonts w:ascii="Times New Roman" w:eastAsia="Times New Roman" w:hAnsi="Times New Roman" w:cs="Times New Roman"/>
          <w:sz w:val="24"/>
          <w:szCs w:val="24"/>
        </w:rPr>
        <w:t xml:space="preserve"> na potrzeby</w:t>
      </w:r>
      <w:r w:rsidRPr="7F18E6D1">
        <w:rPr>
          <w:rFonts w:ascii="Times New Roman" w:eastAsia="Times New Roman" w:hAnsi="Times New Roman" w:cs="Times New Roman"/>
          <w:sz w:val="24"/>
          <w:szCs w:val="24"/>
        </w:rPr>
        <w:t xml:space="preserve"> PRS i opracowywanie technologii PRS, w tym prowadzenie prac badawczo-rozwojowych, w drodze decyzji. </w:t>
      </w:r>
    </w:p>
    <w:p w14:paraId="65C7713D" w14:textId="79410602" w:rsidR="0D63388D" w:rsidRDefault="0D63388D" w:rsidP="7F18E6D1">
      <w:pPr>
        <w:spacing w:after="120" w:line="240" w:lineRule="auto"/>
        <w:jc w:val="both"/>
      </w:pPr>
      <w:r w:rsidRPr="7F18E6D1">
        <w:rPr>
          <w:rFonts w:ascii="Times New Roman" w:eastAsia="Times New Roman" w:hAnsi="Times New Roman" w:cs="Times New Roman"/>
          <w:sz w:val="24"/>
          <w:szCs w:val="24"/>
        </w:rPr>
        <w:t>Ustawa określa warunki, jakie będą musiały spełnić podmioty wnioskujące o pozwolenie PRS. Podmioty, które będą chciały korzystać z PRS, będą musiały wskazać cel wykorzystania PRS, który musi być związany z bezpieczeństwem państwa, obronnością, bezpieczeństwem i porządkiem publicznym, ochroną granic, ratownictwem, ratownictwem morskim, zarządzaniem kryzysowym, imigracją, ratownictwem medycznym, bezpieczeństwem przewozów kolejowych, obroną cywilną lub innymi działaniami istotnymi dla społeczeństwa.</w:t>
      </w:r>
    </w:p>
    <w:p w14:paraId="0FC9C8DD" w14:textId="44D79A16" w:rsidR="0D63388D" w:rsidRDefault="0D63388D" w:rsidP="7F18E6D1">
      <w:pPr>
        <w:spacing w:after="120" w:line="240" w:lineRule="auto"/>
        <w:jc w:val="both"/>
      </w:pPr>
      <w:r w:rsidRPr="7F18E6D1">
        <w:rPr>
          <w:rFonts w:ascii="Times New Roman" w:eastAsia="Times New Roman" w:hAnsi="Times New Roman" w:cs="Times New Roman"/>
          <w:sz w:val="24"/>
          <w:szCs w:val="24"/>
        </w:rPr>
        <w:t>Podmioty ubiegające się o pozwolenie na produkowanie sprzętu</w:t>
      </w:r>
      <w:r w:rsidR="00745266">
        <w:rPr>
          <w:rFonts w:ascii="Times New Roman" w:eastAsia="Times New Roman" w:hAnsi="Times New Roman" w:cs="Times New Roman"/>
          <w:sz w:val="24"/>
          <w:szCs w:val="24"/>
        </w:rPr>
        <w:t xml:space="preserve"> na potrzeby</w:t>
      </w:r>
      <w:r w:rsidRPr="7F18E6D1">
        <w:rPr>
          <w:rFonts w:ascii="Times New Roman" w:eastAsia="Times New Roman" w:hAnsi="Times New Roman" w:cs="Times New Roman"/>
          <w:sz w:val="24"/>
          <w:szCs w:val="24"/>
        </w:rPr>
        <w:t xml:space="preserve"> PRS lub opracowywanie technologii PRS, w tym prace badawczo-rozwojowe, będą musiały posiadać akredytację Rady ds. Akredytacji Bezpieczeństwa (SAB) Agencji ds. Europejskiego GNSS (GSA). Podmioty te będą musiały również posiadać odpowiednie świadectwo bezpieczeństwa przemysłowego i zatrudniać pracowników</w:t>
      </w:r>
      <w:r w:rsidR="000A42D1">
        <w:rPr>
          <w:rFonts w:ascii="Times New Roman" w:eastAsia="Times New Roman" w:hAnsi="Times New Roman" w:cs="Times New Roman"/>
          <w:sz w:val="24"/>
          <w:szCs w:val="24"/>
        </w:rPr>
        <w:t xml:space="preserve"> </w:t>
      </w:r>
      <w:r w:rsidRPr="7F18E6D1">
        <w:rPr>
          <w:rFonts w:ascii="Times New Roman" w:eastAsia="Times New Roman" w:hAnsi="Times New Roman" w:cs="Times New Roman"/>
          <w:sz w:val="24"/>
          <w:szCs w:val="24"/>
        </w:rPr>
        <w:t xml:space="preserve">o stosownych poświadczeniach bezpieczeństwa osobowego, w przypadku, gdy informacje dotyczące PRS lub element PRS, którymi mają operować w obrębie swojego zakładu, oznaczono klauzulą tajności CONFIDENTIEL UE/EU CONFIDENTIAL lub wyższą. </w:t>
      </w:r>
    </w:p>
    <w:p w14:paraId="0F3E35B5" w14:textId="303E1D4A" w:rsidR="0D63388D" w:rsidRDefault="0D63388D" w:rsidP="7F18E6D1">
      <w:pPr>
        <w:spacing w:after="120" w:line="240" w:lineRule="auto"/>
        <w:jc w:val="both"/>
      </w:pPr>
      <w:r w:rsidRPr="7F18E6D1">
        <w:rPr>
          <w:rFonts w:ascii="Times New Roman" w:eastAsia="Times New Roman" w:hAnsi="Times New Roman" w:cs="Times New Roman"/>
          <w:sz w:val="24"/>
          <w:szCs w:val="24"/>
        </w:rPr>
        <w:t xml:space="preserve">Pozwolenie PRS będzie wydawane na czas określony, nie dłuższy niż 5 lat. </w:t>
      </w:r>
    </w:p>
    <w:p w14:paraId="28928C0D" w14:textId="0A58014B" w:rsidR="0D63388D" w:rsidRDefault="0D63388D" w:rsidP="7F18E6D1">
      <w:pPr>
        <w:spacing w:after="120" w:line="240" w:lineRule="auto"/>
        <w:jc w:val="both"/>
      </w:pPr>
      <w:r w:rsidRPr="7F18E6D1">
        <w:rPr>
          <w:rFonts w:ascii="Times New Roman" w:eastAsia="Times New Roman" w:hAnsi="Times New Roman" w:cs="Times New Roman"/>
          <w:sz w:val="24"/>
          <w:szCs w:val="24"/>
        </w:rPr>
        <w:t>Pozwolenie</w:t>
      </w:r>
      <w:r w:rsidR="00740B86">
        <w:rPr>
          <w:rFonts w:ascii="Times New Roman" w:eastAsia="Times New Roman" w:hAnsi="Times New Roman" w:cs="Times New Roman"/>
          <w:sz w:val="24"/>
          <w:szCs w:val="24"/>
        </w:rPr>
        <w:t xml:space="preserve"> PRS</w:t>
      </w:r>
      <w:r w:rsidRPr="7F18E6D1">
        <w:rPr>
          <w:rFonts w:ascii="Times New Roman" w:eastAsia="Times New Roman" w:hAnsi="Times New Roman" w:cs="Times New Roman"/>
          <w:sz w:val="24"/>
          <w:szCs w:val="24"/>
        </w:rPr>
        <w:t xml:space="preserve">, będzie </w:t>
      </w:r>
      <w:r w:rsidR="007E51A5">
        <w:rPr>
          <w:rFonts w:ascii="Times New Roman" w:eastAsia="Times New Roman" w:hAnsi="Times New Roman" w:cs="Times New Roman"/>
          <w:sz w:val="24"/>
          <w:szCs w:val="24"/>
        </w:rPr>
        <w:t>określało</w:t>
      </w:r>
      <w:r w:rsidRPr="7F18E6D1">
        <w:rPr>
          <w:rFonts w:ascii="Times New Roman" w:eastAsia="Times New Roman" w:hAnsi="Times New Roman" w:cs="Times New Roman"/>
          <w:sz w:val="24"/>
          <w:szCs w:val="24"/>
        </w:rPr>
        <w:t xml:space="preserve"> warunki i ograniczenia dotyczące parametrów technicznych lub właściwości sprzętu i technologii zaprojektowanych na potrzeby PRS, ich przeznaczenia lub zastosowania końcowego, aspektów handlowych lub umownych.</w:t>
      </w:r>
    </w:p>
    <w:p w14:paraId="2D149509" w14:textId="1C79FF74" w:rsidR="0D63388D" w:rsidRDefault="0D63388D" w:rsidP="7F18E6D1">
      <w:pPr>
        <w:spacing w:after="120" w:line="240" w:lineRule="auto"/>
        <w:jc w:val="both"/>
      </w:pPr>
      <w:r w:rsidRPr="7F18E6D1">
        <w:rPr>
          <w:rFonts w:ascii="Times New Roman" w:eastAsia="Times New Roman" w:hAnsi="Times New Roman" w:cs="Times New Roman"/>
          <w:sz w:val="24"/>
          <w:szCs w:val="24"/>
        </w:rPr>
        <w:t>Dopuszcza się możliwość odmowy wydania pozwolenia na dostęp do usługi lub pozwolenia na produkowanie sprzętu</w:t>
      </w:r>
      <w:r w:rsidR="0012184A">
        <w:rPr>
          <w:rFonts w:ascii="Times New Roman" w:eastAsia="Times New Roman" w:hAnsi="Times New Roman" w:cs="Times New Roman"/>
          <w:sz w:val="24"/>
          <w:szCs w:val="24"/>
        </w:rPr>
        <w:t xml:space="preserve"> na potrzeby</w:t>
      </w:r>
      <w:r w:rsidRPr="7F18E6D1">
        <w:rPr>
          <w:rFonts w:ascii="Times New Roman" w:eastAsia="Times New Roman" w:hAnsi="Times New Roman" w:cs="Times New Roman"/>
          <w:sz w:val="24"/>
          <w:szCs w:val="24"/>
        </w:rPr>
        <w:t xml:space="preserve"> PRS lub opracowywanie technologii PRS z tytułu zagrożenia bezpieczeństwa państwa, obronności oraz bezpieczeństwa i porządku publicznego, przestrzegania zobowiązań międzynarodowych lub wspólnych minimalnych norm przyjętych na podstawie art. 8 Decyzji Parlamentu Europejskiego i Rady nr 1104/2011/UE z dnia 25 października 2011 r., w szczególności w  odniesieniu do bezpieczeństwa usługi publicznej o regulowanym dostępie oraz ochrony informacji dotyczących tej usługi.</w:t>
      </w:r>
    </w:p>
    <w:p w14:paraId="33672F58" w14:textId="76413911" w:rsidR="0D63388D" w:rsidRDefault="0D63388D" w:rsidP="7F18E6D1">
      <w:pPr>
        <w:spacing w:after="120" w:line="240" w:lineRule="auto"/>
        <w:jc w:val="both"/>
      </w:pPr>
      <w:r w:rsidRPr="7F18E6D1">
        <w:rPr>
          <w:rFonts w:ascii="Times New Roman" w:eastAsia="Times New Roman" w:hAnsi="Times New Roman" w:cs="Times New Roman"/>
          <w:sz w:val="24"/>
          <w:szCs w:val="24"/>
        </w:rPr>
        <w:lastRenderedPageBreak/>
        <w:t>W przypadku niespełniania warunków wyszczególnionych w pozwoleniu</w:t>
      </w:r>
      <w:r w:rsidR="0053048C">
        <w:rPr>
          <w:rFonts w:ascii="Times New Roman" w:eastAsia="Times New Roman" w:hAnsi="Times New Roman" w:cs="Times New Roman"/>
          <w:sz w:val="24"/>
          <w:szCs w:val="24"/>
        </w:rPr>
        <w:t xml:space="preserve"> PRS</w:t>
      </w:r>
      <w:r w:rsidRPr="7F18E6D1">
        <w:rPr>
          <w:rFonts w:ascii="Times New Roman" w:eastAsia="Times New Roman" w:hAnsi="Times New Roman" w:cs="Times New Roman"/>
          <w:sz w:val="24"/>
          <w:szCs w:val="24"/>
        </w:rPr>
        <w:t xml:space="preserve"> lub w przypadku, gdy jest to uzasadnione koniecznością wywiązania się z zobowiązań międzynarodowych zaciągniętych przez Rzeczpospolitą Polską, ochroną PRS, ochroną porządku publicznego lub bezpieczeństwa publicznego, pozwolenia będą mogły zostać uchylone, cofnięte, zmienione lub zawieszone.</w:t>
      </w:r>
    </w:p>
    <w:p w14:paraId="08F86448" w14:textId="6D943A42" w:rsidR="0D63388D" w:rsidRDefault="0D63388D" w:rsidP="7F18E6D1">
      <w:pPr>
        <w:spacing w:after="120" w:line="240" w:lineRule="auto"/>
        <w:jc w:val="both"/>
      </w:pPr>
      <w:r w:rsidRPr="7F18E6D1">
        <w:rPr>
          <w:rFonts w:ascii="Times New Roman" w:eastAsia="Times New Roman" w:hAnsi="Times New Roman" w:cs="Times New Roman"/>
          <w:sz w:val="24"/>
          <w:szCs w:val="24"/>
        </w:rPr>
        <w:t xml:space="preserve">Szczegółowy zakres informacji zawartych we wniosku, zostanie określony w rozporządzeniu wydanym na podstawie art. </w:t>
      </w:r>
      <w:r w:rsidR="00DD231D">
        <w:rPr>
          <w:rFonts w:ascii="Times New Roman" w:eastAsia="Times New Roman" w:hAnsi="Times New Roman" w:cs="Times New Roman"/>
          <w:sz w:val="24"/>
          <w:szCs w:val="24"/>
        </w:rPr>
        <w:t xml:space="preserve">60 </w:t>
      </w:r>
      <w:r w:rsidRPr="7F18E6D1">
        <w:rPr>
          <w:rFonts w:ascii="Times New Roman" w:eastAsia="Times New Roman" w:hAnsi="Times New Roman" w:cs="Times New Roman"/>
          <w:sz w:val="24"/>
          <w:szCs w:val="24"/>
        </w:rPr>
        <w:t>ustawy.</w:t>
      </w:r>
    </w:p>
    <w:p w14:paraId="6D010F09" w14:textId="506F6223" w:rsidR="20141F9D" w:rsidRPr="003A42FB" w:rsidRDefault="20141F9D" w:rsidP="1A3CEF4E">
      <w:pPr>
        <w:spacing w:after="120" w:line="240" w:lineRule="auto"/>
        <w:jc w:val="both"/>
        <w:rPr>
          <w:rFonts w:ascii="Times New Roman" w:eastAsia="Times New Roman" w:hAnsi="Times New Roman" w:cs="Times New Roman"/>
          <w:b/>
          <w:bCs/>
          <w:sz w:val="24"/>
          <w:szCs w:val="24"/>
        </w:rPr>
      </w:pPr>
      <w:r w:rsidRPr="003A42FB">
        <w:rPr>
          <w:rFonts w:ascii="Times New Roman" w:eastAsia="Times New Roman" w:hAnsi="Times New Roman" w:cs="Times New Roman"/>
          <w:b/>
          <w:bCs/>
          <w:sz w:val="24"/>
          <w:szCs w:val="24"/>
        </w:rPr>
        <w:t xml:space="preserve">Art. </w:t>
      </w:r>
      <w:r w:rsidR="0035599A">
        <w:rPr>
          <w:rFonts w:ascii="Times New Roman" w:eastAsia="Times New Roman" w:hAnsi="Times New Roman" w:cs="Times New Roman"/>
          <w:b/>
          <w:bCs/>
          <w:sz w:val="24"/>
          <w:szCs w:val="24"/>
        </w:rPr>
        <w:t>58</w:t>
      </w:r>
    </w:p>
    <w:p w14:paraId="6CE8F907" w14:textId="263CE18C" w:rsidR="20141F9D" w:rsidRPr="003A42FB" w:rsidRDefault="20141F9D">
      <w:pPr>
        <w:spacing w:after="120" w:line="240" w:lineRule="auto"/>
        <w:jc w:val="both"/>
        <w:rPr>
          <w:rFonts w:ascii="Times New Roman" w:eastAsia="Times New Roman" w:hAnsi="Times New Roman" w:cs="Times New Roman"/>
          <w:sz w:val="24"/>
          <w:szCs w:val="24"/>
        </w:rPr>
      </w:pPr>
      <w:r w:rsidRPr="7F18E6D1">
        <w:rPr>
          <w:rFonts w:ascii="Times New Roman" w:eastAsia="Times New Roman" w:hAnsi="Times New Roman" w:cs="Times New Roman"/>
          <w:sz w:val="24"/>
          <w:szCs w:val="24"/>
        </w:rPr>
        <w:t xml:space="preserve">Wywóz oraz transfer wewnątrzunijny sprzętu </w:t>
      </w:r>
      <w:r w:rsidR="004A69FD">
        <w:rPr>
          <w:rFonts w:ascii="Times New Roman" w:eastAsia="Times New Roman" w:hAnsi="Times New Roman" w:cs="Times New Roman"/>
          <w:sz w:val="24"/>
          <w:szCs w:val="24"/>
        </w:rPr>
        <w:t xml:space="preserve">na potrzeby PRS </w:t>
      </w:r>
      <w:r w:rsidRPr="7F18E6D1">
        <w:rPr>
          <w:rFonts w:ascii="Times New Roman" w:eastAsia="Times New Roman" w:hAnsi="Times New Roman" w:cs="Times New Roman"/>
          <w:sz w:val="24"/>
          <w:szCs w:val="24"/>
        </w:rPr>
        <w:t>i technologii PRS będzie uwarunkowany uzyskaniem zezwolenia ministra właściwego do spraw gospodarki,</w:t>
      </w:r>
      <w:r w:rsidR="00D37720">
        <w:rPr>
          <w:rFonts w:ascii="Times New Roman" w:eastAsia="Times New Roman" w:hAnsi="Times New Roman" w:cs="Times New Roman"/>
          <w:sz w:val="24"/>
          <w:szCs w:val="24"/>
        </w:rPr>
        <w:t xml:space="preserve"> które będzie podlegało zaopiniowaniu przez ministra właściwego </w:t>
      </w:r>
      <w:r w:rsidRPr="7F18E6D1">
        <w:rPr>
          <w:rFonts w:ascii="Times New Roman" w:eastAsia="Times New Roman" w:hAnsi="Times New Roman" w:cs="Times New Roman"/>
          <w:sz w:val="24"/>
          <w:szCs w:val="24"/>
        </w:rPr>
        <w:t xml:space="preserve">do spraw wewnętrznych. </w:t>
      </w:r>
    </w:p>
    <w:p w14:paraId="50C3FCA8" w14:textId="0ECDE8C8" w:rsidR="1A3CEF4E" w:rsidRPr="003A42FB" w:rsidRDefault="75C43E0C" w:rsidP="1A3CEF4E">
      <w:pPr>
        <w:spacing w:after="120" w:line="240" w:lineRule="auto"/>
        <w:jc w:val="both"/>
        <w:rPr>
          <w:rFonts w:ascii="Times New Roman" w:hAnsi="Times New Roman" w:cs="Times New Roman"/>
          <w:sz w:val="24"/>
          <w:szCs w:val="24"/>
        </w:rPr>
      </w:pPr>
      <w:r w:rsidRPr="7F18E6D1">
        <w:rPr>
          <w:rFonts w:ascii="Times New Roman" w:eastAsia="Times New Roman" w:hAnsi="Times New Roman" w:cs="Times New Roman"/>
          <w:sz w:val="24"/>
          <w:szCs w:val="24"/>
        </w:rPr>
        <w:t xml:space="preserve">Ustawa określa warunki uzyskania zezwolenia na wywóz poza Unię Europejską oraz zezwolenia na transfer wewnątrzunijny sprzętu </w:t>
      </w:r>
      <w:r w:rsidR="003D2296">
        <w:rPr>
          <w:rFonts w:ascii="Times New Roman" w:eastAsia="Times New Roman" w:hAnsi="Times New Roman" w:cs="Times New Roman"/>
          <w:sz w:val="24"/>
          <w:szCs w:val="24"/>
        </w:rPr>
        <w:t xml:space="preserve">na potrzeby PRS </w:t>
      </w:r>
      <w:r w:rsidRPr="7F18E6D1">
        <w:rPr>
          <w:rFonts w:ascii="Times New Roman" w:eastAsia="Times New Roman" w:hAnsi="Times New Roman" w:cs="Times New Roman"/>
          <w:sz w:val="24"/>
          <w:szCs w:val="24"/>
        </w:rPr>
        <w:t xml:space="preserve">i technologii PRS oraz wskazuje podstawowe elementy wniosku o wydanie zezwolenia. Szczegółowy zakres informacji zawartych we wniosku o wydanie zezwolenia na wywóz poza Unię Europejską oraz zezwolenia na transfer wewnątrzunijny sprzętu </w:t>
      </w:r>
      <w:r w:rsidR="003D2296">
        <w:rPr>
          <w:rFonts w:ascii="Times New Roman" w:eastAsia="Times New Roman" w:hAnsi="Times New Roman" w:cs="Times New Roman"/>
          <w:sz w:val="24"/>
          <w:szCs w:val="24"/>
        </w:rPr>
        <w:t xml:space="preserve">na potrzeby PRS </w:t>
      </w:r>
      <w:r w:rsidRPr="7F18E6D1">
        <w:rPr>
          <w:rFonts w:ascii="Times New Roman" w:eastAsia="Times New Roman" w:hAnsi="Times New Roman" w:cs="Times New Roman"/>
          <w:sz w:val="24"/>
          <w:szCs w:val="24"/>
        </w:rPr>
        <w:t xml:space="preserve">i technologii PRS, w tym jego wzór, zostanie określony w rozporządzeniu wydanym na podstawie art. </w:t>
      </w:r>
      <w:r w:rsidR="000006C5">
        <w:rPr>
          <w:rFonts w:ascii="Times New Roman" w:eastAsia="Times New Roman" w:hAnsi="Times New Roman" w:cs="Times New Roman"/>
          <w:sz w:val="24"/>
          <w:szCs w:val="24"/>
        </w:rPr>
        <w:t>60</w:t>
      </w:r>
      <w:r w:rsidRPr="7F18E6D1">
        <w:rPr>
          <w:rFonts w:ascii="Times New Roman" w:eastAsia="Times New Roman" w:hAnsi="Times New Roman" w:cs="Times New Roman"/>
          <w:sz w:val="24"/>
          <w:szCs w:val="24"/>
        </w:rPr>
        <w:t xml:space="preserve"> ustawy.</w:t>
      </w:r>
      <w:r w:rsidR="003D2296">
        <w:rPr>
          <w:rFonts w:ascii="Times New Roman" w:eastAsia="Times New Roman" w:hAnsi="Times New Roman" w:cs="Times New Roman"/>
          <w:sz w:val="24"/>
          <w:szCs w:val="24"/>
        </w:rPr>
        <w:t xml:space="preserve"> </w:t>
      </w:r>
      <w:r w:rsidR="20141F9D" w:rsidRPr="003A42FB">
        <w:rPr>
          <w:rFonts w:ascii="Times New Roman" w:eastAsia="Times New Roman" w:hAnsi="Times New Roman" w:cs="Times New Roman"/>
          <w:sz w:val="24"/>
          <w:szCs w:val="24"/>
        </w:rPr>
        <w:t xml:space="preserve">Transfer technologii w celu korzystania z PRS, opracowywania lub produkcji </w:t>
      </w:r>
      <w:r w:rsidR="003D2296">
        <w:rPr>
          <w:rFonts w:ascii="Times New Roman" w:eastAsia="Times New Roman" w:hAnsi="Times New Roman" w:cs="Times New Roman"/>
          <w:sz w:val="24"/>
          <w:szCs w:val="24"/>
        </w:rPr>
        <w:t>sprzętu</w:t>
      </w:r>
      <w:r w:rsidR="003E6FDB">
        <w:rPr>
          <w:rFonts w:ascii="Times New Roman" w:eastAsia="Times New Roman" w:hAnsi="Times New Roman" w:cs="Times New Roman"/>
          <w:sz w:val="24"/>
          <w:szCs w:val="24"/>
        </w:rPr>
        <w:t xml:space="preserve"> na potrzeby PRS</w:t>
      </w:r>
      <w:r w:rsidR="003D2296">
        <w:rPr>
          <w:rFonts w:ascii="Times New Roman" w:eastAsia="Times New Roman" w:hAnsi="Times New Roman" w:cs="Times New Roman"/>
          <w:sz w:val="24"/>
          <w:szCs w:val="24"/>
        </w:rPr>
        <w:t xml:space="preserve"> lub technologii</w:t>
      </w:r>
      <w:r w:rsidR="003D2296" w:rsidRPr="003A42FB">
        <w:rPr>
          <w:rFonts w:ascii="Times New Roman" w:eastAsia="Times New Roman" w:hAnsi="Times New Roman" w:cs="Times New Roman"/>
          <w:sz w:val="24"/>
          <w:szCs w:val="24"/>
        </w:rPr>
        <w:t xml:space="preserve"> </w:t>
      </w:r>
      <w:r w:rsidR="20141F9D" w:rsidRPr="003A42FB">
        <w:rPr>
          <w:rFonts w:ascii="Times New Roman" w:eastAsia="Times New Roman" w:hAnsi="Times New Roman" w:cs="Times New Roman"/>
          <w:sz w:val="24"/>
          <w:szCs w:val="24"/>
        </w:rPr>
        <w:t>PRS do państw członkowskich UE jest dozwolony na warunkach określonych w</w:t>
      </w:r>
      <w:r w:rsidR="00A54EE4">
        <w:rPr>
          <w:rFonts w:ascii="Times New Roman" w:eastAsia="Times New Roman" w:hAnsi="Times New Roman" w:cs="Times New Roman"/>
          <w:sz w:val="24"/>
          <w:szCs w:val="24"/>
        </w:rPr>
        <w:t xml:space="preserve"> decyzji PRS oraz w</w:t>
      </w:r>
      <w:r w:rsidR="20141F9D" w:rsidRPr="003A42FB">
        <w:rPr>
          <w:rFonts w:ascii="Times New Roman" w:eastAsia="Times New Roman" w:hAnsi="Times New Roman" w:cs="Times New Roman"/>
          <w:sz w:val="24"/>
          <w:szCs w:val="24"/>
        </w:rPr>
        <w:t xml:space="preserve"> CMS. Uregulowania te pozostają bez uszczerbku dla przepisów rozporządzenia Rady (WE) nr 428/2009 z dnia 5 maja 2009 r. ustanawiającego wspólnotowy system kontroli wywozu, transferu, pośrednictwa i tranzytu w odniesieniu do produktów podwójnego zastosowania.</w:t>
      </w:r>
    </w:p>
    <w:p w14:paraId="67C7A28F" w14:textId="0C67F855" w:rsidR="00696205" w:rsidRPr="003A42FB" w:rsidRDefault="20141F9D" w:rsidP="00C53EAB">
      <w:pPr>
        <w:pStyle w:val="ROZDZODDZPRZEDMprzedmiotregulacjirozdziauluboddziau"/>
        <w:spacing w:before="0" w:after="120" w:line="240" w:lineRule="auto"/>
        <w:jc w:val="both"/>
        <w:rPr>
          <w:rFonts w:ascii="Times New Roman" w:hAnsi="Times New Roman"/>
          <w:lang w:eastAsia="en-US"/>
        </w:rPr>
      </w:pPr>
      <w:r w:rsidRPr="003A42FB">
        <w:rPr>
          <w:rFonts w:ascii="Times New Roman" w:hAnsi="Times New Roman"/>
          <w:lang w:eastAsia="en-US"/>
        </w:rPr>
        <w:t xml:space="preserve">Art. </w:t>
      </w:r>
      <w:r w:rsidR="00215185">
        <w:rPr>
          <w:rFonts w:ascii="Times New Roman" w:hAnsi="Times New Roman"/>
          <w:lang w:eastAsia="en-US"/>
        </w:rPr>
        <w:t>59</w:t>
      </w:r>
      <w:r w:rsidR="00215185" w:rsidRPr="003A42FB">
        <w:rPr>
          <w:rFonts w:ascii="Times New Roman" w:hAnsi="Times New Roman"/>
          <w:lang w:eastAsia="en-US"/>
        </w:rPr>
        <w:t xml:space="preserve"> </w:t>
      </w:r>
    </w:p>
    <w:p w14:paraId="7E28B5EF" w14:textId="53A71B9E" w:rsidR="20141F9D" w:rsidRPr="003A42FB" w:rsidRDefault="20141F9D" w:rsidP="7F18E6D1">
      <w:pPr>
        <w:pStyle w:val="ARTartustawynprozporzdzenia"/>
        <w:spacing w:line="240" w:lineRule="auto"/>
        <w:ind w:firstLine="0"/>
        <w:rPr>
          <w:rFonts w:ascii="Times New Roman" w:eastAsia="Times New Roman" w:hAnsi="Times New Roman" w:cs="Times New Roman"/>
        </w:rPr>
      </w:pPr>
      <w:r w:rsidRPr="7F18E6D1">
        <w:rPr>
          <w:rFonts w:ascii="Times New Roman" w:eastAsia="Times New Roman" w:hAnsi="Times New Roman" w:cs="Times New Roman"/>
        </w:rPr>
        <w:t>W celu nadzorowania przestrzegania obowiązków nałożonych na mocy prawa UE dotyczącego PRS, ustawy</w:t>
      </w:r>
      <w:r w:rsidR="00182C68">
        <w:rPr>
          <w:rFonts w:ascii="Times New Roman" w:eastAsia="Times New Roman" w:hAnsi="Times New Roman" w:cs="Times New Roman"/>
        </w:rPr>
        <w:t xml:space="preserve"> Pke</w:t>
      </w:r>
      <w:r w:rsidRPr="7F18E6D1">
        <w:rPr>
          <w:rFonts w:ascii="Times New Roman" w:eastAsia="Times New Roman" w:hAnsi="Times New Roman" w:cs="Times New Roman"/>
        </w:rPr>
        <w:t xml:space="preserve"> oraz rozporządzenia wydanego na podstawie art. </w:t>
      </w:r>
      <w:r w:rsidR="006E044C">
        <w:rPr>
          <w:rFonts w:ascii="Times New Roman" w:eastAsia="Times New Roman" w:hAnsi="Times New Roman" w:cs="Times New Roman"/>
        </w:rPr>
        <w:t>60</w:t>
      </w:r>
      <w:r w:rsidR="7A3DA7A7" w:rsidRPr="7F18E6D1">
        <w:rPr>
          <w:rFonts w:ascii="Times New Roman" w:eastAsia="Times New Roman" w:hAnsi="Times New Roman" w:cs="Times New Roman"/>
        </w:rPr>
        <w:t xml:space="preserve"> </w:t>
      </w:r>
      <w:r w:rsidRPr="7F18E6D1">
        <w:rPr>
          <w:rFonts w:ascii="Times New Roman" w:eastAsia="Times New Roman" w:hAnsi="Times New Roman" w:cs="Times New Roman"/>
        </w:rPr>
        <w:t xml:space="preserve"> ustawy i wydanych na ich podstawie decyzji, producenci sprzętu </w:t>
      </w:r>
      <w:r w:rsidR="00182C68">
        <w:rPr>
          <w:rFonts w:ascii="Times New Roman" w:eastAsia="Times New Roman" w:hAnsi="Times New Roman" w:cs="Times New Roman"/>
        </w:rPr>
        <w:t xml:space="preserve">na potrzeby PRS </w:t>
      </w:r>
      <w:r w:rsidRPr="7F18E6D1">
        <w:rPr>
          <w:rFonts w:ascii="Times New Roman" w:eastAsia="Times New Roman" w:hAnsi="Times New Roman" w:cs="Times New Roman"/>
        </w:rPr>
        <w:t>lub technologii PRS, podmioty zaangażowane w rozwój technologiczny PRS oraz użytkownicy PRS mogą zostać poddani kontroli ze strony CPA oraz Agencji Bezpieczeństwa Wewnętrznego.</w:t>
      </w:r>
    </w:p>
    <w:p w14:paraId="3B5018B4" w14:textId="2EBB034F" w:rsidR="20141F9D" w:rsidRPr="003A42FB" w:rsidRDefault="20141F9D" w:rsidP="7F18E6D1">
      <w:pPr>
        <w:pStyle w:val="ARTartustawynprozporzdzenia"/>
        <w:spacing w:line="240" w:lineRule="auto"/>
        <w:ind w:firstLine="0"/>
        <w:rPr>
          <w:rFonts w:ascii="Times New Roman" w:eastAsia="Times New Roman" w:hAnsi="Times New Roman" w:cs="Times New Roman"/>
        </w:rPr>
      </w:pPr>
      <w:r w:rsidRPr="7F18E6D1">
        <w:rPr>
          <w:rFonts w:ascii="Times New Roman" w:eastAsia="Times New Roman" w:hAnsi="Times New Roman" w:cs="Times New Roman"/>
        </w:rPr>
        <w:t>Część zadań CPA powinna być wykonywana we współpracy z krajową władzą bezpieczeństwa (National Security Authority – NSA), której funkcję pełni w Polsce Agencja Bezpieczeństwa Wewnętrznego. W odniesieniu do kwestii związanych z informacjami niejawnymi, CPA wykonuje zadania określone w art. 4, art. 5 ust. 1, 2 i 3, art. 6, art. 9 ust. 1, 2 i 5 oraz art. 11 ust. 1, 4 i 5 CMS, jeżeli zostało do tego uprawnione przez krajową władzę bezpieczeństwa.</w:t>
      </w:r>
    </w:p>
    <w:p w14:paraId="50C2AA4B" w14:textId="5260C649" w:rsidR="5DB67AE2" w:rsidRDefault="5DB67AE2" w:rsidP="7F18E6D1">
      <w:pPr>
        <w:pStyle w:val="ARTartustawynprozporzdzenia"/>
        <w:spacing w:line="240" w:lineRule="auto"/>
        <w:ind w:firstLine="0"/>
        <w:rPr>
          <w:rFonts w:ascii="Times New Roman" w:eastAsia="Times New Roman" w:hAnsi="Times New Roman" w:cs="Times New Roman"/>
          <w:b/>
          <w:bCs/>
        </w:rPr>
      </w:pPr>
      <w:r w:rsidRPr="00D80663">
        <w:rPr>
          <w:rFonts w:ascii="Times New Roman" w:eastAsia="Times New Roman" w:hAnsi="Times New Roman" w:cs="Times New Roman"/>
          <w:b/>
          <w:bCs/>
        </w:rPr>
        <w:t xml:space="preserve">Art. </w:t>
      </w:r>
      <w:r w:rsidR="006E044C">
        <w:rPr>
          <w:rFonts w:ascii="Times New Roman" w:eastAsia="Times New Roman" w:hAnsi="Times New Roman" w:cs="Times New Roman"/>
          <w:b/>
          <w:bCs/>
        </w:rPr>
        <w:t>60</w:t>
      </w:r>
    </w:p>
    <w:p w14:paraId="7AA11098" w14:textId="5C627678" w:rsidR="5DB67AE2" w:rsidRPr="00D80663" w:rsidRDefault="5DB67AE2" w:rsidP="7F18E6D1">
      <w:pPr>
        <w:pStyle w:val="ARTartustawynprozporzdzenia"/>
        <w:spacing w:line="240" w:lineRule="auto"/>
        <w:ind w:firstLine="0"/>
        <w:rPr>
          <w:rFonts w:ascii="Times New Roman" w:eastAsia="Times New Roman" w:hAnsi="Times New Roman" w:cs="Times New Roman"/>
        </w:rPr>
      </w:pPr>
      <w:r w:rsidRPr="00D80663">
        <w:rPr>
          <w:rFonts w:ascii="Times New Roman" w:eastAsia="Times New Roman" w:hAnsi="Times New Roman" w:cs="Times New Roman"/>
        </w:rPr>
        <w:t>Przewidziano obligatoryjne wydanie aktu wykonawczego, który ureguluje szczegółowe informacje dotyczące wniosków o wydawanie pozwoleń PRS oraz wniosków o wydanie zezwoleń na wywóz poza Unię Europejską i transfer wewnątrzunijny sprzętu</w:t>
      </w:r>
      <w:r w:rsidR="009F4BA3">
        <w:rPr>
          <w:rFonts w:ascii="Times New Roman" w:eastAsia="Times New Roman" w:hAnsi="Times New Roman" w:cs="Times New Roman"/>
        </w:rPr>
        <w:t xml:space="preserve"> na potrzeby PRS</w:t>
      </w:r>
      <w:r w:rsidRPr="00D80663">
        <w:rPr>
          <w:rFonts w:ascii="Times New Roman" w:eastAsia="Times New Roman" w:hAnsi="Times New Roman" w:cs="Times New Roman"/>
        </w:rPr>
        <w:t xml:space="preserve"> lub technologii zaprojektowanych na potrzeby tej usługi, jak również zarządzania PRS.</w:t>
      </w:r>
    </w:p>
    <w:p w14:paraId="20CE5670" w14:textId="4E507429" w:rsidR="7F18E6D1" w:rsidRPr="00D80663" w:rsidRDefault="7F18E6D1" w:rsidP="7F18E6D1">
      <w:pPr>
        <w:pStyle w:val="ARTartustawynprozporzdzenia"/>
        <w:spacing w:line="240" w:lineRule="auto"/>
        <w:ind w:firstLine="0"/>
        <w:rPr>
          <w:rFonts w:ascii="Times New Roman" w:eastAsia="Times New Roman" w:hAnsi="Times New Roman" w:cs="Times New Roman"/>
          <w:b/>
          <w:bCs/>
        </w:rPr>
      </w:pPr>
    </w:p>
    <w:p w14:paraId="56906722" w14:textId="506A0F6E" w:rsidR="1A3CEF4E" w:rsidRPr="003A42FB" w:rsidRDefault="1A3CEF4E" w:rsidP="1A3CEF4E">
      <w:pPr>
        <w:pStyle w:val="ARTartustawynprozporzdzenia"/>
        <w:ind w:firstLine="0"/>
        <w:rPr>
          <w:rFonts w:ascii="Times New Roman" w:hAnsi="Times New Roman" w:cs="Times New Roman"/>
          <w:szCs w:val="24"/>
        </w:rPr>
      </w:pPr>
    </w:p>
    <w:p w14:paraId="00461CFE" w14:textId="4CDB691E" w:rsidR="00965779" w:rsidRPr="003A42FB" w:rsidRDefault="00965779" w:rsidP="00C53EAB">
      <w:pPr>
        <w:pStyle w:val="ROZDZODDZPRZEDMprzedmiotregulacjirozdziauluboddziau"/>
        <w:spacing w:before="0" w:after="120" w:line="240" w:lineRule="auto"/>
        <w:jc w:val="both"/>
        <w:rPr>
          <w:rFonts w:ascii="Times New Roman" w:hAnsi="Times New Roman"/>
          <w:lang w:eastAsia="en-US"/>
        </w:rPr>
      </w:pPr>
      <w:r w:rsidRPr="003A42FB">
        <w:rPr>
          <w:rFonts w:ascii="Times New Roman" w:hAnsi="Times New Roman"/>
          <w:lang w:eastAsia="en-US"/>
        </w:rPr>
        <w:lastRenderedPageBreak/>
        <w:t>DZIAŁ I</w:t>
      </w:r>
      <w:r w:rsidRPr="003A42FB">
        <w:rPr>
          <w:rFonts w:ascii="Times New Roman" w:hAnsi="Times New Roman"/>
        </w:rPr>
        <w:t>I</w:t>
      </w:r>
      <w:r w:rsidRPr="003A42FB">
        <w:rPr>
          <w:rFonts w:ascii="Times New Roman" w:hAnsi="Times New Roman"/>
          <w:lang w:eastAsia="en-US"/>
        </w:rPr>
        <w:t xml:space="preserve">. Gospodarowanie częstotliwościami i </w:t>
      </w:r>
      <w:r w:rsidR="00FA15E4">
        <w:rPr>
          <w:rFonts w:ascii="Times New Roman" w:hAnsi="Times New Roman"/>
          <w:lang w:eastAsia="en-US"/>
        </w:rPr>
        <w:t xml:space="preserve">zasobami </w:t>
      </w:r>
      <w:r w:rsidRPr="003A42FB">
        <w:rPr>
          <w:rFonts w:ascii="Times New Roman" w:hAnsi="Times New Roman"/>
          <w:lang w:eastAsia="en-US"/>
        </w:rPr>
        <w:t>numeracj</w:t>
      </w:r>
      <w:r w:rsidR="00FA15E4">
        <w:rPr>
          <w:rFonts w:ascii="Times New Roman" w:hAnsi="Times New Roman"/>
          <w:lang w:eastAsia="en-US"/>
        </w:rPr>
        <w:t>i</w:t>
      </w:r>
    </w:p>
    <w:p w14:paraId="7EECFDD1" w14:textId="185C933F" w:rsidR="00D03005" w:rsidRPr="003A42FB" w:rsidRDefault="00D03005" w:rsidP="00C53EAB">
      <w:pPr>
        <w:pStyle w:val="ROZDZODDZPRZEDMprzedmiotregulacjirozdziauluboddziau"/>
        <w:spacing w:before="0" w:after="120" w:line="240" w:lineRule="auto"/>
        <w:jc w:val="both"/>
        <w:rPr>
          <w:rFonts w:ascii="Times New Roman" w:hAnsi="Times New Roman"/>
          <w:b w:val="0"/>
          <w:bCs w:val="0"/>
          <w:lang w:eastAsia="en-US"/>
        </w:rPr>
      </w:pPr>
      <w:r w:rsidRPr="003A42FB">
        <w:rPr>
          <w:rFonts w:ascii="Times New Roman" w:hAnsi="Times New Roman"/>
          <w:lang w:eastAsia="en-US"/>
        </w:rPr>
        <w:t>Gospodarowanie częstotliwościami (Rozdział 1.)</w:t>
      </w:r>
    </w:p>
    <w:p w14:paraId="1527F08B" w14:textId="3289883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Proponowane przepisy mają na celu wdrożenie Rozdziału II EKŁE [Spójne przeznaczenie widma radiowego] oraz Rozdziału III EKŁE [Dostęp do widma radiowego]. </w:t>
      </w:r>
      <w:r w:rsidR="075D5ECE" w:rsidRPr="003A42FB">
        <w:rPr>
          <w:rFonts w:ascii="Times New Roman" w:eastAsiaTheme="minorEastAsia" w:hAnsi="Times New Roman" w:cs="Times New Roman"/>
          <w:sz w:val="24"/>
          <w:szCs w:val="24"/>
        </w:rPr>
        <w:t>Duża część rozwiązań powiela, z pewnymi modyfikacjami rozwiązania znane z ustawy pt, szczególnie w zakresie w jakim EKŁE przenosi regulacje z dyrektyw</w:t>
      </w:r>
      <w:r w:rsidR="0EAD5C4F" w:rsidRPr="003A42FB">
        <w:rPr>
          <w:rFonts w:ascii="Times New Roman" w:eastAsiaTheme="minorEastAsia" w:hAnsi="Times New Roman" w:cs="Times New Roman"/>
          <w:sz w:val="24"/>
          <w:szCs w:val="24"/>
        </w:rPr>
        <w:t xml:space="preserve"> łączności elektronicznej.</w:t>
      </w:r>
      <w:r w:rsidR="473E961F" w:rsidRPr="003A42FB">
        <w:rPr>
          <w:rFonts w:ascii="Times New Roman" w:eastAsiaTheme="minorEastAsia" w:hAnsi="Times New Roman" w:cs="Times New Roman"/>
          <w:sz w:val="24"/>
          <w:szCs w:val="24"/>
        </w:rPr>
        <w:t xml:space="preserve"> W Pt kwestie związane z gospodarką częstotliwościami regulowane były </w:t>
      </w:r>
      <w:r w:rsidR="22543E2F" w:rsidRPr="003A42FB">
        <w:rPr>
          <w:rFonts w:ascii="Times New Roman" w:eastAsiaTheme="minorEastAsia" w:hAnsi="Times New Roman" w:cs="Times New Roman"/>
          <w:sz w:val="24"/>
          <w:szCs w:val="24"/>
        </w:rPr>
        <w:t>w Dziale IV Gospodarowanie częstotliwościami i numeracją.</w:t>
      </w:r>
    </w:p>
    <w:p w14:paraId="222ED92F" w14:textId="62863DCB"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 przewiduje, </w:t>
      </w:r>
      <w:r w:rsidR="1C5A24C2" w:rsidRPr="003A42FB">
        <w:rPr>
          <w:rFonts w:ascii="Times New Roman" w:eastAsiaTheme="minorEastAsia" w:hAnsi="Times New Roman" w:cs="Times New Roman"/>
          <w:sz w:val="24"/>
          <w:szCs w:val="24"/>
        </w:rPr>
        <w:t>że</w:t>
      </w:r>
      <w:r w:rsidRPr="003A42FB">
        <w:rPr>
          <w:rFonts w:ascii="Times New Roman" w:eastAsiaTheme="minorEastAsia" w:hAnsi="Times New Roman" w:cs="Times New Roman"/>
          <w:sz w:val="24"/>
          <w:szCs w:val="24"/>
        </w:rPr>
        <w:t xml:space="preserve"> kwestie dotyczące gospodarowania częstotliwościami zawarte </w:t>
      </w:r>
      <w:r w:rsidR="5A8F8792" w:rsidRPr="003A42FB">
        <w:rPr>
          <w:rFonts w:ascii="Times New Roman" w:eastAsiaTheme="minorEastAsia" w:hAnsi="Times New Roman" w:cs="Times New Roman"/>
          <w:sz w:val="24"/>
          <w:szCs w:val="24"/>
        </w:rPr>
        <w:t>będą</w:t>
      </w:r>
      <w:r w:rsidR="78F8587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w osobnym dziale ustawy. W ramach tego działu </w:t>
      </w:r>
      <w:r w:rsidR="01292FDA" w:rsidRPr="003A42FB">
        <w:rPr>
          <w:rFonts w:ascii="Times New Roman" w:eastAsiaTheme="minorEastAsia" w:hAnsi="Times New Roman" w:cs="Times New Roman"/>
          <w:sz w:val="24"/>
          <w:szCs w:val="24"/>
        </w:rPr>
        <w:t>uwzględnione</w:t>
      </w:r>
      <w:r w:rsidRPr="003A42FB">
        <w:rPr>
          <w:rFonts w:ascii="Times New Roman" w:eastAsiaTheme="minorEastAsia" w:hAnsi="Times New Roman" w:cs="Times New Roman"/>
          <w:sz w:val="24"/>
          <w:szCs w:val="24"/>
        </w:rPr>
        <w:t xml:space="preserve"> będą dodatkowo regulacje dotyczące używania i obsługi urządzeń radiowych (dotyczące m.in. pozwoleń radiowych), które w Pt </w:t>
      </w:r>
      <w:r w:rsidR="073DA508" w:rsidRPr="003A42FB">
        <w:rPr>
          <w:rFonts w:ascii="Times New Roman" w:eastAsiaTheme="minorEastAsia" w:hAnsi="Times New Roman" w:cs="Times New Roman"/>
          <w:sz w:val="24"/>
          <w:szCs w:val="24"/>
        </w:rPr>
        <w:t>zamieszczone</w:t>
      </w:r>
      <w:r w:rsidRPr="003A42FB">
        <w:rPr>
          <w:rFonts w:ascii="Times New Roman" w:eastAsiaTheme="minorEastAsia" w:hAnsi="Times New Roman" w:cs="Times New Roman"/>
          <w:sz w:val="24"/>
          <w:szCs w:val="24"/>
        </w:rPr>
        <w:t xml:space="preserve"> były w Dziale VI. Infrastruktura, urządzenia telekomunikacyjne i urządzenia radiowe. Nowa systematyka zapewni większą przejrzystość przepisów i spójność bloków tematycznych. Poszczególne zagadnienia zawarte w projektowanym dziale zostały podzielone na mniejsze jednostki redakcyjne. Przepisy dotyczące procesu rozdysponowania częstotliwości radiowych zostały usystematyzowane pod względem poszczególnych etapów przydzielania i wykorzystywania częstotliwości, co również ma na celu zapewnienie większej czytelności i jasności przepisów.</w:t>
      </w:r>
    </w:p>
    <w:p w14:paraId="3D254806" w14:textId="613B85E3"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3DD106F" w:rsidRPr="003A42FB">
        <w:rPr>
          <w:rFonts w:ascii="Times New Roman" w:eastAsiaTheme="minorEastAsia" w:hAnsi="Times New Roman" w:cs="Times New Roman"/>
          <w:b/>
          <w:bCs/>
          <w:sz w:val="24"/>
          <w:szCs w:val="24"/>
        </w:rPr>
        <w:t>6</w:t>
      </w:r>
      <w:r w:rsidR="006239CB">
        <w:rPr>
          <w:rFonts w:ascii="Times New Roman" w:eastAsiaTheme="minorEastAsia" w:hAnsi="Times New Roman" w:cs="Times New Roman"/>
          <w:b/>
          <w:bCs/>
          <w:sz w:val="24"/>
          <w:szCs w:val="24"/>
        </w:rPr>
        <w:t>1</w:t>
      </w:r>
      <w:r w:rsidRPr="003A42FB">
        <w:rPr>
          <w:rFonts w:ascii="Times New Roman" w:eastAsiaTheme="minorEastAsia" w:hAnsi="Times New Roman" w:cs="Times New Roman"/>
          <w:b/>
          <w:bCs/>
          <w:sz w:val="24"/>
          <w:szCs w:val="24"/>
        </w:rPr>
        <w:t xml:space="preserve"> </w:t>
      </w:r>
    </w:p>
    <w:p w14:paraId="671C6FB5" w14:textId="76DF73E6" w:rsidR="00D03005" w:rsidRPr="003A42FB" w:rsidRDefault="00D03005" w:rsidP="4A607982">
      <w:pPr>
        <w:suppressAutoHyphens/>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 potrzeby rozdziału I w dziale II w art. </w:t>
      </w:r>
      <w:r w:rsidR="58C35098" w:rsidRPr="003A42FB">
        <w:rPr>
          <w:rFonts w:ascii="Times New Roman" w:eastAsiaTheme="minorEastAsia" w:hAnsi="Times New Roman" w:cs="Times New Roman"/>
          <w:sz w:val="24"/>
          <w:szCs w:val="24"/>
        </w:rPr>
        <w:t>6</w:t>
      </w:r>
      <w:r w:rsidR="006239CB">
        <w:rPr>
          <w:rFonts w:ascii="Times New Roman" w:eastAsiaTheme="minorEastAsia" w:hAnsi="Times New Roman" w:cs="Times New Roman"/>
          <w:sz w:val="24"/>
          <w:szCs w:val="24"/>
        </w:rPr>
        <w:t>1</w:t>
      </w:r>
      <w:r w:rsidR="7D4EC48F" w:rsidRPr="003A42FB">
        <w:rPr>
          <w:rFonts w:ascii="Times New Roman" w:eastAsiaTheme="minorEastAsia" w:hAnsi="Times New Roman" w:cs="Times New Roman"/>
          <w:sz w:val="24"/>
          <w:szCs w:val="24"/>
        </w:rPr>
        <w:t>, tak jak to miało miejsce w Pt</w:t>
      </w:r>
      <w:r w:rsidR="4F2F0B88" w:rsidRPr="003A42FB">
        <w:rPr>
          <w:rFonts w:ascii="Times New Roman" w:eastAsiaTheme="minorEastAsia" w:hAnsi="Times New Roman" w:cs="Times New Roman"/>
          <w:sz w:val="24"/>
          <w:szCs w:val="24"/>
        </w:rPr>
        <w:t xml:space="preserve"> w art. 110a</w:t>
      </w:r>
      <w:r w:rsidR="7D4EC48F"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utworzone zostało generalne odesłanie do przepisów ustawy z dnia 16 lutego 2007 r. o ochronie konkurencji i konsumentów (Dz. U.</w:t>
      </w:r>
      <w:r w:rsidR="00FA15E4">
        <w:rPr>
          <w:rFonts w:ascii="Times New Roman" w:eastAsiaTheme="minorEastAsia" w:hAnsi="Times New Roman" w:cs="Times New Roman"/>
          <w:sz w:val="24"/>
          <w:szCs w:val="24"/>
        </w:rPr>
        <w:t xml:space="preserve"> z</w:t>
      </w:r>
      <w:r w:rsidR="00BE52F8" w:rsidRPr="003A42FB">
        <w:rPr>
          <w:rFonts w:ascii="Times New Roman" w:eastAsiaTheme="minorEastAsia" w:hAnsi="Times New Roman" w:cs="Times New Roman"/>
          <w:sz w:val="24"/>
          <w:szCs w:val="24"/>
        </w:rPr>
        <w:t xml:space="preserve"> 2020 r. poz. 1076 i 1086) zwaną</w:t>
      </w:r>
      <w:r w:rsidRPr="003A42FB">
        <w:rPr>
          <w:rFonts w:ascii="Times New Roman" w:eastAsiaTheme="minorEastAsia" w:hAnsi="Times New Roman" w:cs="Times New Roman"/>
          <w:sz w:val="24"/>
          <w:szCs w:val="24"/>
        </w:rPr>
        <w:t xml:space="preserve"> dalej „UOKiK”</w:t>
      </w:r>
      <w:r w:rsidR="00BE52F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dotyczące grupy kapitałowej. </w:t>
      </w:r>
    </w:p>
    <w:p w14:paraId="5BCDCA3F" w14:textId="77777777" w:rsidR="00D03005" w:rsidRPr="003A42FB" w:rsidRDefault="00D03005"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Podobnie jak w przepisach UOKiK dotyczących kontroli koncentracji definicja przedsiębiorcy obejmie również niektóre inne podmioty (np. osoby prawne, jednostki organizacyjne niemające osobowości prawnej, związki przedsiębiorców), a w szczególności osoby fizyczne (np. wykonujące zawód we własnym imieniu i na własny rachunek lub posiadające kontrolę nad co najmniej jednym przedsiębiorcą).</w:t>
      </w:r>
    </w:p>
    <w:p w14:paraId="761A7DDF" w14:textId="77777777" w:rsidR="00D03005" w:rsidRPr="003A42FB" w:rsidRDefault="00D03005" w:rsidP="00C53EAB">
      <w:pPr>
        <w:widowControl w:val="0"/>
        <w:tabs>
          <w:tab w:val="center" w:pos="4536"/>
          <w:tab w:val="right" w:pos="9072"/>
        </w:tabs>
        <w:suppressAutoHyphen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Intencją projektodawcy było takie zdefiniowanie przedsiębiorcy, aby uniknąć jakichkolwiek wątpliwości interpretacyjnych odnośnie do tego, czy definicja przedsiębiorcy z UOKiK znajdzie zastosowanie. Należy bowiem wskazać, że w art. 4 pkt 1 lit. c UOKiK do definicji przedsiębiorcy zaliczono osobę fizyczną posiadającą kontrolę nad co najmniej jednym przedsiębiorcą (…), jeżeli podejmuje dalsze działania podlegające kontroli koncentracji. </w:t>
      </w:r>
    </w:p>
    <w:p w14:paraId="6F00A116" w14:textId="11791FE2" w:rsidR="00D03005" w:rsidRPr="003A42FB" w:rsidRDefault="3FF9F0D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tym zakresie należy uznać, że definicja przedsiębiorcy nie miałaby zastosowania na gruncie projektowanej ustawy, ponieważ Prezes UKE nie dokonuje kontroli koncentracji. Zdecydowano zatem o wprowadzeniu odrębnej definicji grupy kapitałowej i przedsiębiorcy w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Co więcej, definicja ta odnosić się ma wyłącznie do spraw uregulowanych w rozdziale regulującym gospodarkę częstotliwościami.</w:t>
      </w:r>
    </w:p>
    <w:p w14:paraId="1B5F1E23" w14:textId="756E2B1F"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69F5412B" w:rsidRPr="003A42FB">
        <w:rPr>
          <w:rFonts w:ascii="Times New Roman" w:eastAsiaTheme="minorEastAsia" w:hAnsi="Times New Roman" w:cs="Times New Roman"/>
          <w:b/>
          <w:bCs/>
          <w:sz w:val="24"/>
          <w:szCs w:val="24"/>
        </w:rPr>
        <w:t>6</w:t>
      </w:r>
      <w:r w:rsidR="006239CB">
        <w:rPr>
          <w:rFonts w:ascii="Times New Roman" w:eastAsiaTheme="minorEastAsia" w:hAnsi="Times New Roman" w:cs="Times New Roman"/>
          <w:b/>
          <w:bCs/>
          <w:sz w:val="24"/>
          <w:szCs w:val="24"/>
        </w:rPr>
        <w:t>2</w:t>
      </w:r>
      <w:r w:rsidRPr="003A42FB">
        <w:rPr>
          <w:rFonts w:ascii="Times New Roman" w:eastAsiaTheme="minorEastAsia" w:hAnsi="Times New Roman" w:cs="Times New Roman"/>
          <w:b/>
          <w:bCs/>
          <w:sz w:val="24"/>
          <w:szCs w:val="24"/>
        </w:rPr>
        <w:t xml:space="preserve"> </w:t>
      </w:r>
      <w:r w:rsidR="00D03005" w:rsidRPr="003A42FB">
        <w:rPr>
          <w:rFonts w:ascii="Times New Roman" w:eastAsiaTheme="minorEastAsia" w:hAnsi="Times New Roman" w:cs="Times New Roman"/>
          <w:b/>
          <w:bCs/>
          <w:sz w:val="24"/>
          <w:szCs w:val="24"/>
        </w:rPr>
        <w:t xml:space="preserve"> </w:t>
      </w:r>
    </w:p>
    <w:p w14:paraId="2036DC04" w14:textId="5AC607A9"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zasadniczo nie odbiega od dotychczasowej regulacji dającej podstawę do określenia w rozporządzeniu Rady Ministrów Krajowej Tablicy Przeznaczeń Częstotliwości</w:t>
      </w:r>
      <w:r w:rsidR="1A478390" w:rsidRPr="003A42FB">
        <w:rPr>
          <w:rFonts w:ascii="Times New Roman" w:eastAsiaTheme="minorEastAsia" w:hAnsi="Times New Roman" w:cs="Times New Roman"/>
          <w:sz w:val="24"/>
          <w:szCs w:val="24"/>
        </w:rPr>
        <w:t>, zwaną</w:t>
      </w:r>
      <w:r w:rsidR="0081787B" w:rsidRPr="003A42FB">
        <w:rPr>
          <w:rFonts w:ascii="Times New Roman" w:eastAsiaTheme="minorEastAsia" w:hAnsi="Times New Roman" w:cs="Times New Roman"/>
          <w:sz w:val="24"/>
          <w:szCs w:val="24"/>
        </w:rPr>
        <w:t xml:space="preserve"> </w:t>
      </w:r>
      <w:r w:rsidR="01B16FFA" w:rsidRPr="003A42FB">
        <w:rPr>
          <w:rFonts w:ascii="Times New Roman" w:eastAsiaTheme="minorEastAsia" w:hAnsi="Times New Roman" w:cs="Times New Roman"/>
          <w:sz w:val="24"/>
          <w:szCs w:val="24"/>
        </w:rPr>
        <w:t xml:space="preserve">dalej </w:t>
      </w:r>
      <w:r w:rsidR="1A478390"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KTPCz</w:t>
      </w:r>
      <w:r w:rsidR="1A478390"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KTPCz jest to główny instrument gospodarowania częstotliwościami, który określa przeznaczenie dla poszczególnych służb radiokomunikacyjnych częstotliwości lub zakresów częstotliwości oraz ich użytkowanie. Częstotliwości mogą być przy tym użytkowane jako cywilne, rządowe oraz cywilno-rządowe. </w:t>
      </w:r>
    </w:p>
    <w:p w14:paraId="26C7D304" w14:textId="4B75B97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Obecnie obowiązujące rozporządzenie określa przeznaczenie częstotliwości poprzez wskazanie służby radiokomunikacyjnej (m.in. służba stała, ruchoma, radionawigacja, radiodyfuzja itp.). Zaznacza się przy tym to czy służba jest pierwszej czy drugiej ważności. Urządzenia radiowe wykorzystujące częstotliwości w służbie pierwszej ważności są chronione przed szkodliwymi zakłóceniami ze strony urządzeń wykorzystujących częstotliwości w służbie drugiej ważności oraz są chronione przed szkodliwymi zakłóceniami ze strony urządzeń wykorzystujących częstotliwości w tej samej służbie lub w innych służbach pierwszej ważności, którym częstotliwości zostały przydzielone w późniejszym terminie. Urządzenia radiowe wykorzystujące częstotliwości w służbie drugiej ważności nie podlegają ochronie przed szkodliwymi zakłóceniami ze strony urządzeń radiowych wykorzystujących częstotliwości w służbie pierwszej ważności, jednakże są chronione przed szkodliwymi zakłóceniami ze strony urządzeń radiowych wykorzystujących częstotliwości w tej samej służbie lub w innych służbach drugiej ważności, którym częstotliwości zostały przydzielone w późniejszym terminie. </w:t>
      </w:r>
    </w:p>
    <w:p w14:paraId="2E39A1C2" w14:textId="72BF08A2"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Przy określaniu K</w:t>
      </w:r>
      <w:r w:rsidR="1648D649" w:rsidRPr="003A42FB">
        <w:rPr>
          <w:rFonts w:ascii="Times New Roman" w:eastAsiaTheme="minorEastAsia" w:hAnsi="Times New Roman" w:cs="Times New Roman"/>
          <w:sz w:val="24"/>
          <w:szCs w:val="24"/>
        </w:rPr>
        <w:t>T</w:t>
      </w:r>
      <w:r w:rsidRPr="003A42FB">
        <w:rPr>
          <w:rFonts w:ascii="Times New Roman" w:eastAsiaTheme="minorEastAsia" w:hAnsi="Times New Roman" w:cs="Times New Roman"/>
          <w:sz w:val="24"/>
          <w:szCs w:val="24"/>
        </w:rPr>
        <w:t>PCz Rada Ministrów, tak jak i obecnie</w:t>
      </w:r>
      <w:r w:rsidR="20FBB8A7" w:rsidRPr="003A42FB">
        <w:rPr>
          <w:rFonts w:ascii="Times New Roman" w:eastAsiaTheme="minorEastAsia" w:hAnsi="Times New Roman" w:cs="Times New Roman"/>
          <w:sz w:val="24"/>
          <w:szCs w:val="24"/>
        </w:rPr>
        <w:t xml:space="preserve"> na podstawie art. 111 Pt</w:t>
      </w:r>
      <w:r w:rsidRPr="003A42FB">
        <w:rPr>
          <w:rFonts w:ascii="Times New Roman" w:eastAsiaTheme="minorEastAsia" w:hAnsi="Times New Roman" w:cs="Times New Roman"/>
          <w:sz w:val="24"/>
          <w:szCs w:val="24"/>
        </w:rPr>
        <w:t>, będzie zobowiązana wziąć pod uwagę m.in. międzynarodowe przepisy radiokomunikacyjne. Zasadnicze znaczenie mają tu postanowienia Regulaminu Radiokomunikacyjnego uchwalanego przez Międzynarodowy Związek Telekomunikacyjny (MZT) na podstawie ustaleń Światowych Konferencji Radiokomunikacyjnych (WRC). Regulamin Radiokomunikacyjny stanowi uzupełnienie Konstytucji i Konwencji MZT, które zostały ratyfikowane przez RP i ogłoszone w Dz.</w:t>
      </w:r>
      <w:r w:rsidR="00C53EAB"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 z 1998 r. Nr 35, poz. 196. Rada Ministrów powinna również brać pod uwagę unijne wieloletnie programy dotyczące polityki w zakresie widma radiowego. </w:t>
      </w:r>
    </w:p>
    <w:p w14:paraId="6516B3F4" w14:textId="3F5374A9"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Nowym elementem w delegacji do wydania rozporządzenia jest wskazanie, że należy uwzględnić zharmonizowane warunki ustanowione w drodze technicznych środków wykonawczych przyjętych zgodnie decyzją 676/2002/WE (</w:t>
      </w:r>
      <w:r w:rsidRPr="003A42FB">
        <w:rPr>
          <w:rFonts w:ascii="Times New Roman" w:eastAsiaTheme="minorEastAsia" w:hAnsi="Times New Roman" w:cs="Times New Roman"/>
          <w:sz w:val="24"/>
          <w:szCs w:val="24"/>
          <w:shd w:val="clear" w:color="auto" w:fill="FFFFFF"/>
        </w:rPr>
        <w:t>decyzja o spektrum radiowym)</w:t>
      </w:r>
      <w:r w:rsidRPr="003A42FB">
        <w:rPr>
          <w:rFonts w:ascii="Times New Roman" w:eastAsiaTheme="minorEastAsia" w:hAnsi="Times New Roman" w:cs="Times New Roman"/>
          <w:sz w:val="24"/>
          <w:szCs w:val="24"/>
        </w:rPr>
        <w:t>. W tym zakresie przepis wdraża art. 53 ust. 2 EKŁE. Art. 53 EKŁE dotyczy skoordynowanego terminu przyznawania praw. Zgodnie z ust. 2 tego przepisu w przypadku gdy ustanowiono warunki w drodze technicznych środków wykonawczych zgodnie z decyzją 676/2002/WE w celu umożliwienia wykorzystania częstotliwości radiowych do celów sieci i usług bezprzewodowej szerokopasmowej łączności, państwa członkowskie powinny umożliwić użytkowanie tych częstotliwości możliwie jak najszybciej i zasadniczo najpóźniej 30 miesięcy po przyjęciu tego środka. Z tego względu konieczne jest uwzględnienie tej kwestii również przy opracowywaniu KTPCz.</w:t>
      </w:r>
    </w:p>
    <w:p w14:paraId="0238585E"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w ust. 4 powiela również dotychczasową delegację do wydania przez ministra właściwego do spraw informatyzacji rozporządzenia określającego harmonogram rozdysponowania określonych zasobów częstotliwości użytkowanych jako cywilne w użytkowaniu cywilnym lub cywilno-rządowym. Delegacja ta została wprowadzona w celu zagwarantowania realizacji w obszarze gospodarowania widmem polityki rządu, w tym w szczególności krajowych i unijnych dokumentów strategicznych.</w:t>
      </w:r>
    </w:p>
    <w:p w14:paraId="4A0D7C1F" w14:textId="1E794C1C"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7BDBA489" w:rsidRPr="003A42FB">
        <w:rPr>
          <w:rFonts w:ascii="Times New Roman" w:eastAsiaTheme="minorEastAsia" w:hAnsi="Times New Roman" w:cs="Times New Roman"/>
          <w:b/>
          <w:bCs/>
          <w:sz w:val="24"/>
          <w:szCs w:val="24"/>
        </w:rPr>
        <w:t>6</w:t>
      </w:r>
      <w:r w:rsidR="006239CB">
        <w:rPr>
          <w:rFonts w:ascii="Times New Roman" w:eastAsiaTheme="minorEastAsia" w:hAnsi="Times New Roman" w:cs="Times New Roman"/>
          <w:b/>
          <w:bCs/>
          <w:sz w:val="24"/>
          <w:szCs w:val="24"/>
        </w:rPr>
        <w:t>3</w:t>
      </w:r>
      <w:r w:rsidRPr="003A42FB">
        <w:rPr>
          <w:rFonts w:ascii="Times New Roman" w:eastAsiaTheme="minorEastAsia" w:hAnsi="Times New Roman" w:cs="Times New Roman"/>
          <w:b/>
          <w:bCs/>
          <w:sz w:val="24"/>
          <w:szCs w:val="24"/>
        </w:rPr>
        <w:t xml:space="preserve"> </w:t>
      </w:r>
    </w:p>
    <w:p w14:paraId="3D9ED0E5" w14:textId="7392C309"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Podstawową funkcją planów zagospodarowania częstotliwości</w:t>
      </w:r>
      <w:r w:rsidR="7A01C095" w:rsidRPr="003A42FB">
        <w:rPr>
          <w:rFonts w:ascii="Times New Roman" w:eastAsiaTheme="minorEastAsia" w:hAnsi="Times New Roman" w:cs="Times New Roman"/>
          <w:sz w:val="24"/>
          <w:szCs w:val="24"/>
        </w:rPr>
        <w:t>, znanych już z ustawy Pt</w:t>
      </w:r>
      <w:r w:rsidR="216BD0C5" w:rsidRPr="003A42FB">
        <w:rPr>
          <w:rFonts w:ascii="Times New Roman" w:eastAsiaTheme="minorEastAsia" w:hAnsi="Times New Roman" w:cs="Times New Roman"/>
          <w:sz w:val="24"/>
          <w:szCs w:val="24"/>
        </w:rPr>
        <w:t xml:space="preserve"> z art. 112</w:t>
      </w:r>
      <w:r w:rsidR="7A01C095"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jest ustalenie sposobu wykorzystania widma radiowego, na poziomie bardziej szczegółowym niż wynika to z Krajowej Tablicy Przeznaczeń Częstotliwości. Plany są ustalane przez Prezesa UKE w miarę potrzeb i możliwości technicznych, przy czym odniesieniu do częstotliwości przeznaczonych do rozpowszechniania programów radiofonicznych i telewizyjnych Prezes UKE ustala plany zagospodarowania częstotliwości oraz zmiany tych planów w uzgodnieniu z Przewodniczącym KRRiT na jego wniosek lub z własnej inicjatywy.</w:t>
      </w:r>
    </w:p>
    <w:p w14:paraId="7057A325"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Ustalając lub zmieniając plan zagospodarowania częstotliwości Prezes UKE uwzględnia w szczególności między innymi: politykę państwa w zakresie gospodarowania widmem, radiofonii i telewizji oraz telekomunikacji, uzgodnione przeznaczenia częstotliwości w ramach UE, konieczność zapewnienia neutralności technicznej i usługowej oraz konieczność spełnienia szeregu wymagań w tym dotyczących obronności i bezpieczeństwa państwa, czy też kompatybilności elektromagnetycznej.</w:t>
      </w:r>
    </w:p>
    <w:p w14:paraId="1D16DC86" w14:textId="6838C06C"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Bardzo istotnym wymogiem, gwarantującym zachowanie podmiotom praw nabytych, jest przepis wprost przesądzający, że plany zagospodarowania częstotliwości oraz ich zmiany nie mogą naruszać dokonanych rezerwacji częstotliwości</w:t>
      </w:r>
      <w:r w:rsidR="00051854" w:rsidRPr="003A42FB">
        <w:rPr>
          <w:rFonts w:ascii="Times New Roman" w:eastAsiaTheme="minorEastAsia" w:hAnsi="Times New Roman" w:cs="Times New Roman"/>
          <w:sz w:val="24"/>
          <w:szCs w:val="24"/>
        </w:rPr>
        <w:t xml:space="preserve"> lub dokonanych przydziałów częstotliwości</w:t>
      </w:r>
      <w:r w:rsidRPr="003A42FB">
        <w:rPr>
          <w:rFonts w:ascii="Times New Roman" w:eastAsiaTheme="minorEastAsia" w:hAnsi="Times New Roman" w:cs="Times New Roman"/>
          <w:sz w:val="24"/>
          <w:szCs w:val="24"/>
        </w:rPr>
        <w:t>.</w:t>
      </w:r>
    </w:p>
    <w:p w14:paraId="1B6C914D" w14:textId="15AECB1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Dla zapewnienia przejrzystości Prezes UKE jest obowiązany każdorazowo publikować na stronie podmiotowej BIP UKE informację o przystąpieniu do opracowania planu zagospodarowania określonego zakresu częstotliwości lub do opracowania jego zmiany wraz z konkretnym projektem planu</w:t>
      </w:r>
      <w:r w:rsidR="67A00EAF" w:rsidRPr="003A42FB">
        <w:rPr>
          <w:rFonts w:ascii="Times New Roman" w:eastAsiaTheme="minorEastAsia" w:hAnsi="Times New Roman" w:cs="Times New Roman"/>
          <w:sz w:val="24"/>
          <w:szCs w:val="24"/>
        </w:rPr>
        <w:t xml:space="preserve"> oraz uzasadnieniem</w:t>
      </w:r>
      <w:r w:rsidR="0F175515" w:rsidRPr="003A42FB">
        <w:rPr>
          <w:rFonts w:ascii="Times New Roman" w:eastAsiaTheme="minorEastAsia" w:hAnsi="Times New Roman" w:cs="Times New Roman"/>
          <w:sz w:val="24"/>
          <w:szCs w:val="24"/>
        </w:rPr>
        <w:t>, co jest szczególnie istotne z uwagi na rolę jaką odgrywa plan zagospodarowania częstotliwości dla gospodarki częstotliwościa</w:t>
      </w:r>
      <w:r w:rsidR="137CA961" w:rsidRPr="003A42FB">
        <w:rPr>
          <w:rFonts w:ascii="Times New Roman" w:eastAsiaTheme="minorEastAsia" w:hAnsi="Times New Roman" w:cs="Times New Roman"/>
          <w:sz w:val="24"/>
          <w:szCs w:val="24"/>
        </w:rPr>
        <w:t>mi</w:t>
      </w:r>
      <w:r w:rsidRPr="003A42FB">
        <w:rPr>
          <w:rFonts w:ascii="Times New Roman" w:eastAsiaTheme="minorEastAsia" w:hAnsi="Times New Roman" w:cs="Times New Roman"/>
          <w:sz w:val="24"/>
          <w:szCs w:val="24"/>
        </w:rPr>
        <w:t>. W tej spra</w:t>
      </w:r>
      <w:r w:rsidR="00DB4AE2" w:rsidRPr="003A42FB">
        <w:rPr>
          <w:rFonts w:ascii="Times New Roman" w:eastAsiaTheme="minorEastAsia" w:hAnsi="Times New Roman" w:cs="Times New Roman"/>
          <w:sz w:val="24"/>
          <w:szCs w:val="24"/>
        </w:rPr>
        <w:t>wie przeprowadza się także postę</w:t>
      </w:r>
      <w:r w:rsidRPr="003A42FB">
        <w:rPr>
          <w:rFonts w:ascii="Times New Roman" w:eastAsiaTheme="minorEastAsia" w:hAnsi="Times New Roman" w:cs="Times New Roman"/>
          <w:sz w:val="24"/>
          <w:szCs w:val="24"/>
        </w:rPr>
        <w:t>powanie konsultacyjne. Regulacji tych nie stosuje się tylko do planu zagospodarowania częstotliwości przeznaczonych do rozpowszechniania lub rozprowadzania programów radiofonicznych w sposób analogowy. Takie rozwiązanie jest podyktowane względami praktycznymi – zmiany takich planów wprowadzane są nawet raz na tydzień i mają charakter wyłącznie techniczny.</w:t>
      </w:r>
    </w:p>
    <w:p w14:paraId="6340DBC7" w14:textId="7EAD15A3" w:rsidR="7321C0BE" w:rsidRPr="003A42FB" w:rsidRDefault="7321C0B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7 nałożono na Prezesa UKE obowiązek udzielania </w:t>
      </w:r>
      <w:r w:rsidR="71A48BCC" w:rsidRPr="003A42FB">
        <w:rPr>
          <w:rFonts w:ascii="Times New Roman" w:eastAsiaTheme="minorEastAsia" w:hAnsi="Times New Roman" w:cs="Times New Roman"/>
          <w:sz w:val="24"/>
          <w:szCs w:val="24"/>
        </w:rPr>
        <w:t xml:space="preserve">nieodpłatnie </w:t>
      </w:r>
      <w:r w:rsidRPr="003A42FB">
        <w:rPr>
          <w:rFonts w:ascii="Times New Roman" w:eastAsiaTheme="minorEastAsia" w:hAnsi="Times New Roman" w:cs="Times New Roman"/>
          <w:sz w:val="24"/>
          <w:szCs w:val="24"/>
        </w:rPr>
        <w:t xml:space="preserve">zainteresowanym podmiotom, informacji o możliwości wykorzystania częstotliwości. Chodzi przy tym o </w:t>
      </w:r>
      <w:r w:rsidR="11D4A52C" w:rsidRPr="003A42FB">
        <w:rPr>
          <w:rFonts w:ascii="Times New Roman" w:eastAsiaTheme="minorEastAsia" w:hAnsi="Times New Roman" w:cs="Times New Roman"/>
          <w:sz w:val="24"/>
          <w:szCs w:val="24"/>
        </w:rPr>
        <w:t>informacje podstawowe, będące w posiadaniu Urzędu, a nie sporządzanie przez Prezesa UKE analiz, które można na zasadach komercyjnych pozyskać na r</w:t>
      </w:r>
      <w:r w:rsidR="3AEB71EA" w:rsidRPr="003A42FB">
        <w:rPr>
          <w:rFonts w:ascii="Times New Roman" w:eastAsiaTheme="minorEastAsia" w:hAnsi="Times New Roman" w:cs="Times New Roman"/>
          <w:sz w:val="24"/>
          <w:szCs w:val="24"/>
        </w:rPr>
        <w:t>ynku.</w:t>
      </w:r>
    </w:p>
    <w:p w14:paraId="7FD801C0" w14:textId="2E698DCA"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007A152" w:rsidRPr="003A42FB">
        <w:rPr>
          <w:rFonts w:ascii="Times New Roman" w:eastAsiaTheme="minorEastAsia" w:hAnsi="Times New Roman" w:cs="Times New Roman"/>
          <w:b/>
          <w:bCs/>
          <w:sz w:val="24"/>
          <w:szCs w:val="24"/>
        </w:rPr>
        <w:t>6</w:t>
      </w:r>
      <w:r w:rsidR="009A2D2A">
        <w:rPr>
          <w:rFonts w:ascii="Times New Roman" w:eastAsiaTheme="minorEastAsia" w:hAnsi="Times New Roman" w:cs="Times New Roman"/>
          <w:b/>
          <w:bCs/>
          <w:sz w:val="24"/>
          <w:szCs w:val="24"/>
        </w:rPr>
        <w:t>4</w:t>
      </w:r>
      <w:r w:rsidRPr="003A42FB">
        <w:rPr>
          <w:rFonts w:ascii="Times New Roman" w:eastAsiaTheme="minorEastAsia" w:hAnsi="Times New Roman" w:cs="Times New Roman"/>
          <w:b/>
          <w:bCs/>
          <w:sz w:val="24"/>
          <w:szCs w:val="24"/>
        </w:rPr>
        <w:t xml:space="preserve"> </w:t>
      </w:r>
    </w:p>
    <w:p w14:paraId="163C520F" w14:textId="1FB0C53B"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stanowi nową regulację w porównaniu do dotychczas obowiązującej </w:t>
      </w:r>
      <w:r w:rsidR="47A3C267" w:rsidRPr="003A42FB">
        <w:rPr>
          <w:rFonts w:ascii="Times New Roman" w:eastAsiaTheme="minorEastAsia" w:hAnsi="Times New Roman" w:cs="Times New Roman"/>
          <w:sz w:val="24"/>
          <w:szCs w:val="24"/>
        </w:rPr>
        <w:t xml:space="preserve"> ustawy </w:t>
      </w:r>
      <w:r w:rsidR="03888E3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Przepis ma na celu wdrożenie art. 53 ust. 2 i następne EKŁE, który to przepis dotyczy skoordynowanego terminu przyznawania praw. Zgodnie z ust. 2 tego przepisu w przypadku  gdy ustanowiono warunki w drodze technicznych środków wykonawczych zgodnie z decyzją 676/2002/WE w celu umożliwienia wykorzystania częstotliwości radiowych do celów sieci i usług bezprzewodowej szerokopasmowej łączności, państwa członkowskie powinny umożliwić użytkowanie tych częstotliwości możliwie jak najszybciej i zasadniczo najpóźniej 30 miesięcy po przyjęciu tego środka. EKŁE w ust. 3 i 4 wskazuje </w:t>
      </w:r>
      <w:r w:rsidR="7EF830C2" w:rsidRPr="003A42FB">
        <w:rPr>
          <w:rFonts w:ascii="Times New Roman" w:eastAsiaTheme="minorEastAsia" w:hAnsi="Times New Roman" w:cs="Times New Roman"/>
          <w:sz w:val="24"/>
          <w:szCs w:val="24"/>
        </w:rPr>
        <w:t>dwa odrębne mechanizmy</w:t>
      </w:r>
      <w:r w:rsidRPr="003A42FB">
        <w:rPr>
          <w:rFonts w:ascii="Times New Roman" w:eastAsiaTheme="minorEastAsia" w:hAnsi="Times New Roman" w:cs="Times New Roman"/>
          <w:sz w:val="24"/>
          <w:szCs w:val="24"/>
        </w:rPr>
        <w:t>, w których państwo członkowskie może przedłużyć w/w termin, przy czym przedłużenie to, w zależności od przesłanek, może mieć charakter bezterminowy lub być ograniczone do 30 miesięcy. Są to przykładowo sytuacje gdy konieczne jest m.in. zapewnienia realizacji celu leżącego w interesie publicznym w zakresie ochrony życia i zdrowia ludzi, promowania pluralizmu mediów; wystąpienia nierozstrzygniętych kwestii związanych z transgranicznymi koordynacjami częstotliwości z państwami z UE lub spoza Unii Europejskiej, skutkujących powstaniem szkodliwych zakłóceń; wystąpienia siły wyższej czy konieczności zagwarantowania bezpieczeństwa narodowego i obrony.</w:t>
      </w:r>
      <w:r w:rsidR="6D6FEEC1" w:rsidRPr="003A42FB">
        <w:rPr>
          <w:rFonts w:ascii="Times New Roman" w:eastAsiaTheme="minorEastAsia" w:hAnsi="Times New Roman" w:cs="Times New Roman"/>
          <w:sz w:val="24"/>
          <w:szCs w:val="24"/>
        </w:rPr>
        <w:t xml:space="preserve"> Tak samo projekt przewiduje możliwość przedłużenia terminu na czas występowania określonych przesłanek oraz przedłużenie </w:t>
      </w:r>
      <w:r w:rsidR="7CA34122" w:rsidRPr="003A42FB">
        <w:rPr>
          <w:rFonts w:ascii="Times New Roman" w:eastAsiaTheme="minorEastAsia" w:hAnsi="Times New Roman" w:cs="Times New Roman"/>
          <w:sz w:val="24"/>
          <w:szCs w:val="24"/>
        </w:rPr>
        <w:t>na czas nie dłuższy niż 30 miesięcy.</w:t>
      </w:r>
    </w:p>
    <w:p w14:paraId="02459245" w14:textId="22713A07"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63387AD0" w:rsidRPr="003A42FB">
        <w:rPr>
          <w:rFonts w:ascii="Times New Roman" w:eastAsiaTheme="minorEastAsia" w:hAnsi="Times New Roman" w:cs="Times New Roman"/>
          <w:b/>
          <w:bCs/>
          <w:sz w:val="24"/>
          <w:szCs w:val="24"/>
        </w:rPr>
        <w:t>6</w:t>
      </w:r>
      <w:r w:rsidR="009A2D2A">
        <w:rPr>
          <w:rFonts w:ascii="Times New Roman" w:eastAsiaTheme="minorEastAsia" w:hAnsi="Times New Roman" w:cs="Times New Roman"/>
          <w:b/>
          <w:bCs/>
          <w:sz w:val="24"/>
          <w:szCs w:val="24"/>
        </w:rPr>
        <w:t>5</w:t>
      </w:r>
      <w:r w:rsidRPr="003A42FB">
        <w:rPr>
          <w:rFonts w:ascii="Times New Roman" w:eastAsiaTheme="minorEastAsia" w:hAnsi="Times New Roman" w:cs="Times New Roman"/>
          <w:b/>
          <w:bCs/>
          <w:sz w:val="24"/>
          <w:szCs w:val="24"/>
        </w:rPr>
        <w:t xml:space="preserve"> </w:t>
      </w:r>
    </w:p>
    <w:p w14:paraId="0853913C" w14:textId="226F5402"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stanowi wdrożenie przepisu art. 45 ust. 3 EKŁE. W przypadku braku popytu na wykorzystanie częstotliwości zharmonizowanych </w:t>
      </w:r>
      <w:r w:rsidR="002873C7" w:rsidRPr="003A42FB">
        <w:rPr>
          <w:rFonts w:ascii="Times New Roman" w:eastAsiaTheme="minorEastAsia" w:hAnsi="Times New Roman" w:cs="Times New Roman"/>
          <w:sz w:val="24"/>
          <w:szCs w:val="24"/>
        </w:rPr>
        <w:t>w sposób określony w środku wykonawczym</w:t>
      </w:r>
      <w:r w:rsidRPr="003A42FB">
        <w:rPr>
          <w:rFonts w:ascii="Times New Roman" w:eastAsiaTheme="minorEastAsia" w:hAnsi="Times New Roman" w:cs="Times New Roman"/>
          <w:sz w:val="24"/>
          <w:szCs w:val="24"/>
        </w:rPr>
        <w:t xml:space="preserve"> Prezes UKE może </w:t>
      </w:r>
      <w:r w:rsidR="78CE293E" w:rsidRPr="003A42FB">
        <w:rPr>
          <w:rFonts w:ascii="Times New Roman" w:eastAsiaTheme="minorEastAsia" w:hAnsi="Times New Roman" w:cs="Times New Roman"/>
          <w:sz w:val="24"/>
          <w:szCs w:val="24"/>
        </w:rPr>
        <w:t>dopuścić</w:t>
      </w:r>
      <w:r w:rsidRPr="003A42FB">
        <w:rPr>
          <w:rFonts w:ascii="Times New Roman" w:eastAsiaTheme="minorEastAsia" w:hAnsi="Times New Roman" w:cs="Times New Roman"/>
          <w:sz w:val="24"/>
          <w:szCs w:val="24"/>
        </w:rPr>
        <w:t xml:space="preserve"> dysponowanie tym zas</w:t>
      </w:r>
      <w:r w:rsidR="002873C7" w:rsidRPr="003A42FB">
        <w:rPr>
          <w:rFonts w:ascii="Times New Roman" w:eastAsiaTheme="minorEastAsia" w:hAnsi="Times New Roman" w:cs="Times New Roman"/>
          <w:sz w:val="24"/>
          <w:szCs w:val="24"/>
        </w:rPr>
        <w:t>obem na inne potrzeby</w:t>
      </w:r>
      <w:r w:rsidRPr="003A42FB">
        <w:rPr>
          <w:rFonts w:ascii="Times New Roman" w:eastAsiaTheme="minorEastAsia" w:hAnsi="Times New Roman" w:cs="Times New Roman"/>
          <w:sz w:val="24"/>
          <w:szCs w:val="24"/>
        </w:rPr>
        <w:t xml:space="preserve"> – czyli </w:t>
      </w:r>
      <w:r w:rsidR="57AB6A49" w:rsidRPr="003A42FB">
        <w:rPr>
          <w:rFonts w:ascii="Times New Roman" w:eastAsiaTheme="minorEastAsia" w:hAnsi="Times New Roman" w:cs="Times New Roman"/>
          <w:sz w:val="24"/>
          <w:szCs w:val="24"/>
        </w:rPr>
        <w:t xml:space="preserve">zezwolić na </w:t>
      </w:r>
      <w:r w:rsidRPr="003A42FB">
        <w:rPr>
          <w:rFonts w:ascii="Times New Roman" w:eastAsiaTheme="minorEastAsia" w:hAnsi="Times New Roman" w:cs="Times New Roman"/>
          <w:sz w:val="24"/>
          <w:szCs w:val="24"/>
        </w:rPr>
        <w:lastRenderedPageBreak/>
        <w:t xml:space="preserve">alternatywne wykorzystanie częstotliwości. Należy przy tym podkreślić, że takie wykorzystanie częstotliwości nie może utrudniać wykorzystania tego pasma </w:t>
      </w:r>
      <w:r w:rsidR="002873C7" w:rsidRPr="003A42FB">
        <w:rPr>
          <w:rFonts w:ascii="Times New Roman" w:eastAsiaTheme="minorEastAsia" w:hAnsi="Times New Roman" w:cs="Times New Roman"/>
          <w:sz w:val="24"/>
          <w:szCs w:val="24"/>
        </w:rPr>
        <w:t>w sposób zharmonizowany</w:t>
      </w:r>
      <w:r w:rsidRPr="003A42FB">
        <w:rPr>
          <w:rFonts w:ascii="Times New Roman" w:eastAsiaTheme="minorEastAsia" w:hAnsi="Times New Roman" w:cs="Times New Roman"/>
          <w:sz w:val="24"/>
          <w:szCs w:val="24"/>
        </w:rPr>
        <w:t xml:space="preserve"> w innych państwach członkowskich ani też mieć negatywnego wpływu na długoterminowe korzyści wynikające z wykorzystania </w:t>
      </w:r>
      <w:r w:rsidR="002873C7" w:rsidRPr="003A42FB">
        <w:rPr>
          <w:rFonts w:ascii="Times New Roman" w:eastAsiaTheme="minorEastAsia" w:hAnsi="Times New Roman" w:cs="Times New Roman"/>
          <w:sz w:val="24"/>
          <w:szCs w:val="24"/>
        </w:rPr>
        <w:t xml:space="preserve">w taki sposób </w:t>
      </w:r>
      <w:r w:rsidRPr="003A42FB">
        <w:rPr>
          <w:rFonts w:ascii="Times New Roman" w:eastAsiaTheme="minorEastAsia" w:hAnsi="Times New Roman" w:cs="Times New Roman"/>
          <w:sz w:val="24"/>
          <w:szCs w:val="24"/>
        </w:rPr>
        <w:t>tego pasma w Unii Europejskiej. W celu zbadania popytu Prezes UKE jes</w:t>
      </w:r>
      <w:r w:rsidR="00DB4AE2" w:rsidRPr="003A42FB">
        <w:rPr>
          <w:rFonts w:ascii="Times New Roman" w:eastAsiaTheme="minorEastAsia" w:hAnsi="Times New Roman" w:cs="Times New Roman"/>
          <w:sz w:val="24"/>
          <w:szCs w:val="24"/>
        </w:rPr>
        <w:t>t obowiązany przeprowadzić postę</w:t>
      </w:r>
      <w:r w:rsidRPr="003A42FB">
        <w:rPr>
          <w:rFonts w:ascii="Times New Roman" w:eastAsiaTheme="minorEastAsia" w:hAnsi="Times New Roman" w:cs="Times New Roman"/>
          <w:sz w:val="24"/>
          <w:szCs w:val="24"/>
        </w:rPr>
        <w:t xml:space="preserve">powanie konsultacyjne. Jako że alternatywne wykorzystanie widma przewidziane jest jako wyjątek od przeznaczenia określonego zasobu </w:t>
      </w:r>
      <w:r w:rsidR="002873C7" w:rsidRPr="003A42FB">
        <w:rPr>
          <w:rFonts w:ascii="Times New Roman" w:eastAsiaTheme="minorEastAsia" w:hAnsi="Times New Roman" w:cs="Times New Roman"/>
          <w:sz w:val="24"/>
          <w:szCs w:val="24"/>
        </w:rPr>
        <w:t>zgodnie ze środkiem wykonawczym w sposób zharmonizowany na obszarze UE</w:t>
      </w:r>
      <w:r w:rsidRPr="003A42FB">
        <w:rPr>
          <w:rFonts w:ascii="Times New Roman" w:eastAsiaTheme="minorEastAsia" w:hAnsi="Times New Roman" w:cs="Times New Roman"/>
          <w:sz w:val="24"/>
          <w:szCs w:val="24"/>
        </w:rPr>
        <w:t xml:space="preserve">, Prezes UKE jest obowiązany do dokonywania cyklicznych lub inicjowanych na wniosek przeglądów w zakresie dalszego występowania przesłanek pozwalających na takie wykorzystanie. W przypadku zmiany okoliczności rynkowych, aby umożliwić jak najszybsze wykorzystanie częstotliwości zgodnie z określonym w UE przeznaczeniem, projektodawca wprowadził zasadę dokonania w jednej decyzji rezerwacji </w:t>
      </w:r>
      <w:r w:rsidR="002873C7" w:rsidRPr="003A42FB">
        <w:rPr>
          <w:rFonts w:ascii="Times New Roman" w:eastAsiaTheme="minorEastAsia" w:hAnsi="Times New Roman" w:cs="Times New Roman"/>
          <w:sz w:val="24"/>
          <w:szCs w:val="24"/>
        </w:rPr>
        <w:t>zgodnie ze środkiem wykonawczym</w:t>
      </w:r>
      <w:r w:rsidRPr="003A42FB">
        <w:rPr>
          <w:rFonts w:ascii="Times New Roman" w:eastAsiaTheme="minorEastAsia" w:hAnsi="Times New Roman" w:cs="Times New Roman"/>
          <w:sz w:val="24"/>
          <w:szCs w:val="24"/>
        </w:rPr>
        <w:t xml:space="preserve"> i cofnięcia lub zmiany rezerwacji umożliwiającej alternatywne wykorzystanie w zakresie, w jakim znacząco utrudnia lub uniemożliwia wykorzystanie tych częstotliwości </w:t>
      </w:r>
      <w:r w:rsidR="002873C7" w:rsidRPr="003A42FB">
        <w:rPr>
          <w:rFonts w:ascii="Times New Roman" w:eastAsiaTheme="minorEastAsia" w:hAnsi="Times New Roman" w:cs="Times New Roman"/>
          <w:sz w:val="24"/>
          <w:szCs w:val="24"/>
        </w:rPr>
        <w:t>w sposób zharmonizowany</w:t>
      </w:r>
      <w:r w:rsidRPr="003A42FB">
        <w:rPr>
          <w:rFonts w:ascii="Times New Roman" w:eastAsiaTheme="minorEastAsia" w:hAnsi="Times New Roman" w:cs="Times New Roman"/>
          <w:sz w:val="24"/>
          <w:szCs w:val="24"/>
        </w:rPr>
        <w:t>.</w:t>
      </w:r>
    </w:p>
    <w:p w14:paraId="124F37A2" w14:textId="083AA2C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 wyjątkowym, warunkowym charakterze instytucji alternatywnego wykorzystania świadczy również regulacja, zgodnie z którą częstotliwości alternatywnie wykorzystywane uważa się za dostępne na po</w:t>
      </w:r>
      <w:r w:rsidR="002873C7" w:rsidRPr="003A42FB">
        <w:rPr>
          <w:rFonts w:ascii="Times New Roman" w:eastAsiaTheme="minorEastAsia" w:hAnsi="Times New Roman" w:cs="Times New Roman"/>
          <w:sz w:val="24"/>
          <w:szCs w:val="24"/>
        </w:rPr>
        <w:t>trzeby wykorzystania w sposób zharmonizowany</w:t>
      </w:r>
      <w:r w:rsidR="7FE80591" w:rsidRPr="003A42FB">
        <w:rPr>
          <w:rFonts w:ascii="Times New Roman" w:eastAsiaTheme="minorEastAsia" w:hAnsi="Times New Roman" w:cs="Times New Roman"/>
          <w:sz w:val="24"/>
          <w:szCs w:val="24"/>
        </w:rPr>
        <w:t>, czy też możliwość wydania w przypadku takiego wykorzystania rezerwacji częstotliwości na krótszy okres</w:t>
      </w:r>
      <w:r w:rsidRPr="003A42FB">
        <w:rPr>
          <w:rFonts w:ascii="Times New Roman" w:eastAsiaTheme="minorEastAsia" w:hAnsi="Times New Roman" w:cs="Times New Roman"/>
          <w:sz w:val="24"/>
          <w:szCs w:val="24"/>
        </w:rPr>
        <w:t>.</w:t>
      </w:r>
    </w:p>
    <w:p w14:paraId="59CDA964" w14:textId="6CCBE87F"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07F791F" w:rsidRPr="003A42FB">
        <w:rPr>
          <w:rFonts w:ascii="Times New Roman" w:eastAsiaTheme="minorEastAsia" w:hAnsi="Times New Roman" w:cs="Times New Roman"/>
          <w:b/>
          <w:bCs/>
          <w:sz w:val="24"/>
          <w:szCs w:val="24"/>
        </w:rPr>
        <w:t>6</w:t>
      </w:r>
      <w:r w:rsidR="009A2D2A">
        <w:rPr>
          <w:rFonts w:ascii="Times New Roman" w:eastAsiaTheme="minorEastAsia" w:hAnsi="Times New Roman" w:cs="Times New Roman"/>
          <w:b/>
          <w:bCs/>
          <w:sz w:val="24"/>
          <w:szCs w:val="24"/>
        </w:rPr>
        <w:t>6</w:t>
      </w:r>
      <w:r w:rsidRPr="003A42FB">
        <w:rPr>
          <w:rFonts w:ascii="Times New Roman" w:eastAsiaTheme="minorEastAsia" w:hAnsi="Times New Roman" w:cs="Times New Roman"/>
          <w:b/>
          <w:bCs/>
          <w:sz w:val="24"/>
          <w:szCs w:val="24"/>
        </w:rPr>
        <w:t xml:space="preserve"> </w:t>
      </w:r>
    </w:p>
    <w:p w14:paraId="07FFF035" w14:textId="5E3D3546"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Projektowana ustawa nie wprowadza nowych rozwiązań w zakresie Europejskiego Systemu Zarządzania Ruchem Kolejowym. Przepis nie wynika z EKŁE, ale powstał w związku z decyzją Komisji </w:t>
      </w:r>
      <w:hyperlink r:id="rId21">
        <w:r w:rsidRPr="003A42FB">
          <w:rPr>
            <w:rStyle w:val="Hipercze"/>
            <w:rFonts w:ascii="Times New Roman" w:eastAsiaTheme="minorEastAsia" w:hAnsi="Times New Roman" w:cs="Times New Roman"/>
            <w:color w:val="auto"/>
            <w:sz w:val="24"/>
            <w:szCs w:val="24"/>
            <w:u w:val="none"/>
          </w:rPr>
          <w:t>2006/679/WE</w:t>
        </w:r>
      </w:hyperlink>
      <w:r w:rsidRPr="003A42FB">
        <w:rPr>
          <w:rFonts w:ascii="Times New Roman" w:eastAsiaTheme="minorEastAsia" w:hAnsi="Times New Roman" w:cs="Times New Roman"/>
          <w:sz w:val="24"/>
          <w:szCs w:val="24"/>
        </w:rPr>
        <w:t xml:space="preserve"> z 28 marca 2006 r. dotyczącą technicznej specyfikacji dla interoperacyjności odnoszącą się do podsystemu sterowania ruchem kolejowym transeuropejskiego systemu kolei konwencjonalnych. Zgodnie z art. 15 ust. 1 ustawy z dnia 8 września 2000 r. o komercjalizacji, restrukturyzacji i prywatyzacji przedsiębiorstwa państwowego „Polskie Koleje Państwowe” podmiotem wyznaczonym ustawowo do realizacji zadań w zakresie GSM-R jest spółka akcyjna powołana do prowadzenia działalności w zakresie zarządzania liniami kolejowymi, działająca</w:t>
      </w:r>
      <w:r w:rsidR="00DE19F2" w:rsidRPr="003A42FB">
        <w:rPr>
          <w:rFonts w:ascii="Times New Roman" w:eastAsiaTheme="minorEastAsia" w:hAnsi="Times New Roman" w:cs="Times New Roman"/>
          <w:sz w:val="24"/>
          <w:szCs w:val="24"/>
        </w:rPr>
        <w:t xml:space="preserve"> pod firmą „</w:t>
      </w:r>
      <w:r w:rsidRPr="003A42FB">
        <w:rPr>
          <w:rFonts w:ascii="Times New Roman" w:eastAsiaTheme="minorEastAsia" w:hAnsi="Times New Roman" w:cs="Times New Roman"/>
          <w:sz w:val="24"/>
          <w:szCs w:val="24"/>
        </w:rPr>
        <w:t>PKP Polski</w:t>
      </w:r>
      <w:r w:rsidR="00DE19F2" w:rsidRPr="003A42FB">
        <w:rPr>
          <w:rFonts w:ascii="Times New Roman" w:eastAsiaTheme="minorEastAsia" w:hAnsi="Times New Roman" w:cs="Times New Roman"/>
          <w:sz w:val="24"/>
          <w:szCs w:val="24"/>
        </w:rPr>
        <w:t>e Linie Kolejowe Spółka Akcyjna”</w:t>
      </w:r>
      <w:r w:rsidRPr="003A42FB">
        <w:rPr>
          <w:rFonts w:ascii="Times New Roman" w:eastAsiaTheme="minorEastAsia" w:hAnsi="Times New Roman" w:cs="Times New Roman"/>
          <w:sz w:val="24"/>
          <w:szCs w:val="24"/>
        </w:rPr>
        <w:t xml:space="preserve">. Wydanie rezerwacji częstotliwości dla użytkownika systemu GSM-R następuje po uzgodnieniu z ministrem właściwym do spraw transportu. W związku z tym, że dysponent częstotliwości przeznaczonych dla systemu GSM-R jest wyznaczony ustawowo, to przy udzielaniu rezerwacji nie stosuje się procedury przetargowej. </w:t>
      </w:r>
      <w:r w:rsidR="466AA074" w:rsidRPr="003A42FB">
        <w:rPr>
          <w:rFonts w:ascii="Times New Roman" w:eastAsiaTheme="minorEastAsia" w:hAnsi="Times New Roman" w:cs="Times New Roman"/>
          <w:sz w:val="24"/>
          <w:szCs w:val="24"/>
        </w:rPr>
        <w:t>Przepis funkcjonował już w ustawie Pt w art. 115</w:t>
      </w:r>
      <w:r w:rsidR="466AA074" w:rsidRPr="003A42FB">
        <w:rPr>
          <w:rFonts w:ascii="Times New Roman" w:eastAsiaTheme="minorEastAsia" w:hAnsi="Times New Roman" w:cs="Times New Roman"/>
          <w:sz w:val="24"/>
          <w:szCs w:val="24"/>
          <w:vertAlign w:val="superscript"/>
        </w:rPr>
        <w:t>2</w:t>
      </w:r>
      <w:r w:rsidR="466AA074" w:rsidRPr="003A42FB">
        <w:rPr>
          <w:rFonts w:ascii="Times New Roman" w:eastAsiaTheme="minorEastAsia" w:hAnsi="Times New Roman" w:cs="Times New Roman"/>
          <w:sz w:val="24"/>
          <w:szCs w:val="24"/>
        </w:rPr>
        <w:t>.</w:t>
      </w:r>
    </w:p>
    <w:p w14:paraId="76AC24C2" w14:textId="65A334B0"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8D54740" w:rsidRPr="003A42FB">
        <w:rPr>
          <w:rFonts w:ascii="Times New Roman" w:eastAsiaTheme="minorEastAsia" w:hAnsi="Times New Roman" w:cs="Times New Roman"/>
          <w:b/>
          <w:bCs/>
          <w:sz w:val="24"/>
          <w:szCs w:val="24"/>
        </w:rPr>
        <w:t>6</w:t>
      </w:r>
      <w:r w:rsidR="009A2D2A">
        <w:rPr>
          <w:rFonts w:ascii="Times New Roman" w:eastAsiaTheme="minorEastAsia" w:hAnsi="Times New Roman" w:cs="Times New Roman"/>
          <w:b/>
          <w:bCs/>
          <w:sz w:val="24"/>
          <w:szCs w:val="24"/>
        </w:rPr>
        <w:t>7</w:t>
      </w:r>
    </w:p>
    <w:p w14:paraId="165E06F8" w14:textId="41293B26"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Projektowana regulacja ma</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na celu zapewnienie odpowiednich zasobów częstotliwości dla potrzeb związanych z zarządzaniem sieciami energetycznymi</w:t>
      </w:r>
      <w:r w:rsidR="0D7FD24D" w:rsidRPr="003A42FB">
        <w:rPr>
          <w:rFonts w:ascii="Times New Roman" w:eastAsiaTheme="minorEastAsia" w:hAnsi="Times New Roman" w:cs="Times New Roman"/>
          <w:sz w:val="24"/>
          <w:szCs w:val="24"/>
        </w:rPr>
        <w:t xml:space="preserve"> tak jak to ma miejsce już obecnie</w:t>
      </w:r>
      <w:r w:rsidRPr="003A42FB">
        <w:rPr>
          <w:rFonts w:ascii="Times New Roman" w:eastAsiaTheme="minorEastAsia" w:hAnsi="Times New Roman" w:cs="Times New Roman"/>
          <w:sz w:val="24"/>
          <w:szCs w:val="24"/>
        </w:rPr>
        <w:t xml:space="preserve">. Po raz pierwszy została wprowadzona do polskiego systemu prawnego nowelizacją ustawy - Prawo telekomunikacyjne w maju 2018 r. Przepis ust. 1 nakłada na Prezesa UKE obowiązek zapewnienia odpowiednich częstotliwości, w szczególności określając sposób ich wykorzystania do realizacji dwóch wskazanych w przepisie rodzajów wykorzystania, tj. łączności głosowej i transmisji danych. Przepis ust. 2 wyłącza możliwość stosowania procedur selekcyjnych wskazanych w </w:t>
      </w:r>
      <w:hyperlink r:id="rId22">
        <w:r w:rsidRPr="003A42FB">
          <w:rPr>
            <w:rStyle w:val="Hipercze"/>
            <w:rFonts w:ascii="Times New Roman" w:eastAsiaTheme="minorEastAsia" w:hAnsi="Times New Roman" w:cs="Times New Roman"/>
            <w:color w:val="auto"/>
            <w:sz w:val="24"/>
            <w:szCs w:val="24"/>
            <w:u w:val="none"/>
          </w:rPr>
          <w:t>art.</w:t>
        </w:r>
      </w:hyperlink>
      <w:r w:rsidRPr="003A42FB">
        <w:rPr>
          <w:rStyle w:val="Hipercze"/>
          <w:rFonts w:ascii="Times New Roman" w:eastAsiaTheme="minorEastAsia" w:hAnsi="Times New Roman" w:cs="Times New Roman"/>
          <w:color w:val="auto"/>
          <w:sz w:val="24"/>
          <w:szCs w:val="24"/>
          <w:u w:val="none"/>
        </w:rPr>
        <w:t xml:space="preserve"> </w:t>
      </w:r>
      <w:r w:rsidR="00A5279B">
        <w:rPr>
          <w:rStyle w:val="Hipercze"/>
          <w:rFonts w:ascii="Times New Roman" w:eastAsiaTheme="minorEastAsia" w:hAnsi="Times New Roman" w:cs="Times New Roman"/>
          <w:color w:val="auto"/>
          <w:sz w:val="24"/>
          <w:szCs w:val="24"/>
          <w:u w:val="none"/>
        </w:rPr>
        <w:t>104</w:t>
      </w:r>
      <w:r w:rsidR="00A5279B" w:rsidRPr="003A42FB">
        <w:rPr>
          <w:rStyle w:val="Hipercze"/>
          <w:rFonts w:ascii="Times New Roman" w:eastAsiaTheme="minorEastAsia" w:hAnsi="Times New Roman" w:cs="Times New Roman"/>
          <w:color w:val="auto"/>
          <w:sz w:val="24"/>
          <w:szCs w:val="24"/>
          <w:u w:val="none"/>
        </w:rPr>
        <w:t xml:space="preserve"> </w:t>
      </w:r>
      <w:r w:rsidRPr="003A42FB">
        <w:rPr>
          <w:rStyle w:val="Hipercze"/>
          <w:rFonts w:ascii="Times New Roman" w:eastAsiaTheme="minorEastAsia" w:hAnsi="Times New Roman" w:cs="Times New Roman"/>
          <w:color w:val="auto"/>
          <w:sz w:val="24"/>
          <w:szCs w:val="24"/>
          <w:u w:val="none"/>
        </w:rPr>
        <w:t>ust. 3</w:t>
      </w:r>
      <w:r w:rsidRPr="003A42FB">
        <w:rPr>
          <w:rFonts w:ascii="Times New Roman" w:eastAsiaTheme="minorEastAsia" w:hAnsi="Times New Roman" w:cs="Times New Roman"/>
          <w:sz w:val="24"/>
          <w:szCs w:val="24"/>
        </w:rPr>
        <w:t xml:space="preserve"> nawet w przypadku stwierdzenia ograniczoności zasobów częstotliwości dla realizacji wskazanych celów. Zgodnie z przepisem wybór podmiotu lub podmiotów, które powinny otrzymać rezerwację częstotliwości, należy do ministra właściwego do spraw energii, który może wskazać jeden lub większą liczbę podmiotów uprawnionych.</w:t>
      </w:r>
      <w:r w:rsidR="5F4FE546" w:rsidRPr="003A42FB">
        <w:rPr>
          <w:rFonts w:ascii="Times New Roman" w:eastAsiaTheme="minorEastAsia" w:hAnsi="Times New Roman" w:cs="Times New Roman"/>
          <w:sz w:val="24"/>
          <w:szCs w:val="24"/>
        </w:rPr>
        <w:t xml:space="preserve"> Potrzeba utrzymania regulacji, mimo że częstotliwości zostały już faktycznie </w:t>
      </w:r>
      <w:r w:rsidR="5F4FE546" w:rsidRPr="003A42FB">
        <w:rPr>
          <w:rFonts w:ascii="Times New Roman" w:eastAsiaTheme="minorEastAsia" w:hAnsi="Times New Roman" w:cs="Times New Roman"/>
          <w:sz w:val="24"/>
          <w:szCs w:val="24"/>
        </w:rPr>
        <w:lastRenderedPageBreak/>
        <w:t>na te potrzeby przydzielone, wynika min</w:t>
      </w:r>
      <w:r w:rsidR="2A0EB9E4" w:rsidRPr="003A42FB">
        <w:rPr>
          <w:rFonts w:ascii="Times New Roman" w:eastAsiaTheme="minorEastAsia" w:hAnsi="Times New Roman" w:cs="Times New Roman"/>
          <w:sz w:val="24"/>
          <w:szCs w:val="24"/>
        </w:rPr>
        <w:t xml:space="preserve">. </w:t>
      </w:r>
      <w:r w:rsidR="5F4FE546" w:rsidRPr="003A42FB">
        <w:rPr>
          <w:rFonts w:ascii="Times New Roman" w:eastAsiaTheme="minorEastAsia" w:hAnsi="Times New Roman" w:cs="Times New Roman"/>
          <w:sz w:val="24"/>
          <w:szCs w:val="24"/>
        </w:rPr>
        <w:t xml:space="preserve">z konieczności zagwarantowania </w:t>
      </w:r>
      <w:r w:rsidR="17FFF96E" w:rsidRPr="003A42FB">
        <w:rPr>
          <w:rFonts w:ascii="Times New Roman" w:eastAsiaTheme="minorEastAsia" w:hAnsi="Times New Roman" w:cs="Times New Roman"/>
          <w:sz w:val="24"/>
          <w:szCs w:val="24"/>
        </w:rPr>
        <w:t>możliwości odnowienia tej rezerwacji.</w:t>
      </w:r>
    </w:p>
    <w:p w14:paraId="17F6A11B" w14:textId="65CEFA44"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5D0F4B">
        <w:rPr>
          <w:rFonts w:ascii="Times New Roman" w:eastAsiaTheme="minorEastAsia" w:hAnsi="Times New Roman" w:cs="Times New Roman"/>
          <w:b/>
          <w:bCs/>
          <w:sz w:val="24"/>
          <w:szCs w:val="24"/>
        </w:rPr>
        <w:t xml:space="preserve">Art. </w:t>
      </w:r>
      <w:r w:rsidR="005D0F4B">
        <w:rPr>
          <w:rFonts w:ascii="Times New Roman" w:eastAsiaTheme="minorEastAsia" w:hAnsi="Times New Roman" w:cs="Times New Roman"/>
          <w:b/>
          <w:bCs/>
          <w:sz w:val="24"/>
          <w:szCs w:val="24"/>
        </w:rPr>
        <w:t>68</w:t>
      </w:r>
    </w:p>
    <w:p w14:paraId="1775F6F1"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drodze rezerwacji częstotliwości przyznawane jest indywidualne prawo do dysponowania częstotliwościami lub zasobami orbitalnymi. Rezerwacja częstotliwości może obejmować zatem rezerwację częstotliwości w ścisłym znaczeniu, a także rezerwację zasobów orbitalnych.</w:t>
      </w:r>
    </w:p>
    <w:p w14:paraId="69F7CFC9"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Prawo do dysponowania częstotliwościami oznacza, że podmiot posiadający rezerwację może po uzyskaniu pozwolenia radiowego lub jeśli ma określone warunki wykorzystania częstotliwości, wykorzystywać przydzielone częstotliwości lub przenieść swoje uprawnienia na inny podmiot.</w:t>
      </w:r>
    </w:p>
    <w:p w14:paraId="39262753"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Rezerwacja częstotliwości dokonywana, zmieniana lub cofana jest w drodze decyzji przez Prezesa UKE. Rezerwacji częstotliwości na cele rozprowadzania lub rozpowszechniania programów radiofonicznych lub telewizyjnych, ze względu na jej specyfikę, Prezes UKE dokonuje, zmienia lub cofa w porozumieniu z Przewodniczącym KRRiT. Jednocześnie przepis wprowadza regulację, zgodnie z którą jeżeli Przewodniczący KRRiT nie zajmie stanowiska w terminie 30 dni oznacza to uzgodnienie projektu decyzji rezerwacyjnej. </w:t>
      </w:r>
    </w:p>
    <w:p w14:paraId="6D84C93B"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Porozumienie z Przewodniczącym KRRiT nie jest wymagane w przypadku dokonania, zmiany lub cofnięcia rezerwacji częstotliwości na cele rozpowszechniania programów radiofonicznych w sposób analogowy, na które Przewodniczący KRRiT odpowiednio udzielił, zmienił lub cofnął koncesję – w takich przypadkach rezerwacja ma charakter niejako wtórny do koncesji.</w:t>
      </w:r>
    </w:p>
    <w:p w14:paraId="06D99676" w14:textId="77777777" w:rsidR="00BA1A16" w:rsidRPr="003A42FB" w:rsidRDefault="37272D34"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Regulacje w zbliżonym kształcie funkcjonowały już na gruncie ustawy Pt</w:t>
      </w:r>
      <w:r w:rsidR="61A8AE49" w:rsidRPr="003A42FB">
        <w:rPr>
          <w:rFonts w:ascii="Times New Roman" w:hAnsi="Times New Roman" w:cs="Times New Roman"/>
          <w:sz w:val="24"/>
          <w:szCs w:val="24"/>
        </w:rPr>
        <w:t xml:space="preserve"> (art. 114)</w:t>
      </w:r>
      <w:r w:rsidRPr="003A42FB">
        <w:rPr>
          <w:rFonts w:ascii="Times New Roman" w:hAnsi="Times New Roman" w:cs="Times New Roman"/>
          <w:sz w:val="24"/>
          <w:szCs w:val="24"/>
        </w:rPr>
        <w:t>.</w:t>
      </w:r>
    </w:p>
    <w:p w14:paraId="1CA17DE5" w14:textId="5063FE42"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5D0F4B">
        <w:rPr>
          <w:rFonts w:ascii="Times New Roman" w:eastAsiaTheme="minorEastAsia" w:hAnsi="Times New Roman" w:cs="Times New Roman"/>
          <w:b/>
          <w:bCs/>
          <w:sz w:val="24"/>
          <w:szCs w:val="24"/>
        </w:rPr>
        <w:t>69</w:t>
      </w:r>
    </w:p>
    <w:p w14:paraId="5C0CB853" w14:textId="6FB95128"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wymogi które musi spełnić podmiot</w:t>
      </w:r>
      <w:r w:rsidR="70AD1F06"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aby móc otrzymać rezerwację częstotliwości.</w:t>
      </w:r>
    </w:p>
    <w:p w14:paraId="60335B76"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 pierwsze częstotliwości muszą być dostępne – pojęcie to oznacza, że częstotliwości nie mogą być wykorzystywane lub oddane do dyspozycji innemu podmiotowi. Od tej zasady ustawa przewiduje dwa wyjątki. Pierwszy wynika z przyznanej Prezesowi UKE możliwości ogłaszania postępowania selekcyjnego w sytuacji, gdy dany zasób jest w danym momencie zajęty i data jego dostępności będzie znana najpóźniej w dniu ogłoszenia postępowania, co pozwala zapewnić efektywne i ciągłe wykorzystywanie częstotliwości. Drugim jest sytuacja kiedy dany zasób częstotliwości zharmonizowanych jest wykorzystywany w sposób alternatywny, to znaczy na potrzeby innych systemów niż systemy szerokopasmowe. Takie wykorzystanie widma może nastąpić tylko wyjątkowo, zgodnie z przesłankami i procedura określoną w ustawie, zatem częstotliwości alternatywnie wykorzystywane uważa się za dostępne na potrzeby systemów szerokopasmowych.</w:t>
      </w:r>
    </w:p>
    <w:p w14:paraId="1C10F94A"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Kolejnym z warunków jest przeznaczenie w Krajowej Tablicy Przeznaczeń Częstotliwości dla wnioskowanej służby radiokomunikacyjnej </w:t>
      </w:r>
      <w:r w:rsidR="002873C7" w:rsidRPr="003A42FB">
        <w:rPr>
          <w:rFonts w:ascii="Times New Roman" w:eastAsiaTheme="minorEastAsia" w:hAnsi="Times New Roman" w:cs="Times New Roman"/>
          <w:sz w:val="24"/>
          <w:szCs w:val="24"/>
        </w:rPr>
        <w:t xml:space="preserve">i użytkowania </w:t>
      </w:r>
      <w:r w:rsidRPr="003A42FB">
        <w:rPr>
          <w:rFonts w:ascii="Times New Roman" w:eastAsiaTheme="minorEastAsia" w:hAnsi="Times New Roman" w:cs="Times New Roman"/>
          <w:sz w:val="24"/>
          <w:szCs w:val="24"/>
        </w:rPr>
        <w:t>oraz zgodność z planem zagospodarowania częstotliwości – czyli aktami planistycznymi w zakresie gospodarki częstotliwościami.</w:t>
      </w:r>
    </w:p>
    <w:p w14:paraId="08CC195F"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Częstotliwości muszą być chronione przed szkodliwymi zakłóceniami. Szkodliwe zakłócenia to zakłócenia, które zagrażają funkcjonowaniu służby radionawigacyjnej lub innej służby radiokomunikacyjnej związanej z bezpieczeństwem lub w sposób poważny pogarszają, utrudniają lub wielokrotnie przerywają wykonywanie służby radiokomunikacyjnej działającej zgodnie z przepisami prawa.</w:t>
      </w:r>
    </w:p>
    <w:p w14:paraId="11D71C59"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Kolejnym z wymogów jest niepowodowania szkodliwych zakłóceń na terenie kraju i poza granicami Rzeczpospolitej Polskiej. Regulacja stanowi przy tym implementację art. 28 ust. 1 EKŁE nakładające na państwa członkowskie i na właściwe organy obowiązek zapewnienia takich zasad gospodarowania widmem i korzystania z niego, które nie uniemożliwiają innym państwom członkowskim wykorzystywania częstotliwości zharmonizowanych zgodnie z prawem UE.</w:t>
      </w:r>
    </w:p>
    <w:p w14:paraId="46E0ACAE"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Istotne jest także aby przydział częstotliwości zapewnił efektywne ich wykorzystywanie.</w:t>
      </w:r>
    </w:p>
    <w:p w14:paraId="757CC0D9" w14:textId="7DEE43D8" w:rsidR="2E1A1F7F" w:rsidRPr="003A42FB" w:rsidRDefault="2E1A1F7F" w:rsidP="00C53EAB">
      <w:pPr>
        <w:pStyle w:val="h1chapter"/>
        <w:spacing w:before="0" w:after="120" w:line="240" w:lineRule="auto"/>
        <w:jc w:val="both"/>
        <w:rPr>
          <w:rFonts w:ascii="Times New Roman" w:hAnsi="Times New Roman" w:cs="Times New Roman"/>
          <w:color w:val="auto"/>
          <w:sz w:val="24"/>
          <w:szCs w:val="24"/>
        </w:rPr>
      </w:pPr>
      <w:r w:rsidRPr="003A42FB">
        <w:rPr>
          <w:rFonts w:ascii="Times New Roman" w:hAnsi="Times New Roman" w:cs="Times New Roman"/>
          <w:b w:val="0"/>
          <w:bCs w:val="0"/>
          <w:color w:val="auto"/>
          <w:sz w:val="24"/>
          <w:szCs w:val="24"/>
        </w:rPr>
        <w:t>Regulacje w zbliżonym kształcie funkcjonowały już na gruncie ustawy Pt</w:t>
      </w:r>
      <w:r w:rsidR="7ADC9D19" w:rsidRPr="003A42FB">
        <w:rPr>
          <w:rFonts w:ascii="Times New Roman" w:hAnsi="Times New Roman" w:cs="Times New Roman"/>
          <w:b w:val="0"/>
          <w:bCs w:val="0"/>
          <w:color w:val="auto"/>
          <w:sz w:val="24"/>
          <w:szCs w:val="24"/>
        </w:rPr>
        <w:t xml:space="preserve"> (art. 114 Pt)</w:t>
      </w:r>
      <w:r w:rsidRPr="003A42FB">
        <w:rPr>
          <w:rFonts w:ascii="Times New Roman" w:hAnsi="Times New Roman" w:cs="Times New Roman"/>
          <w:b w:val="0"/>
          <w:bCs w:val="0"/>
          <w:color w:val="auto"/>
          <w:sz w:val="24"/>
          <w:szCs w:val="24"/>
        </w:rPr>
        <w:t>.</w:t>
      </w:r>
    </w:p>
    <w:p w14:paraId="276922C7" w14:textId="488A77CF" w:rsidR="532DDE3C" w:rsidRPr="003A42FB" w:rsidRDefault="532DDE3C"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5D0F4B">
        <w:rPr>
          <w:rFonts w:ascii="Times New Roman" w:eastAsiaTheme="minorEastAsia" w:hAnsi="Times New Roman" w:cs="Times New Roman"/>
          <w:b/>
          <w:bCs/>
          <w:sz w:val="24"/>
          <w:szCs w:val="24"/>
        </w:rPr>
        <w:t>70</w:t>
      </w:r>
      <w:r w:rsidR="1C6ED975"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i </w:t>
      </w:r>
      <w:r w:rsidR="1425AB99" w:rsidRPr="003A42FB">
        <w:rPr>
          <w:rFonts w:ascii="Times New Roman" w:eastAsiaTheme="minorEastAsia" w:hAnsi="Times New Roman" w:cs="Times New Roman"/>
          <w:b/>
          <w:bCs/>
          <w:sz w:val="24"/>
          <w:szCs w:val="24"/>
        </w:rPr>
        <w:t>7</w:t>
      </w:r>
      <w:r w:rsidR="005D0F4B">
        <w:rPr>
          <w:rFonts w:ascii="Times New Roman" w:eastAsiaTheme="minorEastAsia" w:hAnsi="Times New Roman" w:cs="Times New Roman"/>
          <w:b/>
          <w:bCs/>
          <w:sz w:val="24"/>
          <w:szCs w:val="24"/>
        </w:rPr>
        <w:t>1</w:t>
      </w:r>
    </w:p>
    <w:p w14:paraId="4246B53A" w14:textId="24AA3362" w:rsidR="35C58542" w:rsidRDefault="532DDE3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w:t>
      </w:r>
      <w:r w:rsidR="001A7CDF" w:rsidRPr="003A42FB">
        <w:rPr>
          <w:rFonts w:ascii="Times New Roman" w:eastAsiaTheme="minorEastAsia" w:hAnsi="Times New Roman" w:cs="Times New Roman"/>
          <w:sz w:val="24"/>
          <w:szCs w:val="24"/>
        </w:rPr>
        <w:t xml:space="preserve"> w użytkowaniu rządow</w:t>
      </w:r>
      <w:r w:rsidR="005D4908" w:rsidRPr="003A42FB">
        <w:rPr>
          <w:rFonts w:ascii="Times New Roman" w:eastAsiaTheme="minorEastAsia" w:hAnsi="Times New Roman" w:cs="Times New Roman"/>
          <w:sz w:val="24"/>
          <w:szCs w:val="24"/>
        </w:rPr>
        <w:t>ym, w tym dokonywania przydziałów</w:t>
      </w:r>
      <w:r w:rsidR="001A7CDF" w:rsidRPr="003A42FB">
        <w:rPr>
          <w:rFonts w:ascii="Times New Roman" w:eastAsiaTheme="minorEastAsia" w:hAnsi="Times New Roman" w:cs="Times New Roman"/>
          <w:sz w:val="24"/>
          <w:szCs w:val="24"/>
        </w:rPr>
        <w:t xml:space="preserve"> częstotliwości,</w:t>
      </w:r>
      <w:r w:rsidRPr="003A42FB">
        <w:rPr>
          <w:rFonts w:ascii="Times New Roman" w:eastAsiaTheme="minorEastAsia" w:hAnsi="Times New Roman" w:cs="Times New Roman"/>
          <w:sz w:val="24"/>
          <w:szCs w:val="24"/>
        </w:rPr>
        <w:t xml:space="preserve"> dokonuje Minister Obrony Narodowej.  Ze względu na posiadane odpowiednie doświadczenie oraz kompetencje proponuje się aby organem </w:t>
      </w:r>
      <w:r w:rsidR="001A7CDF" w:rsidRPr="003A42FB">
        <w:rPr>
          <w:rFonts w:ascii="Times New Roman" w:eastAsiaTheme="minorEastAsia" w:hAnsi="Times New Roman" w:cs="Times New Roman"/>
          <w:sz w:val="24"/>
          <w:szCs w:val="24"/>
        </w:rPr>
        <w:t xml:space="preserve">koordynującym </w:t>
      </w:r>
      <w:r w:rsidRPr="003A42FB">
        <w:rPr>
          <w:rFonts w:ascii="Times New Roman" w:eastAsiaTheme="minorEastAsia" w:hAnsi="Times New Roman" w:cs="Times New Roman"/>
          <w:sz w:val="24"/>
          <w:szCs w:val="24"/>
        </w:rPr>
        <w:t>był właśnie Minister Obrony Narodowej, w którego strukturach funkcjonuje Wojskowe Biuro Zarządzania Cz</w:t>
      </w:r>
      <w:r w:rsidR="00DE19F2" w:rsidRPr="003A42FB">
        <w:rPr>
          <w:rFonts w:ascii="Times New Roman" w:eastAsiaTheme="minorEastAsia" w:hAnsi="Times New Roman" w:cs="Times New Roman"/>
          <w:sz w:val="24"/>
          <w:szCs w:val="24"/>
        </w:rPr>
        <w:t>ęstotliwościami.</w:t>
      </w:r>
    </w:p>
    <w:p w14:paraId="1CE63F83" w14:textId="150B9DA3" w:rsidR="006E198F" w:rsidRPr="005F69BF" w:rsidRDefault="005D0F4B" w:rsidP="00C53EAB">
      <w:pPr>
        <w:spacing w:after="120" w:line="240" w:lineRule="auto"/>
        <w:jc w:val="both"/>
        <w:rPr>
          <w:rFonts w:ascii="Times New Roman" w:eastAsiaTheme="minorEastAsia" w:hAnsi="Times New Roman" w:cs="Times New Roman"/>
          <w:b/>
          <w:sz w:val="24"/>
          <w:szCs w:val="24"/>
        </w:rPr>
      </w:pPr>
      <w:r w:rsidRPr="005D0F4B">
        <w:rPr>
          <w:rFonts w:ascii="Times New Roman" w:eastAsiaTheme="minorEastAsia" w:hAnsi="Times New Roman" w:cs="Times New Roman"/>
          <w:b/>
          <w:sz w:val="24"/>
          <w:szCs w:val="24"/>
        </w:rPr>
        <w:t>Art. 7</w:t>
      </w:r>
      <w:r>
        <w:rPr>
          <w:rFonts w:ascii="Times New Roman" w:eastAsiaTheme="minorEastAsia" w:hAnsi="Times New Roman" w:cs="Times New Roman"/>
          <w:b/>
          <w:sz w:val="24"/>
          <w:szCs w:val="24"/>
        </w:rPr>
        <w:t>2</w:t>
      </w:r>
      <w:r w:rsidR="006E198F" w:rsidRPr="005F69BF">
        <w:rPr>
          <w:rFonts w:ascii="Times New Roman" w:eastAsiaTheme="minorEastAsia" w:hAnsi="Times New Roman" w:cs="Times New Roman"/>
          <w:b/>
          <w:sz w:val="24"/>
          <w:szCs w:val="24"/>
        </w:rPr>
        <w:t>-7</w:t>
      </w:r>
      <w:r>
        <w:rPr>
          <w:rFonts w:ascii="Times New Roman" w:eastAsiaTheme="minorEastAsia" w:hAnsi="Times New Roman" w:cs="Times New Roman"/>
          <w:b/>
          <w:sz w:val="24"/>
          <w:szCs w:val="24"/>
        </w:rPr>
        <w:t>9</w:t>
      </w:r>
    </w:p>
    <w:p w14:paraId="339D8E21" w14:textId="111471AA" w:rsidR="006E198F" w:rsidRDefault="006E198F"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Przepisy regulują kwestie przydziałów częstotliwości dokonywanych przez MON dla użytkowników rządowych w ramach użytkowania rządowego.</w:t>
      </w:r>
    </w:p>
    <w:p w14:paraId="1C26A1A8" w14:textId="77777777" w:rsidR="006E198F" w:rsidRPr="003A42FB" w:rsidRDefault="006E198F" w:rsidP="00C53EAB">
      <w:pPr>
        <w:spacing w:after="120" w:line="240" w:lineRule="auto"/>
        <w:jc w:val="both"/>
        <w:rPr>
          <w:rFonts w:ascii="Times New Roman" w:eastAsiaTheme="minorEastAsia" w:hAnsi="Times New Roman" w:cs="Times New Roman"/>
          <w:sz w:val="24"/>
          <w:szCs w:val="24"/>
        </w:rPr>
      </w:pPr>
    </w:p>
    <w:p w14:paraId="0C157AE2" w14:textId="03231D90" w:rsidR="00D03005" w:rsidRPr="003A42FB" w:rsidRDefault="000F496D" w:rsidP="00C53EAB">
      <w:pPr>
        <w:pStyle w:val="divpoint"/>
        <w:spacing w:after="120" w:line="240" w:lineRule="auto"/>
        <w:jc w:val="both"/>
        <w:rPr>
          <w:rFonts w:ascii="Times New Roman" w:hAnsi="Times New Roman" w:cs="Times New Roman"/>
          <w:b/>
          <w:bCs/>
          <w:color w:val="auto"/>
          <w:sz w:val="24"/>
          <w:szCs w:val="24"/>
          <w:lang w:eastAsia="en-US"/>
        </w:rPr>
      </w:pPr>
      <w:r w:rsidRPr="003A42FB">
        <w:rPr>
          <w:rFonts w:ascii="Times New Roman" w:hAnsi="Times New Roman" w:cs="Times New Roman"/>
          <w:b/>
          <w:bCs/>
          <w:color w:val="auto"/>
          <w:sz w:val="24"/>
          <w:szCs w:val="24"/>
          <w:lang w:eastAsia="en-US"/>
        </w:rPr>
        <w:t xml:space="preserve">Art. </w:t>
      </w:r>
      <w:r w:rsidR="0015441D">
        <w:rPr>
          <w:rFonts w:ascii="Times New Roman" w:hAnsi="Times New Roman" w:cs="Times New Roman"/>
          <w:b/>
          <w:bCs/>
          <w:color w:val="auto"/>
          <w:sz w:val="24"/>
          <w:szCs w:val="24"/>
          <w:lang w:eastAsia="en-US"/>
        </w:rPr>
        <w:t>80</w:t>
      </w:r>
    </w:p>
    <w:p w14:paraId="7E291F37"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wdrożenie art. 49 ust. 1 i 2 EKŁE. Ustawa przewiduje odmienne regulacje odnośnie okresu rezerwacji, w zależności od tego czy rezerwacja dotyczy częstotliwości zharmonizowanych na potrzeby systemów szerokopasmowych, czy też innego zasobu.</w:t>
      </w:r>
    </w:p>
    <w:p w14:paraId="1DA69872"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częstotliwości zharmonizowanych na potrzeby systemów szerokopasmowych rezerwacji dokonuje się na czas nie krótszy niż 15 lat i nie dłuższy niż 20 lat. Należy przy tym zauważyć, że zgodnie z art. 49 ust. 2 EKŁE zapewniona jest przewidywalność regulacyjna dla posiadaczy praw w okresie co najmniej 20 lat ponieważ ustawa wprowadza nową instytucję przedłużenia praw dla częstotliwości zharmonizowanych.</w:t>
      </w:r>
    </w:p>
    <w:p w14:paraId="54640AC2"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Od powyższej reguły projektodawca przewidział, zgodnie z art. 49 ust. 3 i 4 EKŁE, wyjątki – rezerwacji można dokonać na czas krótszy w przypadku konieczności dostosowania czasu obowiązywania rezerwacji częstotliwości do innych rezerwacji częstotliwości o analogicznych właściwościach oraz w przypadku alternatywnego wykorzystania częstotliwości.</w:t>
      </w:r>
    </w:p>
    <w:p w14:paraId="5FB58C4A"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Okres rezerwacji częstotliwości innych niż częstotliwości zharmonizowane na potrzeby systemów szerokopasmowych projektodawca określił na nie dłuższy niż 15 lat.</w:t>
      </w:r>
    </w:p>
    <w:p w14:paraId="0369954B" w14:textId="1A896708"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również przesłanki, które bierze pod uwagę Prezes UKE wydając rezerwację i określając okres, na który zostanie ona wydana, zgodnie z ust. 1 art. 49 EKŁE.</w:t>
      </w:r>
      <w:r w:rsidR="6589E3B2" w:rsidRPr="003A42FB">
        <w:rPr>
          <w:rFonts w:ascii="Times New Roman" w:eastAsiaTheme="minorEastAsia" w:hAnsi="Times New Roman" w:cs="Times New Roman"/>
          <w:sz w:val="24"/>
          <w:szCs w:val="24"/>
        </w:rPr>
        <w:t xml:space="preserve"> Jedną z takich przesłanek, stanowiąca nowość w stosunku do ustawy Pt, jest czas obowiązywania innych rezerwacji częstotliwości o analogicznych właściwościach.</w:t>
      </w:r>
    </w:p>
    <w:p w14:paraId="48DAD430" w14:textId="7531DD39"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5441D">
        <w:rPr>
          <w:rFonts w:ascii="Times New Roman" w:eastAsiaTheme="minorEastAsia" w:hAnsi="Times New Roman" w:cs="Times New Roman"/>
          <w:b/>
          <w:bCs/>
          <w:sz w:val="24"/>
          <w:szCs w:val="24"/>
        </w:rPr>
        <w:t>81</w:t>
      </w:r>
    </w:p>
    <w:p w14:paraId="32C12110"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Przepis stanowi wdrożenie art. 47 ust. 1 akapit 3 EKŁE. Zapewnia stronom postępowania rezerwacyjnego możliwość zapoznania się z wszystkimi warunkami i ograniczeniami wynikającymi z projektowanej decyzji w sprawie rezerwacji częstotliwości.</w:t>
      </w:r>
    </w:p>
    <w:p w14:paraId="28CD0B79" w14:textId="1500D198" w:rsidR="00D03005" w:rsidRPr="003A42FB" w:rsidRDefault="000F496D" w:rsidP="00C53EAB">
      <w:pPr>
        <w:pStyle w:val="divpoint"/>
        <w:spacing w:after="120" w:line="240" w:lineRule="auto"/>
        <w:jc w:val="both"/>
        <w:rPr>
          <w:rFonts w:ascii="Times New Roman" w:hAnsi="Times New Roman" w:cs="Times New Roman"/>
          <w:b/>
          <w:bCs/>
          <w:color w:val="auto"/>
          <w:sz w:val="24"/>
          <w:szCs w:val="24"/>
          <w:lang w:eastAsia="en-US"/>
        </w:rPr>
      </w:pPr>
      <w:r w:rsidRPr="003A42FB">
        <w:rPr>
          <w:rFonts w:ascii="Times New Roman" w:hAnsi="Times New Roman" w:cs="Times New Roman"/>
          <w:b/>
          <w:bCs/>
          <w:color w:val="auto"/>
          <w:sz w:val="24"/>
          <w:szCs w:val="24"/>
          <w:lang w:eastAsia="en-US"/>
        </w:rPr>
        <w:t xml:space="preserve">Art. </w:t>
      </w:r>
      <w:r w:rsidR="0015441D">
        <w:rPr>
          <w:rFonts w:ascii="Times New Roman" w:hAnsi="Times New Roman" w:cs="Times New Roman"/>
          <w:b/>
          <w:bCs/>
          <w:color w:val="auto"/>
          <w:sz w:val="24"/>
          <w:szCs w:val="24"/>
          <w:lang w:eastAsia="en-US"/>
        </w:rPr>
        <w:t>82</w:t>
      </w:r>
    </w:p>
    <w:p w14:paraId="37645C8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tym przepisem Prezes UKE wydaje decyzję w sprawie rezerwacji częstotliwości w terminie 6 tygodni od dnia złożenia wniosku przez podmiot, który ubiega się o wydanie rezerwacji. Regulacja taka wynika bezpośrednio z przepisu art. 48 ust. 6 EKŁE. Wyjątkiem jest sytuacja, kiedy dokonanie rezerwacji, ze względu na zainteresowanie zasobem częstotliwości wymaga przeprowadzenia postępowania selekcyjnego (aukcji, przetargu lub konkursu) albo uzgodnień międzynarodowych. W takich przypadkach Prezes UKE wydaje decyzję w sprawie rezerwacji częstotliwości w terminie 6 tygodni od dnia ogłoszenia wyników postępowania selekcyjnego albo zakończenia uzgodnień międzynarodowych.</w:t>
      </w:r>
    </w:p>
    <w:p w14:paraId="200EA90F" w14:textId="5B755E67" w:rsidR="376833D6" w:rsidRPr="003A42FB" w:rsidRDefault="376833D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5441D">
        <w:rPr>
          <w:rFonts w:ascii="Times New Roman" w:eastAsiaTheme="minorEastAsia" w:hAnsi="Times New Roman" w:cs="Times New Roman"/>
          <w:b/>
          <w:bCs/>
          <w:sz w:val="24"/>
          <w:szCs w:val="24"/>
        </w:rPr>
        <w:t>83</w:t>
      </w:r>
    </w:p>
    <w:p w14:paraId="482BD0BF" w14:textId="66703733" w:rsidR="376833D6" w:rsidRPr="003A42FB" w:rsidRDefault="78EE210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Proponowany przepis przesądza, że w przypadku częstotliwości użytkowanych jako cywilno-rządowe przez użytkowników niebędących użytkownikami rządowymi Prezes UKE dokonuje rezerwacji częstotliwości w uzgodnieniu z Ministrem Obrony Narodowej. Na podstawie </w:t>
      </w:r>
      <w:r w:rsidR="189DFA83" w:rsidRPr="003A42FB">
        <w:rPr>
          <w:rFonts w:ascii="Times New Roman" w:eastAsiaTheme="minorEastAsia" w:hAnsi="Times New Roman" w:cs="Times New Roman"/>
          <w:sz w:val="24"/>
          <w:szCs w:val="24"/>
        </w:rPr>
        <w:t xml:space="preserve">ustawy </w:t>
      </w:r>
      <w:r w:rsidR="03888E3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Prezes UKE obowiązany był dokonywać uzgodnienia z zainteresowanymi podmiotami spośród użytkowników wskazanych w art. 4 Pt, co powodowało znaczne trudności w praktyce stosowania tej regulacji.</w:t>
      </w:r>
    </w:p>
    <w:p w14:paraId="40CE8487" w14:textId="2AB9C610" w:rsidR="35C58542" w:rsidRPr="003A42FB" w:rsidRDefault="6EFE6FE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Należy przy tym podkreślić, że MON dysponuje już w chwili obecnej podległą mu jednostką organizacyjną (Wojskowym Biurem Zarządzania Częstotliwościami) wyspecjalizowaną w zarządzaniu zasobami częstotliwości.</w:t>
      </w:r>
    </w:p>
    <w:p w14:paraId="56328CA7" w14:textId="40B3795F"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5441D">
        <w:rPr>
          <w:rFonts w:ascii="Times New Roman" w:eastAsiaTheme="minorEastAsia" w:hAnsi="Times New Roman" w:cs="Times New Roman"/>
          <w:b/>
          <w:bCs/>
          <w:sz w:val="24"/>
          <w:szCs w:val="24"/>
        </w:rPr>
        <w:t>84</w:t>
      </w:r>
    </w:p>
    <w:p w14:paraId="7AB75FC4"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nakłada na Prezesa UKE obowiązek niezwłocznej publikacji na stronie podmiotowej BIP UKE decyzji dokonującej lub zmieniającej rezerwację częstotliwości. Przepis stanowi tym samym implementację art. 18 ust. 2 oraz art. 48 ust. 6 EKŁE. Celem regulacji jest zapewnienie jawności i przejrzystości w zakresie gospodarki widmem.</w:t>
      </w:r>
    </w:p>
    <w:p w14:paraId="1CA2BF82" w14:textId="40441731"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85</w:t>
      </w:r>
    </w:p>
    <w:p w14:paraId="123E0770"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reguluje kwestię dopuszczalności dokonania rezerwacji na rzecz więcej niż jednego użytkownika. W takim przypadku kwestie warunków współużytkowania częstotliwości określa w decyzji Prezes UKE. Rozstrzygnięcia w tym zakresie nie są elementem decyzji rezerwacyjnej.</w:t>
      </w:r>
    </w:p>
    <w:p w14:paraId="560A8261" w14:textId="7AE00837" w:rsidR="2E1A1F7F" w:rsidRPr="003A42FB" w:rsidRDefault="2E1A1F7F" w:rsidP="00C53EAB">
      <w:pPr>
        <w:pStyle w:val="h1chapter"/>
        <w:spacing w:before="0" w:after="120" w:line="240" w:lineRule="auto"/>
        <w:jc w:val="both"/>
        <w:rPr>
          <w:rFonts w:ascii="Times New Roman" w:hAnsi="Times New Roman" w:cs="Times New Roman"/>
          <w:color w:val="auto"/>
          <w:sz w:val="24"/>
          <w:szCs w:val="24"/>
        </w:rPr>
      </w:pPr>
      <w:r w:rsidRPr="003A42FB">
        <w:rPr>
          <w:rFonts w:ascii="Times New Roman" w:hAnsi="Times New Roman" w:cs="Times New Roman"/>
          <w:b w:val="0"/>
          <w:bCs w:val="0"/>
          <w:color w:val="auto"/>
          <w:sz w:val="24"/>
          <w:szCs w:val="24"/>
        </w:rPr>
        <w:t>Regulacje w zbliżonym kształcie funkcjonowały już na gruncie ustawy Pt.</w:t>
      </w:r>
    </w:p>
    <w:p w14:paraId="15B75DD5" w14:textId="0F3A78F0"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86</w:t>
      </w:r>
    </w:p>
    <w:p w14:paraId="3D93902D"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reguluje kwestie rozstrzygania spraw spornych dotyczących współużytkowania częstotliwości, czyli dotyczy sytuacji, kiedy rezerwacja częstotliwości została wydana dla więcej niż jednego użytkownika. Pierwszym etapem jest możliwość nałożenia przez Prezesa UKE obowiązku podjęcia negocjacji dotyczących współużytkowania. W przypadku niepodjęcia negocjacji lub braku porozumienia stron warunki współużytkowania częstotliwości określi w drodze decyzji Prezes UKE. W przypadku częstotliwości wykorzystywanych dla celów rozpowszechniania lub rozprowadzania programów radiofonicznych lub telewizyjnych, Prezes UKE wydaje decyzję w porozumieniu z Przewodniczącym KRRiT.</w:t>
      </w:r>
    </w:p>
    <w:p w14:paraId="1AC724B1" w14:textId="4B26BDE5" w:rsidR="7001828A" w:rsidRPr="003A42FB" w:rsidRDefault="7001828A"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49A23121" w14:textId="513E4343"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87</w:t>
      </w:r>
    </w:p>
    <w:p w14:paraId="2A4DAE05"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Projektowany przepis określa treść rezerwacji częstotliwości, jej elementy obligatoryjne i fakultatywne. Stanowi przy tym wdrożenie art. 47 EKŁE określającego warunki dotyczące indywidualnych praw użytkowania widma radiowego. Także przepis dyrektywy wskazuje warunki, które są obligatoryjne oraz takie, których uwzględnienie w danej decyzji rezerwacyjnej pozostawiono do decyzji krajowych organów regulacyjnych.</w:t>
      </w:r>
    </w:p>
    <w:p w14:paraId="5B819F7A" w14:textId="7A029310"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rezerwacji częstotliwości obligatoryjnie określa się</w:t>
      </w:r>
      <w:r w:rsidR="03EDCD0E" w:rsidRPr="003A42FB">
        <w:rPr>
          <w:rFonts w:ascii="Times New Roman" w:eastAsiaTheme="minorEastAsia" w:hAnsi="Times New Roman" w:cs="Times New Roman"/>
          <w:sz w:val="24"/>
          <w:szCs w:val="24"/>
        </w:rPr>
        <w:t xml:space="preserve"> min</w:t>
      </w:r>
      <w:r w:rsidRPr="003A42FB">
        <w:rPr>
          <w:rFonts w:ascii="Times New Roman" w:eastAsiaTheme="minorEastAsia" w:hAnsi="Times New Roman" w:cs="Times New Roman"/>
          <w:sz w:val="24"/>
          <w:szCs w:val="24"/>
        </w:rPr>
        <w:t xml:space="preserve">: uprawniony podmiot i jego dane, zakres częstotliwości lub pozycje orbitalne, obszar wykorzystania częstotliwości, rodzaj służby, </w:t>
      </w:r>
      <w:r w:rsidR="132FD945" w:rsidRPr="003A42FB">
        <w:rPr>
          <w:rFonts w:ascii="Times New Roman" w:eastAsiaTheme="minorEastAsia" w:hAnsi="Times New Roman" w:cs="Times New Roman"/>
          <w:sz w:val="24"/>
          <w:szCs w:val="24"/>
        </w:rPr>
        <w:t>okres obowiązywania rezerwacji</w:t>
      </w:r>
      <w:r w:rsidRPr="003A42FB">
        <w:rPr>
          <w:rFonts w:ascii="Times New Roman" w:eastAsiaTheme="minorEastAsia" w:hAnsi="Times New Roman" w:cs="Times New Roman"/>
          <w:sz w:val="24"/>
          <w:szCs w:val="24"/>
        </w:rPr>
        <w:t xml:space="preserve"> oraz okresy wykorzystywania</w:t>
      </w:r>
      <w:r w:rsidR="132FD945" w:rsidRPr="003A42FB">
        <w:rPr>
          <w:rFonts w:ascii="Times New Roman" w:eastAsiaTheme="minorEastAsia" w:hAnsi="Times New Roman" w:cs="Times New Roman"/>
          <w:sz w:val="24"/>
          <w:szCs w:val="24"/>
        </w:rPr>
        <w:t xml:space="preserve"> częstotliwości</w:t>
      </w:r>
      <w:r w:rsidRPr="003A42FB">
        <w:rPr>
          <w:rFonts w:ascii="Times New Roman" w:eastAsiaTheme="minorEastAsia" w:hAnsi="Times New Roman" w:cs="Times New Roman"/>
          <w:sz w:val="24"/>
          <w:szCs w:val="24"/>
        </w:rPr>
        <w:t>, warunki do  wydania pozwolenia, wymagany poziom użytkowania wraz ze wskazaniem czy możliwe jest jego zapewnienie w drodze dzierżawy lub przekazania do użytkowania częstotliwości, a także zobowiązania podmiotu podjęte w ramach postępowania selekcyjnego, o ile zostały podjęte. Znaczna część wymogów stanowi zatem powtórzenie treści regulacji z</w:t>
      </w:r>
      <w:r w:rsidR="55B4FB25" w:rsidRPr="003A42FB">
        <w:rPr>
          <w:rFonts w:ascii="Times New Roman" w:eastAsiaTheme="minorEastAsia" w:hAnsi="Times New Roman" w:cs="Times New Roman"/>
          <w:sz w:val="24"/>
          <w:szCs w:val="24"/>
        </w:rPr>
        <w:t xml:space="preserve"> ustawy</w:t>
      </w:r>
      <w:r w:rsidRPr="003A42FB">
        <w:rPr>
          <w:rFonts w:ascii="Times New Roman" w:eastAsiaTheme="minorEastAsia" w:hAnsi="Times New Roman" w:cs="Times New Roman"/>
          <w:sz w:val="24"/>
          <w:szCs w:val="24"/>
        </w:rPr>
        <w:t xml:space="preserve"> </w:t>
      </w:r>
      <w:r w:rsidR="03888E3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Najistotniejszą zmianą jest dodanie, zgodnie z ust. 1 art. 47 EKŁE, obowiązku określenia w rezerwacji wymagań w zakresie wykorzystania częstotliwości. Takie wymagania Prezes UKE może określić w różny sposób, np. wskazując procentowy stopień pokrycia obszarowego, ludnościowego, liczbę uruchomionych stacji bazowych.</w:t>
      </w:r>
    </w:p>
    <w:p w14:paraId="1968AE19" w14:textId="7BC26C1C"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ramach elementów fakultatywnych projekt wskazuje w szczególności warunki wykorzystania częstotliwości, wymagania w zakresie zapobiegania kolizjom z innymi prawami indywidualnymi, ograniczenia sposobu wykorzystania częstotliwości (wynikające z EKŁE a wcześniej z pakietu dyrektyw łączności elektronicznej), a także wynikający bezpośrednio z EKŁE katalog zobowiązań, które może nałożyć organ regulacyjny w celu zapewnienia efektywnego i wydajnego wykorzystania widma lub wspierania większego zasięgu. Prezes UKE może zatem przewidzieć możliwość współużytkowanie częstotliwości lub infrastruktury telekomunikacyjnej służącej do wykorzystywania częstotliwości, budowy (rollout) sieci telekomunikacyjnej wspólnie z innym podmiotem, czy też zawierania umów roamingu krajowego. Powyższy katalog stanowi nowość w stosunku do instrumentów wynikających z pakietu dyrektyw.</w:t>
      </w:r>
      <w:r w:rsidR="79DB3AB4" w:rsidRPr="003A42FB">
        <w:rPr>
          <w:rFonts w:ascii="Times New Roman" w:eastAsiaTheme="minorEastAsia" w:hAnsi="Times New Roman" w:cs="Times New Roman"/>
          <w:sz w:val="24"/>
          <w:szCs w:val="24"/>
        </w:rPr>
        <w:t xml:space="preserve"> W rezerwacji </w:t>
      </w:r>
      <w:r w:rsidR="511CCEF3" w:rsidRPr="003A42FB">
        <w:rPr>
          <w:rFonts w:ascii="Times New Roman" w:eastAsiaTheme="minorEastAsia" w:hAnsi="Times New Roman" w:cs="Times New Roman"/>
          <w:sz w:val="24"/>
          <w:szCs w:val="24"/>
        </w:rPr>
        <w:t xml:space="preserve">można też </w:t>
      </w:r>
      <w:r w:rsidR="2502748F" w:rsidRPr="003A42FB">
        <w:rPr>
          <w:rFonts w:ascii="Times New Roman" w:eastAsiaTheme="minorEastAsia" w:hAnsi="Times New Roman" w:cs="Times New Roman"/>
          <w:sz w:val="24"/>
          <w:szCs w:val="24"/>
        </w:rPr>
        <w:t>wyłączyć</w:t>
      </w:r>
      <w:r w:rsidR="511CCEF3" w:rsidRPr="003A42FB">
        <w:rPr>
          <w:rFonts w:ascii="Times New Roman" w:eastAsiaTheme="minorEastAsia" w:hAnsi="Times New Roman" w:cs="Times New Roman"/>
          <w:sz w:val="24"/>
          <w:szCs w:val="24"/>
        </w:rPr>
        <w:t xml:space="preserve"> możliwoś</w:t>
      </w:r>
      <w:r w:rsidR="51843C0D" w:rsidRPr="003A42FB">
        <w:rPr>
          <w:rFonts w:ascii="Times New Roman" w:eastAsiaTheme="minorEastAsia" w:hAnsi="Times New Roman" w:cs="Times New Roman"/>
          <w:sz w:val="24"/>
          <w:szCs w:val="24"/>
        </w:rPr>
        <w:t>ć</w:t>
      </w:r>
      <w:r w:rsidR="511CCEF3" w:rsidRPr="003A42FB">
        <w:rPr>
          <w:rFonts w:ascii="Times New Roman" w:eastAsiaTheme="minorEastAsia" w:hAnsi="Times New Roman" w:cs="Times New Roman"/>
          <w:sz w:val="24"/>
          <w:szCs w:val="24"/>
        </w:rPr>
        <w:t xml:space="preserve"> dokonania rezerwacji częstotliwości na kolejny okres, co stanowi wdrożenie art. 50 ust. 1 EKŁE.</w:t>
      </w:r>
    </w:p>
    <w:p w14:paraId="58001738"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sytuacji kiedy w rezerwacji częstotliwości Prezes UKE określi warunki wykorzystywania częstotliwości podmiot może zostać zwolniony z obowiązku uzyskania pozwolenia radiowego, o ile zawarte zostały porozumienia międzynarodowe z państwami sąsiadującymi dotyczące warunków wykorzystywania częstotliwości w rejonach przygranicznych. W przypadku braku takich porozumień Prezes UKE nie może zezwolić na wykorzystywanie częstotliwości bez posiadania pozwolenia radiowego.</w:t>
      </w:r>
    </w:p>
    <w:p w14:paraId="218CA3B0"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Dodatkowe elementy określa się w rezerwacji częstotliwości przeznaczonych do rozpowszechniania lub rozprowadzania programów w sposób cyfrowy drogą rozsiewczą naziemną lub rozsiewczą satelitarną. W takiej sytuacji rezerwacja wskazuje składniki audiowizualne, uporządkowanie programów w multipleksie, określenie proporcji składników audiowizualnych i obszaru ich rozprowadzania lub rozpowszechniania. W przypadku multipleksu naziemnego rezerwacja określa ponadto wykorzystanie pojemności multipleksu oraz parametry i standardy techniczne transmisji cyfrowej.</w:t>
      </w:r>
    </w:p>
    <w:p w14:paraId="5EAFB8EB" w14:textId="5CA74465" w:rsidR="00D03005" w:rsidRPr="003A42FB" w:rsidRDefault="000F496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3A212998" w:rsidRPr="003A42FB">
        <w:rPr>
          <w:rFonts w:ascii="Times New Roman" w:eastAsiaTheme="minorEastAsia" w:hAnsi="Times New Roman" w:cs="Times New Roman"/>
          <w:b/>
          <w:bCs/>
          <w:sz w:val="24"/>
          <w:szCs w:val="24"/>
        </w:rPr>
        <w:t>8</w:t>
      </w:r>
      <w:r w:rsidR="00294547">
        <w:rPr>
          <w:rFonts w:ascii="Times New Roman" w:eastAsiaTheme="minorEastAsia" w:hAnsi="Times New Roman" w:cs="Times New Roman"/>
          <w:b/>
          <w:bCs/>
          <w:sz w:val="24"/>
          <w:szCs w:val="24"/>
        </w:rPr>
        <w:t>8</w:t>
      </w:r>
    </w:p>
    <w:p w14:paraId="4EF4F661"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art. 45 ust. 4 i 5 EKŁE wskazują odstępstwa od zasady neutralności technologicznej lub usługowej, które mogą wprowadzić państwa członkowskie. Projektowany przepis stanowi implementację tych ustępów określając, że ograniczenie sposobu wykorzystywania częstotliwości może wynikać min. z konieczności uniknięcia szkodliwych zaburzeń elektromagnetycznych lub szkodliwych zakłóceń, zapewnienia odpowiedniej jakości technicznej usługi, zapewnienia jak najszerszego współużytkowania częstotliwości, </w:t>
      </w:r>
      <w:r w:rsidRPr="003A42FB">
        <w:rPr>
          <w:rFonts w:ascii="Times New Roman" w:eastAsiaTheme="minorEastAsia" w:hAnsi="Times New Roman" w:cs="Times New Roman"/>
          <w:sz w:val="24"/>
          <w:szCs w:val="24"/>
        </w:rPr>
        <w:lastRenderedPageBreak/>
        <w:t>zagwarantowania efektywnego wykorzystania częstotliwości, czy też zapewnienia realizacji celu leżącego w interesie publicznym.</w:t>
      </w:r>
    </w:p>
    <w:p w14:paraId="7F0C7675" w14:textId="17F7B57A"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42DD12F9" w:rsidRPr="003A42FB">
        <w:rPr>
          <w:rFonts w:ascii="Times New Roman" w:eastAsiaTheme="minorEastAsia" w:hAnsi="Times New Roman" w:cs="Times New Roman"/>
          <w:b/>
          <w:bCs/>
          <w:sz w:val="24"/>
          <w:szCs w:val="24"/>
        </w:rPr>
        <w:t>8</w:t>
      </w:r>
      <w:r w:rsidR="00294547">
        <w:rPr>
          <w:rFonts w:ascii="Times New Roman" w:eastAsiaTheme="minorEastAsia" w:hAnsi="Times New Roman" w:cs="Times New Roman"/>
          <w:b/>
          <w:bCs/>
          <w:sz w:val="24"/>
          <w:szCs w:val="24"/>
        </w:rPr>
        <w:t>9</w:t>
      </w:r>
    </w:p>
    <w:p w14:paraId="5D91D022" w14:textId="7C744DE1"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wprowadza generalną zasadę, zgodnie z którą rezerwacja częstotliwości nie może zostać zmieniona w sposób zwiększający zasób częstotliwości pozostających w dyspozycji danego podmiotu lub rozszerzający obszar rezerwacji. Dodatkowo zmiana rezerwacji częstotliwości nie może polegać na zamianie zasobów częstotliwości na inne zasoby, z wyjątkiem sytuacji, kiedy jest to konieczne dla realizacji zobowiązań wynikających z wiążących RP umów międzynarodowych lub aktów prawnych UE, dotyczących gospodarowania częstotliwościami, lub związane z reshufflingiem.</w:t>
      </w:r>
      <w:r w:rsidR="3D0F18A5" w:rsidRPr="003A42FB">
        <w:rPr>
          <w:rFonts w:ascii="Times New Roman" w:eastAsiaTheme="minorEastAsia" w:hAnsi="Times New Roman" w:cs="Times New Roman"/>
          <w:sz w:val="24"/>
          <w:szCs w:val="24"/>
        </w:rPr>
        <w:t xml:space="preserve"> Jest to powielenie rozwiązania, które zostało już wprowadzone w ustawie Pt.</w:t>
      </w:r>
    </w:p>
    <w:p w14:paraId="466388D7"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We wskazanych przypadkach, kiedy nie można zmienić rezerwacji częstotliwości, niezbędne będzie wydanie nowej decyzji rezerwacyjnej.</w:t>
      </w:r>
    </w:p>
    <w:p w14:paraId="367A4814"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radiofonii analogowej obszar wykorzystywania częstotliwości określany w rezerwacjach częstotliwości jest ściśle związany ze stacją nadawczą, której parametry techniczne są wpisywane do koncesji udzielanej przez Przewodniczącego KRRiT (w przypadku nadawców koncesjonowanych), a następnie są wpisywane do decyzji rezerwacyjnej. Zmiana koncesji może prowadzić do rozszerzenia obszaru objętego koncesją, co powoduje konieczność zmiany rezerwacji częstotliwości i rozszerzenia obszaru wykorzystania częstotliwości.</w:t>
      </w:r>
    </w:p>
    <w:p w14:paraId="75486DE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Konieczność zmiany rezerwacji częstotliwości i rozszerzenie obszaru wykorzystania częstotliwości zachodzi również w sytuacjach, w których rezerwacja nie jest udzielana łącznie z koncesją i nie znosi obowiązku jej posiadania. Konieczność zmiany rezerwacji i rozszerzenie obszaru wykorzystania częstotliwości mogą być spowodowane zamianą parametrów technicznych stacji nadawczej. Nieuwzględnienie w dokonanej już rezerwacji dodatkowego obszaru, na którym, w wyniku zamiany parametrów technicznych stacji, możliwe jest wykorzystanie częstotliwości przez daną stację, wpłynie na nieefektywne wykorzystanie częstotliwości. Natomiast konieczność wydania nowej decyzji rezerwacyjnej tylko na ten dodatkowy obszar wydaje się dużym utrudnieniem. Mogłoby to doprowadzić do konieczności wydania kilku rezerwacji, w oparciu o które pracowałaby jedna stacja nadawcza, emitująca ten sam program radiowy. Wygaśnięcie pierwotnej rezerwacji częstotliwości (na obszarze której zlokalizowana jest stacja nadawcza) wiązałoby się z brakiem możliwości wykorzystania częstotliwości na obszarze wskazanym w drugiej decyzji. Z tego tytułu przepis ust. 1 pkt 3 nie powinien mieć zastosowania do rezerwacji częstotliwości wydawanych na cele rozpowszechniania programów radiofonicznych w sposób analogowy drogą rozsiewczą naziemną.</w:t>
      </w:r>
    </w:p>
    <w:p w14:paraId="2FB5C536" w14:textId="14F9DA8C" w:rsidR="00D03005" w:rsidRPr="003A42FB" w:rsidRDefault="00D03005" w:rsidP="00C53EAB">
      <w:pPr>
        <w:spacing w:after="120" w:line="240" w:lineRule="auto"/>
        <w:jc w:val="both"/>
        <w:rPr>
          <w:rFonts w:ascii="Times New Roman" w:eastAsiaTheme="minorEastAsia" w:hAnsi="Times New Roman" w:cs="Times New Roman"/>
          <w:b/>
          <w:sz w:val="24"/>
          <w:szCs w:val="24"/>
          <w:vertAlign w:val="superscript"/>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90</w:t>
      </w:r>
    </w:p>
    <w:p w14:paraId="3C28881A"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wdrożenie art. 18 oraz art. 19 ust. 4 EKŁE. Nakłada on na Prezesa UKE obowiązek każdorazowego informowania na stronie podmiotowej BIP UKE o wszczęciu postępowania w sprawie zmiany rezerwacji i</w:t>
      </w:r>
      <w:r w:rsidR="00DB4AE2" w:rsidRPr="003A42FB">
        <w:rPr>
          <w:rFonts w:ascii="Times New Roman" w:eastAsiaTheme="minorEastAsia" w:hAnsi="Times New Roman" w:cs="Times New Roman"/>
          <w:sz w:val="24"/>
          <w:szCs w:val="24"/>
        </w:rPr>
        <w:t xml:space="preserve"> prowadzenia w tej sprawie postę</w:t>
      </w:r>
      <w:r w:rsidRPr="003A42FB">
        <w:rPr>
          <w:rFonts w:ascii="Times New Roman" w:eastAsiaTheme="minorEastAsia" w:hAnsi="Times New Roman" w:cs="Times New Roman"/>
          <w:sz w:val="24"/>
          <w:szCs w:val="24"/>
        </w:rPr>
        <w:t>powania konsultacyjnego.</w:t>
      </w:r>
    </w:p>
    <w:p w14:paraId="2AB49738"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Postępowanie konsultacyjne nie będzie wymagane w sytuacjach, kiedy zmiana ma charakter nieistotny i jest dokonywana na wniosek lub za zgodą podmiotu dysponującego rezerwacją częstotliwości – taka regulacja wynika wprost z art. 18 EKŁE. W związku z faktem, iż dyrektywa nie zawiera definicji zmiany nieistotnej, przepis wskazuje jedynie, jakiej zmiany w szczególności nie można uznać za zmianę nieistotną, natomiast nie określa zamkniętego </w:t>
      </w:r>
      <w:r w:rsidRPr="003A42FB">
        <w:rPr>
          <w:rFonts w:ascii="Times New Roman" w:eastAsiaTheme="minorEastAsia" w:hAnsi="Times New Roman" w:cs="Times New Roman"/>
          <w:sz w:val="24"/>
          <w:szCs w:val="24"/>
        </w:rPr>
        <w:lastRenderedPageBreak/>
        <w:t>katalogu czy definicji takich zmian. Między innymi ze względu na niemożność przewidzenia ewentualnych zmian nie jest właściwe formułowanie ich katalogu.</w:t>
      </w:r>
    </w:p>
    <w:p w14:paraId="267DA424"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w projektowanym ust. 3 doprecyzowuje się, że za zmianę nieistotną nie można w szczególności uznać zmiany, która prowadzi do rozszerzenia zakresu uprawnień wynikających z rezerwacji częstotliwości (takim rozszerzeniem byłoby np. dodanie kolejnej służby radiokomunikacyjnej).</w:t>
      </w:r>
    </w:p>
    <w:p w14:paraId="4CB35912"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Konsultacji nie będzie się przeprowadzać np. w przypadku, gdy zmiana rezerwacji częstotliwości będzie polegała na zmniejszeniu uprawnień podmiotu dysponującego rezerwacją częstotliwości (np. zmniejszenie obszaru rezerwacji, zmniejszenie wykorzystywanego zasobu częstotliwości) i jest dokonywana na wniosek lub za zgodą podmiotu dysponującego rezerwacją częstotliwości.</w:t>
      </w:r>
    </w:p>
    <w:p w14:paraId="37E507D2"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nie będzie miał także zastosowania do sytuacji wymagających pilnego działania ze względu na wystąpienie okoliczności prowadzących do zagrożenia obronności, bezpieczeństwa państwa lub bezpieczeństwa i porządku publicznego. W takiej sytuacji, ze względu na wagę powyższych okoliczności, zasadne jest całkowite wyłączenie obowiązku konsultowania zmiany rezerwacji częstotliwości. Jednocześnie podmiot posiadający tę rezerwację będzie stroną postępowania administracyjnego.</w:t>
      </w:r>
    </w:p>
    <w:p w14:paraId="5B0216C0"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Wprowadza się także regulację wyłączającą stosowanie przepisu w sytuacjach gdy zmiana dotyczy rezerwacji częstotliwości na cele rozpowszechniania programów radiofonicznych w sposób analogowy drogą rozsiewczą naziemną. Jest to szczególna sytuacja, gdyż w takim przypadku rezerwacja ma charakter wtórny do koncesji. Zatem uzgodnienie treści zmian z uprawnionym podmiotem dokonywane jest w ramach postępowania koncesyjnego, a jednocześnie rezerwacja nie może odbiegać treścią od wydanej koncesji.</w:t>
      </w:r>
    </w:p>
    <w:p w14:paraId="7A413C43" w14:textId="5041DC70" w:rsidR="00D03005" w:rsidRPr="003A42FB" w:rsidRDefault="000F496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91</w:t>
      </w:r>
    </w:p>
    <w:p w14:paraId="6A8A561C" w14:textId="53E79044"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t>
      </w:r>
      <w:r w:rsidR="00575D5A" w:rsidRPr="003A42FB">
        <w:rPr>
          <w:rFonts w:ascii="Times New Roman" w:eastAsiaTheme="minorEastAsia" w:hAnsi="Times New Roman" w:cs="Times New Roman"/>
          <w:sz w:val="24"/>
          <w:szCs w:val="24"/>
        </w:rPr>
        <w:t>r</w:t>
      </w:r>
      <w:r w:rsidRPr="003A42FB">
        <w:rPr>
          <w:rFonts w:ascii="Times New Roman" w:eastAsiaTheme="minorEastAsia" w:hAnsi="Times New Roman" w:cs="Times New Roman"/>
          <w:sz w:val="24"/>
          <w:szCs w:val="24"/>
        </w:rPr>
        <w:t xml:space="preserve">eguluje  sytuację zwolnienia części pojemności multipleksu z powodu rezygnacji użytkownika tej części. W takiej sytuacji </w:t>
      </w:r>
      <w:r w:rsidR="00575D5A" w:rsidRPr="003A42FB">
        <w:rPr>
          <w:rFonts w:ascii="Times New Roman" w:eastAsiaTheme="minorEastAsia" w:hAnsi="Times New Roman" w:cs="Times New Roman"/>
          <w:sz w:val="24"/>
          <w:szCs w:val="24"/>
        </w:rPr>
        <w:t>Przewodniczący KRRiT przeprowadza postępowanie o udzielenie koncesji na rozpowszechnianie programu w sposób cyfrowy, drogą rozsiewczą naziemną w tym multipleksie, zgodnie z przepisami ustawy z dnia 29 grudnia 1992 r. o radiofonii i telewizji</w:t>
      </w:r>
      <w:r w:rsidRPr="003A42FB">
        <w:rPr>
          <w:rFonts w:ascii="Times New Roman" w:eastAsiaTheme="minorEastAsia" w:hAnsi="Times New Roman" w:cs="Times New Roman"/>
          <w:sz w:val="24"/>
          <w:szCs w:val="24"/>
        </w:rPr>
        <w:t xml:space="preserve">. </w:t>
      </w:r>
    </w:p>
    <w:p w14:paraId="42B1BEC3" w14:textId="09B29BA5"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92</w:t>
      </w:r>
    </w:p>
    <w:p w14:paraId="15B5A4F7"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Przedłużenie rezerwacji jest instytucją wynikającą z art. 49 ust. 2 EKŁE, stanowiącą nowość w stosunku do regulacji przewidzianych w pakiecie dyrektyw łączności regulacyjnej. Zgodnie z Kodeksem przedłużenie rezerwacji będzie mieć zastosowanie wyłącznie do częstotliwości zharmonizowanych na potrzeby systemów szerokopasmowych. Możliwość przedłużenia rezerwacji wiąże się bezpośrednio z nałożonym na państwa członkowskie obowiązkiem zapewnienia przewidywalności regulacyjnej dla posiadaczy praw w okresie co najmniej 20 lat. Zatem jeżeli podmiot miał wydaną rezerwację na mniej niż 20 lat istnieje możliwość jej przedłużenia przy czym łączny czas obowiązywanie rezerwacji częstotliwości nie może być dłuższy niż 20 lat. Ustawa wprost przewiduje sytuacje kiedy podmiot nie będzie mógł skorzystać z przedłużenia rezerwacji częstotliwości.</w:t>
      </w:r>
    </w:p>
    <w:p w14:paraId="782F9389" w14:textId="61844622"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Prezes UKE </w:t>
      </w:r>
      <w:r w:rsidR="31DC3670" w:rsidRPr="003A42FB">
        <w:rPr>
          <w:rFonts w:ascii="Times New Roman" w:eastAsiaTheme="minorEastAsia" w:hAnsi="Times New Roman" w:cs="Times New Roman"/>
          <w:sz w:val="24"/>
          <w:szCs w:val="24"/>
        </w:rPr>
        <w:t>po dokonaniu</w:t>
      </w:r>
      <w:r w:rsidR="56486842" w:rsidRPr="003A42FB">
        <w:rPr>
          <w:rFonts w:ascii="Times New Roman" w:eastAsiaTheme="minorEastAsia" w:hAnsi="Times New Roman" w:cs="Times New Roman"/>
          <w:sz w:val="24"/>
          <w:szCs w:val="24"/>
        </w:rPr>
        <w:t xml:space="preserve"> </w:t>
      </w:r>
      <w:r w:rsidR="22F9D2C2" w:rsidRPr="003A42FB">
        <w:rPr>
          <w:rFonts w:ascii="Times New Roman" w:eastAsiaTheme="minorEastAsia" w:hAnsi="Times New Roman" w:cs="Times New Roman"/>
          <w:sz w:val="24"/>
          <w:szCs w:val="24"/>
        </w:rPr>
        <w:t>w ramach prowadzonego postępowania administracyjnego</w:t>
      </w:r>
      <w:r w:rsidR="56486842" w:rsidRPr="003A42FB">
        <w:rPr>
          <w:rFonts w:ascii="Times New Roman" w:eastAsiaTheme="minorEastAsia" w:hAnsi="Times New Roman" w:cs="Times New Roman"/>
          <w:sz w:val="24"/>
          <w:szCs w:val="24"/>
        </w:rPr>
        <w:t xml:space="preserve"> obiektywnej oceny </w:t>
      </w:r>
      <w:r w:rsidR="576E50FC" w:rsidRPr="003A42FB">
        <w:rPr>
          <w:rFonts w:ascii="Times New Roman" w:eastAsiaTheme="minorEastAsia" w:hAnsi="Times New Roman" w:cs="Times New Roman"/>
          <w:sz w:val="24"/>
          <w:szCs w:val="24"/>
        </w:rPr>
        <w:t xml:space="preserve">występowania wskazanych w ustawie kryteriów przedłużenia </w:t>
      </w:r>
      <w:r w:rsidRPr="003A42FB">
        <w:rPr>
          <w:rFonts w:ascii="Times New Roman" w:eastAsiaTheme="minorEastAsia" w:hAnsi="Times New Roman" w:cs="Times New Roman"/>
          <w:sz w:val="24"/>
          <w:szCs w:val="24"/>
        </w:rPr>
        <w:t xml:space="preserve">zamieszcza na stronie internetowej urzędu informację o przedłużeniu lub odmowie przedłużenia rezerwacji częstotliwości oraz określa termin na przedstawienie stanowiska nie krótszy niż 3 miesiące. </w:t>
      </w:r>
    </w:p>
    <w:p w14:paraId="4076C7CA" w14:textId="2409AC16"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93</w:t>
      </w:r>
    </w:p>
    <w:p w14:paraId="048DAD85" w14:textId="18DA1E41"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Kwestia dokonania rezerwacji na kolejny okres, czyli jej odnowienia, była już regulowana w ustawie </w:t>
      </w:r>
      <w:r w:rsidR="1A478390"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mimo iż pakiet dyrektyw nie przewidywał tożsamej regulacji. W związku z wprowadzeniem w EKŁE art. 50 i koniecznością jego implementacji do polskich przepisów prawa w projekcie ustawy proponuje się modyfikację tej instytucji.</w:t>
      </w:r>
    </w:p>
    <w:p w14:paraId="44B64D24" w14:textId="79CA234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Najważniejszą zmianą jest ograniczenie możliwości odnowienia rezerwacji wyłącznie do częstotliwości zharmonizowanych. Kolejna modyfikacja polega na tym, że </w:t>
      </w:r>
      <w:r w:rsidR="72BA0971" w:rsidRPr="003A42FB">
        <w:rPr>
          <w:rFonts w:ascii="Times New Roman" w:eastAsiaTheme="minorEastAsia" w:hAnsi="Times New Roman" w:cs="Times New Roman"/>
          <w:sz w:val="24"/>
          <w:szCs w:val="24"/>
        </w:rPr>
        <w:t>rezerwacja</w:t>
      </w:r>
      <w:r w:rsidRPr="003A42FB">
        <w:rPr>
          <w:rFonts w:ascii="Times New Roman" w:eastAsiaTheme="minorEastAsia" w:hAnsi="Times New Roman" w:cs="Times New Roman"/>
          <w:sz w:val="24"/>
          <w:szCs w:val="24"/>
        </w:rPr>
        <w:t xml:space="preserve"> nie będzie już de facto prawem przysługującym podmiotowi o ile nie wystąpią przesłanki negatywne. Regulator rynku będzie podejmował decyzję, czy dla realizacji celów regulacyjnych bardziej wskazane jest odnowienie rezerwacji, czy też przeprowadzenie postępowania zmierzającego do ponownego rozdysponowania tych częstotliwości. Dopiero w kolejnym kroku nastąpi badanie określonych w ustawie przesłanek, występowanie których skutkować będzie odmową udzielenia rezerwacji na kolejny okres.</w:t>
      </w:r>
    </w:p>
    <w:p w14:paraId="6BFB3345" w14:textId="1C78AA0E"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Decyzję w sprawie udzielenia rezerwacji częstotliwości zharmonizowanych na kolejny okres dokonuje się po przeprowadzeniu postępowania konsultacyjnego w tej sprawie. W przypadku złożenia w ramach postępowania konsultacyjnego </w:t>
      </w:r>
      <w:r w:rsidR="013D2473" w:rsidRPr="003A42FB">
        <w:rPr>
          <w:rFonts w:ascii="Times New Roman" w:eastAsiaTheme="minorEastAsia" w:hAnsi="Times New Roman" w:cs="Times New Roman"/>
          <w:sz w:val="24"/>
          <w:szCs w:val="24"/>
        </w:rPr>
        <w:t xml:space="preserve">wiarygodnego </w:t>
      </w:r>
      <w:r w:rsidRPr="003A42FB">
        <w:rPr>
          <w:rFonts w:ascii="Times New Roman" w:eastAsiaTheme="minorEastAsia" w:hAnsi="Times New Roman" w:cs="Times New Roman"/>
          <w:sz w:val="24"/>
          <w:szCs w:val="24"/>
        </w:rPr>
        <w:t>wniosku o rezerwację częstotliwości przez podmiot, który nie posiada rezerwacji częstotliwości o analogicznych właściwościach, Prezes UKE może</w:t>
      </w:r>
      <w:r w:rsidR="7B9109CD" w:rsidRPr="003A42FB">
        <w:rPr>
          <w:rFonts w:ascii="Times New Roman" w:eastAsiaTheme="minorEastAsia" w:hAnsi="Times New Roman" w:cs="Times New Roman"/>
          <w:sz w:val="24"/>
          <w:szCs w:val="24"/>
        </w:rPr>
        <w:t>, choć nie musi,</w:t>
      </w:r>
      <w:r w:rsidRPr="003A42FB">
        <w:rPr>
          <w:rFonts w:ascii="Times New Roman" w:eastAsiaTheme="minorEastAsia" w:hAnsi="Times New Roman" w:cs="Times New Roman"/>
          <w:sz w:val="24"/>
          <w:szCs w:val="24"/>
        </w:rPr>
        <w:t xml:space="preserve"> odmówić dokonania rezerwacji na kolejny okres, co skutkować będzie koniecznością przeprowadzenia procedury selekcyjnej.</w:t>
      </w:r>
      <w:r w:rsidR="7C8F7A72" w:rsidRPr="003A42FB">
        <w:rPr>
          <w:rFonts w:ascii="Times New Roman" w:eastAsiaTheme="minorEastAsia" w:hAnsi="Times New Roman" w:cs="Times New Roman"/>
          <w:sz w:val="24"/>
          <w:szCs w:val="24"/>
        </w:rPr>
        <w:t xml:space="preserve"> Taka regulacja wynika wprost z art. 50 ust. 3 EKŁE. Taki wniosek stanowi </w:t>
      </w:r>
      <w:r w:rsidR="5E8C9A24" w:rsidRPr="003A42FB">
        <w:rPr>
          <w:rFonts w:ascii="Times New Roman" w:eastAsiaTheme="minorEastAsia" w:hAnsi="Times New Roman" w:cs="Times New Roman"/>
          <w:sz w:val="24"/>
          <w:szCs w:val="24"/>
        </w:rPr>
        <w:t xml:space="preserve">niewątpliwie </w:t>
      </w:r>
      <w:r w:rsidR="7C8F7A72" w:rsidRPr="003A42FB">
        <w:rPr>
          <w:rFonts w:ascii="Times New Roman" w:eastAsiaTheme="minorEastAsia" w:hAnsi="Times New Roman" w:cs="Times New Roman"/>
          <w:sz w:val="24"/>
          <w:szCs w:val="24"/>
        </w:rPr>
        <w:t>dowód na popyt rynkowy ze strony przedsiębiorstw innych niż te, które posiadają prawa użytkowania widma radiowego w danym paśmie</w:t>
      </w:r>
      <w:r w:rsidR="3A6FB6E8" w:rsidRPr="003A42FB">
        <w:rPr>
          <w:rFonts w:ascii="Times New Roman" w:eastAsiaTheme="minorEastAsia" w:hAnsi="Times New Roman" w:cs="Times New Roman"/>
          <w:sz w:val="24"/>
          <w:szCs w:val="24"/>
        </w:rPr>
        <w:t>, który regulator musi wziąć pod uwagę rozważając kwe</w:t>
      </w:r>
      <w:r w:rsidR="4A56BBF0" w:rsidRPr="003A42FB">
        <w:rPr>
          <w:rFonts w:ascii="Times New Roman" w:eastAsiaTheme="minorEastAsia" w:hAnsi="Times New Roman" w:cs="Times New Roman"/>
          <w:sz w:val="24"/>
          <w:szCs w:val="24"/>
        </w:rPr>
        <w:t>stię zasadności wydania rezerwacji na kolejny okres lub przeprowadzenia nowego postępowania selekcyjnego</w:t>
      </w:r>
      <w:r w:rsidR="7C8F7A72" w:rsidRPr="003A42FB">
        <w:rPr>
          <w:rFonts w:ascii="Times New Roman" w:eastAsiaTheme="minorEastAsia" w:hAnsi="Times New Roman" w:cs="Times New Roman"/>
          <w:sz w:val="24"/>
          <w:szCs w:val="24"/>
        </w:rPr>
        <w:t>.</w:t>
      </w:r>
      <w:r w:rsidR="000B477D" w:rsidRPr="003A42FB">
        <w:rPr>
          <w:rFonts w:ascii="Times New Roman" w:eastAsiaTheme="minorEastAsia" w:hAnsi="Times New Roman" w:cs="Times New Roman"/>
          <w:sz w:val="24"/>
          <w:szCs w:val="24"/>
        </w:rPr>
        <w:t xml:space="preserve"> Istnienie takiego popytu uzasadnia podjęcie przez Prezesa UKE decyzji o odmowie przyznania rezerwacji na kolejny okres i w związku z tym o ponownym rozdysponowaniu częstotliwości w ramach postępowania selekcyjnego. Regulator może jednak nadal zdecydować, że korzystniejsze dla rynku jest odnowienie dotychczasowej rezerwacji.</w:t>
      </w:r>
    </w:p>
    <w:p w14:paraId="7532226E" w14:textId="53B5E7E4"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Utrzymano obowiązującą pod rządami</w:t>
      </w:r>
      <w:r w:rsidR="00002CC4" w:rsidRPr="003A42FB">
        <w:rPr>
          <w:rFonts w:ascii="Times New Roman" w:eastAsiaTheme="minorEastAsia" w:hAnsi="Times New Roman" w:cs="Times New Roman"/>
          <w:sz w:val="24"/>
          <w:szCs w:val="24"/>
        </w:rPr>
        <w:t xml:space="preserve"> ustaw</w:t>
      </w:r>
      <w:r w:rsidR="2CADCC50" w:rsidRPr="003A42FB">
        <w:rPr>
          <w:rFonts w:ascii="Times New Roman" w:eastAsiaTheme="minorEastAsia" w:hAnsi="Times New Roman" w:cs="Times New Roman"/>
          <w:sz w:val="24"/>
          <w:szCs w:val="24"/>
        </w:rPr>
        <w:t>y</w:t>
      </w:r>
      <w:r w:rsidR="00002CC4" w:rsidRPr="003A42FB">
        <w:rPr>
          <w:rFonts w:ascii="Times New Roman" w:eastAsiaTheme="minorEastAsia" w:hAnsi="Times New Roman" w:cs="Times New Roman"/>
          <w:sz w:val="24"/>
          <w:szCs w:val="24"/>
        </w:rPr>
        <w:t xml:space="preserve"> </w:t>
      </w:r>
      <w:r w:rsidR="03888E3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regulację, zgodnie z którą Prezes UKE może z urzędu wydać decyzję, w której stwierdzi brak możliwości dokonania rezerwacji częstotliwości na kolejny okres.</w:t>
      </w:r>
    </w:p>
    <w:p w14:paraId="76C8F1C6" w14:textId="1F2B50F5"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Wniosek o odnowienie rezerwacji, należy złożyć nie wcześniej niż 5 lat przed upływem okresu wykorzystywania częstotliwości nie później niż rok przed upływem tego okresu. W przypadku rezerwacji częstotliwości wydanych na okres roku lub krótszy wniosek składa się nie później niż 6 miesięcy przed upływem okresu wykorzystywania częstotliwości. W stosunku do przepisów </w:t>
      </w:r>
      <w:r w:rsidR="52FF9F4E" w:rsidRPr="003A42FB">
        <w:rPr>
          <w:rFonts w:ascii="Times New Roman" w:eastAsiaTheme="minorEastAsia" w:hAnsi="Times New Roman" w:cs="Times New Roman"/>
          <w:sz w:val="24"/>
          <w:szCs w:val="24"/>
        </w:rPr>
        <w:t xml:space="preserve">ustawy </w:t>
      </w:r>
      <w:r w:rsidR="03888E3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wydłużono zgodnie z art. 50 ust. 1 EKŁE termin na złożenie wniosku z 4 do 5 lat.</w:t>
      </w:r>
    </w:p>
    <w:p w14:paraId="3EF66E46" w14:textId="221B82BD"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94</w:t>
      </w:r>
    </w:p>
    <w:p w14:paraId="0606BE28"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termin na złożenie wniosku o rezerwację częstotliwości na cele rozpowszechniania programów radiofonicznych w sposób analogowy drogą rozsiewczą naziemną oraz wniosku o dokonanie rezerwacji częstotliwości na cele rozpowszechniania i rozprowadzania programów telewizyjnych w sposób cyfrowy drogą rozsiewczą naziemną, w sytuacji kiedy podmiot otrzymał od KRRiT koncesję na kolejny okres. Regulacja ma na celu zapobieganie przedwczesnemu składaniu wniosków o rezerwację.</w:t>
      </w:r>
    </w:p>
    <w:p w14:paraId="0A592714" w14:textId="14734FB9" w:rsidR="00D03005" w:rsidRPr="003A42FB" w:rsidRDefault="000F496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95</w:t>
      </w:r>
    </w:p>
    <w:p w14:paraId="1BDB8AB5"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Kwestie przeniesienia (przekazanie lub dzierżawa) indywidualnych praw użytkowania widma radiowego uregulowane są w art. 51 EKŁE.</w:t>
      </w:r>
    </w:p>
    <w:p w14:paraId="6E0F45F6"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Generalna zasada wynikająca z dyrektywy obliguje państwa członkowskie do zapewnienia, że przedsiębiorcy będą mogli przekazywać lub wydzierżawiać swoje indywidualne prawa. Odstępstwo od tej zasady może dotyczyć sytuacji kiedy prawo przyznano początkowo bezpłatnie lub przydzielono do celów nadawania.</w:t>
      </w:r>
    </w:p>
    <w:p w14:paraId="760C48B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związku z powyższym, przewiduje się wprowadzenie dwóch możliwości zmiany podmiotu dysponującego częstotliwościami:</w:t>
      </w:r>
    </w:p>
    <w:p w14:paraId="698B997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 zmiana podmiotu dysponującego rezerwacją częstotliwości poprzez wydanie nowej decyzji w sprawie rezerwacji częstotliwości przez Prezesa UKE, zgodnie z wnioskiem podmiotu dysponującego rezerwacją po spełnieniu przesłanek ustawowych,</w:t>
      </w:r>
    </w:p>
    <w:p w14:paraId="1A2BA041"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2) wydzierżawienie lub przekazanie do użytkowania na podstawie innego tytułu prawnego przez podmiot dysponujący rezerwacją częstotliwości objętych rezerwacją na rzecz innego podmiotu (obowiązek zawiadomienia o tym Prezesa UKE).</w:t>
      </w:r>
    </w:p>
    <w:p w14:paraId="1E7E5F6B" w14:textId="4B87DFEA"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dokonuje zatem, z wyłączeniem rezerwacji częstotliwości na cele rozpowszechniania programów radiofonicznych w sposób analogowy, zmiany podmiotu dysponującego rezerwacją częstotliwości w sytuacji kiedy podmiot nią dysponujący złoży wniosek, podmiot przejmujący wyrazi zgodę i spełnia wymagania ustawowe oraz nie zachodzą wskazane w ustawie przesłanki negatywne.</w:t>
      </w:r>
      <w:r w:rsidR="0AA85842" w:rsidRPr="003A42FB">
        <w:rPr>
          <w:rFonts w:ascii="Times New Roman" w:eastAsiaTheme="minorEastAsia" w:hAnsi="Times New Roman" w:cs="Times New Roman"/>
          <w:sz w:val="24"/>
          <w:szCs w:val="24"/>
        </w:rPr>
        <w:t xml:space="preserve"> Zmiana taka obejmuje także możliwość współużytkowania </w:t>
      </w:r>
      <w:r w:rsidR="56415CDF" w:rsidRPr="003A42FB">
        <w:rPr>
          <w:rFonts w:ascii="Times New Roman" w:eastAsiaTheme="minorEastAsia" w:hAnsi="Times New Roman" w:cs="Times New Roman"/>
          <w:sz w:val="24"/>
          <w:szCs w:val="24"/>
        </w:rPr>
        <w:t xml:space="preserve">przez kilka podmiotów </w:t>
      </w:r>
      <w:r w:rsidR="0AA85842" w:rsidRPr="003A42FB">
        <w:rPr>
          <w:rFonts w:ascii="Times New Roman" w:eastAsiaTheme="minorEastAsia" w:hAnsi="Times New Roman" w:cs="Times New Roman"/>
          <w:sz w:val="24"/>
          <w:szCs w:val="24"/>
        </w:rPr>
        <w:t>częstotliwości</w:t>
      </w:r>
      <w:r w:rsidR="7DFC71B5" w:rsidRPr="003A42FB">
        <w:rPr>
          <w:rFonts w:ascii="Times New Roman" w:eastAsiaTheme="minorEastAsia" w:hAnsi="Times New Roman" w:cs="Times New Roman"/>
          <w:sz w:val="24"/>
          <w:szCs w:val="24"/>
        </w:rPr>
        <w:t xml:space="preserve"> dotąd wykorzystywanych samodzielnie przez dany podmiot.</w:t>
      </w:r>
    </w:p>
    <w:p w14:paraId="25E8F5E0"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Ponadto, Prezes UKE będzie niezwłocznie ogłaszał na stronie podmiotowej BIP UKE informację o wydaniu decyzji o zmianie podmiotu dysponującego rezerwacją częstotliwości. Ogłoszenie to obejmowało będzie nazwę podmiotu, na rzecz którego przeniesiono rezerwację częstotliwości, zakres częstotliwości, obszar objęty rezerwacją oraz okres obowiązywania rezerwacji.</w:t>
      </w:r>
    </w:p>
    <w:p w14:paraId="4282B30F" w14:textId="26C6357D"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34BC0D2" w:rsidRPr="003A42FB">
        <w:rPr>
          <w:rFonts w:ascii="Times New Roman" w:eastAsiaTheme="minorEastAsia" w:hAnsi="Times New Roman" w:cs="Times New Roman"/>
          <w:b/>
          <w:bCs/>
          <w:sz w:val="24"/>
          <w:szCs w:val="24"/>
        </w:rPr>
        <w:t>9</w:t>
      </w:r>
      <w:r w:rsidR="00294547">
        <w:rPr>
          <w:rFonts w:ascii="Times New Roman" w:eastAsiaTheme="minorEastAsia" w:hAnsi="Times New Roman" w:cs="Times New Roman"/>
          <w:b/>
          <w:bCs/>
          <w:sz w:val="24"/>
          <w:szCs w:val="24"/>
        </w:rPr>
        <w:t>6</w:t>
      </w:r>
    </w:p>
    <w:p w14:paraId="3E30B78A"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odniesieniu do wtórnego obrotu częstotliwościami na podstawie umowy, zrezygnowano z wyłączenia w projektowanym przepisie rezerwacji częstotliwości na cele rozpowszechniania programów radiofonicznych lub telewizyjnych. Podkreślić należy, że to właśnie podmioty dysponujące rezerwacjami częstotliwości na cele rozpowszechniania programów radiofonicznych lub telewizyjnych są najbardziej zainteresowane możliwością dzierżawy lub przekazania na podstawie innego tytułu prawnego tych częstotliwości do użytkowania. W związku z tym, możliwość wydzierżawienia lub przekazania do użytkowania częstotliwości objętych rezerwacją częstotliwości na rzecz innego podmiotu powinna odnosić się do wszystkich rezerwacji częstotliwości.</w:t>
      </w:r>
    </w:p>
    <w:p w14:paraId="06941DA0"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Podmiot, na rzecz którego dokonano rezerwacji częstotliwości, zawiadamia Prezesa UKE, a w przypadku częstotliwości przeznaczonych na cele rozpowszechniania lub rozprowadzania programów radiofonicznych lub telewizyjnych - także Przewodniczącego KRRiT, o wydzierżawieniu częstotliwości lub przekazaniu ich do użytkowania, nie później niż w terminie 14 dni od dnia zawarcia umowy.</w:t>
      </w:r>
    </w:p>
    <w:p w14:paraId="7E5BD6D7"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Według projektowanych przepisów przesłankami do wydania przez Prezesa UKE decyzji zmieniającej warunki wykorzystywania częstotliwości lub zakazującej ich wykorzystywania przez podmiot, któremu częstotliwości zostały wydzierżawione lub przekazane do użytkowania są: wystąpienie okoliczności prowadzących do zagrożenia obronności, bezpieczeństwa państwa lub bezpieczeństwa i porządku publicznego, wykorzystywanie częstotliwości w sposób nieefektywny, a także w przypadku gdy wykorzystywanie częstotliwości przez podmiot </w:t>
      </w:r>
      <w:r w:rsidRPr="003A42FB">
        <w:rPr>
          <w:rFonts w:ascii="Times New Roman" w:eastAsiaTheme="minorEastAsia" w:hAnsi="Times New Roman" w:cs="Times New Roman"/>
          <w:sz w:val="24"/>
          <w:szCs w:val="24"/>
        </w:rPr>
        <w:lastRenderedPageBreak/>
        <w:t>mogłoby doprowadzić do zakłócenia konkurencji, w szczególności poprzez nadmierne skupienie częstotliwości przez ten podmiot lub grupę kapitałową.</w:t>
      </w:r>
    </w:p>
    <w:p w14:paraId="771FAF66"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Wtórny obrót częstotliwościami, o którym mowa w tym przepisie może wpłynąć na konkurencyjność rynku. Z uwagi jednak na fakt, że to Prezes UOKiK jest organem wspomagającym Prezesa UKE przy rezerwacji częstotliwości w ocenie konkurencyjności, konsekwentnie konieczna wydaje się jego opinia na temat potencjalnego zakłócenia konkurencji również w przypadkach opisanych w tym artykule.</w:t>
      </w:r>
    </w:p>
    <w:p w14:paraId="1D365E99"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częstotliwości przeznaczonych na potrzeby rozpowszechniania lub rozprowadzania programów radiofonicznych lub telewizyjnych, Prezes UKE wydaje decyzję zmieniającą warunki wykorzystania częstotliwości lub zakazującą ich wykorzystania w porozumieniu z Przewodniczącym KRRiT.</w:t>
      </w:r>
    </w:p>
    <w:p w14:paraId="4FF4E2E7" w14:textId="1034CC7A" w:rsidR="65C0C9F9" w:rsidRPr="003A42FB" w:rsidRDefault="65C0C9F9"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r w:rsidR="21F24DB3" w:rsidRPr="003A42FB">
        <w:rPr>
          <w:rFonts w:ascii="Times New Roman" w:hAnsi="Times New Roman" w:cs="Times New Roman"/>
          <w:sz w:val="24"/>
          <w:szCs w:val="24"/>
        </w:rPr>
        <w:t xml:space="preserve"> w art. 122</w:t>
      </w:r>
      <w:r w:rsidR="21F24DB3" w:rsidRPr="003A42FB">
        <w:rPr>
          <w:rFonts w:ascii="Times New Roman" w:hAnsi="Times New Roman" w:cs="Times New Roman"/>
          <w:sz w:val="24"/>
          <w:szCs w:val="24"/>
          <w:vertAlign w:val="superscript"/>
        </w:rPr>
        <w:t>1</w:t>
      </w:r>
      <w:r w:rsidRPr="003A42FB">
        <w:rPr>
          <w:rFonts w:ascii="Times New Roman" w:hAnsi="Times New Roman" w:cs="Times New Roman"/>
          <w:sz w:val="24"/>
          <w:szCs w:val="24"/>
        </w:rPr>
        <w:t>.</w:t>
      </w:r>
    </w:p>
    <w:p w14:paraId="1E032BA6" w14:textId="1CFEC89D"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977DC1C" w:rsidRPr="003A42FB">
        <w:rPr>
          <w:rFonts w:ascii="Times New Roman" w:eastAsiaTheme="minorEastAsia" w:hAnsi="Times New Roman" w:cs="Times New Roman"/>
          <w:b/>
          <w:bCs/>
          <w:sz w:val="24"/>
          <w:szCs w:val="24"/>
        </w:rPr>
        <w:t>9</w:t>
      </w:r>
      <w:r w:rsidR="00294547">
        <w:rPr>
          <w:rFonts w:ascii="Times New Roman" w:eastAsiaTheme="minorEastAsia" w:hAnsi="Times New Roman" w:cs="Times New Roman"/>
          <w:b/>
          <w:bCs/>
          <w:sz w:val="24"/>
          <w:szCs w:val="24"/>
        </w:rPr>
        <w:t>7</w:t>
      </w:r>
    </w:p>
    <w:p w14:paraId="41D3140F" w14:textId="2FBD8903" w:rsidR="00D03005" w:rsidRPr="003A42FB" w:rsidRDefault="00D03005"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W przypadku kiedy podmiot dysponujący rezerwacją częstotliwości nie wywiązuje się ze swoich zobowiązań podjętych w ramach postępowania selekcyjnego, a Prezes UKE uzna, że pokrycie terytorium Rzeczypospolitej Polskiej zasięgiem sieci telekomunikacyjnych nie jest wystarczające, może podjąć działania zmierzające do zapewnienia realizacji przez podmiot tych zobowiązań. W tym celu może w drodze decyzji zobowiązać podmiot dysponujący rezerwacją częstotliwości do wykorzystywania częstotliwości w sposób zgodny z tymi zobowiązaniami, określając harmonogram realizacji pokrycia zasięgiem sieci telekomunikacyjnych oraz obszary, które mają zostać objęte zasięgiem sieci telekomunikacyjnych lub odsetek mieszkańców, który ma zostać objęty tym zasięgiem. Decyzja w t</w:t>
      </w:r>
      <w:r w:rsidR="00DB4AE2" w:rsidRPr="003A42FB">
        <w:rPr>
          <w:rFonts w:ascii="Times New Roman" w:eastAsiaTheme="minorEastAsia" w:hAnsi="Times New Roman" w:cs="Times New Roman"/>
          <w:sz w:val="24"/>
          <w:szCs w:val="24"/>
        </w:rPr>
        <w:t>ej sprawie podlegać będzie postę</w:t>
      </w:r>
      <w:r w:rsidRPr="003A42FB">
        <w:rPr>
          <w:rFonts w:ascii="Times New Roman" w:eastAsiaTheme="minorEastAsia" w:hAnsi="Times New Roman" w:cs="Times New Roman"/>
          <w:sz w:val="24"/>
          <w:szCs w:val="24"/>
        </w:rPr>
        <w:t>powaniu konsultacyjnemu.</w:t>
      </w:r>
      <w:r w:rsidR="07736546" w:rsidRPr="003A42FB">
        <w:rPr>
          <w:rFonts w:ascii="Times New Roman" w:eastAsiaTheme="minorEastAsia" w:hAnsi="Times New Roman" w:cs="Times New Roman"/>
          <w:sz w:val="24"/>
          <w:szCs w:val="24"/>
        </w:rPr>
        <w:t xml:space="preserve"> Podkreślić należy, że przepis dotyczy wyłącznie sytuacji niewywiązywania się z już wcześniej podjętych przez podmiot zobowiązań.</w:t>
      </w:r>
      <w:r w:rsidR="2B7A23A2" w:rsidRPr="003A42FB">
        <w:rPr>
          <w:rFonts w:ascii="Times New Roman" w:eastAsiaTheme="minorEastAsia" w:hAnsi="Times New Roman" w:cs="Times New Roman"/>
          <w:sz w:val="24"/>
          <w:szCs w:val="24"/>
        </w:rPr>
        <w:t xml:space="preserve"> </w:t>
      </w:r>
      <w:r w:rsidR="2B7A23A2" w:rsidRPr="003A42FB">
        <w:rPr>
          <w:rFonts w:ascii="Times New Roman" w:hAnsi="Times New Roman" w:cs="Times New Roman"/>
          <w:sz w:val="24"/>
          <w:szCs w:val="24"/>
        </w:rPr>
        <w:t>Regulacje w zbliżonym kształcie funkcjonowały już na gruncie ustawy Pt.</w:t>
      </w:r>
    </w:p>
    <w:p w14:paraId="40F59280" w14:textId="7562FE75"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3532C54E" w:rsidRPr="003A42FB">
        <w:rPr>
          <w:rFonts w:ascii="Times New Roman" w:eastAsiaTheme="minorEastAsia" w:hAnsi="Times New Roman" w:cs="Times New Roman"/>
          <w:b/>
          <w:bCs/>
          <w:sz w:val="24"/>
          <w:szCs w:val="24"/>
        </w:rPr>
        <w:t>9</w:t>
      </w:r>
      <w:r w:rsidR="00294547">
        <w:rPr>
          <w:rFonts w:ascii="Times New Roman" w:eastAsiaTheme="minorEastAsia" w:hAnsi="Times New Roman" w:cs="Times New Roman"/>
          <w:b/>
          <w:bCs/>
          <w:sz w:val="24"/>
          <w:szCs w:val="24"/>
        </w:rPr>
        <w:t>8</w:t>
      </w:r>
    </w:p>
    <w:p w14:paraId="77AFEEEB"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stanowi wdrożenie do polskiego porządku prawnego wprowadzonego EKŁE przepisu art. 52 określającego specjalne środki mające na celu wspieranie konkurencji, które może zastosować Prezes UKE. Kodeks określa przy tym bardzo szeroki katalog środków, które państwa członkowie są obowiązane wprowadzić w swoich przepisach. Decyzja o ich zastosowaniu należy do krajowych organów regulacyjnych lub innych właściwych organów – w przypadku Polski do Prezesa UKE.</w:t>
      </w:r>
    </w:p>
    <w:p w14:paraId="34DFA148"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art. 52 EKŁE Prezes UKE w celu wspierania równoprawnej i skutecznej konkurencji, w szczególności zapobiegania nadmiernemu skupieniu częstotliwości przez podmiot lub podmioty z grupy kapitałowej, przyznając, zmieniając lub odnawiając rezerwację częstotliwości będzie mógł  min: ograniczyć zasoby częstotliwości przyznawane podmiotowi, nałożyć obowiązki w zakresie zapewnienia dostępu telekomunikacyjnego, w tym na potrzeby roamingu, w odniesieniu do danego zasobu częstotliwości lub zasobu o analogicznych właściwościach, odmówić przyznania całości lub części zasobu objętego wnioskiem jeżeli zachodzi potrzeba przeznaczenia tego zasobu dla nowego podmiotu, zakazać lub określić warunki zmiany podmiotu dysponującego rezerwacją częstotliwości lub wydzierżawienia lub przekazania do użytkowania częstotliwości objętych rezerwacją, gdy istnieje prawdopodobieństwo poważnego zakłócenia konkurencji, czy też odmówić zmiany rezerwacji częstotliwości, która prowadzi do zmiany sposobu wykorzystywania zasobu częstotliwości.</w:t>
      </w:r>
    </w:p>
    <w:p w14:paraId="4E17E68B"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Przepis EKŁE stanowi samodzielną odrębną instytucję prawną i w taki też sposób zaproponowano jego wdrożenie w projektowanej ustawie.</w:t>
      </w:r>
    </w:p>
    <w:p w14:paraId="4D465D09" w14:textId="71C8BD05" w:rsidR="00D03005" w:rsidRPr="003A42FB" w:rsidRDefault="000F496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753BA51B" w:rsidRPr="003A42FB">
        <w:rPr>
          <w:rFonts w:ascii="Times New Roman" w:eastAsiaTheme="minorEastAsia" w:hAnsi="Times New Roman" w:cs="Times New Roman"/>
          <w:b/>
          <w:bCs/>
          <w:sz w:val="24"/>
          <w:szCs w:val="24"/>
        </w:rPr>
        <w:t>9</w:t>
      </w:r>
      <w:r w:rsidR="00294547">
        <w:rPr>
          <w:rFonts w:ascii="Times New Roman" w:eastAsiaTheme="minorEastAsia" w:hAnsi="Times New Roman" w:cs="Times New Roman"/>
          <w:b/>
          <w:bCs/>
          <w:sz w:val="24"/>
          <w:szCs w:val="24"/>
        </w:rPr>
        <w:t>9</w:t>
      </w:r>
    </w:p>
    <w:p w14:paraId="1D55A1C7"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przesłanki zmiany lub cofnięcia rezerwacji częstotliwości przez Prezesa UKE. Przepis stanowi pośrednio wdrożenie art. 18 ust. 1 oraz art. 19 EKŁE dotyczących zmiany praw i obowiązków oraz ograniczenia lub cofnięcia praw. Zatem Prezes UKE może dokonać takiej ingerencji w prawa indywidualne wyłącznie w sytuacjach określonych w ustawie (katalog zamknięty), co zapewnia dokonywanie zmian tylko w przypadkach obiektywnie uzasadnionych i w sposób proporcjonalny.</w:t>
      </w:r>
    </w:p>
    <w:p w14:paraId="55728945"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Przesłanki nie różnią się od przesłanek funkcjonujących pod rządami ustawy Prawy telekomunikacyjne i obejmują w szczególności sytuacje stwierdzenia, że używanie urządzenia radiowego zgodnie z rezerwacją powoduje szkodliwe zakłócenia lub szkodliwe zaburzenia elektromagnetyczne, wystąpienia okoliczności prowadzących do zagrożenia obronności, bezpieczeństwa państwa lub bezpieczeństwa i porządku publicznego, nierozpoczęcia wykorzystywania częstotliwości objętych rezerwacją w terminie wskazanym w rezerwacji, wystąpienia powtarzających się naruszeń warunków wykorzystania częstotliwości lub obowiązku wnoszenia opłat za częstotliwości, niewywiązywania się z zobowiązań selekcyjnych, wystąpienia powtarzających się naruszeń warunków wykorzystania częstotliwości lub obowiązku wnoszenia opłat za częstotliwości, nieefektywnego wykorzystywania częstotliwości, czy też konieczności realizacji zobowiązań wynikających z wiążących Rzeczpospolitą Polską umów międzynarodowych lub aktów prawnych Unii Europejskiej, dotyczących gospodarowania częstotliwościami.</w:t>
      </w:r>
    </w:p>
    <w:p w14:paraId="55EFB4B7" w14:textId="080C86D0"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powielają także przewidziane w P</w:t>
      </w:r>
      <w:r w:rsidR="200EF84A" w:rsidRPr="003A42FB">
        <w:rPr>
          <w:rFonts w:ascii="Times New Roman" w:eastAsiaTheme="minorEastAsia" w:hAnsi="Times New Roman" w:cs="Times New Roman"/>
          <w:sz w:val="24"/>
          <w:szCs w:val="24"/>
        </w:rPr>
        <w:t>t</w:t>
      </w:r>
      <w:r w:rsidRPr="003A42FB">
        <w:rPr>
          <w:rFonts w:ascii="Times New Roman" w:eastAsiaTheme="minorEastAsia" w:hAnsi="Times New Roman" w:cs="Times New Roman"/>
          <w:sz w:val="24"/>
          <w:szCs w:val="24"/>
        </w:rPr>
        <w:t xml:space="preserve"> rozwiązanie i dają Prezesowi UKE narzędzia w postaci możliwości cofnięcia rezerwacji częstotliwości w sytuacji, gdy w wyniku przekształceń własnościowych dojdzie do nadmiernego skupienia częstotliwości w rękach jednego podmiotu. Prezes UKE będzie badać kwestie skupienia częstotliwości przy ich rozdysponowywaniu, np. określając spectrum capy w postępowaniu selekcyjnym lub dokonując rezerwacji częstotliwości na kolejny okres. Przepisy ustawy powinny także regulować kwestii nadmiernego skupienia częstotliwości, do którego może dojść w wyniku przekształceń własnościowych i które może przykładowo całkowicie zmienić obraz rynku wynikający z założeń określonego postępowania selekcyjnego. Należy podkreślić, że uprawnienie Prezesa UKE jest całkowicie niezależne od uprawnień Prezesa UOKiK w zakresie koncentracji. Prezes UKE nie wypowiada się w zakresie samej możliwości dokonania określonej transakcji handlowej, a jedynie ma uprawnienie do cofnięcia rezerwacji, jeżeli ta transakcja doprowadzi do nadmiernego skupienia częstotliwości, przy czym podmiot może w łatwy i szybki sposób, jeszcze przed dokonaniem takiej transakcji, uzyskać pewność</w:t>
      </w:r>
      <w:r w:rsidR="7FE18E9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czy organ regulacyjny będzie mógł skorzystać ze swojego uprawnienia.</w:t>
      </w:r>
    </w:p>
    <w:p w14:paraId="10AAF5BC"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Należy przy tym podkreślić, że przepis dotyczy sytuacji, gdy strony transakcji handlowej dysponują już rezerwacją częstotliwości. W przeciwnym razie nie doszłoby do nadmiernego skupienia częstotliwości przez podmiot lub grupę kapitałową. Jednocześnie druga strona transakcji nie musi bezpośrednio posiadać rezerwacji, ponieważ może nią dysponować inny podmiot grupy kapitałowej, do której należy np. podmiot przejmujący kontrolę. Dlatego przepis koncentruje się na skutku transakcji, czyli nadmiernym skupieniu częstotliwości.</w:t>
      </w:r>
    </w:p>
    <w:p w14:paraId="7032E3EA" w14:textId="3D086606"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nie określa terminu na zgłoszenie zamiaru przeprowadzenia transakcji – należy uznać, że regulacja taka jest zbędna, szczególnie, że funkcją tego przepisu jest danie podmiotowi określonego uprawnienia, z którego skorzystanie jest w pełni dobrowolne. Podmiot musi dokonać zgłoszenia przed dokonaniem transakcji, ponieważ przepis mówi wprost o „zamiarze” jej dokonania. Prezes UKE będzie miał zagwarantowany 30</w:t>
      </w:r>
      <w:r w:rsidR="09B5FB1F"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dniowy termin na rozpatrzenie </w:t>
      </w:r>
      <w:r w:rsidRPr="003A42FB">
        <w:rPr>
          <w:rFonts w:ascii="Times New Roman" w:eastAsiaTheme="minorEastAsia" w:hAnsi="Times New Roman" w:cs="Times New Roman"/>
          <w:sz w:val="24"/>
          <w:szCs w:val="24"/>
        </w:rPr>
        <w:lastRenderedPageBreak/>
        <w:t xml:space="preserve">zgłoszenia i zawiadomienie stron o swoim stanowisku. W przypadku gdy strony dokonają transakcji zanim Prezes UKE rozpatrzy zgłoszenie – znajdzie zastosowanie art. </w:t>
      </w:r>
      <w:r w:rsidR="6245610B" w:rsidRPr="003A42FB">
        <w:rPr>
          <w:rFonts w:ascii="Times New Roman" w:eastAsiaTheme="minorEastAsia" w:hAnsi="Times New Roman" w:cs="Times New Roman"/>
          <w:sz w:val="24"/>
          <w:szCs w:val="24"/>
        </w:rPr>
        <w:t>9</w:t>
      </w:r>
      <w:r w:rsidR="00294547">
        <w:rPr>
          <w:rFonts w:ascii="Times New Roman" w:eastAsiaTheme="minorEastAsia" w:hAnsi="Times New Roman" w:cs="Times New Roman"/>
          <w:sz w:val="24"/>
          <w:szCs w:val="24"/>
        </w:rPr>
        <w:t>9</w:t>
      </w:r>
      <w:r w:rsidRPr="003A42FB">
        <w:rPr>
          <w:rFonts w:ascii="Times New Roman" w:eastAsiaTheme="minorEastAsia" w:hAnsi="Times New Roman" w:cs="Times New Roman"/>
          <w:sz w:val="24"/>
          <w:szCs w:val="24"/>
        </w:rPr>
        <w:t xml:space="preserve"> ust. 1 pkt 10, co powinien wziąć pod uwagę podmiot chcący skorzystać z projektowanego uprawnienia. Uzasadnione jest przy tym zakreślenie 30-dniowego terminu dla Prezesa UKE, biorąc pod uwagę uregulowany w </w:t>
      </w:r>
      <w:r w:rsidR="00F94297" w:rsidRPr="003A42FB">
        <w:rPr>
          <w:rFonts w:ascii="Times New Roman" w:eastAsiaTheme="minorEastAsia" w:hAnsi="Times New Roman" w:cs="Times New Roman"/>
          <w:sz w:val="24"/>
          <w:szCs w:val="24"/>
        </w:rPr>
        <w:t>kpa</w:t>
      </w:r>
      <w:r w:rsidRPr="003A42FB">
        <w:rPr>
          <w:rFonts w:ascii="Times New Roman" w:eastAsiaTheme="minorEastAsia" w:hAnsi="Times New Roman" w:cs="Times New Roman"/>
          <w:sz w:val="24"/>
          <w:szCs w:val="24"/>
        </w:rPr>
        <w:t xml:space="preserve"> termin na załatwienie sprawy wymagającej postępowania wyjaśniającego (co do zasady 1 miesiąc, a w przypadku sprawy szczególnie skomplikowanej – maksymalnie 2 miesiące).</w:t>
      </w:r>
    </w:p>
    <w:p w14:paraId="07683E61"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Wprowadzono ponadto wyłączenie stosowania tego przepisu po upływie 5 lat od dnia dokonania transakcji handlowej. Podyktowane jest to potrzebą zagwarantowania pewności prawnej oraz ochroną dokonanych inwestycji, a ponadto zachowaniem spójności z przepisami zawartymi w UOKiK, które zawierają analogiczny termin w odniesieniu do kwestii koncentracji przedsiębiorców (art. 21 ust. 3 UOKiK).</w:t>
      </w:r>
    </w:p>
    <w:p w14:paraId="5BFC91A1"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ust. 6 pozwala na dokonanie zmian udzielonych już rezerwacji częstotliwości przez zamianę częstotliwości objętych rezerwacją na częstotliwości o analogicznych właściwościach, w celu uporządkowania przydziału widma w danym paśmie. Zamiana częstotliwości jest dopuszczona wyłącznie w ściśle określonych sytuacjach, niezbędnych z punktu widzenia prawidłowej gospodarki częstotliwościami, czyli reshufflingu i konieczności realizacji zobowiązań międzynarodowych. Należy również wskazać, że przepis ma umożliwić kontynuowanie działalności prowadzonej przy wykorzystaniu dotychczas posiadanych częstotliwości (np. podmioty, które świadczą usługę LTE będą oczekiwały, iż na podstawie projektowanego przepisu otrzymają częstotliwości o analogicznych właściwościach, tj. takie, które umożliwią im dalsze świadczenie tej samej usługi). Częstotliwościami analogicznymi powinny być przy tym takie, które mają to samo przeznaczenie (tj. przypisaną służbę) oraz użytkowanie – określone w Krajowej Tablicy Przeznaczeń Częstotliwości. Jednocześnie zgodnie z projektem ustawy wszelkie istotne zmiany rezerwacji będą podlegać obowiązkowym 30-dniowym konsultacjom, podczas których zainteresowane podmioty będą mogły wyrazić opinię, czy ich zdaniem przydzielane częstotliwości są analogiczne.</w:t>
      </w:r>
    </w:p>
    <w:p w14:paraId="5DB5EFB9"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Zmiany będą mogły dotyczyć całości lub części częstotliwości objętych rezerwacją, zaś Prezes UKE będzie mógł wszczynać i prowadzić jedno postępowanie oraz wydać jedną decyzję lub odrębne decyzje dla każdej z rezerwacji albo prowadzić odrębne postępowania zakończone wydaniem odrębnych decyzji. W efekcie możliwe będzie wprowadzenie nowych technologii w rozdysponowanych już zasobach, a także zwiększenie jakości świadczonych usług. </w:t>
      </w:r>
    </w:p>
    <w:p w14:paraId="5660F5F1" w14:textId="063EBBBD"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100</w:t>
      </w:r>
    </w:p>
    <w:p w14:paraId="00EC99A6"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wprowadza zamknięty katalog przesłanek skutkujących odmową udzielenia rezerwacji częstotliwości.  Należy przy tym jednak pamiętać, że ocenie podlega także kwestia spełnienia pozytywnych przesłanek wydania rezerwacji np. częstotliwości muszą być dostępne.</w:t>
      </w:r>
    </w:p>
    <w:p w14:paraId="5CEBA93F"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 2 reguluje natomiast sytuację odmowy wydania lub cofnięcia pozwolenia radiowego w okresie ważności rezerwacji.</w:t>
      </w:r>
    </w:p>
    <w:p w14:paraId="76207B28" w14:textId="515ECCDD" w:rsidR="2CB2DAB0" w:rsidRPr="003A42FB" w:rsidRDefault="2CB2DAB0"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33FD99E3" w14:textId="2FB5070C"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101</w:t>
      </w:r>
    </w:p>
    <w:p w14:paraId="71605C1C"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jest tożsamy z przepisem art. 123 ust. 13-14 Pt. Celem dodania ust. 13 i 14 było umożliwienie płynnego przeniesienia nadawców w zakres 470–694 MHz. Do realizacji tego celu niezbędne jest również dokonanie zmian w obowiązujących koncesjach w zakresie pasma 700 MHz. Aby móc wszcząć postępowanie w sprawie zmiany koncesji nadawców obecnych w paśmie 700 MHz, niezbędne jest wydanie przez Prezesa UKE decyzji o zmianie rezerwacji częstotliwości przeznaczonych do rozpowszechniania lub rozprowadzania programów w </w:t>
      </w:r>
      <w:r w:rsidRPr="003A42FB">
        <w:rPr>
          <w:rFonts w:ascii="Times New Roman" w:eastAsiaTheme="minorEastAsia" w:hAnsi="Times New Roman" w:cs="Times New Roman"/>
          <w:sz w:val="24"/>
          <w:szCs w:val="24"/>
        </w:rPr>
        <w:lastRenderedPageBreak/>
        <w:t xml:space="preserve">sposób cyfrowy drogą naziemną, zawierającej takie dane jak: multipleks, obszar rozpowszechniania oraz parametry sygnalizacyjne – identyfikatory ID. Dopiero na podstawie takiej ostatecznej decyzji Przewodniczący KRRiT może wszcząć postępowanie w sprawie zmiany koncesji, a co za tym idzie – dokonać zmiany koncesji. </w:t>
      </w:r>
    </w:p>
    <w:p w14:paraId="2EB2876F" w14:textId="4EDC127A"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102</w:t>
      </w:r>
    </w:p>
    <w:p w14:paraId="06CF4B55"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Podmiot rozpowszechniający programy radiofoniczne lub telewizyjne obowiązany jest uzyskać koncesję (zgodnie z ustawą z dnia 29 grudnia 1992 r. o radiofonii i telewizji) i rezerwację częstotliwości. Postępowania administracyjne w sprawie udzielenia, zmiany lub cofnięcia koncesji oraz rezerwacji częstotliwości są prowadzone niezależnie. Konieczne jest wskazanie wprost powiązania pomiędzy tymi postępowaniami, zwłaszcza w kwestii kolejności uzyskiwania tych uprawnień, szczególnie w przypadku cofnięcia koncesji na rozpowszechnianie programów radiofonicznych lub telewizyjnych i wygaśnięcia rezerwacji. Konieczne jest rozstrzygnięcie, że w takim przypadku wygaśnięcia koncesji wygasa również rezerwacja częstotliwości udzielona w celu wykonania wynikających z koncesji uprawnień.</w:t>
      </w:r>
    </w:p>
    <w:p w14:paraId="0C07FEDD" w14:textId="0DE274AA" w:rsidR="5AC8FA38" w:rsidRPr="003A42FB" w:rsidRDefault="5AC8FA38"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26CADB74" w14:textId="6BBDB838"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103</w:t>
      </w:r>
    </w:p>
    <w:p w14:paraId="4EABBAA2"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Zaproponowane przepisy mają charakter sankcyjny i nakładają na podmiot, któremu cofnięto rezerwację z powodu niewywiązywania się z obowiązku wnoszenia opłat za częstotliwości lub podmiot wyłoniony, na rzecz którego dokonano rezerwacji po przetargu, aukcji albo konkursie, a który nie uiścił dodatkowej opłaty za dokonanie rezerwacji lub będąc podmiotem wyłonionym w procedurze selekcyjnej zrezygnował z ubiegania się o rezerwację, zakaz ubiegania się o rezerwację przez określony czas (3 lub 6 lat).</w:t>
      </w:r>
    </w:p>
    <w:p w14:paraId="671D721E"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Wprowadzane mechanizmy mają nie tylko charakter sankcyjny, ale również prewencyjny, zabezpieczający prawidłowy przebieg bieżącego oraz kolejnych postępowań selekcyjnych. Wskazany w ust. 2, 3 i 4 termin 6 lat będzie odpowiednim środkiem prewencyjnym wobec podmiotów startujących w procedurach selekcyjnych, których zamiarem nie jest uzyskanie rezerwacji częstotliwości, a jedynie prowadzenie działań mających na celu utrudnienie uzyskania stosownej rezerwacji przez konkurentów. Chronione są w ten sposób interesy innych uczestników, jak i Skarbu Państwa.</w:t>
      </w:r>
    </w:p>
    <w:p w14:paraId="00849444" w14:textId="7C0F038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Zaproponowany termin jest adekwatny, biorąc pod uwagę fakt, że procedury selekcyjne (dotyczące najatrakcyjniejszych częstotliwości) przeprowadzane są coraz rzadziej (z uwagi na coraz mniejszą ilość widma radiowego, które może być przekazane do dysponowania). Sześcioletni okres zakazu jest zatem skorelowany z dotychczasową częstotliwością prowadzenia procedur selekcyjnych. Wprowadzenie krótszego okresu mogłoby doprowadzić do sytuacji, że taki nieuczciwy uczestnik procedury selekcyjnej nie poniósłby konsekwencji, a w związku z tym cel wprowadzenia ust. 2, 3 i 4 nie zostałby osiągnięty.</w:t>
      </w:r>
    </w:p>
    <w:p w14:paraId="269E9AF8" w14:textId="048DF9DD" w:rsidR="00D03005" w:rsidRPr="003A42FB" w:rsidRDefault="4BE524A0" w:rsidP="00C53EAB">
      <w:pPr>
        <w:tabs>
          <w:tab w:val="left" w:pos="360"/>
        </w:tabs>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Regulacje w zbliżonym kształcie funkcjonowały już na gruncie ustawy Pt.</w:t>
      </w:r>
    </w:p>
    <w:p w14:paraId="2562BF60" w14:textId="68513DBE" w:rsidR="00D03005" w:rsidRPr="003A42FB" w:rsidRDefault="00D03005"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bCs/>
          <w:sz w:val="24"/>
          <w:szCs w:val="24"/>
        </w:rPr>
        <w:t xml:space="preserve">Art. </w:t>
      </w:r>
      <w:r w:rsidR="00294547">
        <w:rPr>
          <w:rFonts w:ascii="Times New Roman" w:eastAsiaTheme="minorEastAsia" w:hAnsi="Times New Roman" w:cs="Times New Roman"/>
          <w:b/>
          <w:bCs/>
          <w:sz w:val="24"/>
          <w:szCs w:val="24"/>
        </w:rPr>
        <w:t>104</w:t>
      </w:r>
    </w:p>
    <w:p w14:paraId="399D471E"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Proponowany przepis wskazuje, że Prezes UKE będzie miał obowiązek publikacji na stronie podmiotowej BIP UKE informacji o zasobach zajętych, aktualizowania jej nie rzadziej niż raz w miesiącu, oraz możliwość publikacji informacji o zasobach dostępnych. Publikacja informacji zarówno o zajętych, jak i dostępnych zasobach lepiej pozwoli zainteresowanym podmiotom na zapoznanie się ze stanem rozdysponowania częstotliwości. </w:t>
      </w:r>
    </w:p>
    <w:p w14:paraId="05BBB9BD"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Obowiązek publikacji jedynie informacji o zasobach zajętych podyktowany jest względami praktycznymi, ponieważ nie można obiektywnie, we wszystkich przypadkach określić danej </w:t>
      </w:r>
      <w:r w:rsidRPr="003A42FB">
        <w:rPr>
          <w:rFonts w:ascii="Times New Roman" w:eastAsiaTheme="minorEastAsia" w:hAnsi="Times New Roman" w:cs="Times New Roman"/>
          <w:sz w:val="24"/>
          <w:szCs w:val="24"/>
        </w:rPr>
        <w:lastRenderedPageBreak/>
        <w:t>częstotliwości jako dostępnej. W niektórych przypadkach należy znać parametry stacji, wskazane we wniosku podmiotu, aby dokonać analizy i stwierdzić, czy dane częstotliwości są dostępne. Może to zostać zatem dokonane dopiero po wpłynięciu wniosku o rezerwację częstotliwości.</w:t>
      </w:r>
    </w:p>
    <w:p w14:paraId="514A5CA8"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Prezes UKE będzie publikował niezwłocznie na stronie podmiotowej BIP UKE informację o wpłynięciu wniosku o rezerwację częstotliwości na dostępny zasób, od którego to momentu liczony będzie 14-dniowy termin na złożenie wniosku o rezerwację częstotliwości w wyniku zainteresowania. Wskazać należy, że informacja może przyjąć dowolną formę, także publikacji samego wniosku. Celem wprowadzenia 14-dniowego terminu jest zabezpieczenie przejrzystości postępowania rezerwacyjnego i zagwarantowanie, że decyzja rezerwacyjna na dostępny zasób nie zostanie przydzielona podmiotowi, który złożył wniosek jako pierwszy, jeżeli inne podmioty także byłyby w tym momencie zainteresowane uzyskaniem rezerwacji. </w:t>
      </w:r>
    </w:p>
    <w:p w14:paraId="02A37027" w14:textId="759652BF" w:rsidR="00D03005" w:rsidRPr="003A42FB" w:rsidRDefault="00D03005" w:rsidP="20DBCFD5">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Wprowadzenie tego przepisu spowoduje także, że Prezes UKE będzie mógł dokonać rezerwacji na dostępny zasób częstotliwości nie wcześniej niż po upływie 14 dni od dnia publikacji informacji o wniosku o rezerwację na ten zasób. Rozwiązanie takie ma na celu wyeliminowanie ryzyka rozdysponowania częstotliwości bez uwzględnienia ewentualnego zainteresowania innych podmiotów tym zasobem. </w:t>
      </w:r>
    </w:p>
    <w:p w14:paraId="3337CA48"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należy wskazać, że powyższe rozwiązanie będzie miało zastosowanie również do sytuacji, gdy do Prezesa UKE wpłynie wniosek o rezerwację dostępnych częstotliwości, które nie zostały wskazane przez Prezesa UKE w informacji o dostępnym zasobie częstotliwości.</w:t>
      </w:r>
    </w:p>
    <w:p w14:paraId="31DF8AB9"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Zatem w przypadku wpłynięcia wniosku o rezerwację częstotliwości wskazanej jako dostępna Prezes UKE przeprowadza postępowanie administracyjne mające na celu wydanie rezerwacji częstotliwości. Jeżeli do czasu wydania decyzji rezerwacyjnej do Prezesa UKE nie wpłynie wniosek o dokonanie rezerwacji częstotliwości, czego wynikiem byłby brak dostatecznych zasobów częstotliwości, Prezes UKE wydaje decyzję bez procedury selekcyjnej.</w:t>
      </w:r>
    </w:p>
    <w:p w14:paraId="0AA182BE"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Natomiast w przypadku braku dostatecznych zasobów częstotliwości podmiot, dla którego zostanie dokonana rezerwacja częstotliwości, jest wyłaniany w drodze postępowania selekcyjnego: konkursu w przypadku rezerwacji częstotliwości na cele rozpowszechniania w sposób cyfrowy lub rozprowadzania programów radiofonicznych lub telewizyjnych, a w pozostałych przypadkach przetargu lub aukcji.</w:t>
      </w:r>
    </w:p>
    <w:p w14:paraId="2B270AB5" w14:textId="1803EEE3" w:rsidR="2CA0CCF4" w:rsidRPr="003A42FB" w:rsidRDefault="2CA0CCF4"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2B629577" w14:textId="0FBA968A"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E0ED426" w:rsidRPr="003A42FB">
        <w:rPr>
          <w:rFonts w:ascii="Times New Roman" w:eastAsiaTheme="minorEastAsia" w:hAnsi="Times New Roman" w:cs="Times New Roman"/>
          <w:b/>
          <w:bCs/>
          <w:sz w:val="24"/>
          <w:szCs w:val="24"/>
        </w:rPr>
        <w:t>10</w:t>
      </w:r>
      <w:r w:rsidR="00294547">
        <w:rPr>
          <w:rFonts w:ascii="Times New Roman" w:eastAsiaTheme="minorEastAsia" w:hAnsi="Times New Roman" w:cs="Times New Roman"/>
          <w:b/>
          <w:bCs/>
          <w:sz w:val="24"/>
          <w:szCs w:val="24"/>
        </w:rPr>
        <w:t>5</w:t>
      </w:r>
      <w:r w:rsidRPr="003A42FB">
        <w:rPr>
          <w:rFonts w:ascii="Times New Roman" w:eastAsiaTheme="minorEastAsia" w:hAnsi="Times New Roman" w:cs="Times New Roman"/>
          <w:b/>
          <w:bCs/>
          <w:sz w:val="24"/>
          <w:szCs w:val="24"/>
        </w:rPr>
        <w:t xml:space="preserve"> </w:t>
      </w:r>
    </w:p>
    <w:p w14:paraId="4AC3E0CD"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ogłasza postępowanie selekcyjne nie tylko w przypadku, kiedy podmiot złożył wniosek o rezerwację częstotliwości, a brak jest dostatecznych zasobów, ale także może to zrobić z własnej inicjatywy. Zasadniczo postępowanie ogłasza się na częstotliwości dostępne, jednak projektowany przepis pozwala na ogłoszenie selekcji na zajęte zasoby częstotliwości w przypadku których termin, w którym staną się one dostępne, będzie znany na</w:t>
      </w:r>
      <w:r w:rsidR="00DB4AE2" w:rsidRPr="003A42FB">
        <w:rPr>
          <w:rFonts w:ascii="Times New Roman" w:eastAsiaTheme="minorEastAsia" w:hAnsi="Times New Roman" w:cs="Times New Roman"/>
          <w:sz w:val="24"/>
          <w:szCs w:val="24"/>
        </w:rPr>
        <w:t>jpóźniej w dniu ogłoszenia postę</w:t>
      </w:r>
      <w:r w:rsidRPr="003A42FB">
        <w:rPr>
          <w:rFonts w:ascii="Times New Roman" w:eastAsiaTheme="minorEastAsia" w:hAnsi="Times New Roman" w:cs="Times New Roman"/>
          <w:sz w:val="24"/>
          <w:szCs w:val="24"/>
        </w:rPr>
        <w:t>powania selekcyjnego.</w:t>
      </w:r>
    </w:p>
    <w:p w14:paraId="1B3957A6" w14:textId="7DE4AFDB"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Wprowadzenie możliwości ogłoszenia procedury selekcyjnej odnośnie do zasobów częstotliwości, które nie są jeszcze dostępne, pozwoli zapewnić efektywne i ciągłe wykorzystywanie częstotliwości. Odmienne rozwiązanie skutkowałoby tym, że częstotliwości nie byłyby wykorzystywane nie tylko przez okres przygotowania i prowadzenia procedury selekcyjnej, ale również przez czas, w którym dysponent rezerwacji częstotliwości uzyskuje stosowne pozwolenia radiowe lub wpisy do rejestru urządzeń radiowych, które pozwolą mu na rozpoczęcie wykorzystywania częstotliwości i świadczenie usług. Proponowane rozwiązanie pozwoli zatem dysponentom rezerwacji częstotliwości na wcześniejsze przeprowadzenie prac </w:t>
      </w:r>
      <w:r w:rsidRPr="003A42FB">
        <w:rPr>
          <w:rFonts w:ascii="Times New Roman" w:eastAsiaTheme="minorEastAsia" w:hAnsi="Times New Roman" w:cs="Times New Roman"/>
          <w:sz w:val="24"/>
          <w:szCs w:val="24"/>
        </w:rPr>
        <w:lastRenderedPageBreak/>
        <w:t>związanych z planowaniem i budową sieci radiowej, co będzie skutkować szybszym (po dacie, od której będzie obowiązywała rezerwacja) rozpoczęciem wykorzystywania częstotliwości i świadczenia usług. Przykładowo, do wcześniejszego rozdysponowania częstotliwości mogłoby dojść w sytuacji, w której podmiot dysponujący rezerwacją częstotliwości nie złoży w wymaganym terminie wniosku o dokonanie rezerwacji na kolejny okres lub też w przypadku, gdy Prezes UKE zawrze porozumienie z MON o przekazaniu przez MON w określonej przyszłości częstotliwości do wykorzystywania cywilnego.</w:t>
      </w:r>
    </w:p>
    <w:p w14:paraId="4D561F8C" w14:textId="70343A43" w:rsidR="00D03005" w:rsidRPr="003A42FB" w:rsidRDefault="5FDD6533" w:rsidP="00C53EAB">
      <w:pPr>
        <w:tabs>
          <w:tab w:val="left" w:pos="360"/>
        </w:tabs>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Regulacje w zbliżonym kształcie funkcjonowały już na gruncie ustawy Pt.</w:t>
      </w:r>
    </w:p>
    <w:p w14:paraId="46B2E2B2" w14:textId="042DF0EC" w:rsidR="4D5B2FA0"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sz w:val="24"/>
          <w:szCs w:val="24"/>
        </w:rPr>
        <w:t xml:space="preserve">Art. </w:t>
      </w:r>
      <w:r w:rsidR="1997558A" w:rsidRPr="003A42FB">
        <w:rPr>
          <w:rFonts w:ascii="Times New Roman" w:eastAsiaTheme="minorEastAsia" w:hAnsi="Times New Roman" w:cs="Times New Roman"/>
          <w:b/>
          <w:bCs/>
          <w:sz w:val="24"/>
          <w:szCs w:val="24"/>
        </w:rPr>
        <w:t>10</w:t>
      </w:r>
      <w:r w:rsidR="00294547">
        <w:rPr>
          <w:rFonts w:ascii="Times New Roman" w:eastAsiaTheme="minorEastAsia" w:hAnsi="Times New Roman" w:cs="Times New Roman"/>
          <w:b/>
          <w:bCs/>
          <w:sz w:val="24"/>
          <w:szCs w:val="24"/>
        </w:rPr>
        <w:t>6</w:t>
      </w:r>
      <w:r w:rsidR="4D5B2FA0" w:rsidRPr="003A42FB">
        <w:rPr>
          <w:rFonts w:ascii="Times New Roman" w:eastAsiaTheme="minorEastAsia" w:hAnsi="Times New Roman" w:cs="Times New Roman"/>
          <w:b/>
          <w:bCs/>
          <w:sz w:val="24"/>
          <w:szCs w:val="24"/>
        </w:rPr>
        <w:t xml:space="preserve"> </w:t>
      </w:r>
    </w:p>
    <w:p w14:paraId="376CC93D" w14:textId="0724D4E2" w:rsidR="77D6BA89" w:rsidRPr="003A42FB" w:rsidRDefault="4D5B2FA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wprost wskazuje, że postępowanie selekcyjne, czyli konkurs, przetarg lub </w:t>
      </w:r>
      <w:r w:rsidR="00DE19F2" w:rsidRPr="003A42FB">
        <w:rPr>
          <w:rFonts w:ascii="Times New Roman" w:eastAsiaTheme="minorEastAsia" w:hAnsi="Times New Roman" w:cs="Times New Roman"/>
          <w:sz w:val="24"/>
          <w:szCs w:val="24"/>
        </w:rPr>
        <w:t>aukcję przeprowadza Prezes UKE</w:t>
      </w:r>
      <w:r w:rsidR="10F20D54" w:rsidRPr="003A42FB">
        <w:rPr>
          <w:rFonts w:ascii="Times New Roman" w:eastAsiaTheme="minorEastAsia" w:hAnsi="Times New Roman" w:cs="Times New Roman"/>
          <w:sz w:val="24"/>
          <w:szCs w:val="24"/>
        </w:rPr>
        <w:t>, tak jak wynikało to już z Pt</w:t>
      </w:r>
      <w:r w:rsidR="00DE19F2" w:rsidRPr="003A42FB">
        <w:rPr>
          <w:rFonts w:ascii="Times New Roman" w:eastAsiaTheme="minorEastAsia" w:hAnsi="Times New Roman" w:cs="Times New Roman"/>
          <w:sz w:val="24"/>
          <w:szCs w:val="24"/>
        </w:rPr>
        <w:t>.</w:t>
      </w:r>
    </w:p>
    <w:p w14:paraId="7BFCD1A0" w14:textId="71803777" w:rsidR="00D03005" w:rsidRPr="003A42FB" w:rsidRDefault="000F496D"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FA62C5C" w:rsidRPr="003A42FB">
        <w:rPr>
          <w:rFonts w:ascii="Times New Roman" w:eastAsiaTheme="minorEastAsia" w:hAnsi="Times New Roman" w:cs="Times New Roman"/>
          <w:b/>
          <w:bCs/>
          <w:sz w:val="24"/>
          <w:szCs w:val="24"/>
        </w:rPr>
        <w:t>10</w:t>
      </w:r>
      <w:r w:rsidR="00294547">
        <w:rPr>
          <w:rFonts w:ascii="Times New Roman" w:eastAsiaTheme="minorEastAsia" w:hAnsi="Times New Roman" w:cs="Times New Roman"/>
          <w:b/>
          <w:bCs/>
          <w:sz w:val="24"/>
          <w:szCs w:val="24"/>
        </w:rPr>
        <w:t>7</w:t>
      </w:r>
    </w:p>
    <w:p w14:paraId="77689BFB" w14:textId="2AF45C1D"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Proponuje się utrzymanie </w:t>
      </w:r>
      <w:r w:rsidR="42A29DD0" w:rsidRPr="003A42FB">
        <w:rPr>
          <w:rFonts w:ascii="Times New Roman" w:eastAsiaTheme="minorEastAsia" w:hAnsi="Times New Roman" w:cs="Times New Roman"/>
          <w:sz w:val="24"/>
          <w:szCs w:val="24"/>
        </w:rPr>
        <w:t xml:space="preserve">znanego z Pt </w:t>
      </w:r>
      <w:r w:rsidRPr="003A42FB">
        <w:rPr>
          <w:rFonts w:ascii="Times New Roman" w:eastAsiaTheme="minorEastAsia" w:hAnsi="Times New Roman" w:cs="Times New Roman"/>
          <w:sz w:val="24"/>
          <w:szCs w:val="24"/>
        </w:rPr>
        <w:t xml:space="preserve">rozwiązania, zgodnie z którym postępowanie selekcyjne jest postępowaniem odrębnym od postępowania rezerwacyjnego i nie stosuje się do niego przepisów </w:t>
      </w:r>
      <w:r w:rsidR="00F94297" w:rsidRPr="003A42FB">
        <w:rPr>
          <w:rFonts w:ascii="Times New Roman" w:eastAsiaTheme="minorEastAsia" w:hAnsi="Times New Roman" w:cs="Times New Roman"/>
          <w:sz w:val="24"/>
          <w:szCs w:val="24"/>
        </w:rPr>
        <w:t>kpa</w:t>
      </w:r>
      <w:r w:rsidRPr="003A42FB">
        <w:rPr>
          <w:rFonts w:ascii="Times New Roman" w:eastAsiaTheme="minorEastAsia" w:hAnsi="Times New Roman" w:cs="Times New Roman"/>
          <w:sz w:val="24"/>
          <w:szCs w:val="24"/>
        </w:rPr>
        <w:t>. Celem postępowania selekcyjnego jest niejako wyłonienie uczestników postępowania rezerwacyjnego.</w:t>
      </w:r>
    </w:p>
    <w:p w14:paraId="4AB99DF0"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Wskazanie w przepisie, że termin zakończenia postępowania selekcyjnego nie może być dłuższy niż 8 miesięcy od dnia wpłynięcia wniosku o rezerwację częstotliwości wynika wprost z konieczności implementacji art. 55 ust. 7 EKŁE. Należy podkreślić, że termin ten ma charakter procesowy.</w:t>
      </w:r>
    </w:p>
    <w:p w14:paraId="6946C08E" w14:textId="5EDCD71A"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A36FBFB" w:rsidRPr="003A42FB">
        <w:rPr>
          <w:rFonts w:ascii="Times New Roman" w:eastAsiaTheme="minorEastAsia" w:hAnsi="Times New Roman" w:cs="Times New Roman"/>
          <w:b/>
          <w:sz w:val="24"/>
          <w:szCs w:val="24"/>
        </w:rPr>
        <w:t>10</w:t>
      </w:r>
      <w:r w:rsidR="00294547">
        <w:rPr>
          <w:rFonts w:ascii="Times New Roman" w:eastAsiaTheme="minorEastAsia" w:hAnsi="Times New Roman" w:cs="Times New Roman"/>
          <w:b/>
          <w:sz w:val="24"/>
          <w:szCs w:val="24"/>
        </w:rPr>
        <w:t>8</w:t>
      </w:r>
    </w:p>
    <w:p w14:paraId="34FEC2E6"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wdrożenie art. 55 ust. 1, 2 i 3 EKŁE.</w:t>
      </w:r>
    </w:p>
    <w:p w14:paraId="03D7BA6C"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proponowanym przepisem i ust. 1 art. 55 EKŁE przed rozpoczęciem postępowania selekcyjnego Prezes UKE przeprowadza postępowanie konsultacyjne w ramach którego udostępnia projekt rozstrzygnięcia, projekt ogłoszenia i projekt dokumentacji, a także podaje przyczyny wyboru trybu postępowania selekcyjnego oraz cele, których osiągnięciu ma służyć to postępowanie. </w:t>
      </w:r>
    </w:p>
    <w:p w14:paraId="08F21DF6"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 ust. 2 wskazuje założenia jakimi oprócz wspierania równoprawnej konkurencji, która jest niejako celem nadrzędnym może kierować się Prezes UKE określając cele konkretnego postępowania. Oczywiście wybór zależeć będzie od sytuacji rynkowej, występujących na rynku problemów, celów polityki rządu itp.</w:t>
      </w:r>
    </w:p>
    <w:p w14:paraId="5C206A6C" w14:textId="5934D87C"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B1BF98F" w:rsidRPr="003A42FB">
        <w:rPr>
          <w:rFonts w:ascii="Times New Roman" w:eastAsiaTheme="minorEastAsia" w:hAnsi="Times New Roman" w:cs="Times New Roman"/>
          <w:b/>
          <w:bCs/>
          <w:sz w:val="24"/>
          <w:szCs w:val="24"/>
        </w:rPr>
        <w:t>10</w:t>
      </w:r>
      <w:r w:rsidR="00294547">
        <w:rPr>
          <w:rFonts w:ascii="Times New Roman" w:eastAsiaTheme="minorEastAsia" w:hAnsi="Times New Roman" w:cs="Times New Roman"/>
          <w:b/>
          <w:bCs/>
          <w:sz w:val="24"/>
          <w:szCs w:val="24"/>
        </w:rPr>
        <w:t>9</w:t>
      </w:r>
    </w:p>
    <w:p w14:paraId="31CB92BA"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dotyczy postępowania selekcyjnego zmierzającego do rozdysponowania częstotliwości zharmonizowanych na potrzeby świadczenia bezprzewodowych usług szerokopasmowych. W odniesieniu do tego zasobu art. 23 ust. 2 oraz 35 EKŁE przewiduje dodatkową procedurę wykorzystującą mechanizm koordynacji w ramach UE.</w:t>
      </w:r>
    </w:p>
    <w:p w14:paraId="6083B198"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Zespół ds. Polityki Spektrum Radiowego (RSPG), na wniosek krajowego organu regulacyjnego lub innego właściwego organu lub wyjątkowo z własnej inicjatywy, zwołuje tzw. „forum wzajemnej oceny” do przeanalizowania projektowanych środków, zanim dane państwo członkowskie przyzna prawa użytkowania, czyli udzieli rezerwacji częstotliwości. Forum wzajemnej oceny jest instrumentem wzajemnego uczenia się i wymiany najlepszych praktyk.</w:t>
      </w:r>
    </w:p>
    <w:p w14:paraId="4BE6DE04"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projektowanym przepisem wraz z wszczęciem postępowania konsultacyjnego Prezes UKE informuje RSPG o zamiarze i planowanych warunkach rozdysponowania w drodze postępowania selekcyjnego zharmonizowanych częstotliwości na potrzeby świadczenia </w:t>
      </w:r>
      <w:r w:rsidRPr="003A42FB">
        <w:rPr>
          <w:rFonts w:ascii="Times New Roman" w:eastAsiaTheme="minorEastAsia" w:hAnsi="Times New Roman" w:cs="Times New Roman"/>
          <w:sz w:val="24"/>
          <w:szCs w:val="24"/>
        </w:rPr>
        <w:lastRenderedPageBreak/>
        <w:t>bezprzewodowych usług szerokopasmowych. Prezes UKE może zwrócić się do RSPG o zwołanie forum wzajemnej oceny, a w szczególnych przypadkach zwołanie forum następuje z inicjatywy RSPG.</w:t>
      </w:r>
    </w:p>
    <w:p w14:paraId="0354A769"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zwołania forum wzajemnej oceny Prezes UKE będzie obowiązany do udzielenia wskazanych w ustawie wyjaśnień.</w:t>
      </w:r>
    </w:p>
    <w:p w14:paraId="5E75082F" w14:textId="5B61F74B"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4EA62AC2" w:rsidRPr="003A42FB">
        <w:rPr>
          <w:rFonts w:ascii="Times New Roman" w:eastAsiaTheme="minorEastAsia" w:hAnsi="Times New Roman" w:cs="Times New Roman"/>
          <w:b/>
          <w:bCs/>
          <w:sz w:val="24"/>
          <w:szCs w:val="24"/>
        </w:rPr>
        <w:t>1</w:t>
      </w:r>
      <w:r w:rsidR="00294547">
        <w:rPr>
          <w:rFonts w:ascii="Times New Roman" w:eastAsiaTheme="minorEastAsia" w:hAnsi="Times New Roman" w:cs="Times New Roman"/>
          <w:b/>
          <w:bCs/>
          <w:sz w:val="24"/>
          <w:szCs w:val="24"/>
        </w:rPr>
        <w:t>10</w:t>
      </w:r>
    </w:p>
    <w:p w14:paraId="160B04AD"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 zakończeniu postępowania konsultacyjnego Prezes UKE niezwłocznie ogłasza postępowanie selekcyjne. Na stronie podmiotowej BIP UKE publikuje się ogłoszenie o przetargu, aukcji albo konkursie, dokumentację przetargową, aukcyjną albo konkursową oraz projekt decyzji w sprawie rezerwacji częstotliwości. W ogłoszeniu informuje się o rozpoczęciu postępowania selekcyjnego oraz terminie na złożenie ofert.</w:t>
      </w:r>
    </w:p>
    <w:p w14:paraId="1385556D" w14:textId="570E1399" w:rsidR="536D9627" w:rsidRPr="003A42FB" w:rsidRDefault="536D9627"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65B22826" w14:textId="5858E7D0"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661B209A" w:rsidRPr="003A42FB">
        <w:rPr>
          <w:rFonts w:ascii="Times New Roman" w:eastAsiaTheme="minorEastAsia" w:hAnsi="Times New Roman" w:cs="Times New Roman"/>
          <w:b/>
          <w:bCs/>
          <w:sz w:val="24"/>
          <w:szCs w:val="24"/>
        </w:rPr>
        <w:t>1</w:t>
      </w:r>
      <w:r w:rsidR="00294547">
        <w:rPr>
          <w:rFonts w:ascii="Times New Roman" w:eastAsiaTheme="minorEastAsia" w:hAnsi="Times New Roman" w:cs="Times New Roman"/>
          <w:b/>
          <w:bCs/>
          <w:sz w:val="24"/>
          <w:szCs w:val="24"/>
        </w:rPr>
        <w:t>11</w:t>
      </w:r>
    </w:p>
    <w:p w14:paraId="030536FE" w14:textId="65C20228"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Uregulowanie uprawniające Prezesa UKE do odwołania postępowania selekcyjnego w terminie wyznaczonym na złożenie ofert, który został określony w ogłoszeniu, jeżeli taka możliwość została zastrzeżona w treści dokumentacji jest uzasadnione potrzebą umożliwienia Prezesowi UKE rezygnacji z przeprowadzenia postępowania, jeżeli jego przeprowadzenie, z powodu zmienionych warunków, byłoby niezasadne. Ust. </w:t>
      </w:r>
      <w:r w:rsidR="00ED6522">
        <w:rPr>
          <w:rFonts w:ascii="Times New Roman" w:eastAsiaTheme="minorEastAsia" w:hAnsi="Times New Roman" w:cs="Times New Roman"/>
          <w:sz w:val="24"/>
          <w:szCs w:val="24"/>
        </w:rPr>
        <w:t>4</w:t>
      </w:r>
      <w:r w:rsidR="00ED652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reguluje kwestie zwrotu dokumentów oraz wadium.</w:t>
      </w:r>
    </w:p>
    <w:p w14:paraId="6BB1E4DF" w14:textId="2205486F" w:rsidR="1751D01A" w:rsidRPr="003A42FB" w:rsidRDefault="1751D01A"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 xml:space="preserve">Regulacje w </w:t>
      </w:r>
      <w:r w:rsidR="7A2B1CA9" w:rsidRPr="003A42FB">
        <w:rPr>
          <w:rFonts w:ascii="Times New Roman" w:hAnsi="Times New Roman" w:cs="Times New Roman"/>
          <w:sz w:val="24"/>
          <w:szCs w:val="24"/>
        </w:rPr>
        <w:t>tożsamym</w:t>
      </w:r>
      <w:r w:rsidRPr="003A42FB">
        <w:rPr>
          <w:rFonts w:ascii="Times New Roman" w:hAnsi="Times New Roman" w:cs="Times New Roman"/>
          <w:sz w:val="24"/>
          <w:szCs w:val="24"/>
        </w:rPr>
        <w:t xml:space="preserve"> kształcie funkcjonowały już na gruncie ustawy Pt.</w:t>
      </w:r>
    </w:p>
    <w:p w14:paraId="045FCB82" w14:textId="5ED9B270" w:rsidR="00D03005" w:rsidRPr="003A42FB" w:rsidRDefault="000F496D"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3A4724C2" w:rsidRPr="003A42FB">
        <w:rPr>
          <w:rFonts w:ascii="Times New Roman" w:eastAsiaTheme="minorEastAsia" w:hAnsi="Times New Roman" w:cs="Times New Roman"/>
          <w:b/>
          <w:bCs/>
          <w:sz w:val="24"/>
          <w:szCs w:val="24"/>
        </w:rPr>
        <w:t>1</w:t>
      </w:r>
      <w:r w:rsidR="00294547">
        <w:rPr>
          <w:rFonts w:ascii="Times New Roman" w:eastAsiaTheme="minorEastAsia" w:hAnsi="Times New Roman" w:cs="Times New Roman"/>
          <w:b/>
          <w:bCs/>
          <w:sz w:val="24"/>
          <w:szCs w:val="24"/>
        </w:rPr>
        <w:t>12</w:t>
      </w:r>
    </w:p>
    <w:p w14:paraId="06606B04"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elementy, które powinna zawierać dokumentacja postępowania selekcyjnego, przy czym należy zwrócić uwagę, że jest to katalog otwarty.</w:t>
      </w:r>
    </w:p>
    <w:p w14:paraId="74D09D89"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Dokumentację udostępnia się za opłatą, która nie może przekroczyć kosztów wykonania dokumentacji. Opłata jest pobierana przez Urząd Komunikacji Elektronicznej.</w:t>
      </w:r>
    </w:p>
    <w:p w14:paraId="21BC1DD1" w14:textId="76B1806B" w:rsidR="25BC1E94" w:rsidRPr="003A42FB" w:rsidRDefault="25BC1E94"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tożsamym kształcie funkcjonowały już na gruncie ustawy Pt.</w:t>
      </w:r>
    </w:p>
    <w:p w14:paraId="46B16C73" w14:textId="609F60D5" w:rsidR="00D03005" w:rsidRPr="003A42FB" w:rsidRDefault="000F496D"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8D992BD" w:rsidRPr="003A42FB">
        <w:rPr>
          <w:rFonts w:ascii="Times New Roman" w:eastAsiaTheme="minorEastAsia" w:hAnsi="Times New Roman" w:cs="Times New Roman"/>
          <w:b/>
          <w:bCs/>
          <w:sz w:val="24"/>
          <w:szCs w:val="24"/>
        </w:rPr>
        <w:t>1</w:t>
      </w:r>
      <w:r w:rsidR="00294547">
        <w:rPr>
          <w:rFonts w:ascii="Times New Roman" w:eastAsiaTheme="minorEastAsia" w:hAnsi="Times New Roman" w:cs="Times New Roman"/>
          <w:b/>
          <w:bCs/>
          <w:sz w:val="24"/>
          <w:szCs w:val="24"/>
        </w:rPr>
        <w:t>13</w:t>
      </w:r>
    </w:p>
    <w:p w14:paraId="5BE5E14D"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określa uprawnienia Prezesa UKE w zakresie stosowania w aukcji i przetargu tzw. </w:t>
      </w:r>
      <w:r w:rsidRPr="003A42FB">
        <w:rPr>
          <w:rFonts w:ascii="Times New Roman" w:eastAsiaTheme="minorEastAsia" w:hAnsi="Times New Roman" w:cs="Times New Roman"/>
          <w:i/>
          <w:iCs/>
          <w:sz w:val="24"/>
          <w:szCs w:val="24"/>
        </w:rPr>
        <w:t>spectrum caps</w:t>
      </w:r>
      <w:r w:rsidRPr="003A42FB">
        <w:rPr>
          <w:rFonts w:ascii="Times New Roman" w:eastAsiaTheme="minorEastAsia" w:hAnsi="Times New Roman" w:cs="Times New Roman"/>
          <w:sz w:val="24"/>
          <w:szCs w:val="24"/>
        </w:rPr>
        <w:t xml:space="preserve">, które są narzędziem powszechnie używanym w Europie i na świecie w celu kształtowania przez regulatora popytu na częstotliwości zgłaszanego w ramach konkurencyjnych procedur selekcyjnych. Celem </w:t>
      </w:r>
      <w:r w:rsidRPr="003A42FB">
        <w:rPr>
          <w:rFonts w:ascii="Times New Roman" w:eastAsiaTheme="minorEastAsia" w:hAnsi="Times New Roman" w:cs="Times New Roman"/>
          <w:i/>
          <w:iCs/>
          <w:sz w:val="24"/>
          <w:szCs w:val="24"/>
        </w:rPr>
        <w:t>spectrum caps</w:t>
      </w:r>
      <w:r w:rsidRPr="003A42FB">
        <w:rPr>
          <w:rFonts w:ascii="Times New Roman" w:eastAsiaTheme="minorEastAsia" w:hAnsi="Times New Roman" w:cs="Times New Roman"/>
          <w:sz w:val="24"/>
          <w:szCs w:val="24"/>
        </w:rPr>
        <w:t xml:space="preserve"> jest zapewnienie takiej dystrybucji zasobów częstotliwości pomiędzy uczestników rynku, która będzie wspierać, a nie przeciwdziałać równoprawnej konkurencji między tymi podmiotami. W szczególności chodzi o zapobieganie gromadzeniu nadmiernych zasobów częstotliwości w rękach danego podmiotu lub grupy kapitałowej. Konieczne z regulacyjnego punktu widzenia może się również okazać wspieranie takiej dystrybucji widma, aby komplementarne zasoby częstotliwości znajdowały się w rękach jednego podmiotu (grupy kapitałowej), gdyż wówczas będą one najefektywniej wykorzystywane.</w:t>
      </w:r>
    </w:p>
    <w:p w14:paraId="67390440" w14:textId="1A8A7749"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 postulowanym brzmieniu</w:t>
      </w:r>
      <w:r w:rsidR="7FC68432" w:rsidRPr="003A42FB">
        <w:rPr>
          <w:rFonts w:ascii="Times New Roman" w:eastAsiaTheme="minorEastAsia" w:hAnsi="Times New Roman" w:cs="Times New Roman"/>
          <w:sz w:val="24"/>
          <w:szCs w:val="24"/>
        </w:rPr>
        <w:t xml:space="preserve">, które funkcjonowało </w:t>
      </w:r>
      <w:r w:rsidR="741EAD41" w:rsidRPr="003A42FB">
        <w:rPr>
          <w:rFonts w:ascii="Times New Roman" w:eastAsiaTheme="minorEastAsia" w:hAnsi="Times New Roman" w:cs="Times New Roman"/>
          <w:sz w:val="24"/>
          <w:szCs w:val="24"/>
        </w:rPr>
        <w:t>już</w:t>
      </w:r>
      <w:r w:rsidRPr="003A42FB">
        <w:rPr>
          <w:rFonts w:ascii="Times New Roman" w:eastAsiaTheme="minorEastAsia" w:hAnsi="Times New Roman" w:cs="Times New Roman"/>
          <w:sz w:val="24"/>
          <w:szCs w:val="24"/>
        </w:rPr>
        <w:t xml:space="preserve"> </w:t>
      </w:r>
      <w:r w:rsidR="741EAD41" w:rsidRPr="003A42FB">
        <w:rPr>
          <w:rFonts w:ascii="Times New Roman" w:eastAsiaTheme="minorEastAsia" w:hAnsi="Times New Roman" w:cs="Times New Roman"/>
          <w:sz w:val="24"/>
          <w:szCs w:val="24"/>
        </w:rPr>
        <w:t xml:space="preserve">w ustawie Pt, </w:t>
      </w:r>
      <w:r w:rsidRPr="003A42FB">
        <w:rPr>
          <w:rFonts w:ascii="Times New Roman" w:eastAsiaTheme="minorEastAsia" w:hAnsi="Times New Roman" w:cs="Times New Roman"/>
          <w:sz w:val="24"/>
          <w:szCs w:val="24"/>
        </w:rPr>
        <w:t>będzie pozwalać Prezesowi UKE na następujące działania:</w:t>
      </w:r>
    </w:p>
    <w:p w14:paraId="467370CE" w14:textId="1AF2B192" w:rsidR="00D03005" w:rsidRPr="003A42FB" w:rsidRDefault="717EBA66"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t>
      </w:r>
      <w:r w:rsidR="3878D3B4" w:rsidRPr="003A42FB">
        <w:rPr>
          <w:rFonts w:ascii="Times New Roman" w:eastAsiaTheme="minorEastAsia" w:hAnsi="Times New Roman" w:cs="Times New Roman"/>
          <w:sz w:val="24"/>
          <w:szCs w:val="24"/>
        </w:rPr>
        <w:t xml:space="preserve"> </w:t>
      </w:r>
      <w:r w:rsidR="00D03005"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wykluczenie od udziału w przetargu (aukcji) danego podmiotu, jeśli ten podmiot posiada już określony zasób częstotliwości lub jeśli posiada go grupa kapitałowa, do której ten podmiot należy;</w:t>
      </w:r>
    </w:p>
    <w:p w14:paraId="646C246F" w14:textId="627F2AF1" w:rsidR="00D03005" w:rsidRPr="003A42FB" w:rsidRDefault="717EBA66"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w:t>
      </w:r>
      <w:r w:rsidR="78B57E17" w:rsidRPr="003A42FB">
        <w:rPr>
          <w:rFonts w:ascii="Times New Roman" w:eastAsiaTheme="minorEastAsia" w:hAnsi="Times New Roman" w:cs="Times New Roman"/>
          <w:sz w:val="24"/>
          <w:szCs w:val="24"/>
        </w:rPr>
        <w:t xml:space="preserve"> </w:t>
      </w:r>
      <w:r w:rsidR="00D03005"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ograniczenie popytu, jaki w przetargu (aukcji) może zgłosić dany podmiot, jeśli ten podmiot posiada już określony zasób częstotliwości lub jeśli posiada go grupa kapitałowa, do której ten podmiot należy – w praktyce warunki przetargu mogłyby np. wskazywać, że dany podmiot może ubiegać się w przetargu/aukcji o taką ilość widma, która łącznie z posiadanym już (w ramach grupy kapitałowej) zasobem nie przekroczy x MHz;</w:t>
      </w:r>
    </w:p>
    <w:p w14:paraId="67FCD857" w14:textId="31AC20CA" w:rsidR="00D03005" w:rsidRPr="003A42FB" w:rsidRDefault="717EBA66"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t>
      </w:r>
      <w:r w:rsidR="4CA237CB" w:rsidRPr="003A42FB">
        <w:rPr>
          <w:rFonts w:ascii="Times New Roman" w:eastAsiaTheme="minorEastAsia" w:hAnsi="Times New Roman" w:cs="Times New Roman"/>
          <w:sz w:val="24"/>
          <w:szCs w:val="24"/>
        </w:rPr>
        <w:t xml:space="preserve"> </w:t>
      </w:r>
      <w:r w:rsidR="00D03005"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wskazanie, że w przetargu (aukcji) może wziąć udział tylko taki podmiot, który już posiada określony zasób częstotliwości lub też posiada go grupa kapitałowa, do której ten podmiot należy – dotyczy to sytuacji, gdy nie jest wskazane wprowadzanie na rynek podmiotu niedysponującego (samodzielnie lub w ramach grupy kapitałowej) określonym zasobem częstotliwości. Sytuacja taka może wystąpić, gdy częstotliwości przeznaczone do rozdysponowania mają stanowić dopełnienie już rozdysponowanego zasobu i wpłynąć na poprawę jakości świadczonych usług;</w:t>
      </w:r>
    </w:p>
    <w:p w14:paraId="0F6C5D7C"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Należy przy tym podkreślić, że w każdym z powyższych przypadków badanie posiadanych zasobów częstotliwości odbywa się na poziomie całej grupy kapitałowej, a nie pojedynczych podmiotów, zgodnie z doktryną </w:t>
      </w:r>
      <w:r w:rsidRPr="003A42FB">
        <w:rPr>
          <w:rFonts w:ascii="Times New Roman" w:eastAsiaTheme="minorEastAsia" w:hAnsi="Times New Roman" w:cs="Times New Roman"/>
          <w:i/>
          <w:iCs/>
          <w:sz w:val="24"/>
          <w:szCs w:val="24"/>
        </w:rPr>
        <w:t>single economic unit</w:t>
      </w:r>
      <w:r w:rsidRPr="003A42FB">
        <w:rPr>
          <w:rFonts w:ascii="Times New Roman" w:eastAsiaTheme="minorEastAsia" w:hAnsi="Times New Roman" w:cs="Times New Roman"/>
          <w:sz w:val="24"/>
          <w:szCs w:val="24"/>
        </w:rPr>
        <w:t xml:space="preserve"> wypracowaną na gruncie prawa ochrony konkurencji. Innymi słowy Prezes UKE zlicza zasoby częstotliwości posiadane przez wszystkie podmioty należące do danej grupy kapitałowej i na tej podstawie ocenia, czy dany podmiot należący do tej grupy może/nie może wziąć udziału w przetargu (aukcji), i o jaki zasób może się w tej procedurze ubiegać.</w:t>
      </w:r>
    </w:p>
    <w:p w14:paraId="0A32698B"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ust. 2 doprecyzowuje, iż określając warunki uczestnictwa w przetargu, aukcji albo konkursie zgodnie, Prezes UKE może wskazać wymagania, jakie powinien posiadać podmiot składający ofertę, w szczególności dotyczące jego wiarygodności finansowej lub doświadczenia w wykonywaniu działalności telekomunikacyjnej. Umożliwi to Prezesowi UKE wykluczenie już na etapie wstępnej oceny ofert tych podmiotów, które nie dają rękojmi przystąpienia do procedury selekcyjnej z rzeczywistą wolą ubiegania się o rezerwację częstotliwości lub zdolności do efektywnego wykorzystania przyznanej rezerwacji. Ma to na celu zabezpieczenie prawidłowego toku i efektywności postępowania selekcyjnego oraz zapobieżenie zniekształceniu jego wyników.</w:t>
      </w:r>
    </w:p>
    <w:p w14:paraId="53CE587E"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wprowadza także dodatkowe uprawnienie dla Prezesa UKE do dopuszczenia do udziału w konkretnym postępowaniu selekcyjnym tylko jednego podmiotu z danej grupy kapitałowej. Celem regulacji jest zapewnienie konkurencyjności postępowania i przeciwdziałanie zakłóceniu konkurencji na rynku, w szczególności przez nadmierne skupienie częstotliwości. Przepis ma przeciwdziałać szeregowi niepożądanych sytuacji, np. obchodzenia limitów określonych uprawnień przewidzianych dokumentacją dla jednego uczestnika, powstaniu zmowy między członkami grupy startującymi w selekcji jako odrębni uczestnicy, teoretycznie konkurujący ze sobą o przydział częstotliwości.</w:t>
      </w:r>
    </w:p>
    <w:p w14:paraId="6EB7EBD8" w14:textId="4279E7B4" w:rsidR="62B67DDC" w:rsidRPr="003A42FB" w:rsidRDefault="62B67DDC"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711DF2B2" w14:textId="5D52A5AB"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25B1F7B3" w:rsidRPr="003A42FB">
        <w:rPr>
          <w:rFonts w:ascii="Times New Roman" w:eastAsiaTheme="minorEastAsia" w:hAnsi="Times New Roman" w:cs="Times New Roman"/>
          <w:b/>
          <w:bCs/>
          <w:sz w:val="24"/>
          <w:szCs w:val="24"/>
        </w:rPr>
        <w:t>1</w:t>
      </w:r>
      <w:r w:rsidR="003B6CD7">
        <w:rPr>
          <w:rFonts w:ascii="Times New Roman" w:eastAsiaTheme="minorEastAsia" w:hAnsi="Times New Roman" w:cs="Times New Roman"/>
          <w:b/>
          <w:bCs/>
          <w:sz w:val="24"/>
          <w:szCs w:val="24"/>
        </w:rPr>
        <w:t>14</w:t>
      </w:r>
    </w:p>
    <w:p w14:paraId="4B1EC085" w14:textId="059C7FEA"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Instytucja wadium</w:t>
      </w:r>
      <w:r w:rsidR="00023E03" w:rsidRPr="003A42FB">
        <w:rPr>
          <w:rFonts w:ascii="Times New Roman" w:eastAsiaTheme="minorEastAsia" w:hAnsi="Times New Roman" w:cs="Times New Roman"/>
          <w:sz w:val="24"/>
          <w:szCs w:val="24"/>
        </w:rPr>
        <w:t xml:space="preserve">, znana </w:t>
      </w:r>
      <w:r w:rsidR="1D225DAE" w:rsidRPr="003A42FB">
        <w:rPr>
          <w:rFonts w:ascii="Times New Roman" w:eastAsiaTheme="minorEastAsia" w:hAnsi="Times New Roman" w:cs="Times New Roman"/>
          <w:sz w:val="24"/>
          <w:szCs w:val="24"/>
        </w:rPr>
        <w:t>już</w:t>
      </w:r>
      <w:r w:rsidRPr="003A42FB">
        <w:rPr>
          <w:rFonts w:ascii="Times New Roman" w:eastAsiaTheme="minorEastAsia" w:hAnsi="Times New Roman" w:cs="Times New Roman"/>
          <w:sz w:val="24"/>
          <w:szCs w:val="24"/>
        </w:rPr>
        <w:t xml:space="preserve"> </w:t>
      </w:r>
      <w:r w:rsidR="1D225DAE" w:rsidRPr="003A42FB">
        <w:rPr>
          <w:rFonts w:ascii="Times New Roman" w:eastAsiaTheme="minorEastAsia" w:hAnsi="Times New Roman" w:cs="Times New Roman"/>
          <w:sz w:val="24"/>
          <w:szCs w:val="24"/>
        </w:rPr>
        <w:t>w tym kształcie w ustawie Pt</w:t>
      </w:r>
      <w:r w:rsidR="6A0EFC7F" w:rsidRPr="003A42FB">
        <w:rPr>
          <w:rFonts w:ascii="Times New Roman" w:eastAsiaTheme="minorEastAsia" w:hAnsi="Times New Roman" w:cs="Times New Roman"/>
          <w:sz w:val="24"/>
          <w:szCs w:val="24"/>
        </w:rPr>
        <w:t xml:space="preserve"> (art. 119 Pt)</w:t>
      </w:r>
      <w:r w:rsidR="1D225DAE"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ma służyć między innymi ograniczeniu udziału w procedurze selekcyjnej uczestników, których celem nie jest uzyskanie rezerwacji częstotliwości, ale zakłócenie procesu selekcyjnego. Na konieczność określenia odpowiedniej wysokości wadium wskazywała Komisja Europejska w uwagach do aukcji na pasma 800 MHz i 2,6 GHz, w której podmiot wyłoniony po zakończeniu aukcji zrezygnował z rezerwacji po aktywnej licytacji. Ustalenie wysokiego wadium i możliwość jego wpłacenia jest jednym z czynników pozwalających na zbadanie wiarygodności finansowej uczestnika aukcji/przetargu. </w:t>
      </w:r>
    </w:p>
    <w:p w14:paraId="1200EB5F"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W praktyce może się okazać, że wadium zostanie ustalone na dużo niższym poziomie niż 5000% opłaty rocznej za prawo do dysponowania częstotliwością. Minimalna wysokość wadium wynosi bowiem 5% tej opłaty. Należy również wskazać, że zgodnie z projektem wysokość wadium będzie ustalana przez Prezesa UKE z uwzględnieniem społecznego i gospodarczego znaczenia danego pasma. Te czynniki będą miały zatem wpływ na to, jaka wysokość wadium zostanie ustalona w przypadku konkretnej aukcji czy przetargu.</w:t>
      </w:r>
    </w:p>
    <w:p w14:paraId="29FBB1A1"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wysokość wadium jest określana w dokumentacji, która jest konsultowana z rynkiem. Należy wskazać, że w konsultacjach aukcji na pasmo 800 MHz przedsiębiorcy telekomunikacyjni wskazywali na konieczność określenia wyższego wadium, w celu zabezpieczenia postępowania, co nie było możliwe w świetle obowiązujących przepisów.</w:t>
      </w:r>
    </w:p>
    <w:p w14:paraId="3F8498E1"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Wycofanie oferty z przetargu albo aukcji po upływie terminu na składanie ofert, niezadeklarowanie kwoty pierwszego postąpienia w aukcji, niewniesienie wymaganego depozytu lub rezygnacja przez podmiot wyłoniony z uzyskania rezerwacji częstotliwości będzie powodować utratę wadium.</w:t>
      </w:r>
    </w:p>
    <w:p w14:paraId="153F3CBC"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wadium wniesione przez podmiot zwycięski w postępowaniu zostanie zaliczone na poczet jednorazowej opłaty za częstotliwości.</w:t>
      </w:r>
    </w:p>
    <w:p w14:paraId="5F0E399D"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też zasady zwrotu wadium po zakończonym postępowaniu.</w:t>
      </w:r>
    </w:p>
    <w:p w14:paraId="1B67709E" w14:textId="46AA663D" w:rsidR="00D03005" w:rsidRPr="003A42FB" w:rsidRDefault="00D03005" w:rsidP="00C53EAB">
      <w:pPr>
        <w:tabs>
          <w:tab w:val="left" w:pos="360"/>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6C168D09" w:rsidRPr="003A42FB">
        <w:rPr>
          <w:rFonts w:ascii="Times New Roman" w:eastAsiaTheme="minorEastAsia" w:hAnsi="Times New Roman" w:cs="Times New Roman"/>
          <w:b/>
          <w:bCs/>
          <w:sz w:val="24"/>
          <w:szCs w:val="24"/>
        </w:rPr>
        <w:t>1</w:t>
      </w:r>
      <w:r w:rsidR="003B6CD7">
        <w:rPr>
          <w:rFonts w:ascii="Times New Roman" w:eastAsiaTheme="minorEastAsia" w:hAnsi="Times New Roman" w:cs="Times New Roman"/>
          <w:b/>
          <w:bCs/>
          <w:sz w:val="24"/>
          <w:szCs w:val="24"/>
        </w:rPr>
        <w:t>15</w:t>
      </w:r>
    </w:p>
    <w:p w14:paraId="44BE282B" w14:textId="11B77A10" w:rsidR="00D03005" w:rsidRPr="003A42FB" w:rsidRDefault="717EBA66"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przypadku stosowania trybu aukcyjnego konieczne jest wprowadzenie na poziomie ustawy instytucji depozytu, którego wnoszenie ma na celu m.in. zabezpieczenie postępowania selekcyjnego przed nierzetelnym zachowaniem uczestników oraz zapobieganie składaniu tzw. pozornych ofert w aukcji. Instytucja depozytu, funkcjonująca już w </w:t>
      </w:r>
      <w:r w:rsidR="082A2AD7" w:rsidRPr="003A42FB">
        <w:rPr>
          <w:rFonts w:ascii="Times New Roman" w:eastAsiaTheme="minorEastAsia" w:hAnsi="Times New Roman" w:cs="Times New Roman"/>
          <w:sz w:val="24"/>
          <w:szCs w:val="24"/>
        </w:rPr>
        <w:t xml:space="preserve">ustawie </w:t>
      </w:r>
      <w:r w:rsidR="433BD314"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w proponowanym kształcie</w:t>
      </w:r>
      <w:r w:rsidR="2B4049B8" w:rsidRPr="003A42FB">
        <w:rPr>
          <w:rFonts w:ascii="Times New Roman" w:eastAsiaTheme="minorEastAsia" w:hAnsi="Times New Roman" w:cs="Times New Roman"/>
          <w:sz w:val="24"/>
          <w:szCs w:val="24"/>
        </w:rPr>
        <w:t xml:space="preserve"> w art. 119a Pt</w:t>
      </w:r>
      <w:r w:rsidRPr="003A42FB">
        <w:rPr>
          <w:rFonts w:ascii="Times New Roman" w:eastAsiaTheme="minorEastAsia" w:hAnsi="Times New Roman" w:cs="Times New Roman"/>
          <w:sz w:val="24"/>
          <w:szCs w:val="24"/>
        </w:rPr>
        <w:t xml:space="preserve">, będzie stanowiła, obok obowiązku wniesienia wadium, gwarancję prawidłowego przebiegu postępowania selekcyjnego. Wniesienie wadium ma na celu zabezpieczenie wykonania obowiązku polegającego na uczestnictwie w przetargu lub aukcji (m.in. obowiązek zadeklarowania pierwszego postąpienia w aukcji) oraz zabezpieczenie przed wycofaniem się z oferty po upływie terminu na składanie ofert. Wysokość wadium powiązana jest przy tym z wartością częstotliwości. Główną funkcją depozytu jest natomiast zabezpieczenie przede wszystkim prawidłowego przebiegu licytacji, w związku z czym powiązany jest z wysokością złożonych już przez uczestnika ofert. Depozyt ma na celu dodatkowe zabezpieczenie jedynie postępowania aukcyjnego, gdyż w przypadku tego trybu rozdysponowania częstotliwości długotrwałość postępowania, wielość rund licytacji, wiąże się ze szczególnym ryzykiem składania pozornych ofert. Oferty takie służą do sztucznego podbijania najwyższej zadeklarowanej kwoty w kolejnych rundach aukcji bez rzeczywistego zamiaru uzyskania rezerwacji, a jedynie w celu opóźnienia uzyskania rezerwacji przez pozostałych uczestników licytacji lub podniesienia ceny, po jakiej uzyskają oni rezerwacje częstotliwości. </w:t>
      </w:r>
    </w:p>
    <w:p w14:paraId="1D1A0AFC"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Należy zatem wprowadzić całościową regulację dotyczącą zasad wnoszenia depozytu, sposobu ustalania jego wysokości oraz, tak jak w przypadku wadium, jego zaliczania na poczet opłaty za rezerwację częstotliwości, zwrotu i utraty.</w:t>
      </w:r>
    </w:p>
    <w:p w14:paraId="0B6BA5C8" w14:textId="77777777"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biorąc pod uwagę cel instytucji depozytu, wprowadzono zasadę, w świetle której wniesiony depozyt ulega przepadkowi, w przypadku rezygnacji podmiotu pierwotnie wyłonionego, o którym mowa.</w:t>
      </w:r>
    </w:p>
    <w:p w14:paraId="7D0649A4" w14:textId="12211931"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58E402C3" w:rsidRPr="003A42FB">
        <w:rPr>
          <w:rFonts w:ascii="Times New Roman" w:eastAsiaTheme="minorEastAsia" w:hAnsi="Times New Roman" w:cs="Times New Roman"/>
          <w:b/>
          <w:bCs/>
          <w:sz w:val="24"/>
          <w:szCs w:val="24"/>
        </w:rPr>
        <w:t>11</w:t>
      </w:r>
      <w:r w:rsidR="003B6CD7">
        <w:rPr>
          <w:rFonts w:ascii="Times New Roman" w:eastAsiaTheme="minorEastAsia" w:hAnsi="Times New Roman" w:cs="Times New Roman"/>
          <w:b/>
          <w:bCs/>
          <w:sz w:val="24"/>
          <w:szCs w:val="24"/>
        </w:rPr>
        <w:t>6</w:t>
      </w:r>
    </w:p>
    <w:p w14:paraId="6C042A78" w14:textId="1EAC1D85" w:rsidR="00D03005" w:rsidRPr="003A42FB" w:rsidRDefault="00D03005" w:rsidP="00C53EAB">
      <w:pPr>
        <w:tabs>
          <w:tab w:val="left" w:pos="360"/>
        </w:tabs>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Ofertę zarówno w przetargu, aukcji jak i konkursie należy sporządzić zgodnie z wymogami dokumentacji oraz złożyć w terminie określonym w ogłoszeniu o wszczęciu danego </w:t>
      </w:r>
      <w:r w:rsidRPr="003A42FB">
        <w:rPr>
          <w:rFonts w:ascii="Times New Roman" w:eastAsiaTheme="minorEastAsia" w:hAnsi="Times New Roman" w:cs="Times New Roman"/>
          <w:sz w:val="24"/>
          <w:szCs w:val="24"/>
        </w:rPr>
        <w:lastRenderedPageBreak/>
        <w:t>postępowania selekcyjnego. Przepis określa wymogi formalne w zakresie oferty</w:t>
      </w:r>
      <w:r w:rsidR="5E203ECC" w:rsidRPr="003A42FB">
        <w:rPr>
          <w:rFonts w:ascii="Times New Roman" w:eastAsiaTheme="minorEastAsia" w:hAnsi="Times New Roman" w:cs="Times New Roman"/>
          <w:sz w:val="24"/>
          <w:szCs w:val="24"/>
        </w:rPr>
        <w:t>, analogiczni</w:t>
      </w:r>
      <w:r w:rsidR="38BE1E8E" w:rsidRPr="003A42FB">
        <w:rPr>
          <w:rFonts w:ascii="Times New Roman" w:eastAsiaTheme="minorEastAsia" w:hAnsi="Times New Roman" w:cs="Times New Roman"/>
          <w:sz w:val="24"/>
          <w:szCs w:val="24"/>
        </w:rPr>
        <w:t>e jak to miało miejsce w Pt.</w:t>
      </w:r>
    </w:p>
    <w:p w14:paraId="5A67A191" w14:textId="1AD016EA"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8A0DBB1" w:rsidRPr="003A42FB">
        <w:rPr>
          <w:rFonts w:ascii="Times New Roman" w:eastAsiaTheme="minorEastAsia" w:hAnsi="Times New Roman" w:cs="Times New Roman"/>
          <w:b/>
          <w:bCs/>
          <w:sz w:val="24"/>
          <w:szCs w:val="24"/>
        </w:rPr>
        <w:t>11</w:t>
      </w:r>
      <w:r w:rsidR="003B6CD7">
        <w:rPr>
          <w:rFonts w:ascii="Times New Roman" w:eastAsiaTheme="minorEastAsia" w:hAnsi="Times New Roman" w:cs="Times New Roman"/>
          <w:b/>
          <w:bCs/>
          <w:sz w:val="24"/>
          <w:szCs w:val="24"/>
        </w:rPr>
        <w:t>7</w:t>
      </w:r>
    </w:p>
    <w:p w14:paraId="7EA60CC6" w14:textId="5227B603" w:rsidR="00D03005" w:rsidRPr="003A42FB" w:rsidRDefault="65EB51B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Projektowana ustawa powiela prze</w:t>
      </w:r>
      <w:r w:rsidR="717EBA66" w:rsidRPr="003A42FB">
        <w:rPr>
          <w:rFonts w:ascii="Times New Roman" w:eastAsiaTheme="minorEastAsia" w:hAnsi="Times New Roman" w:cs="Times New Roman"/>
          <w:sz w:val="24"/>
          <w:szCs w:val="24"/>
        </w:rPr>
        <w:t xml:space="preserve">pisy </w:t>
      </w:r>
      <w:r w:rsidR="4A2E645E" w:rsidRPr="003A42FB">
        <w:rPr>
          <w:rFonts w:ascii="Times New Roman" w:eastAsiaTheme="minorEastAsia" w:hAnsi="Times New Roman" w:cs="Times New Roman"/>
          <w:sz w:val="24"/>
          <w:szCs w:val="24"/>
        </w:rPr>
        <w:t xml:space="preserve">ustawy </w:t>
      </w:r>
      <w:r w:rsidR="03888E3F" w:rsidRPr="003A42FB">
        <w:rPr>
          <w:rFonts w:ascii="Times New Roman" w:eastAsiaTheme="minorEastAsia" w:hAnsi="Times New Roman" w:cs="Times New Roman"/>
          <w:sz w:val="24"/>
          <w:szCs w:val="24"/>
        </w:rPr>
        <w:t>Pt</w:t>
      </w:r>
      <w:r w:rsidR="717EBA66" w:rsidRPr="003A42FB">
        <w:rPr>
          <w:rFonts w:ascii="Times New Roman" w:eastAsiaTheme="minorEastAsia" w:hAnsi="Times New Roman" w:cs="Times New Roman"/>
          <w:sz w:val="24"/>
          <w:szCs w:val="24"/>
        </w:rPr>
        <w:t xml:space="preserve"> w zakresie kryteriów oceny ofert. Zatem jedynym kryterium w przypadku aukcji będzie cena, natomiast w przypadku przetargu ustawa przewiduje dodatkowo kryterium zachowania warunków konkurencji oraz inne wskazane w dokumentacji, a w odniesieniu do konkursu kryterium zachowania warunków konkurencji lub inne zamieszczone w dokumentacji konkursowej.</w:t>
      </w:r>
    </w:p>
    <w:p w14:paraId="54BC2C4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sprawie zachowania warunków konkurencji Prezes UKE zasięga opinii Prezesa UOKiK.</w:t>
      </w:r>
    </w:p>
    <w:p w14:paraId="424A4754" w14:textId="3C0BC5A2"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41649C73" w:rsidRPr="003A42FB">
        <w:rPr>
          <w:rFonts w:ascii="Times New Roman" w:eastAsiaTheme="minorEastAsia" w:hAnsi="Times New Roman" w:cs="Times New Roman"/>
          <w:b/>
          <w:bCs/>
          <w:sz w:val="24"/>
          <w:szCs w:val="24"/>
        </w:rPr>
        <w:t>11</w:t>
      </w:r>
      <w:r w:rsidR="003B6CD7">
        <w:rPr>
          <w:rFonts w:ascii="Times New Roman" w:eastAsiaTheme="minorEastAsia" w:hAnsi="Times New Roman" w:cs="Times New Roman"/>
          <w:b/>
          <w:bCs/>
          <w:sz w:val="24"/>
          <w:szCs w:val="24"/>
        </w:rPr>
        <w:t>8</w:t>
      </w:r>
    </w:p>
    <w:p w14:paraId="3D26D397" w14:textId="1DBE232E" w:rsidR="00D03005" w:rsidRPr="003A42FB" w:rsidRDefault="00D03005"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Badanie ofert w każdym postępowaniu selekcyjnym odbywa się w dwóch etapach i przeprowadza je komisja powołana przez Prezesa UKE</w:t>
      </w:r>
      <w:r w:rsidR="009322BD" w:rsidRPr="003A42FB">
        <w:rPr>
          <w:rFonts w:ascii="Times New Roman" w:eastAsiaTheme="minorEastAsia" w:hAnsi="Times New Roman" w:cs="Times New Roman"/>
          <w:sz w:val="24"/>
          <w:szCs w:val="24"/>
        </w:rPr>
        <w:t xml:space="preserve"> spośród pracowników UKE posiadających wiedzę i doświadczenie niezbędne do przeprowadzenia postępowania selekcyjnego</w:t>
      </w:r>
      <w:r w:rsidRPr="003A42FB">
        <w:rPr>
          <w:rFonts w:ascii="Times New Roman" w:eastAsiaTheme="minorEastAsia" w:hAnsi="Times New Roman" w:cs="Times New Roman"/>
          <w:sz w:val="24"/>
          <w:szCs w:val="24"/>
        </w:rPr>
        <w:t>.</w:t>
      </w:r>
      <w:r w:rsidR="2561A560" w:rsidRPr="003A42FB">
        <w:rPr>
          <w:rFonts w:ascii="Times New Roman" w:eastAsiaTheme="minorEastAsia" w:hAnsi="Times New Roman" w:cs="Times New Roman"/>
          <w:sz w:val="24"/>
          <w:szCs w:val="24"/>
        </w:rPr>
        <w:t xml:space="preserve"> </w:t>
      </w:r>
      <w:r w:rsidR="2561A560" w:rsidRPr="003A42FB">
        <w:rPr>
          <w:rFonts w:ascii="Times New Roman" w:hAnsi="Times New Roman" w:cs="Times New Roman"/>
          <w:sz w:val="24"/>
          <w:szCs w:val="24"/>
        </w:rPr>
        <w:t>Regulacje w zbliżonym kształcie funkcjonowały już na gruncie ustawy Pt.</w:t>
      </w:r>
    </w:p>
    <w:p w14:paraId="487754E2" w14:textId="2AA99B4A" w:rsidR="00135C0A" w:rsidRPr="003A42FB" w:rsidRDefault="00135C0A"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Art. 11</w:t>
      </w:r>
      <w:r w:rsidR="003B6CD7">
        <w:rPr>
          <w:rFonts w:ascii="Times New Roman" w:eastAsiaTheme="minorEastAsia" w:hAnsi="Times New Roman" w:cs="Times New Roman"/>
          <w:b/>
          <w:sz w:val="24"/>
          <w:szCs w:val="24"/>
        </w:rPr>
        <w:t>9</w:t>
      </w:r>
    </w:p>
    <w:p w14:paraId="5E96BCBF" w14:textId="27C80191" w:rsidR="00135C0A" w:rsidRPr="003A42FB" w:rsidRDefault="00135C0A" w:rsidP="00135C0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ten precyzuje, że w aukcji można wycofać ofertę jedynie do momentu zadeklarowania kwoty pierwszego postąpienia (kwota ta jest deklarowana w drugim etapie aukcji), czyli rozpoczęcia licytacji. Po zadeklarowaniu kwoty pierwszego postąpienia uczestnik aukcji może natomiast przestać składać kolejne oferty w aukcji (nie spowoduje to utraty wadium, jeżeli nie zostaną spełnione inne przesłanki wskazane w </w:t>
      </w:r>
      <w:r w:rsidR="00B80855" w:rsidRPr="003A42FB">
        <w:rPr>
          <w:rFonts w:ascii="Times New Roman" w:eastAsiaTheme="minorEastAsia" w:hAnsi="Times New Roman" w:cs="Times New Roman"/>
          <w:sz w:val="24"/>
          <w:szCs w:val="24"/>
        </w:rPr>
        <w:t>ustawie</w:t>
      </w:r>
      <w:r w:rsidRPr="003A42FB">
        <w:rPr>
          <w:rFonts w:ascii="Times New Roman" w:eastAsiaTheme="minorEastAsia" w:hAnsi="Times New Roman" w:cs="Times New Roman"/>
          <w:sz w:val="24"/>
          <w:szCs w:val="24"/>
        </w:rPr>
        <w:t xml:space="preserve">). </w:t>
      </w:r>
    </w:p>
    <w:p w14:paraId="57D3C740" w14:textId="77777777" w:rsidR="00135C0A" w:rsidRPr="003A42FB" w:rsidRDefault="00135C0A" w:rsidP="00135C0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Możliwość wycofania oferty w dowolnym momencie licytacji może, co do zasady, zniekształcić wyniki i przebieg aukcji. Aby zapewnić stabilność i przejrzystość aukcji, należy wprowadzić domyślne rozwiązanie polegające na uniemożliwieniu wycofania przez uczestnika aukcji jego oferty po rozpoczęciu licytacji. </w:t>
      </w:r>
    </w:p>
    <w:p w14:paraId="2F632728" w14:textId="728FBDE2" w:rsidR="00135C0A" w:rsidRPr="003A42FB" w:rsidRDefault="00135C0A" w:rsidP="00135C0A">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sz w:val="24"/>
          <w:szCs w:val="24"/>
        </w:rPr>
        <w:t>Wycofanie oferty z aukcji po upływie terminu na składanie ma dla procesu zupełnie inne skutki niż wycofanie oferty w trakcie trwającej już licytacji. Wprowadzenie projektowanego przepisu ma na celu uniknięcie sytuacji, w której uczestnik sztucznie zawyża wartość częstotliwości, a następnie wycofuje się z aukcji, nie ponosząc żadnych konsekwencji poza utratą wadium.</w:t>
      </w:r>
    </w:p>
    <w:p w14:paraId="711E519F" w14:textId="47B72BA4" w:rsidR="00D03005" w:rsidRPr="003A42FB" w:rsidRDefault="000F496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33799C41" w:rsidRPr="003A42FB">
        <w:rPr>
          <w:rFonts w:ascii="Times New Roman" w:eastAsiaTheme="minorEastAsia" w:hAnsi="Times New Roman" w:cs="Times New Roman"/>
          <w:b/>
          <w:bCs/>
          <w:sz w:val="24"/>
          <w:szCs w:val="24"/>
        </w:rPr>
        <w:t>1</w:t>
      </w:r>
      <w:r w:rsidR="003B6CD7">
        <w:rPr>
          <w:rFonts w:ascii="Times New Roman" w:eastAsiaTheme="minorEastAsia" w:hAnsi="Times New Roman" w:cs="Times New Roman"/>
          <w:b/>
          <w:bCs/>
          <w:sz w:val="24"/>
          <w:szCs w:val="24"/>
        </w:rPr>
        <w:t>20</w:t>
      </w:r>
    </w:p>
    <w:p w14:paraId="37A91CB9"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Proponowany przepis ma na celu przede wszystkim określenie warunków wskazujących, który uczestnik postępowania selekcyjnego zostaje podmiotem wyłonionym. Precyzuje on, że konstrukcja listy (list) wyników przetargu, aukcji albo konkursu jest zależna od postanowień dokumentacji, tj. dana lista może obejmować wyniki zarówno dla jednej, jak i dla kilku rezerwacji częstotliwości.</w:t>
      </w:r>
    </w:p>
    <w:p w14:paraId="35AF20ED"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do publikuje wyniki procedury selekcyjnej w formie jednej bądź kilku list, zależnie od postanowień dokumentacji.</w:t>
      </w:r>
    </w:p>
    <w:p w14:paraId="2F2A517E"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też co się dzieje w przypadku rezygnacji podmiotu wyłonionego z rezerwacji częstotliwości lub niespełniania przez ten podmiot określonych w przepisie warunków ustawowych – w takim przypadku podmiotem wyłonionym staje się uczestnik postępowania selekcyjnego zajmujący kolejną pozycję na liście.</w:t>
      </w:r>
    </w:p>
    <w:p w14:paraId="7ACBC1B2" w14:textId="33878C37" w:rsidR="641B8170" w:rsidRPr="003A42FB" w:rsidRDefault="641B8170"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sz w:val="24"/>
          <w:szCs w:val="24"/>
        </w:rPr>
        <w:t>Regulacje w zbliżonym kształcie funkcjonowały już na gruncie ustawy Pt.</w:t>
      </w:r>
    </w:p>
    <w:p w14:paraId="606CDD4C" w14:textId="59121089"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2CC7E8C2" w:rsidRPr="003A42FB">
        <w:rPr>
          <w:rFonts w:ascii="Times New Roman" w:eastAsiaTheme="minorEastAsia" w:hAnsi="Times New Roman" w:cs="Times New Roman"/>
          <w:b/>
          <w:bCs/>
          <w:sz w:val="24"/>
          <w:szCs w:val="24"/>
        </w:rPr>
        <w:t>1</w:t>
      </w:r>
      <w:r w:rsidR="003B6CD7">
        <w:rPr>
          <w:rFonts w:ascii="Times New Roman" w:eastAsiaTheme="minorEastAsia" w:hAnsi="Times New Roman" w:cs="Times New Roman"/>
          <w:b/>
          <w:bCs/>
          <w:sz w:val="24"/>
          <w:szCs w:val="24"/>
        </w:rPr>
        <w:t>21</w:t>
      </w:r>
    </w:p>
    <w:p w14:paraId="4E66458B" w14:textId="16B88E1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Zaproponowany przepis jest zgodny z ustaloną w krajach UE praktyką, zgodnie z którą podmiot wyłoniony po zakończeniu postępowania selekcyjnego w ciągu kilku dni uzyskuje przydział częstotliwości i może rozpocząć wykorzystywanie częstotliwości. Postępowanie rezerwacyjne toczące się w oparciu o wyniki procedury selekcyjnej powinno cechować się swoistym automatyzmem, tj. przyznaniem rezerwacji podmiotowi wyłonionemu, z zastrzeżeniem enumeratywnie wymienionych w ustawie wyjątków. </w:t>
      </w:r>
    </w:p>
    <w:p w14:paraId="24C89C25" w14:textId="25114F6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Wobec powyższego proponuje się, aby rezerwacja częstotliwości w oparciu o wyniki procedury selekcyjnej była dokonywana z urzędu, zaś stroną postępowania był jedynie podmiot wyłoniony, z zastrzeżeniem sytuacji kiedy przed postępowaniem selekcyjnym częstotliwości były wykorzystywane w sposób alternatywny zgodnie z art. </w:t>
      </w:r>
      <w:r w:rsidR="753E9128" w:rsidRPr="003A42FB">
        <w:rPr>
          <w:rFonts w:ascii="Times New Roman" w:eastAsiaTheme="minorEastAsia" w:hAnsi="Times New Roman" w:cs="Times New Roman"/>
          <w:sz w:val="24"/>
          <w:szCs w:val="24"/>
        </w:rPr>
        <w:t>6</w:t>
      </w:r>
      <w:r w:rsidR="00ED6522">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w:t>
      </w:r>
    </w:p>
    <w:p w14:paraId="1825BC49"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podmioty uczestniczące w procedurze selekcyjnej zachowują uprawnienie do kwestionowania wyników postępowania selekcyjnego w procedurze postępowania o unieważnienie przetargu, konkursu albo aukcji.</w:t>
      </w:r>
    </w:p>
    <w:p w14:paraId="3287CCE5"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Mając na względzie konieczność zapewnienia podmiotowi wyłonionemu możliwości jak najszybszego przystąpienia do wykorzystania częstotliwości i rozwoju sieci oraz słuszny interes społeczny, decyzja powinna posiadać rygor natychmiastowej wykonalności.</w:t>
      </w:r>
    </w:p>
    <w:p w14:paraId="4AB2E786"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interesie społecznym leży bowiem konieczność umożliwienia podmiotowi wyłonionemu jak najszybszego świadczenia usług telekomunikacyjnych na bazie zarezerwowanej częstotliwości. Przyczyni się to do przyspieszenia rozwoju konkurencji w zakresie świadczenia usług telekomunikacyjnych oraz zapewnienia użytkownikom dostępu do różnorodnych pod względem ceny i jakości usług telekomunikacyjnych. Należy przy tym wskazać, że rozpoczęcie świadczenia usług w oparciu o rezerwację, jak również realizacja zobowiązań aukcyjnych lub przetargowych, stanowią niezbędny element budowy społeczeństwa informacyjnego, co jest także czynnikiem wspierającym rozwój gospodarczy oraz zapewniającym poprawę jakości życia mieszkańców danego obszaru. Należy również zwrócić uwagę na fakt, iż brak możliwości natychmiastowego korzystania przez podmiot wyłoniony z prawa do dysponowania częstotliwościami objętymi rezerwacją oznaczałby w konsekwencji brak możliwości świadczenia przez ten podmiot usług telekomunikacyjnych z wykorzystaniem przedmiotowych częstotliwości.</w:t>
      </w:r>
    </w:p>
    <w:p w14:paraId="440DA9D9"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wskazano, iż kompetencja Prezesa UKE do wszczęcia i prowadzenia jednego postępowania ma charakter fakultatywny, a Prezes UKE wydaje także i w takim przypadku odrębne decyzje dla każdej z rezerwacji częstotliwości.</w:t>
      </w:r>
    </w:p>
    <w:p w14:paraId="077E3BA5" w14:textId="6461CF13" w:rsidR="01C2AE41" w:rsidRPr="003A42FB" w:rsidRDefault="01C2AE4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funkcjonował już w Pt.</w:t>
      </w:r>
    </w:p>
    <w:p w14:paraId="66EA0F80" w14:textId="24210BE0" w:rsidR="00D03005" w:rsidRPr="003A42FB" w:rsidRDefault="000F496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ED6522">
        <w:rPr>
          <w:rFonts w:ascii="Times New Roman" w:eastAsiaTheme="minorEastAsia" w:hAnsi="Times New Roman" w:cs="Times New Roman"/>
          <w:b/>
          <w:bCs/>
          <w:sz w:val="24"/>
          <w:szCs w:val="24"/>
        </w:rPr>
        <w:t>122</w:t>
      </w:r>
    </w:p>
    <w:p w14:paraId="4ED9B4CE" w14:textId="1C751581"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projektowanym przepisem Prezes UKE uznaje, w drodze decyzji, przetarg, aukcję albo konkurs za nierozstrzygnięty w dwóch przypadkach: jeżeli żaden z uczestników nie spełnił warunków uczestnictwa w postępowaniu, bądź nie osiągnął minimum kwalifikacyjnego, jeżeli zostało określone w dokumentacji oraz w przypadku, gdy na liście, nie ma żadnych uczestników. W przypadku przetargu, aukcji albo konkursu, które dotyczyły różnych rezerwacji częstotliwości, uznanie przetargu, konkursu lub aukcji za nierozstrzygnięte odnosi się tylko do rezerwacji częstotliwości, dla której na liście nie ma innych uczestników. Wskazuje się ponadto, iż przetarg, aukcja albo konkurs są nierozstrzygnięte, jeżeli w terminie wskazanym w dokumentacji do przetargu, aukcji albo konkursu nie przystąpił żaden podmiot. Informacja w tej sprawie jest publikowana na stronie podmiotowej BIP UKE.</w:t>
      </w:r>
      <w:r w:rsidR="3C791EAC" w:rsidRPr="003A42FB">
        <w:rPr>
          <w:rFonts w:ascii="Times New Roman" w:eastAsiaTheme="minorEastAsia" w:hAnsi="Times New Roman" w:cs="Times New Roman"/>
          <w:sz w:val="24"/>
          <w:szCs w:val="24"/>
        </w:rPr>
        <w:t xml:space="preserve"> Przepis funkcjonował już w Pt.</w:t>
      </w:r>
    </w:p>
    <w:p w14:paraId="66F841FA" w14:textId="22D14CD8"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ED6522">
        <w:rPr>
          <w:rFonts w:ascii="Times New Roman" w:eastAsiaTheme="minorEastAsia" w:hAnsi="Times New Roman" w:cs="Times New Roman"/>
          <w:b/>
          <w:bCs/>
          <w:sz w:val="24"/>
          <w:szCs w:val="24"/>
        </w:rPr>
        <w:t>123</w:t>
      </w:r>
    </w:p>
    <w:p w14:paraId="4856AE4E" w14:textId="0A52241D" w:rsidR="00D03005" w:rsidRPr="003A42FB" w:rsidRDefault="00D03005" w:rsidP="00C53EAB">
      <w:pPr>
        <w:pStyle w:val="BodyText21"/>
        <w:spacing w:after="120"/>
        <w:rPr>
          <w:rFonts w:eastAsiaTheme="minorEastAsia"/>
          <w:szCs w:val="24"/>
        </w:rPr>
      </w:pPr>
      <w:r w:rsidRPr="003A42FB">
        <w:rPr>
          <w:rFonts w:eastAsiaTheme="minorEastAsia"/>
          <w:szCs w:val="24"/>
        </w:rPr>
        <w:lastRenderedPageBreak/>
        <w:t>Zgodnie z projektowanym brzmieniem przepisu, Prezes UKE z urzędu lub na wniosek uczestnika postępowania selekcyjnego złożony w terminie 21 dni od dnia ogłoszenia jego wyników, w drodze decyzji, unieważnia postępowanie, jeżeli zostały rażąco naruszone przepisy prawa lub interesy uczestników przetargu, aukcji albo konkursu. Jak wynika zatem z brzmienia wyżej przywołanego przepisu, przesłankami unieważnienia przetargu są rażące naruszenie przepisów prawa lub interesów uczestników postępowania, co oznacza, że zachodzi ono w przypadku naruszenia przepisu, którego treść bez żadnych wątpliwości interpretacyjnych może być ustalona w bezpośrednim rozumieniu, bądź naruszenie prawa lub interesu uczestnika przetargu wywołuje skutki społeczno-gospodarcze, niemożliwe do zaakceptowania z punktu widzenia praworządności. Warto przy tym podnieść, że nie wszystkie stwierdzone w przetargu, aukcji albo konkursie uchybienia, które skutkowały ich unieważnieniem, w praktyce mogły doprowadzić do wyłonienia w przetargu, aukcji albo konkursie podmiotu innego niż podmiot wyłoniony.</w:t>
      </w:r>
    </w:p>
    <w:p w14:paraId="19203F14" w14:textId="77777777" w:rsidR="00D03005" w:rsidRPr="003A42FB" w:rsidRDefault="00D03005" w:rsidP="00C53EAB">
      <w:pPr>
        <w:pStyle w:val="BodyText21"/>
        <w:spacing w:after="120"/>
        <w:rPr>
          <w:rFonts w:eastAsiaTheme="minorEastAsia"/>
          <w:szCs w:val="24"/>
        </w:rPr>
      </w:pPr>
      <w:r w:rsidRPr="003A42FB">
        <w:rPr>
          <w:rFonts w:eastAsiaTheme="minorEastAsia"/>
          <w:szCs w:val="24"/>
        </w:rPr>
        <w:t>Uczestnikowi postępowania selekcyjnego nie przysługuje inny tryb kontroli rozstrzygnięć podejmowanych w postępowaniu selekcyjnym niż określony w projektowanym przepisie.</w:t>
      </w:r>
    </w:p>
    <w:p w14:paraId="20E621A6" w14:textId="633B090C" w:rsidR="7BF445D0" w:rsidRPr="003A42FB" w:rsidRDefault="7BF445D0" w:rsidP="00C53EAB">
      <w:pPr>
        <w:pStyle w:val="BodyText21"/>
        <w:spacing w:after="120"/>
        <w:rPr>
          <w:rFonts w:eastAsiaTheme="minorEastAsia"/>
          <w:szCs w:val="24"/>
        </w:rPr>
      </w:pPr>
      <w:r w:rsidRPr="003A42FB">
        <w:rPr>
          <w:rFonts w:eastAsiaTheme="minorEastAsia"/>
          <w:szCs w:val="24"/>
        </w:rPr>
        <w:t>Instytucja unieważnienia funkcjonowała już na gruncie Pt.</w:t>
      </w:r>
    </w:p>
    <w:p w14:paraId="406242A0" w14:textId="527DC459" w:rsidR="00D03005" w:rsidRPr="003A42FB" w:rsidRDefault="00D03005" w:rsidP="00C53EAB">
      <w:pPr>
        <w:pStyle w:val="BodyText21"/>
        <w:spacing w:after="120"/>
        <w:rPr>
          <w:rFonts w:eastAsiaTheme="minorEastAsia"/>
          <w:szCs w:val="24"/>
        </w:rPr>
      </w:pPr>
      <w:r w:rsidRPr="003A42FB">
        <w:rPr>
          <w:rFonts w:eastAsiaTheme="minorEastAsia"/>
          <w:b/>
          <w:bCs/>
          <w:szCs w:val="24"/>
        </w:rPr>
        <w:t xml:space="preserve">Art. </w:t>
      </w:r>
      <w:r w:rsidR="00ED6522">
        <w:rPr>
          <w:rFonts w:eastAsiaTheme="minorEastAsia"/>
          <w:b/>
          <w:bCs/>
          <w:szCs w:val="24"/>
        </w:rPr>
        <w:t>124</w:t>
      </w:r>
    </w:p>
    <w:p w14:paraId="334D481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Należy podkreślić, że nie w każdym przypadku zaistnienia podstaw do unieważnienia przetargu, aukcji albo konkursu, za rażąco naruszające przepisy prawa lub interesy uczestników przetargu, aukcji lub konkursu należy uznać wszystkie czynności podejmowane w ramach przetargu, aukcji lub konkursu. </w:t>
      </w:r>
    </w:p>
    <w:p w14:paraId="2C0D9476" w14:textId="77777777" w:rsidR="00D03005" w:rsidRPr="003A42FB" w:rsidRDefault="00D03005" w:rsidP="00C53EAB">
      <w:pPr>
        <w:pStyle w:val="Tekstpodstawowy2"/>
        <w:spacing w:line="240" w:lineRule="auto"/>
        <w:jc w:val="both"/>
        <w:rPr>
          <w:rFonts w:eastAsiaTheme="minorEastAsia"/>
        </w:rPr>
      </w:pPr>
      <w:r w:rsidRPr="003A42FB">
        <w:rPr>
          <w:rFonts w:eastAsiaTheme="minorEastAsia"/>
        </w:rPr>
        <w:t xml:space="preserve">Ewentualne uchybienia, które wprawdzie będą stanowiły podstawę do unieważnienia postępowania, lecz których skutki ograniczają się do nieprawidłowego wykonania określonej czynności proceduralnej na jednym z etapów oraz nie mają żadnego negatywnego wpływu na ocenę zgodności z prawem pozostałych czynności (w szczególności tych podjętych wcześniej), nie powinny stanowić podstawy do powtarzania wszystkich czynności w ramach całego przetargu, aukcji albo konkursu. Przyjęcie odmiennej interpretacji spowodowałoby bowiem podjęcie działań nieproporcjonalnych z punktu widzenia osiągnięcia celu, jakim powinno być usunięcie stwierdzonego rażącego naruszenia prawa lub interesów uczestników przetargu, aukcji albo konkursu.  </w:t>
      </w:r>
    </w:p>
    <w:p w14:paraId="5CF01E5E"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Dlatego też właściwym rozwiązaniem, w pełni pozwalającym na wyeliminowanie w danym postępowaniu selekcyjnym negatywnych następstw dokonania określonej wadliwej czynności proceduralnej, jest przeprowadzenie przez Prezesa UKE tylko tych czynności, na których podjęcie bądź wyniki miało rzeczywisty wpływ „dokonane” wcześniejsze rażące naruszenie prawa lub interesów uczestników przetargu, aukcji lub konkursu. Racjonalnie usprawiedliwione jest w takim wypadku powtórzenie czynności podjętych w ramach przetargu, aukcji albo konkursu dopiero od momentu, w którym podjęta została czynność dotknięta wadą kwalifikowaną o znamionach rażącego naruszenia prawa lub interesów uczestników przetargu, aukcji lub konkursu. Sytuacja taka uzasadniona jest w szczególności, gdy stwierdzone w przetargu, aukcji albo konkursie uchybienia w praktyce nie miały wpływu na to, który podmiot został podmiotem wyłonionym w przetargu, aukcji albo konkursie (np. błędy obliczeniowe dotyczące uczestnika, który nawet po prawidłowym przeliczeniu punktacji i tak nie zostałby podmiotem wyłonionym).</w:t>
      </w:r>
    </w:p>
    <w:p w14:paraId="08DC829F"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Należy jednak wskazać, że w niektórych przypadkach proponowanego przepisu będzie oznaczało konieczność ponownego przeprowadzenia przez Prezesa UKE przetargu, aukcji albo konkursu. </w:t>
      </w:r>
    </w:p>
    <w:p w14:paraId="4F8FB5F0" w14:textId="0C4011EE"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W pozostałym zakresie, taka sytuacja zaistnieje w szczególności wówczas, gdy już ogłoszenie przetargu, aukcji albo konkursu nastąpiło w sposób tak wadliwy, że zachodzić będzie konieczność powtórzenia całego postępowania, a zatem powinien zostać ogłoszony nowy proces wyboru podmiotu. Natomiast w sytuacji, gdy rażące naruszenie przepisów prawa lub interesów uczestników przetargu, aukcji albo konkursu, zaistniało na późniejszym etapie albo dotyczyło tylko pewnej części przetargu, aukcji albo konkursu, np. dotyczącej tylko jednego uczestnika, ale bez wpływu na wynik przetargu, aukcji albo konkursu, konieczne będzie przeprowadzenie jedynie tych czynności, które są niezbędne do usunięcia naruszeń stanowiących przyczynę unieważnienia przetargu, aukcji albo konkursu. </w:t>
      </w:r>
    </w:p>
    <w:p w14:paraId="57B64729" w14:textId="10FC7D14"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Zasadne jest zatem uwzględnienie tego, kiedy i na jakim etapie wystąpiło rażące naruszenie prawa lub interesów uczestników przetargu, aukcji albo konkursu oraz jakie były jego faktyczne następstwa dla prawidłowości podjęcia i przeprowadzenia poszczególnych czynności w przetargu, aukcji albo konkursie. Zgodnie bowiem z zasadą proporcjonalności wywodzoną z art. 2 Konstytucji RP, niecelowe oraz nieproporcjonalne byłoby przeprowadzanie przez Prezesa UKE przetargu, aukcji albo konkursu od nowa w sytuacji, gdy tylko niektóre czynności związane z przeprowadzeniem przetargu, aukcji albo konkursu obarczone były wadami stanowiącymi przyczynę unieważnienia przetargu, aukcji albo konkursu. W związku z tym, zasadne wydaje się wskazanie w ustawie zakresu przeprowadzanych czynności niezbędnych do usunięcia naruszeń przepisów prawa lub interesów uczestników przetargu, aukcji albo konkursu. </w:t>
      </w:r>
    </w:p>
    <w:p w14:paraId="66AE0DA5"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Wskazać dodatkowo należy, że decyzja co do tego, czy unieważniony przetarg, aukcja albo konkurs zostanie przeprowadzony od nowa, czy też zostaną dokonane jedynie określone czynności, nie będzie dokonywana w sposób dowolny. Wynika to z faktu, iż zakres naruszeń przepisów prawa lub interesów uczestników</w:t>
      </w:r>
      <w:r w:rsidRPr="003A42FB">
        <w:rPr>
          <w:rFonts w:ascii="Times New Roman" w:eastAsiaTheme="minorEastAsia" w:hAnsi="Times New Roman" w:cs="Times New Roman"/>
          <w:i/>
          <w:iCs/>
          <w:sz w:val="24"/>
          <w:szCs w:val="24"/>
        </w:rPr>
        <w:t xml:space="preserve"> </w:t>
      </w:r>
      <w:r w:rsidRPr="003A42FB">
        <w:rPr>
          <w:rFonts w:ascii="Times New Roman" w:eastAsiaTheme="minorEastAsia" w:hAnsi="Times New Roman" w:cs="Times New Roman"/>
          <w:sz w:val="24"/>
          <w:szCs w:val="24"/>
        </w:rPr>
        <w:t>wskazany zostanie w decyzji w sprawie unieważnienia postępowania selekcyjnego, która podlegać będzie weryfikacji w ramach wniosku o ponowne rozpatrzenie sprawy, a następnie kontroli sądowej. Podstawę do ustalenia przez Prezesa UKE, czy konieczne jest przeprowadzenie ponownie wszystkich czynności w ramach przetargu, aukcji albo konkursu, czy też wystarczy przeprowadzenie tylko niektórych czynności (tzn. powtórzenie czynności wykonanych wadliwie oraz ewentualnie innych następujących po nich czynności, na które ta wadliwość mogła mieć wpływ), bądź też wykonanie po raz pierwszy czynności, które nie zostały przeprowadzone a powinny być przeprowadzone, stanowić będzie zatem decyzja w sprawie unieważnienia przetargu, aukcji albo konkursu.</w:t>
      </w:r>
    </w:p>
    <w:p w14:paraId="5EEF5393"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Należy przy tym podnieść, że przeprowadzenie przez Prezesa UKE czynności niezbędnych do usunięcia naruszeń, które stanowiły przyczynę unieważnienia przetargu, aukcji albo konkursu, bez potrzeby przeprowadzania całego procesu od początku ma również na celu skrócenie postępowania (nie ma bowiem konieczności np. przeprowadzania kolejnych konsultacji, ponownego ogłaszania przetargu) oraz nieobciążanie popełnionym przez organ błędem podmiotów, które złożyły prawidłowe oferty w przetargu, aukcji albo konkursie. Przeprowadzając bowiem przetarg, aukcję albo konkurs od początku, postępowanie to wydłuża się co najmniej o kilka miesięcy, a dodatkowo podmioty obciążane są kosztami ponownego przygotowania ofert. Ponadto warto zauważyć, że przeprowadzenie przez Prezesa UKE jedynie czynności niezbędnych do usunięcia naruszeń, które stanowiły przyczynę unieważnienia przetargu, aukcji albo konkursu, bez potrzeby przeprowadzania całego procesu ma korzystny wpływ na gospodarowanie zasobami częstotliwości oraz leży w interesie społecznym. Takie działanie oznacza bowiem możliwość szybszego zweryfikowania prawidłowości podjętej po przeprowadzeniu przetargu, aukcji albo konkursu decyzji w przedmiocie rezerwacji częstotliwości i usunięcie w związku z tym stanu niepewności prawnej zarówno po stronie </w:t>
      </w:r>
      <w:r w:rsidRPr="003A42FB">
        <w:rPr>
          <w:rFonts w:ascii="Times New Roman" w:eastAsiaTheme="minorEastAsia" w:hAnsi="Times New Roman" w:cs="Times New Roman"/>
          <w:sz w:val="24"/>
          <w:szCs w:val="24"/>
        </w:rPr>
        <w:lastRenderedPageBreak/>
        <w:t xml:space="preserve">podmiotu na rzecz, którego udzielono przedmiotowej rezerwacji, jak i innych uczestników przetargu, aukcji albo konkursu.  </w:t>
      </w:r>
    </w:p>
    <w:p w14:paraId="16A39BA2" w14:textId="5667DF6C"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Czynności niezbędne do usunięcia naruszeń powinny być przeprowadzone w oparciu o warunki uczestnictwa w postępowaniu selekcyjnym, wymagania, jakim powinna odpowiadać oferta oraz kryteria oceny ofert określone przed unieważnieniem postępowania w dokumentacji. Ponadto Prezes UKE powinien podjąć stosowne czynności wyłącznie w stosunku do ofert złożonych przed unieważnieniem postępowania selekcyjnego w terminie składania ofert. Powyżej określony sposób procedowania obowiązuje</w:t>
      </w:r>
      <w:r w:rsidR="324148B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jednakże pod warunkiem, iż jest możliwe usunięcie w ten sposób naruszeń przepisów prawa lub interesów uczestników przetargu, aukcji albo konkursu, które stanowiły przyczynę unieważnienia przetargu, aukcji albo konkursu. </w:t>
      </w:r>
    </w:p>
    <w:p w14:paraId="7342DD13"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Wskazać jednak należy, iż w przypadku gdy w ramach czynności niezbędnych do usunięcia naruszeń przepisów prawa lub interesów uczestników przetargu, aukcji albo konkursu, które stanowiły przyczynę unieważnienia danego postępowania, Prezes UKE będzie oceniał oferty będzie zasięgał opinii Prezesa UOKiK w stosunku do tych ofert.</w:t>
      </w:r>
    </w:p>
    <w:p w14:paraId="1B275871"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projektowanym przepisie proponuje się również, aby podmiotem ponownie wyłonionym w przetargu, aukcji albo konkursie nie mógł zostać podmiot, który został wyłoniony przed unieważnieniem postępowania selekcyjnego i zrezygnował z rezerwacji częstotliwości przed jej dokonaniem lub nie uiścił zadeklarowanej jednorazowej opłaty. Natomiast w przypadku, gdy zgodnie z warunkami przetargu, aukcji albo konkursu uczestnik złożył więcej niż jedną ofertę, powyższa zasada stosuje się wyłącznie do oferty, w stosunku do której podmiot wyłoniony przed unieważnieniem przetargu, aukcji albo konkursu zrezygnował z rezerwacji częstotliwości przed jej dokonaniem lub nie uiścił zadeklarowanej jednorazowej opłaty. Celem przedmiotowej regulacji jest wyeliminowanie możliwości uzyskania rezerwacji częstotliwości przez podmiot, który nie dopełnił uprzednio ustawowych warunków koniecznych do uzyskania rezerwacji częstotliwości po przeprowadzeniu unieważnionego postępowania selekcyjnego.</w:t>
      </w:r>
    </w:p>
    <w:p w14:paraId="52D2FB6A" w14:textId="55C9D482" w:rsidR="7483951F" w:rsidRPr="003A42FB" w:rsidRDefault="7483951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funkcjonował już w Pt.</w:t>
      </w:r>
    </w:p>
    <w:p w14:paraId="7358F029" w14:textId="3DE267EB"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8F5077">
        <w:rPr>
          <w:rFonts w:ascii="Times New Roman" w:eastAsiaTheme="minorEastAsia" w:hAnsi="Times New Roman" w:cs="Times New Roman"/>
          <w:b/>
          <w:bCs/>
          <w:sz w:val="24"/>
          <w:szCs w:val="24"/>
        </w:rPr>
        <w:t>125</w:t>
      </w:r>
    </w:p>
    <w:p w14:paraId="7F8C815D"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proponowanym przepisem jedynie zmiana wyników postępowania selekcyjnego będąca konsekwencją</w:t>
      </w:r>
      <w:r w:rsidRPr="003A42FB">
        <w:rPr>
          <w:rFonts w:ascii="Times New Roman" w:eastAsiaTheme="minorEastAsia" w:hAnsi="Times New Roman" w:cs="Times New Roman"/>
          <w:i/>
          <w:iCs/>
          <w:sz w:val="24"/>
          <w:szCs w:val="24"/>
        </w:rPr>
        <w:t xml:space="preserve"> </w:t>
      </w:r>
      <w:r w:rsidRPr="003A42FB">
        <w:rPr>
          <w:rFonts w:ascii="Times New Roman" w:eastAsiaTheme="minorEastAsia" w:hAnsi="Times New Roman" w:cs="Times New Roman"/>
          <w:sz w:val="24"/>
          <w:szCs w:val="24"/>
        </w:rPr>
        <w:t xml:space="preserve">unieważnienia przetargu, aukcji albo konkursu, powinna stanowić podstawę do wznowienia postępowania w sprawie rezerwacji częstotliwości dokonanej po przeprowadzeniu przetargu, aukcji albo konkursu. Powyższe oznacza, iż w sytuacji, gdy ponownie przeprowadzony przetarg, aukcja lub konkurs zostaną zakończone tym samym wynikiem, co unieważnione, wówczas nie będzie istniała podstawa do wznowienia postępowania w sprawie rezerwacji częstotliwości, co jest właściwym rozwiązaniem z punktu widzenia celowości przeprowadzenia tego nadzwyczajnego trybu weryfikacji ostatecznej decyzji administracyjnej. Skoro bowiem na skutek ponownego przeprowadzenia przetargu, aukcji lub konkursu, nie uległ zmianie podmiot lub podmioty wyłonione, to bezcelowe jest przeprowadzenie weryfikacji decyzji rezerwacyjnej, przyznającej częstotliwości temu podmiotowi. </w:t>
      </w:r>
    </w:p>
    <w:p w14:paraId="78C8472F"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związku z powyższym, stwierdzić należy, iż przesłanką wznowienia postępowania w sprawie rezerwacji częstotliwości powinna być zmiana wcześniejszych wyników postępowania selekcyjnego, w tym również wynikająca z unieważnienia go w całości i przeprowadzenia nowego. Przed zmianą wyników przetargu, aukcji albo konkursu, wznowienie postępowania w sprawie rezerwacji jest przedwczesne – nie wiadomo bowiem, jakie rozstrzygnięcia miałyby zapaść w wyniku wznowienia, w szczególności zaś nie można zakładać, że dotychczas uprawniony podmiot utraci rezerwację przyznanych mu częstotliwości. Zmiana wyników powinna obejmować również sytuację, w której dotychczasowy uprawniony </w:t>
      </w:r>
      <w:r w:rsidRPr="003A42FB">
        <w:rPr>
          <w:rFonts w:ascii="Times New Roman" w:eastAsiaTheme="minorEastAsia" w:hAnsi="Times New Roman" w:cs="Times New Roman"/>
          <w:sz w:val="24"/>
          <w:szCs w:val="24"/>
        </w:rPr>
        <w:lastRenderedPageBreak/>
        <w:t>podmiot zostaje ponownie wyłoniony w nowym przetargu (aukcji albo konkursie), jednakże na innych warunkach niż dotychczasowe (np. inna deklarowana kwota za rezerwację lub inne zobowiązania rezerwacyjne itp.), co może się zdarzyć w przypadku gdy ten sam podmiot jest uprawniony do złożenia w postępowaniu selekcyjnym więcej niż jednej oferty.</w:t>
      </w:r>
    </w:p>
    <w:p w14:paraId="2E39317F" w14:textId="05A0D20B"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Proponuje się także utrzymanie przewidzianych już w </w:t>
      </w:r>
      <w:r w:rsidR="00BA1A16"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rozwiązań, zgodnie z którymi postępowania w sprawie rezerwacji częstotliwości nie wznawia się, jeżeli od dnia ogłoszenia wyników postępowania selekcyjnego upłynęło 10 lat, a decyzji w sprawie rezerwacji częstotliwości nie uchyla się, jeżeli od dnia jej doręczenia lub ogłoszenia upłynęło 10 lat.</w:t>
      </w:r>
    </w:p>
    <w:p w14:paraId="7C63117E" w14:textId="331E5DF4"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F5077">
        <w:rPr>
          <w:rFonts w:ascii="Times New Roman" w:eastAsiaTheme="minorEastAsia" w:hAnsi="Times New Roman" w:cs="Times New Roman"/>
          <w:b/>
          <w:bCs/>
          <w:sz w:val="24"/>
          <w:szCs w:val="24"/>
        </w:rPr>
        <w:t>126</w:t>
      </w:r>
    </w:p>
    <w:p w14:paraId="66C8FFC8" w14:textId="44887093"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zawiera obligatoryjną delegację do wydania przez ministra właściwego do spraw informatyzacji rozporządzenia regulującego organizację postępowań selekcyjnych.</w:t>
      </w:r>
      <w:r w:rsidR="7EBE52D6" w:rsidRPr="003A42FB">
        <w:rPr>
          <w:rFonts w:ascii="Times New Roman" w:eastAsiaTheme="minorEastAsia" w:hAnsi="Times New Roman" w:cs="Times New Roman"/>
          <w:sz w:val="24"/>
          <w:szCs w:val="24"/>
        </w:rPr>
        <w:t xml:space="preserve"> Przepis funkcjonował już w Pt.</w:t>
      </w:r>
    </w:p>
    <w:p w14:paraId="0C0BEF4B" w14:textId="2F073A99"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F5077">
        <w:rPr>
          <w:rFonts w:ascii="Times New Roman" w:eastAsiaTheme="minorEastAsia" w:hAnsi="Times New Roman" w:cs="Times New Roman"/>
          <w:b/>
          <w:bCs/>
          <w:sz w:val="24"/>
          <w:szCs w:val="24"/>
        </w:rPr>
        <w:t>127</w:t>
      </w:r>
    </w:p>
    <w:p w14:paraId="585D6BDF"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wdrożenie przepisu art. 37 EKŁE dotyczącego możliwości przeprowadzenia procedury selekcyjnej wspólnie z właściwym organem innego państwa członkowskiego. Przepis daje podstawę do udziału w postępowaniu selekcyjnym właściwego organu innego państwa członkowskiego UE.</w:t>
      </w:r>
    </w:p>
    <w:p w14:paraId="5F2FF268" w14:textId="3EF0E261" w:rsidR="001A7CDF"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gdy pomimo zgłoszonego przez uczestników rynku zainteresowania takim wspólnym przeprowadzeniem postępowania selekcyjnego państwa członkowskie zdecydują się nie prowadzić wspólnie postępowania, Prezes UKE informuje tych uczestników rynku o powodach odmowy.</w:t>
      </w:r>
    </w:p>
    <w:p w14:paraId="134FDDEB" w14:textId="4F64130F" w:rsidR="001A7CDF" w:rsidRPr="003A42FB" w:rsidRDefault="001A7CDF"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Ar</w:t>
      </w:r>
      <w:r w:rsidR="00C5185F" w:rsidRPr="003A42FB">
        <w:rPr>
          <w:rFonts w:ascii="Times New Roman" w:eastAsiaTheme="minorEastAsia" w:hAnsi="Times New Roman" w:cs="Times New Roman"/>
          <w:b/>
          <w:sz w:val="24"/>
          <w:szCs w:val="24"/>
        </w:rPr>
        <w:t xml:space="preserve">t. </w:t>
      </w:r>
      <w:r w:rsidR="008F5077">
        <w:rPr>
          <w:rFonts w:ascii="Times New Roman" w:eastAsiaTheme="minorEastAsia" w:hAnsi="Times New Roman" w:cs="Times New Roman"/>
          <w:b/>
          <w:sz w:val="24"/>
          <w:szCs w:val="24"/>
        </w:rPr>
        <w:t>128</w:t>
      </w:r>
      <w:r w:rsidR="00C5185F" w:rsidRPr="003A42FB">
        <w:rPr>
          <w:rFonts w:ascii="Times New Roman" w:eastAsiaTheme="minorEastAsia" w:hAnsi="Times New Roman" w:cs="Times New Roman"/>
          <w:b/>
          <w:sz w:val="24"/>
          <w:szCs w:val="24"/>
        </w:rPr>
        <w:t>-</w:t>
      </w:r>
      <w:r w:rsidR="008F5077">
        <w:rPr>
          <w:rFonts w:ascii="Times New Roman" w:eastAsiaTheme="minorEastAsia" w:hAnsi="Times New Roman" w:cs="Times New Roman"/>
          <w:b/>
          <w:sz w:val="24"/>
          <w:szCs w:val="24"/>
        </w:rPr>
        <w:t>137</w:t>
      </w:r>
    </w:p>
    <w:p w14:paraId="1B513306" w14:textId="77777777" w:rsidR="00632D11" w:rsidRPr="003A42FB" w:rsidRDefault="001A7CD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Przepisy wprowadzają nową</w:t>
      </w:r>
      <w:r w:rsidR="00B3216A" w:rsidRPr="003A42FB">
        <w:rPr>
          <w:rFonts w:ascii="Times New Roman" w:eastAsiaTheme="minorEastAsia" w:hAnsi="Times New Roman" w:cs="Times New Roman"/>
          <w:sz w:val="24"/>
          <w:szCs w:val="24"/>
        </w:rPr>
        <w:t>, nieznaną na gruncie ustawy Pt</w:t>
      </w:r>
      <w:r w:rsidRPr="003A42FB">
        <w:rPr>
          <w:rFonts w:ascii="Times New Roman" w:eastAsiaTheme="minorEastAsia" w:hAnsi="Times New Roman" w:cs="Times New Roman"/>
          <w:sz w:val="24"/>
          <w:szCs w:val="24"/>
        </w:rPr>
        <w:t xml:space="preserve"> instytucję – przydział częstotliwości. </w:t>
      </w:r>
      <w:r w:rsidR="00B3216A" w:rsidRPr="003A42FB">
        <w:rPr>
          <w:rFonts w:ascii="Times New Roman" w:eastAsiaTheme="minorEastAsia" w:hAnsi="Times New Roman" w:cs="Times New Roman"/>
          <w:sz w:val="24"/>
          <w:szCs w:val="24"/>
        </w:rPr>
        <w:t>Przydział częstotliwości znajdzie zastosowanie dla użytkowników rządowych. Należy przy tym wskazać, że w użytkowaniu rządowym przydziału częstotliwości dokonywać będzie Minister Obrony Narodowej, przy czym w tym zakresie procedura przydziału nie będzie sformalizowana i regulacje</w:t>
      </w:r>
      <w:r w:rsidR="00632D11" w:rsidRPr="003A42FB">
        <w:rPr>
          <w:rFonts w:ascii="Times New Roman" w:eastAsiaTheme="minorEastAsia" w:hAnsi="Times New Roman" w:cs="Times New Roman"/>
          <w:sz w:val="24"/>
          <w:szCs w:val="24"/>
        </w:rPr>
        <w:t xml:space="preserve"> wprowadzone w omawianych przepisach nie znajdą zastosowania. Wynika to ze szczególnego charakteru użytkowania częstotliwości przeznaczonych wyłącznie do użytkowania rządowego.</w:t>
      </w:r>
    </w:p>
    <w:p w14:paraId="4A1A5AAA" w14:textId="15F1A16E" w:rsidR="00632D11" w:rsidRPr="003A42FB" w:rsidRDefault="001A7CD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Dla użytkowników rządowych w użytkowaniu cywilno-rządowym przydziału częstotliwości dokonuje Prezes UKE</w:t>
      </w:r>
      <w:r w:rsidR="00891364" w:rsidRPr="003A42FB">
        <w:rPr>
          <w:rFonts w:ascii="Times New Roman" w:eastAsiaTheme="minorEastAsia" w:hAnsi="Times New Roman" w:cs="Times New Roman"/>
          <w:sz w:val="24"/>
          <w:szCs w:val="24"/>
        </w:rPr>
        <w:t xml:space="preserve"> w drodze decyzji administracyjnej</w:t>
      </w:r>
      <w:r w:rsidRPr="003A42FB">
        <w:rPr>
          <w:rFonts w:ascii="Times New Roman" w:eastAsiaTheme="minorEastAsia" w:hAnsi="Times New Roman" w:cs="Times New Roman"/>
          <w:sz w:val="24"/>
          <w:szCs w:val="24"/>
        </w:rPr>
        <w:t>.</w:t>
      </w:r>
      <w:r w:rsidR="00632D11" w:rsidRPr="003A42FB">
        <w:rPr>
          <w:rFonts w:ascii="Times New Roman" w:eastAsiaTheme="minorEastAsia" w:hAnsi="Times New Roman" w:cs="Times New Roman"/>
          <w:sz w:val="24"/>
          <w:szCs w:val="24"/>
        </w:rPr>
        <w:t xml:space="preserve"> Instytucja przydziału częstotliwości wzorowana jest na znanej już z Pt instytucji rezerwacji</w:t>
      </w:r>
      <w:r w:rsidR="00891364" w:rsidRPr="003A42FB">
        <w:rPr>
          <w:rFonts w:ascii="Times New Roman" w:eastAsiaTheme="minorEastAsia" w:hAnsi="Times New Roman" w:cs="Times New Roman"/>
          <w:sz w:val="24"/>
          <w:szCs w:val="24"/>
        </w:rPr>
        <w:t xml:space="preserve"> częstotliwości</w:t>
      </w:r>
      <w:r w:rsidR="00632D11" w:rsidRPr="003A42FB">
        <w:rPr>
          <w:rFonts w:ascii="Times New Roman" w:eastAsiaTheme="minorEastAsia" w:hAnsi="Times New Roman" w:cs="Times New Roman"/>
          <w:sz w:val="24"/>
          <w:szCs w:val="24"/>
        </w:rPr>
        <w:t>, jednak uwzględnia odmienności wynikające z innego charakteru użytkowania rządowego i samych użytkowników rządowych. W chwili obecnej, na gruncie przepisów Pt, użytkownicy ci w użytkowaniu cywilno-rządowym obowiązani byli także do uzyskiwania rezerwacji częstotliwości jednak proponowane w projekcie rozwiązanie wydaje się bardziej właściwe.</w:t>
      </w:r>
      <w:r w:rsidR="00891364" w:rsidRPr="003A42FB">
        <w:rPr>
          <w:rFonts w:ascii="Times New Roman" w:eastAsiaTheme="minorEastAsia" w:hAnsi="Times New Roman" w:cs="Times New Roman"/>
          <w:sz w:val="24"/>
          <w:szCs w:val="24"/>
        </w:rPr>
        <w:t xml:space="preserve"> Odrębna instytucja dla użytkowników rządowych pozwala dopasować do specyfiki użytkowania przez nich widma obligatoryjne elementy decyzji, warunki jej wydania, zmiany i cofnięcia.</w:t>
      </w:r>
    </w:p>
    <w:p w14:paraId="70B429E1"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kern w:val="0"/>
          <w:lang w:eastAsia="en-US"/>
        </w:rPr>
      </w:pPr>
    </w:p>
    <w:p w14:paraId="2AEC28A4" w14:textId="77777777" w:rsidR="00D03005" w:rsidRPr="003A42FB" w:rsidRDefault="00D03005" w:rsidP="00C53EAB">
      <w:pPr>
        <w:pStyle w:val="ROZDZODDZOZNoznaczenierozdziauluboddziau"/>
        <w:spacing w:before="0" w:after="120" w:line="240" w:lineRule="auto"/>
        <w:jc w:val="both"/>
        <w:rPr>
          <w:rFonts w:ascii="Times New Roman" w:hAnsi="Times New Roman" w:cs="Times New Roman"/>
          <w:b/>
          <w:kern w:val="0"/>
          <w:lang w:eastAsia="en-US"/>
        </w:rPr>
      </w:pPr>
      <w:r w:rsidRPr="003A42FB">
        <w:rPr>
          <w:rFonts w:ascii="Times New Roman" w:hAnsi="Times New Roman" w:cs="Times New Roman"/>
          <w:b/>
          <w:kern w:val="0"/>
          <w:lang w:eastAsia="en-US"/>
        </w:rPr>
        <w:t>ROZDZIAŁ 2. Używanie i obsługa urządzeń radiowych</w:t>
      </w:r>
    </w:p>
    <w:p w14:paraId="240F30CA" w14:textId="4D3C1844" w:rsidR="00D03005"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FC0A8E">
        <w:rPr>
          <w:rFonts w:ascii="Times New Roman" w:eastAsiaTheme="minorEastAsia" w:hAnsi="Times New Roman" w:cs="Times New Roman"/>
          <w:b/>
          <w:bCs/>
          <w:sz w:val="24"/>
          <w:szCs w:val="24"/>
        </w:rPr>
        <w:t>138</w:t>
      </w:r>
    </w:p>
    <w:p w14:paraId="5F382D69" w14:textId="5125F5F4"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Używanie urządzenia radiowego, a więc wykorzystywanie częstotliwości wymaga, z pewnymi wyjątkami, uzyskania pozwolenia radiowego. Pozwolenie takie wydaje obecnie Prezes UKE w drodze decyzji – projektowany przepis utrzymuje funkcjonujące od wielu lat </w:t>
      </w:r>
      <w:r w:rsidR="10DF72EC" w:rsidRPr="003A42FB">
        <w:rPr>
          <w:rFonts w:ascii="Times New Roman" w:eastAsiaTheme="minorEastAsia" w:hAnsi="Times New Roman" w:cs="Times New Roman"/>
          <w:sz w:val="24"/>
          <w:szCs w:val="24"/>
        </w:rPr>
        <w:t xml:space="preserve">na gruncie ustawy Pt </w:t>
      </w:r>
      <w:r w:rsidRPr="003A42FB">
        <w:rPr>
          <w:rFonts w:ascii="Times New Roman" w:eastAsiaTheme="minorEastAsia" w:hAnsi="Times New Roman" w:cs="Times New Roman"/>
          <w:sz w:val="24"/>
          <w:szCs w:val="24"/>
        </w:rPr>
        <w:t>rozwiązanie.</w:t>
      </w:r>
    </w:p>
    <w:p w14:paraId="6B00AC9F" w14:textId="157BBF2C"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lastRenderedPageBreak/>
        <w:t xml:space="preserve">Art. </w:t>
      </w:r>
      <w:r w:rsidR="00FC0A8E">
        <w:rPr>
          <w:rFonts w:ascii="Times New Roman" w:eastAsiaTheme="minorEastAsia" w:hAnsi="Times New Roman" w:cs="Times New Roman"/>
          <w:b/>
          <w:bCs/>
          <w:sz w:val="24"/>
          <w:szCs w:val="24"/>
        </w:rPr>
        <w:t>139</w:t>
      </w:r>
    </w:p>
    <w:p w14:paraId="6D40F8BF" w14:textId="4761C5FD"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Regulacji dotyczącej pozwoleń radiowych nie stosuje się do urządzeń radiowych wykorzystywanych przez użytkowników rządowych.</w:t>
      </w:r>
      <w:r w:rsidR="1E76E6F3" w:rsidRPr="003A42FB">
        <w:rPr>
          <w:rFonts w:ascii="Times New Roman" w:eastAsiaTheme="minorEastAsia" w:hAnsi="Times New Roman" w:cs="Times New Roman"/>
          <w:sz w:val="24"/>
          <w:szCs w:val="24"/>
        </w:rPr>
        <w:t xml:space="preserve"> </w:t>
      </w:r>
      <w:r w:rsidR="00671C00" w:rsidRPr="003A42FB">
        <w:rPr>
          <w:rFonts w:ascii="Times New Roman" w:eastAsiaTheme="minorEastAsia" w:hAnsi="Times New Roman" w:cs="Times New Roman"/>
          <w:sz w:val="24"/>
          <w:szCs w:val="24"/>
        </w:rPr>
        <w:t>Jest to regulacja tożsama z regulacjami funkcjonującymi na gruncie ustawy Pt.</w:t>
      </w:r>
      <w:r w:rsidR="1E76E6F3" w:rsidRPr="003A42FB">
        <w:rPr>
          <w:rFonts w:ascii="Times New Roman" w:eastAsiaTheme="minorEastAsia" w:hAnsi="Times New Roman" w:cs="Times New Roman"/>
          <w:sz w:val="24"/>
          <w:szCs w:val="24"/>
        </w:rPr>
        <w:t xml:space="preserve"> </w:t>
      </w:r>
      <w:r w:rsidR="76079738" w:rsidRPr="003A42FB">
        <w:rPr>
          <w:rFonts w:ascii="Times New Roman" w:eastAsiaTheme="minorEastAsia" w:hAnsi="Times New Roman" w:cs="Times New Roman"/>
          <w:sz w:val="24"/>
          <w:szCs w:val="24"/>
        </w:rPr>
        <w:t xml:space="preserve">W tym obszarze nie będzie już </w:t>
      </w:r>
      <w:r w:rsidR="06453F84" w:rsidRPr="003A42FB">
        <w:rPr>
          <w:rFonts w:ascii="Times New Roman" w:eastAsiaTheme="minorEastAsia" w:hAnsi="Times New Roman" w:cs="Times New Roman"/>
          <w:sz w:val="24"/>
          <w:szCs w:val="24"/>
        </w:rPr>
        <w:t xml:space="preserve">natomiast </w:t>
      </w:r>
      <w:r w:rsidR="76079738" w:rsidRPr="003A42FB">
        <w:rPr>
          <w:rFonts w:ascii="Times New Roman" w:eastAsiaTheme="minorEastAsia" w:hAnsi="Times New Roman" w:cs="Times New Roman"/>
          <w:sz w:val="24"/>
          <w:szCs w:val="24"/>
        </w:rPr>
        <w:t>wymogu uzyskania rezerwacji częstotliwości</w:t>
      </w:r>
      <w:r w:rsidR="00671C00" w:rsidRPr="003A42FB">
        <w:rPr>
          <w:rFonts w:ascii="Times New Roman" w:eastAsiaTheme="minorEastAsia" w:hAnsi="Times New Roman" w:cs="Times New Roman"/>
          <w:sz w:val="24"/>
          <w:szCs w:val="24"/>
        </w:rPr>
        <w:t>, którą zastąpi nowa instytucja – przydział częstotliwości</w:t>
      </w:r>
      <w:r w:rsidR="76079738" w:rsidRPr="003A42FB">
        <w:rPr>
          <w:rFonts w:ascii="Times New Roman" w:eastAsiaTheme="minorEastAsia" w:hAnsi="Times New Roman" w:cs="Times New Roman"/>
          <w:sz w:val="24"/>
          <w:szCs w:val="24"/>
        </w:rPr>
        <w:t>.</w:t>
      </w:r>
    </w:p>
    <w:p w14:paraId="3B7112A9" w14:textId="0CF54DEF"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FC0A8E">
        <w:rPr>
          <w:rFonts w:ascii="Times New Roman" w:eastAsiaTheme="minorEastAsia" w:hAnsi="Times New Roman" w:cs="Times New Roman"/>
          <w:b/>
          <w:bCs/>
          <w:sz w:val="24"/>
          <w:szCs w:val="24"/>
        </w:rPr>
        <w:t>140</w:t>
      </w:r>
    </w:p>
    <w:p w14:paraId="1FF6E7DC" w14:textId="1DDF9ADA"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wskazuje obligatoryjne i fakultatywne elementy pozwolenia</w:t>
      </w:r>
      <w:r w:rsidR="36097717" w:rsidRPr="003A42FB">
        <w:rPr>
          <w:rFonts w:ascii="Times New Roman" w:eastAsiaTheme="minorEastAsia" w:hAnsi="Times New Roman" w:cs="Times New Roman"/>
          <w:sz w:val="24"/>
          <w:szCs w:val="24"/>
        </w:rPr>
        <w:t>, analogicznie jak miało to miejsce w ustawie Pt</w:t>
      </w:r>
      <w:r w:rsidRPr="003A42FB">
        <w:rPr>
          <w:rFonts w:ascii="Times New Roman" w:eastAsiaTheme="minorEastAsia" w:hAnsi="Times New Roman" w:cs="Times New Roman"/>
          <w:sz w:val="24"/>
          <w:szCs w:val="24"/>
        </w:rPr>
        <w:t>.</w:t>
      </w:r>
    </w:p>
    <w:p w14:paraId="4FAE19C0"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Wśród elementów obligatoryjnych znajdują się dane podmiotu uprawnionego, dane urządzenia radiowego, warunki wykorzystywania częstotliwości, warunki używania urządzenia, okres ważności oraz termin rozpoczęcia wykorzystywania częstotliwości.</w:t>
      </w:r>
    </w:p>
    <w:p w14:paraId="34E6F5C8" w14:textId="2ADBF119"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Pozwolenie może zawierać przydział sygnałów identyfikacyjnych lub znaków wywoławczych, Znaki wywoławcze nie podlegają zmianie w okresie obowiązywania pozwolenia. Proponowana regulacja, chociaż w swoim </w:t>
      </w:r>
      <w:r w:rsidR="00BB6A86" w:rsidRPr="003A42FB">
        <w:rPr>
          <w:rFonts w:ascii="Times New Roman" w:eastAsiaTheme="minorEastAsia" w:hAnsi="Times New Roman" w:cs="Times New Roman"/>
          <w:sz w:val="24"/>
          <w:szCs w:val="24"/>
        </w:rPr>
        <w:t>brzmieniu</w:t>
      </w:r>
      <w:r w:rsidRPr="003A42FB">
        <w:rPr>
          <w:rFonts w:ascii="Times New Roman" w:eastAsiaTheme="minorEastAsia" w:hAnsi="Times New Roman" w:cs="Times New Roman"/>
          <w:sz w:val="24"/>
          <w:szCs w:val="24"/>
        </w:rPr>
        <w:t>, dotyczy wszystkich pozwoleń, to ukierunkowana jest na pozwolenia amatorskie, gdzie praktyka czasowej zmiany znaku jest rozpowszechniona, a znaki wywoławcze zmieniane są nawet kilkadziesiąt razy, w trakcie ważności pozwolenia radiowego. Zgodnie z art. 19.4 Regulaminu Radiokomunikacyjnego ITU</w:t>
      </w:r>
      <w:r w:rsidR="482095E8" w:rsidRPr="003A42FB">
        <w:rPr>
          <w:rFonts w:ascii="Times New Roman" w:eastAsiaTheme="minorEastAsia" w:hAnsi="Times New Roman" w:cs="Times New Roman"/>
          <w:sz w:val="24"/>
          <w:szCs w:val="24"/>
        </w:rPr>
        <w:t xml:space="preserve"> (RR ITU)</w:t>
      </w:r>
      <w:r w:rsidRPr="003A42FB">
        <w:rPr>
          <w:rFonts w:ascii="Times New Roman" w:eastAsiaTheme="minorEastAsia" w:hAnsi="Times New Roman" w:cs="Times New Roman"/>
          <w:sz w:val="24"/>
          <w:szCs w:val="24"/>
        </w:rPr>
        <w:t>, wszystkie transmisje w służbie amatorskiej muszą zawierać sygnały identyfikacyjne, zgodnie z art. 19.16 RR ITU, jednym z rodzajów sygnału identyfikacyjnego jest znak wywoławczy, a zgodnie z art. 25.9 RR ITU, stacja amatorska musi w czasie transmisji, w krótkich odstępach czasu, nadawać swój znak wywoławczy. Należy podkreślić, że stację amatorską identyfikuje się za pomocą znaku wywoławczego.</w:t>
      </w:r>
    </w:p>
    <w:p w14:paraId="072B1F98"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Znak wywoławczy (lub numer MMSI w służbie morskiej), ze względu na swoją unikalność, jest jedynym rodzajem sygnału identyfikacyjnego, który w jednoznaczny i nie budzący wątpliwości sposób, identyfikuje stację radiową w całym okresie jej wykorzystywania, zgodnie z wydanym pozwoleniem radiowym. W żadnej innej służbie radiokomunikacyjnej, oprócz amatorskiej, użytkownicy pozwoleń nie wnioskują o zmianę znaków wywoławczych.</w:t>
      </w:r>
    </w:p>
    <w:p w14:paraId="6109BB7C"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Zmiana znaku wywoławczego, w trakcie ważności pozwolenia radiowego, stoi w ocenie projektodawcy w sprzeczności z powyższymi zasadami identyfikacji stacji i transmisji radiowej, prowadzonej z jej wykorzystaniem.</w:t>
      </w:r>
    </w:p>
    <w:p w14:paraId="251A1287" w14:textId="6A3E3392"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FC0A8E">
        <w:rPr>
          <w:rFonts w:ascii="Times New Roman" w:eastAsiaTheme="minorEastAsia" w:hAnsi="Times New Roman" w:cs="Times New Roman"/>
          <w:b/>
          <w:bCs/>
          <w:sz w:val="24"/>
          <w:szCs w:val="24"/>
        </w:rPr>
        <w:t>141</w:t>
      </w:r>
    </w:p>
    <w:p w14:paraId="4236EF8C" w14:textId="50585DFB"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Warunki wykorzystania częstotliwości określa się w pozwoleniu radiowym lub w rezerwacji częstotliwości. Projektowany przepis wskazuje otwarty katalog warunków wykorzystywania częstotliwości dla urządzenia radiowego naziemnego lub rezerwacji częstotliwości w celu świadczenia usług telekomunikacyjnych za pomocą takich urządzeń oraz dla naziemnej stacji satelitarnej lub rezerwacji częstotliwości dla świadczenia usług telekomunikacyjnych za pomocą nadawczo-odbiorczego urządzenia radiowego umieszczonego na sztucznym satelicie Ziemi.</w:t>
      </w:r>
      <w:r w:rsidR="26973167" w:rsidRPr="003A42FB">
        <w:rPr>
          <w:rFonts w:ascii="Times New Roman" w:eastAsiaTheme="minorEastAsia" w:hAnsi="Times New Roman" w:cs="Times New Roman"/>
          <w:sz w:val="24"/>
          <w:szCs w:val="24"/>
        </w:rPr>
        <w:t xml:space="preserve"> Przepis funkcjonował już w Pt.</w:t>
      </w:r>
    </w:p>
    <w:p w14:paraId="05C8CAEB" w14:textId="068B30DF" w:rsidR="000F496D" w:rsidRPr="003A42FB" w:rsidRDefault="000F4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FC0A8E">
        <w:rPr>
          <w:rFonts w:ascii="Times New Roman" w:eastAsiaTheme="minorEastAsia" w:hAnsi="Times New Roman" w:cs="Times New Roman"/>
          <w:b/>
          <w:bCs/>
          <w:sz w:val="24"/>
          <w:szCs w:val="24"/>
        </w:rPr>
        <w:t>142</w:t>
      </w:r>
    </w:p>
    <w:p w14:paraId="40C1EF44"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wdrożenie art. 28 ust. 1 EKŁE w zakresie pozwoleń radiowych i określa warunki wydawania pozwoleń radiowych.</w:t>
      </w:r>
    </w:p>
    <w:p w14:paraId="03BEDDF1" w14:textId="7EFE6D61" w:rsidR="00D03005" w:rsidRPr="003A42FB" w:rsidRDefault="00D03005" w:rsidP="00C53EAB">
      <w:pPr>
        <w:pStyle w:val="Tekstpodstawowy"/>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ma m</w:t>
      </w:r>
      <w:r w:rsidR="006D396A"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in. możliwość </w:t>
      </w:r>
      <w:r w:rsidR="006D396A" w:rsidRPr="003A42FB">
        <w:rPr>
          <w:rFonts w:ascii="Times New Roman" w:eastAsiaTheme="minorEastAsia" w:hAnsi="Times New Roman" w:cs="Times New Roman"/>
          <w:sz w:val="24"/>
          <w:szCs w:val="24"/>
        </w:rPr>
        <w:t xml:space="preserve">odmówienia </w:t>
      </w:r>
      <w:r w:rsidRPr="003A42FB">
        <w:rPr>
          <w:rFonts w:ascii="Times New Roman" w:eastAsiaTheme="minorEastAsia" w:hAnsi="Times New Roman" w:cs="Times New Roman"/>
          <w:sz w:val="24"/>
          <w:szCs w:val="24"/>
        </w:rPr>
        <w:t xml:space="preserve">wydania pozwolenia radiowego w przypadku, kiedy istnieje prawdopodobieństwo wystąpienia szkodliwych zaburzeń elektromagnetycznych bądź kolizji, w stosunku do urządzeń mogących pracować na podstawie wcześniej przyznanych </w:t>
      </w:r>
      <w:r w:rsidRPr="003A42FB">
        <w:rPr>
          <w:rFonts w:ascii="Times New Roman" w:eastAsiaTheme="minorEastAsia" w:hAnsi="Times New Roman" w:cs="Times New Roman"/>
          <w:sz w:val="24"/>
          <w:szCs w:val="24"/>
        </w:rPr>
        <w:lastRenderedPageBreak/>
        <w:t>uprawnień, a urządzenia pracujące w oparciu o tę decyzję nie mogą być chronione przed szkodliwymi zakłóceniami.</w:t>
      </w:r>
    </w:p>
    <w:p w14:paraId="36AE7175" w14:textId="77777777" w:rsidR="00D03005" w:rsidRPr="003A42FB" w:rsidRDefault="00D03005" w:rsidP="00C53EAB">
      <w:pPr>
        <w:pStyle w:val="Tekstpodstawowy"/>
        <w:tabs>
          <w:tab w:val="left" w:pos="5297"/>
        </w:tabs>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Dostępność częstotliwości nie oznacza możliwości zapewnienia kompatybilności pomiędzy systemami (pracującymi i planowanymi), w tych samych lub sąsiednich zakresach częstotliwości. Niejednokrotnie okazuje się, że uważane za dostępne częstotliwości dla określonej lokalizacji lub systemu radiokomunikacyjnego będą niedostępne dla innego systemu.</w:t>
      </w:r>
    </w:p>
    <w:p w14:paraId="4A8FB7A2" w14:textId="039FAC3C" w:rsidR="00D03005" w:rsidRPr="003A42FB" w:rsidRDefault="717EBA6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Jedną z przesłanek do wydania pozwolenia jest to, że częstotliwości objęte wnioskiem zostały międzynarodowo uzgodnione w zakresie i formie określonej w międzynarodowych przepisach radiokomunikacyjnych lub umowach, których Rzeczypospolita Polska jest stroną, w przypadku gdy zachodzi możliwość powodowania szkodliwych zakłóceń poza granicami Rzeczypospolitej Polskiej, skróci czas rozpatrywania wniosków o wydanie lub zmianę pozwolenia radiowego.</w:t>
      </w:r>
    </w:p>
    <w:p w14:paraId="05F9E822"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Stacje radiowe są uzgadniane międzynarodowo z następujących powodów:</w:t>
      </w:r>
    </w:p>
    <w:p w14:paraId="4EC6A0F8" w14:textId="77777777" w:rsidR="00D03005" w:rsidRPr="003A42FB" w:rsidRDefault="00D03005" w:rsidP="00C53EAB">
      <w:pPr>
        <w:numPr>
          <w:ilvl w:val="0"/>
          <w:numId w:val="36"/>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możliwości powodowania szkodliwych zakłóceń poza terytorium RP;</w:t>
      </w:r>
    </w:p>
    <w:p w14:paraId="249DF5F4" w14:textId="77777777" w:rsidR="00D03005" w:rsidRPr="003A42FB" w:rsidRDefault="00D03005" w:rsidP="00C53EAB">
      <w:pPr>
        <w:numPr>
          <w:ilvl w:val="0"/>
          <w:numId w:val="36"/>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konieczności zapewnienia ochrony przed zakłóceniami, które mogą powstać </w:t>
      </w:r>
      <w:r w:rsidRPr="003A42FB">
        <w:rPr>
          <w:rFonts w:ascii="Times New Roman" w:hAnsi="Times New Roman" w:cs="Times New Roman"/>
          <w:sz w:val="24"/>
          <w:szCs w:val="24"/>
        </w:rPr>
        <w:br/>
      </w:r>
      <w:r w:rsidRPr="003A42FB">
        <w:rPr>
          <w:rFonts w:ascii="Times New Roman" w:eastAsiaTheme="minorEastAsia" w:hAnsi="Times New Roman" w:cs="Times New Roman"/>
          <w:sz w:val="24"/>
          <w:szCs w:val="24"/>
        </w:rPr>
        <w:t xml:space="preserve">przy uruchomieniu nowych zagranicznych stacji nadawczych; </w:t>
      </w:r>
    </w:p>
    <w:p w14:paraId="3EBD8FC4" w14:textId="77777777" w:rsidR="00D03005" w:rsidRPr="003A42FB" w:rsidRDefault="00D03005" w:rsidP="00C53EAB">
      <w:pPr>
        <w:numPr>
          <w:ilvl w:val="0"/>
          <w:numId w:val="36"/>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wymogu zgłaszania nowych urządzeń radiowych działających w pasie przygranicznym wynikającego z umów międzynarodowych. Stacje te nie powodują zakłóceń oraz nie muszą być chronione przed zakłóceniami pochodzącymi z zagranicy.</w:t>
      </w:r>
    </w:p>
    <w:p w14:paraId="1CCDE904" w14:textId="36DB1C26" w:rsidR="00D03005" w:rsidRPr="003A42FB" w:rsidRDefault="717EBA66" w:rsidP="00C53EAB">
      <w:pPr>
        <w:pStyle w:val="Tekstpodstawowy"/>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Należy zauważyć, że uzgodnienia międzynarodowe są procesem długotrwałym, trwającym często ponad 6 miesięcy. Jednocześnie, tylko w</w:t>
      </w:r>
      <w:r w:rsidR="433BD314" w:rsidRPr="003A42FB">
        <w:rPr>
          <w:rFonts w:ascii="Times New Roman" w:eastAsiaTheme="minorEastAsia" w:hAnsi="Times New Roman" w:cs="Times New Roman"/>
          <w:sz w:val="24"/>
          <w:szCs w:val="24"/>
        </w:rPr>
        <w:t>, o którym mowa w lit</w:t>
      </w:r>
      <w:r w:rsidR="17286E15" w:rsidRPr="003A42FB">
        <w:rPr>
          <w:rFonts w:ascii="Times New Roman" w:eastAsiaTheme="minorEastAsia" w:hAnsi="Times New Roman" w:cs="Times New Roman"/>
          <w:sz w:val="24"/>
          <w:szCs w:val="24"/>
        </w:rPr>
        <w:t>.</w:t>
      </w:r>
      <w:r w:rsidR="433BD314" w:rsidRPr="003A42FB">
        <w:rPr>
          <w:rFonts w:ascii="Times New Roman" w:eastAsiaTheme="minorEastAsia" w:hAnsi="Times New Roman" w:cs="Times New Roman"/>
          <w:sz w:val="24"/>
          <w:szCs w:val="24"/>
        </w:rPr>
        <w:t xml:space="preserve"> a</w:t>
      </w:r>
      <w:r w:rsidRPr="003A42FB">
        <w:rPr>
          <w:rFonts w:ascii="Times New Roman" w:eastAsiaTheme="minorEastAsia" w:hAnsi="Times New Roman" w:cs="Times New Roman"/>
          <w:sz w:val="24"/>
          <w:szCs w:val="24"/>
        </w:rPr>
        <w:t>, wydanie pozwolenia radiowego musi zostać poprzedzone uzyskaniem zgody innej administracji. W pozostałych przypadkach, oczekiwanie na zakończenie koordynacji niepotrzebnie przedłuża czas wydania pozwolenia radiowego.</w:t>
      </w:r>
    </w:p>
    <w:p w14:paraId="58B2809B" w14:textId="77777777" w:rsidR="00D03005" w:rsidRPr="003A42FB" w:rsidRDefault="00D03005" w:rsidP="00C53EAB">
      <w:pPr>
        <w:autoSpaceDE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Natomiast propozycja załączania do wniosku dokumentu potwierdzającego uzyskanie zgody operatora satelity na wykorzystywanie transpondera w przypadku pozwolenia na używanie urządzenia w służbie stałej satelitarnej wynika ze specyfiki działania transponderów satelitarnych i ma na celu uniknięcie sytuacji przesyłania niepożądanego sygnału z Ziemi do satelity. Wydając decyzję w sprawie rezerwacji lub pozwolenia Prezes UKE powinien mieć na uwadze aby urządzenia pracujące w oparciu o tę decyzję nie wywoływały szkodliwych zakłóceń, a jednocześnie rozważyć czy urządzenia pracujące w oparciu o tę decyzję mogą być chronione przed szkodliwymi zakłóceniami.</w:t>
      </w:r>
    </w:p>
    <w:p w14:paraId="369DCD3F" w14:textId="01B73148" w:rsidR="00AC6D2B" w:rsidRPr="003A42FB" w:rsidRDefault="00AC6D2B" w:rsidP="44799C57">
      <w:pPr>
        <w:autoSpaceDE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Dodano regulację, zgodnie z którą wydanie pozwolenia radiowego uzależnione jest </w:t>
      </w:r>
      <w:r w:rsidR="0041205F" w:rsidRPr="003A42FB">
        <w:rPr>
          <w:rFonts w:ascii="Times New Roman" w:eastAsiaTheme="minorEastAsia" w:hAnsi="Times New Roman" w:cs="Times New Roman"/>
          <w:sz w:val="24"/>
          <w:szCs w:val="24"/>
        </w:rPr>
        <w:t>od wpisu statku</w:t>
      </w:r>
      <w:r w:rsidRPr="003A42FB">
        <w:rPr>
          <w:rFonts w:ascii="Times New Roman" w:eastAsiaTheme="minorEastAsia" w:hAnsi="Times New Roman" w:cs="Times New Roman"/>
          <w:sz w:val="24"/>
          <w:szCs w:val="24"/>
        </w:rPr>
        <w:t xml:space="preserve"> do rejestru. </w:t>
      </w:r>
      <w:r w:rsidR="0041205F" w:rsidRPr="003A42FB">
        <w:rPr>
          <w:rFonts w:ascii="Times New Roman" w:eastAsiaTheme="minorEastAsia" w:hAnsi="Times New Roman" w:cs="Times New Roman"/>
          <w:sz w:val="24"/>
          <w:szCs w:val="24"/>
        </w:rPr>
        <w:t>Uzasadnieniem dla wprowadzenia tego przepisu jest fakt, że Prezes UKE może wydawać pozwolenia na urządzenia radiowe na statkach morskich i powietrznych jedynie zarejestrowanych w Polsce. W chwili obecnej w praktyce wymaga się już przedstawienia dokumentu potwierdzającego rejestrację, ale brak jest wyraźnej podstawy prawnej. Przepis ma na celu dostosowanie porządku prawnego do praktyki.</w:t>
      </w:r>
    </w:p>
    <w:p w14:paraId="16D3BE5D" w14:textId="37DE35A5" w:rsidR="00D03005" w:rsidRPr="003A42FB" w:rsidRDefault="00D03005" w:rsidP="677B4756">
      <w:pPr>
        <w:autoSpaceDE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Pozwolenia radiowe dla służb radiokomunikacyjnych innych niż służba radiokomunikacyjna amatorska są wydawane na okres nieprzekraczający 10 lat</w:t>
      </w:r>
      <w:r w:rsidR="1A5229C9" w:rsidRPr="003A42FB">
        <w:rPr>
          <w:rFonts w:ascii="Times New Roman" w:eastAsiaTheme="minorEastAsia" w:hAnsi="Times New Roman" w:cs="Times New Roman"/>
          <w:sz w:val="24"/>
          <w:szCs w:val="24"/>
        </w:rPr>
        <w:t>, a w służbie radioamatorskiej</w:t>
      </w:r>
      <w:r w:rsidR="1F3EADAF" w:rsidRPr="003A42FB">
        <w:rPr>
          <w:rFonts w:ascii="Times New Roman" w:eastAsiaTheme="minorEastAsia" w:hAnsi="Times New Roman" w:cs="Times New Roman"/>
          <w:sz w:val="24"/>
          <w:szCs w:val="24"/>
        </w:rPr>
        <w:t xml:space="preserve">, ze względu na jej szczególny charakter, </w:t>
      </w:r>
      <w:r w:rsidR="1A5229C9" w:rsidRPr="003A42FB">
        <w:rPr>
          <w:rFonts w:ascii="Times New Roman" w:eastAsiaTheme="minorEastAsia" w:hAnsi="Times New Roman" w:cs="Times New Roman"/>
          <w:sz w:val="24"/>
          <w:szCs w:val="24"/>
        </w:rPr>
        <w:t>25 lat</w:t>
      </w:r>
      <w:r w:rsidRPr="003A42FB">
        <w:rPr>
          <w:rFonts w:ascii="Times New Roman" w:eastAsiaTheme="minorEastAsia" w:hAnsi="Times New Roman" w:cs="Times New Roman"/>
          <w:sz w:val="24"/>
          <w:szCs w:val="24"/>
        </w:rPr>
        <w:t>.</w:t>
      </w:r>
    </w:p>
    <w:p w14:paraId="113DA49A" w14:textId="5035AD4B" w:rsidR="7016B558" w:rsidRPr="003A42FB" w:rsidRDefault="7016B558" w:rsidP="005410D8">
      <w:pPr>
        <w:spacing w:line="276"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Urządzenia kontrolno-pomiarowe wykorzystywane są do realizacji ustawowych zadań Prezesa UKE, tj. prowadzenia obserwacji widma elektromagnetycznego, wykrywania zakłóceń elektromagnetycznych, prowadzenia pomiarów parametrów sygnałów radiowych oraz </w:t>
      </w:r>
      <w:r w:rsidRPr="003A42FB">
        <w:rPr>
          <w:rFonts w:ascii="Times New Roman" w:eastAsiaTheme="minorEastAsia" w:hAnsi="Times New Roman" w:cs="Times New Roman"/>
          <w:sz w:val="24"/>
          <w:szCs w:val="24"/>
        </w:rPr>
        <w:lastRenderedPageBreak/>
        <w:t>wykonywania innych czynności należących do kompetencji Prezesa UKE, a wynikających z PKE. Z uwagi na fakt, iż niezbędna jest ochrona tych urządzeń przed szkodliwym działaniem pól elektromagnetycznych, niezbędne jest, aby w wyznaczonych obszarach ich pracy nie były lokalizowane żadne urządzenia nadawcze operatorów mogące kolidować z ich pracą, takie jak: BTS, radiolinie, nadajniki RLL, RTV i inne.</w:t>
      </w:r>
    </w:p>
    <w:p w14:paraId="5E9F381C" w14:textId="45A2005C" w:rsidR="7016B558" w:rsidRPr="003A42FB" w:rsidRDefault="7016B558" w:rsidP="005410D8">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celu zapewnienia informacji na temat zasad spełniania warunku braku możliwości kolidowania urządzeń z pracą urządzeń kontrolno-pomiarowych UKE Prezes UKE powinien publikować na stronie BIP UKE wykaz tych urządzeń wraz z ich lokalizacjami i warunkami ochrony. Warunki te mogą w szczególności tak jak dotychczas określać obszary poprzez wskazanie współrzędnych geograficznych urządzenia kontrolno-pomiarowego UKE i wskazanie promienia od tego punktu, w którym nie mogą być zlokalizowane inne urządzenia radiowe pracujące w danym zakresie częstotliwości.</w:t>
      </w:r>
    </w:p>
    <w:p w14:paraId="3EE95393" w14:textId="24DEA245" w:rsidR="006D396A" w:rsidRPr="003A42FB" w:rsidRDefault="006D396A" w:rsidP="00F45100">
      <w:pPr>
        <w:pStyle w:val="USTustnpkodeksu"/>
        <w:ind w:firstLine="0"/>
        <w:rPr>
          <w:rFonts w:ascii="Times New Roman" w:hAnsi="Times New Roman" w:cs="Times New Roman"/>
          <w:b/>
          <w:szCs w:val="24"/>
        </w:rPr>
      </w:pPr>
      <w:r w:rsidRPr="003A42FB">
        <w:rPr>
          <w:rFonts w:ascii="Times New Roman" w:hAnsi="Times New Roman" w:cs="Times New Roman"/>
          <w:b/>
          <w:szCs w:val="24"/>
        </w:rPr>
        <w:t xml:space="preserve">Art. </w:t>
      </w:r>
      <w:r w:rsidR="00FC0A8E">
        <w:rPr>
          <w:rFonts w:ascii="Times New Roman" w:hAnsi="Times New Roman" w:cs="Times New Roman"/>
          <w:b/>
          <w:szCs w:val="24"/>
        </w:rPr>
        <w:t>143</w:t>
      </w:r>
      <w:r w:rsidRPr="003A42FB">
        <w:rPr>
          <w:rFonts w:ascii="Times New Roman" w:hAnsi="Times New Roman" w:cs="Times New Roman"/>
          <w:b/>
          <w:szCs w:val="24"/>
        </w:rPr>
        <w:t xml:space="preserve">. </w:t>
      </w:r>
    </w:p>
    <w:p w14:paraId="6360F161" w14:textId="3C225EA1" w:rsidR="006D396A" w:rsidRPr="003A42FB" w:rsidRDefault="006D396A" w:rsidP="005410D8">
      <w:pPr>
        <w:pStyle w:val="USTustnpkodeksu"/>
        <w:spacing w:line="240" w:lineRule="auto"/>
        <w:ind w:firstLine="0"/>
        <w:rPr>
          <w:rFonts w:ascii="Times New Roman" w:hAnsi="Times New Roman" w:cs="Times New Roman"/>
          <w:szCs w:val="24"/>
        </w:rPr>
      </w:pPr>
      <w:r w:rsidRPr="003A42FB">
        <w:rPr>
          <w:rFonts w:ascii="Times New Roman" w:hAnsi="Times New Roman" w:cs="Times New Roman"/>
          <w:szCs w:val="24"/>
        </w:rPr>
        <w:t>Przepis określa rodzaje pozwoleń wydawanych przez Prezesa UKE w</w:t>
      </w:r>
      <w:r w:rsidRPr="003A42FB">
        <w:rPr>
          <w:rFonts w:ascii="Times New Roman" w:eastAsia="Times" w:hAnsi="Times New Roman" w:cs="Times New Roman"/>
          <w:szCs w:val="24"/>
        </w:rPr>
        <w:t xml:space="preserve"> służbie radiokomunikacyjnej amatorskiej oraz sposób identyfikacji stacji amatorskiej. </w:t>
      </w:r>
    </w:p>
    <w:p w14:paraId="15DBDD5A" w14:textId="2FE8633C" w:rsidR="006D396A" w:rsidRPr="003A42FB" w:rsidRDefault="006D396A" w:rsidP="005410D8">
      <w:pPr>
        <w:keepNext/>
        <w:spacing w:after="120" w:line="240" w:lineRule="auto"/>
        <w:jc w:val="both"/>
        <w:rPr>
          <w:rFonts w:ascii="Times New Roman" w:eastAsia="Times" w:hAnsi="Times New Roman" w:cs="Times New Roman"/>
          <w:sz w:val="24"/>
          <w:szCs w:val="24"/>
        </w:rPr>
      </w:pPr>
      <w:r w:rsidRPr="003A42FB">
        <w:rPr>
          <w:rFonts w:ascii="Times New Roman" w:eastAsia="Times" w:hAnsi="Times New Roman" w:cs="Times New Roman"/>
          <w:sz w:val="24"/>
          <w:szCs w:val="24"/>
        </w:rPr>
        <w:t>Kluczową zmianą w stosunku do przepisów Pt jest rezygnacja z</w:t>
      </w:r>
      <w:r w:rsidR="00EA1F84" w:rsidRPr="003A42FB">
        <w:rPr>
          <w:rFonts w:ascii="Times New Roman" w:eastAsia="Times" w:hAnsi="Times New Roman" w:cs="Times New Roman"/>
          <w:sz w:val="24"/>
          <w:szCs w:val="24"/>
        </w:rPr>
        <w:t>e</w:t>
      </w:r>
      <w:r w:rsidRPr="003A42FB">
        <w:rPr>
          <w:rFonts w:ascii="Times New Roman" w:eastAsia="Times" w:hAnsi="Times New Roman" w:cs="Times New Roman"/>
          <w:sz w:val="24"/>
          <w:szCs w:val="24"/>
        </w:rPr>
        <w:t xml:space="preserve"> świadectw operatora urządzeń radiowych w służbie radiokomunikacyjnej amatorskiej. Projektowane przepisy przew</w:t>
      </w:r>
      <w:r w:rsidR="00EA1F84" w:rsidRPr="003A42FB">
        <w:rPr>
          <w:rFonts w:ascii="Times New Roman" w:eastAsia="Times" w:hAnsi="Times New Roman" w:cs="Times New Roman"/>
          <w:sz w:val="24"/>
          <w:szCs w:val="24"/>
        </w:rPr>
        <w:t xml:space="preserve">idują, że uzyskanie pozwolenia radiowego </w:t>
      </w:r>
      <w:r w:rsidRPr="003A42FB">
        <w:rPr>
          <w:rFonts w:ascii="Times New Roman" w:eastAsia="Times" w:hAnsi="Times New Roman" w:cs="Times New Roman"/>
          <w:sz w:val="24"/>
          <w:szCs w:val="24"/>
        </w:rPr>
        <w:t>w służbie radiokomunikacyjnej amatorskiej następuje na podstawie zaświadczenia o pozytywnym wyniku egzaminu z wiadomości i umiejętności osoby ubiegającej się o pozwolenie oraz spełnienia innych określonych</w:t>
      </w:r>
      <w:r w:rsidR="00F45100" w:rsidRPr="003A42FB">
        <w:rPr>
          <w:rFonts w:ascii="Times New Roman" w:eastAsia="Times" w:hAnsi="Times New Roman" w:cs="Times New Roman"/>
          <w:sz w:val="24"/>
          <w:szCs w:val="24"/>
        </w:rPr>
        <w:t xml:space="preserve"> ustawą</w:t>
      </w:r>
      <w:r w:rsidRPr="003A42FB">
        <w:rPr>
          <w:rFonts w:ascii="Times New Roman" w:eastAsia="Times" w:hAnsi="Times New Roman" w:cs="Times New Roman"/>
          <w:sz w:val="24"/>
          <w:szCs w:val="24"/>
        </w:rPr>
        <w:t xml:space="preserve"> warunków</w:t>
      </w:r>
      <w:r w:rsidR="00EA1F84" w:rsidRPr="003A42FB">
        <w:rPr>
          <w:rFonts w:ascii="Times New Roman" w:eastAsia="Times" w:hAnsi="Times New Roman" w:cs="Times New Roman"/>
          <w:sz w:val="24"/>
          <w:szCs w:val="24"/>
        </w:rPr>
        <w:t>, a nie – jak ma to miejsce obecnie – na podstawie świadectwa operatora urządzeń radiowych</w:t>
      </w:r>
      <w:r w:rsidRPr="003A42FB">
        <w:rPr>
          <w:rFonts w:ascii="Times New Roman" w:eastAsia="Times" w:hAnsi="Times New Roman" w:cs="Times New Roman"/>
          <w:sz w:val="24"/>
          <w:szCs w:val="24"/>
        </w:rPr>
        <w:t xml:space="preserve">.  Istotne jest, że pozytywny wynik egzaminu z wiadomości i umiejętności osoby ubiegającej się o pozwolenie jest ważny bezterminowo. </w:t>
      </w:r>
      <w:r w:rsidR="00EA1F84" w:rsidRPr="003A42FB">
        <w:rPr>
          <w:rFonts w:ascii="Times New Roman" w:eastAsia="Times" w:hAnsi="Times New Roman" w:cs="Times New Roman"/>
          <w:sz w:val="24"/>
          <w:szCs w:val="24"/>
        </w:rPr>
        <w:t xml:space="preserve">Dzięki takiemu rozwiązaniu prawnemu nie będzie konieczności ponownego zdawania egzaminu w przypadku ubiegania się o kolejne pozwolenie radiowe. </w:t>
      </w:r>
    </w:p>
    <w:p w14:paraId="69127757" w14:textId="7FCC722B" w:rsidR="004C0675" w:rsidRPr="003A42FB" w:rsidRDefault="006D396A" w:rsidP="005410D8">
      <w:pPr>
        <w:pStyle w:val="USTustnpkodeksu"/>
        <w:keepNext/>
        <w:spacing w:after="120" w:line="240" w:lineRule="auto"/>
        <w:ind w:firstLine="0"/>
        <w:rPr>
          <w:rFonts w:ascii="Times New Roman" w:hAnsi="Times New Roman" w:cs="Times New Roman"/>
          <w:szCs w:val="24"/>
        </w:rPr>
      </w:pPr>
      <w:r w:rsidRPr="003A42FB">
        <w:rPr>
          <w:rFonts w:ascii="Times New Roman" w:hAnsi="Times New Roman" w:cs="Times New Roman"/>
          <w:szCs w:val="24"/>
        </w:rPr>
        <w:t>Przepis zawiera również</w:t>
      </w:r>
      <w:r w:rsidR="004C0675" w:rsidRPr="003A42FB">
        <w:rPr>
          <w:rFonts w:ascii="Times New Roman" w:hAnsi="Times New Roman" w:cs="Times New Roman"/>
          <w:szCs w:val="24"/>
        </w:rPr>
        <w:t xml:space="preserve"> delegację</w:t>
      </w:r>
      <w:r w:rsidRPr="003A42FB">
        <w:rPr>
          <w:rFonts w:ascii="Times New Roman" w:hAnsi="Times New Roman" w:cs="Times New Roman"/>
          <w:szCs w:val="24"/>
        </w:rPr>
        <w:t xml:space="preserve"> do wydania aktu wykonawczego określającego szczegółowy zakres pozwoleń</w:t>
      </w:r>
      <w:r w:rsidR="00A527AF" w:rsidRPr="003A42FB">
        <w:rPr>
          <w:rFonts w:ascii="Times New Roman" w:hAnsi="Times New Roman" w:cs="Times New Roman"/>
          <w:szCs w:val="24"/>
        </w:rPr>
        <w:t xml:space="preserve"> w służbie radiokomunikacyjnej amatorskiej</w:t>
      </w:r>
      <w:r w:rsidRPr="003A42FB">
        <w:rPr>
          <w:rFonts w:ascii="Times New Roman" w:hAnsi="Times New Roman" w:cs="Times New Roman"/>
          <w:szCs w:val="24"/>
        </w:rPr>
        <w:t>,</w:t>
      </w:r>
      <w:r w:rsidR="00A527AF" w:rsidRPr="003A42FB">
        <w:rPr>
          <w:rFonts w:ascii="Times New Roman" w:hAnsi="Times New Roman" w:cs="Times New Roman"/>
          <w:szCs w:val="24"/>
        </w:rPr>
        <w:t xml:space="preserve"> </w:t>
      </w:r>
      <w:r w:rsidRPr="003A42FB">
        <w:rPr>
          <w:rFonts w:ascii="Times New Roman" w:hAnsi="Times New Roman" w:cs="Times New Roman"/>
          <w:szCs w:val="24"/>
        </w:rPr>
        <w:t>wymagania niezbędne do uzyskania pozwolenia i zakres wymogów egzaminacyjnych,</w:t>
      </w:r>
      <w:r w:rsidR="00A527AF" w:rsidRPr="003A42FB">
        <w:rPr>
          <w:rFonts w:ascii="Times New Roman" w:hAnsi="Times New Roman" w:cs="Times New Roman"/>
          <w:szCs w:val="24"/>
        </w:rPr>
        <w:t xml:space="preserve"> </w:t>
      </w:r>
      <w:r w:rsidRPr="003A42FB">
        <w:rPr>
          <w:rFonts w:ascii="Times New Roman" w:hAnsi="Times New Roman" w:cs="Times New Roman"/>
          <w:szCs w:val="24"/>
        </w:rPr>
        <w:t xml:space="preserve">tryb przeprowadzania egzaminów, </w:t>
      </w:r>
      <w:r w:rsidR="00A527AF" w:rsidRPr="003A42FB">
        <w:rPr>
          <w:rFonts w:ascii="Times New Roman" w:hAnsi="Times New Roman" w:cs="Times New Roman"/>
          <w:szCs w:val="24"/>
        </w:rPr>
        <w:t xml:space="preserve">a także </w:t>
      </w:r>
      <w:r w:rsidRPr="003A42FB">
        <w:rPr>
          <w:rFonts w:ascii="Times New Roman" w:hAnsi="Times New Roman" w:cs="Times New Roman"/>
          <w:szCs w:val="24"/>
        </w:rPr>
        <w:t>sposób identyfikacji stacji amatorskiej</w:t>
      </w:r>
      <w:r w:rsidR="00A527AF" w:rsidRPr="003A42FB">
        <w:rPr>
          <w:rFonts w:ascii="Times New Roman" w:hAnsi="Times New Roman" w:cs="Times New Roman"/>
          <w:szCs w:val="24"/>
        </w:rPr>
        <w:t xml:space="preserve">. </w:t>
      </w:r>
    </w:p>
    <w:p w14:paraId="2F35B39C" w14:textId="3D6FD0C9" w:rsidR="00F45100" w:rsidRPr="003A42FB" w:rsidRDefault="00A527AF" w:rsidP="005410D8">
      <w:pPr>
        <w:pStyle w:val="USTustnpkodeksu"/>
        <w:keepNext/>
        <w:spacing w:after="120" w:line="240" w:lineRule="auto"/>
        <w:ind w:firstLine="0"/>
        <w:rPr>
          <w:rFonts w:ascii="Times New Roman" w:eastAsia="Times" w:hAnsi="Times New Roman" w:cs="Times New Roman"/>
          <w:szCs w:val="24"/>
          <w:u w:val="single"/>
        </w:rPr>
      </w:pPr>
      <w:r w:rsidRPr="003A42FB">
        <w:rPr>
          <w:rFonts w:ascii="Times New Roman" w:hAnsi="Times New Roman" w:cs="Times New Roman"/>
          <w:szCs w:val="24"/>
        </w:rPr>
        <w:t xml:space="preserve">Należy podkreślić, że projektowane rozwiązania w zakresie pozwoleń radiowych w służbie radiokomunikacyjnej amatorskiej zostały opracowane i przyjęte na </w:t>
      </w:r>
      <w:r w:rsidRPr="003A42FB">
        <w:rPr>
          <w:rFonts w:ascii="Times New Roman" w:eastAsia="Times" w:hAnsi="Times New Roman" w:cs="Times New Roman"/>
          <w:szCs w:val="24"/>
        </w:rPr>
        <w:t>skutek postulatów i propozycji kierowanych przez organizacje zrzeszające krótkofalowców.</w:t>
      </w:r>
    </w:p>
    <w:p w14:paraId="6EFDC26A" w14:textId="0C0400F2" w:rsidR="00F45100" w:rsidRPr="003A42FB" w:rsidRDefault="00F45100" w:rsidP="44799C57">
      <w:pPr>
        <w:jc w:val="both"/>
        <w:rPr>
          <w:rFonts w:ascii="Times New Roman" w:eastAsia="Times New Roman" w:hAnsi="Times New Roman" w:cs="Times New Roman"/>
          <w:sz w:val="24"/>
          <w:szCs w:val="24"/>
        </w:rPr>
      </w:pPr>
      <w:r w:rsidRPr="003A42FB">
        <w:rPr>
          <w:rFonts w:ascii="Times New Roman" w:eastAsia="Times New Roman" w:hAnsi="Times New Roman" w:cs="Times New Roman"/>
          <w:b/>
          <w:bCs/>
          <w:sz w:val="24"/>
          <w:szCs w:val="24"/>
        </w:rPr>
        <w:t>Art. </w:t>
      </w:r>
      <w:r w:rsidR="00FC0A8E">
        <w:rPr>
          <w:rFonts w:ascii="Times New Roman" w:eastAsia="Times New Roman" w:hAnsi="Times New Roman" w:cs="Times New Roman"/>
          <w:b/>
          <w:bCs/>
          <w:sz w:val="24"/>
          <w:szCs w:val="24"/>
        </w:rPr>
        <w:t>144</w:t>
      </w:r>
      <w:r w:rsidRPr="003A42FB">
        <w:rPr>
          <w:rFonts w:ascii="Times New Roman" w:eastAsia="Times New Roman" w:hAnsi="Times New Roman" w:cs="Times New Roman"/>
          <w:b/>
          <w:bCs/>
          <w:sz w:val="24"/>
          <w:szCs w:val="24"/>
        </w:rPr>
        <w:t>.</w:t>
      </w:r>
      <w:r w:rsidRPr="003A42FB">
        <w:rPr>
          <w:rFonts w:ascii="Times New Roman" w:eastAsia="Times New Roman" w:hAnsi="Times New Roman" w:cs="Times New Roman"/>
          <w:sz w:val="24"/>
          <w:szCs w:val="24"/>
        </w:rPr>
        <w:t xml:space="preserve"> </w:t>
      </w:r>
    </w:p>
    <w:p w14:paraId="3B9EA6C0" w14:textId="645EF13F" w:rsidR="00F45100" w:rsidRPr="003A42FB" w:rsidRDefault="00F45100" w:rsidP="44799C57">
      <w:pPr>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Projektowany przepis zawiera regulacje dotyczące egzaminów osób ubiegających się o pozwolenie w służbie radiokomunikacyjnej amatorskiej. Co do zasady egzaminy takie przeprowadzać będzie komisja powołana przez Prezesa UKE, </w:t>
      </w:r>
      <w:r w:rsidR="00274FEA" w:rsidRPr="003A42FB">
        <w:rPr>
          <w:rFonts w:ascii="Times New Roman" w:eastAsia="Times New Roman" w:hAnsi="Times New Roman" w:cs="Times New Roman"/>
          <w:sz w:val="24"/>
          <w:szCs w:val="24"/>
        </w:rPr>
        <w:t>przy czym</w:t>
      </w:r>
      <w:r w:rsidRPr="003A42FB">
        <w:rPr>
          <w:rFonts w:ascii="Times New Roman" w:eastAsia="Times New Roman" w:hAnsi="Times New Roman" w:cs="Times New Roman"/>
          <w:sz w:val="24"/>
          <w:szCs w:val="24"/>
        </w:rPr>
        <w:t xml:space="preserve"> Prezes UKE </w:t>
      </w:r>
      <w:r w:rsidR="00274FEA" w:rsidRPr="003A42FB">
        <w:rPr>
          <w:rFonts w:ascii="Times New Roman" w:eastAsia="Times New Roman" w:hAnsi="Times New Roman" w:cs="Times New Roman"/>
          <w:sz w:val="24"/>
          <w:szCs w:val="24"/>
        </w:rPr>
        <w:t>może skorzystać</w:t>
      </w:r>
      <w:r w:rsidRPr="003A42FB">
        <w:rPr>
          <w:rFonts w:ascii="Times New Roman" w:eastAsia="Times New Roman" w:hAnsi="Times New Roman" w:cs="Times New Roman"/>
          <w:sz w:val="24"/>
          <w:szCs w:val="24"/>
        </w:rPr>
        <w:t xml:space="preserve"> z instytucji powierzenia przeprowadzani</w:t>
      </w:r>
      <w:r w:rsidR="00274FEA" w:rsidRPr="003A42FB">
        <w:rPr>
          <w:rFonts w:ascii="Times New Roman" w:eastAsia="Times New Roman" w:hAnsi="Times New Roman" w:cs="Times New Roman"/>
          <w:sz w:val="24"/>
          <w:szCs w:val="24"/>
        </w:rPr>
        <w:t xml:space="preserve">a </w:t>
      </w:r>
      <w:r w:rsidRPr="003A42FB">
        <w:rPr>
          <w:rFonts w:ascii="Times New Roman" w:eastAsia="Times New Roman" w:hAnsi="Times New Roman" w:cs="Times New Roman"/>
          <w:sz w:val="24"/>
          <w:szCs w:val="24"/>
        </w:rPr>
        <w:t>egzaminów w służbie radiokomunikacyjnej amatorskiej organizacji zrzeszającej radioamatorów</w:t>
      </w:r>
      <w:r w:rsidR="00274FEA" w:rsidRPr="003A42FB">
        <w:rPr>
          <w:rFonts w:ascii="Times New Roman" w:eastAsia="Times New Roman" w:hAnsi="Times New Roman" w:cs="Times New Roman"/>
          <w:sz w:val="24"/>
          <w:szCs w:val="24"/>
        </w:rPr>
        <w:t xml:space="preserve">. Zgodnie z projektem organizacja taka będzie musiała spełnić warunki określone w ustawie, a powierzenie nastąpi w drodze nieodpłatnej umowy, której podstawowe elementy określa projektowany akt. </w:t>
      </w:r>
      <w:r w:rsidRPr="003A42FB">
        <w:rPr>
          <w:rFonts w:ascii="Times New Roman" w:eastAsia="Times New Roman" w:hAnsi="Times New Roman" w:cs="Times New Roman"/>
          <w:sz w:val="24"/>
          <w:szCs w:val="24"/>
        </w:rPr>
        <w:t xml:space="preserve"> </w:t>
      </w:r>
    </w:p>
    <w:p w14:paraId="506FE053" w14:textId="09DE1038" w:rsidR="00F45100" w:rsidRPr="003A42FB" w:rsidRDefault="00274FEA" w:rsidP="44799C57">
      <w:pPr>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Zarówno egzaminy przeprowadzane przez Prezesa UKE, jak i przez organizację radioamatorską są odpłatne. </w:t>
      </w:r>
    </w:p>
    <w:p w14:paraId="26A3D805" w14:textId="77777777" w:rsidR="00F45100" w:rsidRPr="003A42FB" w:rsidRDefault="00F45100" w:rsidP="008A0ED6">
      <w:pPr>
        <w:pStyle w:val="USTustnpkodeksu"/>
        <w:keepNext/>
        <w:spacing w:line="240" w:lineRule="auto"/>
        <w:ind w:firstLine="0"/>
        <w:rPr>
          <w:rFonts w:ascii="Times New Roman" w:hAnsi="Times New Roman" w:cs="Times New Roman"/>
          <w:b/>
          <w:bCs w:val="0"/>
          <w:szCs w:val="24"/>
        </w:rPr>
      </w:pPr>
    </w:p>
    <w:p w14:paraId="71025653" w14:textId="10A4E928" w:rsidR="000F496D" w:rsidRPr="003A42FB" w:rsidRDefault="00D03005" w:rsidP="00C53EAB">
      <w:pPr>
        <w:autoSpaceDE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FC0A8E">
        <w:rPr>
          <w:rFonts w:ascii="Times New Roman" w:eastAsiaTheme="minorEastAsia" w:hAnsi="Times New Roman" w:cs="Times New Roman"/>
          <w:b/>
          <w:bCs/>
          <w:sz w:val="24"/>
          <w:szCs w:val="24"/>
        </w:rPr>
        <w:t>145</w:t>
      </w:r>
    </w:p>
    <w:p w14:paraId="6CD3DBCA" w14:textId="3380B2E3" w:rsidR="00D03005" w:rsidRPr="003A42FB" w:rsidRDefault="00D03005" w:rsidP="00C53EAB">
      <w:pPr>
        <w:autoSpaceDE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Projektowany przepis wskazuje rodzaje urządzeń radiowych, które nie wymagają pozwolenia. Generalnemu wyłączeniu podlegać będą, tak jak i obecnie</w:t>
      </w:r>
      <w:r w:rsidR="1F4D0A7D" w:rsidRPr="003A42FB">
        <w:rPr>
          <w:rFonts w:ascii="Times New Roman" w:eastAsiaTheme="minorEastAsia" w:hAnsi="Times New Roman" w:cs="Times New Roman"/>
          <w:sz w:val="24"/>
          <w:szCs w:val="24"/>
        </w:rPr>
        <w:t xml:space="preserve"> w Pt</w:t>
      </w:r>
      <w:r w:rsidRPr="003A42FB">
        <w:rPr>
          <w:rFonts w:ascii="Times New Roman" w:eastAsiaTheme="minorEastAsia" w:hAnsi="Times New Roman" w:cs="Times New Roman"/>
          <w:sz w:val="24"/>
          <w:szCs w:val="24"/>
        </w:rPr>
        <w:t>, urządzenia radiowe przeznaczone wyłącznie do odbioru, czego przykładem jest w szczególności odbiornik radiofoniczny i telewizyjny.</w:t>
      </w:r>
    </w:p>
    <w:p w14:paraId="0F3D2DA4" w14:textId="77777777" w:rsidR="00D03005" w:rsidRPr="003A42FB" w:rsidRDefault="00D03005" w:rsidP="00C53EAB">
      <w:pPr>
        <w:autoSpaceDE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wymienia również określone rodzaje urządzeń radiowych nadawczych i nadawczo-odbiorczych, których używanie również nie wymaga pozwolenia. Są to m.in. urządzenia używane przez zagraniczne statki powietrzne morskie, żeglugi śródlądowej; używane w służbie amatorskiej przez cudzoziemca w czasie pobytu na terytorium RP przez okres nie dłuższy niż 90 dni; określone urządzenia końcowe; urządzenia zwolnione z uzyskania pozwolenia jeżeli warunki wykorzystywania częstotliwości zostały określone w rezerwacji, czy też stanowiące urządzenia klasy 1, czyli urządzenia radiowe, wobec których państwa członkowskie UE nie stosują ograniczeń w zakresie wprowadzania ich do obrotu lub oddawania do użytku.</w:t>
      </w:r>
    </w:p>
    <w:p w14:paraId="62ABBB79" w14:textId="21916193" w:rsidR="00D03005" w:rsidRPr="003A42FB" w:rsidRDefault="00D03005" w:rsidP="00C53EAB">
      <w:pPr>
        <w:autoSpaceDE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Rozszerzenie określonego w ustawie katalogu zwolnień z wymogu posiadania pozwolenia radiowego może nastąpić w rozporządzeniu ministra właściwego do spraw informatyzacji wydanym na podstawie ust. </w:t>
      </w:r>
      <w:r w:rsidR="00FC0A8E">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w:t>
      </w:r>
    </w:p>
    <w:p w14:paraId="1589063D" w14:textId="61590729" w:rsidR="00D03005" w:rsidRPr="003A42FB" w:rsidRDefault="00D03005" w:rsidP="00C53EAB">
      <w:pPr>
        <w:autoSpaceDE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146</w:t>
      </w:r>
    </w:p>
    <w:p w14:paraId="31A0603A" w14:textId="77777777"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Generalną zasadą jest, że do cofnięcia, zmiany lub odmowy pozwolenia radiowego stosuje się odpowiednio regulacje dotyczące rezerwacji częstotliwości. Pozwolenie radiowe wygasa także w przypadku wygaśnięcia rezerwacji.</w:t>
      </w:r>
    </w:p>
    <w:p w14:paraId="0E120E48" w14:textId="403FFEF2"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Ustawa</w:t>
      </w:r>
      <w:r w:rsidR="564150B0" w:rsidRPr="003A42FB">
        <w:rPr>
          <w:rFonts w:ascii="Times New Roman" w:eastAsiaTheme="minorEastAsia" w:hAnsi="Times New Roman" w:cs="Times New Roman"/>
          <w:sz w:val="24"/>
          <w:szCs w:val="24"/>
        </w:rPr>
        <w:t>, tak samo jak Pt,</w:t>
      </w:r>
      <w:r w:rsidRPr="003A42FB">
        <w:rPr>
          <w:rFonts w:ascii="Times New Roman" w:eastAsiaTheme="minorEastAsia" w:hAnsi="Times New Roman" w:cs="Times New Roman"/>
          <w:sz w:val="24"/>
          <w:szCs w:val="24"/>
        </w:rPr>
        <w:t xml:space="preserve"> przewiduje także dodatkowe, samodzielne przesłanki cofnięcia pozwolenia lub zmiany warunków wykorzystywania częstotliwości związane min. ze stwierdzonym zakłócaniem pracy innych urządzeń lub sieci.</w:t>
      </w:r>
    </w:p>
    <w:p w14:paraId="72D39E9B" w14:textId="2F74AA07" w:rsidR="00D03005" w:rsidRPr="003A42FB" w:rsidRDefault="00D03005"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CC3CFC">
        <w:rPr>
          <w:rFonts w:ascii="Times New Roman" w:eastAsiaTheme="minorEastAsia" w:hAnsi="Times New Roman" w:cs="Times New Roman"/>
          <w:b/>
          <w:bCs/>
          <w:sz w:val="24"/>
          <w:szCs w:val="24"/>
          <w:lang w:eastAsia="pl-PL"/>
        </w:rPr>
        <w:t>147</w:t>
      </w:r>
    </w:p>
    <w:p w14:paraId="6D1DA795" w14:textId="2E68AA1F"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Używanie urządzenia radiowego nadawczego lub nadawczo-odbiorczego, niewymagającego pozwolenia w związku z wykorzystywaniem zakresów częstotliwości zarezerwowanych na rzecz podmiotu uprawnionego do dysponowania częstotliwością</w:t>
      </w:r>
      <w:r w:rsidR="15A8D45E" w:rsidRPr="003A42FB">
        <w:rPr>
          <w:rFonts w:ascii="Times New Roman" w:eastAsiaTheme="minorEastAsia" w:hAnsi="Times New Roman" w:cs="Times New Roman"/>
          <w:sz w:val="24"/>
          <w:szCs w:val="24"/>
        </w:rPr>
        <w:t xml:space="preserve"> i innych wskazanych w przepisie podmiotów</w:t>
      </w:r>
      <w:r w:rsidRPr="003A42FB">
        <w:rPr>
          <w:rFonts w:ascii="Times New Roman" w:eastAsiaTheme="minorEastAsia" w:hAnsi="Times New Roman" w:cs="Times New Roman"/>
          <w:sz w:val="24"/>
          <w:szCs w:val="24"/>
        </w:rPr>
        <w:t>, o ile rezerwacja częstotliwości przewiduje zwolnienie z obowiązku uzyskania pozwolenia i określa warunki wykorzystywania częstotliwości, podlega wpisowi do rejestru urządzeń radiowych używanych bez pozwolenia, który jest zwany „rejestrem urządzeń”. Organem prowadzącym rejestr urządzeń jest Prezes UKE, rejestr prowadzony jest w systemie informatycznym. Rejestr urządzeń jest jawny i jest publikowany na stronie podmiotowej BIP UKE.</w:t>
      </w:r>
      <w:r w:rsidR="175BEC70" w:rsidRPr="003A42FB">
        <w:rPr>
          <w:rFonts w:ascii="Times New Roman" w:eastAsiaTheme="minorEastAsia" w:hAnsi="Times New Roman" w:cs="Times New Roman"/>
          <w:sz w:val="24"/>
          <w:szCs w:val="24"/>
        </w:rPr>
        <w:t xml:space="preserve"> Rejestr taki</w:t>
      </w:r>
      <w:r w:rsidR="6B37D648" w:rsidRPr="003A42FB">
        <w:rPr>
          <w:rFonts w:ascii="Times New Roman" w:eastAsiaTheme="minorEastAsia" w:hAnsi="Times New Roman" w:cs="Times New Roman"/>
          <w:sz w:val="24"/>
          <w:szCs w:val="24"/>
        </w:rPr>
        <w:t xml:space="preserve"> funkcjonował już w </w:t>
      </w:r>
      <w:r w:rsidR="0F98D6A0" w:rsidRPr="003A42FB">
        <w:rPr>
          <w:rFonts w:ascii="Times New Roman" w:eastAsiaTheme="minorEastAsia" w:hAnsi="Times New Roman" w:cs="Times New Roman"/>
          <w:sz w:val="24"/>
          <w:szCs w:val="24"/>
        </w:rPr>
        <w:t xml:space="preserve">ustawie </w:t>
      </w:r>
      <w:r w:rsidR="6B37D648" w:rsidRPr="003A42FB">
        <w:rPr>
          <w:rFonts w:ascii="Times New Roman" w:eastAsiaTheme="minorEastAsia" w:hAnsi="Times New Roman" w:cs="Times New Roman"/>
          <w:sz w:val="24"/>
          <w:szCs w:val="24"/>
        </w:rPr>
        <w:t>Pt.</w:t>
      </w:r>
    </w:p>
    <w:p w14:paraId="272A924A" w14:textId="29ABAB3B" w:rsidR="00D03005" w:rsidRPr="003A42FB" w:rsidRDefault="00D030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148</w:t>
      </w:r>
    </w:p>
    <w:p w14:paraId="68F07260" w14:textId="39D4C45C"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dane, które powinien zawierać wniosek o wpis do rejestru urządzeń oraz inne wymagane od podmiotu wnioskującego dokumenty.</w:t>
      </w:r>
      <w:r w:rsidR="000961A9" w:rsidRPr="003A42FB">
        <w:rPr>
          <w:rFonts w:ascii="Times New Roman" w:eastAsiaTheme="minorEastAsia" w:hAnsi="Times New Roman" w:cs="Times New Roman"/>
          <w:sz w:val="24"/>
          <w:szCs w:val="24"/>
        </w:rPr>
        <w:t xml:space="preserve"> </w:t>
      </w:r>
      <w:r w:rsidR="007647D5" w:rsidRPr="003A42FB">
        <w:rPr>
          <w:rFonts w:ascii="Times New Roman" w:hAnsi="Times New Roman" w:cs="Times New Roman"/>
          <w:sz w:val="24"/>
          <w:szCs w:val="24"/>
        </w:rPr>
        <w:t xml:space="preserve">Dodatkowo podmiot upoważniony, o którym mowa w art. </w:t>
      </w:r>
      <w:r w:rsidR="00CC3CFC">
        <w:rPr>
          <w:rFonts w:ascii="Times New Roman" w:hAnsi="Times New Roman" w:cs="Times New Roman"/>
          <w:sz w:val="24"/>
          <w:szCs w:val="24"/>
        </w:rPr>
        <w:t>138</w:t>
      </w:r>
      <w:r w:rsidR="00CC3CFC" w:rsidRPr="003A42FB">
        <w:rPr>
          <w:rFonts w:ascii="Times New Roman" w:hAnsi="Times New Roman" w:cs="Times New Roman"/>
          <w:sz w:val="24"/>
          <w:szCs w:val="24"/>
        </w:rPr>
        <w:t xml:space="preserve"> </w:t>
      </w:r>
      <w:r w:rsidR="007647D5" w:rsidRPr="003A42FB">
        <w:rPr>
          <w:rFonts w:ascii="Times New Roman" w:hAnsi="Times New Roman" w:cs="Times New Roman"/>
          <w:sz w:val="24"/>
          <w:szCs w:val="24"/>
        </w:rPr>
        <w:t>ust. 4 d</w:t>
      </w:r>
      <w:r w:rsidR="000961A9" w:rsidRPr="003A42FB">
        <w:rPr>
          <w:rFonts w:ascii="Times New Roman" w:hAnsi="Times New Roman" w:cs="Times New Roman"/>
          <w:sz w:val="24"/>
          <w:szCs w:val="24"/>
        </w:rPr>
        <w:t>o wniosku o wpis do rejestru urządzeń dołą</w:t>
      </w:r>
      <w:r w:rsidR="007647D5" w:rsidRPr="003A42FB">
        <w:rPr>
          <w:rFonts w:ascii="Times New Roman" w:hAnsi="Times New Roman" w:cs="Times New Roman"/>
          <w:sz w:val="24"/>
          <w:szCs w:val="24"/>
        </w:rPr>
        <w:t xml:space="preserve">cza także </w:t>
      </w:r>
      <w:r w:rsidR="000961A9" w:rsidRPr="003A42FB">
        <w:rPr>
          <w:rFonts w:ascii="Times New Roman" w:hAnsi="Times New Roman" w:cs="Times New Roman"/>
          <w:sz w:val="24"/>
          <w:szCs w:val="24"/>
        </w:rPr>
        <w:t>upoważnienie do wykorzystywania częstotliwości udzielone przez podmiot uprawniony do dysponowania częstotliwością</w:t>
      </w:r>
      <w:r w:rsidR="007647D5" w:rsidRPr="003A42FB">
        <w:rPr>
          <w:rFonts w:ascii="Times New Roman" w:hAnsi="Times New Roman" w:cs="Times New Roman"/>
          <w:sz w:val="24"/>
          <w:szCs w:val="24"/>
        </w:rPr>
        <w:t>.</w:t>
      </w:r>
    </w:p>
    <w:p w14:paraId="60161A73" w14:textId="6A1EF5B5" w:rsidR="000961A9" w:rsidRPr="003A42FB" w:rsidRDefault="000961A9"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hAnsi="Times New Roman" w:cs="Times New Roman"/>
          <w:sz w:val="24"/>
          <w:szCs w:val="24"/>
        </w:rPr>
        <w:t>Wniosek o wpis do rejestru opatrzony jest kwalifikowanym podpisem elektronicznym, podpisem zaufanym albo podpisem osobistym.</w:t>
      </w:r>
    </w:p>
    <w:p w14:paraId="5FAF5667" w14:textId="327DD3AA"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149</w:t>
      </w:r>
    </w:p>
    <w:p w14:paraId="32EB0793" w14:textId="54DD08A7"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proponowanym przepisem Prezes UKE jest obowiązany dokonać wpisu urządzenia do rejestru urządzeń w terminie do </w:t>
      </w:r>
      <w:r w:rsidR="005B7213" w:rsidRPr="003A42FB">
        <w:rPr>
          <w:rFonts w:ascii="Times New Roman" w:eastAsiaTheme="minorEastAsia" w:hAnsi="Times New Roman" w:cs="Times New Roman"/>
          <w:sz w:val="24"/>
          <w:szCs w:val="24"/>
        </w:rPr>
        <w:t>2</w:t>
      </w:r>
      <w:r w:rsidRPr="003A42FB">
        <w:rPr>
          <w:rFonts w:ascii="Times New Roman" w:eastAsiaTheme="minorEastAsia" w:hAnsi="Times New Roman" w:cs="Times New Roman"/>
          <w:sz w:val="24"/>
          <w:szCs w:val="24"/>
        </w:rPr>
        <w:t>1 dni roboczych od dnia otrzymania wniosku wraz z oświadczeniem. W przypadku gdy Prezes UKE nie dokona wpisu w terminie, a od dnia otrzymania wniosku o wpis do rejestru urządzeń upłynęło 2</w:t>
      </w:r>
      <w:r w:rsidR="005B7213" w:rsidRPr="003A42FB">
        <w:rPr>
          <w:rFonts w:ascii="Times New Roman" w:eastAsiaTheme="minorEastAsia" w:hAnsi="Times New Roman" w:cs="Times New Roman"/>
          <w:sz w:val="24"/>
          <w:szCs w:val="24"/>
        </w:rPr>
        <w:t>8</w:t>
      </w:r>
      <w:r w:rsidRPr="003A42FB">
        <w:rPr>
          <w:rFonts w:ascii="Times New Roman" w:eastAsiaTheme="minorEastAsia" w:hAnsi="Times New Roman" w:cs="Times New Roman"/>
          <w:sz w:val="24"/>
          <w:szCs w:val="24"/>
        </w:rPr>
        <w:t xml:space="preserve"> dni roboczych, podmiot </w:t>
      </w:r>
      <w:r w:rsidRPr="003A42FB">
        <w:rPr>
          <w:rFonts w:ascii="Times New Roman" w:eastAsiaTheme="minorEastAsia" w:hAnsi="Times New Roman" w:cs="Times New Roman"/>
          <w:sz w:val="24"/>
          <w:szCs w:val="24"/>
        </w:rPr>
        <w:lastRenderedPageBreak/>
        <w:t>uprawniony do dysponowania częstotliwością może rozpocząć jej wykorzystywanie za pomocą urządzenia, którego dotyczył wniosek, po uprzednim zawiadomieniu pisemnie Prezesa UKE. Uprawnienie takie nie będzie dotyczyć przypadku, w którym Prezes UKE wezwał podmiot uprawniony do dysponowania częstotliwością do uzupełnienia wniosku przed upływem terminu.</w:t>
      </w:r>
    </w:p>
    <w:p w14:paraId="1A87EBA8" w14:textId="202DFD39" w:rsidR="3D85EF3F" w:rsidRPr="003A42FB" w:rsidRDefault="3D85EF3F" w:rsidP="46A3633F">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150</w:t>
      </w:r>
    </w:p>
    <w:p w14:paraId="4D9FD2EA" w14:textId="0E649FB0" w:rsidR="46A3633F" w:rsidRPr="003A42FB" w:rsidRDefault="3D85EF3F" w:rsidP="007E1633">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Na podstawie </w:t>
      </w:r>
      <w:r w:rsidR="1E3DD472" w:rsidRPr="003A42FB">
        <w:rPr>
          <w:rFonts w:ascii="Times New Roman" w:eastAsia="Times New Roman" w:hAnsi="Times New Roman" w:cs="Times New Roman"/>
          <w:sz w:val="24"/>
          <w:szCs w:val="24"/>
        </w:rPr>
        <w:t>dotychczas</w:t>
      </w:r>
      <w:r w:rsidR="16399AEB" w:rsidRPr="003A42FB">
        <w:rPr>
          <w:rFonts w:ascii="Times New Roman" w:eastAsia="Times New Roman" w:hAnsi="Times New Roman" w:cs="Times New Roman"/>
          <w:sz w:val="24"/>
          <w:szCs w:val="24"/>
        </w:rPr>
        <w:t>owych</w:t>
      </w:r>
      <w:r w:rsidR="1E3DD472" w:rsidRPr="003A42FB">
        <w:rPr>
          <w:rFonts w:ascii="Times New Roman" w:eastAsia="Times New Roman" w:hAnsi="Times New Roman" w:cs="Times New Roman"/>
          <w:sz w:val="24"/>
          <w:szCs w:val="24"/>
        </w:rPr>
        <w:t xml:space="preserve"> </w:t>
      </w:r>
      <w:r w:rsidRPr="003A42FB">
        <w:rPr>
          <w:rFonts w:ascii="Times New Roman" w:eastAsia="Times New Roman" w:hAnsi="Times New Roman" w:cs="Times New Roman"/>
          <w:sz w:val="24"/>
          <w:szCs w:val="24"/>
        </w:rPr>
        <w:t xml:space="preserve">przepisów art. </w:t>
      </w:r>
      <w:r w:rsidR="116FF2D2" w:rsidRPr="003A42FB">
        <w:rPr>
          <w:rFonts w:ascii="Times New Roman" w:eastAsia="Times New Roman" w:hAnsi="Times New Roman" w:cs="Times New Roman"/>
          <w:sz w:val="24"/>
          <w:szCs w:val="24"/>
        </w:rPr>
        <w:t xml:space="preserve">144c </w:t>
      </w:r>
      <w:r w:rsidR="151B87CE" w:rsidRPr="003A42FB">
        <w:rPr>
          <w:rFonts w:ascii="Times New Roman" w:eastAsia="Times New Roman" w:hAnsi="Times New Roman" w:cs="Times New Roman"/>
          <w:sz w:val="24"/>
          <w:szCs w:val="24"/>
        </w:rPr>
        <w:t xml:space="preserve">Pt </w:t>
      </w:r>
      <w:r w:rsidR="116FF2D2" w:rsidRPr="003A42FB">
        <w:rPr>
          <w:rFonts w:ascii="Times New Roman" w:eastAsia="Times New Roman" w:hAnsi="Times New Roman" w:cs="Times New Roman"/>
          <w:sz w:val="24"/>
          <w:szCs w:val="24"/>
        </w:rPr>
        <w:t xml:space="preserve">i </w:t>
      </w:r>
      <w:r w:rsidR="074AAF41" w:rsidRPr="003A42FB">
        <w:rPr>
          <w:rFonts w:ascii="Times New Roman" w:eastAsia="Times New Roman" w:hAnsi="Times New Roman" w:cs="Times New Roman"/>
          <w:sz w:val="24"/>
          <w:szCs w:val="24"/>
        </w:rPr>
        <w:t xml:space="preserve">art. </w:t>
      </w:r>
      <w:r w:rsidR="116FF2D2" w:rsidRPr="003A42FB">
        <w:rPr>
          <w:rFonts w:ascii="Times New Roman" w:eastAsia="Times New Roman" w:hAnsi="Times New Roman" w:cs="Times New Roman"/>
          <w:sz w:val="24"/>
          <w:szCs w:val="24"/>
        </w:rPr>
        <w:t>144d</w:t>
      </w:r>
      <w:r w:rsidRPr="003A42FB">
        <w:rPr>
          <w:rFonts w:ascii="Times New Roman" w:eastAsia="Times New Roman" w:hAnsi="Times New Roman" w:cs="Times New Roman"/>
          <w:sz w:val="24"/>
          <w:szCs w:val="24"/>
        </w:rPr>
        <w:t xml:space="preserve"> </w:t>
      </w:r>
      <w:r w:rsidR="2CF042B4" w:rsidRPr="003A42FB">
        <w:rPr>
          <w:rFonts w:ascii="Times New Roman" w:eastAsia="Times New Roman" w:hAnsi="Times New Roman" w:cs="Times New Roman"/>
          <w:sz w:val="24"/>
          <w:szCs w:val="24"/>
        </w:rPr>
        <w:t xml:space="preserve">Pt </w:t>
      </w:r>
      <w:r w:rsidRPr="003A42FB">
        <w:rPr>
          <w:rFonts w:ascii="Times New Roman" w:eastAsia="Times New Roman" w:hAnsi="Times New Roman" w:cs="Times New Roman"/>
          <w:sz w:val="24"/>
          <w:szCs w:val="24"/>
        </w:rPr>
        <w:t>dokonywanie wpisu do rejestru urządzeń i jego wykreślenie pozosta</w:t>
      </w:r>
      <w:r w:rsidR="42E8D0F4" w:rsidRPr="003A42FB">
        <w:rPr>
          <w:rFonts w:ascii="Times New Roman" w:eastAsia="Times New Roman" w:hAnsi="Times New Roman" w:cs="Times New Roman"/>
          <w:sz w:val="24"/>
          <w:szCs w:val="24"/>
        </w:rPr>
        <w:t>wały</w:t>
      </w:r>
      <w:r w:rsidRPr="003A42FB">
        <w:rPr>
          <w:rFonts w:ascii="Times New Roman" w:eastAsia="Times New Roman" w:hAnsi="Times New Roman" w:cs="Times New Roman"/>
          <w:sz w:val="24"/>
          <w:szCs w:val="24"/>
        </w:rPr>
        <w:t xml:space="preserve"> jedynymi narzędziami, za pomocą których Prezes UKE m</w:t>
      </w:r>
      <w:r w:rsidR="2BDCD2F5" w:rsidRPr="003A42FB">
        <w:rPr>
          <w:rFonts w:ascii="Times New Roman" w:eastAsia="Times New Roman" w:hAnsi="Times New Roman" w:cs="Times New Roman"/>
          <w:sz w:val="24"/>
          <w:szCs w:val="24"/>
        </w:rPr>
        <w:t>ógł</w:t>
      </w:r>
      <w:r w:rsidRPr="003A42FB">
        <w:rPr>
          <w:rFonts w:ascii="Times New Roman" w:eastAsia="Times New Roman" w:hAnsi="Times New Roman" w:cs="Times New Roman"/>
          <w:sz w:val="24"/>
          <w:szCs w:val="24"/>
        </w:rPr>
        <w:t xml:space="preserve"> nadzorować wykorzystywanie częstotliwości przez podmioty wymienione w art. </w:t>
      </w:r>
      <w:r w:rsidR="00CC3CFC">
        <w:rPr>
          <w:rFonts w:ascii="Times New Roman" w:eastAsia="Times New Roman" w:hAnsi="Times New Roman" w:cs="Times New Roman"/>
          <w:sz w:val="24"/>
          <w:szCs w:val="24"/>
        </w:rPr>
        <w:t>145</w:t>
      </w:r>
      <w:r w:rsidR="00CC3CFC" w:rsidRPr="003A42FB">
        <w:rPr>
          <w:rFonts w:ascii="Times New Roman" w:eastAsia="Times New Roman" w:hAnsi="Times New Roman" w:cs="Times New Roman"/>
          <w:sz w:val="24"/>
          <w:szCs w:val="24"/>
        </w:rPr>
        <w:t xml:space="preserve"> </w:t>
      </w:r>
      <w:r w:rsidRPr="003A42FB">
        <w:rPr>
          <w:rFonts w:ascii="Times New Roman" w:eastAsia="Times New Roman" w:hAnsi="Times New Roman" w:cs="Times New Roman"/>
          <w:sz w:val="24"/>
          <w:szCs w:val="24"/>
        </w:rPr>
        <w:t>ust. 2 pkt 4. Powod</w:t>
      </w:r>
      <w:r w:rsidR="55EACB8E" w:rsidRPr="003A42FB">
        <w:rPr>
          <w:rFonts w:ascii="Times New Roman" w:eastAsia="Times New Roman" w:hAnsi="Times New Roman" w:cs="Times New Roman"/>
          <w:sz w:val="24"/>
          <w:szCs w:val="24"/>
        </w:rPr>
        <w:t>owało</w:t>
      </w:r>
      <w:r w:rsidRPr="003A42FB">
        <w:rPr>
          <w:rFonts w:ascii="Times New Roman" w:eastAsia="Times New Roman" w:hAnsi="Times New Roman" w:cs="Times New Roman"/>
          <w:sz w:val="24"/>
          <w:szCs w:val="24"/>
        </w:rPr>
        <w:t xml:space="preserve"> to, iż organ regulacyjny m</w:t>
      </w:r>
      <w:r w:rsidR="03DC66A5" w:rsidRPr="003A42FB">
        <w:rPr>
          <w:rFonts w:ascii="Times New Roman" w:eastAsia="Times New Roman" w:hAnsi="Times New Roman" w:cs="Times New Roman"/>
          <w:sz w:val="24"/>
          <w:szCs w:val="24"/>
        </w:rPr>
        <w:t>i</w:t>
      </w:r>
      <w:r w:rsidRPr="003A42FB">
        <w:rPr>
          <w:rFonts w:ascii="Times New Roman" w:eastAsia="Times New Roman" w:hAnsi="Times New Roman" w:cs="Times New Roman"/>
          <w:sz w:val="24"/>
          <w:szCs w:val="24"/>
        </w:rPr>
        <w:t>a</w:t>
      </w:r>
      <w:r w:rsidR="1F6BD9D7" w:rsidRPr="003A42FB">
        <w:rPr>
          <w:rFonts w:ascii="Times New Roman" w:eastAsia="Times New Roman" w:hAnsi="Times New Roman" w:cs="Times New Roman"/>
          <w:sz w:val="24"/>
          <w:szCs w:val="24"/>
        </w:rPr>
        <w:t>ł</w:t>
      </w:r>
      <w:r w:rsidRPr="003A42FB">
        <w:rPr>
          <w:rFonts w:ascii="Times New Roman" w:eastAsia="Times New Roman" w:hAnsi="Times New Roman" w:cs="Times New Roman"/>
          <w:sz w:val="24"/>
          <w:szCs w:val="24"/>
        </w:rPr>
        <w:t xml:space="preserve"> ograniczony zakres środków, za pomocą których może sprawować nadzór nad wykorzystywaniem zasobów częstotliwości przez takie podmioty. Należy przy tym podkreślić, że w wielu przypadkach wykreślenie wpisu do rejestru urządzeń jest zbyt daleko idącym środkiem zapewnienia efektywnej gospodarki częstotliwościami. Wystarczające dla regulatora oraz podmiotu wykorzystującego częstotliwości może okazać się dostosowanie wpisu do rejestru do zaistniałych okoliczności jedynie poprzez jego zmianę.</w:t>
      </w:r>
      <w:r w:rsidR="13141AA1" w:rsidRPr="003A42FB">
        <w:rPr>
          <w:rFonts w:ascii="Times New Roman" w:eastAsia="Times New Roman" w:hAnsi="Times New Roman" w:cs="Times New Roman"/>
          <w:sz w:val="24"/>
          <w:szCs w:val="24"/>
        </w:rPr>
        <w:t xml:space="preserve"> Art.</w:t>
      </w:r>
      <w:r w:rsidR="6629C840" w:rsidRPr="003A42FB">
        <w:rPr>
          <w:rFonts w:ascii="Times New Roman" w:eastAsia="Times New Roman" w:hAnsi="Times New Roman" w:cs="Times New Roman"/>
          <w:sz w:val="24"/>
          <w:szCs w:val="24"/>
        </w:rPr>
        <w:t xml:space="preserve"> </w:t>
      </w:r>
      <w:r w:rsidR="00CC3CFC">
        <w:rPr>
          <w:rFonts w:ascii="Times New Roman" w:eastAsia="Times New Roman" w:hAnsi="Times New Roman" w:cs="Times New Roman"/>
          <w:sz w:val="24"/>
          <w:szCs w:val="24"/>
        </w:rPr>
        <w:t>150</w:t>
      </w:r>
      <w:r w:rsidR="00CC3CFC" w:rsidRPr="003A42FB">
        <w:rPr>
          <w:rFonts w:ascii="Times New Roman" w:eastAsia="Times New Roman" w:hAnsi="Times New Roman" w:cs="Times New Roman"/>
          <w:sz w:val="24"/>
          <w:szCs w:val="24"/>
        </w:rPr>
        <w:t xml:space="preserve"> </w:t>
      </w:r>
      <w:r w:rsidR="43B5C837" w:rsidRPr="003A42FB">
        <w:rPr>
          <w:rFonts w:ascii="Times New Roman" w:eastAsia="Times New Roman" w:hAnsi="Times New Roman" w:cs="Times New Roman"/>
          <w:sz w:val="24"/>
          <w:szCs w:val="24"/>
        </w:rPr>
        <w:t>umożliwia aktualizację danych</w:t>
      </w:r>
      <w:r w:rsidR="1D730C70" w:rsidRPr="003A42FB">
        <w:rPr>
          <w:rFonts w:ascii="Times New Roman" w:eastAsia="Times New Roman" w:hAnsi="Times New Roman" w:cs="Times New Roman"/>
          <w:sz w:val="24"/>
          <w:szCs w:val="24"/>
        </w:rPr>
        <w:t>.</w:t>
      </w:r>
      <w:r w:rsidR="43B5C837" w:rsidRPr="003A42FB">
        <w:rPr>
          <w:rFonts w:ascii="Times New Roman" w:eastAsia="Times New Roman" w:hAnsi="Times New Roman" w:cs="Times New Roman"/>
          <w:sz w:val="24"/>
          <w:szCs w:val="24"/>
        </w:rPr>
        <w:t xml:space="preserve"> O dokonanie zmian we wpisie do rejestru urządzeń </w:t>
      </w:r>
      <w:r w:rsidR="563E399B" w:rsidRPr="003A42FB">
        <w:rPr>
          <w:rFonts w:ascii="Times New Roman" w:eastAsia="Times New Roman" w:hAnsi="Times New Roman" w:cs="Times New Roman"/>
          <w:sz w:val="24"/>
          <w:szCs w:val="24"/>
        </w:rPr>
        <w:t>może</w:t>
      </w:r>
      <w:r w:rsidR="43B5C837" w:rsidRPr="003A42FB">
        <w:rPr>
          <w:rFonts w:ascii="Times New Roman" w:eastAsia="Times New Roman" w:hAnsi="Times New Roman" w:cs="Times New Roman"/>
          <w:sz w:val="24"/>
          <w:szCs w:val="24"/>
        </w:rPr>
        <w:t xml:space="preserve"> wnioskować dysponent rezerwacji, a także podmioty wskazane w art. </w:t>
      </w:r>
      <w:r w:rsidR="00CC3CFC">
        <w:rPr>
          <w:rFonts w:ascii="Times New Roman" w:eastAsia="Times New Roman" w:hAnsi="Times New Roman" w:cs="Times New Roman"/>
          <w:sz w:val="24"/>
          <w:szCs w:val="24"/>
        </w:rPr>
        <w:t>145</w:t>
      </w:r>
      <w:r w:rsidR="00CC3CFC" w:rsidRPr="003A42FB">
        <w:rPr>
          <w:rFonts w:ascii="Times New Roman" w:eastAsia="Times New Roman" w:hAnsi="Times New Roman" w:cs="Times New Roman"/>
          <w:sz w:val="24"/>
          <w:szCs w:val="24"/>
        </w:rPr>
        <w:t xml:space="preserve"> </w:t>
      </w:r>
      <w:r w:rsidR="43B5C837" w:rsidRPr="003A42FB">
        <w:rPr>
          <w:rFonts w:ascii="Times New Roman" w:eastAsia="Times New Roman" w:hAnsi="Times New Roman" w:cs="Times New Roman"/>
          <w:sz w:val="24"/>
          <w:szCs w:val="24"/>
        </w:rPr>
        <w:t>ust. 2 pkt 4</w:t>
      </w:r>
      <w:r w:rsidR="7F2EFACC" w:rsidRPr="003A42FB">
        <w:rPr>
          <w:rFonts w:ascii="Times New Roman" w:eastAsia="Times New Roman" w:hAnsi="Times New Roman" w:cs="Times New Roman"/>
          <w:sz w:val="24"/>
          <w:szCs w:val="24"/>
        </w:rPr>
        <w:t xml:space="preserve"> Pke</w:t>
      </w:r>
      <w:r w:rsidR="43B5C837" w:rsidRPr="003A42FB">
        <w:rPr>
          <w:rFonts w:ascii="Times New Roman" w:eastAsia="Times New Roman" w:hAnsi="Times New Roman" w:cs="Times New Roman"/>
          <w:sz w:val="24"/>
          <w:szCs w:val="24"/>
        </w:rPr>
        <w:t>.</w:t>
      </w:r>
    </w:p>
    <w:p w14:paraId="0A8E56CD" w14:textId="454EE686"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151</w:t>
      </w:r>
    </w:p>
    <w:p w14:paraId="55443374" w14:textId="3EA1C450"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określa sytuacje, w których może nastąpić wykreślenie wpisu </w:t>
      </w:r>
      <w:r w:rsidR="000961A9" w:rsidRPr="003A42FB">
        <w:rPr>
          <w:rFonts w:ascii="Times New Roman" w:eastAsiaTheme="minorEastAsia" w:hAnsi="Times New Roman" w:cs="Times New Roman"/>
          <w:sz w:val="24"/>
          <w:szCs w:val="24"/>
        </w:rPr>
        <w:t>do</w:t>
      </w:r>
      <w:r w:rsidRPr="003A42FB">
        <w:rPr>
          <w:rFonts w:ascii="Times New Roman" w:eastAsiaTheme="minorEastAsia" w:hAnsi="Times New Roman" w:cs="Times New Roman"/>
          <w:sz w:val="24"/>
          <w:szCs w:val="24"/>
        </w:rPr>
        <w:t xml:space="preserve"> rejestru urządzeń. Są to sytuacje związane z wystąpieniem szkodliwych zaburzeń elektromagnetycznych, zmian w Krajowej Tablicy Przeznaczeń Częstotliwości, okolicznościami prowadzącymi do zagrożenia obronności, bezpieczeństwa państwa lub bezpieczeństwa i porządku publicznego oraz koniecznością realizacji zobowiązań międzynarodowych.</w:t>
      </w:r>
    </w:p>
    <w:p w14:paraId="623F1C35" w14:textId="77777777" w:rsidR="008427B7"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Jednocześnie wpis do rejestru urządzeń </w:t>
      </w:r>
      <w:r w:rsidR="000961A9" w:rsidRPr="003A42FB">
        <w:rPr>
          <w:rFonts w:ascii="Times New Roman" w:eastAsiaTheme="minorEastAsia" w:hAnsi="Times New Roman" w:cs="Times New Roman"/>
          <w:sz w:val="24"/>
          <w:szCs w:val="24"/>
        </w:rPr>
        <w:t xml:space="preserve">Prezes UKE </w:t>
      </w:r>
      <w:r w:rsidRPr="003A42FB">
        <w:rPr>
          <w:rFonts w:ascii="Times New Roman" w:eastAsiaTheme="minorEastAsia" w:hAnsi="Times New Roman" w:cs="Times New Roman"/>
          <w:sz w:val="24"/>
          <w:szCs w:val="24"/>
        </w:rPr>
        <w:t xml:space="preserve">wykreśla w przypadku wygaśnięcia rezerwacji częstotliwości </w:t>
      </w:r>
      <w:r w:rsidR="000961A9" w:rsidRPr="003A42FB">
        <w:rPr>
          <w:rFonts w:ascii="Times New Roman" w:hAnsi="Times New Roman" w:cs="Times New Roman"/>
          <w:sz w:val="24"/>
          <w:szCs w:val="24"/>
        </w:rPr>
        <w:t>albo na wniosek podmiotu uprawnionego do dysponowania rezerwacją</w:t>
      </w:r>
      <w:r w:rsidR="000961A9"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 </w:t>
      </w:r>
      <w:r w:rsidR="000961A9" w:rsidRPr="003A42FB">
        <w:rPr>
          <w:rFonts w:ascii="Times New Roman" w:eastAsiaTheme="minorEastAsia" w:hAnsi="Times New Roman" w:cs="Times New Roman"/>
          <w:sz w:val="24"/>
          <w:szCs w:val="24"/>
        </w:rPr>
        <w:t xml:space="preserve">są </w:t>
      </w:r>
      <w:r w:rsidRPr="003A42FB">
        <w:rPr>
          <w:rFonts w:ascii="Times New Roman" w:eastAsiaTheme="minorEastAsia" w:hAnsi="Times New Roman" w:cs="Times New Roman"/>
          <w:sz w:val="24"/>
          <w:szCs w:val="24"/>
        </w:rPr>
        <w:t>to zatem obligatoryjn</w:t>
      </w:r>
      <w:r w:rsidR="000961A9"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przesłank</w:t>
      </w:r>
      <w:r w:rsidR="000961A9"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wykreślenia z rejestru.</w:t>
      </w:r>
    </w:p>
    <w:p w14:paraId="77AA6A4F" w14:textId="7EEE765F"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152</w:t>
      </w:r>
    </w:p>
    <w:p w14:paraId="732E039B" w14:textId="4058E143" w:rsidR="00D03005" w:rsidRPr="003A42FB" w:rsidRDefault="00D0300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reguluje szczególną sytuację czasowego używania urządzenia radiowego w celu zapewnienia przekazu informacji na okres nieprzekraczający 30 dni. Instytucja ta występowała już w ustawie Pt</w:t>
      </w:r>
      <w:r w:rsidR="199EF498" w:rsidRPr="003A42FB">
        <w:rPr>
          <w:rFonts w:ascii="Times New Roman" w:eastAsiaTheme="minorEastAsia" w:hAnsi="Times New Roman" w:cs="Times New Roman"/>
          <w:sz w:val="24"/>
          <w:szCs w:val="24"/>
        </w:rPr>
        <w:t xml:space="preserve"> w art. 144a</w:t>
      </w:r>
      <w:r w:rsidRPr="003A42FB">
        <w:rPr>
          <w:rFonts w:ascii="Times New Roman" w:eastAsiaTheme="minorEastAsia" w:hAnsi="Times New Roman" w:cs="Times New Roman"/>
          <w:sz w:val="24"/>
          <w:szCs w:val="24"/>
        </w:rPr>
        <w:t xml:space="preserve"> jako okazjonalny przekaz informacji i została wprowadzona w celu umożliwienia udzielania uprawnień niezbędnych do używania urządzeń radiowych w niedługich okresach np. do obsługi informacyjnej ważnych wydarzeń, w tym także sportowych. W takich przypadkach nie jest </w:t>
      </w:r>
      <w:r w:rsidR="0B33C0D1" w:rsidRPr="003A42FB">
        <w:rPr>
          <w:rFonts w:ascii="Times New Roman" w:eastAsiaTheme="minorEastAsia" w:hAnsi="Times New Roman" w:cs="Times New Roman"/>
          <w:sz w:val="24"/>
          <w:szCs w:val="24"/>
        </w:rPr>
        <w:t>obecn</w:t>
      </w:r>
      <w:r w:rsidR="14071F39" w:rsidRPr="003A42FB">
        <w:rPr>
          <w:rFonts w:ascii="Times New Roman" w:eastAsiaTheme="minorEastAsia" w:hAnsi="Times New Roman" w:cs="Times New Roman"/>
          <w:sz w:val="24"/>
          <w:szCs w:val="24"/>
        </w:rPr>
        <w:t>i</w:t>
      </w:r>
      <w:r w:rsidR="0B33C0D1" w:rsidRPr="003A42FB">
        <w:rPr>
          <w:rFonts w:ascii="Times New Roman" w:eastAsiaTheme="minorEastAsia" w:hAnsi="Times New Roman" w:cs="Times New Roman"/>
          <w:sz w:val="24"/>
          <w:szCs w:val="24"/>
        </w:rPr>
        <w:t xml:space="preserve">e </w:t>
      </w:r>
      <w:r w:rsidRPr="003A42FB">
        <w:rPr>
          <w:rFonts w:ascii="Times New Roman" w:eastAsiaTheme="minorEastAsia" w:hAnsi="Times New Roman" w:cs="Times New Roman"/>
          <w:sz w:val="24"/>
          <w:szCs w:val="24"/>
        </w:rPr>
        <w:t xml:space="preserve">i nie będzie </w:t>
      </w:r>
      <w:r w:rsidR="2A4C1DC3" w:rsidRPr="003A42FB">
        <w:rPr>
          <w:rFonts w:ascii="Times New Roman" w:eastAsiaTheme="minorEastAsia" w:hAnsi="Times New Roman" w:cs="Times New Roman"/>
          <w:sz w:val="24"/>
          <w:szCs w:val="24"/>
        </w:rPr>
        <w:t>na podstawie projektowanej regulacji</w:t>
      </w:r>
      <w:r w:rsidRPr="003A42FB">
        <w:rPr>
          <w:rFonts w:ascii="Times New Roman" w:eastAsiaTheme="minorEastAsia" w:hAnsi="Times New Roman" w:cs="Times New Roman"/>
          <w:sz w:val="24"/>
          <w:szCs w:val="24"/>
        </w:rPr>
        <w:t xml:space="preserve"> wydawane przez Prezesa UKE pozwolenie radiowe, a jedynie decyzja pozwalająca na używanie określonego urządzenia, na określonych warunkach, przez wskazany w decyzji okres</w:t>
      </w:r>
      <w:r w:rsidR="516E30D3"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nieprzekraczający 30 dni.</w:t>
      </w:r>
    </w:p>
    <w:p w14:paraId="00D3861A" w14:textId="1171182C" w:rsidR="006D44DA" w:rsidRPr="003A42FB" w:rsidRDefault="006D44D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nie ma zastosowania do częstotliwości rządowych.</w:t>
      </w:r>
    </w:p>
    <w:p w14:paraId="71966952" w14:textId="1D401698"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153</w:t>
      </w:r>
    </w:p>
    <w:p w14:paraId="1A74B9DA" w14:textId="64D21C45"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tak samo jak jest to uregulowane w ustawie </w:t>
      </w:r>
      <w:r w:rsidR="553C7AAD" w:rsidRPr="003A42FB">
        <w:rPr>
          <w:rFonts w:ascii="Times New Roman" w:eastAsiaTheme="minorEastAsia" w:hAnsi="Times New Roman" w:cs="Times New Roman"/>
          <w:sz w:val="24"/>
          <w:szCs w:val="24"/>
        </w:rPr>
        <w:t>P</w:t>
      </w:r>
      <w:r w:rsidRPr="003A42FB">
        <w:rPr>
          <w:rFonts w:ascii="Times New Roman" w:eastAsiaTheme="minorEastAsia" w:hAnsi="Times New Roman" w:cs="Times New Roman"/>
          <w:sz w:val="24"/>
          <w:szCs w:val="24"/>
        </w:rPr>
        <w:t>t</w:t>
      </w:r>
      <w:r w:rsidR="00D78D86" w:rsidRPr="003A42FB">
        <w:rPr>
          <w:rFonts w:ascii="Times New Roman" w:eastAsiaTheme="minorEastAsia" w:hAnsi="Times New Roman" w:cs="Times New Roman"/>
          <w:sz w:val="24"/>
          <w:szCs w:val="24"/>
        </w:rPr>
        <w:t xml:space="preserve"> w art. 144b</w:t>
      </w:r>
      <w:r w:rsidRPr="003A42FB">
        <w:rPr>
          <w:rFonts w:ascii="Times New Roman" w:eastAsiaTheme="minorEastAsia" w:hAnsi="Times New Roman" w:cs="Times New Roman"/>
          <w:sz w:val="24"/>
          <w:szCs w:val="24"/>
        </w:rPr>
        <w:t>, wprowadza możliwość dopuszczenia czasowego używania urządzenia radiowego w celu przeprowadzenia badań, testów lub eksperymentów, pod warunkiem przedstawienia ich celu oraz harmonogramu prowadzenia. Decyzja taka będzie mogła być wydana na okres nie przekraczający roku, przy czym będzie mogła być przedłużona tylko jeden raz na kolejny okres nie przekraczający roku. Przepis będzie stanowić znaczne ułatwienie przy wprowadzaniu i rozwoju nowych rodzajów sieci i usług.</w:t>
      </w:r>
    </w:p>
    <w:p w14:paraId="1CDE0247" w14:textId="77777777"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Wprowadzenie możliwości dopuszczenia urządzenia do używania bez konieczności uzyskiwania pozwolenia w celu przeprowadzenia testów i eksperymentów również z wykorzystaniem urządzeń niecertyfikowanych, jest podyktowane min. faktem, iż stan zajętości widma powoduje konieczność weryfikacji wyników komputerowych analiz propagacyjno-sieciowych celem uniknięcia problemów zakłóceń stacji nadawczych. Jedyną metodą skutecznej weryfikacji jest przeprowadzenie badań technicznych połączonych z pomiarami jakości odbioru.</w:t>
      </w:r>
    </w:p>
    <w:p w14:paraId="63868154" w14:textId="4EEC2F99" w:rsidR="00AA1A59" w:rsidRPr="003A42FB" w:rsidRDefault="006D44DA"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w:t>
      </w:r>
      <w:r w:rsidR="00D03005" w:rsidRPr="003A42FB">
        <w:rPr>
          <w:rFonts w:ascii="Times New Roman" w:eastAsiaTheme="minorEastAsia" w:hAnsi="Times New Roman" w:cs="Times New Roman"/>
          <w:sz w:val="24"/>
          <w:szCs w:val="24"/>
        </w:rPr>
        <w:t>ecyzję dotyczącą używania urządzeń radiowych służących do rozprowadzania lub rozpowszechniania programów radiofonicznych lub telewizyjnych, Prezes UKE wydaje w porozumieniu z Przewodniczącym KRRiT. Niezajęcie stanowiska przez Przewodniczącego KRRiT w terminie 14 dni o dnia otrzymania projektu decyzji będzie równoznaczne z uzgodnieniem projektu.</w:t>
      </w:r>
    </w:p>
    <w:p w14:paraId="79995E2B" w14:textId="55EAE150" w:rsidR="00D03005" w:rsidRPr="003A42FB" w:rsidRDefault="00AA1A59"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nie ma zastosowania do częstotliwości rządowych.</w:t>
      </w:r>
    </w:p>
    <w:p w14:paraId="36053058" w14:textId="3EAF9744"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C3CFC">
        <w:rPr>
          <w:rFonts w:ascii="Times New Roman" w:eastAsiaTheme="minorEastAsia" w:hAnsi="Times New Roman" w:cs="Times New Roman"/>
          <w:b/>
          <w:bCs/>
          <w:sz w:val="24"/>
          <w:szCs w:val="24"/>
        </w:rPr>
        <w:t>154</w:t>
      </w:r>
    </w:p>
    <w:p w14:paraId="38B7EF73" w14:textId="60BC7E05"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obliguje Prezesa UKE do publikowania na stronie podmiotowej BIP UKE informacji o wydanych pozwoleniach, decyzjach o rezerwacji częstotliwości oraz decyzjach o zezwoleniu na czasowe używanie urządzeń radiowych, o których mowa w art. </w:t>
      </w:r>
      <w:r w:rsidR="00CC3CFC">
        <w:rPr>
          <w:rFonts w:ascii="Times New Roman" w:eastAsiaTheme="minorEastAsia" w:hAnsi="Times New Roman" w:cs="Times New Roman"/>
          <w:sz w:val="24"/>
          <w:szCs w:val="24"/>
        </w:rPr>
        <w:t>142</w:t>
      </w:r>
      <w:r w:rsidR="00CC3CF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oraz art. </w:t>
      </w:r>
      <w:r w:rsidR="00CC3CFC">
        <w:rPr>
          <w:rFonts w:ascii="Times New Roman" w:eastAsiaTheme="minorEastAsia" w:hAnsi="Times New Roman" w:cs="Times New Roman"/>
          <w:sz w:val="24"/>
          <w:szCs w:val="24"/>
        </w:rPr>
        <w:t>145</w:t>
      </w:r>
      <w:r w:rsidRPr="003A42FB">
        <w:rPr>
          <w:rFonts w:ascii="Times New Roman" w:eastAsiaTheme="minorEastAsia" w:hAnsi="Times New Roman" w:cs="Times New Roman"/>
          <w:sz w:val="24"/>
          <w:szCs w:val="24"/>
        </w:rPr>
        <w:t>.</w:t>
      </w:r>
    </w:p>
    <w:p w14:paraId="730AB5EC" w14:textId="77777777"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zapewnia zatem pełną jawność i przejrzystość w zakresie wydanych praw indywidualnych do wykorzystywania widma radiowego stanowiąc w tym zakresie także wdrożenie art. 48 ust. 6 EKŁE.</w:t>
      </w:r>
    </w:p>
    <w:p w14:paraId="7149F0A5" w14:textId="3A3B79E2"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87B79">
        <w:rPr>
          <w:rFonts w:ascii="Times New Roman" w:eastAsiaTheme="minorEastAsia" w:hAnsi="Times New Roman" w:cs="Times New Roman"/>
          <w:b/>
          <w:bCs/>
          <w:sz w:val="24"/>
          <w:szCs w:val="24"/>
        </w:rPr>
        <w:t>155</w:t>
      </w:r>
    </w:p>
    <w:p w14:paraId="5F9F8495" w14:textId="77777777"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określa warunki uzyskiwania uprawnień do używania urządzeń radiowych przez misje dyplomatyczne, urzędy konsularne, zagraniczne misje specjalne oraz przedstawicielstwa organizacji międzynarodowych, korzystające z przywilejów i immunitetów na podstawie ustaw, umów i zwyczajów międzynarodowych, mające swe siedziby na terytorium Rzeczypospolitej Polskiej. Przepisy te wyłączają zatem stosowanie do tych podmiotów ogólnych reguł dotyczących uzyskiwania uprawnień do używania urządzeń radiowych.</w:t>
      </w:r>
    </w:p>
    <w:p w14:paraId="522B9A2C" w14:textId="625DD59C"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Przewiduje się zatem, podobnie jak wynikało to z </w:t>
      </w:r>
      <w:r w:rsidR="0A791D33" w:rsidRPr="003A42FB">
        <w:rPr>
          <w:rFonts w:ascii="Times New Roman" w:eastAsiaTheme="minorEastAsia" w:hAnsi="Times New Roman" w:cs="Times New Roman"/>
          <w:sz w:val="24"/>
          <w:szCs w:val="24"/>
        </w:rPr>
        <w:t xml:space="preserve">art. 148b </w:t>
      </w:r>
      <w:r w:rsidRPr="003A42FB">
        <w:rPr>
          <w:rFonts w:ascii="Times New Roman" w:eastAsiaTheme="minorEastAsia" w:hAnsi="Times New Roman" w:cs="Times New Roman"/>
          <w:sz w:val="24"/>
          <w:szCs w:val="24"/>
        </w:rPr>
        <w:t xml:space="preserve">ustawy Pt, obowiązek uzyskania zgody krajowego organu regulacyjnego na wykorzystywanie urządzeń radiowych służących do komunikacji zarówno w systemie naziemnym, jak i satelitarnym. W niniejszym projekcie proponuje się aby zgoda ta była wydawana na wniosek </w:t>
      </w:r>
      <w:r w:rsidR="00AA1A59" w:rsidRPr="003A42FB">
        <w:rPr>
          <w:rFonts w:ascii="Times New Roman" w:eastAsiaTheme="minorEastAsia" w:hAnsi="Times New Roman" w:cs="Times New Roman"/>
          <w:sz w:val="24"/>
          <w:szCs w:val="24"/>
        </w:rPr>
        <w:t xml:space="preserve">złożony za pośrednictwem ministra właściwego do spraw zagranicznych przez Prezesa UKE, przy zatwierdzeniu przez ministra właściwego do spraw zagranicznych </w:t>
      </w:r>
      <w:r w:rsidRPr="003A42FB">
        <w:rPr>
          <w:rFonts w:ascii="Times New Roman" w:eastAsiaTheme="minorEastAsia" w:hAnsi="Times New Roman" w:cs="Times New Roman"/>
          <w:sz w:val="24"/>
          <w:szCs w:val="24"/>
        </w:rPr>
        <w:t>.</w:t>
      </w:r>
    </w:p>
    <w:p w14:paraId="1E7CB1D3" w14:textId="77777777" w:rsidR="00D03005" w:rsidRPr="003A42FB" w:rsidRDefault="00D03005"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Potrzeba utrzymania takiego obowiązku wynika z konieczności zapewnienia poprawnego funkcjonowania wszystkich urządzeń radiowych działających na obszarze kraju. Brak koordynacji w tym zakresie prowadzi do powstawania zakłóceń i niepoprawnego funkcjonowania urządzeń radiowych zarówno wskazanych wyżej podmiotów zagranicznych, jak i podmiotów krajowych. Wskazanie ministra właściwego do spraw zagranicznych jako organu pośredniczącego w kontaktach pomiędzy regulatorem a podmiotem korzystającym z przywilejów i immunitetów międzynarodowych jest konieczne z uwagi na fakt, iż jest to organ odpowiedzialny za kreowanie i monitorowanie stanu stosunków dyplomatycznych, a także ze względu na potrzebę dokonania wszechstronnej analizy, uwzględniającej m.in. aktualny stan stosunków dwustronnych czy zastosowanie zasady wzajemności.</w:t>
      </w:r>
    </w:p>
    <w:p w14:paraId="70FDD9EB" w14:textId="16BF9471" w:rsidR="000F19ED" w:rsidRPr="003A42FB" w:rsidRDefault="000F19E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87B79">
        <w:rPr>
          <w:rFonts w:ascii="Times New Roman" w:eastAsiaTheme="minorEastAsia" w:hAnsi="Times New Roman" w:cs="Times New Roman"/>
          <w:b/>
          <w:bCs/>
          <w:sz w:val="24"/>
          <w:szCs w:val="24"/>
        </w:rPr>
        <w:t>156</w:t>
      </w:r>
    </w:p>
    <w:p w14:paraId="19198BB3" w14:textId="6AE1EED1" w:rsidR="000F19ED" w:rsidRPr="003A42FB" w:rsidRDefault="00B25A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Cs/>
          <w:sz w:val="24"/>
          <w:szCs w:val="24"/>
        </w:rPr>
        <w:lastRenderedPageBreak/>
        <w:t>Przepis wprowadza analogiczne jak w przypadku czasowego używania częstotliwości cywilnych i cywilno-rządowych regulacje dla częstotliwości rządowych. Organem udzielającym zgody będzie w tym przypadku Minister Obrony Narodowej, odpowiedzialny za koordynację częstotliwości rządowych.</w:t>
      </w:r>
    </w:p>
    <w:p w14:paraId="46578662" w14:textId="4EAE7583" w:rsidR="005410D8" w:rsidRPr="003A42FB" w:rsidRDefault="00D03005" w:rsidP="20DBCFD5">
      <w:pPr>
        <w:pStyle w:val="ARTartustawynprozporzdzenia"/>
        <w:spacing w:before="0" w:line="240" w:lineRule="auto"/>
        <w:ind w:firstLine="0"/>
        <w:rPr>
          <w:rFonts w:ascii="Times New Roman" w:hAnsi="Times New Roman" w:cs="Times New Roman"/>
          <w:b/>
          <w:bCs/>
          <w:szCs w:val="24"/>
        </w:rPr>
      </w:pPr>
      <w:r w:rsidRPr="003A42FB">
        <w:rPr>
          <w:rFonts w:ascii="Times New Roman" w:hAnsi="Times New Roman" w:cs="Times New Roman"/>
          <w:b/>
          <w:bCs/>
          <w:szCs w:val="24"/>
        </w:rPr>
        <w:t xml:space="preserve">Art. </w:t>
      </w:r>
      <w:r w:rsidR="00A87B79">
        <w:rPr>
          <w:rFonts w:ascii="Times New Roman" w:hAnsi="Times New Roman" w:cs="Times New Roman"/>
          <w:b/>
          <w:bCs/>
          <w:szCs w:val="24"/>
        </w:rPr>
        <w:t>157</w:t>
      </w:r>
    </w:p>
    <w:p w14:paraId="1CD3EF83" w14:textId="361C9726" w:rsidR="00E14853" w:rsidRPr="003A42FB" w:rsidRDefault="00E14853" w:rsidP="005410D8">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Analogicznie do rozwiązań zawartych w Pt p</w:t>
      </w:r>
      <w:r w:rsidR="00D03005" w:rsidRPr="003A42FB">
        <w:rPr>
          <w:rFonts w:ascii="Times New Roman" w:hAnsi="Times New Roman" w:cs="Times New Roman"/>
          <w:szCs w:val="24"/>
        </w:rPr>
        <w:t>rzepis</w:t>
      </w:r>
      <w:r w:rsidRPr="003A42FB">
        <w:rPr>
          <w:rFonts w:ascii="Times New Roman" w:hAnsi="Times New Roman" w:cs="Times New Roman"/>
          <w:szCs w:val="24"/>
        </w:rPr>
        <w:t xml:space="preserve"> wskazuje, że </w:t>
      </w:r>
      <w:r w:rsidR="00D03005" w:rsidRPr="003A42FB">
        <w:rPr>
          <w:rFonts w:ascii="Times New Roman" w:hAnsi="Times New Roman" w:cs="Times New Roman"/>
          <w:szCs w:val="24"/>
        </w:rPr>
        <w:t xml:space="preserve">obsługiwanie urządzenia radiowego nadawczego lub nadawczo-odbiorczego używanego </w:t>
      </w:r>
      <w:r w:rsidRPr="003A42FB">
        <w:rPr>
          <w:rFonts w:ascii="Times New Roman" w:hAnsi="Times New Roman" w:cs="Times New Roman"/>
          <w:szCs w:val="24"/>
        </w:rPr>
        <w:t>w służbie radiokomunikacyjnej lotniczej, morskiej i żeglugi śródlądowej wymaga posiadania świadectwa operatora urządzeń radiowych lub dokumentu równoważnego, wydanego przez uprawniony organ zagraniczny.</w:t>
      </w:r>
    </w:p>
    <w:p w14:paraId="5341F00A" w14:textId="32B1B659" w:rsidR="00E14853" w:rsidRPr="003A42FB" w:rsidRDefault="00E14853" w:rsidP="005410D8">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Różnicą w stosunku do obecnie obowiązujących przepisów jest to, że obsługiwanie urządzenia radiowego nadawczego lub nadawczo-odbiorczego używanego w służbie radiokomunikacyjnej amatorskiej wymaga posiadania pozwolenia radiowego, a nie świadectwa operatora urządzeń radiowych, jak ma to miejsce obecnie. </w:t>
      </w:r>
    </w:p>
    <w:p w14:paraId="3938284F" w14:textId="71B3E225" w:rsidR="00CC7CAF" w:rsidRPr="003A42FB" w:rsidRDefault="00CC7CAF" w:rsidP="005410D8">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Podobnie jak obecnie obowiązek posiadania świadectwa operatora nie dotyczy osób obsługujących urządzenia radiokomunikacji lotniczej, morskiej i żeglugi śródlądowej wykonywanej przez komórki i jednostki organizacyjne podległe MON, a także jednostki sił zbrojnych innych państw oraz jednostki zagranicznych organów państwowych w okresie pobytu na terenie Polski.</w:t>
      </w:r>
    </w:p>
    <w:p w14:paraId="191B3999" w14:textId="15DF00DA" w:rsidR="00CC7CAF" w:rsidRPr="003A42FB" w:rsidRDefault="00CC7CAF" w:rsidP="00C53EAB">
      <w:pPr>
        <w:autoSpaceDE w:val="0"/>
        <w:autoSpaceDN w:val="0"/>
        <w:adjustRightInd w:val="0"/>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A87B79">
        <w:rPr>
          <w:rFonts w:ascii="Times New Roman" w:eastAsiaTheme="minorEastAsia" w:hAnsi="Times New Roman" w:cs="Times New Roman"/>
          <w:b/>
          <w:sz w:val="24"/>
          <w:szCs w:val="24"/>
        </w:rPr>
        <w:t>158</w:t>
      </w:r>
      <w:r w:rsidRPr="003A42FB">
        <w:rPr>
          <w:rFonts w:ascii="Times New Roman" w:eastAsiaTheme="minorEastAsia" w:hAnsi="Times New Roman" w:cs="Times New Roman"/>
          <w:b/>
          <w:sz w:val="24"/>
          <w:szCs w:val="24"/>
        </w:rPr>
        <w:t xml:space="preserve">. </w:t>
      </w:r>
    </w:p>
    <w:p w14:paraId="0692B782" w14:textId="3D80737D" w:rsidR="00502E13" w:rsidRPr="003A42FB" w:rsidRDefault="3FF9F0D6"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Ustawa Pt w art. 149, art. 150 i art. 151 szerzej reguluje kwestie wydawania świadectw operatora urządzeń radiowych</w:t>
      </w:r>
      <w:r w:rsidR="39A75B0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ponieważ obejmuje </w:t>
      </w:r>
      <w:r w:rsidR="00CC7CAF" w:rsidRPr="003A42FB">
        <w:rPr>
          <w:rFonts w:ascii="Times New Roman" w:eastAsiaTheme="minorEastAsia" w:hAnsi="Times New Roman" w:cs="Times New Roman"/>
          <w:sz w:val="24"/>
          <w:szCs w:val="24"/>
        </w:rPr>
        <w:t xml:space="preserve">nimi </w:t>
      </w:r>
      <w:r w:rsidRPr="003A42FB">
        <w:rPr>
          <w:rFonts w:ascii="Times New Roman" w:eastAsiaTheme="minorEastAsia" w:hAnsi="Times New Roman" w:cs="Times New Roman"/>
          <w:sz w:val="24"/>
          <w:szCs w:val="24"/>
        </w:rPr>
        <w:t>oprócz służby radiokomunikacyjne</w:t>
      </w:r>
      <w:r w:rsidR="00CC7CAF"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lotnicz</w:t>
      </w:r>
      <w:r w:rsidR="00CC7CAF" w:rsidRPr="003A42FB">
        <w:rPr>
          <w:rFonts w:ascii="Times New Roman" w:eastAsiaTheme="minorEastAsia" w:hAnsi="Times New Roman" w:cs="Times New Roman"/>
          <w:sz w:val="24"/>
          <w:szCs w:val="24"/>
        </w:rPr>
        <w:t>ej</w:t>
      </w:r>
      <w:r w:rsidRPr="003A42FB">
        <w:rPr>
          <w:rFonts w:ascii="Times New Roman" w:eastAsiaTheme="minorEastAsia" w:hAnsi="Times New Roman" w:cs="Times New Roman"/>
          <w:sz w:val="24"/>
          <w:szCs w:val="24"/>
        </w:rPr>
        <w:t>, morsk</w:t>
      </w:r>
      <w:r w:rsidR="00502E13" w:rsidRPr="003A42FB">
        <w:rPr>
          <w:rFonts w:ascii="Times New Roman" w:eastAsiaTheme="minorEastAsia" w:hAnsi="Times New Roman" w:cs="Times New Roman"/>
          <w:sz w:val="24"/>
          <w:szCs w:val="24"/>
        </w:rPr>
        <w:t>iej</w:t>
      </w:r>
      <w:r w:rsidRPr="003A42FB">
        <w:rPr>
          <w:rFonts w:ascii="Times New Roman" w:eastAsiaTheme="minorEastAsia" w:hAnsi="Times New Roman" w:cs="Times New Roman"/>
          <w:sz w:val="24"/>
          <w:szCs w:val="24"/>
        </w:rPr>
        <w:t xml:space="preserve"> i żeglugi śródlądowej</w:t>
      </w:r>
      <w:r w:rsidR="00502E13" w:rsidRPr="003A42FB">
        <w:rPr>
          <w:rFonts w:ascii="Times New Roman" w:eastAsiaTheme="minorEastAsia" w:hAnsi="Times New Roman" w:cs="Times New Roman"/>
          <w:sz w:val="24"/>
          <w:szCs w:val="24"/>
        </w:rPr>
        <w:t xml:space="preserve"> również służbę amatorską, która w projektowanych przepisach została wyłączona z reżimu uzyskiwania świadectw operatora urządzeń radiowych</w:t>
      </w:r>
      <w:r w:rsidRPr="003A42FB">
        <w:rPr>
          <w:rFonts w:ascii="Times New Roman" w:eastAsiaTheme="minorEastAsia" w:hAnsi="Times New Roman" w:cs="Times New Roman"/>
          <w:sz w:val="24"/>
          <w:szCs w:val="24"/>
        </w:rPr>
        <w:t>.</w:t>
      </w:r>
      <w:r w:rsidR="00502E1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 </w:t>
      </w:r>
    </w:p>
    <w:p w14:paraId="23D36DAB" w14:textId="4B6D007C" w:rsidR="00502E13" w:rsidRPr="003A42FB" w:rsidRDefault="00502E13"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 przewiduje, że wydawanie świadectw operatora urządzeń radiowych pozostanie w zakresie kompetencji Prezesa UKE. Organ ten po zdaniu egzaminu przez osobę zainteresowaną i na podstawie udokumentowanej praktyki wydaje jej świadectw</w:t>
      </w:r>
      <w:r w:rsidR="00902A22" w:rsidRPr="003A42FB">
        <w:rPr>
          <w:rFonts w:ascii="Times New Roman" w:eastAsiaTheme="minorEastAsia" w:hAnsi="Times New Roman" w:cs="Times New Roman"/>
          <w:sz w:val="24"/>
          <w:szCs w:val="24"/>
        </w:rPr>
        <w:t>o</w:t>
      </w:r>
      <w:r w:rsidRPr="003A42FB">
        <w:rPr>
          <w:rFonts w:ascii="Times New Roman" w:eastAsiaTheme="minorEastAsia" w:hAnsi="Times New Roman" w:cs="Times New Roman"/>
          <w:sz w:val="24"/>
          <w:szCs w:val="24"/>
        </w:rPr>
        <w:t xml:space="preserve"> operatora. Należy podkreślić, że przepis ust. 1 określa w sposób wyczerpujący warunki, od których spełnienia uzależnione jest wydanie świadectwa operatora, w postaci zdanego egzaminu i udokumentowanej praktyki, co powoduje, że wydanie świadectwa przez Prezesa UKE nie ma charakteru czynności uznaniowej. Jeżeli bowiem określona osoba spełnia warunki określone przepisami prawa, wówczas Prezes UKE jest zobowiązany do wydania świadectwa na wniosek tej osoby.</w:t>
      </w:r>
    </w:p>
    <w:p w14:paraId="722120B4" w14:textId="4B6D007C" w:rsidR="00902A22" w:rsidRPr="003A42FB" w:rsidRDefault="00774AA6" w:rsidP="00C53EAB">
      <w:pPr>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Egzaminy przeprowadzają komisje powołane przez Prezesa UKE, z wyjątkami określonymi w ust. 3. Kompetencję </w:t>
      </w:r>
      <w:r w:rsidR="00902A22" w:rsidRPr="003A42FB">
        <w:rPr>
          <w:rFonts w:ascii="Times New Roman" w:eastAsiaTheme="minorEastAsia" w:hAnsi="Times New Roman" w:cs="Times New Roman"/>
          <w:sz w:val="24"/>
          <w:szCs w:val="24"/>
        </w:rPr>
        <w:t xml:space="preserve">bowiem </w:t>
      </w:r>
      <w:r w:rsidRPr="003A42FB">
        <w:rPr>
          <w:rFonts w:ascii="Times New Roman" w:eastAsiaTheme="minorEastAsia" w:hAnsi="Times New Roman" w:cs="Times New Roman"/>
          <w:sz w:val="24"/>
          <w:szCs w:val="24"/>
        </w:rPr>
        <w:t xml:space="preserve">do przeprowadzania egzaminów dla osób obsługujących urządzenia radiowe w służbie radiokomunikacji lotniczej powierzono Prezesowi Urzędu Lotnictwa Cywilnego, który jest organem regulacyjnym właściwym w sprawach lotnictwa cywilnego. </w:t>
      </w:r>
      <w:r w:rsidR="00902A22" w:rsidRPr="003A42FB">
        <w:rPr>
          <w:rFonts w:ascii="Times New Roman" w:eastAsiaTheme="minorEastAsia" w:hAnsi="Times New Roman" w:cs="Times New Roman"/>
          <w:sz w:val="24"/>
          <w:szCs w:val="24"/>
        </w:rPr>
        <w:t>Prezes UKE może również powierzyć przeprowadzanie egzaminów w służbie radiokomunikacyjnej morskiej i żeglugi śródlądowej - Centralnej Morskiej Komisji Egzaminacyjnej lub centralnej komisji egzaminacyjnej działającej przy dyrektorze urzędu żeglugi śródlądowej określonym przez ministra właściwego do spraw żeglugi śródlądowej.</w:t>
      </w:r>
    </w:p>
    <w:p w14:paraId="4E243432" w14:textId="27EDF956" w:rsidR="00BD00AA" w:rsidRPr="003A42FB" w:rsidRDefault="00902A22" w:rsidP="00BD00AA">
      <w:pPr>
        <w:autoSpaceDE w:val="0"/>
        <w:autoSpaceDN w:val="0"/>
        <w:adjustRightInd w:val="0"/>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Kluczową zmianą w stosunku do Pt jest zmiana podmiotów odpowiedzialnych za wydanie rozporządzenia w</w:t>
      </w:r>
      <w:r w:rsidR="00F7376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s</w:t>
      </w:r>
      <w:r w:rsidR="00F73767" w:rsidRPr="003A42FB">
        <w:rPr>
          <w:rFonts w:ascii="Times New Roman" w:eastAsiaTheme="minorEastAsia" w:hAnsi="Times New Roman" w:cs="Times New Roman"/>
          <w:sz w:val="24"/>
          <w:szCs w:val="24"/>
        </w:rPr>
        <w:t>prawie</w:t>
      </w:r>
      <w:r w:rsidRPr="003A42FB">
        <w:rPr>
          <w:rFonts w:ascii="Times New Roman" w:eastAsiaTheme="minorEastAsia" w:hAnsi="Times New Roman" w:cs="Times New Roman"/>
          <w:sz w:val="24"/>
          <w:szCs w:val="24"/>
        </w:rPr>
        <w:t xml:space="preserve"> świadectw operatora urządzeń radiowych, które reguluje m. in. rodzaje i wzory świadectw operatora urządzeń radiowych, zakres wymogów egzaminacyjnych, zakres, tryb i okres niezbędnych szkoleń oraz praktyki. Dotychczas </w:t>
      </w:r>
      <w:r w:rsidR="000C76CB" w:rsidRPr="003A42FB">
        <w:rPr>
          <w:rFonts w:ascii="Times New Roman" w:eastAsiaTheme="minorEastAsia" w:hAnsi="Times New Roman" w:cs="Times New Roman"/>
          <w:sz w:val="24"/>
          <w:szCs w:val="24"/>
        </w:rPr>
        <w:t xml:space="preserve">ten akt wykonawczy wydawany był przez ministra właściwego do spraw informatyzacji. W projekcie przewidziano, że za wydanie przedmiotowego aktu odpowiedzialni będą ministrowie właściwi merytorycznie w kwestiach będących przedmiotem rozporządzenia. W związku z tym delegacja do wydania rozporządzenia przewiduje, że zostanie ono wydane przez ministra właściwego do spraw </w:t>
      </w:r>
      <w:r w:rsidR="000C76CB" w:rsidRPr="003A42FB">
        <w:rPr>
          <w:rFonts w:ascii="Times New Roman" w:eastAsiaTheme="minorEastAsia" w:hAnsi="Times New Roman" w:cs="Times New Roman"/>
          <w:sz w:val="24"/>
          <w:szCs w:val="24"/>
        </w:rPr>
        <w:lastRenderedPageBreak/>
        <w:t>transportu, ministra właściwego do spraw żeglugi śródlądowej i ministra właściwego do spraw gospodarki morskiej w porozumieniu z ministrem właściwym do spraw informatyzacji.</w:t>
      </w:r>
      <w:r w:rsidR="003A6982" w:rsidRPr="003A42FB">
        <w:rPr>
          <w:rFonts w:ascii="Times New Roman" w:eastAsiaTheme="minorEastAsia" w:hAnsi="Times New Roman" w:cs="Times New Roman"/>
          <w:sz w:val="24"/>
          <w:szCs w:val="24"/>
        </w:rPr>
        <w:t xml:space="preserve"> </w:t>
      </w:r>
      <w:r w:rsidR="00BD00AA" w:rsidRPr="003A42FB">
        <w:rPr>
          <w:rFonts w:ascii="Times New Roman" w:eastAsiaTheme="minorEastAsia" w:hAnsi="Times New Roman" w:cs="Times New Roman"/>
          <w:sz w:val="24"/>
          <w:szCs w:val="24"/>
        </w:rPr>
        <w:t>Taka konstrukcja wynika z zakresu merytorycznego rozporządzenia, które określa m. in. wymogi egzaminacyjne w służbie radiokomunikacji lotniczej, morskiej i żeglugi śródlądowej. Kwestie te bowiem pozostają poza właściwością merytoryczną ministra właściwego do spraw informatyzacji. Dotychczasowe doświadczenia ministra właściwego do spraw informatyzacji związane z wydaniem tego aktu wskazują na konieczność przekazania delegacji do wydania rozporządzenia w sprawie świadectw operatora urządzeń radiowych właściwym działom administracji, które posiadają odpowiednie pod względem merytorycznym komórki i zasoby kadrowe.</w:t>
      </w:r>
    </w:p>
    <w:p w14:paraId="4AB78616"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1FA0A424" w14:textId="77777777" w:rsidR="00365F2B" w:rsidRPr="003A42FB" w:rsidRDefault="00365F2B"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 xml:space="preserve">ROZDZIAŁ 3. Gospodarowanie </w:t>
      </w:r>
      <w:r w:rsidR="009D351F" w:rsidRPr="003A42FB">
        <w:rPr>
          <w:rFonts w:ascii="Times New Roman" w:hAnsi="Times New Roman" w:cs="Times New Roman"/>
          <w:b/>
          <w:lang w:eastAsia="en-US"/>
        </w:rPr>
        <w:t>zasobami numeracji</w:t>
      </w:r>
    </w:p>
    <w:p w14:paraId="073C09EB" w14:textId="08925CCB" w:rsidR="00805650" w:rsidRPr="003A42FB" w:rsidRDefault="283D3360"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690AB415" w:rsidRPr="003A42FB">
        <w:rPr>
          <w:rFonts w:ascii="Times New Roman" w:eastAsiaTheme="minorEastAsia" w:hAnsi="Times New Roman" w:cs="Times New Roman"/>
          <w:b/>
          <w:bCs/>
          <w:sz w:val="24"/>
          <w:szCs w:val="24"/>
        </w:rPr>
        <w:t xml:space="preserve"> </w:t>
      </w:r>
      <w:r w:rsidR="00C76511" w:rsidRPr="003A42FB">
        <w:rPr>
          <w:rFonts w:ascii="Times New Roman" w:eastAsiaTheme="minorEastAsia" w:hAnsi="Times New Roman" w:cs="Times New Roman"/>
          <w:b/>
          <w:bCs/>
          <w:sz w:val="24"/>
          <w:szCs w:val="24"/>
        </w:rPr>
        <w:t>1</w:t>
      </w:r>
      <w:r w:rsidR="00C76511">
        <w:rPr>
          <w:rFonts w:ascii="Times New Roman" w:eastAsiaTheme="minorEastAsia" w:hAnsi="Times New Roman" w:cs="Times New Roman"/>
          <w:b/>
          <w:bCs/>
          <w:sz w:val="24"/>
          <w:szCs w:val="24"/>
        </w:rPr>
        <w:t>59</w:t>
      </w:r>
      <w:r w:rsidR="00C76511" w:rsidRPr="003A42FB">
        <w:rPr>
          <w:rFonts w:ascii="Times New Roman" w:eastAsiaTheme="minorEastAsia" w:hAnsi="Times New Roman" w:cs="Times New Roman"/>
          <w:b/>
          <w:bCs/>
          <w:sz w:val="24"/>
          <w:szCs w:val="24"/>
        </w:rPr>
        <w:t xml:space="preserve"> </w:t>
      </w:r>
      <w:r w:rsidR="00793DD6" w:rsidRPr="003A42FB">
        <w:rPr>
          <w:rFonts w:ascii="Times New Roman" w:eastAsiaTheme="minorEastAsia" w:hAnsi="Times New Roman" w:cs="Times New Roman"/>
          <w:b/>
          <w:bCs/>
          <w:sz w:val="24"/>
          <w:szCs w:val="24"/>
        </w:rPr>
        <w:t xml:space="preserve">– przyznawanie prawa do wykorzystywania zasobów numeracji </w:t>
      </w:r>
    </w:p>
    <w:p w14:paraId="631CF2CF" w14:textId="4EC24946" w:rsidR="00805650" w:rsidRPr="003A42FB" w:rsidRDefault="00805650"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W art. </w:t>
      </w:r>
      <w:r w:rsidR="00C76511" w:rsidRPr="5372851C">
        <w:rPr>
          <w:rFonts w:ascii="Times New Roman" w:eastAsiaTheme="minorEastAsia" w:hAnsi="Times New Roman" w:cs="Times New Roman"/>
          <w:sz w:val="24"/>
          <w:szCs w:val="24"/>
        </w:rPr>
        <w:t>1</w:t>
      </w:r>
      <w:r w:rsidR="00C76511">
        <w:rPr>
          <w:rFonts w:ascii="Times New Roman" w:eastAsiaTheme="minorEastAsia" w:hAnsi="Times New Roman" w:cs="Times New Roman"/>
          <w:sz w:val="24"/>
          <w:szCs w:val="24"/>
        </w:rPr>
        <w:t>59</w:t>
      </w:r>
      <w:r w:rsidR="00C76511" w:rsidRPr="5372851C">
        <w:rPr>
          <w:rFonts w:ascii="Times New Roman" w:eastAsiaTheme="minorEastAsia" w:hAnsi="Times New Roman" w:cs="Times New Roman"/>
          <w:sz w:val="24"/>
          <w:szCs w:val="24"/>
        </w:rPr>
        <w:t xml:space="preserve"> </w:t>
      </w:r>
      <w:r w:rsidRPr="5372851C">
        <w:rPr>
          <w:rFonts w:ascii="Times New Roman" w:eastAsiaTheme="minorEastAsia" w:hAnsi="Times New Roman" w:cs="Times New Roman"/>
          <w:sz w:val="24"/>
          <w:szCs w:val="24"/>
        </w:rPr>
        <w:t xml:space="preserve">wskazano </w:t>
      </w:r>
      <w:r w:rsidR="73DF9C11" w:rsidRPr="5372851C">
        <w:rPr>
          <w:rFonts w:ascii="Times New Roman" w:eastAsiaTheme="minorEastAsia" w:hAnsi="Times New Roman" w:cs="Times New Roman"/>
          <w:sz w:val="24"/>
          <w:szCs w:val="24"/>
        </w:rPr>
        <w:t xml:space="preserve">warunki i </w:t>
      </w:r>
      <w:r w:rsidRPr="5372851C">
        <w:rPr>
          <w:rFonts w:ascii="Times New Roman" w:eastAsiaTheme="minorEastAsia" w:hAnsi="Times New Roman" w:cs="Times New Roman"/>
          <w:sz w:val="24"/>
          <w:szCs w:val="24"/>
        </w:rPr>
        <w:t>zasady przyznawania prawa do wykorzystania zasobów numeracji. Prawo do wykorzystywania zasobów numeracji przyznaje Prezes UKE, w drodze decyzji, w oparciu o Plan Numeracji Krajowej (PNK). W ust. 1 wymienione zostały podmioty, które mogą ubiegać się o prawo do wykorzystania zasobów numeracji tj. przedsiębiorcy telekomunikacyjni, jednostki samorządu terytorialnego prowadzące działalność w zakresie telekomunikacji, podmioty</w:t>
      </w:r>
      <w:r w:rsidR="0FBC95F1" w:rsidRPr="5372851C">
        <w:rPr>
          <w:rFonts w:ascii="Times New Roman" w:eastAsiaTheme="minorEastAsia" w:hAnsi="Times New Roman" w:cs="Times New Roman"/>
          <w:sz w:val="24"/>
          <w:szCs w:val="24"/>
        </w:rPr>
        <w:t xml:space="preserve"> i</w:t>
      </w:r>
      <w:r w:rsidRPr="5372851C">
        <w:rPr>
          <w:rFonts w:ascii="Times New Roman" w:eastAsiaTheme="minorEastAsia" w:hAnsi="Times New Roman" w:cs="Times New Roman"/>
          <w:sz w:val="24"/>
          <w:szCs w:val="24"/>
        </w:rPr>
        <w:t xml:space="preserve"> jednostki administracji rządowej wykorzystujące sieci telekomunikacyjne dla potrzeb administracji oraz podmioty wskazane przez ministra właściwego do spraw energii do wykonywania zadań z zakresu komunikacji głosowej i transmisji danych do zarządzania sieciami przesyłu lub dystrybucji paliw lub energii elektrycznej. </w:t>
      </w:r>
    </w:p>
    <w:p w14:paraId="3DD587DB" w14:textId="734A82AC"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Istotną zmianą względem dotychczasowych przepisów ustawy Pt jest wprowadzenie możliwości przydzielania prawa do wykorzystywania zasobów numeracji podmiotom uprawnionym do prowadzenia działalności gospodarczej, innym niż przedsiębiorcy telekomunikacyjni, na potrzeby świadczenia określonych usług, niebędących usługami </w:t>
      </w:r>
      <w:r w:rsidR="005E4FB8" w:rsidRPr="003A42FB">
        <w:rPr>
          <w:rFonts w:ascii="Times New Roman" w:eastAsiaTheme="minorEastAsia" w:hAnsi="Times New Roman" w:cs="Times New Roman"/>
          <w:sz w:val="24"/>
          <w:szCs w:val="24"/>
        </w:rPr>
        <w:t>telekomunikacyjnymi</w:t>
      </w:r>
      <w:r w:rsidRPr="003A42FB">
        <w:rPr>
          <w:rFonts w:ascii="Times New Roman" w:eastAsiaTheme="minorEastAsia" w:hAnsi="Times New Roman" w:cs="Times New Roman"/>
          <w:sz w:val="24"/>
          <w:szCs w:val="24"/>
        </w:rPr>
        <w:t xml:space="preserve"> np. na potrzeby zarządzania inteligentnymi licznikami energii lub flotami samochodów. Zmiana ta wynika z implementacji art. 93 ust. 2 EKŁE. Artykuł </w:t>
      </w:r>
      <w:r w:rsidR="00C76511" w:rsidRPr="003A42FB">
        <w:rPr>
          <w:rFonts w:ascii="Times New Roman" w:eastAsiaTheme="minorEastAsia" w:hAnsi="Times New Roman" w:cs="Times New Roman"/>
          <w:sz w:val="24"/>
          <w:szCs w:val="24"/>
        </w:rPr>
        <w:t>1</w:t>
      </w:r>
      <w:r w:rsidR="00C76511">
        <w:rPr>
          <w:rFonts w:ascii="Times New Roman" w:eastAsiaTheme="minorEastAsia" w:hAnsi="Times New Roman" w:cs="Times New Roman"/>
          <w:sz w:val="24"/>
          <w:szCs w:val="24"/>
        </w:rPr>
        <w:t>5</w:t>
      </w:r>
      <w:r w:rsidR="00C76511"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ust. 2 precyzuje warunki takiego przydziału tj. zdolność do efektywnego gospodarowania zasobami numeracji przez wnioskujący o przydział podmiot oraz brak ryzyka wyczerpania dostępn</w:t>
      </w:r>
      <w:r w:rsidR="09F0BDB2" w:rsidRPr="003A42FB">
        <w:rPr>
          <w:rFonts w:ascii="Times New Roman" w:eastAsiaTheme="minorEastAsia" w:hAnsi="Times New Roman" w:cs="Times New Roman"/>
          <w:sz w:val="24"/>
          <w:szCs w:val="24"/>
        </w:rPr>
        <w:t>ych zasobów</w:t>
      </w:r>
      <w:r w:rsidRPr="003A42FB">
        <w:rPr>
          <w:rFonts w:ascii="Times New Roman" w:eastAsiaTheme="minorEastAsia" w:hAnsi="Times New Roman" w:cs="Times New Roman"/>
          <w:sz w:val="24"/>
          <w:szCs w:val="24"/>
        </w:rPr>
        <w:t xml:space="preserve"> numeracji. Spełnienie powyższych warunków będzie oceniane przez Prezesa UKE w trakcie rozpatrywania wniosku o przydział prawa do wykorzystania zasobów numeracji. Zakres dostępnej numeracji zostanie określony w rozporządzeniu wydanym na podstawie art. </w:t>
      </w:r>
      <w:r w:rsidR="00C76511" w:rsidRPr="003A42FB">
        <w:rPr>
          <w:rFonts w:ascii="Times New Roman" w:eastAsiaTheme="minorEastAsia" w:hAnsi="Times New Roman" w:cs="Times New Roman"/>
          <w:sz w:val="24"/>
          <w:szCs w:val="24"/>
        </w:rPr>
        <w:t>1</w:t>
      </w:r>
      <w:r w:rsidR="00C76511">
        <w:rPr>
          <w:rFonts w:ascii="Times New Roman" w:eastAsiaTheme="minorEastAsia" w:hAnsi="Times New Roman" w:cs="Times New Roman"/>
          <w:sz w:val="24"/>
          <w:szCs w:val="24"/>
        </w:rPr>
        <w:t>6</w:t>
      </w:r>
      <w:r w:rsidR="00C76511" w:rsidRPr="003A42FB">
        <w:rPr>
          <w:rFonts w:ascii="Times New Roman" w:eastAsiaTheme="minorEastAsia" w:hAnsi="Times New Roman" w:cs="Times New Roman"/>
          <w:sz w:val="24"/>
          <w:szCs w:val="24"/>
        </w:rPr>
        <w:t xml:space="preserve">2 </w:t>
      </w:r>
      <w:r w:rsidR="28DE2DE3" w:rsidRPr="003A42FB">
        <w:rPr>
          <w:rFonts w:ascii="Times New Roman" w:eastAsiaTheme="minorEastAsia" w:hAnsi="Times New Roman" w:cs="Times New Roman"/>
          <w:sz w:val="24"/>
          <w:szCs w:val="24"/>
        </w:rPr>
        <w:t>ust. 1 pkt 1</w:t>
      </w:r>
      <w:r w:rsidRPr="003A42FB">
        <w:rPr>
          <w:rFonts w:ascii="Times New Roman" w:eastAsiaTheme="minorEastAsia" w:hAnsi="Times New Roman" w:cs="Times New Roman"/>
          <w:sz w:val="24"/>
          <w:szCs w:val="24"/>
        </w:rPr>
        <w:t>.</w:t>
      </w:r>
    </w:p>
    <w:p w14:paraId="2B754698" w14:textId="2F8FD78C" w:rsidR="054DCC3C" w:rsidRPr="003A42FB" w:rsidRDefault="054DCC3C" w:rsidP="20DBCFD5">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nie przewidują istotnych zmian względem dotychczasowych przepisów Pt w zakresie procedury przydzielania i cofania przydziału zasobów numer</w:t>
      </w:r>
      <w:r w:rsidR="6CA584AD"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cji</w:t>
      </w:r>
      <w:r w:rsidR="005E4FB8" w:rsidRPr="003A42FB">
        <w:rPr>
          <w:rFonts w:ascii="Times New Roman" w:eastAsiaTheme="minorEastAsia" w:hAnsi="Times New Roman" w:cs="Times New Roman"/>
          <w:sz w:val="24"/>
          <w:szCs w:val="24"/>
        </w:rPr>
        <w:t xml:space="preserve">, za wyjątkiem uregulowania sytuacji cofnięcia prawa do wykorzystywania zasobów numeracji w sytuacji zagrożenia naruszenia interoperacyjności i ciągłości świadczenia </w:t>
      </w:r>
      <w:r w:rsidR="4A990E6A" w:rsidRPr="003A42FB">
        <w:rPr>
          <w:rFonts w:ascii="Times New Roman" w:eastAsiaTheme="minorEastAsia" w:hAnsi="Times New Roman" w:cs="Times New Roman"/>
          <w:sz w:val="24"/>
          <w:szCs w:val="24"/>
        </w:rPr>
        <w:t>usług.</w:t>
      </w:r>
    </w:p>
    <w:p w14:paraId="573E57D1" w14:textId="3C04B52D"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kolejnych ustępach art. </w:t>
      </w:r>
      <w:r w:rsidR="00C76511" w:rsidRPr="003A42FB">
        <w:rPr>
          <w:rFonts w:ascii="Times New Roman" w:eastAsiaTheme="minorEastAsia" w:hAnsi="Times New Roman" w:cs="Times New Roman"/>
          <w:sz w:val="24"/>
          <w:szCs w:val="24"/>
        </w:rPr>
        <w:t>1</w:t>
      </w:r>
      <w:r w:rsidR="00C76511">
        <w:rPr>
          <w:rFonts w:ascii="Times New Roman" w:eastAsiaTheme="minorEastAsia" w:hAnsi="Times New Roman" w:cs="Times New Roman"/>
          <w:sz w:val="24"/>
          <w:szCs w:val="24"/>
        </w:rPr>
        <w:t>5</w:t>
      </w:r>
      <w:r w:rsidR="00C76511"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 xml:space="preserve">uregulowany został przebieg procedury w sprawie przyznawania prawa do wykorzystania zasobów numeracji, w tym kwestie przetargu w przypadku większej liczby podmiotów zainteresowanych określonymi zasobami numeracji oraz wskazano obowiązujące terminy na rozpatrywanie wniosków. Przepisy te stanowią implementację art. 94 EKŁE regulującego procedurę przyznawania praw użytkowania zasobów numeracyjnych. </w:t>
      </w:r>
    </w:p>
    <w:p w14:paraId="779CA33B" w14:textId="47D696B8" w:rsidR="00805650" w:rsidRPr="003A42FB" w:rsidRDefault="21B8559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Ustęp 3 określa maksymalny termin załatwienia wniosku o przyznanie prawa do wykorzystania zasobów numeracji wynoszący 3 tygodnie od dnia złożenia wniosku.</w:t>
      </w:r>
      <w:r w:rsidR="7E26B447" w:rsidRPr="003A42FB">
        <w:rPr>
          <w:rFonts w:ascii="Times New Roman" w:eastAsiaTheme="minorEastAsia" w:hAnsi="Times New Roman" w:cs="Times New Roman"/>
          <w:sz w:val="24"/>
          <w:szCs w:val="24"/>
        </w:rPr>
        <w:t xml:space="preserve"> Wskazany termin jest terminem instrukcyjnym dla Prezesa UKE.</w:t>
      </w:r>
      <w:r w:rsidRPr="003A42FB">
        <w:rPr>
          <w:rFonts w:ascii="Times New Roman" w:eastAsiaTheme="minorEastAsia" w:hAnsi="Times New Roman" w:cs="Times New Roman"/>
          <w:sz w:val="24"/>
          <w:szCs w:val="24"/>
        </w:rPr>
        <w:t xml:space="preserve"> Zasady postępowania w przypadku wpłynięcia </w:t>
      </w:r>
      <w:r w:rsidRPr="003A42FB">
        <w:rPr>
          <w:rFonts w:ascii="Times New Roman" w:eastAsiaTheme="minorEastAsia" w:hAnsi="Times New Roman" w:cs="Times New Roman"/>
          <w:sz w:val="24"/>
          <w:szCs w:val="24"/>
        </w:rPr>
        <w:lastRenderedPageBreak/>
        <w:t xml:space="preserve">więcej niż jednego wniosku o przydział danego zakresu numeracji reguluje ust. 4. W przypadku wpłynięcia więcej niż jednego wniosku o przyznanie prawa do wykorzystania zasobów numeracji Prezes UKE przeprowadza postępowanie konsultacyjne. Na podstawie wyników postępowania konsultacyjnego Prezes UKE decyduje o zasadności przeprowadzenia przetargu. Postępowanie o przyznanie prawa do wykorzystywania numeracji powinno zakończyć się w terminie nie dłuższym niż 6 tygodni od dnia złożenia pierwszego wniosku. Zgodnie z ust. 5 przetarg przeprowadza Prezes UKE, a ogłoszenie o przetargu powinno zostać opublikowane w prasie codziennej o zasięgu ogólnokrajowym oraz na stronie podmiotowej BIP UKE. Ustęp 6 zawiera obowiązek odpowiedniego stosowania przepisów dotyczących przetargu, aukcji i konkursu na rezerwację częstotliwości w przypadku przetargu na przyznanie prawa do wykorzystywania zasobów numeracji. Zgodnie z ust. 7 decydującym kryterium przy ocenie ofert jest wysokość kwoty zadeklarowanej przez podmiot wnioskujący o przyznanie prawa do wykorzystywania zasobów numeracji. W ust. 8 wskazane zostały warunki jakie Prezes UKE może zawrzeć w decyzji przyznającej prawo do wykorzystania przydzielonej numeracji odnoszące się do: usług, które mają być świadczone w oparciu o przydzielane zasoby numeracji, zobowiązań wynikających z przetargu, zasad dostępu innych przedsiębiorców do zasobów numeracji oraz warunków przyznawania numeracji, która będzie wykorzystywana transgranicznie na terenie UE. </w:t>
      </w:r>
    </w:p>
    <w:p w14:paraId="3916BF01" w14:textId="7B609746" w:rsidR="1CD5889F" w:rsidRPr="003A42FB" w:rsidRDefault="1CD5889F"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76511" w:rsidRPr="003A42FB">
        <w:rPr>
          <w:rFonts w:ascii="Times New Roman" w:eastAsiaTheme="minorEastAsia" w:hAnsi="Times New Roman" w:cs="Times New Roman"/>
          <w:b/>
          <w:bCs/>
          <w:sz w:val="24"/>
          <w:szCs w:val="24"/>
        </w:rPr>
        <w:t>1</w:t>
      </w:r>
      <w:r w:rsidR="00C76511">
        <w:rPr>
          <w:rFonts w:ascii="Times New Roman" w:eastAsiaTheme="minorEastAsia" w:hAnsi="Times New Roman" w:cs="Times New Roman"/>
          <w:b/>
          <w:bCs/>
          <w:sz w:val="24"/>
          <w:szCs w:val="24"/>
        </w:rPr>
        <w:t>6</w:t>
      </w:r>
      <w:r w:rsidR="00C76511" w:rsidRPr="003A42FB">
        <w:rPr>
          <w:rFonts w:ascii="Times New Roman" w:eastAsiaTheme="minorEastAsia" w:hAnsi="Times New Roman" w:cs="Times New Roman"/>
          <w:b/>
          <w:bCs/>
          <w:sz w:val="24"/>
          <w:szCs w:val="24"/>
        </w:rPr>
        <w:t xml:space="preserve">0 </w:t>
      </w:r>
      <w:r w:rsidR="005E4FB8" w:rsidRPr="003A42FB">
        <w:rPr>
          <w:rFonts w:ascii="Times New Roman" w:eastAsiaTheme="minorEastAsia" w:hAnsi="Times New Roman" w:cs="Times New Roman"/>
          <w:b/>
          <w:bCs/>
          <w:sz w:val="24"/>
          <w:szCs w:val="24"/>
        </w:rPr>
        <w:t>– odmowa przyznania prawa do wykorzystywania zasobów numeracji</w:t>
      </w:r>
    </w:p>
    <w:p w14:paraId="7BB7014A" w14:textId="0323C9FE" w:rsidR="00805650" w:rsidRPr="003A42FB" w:rsidRDefault="2A46930A"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Projektowana ustawa reguluje również sytuacj</w:t>
      </w:r>
      <w:r w:rsidR="79BD31C6" w:rsidRPr="5372851C">
        <w:rPr>
          <w:rFonts w:ascii="Times New Roman" w:eastAsiaTheme="minorEastAsia" w:hAnsi="Times New Roman" w:cs="Times New Roman"/>
          <w:sz w:val="24"/>
          <w:szCs w:val="24"/>
        </w:rPr>
        <w:t>ę</w:t>
      </w:r>
      <w:r w:rsidRPr="5372851C">
        <w:rPr>
          <w:rFonts w:ascii="Times New Roman" w:eastAsiaTheme="minorEastAsia" w:hAnsi="Times New Roman" w:cs="Times New Roman"/>
          <w:sz w:val="24"/>
          <w:szCs w:val="24"/>
        </w:rPr>
        <w:t>, w któr</w:t>
      </w:r>
      <w:r w:rsidR="27712E4E" w:rsidRPr="5372851C">
        <w:rPr>
          <w:rFonts w:ascii="Times New Roman" w:eastAsiaTheme="minorEastAsia" w:hAnsi="Times New Roman" w:cs="Times New Roman"/>
          <w:sz w:val="24"/>
          <w:szCs w:val="24"/>
        </w:rPr>
        <w:t>ej</w:t>
      </w:r>
      <w:r w:rsidRPr="5372851C">
        <w:rPr>
          <w:rFonts w:ascii="Times New Roman" w:eastAsiaTheme="minorEastAsia" w:hAnsi="Times New Roman" w:cs="Times New Roman"/>
          <w:sz w:val="24"/>
          <w:szCs w:val="24"/>
        </w:rPr>
        <w:t xml:space="preserve"> Prezes UKE </w:t>
      </w:r>
      <w:r w:rsidR="5A9CC540" w:rsidRPr="5372851C">
        <w:rPr>
          <w:rFonts w:ascii="Times New Roman" w:eastAsiaTheme="minorEastAsia" w:hAnsi="Times New Roman" w:cs="Times New Roman"/>
          <w:sz w:val="24"/>
          <w:szCs w:val="24"/>
        </w:rPr>
        <w:t>jest obowiązany</w:t>
      </w:r>
      <w:r w:rsidRPr="5372851C">
        <w:rPr>
          <w:rFonts w:ascii="Times New Roman" w:eastAsiaTheme="minorEastAsia" w:hAnsi="Times New Roman" w:cs="Times New Roman"/>
          <w:sz w:val="24"/>
          <w:szCs w:val="24"/>
        </w:rPr>
        <w:t xml:space="preserve"> odmówić przydziału </w:t>
      </w:r>
      <w:r w:rsidR="11A0D981" w:rsidRPr="5372851C">
        <w:rPr>
          <w:rFonts w:ascii="Times New Roman" w:eastAsiaTheme="minorEastAsia" w:hAnsi="Times New Roman" w:cs="Times New Roman"/>
          <w:sz w:val="24"/>
          <w:szCs w:val="24"/>
        </w:rPr>
        <w:t xml:space="preserve">zasobów numeracji </w:t>
      </w:r>
      <w:r w:rsidRPr="5372851C">
        <w:rPr>
          <w:rFonts w:ascii="Times New Roman" w:eastAsiaTheme="minorEastAsia" w:hAnsi="Times New Roman" w:cs="Times New Roman"/>
          <w:sz w:val="24"/>
          <w:szCs w:val="24"/>
        </w:rPr>
        <w:t xml:space="preserve">oraz </w:t>
      </w:r>
      <w:r w:rsidR="4D8EB2E5" w:rsidRPr="5372851C">
        <w:rPr>
          <w:rFonts w:ascii="Times New Roman" w:eastAsiaTheme="minorEastAsia" w:hAnsi="Times New Roman" w:cs="Times New Roman"/>
          <w:sz w:val="24"/>
          <w:szCs w:val="24"/>
        </w:rPr>
        <w:t>sytuację, w której</w:t>
      </w:r>
      <w:r w:rsidR="5F3F972B" w:rsidRPr="5372851C">
        <w:rPr>
          <w:rFonts w:ascii="Times New Roman" w:eastAsiaTheme="minorEastAsia" w:hAnsi="Times New Roman" w:cs="Times New Roman"/>
          <w:sz w:val="24"/>
          <w:szCs w:val="24"/>
        </w:rPr>
        <w:t xml:space="preserve"> może</w:t>
      </w:r>
      <w:r w:rsidR="4D8EB2E5" w:rsidRPr="5372851C">
        <w:rPr>
          <w:rFonts w:ascii="Times New Roman" w:eastAsiaTheme="minorEastAsia" w:hAnsi="Times New Roman" w:cs="Times New Roman"/>
          <w:sz w:val="24"/>
          <w:szCs w:val="24"/>
        </w:rPr>
        <w:t xml:space="preserve"> odmówić przydziału. </w:t>
      </w:r>
      <w:r w:rsidR="00805650" w:rsidRPr="5372851C">
        <w:rPr>
          <w:rFonts w:ascii="Times New Roman" w:eastAsiaTheme="minorEastAsia" w:hAnsi="Times New Roman" w:cs="Times New Roman"/>
          <w:sz w:val="24"/>
          <w:szCs w:val="24"/>
        </w:rPr>
        <w:t xml:space="preserve">Obligatoryjna odmowa </w:t>
      </w:r>
      <w:r w:rsidR="005E4FB8" w:rsidRPr="5372851C">
        <w:rPr>
          <w:rFonts w:ascii="Times New Roman" w:eastAsiaTheme="minorEastAsia" w:hAnsi="Times New Roman" w:cs="Times New Roman"/>
          <w:sz w:val="24"/>
          <w:szCs w:val="24"/>
        </w:rPr>
        <w:t>przyznania</w:t>
      </w:r>
      <w:r w:rsidR="00805650" w:rsidRPr="5372851C">
        <w:rPr>
          <w:rFonts w:ascii="Times New Roman" w:eastAsiaTheme="minorEastAsia" w:hAnsi="Times New Roman" w:cs="Times New Roman"/>
          <w:sz w:val="24"/>
          <w:szCs w:val="24"/>
        </w:rPr>
        <w:t xml:space="preserve"> </w:t>
      </w:r>
      <w:r w:rsidR="00FE3802" w:rsidRPr="5372851C">
        <w:rPr>
          <w:rFonts w:ascii="Times New Roman" w:eastAsiaTheme="minorEastAsia" w:hAnsi="Times New Roman" w:cs="Times New Roman"/>
          <w:sz w:val="24"/>
          <w:szCs w:val="24"/>
        </w:rPr>
        <w:t>prawa do wykorzystywania zasobów</w:t>
      </w:r>
      <w:r w:rsidR="00805650" w:rsidRPr="5372851C">
        <w:rPr>
          <w:rFonts w:ascii="Times New Roman" w:eastAsiaTheme="minorEastAsia" w:hAnsi="Times New Roman" w:cs="Times New Roman"/>
          <w:sz w:val="24"/>
          <w:szCs w:val="24"/>
        </w:rPr>
        <w:t xml:space="preserve"> numeracji, zgodnie z art. </w:t>
      </w:r>
      <w:r w:rsidR="00C76511" w:rsidRPr="5372851C">
        <w:rPr>
          <w:rFonts w:ascii="Times New Roman" w:eastAsiaTheme="minorEastAsia" w:hAnsi="Times New Roman" w:cs="Times New Roman"/>
          <w:sz w:val="24"/>
          <w:szCs w:val="24"/>
        </w:rPr>
        <w:t>1</w:t>
      </w:r>
      <w:r w:rsidR="00C76511">
        <w:rPr>
          <w:rFonts w:ascii="Times New Roman" w:eastAsiaTheme="minorEastAsia" w:hAnsi="Times New Roman" w:cs="Times New Roman"/>
          <w:sz w:val="24"/>
          <w:szCs w:val="24"/>
        </w:rPr>
        <w:t>6</w:t>
      </w:r>
      <w:r w:rsidR="00C76511" w:rsidRPr="5372851C">
        <w:rPr>
          <w:rFonts w:ascii="Times New Roman" w:eastAsiaTheme="minorEastAsia" w:hAnsi="Times New Roman" w:cs="Times New Roman"/>
          <w:sz w:val="24"/>
          <w:szCs w:val="24"/>
        </w:rPr>
        <w:t xml:space="preserve">0 </w:t>
      </w:r>
      <w:r w:rsidR="015E47FD" w:rsidRPr="5372851C">
        <w:rPr>
          <w:rFonts w:ascii="Times New Roman" w:eastAsiaTheme="minorEastAsia" w:hAnsi="Times New Roman" w:cs="Times New Roman"/>
          <w:sz w:val="24"/>
          <w:szCs w:val="24"/>
        </w:rPr>
        <w:t xml:space="preserve">ust. 1 </w:t>
      </w:r>
      <w:r w:rsidR="00805650" w:rsidRPr="5372851C">
        <w:rPr>
          <w:rFonts w:ascii="Times New Roman" w:eastAsiaTheme="minorEastAsia" w:hAnsi="Times New Roman" w:cs="Times New Roman"/>
          <w:sz w:val="24"/>
          <w:szCs w:val="24"/>
        </w:rPr>
        <w:t xml:space="preserve">następuje w przypadku, gdy przeznaczenie numeracji nie jest zgodne z PNK. </w:t>
      </w:r>
      <w:r w:rsidR="0A95C5A2" w:rsidRPr="5372851C">
        <w:rPr>
          <w:rFonts w:ascii="Times New Roman" w:eastAsiaTheme="minorEastAsia" w:hAnsi="Times New Roman" w:cs="Times New Roman"/>
          <w:sz w:val="24"/>
          <w:szCs w:val="24"/>
        </w:rPr>
        <w:t>Zgodnie z ust.</w:t>
      </w:r>
      <w:r w:rsidR="00805650" w:rsidRPr="5372851C">
        <w:rPr>
          <w:rFonts w:ascii="Times New Roman" w:eastAsiaTheme="minorEastAsia" w:hAnsi="Times New Roman" w:cs="Times New Roman"/>
          <w:sz w:val="24"/>
          <w:szCs w:val="24"/>
        </w:rPr>
        <w:t xml:space="preserve"> 2 Prezes UKE może odmówić </w:t>
      </w:r>
      <w:r w:rsidR="00FE3802" w:rsidRPr="5372851C">
        <w:rPr>
          <w:rFonts w:ascii="Times New Roman" w:eastAsiaTheme="minorEastAsia" w:hAnsi="Times New Roman" w:cs="Times New Roman"/>
          <w:sz w:val="24"/>
          <w:szCs w:val="24"/>
        </w:rPr>
        <w:t>prawa do wykorzystywania nowego zakresu numeracji</w:t>
      </w:r>
      <w:r w:rsidR="00805650" w:rsidRPr="5372851C">
        <w:rPr>
          <w:rFonts w:ascii="Times New Roman" w:eastAsiaTheme="minorEastAsia" w:hAnsi="Times New Roman" w:cs="Times New Roman"/>
          <w:sz w:val="24"/>
          <w:szCs w:val="24"/>
        </w:rPr>
        <w:t xml:space="preserve"> </w:t>
      </w:r>
      <w:r w:rsidR="400AD45E" w:rsidRPr="5372851C">
        <w:rPr>
          <w:rFonts w:ascii="Times New Roman" w:eastAsiaTheme="minorEastAsia" w:hAnsi="Times New Roman" w:cs="Times New Roman"/>
          <w:sz w:val="24"/>
          <w:szCs w:val="24"/>
        </w:rPr>
        <w:t>w p</w:t>
      </w:r>
      <w:r w:rsidR="2E0F2597" w:rsidRPr="5372851C">
        <w:rPr>
          <w:rFonts w:ascii="Times New Roman" w:eastAsiaTheme="minorEastAsia" w:hAnsi="Times New Roman" w:cs="Times New Roman"/>
          <w:sz w:val="24"/>
          <w:szCs w:val="24"/>
        </w:rPr>
        <w:t xml:space="preserve">rzypadku </w:t>
      </w:r>
      <w:r w:rsidR="00805650" w:rsidRPr="5372851C">
        <w:rPr>
          <w:rFonts w:ascii="Times New Roman" w:eastAsiaTheme="minorEastAsia" w:hAnsi="Times New Roman" w:cs="Times New Roman"/>
          <w:sz w:val="24"/>
          <w:szCs w:val="24"/>
        </w:rPr>
        <w:t>nieefektywnego wykorzystywania przydzielonej wcześniej numeracji</w:t>
      </w:r>
      <w:r w:rsidR="63CF40BA" w:rsidRPr="5372851C">
        <w:rPr>
          <w:rFonts w:ascii="Times New Roman" w:eastAsiaTheme="minorEastAsia" w:hAnsi="Times New Roman" w:cs="Times New Roman"/>
          <w:sz w:val="24"/>
          <w:szCs w:val="24"/>
        </w:rPr>
        <w:t xml:space="preserve"> (wykorzystanie mniej niż 75% </w:t>
      </w:r>
      <w:r w:rsidR="00FE3802" w:rsidRPr="5372851C">
        <w:rPr>
          <w:rFonts w:ascii="Times New Roman" w:eastAsiaTheme="minorEastAsia" w:hAnsi="Times New Roman" w:cs="Times New Roman"/>
          <w:sz w:val="24"/>
          <w:szCs w:val="24"/>
        </w:rPr>
        <w:t xml:space="preserve">wszystkich </w:t>
      </w:r>
      <w:r w:rsidR="63CF40BA" w:rsidRPr="5372851C">
        <w:rPr>
          <w:rFonts w:ascii="Times New Roman" w:eastAsiaTheme="minorEastAsia" w:hAnsi="Times New Roman" w:cs="Times New Roman"/>
          <w:sz w:val="24"/>
          <w:szCs w:val="24"/>
        </w:rPr>
        <w:t xml:space="preserve">przyznanych wcześniej </w:t>
      </w:r>
      <w:r w:rsidR="00C76511" w:rsidRPr="5372851C">
        <w:rPr>
          <w:rFonts w:ascii="Times New Roman" w:eastAsiaTheme="minorEastAsia" w:hAnsi="Times New Roman" w:cs="Times New Roman"/>
          <w:sz w:val="24"/>
          <w:szCs w:val="24"/>
        </w:rPr>
        <w:t>za</w:t>
      </w:r>
      <w:r w:rsidR="00C76511">
        <w:rPr>
          <w:rFonts w:ascii="Times New Roman" w:eastAsiaTheme="minorEastAsia" w:hAnsi="Times New Roman" w:cs="Times New Roman"/>
          <w:sz w:val="24"/>
          <w:szCs w:val="24"/>
        </w:rPr>
        <w:t>kresów</w:t>
      </w:r>
      <w:r w:rsidR="00C76511" w:rsidRPr="5372851C">
        <w:rPr>
          <w:rFonts w:ascii="Times New Roman" w:eastAsiaTheme="minorEastAsia" w:hAnsi="Times New Roman" w:cs="Times New Roman"/>
          <w:sz w:val="24"/>
          <w:szCs w:val="24"/>
        </w:rPr>
        <w:t xml:space="preserve"> </w:t>
      </w:r>
      <w:r w:rsidR="63CF40BA" w:rsidRPr="5372851C">
        <w:rPr>
          <w:rFonts w:ascii="Times New Roman" w:eastAsiaTheme="minorEastAsia" w:hAnsi="Times New Roman" w:cs="Times New Roman"/>
          <w:sz w:val="24"/>
          <w:szCs w:val="24"/>
        </w:rPr>
        <w:t>numeracji</w:t>
      </w:r>
      <w:r w:rsidR="00FE3802" w:rsidRPr="5372851C">
        <w:rPr>
          <w:rFonts w:ascii="Times New Roman" w:eastAsiaTheme="minorEastAsia" w:hAnsi="Times New Roman" w:cs="Times New Roman"/>
          <w:sz w:val="24"/>
          <w:szCs w:val="24"/>
        </w:rPr>
        <w:t xml:space="preserve"> lub wykorzystanie mniej niż 75% przyznanych wcześniej </w:t>
      </w:r>
      <w:r w:rsidR="00C76511" w:rsidRPr="5372851C">
        <w:rPr>
          <w:rFonts w:ascii="Times New Roman" w:eastAsiaTheme="minorEastAsia" w:hAnsi="Times New Roman" w:cs="Times New Roman"/>
          <w:sz w:val="24"/>
          <w:szCs w:val="24"/>
        </w:rPr>
        <w:t>za</w:t>
      </w:r>
      <w:r w:rsidR="00C76511">
        <w:rPr>
          <w:rFonts w:ascii="Times New Roman" w:eastAsiaTheme="minorEastAsia" w:hAnsi="Times New Roman" w:cs="Times New Roman"/>
          <w:sz w:val="24"/>
          <w:szCs w:val="24"/>
        </w:rPr>
        <w:t>kresów</w:t>
      </w:r>
      <w:r w:rsidR="00C76511" w:rsidRPr="5372851C">
        <w:rPr>
          <w:rFonts w:ascii="Times New Roman" w:eastAsiaTheme="minorEastAsia" w:hAnsi="Times New Roman" w:cs="Times New Roman"/>
          <w:sz w:val="24"/>
          <w:szCs w:val="24"/>
        </w:rPr>
        <w:t xml:space="preserve"> </w:t>
      </w:r>
      <w:r w:rsidR="00FE3802" w:rsidRPr="5372851C">
        <w:rPr>
          <w:rFonts w:ascii="Times New Roman" w:eastAsiaTheme="minorEastAsia" w:hAnsi="Times New Roman" w:cs="Times New Roman"/>
          <w:sz w:val="24"/>
          <w:szCs w:val="24"/>
        </w:rPr>
        <w:t>numeracji w ramach tego samego wyróżnika sieci lub wskaźnika strefy numeracyjnej, z którego podmiot wnioskujący chce otrzymać kolejny przydział</w:t>
      </w:r>
      <w:r w:rsidR="63CF40BA" w:rsidRPr="5372851C">
        <w:rPr>
          <w:rFonts w:ascii="Times New Roman" w:eastAsiaTheme="minorEastAsia" w:hAnsi="Times New Roman" w:cs="Times New Roman"/>
          <w:sz w:val="24"/>
          <w:szCs w:val="24"/>
        </w:rPr>
        <w:t>)</w:t>
      </w:r>
      <w:r w:rsidR="00805650" w:rsidRPr="5372851C">
        <w:rPr>
          <w:rFonts w:ascii="Times New Roman" w:eastAsiaTheme="minorEastAsia" w:hAnsi="Times New Roman" w:cs="Times New Roman"/>
          <w:sz w:val="24"/>
          <w:szCs w:val="24"/>
        </w:rPr>
        <w:t xml:space="preserve">. </w:t>
      </w:r>
    </w:p>
    <w:p w14:paraId="3B995EA7" w14:textId="616E83E0" w:rsidR="44D74F05" w:rsidRPr="003A42FB" w:rsidRDefault="44D74F0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C76511" w:rsidRPr="003A42FB">
        <w:rPr>
          <w:rFonts w:ascii="Times New Roman" w:eastAsiaTheme="minorEastAsia" w:hAnsi="Times New Roman" w:cs="Times New Roman"/>
          <w:b/>
          <w:bCs/>
          <w:sz w:val="24"/>
          <w:szCs w:val="24"/>
        </w:rPr>
        <w:t>1</w:t>
      </w:r>
      <w:r w:rsidR="00C76511">
        <w:rPr>
          <w:rFonts w:ascii="Times New Roman" w:eastAsiaTheme="minorEastAsia" w:hAnsi="Times New Roman" w:cs="Times New Roman"/>
          <w:b/>
          <w:bCs/>
          <w:sz w:val="24"/>
          <w:szCs w:val="24"/>
        </w:rPr>
        <w:t>6</w:t>
      </w:r>
      <w:r w:rsidR="00C76511" w:rsidRPr="003A42FB">
        <w:rPr>
          <w:rFonts w:ascii="Times New Roman" w:eastAsiaTheme="minorEastAsia" w:hAnsi="Times New Roman" w:cs="Times New Roman"/>
          <w:b/>
          <w:bCs/>
          <w:sz w:val="24"/>
          <w:szCs w:val="24"/>
        </w:rPr>
        <w:t xml:space="preserve">1 </w:t>
      </w:r>
      <w:r w:rsidR="006C4477" w:rsidRPr="003A42FB">
        <w:rPr>
          <w:rFonts w:ascii="Times New Roman" w:eastAsiaTheme="minorEastAsia" w:hAnsi="Times New Roman" w:cs="Times New Roman"/>
          <w:b/>
          <w:bCs/>
          <w:sz w:val="24"/>
          <w:szCs w:val="24"/>
        </w:rPr>
        <w:t>– cofnięcie i zmiana zakresu prawa do wykorzystywania numeracji</w:t>
      </w:r>
    </w:p>
    <w:p w14:paraId="2AABBE55" w14:textId="36605AD6" w:rsidR="00805650" w:rsidRPr="003A42FB" w:rsidRDefault="00805650"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Uprawnienia Prezesa UKE w zakresie gospodarowania numeracją odnoszą się nie tylko do decyzji w zakresie przydziału lub odmowy przydziału</w:t>
      </w:r>
      <w:r w:rsidR="6DDF62DB" w:rsidRPr="5372851C">
        <w:rPr>
          <w:rFonts w:ascii="Times New Roman" w:eastAsiaTheme="minorEastAsia" w:hAnsi="Times New Roman" w:cs="Times New Roman"/>
          <w:sz w:val="24"/>
          <w:szCs w:val="24"/>
        </w:rPr>
        <w:t xml:space="preserve"> zasobów numeracji</w:t>
      </w:r>
      <w:r w:rsidRPr="5372851C">
        <w:rPr>
          <w:rFonts w:ascii="Times New Roman" w:eastAsiaTheme="minorEastAsia" w:hAnsi="Times New Roman" w:cs="Times New Roman"/>
          <w:sz w:val="24"/>
          <w:szCs w:val="24"/>
        </w:rPr>
        <w:t xml:space="preserve">, ale również kontroli wykorzystywania już przydzielonej numeracji. Prezes UKE może w drodze decyzji cofnąć lub zmienić zakres </w:t>
      </w:r>
      <w:r w:rsidR="0F112265" w:rsidRPr="5372851C">
        <w:rPr>
          <w:rFonts w:ascii="Times New Roman" w:eastAsiaTheme="minorEastAsia" w:hAnsi="Times New Roman" w:cs="Times New Roman"/>
          <w:sz w:val="24"/>
          <w:szCs w:val="24"/>
        </w:rPr>
        <w:t>prawa do wykorzystywania zasobów numeracji</w:t>
      </w:r>
      <w:r w:rsidRPr="5372851C">
        <w:rPr>
          <w:rFonts w:ascii="Times New Roman" w:eastAsiaTheme="minorEastAsia" w:hAnsi="Times New Roman" w:cs="Times New Roman"/>
          <w:sz w:val="24"/>
          <w:szCs w:val="24"/>
        </w:rPr>
        <w:t xml:space="preserve">. Przesłanki cofnięcia </w:t>
      </w:r>
      <w:r w:rsidR="00FE3802" w:rsidRPr="5372851C">
        <w:rPr>
          <w:rFonts w:ascii="Times New Roman" w:eastAsiaTheme="minorEastAsia" w:hAnsi="Times New Roman" w:cs="Times New Roman"/>
          <w:sz w:val="24"/>
          <w:szCs w:val="24"/>
        </w:rPr>
        <w:t>prawa do wykorzystywania zasobów</w:t>
      </w:r>
      <w:r w:rsidRPr="5372851C">
        <w:rPr>
          <w:rFonts w:ascii="Times New Roman" w:eastAsiaTheme="minorEastAsia" w:hAnsi="Times New Roman" w:cs="Times New Roman"/>
          <w:sz w:val="24"/>
          <w:szCs w:val="24"/>
        </w:rPr>
        <w:t xml:space="preserve"> numeracji lub zmiany jego zakresu określa art. </w:t>
      </w:r>
      <w:r w:rsidR="0015385A" w:rsidRPr="5372851C">
        <w:rPr>
          <w:rFonts w:ascii="Times New Roman" w:eastAsiaTheme="minorEastAsia" w:hAnsi="Times New Roman" w:cs="Times New Roman"/>
          <w:sz w:val="24"/>
          <w:szCs w:val="24"/>
        </w:rPr>
        <w:t>1</w:t>
      </w:r>
      <w:r w:rsidR="0015385A">
        <w:rPr>
          <w:rFonts w:ascii="Times New Roman" w:eastAsiaTheme="minorEastAsia" w:hAnsi="Times New Roman" w:cs="Times New Roman"/>
          <w:sz w:val="24"/>
          <w:szCs w:val="24"/>
        </w:rPr>
        <w:t>6</w:t>
      </w:r>
      <w:r w:rsidR="0015385A" w:rsidRPr="5372851C">
        <w:rPr>
          <w:rFonts w:ascii="Times New Roman" w:eastAsiaTheme="minorEastAsia" w:hAnsi="Times New Roman" w:cs="Times New Roman"/>
          <w:sz w:val="24"/>
          <w:szCs w:val="24"/>
        </w:rPr>
        <w:t xml:space="preserve">1 </w:t>
      </w:r>
      <w:r w:rsidRPr="5372851C">
        <w:rPr>
          <w:rFonts w:ascii="Times New Roman" w:eastAsiaTheme="minorEastAsia" w:hAnsi="Times New Roman" w:cs="Times New Roman"/>
          <w:sz w:val="24"/>
          <w:szCs w:val="24"/>
        </w:rPr>
        <w:t>wskazując na zmiany w PNK, nieefektywne lub niezgodne z warunkami przydziału wykorzystywanie przyznanej numeracji</w:t>
      </w:r>
      <w:r w:rsidR="00FE3802" w:rsidRPr="5372851C">
        <w:rPr>
          <w:rFonts w:ascii="Times New Roman" w:eastAsiaTheme="minorEastAsia" w:hAnsi="Times New Roman" w:cs="Times New Roman"/>
          <w:sz w:val="24"/>
          <w:szCs w:val="24"/>
        </w:rPr>
        <w:t xml:space="preserve"> oraz </w:t>
      </w:r>
      <w:r w:rsidRPr="5372851C">
        <w:rPr>
          <w:rFonts w:ascii="Times New Roman" w:eastAsiaTheme="minorEastAsia" w:hAnsi="Times New Roman" w:cs="Times New Roman"/>
          <w:sz w:val="24"/>
          <w:szCs w:val="24"/>
        </w:rPr>
        <w:t xml:space="preserve">niewnoszenie opłat za prawo do wykorzystywania </w:t>
      </w:r>
      <w:r w:rsidR="582D0E26" w:rsidRPr="5372851C">
        <w:rPr>
          <w:rFonts w:ascii="Times New Roman" w:eastAsiaTheme="minorEastAsia" w:hAnsi="Times New Roman" w:cs="Times New Roman"/>
          <w:sz w:val="24"/>
          <w:szCs w:val="24"/>
        </w:rPr>
        <w:t xml:space="preserve">zasobów </w:t>
      </w:r>
      <w:r w:rsidRPr="5372851C">
        <w:rPr>
          <w:rFonts w:ascii="Times New Roman" w:eastAsiaTheme="minorEastAsia" w:hAnsi="Times New Roman" w:cs="Times New Roman"/>
          <w:sz w:val="24"/>
          <w:szCs w:val="24"/>
        </w:rPr>
        <w:t>numeracji</w:t>
      </w:r>
      <w:r w:rsidR="007D543B" w:rsidRPr="5372851C">
        <w:rPr>
          <w:rFonts w:ascii="Times New Roman" w:eastAsiaTheme="minorEastAsia" w:hAnsi="Times New Roman" w:cs="Times New Roman"/>
          <w:sz w:val="24"/>
          <w:szCs w:val="24"/>
        </w:rPr>
        <w:t xml:space="preserve"> (ust. 1)</w:t>
      </w:r>
      <w:r w:rsidR="00FE3802" w:rsidRPr="5372851C">
        <w:rPr>
          <w:rFonts w:ascii="Times New Roman" w:eastAsiaTheme="minorEastAsia" w:hAnsi="Times New Roman" w:cs="Times New Roman"/>
          <w:sz w:val="24"/>
          <w:szCs w:val="24"/>
        </w:rPr>
        <w:t xml:space="preserve">. </w:t>
      </w:r>
      <w:r w:rsidR="73463F4C" w:rsidRPr="5372851C">
        <w:rPr>
          <w:rFonts w:ascii="Times New Roman" w:eastAsiaTheme="minorEastAsia" w:hAnsi="Times New Roman" w:cs="Times New Roman"/>
          <w:sz w:val="24"/>
          <w:szCs w:val="24"/>
        </w:rPr>
        <w:t xml:space="preserve"> </w:t>
      </w:r>
      <w:r w:rsidR="00FE3802" w:rsidRPr="5372851C">
        <w:rPr>
          <w:rFonts w:ascii="Times New Roman" w:eastAsiaTheme="minorEastAsia" w:hAnsi="Times New Roman" w:cs="Times New Roman"/>
          <w:sz w:val="24"/>
          <w:szCs w:val="24"/>
        </w:rPr>
        <w:t xml:space="preserve">Prezes UKE może cofnąć prawo do wykorzystywania zasobów numeracji </w:t>
      </w:r>
      <w:r w:rsidR="003067F6" w:rsidRPr="5372851C">
        <w:rPr>
          <w:rFonts w:ascii="Times New Roman" w:eastAsiaTheme="minorEastAsia" w:hAnsi="Times New Roman" w:cs="Times New Roman"/>
          <w:sz w:val="24"/>
          <w:szCs w:val="24"/>
        </w:rPr>
        <w:t xml:space="preserve">również w przypadku </w:t>
      </w:r>
      <w:r w:rsidR="73463F4C" w:rsidRPr="5372851C">
        <w:rPr>
          <w:rFonts w:ascii="Times New Roman" w:eastAsiaTheme="minorEastAsia" w:hAnsi="Times New Roman" w:cs="Times New Roman"/>
          <w:sz w:val="24"/>
          <w:szCs w:val="24"/>
        </w:rPr>
        <w:t>stwierdzeni</w:t>
      </w:r>
      <w:r w:rsidR="003067F6" w:rsidRPr="5372851C">
        <w:rPr>
          <w:rFonts w:ascii="Times New Roman" w:eastAsiaTheme="minorEastAsia" w:hAnsi="Times New Roman" w:cs="Times New Roman"/>
          <w:sz w:val="24"/>
          <w:szCs w:val="24"/>
        </w:rPr>
        <w:t>a</w:t>
      </w:r>
      <w:r w:rsidR="73463F4C" w:rsidRPr="5372851C">
        <w:rPr>
          <w:rFonts w:ascii="Times New Roman" w:eastAsiaTheme="minorEastAsia" w:hAnsi="Times New Roman" w:cs="Times New Roman"/>
          <w:sz w:val="24"/>
          <w:szCs w:val="24"/>
        </w:rPr>
        <w:t xml:space="preserve"> </w:t>
      </w:r>
      <w:r w:rsidR="00860333" w:rsidRPr="5372851C">
        <w:rPr>
          <w:rFonts w:ascii="Times New Roman" w:eastAsiaTheme="minorEastAsia" w:hAnsi="Times New Roman" w:cs="Times New Roman"/>
          <w:sz w:val="24"/>
          <w:szCs w:val="24"/>
        </w:rPr>
        <w:t xml:space="preserve">bezpośredniego </w:t>
      </w:r>
      <w:r w:rsidR="00860333" w:rsidRPr="5372851C">
        <w:rPr>
          <w:rFonts w:ascii="Times New Roman" w:eastAsia="Times New Roman" w:hAnsi="Times New Roman" w:cs="Times New Roman"/>
          <w:sz w:val="24"/>
          <w:szCs w:val="24"/>
        </w:rPr>
        <w:t xml:space="preserve">zagrożenia w krótkim czasie </w:t>
      </w:r>
      <w:r w:rsidR="73463F4C" w:rsidRPr="5372851C">
        <w:rPr>
          <w:rFonts w:ascii="Times New Roman" w:eastAsia="Times New Roman" w:hAnsi="Times New Roman" w:cs="Times New Roman"/>
          <w:sz w:val="24"/>
          <w:szCs w:val="24"/>
        </w:rPr>
        <w:t>naruszenia interoperacyjności lub ciągłości świadczenia usług telekomunikacyjnych</w:t>
      </w:r>
      <w:r w:rsidR="00D008A2" w:rsidRPr="5372851C">
        <w:rPr>
          <w:rFonts w:ascii="Times New Roman" w:eastAsia="Times New Roman" w:hAnsi="Times New Roman" w:cs="Times New Roman"/>
          <w:sz w:val="24"/>
          <w:szCs w:val="24"/>
        </w:rPr>
        <w:t xml:space="preserve"> albo</w:t>
      </w:r>
      <w:r w:rsidR="003067F6" w:rsidRPr="5372851C">
        <w:rPr>
          <w:rFonts w:ascii="Times New Roman" w:eastAsia="Times New Roman" w:hAnsi="Times New Roman" w:cs="Times New Roman"/>
          <w:sz w:val="24"/>
          <w:szCs w:val="24"/>
        </w:rPr>
        <w:t xml:space="preserve"> w przypadku</w:t>
      </w:r>
      <w:r w:rsidR="00D008A2" w:rsidRPr="5372851C">
        <w:rPr>
          <w:rFonts w:ascii="Times New Roman" w:eastAsia="Times New Roman" w:hAnsi="Times New Roman" w:cs="Times New Roman"/>
          <w:sz w:val="24"/>
          <w:szCs w:val="24"/>
        </w:rPr>
        <w:t xml:space="preserve"> jeśli naruszenie takie wystąpiło</w:t>
      </w:r>
      <w:r w:rsidR="007D543B" w:rsidRPr="5372851C">
        <w:rPr>
          <w:rFonts w:ascii="Times New Roman" w:eastAsia="Times New Roman" w:hAnsi="Times New Roman" w:cs="Times New Roman"/>
          <w:sz w:val="24"/>
          <w:szCs w:val="24"/>
        </w:rPr>
        <w:t xml:space="preserve"> (ust. 2)</w:t>
      </w:r>
      <w:r w:rsidRPr="5372851C">
        <w:rPr>
          <w:rFonts w:ascii="Times New Roman" w:eastAsiaTheme="minorEastAsia" w:hAnsi="Times New Roman" w:cs="Times New Roman"/>
          <w:sz w:val="24"/>
          <w:szCs w:val="24"/>
        </w:rPr>
        <w:t xml:space="preserve">. </w:t>
      </w:r>
      <w:r w:rsidR="005708C7" w:rsidRPr="5372851C">
        <w:rPr>
          <w:rFonts w:ascii="Times New Roman" w:eastAsiaTheme="minorEastAsia" w:hAnsi="Times New Roman" w:cs="Times New Roman"/>
          <w:sz w:val="24"/>
          <w:szCs w:val="24"/>
        </w:rPr>
        <w:t>Zagrożenie naruszenia interoperacyjności lub ciągłości świadczenia usług zachodzić będzie w szczególności w przypadku upadłości dostawcy usług</w:t>
      </w:r>
      <w:r w:rsidR="006C4477" w:rsidRPr="5372851C">
        <w:rPr>
          <w:rFonts w:ascii="Times New Roman" w:eastAsiaTheme="minorEastAsia" w:hAnsi="Times New Roman" w:cs="Times New Roman"/>
          <w:sz w:val="24"/>
          <w:szCs w:val="24"/>
        </w:rPr>
        <w:t xml:space="preserve"> skutkującej brakiem możliwości świadczenia usług abonentom.</w:t>
      </w:r>
    </w:p>
    <w:p w14:paraId="4AD9AB7F" w14:textId="3249020E" w:rsidR="005708C7" w:rsidRPr="003A42FB" w:rsidRDefault="74140D10"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C</w:t>
      </w:r>
      <w:r w:rsidR="00805650" w:rsidRPr="5372851C">
        <w:rPr>
          <w:rFonts w:ascii="Times New Roman" w:eastAsiaTheme="minorEastAsia" w:hAnsi="Times New Roman" w:cs="Times New Roman"/>
          <w:sz w:val="24"/>
          <w:szCs w:val="24"/>
        </w:rPr>
        <w:t xml:space="preserve">ofnięcie lub zmiana przydziału powinny być poprzedzone wezwaniem do usunięcia przyczyn stwierdzonych nieprawidłowości (ust. </w:t>
      </w:r>
      <w:r w:rsidR="0015385A">
        <w:rPr>
          <w:rFonts w:ascii="Times New Roman" w:eastAsiaTheme="minorEastAsia" w:hAnsi="Times New Roman" w:cs="Times New Roman"/>
          <w:sz w:val="24"/>
          <w:szCs w:val="24"/>
        </w:rPr>
        <w:t>5</w:t>
      </w:r>
      <w:r w:rsidR="0015385A" w:rsidRPr="5372851C">
        <w:rPr>
          <w:rFonts w:ascii="Times New Roman" w:eastAsiaTheme="minorEastAsia" w:hAnsi="Times New Roman" w:cs="Times New Roman"/>
          <w:sz w:val="24"/>
          <w:szCs w:val="24"/>
        </w:rPr>
        <w:t xml:space="preserve"> </w:t>
      </w:r>
      <w:r w:rsidR="00805650" w:rsidRPr="5372851C">
        <w:rPr>
          <w:rFonts w:ascii="Times New Roman" w:eastAsiaTheme="minorEastAsia" w:hAnsi="Times New Roman" w:cs="Times New Roman"/>
          <w:sz w:val="24"/>
          <w:szCs w:val="24"/>
        </w:rPr>
        <w:t>pkt 2). Jednocześnie decyzja o cofnięciu lub zmianie pr</w:t>
      </w:r>
      <w:r w:rsidR="147684E3" w:rsidRPr="5372851C">
        <w:rPr>
          <w:rFonts w:ascii="Times New Roman" w:eastAsiaTheme="minorEastAsia" w:hAnsi="Times New Roman" w:cs="Times New Roman"/>
          <w:sz w:val="24"/>
          <w:szCs w:val="24"/>
        </w:rPr>
        <w:t xml:space="preserve">awa do wykorzystywania zasobów numeracji </w:t>
      </w:r>
      <w:r w:rsidR="0ECEB467" w:rsidRPr="5372851C">
        <w:rPr>
          <w:rFonts w:ascii="Times New Roman" w:eastAsiaTheme="minorEastAsia" w:hAnsi="Times New Roman" w:cs="Times New Roman"/>
          <w:sz w:val="24"/>
          <w:szCs w:val="24"/>
        </w:rPr>
        <w:t xml:space="preserve">powinna </w:t>
      </w:r>
      <w:r w:rsidR="00D30869" w:rsidRPr="5372851C">
        <w:rPr>
          <w:rFonts w:ascii="Times New Roman" w:eastAsiaTheme="minorEastAsia" w:hAnsi="Times New Roman" w:cs="Times New Roman"/>
          <w:sz w:val="24"/>
          <w:szCs w:val="24"/>
        </w:rPr>
        <w:t>uwzględniać konieczność zachowania</w:t>
      </w:r>
      <w:r w:rsidR="0ECEB467" w:rsidRPr="5372851C">
        <w:rPr>
          <w:rFonts w:ascii="Times New Roman" w:eastAsiaTheme="minorEastAsia" w:hAnsi="Times New Roman" w:cs="Times New Roman"/>
          <w:sz w:val="24"/>
          <w:szCs w:val="24"/>
        </w:rPr>
        <w:t xml:space="preserve"> interoperacyjności </w:t>
      </w:r>
      <w:r w:rsidR="555F52A9" w:rsidRPr="5372851C">
        <w:rPr>
          <w:rFonts w:ascii="Times New Roman" w:eastAsiaTheme="minorEastAsia" w:hAnsi="Times New Roman" w:cs="Times New Roman"/>
          <w:sz w:val="24"/>
          <w:szCs w:val="24"/>
        </w:rPr>
        <w:t xml:space="preserve">i </w:t>
      </w:r>
      <w:r w:rsidR="00805650" w:rsidRPr="5372851C">
        <w:rPr>
          <w:rFonts w:ascii="Times New Roman" w:eastAsiaTheme="minorEastAsia" w:hAnsi="Times New Roman" w:cs="Times New Roman"/>
          <w:sz w:val="24"/>
          <w:szCs w:val="24"/>
        </w:rPr>
        <w:t xml:space="preserve">ciągłości świadczenia usług (ust. </w:t>
      </w:r>
      <w:r w:rsidR="0015385A">
        <w:rPr>
          <w:rFonts w:ascii="Times New Roman" w:eastAsiaTheme="minorEastAsia" w:hAnsi="Times New Roman" w:cs="Times New Roman"/>
          <w:sz w:val="24"/>
          <w:szCs w:val="24"/>
        </w:rPr>
        <w:t>5</w:t>
      </w:r>
      <w:r w:rsidR="0015385A" w:rsidRPr="5372851C">
        <w:rPr>
          <w:rFonts w:ascii="Times New Roman" w:eastAsiaTheme="minorEastAsia" w:hAnsi="Times New Roman" w:cs="Times New Roman"/>
          <w:sz w:val="24"/>
          <w:szCs w:val="24"/>
        </w:rPr>
        <w:t xml:space="preserve"> </w:t>
      </w:r>
      <w:r w:rsidR="00805650" w:rsidRPr="5372851C">
        <w:rPr>
          <w:rFonts w:ascii="Times New Roman" w:eastAsiaTheme="minorEastAsia" w:hAnsi="Times New Roman" w:cs="Times New Roman"/>
          <w:sz w:val="24"/>
          <w:szCs w:val="24"/>
        </w:rPr>
        <w:t>pkt 1).</w:t>
      </w:r>
      <w:r w:rsidR="2FC82435" w:rsidRPr="5372851C">
        <w:rPr>
          <w:rFonts w:ascii="Times New Roman" w:eastAsiaTheme="minorEastAsia" w:hAnsi="Times New Roman" w:cs="Times New Roman"/>
          <w:sz w:val="24"/>
          <w:szCs w:val="24"/>
        </w:rPr>
        <w:t xml:space="preserve"> </w:t>
      </w:r>
      <w:r w:rsidR="005708C7" w:rsidRPr="5372851C">
        <w:rPr>
          <w:rFonts w:ascii="Times New Roman" w:eastAsiaTheme="minorEastAsia" w:hAnsi="Times New Roman" w:cs="Times New Roman"/>
          <w:sz w:val="24"/>
          <w:szCs w:val="24"/>
        </w:rPr>
        <w:t xml:space="preserve">Przed wydaniem decyzji w sprawie cofnięcia prawa do wykorzystywania zasobów numeracji lub zmiany zakresu prawa do </w:t>
      </w:r>
      <w:r w:rsidR="005708C7" w:rsidRPr="5372851C">
        <w:rPr>
          <w:rFonts w:ascii="Times New Roman" w:eastAsiaTheme="minorEastAsia" w:hAnsi="Times New Roman" w:cs="Times New Roman"/>
          <w:sz w:val="24"/>
          <w:szCs w:val="24"/>
        </w:rPr>
        <w:lastRenderedPageBreak/>
        <w:t xml:space="preserve">wykorzystywania zasobów numeracji prowadzącej do ograniczenia tego prawa Prezes UKE przeprowadza postępowanie konsultacyjne. Obowiązek przeprowadzenia postępowania konsultacyjnego nie dotyczy przypadku cofnięcia prawa do wykorzystywania zasobów numeracji </w:t>
      </w:r>
      <w:r w:rsidR="007D543B" w:rsidRPr="5372851C">
        <w:rPr>
          <w:rFonts w:ascii="Times New Roman" w:eastAsiaTheme="minorEastAsia" w:hAnsi="Times New Roman" w:cs="Times New Roman"/>
          <w:sz w:val="24"/>
          <w:szCs w:val="24"/>
        </w:rPr>
        <w:t xml:space="preserve">z uwagi na bezpośrednie zagrożenie naruszenia </w:t>
      </w:r>
      <w:r w:rsidR="00F13920" w:rsidRPr="5372851C">
        <w:rPr>
          <w:rFonts w:ascii="Times New Roman" w:eastAsiaTheme="minorEastAsia" w:hAnsi="Times New Roman" w:cs="Times New Roman"/>
          <w:sz w:val="24"/>
          <w:szCs w:val="24"/>
        </w:rPr>
        <w:t xml:space="preserve">w krótkim czasie interoperacyjności lub ciągłości świadczenia usług telekomunikacyjnych </w:t>
      </w:r>
      <w:r w:rsidR="005708C7" w:rsidRPr="5372851C">
        <w:rPr>
          <w:rFonts w:ascii="Times New Roman" w:eastAsiaTheme="minorEastAsia" w:hAnsi="Times New Roman" w:cs="Times New Roman"/>
          <w:sz w:val="24"/>
          <w:szCs w:val="24"/>
        </w:rPr>
        <w:t>wymagającego pilnego działania Prezesa UKE</w:t>
      </w:r>
      <w:r w:rsidR="00F13920" w:rsidRPr="5372851C">
        <w:rPr>
          <w:rFonts w:ascii="Times New Roman" w:eastAsiaTheme="minorEastAsia" w:hAnsi="Times New Roman" w:cs="Times New Roman"/>
          <w:sz w:val="24"/>
          <w:szCs w:val="24"/>
        </w:rPr>
        <w:t xml:space="preserve"> np. gdy dostawca usług ogłosił upadłość i zaprzestał świadczenia usług swoim abonentom</w:t>
      </w:r>
      <w:r w:rsidR="005708C7" w:rsidRPr="5372851C">
        <w:rPr>
          <w:rFonts w:ascii="Times New Roman" w:eastAsiaTheme="minorEastAsia" w:hAnsi="Times New Roman" w:cs="Times New Roman"/>
          <w:sz w:val="24"/>
          <w:szCs w:val="24"/>
        </w:rPr>
        <w:t>.</w:t>
      </w:r>
      <w:r w:rsidR="00F13920" w:rsidRPr="5372851C">
        <w:rPr>
          <w:rFonts w:ascii="Times New Roman" w:eastAsiaTheme="minorEastAsia" w:hAnsi="Times New Roman" w:cs="Times New Roman"/>
          <w:sz w:val="24"/>
          <w:szCs w:val="24"/>
        </w:rPr>
        <w:t xml:space="preserve"> W takiej sytuacji przeprowadzenie postępowania konsultacyjnego znacząco opóźniłoby podjęcie przez Prezesa UKE działań zmierzających do przydziału numeracji innemu dostawcy usług, a tym samym utrzymania ciągłości </w:t>
      </w:r>
      <w:r w:rsidR="007D543B" w:rsidRPr="5372851C">
        <w:rPr>
          <w:rFonts w:ascii="Times New Roman" w:eastAsiaTheme="minorEastAsia" w:hAnsi="Times New Roman" w:cs="Times New Roman"/>
          <w:sz w:val="24"/>
          <w:szCs w:val="24"/>
        </w:rPr>
        <w:t>usług</w:t>
      </w:r>
      <w:r w:rsidR="00F13920" w:rsidRPr="5372851C">
        <w:rPr>
          <w:rFonts w:ascii="Times New Roman" w:eastAsiaTheme="minorEastAsia" w:hAnsi="Times New Roman" w:cs="Times New Roman"/>
          <w:sz w:val="24"/>
          <w:szCs w:val="24"/>
        </w:rPr>
        <w:t xml:space="preserve"> lub szybkiego przywrócenia usług abonentom przedsiębiorcy będącego w stanie upadłości.</w:t>
      </w:r>
    </w:p>
    <w:p w14:paraId="10661AB6" w14:textId="7B3F7817" w:rsidR="00F13920" w:rsidRPr="003A42FB" w:rsidRDefault="49167F88"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ustępie </w:t>
      </w:r>
      <w:r w:rsidR="00F13920" w:rsidRPr="003A42FB">
        <w:rPr>
          <w:rFonts w:ascii="Times New Roman" w:eastAsiaTheme="minorEastAsia" w:hAnsi="Times New Roman" w:cs="Times New Roman"/>
          <w:sz w:val="24"/>
          <w:szCs w:val="24"/>
        </w:rPr>
        <w:t>6</w:t>
      </w:r>
      <w:r w:rsidRPr="003A42FB">
        <w:rPr>
          <w:rFonts w:ascii="Times New Roman" w:eastAsiaTheme="minorEastAsia" w:hAnsi="Times New Roman" w:cs="Times New Roman"/>
          <w:sz w:val="24"/>
          <w:szCs w:val="24"/>
        </w:rPr>
        <w:t xml:space="preserve"> </w:t>
      </w:r>
      <w:r w:rsidR="00F13920" w:rsidRPr="003A42FB">
        <w:rPr>
          <w:rFonts w:ascii="Times New Roman" w:eastAsiaTheme="minorEastAsia" w:hAnsi="Times New Roman" w:cs="Times New Roman"/>
          <w:sz w:val="24"/>
          <w:szCs w:val="24"/>
        </w:rPr>
        <w:t>wskazane zostały odstępstwa od podstawowych zasad cofnięcia i przyznawania prawa do wykorzystywania zasobów numeracji, z których Prezes UKE może skorzystać w przypadku stwierdzenia bezpośredniego zagrożenia w krótkim czasie naruszenia interoperacyjności lub ciągłości świadczenia usług telekomunikacyjnych albo w przypadku jeśli naruszenie takie wystąpiło.</w:t>
      </w:r>
    </w:p>
    <w:p w14:paraId="63A95F3D" w14:textId="529E9484" w:rsidR="49167F88" w:rsidRPr="003A42FB" w:rsidRDefault="00F13920"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W takich sytuacjach b</w:t>
      </w:r>
      <w:r w:rsidR="20F4D0F5" w:rsidRPr="5372851C">
        <w:rPr>
          <w:rFonts w:ascii="Times New Roman" w:eastAsiaTheme="minorEastAsia" w:hAnsi="Times New Roman" w:cs="Times New Roman"/>
          <w:sz w:val="24"/>
          <w:szCs w:val="24"/>
        </w:rPr>
        <w:t>ardzo ważne jest, aby</w:t>
      </w:r>
      <w:r w:rsidR="3AF2786C" w:rsidRPr="5372851C">
        <w:rPr>
          <w:rFonts w:ascii="Times New Roman" w:eastAsiaTheme="minorEastAsia" w:hAnsi="Times New Roman" w:cs="Times New Roman"/>
          <w:sz w:val="24"/>
          <w:szCs w:val="24"/>
        </w:rPr>
        <w:t xml:space="preserve"> działania </w:t>
      </w:r>
      <w:r w:rsidR="2DB632CC" w:rsidRPr="5372851C">
        <w:rPr>
          <w:rFonts w:ascii="Times New Roman" w:eastAsiaTheme="minorEastAsia" w:hAnsi="Times New Roman" w:cs="Times New Roman"/>
          <w:sz w:val="24"/>
          <w:szCs w:val="24"/>
        </w:rPr>
        <w:t xml:space="preserve">Prezesa </w:t>
      </w:r>
      <w:r w:rsidR="3AF2786C" w:rsidRPr="5372851C">
        <w:rPr>
          <w:rFonts w:ascii="Times New Roman" w:eastAsiaTheme="minorEastAsia" w:hAnsi="Times New Roman" w:cs="Times New Roman"/>
          <w:sz w:val="24"/>
          <w:szCs w:val="24"/>
        </w:rPr>
        <w:t xml:space="preserve">UKE </w:t>
      </w:r>
      <w:r w:rsidR="7D039EF3" w:rsidRPr="5372851C">
        <w:rPr>
          <w:rFonts w:ascii="Times New Roman" w:eastAsiaTheme="minorEastAsia" w:hAnsi="Times New Roman" w:cs="Times New Roman"/>
          <w:sz w:val="24"/>
          <w:szCs w:val="24"/>
        </w:rPr>
        <w:t>były</w:t>
      </w:r>
      <w:r w:rsidR="3AF2786C" w:rsidRPr="5372851C">
        <w:rPr>
          <w:rFonts w:ascii="Times New Roman" w:eastAsiaTheme="minorEastAsia" w:hAnsi="Times New Roman" w:cs="Times New Roman"/>
          <w:sz w:val="24"/>
          <w:szCs w:val="24"/>
        </w:rPr>
        <w:t xml:space="preserve"> przeprowadzone w </w:t>
      </w:r>
      <w:r w:rsidR="4194B00E" w:rsidRPr="5372851C">
        <w:rPr>
          <w:rFonts w:ascii="Times New Roman" w:eastAsiaTheme="minorEastAsia" w:hAnsi="Times New Roman" w:cs="Times New Roman"/>
          <w:sz w:val="24"/>
          <w:szCs w:val="24"/>
        </w:rPr>
        <w:t xml:space="preserve">jak najkrótszym </w:t>
      </w:r>
      <w:r w:rsidR="3AF2786C" w:rsidRPr="5372851C">
        <w:rPr>
          <w:rFonts w:ascii="Times New Roman" w:eastAsiaTheme="minorEastAsia" w:hAnsi="Times New Roman" w:cs="Times New Roman"/>
          <w:sz w:val="24"/>
          <w:szCs w:val="24"/>
        </w:rPr>
        <w:t>czasie</w:t>
      </w:r>
      <w:r w:rsidR="79ADFC4D" w:rsidRPr="5372851C">
        <w:rPr>
          <w:rFonts w:ascii="Times New Roman" w:eastAsiaTheme="minorEastAsia" w:hAnsi="Times New Roman" w:cs="Times New Roman"/>
          <w:sz w:val="24"/>
          <w:szCs w:val="24"/>
        </w:rPr>
        <w:t>.</w:t>
      </w:r>
      <w:r w:rsidR="2E27AEC3" w:rsidRPr="5372851C">
        <w:rPr>
          <w:rFonts w:ascii="Times New Roman" w:eastAsiaTheme="minorEastAsia" w:hAnsi="Times New Roman" w:cs="Times New Roman"/>
          <w:sz w:val="24"/>
          <w:szCs w:val="24"/>
        </w:rPr>
        <w:t xml:space="preserve"> </w:t>
      </w:r>
      <w:r w:rsidR="000746D3" w:rsidRPr="5372851C">
        <w:rPr>
          <w:rFonts w:ascii="Times New Roman" w:eastAsiaTheme="minorEastAsia" w:hAnsi="Times New Roman" w:cs="Times New Roman"/>
          <w:sz w:val="24"/>
          <w:szCs w:val="24"/>
        </w:rPr>
        <w:t xml:space="preserve">W związku z tym Prezes UKE może cofając prawo do wykorzystywania zasobów numeracji pominąć realizację wezwania do usunięcia naruszenia oraz pominąć realizację postępowania konsultacyjnego i procedury przetargowej przy przyznawaniu prawa do wykorzystywania zasobów numeracji innemu przedsiębiorcy. </w:t>
      </w:r>
      <w:r w:rsidR="2E27AEC3" w:rsidRPr="5372851C">
        <w:rPr>
          <w:rFonts w:ascii="Times New Roman" w:eastAsiaTheme="minorEastAsia" w:hAnsi="Times New Roman" w:cs="Times New Roman"/>
          <w:sz w:val="24"/>
          <w:szCs w:val="24"/>
        </w:rPr>
        <w:t>Prezes UKE przy</w:t>
      </w:r>
      <w:r w:rsidR="000746D3" w:rsidRPr="5372851C">
        <w:rPr>
          <w:rFonts w:ascii="Times New Roman" w:eastAsiaTheme="minorEastAsia" w:hAnsi="Times New Roman" w:cs="Times New Roman"/>
          <w:sz w:val="24"/>
          <w:szCs w:val="24"/>
        </w:rPr>
        <w:t>znaje prawo do wykorzystywania</w:t>
      </w:r>
      <w:r w:rsidR="2E27AEC3" w:rsidRPr="5372851C">
        <w:rPr>
          <w:rFonts w:ascii="Times New Roman" w:eastAsiaTheme="minorEastAsia" w:hAnsi="Times New Roman" w:cs="Times New Roman"/>
          <w:sz w:val="24"/>
          <w:szCs w:val="24"/>
        </w:rPr>
        <w:t xml:space="preserve"> </w:t>
      </w:r>
      <w:r w:rsidR="000746D3" w:rsidRPr="5372851C">
        <w:rPr>
          <w:rFonts w:ascii="Times New Roman" w:eastAsiaTheme="minorEastAsia" w:hAnsi="Times New Roman" w:cs="Times New Roman"/>
          <w:sz w:val="24"/>
          <w:szCs w:val="24"/>
        </w:rPr>
        <w:t xml:space="preserve">zasobów </w:t>
      </w:r>
      <w:r w:rsidR="2C164896" w:rsidRPr="5372851C">
        <w:rPr>
          <w:rFonts w:ascii="Times New Roman" w:eastAsiaTheme="minorEastAsia" w:hAnsi="Times New Roman" w:cs="Times New Roman"/>
          <w:sz w:val="24"/>
          <w:szCs w:val="24"/>
        </w:rPr>
        <w:t>numeracj</w:t>
      </w:r>
      <w:r w:rsidR="000746D3" w:rsidRPr="5372851C">
        <w:rPr>
          <w:rFonts w:ascii="Times New Roman" w:eastAsiaTheme="minorEastAsia" w:hAnsi="Times New Roman" w:cs="Times New Roman"/>
          <w:sz w:val="24"/>
          <w:szCs w:val="24"/>
        </w:rPr>
        <w:t>i</w:t>
      </w:r>
      <w:r w:rsidR="2C164896" w:rsidRPr="5372851C">
        <w:rPr>
          <w:rFonts w:ascii="Times New Roman" w:eastAsiaTheme="minorEastAsia" w:hAnsi="Times New Roman" w:cs="Times New Roman"/>
          <w:sz w:val="24"/>
          <w:szCs w:val="24"/>
        </w:rPr>
        <w:t xml:space="preserve"> przedsiębiorcy telekomunikacyjnemu biorąc pod uwagę przesłanki</w:t>
      </w:r>
      <w:r w:rsidR="1E9821B8" w:rsidRPr="5372851C">
        <w:rPr>
          <w:rFonts w:ascii="Times New Roman" w:eastAsiaTheme="minorEastAsia" w:hAnsi="Times New Roman" w:cs="Times New Roman"/>
          <w:sz w:val="24"/>
          <w:szCs w:val="24"/>
        </w:rPr>
        <w:t xml:space="preserve">, o których mowa w pkt 3, tj. możliwości techniczne przyjmowania i kierowania połączeń na numery z przydzielanego bloku numerów, liczbę przeniesionych numerów z bloków numerów, dla których Prezes UKE cofnął przydział, liczbę </w:t>
      </w:r>
      <w:r w:rsidR="410B9AF2" w:rsidRPr="5372851C">
        <w:rPr>
          <w:rFonts w:ascii="Times New Roman" w:eastAsiaTheme="minorEastAsia" w:hAnsi="Times New Roman" w:cs="Times New Roman"/>
          <w:sz w:val="24"/>
          <w:szCs w:val="24"/>
        </w:rPr>
        <w:t>abonentów w</w:t>
      </w:r>
      <w:r w:rsidR="1E9821B8" w:rsidRPr="5372851C">
        <w:rPr>
          <w:rFonts w:ascii="Times New Roman" w:eastAsiaTheme="minorEastAsia" w:hAnsi="Times New Roman" w:cs="Times New Roman"/>
          <w:sz w:val="24"/>
          <w:szCs w:val="24"/>
        </w:rPr>
        <w:t xml:space="preserve"> danej strefie numer</w:t>
      </w:r>
      <w:r w:rsidR="051A5E50" w:rsidRPr="5372851C">
        <w:rPr>
          <w:rFonts w:ascii="Times New Roman" w:eastAsiaTheme="minorEastAsia" w:hAnsi="Times New Roman" w:cs="Times New Roman"/>
          <w:sz w:val="24"/>
          <w:szCs w:val="24"/>
        </w:rPr>
        <w:t>acyjnej oraz przydział numeracji w bloku sąsiadującym z przydzielanym blokiem numerów.</w:t>
      </w:r>
      <w:r w:rsidR="7B161118" w:rsidRPr="5372851C">
        <w:rPr>
          <w:rFonts w:ascii="Times New Roman" w:eastAsiaTheme="minorEastAsia" w:hAnsi="Times New Roman" w:cs="Times New Roman"/>
          <w:sz w:val="24"/>
          <w:szCs w:val="24"/>
        </w:rPr>
        <w:t xml:space="preserve"> </w:t>
      </w:r>
    </w:p>
    <w:p w14:paraId="2AB63394" w14:textId="28E67BB0" w:rsidR="3E03CDC1" w:rsidRPr="003A42FB" w:rsidRDefault="3E03CDC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przypadku braku wniosków o przydział numeracji, </w:t>
      </w:r>
      <w:r w:rsidR="11D5CB54" w:rsidRPr="003A42FB">
        <w:rPr>
          <w:rFonts w:ascii="Times New Roman" w:eastAsiaTheme="minorEastAsia" w:hAnsi="Times New Roman" w:cs="Times New Roman"/>
          <w:sz w:val="24"/>
          <w:szCs w:val="24"/>
        </w:rPr>
        <w:t>Prezes UKE celem</w:t>
      </w:r>
      <w:r w:rsidRPr="003A42FB">
        <w:rPr>
          <w:rFonts w:ascii="Times New Roman" w:eastAsiaTheme="minorEastAsia" w:hAnsi="Times New Roman" w:cs="Times New Roman"/>
          <w:sz w:val="24"/>
          <w:szCs w:val="24"/>
        </w:rPr>
        <w:t xml:space="preserve"> zachowania ciągłości usług</w:t>
      </w:r>
      <w:r w:rsidR="58FF796C"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ma prawo do wyznaczenia przedsiębiorcy</w:t>
      </w:r>
      <w:r w:rsidR="14407D15" w:rsidRPr="003A42FB">
        <w:rPr>
          <w:rFonts w:ascii="Times New Roman" w:eastAsiaTheme="minorEastAsia" w:hAnsi="Times New Roman" w:cs="Times New Roman"/>
          <w:sz w:val="24"/>
          <w:szCs w:val="24"/>
        </w:rPr>
        <w:t xml:space="preserve"> </w:t>
      </w:r>
      <w:r w:rsidR="2B26B8AC" w:rsidRPr="003A42FB">
        <w:rPr>
          <w:rFonts w:ascii="Times New Roman" w:eastAsiaTheme="minorEastAsia" w:hAnsi="Times New Roman" w:cs="Times New Roman"/>
          <w:sz w:val="24"/>
          <w:szCs w:val="24"/>
        </w:rPr>
        <w:t>przejmującego</w:t>
      </w:r>
      <w:r w:rsidRPr="003A42FB">
        <w:rPr>
          <w:rFonts w:ascii="Times New Roman" w:eastAsiaTheme="minorEastAsia" w:hAnsi="Times New Roman" w:cs="Times New Roman"/>
          <w:sz w:val="24"/>
          <w:szCs w:val="24"/>
        </w:rPr>
        <w:t xml:space="preserve"> numerację po przedsiębiorcy, któremu cofnięty został przydział numeracji (ust. </w:t>
      </w:r>
      <w:r w:rsidR="00B751C7" w:rsidRPr="003A42FB">
        <w:rPr>
          <w:rFonts w:ascii="Times New Roman" w:eastAsiaTheme="minorEastAsia" w:hAnsi="Times New Roman" w:cs="Times New Roman"/>
          <w:sz w:val="24"/>
          <w:szCs w:val="24"/>
        </w:rPr>
        <w:t>7</w:t>
      </w:r>
      <w:r w:rsidRPr="003A42FB">
        <w:rPr>
          <w:rFonts w:ascii="Times New Roman" w:eastAsiaTheme="minorEastAsia" w:hAnsi="Times New Roman" w:cs="Times New Roman"/>
          <w:sz w:val="24"/>
          <w:szCs w:val="24"/>
        </w:rPr>
        <w:t>)</w:t>
      </w:r>
      <w:r w:rsidR="76E84E02" w:rsidRPr="003A42FB">
        <w:rPr>
          <w:rFonts w:ascii="Times New Roman" w:eastAsiaTheme="minorEastAsia" w:hAnsi="Times New Roman" w:cs="Times New Roman"/>
          <w:sz w:val="24"/>
          <w:szCs w:val="24"/>
        </w:rPr>
        <w:t>.</w:t>
      </w:r>
    </w:p>
    <w:p w14:paraId="0CD71A21" w14:textId="0CDDF853" w:rsidR="00B751C7" w:rsidRPr="003A42FB" w:rsidRDefault="00B751C7"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Przedsiębiorca telekomunikacyjny, który otrzymał prawo do wykorzystywania zasobów numeracji na warunkach określonych w ust. 6 pkt 3 oraz w ust. 7 ma obowiązek poinformowania abonenta o przejęciu zobowiązań dotychczasowego dostawcy usług telekomunikacyjnych, któremu Prezes UKE cofnął prawo do wykorzystywania zasobów numeracji. </w:t>
      </w:r>
      <w:r w:rsidR="005D49E2" w:rsidRPr="5372851C">
        <w:rPr>
          <w:rFonts w:ascii="Times New Roman" w:eastAsiaTheme="minorEastAsia" w:hAnsi="Times New Roman" w:cs="Times New Roman"/>
          <w:sz w:val="24"/>
          <w:szCs w:val="24"/>
        </w:rPr>
        <w:t>Jednocześnie przedsiębiorca</w:t>
      </w:r>
      <w:r w:rsidR="20961F45" w:rsidRPr="5372851C">
        <w:rPr>
          <w:rFonts w:ascii="Times New Roman" w:eastAsiaTheme="minorEastAsia" w:hAnsi="Times New Roman" w:cs="Times New Roman"/>
          <w:sz w:val="24"/>
          <w:szCs w:val="24"/>
        </w:rPr>
        <w:t>,</w:t>
      </w:r>
      <w:r w:rsidR="005D49E2" w:rsidRPr="5372851C">
        <w:rPr>
          <w:rFonts w:ascii="Times New Roman" w:eastAsiaTheme="minorEastAsia" w:hAnsi="Times New Roman" w:cs="Times New Roman"/>
          <w:sz w:val="24"/>
          <w:szCs w:val="24"/>
        </w:rPr>
        <w:t xml:space="preserve"> który uzyskał przydział informuje</w:t>
      </w:r>
      <w:r w:rsidRPr="5372851C">
        <w:rPr>
          <w:rFonts w:ascii="Times New Roman" w:eastAsiaTheme="minorEastAsia" w:hAnsi="Times New Roman" w:cs="Times New Roman"/>
          <w:sz w:val="24"/>
          <w:szCs w:val="24"/>
        </w:rPr>
        <w:t xml:space="preserve"> abonenta o tym, że będzie świadczył mu usługi do wskazanego przez niego terminu, który nie może być krótszy niż jeden miesiąc. </w:t>
      </w:r>
      <w:r w:rsidR="005D49E2" w:rsidRPr="5372851C">
        <w:rPr>
          <w:rFonts w:ascii="Times New Roman" w:eastAsiaTheme="minorEastAsia" w:hAnsi="Times New Roman" w:cs="Times New Roman"/>
          <w:sz w:val="24"/>
          <w:szCs w:val="24"/>
        </w:rPr>
        <w:t>P</w:t>
      </w:r>
      <w:r w:rsidRPr="5372851C">
        <w:rPr>
          <w:rFonts w:ascii="Times New Roman" w:eastAsiaTheme="minorEastAsia" w:hAnsi="Times New Roman" w:cs="Times New Roman"/>
          <w:sz w:val="24"/>
          <w:szCs w:val="24"/>
        </w:rPr>
        <w:t>rzedsiębiorca ten informuje abonenta o konieczności zawarcia przed upływem tego terminu umowy o świadczenie usług komunikacji elektronicznej albo przeniesienia numeru do innego dostawcy usług w celu zachowania ciągłości świadczenia usług.</w:t>
      </w:r>
    </w:p>
    <w:p w14:paraId="68DCF927" w14:textId="0687DB16" w:rsidR="00805650" w:rsidRPr="003A42FB" w:rsidRDefault="2EAB23EB"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5385A" w:rsidRPr="003A42FB">
        <w:rPr>
          <w:rFonts w:ascii="Times New Roman" w:eastAsiaTheme="minorEastAsia" w:hAnsi="Times New Roman" w:cs="Times New Roman"/>
          <w:b/>
          <w:bCs/>
          <w:sz w:val="24"/>
          <w:szCs w:val="24"/>
        </w:rPr>
        <w:t>1</w:t>
      </w:r>
      <w:r w:rsidR="0015385A">
        <w:rPr>
          <w:rFonts w:ascii="Times New Roman" w:eastAsiaTheme="minorEastAsia" w:hAnsi="Times New Roman" w:cs="Times New Roman"/>
          <w:b/>
          <w:bCs/>
          <w:sz w:val="24"/>
          <w:szCs w:val="24"/>
        </w:rPr>
        <w:t>6</w:t>
      </w:r>
      <w:r w:rsidR="0015385A" w:rsidRPr="003A42FB">
        <w:rPr>
          <w:rFonts w:ascii="Times New Roman" w:eastAsiaTheme="minorEastAsia" w:hAnsi="Times New Roman" w:cs="Times New Roman"/>
          <w:b/>
          <w:bCs/>
          <w:sz w:val="24"/>
          <w:szCs w:val="24"/>
        </w:rPr>
        <w:t xml:space="preserve">2 </w:t>
      </w:r>
      <w:r w:rsidR="00CC6835" w:rsidRPr="003A42FB">
        <w:rPr>
          <w:rFonts w:ascii="Times New Roman" w:eastAsiaTheme="minorEastAsia" w:hAnsi="Times New Roman" w:cs="Times New Roman"/>
          <w:b/>
          <w:bCs/>
          <w:sz w:val="24"/>
          <w:szCs w:val="24"/>
        </w:rPr>
        <w:t>– delegacje ustawowe do wydania rozporządzeń</w:t>
      </w:r>
    </w:p>
    <w:p w14:paraId="47F47C6B" w14:textId="208A35A2" w:rsidR="00805650" w:rsidRPr="003A42FB" w:rsidRDefault="00805650"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Artykuł </w:t>
      </w:r>
      <w:r w:rsidR="0015385A" w:rsidRPr="5372851C">
        <w:rPr>
          <w:rFonts w:ascii="Times New Roman" w:eastAsiaTheme="minorEastAsia" w:hAnsi="Times New Roman" w:cs="Times New Roman"/>
          <w:sz w:val="24"/>
          <w:szCs w:val="24"/>
        </w:rPr>
        <w:t>1</w:t>
      </w:r>
      <w:r w:rsidR="0015385A">
        <w:rPr>
          <w:rFonts w:ascii="Times New Roman" w:eastAsiaTheme="minorEastAsia" w:hAnsi="Times New Roman" w:cs="Times New Roman"/>
          <w:sz w:val="24"/>
          <w:szCs w:val="24"/>
        </w:rPr>
        <w:t>6</w:t>
      </w:r>
      <w:r w:rsidR="0015385A" w:rsidRPr="5372851C">
        <w:rPr>
          <w:rFonts w:ascii="Times New Roman" w:eastAsiaTheme="minorEastAsia" w:hAnsi="Times New Roman" w:cs="Times New Roman"/>
          <w:sz w:val="24"/>
          <w:szCs w:val="24"/>
        </w:rPr>
        <w:t xml:space="preserve">2 </w:t>
      </w:r>
      <w:r w:rsidRPr="5372851C">
        <w:rPr>
          <w:rFonts w:ascii="Times New Roman" w:eastAsiaTheme="minorEastAsia" w:hAnsi="Times New Roman" w:cs="Times New Roman"/>
          <w:sz w:val="24"/>
          <w:szCs w:val="24"/>
        </w:rPr>
        <w:t>zawiera delegacje ustawowe do wydania rozporządzeń regulujących kwestie merytoryczne związane z użytkowaniem zasobów numeracji. W rozporządzeniu w sprawie planu numeracji krajowej zostaną określone zakresy wprowadzonych do użytkowania zasobów numeracji w formie tabeli oraz formaty numerów i schematy ich wybierania. W rozporządzeniu zostaną również określone zakresy numeracji dla transgranicznego użytkowania zasobów numeracji na terenie Unii oraz warunki ich wykorzystania.</w:t>
      </w:r>
      <w:r w:rsidR="52C7B368" w:rsidRPr="5372851C">
        <w:rPr>
          <w:rFonts w:ascii="Times New Roman" w:eastAsiaTheme="minorEastAsia" w:hAnsi="Times New Roman" w:cs="Times New Roman"/>
          <w:sz w:val="24"/>
          <w:szCs w:val="24"/>
        </w:rPr>
        <w:t xml:space="preserve"> </w:t>
      </w:r>
      <w:r w:rsidR="124BB1C6" w:rsidRPr="5372851C">
        <w:rPr>
          <w:rFonts w:ascii="Times New Roman" w:eastAsiaTheme="minorEastAsia" w:hAnsi="Times New Roman" w:cs="Times New Roman"/>
          <w:sz w:val="24"/>
          <w:szCs w:val="24"/>
        </w:rPr>
        <w:t xml:space="preserve">W odrębnym akcie wykonawczym uregulowane zostaną zasady gospodarowania numeracją. </w:t>
      </w:r>
      <w:r w:rsidR="52C7B368" w:rsidRPr="5372851C">
        <w:rPr>
          <w:rFonts w:ascii="Times New Roman" w:eastAsiaTheme="minorEastAsia" w:hAnsi="Times New Roman" w:cs="Times New Roman"/>
          <w:sz w:val="24"/>
          <w:szCs w:val="24"/>
        </w:rPr>
        <w:t xml:space="preserve">Natomiast fakultatywna delegacja ustawowa z ust. 3 </w:t>
      </w:r>
      <w:r w:rsidR="4165B19F" w:rsidRPr="5372851C">
        <w:rPr>
          <w:rFonts w:ascii="Times New Roman" w:eastAsiaTheme="minorEastAsia" w:hAnsi="Times New Roman" w:cs="Times New Roman"/>
          <w:sz w:val="24"/>
          <w:szCs w:val="24"/>
        </w:rPr>
        <w:t xml:space="preserve">umożliwia </w:t>
      </w:r>
      <w:r w:rsidR="5017CF91" w:rsidRPr="5372851C">
        <w:rPr>
          <w:rFonts w:ascii="Times New Roman" w:eastAsiaTheme="minorEastAsia" w:hAnsi="Times New Roman" w:cs="Times New Roman"/>
          <w:sz w:val="24"/>
          <w:szCs w:val="24"/>
        </w:rPr>
        <w:t xml:space="preserve">określenie szczegółowych wymagań dotyczących zasad </w:t>
      </w:r>
      <w:r w:rsidR="5017CF91" w:rsidRPr="5372851C">
        <w:rPr>
          <w:rFonts w:ascii="Times New Roman" w:eastAsiaTheme="minorEastAsia" w:hAnsi="Times New Roman" w:cs="Times New Roman"/>
          <w:sz w:val="24"/>
          <w:szCs w:val="24"/>
        </w:rPr>
        <w:lastRenderedPageBreak/>
        <w:t>adresowania dla właściwego kierowania połączeń</w:t>
      </w:r>
      <w:r w:rsidR="150B2E01" w:rsidRPr="5372851C">
        <w:rPr>
          <w:rFonts w:ascii="Times New Roman" w:eastAsiaTheme="minorEastAsia" w:hAnsi="Times New Roman" w:cs="Times New Roman"/>
          <w:sz w:val="24"/>
          <w:szCs w:val="24"/>
        </w:rPr>
        <w:t>, numeracji punktów sygnalizacyjnych oraz tworzenia i udostępniania znaków identyfikujących abonenta.</w:t>
      </w:r>
      <w:r w:rsidR="00DE19F2" w:rsidRPr="5372851C">
        <w:rPr>
          <w:rFonts w:ascii="Times New Roman" w:eastAsiaTheme="minorEastAsia" w:hAnsi="Times New Roman" w:cs="Times New Roman"/>
          <w:sz w:val="24"/>
          <w:szCs w:val="24"/>
        </w:rPr>
        <w:t xml:space="preserve"> </w:t>
      </w:r>
      <w:r w:rsidR="00463B81" w:rsidRPr="5372851C">
        <w:rPr>
          <w:rFonts w:ascii="Times New Roman" w:eastAsiaTheme="minorEastAsia" w:hAnsi="Times New Roman" w:cs="Times New Roman"/>
          <w:sz w:val="24"/>
          <w:szCs w:val="24"/>
        </w:rPr>
        <w:t>Zgodnie z ust. 2 Prezes UKE obowiązany jest do poinformowania BEREC o zakresie numeracji krajowej przeznaczonym na potrzeby transgranicznego świadczenia na terenie Unii Europejskiej usług komunikacji elektronicznej innych niż usługi komunikacji interpersonalnej.</w:t>
      </w:r>
    </w:p>
    <w:p w14:paraId="6A7AF8A6" w14:textId="16AD4727" w:rsidR="00805650" w:rsidRPr="003A42FB" w:rsidRDefault="277EAFD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Art</w:t>
      </w:r>
      <w:r w:rsidRPr="003A42FB">
        <w:rPr>
          <w:rFonts w:ascii="Times New Roman" w:eastAsiaTheme="minorEastAsia" w:hAnsi="Times New Roman" w:cs="Times New Roman"/>
          <w:b/>
          <w:sz w:val="24"/>
          <w:szCs w:val="24"/>
        </w:rPr>
        <w:t xml:space="preserve">. </w:t>
      </w:r>
      <w:r w:rsidR="0015385A" w:rsidRPr="003A42FB">
        <w:rPr>
          <w:rFonts w:ascii="Times New Roman" w:eastAsiaTheme="minorEastAsia" w:hAnsi="Times New Roman" w:cs="Times New Roman"/>
          <w:b/>
          <w:sz w:val="24"/>
          <w:szCs w:val="24"/>
        </w:rPr>
        <w:t>1</w:t>
      </w:r>
      <w:r w:rsidR="0015385A">
        <w:rPr>
          <w:rFonts w:ascii="Times New Roman" w:eastAsiaTheme="minorEastAsia" w:hAnsi="Times New Roman" w:cs="Times New Roman"/>
          <w:b/>
          <w:sz w:val="24"/>
          <w:szCs w:val="24"/>
        </w:rPr>
        <w:t>6</w:t>
      </w:r>
      <w:r w:rsidR="0015385A" w:rsidRPr="003A42FB">
        <w:rPr>
          <w:rFonts w:ascii="Times New Roman" w:eastAsiaTheme="minorEastAsia" w:hAnsi="Times New Roman" w:cs="Times New Roman"/>
          <w:b/>
          <w:sz w:val="24"/>
          <w:szCs w:val="24"/>
        </w:rPr>
        <w:t xml:space="preserve">3 </w:t>
      </w:r>
      <w:r w:rsidR="00CC6835" w:rsidRPr="003A42FB">
        <w:rPr>
          <w:rFonts w:ascii="Times New Roman" w:eastAsiaTheme="minorEastAsia" w:hAnsi="Times New Roman" w:cs="Times New Roman"/>
          <w:b/>
          <w:sz w:val="24"/>
          <w:szCs w:val="24"/>
        </w:rPr>
        <w:t>– Tablice Zagospodarowania Numeracji</w:t>
      </w:r>
    </w:p>
    <w:p w14:paraId="518FED71" w14:textId="69D89D1F"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15385A" w:rsidRPr="003A42FB">
        <w:rPr>
          <w:rFonts w:ascii="Times New Roman" w:eastAsiaTheme="minorEastAsia" w:hAnsi="Times New Roman" w:cs="Times New Roman"/>
          <w:sz w:val="24"/>
          <w:szCs w:val="24"/>
        </w:rPr>
        <w:t>1</w:t>
      </w:r>
      <w:r w:rsidR="0015385A">
        <w:rPr>
          <w:rFonts w:ascii="Times New Roman" w:eastAsiaTheme="minorEastAsia" w:hAnsi="Times New Roman" w:cs="Times New Roman"/>
          <w:sz w:val="24"/>
          <w:szCs w:val="24"/>
        </w:rPr>
        <w:t>6</w:t>
      </w:r>
      <w:r w:rsidR="0015385A" w:rsidRPr="003A42FB">
        <w:rPr>
          <w:rFonts w:ascii="Times New Roman" w:eastAsiaTheme="minorEastAsia" w:hAnsi="Times New Roman" w:cs="Times New Roman"/>
          <w:sz w:val="24"/>
          <w:szCs w:val="24"/>
        </w:rPr>
        <w:t xml:space="preserve">3 </w:t>
      </w:r>
      <w:r w:rsidRPr="003A42FB">
        <w:rPr>
          <w:rFonts w:ascii="Times New Roman" w:eastAsiaTheme="minorEastAsia" w:hAnsi="Times New Roman" w:cs="Times New Roman"/>
          <w:sz w:val="24"/>
          <w:szCs w:val="24"/>
        </w:rPr>
        <w:t xml:space="preserve">nakłada na Prezesa UKE obowiązek opracowywania Tablic Zagospodarowania Numeracji oraz </w:t>
      </w:r>
      <w:r w:rsidR="00463B81" w:rsidRPr="003A42FB">
        <w:rPr>
          <w:rFonts w:ascii="Times New Roman" w:eastAsiaTheme="minorEastAsia" w:hAnsi="Times New Roman" w:cs="Times New Roman"/>
          <w:sz w:val="24"/>
          <w:szCs w:val="24"/>
        </w:rPr>
        <w:t xml:space="preserve">wykazu gmin w strefach numeracyjnych, jak również </w:t>
      </w:r>
      <w:r w:rsidRPr="003A42FB">
        <w:rPr>
          <w:rFonts w:ascii="Times New Roman" w:eastAsiaTheme="minorEastAsia" w:hAnsi="Times New Roman" w:cs="Times New Roman"/>
          <w:sz w:val="24"/>
          <w:szCs w:val="24"/>
        </w:rPr>
        <w:t>nieodpłatnego informowania w tym przedmiocie zainteresowanych podmiotów.</w:t>
      </w:r>
    </w:p>
    <w:p w14:paraId="271784A3" w14:textId="39359A93" w:rsidR="00805650" w:rsidRPr="003A42FB" w:rsidRDefault="7C0AB099"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5385A" w:rsidRPr="003A42FB">
        <w:rPr>
          <w:rFonts w:ascii="Times New Roman" w:eastAsiaTheme="minorEastAsia" w:hAnsi="Times New Roman" w:cs="Times New Roman"/>
          <w:b/>
          <w:bCs/>
          <w:sz w:val="24"/>
          <w:szCs w:val="24"/>
        </w:rPr>
        <w:t>1</w:t>
      </w:r>
      <w:r w:rsidR="0015385A">
        <w:rPr>
          <w:rFonts w:ascii="Times New Roman" w:eastAsiaTheme="minorEastAsia" w:hAnsi="Times New Roman" w:cs="Times New Roman"/>
          <w:b/>
          <w:bCs/>
          <w:sz w:val="24"/>
          <w:szCs w:val="24"/>
        </w:rPr>
        <w:t>6</w:t>
      </w:r>
      <w:r w:rsidR="0015385A" w:rsidRPr="003A42FB">
        <w:rPr>
          <w:rFonts w:ascii="Times New Roman" w:eastAsiaTheme="minorEastAsia" w:hAnsi="Times New Roman" w:cs="Times New Roman"/>
          <w:b/>
          <w:bCs/>
          <w:sz w:val="24"/>
          <w:szCs w:val="24"/>
        </w:rPr>
        <w:t xml:space="preserve">4 </w:t>
      </w:r>
      <w:r w:rsidR="00CC6835" w:rsidRPr="003A42FB">
        <w:rPr>
          <w:rFonts w:ascii="Times New Roman" w:eastAsiaTheme="minorEastAsia" w:hAnsi="Times New Roman" w:cs="Times New Roman"/>
          <w:b/>
          <w:bCs/>
          <w:sz w:val="24"/>
          <w:szCs w:val="24"/>
        </w:rPr>
        <w:t>– udostępnianie zasobów numeracji</w:t>
      </w:r>
    </w:p>
    <w:p w14:paraId="7426B630" w14:textId="08403F94" w:rsidR="00805650" w:rsidRPr="003A42FB" w:rsidRDefault="00805650" w:rsidP="737B543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art. </w:t>
      </w:r>
      <w:r w:rsidR="0015385A" w:rsidRPr="003A42FB">
        <w:rPr>
          <w:rFonts w:ascii="Times New Roman" w:eastAsiaTheme="minorEastAsia" w:hAnsi="Times New Roman" w:cs="Times New Roman"/>
          <w:sz w:val="24"/>
          <w:szCs w:val="24"/>
        </w:rPr>
        <w:t>1</w:t>
      </w:r>
      <w:r w:rsidR="0015385A">
        <w:rPr>
          <w:rFonts w:ascii="Times New Roman" w:eastAsiaTheme="minorEastAsia" w:hAnsi="Times New Roman" w:cs="Times New Roman"/>
          <w:sz w:val="24"/>
          <w:szCs w:val="24"/>
        </w:rPr>
        <w:t>6</w:t>
      </w:r>
      <w:r w:rsidR="0015385A" w:rsidRPr="003A42FB">
        <w:rPr>
          <w:rFonts w:ascii="Times New Roman" w:eastAsiaTheme="minorEastAsia" w:hAnsi="Times New Roman" w:cs="Times New Roman"/>
          <w:sz w:val="24"/>
          <w:szCs w:val="24"/>
        </w:rPr>
        <w:t xml:space="preserve">4 </w:t>
      </w:r>
      <w:r w:rsidRPr="003A42FB">
        <w:rPr>
          <w:rFonts w:ascii="Times New Roman" w:eastAsiaTheme="minorEastAsia" w:hAnsi="Times New Roman" w:cs="Times New Roman"/>
          <w:sz w:val="24"/>
          <w:szCs w:val="24"/>
        </w:rPr>
        <w:t xml:space="preserve">przedstawione zostały zasady udostępniania numeracji przez podmiot, który uzyskał prawo do wykorzystywania zasobów numeracji. Podmiot posiadający to prawo w przypadku, gdy posiada odpowiednie zasoby numeracji i nie zachodzi ryzyko w postaci utrudnienia lub ograniczenia jego działalności, powinien udostępniać zasoby numeracji innym podmiotom współpracującym z jego siecią telekomunikacyjną oraz podmiotom dostarczającym usługi telekomunikacyjne, na ich wniosek i na podstawie pisemnej umowy o udostępnianiu lub umowy o dostępie telekomunikacyjnym i połączeniu sieci. </w:t>
      </w:r>
      <w:r w:rsidR="1C83D0C4" w:rsidRPr="003A42FB">
        <w:rPr>
          <w:rFonts w:ascii="Times New Roman" w:eastAsiaTheme="minorEastAsia" w:hAnsi="Times New Roman" w:cs="Times New Roman"/>
          <w:sz w:val="24"/>
          <w:szCs w:val="24"/>
        </w:rPr>
        <w:t xml:space="preserve">Zmianę względem przepisów Pt stanowi dodanie obowiązku przekazywania </w:t>
      </w:r>
      <w:r w:rsidR="67DD6A50" w:rsidRPr="003A42FB">
        <w:rPr>
          <w:rFonts w:ascii="Times New Roman" w:eastAsiaTheme="minorEastAsia" w:hAnsi="Times New Roman" w:cs="Times New Roman"/>
          <w:sz w:val="24"/>
          <w:szCs w:val="24"/>
        </w:rPr>
        <w:t>t</w:t>
      </w:r>
      <w:r w:rsidR="2103A663" w:rsidRPr="003A42FB">
        <w:rPr>
          <w:rFonts w:ascii="Times New Roman" w:eastAsiaTheme="minorEastAsia" w:hAnsi="Times New Roman" w:cs="Times New Roman"/>
          <w:sz w:val="24"/>
          <w:szCs w:val="24"/>
        </w:rPr>
        <w:t>reś</w:t>
      </w:r>
      <w:r w:rsidR="039CEDC5" w:rsidRPr="003A42FB">
        <w:rPr>
          <w:rFonts w:ascii="Times New Roman" w:eastAsiaTheme="minorEastAsia" w:hAnsi="Times New Roman" w:cs="Times New Roman"/>
          <w:sz w:val="24"/>
          <w:szCs w:val="24"/>
        </w:rPr>
        <w:t>ci</w:t>
      </w:r>
      <w:r w:rsidR="2103A663" w:rsidRPr="003A42FB">
        <w:rPr>
          <w:rFonts w:ascii="Times New Roman" w:eastAsiaTheme="minorEastAsia" w:hAnsi="Times New Roman" w:cs="Times New Roman"/>
          <w:sz w:val="24"/>
          <w:szCs w:val="24"/>
        </w:rPr>
        <w:t xml:space="preserve"> umowy</w:t>
      </w:r>
      <w:r w:rsidRPr="003A42FB">
        <w:rPr>
          <w:rFonts w:ascii="Times New Roman" w:eastAsiaTheme="minorEastAsia" w:hAnsi="Times New Roman" w:cs="Times New Roman"/>
          <w:sz w:val="24"/>
          <w:szCs w:val="24"/>
        </w:rPr>
        <w:t xml:space="preserve"> do Prezesa UKE</w:t>
      </w:r>
      <w:r w:rsidR="00F3763E"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Zgodnie z ww. przepisami możliwość udostępniania zasobów numeracji została przyznana wyłącznie podmiotom, które posiadają przydział numeracji, zatem podmiot, któremu udostępniono numerację nie ma prawa jej dalszego udostępniania.</w:t>
      </w:r>
    </w:p>
    <w:p w14:paraId="46C33817" w14:textId="0DFF917E" w:rsidR="465737A0" w:rsidRPr="003A42FB" w:rsidRDefault="45AC463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5385A" w:rsidRPr="003A42FB">
        <w:rPr>
          <w:rFonts w:ascii="Times New Roman" w:eastAsiaTheme="minorEastAsia" w:hAnsi="Times New Roman" w:cs="Times New Roman"/>
          <w:b/>
          <w:bCs/>
          <w:sz w:val="24"/>
          <w:szCs w:val="24"/>
        </w:rPr>
        <w:t>1</w:t>
      </w:r>
      <w:r w:rsidR="0015385A">
        <w:rPr>
          <w:rFonts w:ascii="Times New Roman" w:eastAsiaTheme="minorEastAsia" w:hAnsi="Times New Roman" w:cs="Times New Roman"/>
          <w:b/>
          <w:bCs/>
          <w:sz w:val="24"/>
          <w:szCs w:val="24"/>
        </w:rPr>
        <w:t>6</w:t>
      </w:r>
      <w:r w:rsidR="0015385A" w:rsidRPr="003A42FB">
        <w:rPr>
          <w:rFonts w:ascii="Times New Roman" w:eastAsiaTheme="minorEastAsia" w:hAnsi="Times New Roman" w:cs="Times New Roman"/>
          <w:b/>
          <w:bCs/>
          <w:sz w:val="24"/>
          <w:szCs w:val="24"/>
        </w:rPr>
        <w:t xml:space="preserve">5 </w:t>
      </w:r>
      <w:r w:rsidR="00CC6835" w:rsidRPr="003A42FB">
        <w:rPr>
          <w:rFonts w:ascii="Times New Roman" w:eastAsiaTheme="minorEastAsia" w:hAnsi="Times New Roman" w:cs="Times New Roman"/>
          <w:b/>
          <w:bCs/>
          <w:sz w:val="24"/>
          <w:szCs w:val="24"/>
        </w:rPr>
        <w:t>– numer 112</w:t>
      </w:r>
    </w:p>
    <w:p w14:paraId="0E73206F" w14:textId="42C466C0"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6EEADCC7" w:rsidRPr="003A42FB">
        <w:rPr>
          <w:rFonts w:ascii="Times New Roman" w:eastAsiaTheme="minorEastAsia" w:hAnsi="Times New Roman" w:cs="Times New Roman"/>
          <w:sz w:val="24"/>
          <w:szCs w:val="24"/>
        </w:rPr>
        <w:t xml:space="preserve">145 </w:t>
      </w:r>
      <w:r w:rsidRPr="003A42FB">
        <w:rPr>
          <w:rFonts w:ascii="Times New Roman" w:eastAsiaTheme="minorEastAsia" w:hAnsi="Times New Roman" w:cs="Times New Roman"/>
          <w:sz w:val="24"/>
          <w:szCs w:val="24"/>
        </w:rPr>
        <w:t>ustala w ust. 1 numer „112” jako wspólny numer alarmowy dla wszystkich służb ustawowo powołanych do niesienia pomocy. W ust. 2 ustalono numery rozpoczynające się od „116” jako zharmonizowane numery przeznaczone dla usług o szczególnym znaczeniu społecznym.</w:t>
      </w:r>
      <w:r w:rsidR="00C633F8" w:rsidRPr="003A42FB">
        <w:rPr>
          <w:rFonts w:ascii="Times New Roman" w:eastAsiaTheme="minorEastAsia" w:hAnsi="Times New Roman" w:cs="Times New Roman"/>
          <w:sz w:val="24"/>
          <w:szCs w:val="24"/>
        </w:rPr>
        <w:t xml:space="preserve"> Połączenia z tymi numerami są bezpłatne. Zgodnie z ust. 4 minister właściwy do spraw administracji </w:t>
      </w:r>
      <w:r w:rsidR="0015385A">
        <w:rPr>
          <w:rFonts w:ascii="Times New Roman" w:eastAsiaTheme="minorEastAsia" w:hAnsi="Times New Roman" w:cs="Times New Roman"/>
          <w:sz w:val="24"/>
          <w:szCs w:val="24"/>
        </w:rPr>
        <w:t xml:space="preserve">publicznej </w:t>
      </w:r>
      <w:r w:rsidR="00C633F8" w:rsidRPr="003A42FB">
        <w:rPr>
          <w:rFonts w:ascii="Times New Roman" w:eastAsiaTheme="minorEastAsia" w:hAnsi="Times New Roman" w:cs="Times New Roman"/>
          <w:sz w:val="24"/>
          <w:szCs w:val="24"/>
        </w:rPr>
        <w:t>prowadzi działania w zakresie zwiększania świadomości społecznej i wiedzy na temat numeru 116000 (numer infolinii umożliwiającej zgłaszanie przypadków zaginięcia dzieci) i 116111 (numer na potrzeby działania telefonu zaufania dla dzieci)</w:t>
      </w:r>
      <w:r w:rsidRPr="003A42FB">
        <w:rPr>
          <w:rFonts w:ascii="Times New Roman" w:eastAsiaTheme="minorEastAsia" w:hAnsi="Times New Roman" w:cs="Times New Roman"/>
          <w:sz w:val="24"/>
          <w:szCs w:val="24"/>
        </w:rPr>
        <w:t>.</w:t>
      </w:r>
    </w:p>
    <w:p w14:paraId="2B212AD0" w14:textId="00BF5ECA" w:rsidR="54F58A26" w:rsidRPr="003A42FB" w:rsidRDefault="692EDAF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56AAC" w:rsidRPr="003A42FB">
        <w:rPr>
          <w:rFonts w:ascii="Times New Roman" w:eastAsiaTheme="minorEastAsia" w:hAnsi="Times New Roman" w:cs="Times New Roman"/>
          <w:b/>
          <w:bCs/>
          <w:sz w:val="24"/>
          <w:szCs w:val="24"/>
        </w:rPr>
        <w:t>1</w:t>
      </w:r>
      <w:r w:rsidR="00856AAC">
        <w:rPr>
          <w:rFonts w:ascii="Times New Roman" w:eastAsiaTheme="minorEastAsia" w:hAnsi="Times New Roman" w:cs="Times New Roman"/>
          <w:b/>
          <w:bCs/>
          <w:sz w:val="24"/>
          <w:szCs w:val="24"/>
        </w:rPr>
        <w:t>6</w:t>
      </w:r>
      <w:r w:rsidR="00856AAC" w:rsidRPr="003A42FB">
        <w:rPr>
          <w:rFonts w:ascii="Times New Roman" w:eastAsiaTheme="minorEastAsia" w:hAnsi="Times New Roman" w:cs="Times New Roman"/>
          <w:b/>
          <w:bCs/>
          <w:sz w:val="24"/>
          <w:szCs w:val="24"/>
        </w:rPr>
        <w:t xml:space="preserve">6 </w:t>
      </w:r>
      <w:r w:rsidR="00CC6835" w:rsidRPr="003A42FB">
        <w:rPr>
          <w:rFonts w:ascii="Times New Roman" w:eastAsiaTheme="minorEastAsia" w:hAnsi="Times New Roman" w:cs="Times New Roman"/>
          <w:b/>
          <w:bCs/>
          <w:sz w:val="24"/>
          <w:szCs w:val="24"/>
        </w:rPr>
        <w:t>– odpowiednie stosowanie przepisów</w:t>
      </w:r>
    </w:p>
    <w:p w14:paraId="38BD9971" w14:textId="203F6BD0"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7C1EA8EB" w:rsidRPr="003A42FB">
        <w:rPr>
          <w:rFonts w:ascii="Times New Roman" w:eastAsiaTheme="minorEastAsia" w:hAnsi="Times New Roman" w:cs="Times New Roman"/>
          <w:sz w:val="24"/>
          <w:szCs w:val="24"/>
        </w:rPr>
        <w:t>146</w:t>
      </w:r>
      <w:r w:rsidRPr="003A42FB">
        <w:rPr>
          <w:rFonts w:ascii="Times New Roman" w:eastAsiaTheme="minorEastAsia" w:hAnsi="Times New Roman" w:cs="Times New Roman"/>
          <w:sz w:val="24"/>
          <w:szCs w:val="24"/>
        </w:rPr>
        <w:t xml:space="preserve"> wskazuje, które przepisy z zakresu gospodarowania numeracją mają być stosowane w przypadku przydziału, odmowy przydziału lub cofania przydziału znaków identyfikujących abonenta oraz do ich udostępniania lub odmowy udostępnienia.</w:t>
      </w:r>
    </w:p>
    <w:p w14:paraId="540AE408" w14:textId="58AB8D57" w:rsidR="00365F2B" w:rsidRPr="003A42FB" w:rsidDel="00A831A9" w:rsidRDefault="42B9CB1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56AAC" w:rsidRPr="003A42FB">
        <w:rPr>
          <w:rFonts w:ascii="Times New Roman" w:eastAsiaTheme="minorEastAsia" w:hAnsi="Times New Roman" w:cs="Times New Roman"/>
          <w:b/>
          <w:bCs/>
          <w:sz w:val="24"/>
          <w:szCs w:val="24"/>
        </w:rPr>
        <w:t>1</w:t>
      </w:r>
      <w:r w:rsidR="00856AAC">
        <w:rPr>
          <w:rFonts w:ascii="Times New Roman" w:eastAsiaTheme="minorEastAsia" w:hAnsi="Times New Roman" w:cs="Times New Roman"/>
          <w:b/>
          <w:bCs/>
          <w:sz w:val="24"/>
          <w:szCs w:val="24"/>
        </w:rPr>
        <w:t>6</w:t>
      </w:r>
      <w:r w:rsidR="00856AAC" w:rsidRPr="003A42FB">
        <w:rPr>
          <w:rFonts w:ascii="Times New Roman" w:eastAsiaTheme="minorEastAsia" w:hAnsi="Times New Roman" w:cs="Times New Roman"/>
          <w:b/>
          <w:bCs/>
          <w:sz w:val="24"/>
          <w:szCs w:val="24"/>
        </w:rPr>
        <w:t xml:space="preserve">7 </w:t>
      </w:r>
      <w:r w:rsidR="0003381A" w:rsidRPr="003A42FB">
        <w:rPr>
          <w:rFonts w:ascii="Times New Roman" w:eastAsiaTheme="minorEastAsia" w:hAnsi="Times New Roman" w:cs="Times New Roman"/>
          <w:b/>
          <w:bCs/>
          <w:sz w:val="24"/>
          <w:szCs w:val="24"/>
        </w:rPr>
        <w:t>–</w:t>
      </w:r>
      <w:r w:rsidR="00CC6835" w:rsidRPr="003A42FB">
        <w:rPr>
          <w:rFonts w:ascii="Times New Roman" w:eastAsiaTheme="minorEastAsia" w:hAnsi="Times New Roman" w:cs="Times New Roman"/>
          <w:b/>
          <w:bCs/>
          <w:sz w:val="24"/>
          <w:szCs w:val="24"/>
        </w:rPr>
        <w:t xml:space="preserve"> </w:t>
      </w:r>
      <w:r w:rsidR="0003381A" w:rsidRPr="003A42FB">
        <w:rPr>
          <w:rFonts w:ascii="Times New Roman" w:eastAsiaTheme="minorEastAsia" w:hAnsi="Times New Roman" w:cs="Times New Roman"/>
          <w:b/>
          <w:bCs/>
          <w:sz w:val="24"/>
          <w:szCs w:val="24"/>
        </w:rPr>
        <w:t xml:space="preserve">zmiana numeracji </w:t>
      </w:r>
    </w:p>
    <w:p w14:paraId="59517CC6" w14:textId="6639E937" w:rsidR="00DE19F2" w:rsidRPr="003A42FB" w:rsidRDefault="00805650" w:rsidP="00C53EAB">
      <w:pPr>
        <w:spacing w:after="120" w:line="240" w:lineRule="auto"/>
        <w:jc w:val="both"/>
        <w:rPr>
          <w:rFonts w:ascii="Times New Roman" w:hAnsi="Times New Roman" w:cs="Times New Roman"/>
          <w:sz w:val="24"/>
          <w:szCs w:val="24"/>
        </w:rPr>
      </w:pPr>
      <w:r w:rsidRPr="5372851C">
        <w:rPr>
          <w:rFonts w:ascii="Times New Roman" w:eastAsiaTheme="minorEastAsia" w:hAnsi="Times New Roman" w:cs="Times New Roman"/>
          <w:sz w:val="24"/>
          <w:szCs w:val="24"/>
        </w:rPr>
        <w:t xml:space="preserve">Artykuł </w:t>
      </w:r>
      <w:r w:rsidR="00856AAC" w:rsidRPr="5372851C">
        <w:rPr>
          <w:rFonts w:ascii="Times New Roman" w:eastAsiaTheme="minorEastAsia" w:hAnsi="Times New Roman" w:cs="Times New Roman"/>
          <w:sz w:val="24"/>
          <w:szCs w:val="24"/>
        </w:rPr>
        <w:t>1</w:t>
      </w:r>
      <w:r w:rsidR="00856AAC">
        <w:rPr>
          <w:rFonts w:ascii="Times New Roman" w:eastAsiaTheme="minorEastAsia" w:hAnsi="Times New Roman" w:cs="Times New Roman"/>
          <w:sz w:val="24"/>
          <w:szCs w:val="24"/>
        </w:rPr>
        <w:t>6</w:t>
      </w:r>
      <w:r w:rsidR="00856AAC" w:rsidRPr="5372851C">
        <w:rPr>
          <w:rFonts w:ascii="Times New Roman" w:eastAsiaTheme="minorEastAsia" w:hAnsi="Times New Roman" w:cs="Times New Roman"/>
          <w:sz w:val="24"/>
          <w:szCs w:val="24"/>
        </w:rPr>
        <w:t xml:space="preserve">7 </w:t>
      </w:r>
      <w:r w:rsidRPr="5372851C">
        <w:rPr>
          <w:rFonts w:ascii="Times New Roman" w:eastAsiaTheme="minorEastAsia" w:hAnsi="Times New Roman" w:cs="Times New Roman"/>
          <w:sz w:val="24"/>
          <w:szCs w:val="24"/>
        </w:rPr>
        <w:t xml:space="preserve">reguluje kwestie związane z wymaganymi procedurami postępowania w przypadku planowanej zmiany użytkowanej numeracji przez przedsiębiorcę telekomunikacyjnego. </w:t>
      </w:r>
      <w:r w:rsidR="434CDB7F" w:rsidRPr="5372851C">
        <w:rPr>
          <w:rFonts w:ascii="Times New Roman" w:eastAsiaTheme="minorEastAsia" w:hAnsi="Times New Roman" w:cs="Times New Roman"/>
          <w:sz w:val="24"/>
          <w:szCs w:val="24"/>
        </w:rPr>
        <w:t xml:space="preserve">Kwestie te nie są regulowane w EKŁE. </w:t>
      </w:r>
      <w:r w:rsidR="3E0964AC" w:rsidRPr="5372851C">
        <w:rPr>
          <w:rFonts w:ascii="Times New Roman" w:eastAsiaTheme="minorEastAsia" w:hAnsi="Times New Roman" w:cs="Times New Roman"/>
          <w:sz w:val="24"/>
          <w:szCs w:val="24"/>
        </w:rPr>
        <w:t xml:space="preserve">Przepisy </w:t>
      </w:r>
      <w:r w:rsidR="43404BD5" w:rsidRPr="5372851C">
        <w:rPr>
          <w:rFonts w:ascii="Times New Roman" w:eastAsiaTheme="minorEastAsia" w:hAnsi="Times New Roman" w:cs="Times New Roman"/>
          <w:sz w:val="24"/>
          <w:szCs w:val="24"/>
        </w:rPr>
        <w:t>Pke</w:t>
      </w:r>
      <w:r w:rsidR="3E0964AC" w:rsidRPr="5372851C">
        <w:rPr>
          <w:rFonts w:ascii="Times New Roman" w:eastAsiaTheme="minorEastAsia" w:hAnsi="Times New Roman" w:cs="Times New Roman"/>
          <w:sz w:val="24"/>
          <w:szCs w:val="24"/>
        </w:rPr>
        <w:t xml:space="preserve"> nie wprowadzają </w:t>
      </w:r>
      <w:r w:rsidR="5DC801F2" w:rsidRPr="5372851C">
        <w:rPr>
          <w:rFonts w:ascii="Times New Roman" w:eastAsiaTheme="minorEastAsia" w:hAnsi="Times New Roman" w:cs="Times New Roman"/>
          <w:sz w:val="24"/>
          <w:szCs w:val="24"/>
        </w:rPr>
        <w:t xml:space="preserve">w tym zakresie </w:t>
      </w:r>
      <w:r w:rsidR="3E0964AC" w:rsidRPr="5372851C">
        <w:rPr>
          <w:rFonts w:ascii="Times New Roman" w:eastAsiaTheme="minorEastAsia" w:hAnsi="Times New Roman" w:cs="Times New Roman"/>
          <w:sz w:val="24"/>
          <w:szCs w:val="24"/>
        </w:rPr>
        <w:t xml:space="preserve">istotnych zmian względem przepisów Pt. </w:t>
      </w:r>
      <w:r w:rsidRPr="5372851C">
        <w:rPr>
          <w:rFonts w:ascii="Times New Roman" w:eastAsiaTheme="minorEastAsia" w:hAnsi="Times New Roman" w:cs="Times New Roman"/>
          <w:sz w:val="24"/>
          <w:szCs w:val="24"/>
        </w:rPr>
        <w:t xml:space="preserve">Ustęp 1 wskazuje na uprawnienie podmiotu, który uzyskał prawo do wykorzystywania zasobów numeracji do dokonywania zmian numeracji dla określonych obszarów sieci oraz zmian indywidualnych numerów przydzielonych abonentom. Zmiany mogą być wprowadzane tylko w przypadku zmiany przydziału zakresu numeracji albo przebudowy lub rozbudowy eksploatowanej sieci publicznej i wyłącznie niezbędnym zakresie. Z uwagi na fakt, że zmiana numeru abonenckiego nie jest sytuacją korzystną dla abonenta, informacja o planowanych zmianach powinna być podana do publicznej wiadomości z odpowiednim wyprzedzeniem czasowym – 90 dni przed </w:t>
      </w:r>
      <w:r w:rsidRPr="5372851C">
        <w:rPr>
          <w:rFonts w:ascii="Times New Roman" w:eastAsiaTheme="minorEastAsia" w:hAnsi="Times New Roman" w:cs="Times New Roman"/>
          <w:sz w:val="24"/>
          <w:szCs w:val="24"/>
        </w:rPr>
        <w:lastRenderedPageBreak/>
        <w:t>wprowadzeniem zmian (ust. 2). Jednocześnie abonent powinien zostać indywidualnie powiadomiony o zmianie numeru i nowym przydzielonym numerze na piśmie</w:t>
      </w:r>
      <w:r w:rsidR="32B1DF8F" w:rsidRPr="5372851C">
        <w:rPr>
          <w:rFonts w:ascii="Times New Roman" w:eastAsiaTheme="minorEastAsia" w:hAnsi="Times New Roman" w:cs="Times New Roman"/>
          <w:sz w:val="24"/>
          <w:szCs w:val="24"/>
        </w:rPr>
        <w:t>,</w:t>
      </w:r>
      <w:r w:rsidRPr="5372851C">
        <w:rPr>
          <w:rFonts w:ascii="Times New Roman" w:eastAsiaTheme="minorEastAsia" w:hAnsi="Times New Roman" w:cs="Times New Roman"/>
          <w:sz w:val="24"/>
          <w:szCs w:val="24"/>
        </w:rPr>
        <w:t xml:space="preserve"> na udostępniony dostawcy usług adres korespondencyjny również z wyprzedzeniem 90-dniowym. Skrócenie okresu powiadomienia możliwe jest jedynie po uzyskaniu zgody Prezesa UKE. Jeżeli abonent nie udostępnił adresu korespondencyjnego, a udostępnił inne dane, o których mowa w art. </w:t>
      </w:r>
      <w:r w:rsidR="00856AAC">
        <w:rPr>
          <w:rFonts w:ascii="Times New Roman" w:eastAsiaTheme="minorEastAsia" w:hAnsi="Times New Roman" w:cs="Times New Roman"/>
          <w:sz w:val="24"/>
          <w:szCs w:val="24"/>
        </w:rPr>
        <w:t>284</w:t>
      </w:r>
      <w:r w:rsidR="00856AAC" w:rsidRPr="5372851C">
        <w:rPr>
          <w:rFonts w:ascii="Times New Roman" w:eastAsiaTheme="minorEastAsia" w:hAnsi="Times New Roman" w:cs="Times New Roman"/>
          <w:sz w:val="24"/>
          <w:szCs w:val="24"/>
        </w:rPr>
        <w:t xml:space="preserve"> </w:t>
      </w:r>
      <w:r w:rsidRPr="5372851C">
        <w:rPr>
          <w:rFonts w:ascii="Times New Roman" w:eastAsiaTheme="minorEastAsia" w:hAnsi="Times New Roman" w:cs="Times New Roman"/>
          <w:sz w:val="24"/>
          <w:szCs w:val="24"/>
        </w:rPr>
        <w:t xml:space="preserve">ust. </w:t>
      </w:r>
      <w:r w:rsidR="00856AAC">
        <w:rPr>
          <w:rFonts w:ascii="Times New Roman" w:eastAsiaTheme="minorEastAsia" w:hAnsi="Times New Roman" w:cs="Times New Roman"/>
          <w:sz w:val="24"/>
          <w:szCs w:val="24"/>
        </w:rPr>
        <w:t>2</w:t>
      </w:r>
      <w:r w:rsidR="00856AAC" w:rsidRPr="5372851C">
        <w:rPr>
          <w:rFonts w:ascii="Times New Roman" w:eastAsiaTheme="minorEastAsia" w:hAnsi="Times New Roman" w:cs="Times New Roman"/>
          <w:sz w:val="24"/>
          <w:szCs w:val="24"/>
        </w:rPr>
        <w:t xml:space="preserve"> </w:t>
      </w:r>
      <w:r w:rsidRPr="5372851C">
        <w:rPr>
          <w:rFonts w:ascii="Times New Roman" w:eastAsiaTheme="minorEastAsia" w:hAnsi="Times New Roman" w:cs="Times New Roman"/>
          <w:sz w:val="24"/>
          <w:szCs w:val="24"/>
        </w:rPr>
        <w:t xml:space="preserve">zawiadomienie jest doręczane drogą elektroniczną na adres poczty elektronicznej lub za pomocą środków komunikacji elektronicznej (ust. </w:t>
      </w:r>
      <w:r w:rsidR="0003381A" w:rsidRPr="5372851C">
        <w:rPr>
          <w:rFonts w:ascii="Times New Roman" w:eastAsiaTheme="minorEastAsia" w:hAnsi="Times New Roman" w:cs="Times New Roman"/>
          <w:sz w:val="24"/>
          <w:szCs w:val="24"/>
        </w:rPr>
        <w:t>4</w:t>
      </w:r>
      <w:r w:rsidRPr="5372851C">
        <w:rPr>
          <w:rFonts w:ascii="Times New Roman" w:eastAsiaTheme="minorEastAsia" w:hAnsi="Times New Roman" w:cs="Times New Roman"/>
          <w:sz w:val="24"/>
          <w:szCs w:val="24"/>
        </w:rPr>
        <w:t>). Obowiązkiem podmiotu, który dokonuje zmian numeracji jest również zapewnienie bezpłatnej, automatycznej informacji słownej o wprowadzonych zmianach pod poprzednimi numerami. Informacja taka ma być dostępna przez okres co najmniej 12 miesięcy</w:t>
      </w:r>
      <w:r w:rsidR="0003381A" w:rsidRPr="5372851C">
        <w:rPr>
          <w:rFonts w:ascii="Times New Roman" w:eastAsiaTheme="minorEastAsia" w:hAnsi="Times New Roman" w:cs="Times New Roman"/>
          <w:sz w:val="24"/>
          <w:szCs w:val="24"/>
        </w:rPr>
        <w:t xml:space="preserve"> (ust. 6)</w:t>
      </w:r>
      <w:r w:rsidRPr="5372851C">
        <w:rPr>
          <w:rFonts w:ascii="Times New Roman" w:eastAsiaTheme="minorEastAsia" w:hAnsi="Times New Roman" w:cs="Times New Roman"/>
          <w:sz w:val="24"/>
          <w:szCs w:val="24"/>
        </w:rPr>
        <w:t>.</w:t>
      </w:r>
    </w:p>
    <w:p w14:paraId="79CD4A2F" w14:textId="77777777" w:rsidR="00696205" w:rsidRPr="003A42FB" w:rsidRDefault="00696205" w:rsidP="00C53EAB">
      <w:pPr>
        <w:pStyle w:val="ROZDZODDZPRZEDMprzedmiotregulacjirozdziauluboddziau"/>
        <w:spacing w:before="0" w:after="120" w:line="240" w:lineRule="auto"/>
        <w:jc w:val="both"/>
        <w:rPr>
          <w:rFonts w:ascii="Times New Roman" w:hAnsi="Times New Roman"/>
          <w:lang w:eastAsia="en-US"/>
        </w:rPr>
      </w:pPr>
    </w:p>
    <w:p w14:paraId="7F33FBFC" w14:textId="68DA6789" w:rsidR="00365F2B" w:rsidRPr="003A42FB" w:rsidRDefault="00365F2B" w:rsidP="00C53EAB">
      <w:pPr>
        <w:pStyle w:val="ROZDZODDZPRZEDMprzedmiotregulacjirozdziauluboddziau"/>
        <w:spacing w:before="0" w:after="120" w:line="240" w:lineRule="auto"/>
        <w:jc w:val="both"/>
        <w:rPr>
          <w:rFonts w:ascii="Times New Roman" w:hAnsi="Times New Roman"/>
          <w:lang w:eastAsia="en-US"/>
        </w:rPr>
      </w:pPr>
      <w:r w:rsidRPr="003A42FB">
        <w:rPr>
          <w:rFonts w:ascii="Times New Roman" w:hAnsi="Times New Roman"/>
          <w:lang w:eastAsia="en-US"/>
        </w:rPr>
        <w:t xml:space="preserve">DZIAŁ </w:t>
      </w:r>
      <w:r w:rsidRPr="003A42FB">
        <w:rPr>
          <w:rFonts w:ascii="Times New Roman" w:hAnsi="Times New Roman"/>
        </w:rPr>
        <w:t>III</w:t>
      </w:r>
      <w:r w:rsidRPr="003A42FB">
        <w:rPr>
          <w:rFonts w:ascii="Times New Roman" w:hAnsi="Times New Roman"/>
          <w:lang w:eastAsia="en-US"/>
        </w:rPr>
        <w:t>. Dostęp</w:t>
      </w:r>
    </w:p>
    <w:p w14:paraId="0245BE3A" w14:textId="77777777" w:rsidR="00A831A9" w:rsidRPr="003A42FB" w:rsidRDefault="00A831A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ramach otwartego i konkurencyjnego rynku nie powinny istnieć ograniczenia, które uniemożliwiałyby przedsiębiorstwom negocjowanie pomiędzy sobą porozumień, w tym porozumień transgranicznych, dotyczących dostępu i wzajemnych połączeń, stosownie do reguł konkurencji ustanowionych w TFUE. W kontekście kreowania bardziej efektywnego, konkurencyjnego, ogólnoeuropejskiego rynku, cechującego się większym wyborem i bardziej konkurencyjnymi cenami dla użytkowników końcowych, przedsiębiorstwa, które otrzymują wnioski o dostęp lub wzajemne połączenia od innych przedsiębiorstw, powinny co do zasady zawierać takie porozumienia według reguł handlowych oraz prowadzić negocjacje w dobrej wierze.</w:t>
      </w:r>
    </w:p>
    <w:p w14:paraId="7DAB6444" w14:textId="438EF4AF" w:rsidR="00A831A9" w:rsidRPr="003A42FB" w:rsidRDefault="00A831A9"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W odniesieniu do rynków, na których nadal występują duże różnice w pozycji negocjacyjnej pomiędzy poszczególnymi przedsiębiorstwami, i gdzie niektóre przedsiębiorstwa bazują przy świadczeniu swoich usług na cudzej infrastrukturze, EKŁE wskazuje na potrzebę ustanowienia ram regulacyjnych, które gwarantowałyby skuteczne funkcjonowanie rynku. W przypadku Polski, Prezes UKE powinien mieć uprawnienia do zabezpieczenia odpowiedniego dostępu, wzajemnych połączeń oraz interoperacyjności usług ze względu na interes użytkowników końcowych w sytuacji, gdy negocjacje handlowe okażą się bezowocne.</w:t>
      </w:r>
    </w:p>
    <w:p w14:paraId="7D9FE2D0"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49DD5A65" w14:textId="23BD40D9" w:rsidR="00A831A9" w:rsidRPr="003A42FB" w:rsidRDefault="00365F2B"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 xml:space="preserve">ROZDZIAŁ 1. </w:t>
      </w:r>
      <w:r w:rsidR="00A831A9" w:rsidRPr="003A42FB">
        <w:rPr>
          <w:rFonts w:ascii="Times New Roman" w:hAnsi="Times New Roman" w:cs="Times New Roman"/>
          <w:b/>
          <w:lang w:eastAsia="en-US"/>
        </w:rPr>
        <w:t>Zasady zapewnienia dostępu</w:t>
      </w:r>
    </w:p>
    <w:p w14:paraId="6EC347BE" w14:textId="56B4DFA9" w:rsidR="00A831A9" w:rsidRPr="003A42FB" w:rsidDel="00E2246B" w:rsidRDefault="00A831A9" w:rsidP="00C53EAB">
      <w:pPr>
        <w:spacing w:after="120" w:line="240" w:lineRule="auto"/>
        <w:jc w:val="both"/>
        <w:rPr>
          <w:rFonts w:ascii="Times New Roman" w:eastAsiaTheme="minorEastAsia" w:hAnsi="Times New Roman" w:cs="Times New Roman"/>
          <w:sz w:val="24"/>
          <w:szCs w:val="24"/>
          <w:shd w:val="clear" w:color="auto" w:fill="FFFFFF"/>
        </w:rPr>
      </w:pPr>
      <w:r w:rsidRPr="003A42FB">
        <w:rPr>
          <w:rFonts w:ascii="Times New Roman" w:eastAsiaTheme="minorEastAsia" w:hAnsi="Times New Roman" w:cs="Times New Roman"/>
          <w:b/>
          <w:bCs/>
          <w:sz w:val="24"/>
          <w:szCs w:val="24"/>
        </w:rPr>
        <w:t>Art.</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
          <w:bCs/>
          <w:sz w:val="24"/>
          <w:szCs w:val="24"/>
        </w:rPr>
        <w:t>1</w:t>
      </w:r>
      <w:r w:rsidR="00B77EFB">
        <w:rPr>
          <w:rFonts w:ascii="Times New Roman" w:eastAsiaTheme="minorEastAsia" w:hAnsi="Times New Roman" w:cs="Times New Roman"/>
          <w:b/>
          <w:bCs/>
          <w:sz w:val="24"/>
          <w:szCs w:val="24"/>
        </w:rPr>
        <w:t>6</w:t>
      </w:r>
      <w:r w:rsidRPr="003A42FB">
        <w:rPr>
          <w:rFonts w:ascii="Times New Roman" w:eastAsiaTheme="minorEastAsia" w:hAnsi="Times New Roman" w:cs="Times New Roman"/>
          <w:b/>
          <w:bCs/>
          <w:sz w:val="24"/>
          <w:szCs w:val="24"/>
        </w:rPr>
        <w:t>8</w:t>
      </w:r>
    </w:p>
    <w:p w14:paraId="54A439CF" w14:textId="73F539D2" w:rsidR="00A831A9" w:rsidRPr="003A42FB" w:rsidRDefault="00A831A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Zasadą jest świadczenie dostępu </w:t>
      </w:r>
      <w:r w:rsidR="00CC1B14">
        <w:rPr>
          <w:rFonts w:ascii="Times New Roman" w:eastAsiaTheme="minorEastAsia" w:hAnsi="Times New Roman" w:cs="Times New Roman"/>
          <w:sz w:val="24"/>
          <w:szCs w:val="24"/>
        </w:rPr>
        <w:t xml:space="preserve">telekomunikacyjnego </w:t>
      </w:r>
      <w:r w:rsidRPr="003A42FB">
        <w:rPr>
          <w:rFonts w:ascii="Times New Roman" w:eastAsiaTheme="minorEastAsia" w:hAnsi="Times New Roman" w:cs="Times New Roman"/>
          <w:sz w:val="24"/>
          <w:szCs w:val="24"/>
        </w:rPr>
        <w:t>na podstawie umowy o dostępie, wyjątkiem jest sytuacja, gdy treść zobowiązania pomiędzy stronami jest określona na podstawie rozstrzygnięcia Prezesa UKE. Przepisy ustawy przewidują dla umowy o dostępie formę dokumentową pod rygorem nieważności.</w:t>
      </w:r>
      <w:r w:rsidR="00CC1B14">
        <w:rPr>
          <w:rFonts w:ascii="Times New Roman" w:eastAsiaTheme="minorEastAsia" w:hAnsi="Times New Roman" w:cs="Times New Roman"/>
          <w:sz w:val="24"/>
          <w:szCs w:val="24"/>
        </w:rPr>
        <w:t xml:space="preserve"> Dotychczas obowiązaną formą dla umowy o dostępie była forma pisemna.</w:t>
      </w:r>
    </w:p>
    <w:p w14:paraId="3B4AA8B8" w14:textId="6FAB126D" w:rsidR="00A831A9" w:rsidRPr="003A42FB" w:rsidRDefault="00A831A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Forma dokumentowa jest jedną z form zawierania umów przewidzianą przepisami </w:t>
      </w:r>
      <w:r w:rsidR="00CC5D25" w:rsidRPr="003A42FB">
        <w:rPr>
          <w:rFonts w:ascii="Times New Roman" w:eastAsiaTheme="minorEastAsia" w:hAnsi="Times New Roman" w:cs="Times New Roman"/>
          <w:sz w:val="24"/>
          <w:szCs w:val="24"/>
        </w:rPr>
        <w:t>ustawy z</w:t>
      </w:r>
      <w:r w:rsidR="003D6E8C" w:rsidRPr="003A42FB">
        <w:rPr>
          <w:rFonts w:ascii="Times New Roman" w:eastAsiaTheme="minorEastAsia" w:hAnsi="Times New Roman" w:cs="Times New Roman"/>
          <w:sz w:val="24"/>
          <w:szCs w:val="24"/>
        </w:rPr>
        <w:t> </w:t>
      </w:r>
      <w:r w:rsidR="00CC5D25" w:rsidRPr="003A42FB">
        <w:rPr>
          <w:rFonts w:ascii="Times New Roman" w:eastAsiaTheme="minorEastAsia" w:hAnsi="Times New Roman" w:cs="Times New Roman"/>
          <w:sz w:val="24"/>
          <w:szCs w:val="24"/>
        </w:rPr>
        <w:t xml:space="preserve">dnia 23 kwietnia 1964 r. - Kodeks cywilny (Dz. U. z 2019 r. poz. 1145 i 1495 oraz z 2020 r. poz. 875), zwanego dalej </w:t>
      </w:r>
      <w:r w:rsidR="003D6E8C" w:rsidRPr="003A42FB">
        <w:rPr>
          <w:rFonts w:ascii="Times New Roman" w:eastAsiaTheme="minorEastAsia" w:hAnsi="Times New Roman" w:cs="Times New Roman"/>
          <w:sz w:val="24"/>
          <w:szCs w:val="24"/>
        </w:rPr>
        <w:t xml:space="preserve">również </w:t>
      </w:r>
      <w:r w:rsidR="00CC5D25" w:rsidRPr="003A42FB">
        <w:rPr>
          <w:rFonts w:ascii="Times New Roman" w:eastAsiaTheme="minorEastAsia" w:hAnsi="Times New Roman" w:cs="Times New Roman"/>
          <w:sz w:val="24"/>
          <w:szCs w:val="24"/>
        </w:rPr>
        <w:t>“</w:t>
      </w:r>
      <w:r w:rsidR="008908C9" w:rsidRPr="003A42FB">
        <w:rPr>
          <w:rFonts w:ascii="Times New Roman" w:eastAsiaTheme="minorEastAsia" w:hAnsi="Times New Roman" w:cs="Times New Roman"/>
          <w:sz w:val="24"/>
          <w:szCs w:val="24"/>
        </w:rPr>
        <w:t>K</w:t>
      </w:r>
      <w:r w:rsidR="00F94297" w:rsidRPr="003A42FB">
        <w:rPr>
          <w:rFonts w:ascii="Times New Roman" w:eastAsiaTheme="minorEastAsia" w:hAnsi="Times New Roman" w:cs="Times New Roman"/>
          <w:sz w:val="24"/>
          <w:szCs w:val="24"/>
        </w:rPr>
        <w:t>c</w:t>
      </w:r>
      <w:r w:rsidR="00CC5D25"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Proponowane zmiany wpisują się w prowadzone przez rząd działania zmierzające do cyfryzacji państwa i gospodarki. Wprowadzana forma dokumentowa umożliwia złożenie oświadczenia woli w postaci dokumentu w sposób umożliwiający ustalenie osoby składającej oświadczenie. W myśl art. 773 </w:t>
      </w:r>
      <w:r w:rsidR="00CC5D25" w:rsidRPr="003A42FB">
        <w:rPr>
          <w:rFonts w:ascii="Times New Roman" w:eastAsiaTheme="minorEastAsia" w:hAnsi="Times New Roman" w:cs="Times New Roman"/>
          <w:sz w:val="24"/>
          <w:szCs w:val="24"/>
        </w:rPr>
        <w:t>K</w:t>
      </w:r>
      <w:r w:rsidR="00F94297" w:rsidRPr="003A42FB">
        <w:rPr>
          <w:rFonts w:ascii="Times New Roman" w:eastAsiaTheme="minorEastAsia" w:hAnsi="Times New Roman" w:cs="Times New Roman"/>
          <w:sz w:val="24"/>
          <w:szCs w:val="24"/>
        </w:rPr>
        <w:t>c</w:t>
      </w:r>
      <w:r w:rsidRPr="003A42FB">
        <w:rPr>
          <w:rFonts w:ascii="Times New Roman" w:eastAsiaTheme="minorEastAsia" w:hAnsi="Times New Roman" w:cs="Times New Roman"/>
          <w:sz w:val="24"/>
          <w:szCs w:val="24"/>
        </w:rPr>
        <w:t xml:space="preserve"> dokumentem jest nośnik informacji umożliwiający zapoznanie się z jej treścią. W celu zapewnienia odpowiedniego poziomu pewności obrotu na rynku telekomunikacyjnym oraz obowiązkami przedsiębiorców, dla umowy o dostępie zastrzeżony jest rygor nieważności.</w:t>
      </w:r>
    </w:p>
    <w:p w14:paraId="36FABECB" w14:textId="21B82EEB" w:rsidR="00A831A9" w:rsidRPr="003A42FB" w:rsidRDefault="00A831A9"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lastRenderedPageBreak/>
        <w:t xml:space="preserve">Umowa o dostępie określa warunki dostępu i związanej z nim współpracy ustalone w trakcie negocjacji. Negocjacje są trybem zawarcia umowy. Zgodnie z art. 72 § 1 </w:t>
      </w:r>
      <w:r w:rsidR="00B77EFB">
        <w:rPr>
          <w:rFonts w:ascii="Times New Roman" w:eastAsiaTheme="minorEastAsia" w:hAnsi="Times New Roman" w:cs="Times New Roman"/>
          <w:sz w:val="24"/>
          <w:szCs w:val="24"/>
        </w:rPr>
        <w:t>Kc</w:t>
      </w:r>
      <w:r w:rsidRPr="003A42FB">
        <w:rPr>
          <w:rFonts w:ascii="Times New Roman" w:eastAsiaTheme="minorEastAsia" w:hAnsi="Times New Roman" w:cs="Times New Roman"/>
          <w:sz w:val="24"/>
          <w:szCs w:val="24"/>
        </w:rPr>
        <w:t>, jeżeli strony prowadzą negocjacje w celu zawarcia oznaczonej umowy, umowa zostaje zawarta, gdy strony dojdą do porozumienia co do wszystkich jej postanowień, które były przedmiotem negocjacji. Należy podkreślić, że poza przedsiębiorcami telekomunikacyjnym, stroną negocjacji mogą być innego rodzaju podmioty – m.in. operatorzy sieci w rozumieniu ustawy o wspieraniu rozwoju, jednostki samorządu terytorialnego, właściciele, użytkownicy wieczyści lub zarządcy.</w:t>
      </w:r>
    </w:p>
    <w:p w14:paraId="57CB9B9E" w14:textId="31ECAA24" w:rsidR="002455CA" w:rsidRPr="003A42FB" w:rsidRDefault="00894C3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B77EFB">
        <w:rPr>
          <w:rFonts w:ascii="Times New Roman" w:eastAsiaTheme="minorEastAsia" w:hAnsi="Times New Roman" w:cs="Times New Roman"/>
          <w:b/>
          <w:bCs/>
          <w:sz w:val="24"/>
          <w:szCs w:val="24"/>
        </w:rPr>
        <w:t>6</w:t>
      </w:r>
      <w:r w:rsidRPr="003A42FB">
        <w:rPr>
          <w:rFonts w:ascii="Times New Roman" w:eastAsiaTheme="minorEastAsia" w:hAnsi="Times New Roman" w:cs="Times New Roman"/>
          <w:b/>
          <w:bCs/>
          <w:sz w:val="24"/>
          <w:szCs w:val="24"/>
        </w:rPr>
        <w:t>9</w:t>
      </w:r>
    </w:p>
    <w:p w14:paraId="12DB531E" w14:textId="011418AD" w:rsidR="002455CA" w:rsidRPr="003A42FB" w:rsidRDefault="002455C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projektowanym art. </w:t>
      </w:r>
      <w:r w:rsidR="00B77EFB"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6</w:t>
      </w:r>
      <w:r w:rsidR="00B77EFB"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ust. 1 przewidziany jest ogólny obowiązek uwzględ</w:t>
      </w:r>
      <w:r w:rsidR="00894C34" w:rsidRPr="003A42FB">
        <w:rPr>
          <w:rFonts w:ascii="Times New Roman" w:eastAsiaTheme="minorEastAsia" w:hAnsi="Times New Roman" w:cs="Times New Roman"/>
          <w:sz w:val="24"/>
          <w:szCs w:val="24"/>
        </w:rPr>
        <w:t xml:space="preserve">niania obowiązków </w:t>
      </w:r>
      <w:r w:rsidR="00401436">
        <w:rPr>
          <w:rFonts w:ascii="Times New Roman" w:eastAsiaTheme="minorEastAsia" w:hAnsi="Times New Roman" w:cs="Times New Roman"/>
          <w:sz w:val="24"/>
          <w:szCs w:val="24"/>
        </w:rPr>
        <w:t>spoczywającym na</w:t>
      </w:r>
      <w:r w:rsidR="00894C34" w:rsidRPr="003A42FB">
        <w:rPr>
          <w:rFonts w:ascii="Times New Roman" w:eastAsiaTheme="minorEastAsia" w:hAnsi="Times New Roman" w:cs="Times New Roman"/>
          <w:sz w:val="24"/>
          <w:szCs w:val="24"/>
        </w:rPr>
        <w:t> </w:t>
      </w:r>
      <w:r w:rsidRPr="003A42FB">
        <w:rPr>
          <w:rFonts w:ascii="Times New Roman" w:eastAsiaTheme="minorEastAsia" w:hAnsi="Times New Roman" w:cs="Times New Roman"/>
          <w:sz w:val="24"/>
          <w:szCs w:val="24"/>
        </w:rPr>
        <w:t>podmio</w:t>
      </w:r>
      <w:r w:rsidR="00401436">
        <w:rPr>
          <w:rFonts w:ascii="Times New Roman" w:eastAsiaTheme="minorEastAsia" w:hAnsi="Times New Roman" w:cs="Times New Roman"/>
          <w:sz w:val="24"/>
          <w:szCs w:val="24"/>
        </w:rPr>
        <w:t xml:space="preserve">cie </w:t>
      </w:r>
      <w:r w:rsidRPr="003A42FB">
        <w:rPr>
          <w:rFonts w:ascii="Times New Roman" w:eastAsiaTheme="minorEastAsia" w:hAnsi="Times New Roman" w:cs="Times New Roman"/>
          <w:sz w:val="24"/>
          <w:szCs w:val="24"/>
        </w:rPr>
        <w:t>prowadzący</w:t>
      </w:r>
      <w:r w:rsidR="00401436">
        <w:rPr>
          <w:rFonts w:ascii="Times New Roman" w:eastAsiaTheme="minorEastAsia" w:hAnsi="Times New Roman" w:cs="Times New Roman"/>
          <w:sz w:val="24"/>
          <w:szCs w:val="24"/>
        </w:rPr>
        <w:t>m</w:t>
      </w:r>
      <w:r w:rsidRPr="003A42FB">
        <w:rPr>
          <w:rFonts w:ascii="Times New Roman" w:eastAsiaTheme="minorEastAsia" w:hAnsi="Times New Roman" w:cs="Times New Roman"/>
          <w:sz w:val="24"/>
          <w:szCs w:val="24"/>
        </w:rPr>
        <w:t xml:space="preserve"> negocjacje umowy o dostęp. Do takich obowiązków należą zarówno obowiązki </w:t>
      </w:r>
      <w:r w:rsidR="00401436">
        <w:rPr>
          <w:rFonts w:ascii="Times New Roman" w:eastAsiaTheme="minorEastAsia" w:hAnsi="Times New Roman" w:cs="Times New Roman"/>
          <w:sz w:val="24"/>
          <w:szCs w:val="24"/>
        </w:rPr>
        <w:t xml:space="preserve">ustawowe, jak i obowiązki </w:t>
      </w:r>
      <w:r w:rsidRPr="003A42FB">
        <w:rPr>
          <w:rFonts w:ascii="Times New Roman" w:eastAsiaTheme="minorEastAsia" w:hAnsi="Times New Roman" w:cs="Times New Roman"/>
          <w:sz w:val="24"/>
          <w:szCs w:val="24"/>
        </w:rPr>
        <w:t xml:space="preserve">symetryczne </w:t>
      </w:r>
      <w:r w:rsidR="00401436">
        <w:rPr>
          <w:rFonts w:ascii="Times New Roman" w:eastAsiaTheme="minorEastAsia" w:hAnsi="Times New Roman" w:cs="Times New Roman"/>
          <w:sz w:val="24"/>
          <w:szCs w:val="24"/>
        </w:rPr>
        <w:t>oraz</w:t>
      </w:r>
      <w:r w:rsidRPr="003A42FB">
        <w:rPr>
          <w:rFonts w:ascii="Times New Roman" w:eastAsiaTheme="minorEastAsia" w:hAnsi="Times New Roman" w:cs="Times New Roman"/>
          <w:sz w:val="24"/>
          <w:szCs w:val="24"/>
        </w:rPr>
        <w:t xml:space="preserve"> regulacyjne. </w:t>
      </w:r>
    </w:p>
    <w:p w14:paraId="3A9A901C" w14:textId="49B3C196" w:rsidR="002455CA" w:rsidRPr="003A42FB" w:rsidRDefault="002455C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w:t>
      </w:r>
      <w:r w:rsidR="00894C34" w:rsidRPr="003A42FB">
        <w:rPr>
          <w:rFonts w:ascii="Times New Roman" w:eastAsiaTheme="minorEastAsia" w:hAnsi="Times New Roman" w:cs="Times New Roman"/>
          <w:sz w:val="24"/>
          <w:szCs w:val="24"/>
        </w:rPr>
        <w:t>ktowany art.</w:t>
      </w:r>
      <w:r w:rsidR="69004D3B" w:rsidRPr="003A42FB">
        <w:rPr>
          <w:rFonts w:ascii="Times New Roman" w:eastAsiaTheme="minorEastAsia" w:hAnsi="Times New Roman" w:cs="Times New Roman"/>
          <w:sz w:val="24"/>
          <w:szCs w:val="24"/>
        </w:rPr>
        <w:t xml:space="preserve"> </w:t>
      </w:r>
      <w:r w:rsidR="00B77EFB"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6</w:t>
      </w:r>
      <w:r w:rsidR="00B77EFB"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ust. 2 przesądza, że informacje uzyskane w związku z negocjacjami mogą być wykorzystane wyłącznie zgodnie z ich przeznaczeniem i podlegają obowiązkowi zachowania poufności</w:t>
      </w:r>
      <w:r w:rsidR="00401436">
        <w:rPr>
          <w:rFonts w:ascii="Times New Roman" w:eastAsiaTheme="minorEastAsia" w:hAnsi="Times New Roman" w:cs="Times New Roman"/>
          <w:sz w:val="24"/>
          <w:szCs w:val="24"/>
        </w:rPr>
        <w:t>, także po ich zakończeniu</w:t>
      </w:r>
      <w:r w:rsidRPr="003A42FB">
        <w:rPr>
          <w:rFonts w:ascii="Times New Roman" w:eastAsiaTheme="minorEastAsia" w:hAnsi="Times New Roman" w:cs="Times New Roman"/>
          <w:sz w:val="24"/>
          <w:szCs w:val="24"/>
        </w:rPr>
        <w:t>. W ten sposób uwzględniony został wymóg nałożony na państwo członkowskie na podstawie art. 60 ust. 2 EKŁE.</w:t>
      </w:r>
    </w:p>
    <w:p w14:paraId="09FBB1A2" w14:textId="53AC3EAF" w:rsidR="4FB16293" w:rsidRPr="003A42FB" w:rsidRDefault="00A831A9"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Przedsiębiorca telekomunikacyjny</w:t>
      </w:r>
      <w:r w:rsidR="001C305E" w:rsidRPr="003A42FB">
        <w:rPr>
          <w:rFonts w:ascii="Times New Roman" w:eastAsiaTheme="minorEastAsia" w:hAnsi="Times New Roman" w:cs="Times New Roman"/>
          <w:sz w:val="24"/>
          <w:szCs w:val="24"/>
        </w:rPr>
        <w:t xml:space="preserve"> z państwa członkowskiego ubiegający się o dostęp, nie jest, zgodnie z projektowanym</w:t>
      </w:r>
      <w:r w:rsidR="001C305E" w:rsidRPr="003A42FB">
        <w:rPr>
          <w:rFonts w:ascii="Times New Roman" w:eastAsiaTheme="minorEastAsia" w:hAnsi="Times New Roman" w:cs="Times New Roman"/>
          <w:b/>
          <w:bCs/>
          <w:sz w:val="24"/>
          <w:szCs w:val="24"/>
        </w:rPr>
        <w:t xml:space="preserve"> </w:t>
      </w:r>
      <w:r w:rsidR="001C305E" w:rsidRPr="003A42FB">
        <w:rPr>
          <w:rFonts w:ascii="Times New Roman" w:eastAsiaTheme="minorEastAsia" w:hAnsi="Times New Roman" w:cs="Times New Roman"/>
          <w:sz w:val="24"/>
          <w:szCs w:val="24"/>
        </w:rPr>
        <w:t xml:space="preserve">art. </w:t>
      </w:r>
      <w:r w:rsidR="00B77EFB"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6</w:t>
      </w:r>
      <w:r w:rsidR="00B77EFB" w:rsidRPr="003A42FB">
        <w:rPr>
          <w:rFonts w:ascii="Times New Roman" w:eastAsiaTheme="minorEastAsia" w:hAnsi="Times New Roman" w:cs="Times New Roman"/>
          <w:sz w:val="24"/>
          <w:szCs w:val="24"/>
        </w:rPr>
        <w:t>9</w:t>
      </w:r>
      <w:r w:rsidR="00B77EFB" w:rsidRPr="003A42FB">
        <w:rPr>
          <w:rFonts w:ascii="Times New Roman" w:eastAsiaTheme="minorEastAsia" w:hAnsi="Times New Roman" w:cs="Times New Roman"/>
          <w:sz w:val="24"/>
          <w:szCs w:val="24"/>
          <w:vertAlign w:val="superscript"/>
        </w:rPr>
        <w:t xml:space="preserve"> </w:t>
      </w:r>
      <w:r w:rsidR="001C305E" w:rsidRPr="003A42FB">
        <w:rPr>
          <w:rFonts w:ascii="Times New Roman" w:eastAsiaTheme="minorEastAsia" w:hAnsi="Times New Roman" w:cs="Times New Roman"/>
          <w:sz w:val="24"/>
          <w:szCs w:val="24"/>
        </w:rPr>
        <w:t>ust. 3,</w:t>
      </w:r>
      <w:r w:rsidR="001C305E" w:rsidRPr="003A42FB">
        <w:rPr>
          <w:rFonts w:ascii="Times New Roman" w:eastAsiaTheme="minorEastAsia" w:hAnsi="Times New Roman" w:cs="Times New Roman"/>
          <w:b/>
          <w:bCs/>
          <w:sz w:val="24"/>
          <w:szCs w:val="24"/>
        </w:rPr>
        <w:t xml:space="preserve"> </w:t>
      </w:r>
      <w:r w:rsidR="001C305E" w:rsidRPr="003A42FB">
        <w:rPr>
          <w:rFonts w:ascii="Times New Roman" w:eastAsiaTheme="minorEastAsia" w:hAnsi="Times New Roman" w:cs="Times New Roman"/>
          <w:sz w:val="24"/>
          <w:szCs w:val="24"/>
        </w:rPr>
        <w:t>obowiązany uzyskać wpisu do rejestru przedsiębiorców telekomunikacyjnych, jeżeli nie wykonuje działalności telekomunikacyjnej na terytorium Rzeczypospolitej Polskiej. Przepis ten odzwierciedla cel zawarty w art. 59 ust. 1 EKŁE zdanie drugie, zgodnie z którym przedsiębiorcy nie świadczący usług i ni</w:t>
      </w:r>
      <w:r w:rsidR="09E1F4BE" w:rsidRPr="003A42FB">
        <w:rPr>
          <w:rFonts w:ascii="Times New Roman" w:eastAsiaTheme="minorEastAsia" w:hAnsi="Times New Roman" w:cs="Times New Roman"/>
          <w:sz w:val="24"/>
          <w:szCs w:val="24"/>
        </w:rPr>
        <w:t>e</w:t>
      </w:r>
      <w:r w:rsidR="001C305E" w:rsidRPr="003A42FB">
        <w:rPr>
          <w:rFonts w:ascii="Times New Roman" w:eastAsiaTheme="minorEastAsia" w:hAnsi="Times New Roman" w:cs="Times New Roman"/>
          <w:sz w:val="24"/>
          <w:szCs w:val="24"/>
        </w:rPr>
        <w:t>obsługujący sieci w danym państwie członkowskim nie muszą podlegać ogólnemu zezwoleniu.</w:t>
      </w:r>
      <w:r w:rsidR="00CC1B14">
        <w:rPr>
          <w:rFonts w:ascii="Times New Roman" w:eastAsia="Times New Roman" w:hAnsi="Times New Roman" w:cs="Times New Roman"/>
          <w:sz w:val="24"/>
          <w:szCs w:val="24"/>
        </w:rPr>
        <w:t xml:space="preserve"> </w:t>
      </w:r>
      <w:r w:rsidR="4FB16293" w:rsidRPr="003A42FB">
        <w:rPr>
          <w:rFonts w:ascii="Times New Roman" w:eastAsia="Times New Roman" w:hAnsi="Times New Roman" w:cs="Times New Roman"/>
          <w:sz w:val="24"/>
          <w:szCs w:val="24"/>
        </w:rPr>
        <w:t>Przepis w podobnym brzmieniu funkcjonował już w Pt (art. 26).</w:t>
      </w:r>
    </w:p>
    <w:p w14:paraId="116EACA0" w14:textId="11ED9DE9" w:rsidR="00462FCB" w:rsidRPr="003A42FB" w:rsidRDefault="00894C3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B77EFB">
        <w:rPr>
          <w:rFonts w:ascii="Times New Roman" w:eastAsiaTheme="minorEastAsia" w:hAnsi="Times New Roman" w:cs="Times New Roman"/>
          <w:b/>
          <w:bCs/>
          <w:sz w:val="24"/>
          <w:szCs w:val="24"/>
        </w:rPr>
        <w:t>70</w:t>
      </w:r>
    </w:p>
    <w:p w14:paraId="488B8E84" w14:textId="12D5DC3D" w:rsidR="2D665749" w:rsidRPr="003A42FB" w:rsidRDefault="00B77EFB" w:rsidP="00C53EAB">
      <w:pPr>
        <w:spacing w:after="120" w:line="240" w:lineRule="auto"/>
        <w:jc w:val="both"/>
        <w:rPr>
          <w:rFonts w:ascii="Times New Roman" w:eastAsia="Times New Roman" w:hAnsi="Times New Roman" w:cs="Times New Roman"/>
          <w:sz w:val="24"/>
          <w:szCs w:val="24"/>
        </w:rPr>
      </w:pPr>
      <w:r>
        <w:rPr>
          <w:rFonts w:ascii="Times New Roman" w:eastAsiaTheme="minorEastAsia" w:hAnsi="Times New Roman" w:cs="Times New Roman"/>
          <w:sz w:val="24"/>
          <w:szCs w:val="24"/>
        </w:rPr>
        <w:t>Należy dążyć</w:t>
      </w:r>
      <w:r w:rsidR="001C305E" w:rsidRPr="003A42FB">
        <w:rPr>
          <w:rFonts w:ascii="Times New Roman" w:eastAsiaTheme="minorEastAsia" w:hAnsi="Times New Roman" w:cs="Times New Roman"/>
          <w:sz w:val="24"/>
          <w:szCs w:val="24"/>
        </w:rPr>
        <w:t xml:space="preserve"> zmierzać do zapewnienia świadczenia publicznie dostępnych usług telekomunikacyjnych i interoperacyjność w obrębie całej Unii Europejskiej</w:t>
      </w:r>
      <w:r w:rsidR="00D04859" w:rsidRPr="003A42FB">
        <w:rPr>
          <w:rFonts w:ascii="Times New Roman" w:eastAsiaTheme="minorEastAsia" w:hAnsi="Times New Roman" w:cs="Times New Roman"/>
          <w:sz w:val="24"/>
          <w:szCs w:val="24"/>
        </w:rPr>
        <w:t xml:space="preserve">, co jest zjawiskiem </w:t>
      </w:r>
      <w:r w:rsidR="00B07D64" w:rsidRPr="003A42FB">
        <w:rPr>
          <w:rFonts w:ascii="Times New Roman" w:eastAsiaTheme="minorEastAsia" w:hAnsi="Times New Roman" w:cs="Times New Roman"/>
          <w:sz w:val="24"/>
          <w:szCs w:val="24"/>
        </w:rPr>
        <w:t>pożądanym</w:t>
      </w:r>
      <w:r w:rsidR="00A831A9" w:rsidRPr="003A42FB">
        <w:rPr>
          <w:rFonts w:ascii="Times New Roman" w:eastAsiaTheme="minorEastAsia" w:hAnsi="Times New Roman" w:cs="Times New Roman"/>
          <w:sz w:val="24"/>
          <w:szCs w:val="24"/>
        </w:rPr>
        <w:t xml:space="preserve">, </w:t>
      </w:r>
      <w:r w:rsidR="00D04859" w:rsidRPr="003A42FB">
        <w:rPr>
          <w:rFonts w:ascii="Times New Roman" w:eastAsiaTheme="minorEastAsia" w:hAnsi="Times New Roman" w:cs="Times New Roman"/>
          <w:sz w:val="24"/>
          <w:szCs w:val="24"/>
        </w:rPr>
        <w:t>w szczególności ze względu na korzyści jakie przynosi użytkownikom końcowym</w:t>
      </w:r>
      <w:r w:rsidR="001C305E" w:rsidRPr="003A42FB">
        <w:rPr>
          <w:rFonts w:ascii="Times New Roman" w:eastAsiaTheme="minorEastAsia" w:hAnsi="Times New Roman" w:cs="Times New Roman"/>
          <w:sz w:val="24"/>
          <w:szCs w:val="24"/>
        </w:rPr>
        <w:t>.</w:t>
      </w:r>
      <w:r w:rsidR="00894C34" w:rsidRPr="003A42FB">
        <w:rPr>
          <w:rFonts w:ascii="Times New Roman" w:eastAsiaTheme="minorEastAsia" w:hAnsi="Times New Roman" w:cs="Times New Roman"/>
          <w:sz w:val="24"/>
          <w:szCs w:val="24"/>
        </w:rPr>
        <w:t xml:space="preserve"> Służy</w:t>
      </w:r>
      <w:r w:rsidR="009D1566" w:rsidRPr="003A42FB">
        <w:rPr>
          <w:rFonts w:ascii="Times New Roman" w:eastAsiaTheme="minorEastAsia" w:hAnsi="Times New Roman" w:cs="Times New Roman"/>
          <w:sz w:val="24"/>
          <w:szCs w:val="24"/>
        </w:rPr>
        <w:t xml:space="preserve"> temu celowi </w:t>
      </w:r>
      <w:r w:rsidR="001C305E" w:rsidRPr="003A42FB">
        <w:rPr>
          <w:rFonts w:ascii="Times New Roman" w:eastAsiaTheme="minorEastAsia" w:hAnsi="Times New Roman" w:cs="Times New Roman"/>
          <w:sz w:val="24"/>
          <w:szCs w:val="24"/>
        </w:rPr>
        <w:t xml:space="preserve">obowiązek </w:t>
      </w:r>
      <w:r w:rsidR="009D1566" w:rsidRPr="003A42FB">
        <w:rPr>
          <w:rFonts w:ascii="Times New Roman" w:eastAsiaTheme="minorEastAsia" w:hAnsi="Times New Roman" w:cs="Times New Roman"/>
          <w:sz w:val="24"/>
          <w:szCs w:val="24"/>
        </w:rPr>
        <w:t xml:space="preserve">prowadzenia </w:t>
      </w:r>
      <w:r w:rsidR="001C305E" w:rsidRPr="003A42FB">
        <w:rPr>
          <w:rFonts w:ascii="Times New Roman" w:eastAsiaTheme="minorEastAsia" w:hAnsi="Times New Roman" w:cs="Times New Roman"/>
          <w:sz w:val="24"/>
          <w:szCs w:val="24"/>
        </w:rPr>
        <w:t>negocjacji</w:t>
      </w:r>
      <w:r w:rsidR="00462FCB" w:rsidRPr="003A42FB">
        <w:rPr>
          <w:rFonts w:ascii="Times New Roman" w:eastAsiaTheme="minorEastAsia" w:hAnsi="Times New Roman" w:cs="Times New Roman"/>
          <w:sz w:val="24"/>
          <w:szCs w:val="24"/>
        </w:rPr>
        <w:t xml:space="preserve"> w przypadku</w:t>
      </w:r>
      <w:r w:rsidR="00894C34" w:rsidRPr="003A42FB">
        <w:rPr>
          <w:rFonts w:ascii="Times New Roman" w:eastAsiaTheme="minorEastAsia" w:hAnsi="Times New Roman" w:cs="Times New Roman"/>
          <w:sz w:val="24"/>
          <w:szCs w:val="24"/>
        </w:rPr>
        <w:t>,</w:t>
      </w:r>
      <w:r w:rsidR="00462FCB" w:rsidRPr="003A42FB">
        <w:rPr>
          <w:rFonts w:ascii="Times New Roman" w:eastAsiaTheme="minorEastAsia" w:hAnsi="Times New Roman" w:cs="Times New Roman"/>
          <w:sz w:val="24"/>
          <w:szCs w:val="24"/>
        </w:rPr>
        <w:t xml:space="preserve"> gdy przedsiębiorca telekomunikacyjny wyrazi chęć zawarcia z </w:t>
      </w:r>
      <w:r w:rsidR="009D1566" w:rsidRPr="003A42FB">
        <w:rPr>
          <w:rFonts w:ascii="Times New Roman" w:eastAsiaTheme="minorEastAsia" w:hAnsi="Times New Roman" w:cs="Times New Roman"/>
          <w:sz w:val="24"/>
          <w:szCs w:val="24"/>
        </w:rPr>
        <w:t>operatorem</w:t>
      </w:r>
      <w:r w:rsidR="00462FCB" w:rsidRPr="003A42FB">
        <w:rPr>
          <w:rFonts w:ascii="Times New Roman" w:eastAsiaTheme="minorEastAsia" w:hAnsi="Times New Roman" w:cs="Times New Roman"/>
          <w:sz w:val="24"/>
          <w:szCs w:val="24"/>
        </w:rPr>
        <w:t xml:space="preserve"> umowy o dostępie w zakresie połączenia sieci. Rzeczony cel</w:t>
      </w:r>
      <w:r w:rsidR="009D1566" w:rsidRPr="003A42FB">
        <w:rPr>
          <w:rFonts w:ascii="Times New Roman" w:eastAsiaTheme="minorEastAsia" w:hAnsi="Times New Roman" w:cs="Times New Roman"/>
          <w:sz w:val="24"/>
          <w:szCs w:val="24"/>
        </w:rPr>
        <w:t xml:space="preserve"> oraz towarzyszący mu obowiązek zostały</w:t>
      </w:r>
      <w:r w:rsidR="00462FCB" w:rsidRPr="003A42FB">
        <w:rPr>
          <w:rFonts w:ascii="Times New Roman" w:eastAsiaTheme="minorEastAsia" w:hAnsi="Times New Roman" w:cs="Times New Roman"/>
          <w:sz w:val="24"/>
          <w:szCs w:val="24"/>
        </w:rPr>
        <w:t> określone w art. 60 ust. 1 zdanie pierwsze EKŁE</w:t>
      </w:r>
      <w:r w:rsidR="00B83E84" w:rsidRPr="003A42FB">
        <w:rPr>
          <w:rFonts w:ascii="Times New Roman" w:eastAsiaTheme="minorEastAsia" w:hAnsi="Times New Roman" w:cs="Times New Roman"/>
          <w:sz w:val="24"/>
          <w:szCs w:val="24"/>
        </w:rPr>
        <w:t xml:space="preserve"> (art. 1</w:t>
      </w:r>
      <w:r>
        <w:rPr>
          <w:rFonts w:ascii="Times New Roman" w:eastAsiaTheme="minorEastAsia" w:hAnsi="Times New Roman" w:cs="Times New Roman"/>
          <w:sz w:val="24"/>
          <w:szCs w:val="24"/>
        </w:rPr>
        <w:t>7</w:t>
      </w:r>
      <w:r w:rsidR="00B83E84" w:rsidRPr="003A42FB">
        <w:rPr>
          <w:rFonts w:ascii="Times New Roman" w:eastAsiaTheme="minorEastAsia" w:hAnsi="Times New Roman" w:cs="Times New Roman"/>
          <w:sz w:val="24"/>
          <w:szCs w:val="24"/>
        </w:rPr>
        <w:t>0</w:t>
      </w:r>
      <w:r w:rsidR="00FC606A" w:rsidRPr="003A42FB">
        <w:rPr>
          <w:rFonts w:ascii="Times New Roman" w:eastAsiaTheme="minorEastAsia" w:hAnsi="Times New Roman" w:cs="Times New Roman"/>
          <w:sz w:val="24"/>
          <w:szCs w:val="24"/>
        </w:rPr>
        <w:t xml:space="preserve"> ust. 1</w:t>
      </w:r>
      <w:r w:rsidR="00B07D64">
        <w:rPr>
          <w:rFonts w:ascii="Times New Roman" w:eastAsiaTheme="minorEastAsia" w:hAnsi="Times New Roman" w:cs="Times New Roman"/>
          <w:sz w:val="24"/>
          <w:szCs w:val="24"/>
        </w:rPr>
        <w:t xml:space="preserve"> Pke</w:t>
      </w:r>
      <w:r w:rsidR="00FC606A" w:rsidRPr="003A42FB">
        <w:rPr>
          <w:rFonts w:ascii="Times New Roman" w:eastAsiaTheme="minorEastAsia" w:hAnsi="Times New Roman" w:cs="Times New Roman"/>
          <w:sz w:val="24"/>
          <w:szCs w:val="24"/>
        </w:rPr>
        <w:t>). Operator</w:t>
      </w:r>
      <w:r w:rsidR="00902B6B" w:rsidRPr="003A42FB">
        <w:rPr>
          <w:rFonts w:ascii="Times New Roman" w:eastAsiaTheme="minorEastAsia" w:hAnsi="Times New Roman" w:cs="Times New Roman"/>
          <w:sz w:val="24"/>
          <w:szCs w:val="24"/>
        </w:rPr>
        <w:t>, zgodnie z art. 1</w:t>
      </w:r>
      <w:r>
        <w:rPr>
          <w:rFonts w:ascii="Times New Roman" w:eastAsiaTheme="minorEastAsia" w:hAnsi="Times New Roman" w:cs="Times New Roman"/>
          <w:sz w:val="24"/>
          <w:szCs w:val="24"/>
        </w:rPr>
        <w:t>7</w:t>
      </w:r>
      <w:r w:rsidR="00902B6B" w:rsidRPr="003A42FB">
        <w:rPr>
          <w:rFonts w:ascii="Times New Roman" w:eastAsiaTheme="minorEastAsia" w:hAnsi="Times New Roman" w:cs="Times New Roman"/>
          <w:sz w:val="24"/>
          <w:szCs w:val="24"/>
        </w:rPr>
        <w:t>0 ust. 2,</w:t>
      </w:r>
      <w:r w:rsidR="00FC606A" w:rsidRPr="003A42FB">
        <w:rPr>
          <w:rFonts w:ascii="Times New Roman" w:eastAsiaTheme="minorEastAsia" w:hAnsi="Times New Roman" w:cs="Times New Roman"/>
          <w:sz w:val="24"/>
          <w:szCs w:val="24"/>
        </w:rPr>
        <w:t xml:space="preserve"> ma również obowiązek negocjować umowę o dostę</w:t>
      </w:r>
      <w:r w:rsidR="00027C14" w:rsidRPr="003A42FB">
        <w:rPr>
          <w:rFonts w:ascii="Times New Roman" w:eastAsiaTheme="minorEastAsia" w:hAnsi="Times New Roman" w:cs="Times New Roman"/>
          <w:sz w:val="24"/>
          <w:szCs w:val="24"/>
        </w:rPr>
        <w:t>pie w zakresie połączenia sieci</w:t>
      </w:r>
      <w:r w:rsidR="00902B6B" w:rsidRPr="003A42FB">
        <w:rPr>
          <w:rFonts w:ascii="Times New Roman" w:eastAsiaTheme="minorEastAsia" w:hAnsi="Times New Roman" w:cs="Times New Roman"/>
          <w:sz w:val="24"/>
          <w:szCs w:val="24"/>
        </w:rPr>
        <w:t xml:space="preserve"> na wniosek użytkownika rządowego, o którym mowa art. 2 pkt </w:t>
      </w:r>
      <w:r w:rsidRPr="003A42FB">
        <w:rPr>
          <w:rFonts w:ascii="Times New Roman" w:eastAsiaTheme="minorEastAsia" w:hAnsi="Times New Roman" w:cs="Times New Roman"/>
          <w:sz w:val="24"/>
          <w:szCs w:val="24"/>
        </w:rPr>
        <w:t>8</w:t>
      </w:r>
      <w:r>
        <w:rPr>
          <w:rFonts w:ascii="Times New Roman" w:eastAsiaTheme="minorEastAsia" w:hAnsi="Times New Roman" w:cs="Times New Roman"/>
          <w:sz w:val="24"/>
          <w:szCs w:val="24"/>
        </w:rPr>
        <w:t>8</w:t>
      </w:r>
      <w:r w:rsidRPr="003A42FB">
        <w:rPr>
          <w:rFonts w:ascii="Times New Roman" w:eastAsiaTheme="minorEastAsia" w:hAnsi="Times New Roman" w:cs="Times New Roman"/>
          <w:sz w:val="24"/>
          <w:szCs w:val="24"/>
        </w:rPr>
        <w:t xml:space="preserve"> </w:t>
      </w:r>
      <w:r w:rsidR="00902B6B" w:rsidRPr="003A42FB">
        <w:rPr>
          <w:rFonts w:ascii="Times New Roman" w:eastAsiaTheme="minorEastAsia" w:hAnsi="Times New Roman" w:cs="Times New Roman"/>
          <w:sz w:val="24"/>
          <w:szCs w:val="24"/>
        </w:rPr>
        <w:t>lit. a, b, d, e, g oraz h. Obowiązek ten swoje źródło miał dotychczas w przepisach Rozporządzenia Ministra Infrastruktury w sprawie szczegółowych wymagań dla zapewnienia dostępu telekomunikacyjnego z dnia 21 lipca 2008 r. (Dz. U. Nr 145, poz. 919), wydanego na podstawie art. 32 Pt.</w:t>
      </w:r>
      <w:r w:rsidR="00B07D64">
        <w:rPr>
          <w:rFonts w:ascii="Times New Roman" w:eastAsia="Times New Roman" w:hAnsi="Times New Roman" w:cs="Times New Roman"/>
          <w:sz w:val="24"/>
          <w:szCs w:val="24"/>
        </w:rPr>
        <w:t xml:space="preserve"> </w:t>
      </w:r>
      <w:r w:rsidR="2D665749" w:rsidRPr="003A42FB">
        <w:rPr>
          <w:rFonts w:ascii="Times New Roman" w:eastAsia="Times New Roman" w:hAnsi="Times New Roman" w:cs="Times New Roman"/>
          <w:sz w:val="24"/>
          <w:szCs w:val="24"/>
        </w:rPr>
        <w:t>Przepis w podobnym brzmieniu funkcjonował już w Pt (art. 26a).</w:t>
      </w:r>
    </w:p>
    <w:p w14:paraId="0BB40A02" w14:textId="316ED133" w:rsidR="009D1566" w:rsidRPr="003A42FB" w:rsidRDefault="009D156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B77EFB">
        <w:rPr>
          <w:rFonts w:ascii="Times New Roman" w:eastAsiaTheme="minorEastAsia" w:hAnsi="Times New Roman" w:cs="Times New Roman"/>
          <w:b/>
          <w:bCs/>
          <w:sz w:val="24"/>
          <w:szCs w:val="24"/>
        </w:rPr>
        <w:t>7</w:t>
      </w:r>
      <w:r w:rsidR="00894C34" w:rsidRPr="003A42FB">
        <w:rPr>
          <w:rFonts w:ascii="Times New Roman" w:eastAsiaTheme="minorEastAsia" w:hAnsi="Times New Roman" w:cs="Times New Roman"/>
          <w:b/>
          <w:bCs/>
          <w:sz w:val="24"/>
          <w:szCs w:val="24"/>
        </w:rPr>
        <w:t>1</w:t>
      </w:r>
    </w:p>
    <w:p w14:paraId="71DB7069" w14:textId="035C5E7C" w:rsidR="009D1566" w:rsidRPr="003A42FB" w:rsidRDefault="009D156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Projektowany przepis art. 1</w:t>
      </w:r>
      <w:r w:rsidR="00B77EFB">
        <w:rPr>
          <w:rFonts w:ascii="Times New Roman" w:eastAsiaTheme="minorEastAsia" w:hAnsi="Times New Roman" w:cs="Times New Roman"/>
          <w:sz w:val="24"/>
          <w:szCs w:val="24"/>
        </w:rPr>
        <w:t>7</w:t>
      </w:r>
      <w:r w:rsidR="00894C34"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ust. 1 zawiera wyczerpujące wyliczenie rodzajów postanowień, które muszą być zawarte w umowie o dostępie w zakresie połączenia sieci</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Zgodnie z minimalnymi wymogami, umowa ta powinna zawierać postanowienia dotyczące:</w:t>
      </w:r>
    </w:p>
    <w:p w14:paraId="0A745174" w14:textId="77777777"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umiejscowienia punktów połączenia sieci telekomunikacyjnych;</w:t>
      </w:r>
    </w:p>
    <w:p w14:paraId="2B65726F" w14:textId="77777777"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warunków technicznych połączenia sieci telekomunikacyjnych;</w:t>
      </w:r>
    </w:p>
    <w:p w14:paraId="6DE3D501" w14:textId="77777777"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rozliczeń z tytułu zapewnienia dostępu oraz wzajemnego korzystania z sieci; telekomunikacyjnych oraz niewykonania lub nienależytego wykonania świadczonych wzajemnie usług telekomunikacyjnych;</w:t>
      </w:r>
    </w:p>
    <w:p w14:paraId="586F688B" w14:textId="09A15D11"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sposobów wypełniania wymagań w zakresie interoperacyjności usług, integralności sieci, postępowań w sytuacjach szczególnych zagrożeń oraz awarii, zachowania tajemnicy </w:t>
      </w:r>
      <w:r w:rsidR="00B07D64">
        <w:rPr>
          <w:rFonts w:ascii="Times New Roman" w:eastAsiaTheme="minorEastAsia" w:hAnsi="Times New Roman" w:cs="Times New Roman"/>
          <w:sz w:val="24"/>
          <w:szCs w:val="24"/>
        </w:rPr>
        <w:t>komunikacji elektronicznej</w:t>
      </w:r>
      <w:r w:rsidR="00B07D6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i ochrony danych w sieci oraz dotyczących kompatybilności elektromagnetycznej;</w:t>
      </w:r>
    </w:p>
    <w:p w14:paraId="450A8CF7" w14:textId="77777777"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procedur rozstrzygania sporów;</w:t>
      </w:r>
    </w:p>
    <w:p w14:paraId="40CEABDC" w14:textId="77777777"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postępowania w przypadkach zmian treści umowy; badań interoperacyjności usług świadczonych w połączonych sieciach telekomunikacyjnych, ze szczególnym uwzględnieniem badań jakości usług telekomunikacyjnych; przebudowy połączonych sieci telekomunikacyjnych; zmian oferty usług telekomunikacyjnych oraz zmian numeracji;</w:t>
      </w:r>
    </w:p>
    <w:p w14:paraId="53A3DF60" w14:textId="0E7C1A7D" w:rsidR="009D1566" w:rsidRPr="003A42FB" w:rsidRDefault="009D1566" w:rsidP="00C53EAB">
      <w:pPr>
        <w:numPr>
          <w:ilvl w:val="0"/>
          <w:numId w:val="41"/>
        </w:num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warunków rozwiązania umowy, dotyczących w szczególności zachowania ciągłości świadczenia usługi powszechnej, jeżeli jest świadczona w łączonych sieciach telekomunikacyjnych, ochrony interesów użytkowników, a także bezpieczeństwa sieci i usług;</w:t>
      </w:r>
    </w:p>
    <w:p w14:paraId="50BD5884" w14:textId="3DEFB4AC" w:rsidR="009D1566" w:rsidRPr="003A42FB" w:rsidRDefault="009D156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rodzajów wzajemnie świadcz</w:t>
      </w:r>
      <w:r w:rsidR="00894C34" w:rsidRPr="003A42FB">
        <w:rPr>
          <w:rFonts w:ascii="Times New Roman" w:eastAsiaTheme="minorEastAsia" w:hAnsi="Times New Roman" w:cs="Times New Roman"/>
          <w:sz w:val="24"/>
          <w:szCs w:val="24"/>
        </w:rPr>
        <w:t>onych usług telekomunikacyjnych;</w:t>
      </w:r>
    </w:p>
    <w:p w14:paraId="48C91FD5" w14:textId="5964ABEC" w:rsidR="00894C34" w:rsidRPr="003A42FB" w:rsidRDefault="00894C34"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działań podejmowanych w związku z przypadkami nadużycia telekomunikacyjnego.</w:t>
      </w:r>
    </w:p>
    <w:p w14:paraId="213C20EF" w14:textId="4A10E18F" w:rsidR="00B07D64" w:rsidRPr="005F69BF" w:rsidRDefault="00B07D64" w:rsidP="005F69BF">
      <w:pPr>
        <w:rPr>
          <w:rFonts w:eastAsiaTheme="minorEastAsia"/>
        </w:rPr>
      </w:pPr>
      <w:r w:rsidRPr="005F69BF">
        <w:rPr>
          <w:rFonts w:ascii="Times New Roman" w:eastAsia="Times New Roman" w:hAnsi="Times New Roman" w:cs="Times New Roman"/>
          <w:sz w:val="24"/>
          <w:szCs w:val="24"/>
        </w:rPr>
        <w:t>Przepis w podobnym brzmieniu funkcjonował już w Pt (art. 31).</w:t>
      </w:r>
    </w:p>
    <w:p w14:paraId="084A272F" w14:textId="763DF95D" w:rsidR="00B07D64" w:rsidRDefault="00B07D64"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Natomiast r</w:t>
      </w:r>
      <w:r w:rsidR="00902B6B" w:rsidRPr="003A42FB">
        <w:rPr>
          <w:rFonts w:ascii="Times New Roman" w:eastAsiaTheme="minorEastAsia" w:hAnsi="Times New Roman" w:cs="Times New Roman"/>
          <w:sz w:val="24"/>
          <w:szCs w:val="24"/>
        </w:rPr>
        <w:t>edakcja art. 1</w:t>
      </w:r>
      <w:r w:rsidR="00B77EFB">
        <w:rPr>
          <w:rFonts w:ascii="Times New Roman" w:eastAsiaTheme="minorEastAsia" w:hAnsi="Times New Roman" w:cs="Times New Roman"/>
          <w:sz w:val="24"/>
          <w:szCs w:val="24"/>
        </w:rPr>
        <w:t>7</w:t>
      </w:r>
      <w:r w:rsidR="00902B6B" w:rsidRPr="003A42FB">
        <w:rPr>
          <w:rFonts w:ascii="Times New Roman" w:eastAsiaTheme="minorEastAsia" w:hAnsi="Times New Roman" w:cs="Times New Roman"/>
          <w:sz w:val="24"/>
          <w:szCs w:val="24"/>
        </w:rPr>
        <w:t xml:space="preserve">1 ust. </w:t>
      </w:r>
      <w:r w:rsidR="00370D3E" w:rsidRPr="003A42FB">
        <w:rPr>
          <w:rFonts w:ascii="Times New Roman" w:eastAsiaTheme="minorEastAsia" w:hAnsi="Times New Roman" w:cs="Times New Roman"/>
          <w:sz w:val="24"/>
          <w:szCs w:val="24"/>
        </w:rPr>
        <w:t>2</w:t>
      </w:r>
      <w:r w:rsidR="00902B6B" w:rsidRPr="003A42FB">
        <w:rPr>
          <w:rFonts w:ascii="Times New Roman" w:eastAsiaTheme="minorEastAsia" w:hAnsi="Times New Roman" w:cs="Times New Roman"/>
          <w:sz w:val="24"/>
          <w:szCs w:val="24"/>
        </w:rPr>
        <w:t xml:space="preserve"> stanowi przeniesienie dotychczasowej regulacji zawartej w Rozporządzeniu Ministra Infrastruktury w sprawie szczegółowych wymagań dla zapewnienia dostępu telekomunikacyjnego z dnia 21 lipca 2008 r. </w:t>
      </w:r>
      <w:r>
        <w:rPr>
          <w:rFonts w:ascii="Times New Roman" w:eastAsiaTheme="minorEastAsia" w:hAnsi="Times New Roman" w:cs="Times New Roman"/>
          <w:sz w:val="24"/>
          <w:szCs w:val="24"/>
        </w:rPr>
        <w:t>U</w:t>
      </w:r>
      <w:r w:rsidR="00902B6B" w:rsidRPr="003A42FB">
        <w:rPr>
          <w:rFonts w:ascii="Times New Roman" w:eastAsiaTheme="minorEastAsia" w:hAnsi="Times New Roman" w:cs="Times New Roman"/>
          <w:sz w:val="24"/>
          <w:szCs w:val="24"/>
        </w:rPr>
        <w:t>st</w:t>
      </w:r>
      <w:r>
        <w:rPr>
          <w:rFonts w:ascii="Times New Roman" w:eastAsiaTheme="minorEastAsia" w:hAnsi="Times New Roman" w:cs="Times New Roman"/>
          <w:sz w:val="24"/>
          <w:szCs w:val="24"/>
        </w:rPr>
        <w:t>ęp</w:t>
      </w:r>
      <w:r w:rsidR="00902B6B" w:rsidRPr="003A42FB">
        <w:rPr>
          <w:rFonts w:ascii="Times New Roman" w:eastAsiaTheme="minorEastAsia" w:hAnsi="Times New Roman" w:cs="Times New Roman"/>
          <w:sz w:val="24"/>
          <w:szCs w:val="24"/>
        </w:rPr>
        <w:t xml:space="preserve"> </w:t>
      </w:r>
      <w:r w:rsidR="00370D3E" w:rsidRPr="003A42FB">
        <w:rPr>
          <w:rFonts w:ascii="Times New Roman" w:eastAsiaTheme="minorEastAsia" w:hAnsi="Times New Roman" w:cs="Times New Roman"/>
          <w:sz w:val="24"/>
          <w:szCs w:val="24"/>
        </w:rPr>
        <w:t>2</w:t>
      </w:r>
      <w:r w:rsidR="00902B6B" w:rsidRPr="003A42FB">
        <w:rPr>
          <w:rFonts w:ascii="Times New Roman" w:eastAsiaTheme="minorEastAsia" w:hAnsi="Times New Roman" w:cs="Times New Roman"/>
          <w:sz w:val="24"/>
          <w:szCs w:val="24"/>
        </w:rPr>
        <w:t xml:space="preserve"> wskazuje, że w umowie o dostępie w zakresie połączenia sieci, której stroną jest użytkownik rządowy</w:t>
      </w:r>
      <w:r>
        <w:rPr>
          <w:rFonts w:ascii="Times New Roman" w:eastAsiaTheme="minorEastAsia" w:hAnsi="Times New Roman" w:cs="Times New Roman"/>
          <w:sz w:val="24"/>
          <w:szCs w:val="24"/>
        </w:rPr>
        <w:t>,</w:t>
      </w:r>
      <w:r w:rsidR="00902B6B" w:rsidRPr="003A42FB">
        <w:rPr>
          <w:rFonts w:ascii="Times New Roman" w:eastAsiaTheme="minorEastAsia" w:hAnsi="Times New Roman" w:cs="Times New Roman"/>
          <w:sz w:val="24"/>
          <w:szCs w:val="24"/>
        </w:rPr>
        <w:t xml:space="preserve"> o którym mowa 2 pkt 8</w:t>
      </w:r>
      <w:r w:rsidR="00B77EFB">
        <w:rPr>
          <w:rFonts w:ascii="Times New Roman" w:eastAsiaTheme="minorEastAsia" w:hAnsi="Times New Roman" w:cs="Times New Roman"/>
          <w:sz w:val="24"/>
          <w:szCs w:val="24"/>
        </w:rPr>
        <w:t>8</w:t>
      </w:r>
      <w:r w:rsidR="00902B6B" w:rsidRPr="003A42FB">
        <w:rPr>
          <w:rFonts w:ascii="Times New Roman" w:eastAsiaTheme="minorEastAsia" w:hAnsi="Times New Roman" w:cs="Times New Roman"/>
          <w:sz w:val="24"/>
          <w:szCs w:val="24"/>
        </w:rPr>
        <w:t xml:space="preserve"> lit. a, b, d, e, g oraz h, może zawierać inne postanowienia, w tym związane z rozbudową sieci</w:t>
      </w:r>
      <w:r w:rsidR="00401436">
        <w:rPr>
          <w:rFonts w:ascii="Times New Roman" w:eastAsiaTheme="minorEastAsia" w:hAnsi="Times New Roman" w:cs="Times New Roman"/>
          <w:sz w:val="24"/>
          <w:szCs w:val="24"/>
        </w:rPr>
        <w:t xml:space="preserve"> zgodnie z potrzebami ww. użytkownika rządowego.</w:t>
      </w:r>
      <w:r w:rsidR="00902B6B" w:rsidRPr="003A42FB">
        <w:rPr>
          <w:rFonts w:ascii="Times New Roman" w:eastAsiaTheme="minorEastAsia" w:hAnsi="Times New Roman" w:cs="Times New Roman"/>
          <w:sz w:val="24"/>
          <w:szCs w:val="24"/>
        </w:rPr>
        <w:t xml:space="preserve"> </w:t>
      </w:r>
    </w:p>
    <w:p w14:paraId="4A6D4876" w14:textId="01743508" w:rsidR="00B07D64" w:rsidRPr="005F69BF" w:rsidRDefault="00B77EFB" w:rsidP="00C53EAB">
      <w:pPr>
        <w:spacing w:after="120" w:line="240" w:lineRule="auto"/>
        <w:jc w:val="both"/>
        <w:rPr>
          <w:rFonts w:ascii="Times New Roman" w:eastAsiaTheme="minorEastAsia" w:hAnsi="Times New Roman" w:cs="Times New Roman"/>
          <w:b/>
          <w:sz w:val="24"/>
          <w:szCs w:val="24"/>
        </w:rPr>
      </w:pPr>
      <w:r w:rsidRPr="00FC3700">
        <w:rPr>
          <w:rFonts w:ascii="Times New Roman" w:eastAsiaTheme="minorEastAsia" w:hAnsi="Times New Roman" w:cs="Times New Roman"/>
          <w:b/>
          <w:sz w:val="24"/>
          <w:szCs w:val="24"/>
        </w:rPr>
        <w:t xml:space="preserve">Art. </w:t>
      </w:r>
      <w:r w:rsidRPr="00B77EFB">
        <w:rPr>
          <w:rFonts w:ascii="Times New Roman" w:eastAsiaTheme="minorEastAsia" w:hAnsi="Times New Roman" w:cs="Times New Roman"/>
          <w:b/>
          <w:sz w:val="24"/>
          <w:szCs w:val="24"/>
        </w:rPr>
        <w:t>1</w:t>
      </w:r>
      <w:r>
        <w:rPr>
          <w:rFonts w:ascii="Times New Roman" w:eastAsiaTheme="minorEastAsia" w:hAnsi="Times New Roman" w:cs="Times New Roman"/>
          <w:b/>
          <w:sz w:val="24"/>
          <w:szCs w:val="24"/>
        </w:rPr>
        <w:t>72</w:t>
      </w:r>
    </w:p>
    <w:p w14:paraId="02291097" w14:textId="5C073F0D" w:rsidR="00726BCE" w:rsidRDefault="00B07D64">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Przepis</w:t>
      </w:r>
      <w:r w:rsidR="00902B6B" w:rsidRPr="003A42FB">
        <w:rPr>
          <w:rFonts w:ascii="Times New Roman" w:eastAsiaTheme="minorEastAsia" w:hAnsi="Times New Roman" w:cs="Times New Roman"/>
          <w:sz w:val="24"/>
          <w:szCs w:val="24"/>
        </w:rPr>
        <w:t xml:space="preserve"> zawiera uprawnienie użytkownika rządowego</w:t>
      </w:r>
      <w:r w:rsidRPr="00B07D64">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o którym mowa 2 pkt 86 lit. a, b, d, e, g oraz h</w:t>
      </w:r>
      <w:r>
        <w:rPr>
          <w:rFonts w:ascii="Times New Roman" w:eastAsiaTheme="minorEastAsia" w:hAnsi="Times New Roman" w:cs="Times New Roman"/>
          <w:sz w:val="24"/>
          <w:szCs w:val="24"/>
        </w:rPr>
        <w:t>,</w:t>
      </w:r>
      <w:r w:rsidR="00902B6B" w:rsidRPr="003A42FB">
        <w:rPr>
          <w:rFonts w:ascii="Times New Roman" w:eastAsiaTheme="minorEastAsia" w:hAnsi="Times New Roman" w:cs="Times New Roman"/>
          <w:sz w:val="24"/>
          <w:szCs w:val="24"/>
        </w:rPr>
        <w:t xml:space="preserve"> do czasowego odłączenia swojej sieci telekomunikacyjnej od publicznej sieci </w:t>
      </w:r>
      <w:r w:rsidRPr="003A42FB">
        <w:rPr>
          <w:rFonts w:ascii="Times New Roman" w:eastAsiaTheme="minorEastAsia" w:hAnsi="Times New Roman" w:cs="Times New Roman"/>
          <w:sz w:val="24"/>
          <w:szCs w:val="24"/>
        </w:rPr>
        <w:t>telekomunikacyjnej</w:t>
      </w:r>
      <w:r w:rsidR="00902B6B" w:rsidRPr="003A42FB">
        <w:rPr>
          <w:rFonts w:ascii="Times New Roman" w:eastAsiaTheme="minorEastAsia" w:hAnsi="Times New Roman" w:cs="Times New Roman"/>
          <w:sz w:val="24"/>
          <w:szCs w:val="24"/>
        </w:rPr>
        <w:t>, przy zastrzeżeniu, że na użytkowniku tym spoczywa obowiązek poinformowania o tym fakcie operatora, do którego sieci został przyłączony oraz Prezesa UKE.</w:t>
      </w:r>
      <w:r>
        <w:rPr>
          <w:rFonts w:ascii="Times New Roman" w:eastAsiaTheme="minorEastAsia" w:hAnsi="Times New Roman" w:cs="Times New Roman"/>
          <w:sz w:val="24"/>
          <w:szCs w:val="24"/>
        </w:rPr>
        <w:t xml:space="preserve"> Uprawn</w:t>
      </w:r>
      <w:r w:rsidR="00726BCE">
        <w:rPr>
          <w:rFonts w:ascii="Times New Roman" w:eastAsiaTheme="minorEastAsia" w:hAnsi="Times New Roman" w:cs="Times New Roman"/>
          <w:sz w:val="24"/>
          <w:szCs w:val="24"/>
        </w:rPr>
        <w:t>ienie to zostało przeniesione z</w:t>
      </w:r>
      <w:r w:rsidRPr="003A42FB">
        <w:rPr>
          <w:rFonts w:ascii="Times New Roman" w:eastAsiaTheme="minorEastAsia" w:hAnsi="Times New Roman" w:cs="Times New Roman"/>
          <w:sz w:val="24"/>
          <w:szCs w:val="24"/>
        </w:rPr>
        <w:t xml:space="preserve"> Rozporządzeni</w:t>
      </w:r>
      <w:r w:rsidR="00726BCE">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Ministra Infrastruktury w sprawie szczegółowych wymagań dla zapewnienia dostępu telekomunikacyjnego z dnia 21 lipca 2008 r.</w:t>
      </w:r>
    </w:p>
    <w:p w14:paraId="44E8C1DE" w14:textId="40092173" w:rsidR="00A7158A" w:rsidRPr="003A42FB" w:rsidRDefault="00A7158A">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B77EFB">
        <w:rPr>
          <w:rFonts w:ascii="Times New Roman" w:eastAsiaTheme="minorEastAsia" w:hAnsi="Times New Roman" w:cs="Times New Roman"/>
          <w:b/>
          <w:bCs/>
          <w:sz w:val="24"/>
          <w:szCs w:val="24"/>
        </w:rPr>
        <w:t>73</w:t>
      </w:r>
    </w:p>
    <w:p w14:paraId="6FF2EEFB" w14:textId="3DC931DF" w:rsidR="1114BD91" w:rsidRPr="003A42FB" w:rsidRDefault="081F3FB3"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W związku z postulatami rynku dotyczącymi konieczności wprowadzenia odpowiednich przepisów legislacyjnych </w:t>
      </w:r>
      <w:r w:rsidR="2C17C9A5" w:rsidRPr="5372851C">
        <w:rPr>
          <w:rFonts w:ascii="Times New Roman" w:eastAsiaTheme="minorEastAsia" w:hAnsi="Times New Roman" w:cs="Times New Roman"/>
          <w:sz w:val="24"/>
          <w:szCs w:val="24"/>
        </w:rPr>
        <w:t xml:space="preserve">dotyczących zwalczania nadużyć </w:t>
      </w:r>
      <w:r w:rsidRPr="5372851C">
        <w:rPr>
          <w:rFonts w:ascii="Times New Roman" w:eastAsiaTheme="minorEastAsia" w:hAnsi="Times New Roman" w:cs="Times New Roman"/>
          <w:sz w:val="24"/>
          <w:szCs w:val="24"/>
        </w:rPr>
        <w:t xml:space="preserve">wprowadza się minimalny katalog środków legislacyjnych, który pozwoli w większym stopniu niż obecnie ograniczyć skalę nadużyć telekomunikacyjnych, a także chronić bezpieczeństwo użytkowników. </w:t>
      </w:r>
      <w:r w:rsidR="1F46F632" w:rsidRPr="5372851C">
        <w:rPr>
          <w:rFonts w:ascii="Times New Roman" w:eastAsiaTheme="minorEastAsia" w:hAnsi="Times New Roman" w:cs="Times New Roman"/>
          <w:sz w:val="24"/>
          <w:szCs w:val="24"/>
        </w:rPr>
        <w:t>Kwestia zwalczania nadużyć nie jest regulowana w EKŁE oraz nie była dotychczas regulowana w Pt.</w:t>
      </w:r>
      <w:r w:rsidR="1145FD27" w:rsidRPr="5372851C">
        <w:rPr>
          <w:rFonts w:ascii="Times New Roman" w:eastAsiaTheme="minorEastAsia" w:hAnsi="Times New Roman" w:cs="Times New Roman"/>
          <w:sz w:val="24"/>
          <w:szCs w:val="24"/>
        </w:rPr>
        <w:t xml:space="preserve"> Przepis dotyczący nadużyć telekomunikacyjnych został umiejscowiony w Dziale III Rozdział 1 Zasady zapewnienia dostępu</w:t>
      </w:r>
      <w:r w:rsidR="74E94259" w:rsidRPr="5372851C">
        <w:rPr>
          <w:rFonts w:ascii="Times New Roman" w:eastAsiaTheme="minorEastAsia" w:hAnsi="Times New Roman" w:cs="Times New Roman"/>
          <w:sz w:val="24"/>
          <w:szCs w:val="24"/>
        </w:rPr>
        <w:t xml:space="preserve">, ponieważ w znacznej </w:t>
      </w:r>
      <w:r w:rsidR="6E4B8A77" w:rsidRPr="5372851C">
        <w:rPr>
          <w:rFonts w:ascii="Times New Roman" w:eastAsiaTheme="minorEastAsia" w:hAnsi="Times New Roman" w:cs="Times New Roman"/>
          <w:sz w:val="24"/>
          <w:szCs w:val="24"/>
        </w:rPr>
        <w:t xml:space="preserve">mierze </w:t>
      </w:r>
      <w:r w:rsidR="74E94259" w:rsidRPr="5372851C">
        <w:rPr>
          <w:rFonts w:ascii="Times New Roman" w:eastAsiaTheme="minorEastAsia" w:hAnsi="Times New Roman" w:cs="Times New Roman"/>
          <w:sz w:val="24"/>
          <w:szCs w:val="24"/>
        </w:rPr>
        <w:t xml:space="preserve">wiąże się on z zasadami współpracy międzyoperatorskiej na poziomie hurtowym. </w:t>
      </w:r>
      <w:r w:rsidRPr="5372851C">
        <w:rPr>
          <w:rFonts w:ascii="Times New Roman" w:eastAsiaTheme="minorEastAsia" w:hAnsi="Times New Roman" w:cs="Times New Roman"/>
          <w:sz w:val="24"/>
          <w:szCs w:val="24"/>
        </w:rPr>
        <w:t>W ust. 1 wprowadza się zakaz podejmowania działań</w:t>
      </w:r>
      <w:r w:rsidR="4A37FDC0" w:rsidRPr="5372851C">
        <w:rPr>
          <w:rFonts w:ascii="Times New Roman" w:eastAsiaTheme="minorEastAsia" w:hAnsi="Times New Roman" w:cs="Times New Roman"/>
          <w:sz w:val="24"/>
          <w:szCs w:val="24"/>
        </w:rPr>
        <w:t>, które odpowiadają</w:t>
      </w:r>
      <w:r w:rsidRPr="5372851C">
        <w:rPr>
          <w:rFonts w:ascii="Times New Roman" w:eastAsiaTheme="minorEastAsia" w:hAnsi="Times New Roman" w:cs="Times New Roman"/>
          <w:sz w:val="24"/>
          <w:szCs w:val="24"/>
        </w:rPr>
        <w:t xml:space="preserve"> definicji nadużycia telekomunikacyjnego</w:t>
      </w:r>
      <w:r w:rsidR="000D46A7" w:rsidRPr="5372851C">
        <w:rPr>
          <w:rFonts w:ascii="Times New Roman" w:eastAsiaTheme="minorEastAsia" w:hAnsi="Times New Roman" w:cs="Times New Roman"/>
          <w:sz w:val="24"/>
          <w:szCs w:val="24"/>
        </w:rPr>
        <w:t xml:space="preserve">. Ustęp </w:t>
      </w:r>
      <w:r w:rsidR="1451E00C" w:rsidRPr="5372851C">
        <w:rPr>
          <w:rFonts w:ascii="Times New Roman" w:eastAsiaTheme="minorEastAsia" w:hAnsi="Times New Roman" w:cs="Times New Roman"/>
          <w:sz w:val="24"/>
          <w:szCs w:val="24"/>
        </w:rPr>
        <w:t xml:space="preserve">ten </w:t>
      </w:r>
      <w:r w:rsidR="000D46A7" w:rsidRPr="5372851C">
        <w:rPr>
          <w:rFonts w:ascii="Times New Roman" w:eastAsiaTheme="minorEastAsia" w:hAnsi="Times New Roman" w:cs="Times New Roman"/>
          <w:sz w:val="24"/>
          <w:szCs w:val="24"/>
        </w:rPr>
        <w:lastRenderedPageBreak/>
        <w:t>zawiera również otwarty katalog zawierający charakterystykę najbardziej uciążliwych nadużyć telekomunikacyjnych występujących na rynku tj. generowanie sztucznego ruchu oraz nieuprawniona zmiana informacji adresowej</w:t>
      </w:r>
      <w:r w:rsidR="7C7E29E8" w:rsidRPr="5372851C">
        <w:rPr>
          <w:rFonts w:ascii="Times New Roman" w:eastAsiaTheme="minorEastAsia" w:hAnsi="Times New Roman" w:cs="Times New Roman"/>
          <w:sz w:val="24"/>
          <w:szCs w:val="24"/>
        </w:rPr>
        <w:t>.</w:t>
      </w:r>
      <w:r w:rsidR="000D46A7" w:rsidRPr="5372851C">
        <w:rPr>
          <w:rFonts w:ascii="Times New Roman" w:eastAsiaTheme="minorEastAsia" w:hAnsi="Times New Roman" w:cs="Times New Roman"/>
          <w:sz w:val="24"/>
          <w:szCs w:val="24"/>
        </w:rPr>
        <w:t xml:space="preserve"> Zgodnie z kolejnym ustępem środki </w:t>
      </w:r>
      <w:r w:rsidR="1B0EF0E7" w:rsidRPr="5372851C">
        <w:rPr>
          <w:rFonts w:ascii="Times New Roman" w:eastAsiaTheme="minorEastAsia" w:hAnsi="Times New Roman" w:cs="Times New Roman"/>
          <w:sz w:val="24"/>
          <w:szCs w:val="24"/>
        </w:rPr>
        <w:t>p</w:t>
      </w:r>
      <w:r w:rsidR="000D46A7" w:rsidRPr="5372851C">
        <w:rPr>
          <w:rFonts w:ascii="Times New Roman" w:eastAsiaTheme="minorEastAsia" w:hAnsi="Times New Roman" w:cs="Times New Roman"/>
          <w:sz w:val="24"/>
          <w:szCs w:val="24"/>
        </w:rPr>
        <w:t>odejmowane przez przedsiębiorców winny być proporcjonalne do zidentyfikowanego zagrożenia.</w:t>
      </w:r>
    </w:p>
    <w:p w14:paraId="5CB745EE" w14:textId="0C7C2E52" w:rsidR="00FD7BF5" w:rsidRPr="003A42FB" w:rsidRDefault="00FD7BF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B77EFB">
        <w:rPr>
          <w:rFonts w:ascii="Times New Roman" w:eastAsiaTheme="minorEastAsia" w:hAnsi="Times New Roman" w:cs="Times New Roman"/>
          <w:b/>
          <w:bCs/>
          <w:sz w:val="24"/>
          <w:szCs w:val="24"/>
        </w:rPr>
        <w:t>74</w:t>
      </w:r>
    </w:p>
    <w:p w14:paraId="7E029D77" w14:textId="1309B06C" w:rsidR="00FD7BF5" w:rsidRPr="003A42FB" w:rsidRDefault="00FD7BF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Obowiązek zapewnienia dostępu do okablowania pomiędzy zakończeniami sieci w obiekcie budowlanym a najbliższym punktem dystrybucji na rzecz przedsiębiorcy telekomunikacyjnego, jeżeli jego powielenie byłoby ekonomicznie nieefektywne lub technicznie niewykonalne</w:t>
      </w:r>
      <w:r w:rsidR="00A467A5">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ciąży na przedsiębiorcy telekomunikacyjnym lub właścicielu okablowania </w:t>
      </w:r>
      <w:r w:rsidR="00C37B4E" w:rsidRPr="003A42FB">
        <w:rPr>
          <w:rFonts w:ascii="Times New Roman" w:eastAsiaTheme="minorEastAsia" w:hAnsi="Times New Roman" w:cs="Times New Roman"/>
          <w:sz w:val="24"/>
          <w:szCs w:val="24"/>
        </w:rPr>
        <w:t xml:space="preserve">zgodnie z projektowanym art. </w:t>
      </w:r>
      <w:r w:rsidR="001E0F4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74</w:t>
      </w:r>
      <w:r w:rsidR="001E0F4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 Przepis ten stanowi transpozycję postanowień art. 61 ust. 3 akapit 1 zdanie pierwsze i drugie EKŁE.</w:t>
      </w:r>
    </w:p>
    <w:p w14:paraId="0995FC01" w14:textId="3D22F44C" w:rsidR="00C37B4E" w:rsidRPr="003A42FB" w:rsidRDefault="00C37B4E" w:rsidP="00C53EAB">
      <w:pPr>
        <w:shd w:val="clear" w:color="auto" w:fill="FFFFFF" w:themeFill="background1"/>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Natomiast projektowana treść przepis art. </w:t>
      </w:r>
      <w:r w:rsidR="001E0F4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74</w:t>
      </w:r>
      <w:r w:rsidR="001E0F4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2 rozstrzyga, że w przypadku gdy </w:t>
      </w:r>
      <w:r w:rsidR="00A467A5">
        <w:rPr>
          <w:rFonts w:ascii="Times New Roman" w:eastAsiaTheme="minorEastAsia" w:hAnsi="Times New Roman" w:cs="Times New Roman"/>
          <w:sz w:val="24"/>
          <w:szCs w:val="24"/>
        </w:rPr>
        <w:t>zasoby</w:t>
      </w:r>
      <w:r w:rsidRPr="003A42FB">
        <w:rPr>
          <w:rFonts w:ascii="Times New Roman" w:eastAsiaTheme="minorEastAsia" w:hAnsi="Times New Roman" w:cs="Times New Roman"/>
          <w:sz w:val="24"/>
          <w:szCs w:val="24"/>
        </w:rPr>
        <w:t>, o który</w:t>
      </w:r>
      <w:r w:rsidR="00A467A5">
        <w:rPr>
          <w:rFonts w:ascii="Times New Roman" w:eastAsiaTheme="minorEastAsia" w:hAnsi="Times New Roman" w:cs="Times New Roman"/>
          <w:sz w:val="24"/>
          <w:szCs w:val="24"/>
        </w:rPr>
        <w:t>ch</w:t>
      </w:r>
      <w:r w:rsidRPr="003A42FB">
        <w:rPr>
          <w:rFonts w:ascii="Times New Roman" w:eastAsiaTheme="minorEastAsia" w:hAnsi="Times New Roman" w:cs="Times New Roman"/>
          <w:sz w:val="24"/>
          <w:szCs w:val="24"/>
        </w:rPr>
        <w:t xml:space="preserve"> mowa w </w:t>
      </w:r>
      <w:r w:rsidR="00B77EFB">
        <w:rPr>
          <w:rFonts w:ascii="Times New Roman" w:eastAsiaTheme="minorEastAsia" w:hAnsi="Times New Roman" w:cs="Times New Roman"/>
          <w:sz w:val="24"/>
          <w:szCs w:val="24"/>
        </w:rPr>
        <w:t>art. 174</w:t>
      </w:r>
      <w:r w:rsidR="00A467A5">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w:t>
      </w:r>
      <w:r w:rsidR="00A467A5">
        <w:rPr>
          <w:rFonts w:ascii="Times New Roman" w:eastAsiaTheme="minorEastAsia" w:hAnsi="Times New Roman" w:cs="Times New Roman"/>
          <w:sz w:val="24"/>
          <w:szCs w:val="24"/>
        </w:rPr>
        <w:t xml:space="preserve"> Pke,</w:t>
      </w:r>
      <w:r w:rsidRPr="003A42FB">
        <w:rPr>
          <w:rFonts w:ascii="Times New Roman" w:eastAsiaTheme="minorEastAsia" w:hAnsi="Times New Roman" w:cs="Times New Roman"/>
          <w:sz w:val="24"/>
          <w:szCs w:val="24"/>
        </w:rPr>
        <w:t xml:space="preserve"> stanowi</w:t>
      </w:r>
      <w:r w:rsidR="00A467A5">
        <w:rPr>
          <w:rFonts w:ascii="Times New Roman" w:eastAsiaTheme="minorEastAsia" w:hAnsi="Times New Roman" w:cs="Times New Roman"/>
          <w:sz w:val="24"/>
          <w:szCs w:val="24"/>
        </w:rPr>
        <w:t>ą</w:t>
      </w:r>
      <w:r w:rsidRPr="003A42FB">
        <w:rPr>
          <w:rFonts w:ascii="Times New Roman" w:eastAsiaTheme="minorEastAsia" w:hAnsi="Times New Roman" w:cs="Times New Roman"/>
          <w:sz w:val="24"/>
          <w:szCs w:val="24"/>
        </w:rPr>
        <w:t xml:space="preserve"> część składową nieruchomości, do zapewnienia dostępu obowiązany jest właściciel, użytkownik wieczysty lub zarządca nieruchomości.</w:t>
      </w:r>
    </w:p>
    <w:p w14:paraId="6666C4BB" w14:textId="505B15BD" w:rsidR="0011362E" w:rsidRDefault="00726BCE" w:rsidP="00C53EAB">
      <w:pPr>
        <w:shd w:val="clear" w:color="auto" w:fill="FFFFFF" w:themeFill="background1"/>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W projektowanym</w:t>
      </w:r>
      <w:r w:rsidR="00C37B4E" w:rsidRPr="003A42FB">
        <w:rPr>
          <w:rFonts w:ascii="Times New Roman" w:eastAsiaTheme="minorEastAsia" w:hAnsi="Times New Roman" w:cs="Times New Roman"/>
          <w:sz w:val="24"/>
          <w:szCs w:val="24"/>
          <w:vertAlign w:val="superscript"/>
        </w:rPr>
        <w:t xml:space="preserve"> </w:t>
      </w:r>
      <w:r w:rsidRPr="005F69BF">
        <w:rPr>
          <w:rFonts w:ascii="Times New Roman" w:eastAsiaTheme="minorEastAsia" w:hAnsi="Times New Roman" w:cs="Times New Roman"/>
          <w:sz w:val="24"/>
          <w:szCs w:val="24"/>
        </w:rPr>
        <w:t xml:space="preserve">art. </w:t>
      </w:r>
      <w:r w:rsidR="00B77EFB">
        <w:rPr>
          <w:rFonts w:ascii="Times New Roman" w:eastAsiaTheme="minorEastAsia" w:hAnsi="Times New Roman" w:cs="Times New Roman"/>
          <w:sz w:val="24"/>
          <w:szCs w:val="24"/>
        </w:rPr>
        <w:t>174</w:t>
      </w:r>
      <w:r>
        <w:rPr>
          <w:rFonts w:ascii="Times New Roman" w:eastAsiaTheme="minorEastAsia" w:hAnsi="Times New Roman" w:cs="Times New Roman"/>
          <w:sz w:val="24"/>
          <w:szCs w:val="24"/>
        </w:rPr>
        <w:t xml:space="preserve"> </w:t>
      </w:r>
      <w:r w:rsidR="00C37B4E" w:rsidRPr="003A42FB">
        <w:rPr>
          <w:rFonts w:ascii="Times New Roman" w:eastAsiaTheme="minorEastAsia" w:hAnsi="Times New Roman" w:cs="Times New Roman"/>
          <w:sz w:val="24"/>
          <w:szCs w:val="24"/>
        </w:rPr>
        <w:t>ust. 3</w:t>
      </w:r>
      <w:r w:rsidR="00EE1607">
        <w:rPr>
          <w:rFonts w:ascii="Times New Roman" w:eastAsiaTheme="minorEastAsia" w:hAnsi="Times New Roman" w:cs="Times New Roman"/>
          <w:sz w:val="24"/>
          <w:szCs w:val="24"/>
        </w:rPr>
        <w:t xml:space="preserve"> Pke</w:t>
      </w:r>
      <w:r w:rsidR="00C37B4E" w:rsidRPr="003A42FB">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znajduje się </w:t>
      </w:r>
      <w:r w:rsidR="00C37B4E" w:rsidRPr="003A42FB">
        <w:rPr>
          <w:rFonts w:ascii="Times New Roman" w:eastAsiaTheme="minorEastAsia" w:hAnsi="Times New Roman" w:cs="Times New Roman"/>
          <w:sz w:val="24"/>
          <w:szCs w:val="24"/>
        </w:rPr>
        <w:t>odesłanie do odpowiedniego stosowania</w:t>
      </w:r>
      <w:r>
        <w:rPr>
          <w:rFonts w:ascii="Times New Roman" w:eastAsiaTheme="minorEastAsia" w:hAnsi="Times New Roman" w:cs="Times New Roman"/>
          <w:sz w:val="24"/>
          <w:szCs w:val="24"/>
        </w:rPr>
        <w:t>:</w:t>
      </w:r>
      <w:r w:rsidR="00C37B4E" w:rsidRPr="003A42FB">
        <w:rPr>
          <w:rFonts w:ascii="Times New Roman" w:eastAsiaTheme="minorEastAsia" w:hAnsi="Times New Roman" w:cs="Times New Roman"/>
          <w:sz w:val="24"/>
          <w:szCs w:val="24"/>
        </w:rPr>
        <w:t xml:space="preserve"> art. 30 ust.</w:t>
      </w:r>
      <w:r>
        <w:rPr>
          <w:rFonts w:ascii="Times New Roman" w:eastAsiaTheme="minorEastAsia" w:hAnsi="Times New Roman" w:cs="Times New Roman"/>
          <w:sz w:val="24"/>
          <w:szCs w:val="24"/>
        </w:rPr>
        <w:t xml:space="preserve"> 4,</w:t>
      </w:r>
      <w:r w:rsidR="00C37B4E" w:rsidRPr="003A42FB">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ust. </w:t>
      </w:r>
      <w:r w:rsidR="00C37B4E" w:rsidRPr="003A42FB">
        <w:rPr>
          <w:rFonts w:ascii="Times New Roman" w:eastAsiaTheme="minorEastAsia" w:hAnsi="Times New Roman" w:cs="Times New Roman"/>
          <w:sz w:val="24"/>
          <w:szCs w:val="24"/>
        </w:rPr>
        <w:t>5</w:t>
      </w:r>
      <w:r>
        <w:rPr>
          <w:rFonts w:ascii="Times New Roman" w:eastAsiaTheme="minorEastAsia" w:hAnsi="Times New Roman" w:cs="Times New Roman"/>
          <w:sz w:val="24"/>
          <w:szCs w:val="24"/>
        </w:rPr>
        <w:t xml:space="preserve"> pkt 5</w:t>
      </w:r>
      <w:r w:rsidR="00C37B4E" w:rsidRPr="003A42FB">
        <w:rPr>
          <w:rFonts w:ascii="Times New Roman" w:eastAsiaTheme="minorEastAsia" w:hAnsi="Times New Roman" w:cs="Times New Roman"/>
          <w:sz w:val="24"/>
          <w:szCs w:val="24"/>
        </w:rPr>
        <w:t xml:space="preserve"> i</w:t>
      </w:r>
      <w:r>
        <w:rPr>
          <w:rFonts w:ascii="Times New Roman" w:eastAsiaTheme="minorEastAsia" w:hAnsi="Times New Roman" w:cs="Times New Roman"/>
          <w:sz w:val="24"/>
          <w:szCs w:val="24"/>
        </w:rPr>
        <w:t xml:space="preserve"> ust.</w:t>
      </w:r>
      <w:r w:rsidR="00C37B4E" w:rsidRPr="003A42FB">
        <w:rPr>
          <w:rFonts w:ascii="Times New Roman" w:eastAsiaTheme="minorEastAsia" w:hAnsi="Times New Roman" w:cs="Times New Roman"/>
          <w:sz w:val="24"/>
          <w:szCs w:val="24"/>
        </w:rPr>
        <w:t xml:space="preserve"> 5</w:t>
      </w:r>
      <w:r w:rsidR="00EA77B7" w:rsidRPr="003A42FB">
        <w:rPr>
          <w:rFonts w:ascii="Times New Roman" w:eastAsiaTheme="minorEastAsia" w:hAnsi="Times New Roman" w:cs="Times New Roman"/>
          <w:sz w:val="24"/>
          <w:szCs w:val="24"/>
        </w:rPr>
        <w:t>d</w:t>
      </w:r>
      <w:r w:rsidR="00C37B4E" w:rsidRPr="003A42FB">
        <w:rPr>
          <w:rFonts w:ascii="Times New Roman" w:eastAsiaTheme="minorEastAsia" w:hAnsi="Times New Roman" w:cs="Times New Roman"/>
          <w:sz w:val="24"/>
          <w:szCs w:val="24"/>
        </w:rPr>
        <w:t xml:space="preserve"> ustawy o wspieraniu rozwoju</w:t>
      </w:r>
      <w:r>
        <w:rPr>
          <w:rFonts w:ascii="Times New Roman" w:eastAsiaTheme="minorEastAsia" w:hAnsi="Times New Roman" w:cs="Times New Roman"/>
          <w:sz w:val="24"/>
          <w:szCs w:val="24"/>
        </w:rPr>
        <w:t>.</w:t>
      </w:r>
      <w:r w:rsidR="00B40BD7">
        <w:rPr>
          <w:rFonts w:ascii="Times New Roman" w:eastAsiaTheme="minorEastAsia" w:hAnsi="Times New Roman" w:cs="Times New Roman"/>
          <w:sz w:val="24"/>
          <w:szCs w:val="24"/>
        </w:rPr>
        <w:t xml:space="preserve"> Należy wskazać, że zgodnie z:</w:t>
      </w:r>
    </w:p>
    <w:p w14:paraId="13535004" w14:textId="17C0EC3E" w:rsidR="0011362E" w:rsidRDefault="00C37B4E" w:rsidP="005F69BF">
      <w:pPr>
        <w:pStyle w:val="Akapitzlist"/>
        <w:numPr>
          <w:ilvl w:val="0"/>
          <w:numId w:val="79"/>
        </w:numPr>
        <w:shd w:val="clear" w:color="auto" w:fill="FFFFFF" w:themeFill="background1"/>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 xml:space="preserve">art. 30 ust. </w:t>
      </w:r>
      <w:r w:rsidR="0011362E" w:rsidRPr="005F69BF">
        <w:rPr>
          <w:rFonts w:ascii="Times New Roman" w:eastAsiaTheme="minorEastAsia" w:hAnsi="Times New Roman" w:cs="Times New Roman"/>
          <w:sz w:val="24"/>
          <w:szCs w:val="24"/>
        </w:rPr>
        <w:t xml:space="preserve">4 </w:t>
      </w:r>
      <w:r w:rsidRPr="005F69BF">
        <w:rPr>
          <w:rFonts w:ascii="Times New Roman" w:eastAsiaTheme="minorEastAsia" w:hAnsi="Times New Roman" w:cs="Times New Roman"/>
          <w:sz w:val="24"/>
          <w:szCs w:val="24"/>
        </w:rPr>
        <w:t>ustawy o wspieraniu rozwoju</w:t>
      </w:r>
      <w:r w:rsidR="0011362E" w:rsidRPr="005F69BF">
        <w:rPr>
          <w:rFonts w:ascii="Times New Roman" w:eastAsiaTheme="minorEastAsia" w:hAnsi="Times New Roman" w:cs="Times New Roman"/>
          <w:sz w:val="24"/>
          <w:szCs w:val="24"/>
        </w:rPr>
        <w:t>, zawarcie umowy o dostępie, o którym mowa w</w:t>
      </w:r>
      <w:r w:rsidR="0011362E">
        <w:rPr>
          <w:rFonts w:ascii="Times New Roman" w:eastAsiaTheme="minorEastAsia" w:hAnsi="Times New Roman" w:cs="Times New Roman"/>
          <w:sz w:val="24"/>
          <w:szCs w:val="24"/>
        </w:rPr>
        <w:t xml:space="preserve"> art. 30</w:t>
      </w:r>
      <w:r w:rsidR="0011362E" w:rsidRPr="005F69BF">
        <w:rPr>
          <w:rFonts w:ascii="Times New Roman" w:eastAsiaTheme="minorEastAsia" w:hAnsi="Times New Roman" w:cs="Times New Roman"/>
          <w:sz w:val="24"/>
          <w:szCs w:val="24"/>
        </w:rPr>
        <w:t xml:space="preserve"> ust. 1 i 3</w:t>
      </w:r>
      <w:r w:rsidR="0011362E">
        <w:rPr>
          <w:rFonts w:ascii="Times New Roman" w:eastAsiaTheme="minorEastAsia" w:hAnsi="Times New Roman" w:cs="Times New Roman"/>
          <w:sz w:val="24"/>
          <w:szCs w:val="24"/>
        </w:rPr>
        <w:t xml:space="preserve"> tejże ustawy</w:t>
      </w:r>
      <w:r w:rsidR="0011362E" w:rsidRPr="005F69BF">
        <w:rPr>
          <w:rFonts w:ascii="Times New Roman" w:eastAsiaTheme="minorEastAsia" w:hAnsi="Times New Roman" w:cs="Times New Roman"/>
          <w:sz w:val="24"/>
          <w:szCs w:val="24"/>
        </w:rPr>
        <w:t xml:space="preserve">, stanowi czynność zwykłego zarządu. </w:t>
      </w:r>
    </w:p>
    <w:p w14:paraId="6BAE22AF" w14:textId="2B30A05C" w:rsidR="0011362E" w:rsidRDefault="0011362E" w:rsidP="005F69BF">
      <w:pPr>
        <w:pStyle w:val="Akapitzlist"/>
        <w:shd w:val="clear" w:color="auto" w:fill="FFFFFF" w:themeFill="background1"/>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 xml:space="preserve">Odpowiednie stosowanie </w:t>
      </w:r>
      <w:r>
        <w:rPr>
          <w:rFonts w:ascii="Times New Roman" w:eastAsiaTheme="minorEastAsia" w:hAnsi="Times New Roman" w:cs="Times New Roman"/>
          <w:sz w:val="24"/>
          <w:szCs w:val="24"/>
        </w:rPr>
        <w:t>przywołanego</w:t>
      </w:r>
      <w:r w:rsidRPr="005F69BF">
        <w:rPr>
          <w:rFonts w:ascii="Times New Roman" w:eastAsiaTheme="minorEastAsia" w:hAnsi="Times New Roman" w:cs="Times New Roman"/>
          <w:sz w:val="24"/>
          <w:szCs w:val="24"/>
        </w:rPr>
        <w:t xml:space="preserve"> przepisu</w:t>
      </w:r>
      <w:r w:rsidR="00B40BD7">
        <w:rPr>
          <w:rFonts w:ascii="Times New Roman" w:eastAsiaTheme="minorEastAsia" w:hAnsi="Times New Roman" w:cs="Times New Roman"/>
          <w:sz w:val="24"/>
          <w:szCs w:val="24"/>
        </w:rPr>
        <w:t>,</w:t>
      </w:r>
      <w:r w:rsidRPr="005F69BF">
        <w:rPr>
          <w:rFonts w:ascii="Times New Roman" w:eastAsiaTheme="minorEastAsia" w:hAnsi="Times New Roman" w:cs="Times New Roman"/>
          <w:sz w:val="24"/>
          <w:szCs w:val="24"/>
        </w:rPr>
        <w:t xml:space="preserve"> </w:t>
      </w:r>
      <w:r w:rsidR="00B77EFB">
        <w:rPr>
          <w:rFonts w:ascii="Times New Roman" w:eastAsiaTheme="minorEastAsia" w:hAnsi="Times New Roman" w:cs="Times New Roman"/>
          <w:sz w:val="24"/>
          <w:szCs w:val="24"/>
        </w:rPr>
        <w:t>w związku z treścią art. 174</w:t>
      </w:r>
      <w:r w:rsidR="00B40BD7">
        <w:rPr>
          <w:rFonts w:ascii="Times New Roman" w:eastAsiaTheme="minorEastAsia" w:hAnsi="Times New Roman" w:cs="Times New Roman"/>
          <w:sz w:val="24"/>
          <w:szCs w:val="24"/>
        </w:rPr>
        <w:t xml:space="preserve"> ust. 3</w:t>
      </w:r>
      <w:r w:rsidR="007E2272">
        <w:rPr>
          <w:rFonts w:ascii="Times New Roman" w:eastAsiaTheme="minorEastAsia" w:hAnsi="Times New Roman" w:cs="Times New Roman"/>
          <w:sz w:val="24"/>
          <w:szCs w:val="24"/>
        </w:rPr>
        <w:t xml:space="preserve"> Pke</w:t>
      </w:r>
      <w:r w:rsidR="00B40BD7">
        <w:rPr>
          <w:rFonts w:ascii="Times New Roman" w:eastAsiaTheme="minorEastAsia" w:hAnsi="Times New Roman" w:cs="Times New Roman"/>
          <w:sz w:val="24"/>
          <w:szCs w:val="24"/>
        </w:rPr>
        <w:t xml:space="preserve">, </w:t>
      </w:r>
      <w:r w:rsidRPr="005F69BF">
        <w:rPr>
          <w:rFonts w:ascii="Times New Roman" w:eastAsiaTheme="minorEastAsia" w:hAnsi="Times New Roman" w:cs="Times New Roman"/>
          <w:sz w:val="24"/>
          <w:szCs w:val="24"/>
        </w:rPr>
        <w:t>oznacza, że zawarcie um</w:t>
      </w:r>
      <w:r>
        <w:rPr>
          <w:rFonts w:ascii="Times New Roman" w:eastAsiaTheme="minorEastAsia" w:hAnsi="Times New Roman" w:cs="Times New Roman"/>
          <w:sz w:val="24"/>
          <w:szCs w:val="24"/>
        </w:rPr>
        <w:t>owy o dostępie, o którym mowa</w:t>
      </w:r>
      <w:r w:rsidRPr="005F69BF">
        <w:rPr>
          <w:rFonts w:ascii="Times New Roman" w:eastAsiaTheme="minorEastAsia" w:hAnsi="Times New Roman" w:cs="Times New Roman"/>
          <w:sz w:val="24"/>
          <w:szCs w:val="24"/>
        </w:rPr>
        <w:t xml:space="preserve"> w</w:t>
      </w:r>
      <w:r>
        <w:rPr>
          <w:rFonts w:ascii="Times New Roman" w:eastAsiaTheme="minorEastAsia" w:hAnsi="Times New Roman" w:cs="Times New Roman"/>
          <w:sz w:val="24"/>
          <w:szCs w:val="24"/>
        </w:rPr>
        <w:t xml:space="preserve"> </w:t>
      </w:r>
      <w:r w:rsidR="00B77EFB" w:rsidRPr="00FC3700">
        <w:rPr>
          <w:rFonts w:ascii="Times New Roman" w:eastAsiaTheme="minorEastAsia" w:hAnsi="Times New Roman" w:cs="Times New Roman"/>
          <w:sz w:val="24"/>
          <w:szCs w:val="24"/>
        </w:rPr>
        <w:t xml:space="preserve">art. </w:t>
      </w:r>
      <w:r w:rsidR="00B77EFB" w:rsidRPr="00B77E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74</w:t>
      </w:r>
      <w:r w:rsidRPr="005F69BF">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ust. 1</w:t>
      </w:r>
      <w:r w:rsidR="00B40BD7">
        <w:rPr>
          <w:rFonts w:ascii="Times New Roman" w:eastAsiaTheme="minorEastAsia" w:hAnsi="Times New Roman" w:cs="Times New Roman"/>
          <w:sz w:val="24"/>
          <w:szCs w:val="24"/>
        </w:rPr>
        <w:t xml:space="preserve"> Pke</w:t>
      </w:r>
      <w:r w:rsidR="00A467A5">
        <w:rPr>
          <w:rFonts w:ascii="Times New Roman" w:eastAsiaTheme="minorEastAsia" w:hAnsi="Times New Roman" w:cs="Times New Roman"/>
          <w:sz w:val="24"/>
          <w:szCs w:val="24"/>
        </w:rPr>
        <w:t xml:space="preserve"> – pod warunkiem, że </w:t>
      </w:r>
      <w:r w:rsidR="00EE1607" w:rsidRPr="00EE1607">
        <w:rPr>
          <w:rFonts w:ascii="Times New Roman" w:eastAsiaTheme="minorEastAsia" w:hAnsi="Times New Roman" w:cs="Times New Roman"/>
          <w:sz w:val="24"/>
          <w:szCs w:val="24"/>
        </w:rPr>
        <w:t>okablowanie wraz z powiązanymi zaso</w:t>
      </w:r>
      <w:r w:rsidR="00EE1607">
        <w:rPr>
          <w:rFonts w:ascii="Times New Roman" w:eastAsiaTheme="minorEastAsia" w:hAnsi="Times New Roman" w:cs="Times New Roman"/>
          <w:sz w:val="24"/>
          <w:szCs w:val="24"/>
        </w:rPr>
        <w:t xml:space="preserve">bami jest </w:t>
      </w:r>
      <w:r w:rsidR="00EE1607" w:rsidRPr="00EE1607">
        <w:rPr>
          <w:rFonts w:ascii="Times New Roman" w:eastAsiaTheme="minorEastAsia" w:hAnsi="Times New Roman" w:cs="Times New Roman"/>
          <w:sz w:val="24"/>
          <w:szCs w:val="24"/>
        </w:rPr>
        <w:t>części</w:t>
      </w:r>
      <w:r w:rsidR="00EE1607">
        <w:rPr>
          <w:rFonts w:ascii="Times New Roman" w:eastAsiaTheme="minorEastAsia" w:hAnsi="Times New Roman" w:cs="Times New Roman"/>
          <w:sz w:val="24"/>
          <w:szCs w:val="24"/>
        </w:rPr>
        <w:t>ą składową</w:t>
      </w:r>
      <w:r w:rsidR="00EE1607" w:rsidRPr="00EE1607">
        <w:rPr>
          <w:rFonts w:ascii="Times New Roman" w:eastAsiaTheme="minorEastAsia" w:hAnsi="Times New Roman" w:cs="Times New Roman"/>
          <w:sz w:val="24"/>
          <w:szCs w:val="24"/>
        </w:rPr>
        <w:t xml:space="preserve"> nieruchomośc</w:t>
      </w:r>
      <w:r w:rsidR="00EE1607">
        <w:rPr>
          <w:rFonts w:ascii="Times New Roman" w:eastAsiaTheme="minorEastAsia" w:hAnsi="Times New Roman" w:cs="Times New Roman"/>
          <w:sz w:val="24"/>
          <w:szCs w:val="24"/>
        </w:rPr>
        <w:t>i</w:t>
      </w:r>
      <w:r w:rsidR="00A467A5">
        <w:rPr>
          <w:rFonts w:ascii="Times New Roman" w:eastAsiaTheme="minorEastAsia" w:hAnsi="Times New Roman" w:cs="Times New Roman"/>
          <w:sz w:val="24"/>
          <w:szCs w:val="24"/>
        </w:rPr>
        <w:t xml:space="preserve"> – </w:t>
      </w:r>
      <w:r>
        <w:rPr>
          <w:rFonts w:ascii="Times New Roman" w:eastAsiaTheme="minorEastAsia" w:hAnsi="Times New Roman" w:cs="Times New Roman"/>
          <w:sz w:val="24"/>
          <w:szCs w:val="24"/>
        </w:rPr>
        <w:t>stanowi</w:t>
      </w:r>
      <w:r w:rsidR="00EE1607">
        <w:rPr>
          <w:rFonts w:ascii="Times New Roman" w:eastAsiaTheme="minorEastAsia" w:hAnsi="Times New Roman" w:cs="Times New Roman"/>
          <w:sz w:val="24"/>
          <w:szCs w:val="24"/>
        </w:rPr>
        <w:t xml:space="preserve"> czynność zwykłego zarządu</w:t>
      </w:r>
      <w:r w:rsidR="00001729">
        <w:rPr>
          <w:rFonts w:ascii="Times New Roman" w:eastAsiaTheme="minorEastAsia" w:hAnsi="Times New Roman" w:cs="Times New Roman"/>
          <w:sz w:val="24"/>
          <w:szCs w:val="24"/>
        </w:rPr>
        <w:t>;</w:t>
      </w:r>
    </w:p>
    <w:p w14:paraId="470941B2" w14:textId="40F01210" w:rsidR="0011362E" w:rsidRDefault="00B40BD7" w:rsidP="005F69BF">
      <w:pPr>
        <w:pStyle w:val="Akapitzlist"/>
        <w:numPr>
          <w:ilvl w:val="0"/>
          <w:numId w:val="79"/>
        </w:numPr>
        <w:shd w:val="clear" w:color="auto" w:fill="FFFFFF" w:themeFill="background1"/>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r w:rsidR="0011362E">
        <w:rPr>
          <w:rFonts w:ascii="Times New Roman" w:eastAsiaTheme="minorEastAsia" w:hAnsi="Times New Roman" w:cs="Times New Roman"/>
          <w:sz w:val="24"/>
          <w:szCs w:val="24"/>
        </w:rPr>
        <w:t>rt. 30 ust. 5 pkt 5 ustawy o wspieraniu rozwoju, s</w:t>
      </w:r>
      <w:r w:rsidR="0011362E" w:rsidRPr="0011362E">
        <w:rPr>
          <w:rFonts w:ascii="Times New Roman" w:eastAsiaTheme="minorEastAsia" w:hAnsi="Times New Roman" w:cs="Times New Roman"/>
          <w:sz w:val="24"/>
          <w:szCs w:val="24"/>
        </w:rPr>
        <w:t>tronami postępowania w sprawie wydania decyzji o dostępie, o którym mowa w</w:t>
      </w:r>
      <w:r w:rsidR="0011362E">
        <w:rPr>
          <w:rFonts w:ascii="Times New Roman" w:eastAsiaTheme="minorEastAsia" w:hAnsi="Times New Roman" w:cs="Times New Roman"/>
          <w:sz w:val="24"/>
          <w:szCs w:val="24"/>
        </w:rPr>
        <w:t xml:space="preserve"> art. 30</w:t>
      </w:r>
      <w:r w:rsidR="0011362E" w:rsidRPr="0011362E">
        <w:rPr>
          <w:rFonts w:ascii="Times New Roman" w:eastAsiaTheme="minorEastAsia" w:hAnsi="Times New Roman" w:cs="Times New Roman"/>
          <w:sz w:val="24"/>
          <w:szCs w:val="24"/>
        </w:rPr>
        <w:t xml:space="preserve"> ust. 1</w:t>
      </w:r>
      <w:r w:rsidR="00EE1607">
        <w:rPr>
          <w:rFonts w:ascii="Times New Roman" w:eastAsiaTheme="minorEastAsia" w:hAnsi="Times New Roman" w:cs="Times New Roman"/>
          <w:sz w:val="24"/>
          <w:szCs w:val="24"/>
        </w:rPr>
        <w:t xml:space="preserve"> tejże ustawy</w:t>
      </w:r>
      <w:r w:rsidR="0011362E" w:rsidRPr="0011362E">
        <w:rPr>
          <w:rFonts w:ascii="Times New Roman" w:eastAsiaTheme="minorEastAsia" w:hAnsi="Times New Roman" w:cs="Times New Roman"/>
          <w:sz w:val="24"/>
          <w:szCs w:val="24"/>
        </w:rPr>
        <w:t>, są przedsiębiorca telekomunikacyjny oraz właściciel, użytkownik wieczysty lub zarządca nieruchomości, do którego przedsiębiorca telekomunikacyjny wystąpił z wnioskiem o zapewnienie tego dostępu. W razie zmiany zarządcy nieruchomości, ustania zarządu albo utraty przez dotychczasowego zarządcę uprawnienia do zawarcia umowy o dostęp, o którym mowa w ust. 1, na jego miejsce wstępuje nowy zarządca nieruchomości, a w przypadku jego braku - właściciel lub użytkownik wieczysty nieruchomości</w:t>
      </w:r>
    </w:p>
    <w:p w14:paraId="1DB022F2" w14:textId="12028453" w:rsidR="00B40BD7" w:rsidRDefault="0011362E" w:rsidP="005F69BF">
      <w:pPr>
        <w:pStyle w:val="Akapitzlist"/>
        <w:shd w:val="clear" w:color="auto" w:fill="FFFFFF" w:themeFill="background1"/>
        <w:spacing w:after="120" w:line="240" w:lineRule="auto"/>
        <w:jc w:val="both"/>
        <w:rPr>
          <w:rFonts w:ascii="Times New Roman" w:eastAsiaTheme="minorEastAsia" w:hAnsi="Times New Roman" w:cs="Times New Roman"/>
          <w:sz w:val="24"/>
          <w:szCs w:val="24"/>
        </w:rPr>
      </w:pPr>
      <w:r w:rsidRPr="00E36B48">
        <w:rPr>
          <w:rFonts w:ascii="Times New Roman" w:eastAsiaTheme="minorEastAsia" w:hAnsi="Times New Roman" w:cs="Times New Roman"/>
          <w:sz w:val="24"/>
          <w:szCs w:val="24"/>
        </w:rPr>
        <w:t xml:space="preserve">Odpowiednie stosowanie </w:t>
      </w:r>
      <w:r>
        <w:rPr>
          <w:rFonts w:ascii="Times New Roman" w:eastAsiaTheme="minorEastAsia" w:hAnsi="Times New Roman" w:cs="Times New Roman"/>
          <w:sz w:val="24"/>
          <w:szCs w:val="24"/>
        </w:rPr>
        <w:t>przywołanego</w:t>
      </w:r>
      <w:r w:rsidR="00B40BD7">
        <w:rPr>
          <w:rFonts w:ascii="Times New Roman" w:eastAsiaTheme="minorEastAsia" w:hAnsi="Times New Roman" w:cs="Times New Roman"/>
          <w:sz w:val="24"/>
          <w:szCs w:val="24"/>
        </w:rPr>
        <w:t xml:space="preserve"> przepisu</w:t>
      </w:r>
      <w:r w:rsidR="00EE1607">
        <w:rPr>
          <w:rFonts w:ascii="Times New Roman" w:eastAsiaTheme="minorEastAsia" w:hAnsi="Times New Roman" w:cs="Times New Roman"/>
          <w:sz w:val="24"/>
          <w:szCs w:val="24"/>
        </w:rPr>
        <w:t xml:space="preserve">, w związku z treścią art. </w:t>
      </w:r>
      <w:r w:rsidR="00B77EFB">
        <w:rPr>
          <w:rFonts w:ascii="Times New Roman" w:eastAsiaTheme="minorEastAsia" w:hAnsi="Times New Roman" w:cs="Times New Roman"/>
          <w:sz w:val="24"/>
          <w:szCs w:val="24"/>
        </w:rPr>
        <w:t>174</w:t>
      </w:r>
      <w:r w:rsidR="00EE1607">
        <w:rPr>
          <w:rFonts w:ascii="Times New Roman" w:eastAsiaTheme="minorEastAsia" w:hAnsi="Times New Roman" w:cs="Times New Roman"/>
          <w:sz w:val="24"/>
          <w:szCs w:val="24"/>
        </w:rPr>
        <w:t xml:space="preserve"> ust. 3</w:t>
      </w:r>
      <w:r w:rsidR="00B40BD7">
        <w:rPr>
          <w:rFonts w:ascii="Times New Roman" w:eastAsiaTheme="minorEastAsia" w:hAnsi="Times New Roman" w:cs="Times New Roman"/>
          <w:sz w:val="24"/>
          <w:szCs w:val="24"/>
        </w:rPr>
        <w:t xml:space="preserve"> Pke</w:t>
      </w:r>
      <w:r w:rsidR="00EE1607">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polega</w:t>
      </w:r>
      <w:r w:rsidR="00EE1607">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na odwołaniu do d</w:t>
      </w:r>
      <w:r w:rsidR="00B77EFB">
        <w:rPr>
          <w:rFonts w:ascii="Times New Roman" w:eastAsiaTheme="minorEastAsia" w:hAnsi="Times New Roman" w:cs="Times New Roman"/>
          <w:sz w:val="24"/>
          <w:szCs w:val="24"/>
        </w:rPr>
        <w:t>ostępu, o którym mowa w art. 174</w:t>
      </w:r>
      <w:r>
        <w:rPr>
          <w:rFonts w:ascii="Times New Roman" w:eastAsiaTheme="minorEastAsia" w:hAnsi="Times New Roman" w:cs="Times New Roman"/>
          <w:sz w:val="24"/>
          <w:szCs w:val="24"/>
        </w:rPr>
        <w:t xml:space="preserve"> ust. 1 Pke zamiast do dostępu, o którym mowa w art. 30 ust. 1 ustawy o wspieraniu rozwoju. </w:t>
      </w:r>
      <w:r w:rsidR="00EE1607">
        <w:rPr>
          <w:rFonts w:ascii="Times New Roman" w:eastAsiaTheme="minorEastAsia" w:hAnsi="Times New Roman" w:cs="Times New Roman"/>
          <w:sz w:val="24"/>
          <w:szCs w:val="24"/>
        </w:rPr>
        <w:t>W pozostałym zakresie przepis powinien być stosowany tak samo jak na gru</w:t>
      </w:r>
      <w:r w:rsidR="00A467A5">
        <w:rPr>
          <w:rFonts w:ascii="Times New Roman" w:eastAsiaTheme="minorEastAsia" w:hAnsi="Times New Roman" w:cs="Times New Roman"/>
          <w:sz w:val="24"/>
          <w:szCs w:val="24"/>
        </w:rPr>
        <w:t>ncie ustawy o wspieraniu rozwoju</w:t>
      </w:r>
      <w:r w:rsidR="00001729">
        <w:rPr>
          <w:rFonts w:ascii="Times New Roman" w:eastAsiaTheme="minorEastAsia" w:hAnsi="Times New Roman" w:cs="Times New Roman"/>
          <w:sz w:val="24"/>
          <w:szCs w:val="24"/>
        </w:rPr>
        <w:t>;</w:t>
      </w:r>
    </w:p>
    <w:p w14:paraId="40457ADF" w14:textId="09396087" w:rsidR="00EE1607" w:rsidRPr="005F69BF" w:rsidRDefault="00B40BD7">
      <w:pPr>
        <w:pStyle w:val="Akapitzlist"/>
        <w:numPr>
          <w:ilvl w:val="0"/>
          <w:numId w:val="79"/>
        </w:numPr>
        <w:shd w:val="clear" w:color="auto" w:fill="FFFFFF" w:themeFill="background1"/>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art. 30 ust. 5d ustawy o wspieraniu rozwoju, umowa oraz decyzja w sprawie dostępu, o którym mowa w art. 30 ust. 1 i 3 tejże ustawy, są wiążące dla następców prawnych właścicieli i użytkowników wieczystych nieruchomości objętej tą umową lub decyzją oraz innych podmiotów władających tą nieruchomością.</w:t>
      </w:r>
    </w:p>
    <w:p w14:paraId="54DFCEC6" w14:textId="25F15777" w:rsidR="00B40BD7" w:rsidRPr="005F69BF" w:rsidRDefault="00B40BD7" w:rsidP="005F69BF">
      <w:pPr>
        <w:pStyle w:val="Akapitzlist"/>
        <w:shd w:val="clear" w:color="auto" w:fill="FFFFFF" w:themeFill="background1"/>
        <w:spacing w:after="120" w:line="240" w:lineRule="auto"/>
        <w:jc w:val="both"/>
        <w:rPr>
          <w:rFonts w:ascii="Times New Roman" w:eastAsiaTheme="minorEastAsia" w:hAnsi="Times New Roman" w:cs="Times New Roman"/>
          <w:sz w:val="24"/>
          <w:szCs w:val="24"/>
        </w:rPr>
      </w:pPr>
      <w:r w:rsidRPr="00E36B48">
        <w:rPr>
          <w:rFonts w:ascii="Times New Roman" w:eastAsiaTheme="minorEastAsia" w:hAnsi="Times New Roman" w:cs="Times New Roman"/>
          <w:sz w:val="24"/>
          <w:szCs w:val="24"/>
        </w:rPr>
        <w:t xml:space="preserve">Odpowiednie stosowanie </w:t>
      </w:r>
      <w:r>
        <w:rPr>
          <w:rFonts w:ascii="Times New Roman" w:eastAsiaTheme="minorEastAsia" w:hAnsi="Times New Roman" w:cs="Times New Roman"/>
          <w:sz w:val="24"/>
          <w:szCs w:val="24"/>
        </w:rPr>
        <w:t>przywołanego przepisu</w:t>
      </w:r>
      <w:r w:rsidR="00B77EFB">
        <w:rPr>
          <w:rFonts w:ascii="Times New Roman" w:eastAsiaTheme="minorEastAsia" w:hAnsi="Times New Roman" w:cs="Times New Roman"/>
          <w:sz w:val="24"/>
          <w:szCs w:val="24"/>
        </w:rPr>
        <w:t>, w związku z treścią art. 174</w:t>
      </w:r>
      <w:r>
        <w:rPr>
          <w:rFonts w:ascii="Times New Roman" w:eastAsiaTheme="minorEastAsia" w:hAnsi="Times New Roman" w:cs="Times New Roman"/>
          <w:sz w:val="24"/>
          <w:szCs w:val="24"/>
        </w:rPr>
        <w:t xml:space="preserve"> ust. 3 Pke, polega na odwołaniu do d</w:t>
      </w:r>
      <w:r w:rsidR="00B77EFB">
        <w:rPr>
          <w:rFonts w:ascii="Times New Roman" w:eastAsiaTheme="minorEastAsia" w:hAnsi="Times New Roman" w:cs="Times New Roman"/>
          <w:sz w:val="24"/>
          <w:szCs w:val="24"/>
        </w:rPr>
        <w:t>ostępu, o którym mowa w art. 174</w:t>
      </w:r>
      <w:r>
        <w:rPr>
          <w:rFonts w:ascii="Times New Roman" w:eastAsiaTheme="minorEastAsia" w:hAnsi="Times New Roman" w:cs="Times New Roman"/>
          <w:sz w:val="24"/>
          <w:szCs w:val="24"/>
        </w:rPr>
        <w:t xml:space="preserve"> ust. 1 Pke zamiast do dostępu, o którym mowa w art. 30 ust. 1 i 3 ustawy o wspieraniu rozwoju. W pozostałym zakresie przepis powinien być stosowany tak samo jak na gruncie ustawy o wspieraniu rozwoju</w:t>
      </w:r>
      <w:r w:rsidR="007E2272">
        <w:rPr>
          <w:rFonts w:ascii="Times New Roman" w:eastAsiaTheme="minorEastAsia" w:hAnsi="Times New Roman" w:cs="Times New Roman"/>
          <w:sz w:val="24"/>
          <w:szCs w:val="24"/>
        </w:rPr>
        <w:t>.</w:t>
      </w:r>
    </w:p>
    <w:p w14:paraId="290C6A9B" w14:textId="774B0D3B" w:rsidR="00B40BD7" w:rsidRDefault="007E2272" w:rsidP="005F69BF">
      <w:pPr>
        <w:shd w:val="clear" w:color="auto" w:fill="FFFFFF" w:themeFill="background1"/>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W projektowanym</w:t>
      </w:r>
      <w:r w:rsidRPr="003A42FB">
        <w:rPr>
          <w:rFonts w:ascii="Times New Roman" w:eastAsiaTheme="minorEastAsia" w:hAnsi="Times New Roman" w:cs="Times New Roman"/>
          <w:sz w:val="24"/>
          <w:szCs w:val="24"/>
          <w:vertAlign w:val="superscript"/>
        </w:rPr>
        <w:t xml:space="preserve"> </w:t>
      </w:r>
      <w:r w:rsidRPr="00E36B48">
        <w:rPr>
          <w:rFonts w:ascii="Times New Roman" w:eastAsiaTheme="minorEastAsia" w:hAnsi="Times New Roman" w:cs="Times New Roman"/>
          <w:sz w:val="24"/>
          <w:szCs w:val="24"/>
        </w:rPr>
        <w:t xml:space="preserve">art. </w:t>
      </w:r>
      <w:r w:rsidR="00B77EFB">
        <w:rPr>
          <w:rFonts w:ascii="Times New Roman" w:eastAsiaTheme="minorEastAsia" w:hAnsi="Times New Roman" w:cs="Times New Roman"/>
          <w:sz w:val="24"/>
          <w:szCs w:val="24"/>
        </w:rPr>
        <w:t>174</w:t>
      </w:r>
      <w:r>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w:t>
      </w:r>
      <w:r>
        <w:rPr>
          <w:rFonts w:ascii="Times New Roman" w:eastAsiaTheme="minorEastAsia" w:hAnsi="Times New Roman" w:cs="Times New Roman"/>
          <w:sz w:val="24"/>
          <w:szCs w:val="24"/>
        </w:rPr>
        <w:t>4 Pke</w:t>
      </w:r>
      <w:r w:rsidRPr="003A42FB">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znajduje się </w:t>
      </w:r>
      <w:r w:rsidRPr="003A42FB">
        <w:rPr>
          <w:rFonts w:ascii="Times New Roman" w:eastAsiaTheme="minorEastAsia" w:hAnsi="Times New Roman" w:cs="Times New Roman"/>
          <w:sz w:val="24"/>
          <w:szCs w:val="24"/>
        </w:rPr>
        <w:t>odesłanie do odpowiedniego stosowania</w:t>
      </w:r>
      <w:r>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art. 30 ust.</w:t>
      </w:r>
      <w:r>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5</w:t>
      </w:r>
      <w:r>
        <w:rPr>
          <w:rFonts w:ascii="Times New Roman" w:eastAsiaTheme="minorEastAsia" w:hAnsi="Times New Roman" w:cs="Times New Roman"/>
          <w:sz w:val="24"/>
          <w:szCs w:val="24"/>
        </w:rPr>
        <w:t xml:space="preserve"> pkt 5</w:t>
      </w:r>
      <w:r w:rsidRPr="003A42FB">
        <w:rPr>
          <w:rFonts w:ascii="Times New Roman" w:eastAsiaTheme="minorEastAsia" w:hAnsi="Times New Roman" w:cs="Times New Roman"/>
          <w:sz w:val="24"/>
          <w:szCs w:val="24"/>
        </w:rPr>
        <w:t xml:space="preserve"> i</w:t>
      </w:r>
      <w:r>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ustawy o wspieraniu rozwoju w sytuacji,</w:t>
      </w:r>
      <w:r>
        <w:rPr>
          <w:rFonts w:ascii="Times New Roman" w:eastAsiaTheme="minorEastAsia" w:hAnsi="Times New Roman" w:cs="Times New Roman"/>
          <w:sz w:val="24"/>
          <w:szCs w:val="24"/>
        </w:rPr>
        <w:t xml:space="preserve"> jak i art. </w:t>
      </w:r>
      <w:r w:rsidRPr="00726BCE">
        <w:rPr>
          <w:rFonts w:ascii="Times New Roman" w:eastAsiaTheme="minorEastAsia" w:hAnsi="Times New Roman" w:cs="Times New Roman"/>
          <w:sz w:val="24"/>
          <w:szCs w:val="24"/>
        </w:rPr>
        <w:t>30 § 4</w:t>
      </w:r>
      <w:r>
        <w:rPr>
          <w:rFonts w:ascii="Times New Roman" w:eastAsiaTheme="minorEastAsia" w:hAnsi="Times New Roman" w:cs="Times New Roman"/>
          <w:sz w:val="24"/>
          <w:szCs w:val="24"/>
        </w:rPr>
        <w:t xml:space="preserve"> Kpa, w</w:t>
      </w:r>
      <w:r w:rsidRPr="007E2272">
        <w:rPr>
          <w:rFonts w:ascii="Times New Roman" w:eastAsiaTheme="minorEastAsia" w:hAnsi="Times New Roman" w:cs="Times New Roman"/>
          <w:sz w:val="24"/>
          <w:szCs w:val="24"/>
        </w:rPr>
        <w:t xml:space="preserve"> przypadku </w:t>
      </w:r>
      <w:r w:rsidRPr="007E2272">
        <w:rPr>
          <w:rFonts w:ascii="Times New Roman" w:eastAsiaTheme="minorEastAsia" w:hAnsi="Times New Roman" w:cs="Times New Roman"/>
          <w:sz w:val="24"/>
          <w:szCs w:val="24"/>
        </w:rPr>
        <w:lastRenderedPageBreak/>
        <w:t>zmiany właściciela, użytkownika wieczystego lub zarządcy nieruchomości</w:t>
      </w:r>
      <w:r>
        <w:rPr>
          <w:rFonts w:ascii="Times New Roman" w:eastAsiaTheme="minorEastAsia" w:hAnsi="Times New Roman" w:cs="Times New Roman"/>
          <w:sz w:val="24"/>
          <w:szCs w:val="24"/>
        </w:rPr>
        <w:t>,</w:t>
      </w:r>
      <w:r w:rsidRPr="007E2272">
        <w:rPr>
          <w:rFonts w:ascii="Times New Roman" w:eastAsiaTheme="minorEastAsia" w:hAnsi="Times New Roman" w:cs="Times New Roman"/>
          <w:sz w:val="24"/>
          <w:szCs w:val="24"/>
        </w:rPr>
        <w:t xml:space="preserve"> po wystąpieniu z wnioskiem o zawarcie umowy o dostępie, o którym mowa w </w:t>
      </w:r>
      <w:r w:rsidR="00B77EFB">
        <w:rPr>
          <w:rFonts w:ascii="Times New Roman" w:eastAsiaTheme="minorEastAsia" w:hAnsi="Times New Roman" w:cs="Times New Roman"/>
          <w:sz w:val="24"/>
          <w:szCs w:val="24"/>
        </w:rPr>
        <w:t>art. 174</w:t>
      </w:r>
      <w:r>
        <w:rPr>
          <w:rFonts w:ascii="Times New Roman" w:eastAsiaTheme="minorEastAsia" w:hAnsi="Times New Roman" w:cs="Times New Roman"/>
          <w:sz w:val="24"/>
          <w:szCs w:val="24"/>
        </w:rPr>
        <w:t xml:space="preserve"> </w:t>
      </w:r>
      <w:r w:rsidRPr="007E2272">
        <w:rPr>
          <w:rFonts w:ascii="Times New Roman" w:eastAsiaTheme="minorEastAsia" w:hAnsi="Times New Roman" w:cs="Times New Roman"/>
          <w:sz w:val="24"/>
          <w:szCs w:val="24"/>
        </w:rPr>
        <w:t>ust. 1</w:t>
      </w:r>
      <w:r>
        <w:rPr>
          <w:rFonts w:ascii="Times New Roman" w:eastAsiaTheme="minorEastAsia" w:hAnsi="Times New Roman" w:cs="Times New Roman"/>
          <w:sz w:val="24"/>
          <w:szCs w:val="24"/>
        </w:rPr>
        <w:t xml:space="preserve"> Pke</w:t>
      </w:r>
      <w:r w:rsidRPr="007E2272">
        <w:rPr>
          <w:rFonts w:ascii="Times New Roman" w:eastAsiaTheme="minorEastAsia" w:hAnsi="Times New Roman" w:cs="Times New Roman"/>
          <w:sz w:val="24"/>
          <w:szCs w:val="24"/>
        </w:rPr>
        <w:t>, a przed złożeniem wniosku w sprawie rozstrzygnięcia sporu przez Prezesa UKE</w:t>
      </w:r>
      <w:r>
        <w:rPr>
          <w:rFonts w:ascii="Times New Roman" w:eastAsiaTheme="minorEastAsia" w:hAnsi="Times New Roman" w:cs="Times New Roman"/>
          <w:sz w:val="24"/>
          <w:szCs w:val="24"/>
        </w:rPr>
        <w:t xml:space="preserve">. Należy </w:t>
      </w:r>
      <w:r w:rsidR="00A467A5">
        <w:rPr>
          <w:rFonts w:ascii="Times New Roman" w:eastAsiaTheme="minorEastAsia" w:hAnsi="Times New Roman" w:cs="Times New Roman"/>
          <w:sz w:val="24"/>
          <w:szCs w:val="24"/>
        </w:rPr>
        <w:t>wyjaśnić</w:t>
      </w:r>
      <w:r>
        <w:rPr>
          <w:rFonts w:ascii="Times New Roman" w:eastAsiaTheme="minorEastAsia" w:hAnsi="Times New Roman" w:cs="Times New Roman"/>
          <w:sz w:val="24"/>
          <w:szCs w:val="24"/>
        </w:rPr>
        <w:t>, że zgodnie z:</w:t>
      </w:r>
    </w:p>
    <w:p w14:paraId="4A22C87E" w14:textId="7FA374A4" w:rsidR="007E2272" w:rsidRDefault="007E2272" w:rsidP="007E2272">
      <w:pPr>
        <w:pStyle w:val="Akapitzlist"/>
        <w:numPr>
          <w:ilvl w:val="0"/>
          <w:numId w:val="79"/>
        </w:numPr>
        <w:shd w:val="clear" w:color="auto" w:fill="FFFFFF" w:themeFill="background1"/>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art. 30 ust. 5 pkt 5 ustawy o wspieraniu rozwoju, s</w:t>
      </w:r>
      <w:r w:rsidRPr="0011362E">
        <w:rPr>
          <w:rFonts w:ascii="Times New Roman" w:eastAsiaTheme="minorEastAsia" w:hAnsi="Times New Roman" w:cs="Times New Roman"/>
          <w:sz w:val="24"/>
          <w:szCs w:val="24"/>
        </w:rPr>
        <w:t>tronami postępowania w sprawie wydania decyzji o dostępie, o którym mowa w</w:t>
      </w:r>
      <w:r>
        <w:rPr>
          <w:rFonts w:ascii="Times New Roman" w:eastAsiaTheme="minorEastAsia" w:hAnsi="Times New Roman" w:cs="Times New Roman"/>
          <w:sz w:val="24"/>
          <w:szCs w:val="24"/>
        </w:rPr>
        <w:t xml:space="preserve"> art. 30</w:t>
      </w:r>
      <w:r w:rsidRPr="0011362E">
        <w:rPr>
          <w:rFonts w:ascii="Times New Roman" w:eastAsiaTheme="minorEastAsia" w:hAnsi="Times New Roman" w:cs="Times New Roman"/>
          <w:sz w:val="24"/>
          <w:szCs w:val="24"/>
        </w:rPr>
        <w:t xml:space="preserve"> ust. 1</w:t>
      </w:r>
      <w:r>
        <w:rPr>
          <w:rFonts w:ascii="Times New Roman" w:eastAsiaTheme="minorEastAsia" w:hAnsi="Times New Roman" w:cs="Times New Roman"/>
          <w:sz w:val="24"/>
          <w:szCs w:val="24"/>
        </w:rPr>
        <w:t xml:space="preserve"> tejże ustawy</w:t>
      </w:r>
      <w:r w:rsidRPr="0011362E">
        <w:rPr>
          <w:rFonts w:ascii="Times New Roman" w:eastAsiaTheme="minorEastAsia" w:hAnsi="Times New Roman" w:cs="Times New Roman"/>
          <w:sz w:val="24"/>
          <w:szCs w:val="24"/>
        </w:rPr>
        <w:t>, są przedsiębiorca telekomunikacyjny oraz właściciel, użytkownik wieczysty lub zarządca nieruchomości, do którego przedsiębiorca telekomunikacyjny wystąpił z wnioskiem o zapewnienie tego dostępu. W razie zmiany zarządcy nieruchomości, ustania zarządu albo utraty przez dotychczasowego zarządcę uprawnienia do zawarcia umowy o dostęp, o którym mowa w ust. 1, na jego miejsce wstępuje nowy zarządca nieruchomości, a w przypadku jego braku - właściciel lub użytkownik wieczysty nieruchomości</w:t>
      </w:r>
      <w:r w:rsidR="00001729">
        <w:rPr>
          <w:rFonts w:ascii="Times New Roman" w:eastAsiaTheme="minorEastAsia" w:hAnsi="Times New Roman" w:cs="Times New Roman"/>
          <w:sz w:val="24"/>
          <w:szCs w:val="24"/>
        </w:rPr>
        <w:t>.</w:t>
      </w:r>
    </w:p>
    <w:p w14:paraId="535E1EBF" w14:textId="57C05549" w:rsidR="00BE64D4" w:rsidRPr="005F69BF" w:rsidRDefault="007E2272" w:rsidP="005F69BF">
      <w:pPr>
        <w:pStyle w:val="Akapitzlist"/>
        <w:shd w:val="clear" w:color="auto" w:fill="FFFFFF" w:themeFill="background1"/>
        <w:spacing w:after="120" w:line="240" w:lineRule="auto"/>
        <w:jc w:val="both"/>
        <w:rPr>
          <w:rFonts w:ascii="Times New Roman" w:eastAsiaTheme="minorEastAsia" w:hAnsi="Times New Roman" w:cs="Times New Roman"/>
          <w:sz w:val="24"/>
          <w:szCs w:val="24"/>
        </w:rPr>
      </w:pPr>
      <w:r w:rsidRPr="00E36B48">
        <w:rPr>
          <w:rFonts w:ascii="Times New Roman" w:eastAsiaTheme="minorEastAsia" w:hAnsi="Times New Roman" w:cs="Times New Roman"/>
          <w:sz w:val="24"/>
          <w:szCs w:val="24"/>
        </w:rPr>
        <w:t xml:space="preserve">Odpowiednie stosowanie </w:t>
      </w:r>
      <w:r>
        <w:rPr>
          <w:rFonts w:ascii="Times New Roman" w:eastAsiaTheme="minorEastAsia" w:hAnsi="Times New Roman" w:cs="Times New Roman"/>
          <w:sz w:val="24"/>
          <w:szCs w:val="24"/>
        </w:rPr>
        <w:t>przywołanego przep</w:t>
      </w:r>
      <w:r w:rsidR="00B77EFB">
        <w:rPr>
          <w:rFonts w:ascii="Times New Roman" w:eastAsiaTheme="minorEastAsia" w:hAnsi="Times New Roman" w:cs="Times New Roman"/>
          <w:sz w:val="24"/>
          <w:szCs w:val="24"/>
        </w:rPr>
        <w:t>isu, w związku z treścią art. 174</w:t>
      </w:r>
      <w:r>
        <w:rPr>
          <w:rFonts w:ascii="Times New Roman" w:eastAsiaTheme="minorEastAsia" w:hAnsi="Times New Roman" w:cs="Times New Roman"/>
          <w:sz w:val="24"/>
          <w:szCs w:val="24"/>
        </w:rPr>
        <w:t xml:space="preserve"> ust. 4 Pke, poleg</w:t>
      </w:r>
      <w:r w:rsidR="00BE64D4">
        <w:rPr>
          <w:rFonts w:ascii="Times New Roman" w:eastAsiaTheme="minorEastAsia" w:hAnsi="Times New Roman" w:cs="Times New Roman"/>
          <w:sz w:val="24"/>
          <w:szCs w:val="24"/>
        </w:rPr>
        <w:t>a</w:t>
      </w:r>
      <w:r w:rsidR="00A467A5">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po pierwsze, na odwołaniu do d</w:t>
      </w:r>
      <w:r w:rsidR="00B77EFB">
        <w:rPr>
          <w:rFonts w:ascii="Times New Roman" w:eastAsiaTheme="minorEastAsia" w:hAnsi="Times New Roman" w:cs="Times New Roman"/>
          <w:sz w:val="24"/>
          <w:szCs w:val="24"/>
        </w:rPr>
        <w:t>ostępu, o którym mowa w art. 174</w:t>
      </w:r>
      <w:r>
        <w:rPr>
          <w:rFonts w:ascii="Times New Roman" w:eastAsiaTheme="minorEastAsia" w:hAnsi="Times New Roman" w:cs="Times New Roman"/>
          <w:sz w:val="24"/>
          <w:szCs w:val="24"/>
        </w:rPr>
        <w:t xml:space="preserve"> ust. 1 Pke zamiast do dostępu, o którym mowa w art. 30 ust. 1 ustawy o wspieraniu rozwoju. Po drugie, </w:t>
      </w:r>
      <w:r w:rsidR="00B77EFB">
        <w:rPr>
          <w:rFonts w:ascii="Times New Roman" w:eastAsiaTheme="minorEastAsia" w:hAnsi="Times New Roman" w:cs="Times New Roman"/>
          <w:sz w:val="24"/>
          <w:szCs w:val="24"/>
        </w:rPr>
        <w:t>co wynika wprost z art. 174</w:t>
      </w:r>
      <w:r>
        <w:rPr>
          <w:rFonts w:ascii="Times New Roman" w:eastAsiaTheme="minorEastAsia" w:hAnsi="Times New Roman" w:cs="Times New Roman"/>
          <w:sz w:val="24"/>
          <w:szCs w:val="24"/>
        </w:rPr>
        <w:t xml:space="preserve"> ust. 4, </w:t>
      </w:r>
      <w:r w:rsidR="00BE64D4">
        <w:rPr>
          <w:rFonts w:ascii="Times New Roman" w:eastAsiaTheme="minorEastAsia" w:hAnsi="Times New Roman" w:cs="Times New Roman"/>
          <w:sz w:val="24"/>
          <w:szCs w:val="24"/>
        </w:rPr>
        <w:t>przepisu nie stosuje się do „strony postępowania”</w:t>
      </w:r>
      <w:r w:rsidR="002F0DD5">
        <w:rPr>
          <w:rFonts w:ascii="Times New Roman" w:eastAsiaTheme="minorEastAsia" w:hAnsi="Times New Roman" w:cs="Times New Roman"/>
          <w:sz w:val="24"/>
          <w:szCs w:val="24"/>
        </w:rPr>
        <w:t xml:space="preserve"> (jak w przypadku odpowiedniego stosowania art. 30 ust. 5 pkt 5 ustawy o wspieraniu rozwoju w zw. z</w:t>
      </w:r>
      <w:r w:rsidR="00B77EFB">
        <w:rPr>
          <w:rFonts w:ascii="Times New Roman" w:eastAsiaTheme="minorEastAsia" w:hAnsi="Times New Roman" w:cs="Times New Roman"/>
          <w:sz w:val="24"/>
          <w:szCs w:val="24"/>
        </w:rPr>
        <w:t xml:space="preserve"> art. 174</w:t>
      </w:r>
      <w:r w:rsidR="002F0DD5">
        <w:rPr>
          <w:rFonts w:ascii="Times New Roman" w:eastAsiaTheme="minorEastAsia" w:hAnsi="Times New Roman" w:cs="Times New Roman"/>
          <w:sz w:val="24"/>
          <w:szCs w:val="24"/>
        </w:rPr>
        <w:t xml:space="preserve"> ust. 3 Pke)</w:t>
      </w:r>
      <w:r w:rsidR="00BE64D4">
        <w:rPr>
          <w:rFonts w:ascii="Times New Roman" w:eastAsiaTheme="minorEastAsia" w:hAnsi="Times New Roman" w:cs="Times New Roman"/>
          <w:sz w:val="24"/>
          <w:szCs w:val="24"/>
        </w:rPr>
        <w:t xml:space="preserve"> a do „strony negocjacji”</w:t>
      </w:r>
      <w:r w:rsidR="00A467A5">
        <w:rPr>
          <w:rFonts w:ascii="Times New Roman" w:eastAsiaTheme="minorEastAsia" w:hAnsi="Times New Roman" w:cs="Times New Roman"/>
          <w:sz w:val="24"/>
          <w:szCs w:val="24"/>
        </w:rPr>
        <w:t>. N</w:t>
      </w:r>
      <w:r w:rsidR="00BE64D4">
        <w:rPr>
          <w:rFonts w:ascii="Times New Roman" w:eastAsiaTheme="minorEastAsia" w:hAnsi="Times New Roman" w:cs="Times New Roman"/>
          <w:sz w:val="24"/>
          <w:szCs w:val="24"/>
        </w:rPr>
        <w:t>egocjacje rozpoczynają się z momentem doręczenia</w:t>
      </w:r>
      <w:r w:rsidR="00A467A5">
        <w:rPr>
          <w:rFonts w:ascii="Times New Roman" w:eastAsiaTheme="minorEastAsia" w:hAnsi="Times New Roman" w:cs="Times New Roman"/>
          <w:sz w:val="24"/>
          <w:szCs w:val="24"/>
        </w:rPr>
        <w:t xml:space="preserve"> zobowiązanemu</w:t>
      </w:r>
      <w:r w:rsidR="002F0DD5">
        <w:rPr>
          <w:rFonts w:ascii="Times New Roman" w:eastAsiaTheme="minorEastAsia" w:hAnsi="Times New Roman" w:cs="Times New Roman"/>
          <w:sz w:val="24"/>
          <w:szCs w:val="24"/>
        </w:rPr>
        <w:t xml:space="preserve"> do zapewnienia </w:t>
      </w:r>
      <w:r w:rsidR="00B77EFB">
        <w:rPr>
          <w:rFonts w:ascii="Times New Roman" w:eastAsiaTheme="minorEastAsia" w:hAnsi="Times New Roman" w:cs="Times New Roman"/>
          <w:sz w:val="24"/>
          <w:szCs w:val="24"/>
        </w:rPr>
        <w:t>dostępu na podstawie art. 174</w:t>
      </w:r>
      <w:r w:rsidR="002F0DD5">
        <w:rPr>
          <w:rFonts w:ascii="Times New Roman" w:eastAsiaTheme="minorEastAsia" w:hAnsi="Times New Roman" w:cs="Times New Roman"/>
          <w:sz w:val="24"/>
          <w:szCs w:val="24"/>
        </w:rPr>
        <w:t xml:space="preserve"> ust. 2 Pke, </w:t>
      </w:r>
      <w:r w:rsidR="00BE64D4">
        <w:rPr>
          <w:rFonts w:ascii="Times New Roman" w:eastAsiaTheme="minorEastAsia" w:hAnsi="Times New Roman" w:cs="Times New Roman"/>
          <w:sz w:val="24"/>
          <w:szCs w:val="24"/>
        </w:rPr>
        <w:t>wniosku o zawarcia umowy o dostępie</w:t>
      </w:r>
      <w:r w:rsidR="00B77EFB">
        <w:rPr>
          <w:rFonts w:ascii="Times New Roman" w:eastAsiaTheme="minorEastAsia" w:hAnsi="Times New Roman" w:cs="Times New Roman"/>
          <w:sz w:val="24"/>
          <w:szCs w:val="24"/>
        </w:rPr>
        <w:t>, o którym mowa w art. 174</w:t>
      </w:r>
      <w:r w:rsidR="00BE64D4">
        <w:rPr>
          <w:rFonts w:ascii="Times New Roman" w:eastAsiaTheme="minorEastAsia" w:hAnsi="Times New Roman" w:cs="Times New Roman"/>
          <w:sz w:val="24"/>
          <w:szCs w:val="24"/>
        </w:rPr>
        <w:t xml:space="preserve"> ust. 1 Pke</w:t>
      </w:r>
      <w:r w:rsidR="00A467A5">
        <w:rPr>
          <w:rFonts w:ascii="Times New Roman" w:eastAsiaTheme="minorEastAsia" w:hAnsi="Times New Roman" w:cs="Times New Roman"/>
          <w:sz w:val="24"/>
          <w:szCs w:val="24"/>
        </w:rPr>
        <w:t xml:space="preserve">, i są prowadzone </w:t>
      </w:r>
      <w:r w:rsidR="002F0DD5">
        <w:rPr>
          <w:rFonts w:ascii="Times New Roman" w:eastAsiaTheme="minorEastAsia" w:hAnsi="Times New Roman" w:cs="Times New Roman"/>
          <w:sz w:val="24"/>
          <w:szCs w:val="24"/>
        </w:rPr>
        <w:t>pomiędzy zobowiązanym do zapewnienia dostępu i uprawnionym do żądania dostępu.</w:t>
      </w:r>
      <w:r w:rsidR="00A467A5">
        <w:rPr>
          <w:rFonts w:ascii="Times New Roman" w:eastAsiaTheme="minorEastAsia" w:hAnsi="Times New Roman" w:cs="Times New Roman"/>
          <w:sz w:val="24"/>
          <w:szCs w:val="24"/>
        </w:rPr>
        <w:t xml:space="preserve"> </w:t>
      </w:r>
      <w:r w:rsidR="002F0DD5">
        <w:rPr>
          <w:rFonts w:ascii="Times New Roman" w:eastAsiaTheme="minorEastAsia" w:hAnsi="Times New Roman" w:cs="Times New Roman"/>
          <w:sz w:val="24"/>
          <w:szCs w:val="24"/>
        </w:rPr>
        <w:t>P</w:t>
      </w:r>
      <w:r w:rsidR="00BE64D4">
        <w:rPr>
          <w:rFonts w:ascii="Times New Roman" w:eastAsiaTheme="minorEastAsia" w:hAnsi="Times New Roman" w:cs="Times New Roman"/>
          <w:sz w:val="24"/>
          <w:szCs w:val="24"/>
        </w:rPr>
        <w:t xml:space="preserve">róba podjęcia </w:t>
      </w:r>
      <w:r w:rsidR="002F0DD5">
        <w:rPr>
          <w:rFonts w:ascii="Times New Roman" w:eastAsiaTheme="minorEastAsia" w:hAnsi="Times New Roman" w:cs="Times New Roman"/>
          <w:sz w:val="24"/>
          <w:szCs w:val="24"/>
        </w:rPr>
        <w:t xml:space="preserve">negocjacji </w:t>
      </w:r>
      <w:r w:rsidR="00BE64D4">
        <w:rPr>
          <w:rFonts w:ascii="Times New Roman" w:eastAsiaTheme="minorEastAsia" w:hAnsi="Times New Roman" w:cs="Times New Roman"/>
          <w:sz w:val="24"/>
          <w:szCs w:val="24"/>
        </w:rPr>
        <w:t>jest niezbędna do ewentualnego, późniejszego złożenia wniosku o rozstrzygnięcie sporu o dostęp przez Prezesa UKE.</w:t>
      </w:r>
      <w:r w:rsidR="002F0DD5">
        <w:rPr>
          <w:rFonts w:ascii="Times New Roman" w:eastAsiaTheme="minorEastAsia" w:hAnsi="Times New Roman" w:cs="Times New Roman"/>
          <w:sz w:val="24"/>
          <w:szCs w:val="24"/>
        </w:rPr>
        <w:t xml:space="preserve"> </w:t>
      </w:r>
      <w:r w:rsidR="00A467A5">
        <w:rPr>
          <w:rFonts w:ascii="Times New Roman" w:eastAsiaTheme="minorEastAsia" w:hAnsi="Times New Roman" w:cs="Times New Roman"/>
          <w:sz w:val="24"/>
          <w:szCs w:val="24"/>
        </w:rPr>
        <w:t>Natomiast, w</w:t>
      </w:r>
      <w:r w:rsidR="002F0DD5">
        <w:rPr>
          <w:rFonts w:ascii="Times New Roman" w:eastAsiaTheme="minorEastAsia" w:hAnsi="Times New Roman" w:cs="Times New Roman"/>
          <w:sz w:val="24"/>
          <w:szCs w:val="24"/>
        </w:rPr>
        <w:t xml:space="preserve"> przypadku gdy postępowanie takie zostało wszczęte (jest w toku), a</w:t>
      </w:r>
      <w:r w:rsidR="00A467A5">
        <w:rPr>
          <w:rFonts w:ascii="Times New Roman" w:eastAsiaTheme="minorEastAsia" w:hAnsi="Times New Roman" w:cs="Times New Roman"/>
          <w:sz w:val="24"/>
          <w:szCs w:val="24"/>
        </w:rPr>
        <w:t xml:space="preserve"> nastąpi</w:t>
      </w:r>
      <w:r w:rsidR="002F0DD5">
        <w:rPr>
          <w:rFonts w:ascii="Times New Roman" w:eastAsiaTheme="minorEastAsia" w:hAnsi="Times New Roman" w:cs="Times New Roman"/>
          <w:sz w:val="24"/>
          <w:szCs w:val="24"/>
        </w:rPr>
        <w:t xml:space="preserve"> zmiana</w:t>
      </w:r>
      <w:r w:rsidR="002F0DD5" w:rsidRPr="0011362E">
        <w:rPr>
          <w:rFonts w:ascii="Times New Roman" w:eastAsiaTheme="minorEastAsia" w:hAnsi="Times New Roman" w:cs="Times New Roman"/>
          <w:sz w:val="24"/>
          <w:szCs w:val="24"/>
        </w:rPr>
        <w:t xml:space="preserve"> zarządcy nieruchomości, ustani</w:t>
      </w:r>
      <w:r w:rsidR="002F0DD5">
        <w:rPr>
          <w:rFonts w:ascii="Times New Roman" w:eastAsiaTheme="minorEastAsia" w:hAnsi="Times New Roman" w:cs="Times New Roman"/>
          <w:sz w:val="24"/>
          <w:szCs w:val="24"/>
        </w:rPr>
        <w:t>e</w:t>
      </w:r>
      <w:r w:rsidR="002F0DD5" w:rsidRPr="0011362E">
        <w:rPr>
          <w:rFonts w:ascii="Times New Roman" w:eastAsiaTheme="minorEastAsia" w:hAnsi="Times New Roman" w:cs="Times New Roman"/>
          <w:sz w:val="24"/>
          <w:szCs w:val="24"/>
        </w:rPr>
        <w:t xml:space="preserve"> zarządu albo utrat</w:t>
      </w:r>
      <w:r w:rsidR="002F0DD5">
        <w:rPr>
          <w:rFonts w:ascii="Times New Roman" w:eastAsiaTheme="minorEastAsia" w:hAnsi="Times New Roman" w:cs="Times New Roman"/>
          <w:sz w:val="24"/>
          <w:szCs w:val="24"/>
        </w:rPr>
        <w:t>a</w:t>
      </w:r>
      <w:r w:rsidR="002F0DD5" w:rsidRPr="0011362E">
        <w:rPr>
          <w:rFonts w:ascii="Times New Roman" w:eastAsiaTheme="minorEastAsia" w:hAnsi="Times New Roman" w:cs="Times New Roman"/>
          <w:sz w:val="24"/>
          <w:szCs w:val="24"/>
        </w:rPr>
        <w:t xml:space="preserve"> przez dotychczasowego zarządcę uprawnienia do zawarcia umowy o dostęp, o którym mowa</w:t>
      </w:r>
      <w:r w:rsidR="00A467A5">
        <w:rPr>
          <w:rFonts w:ascii="Times New Roman" w:eastAsiaTheme="minorEastAsia" w:hAnsi="Times New Roman" w:cs="Times New Roman"/>
          <w:sz w:val="24"/>
          <w:szCs w:val="24"/>
        </w:rPr>
        <w:t xml:space="preserve"> </w:t>
      </w:r>
      <w:r w:rsidR="00B77EFB">
        <w:rPr>
          <w:rFonts w:ascii="Times New Roman" w:eastAsiaTheme="minorEastAsia" w:hAnsi="Times New Roman" w:cs="Times New Roman"/>
          <w:sz w:val="24"/>
          <w:szCs w:val="24"/>
        </w:rPr>
        <w:t>art. 174</w:t>
      </w:r>
      <w:r w:rsidR="002F0DD5">
        <w:rPr>
          <w:rFonts w:ascii="Times New Roman" w:eastAsiaTheme="minorEastAsia" w:hAnsi="Times New Roman" w:cs="Times New Roman"/>
          <w:sz w:val="24"/>
          <w:szCs w:val="24"/>
        </w:rPr>
        <w:t xml:space="preserve"> </w:t>
      </w:r>
      <w:r w:rsidR="002F0DD5" w:rsidRPr="00A467A5">
        <w:rPr>
          <w:rFonts w:ascii="Times New Roman" w:eastAsiaTheme="minorEastAsia" w:hAnsi="Times New Roman" w:cs="Times New Roman"/>
          <w:sz w:val="24"/>
          <w:szCs w:val="24"/>
        </w:rPr>
        <w:t xml:space="preserve">ust. </w:t>
      </w:r>
      <w:r w:rsidR="005D5264" w:rsidRPr="00A467A5">
        <w:rPr>
          <w:rFonts w:ascii="Times New Roman" w:eastAsiaTheme="minorEastAsia" w:hAnsi="Times New Roman" w:cs="Times New Roman"/>
          <w:sz w:val="24"/>
          <w:szCs w:val="24"/>
        </w:rPr>
        <w:t>1</w:t>
      </w:r>
      <w:r w:rsidR="00A467A5" w:rsidRPr="00A467A5">
        <w:rPr>
          <w:rFonts w:ascii="Times New Roman" w:eastAsiaTheme="minorEastAsia" w:hAnsi="Times New Roman" w:cs="Times New Roman"/>
          <w:sz w:val="24"/>
          <w:szCs w:val="24"/>
        </w:rPr>
        <w:t xml:space="preserve"> Pke</w:t>
      </w:r>
      <w:r w:rsidR="005D5264" w:rsidRPr="00A467A5">
        <w:rPr>
          <w:rFonts w:ascii="Times New Roman" w:eastAsiaTheme="minorEastAsia" w:hAnsi="Times New Roman" w:cs="Times New Roman"/>
          <w:sz w:val="24"/>
          <w:szCs w:val="24"/>
        </w:rPr>
        <w:t>, to na jego miejsce wstąpi</w:t>
      </w:r>
      <w:r w:rsidR="002F0DD5" w:rsidRPr="00A467A5">
        <w:rPr>
          <w:rFonts w:ascii="Times New Roman" w:eastAsiaTheme="minorEastAsia" w:hAnsi="Times New Roman" w:cs="Times New Roman"/>
          <w:sz w:val="24"/>
          <w:szCs w:val="24"/>
        </w:rPr>
        <w:t xml:space="preserve"> nowy zarządca nieruchomości, a w przypadku jego braku - właściciel lub użytkownik wieczysty nieruchomości</w:t>
      </w:r>
      <w:r w:rsidR="005D5264" w:rsidRPr="00A467A5">
        <w:rPr>
          <w:rFonts w:ascii="Times New Roman" w:eastAsiaTheme="minorEastAsia" w:hAnsi="Times New Roman" w:cs="Times New Roman"/>
          <w:sz w:val="24"/>
          <w:szCs w:val="24"/>
        </w:rPr>
        <w:t>, który stan</w:t>
      </w:r>
      <w:r w:rsidR="00A467A5" w:rsidRPr="00A467A5">
        <w:rPr>
          <w:rFonts w:ascii="Times New Roman" w:eastAsiaTheme="minorEastAsia" w:hAnsi="Times New Roman" w:cs="Times New Roman"/>
          <w:sz w:val="24"/>
          <w:szCs w:val="24"/>
        </w:rPr>
        <w:t>ie się stroną tego postępowania</w:t>
      </w:r>
      <w:r w:rsidR="005D5264" w:rsidRPr="00A467A5">
        <w:rPr>
          <w:rFonts w:ascii="Times New Roman" w:eastAsiaTheme="minorEastAsia" w:hAnsi="Times New Roman" w:cs="Times New Roman"/>
          <w:sz w:val="24"/>
          <w:szCs w:val="24"/>
        </w:rPr>
        <w:t xml:space="preserve"> prowadzonego przez Prezesa UKE</w:t>
      </w:r>
      <w:r w:rsidR="00001729">
        <w:rPr>
          <w:rFonts w:ascii="Times New Roman" w:eastAsiaTheme="minorEastAsia" w:hAnsi="Times New Roman" w:cs="Times New Roman"/>
          <w:sz w:val="24"/>
          <w:szCs w:val="24"/>
        </w:rPr>
        <w:t>;</w:t>
      </w:r>
    </w:p>
    <w:p w14:paraId="033B50B1" w14:textId="57FCD7C8" w:rsidR="00BE64D4" w:rsidRPr="005F69BF" w:rsidRDefault="00A467A5">
      <w:pPr>
        <w:pStyle w:val="Akapitzlist"/>
        <w:numPr>
          <w:ilvl w:val="0"/>
          <w:numId w:val="79"/>
        </w:numPr>
        <w:shd w:val="clear" w:color="auto" w:fill="FFFFFF" w:themeFill="background1"/>
        <w:spacing w:after="120" w:line="240" w:lineRule="auto"/>
        <w:jc w:val="both"/>
        <w:rPr>
          <w:rFonts w:ascii="Times New Roman" w:eastAsiaTheme="minorEastAsia" w:hAnsi="Times New Roman" w:cs="Times New Roman"/>
          <w:sz w:val="24"/>
          <w:szCs w:val="24"/>
        </w:rPr>
      </w:pPr>
      <w:r w:rsidRPr="003E7B5D">
        <w:rPr>
          <w:rFonts w:ascii="Times New Roman" w:eastAsiaTheme="minorEastAsia" w:hAnsi="Times New Roman" w:cs="Times New Roman"/>
          <w:sz w:val="24"/>
          <w:szCs w:val="24"/>
        </w:rPr>
        <w:t xml:space="preserve">art. 30 § 4 Kpa, </w:t>
      </w:r>
      <w:r w:rsidRPr="005F69BF">
        <w:rPr>
          <w:rFonts w:ascii="Times New Roman" w:hAnsi="Times New Roman" w:cs="Times New Roman"/>
          <w:sz w:val="24"/>
          <w:szCs w:val="24"/>
        </w:rPr>
        <w:t>w sprawach dotyczących praw zbywalnych lub dziedzicznych w razie zbycia prawa lub śmierci strony w toku postępowania na miejsce dotychczasowej strony wstępują jej następcy prawni.</w:t>
      </w:r>
    </w:p>
    <w:p w14:paraId="6BA918BC" w14:textId="67350753" w:rsidR="00A831A9" w:rsidRPr="003A42FB" w:rsidRDefault="00A467A5" w:rsidP="005F69BF">
      <w:pPr>
        <w:pStyle w:val="Akapitzlist"/>
        <w:jc w:val="both"/>
        <w:rPr>
          <w:rFonts w:ascii="Times New Roman" w:eastAsiaTheme="minorEastAsia" w:hAnsi="Times New Roman" w:cs="Times New Roman"/>
          <w:sz w:val="24"/>
          <w:szCs w:val="24"/>
        </w:rPr>
      </w:pPr>
      <w:r w:rsidRPr="005F69BF">
        <w:rPr>
          <w:rFonts w:ascii="Times New Roman" w:hAnsi="Times New Roman" w:cs="Times New Roman"/>
          <w:sz w:val="24"/>
          <w:szCs w:val="24"/>
        </w:rPr>
        <w:t xml:space="preserve">Odpowiednio stosowanie art. 30 </w:t>
      </w:r>
      <w:r w:rsidR="00B77EFB">
        <w:rPr>
          <w:rFonts w:ascii="Times New Roman" w:eastAsiaTheme="minorEastAsia" w:hAnsi="Times New Roman" w:cs="Times New Roman"/>
          <w:sz w:val="24"/>
          <w:szCs w:val="24"/>
        </w:rPr>
        <w:t>§ 4 Kpa w zw. z art. 174</w:t>
      </w:r>
      <w:r w:rsidRPr="003E7B5D">
        <w:rPr>
          <w:rFonts w:ascii="Times New Roman" w:eastAsiaTheme="minorEastAsia" w:hAnsi="Times New Roman" w:cs="Times New Roman"/>
          <w:sz w:val="24"/>
          <w:szCs w:val="24"/>
        </w:rPr>
        <w:t xml:space="preserve"> ust. 4 Pke </w:t>
      </w:r>
      <w:r w:rsidR="003E7B5D" w:rsidRPr="003E7B5D">
        <w:rPr>
          <w:rFonts w:ascii="Times New Roman" w:eastAsiaTheme="minorEastAsia" w:hAnsi="Times New Roman" w:cs="Times New Roman"/>
          <w:sz w:val="24"/>
          <w:szCs w:val="24"/>
        </w:rPr>
        <w:t xml:space="preserve">oznacza, że w przypadku </w:t>
      </w:r>
      <w:r w:rsidR="003E7B5D" w:rsidRPr="005F69BF">
        <w:rPr>
          <w:rFonts w:ascii="Times New Roman" w:hAnsi="Times New Roman" w:cs="Times New Roman"/>
          <w:sz w:val="24"/>
          <w:szCs w:val="24"/>
        </w:rPr>
        <w:t>zmiany właściciela, użytkownika wieczystego lub zarządcy nieruchomości</w:t>
      </w:r>
      <w:r w:rsidR="003E7B5D">
        <w:rPr>
          <w:rFonts w:ascii="Times New Roman" w:hAnsi="Times New Roman" w:cs="Times New Roman"/>
          <w:sz w:val="24"/>
          <w:szCs w:val="24"/>
        </w:rPr>
        <w:t xml:space="preserve"> zobowiązanych do zapewn</w:t>
      </w:r>
      <w:r w:rsidR="00B77EFB">
        <w:rPr>
          <w:rFonts w:ascii="Times New Roman" w:hAnsi="Times New Roman" w:cs="Times New Roman"/>
          <w:sz w:val="24"/>
          <w:szCs w:val="24"/>
        </w:rPr>
        <w:t>ienia dostępu zgodnie z art. 174</w:t>
      </w:r>
      <w:r w:rsidR="003E7B5D">
        <w:rPr>
          <w:rFonts w:ascii="Times New Roman" w:hAnsi="Times New Roman" w:cs="Times New Roman"/>
          <w:sz w:val="24"/>
          <w:szCs w:val="24"/>
        </w:rPr>
        <w:t xml:space="preserve"> ust. 2 Pke,</w:t>
      </w:r>
      <w:r w:rsidR="003E7B5D" w:rsidRPr="005F69BF">
        <w:rPr>
          <w:rFonts w:ascii="Times New Roman" w:hAnsi="Times New Roman" w:cs="Times New Roman"/>
          <w:sz w:val="24"/>
          <w:szCs w:val="24"/>
        </w:rPr>
        <w:t xml:space="preserve"> w związku ze zbyciem </w:t>
      </w:r>
      <w:r w:rsidR="003E7B5D" w:rsidRPr="003E7B5D">
        <w:rPr>
          <w:rFonts w:ascii="Times New Roman" w:eastAsiaTheme="minorEastAsia" w:hAnsi="Times New Roman" w:cs="Times New Roman"/>
          <w:sz w:val="24"/>
          <w:szCs w:val="24"/>
        </w:rPr>
        <w:t>prawa</w:t>
      </w:r>
      <w:r w:rsidR="003E7B5D">
        <w:rPr>
          <w:rFonts w:ascii="Times New Roman" w:eastAsiaTheme="minorEastAsia" w:hAnsi="Times New Roman" w:cs="Times New Roman"/>
          <w:sz w:val="24"/>
          <w:szCs w:val="24"/>
        </w:rPr>
        <w:t xml:space="preserve"> do budynku (którego częścią składową są </w:t>
      </w:r>
      <w:r w:rsidR="00B77EFB">
        <w:rPr>
          <w:rFonts w:ascii="Times New Roman" w:eastAsiaTheme="minorEastAsia" w:hAnsi="Times New Roman" w:cs="Times New Roman"/>
          <w:sz w:val="24"/>
          <w:szCs w:val="24"/>
        </w:rPr>
        <w:t>zasoby, o których mowa w art. 174</w:t>
      </w:r>
      <w:r w:rsidR="003E7B5D">
        <w:rPr>
          <w:rFonts w:ascii="Times New Roman" w:eastAsiaTheme="minorEastAsia" w:hAnsi="Times New Roman" w:cs="Times New Roman"/>
          <w:sz w:val="24"/>
          <w:szCs w:val="24"/>
        </w:rPr>
        <w:t xml:space="preserve"> ust. 1 Pke)</w:t>
      </w:r>
      <w:r w:rsidR="003E7B5D" w:rsidRPr="003E7B5D">
        <w:rPr>
          <w:rFonts w:ascii="Times New Roman" w:eastAsiaTheme="minorEastAsia" w:hAnsi="Times New Roman" w:cs="Times New Roman"/>
          <w:sz w:val="24"/>
          <w:szCs w:val="24"/>
        </w:rPr>
        <w:t xml:space="preserve"> lub śmiercią</w:t>
      </w:r>
      <w:r w:rsidR="003E7B5D">
        <w:rPr>
          <w:rFonts w:ascii="Times New Roman" w:eastAsiaTheme="minorEastAsia" w:hAnsi="Times New Roman" w:cs="Times New Roman"/>
          <w:sz w:val="24"/>
          <w:szCs w:val="24"/>
        </w:rPr>
        <w:t xml:space="preserve"> dysponenta</w:t>
      </w:r>
      <w:r w:rsidR="00650B59">
        <w:rPr>
          <w:rFonts w:ascii="Times New Roman" w:eastAsiaTheme="minorEastAsia" w:hAnsi="Times New Roman" w:cs="Times New Roman"/>
          <w:sz w:val="24"/>
          <w:szCs w:val="24"/>
        </w:rPr>
        <w:t xml:space="preserve"> takiego budynku</w:t>
      </w:r>
      <w:r w:rsidR="003E7B5D" w:rsidRPr="003E7B5D">
        <w:rPr>
          <w:rFonts w:ascii="Times New Roman" w:eastAsiaTheme="minorEastAsia" w:hAnsi="Times New Roman" w:cs="Times New Roman"/>
          <w:sz w:val="24"/>
          <w:szCs w:val="24"/>
        </w:rPr>
        <w:t>,</w:t>
      </w:r>
      <w:r w:rsidR="00650B59">
        <w:rPr>
          <w:rFonts w:ascii="Times New Roman" w:eastAsiaTheme="minorEastAsia" w:hAnsi="Times New Roman" w:cs="Times New Roman"/>
          <w:sz w:val="24"/>
          <w:szCs w:val="24"/>
        </w:rPr>
        <w:t xml:space="preserve"> w momencie</w:t>
      </w:r>
      <w:r w:rsidR="00650B59">
        <w:rPr>
          <w:rFonts w:ascii="Times New Roman" w:hAnsi="Times New Roman" w:cs="Times New Roman"/>
          <w:sz w:val="24"/>
          <w:szCs w:val="24"/>
        </w:rPr>
        <w:t xml:space="preserve"> już po wystąpienia przez przedsiębiorcę telekomunikacyjnego</w:t>
      </w:r>
      <w:r w:rsidR="003E7B5D" w:rsidRPr="005F69BF">
        <w:rPr>
          <w:rFonts w:ascii="Times New Roman" w:hAnsi="Times New Roman" w:cs="Times New Roman"/>
          <w:sz w:val="24"/>
          <w:szCs w:val="24"/>
        </w:rPr>
        <w:t xml:space="preserve"> z wnioskiem o zawarcie umowy o dostępie</w:t>
      </w:r>
      <w:r w:rsidR="00650B59">
        <w:rPr>
          <w:rFonts w:ascii="Times New Roman" w:hAnsi="Times New Roman" w:cs="Times New Roman"/>
          <w:sz w:val="24"/>
          <w:szCs w:val="24"/>
        </w:rPr>
        <w:t>, czyli na etapie negocjacji</w:t>
      </w:r>
      <w:r w:rsidR="003E7B5D">
        <w:rPr>
          <w:rFonts w:ascii="Times New Roman" w:eastAsiaTheme="minorEastAsia" w:hAnsi="Times New Roman" w:cs="Times New Roman"/>
          <w:sz w:val="24"/>
          <w:szCs w:val="24"/>
        </w:rPr>
        <w:t xml:space="preserve">, </w:t>
      </w:r>
      <w:r w:rsidR="00650B59">
        <w:rPr>
          <w:rFonts w:ascii="Times New Roman" w:eastAsiaTheme="minorEastAsia" w:hAnsi="Times New Roman" w:cs="Times New Roman"/>
          <w:sz w:val="24"/>
          <w:szCs w:val="24"/>
        </w:rPr>
        <w:t>nowy dysponent wstępuje w prawa i obowiązki jako zobowiązany do zapewnienia dostępu</w:t>
      </w:r>
      <w:r w:rsidR="004D68E7">
        <w:rPr>
          <w:rFonts w:ascii="Times New Roman" w:eastAsiaTheme="minorEastAsia" w:hAnsi="Times New Roman" w:cs="Times New Roman"/>
          <w:sz w:val="24"/>
          <w:szCs w:val="24"/>
        </w:rPr>
        <w:t>. Oznacza to m.in., że</w:t>
      </w:r>
      <w:r w:rsidR="00650B59">
        <w:rPr>
          <w:rFonts w:ascii="Times New Roman" w:eastAsiaTheme="minorEastAsia" w:hAnsi="Times New Roman" w:cs="Times New Roman"/>
          <w:sz w:val="24"/>
          <w:szCs w:val="24"/>
        </w:rPr>
        <w:t xml:space="preserve"> jest zobowiązany kontynuować negocjacje z uprawnionym do żądania dostępu przedsiębiorcą telekomunikacyjnym, </w:t>
      </w:r>
      <w:r w:rsidR="004D68E7">
        <w:rPr>
          <w:rFonts w:ascii="Times New Roman" w:eastAsiaTheme="minorEastAsia" w:hAnsi="Times New Roman" w:cs="Times New Roman"/>
          <w:sz w:val="24"/>
          <w:szCs w:val="24"/>
        </w:rPr>
        <w:t>bez konieczności ponownego skierowania do niego</w:t>
      </w:r>
      <w:r w:rsidR="00650B59">
        <w:rPr>
          <w:rFonts w:ascii="Times New Roman" w:eastAsiaTheme="minorEastAsia" w:hAnsi="Times New Roman" w:cs="Times New Roman"/>
          <w:sz w:val="24"/>
          <w:szCs w:val="24"/>
        </w:rPr>
        <w:t xml:space="preserve"> wniosku o zawarcie rzeczonej umowy.</w:t>
      </w:r>
    </w:p>
    <w:p w14:paraId="455FCE8C" w14:textId="797DE0D8" w:rsidR="00FD7BF5" w:rsidRPr="003A42FB" w:rsidRDefault="00FD7BF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proponowaną treścią </w:t>
      </w:r>
      <w:r w:rsidR="00C37B4E" w:rsidRPr="003A42FB">
        <w:rPr>
          <w:rFonts w:ascii="Times New Roman" w:eastAsiaTheme="minorEastAsia" w:hAnsi="Times New Roman" w:cs="Times New Roman"/>
          <w:sz w:val="24"/>
          <w:szCs w:val="24"/>
        </w:rPr>
        <w:t xml:space="preserve">art. </w:t>
      </w:r>
      <w:r w:rsidR="001E0F4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74</w:t>
      </w:r>
      <w:r w:rsidR="001E0F4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w:t>
      </w:r>
      <w:r w:rsidR="00FE4BFA" w:rsidRPr="003A42FB">
        <w:rPr>
          <w:rFonts w:ascii="Times New Roman" w:eastAsiaTheme="minorEastAsia" w:hAnsi="Times New Roman" w:cs="Times New Roman"/>
          <w:sz w:val="24"/>
          <w:szCs w:val="24"/>
        </w:rPr>
        <w:t>5</w:t>
      </w:r>
      <w:r w:rsidR="004D68E7">
        <w:rPr>
          <w:rFonts w:ascii="Times New Roman" w:eastAsiaTheme="minorEastAsia" w:hAnsi="Times New Roman" w:cs="Times New Roman"/>
          <w:sz w:val="24"/>
          <w:szCs w:val="24"/>
        </w:rPr>
        <w:t xml:space="preserve"> Pke</w:t>
      </w:r>
      <w:r w:rsidRPr="003A42FB">
        <w:rPr>
          <w:rFonts w:ascii="Times New Roman" w:eastAsiaTheme="minorEastAsia" w:hAnsi="Times New Roman" w:cs="Times New Roman"/>
          <w:sz w:val="24"/>
          <w:szCs w:val="24"/>
        </w:rPr>
        <w:t>, umowa dotycząca d</w:t>
      </w:r>
      <w:r w:rsidR="00C37B4E" w:rsidRPr="003A42FB">
        <w:rPr>
          <w:rFonts w:ascii="Times New Roman" w:eastAsiaTheme="minorEastAsia" w:hAnsi="Times New Roman" w:cs="Times New Roman"/>
          <w:sz w:val="24"/>
          <w:szCs w:val="24"/>
        </w:rPr>
        <w:t>ostępu, o którym mowa w </w:t>
      </w:r>
      <w:r w:rsidRPr="003A42FB">
        <w:rPr>
          <w:rFonts w:ascii="Times New Roman" w:eastAsiaTheme="minorEastAsia" w:hAnsi="Times New Roman" w:cs="Times New Roman"/>
          <w:sz w:val="24"/>
          <w:szCs w:val="24"/>
        </w:rPr>
        <w:t>ust. 1,</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powinna być zawarta w terminie 30 dni od dnia wystąpienia wnioskiem o jej zawarcie. Nie zawarcie umowy w rzeczonym terminie skutkuje możliwością złożenia</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wniosku w sprawie rozstrzygnięcia sporu dotyczącego dostępu przez każdą ze stron na podstawie </w:t>
      </w:r>
      <w:r w:rsidR="008E114D" w:rsidRPr="003A42FB">
        <w:rPr>
          <w:rFonts w:ascii="Times New Roman" w:eastAsiaTheme="minorEastAsia" w:hAnsi="Times New Roman" w:cs="Times New Roman"/>
          <w:sz w:val="24"/>
          <w:szCs w:val="24"/>
        </w:rPr>
        <w:t xml:space="preserve">art. </w:t>
      </w:r>
      <w:r w:rsidR="001E0F4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83</w:t>
      </w:r>
      <w:r w:rsidR="001E0F46" w:rsidRPr="003A42FB">
        <w:rPr>
          <w:rFonts w:ascii="Times New Roman" w:eastAsiaTheme="minorEastAsia" w:hAnsi="Times New Roman" w:cs="Times New Roman"/>
          <w:sz w:val="24"/>
          <w:szCs w:val="24"/>
        </w:rPr>
        <w:t xml:space="preserve"> </w:t>
      </w:r>
      <w:r w:rsidR="008E114D" w:rsidRPr="003A42FB">
        <w:rPr>
          <w:rFonts w:ascii="Times New Roman" w:eastAsiaTheme="minorEastAsia" w:hAnsi="Times New Roman" w:cs="Times New Roman"/>
          <w:sz w:val="24"/>
          <w:szCs w:val="24"/>
        </w:rPr>
        <w:t xml:space="preserve">ust. 2 pkt </w:t>
      </w:r>
      <w:r w:rsidR="008E114D" w:rsidRPr="003A42FB">
        <w:rPr>
          <w:rFonts w:ascii="Times New Roman" w:eastAsiaTheme="minorEastAsia" w:hAnsi="Times New Roman" w:cs="Times New Roman"/>
          <w:sz w:val="24"/>
          <w:szCs w:val="24"/>
        </w:rPr>
        <w:lastRenderedPageBreak/>
        <w:t>2</w:t>
      </w:r>
      <w:r w:rsidRPr="003A42FB">
        <w:rPr>
          <w:rFonts w:ascii="Times New Roman" w:eastAsiaTheme="minorEastAsia" w:hAnsi="Times New Roman" w:cs="Times New Roman"/>
          <w:sz w:val="24"/>
          <w:szCs w:val="24"/>
        </w:rPr>
        <w:t>.</w:t>
      </w:r>
      <w:r w:rsidR="00FE4BFA" w:rsidRPr="003A42FB">
        <w:rPr>
          <w:rFonts w:ascii="Times New Roman" w:eastAsiaTheme="minorEastAsia" w:hAnsi="Times New Roman" w:cs="Times New Roman"/>
          <w:sz w:val="24"/>
          <w:szCs w:val="24"/>
        </w:rPr>
        <w:t xml:space="preserve"> W rzeczonym przepisie zawarta jest regulacja o charakterze szczególnym w stosunku do ogólnego te</w:t>
      </w:r>
      <w:r w:rsidR="00E64860" w:rsidRPr="003A42FB">
        <w:rPr>
          <w:rFonts w:ascii="Times New Roman" w:eastAsiaTheme="minorEastAsia" w:hAnsi="Times New Roman" w:cs="Times New Roman"/>
          <w:sz w:val="24"/>
          <w:szCs w:val="24"/>
        </w:rPr>
        <w:t xml:space="preserve">rminu negocjacji, który wynosi </w:t>
      </w:r>
      <w:r w:rsidR="004D68E7">
        <w:rPr>
          <w:rFonts w:ascii="Times New Roman" w:eastAsiaTheme="minorEastAsia" w:hAnsi="Times New Roman" w:cs="Times New Roman"/>
          <w:sz w:val="24"/>
          <w:szCs w:val="24"/>
        </w:rPr>
        <w:t>6</w:t>
      </w:r>
      <w:r w:rsidR="00FE4BFA" w:rsidRPr="003A42FB">
        <w:rPr>
          <w:rFonts w:ascii="Times New Roman" w:eastAsiaTheme="minorEastAsia" w:hAnsi="Times New Roman" w:cs="Times New Roman"/>
          <w:sz w:val="24"/>
          <w:szCs w:val="24"/>
        </w:rPr>
        <w:t>0 dni.</w:t>
      </w:r>
    </w:p>
    <w:p w14:paraId="62D65413" w14:textId="58D96AC9" w:rsidR="00FD7BF5" w:rsidRPr="003A42FB" w:rsidRDefault="002028FA"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w:t>
      </w:r>
      <w:r w:rsidR="00401436">
        <w:rPr>
          <w:rFonts w:ascii="Times New Roman" w:eastAsiaTheme="minorEastAsia" w:hAnsi="Times New Roman" w:cs="Times New Roman"/>
          <w:sz w:val="24"/>
          <w:szCs w:val="24"/>
        </w:rPr>
        <w:t>rojektowany</w:t>
      </w:r>
      <w:r w:rsidR="00B77EFB">
        <w:rPr>
          <w:rFonts w:ascii="Times New Roman" w:eastAsiaTheme="minorEastAsia" w:hAnsi="Times New Roman" w:cs="Times New Roman"/>
          <w:sz w:val="24"/>
          <w:szCs w:val="24"/>
        </w:rPr>
        <w:t xml:space="preserve"> art. 174</w:t>
      </w:r>
      <w:r w:rsidR="004D68E7">
        <w:rPr>
          <w:rFonts w:ascii="Times New Roman" w:eastAsiaTheme="minorEastAsia" w:hAnsi="Times New Roman" w:cs="Times New Roman"/>
          <w:sz w:val="24"/>
          <w:szCs w:val="24"/>
        </w:rPr>
        <w:t xml:space="preserve"> ust. 6 Pke</w:t>
      </w:r>
      <w:r>
        <w:rPr>
          <w:rFonts w:ascii="Times New Roman" w:eastAsiaTheme="minorEastAsia" w:hAnsi="Times New Roman" w:cs="Times New Roman"/>
          <w:sz w:val="24"/>
          <w:szCs w:val="24"/>
        </w:rPr>
        <w:t xml:space="preserve"> odnosi się do kwestii odpłatności dostępu</w:t>
      </w:r>
      <w:r w:rsidR="004D68E7">
        <w:rPr>
          <w:rFonts w:ascii="Times New Roman" w:eastAsiaTheme="minorEastAsia" w:hAnsi="Times New Roman" w:cs="Times New Roman"/>
          <w:sz w:val="24"/>
          <w:szCs w:val="24"/>
        </w:rPr>
        <w:t xml:space="preserve">, </w:t>
      </w:r>
      <w:r w:rsidR="00B77EFB">
        <w:rPr>
          <w:rFonts w:ascii="Times New Roman" w:eastAsiaTheme="minorEastAsia" w:hAnsi="Times New Roman" w:cs="Times New Roman"/>
          <w:sz w:val="24"/>
          <w:szCs w:val="24"/>
        </w:rPr>
        <w:t>o którym mowa w art. 174</w:t>
      </w:r>
      <w:r>
        <w:rPr>
          <w:rFonts w:ascii="Times New Roman" w:eastAsiaTheme="minorEastAsia" w:hAnsi="Times New Roman" w:cs="Times New Roman"/>
          <w:sz w:val="24"/>
          <w:szCs w:val="24"/>
        </w:rPr>
        <w:t xml:space="preserve"> ust. 1 Pke. </w:t>
      </w:r>
      <w:r w:rsidRPr="002028FA">
        <w:rPr>
          <w:rFonts w:ascii="Times New Roman" w:eastAsiaTheme="minorEastAsia" w:hAnsi="Times New Roman" w:cs="Times New Roman"/>
          <w:sz w:val="24"/>
          <w:szCs w:val="24"/>
        </w:rPr>
        <w:t>6. Dostęp, o którym mowa w ust. 1 jest</w:t>
      </w:r>
      <w:r>
        <w:rPr>
          <w:rFonts w:ascii="Times New Roman" w:eastAsiaTheme="minorEastAsia" w:hAnsi="Times New Roman" w:cs="Times New Roman"/>
          <w:sz w:val="24"/>
          <w:szCs w:val="24"/>
        </w:rPr>
        <w:t xml:space="preserve"> co do zasady </w:t>
      </w:r>
      <w:r w:rsidRPr="002028FA">
        <w:rPr>
          <w:rFonts w:ascii="Times New Roman" w:eastAsiaTheme="minorEastAsia" w:hAnsi="Times New Roman" w:cs="Times New Roman"/>
          <w:sz w:val="24"/>
          <w:szCs w:val="24"/>
        </w:rPr>
        <w:t>nieodpłatny, przy czym przedsiębiorca</w:t>
      </w:r>
      <w:r>
        <w:rPr>
          <w:rFonts w:ascii="Times New Roman" w:eastAsiaTheme="minorEastAsia" w:hAnsi="Times New Roman" w:cs="Times New Roman"/>
          <w:sz w:val="24"/>
          <w:szCs w:val="24"/>
        </w:rPr>
        <w:t xml:space="preserve"> telekomunikacyjny ponosi </w:t>
      </w:r>
      <w:r w:rsidR="00401436">
        <w:rPr>
          <w:rFonts w:ascii="Times New Roman" w:eastAsiaTheme="minorEastAsia" w:hAnsi="Times New Roman" w:cs="Times New Roman"/>
          <w:sz w:val="24"/>
          <w:szCs w:val="24"/>
        </w:rPr>
        <w:t>proporcjalną</w:t>
      </w:r>
      <w:r>
        <w:rPr>
          <w:rFonts w:ascii="Times New Roman" w:eastAsiaTheme="minorEastAsia" w:hAnsi="Times New Roman" w:cs="Times New Roman"/>
          <w:sz w:val="24"/>
          <w:szCs w:val="24"/>
        </w:rPr>
        <w:t xml:space="preserve"> część</w:t>
      </w:r>
      <w:r w:rsidRPr="002028FA">
        <w:rPr>
          <w:rFonts w:ascii="Times New Roman" w:eastAsiaTheme="minorEastAsia" w:hAnsi="Times New Roman" w:cs="Times New Roman"/>
          <w:sz w:val="24"/>
          <w:szCs w:val="24"/>
        </w:rPr>
        <w:t xml:space="preserve"> </w:t>
      </w:r>
      <w:r w:rsidR="004D68E7" w:rsidRPr="004D68E7">
        <w:rPr>
          <w:rFonts w:ascii="Times New Roman" w:eastAsiaTheme="minorEastAsia" w:hAnsi="Times New Roman" w:cs="Times New Roman"/>
          <w:sz w:val="24"/>
          <w:szCs w:val="24"/>
        </w:rPr>
        <w:t>ponoszonych przez zapewniającego dostęp kosztów utrzymania udostępnionej infrastruktury</w:t>
      </w:r>
      <w:r>
        <w:rPr>
          <w:rFonts w:ascii="Times New Roman" w:eastAsiaTheme="minorEastAsia" w:hAnsi="Times New Roman" w:cs="Times New Roman"/>
          <w:sz w:val="24"/>
          <w:szCs w:val="24"/>
        </w:rPr>
        <w:t xml:space="preserve">. Wyjątkowo jest </w:t>
      </w:r>
      <w:r w:rsidRPr="002028FA">
        <w:rPr>
          <w:rFonts w:ascii="Times New Roman" w:eastAsiaTheme="minorEastAsia" w:hAnsi="Times New Roman" w:cs="Times New Roman"/>
          <w:sz w:val="24"/>
          <w:szCs w:val="24"/>
        </w:rPr>
        <w:t>odpłatny, jeżeli okablowania pomiędzy zakończeniami sieci w obiekcie budowlanym</w:t>
      </w:r>
      <w:r w:rsidR="004D68E7" w:rsidRPr="004D68E7">
        <w:rPr>
          <w:rFonts w:ascii="Times New Roman" w:eastAsiaTheme="minorEastAsia" w:hAnsi="Times New Roman" w:cs="Times New Roman"/>
          <w:sz w:val="24"/>
          <w:szCs w:val="24"/>
        </w:rPr>
        <w:t xml:space="preserve">, a </w:t>
      </w:r>
      <w:r w:rsidRPr="002028FA">
        <w:rPr>
          <w:rFonts w:ascii="Times New Roman" w:eastAsiaTheme="minorEastAsia" w:hAnsi="Times New Roman" w:cs="Times New Roman"/>
          <w:sz w:val="24"/>
          <w:szCs w:val="24"/>
        </w:rPr>
        <w:t>najbliższym punktem dystrybucji</w:t>
      </w:r>
      <w:r w:rsidR="004D68E7" w:rsidRPr="004D68E7">
        <w:rPr>
          <w:rFonts w:ascii="Times New Roman" w:eastAsiaTheme="minorEastAsia" w:hAnsi="Times New Roman" w:cs="Times New Roman"/>
          <w:sz w:val="24"/>
          <w:szCs w:val="24"/>
        </w:rPr>
        <w:t xml:space="preserve"> jest własnością podmiotu, którego przeważającym przedmiotem działalności jest działalność telekomunikacyjna</w:t>
      </w:r>
      <w:r>
        <w:rPr>
          <w:rFonts w:ascii="Times New Roman" w:eastAsiaTheme="minorEastAsia" w:hAnsi="Times New Roman" w:cs="Times New Roman"/>
          <w:sz w:val="24"/>
          <w:szCs w:val="24"/>
        </w:rPr>
        <w:t xml:space="preserve"> (a więc nie każdego przedsiębiorcy telekomunikacyjnego)</w:t>
      </w:r>
      <w:r w:rsidRPr="002028F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 tej sytuacji o</w:t>
      </w:r>
      <w:r w:rsidRPr="002028FA">
        <w:rPr>
          <w:rFonts w:ascii="Times New Roman" w:eastAsiaTheme="minorEastAsia" w:hAnsi="Times New Roman" w:cs="Times New Roman"/>
          <w:sz w:val="24"/>
          <w:szCs w:val="24"/>
        </w:rPr>
        <w:t>płaty za ten dostęp powinny umożliwiać zwrot</w:t>
      </w:r>
      <w:r w:rsidR="00401436">
        <w:rPr>
          <w:rFonts w:ascii="Times New Roman" w:eastAsiaTheme="minorEastAsia" w:hAnsi="Times New Roman" w:cs="Times New Roman"/>
          <w:sz w:val="24"/>
          <w:szCs w:val="24"/>
        </w:rPr>
        <w:t xml:space="preserve"> proporcjonalnej</w:t>
      </w:r>
      <w:r w:rsidRPr="002028FA">
        <w:rPr>
          <w:rFonts w:ascii="Times New Roman" w:eastAsiaTheme="minorEastAsia" w:hAnsi="Times New Roman" w:cs="Times New Roman"/>
          <w:sz w:val="24"/>
          <w:szCs w:val="24"/>
        </w:rPr>
        <w:t xml:space="preserve"> części poniesionych przez ten podmiot kosztów powstania tej infrastruktury oraz ponoszonych kosztów jej utrzymania oraz uwzględniać</w:t>
      </w:r>
      <w:r w:rsidR="004D68E7" w:rsidRPr="004D68E7">
        <w:rPr>
          <w:rFonts w:ascii="Times New Roman" w:eastAsiaTheme="minorEastAsia" w:hAnsi="Times New Roman" w:cs="Times New Roman"/>
          <w:sz w:val="24"/>
          <w:szCs w:val="24"/>
        </w:rPr>
        <w:t xml:space="preserve"> wpływ zapewnienia dostępu na plan biznesowy</w:t>
      </w:r>
      <w:r w:rsidRPr="002028FA">
        <w:rPr>
          <w:rFonts w:ascii="Times New Roman" w:eastAsiaTheme="minorEastAsia" w:hAnsi="Times New Roman" w:cs="Times New Roman"/>
          <w:sz w:val="24"/>
          <w:szCs w:val="24"/>
        </w:rPr>
        <w:t xml:space="preserve"> tego podmiotu</w:t>
      </w:r>
      <w:r w:rsidR="004D68E7" w:rsidRPr="004D68E7">
        <w:rPr>
          <w:rFonts w:ascii="Times New Roman" w:eastAsiaTheme="minorEastAsia" w:hAnsi="Times New Roman" w:cs="Times New Roman"/>
          <w:sz w:val="24"/>
          <w:szCs w:val="24"/>
        </w:rPr>
        <w:t>, w szczególności na realizowane przez niego inwestycje dotyczące szybkich sieci telekomunikacyjnych oraz powiązanych zasobów</w:t>
      </w:r>
      <w:r w:rsidR="004D68E7">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Innymi słowy</w:t>
      </w:r>
      <w:r w:rsidR="00583F3D">
        <w:rPr>
          <w:rFonts w:ascii="Times New Roman" w:eastAsiaTheme="minorEastAsia" w:hAnsi="Times New Roman" w:cs="Times New Roman"/>
          <w:sz w:val="24"/>
          <w:szCs w:val="24"/>
        </w:rPr>
        <w:t xml:space="preserve"> dostęp jest odpłatny wyłącznie w sytuacji, gdy zapewnionym do dostępu jest przedsiębiorca telekomunikacyjny </w:t>
      </w:r>
      <w:r w:rsidR="00583F3D" w:rsidRPr="00583F3D">
        <w:rPr>
          <w:rFonts w:ascii="Times New Roman" w:eastAsiaTheme="minorEastAsia" w:hAnsi="Times New Roman" w:cs="Times New Roman"/>
          <w:sz w:val="24"/>
          <w:szCs w:val="24"/>
        </w:rPr>
        <w:t>sensu stricto</w:t>
      </w:r>
      <w:r w:rsidR="00583F3D">
        <w:rPr>
          <w:rFonts w:ascii="Times New Roman" w:eastAsiaTheme="minorEastAsia" w:hAnsi="Times New Roman" w:cs="Times New Roman"/>
          <w:sz w:val="24"/>
          <w:szCs w:val="24"/>
        </w:rPr>
        <w:t xml:space="preserve">, a nie każdy podmiot – który chociażby przez chęć odpłatnego udostępnienia swoich zasobów – może wykazać, że wykonuje działalność telekomunikacyjną w ramach swojej działalności, ponieważ uzyskał wpis do rejestru przedsiębiorców telekomunikacyjnych, o którym mowa w art. 5 ust. 1 Pke. Podmioty nie spełniającego tego warunku udostępniają swoje zasoby nieodpłatnie, natomiast przysługuje im zwrot </w:t>
      </w:r>
      <w:r>
        <w:rPr>
          <w:rFonts w:ascii="Times New Roman" w:eastAsiaTheme="minorEastAsia" w:hAnsi="Times New Roman" w:cs="Times New Roman"/>
          <w:sz w:val="24"/>
          <w:szCs w:val="24"/>
        </w:rPr>
        <w:t xml:space="preserve">części </w:t>
      </w:r>
      <w:r w:rsidR="00583F3D">
        <w:rPr>
          <w:rFonts w:ascii="Times New Roman" w:eastAsiaTheme="minorEastAsia" w:hAnsi="Times New Roman" w:cs="Times New Roman"/>
          <w:sz w:val="24"/>
          <w:szCs w:val="24"/>
        </w:rPr>
        <w:t>kosztów zapewnienia tego dostępu</w:t>
      </w:r>
      <w:r>
        <w:rPr>
          <w:rFonts w:ascii="Times New Roman" w:eastAsiaTheme="minorEastAsia" w:hAnsi="Times New Roman" w:cs="Times New Roman"/>
          <w:sz w:val="24"/>
          <w:szCs w:val="24"/>
        </w:rPr>
        <w:t xml:space="preserve"> w określonym zakresie.</w:t>
      </w:r>
    </w:p>
    <w:p w14:paraId="353B4264" w14:textId="27E27F05" w:rsidR="00C5392E" w:rsidRPr="003A42FB" w:rsidRDefault="009D5DE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1E0F46" w:rsidRPr="003A42FB">
        <w:rPr>
          <w:rFonts w:ascii="Times New Roman" w:eastAsiaTheme="minorEastAsia" w:hAnsi="Times New Roman" w:cs="Times New Roman"/>
          <w:b/>
          <w:bCs/>
          <w:sz w:val="24"/>
          <w:szCs w:val="24"/>
        </w:rPr>
        <w:t>1</w:t>
      </w:r>
      <w:r w:rsidR="00B77EFB">
        <w:rPr>
          <w:rFonts w:ascii="Times New Roman" w:eastAsiaTheme="minorEastAsia" w:hAnsi="Times New Roman" w:cs="Times New Roman"/>
          <w:b/>
          <w:bCs/>
          <w:sz w:val="24"/>
          <w:szCs w:val="24"/>
        </w:rPr>
        <w:t>75</w:t>
      </w:r>
    </w:p>
    <w:p w14:paraId="3D6EB75E" w14:textId="234B5107" w:rsidR="00C5392E" w:rsidRPr="003A42FB" w:rsidRDefault="12A8CB6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art. 1</w:t>
      </w:r>
      <w:r w:rsidR="00B77EFB">
        <w:rPr>
          <w:rFonts w:ascii="Times New Roman" w:eastAsiaTheme="minorEastAsia" w:hAnsi="Times New Roman" w:cs="Times New Roman"/>
          <w:sz w:val="24"/>
          <w:szCs w:val="24"/>
        </w:rPr>
        <w:t>75</w:t>
      </w:r>
      <w:r w:rsidR="200310B5" w:rsidRPr="003A42FB">
        <w:rPr>
          <w:rFonts w:ascii="Times New Roman" w:eastAsiaTheme="minorEastAsia" w:hAnsi="Times New Roman" w:cs="Times New Roman"/>
          <w:sz w:val="24"/>
          <w:szCs w:val="24"/>
        </w:rPr>
        <w:t xml:space="preserve"> ust. 1 stanowi podstawę do określenia przez Prezesa UKE obiektywnych, przejrzystych, niedyskryminujących i proporcjonalnych warunki, na jakich powinien być zapewniany dostęp, </w:t>
      </w:r>
      <w:r w:rsidRPr="003A42FB">
        <w:rPr>
          <w:rFonts w:ascii="Times New Roman" w:eastAsiaTheme="minorEastAsia" w:hAnsi="Times New Roman" w:cs="Times New Roman"/>
          <w:sz w:val="24"/>
          <w:szCs w:val="24"/>
        </w:rPr>
        <w:t xml:space="preserve">o których mowa w art. </w:t>
      </w:r>
      <w:r w:rsidR="124DEAE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74</w:t>
      </w:r>
      <w:r w:rsidR="124DEAE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lub art. 1</w:t>
      </w:r>
      <w:r w:rsidR="00B77EFB">
        <w:rPr>
          <w:rFonts w:ascii="Times New Roman" w:eastAsiaTheme="minorEastAsia" w:hAnsi="Times New Roman" w:cs="Times New Roman"/>
          <w:sz w:val="24"/>
          <w:szCs w:val="24"/>
        </w:rPr>
        <w:t>7</w:t>
      </w:r>
      <w:r w:rsidR="124DEAE6" w:rsidRPr="003A42FB">
        <w:rPr>
          <w:rFonts w:ascii="Times New Roman" w:eastAsiaTheme="minorEastAsia" w:hAnsi="Times New Roman" w:cs="Times New Roman"/>
          <w:sz w:val="24"/>
          <w:szCs w:val="24"/>
        </w:rPr>
        <w:t>8</w:t>
      </w:r>
      <w:r w:rsidR="00583F3D">
        <w:rPr>
          <w:rFonts w:ascii="Times New Roman" w:eastAsiaTheme="minorEastAsia" w:hAnsi="Times New Roman" w:cs="Times New Roman"/>
          <w:sz w:val="24"/>
          <w:szCs w:val="24"/>
        </w:rPr>
        <w:t xml:space="preserve"> Pke</w:t>
      </w:r>
      <w:r w:rsidR="200310B5" w:rsidRPr="003A42FB">
        <w:rPr>
          <w:rFonts w:ascii="Times New Roman" w:eastAsiaTheme="minorEastAsia" w:hAnsi="Times New Roman" w:cs="Times New Roman"/>
          <w:sz w:val="24"/>
          <w:szCs w:val="24"/>
        </w:rPr>
        <w:t xml:space="preserve">, jeżeli przemawia za tym potrzeba zapewnienia skutecznej konkurencji oraz interes użytkowników końcowych. Podmioty zobowiązane do zapewnienia </w:t>
      </w:r>
      <w:r w:rsidR="00583F3D">
        <w:rPr>
          <w:rFonts w:ascii="Times New Roman" w:eastAsiaTheme="minorEastAsia" w:hAnsi="Times New Roman" w:cs="Times New Roman"/>
          <w:sz w:val="24"/>
          <w:szCs w:val="24"/>
        </w:rPr>
        <w:t>dostępu do wskazanych poprzez odesłanie zasobów.</w:t>
      </w:r>
      <w:r w:rsidR="200310B5" w:rsidRPr="003A42FB">
        <w:rPr>
          <w:rFonts w:ascii="Times New Roman" w:eastAsiaTheme="minorEastAsia" w:hAnsi="Times New Roman" w:cs="Times New Roman"/>
          <w:sz w:val="24"/>
          <w:szCs w:val="24"/>
        </w:rPr>
        <w:t xml:space="preserve"> muszą zawierać umowy na</w:t>
      </w:r>
      <w:r w:rsidR="262989B6" w:rsidRPr="003A42FB">
        <w:rPr>
          <w:rFonts w:ascii="Times New Roman" w:eastAsiaTheme="minorEastAsia" w:hAnsi="Times New Roman" w:cs="Times New Roman"/>
          <w:sz w:val="24"/>
          <w:szCs w:val="24"/>
        </w:rPr>
        <w:t> </w:t>
      </w:r>
      <w:r w:rsidR="200310B5" w:rsidRPr="003A42FB">
        <w:rPr>
          <w:rFonts w:ascii="Times New Roman" w:eastAsiaTheme="minorEastAsia" w:hAnsi="Times New Roman" w:cs="Times New Roman"/>
          <w:sz w:val="24"/>
          <w:szCs w:val="24"/>
        </w:rPr>
        <w:t>warunkach nie gorszych niż określone w decyzji wy</w:t>
      </w:r>
      <w:r w:rsidRPr="003A42FB">
        <w:rPr>
          <w:rFonts w:ascii="Times New Roman" w:eastAsiaTheme="minorEastAsia" w:hAnsi="Times New Roman" w:cs="Times New Roman"/>
          <w:sz w:val="24"/>
          <w:szCs w:val="24"/>
        </w:rPr>
        <w:t>danej przez Prezesa UKE (art. 1</w:t>
      </w:r>
      <w:r w:rsidR="00B77EFB">
        <w:rPr>
          <w:rFonts w:ascii="Times New Roman" w:eastAsiaTheme="minorEastAsia" w:hAnsi="Times New Roman" w:cs="Times New Roman"/>
          <w:sz w:val="24"/>
          <w:szCs w:val="24"/>
        </w:rPr>
        <w:t>75</w:t>
      </w:r>
      <w:r w:rsidR="200310B5" w:rsidRPr="003A42FB">
        <w:rPr>
          <w:rFonts w:ascii="Times New Roman" w:eastAsiaTheme="minorEastAsia" w:hAnsi="Times New Roman" w:cs="Times New Roman"/>
          <w:sz w:val="24"/>
          <w:szCs w:val="24"/>
        </w:rPr>
        <w:t xml:space="preserve"> ust. 2). Rzeczone decyzje mogą zostać wydane na podstawie:</w:t>
      </w:r>
    </w:p>
    <w:p w14:paraId="5B7D5E19" w14:textId="66D99F36" w:rsidR="00C5392E" w:rsidRPr="003A42FB" w:rsidRDefault="00583F3D" w:rsidP="00583F3D">
      <w:pPr>
        <w:pStyle w:val="Akapitzlist"/>
        <w:numPr>
          <w:ilvl w:val="0"/>
          <w:numId w:val="21"/>
        </w:numPr>
        <w:spacing w:after="120" w:line="240" w:lineRule="auto"/>
        <w:contextualSpacing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art.</w:t>
      </w:r>
      <w:r w:rsidR="009D5DEA" w:rsidRPr="003A42FB">
        <w:rPr>
          <w:rFonts w:ascii="Times New Roman" w:eastAsiaTheme="minorEastAsia" w:hAnsi="Times New Roman" w:cs="Times New Roman"/>
          <w:sz w:val="24"/>
          <w:szCs w:val="24"/>
        </w:rPr>
        <w:t xml:space="preserve"> 1</w:t>
      </w:r>
      <w:r w:rsidR="00B77EFB">
        <w:rPr>
          <w:rFonts w:ascii="Times New Roman" w:eastAsiaTheme="minorEastAsia" w:hAnsi="Times New Roman" w:cs="Times New Roman"/>
          <w:sz w:val="24"/>
          <w:szCs w:val="24"/>
        </w:rPr>
        <w:t>75 ust. 1 i art. 174</w:t>
      </w:r>
      <w:r>
        <w:rPr>
          <w:rFonts w:ascii="Times New Roman" w:eastAsiaTheme="minorEastAsia" w:hAnsi="Times New Roman" w:cs="Times New Roman"/>
          <w:sz w:val="24"/>
          <w:szCs w:val="24"/>
        </w:rPr>
        <w:t xml:space="preserve"> ust. 1</w:t>
      </w:r>
      <w:r w:rsidR="00C5392E" w:rsidRPr="003A42FB">
        <w:rPr>
          <w:rFonts w:ascii="Times New Roman" w:eastAsiaTheme="minorEastAsia" w:hAnsi="Times New Roman" w:cs="Times New Roman"/>
          <w:sz w:val="24"/>
          <w:szCs w:val="24"/>
        </w:rPr>
        <w:t xml:space="preserve">, gdy adresatem obowiązku ustawowego będzie </w:t>
      </w:r>
      <w:r w:rsidR="00247B1B" w:rsidRPr="003A42FB">
        <w:rPr>
          <w:rFonts w:ascii="Times New Roman" w:hAnsi="Times New Roman" w:cs="Times New Roman"/>
          <w:sz w:val="24"/>
          <w:szCs w:val="24"/>
        </w:rPr>
        <w:t xml:space="preserve">przedsiębiorca telekomunikacyjny lub </w:t>
      </w:r>
      <w:r w:rsidRPr="00583F3D">
        <w:rPr>
          <w:rFonts w:ascii="Times New Roman" w:hAnsi="Times New Roman" w:cs="Times New Roman"/>
          <w:sz w:val="24"/>
          <w:szCs w:val="24"/>
        </w:rPr>
        <w:t>podmiot niebędący przedsiębiorcą telekomunikacyjnym, o ile jest właścicielem okablowania pomiędzy zakończeniami sieci w obiekcie budowlanym, a najbliższym punktem dystrybucji, a także podmiot zobowiązanym do zapewnienia</w:t>
      </w:r>
      <w:r w:rsidR="00B77EFB">
        <w:rPr>
          <w:rFonts w:ascii="Times New Roman" w:hAnsi="Times New Roman" w:cs="Times New Roman"/>
          <w:sz w:val="24"/>
          <w:szCs w:val="24"/>
        </w:rPr>
        <w:t xml:space="preserve"> dostępu zgodnie z art. 174</w:t>
      </w:r>
      <w:r w:rsidRPr="00583F3D">
        <w:rPr>
          <w:rFonts w:ascii="Times New Roman" w:hAnsi="Times New Roman" w:cs="Times New Roman"/>
          <w:sz w:val="24"/>
          <w:szCs w:val="24"/>
        </w:rPr>
        <w:t xml:space="preserve"> ust. 2</w:t>
      </w:r>
      <w:r>
        <w:rPr>
          <w:rFonts w:ascii="Times New Roman" w:hAnsi="Times New Roman" w:cs="Times New Roman"/>
          <w:sz w:val="24"/>
          <w:szCs w:val="24"/>
        </w:rPr>
        <w:t xml:space="preserve"> Pke</w:t>
      </w:r>
      <w:r w:rsidR="00C5392E" w:rsidRPr="003A42FB">
        <w:rPr>
          <w:rFonts w:ascii="Times New Roman" w:eastAsiaTheme="minorEastAsia" w:hAnsi="Times New Roman" w:cs="Times New Roman"/>
          <w:sz w:val="24"/>
          <w:szCs w:val="24"/>
        </w:rPr>
        <w:t>;</w:t>
      </w:r>
    </w:p>
    <w:p w14:paraId="3561D2CB" w14:textId="514594CF" w:rsidR="00C5392E" w:rsidRPr="003A42FB" w:rsidRDefault="00583F3D" w:rsidP="00C53EAB">
      <w:pPr>
        <w:pStyle w:val="Akapitzlist"/>
        <w:numPr>
          <w:ilvl w:val="0"/>
          <w:numId w:val="21"/>
        </w:numPr>
        <w:spacing w:after="120" w:line="240" w:lineRule="auto"/>
        <w:contextualSpacing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art.</w:t>
      </w:r>
      <w:r w:rsidR="00B77EFB">
        <w:rPr>
          <w:rFonts w:ascii="Times New Roman" w:eastAsiaTheme="minorEastAsia" w:hAnsi="Times New Roman" w:cs="Times New Roman"/>
          <w:sz w:val="24"/>
          <w:szCs w:val="24"/>
        </w:rPr>
        <w:t xml:space="preserve"> 175 ust. 1 i art. 17</w:t>
      </w:r>
      <w:r>
        <w:rPr>
          <w:rFonts w:ascii="Times New Roman" w:eastAsiaTheme="minorEastAsia" w:hAnsi="Times New Roman" w:cs="Times New Roman"/>
          <w:sz w:val="24"/>
          <w:szCs w:val="24"/>
        </w:rPr>
        <w:t>8 ust. 1</w:t>
      </w:r>
      <w:r w:rsidR="00C5392E" w:rsidRPr="003A42FB">
        <w:rPr>
          <w:rFonts w:ascii="Times New Roman" w:eastAsiaTheme="minorEastAsia" w:hAnsi="Times New Roman" w:cs="Times New Roman"/>
          <w:sz w:val="24"/>
          <w:szCs w:val="24"/>
        </w:rPr>
        <w:t>, gdy obowiązek został nałożony na przedsiębiorcę telekomunikacyjnego, a warunki będą odnosić się do rozszerzonego obowiązku dostę</w:t>
      </w:r>
      <w:r w:rsidR="009D5DEA" w:rsidRPr="003A42FB">
        <w:rPr>
          <w:rFonts w:ascii="Times New Roman" w:eastAsiaTheme="minorEastAsia" w:hAnsi="Times New Roman" w:cs="Times New Roman"/>
          <w:sz w:val="24"/>
          <w:szCs w:val="24"/>
        </w:rPr>
        <w:t xml:space="preserve">powego, o którym mowa w art. </w:t>
      </w:r>
      <w:r w:rsidR="001E0F4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w:t>
      </w:r>
      <w:r w:rsidR="001E0F46" w:rsidRPr="003A42FB">
        <w:rPr>
          <w:rFonts w:ascii="Times New Roman" w:eastAsiaTheme="minorEastAsia" w:hAnsi="Times New Roman" w:cs="Times New Roman"/>
          <w:sz w:val="24"/>
          <w:szCs w:val="24"/>
        </w:rPr>
        <w:t>8</w:t>
      </w:r>
      <w:r>
        <w:rPr>
          <w:rFonts w:ascii="Times New Roman" w:eastAsiaTheme="minorEastAsia" w:hAnsi="Times New Roman" w:cs="Times New Roman"/>
          <w:sz w:val="24"/>
          <w:szCs w:val="24"/>
        </w:rPr>
        <w:t xml:space="preserve"> Pke</w:t>
      </w:r>
      <w:r w:rsidR="00C5392E" w:rsidRPr="003A42FB">
        <w:rPr>
          <w:rFonts w:ascii="Times New Roman" w:eastAsiaTheme="minorEastAsia" w:hAnsi="Times New Roman" w:cs="Times New Roman"/>
          <w:sz w:val="24"/>
          <w:szCs w:val="24"/>
        </w:rPr>
        <w:t>.</w:t>
      </w:r>
    </w:p>
    <w:p w14:paraId="75A1F6CF" w14:textId="15D2AAE5" w:rsidR="009F71F6" w:rsidRPr="003A42FB" w:rsidRDefault="675CD7C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art. 1</w:t>
      </w:r>
      <w:r w:rsidR="00B77EFB">
        <w:rPr>
          <w:rFonts w:ascii="Times New Roman" w:eastAsiaTheme="minorEastAsia" w:hAnsi="Times New Roman" w:cs="Times New Roman"/>
          <w:sz w:val="24"/>
          <w:szCs w:val="24"/>
        </w:rPr>
        <w:t>75</w:t>
      </w:r>
      <w:r w:rsidRPr="003A42FB">
        <w:rPr>
          <w:rFonts w:ascii="Times New Roman" w:eastAsiaTheme="minorEastAsia" w:hAnsi="Times New Roman" w:cs="Times New Roman"/>
          <w:sz w:val="24"/>
          <w:szCs w:val="24"/>
        </w:rPr>
        <w:t xml:space="preserve"> ust. 3 przewidziane są przesłanki do zmiany rozstrzygnięcia, o którym mowa w ust. 1, przesłankami do zmiany rozstrzygnięcia jest </w:t>
      </w:r>
      <w:r w:rsidR="00001729" w:rsidRPr="00001729">
        <w:rPr>
          <w:rFonts w:ascii="Times New Roman" w:eastAsiaTheme="minorEastAsia" w:hAnsi="Times New Roman" w:cs="Times New Roman"/>
          <w:sz w:val="24"/>
          <w:szCs w:val="24"/>
        </w:rPr>
        <w:t>ochrony interesów użytkowników końcowych lub zapewnienia ochrony skutecznej konkurencji</w:t>
      </w:r>
      <w:r w:rsidR="56DC58D4" w:rsidRPr="003A42FB">
        <w:rPr>
          <w:rFonts w:ascii="Times New Roman" w:eastAsiaTheme="minorEastAsia" w:hAnsi="Times New Roman" w:cs="Times New Roman"/>
          <w:sz w:val="24"/>
          <w:szCs w:val="24"/>
        </w:rPr>
        <w:t>, przy czym zgodnie z użytym spójnikiem „lub”, podstawa do zmiany</w:t>
      </w:r>
      <w:r w:rsidR="00001729">
        <w:rPr>
          <w:rFonts w:ascii="Times New Roman" w:eastAsiaTheme="minorEastAsia" w:hAnsi="Times New Roman" w:cs="Times New Roman"/>
          <w:sz w:val="24"/>
          <w:szCs w:val="24"/>
        </w:rPr>
        <w:t xml:space="preserve"> decyzji</w:t>
      </w:r>
      <w:r w:rsidR="56DC58D4" w:rsidRPr="003A42FB">
        <w:rPr>
          <w:rFonts w:ascii="Times New Roman" w:eastAsiaTheme="minorEastAsia" w:hAnsi="Times New Roman" w:cs="Times New Roman"/>
          <w:sz w:val="24"/>
          <w:szCs w:val="24"/>
        </w:rPr>
        <w:t xml:space="preserve"> zachodzi w przypadku spełnienia którejkolwiek z wymienionych przesłanek.</w:t>
      </w:r>
    </w:p>
    <w:p w14:paraId="54863B0E" w14:textId="4DF2C9AA" w:rsidR="003F2BE4" w:rsidRPr="003A42FB" w:rsidRDefault="001E0F4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B77EFB">
        <w:rPr>
          <w:rFonts w:ascii="Times New Roman" w:eastAsiaTheme="minorEastAsia" w:hAnsi="Times New Roman" w:cs="Times New Roman"/>
          <w:b/>
          <w:bCs/>
          <w:sz w:val="24"/>
          <w:szCs w:val="24"/>
        </w:rPr>
        <w:t>76</w:t>
      </w:r>
    </w:p>
    <w:p w14:paraId="3C946034" w14:textId="2D7BD3EF" w:rsidR="003F2BE4" w:rsidRPr="003A42FB" w:rsidRDefault="003F2BE4"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projektowanym art. </w:t>
      </w:r>
      <w:r w:rsidR="001E0F46" w:rsidRPr="003A42FB">
        <w:rPr>
          <w:rFonts w:ascii="Times New Roman" w:eastAsiaTheme="minorEastAsia" w:hAnsi="Times New Roman" w:cs="Times New Roman"/>
          <w:sz w:val="24"/>
          <w:szCs w:val="24"/>
        </w:rPr>
        <w:t>1</w:t>
      </w:r>
      <w:r w:rsidR="00B77EFB">
        <w:rPr>
          <w:rFonts w:ascii="Times New Roman" w:eastAsiaTheme="minorEastAsia" w:hAnsi="Times New Roman" w:cs="Times New Roman"/>
          <w:sz w:val="24"/>
          <w:szCs w:val="24"/>
        </w:rPr>
        <w:t>76</w:t>
      </w:r>
      <w:r w:rsidRPr="003A42FB">
        <w:rPr>
          <w:rFonts w:ascii="Times New Roman" w:eastAsiaTheme="minorEastAsia" w:hAnsi="Times New Roman" w:cs="Times New Roman"/>
          <w:sz w:val="24"/>
          <w:szCs w:val="24"/>
        </w:rPr>
        <w:t xml:space="preserve"> ust. 1, </w:t>
      </w:r>
      <w:r w:rsidR="00001729">
        <w:rPr>
          <w:rFonts w:ascii="Times New Roman" w:eastAsiaTheme="minorEastAsia" w:hAnsi="Times New Roman" w:cs="Times New Roman"/>
          <w:sz w:val="24"/>
          <w:szCs w:val="24"/>
        </w:rPr>
        <w:t>treść umowy o dostępie, utrwalonej na trwałym nośniku, przekazuje</w:t>
      </w:r>
      <w:r w:rsidRPr="003A42FB">
        <w:rPr>
          <w:rFonts w:ascii="Times New Roman" w:eastAsiaTheme="minorEastAsia" w:hAnsi="Times New Roman" w:cs="Times New Roman"/>
          <w:sz w:val="24"/>
          <w:szCs w:val="24"/>
        </w:rPr>
        <w:t xml:space="preserve"> Prezesowi UKE w terminie 14 dni:</w:t>
      </w:r>
    </w:p>
    <w:p w14:paraId="233B75BF" w14:textId="4354B553" w:rsidR="003F2BE4" w:rsidRPr="003A42FB" w:rsidRDefault="262989B6"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przedsiębiorca komunikacji elektronicznej o znaczącej pozycji rynkowej, jeżeli umowa o dostępie związana jest z nałożonym na podstawie </w:t>
      </w:r>
      <w:r w:rsidR="7390AC6E" w:rsidRPr="003A42FB">
        <w:rPr>
          <w:rFonts w:ascii="Times New Roman" w:eastAsiaTheme="minorEastAsia" w:hAnsi="Times New Roman" w:cs="Times New Roman"/>
          <w:sz w:val="24"/>
          <w:szCs w:val="24"/>
        </w:rPr>
        <w:t xml:space="preserve">art. </w:t>
      </w:r>
      <w:r w:rsidR="00B77EFB">
        <w:rPr>
          <w:rFonts w:ascii="Times New Roman" w:eastAsiaTheme="minorEastAsia" w:hAnsi="Times New Roman" w:cs="Times New Roman"/>
          <w:sz w:val="24"/>
          <w:szCs w:val="24"/>
        </w:rPr>
        <w:t>211</w:t>
      </w:r>
      <w:r w:rsidR="00B77EFB"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 obowiązkiem regulacyjnym;</w:t>
      </w:r>
    </w:p>
    <w:p w14:paraId="5C1CB174" w14:textId="191709A4" w:rsidR="00001729" w:rsidRDefault="00B52ED4"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w:t>
      </w:r>
      <w:r w:rsidR="003F2BE4" w:rsidRPr="003A42FB">
        <w:rPr>
          <w:rFonts w:ascii="Times New Roman" w:eastAsiaTheme="minorEastAsia" w:hAnsi="Times New Roman" w:cs="Times New Roman"/>
          <w:sz w:val="24"/>
          <w:szCs w:val="24"/>
        </w:rPr>
        <w:t>obowiązan</w:t>
      </w:r>
      <w:r w:rsidR="00001729">
        <w:rPr>
          <w:rFonts w:ascii="Times New Roman" w:eastAsiaTheme="minorEastAsia" w:hAnsi="Times New Roman" w:cs="Times New Roman"/>
          <w:sz w:val="24"/>
          <w:szCs w:val="24"/>
        </w:rPr>
        <w:t>y</w:t>
      </w:r>
      <w:r w:rsidR="003F2BE4" w:rsidRPr="003A42FB">
        <w:rPr>
          <w:rFonts w:ascii="Times New Roman" w:eastAsiaTheme="minorEastAsia" w:hAnsi="Times New Roman" w:cs="Times New Roman"/>
          <w:sz w:val="24"/>
          <w:szCs w:val="24"/>
        </w:rPr>
        <w:t xml:space="preserve"> do zapewnienia dostępu, o którym mowa w </w:t>
      </w:r>
      <w:r w:rsidRPr="003A42FB">
        <w:rPr>
          <w:rFonts w:ascii="Times New Roman" w:eastAsiaTheme="minorEastAsia" w:hAnsi="Times New Roman" w:cs="Times New Roman"/>
          <w:sz w:val="24"/>
          <w:szCs w:val="24"/>
        </w:rPr>
        <w:t xml:space="preserve">art. </w:t>
      </w:r>
      <w:r w:rsidR="00B77EFB">
        <w:rPr>
          <w:rFonts w:ascii="Times New Roman" w:eastAsiaTheme="minorEastAsia" w:hAnsi="Times New Roman" w:cs="Times New Roman"/>
          <w:sz w:val="24"/>
          <w:szCs w:val="24"/>
        </w:rPr>
        <w:t>174</w:t>
      </w:r>
      <w:r w:rsidR="00B77EFB" w:rsidRPr="003A42FB">
        <w:rPr>
          <w:rFonts w:ascii="Times New Roman" w:eastAsiaTheme="minorEastAsia" w:hAnsi="Times New Roman" w:cs="Times New Roman"/>
          <w:sz w:val="24"/>
          <w:szCs w:val="24"/>
        </w:rPr>
        <w:t xml:space="preserve"> </w:t>
      </w:r>
      <w:r w:rsidR="003F2BE4" w:rsidRPr="003A42FB">
        <w:rPr>
          <w:rFonts w:ascii="Times New Roman" w:eastAsiaTheme="minorEastAsia" w:hAnsi="Times New Roman" w:cs="Times New Roman"/>
          <w:sz w:val="24"/>
          <w:szCs w:val="24"/>
        </w:rPr>
        <w:t>ust. 1</w:t>
      </w:r>
      <w:r w:rsidR="00001729">
        <w:rPr>
          <w:rFonts w:ascii="Times New Roman" w:eastAsiaTheme="minorEastAsia" w:hAnsi="Times New Roman" w:cs="Times New Roman"/>
          <w:sz w:val="24"/>
          <w:szCs w:val="24"/>
        </w:rPr>
        <w:t>, jeżeli jest</w:t>
      </w:r>
      <w:r w:rsidR="00385757">
        <w:rPr>
          <w:rFonts w:ascii="Times New Roman" w:eastAsiaTheme="minorEastAsia" w:hAnsi="Times New Roman" w:cs="Times New Roman"/>
          <w:sz w:val="24"/>
          <w:szCs w:val="24"/>
        </w:rPr>
        <w:t xml:space="preserve"> nim podmiot,</w:t>
      </w:r>
      <w:r w:rsidR="00001729">
        <w:rPr>
          <w:rFonts w:ascii="Times New Roman" w:eastAsiaTheme="minorEastAsia" w:hAnsi="Times New Roman" w:cs="Times New Roman"/>
          <w:sz w:val="24"/>
          <w:szCs w:val="24"/>
        </w:rPr>
        <w:t xml:space="preserve"> </w:t>
      </w:r>
      <w:r w:rsidR="00385757" w:rsidRPr="005F69BF">
        <w:rPr>
          <w:rFonts w:ascii="Times New Roman" w:eastAsiaTheme="minorEastAsia" w:hAnsi="Times New Roman" w:cs="Times New Roman"/>
          <w:sz w:val="24"/>
          <w:szCs w:val="24"/>
        </w:rPr>
        <w:t>którego przeważającym przedmiotem działalności jest działalność telekomunikacyjna</w:t>
      </w:r>
      <w:r w:rsidR="00385757">
        <w:rPr>
          <w:rFonts w:ascii="Times New Roman" w:eastAsiaTheme="minorEastAsia" w:hAnsi="Times New Roman" w:cs="Times New Roman"/>
          <w:sz w:val="24"/>
          <w:szCs w:val="24"/>
        </w:rPr>
        <w:t>, a więc specyficzny przedsiębiorca telekomunikacyjny, dla którego dostęp jest odpłatny</w:t>
      </w:r>
      <w:r w:rsidR="00001729">
        <w:rPr>
          <w:rFonts w:ascii="Times New Roman" w:eastAsiaTheme="minorEastAsia" w:hAnsi="Times New Roman" w:cs="Times New Roman"/>
          <w:sz w:val="24"/>
          <w:szCs w:val="24"/>
        </w:rPr>
        <w:t>;</w:t>
      </w:r>
    </w:p>
    <w:p w14:paraId="02C2166B" w14:textId="29D557D7" w:rsidR="00B52ED4" w:rsidRPr="003A42FB" w:rsidRDefault="00001729" w:rsidP="00001729">
      <w:pPr>
        <w:numPr>
          <w:ilvl w:val="0"/>
          <w:numId w:val="41"/>
        </w:num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zobowiązany</w:t>
      </w:r>
      <w:r w:rsidRPr="00001729">
        <w:rPr>
          <w:rFonts w:ascii="Times New Roman" w:eastAsiaTheme="minorEastAsia" w:hAnsi="Times New Roman" w:cs="Times New Roman"/>
          <w:sz w:val="24"/>
          <w:szCs w:val="24"/>
        </w:rPr>
        <w:t xml:space="preserve"> do zapewnienia </w:t>
      </w:r>
      <w:r w:rsidR="00B77EFB">
        <w:rPr>
          <w:rFonts w:ascii="Times New Roman" w:eastAsiaTheme="minorEastAsia" w:hAnsi="Times New Roman" w:cs="Times New Roman"/>
          <w:sz w:val="24"/>
          <w:szCs w:val="24"/>
        </w:rPr>
        <w:t>dostępu, o którym mowa w art. 17</w:t>
      </w:r>
      <w:r w:rsidRPr="00001729">
        <w:rPr>
          <w:rFonts w:ascii="Times New Roman" w:eastAsiaTheme="minorEastAsia" w:hAnsi="Times New Roman" w:cs="Times New Roman"/>
          <w:sz w:val="24"/>
          <w:szCs w:val="24"/>
        </w:rPr>
        <w:t>8 ust. 1</w:t>
      </w:r>
      <w:r w:rsidR="00B52ED4" w:rsidRPr="003A42FB">
        <w:rPr>
          <w:rFonts w:ascii="Times New Roman" w:eastAsiaTheme="minorEastAsia" w:hAnsi="Times New Roman" w:cs="Times New Roman"/>
          <w:sz w:val="24"/>
          <w:szCs w:val="24"/>
        </w:rPr>
        <w:t>;</w:t>
      </w:r>
    </w:p>
    <w:p w14:paraId="78101890" w14:textId="208EE23E" w:rsidR="003F2BE4" w:rsidRPr="003A42FB" w:rsidRDefault="003F2BE4"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operator zobowiązan</w:t>
      </w:r>
      <w:r w:rsidR="00001729">
        <w:rPr>
          <w:rFonts w:ascii="Times New Roman" w:eastAsiaTheme="minorEastAsia" w:hAnsi="Times New Roman" w:cs="Times New Roman"/>
          <w:sz w:val="24"/>
          <w:szCs w:val="24"/>
        </w:rPr>
        <w:t>y</w:t>
      </w:r>
      <w:r w:rsidRPr="003A42FB">
        <w:rPr>
          <w:rFonts w:ascii="Times New Roman" w:eastAsiaTheme="minorEastAsia" w:hAnsi="Times New Roman" w:cs="Times New Roman"/>
          <w:sz w:val="24"/>
          <w:szCs w:val="24"/>
        </w:rPr>
        <w:t xml:space="preserve"> do zapewnienia dostępu, o którym mowa w art. 1</w:t>
      </w:r>
      <w:r w:rsidR="00382752">
        <w:rPr>
          <w:rFonts w:ascii="Times New Roman" w:eastAsiaTheme="minorEastAsia" w:hAnsi="Times New Roman" w:cs="Times New Roman"/>
          <w:sz w:val="24"/>
          <w:szCs w:val="24"/>
        </w:rPr>
        <w:t>7</w:t>
      </w:r>
      <w:r w:rsidR="00001729">
        <w:rPr>
          <w:rFonts w:ascii="Times New Roman" w:eastAsiaTheme="minorEastAsia" w:hAnsi="Times New Roman" w:cs="Times New Roman"/>
          <w:sz w:val="24"/>
          <w:szCs w:val="24"/>
        </w:rPr>
        <w:t>9 ust. 1 pkt 1</w:t>
      </w:r>
      <w:r w:rsidRPr="003A42FB">
        <w:rPr>
          <w:rFonts w:ascii="Times New Roman" w:eastAsiaTheme="minorEastAsia" w:hAnsi="Times New Roman" w:cs="Times New Roman"/>
          <w:sz w:val="24"/>
          <w:szCs w:val="24"/>
        </w:rPr>
        <w:t>.</w:t>
      </w:r>
    </w:p>
    <w:p w14:paraId="3B0ED8DE" w14:textId="248A3513" w:rsidR="00001729" w:rsidRDefault="00B52ED4" w:rsidP="00C53EAB">
      <w:pPr>
        <w:pStyle w:val="ARTartustawynprozporzdzenia"/>
        <w:tabs>
          <w:tab w:val="left" w:pos="2367"/>
        </w:tabs>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W art. 1</w:t>
      </w:r>
      <w:r w:rsidR="00382752">
        <w:rPr>
          <w:rFonts w:ascii="Times New Roman" w:hAnsi="Times New Roman" w:cs="Times New Roman"/>
          <w:szCs w:val="24"/>
        </w:rPr>
        <w:t>76</w:t>
      </w:r>
      <w:r w:rsidR="003F2BE4" w:rsidRPr="003A42FB">
        <w:rPr>
          <w:rFonts w:ascii="Times New Roman" w:hAnsi="Times New Roman" w:cs="Times New Roman"/>
          <w:szCs w:val="24"/>
        </w:rPr>
        <w:t xml:space="preserve"> ust. 2 jest doprecyzowanie, że obowiązek, o którym mowa w ust. 1 aktualizuje się również w przypadku zmiany umowy. </w:t>
      </w:r>
    </w:p>
    <w:p w14:paraId="26D26407" w14:textId="108051DF" w:rsidR="0F2B87F3" w:rsidRPr="003A42FB" w:rsidRDefault="003F2BE4" w:rsidP="005F69BF">
      <w:pPr>
        <w:pStyle w:val="ARTartustawynprozporzdzenia"/>
        <w:tabs>
          <w:tab w:val="left" w:pos="2367"/>
        </w:tabs>
        <w:spacing w:before="0" w:after="120" w:line="240" w:lineRule="auto"/>
        <w:ind w:firstLine="0"/>
        <w:rPr>
          <w:rFonts w:eastAsia="Times New Roman"/>
        </w:rPr>
      </w:pPr>
      <w:r w:rsidRPr="00EB010E">
        <w:rPr>
          <w:rFonts w:ascii="Times New Roman" w:hAnsi="Times New Roman" w:cs="Times New Roman"/>
          <w:szCs w:val="24"/>
        </w:rPr>
        <w:t>Umowy o dostęp są co do zasady jawne i podlegają,</w:t>
      </w:r>
      <w:r w:rsidR="00E72EDF" w:rsidRPr="00EB010E">
        <w:rPr>
          <w:rFonts w:ascii="Times New Roman" w:hAnsi="Times New Roman" w:cs="Times New Roman"/>
          <w:szCs w:val="24"/>
        </w:rPr>
        <w:t xml:space="preserve"> zgodnie z projektowanym art. 1</w:t>
      </w:r>
      <w:r w:rsidR="00382752">
        <w:rPr>
          <w:rFonts w:ascii="Times New Roman" w:hAnsi="Times New Roman" w:cs="Times New Roman"/>
          <w:szCs w:val="24"/>
        </w:rPr>
        <w:t>76</w:t>
      </w:r>
      <w:r w:rsidRPr="00EB010E">
        <w:rPr>
          <w:rFonts w:ascii="Times New Roman" w:hAnsi="Times New Roman" w:cs="Times New Roman"/>
          <w:szCs w:val="24"/>
        </w:rPr>
        <w:t xml:space="preserve"> ust. 3, bezpłatnemu udostępnieniu na wniosek.</w:t>
      </w:r>
      <w:r w:rsidR="00EB010E" w:rsidRPr="005F69BF">
        <w:rPr>
          <w:rFonts w:ascii="Times New Roman" w:hAnsi="Times New Roman" w:cs="Times New Roman"/>
          <w:szCs w:val="24"/>
        </w:rPr>
        <w:t xml:space="preserve"> </w:t>
      </w:r>
      <w:r w:rsidRPr="00EB010E">
        <w:rPr>
          <w:rFonts w:ascii="Times New Roman" w:hAnsi="Times New Roman" w:cs="Times New Roman"/>
          <w:szCs w:val="24"/>
        </w:rPr>
        <w:t>Projektowany przepis zawiera zastrzeżenie, że wyłączenie jawności nie może obejmować rozliczeń z tytułu dostępu.</w:t>
      </w:r>
      <w:r w:rsidR="00EB010E" w:rsidRPr="005F69BF">
        <w:rPr>
          <w:rFonts w:ascii="Times New Roman" w:hAnsi="Times New Roman" w:cs="Times New Roman"/>
          <w:b/>
          <w:bCs/>
          <w:szCs w:val="24"/>
        </w:rPr>
        <w:t xml:space="preserve"> </w:t>
      </w:r>
      <w:r w:rsidR="0F2B87F3" w:rsidRPr="005F69BF">
        <w:rPr>
          <w:rFonts w:eastAsia="Times New Roman"/>
        </w:rPr>
        <w:t>Podobny przepis funkcjonował już w Pt (art. 33).</w:t>
      </w:r>
    </w:p>
    <w:p w14:paraId="07C891D1" w14:textId="4545F792" w:rsidR="003F2BE4" w:rsidRPr="003A42FB" w:rsidRDefault="001633C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ROZDZIAŁ </w:t>
      </w:r>
      <w:r w:rsidR="00A639CC" w:rsidRPr="003A42FB">
        <w:rPr>
          <w:rFonts w:ascii="Times New Roman" w:eastAsiaTheme="minorEastAsia" w:hAnsi="Times New Roman" w:cs="Times New Roman"/>
          <w:b/>
          <w:bCs/>
          <w:sz w:val="24"/>
          <w:szCs w:val="24"/>
        </w:rPr>
        <w:t>2</w:t>
      </w:r>
      <w:r w:rsidRPr="003A42FB">
        <w:rPr>
          <w:rFonts w:ascii="Times New Roman" w:eastAsiaTheme="minorEastAsia" w:hAnsi="Times New Roman" w:cs="Times New Roman"/>
          <w:b/>
          <w:bCs/>
          <w:sz w:val="24"/>
          <w:szCs w:val="24"/>
        </w:rPr>
        <w:t xml:space="preserve">. </w:t>
      </w:r>
      <w:r w:rsidR="00963CAE">
        <w:rPr>
          <w:rFonts w:ascii="Times New Roman" w:eastAsiaTheme="minorEastAsia" w:hAnsi="Times New Roman" w:cs="Times New Roman"/>
          <w:b/>
          <w:bCs/>
          <w:sz w:val="24"/>
          <w:szCs w:val="24"/>
        </w:rPr>
        <w:t>Obowiązki dostępowe symetryczne</w:t>
      </w:r>
    </w:p>
    <w:p w14:paraId="2B04C36B" w14:textId="28376F36" w:rsidR="006A73E7" w:rsidRPr="003A42FB" w:rsidRDefault="005133C5"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Art. 1</w:t>
      </w:r>
      <w:r w:rsidR="00382752">
        <w:rPr>
          <w:rFonts w:ascii="Times New Roman" w:hAnsi="Times New Roman" w:cs="Times New Roman"/>
          <w:b/>
          <w:lang w:eastAsia="en-US"/>
        </w:rPr>
        <w:t>7</w:t>
      </w:r>
      <w:r w:rsidRPr="003A42FB">
        <w:rPr>
          <w:rFonts w:ascii="Times New Roman" w:hAnsi="Times New Roman" w:cs="Times New Roman"/>
          <w:b/>
          <w:lang w:eastAsia="en-US"/>
        </w:rPr>
        <w:t>7</w:t>
      </w:r>
    </w:p>
    <w:p w14:paraId="5FE9E50B" w14:textId="02456EF4" w:rsidR="006A73E7" w:rsidRPr="003A42FB" w:rsidRDefault="006A73E7"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lang w:eastAsia="en-US"/>
        </w:rPr>
        <w:t xml:space="preserve">Przepis ten określa dostępowe obowiązki symetryczne (ust. 1), które zawarte są w Rozdziale </w:t>
      </w:r>
      <w:r w:rsidR="00EB010E">
        <w:rPr>
          <w:rFonts w:ascii="Times New Roman" w:hAnsi="Times New Roman" w:cs="Times New Roman"/>
          <w:szCs w:val="24"/>
          <w:lang w:eastAsia="en-US"/>
        </w:rPr>
        <w:t>2</w:t>
      </w:r>
      <w:r w:rsidRPr="003A42FB">
        <w:rPr>
          <w:rFonts w:ascii="Times New Roman" w:hAnsi="Times New Roman" w:cs="Times New Roman"/>
          <w:szCs w:val="24"/>
          <w:lang w:eastAsia="en-US"/>
        </w:rPr>
        <w:t xml:space="preserve">. Dostęp symetryczny oraz </w:t>
      </w:r>
      <w:r w:rsidR="00385757">
        <w:rPr>
          <w:rFonts w:ascii="Times New Roman" w:hAnsi="Times New Roman" w:cs="Times New Roman"/>
          <w:szCs w:val="24"/>
          <w:lang w:eastAsia="en-US"/>
        </w:rPr>
        <w:t>nakłada na Prezesa UKE obowiązek zapewnienia</w:t>
      </w:r>
      <w:r w:rsidRPr="003A42FB">
        <w:rPr>
          <w:rFonts w:ascii="Times New Roman" w:hAnsi="Times New Roman" w:cs="Times New Roman"/>
          <w:szCs w:val="24"/>
          <w:lang w:eastAsia="en-US"/>
        </w:rPr>
        <w:t>, aby</w:t>
      </w:r>
      <w:r w:rsidR="00EB010E">
        <w:rPr>
          <w:rFonts w:ascii="Times New Roman" w:hAnsi="Times New Roman" w:cs="Times New Roman"/>
          <w:szCs w:val="24"/>
          <w:lang w:eastAsia="en-US"/>
        </w:rPr>
        <w:t xml:space="preserve"> </w:t>
      </w:r>
      <w:r w:rsidR="00385757">
        <w:rPr>
          <w:rFonts w:ascii="Times New Roman" w:hAnsi="Times New Roman" w:cs="Times New Roman"/>
          <w:szCs w:val="24"/>
          <w:lang w:eastAsia="en-US"/>
        </w:rPr>
        <w:t xml:space="preserve">obowiązek był </w:t>
      </w:r>
      <w:r w:rsidR="00385757" w:rsidRPr="004966A2">
        <w:rPr>
          <w:rFonts w:cs="Times"/>
        </w:rPr>
        <w:t>obiektywny, przejrzysty, proporcjonalny i niedyskryminacyjny</w:t>
      </w:r>
      <w:r w:rsidRPr="003A42FB">
        <w:rPr>
          <w:rFonts w:ascii="Times New Roman" w:hAnsi="Times New Roman" w:cs="Times New Roman"/>
          <w:szCs w:val="24"/>
          <w:lang w:eastAsia="en-US"/>
        </w:rPr>
        <w:t xml:space="preserve"> (ust. 2).</w:t>
      </w:r>
    </w:p>
    <w:p w14:paraId="1D3DD4F8" w14:textId="3CBE328D" w:rsidR="001633C4" w:rsidRPr="003A42FB" w:rsidRDefault="005133C5" w:rsidP="00C53EAB">
      <w:pPr>
        <w:tabs>
          <w:tab w:val="left" w:pos="7065"/>
        </w:tabs>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85757" w:rsidRPr="003A42FB">
        <w:rPr>
          <w:rFonts w:ascii="Times New Roman" w:eastAsiaTheme="minorEastAsia" w:hAnsi="Times New Roman" w:cs="Times New Roman"/>
          <w:b/>
          <w:bCs/>
          <w:sz w:val="24"/>
          <w:szCs w:val="24"/>
        </w:rPr>
        <w:t>1</w:t>
      </w:r>
      <w:r w:rsidR="00385757">
        <w:rPr>
          <w:rFonts w:ascii="Times New Roman" w:eastAsiaTheme="minorEastAsia" w:hAnsi="Times New Roman" w:cs="Times New Roman"/>
          <w:b/>
          <w:bCs/>
          <w:sz w:val="24"/>
          <w:szCs w:val="24"/>
        </w:rPr>
        <w:t>7</w:t>
      </w:r>
      <w:r w:rsidR="00385757" w:rsidRPr="003A42FB">
        <w:rPr>
          <w:rFonts w:ascii="Times New Roman" w:eastAsiaTheme="minorEastAsia" w:hAnsi="Times New Roman" w:cs="Times New Roman"/>
          <w:b/>
          <w:bCs/>
          <w:sz w:val="24"/>
          <w:szCs w:val="24"/>
        </w:rPr>
        <w:t>8</w:t>
      </w:r>
      <w:r w:rsidR="001633C4" w:rsidRPr="003A42FB">
        <w:rPr>
          <w:rFonts w:ascii="Times New Roman" w:hAnsi="Times New Roman" w:cs="Times New Roman"/>
          <w:b/>
          <w:sz w:val="24"/>
          <w:szCs w:val="24"/>
        </w:rPr>
        <w:tab/>
      </w:r>
    </w:p>
    <w:p w14:paraId="681FEBC2" w14:textId="04BFD75C" w:rsidR="001633C4" w:rsidRPr="003A42FB" w:rsidRDefault="005133C5"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W projektowanym art. 1</w:t>
      </w:r>
      <w:r w:rsidR="00382752">
        <w:rPr>
          <w:rFonts w:ascii="Times New Roman" w:eastAsiaTheme="minorEastAsia" w:hAnsi="Times New Roman" w:cs="Times New Roman"/>
          <w:sz w:val="24"/>
          <w:szCs w:val="24"/>
        </w:rPr>
        <w:t>7</w:t>
      </w:r>
      <w:r w:rsidRPr="003A42FB">
        <w:rPr>
          <w:rFonts w:ascii="Times New Roman" w:eastAsiaTheme="minorEastAsia" w:hAnsi="Times New Roman" w:cs="Times New Roman"/>
          <w:sz w:val="24"/>
          <w:szCs w:val="24"/>
        </w:rPr>
        <w:t>8</w:t>
      </w:r>
      <w:r w:rsidR="001633C4" w:rsidRPr="003A42FB">
        <w:rPr>
          <w:rFonts w:ascii="Times New Roman" w:eastAsiaTheme="minorEastAsia" w:hAnsi="Times New Roman" w:cs="Times New Roman"/>
          <w:sz w:val="24"/>
          <w:szCs w:val="24"/>
        </w:rPr>
        <w:t xml:space="preserve"> ust. 1 przewidziana jest kompetencja Prezesa UKE do określenia obszarów geograficznych, na których obowiązek przedsiębiorcy telekomunikacyjnego</w:t>
      </w:r>
      <w:r w:rsidR="00EB010E">
        <w:rPr>
          <w:rFonts w:ascii="Times New Roman" w:eastAsiaTheme="minorEastAsia" w:hAnsi="Times New Roman" w:cs="Times New Roman"/>
          <w:sz w:val="24"/>
          <w:szCs w:val="24"/>
        </w:rPr>
        <w:t xml:space="preserve"> oraz </w:t>
      </w:r>
      <w:r w:rsidR="00EB010E" w:rsidRPr="00EB010E">
        <w:rPr>
          <w:rFonts w:ascii="Times New Roman" w:eastAsiaTheme="minorEastAsia" w:hAnsi="Times New Roman" w:cs="Times New Roman"/>
          <w:sz w:val="24"/>
          <w:szCs w:val="24"/>
        </w:rPr>
        <w:t>podmiot</w:t>
      </w:r>
      <w:r w:rsidR="00FA2D97">
        <w:rPr>
          <w:rFonts w:ascii="Times New Roman" w:eastAsiaTheme="minorEastAsia" w:hAnsi="Times New Roman" w:cs="Times New Roman"/>
          <w:sz w:val="24"/>
          <w:szCs w:val="24"/>
        </w:rPr>
        <w:t>u</w:t>
      </w:r>
      <w:r w:rsidR="00EB010E" w:rsidRPr="00EB010E">
        <w:rPr>
          <w:rFonts w:ascii="Times New Roman" w:eastAsiaTheme="minorEastAsia" w:hAnsi="Times New Roman" w:cs="Times New Roman"/>
          <w:sz w:val="24"/>
          <w:szCs w:val="24"/>
        </w:rPr>
        <w:t>, o któr</w:t>
      </w:r>
      <w:r w:rsidR="00EB010E">
        <w:rPr>
          <w:rFonts w:ascii="Times New Roman" w:eastAsiaTheme="minorEastAsia" w:hAnsi="Times New Roman" w:cs="Times New Roman"/>
          <w:sz w:val="24"/>
          <w:szCs w:val="24"/>
        </w:rPr>
        <w:t xml:space="preserve">ym mowa w art. 27 ust. 1 ustawy </w:t>
      </w:r>
      <w:r w:rsidR="00EB010E" w:rsidRPr="00EB010E">
        <w:rPr>
          <w:rFonts w:ascii="Times New Roman" w:eastAsiaTheme="minorEastAsia" w:hAnsi="Times New Roman" w:cs="Times New Roman"/>
          <w:sz w:val="24"/>
          <w:szCs w:val="24"/>
        </w:rPr>
        <w:t>o wspieraniu rozwoju usług i sieci telekomunikacyjnych</w:t>
      </w:r>
      <w:r w:rsidR="00FA2D97">
        <w:rPr>
          <w:rFonts w:ascii="Times New Roman" w:eastAsiaTheme="minorEastAsia" w:hAnsi="Times New Roman" w:cs="Times New Roman"/>
          <w:sz w:val="24"/>
          <w:szCs w:val="24"/>
        </w:rPr>
        <w:t xml:space="preserve"> (tj. </w:t>
      </w:r>
      <w:r w:rsidR="00FA2D97" w:rsidRPr="003A42FB">
        <w:rPr>
          <w:rFonts w:ascii="Times New Roman" w:eastAsiaTheme="minorEastAsia" w:hAnsi="Times New Roman" w:cs="Times New Roman"/>
          <w:sz w:val="24"/>
          <w:szCs w:val="24"/>
        </w:rPr>
        <w:t>podmiotu który wykorzystał środki publiczne w rozumieniu przepisów ustawy z dnia 27 sierpnia 2009 r. o finansach publicznych (tj. Dz. U. z 2019 r. poz. 869 ze zm.) do budowy, przebudowy lub remontu infrastruktury lub sieci telekomunikacyjnej, lub nabycia praw do infrastruktury lub sieci telekomunikacyjnej albo nabył prawa do infrastruktury lub sieci telekomunikacyjnej zbudowanej, przebudowanej lub wyremontowanej przy wykorzystaniu środków publicznych</w:t>
      </w:r>
      <w:r w:rsidR="00FA2D97">
        <w:rPr>
          <w:rFonts w:ascii="Times New Roman" w:eastAsiaTheme="minorEastAsia" w:hAnsi="Times New Roman" w:cs="Times New Roman"/>
          <w:sz w:val="24"/>
          <w:szCs w:val="24"/>
        </w:rPr>
        <w:t>)</w:t>
      </w:r>
      <w:r w:rsidR="00EB010E">
        <w:rPr>
          <w:rFonts w:ascii="Times New Roman" w:eastAsiaTheme="minorEastAsia" w:hAnsi="Times New Roman" w:cs="Times New Roman"/>
          <w:sz w:val="24"/>
          <w:szCs w:val="24"/>
        </w:rPr>
        <w:t>,</w:t>
      </w:r>
      <w:r w:rsidR="001633C4" w:rsidRPr="003A42FB">
        <w:rPr>
          <w:rFonts w:ascii="Times New Roman" w:eastAsiaTheme="minorEastAsia" w:hAnsi="Times New Roman" w:cs="Times New Roman"/>
          <w:sz w:val="24"/>
          <w:szCs w:val="24"/>
        </w:rPr>
        <w:t xml:space="preserve"> do zapewnienia dostępu do okablowania pomiędzy zakończeniami sieci w obiekcie budowlanym a najbliższym punktem dystrybucji jest rozszerzony o elementy sieci telekomunikacyjnej wraz z powiązanymi zasobami, poza punktami dystrybucji, które znajdują się najbliżej zakończeń sieci w budynkach, ale nie dalej niż do pierwszego punktu dystrybucji, w którym liczba obsługiwanych zakończeń sieci uzasadnia ubieganie się o dostęp przez efektywnie działającego przedsiębiorcę telekomunikacyjnego.</w:t>
      </w:r>
      <w:r w:rsidR="001633C4" w:rsidRPr="003A42FB">
        <w:rPr>
          <w:rFonts w:ascii="Times New Roman" w:hAnsi="Times New Roman" w:cs="Times New Roman"/>
          <w:sz w:val="24"/>
          <w:szCs w:val="24"/>
        </w:rPr>
        <w:t xml:space="preserve"> </w:t>
      </w:r>
      <w:r w:rsidR="001633C4" w:rsidRPr="003A42FB">
        <w:rPr>
          <w:rFonts w:ascii="Times New Roman" w:eastAsiaTheme="minorEastAsia" w:hAnsi="Times New Roman" w:cs="Times New Roman"/>
          <w:sz w:val="24"/>
          <w:szCs w:val="24"/>
        </w:rPr>
        <w:t xml:space="preserve">Rozstrzygnięcie to może być wydane w drodze decyzji </w:t>
      </w:r>
      <w:r w:rsidR="00EB010E">
        <w:rPr>
          <w:rFonts w:ascii="Times New Roman" w:eastAsiaTheme="minorEastAsia" w:hAnsi="Times New Roman" w:cs="Times New Roman"/>
          <w:sz w:val="24"/>
          <w:szCs w:val="24"/>
        </w:rPr>
        <w:t>obszarowej</w:t>
      </w:r>
      <w:r w:rsidR="00EB010E" w:rsidRPr="003A42FB">
        <w:rPr>
          <w:rFonts w:ascii="Times New Roman" w:eastAsiaTheme="minorEastAsia" w:hAnsi="Times New Roman" w:cs="Times New Roman"/>
          <w:sz w:val="24"/>
          <w:szCs w:val="24"/>
        </w:rPr>
        <w:t xml:space="preserve"> </w:t>
      </w:r>
      <w:r w:rsidR="00EB010E">
        <w:rPr>
          <w:rFonts w:ascii="Times New Roman" w:eastAsiaTheme="minorEastAsia" w:hAnsi="Times New Roman" w:cs="Times New Roman"/>
          <w:sz w:val="24"/>
          <w:szCs w:val="24"/>
        </w:rPr>
        <w:t>na podstawie</w:t>
      </w:r>
      <w:r w:rsidR="001633C4" w:rsidRPr="003A42FB">
        <w:rPr>
          <w:rFonts w:ascii="Times New Roman" w:eastAsiaTheme="minorEastAsia" w:hAnsi="Times New Roman" w:cs="Times New Roman"/>
          <w:sz w:val="24"/>
          <w:szCs w:val="24"/>
        </w:rPr>
        <w:t xml:space="preserve"> art. 1</w:t>
      </w:r>
      <w:r w:rsidR="00382752">
        <w:rPr>
          <w:rFonts w:ascii="Times New Roman" w:eastAsiaTheme="minorEastAsia" w:hAnsi="Times New Roman" w:cs="Times New Roman"/>
          <w:sz w:val="24"/>
          <w:szCs w:val="24"/>
        </w:rPr>
        <w:t>91</w:t>
      </w:r>
      <w:r w:rsidR="001633C4" w:rsidRPr="003A42FB">
        <w:rPr>
          <w:rFonts w:ascii="Times New Roman" w:eastAsiaTheme="minorEastAsia" w:hAnsi="Times New Roman" w:cs="Times New Roman"/>
          <w:sz w:val="24"/>
          <w:szCs w:val="24"/>
        </w:rPr>
        <w:t xml:space="preserve"> ust. 1 lit. a</w:t>
      </w:r>
      <w:r w:rsidR="00EB010E">
        <w:rPr>
          <w:rFonts w:ascii="Times New Roman" w:eastAsiaTheme="minorEastAsia" w:hAnsi="Times New Roman" w:cs="Times New Roman"/>
          <w:sz w:val="24"/>
          <w:szCs w:val="24"/>
        </w:rPr>
        <w:t xml:space="preserve"> Pke</w:t>
      </w:r>
      <w:r w:rsidR="001633C4" w:rsidRPr="003A42FB">
        <w:rPr>
          <w:rFonts w:ascii="Times New Roman" w:eastAsiaTheme="minorEastAsia" w:hAnsi="Times New Roman" w:cs="Times New Roman"/>
          <w:sz w:val="24"/>
          <w:szCs w:val="24"/>
        </w:rPr>
        <w:t>.</w:t>
      </w:r>
    </w:p>
    <w:p w14:paraId="2BA45E20" w14:textId="0BC91175" w:rsidR="001633C4" w:rsidRPr="005F69BF" w:rsidRDefault="005133C5" w:rsidP="00C53EAB">
      <w:pPr>
        <w:spacing w:after="120" w:line="240" w:lineRule="auto"/>
        <w:jc w:val="both"/>
        <w:rPr>
          <w:rFonts w:ascii="Times New Roman" w:hAnsi="Times New Roman" w:cs="Times New Roman"/>
          <w:color w:val="FF0000"/>
          <w:sz w:val="24"/>
          <w:szCs w:val="24"/>
        </w:rPr>
      </w:pPr>
      <w:r w:rsidRPr="003A42FB">
        <w:rPr>
          <w:rFonts w:ascii="Times New Roman" w:hAnsi="Times New Roman" w:cs="Times New Roman"/>
          <w:sz w:val="24"/>
          <w:szCs w:val="24"/>
        </w:rPr>
        <w:t>Zgodnie z art. 1</w:t>
      </w:r>
      <w:r w:rsidR="00382752">
        <w:rPr>
          <w:rFonts w:ascii="Times New Roman" w:hAnsi="Times New Roman" w:cs="Times New Roman"/>
          <w:sz w:val="24"/>
          <w:szCs w:val="24"/>
        </w:rPr>
        <w:t>7</w:t>
      </w:r>
      <w:r w:rsidRPr="003A42FB">
        <w:rPr>
          <w:rFonts w:ascii="Times New Roman" w:hAnsi="Times New Roman" w:cs="Times New Roman"/>
          <w:sz w:val="24"/>
          <w:szCs w:val="24"/>
        </w:rPr>
        <w:t>8</w:t>
      </w:r>
      <w:r w:rsidR="001633C4" w:rsidRPr="003A42FB">
        <w:rPr>
          <w:rFonts w:ascii="Times New Roman" w:hAnsi="Times New Roman" w:cs="Times New Roman"/>
          <w:sz w:val="24"/>
          <w:szCs w:val="24"/>
        </w:rPr>
        <w:t xml:space="preserve"> ust. 2, </w:t>
      </w:r>
      <w:r w:rsidR="001633C4" w:rsidRPr="003A42FB">
        <w:rPr>
          <w:rFonts w:ascii="Times New Roman" w:eastAsiaTheme="minorEastAsia" w:hAnsi="Times New Roman" w:cs="Times New Roman"/>
          <w:sz w:val="24"/>
          <w:szCs w:val="24"/>
        </w:rPr>
        <w:t>decyzja o dostępie, o którym mowa w ust. 1, może</w:t>
      </w:r>
      <w:r w:rsidR="001633C4" w:rsidRPr="003A42FB">
        <w:rPr>
          <w:rFonts w:ascii="Times New Roman" w:eastAsiaTheme="minorEastAsia" w:hAnsi="Times New Roman" w:cs="Times New Roman"/>
          <w:b/>
          <w:bCs/>
          <w:sz w:val="24"/>
          <w:szCs w:val="24"/>
        </w:rPr>
        <w:t xml:space="preserve"> </w:t>
      </w:r>
      <w:r w:rsidR="001633C4" w:rsidRPr="003A42FB">
        <w:rPr>
          <w:rFonts w:ascii="Times New Roman" w:eastAsiaTheme="minorEastAsia" w:hAnsi="Times New Roman" w:cs="Times New Roman"/>
          <w:sz w:val="24"/>
          <w:szCs w:val="24"/>
        </w:rPr>
        <w:t>dotyczyć wyłącznie obszar</w:t>
      </w:r>
      <w:r w:rsidR="00385757">
        <w:rPr>
          <w:rFonts w:ascii="Times New Roman" w:eastAsiaTheme="minorEastAsia" w:hAnsi="Times New Roman" w:cs="Times New Roman"/>
          <w:sz w:val="24"/>
          <w:szCs w:val="24"/>
        </w:rPr>
        <w:t>u</w:t>
      </w:r>
      <w:r w:rsidR="001633C4" w:rsidRPr="003A42FB">
        <w:rPr>
          <w:rFonts w:ascii="Times New Roman" w:eastAsiaTheme="minorEastAsia" w:hAnsi="Times New Roman" w:cs="Times New Roman"/>
          <w:sz w:val="24"/>
          <w:szCs w:val="24"/>
        </w:rPr>
        <w:t>, na który</w:t>
      </w:r>
      <w:r w:rsidR="00385757">
        <w:rPr>
          <w:rFonts w:ascii="Times New Roman" w:eastAsiaTheme="minorEastAsia" w:hAnsi="Times New Roman" w:cs="Times New Roman"/>
          <w:sz w:val="24"/>
          <w:szCs w:val="24"/>
        </w:rPr>
        <w:t>m</w:t>
      </w:r>
      <w:r w:rsidR="001633C4" w:rsidRPr="003A42FB">
        <w:rPr>
          <w:rFonts w:ascii="Times New Roman" w:eastAsiaTheme="minorEastAsia" w:hAnsi="Times New Roman" w:cs="Times New Roman"/>
          <w:sz w:val="24"/>
          <w:szCs w:val="24"/>
        </w:rPr>
        <w:t xml:space="preserve"> obowiązek dostępu do okablowania wraz z powiązanymi zasobami pomiędzy zakończeniami sieci w obiekcie budowlanym a najbliższym punktem dystrybucji na danym obszarze w niewystarczającym stopniu przyczynia się do usunięcia stałych i wysokich barier inwestycyjnych zagrażających ograniczeniem lub ograniczających korzyści użytkowników końcowych wynikających z konkurencji</w:t>
      </w:r>
      <w:r w:rsidR="00516C58">
        <w:rPr>
          <w:rFonts w:ascii="Times New Roman" w:eastAsiaTheme="minorEastAsia" w:hAnsi="Times New Roman" w:cs="Times New Roman"/>
          <w:sz w:val="24"/>
          <w:szCs w:val="24"/>
        </w:rPr>
        <w:t xml:space="preserve">. </w:t>
      </w:r>
      <w:r w:rsidR="001633C4" w:rsidRPr="003A42FB">
        <w:rPr>
          <w:rFonts w:ascii="Times New Roman" w:hAnsi="Times New Roman" w:cs="Times New Roman"/>
          <w:sz w:val="24"/>
          <w:szCs w:val="24"/>
        </w:rPr>
        <w:t>Prezes UKE</w:t>
      </w:r>
      <w:r w:rsidR="00516C58">
        <w:rPr>
          <w:rFonts w:ascii="Times New Roman" w:hAnsi="Times New Roman" w:cs="Times New Roman"/>
          <w:sz w:val="24"/>
          <w:szCs w:val="24"/>
        </w:rPr>
        <w:t xml:space="preserve"> korzystając ze wskazanej kompetencji</w:t>
      </w:r>
      <w:r w:rsidR="001633C4" w:rsidRPr="003A42FB">
        <w:rPr>
          <w:rFonts w:ascii="Times New Roman" w:hAnsi="Times New Roman" w:cs="Times New Roman"/>
          <w:sz w:val="24"/>
          <w:szCs w:val="24"/>
        </w:rPr>
        <w:t xml:space="preserve"> jest zobowiązany wziąć pod uwagę nałożone obowiązki regulacyjne (ust. </w:t>
      </w:r>
      <w:r w:rsidR="001633C4" w:rsidRPr="003A42FB">
        <w:rPr>
          <w:rFonts w:ascii="Times New Roman" w:eastAsiaTheme="minorEastAsia" w:hAnsi="Times New Roman" w:cs="Times New Roman"/>
          <w:sz w:val="24"/>
          <w:szCs w:val="24"/>
        </w:rPr>
        <w:t>2 zdanie ostatnie)</w:t>
      </w:r>
      <w:r w:rsidR="00516C58" w:rsidRPr="005F69BF">
        <w:rPr>
          <w:rFonts w:ascii="Times New Roman" w:eastAsiaTheme="minorEastAsia" w:hAnsi="Times New Roman" w:cs="Times New Roman"/>
          <w:bCs/>
          <w:sz w:val="24"/>
          <w:szCs w:val="24"/>
        </w:rPr>
        <w:t>.</w:t>
      </w:r>
      <w:r w:rsidR="00516C58">
        <w:rPr>
          <w:rFonts w:ascii="Times New Roman" w:eastAsiaTheme="minorEastAsia" w:hAnsi="Times New Roman" w:cs="Times New Roman"/>
          <w:b/>
          <w:bCs/>
          <w:sz w:val="24"/>
          <w:szCs w:val="24"/>
        </w:rPr>
        <w:t xml:space="preserve"> </w:t>
      </w:r>
      <w:r w:rsidR="00516C58">
        <w:rPr>
          <w:rFonts w:ascii="Times New Roman" w:eastAsiaTheme="minorEastAsia" w:hAnsi="Times New Roman" w:cs="Times New Roman"/>
          <w:sz w:val="24"/>
          <w:szCs w:val="24"/>
        </w:rPr>
        <w:t>Co należy rozumieć przez</w:t>
      </w:r>
      <w:r w:rsidR="00516C58" w:rsidRPr="00E36B48">
        <w:rPr>
          <w:rFonts w:ascii="Times New Roman" w:eastAsiaTheme="minorEastAsia" w:hAnsi="Times New Roman" w:cs="Times New Roman"/>
          <w:sz w:val="24"/>
          <w:szCs w:val="24"/>
        </w:rPr>
        <w:t xml:space="preserve"> „trwałe i wysokie” bariery</w:t>
      </w:r>
      <w:r w:rsidR="00516C58">
        <w:rPr>
          <w:rFonts w:ascii="Times New Roman" w:eastAsiaTheme="minorEastAsia" w:hAnsi="Times New Roman" w:cs="Times New Roman"/>
          <w:sz w:val="24"/>
          <w:szCs w:val="24"/>
        </w:rPr>
        <w:t xml:space="preserve"> („przeszkody” w polskiej wersji </w:t>
      </w:r>
      <w:r w:rsidR="00516C58">
        <w:rPr>
          <w:rFonts w:ascii="Times New Roman" w:eastAsiaTheme="minorEastAsia" w:hAnsi="Times New Roman" w:cs="Times New Roman"/>
          <w:sz w:val="24"/>
          <w:szCs w:val="24"/>
        </w:rPr>
        <w:lastRenderedPageBreak/>
        <w:t>językowej EKŁE)</w:t>
      </w:r>
      <w:r w:rsidR="00516C58" w:rsidRPr="00E36B48">
        <w:rPr>
          <w:rFonts w:ascii="Times New Roman" w:eastAsiaTheme="minorEastAsia" w:hAnsi="Times New Roman" w:cs="Times New Roman"/>
          <w:sz w:val="24"/>
          <w:szCs w:val="24"/>
        </w:rPr>
        <w:t xml:space="preserve"> zostanie </w:t>
      </w:r>
      <w:r w:rsidR="00516C58">
        <w:rPr>
          <w:rFonts w:ascii="Times New Roman" w:eastAsiaTheme="minorEastAsia" w:hAnsi="Times New Roman" w:cs="Times New Roman"/>
          <w:sz w:val="24"/>
          <w:szCs w:val="24"/>
        </w:rPr>
        <w:t>wskazane</w:t>
      </w:r>
      <w:r w:rsidR="00516C58" w:rsidRPr="00E36B48">
        <w:rPr>
          <w:rFonts w:ascii="Times New Roman" w:eastAsiaTheme="minorEastAsia" w:hAnsi="Times New Roman" w:cs="Times New Roman"/>
          <w:sz w:val="24"/>
          <w:szCs w:val="24"/>
        </w:rPr>
        <w:t xml:space="preserve"> w Wytycznych BEREC wydanych na podstawie art. 61 ust. 3 akapit 5 EKŁE.</w:t>
      </w:r>
    </w:p>
    <w:p w14:paraId="7CC49966" w14:textId="300D046E" w:rsidR="001633C4" w:rsidRPr="003A42FB" w:rsidRDefault="001633C4"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w:t>
      </w:r>
      <w:r w:rsidR="005133C5" w:rsidRPr="003A42FB">
        <w:rPr>
          <w:rFonts w:ascii="Times New Roman" w:eastAsiaTheme="minorEastAsia" w:hAnsi="Times New Roman" w:cs="Times New Roman"/>
          <w:sz w:val="24"/>
          <w:szCs w:val="24"/>
        </w:rPr>
        <w:t>epis art. 1</w:t>
      </w:r>
      <w:r w:rsidR="00382752">
        <w:rPr>
          <w:rFonts w:ascii="Times New Roman" w:eastAsiaTheme="minorEastAsia" w:hAnsi="Times New Roman" w:cs="Times New Roman"/>
          <w:sz w:val="24"/>
          <w:szCs w:val="24"/>
        </w:rPr>
        <w:t>7</w:t>
      </w:r>
      <w:r w:rsidR="005133C5" w:rsidRPr="003A42FB">
        <w:rPr>
          <w:rFonts w:ascii="Times New Roman" w:eastAsiaTheme="minorEastAsia" w:hAnsi="Times New Roman" w:cs="Times New Roman"/>
          <w:sz w:val="24"/>
          <w:szCs w:val="24"/>
        </w:rPr>
        <w:t>8</w:t>
      </w:r>
      <w:r w:rsidRPr="003A42FB">
        <w:rPr>
          <w:rFonts w:ascii="Times New Roman" w:eastAsiaTheme="minorEastAsia" w:hAnsi="Times New Roman" w:cs="Times New Roman"/>
          <w:sz w:val="24"/>
          <w:szCs w:val="24"/>
        </w:rPr>
        <w:t xml:space="preserve"> ust. 3 rozstrzyga, jakich podmiotów nie dotyczą decyzje Prezesa UKE nakładające obowiązek udostępniania elementów sieci telekomunikacyjnej wraz z powiązanymi zasobami, poza punktami dystrybucji, które znajdują się najbliżej zakończeń sieci w budynkach, ale nie dalej niż do pierwszego punktu dystrybucji, w którym liczba obsługiwanych zakończeń sieci uzasadnia ubieganie się o dostęp przez efektywnie działającego przedsiębiorcę telekomunikacyjnego. Pierwszą grupę stanowią</w:t>
      </w:r>
      <w:r w:rsidRPr="003A42FB">
        <w:rPr>
          <w:rFonts w:ascii="Times New Roman" w:eastAsiaTheme="minorEastAsia" w:hAnsi="Times New Roman" w:cs="Times New Roman"/>
          <w:b/>
          <w:bCs/>
          <w:sz w:val="24"/>
          <w:szCs w:val="24"/>
        </w:rPr>
        <w:t xml:space="preserve"> </w:t>
      </w:r>
      <w:r w:rsidR="00516C58">
        <w:rPr>
          <w:rFonts w:ascii="Times New Roman" w:eastAsiaTheme="minorEastAsia" w:hAnsi="Times New Roman" w:cs="Times New Roman"/>
          <w:sz w:val="24"/>
          <w:szCs w:val="24"/>
        </w:rPr>
        <w:t xml:space="preserve"> przedsiębiorcy komunikacji elektronicznej, o których mowa w art. </w:t>
      </w:r>
      <w:r w:rsidR="00382752">
        <w:rPr>
          <w:rFonts w:ascii="Times New Roman" w:eastAsiaTheme="minorEastAsia" w:hAnsi="Times New Roman" w:cs="Times New Roman"/>
          <w:sz w:val="24"/>
          <w:szCs w:val="24"/>
        </w:rPr>
        <w:t>204</w:t>
      </w:r>
      <w:r w:rsidR="00516C58">
        <w:rPr>
          <w:rFonts w:ascii="Times New Roman" w:eastAsiaTheme="minorEastAsia" w:hAnsi="Times New Roman" w:cs="Times New Roman"/>
          <w:sz w:val="24"/>
          <w:szCs w:val="24"/>
        </w:rPr>
        <w:t xml:space="preserve"> ust. 1 Pke (które można określić w skrócie w języku prawniczym oraz praktyce obrotu jako</w:t>
      </w:r>
      <w:r w:rsidR="00516C58" w:rsidRPr="003A42FB">
        <w:rPr>
          <w:rFonts w:ascii="Times New Roman" w:eastAsiaTheme="minorEastAsia" w:hAnsi="Times New Roman" w:cs="Times New Roman"/>
          <w:sz w:val="24"/>
          <w:szCs w:val="24"/>
        </w:rPr>
        <w:t xml:space="preserve"> </w:t>
      </w:r>
      <w:r w:rsidR="00516C58">
        <w:rPr>
          <w:rFonts w:ascii="Times New Roman" w:eastAsiaTheme="minorEastAsia" w:hAnsi="Times New Roman" w:cs="Times New Roman"/>
          <w:sz w:val="24"/>
          <w:szCs w:val="24"/>
        </w:rPr>
        <w:t>„</w:t>
      </w:r>
      <w:r w:rsidR="00516C58" w:rsidRPr="003A42FB">
        <w:rPr>
          <w:rFonts w:ascii="Times New Roman" w:eastAsiaTheme="minorEastAsia" w:hAnsi="Times New Roman" w:cs="Times New Roman"/>
          <w:sz w:val="24"/>
          <w:szCs w:val="24"/>
        </w:rPr>
        <w:t>hurtowe</w:t>
      </w:r>
      <w:r w:rsidR="00516C58">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drugą przedsiębiorstwa, których rozmiar lub skala prowadzonej działalności wskazują na to, że rozszerzone obowiązki podważyłyby zasadność realizacji przez tych przedsiębiorców telekomunikacyjnych nowych sieci ze względów ekonomiczn</w:t>
      </w:r>
      <w:r w:rsidR="005133C5" w:rsidRPr="003A42FB">
        <w:rPr>
          <w:rFonts w:ascii="Times New Roman" w:eastAsiaTheme="minorEastAsia" w:hAnsi="Times New Roman" w:cs="Times New Roman"/>
          <w:sz w:val="24"/>
          <w:szCs w:val="24"/>
        </w:rPr>
        <w:t xml:space="preserve">ych lub finansowych </w:t>
      </w:r>
      <w:r w:rsidR="00B226E8">
        <w:rPr>
          <w:rFonts w:ascii="Times New Roman" w:eastAsiaTheme="minorEastAsia" w:hAnsi="Times New Roman" w:cs="Times New Roman"/>
          <w:sz w:val="24"/>
          <w:szCs w:val="24"/>
        </w:rPr>
        <w:t xml:space="preserve">(w praktyce te przedsiębiorca telekomunikacyjne mogą – ale nie muszą – pokrywać się z podziałem na mikro, małych i średnich przedsiębiorców, o ile Prezes UKE stwierdzi spełnienie którejś z przesłanek wskazanych w art. </w:t>
      </w:r>
      <w:r w:rsidR="00382752">
        <w:rPr>
          <w:rFonts w:ascii="Times New Roman" w:eastAsiaTheme="minorEastAsia" w:hAnsi="Times New Roman" w:cs="Times New Roman"/>
          <w:sz w:val="24"/>
          <w:szCs w:val="24"/>
        </w:rPr>
        <w:t>17</w:t>
      </w:r>
      <w:r w:rsidR="00FA2D97">
        <w:rPr>
          <w:rFonts w:ascii="Times New Roman" w:eastAsiaTheme="minorEastAsia" w:hAnsi="Times New Roman" w:cs="Times New Roman"/>
          <w:sz w:val="24"/>
          <w:szCs w:val="24"/>
        </w:rPr>
        <w:t xml:space="preserve">8 ust. 3 pkt 2). </w:t>
      </w:r>
      <w:r w:rsidR="000D7641">
        <w:rPr>
          <w:rFonts w:ascii="Times New Roman" w:eastAsiaTheme="minorEastAsia" w:hAnsi="Times New Roman" w:cs="Times New Roman"/>
          <w:sz w:val="24"/>
          <w:szCs w:val="24"/>
        </w:rPr>
        <w:t xml:space="preserve"> </w:t>
      </w:r>
      <w:r w:rsidR="00FA2D97">
        <w:rPr>
          <w:rFonts w:ascii="Times New Roman" w:eastAsiaTheme="minorEastAsia" w:hAnsi="Times New Roman" w:cs="Times New Roman"/>
          <w:sz w:val="24"/>
          <w:szCs w:val="24"/>
        </w:rPr>
        <w:t>Rzeczony artykuł</w:t>
      </w:r>
      <w:r w:rsidRPr="003A42FB">
        <w:rPr>
          <w:rFonts w:ascii="Times New Roman" w:eastAsiaTheme="minorEastAsia" w:hAnsi="Times New Roman" w:cs="Times New Roman"/>
          <w:sz w:val="24"/>
          <w:szCs w:val="24"/>
        </w:rPr>
        <w:t xml:space="preserve"> stanowi transpozycję art. 61 ust. 3 akapit 4 EKŁE.</w:t>
      </w:r>
    </w:p>
    <w:p w14:paraId="4DB5493B" w14:textId="1FFFA1C5" w:rsidR="00783F82" w:rsidRPr="003A42FB" w:rsidDel="00462FCB" w:rsidRDefault="00783F82" w:rsidP="00C53EAB">
      <w:pPr>
        <w:spacing w:after="120" w:line="240" w:lineRule="auto"/>
        <w:jc w:val="both"/>
        <w:rPr>
          <w:rFonts w:ascii="Times New Roman" w:eastAsiaTheme="minorEastAsia" w:hAnsi="Times New Roman" w:cs="Times New Roman"/>
          <w:sz w:val="24"/>
          <w:szCs w:val="24"/>
          <w:vertAlign w:val="superscript"/>
        </w:rPr>
      </w:pPr>
      <w:r w:rsidRPr="003A42FB">
        <w:rPr>
          <w:rFonts w:ascii="Times New Roman" w:eastAsiaTheme="minorEastAsia" w:hAnsi="Times New Roman" w:cs="Times New Roman"/>
          <w:b/>
          <w:sz w:val="24"/>
          <w:szCs w:val="24"/>
        </w:rPr>
        <w:t>Art. 1</w:t>
      </w:r>
      <w:r w:rsidR="00382752">
        <w:rPr>
          <w:rFonts w:ascii="Times New Roman" w:eastAsiaTheme="minorEastAsia" w:hAnsi="Times New Roman" w:cs="Times New Roman"/>
          <w:b/>
          <w:sz w:val="24"/>
          <w:szCs w:val="24"/>
        </w:rPr>
        <w:t>79</w:t>
      </w:r>
    </w:p>
    <w:p w14:paraId="7DB0AFB6" w14:textId="559A61A2" w:rsidR="00783F82" w:rsidRPr="003A42FB" w:rsidRDefault="79ECB19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art. 1</w:t>
      </w:r>
      <w:r w:rsidR="00382752">
        <w:rPr>
          <w:rFonts w:ascii="Times New Roman" w:eastAsiaTheme="minorEastAsia" w:hAnsi="Times New Roman" w:cs="Times New Roman"/>
          <w:sz w:val="24"/>
          <w:szCs w:val="24"/>
        </w:rPr>
        <w:t>7</w:t>
      </w:r>
      <w:r w:rsidR="1CA6A1A1" w:rsidRPr="003A42FB">
        <w:rPr>
          <w:rFonts w:ascii="Times New Roman" w:eastAsiaTheme="minorEastAsia" w:hAnsi="Times New Roman" w:cs="Times New Roman"/>
          <w:sz w:val="24"/>
          <w:szCs w:val="24"/>
        </w:rPr>
        <w:t>9</w:t>
      </w:r>
      <w:r w:rsidR="12A8CB6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 stanowiący transpozycję art. 61 ust. 2 lit. a-b EKŁE, nadaje Prezesowi UKE kompetencje do nakładania</w:t>
      </w:r>
      <w:r w:rsidR="5BF46A0B" w:rsidRPr="003A42FB">
        <w:rPr>
          <w:rFonts w:ascii="Times New Roman" w:eastAsiaTheme="minorEastAsia" w:hAnsi="Times New Roman" w:cs="Times New Roman"/>
          <w:sz w:val="24"/>
          <w:szCs w:val="24"/>
        </w:rPr>
        <w:t>, w przypadku ust. 1 pkt 1</w:t>
      </w:r>
      <w:r w:rsidRPr="003A42FB">
        <w:rPr>
          <w:rFonts w:ascii="Times New Roman" w:eastAsiaTheme="minorEastAsia" w:hAnsi="Times New Roman" w:cs="Times New Roman"/>
          <w:sz w:val="24"/>
          <w:szCs w:val="24"/>
        </w:rPr>
        <w:t xml:space="preserve"> na przedsiębiorców telekomunikacyjnych</w:t>
      </w:r>
      <w:r w:rsidR="5BF46A0B" w:rsidRPr="003A42FB">
        <w:rPr>
          <w:rFonts w:ascii="Times New Roman" w:eastAsiaTheme="minorEastAsia" w:hAnsi="Times New Roman" w:cs="Times New Roman"/>
          <w:sz w:val="24"/>
          <w:szCs w:val="24"/>
        </w:rPr>
        <w:t xml:space="preserve">, a przypadku ust. 1 pkt 2 na operatorów, </w:t>
      </w:r>
      <w:r w:rsidRPr="003A42FB">
        <w:rPr>
          <w:rFonts w:ascii="Times New Roman" w:eastAsiaTheme="minorEastAsia" w:hAnsi="Times New Roman" w:cs="Times New Roman"/>
          <w:sz w:val="24"/>
          <w:szCs w:val="24"/>
        </w:rPr>
        <w:t xml:space="preserve">dwóch rodzajów obowiązków. Po pierwsze, obowiązków niezbędnych dla zapewnienia </w:t>
      </w:r>
      <w:r w:rsidR="0BDF4D4A" w:rsidRPr="003A42FB">
        <w:rPr>
          <w:rFonts w:ascii="Times New Roman" w:hAnsi="Times New Roman" w:cs="Times New Roman"/>
          <w:sz w:val="24"/>
          <w:szCs w:val="24"/>
        </w:rPr>
        <w:t>łączności z użytkownikiem końcowym</w:t>
      </w:r>
      <w:r w:rsidRPr="003A42FB">
        <w:rPr>
          <w:rFonts w:ascii="Times New Roman" w:eastAsiaTheme="minorEastAsia" w:hAnsi="Times New Roman" w:cs="Times New Roman"/>
          <w:sz w:val="24"/>
          <w:szCs w:val="24"/>
        </w:rPr>
        <w:t>, obejmujących obowiązek połączenia sieci</w:t>
      </w:r>
      <w:r w:rsidR="0BDF4D4A" w:rsidRPr="003A42FB">
        <w:rPr>
          <w:rFonts w:ascii="Times New Roman" w:hAnsi="Times New Roman" w:cs="Times New Roman"/>
          <w:sz w:val="24"/>
          <w:szCs w:val="24"/>
        </w:rPr>
        <w:t>, jeżeli to jeszcze nie zostało zrealizowane</w:t>
      </w:r>
      <w:r w:rsidRPr="003A42FB">
        <w:rPr>
          <w:rFonts w:ascii="Times New Roman" w:eastAsiaTheme="minorEastAsia" w:hAnsi="Times New Roman" w:cs="Times New Roman"/>
          <w:sz w:val="24"/>
          <w:szCs w:val="24"/>
        </w:rPr>
        <w:t xml:space="preserve"> oraz </w:t>
      </w:r>
      <w:r w:rsidR="4796FC0F" w:rsidRPr="003A42FB">
        <w:rPr>
          <w:rFonts w:ascii="Times New Roman" w:hAnsi="Times New Roman" w:cs="Times New Roman"/>
          <w:sz w:val="24"/>
          <w:szCs w:val="24"/>
        </w:rPr>
        <w:t xml:space="preserve">obowiązek </w:t>
      </w:r>
      <w:r w:rsidRPr="003A42FB">
        <w:rPr>
          <w:rFonts w:ascii="Times New Roman" w:eastAsiaTheme="minorEastAsia" w:hAnsi="Times New Roman" w:cs="Times New Roman"/>
          <w:sz w:val="24"/>
          <w:szCs w:val="24"/>
        </w:rPr>
        <w:t xml:space="preserve">zapewnienia interoperacyjności usług (art. </w:t>
      </w:r>
      <w:r w:rsidR="00382752" w:rsidRPr="003A42FB">
        <w:rPr>
          <w:rFonts w:ascii="Times New Roman" w:hAnsi="Times New Roman" w:cs="Times New Roman"/>
          <w:sz w:val="24"/>
          <w:szCs w:val="24"/>
        </w:rPr>
        <w:t>1</w:t>
      </w:r>
      <w:r w:rsidR="00382752">
        <w:rPr>
          <w:rFonts w:ascii="Times New Roman" w:hAnsi="Times New Roman" w:cs="Times New Roman"/>
          <w:sz w:val="24"/>
          <w:szCs w:val="24"/>
        </w:rPr>
        <w:t>7</w:t>
      </w:r>
      <w:r w:rsidR="00382752" w:rsidRPr="003A42FB">
        <w:rPr>
          <w:rFonts w:ascii="Times New Roman" w:hAnsi="Times New Roman" w:cs="Times New Roman"/>
          <w:sz w:val="24"/>
          <w:szCs w:val="24"/>
        </w:rPr>
        <w:t>9</w:t>
      </w:r>
      <w:r w:rsidR="0038275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1 pkt 1). Po drugie, obowiązków zapewnienia dostępu do interfejsów </w:t>
      </w:r>
      <w:r w:rsidR="71D6087E" w:rsidRPr="003A42FB">
        <w:rPr>
          <w:rFonts w:ascii="Times New Roman" w:eastAsiaTheme="minorEastAsia" w:hAnsi="Times New Roman" w:cs="Times New Roman"/>
          <w:sz w:val="24"/>
          <w:szCs w:val="24"/>
        </w:rPr>
        <w:t>programistycznych aplikacji</w:t>
      </w:r>
      <w:r w:rsidRPr="003A42FB">
        <w:rPr>
          <w:rFonts w:ascii="Times New Roman" w:eastAsiaTheme="minorEastAsia" w:hAnsi="Times New Roman" w:cs="Times New Roman"/>
          <w:sz w:val="24"/>
          <w:szCs w:val="24"/>
        </w:rPr>
        <w:t xml:space="preserve"> oraz elektronicznych przewodników po programach, na sprawiedliwych, rozsądnych i niedyskryminujących warunkach, o ile jest to niezbędne dla korzystania przez użytkowników końcowych z cyfrowych usług radio</w:t>
      </w:r>
      <w:r w:rsidR="673F0724" w:rsidRPr="003A42FB">
        <w:rPr>
          <w:rFonts w:ascii="Times New Roman" w:eastAsiaTheme="minorEastAsia" w:hAnsi="Times New Roman" w:cs="Times New Roman"/>
          <w:sz w:val="24"/>
          <w:szCs w:val="24"/>
        </w:rPr>
        <w:t>fonicznych</w:t>
      </w:r>
      <w:r w:rsidRPr="003A42FB">
        <w:rPr>
          <w:rFonts w:ascii="Times New Roman" w:eastAsiaTheme="minorEastAsia" w:hAnsi="Times New Roman" w:cs="Times New Roman"/>
          <w:sz w:val="24"/>
          <w:szCs w:val="24"/>
        </w:rPr>
        <w:t xml:space="preserve"> i telewizyjnych</w:t>
      </w:r>
      <w:r w:rsidR="12A8CB6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oraz </w:t>
      </w:r>
      <w:r w:rsidR="4796FC0F" w:rsidRPr="003A42FB">
        <w:rPr>
          <w:rFonts w:ascii="Times New Roman" w:hAnsi="Times New Roman" w:cs="Times New Roman"/>
          <w:sz w:val="24"/>
          <w:szCs w:val="24"/>
        </w:rPr>
        <w:t xml:space="preserve">udogodnień </w:t>
      </w:r>
      <w:r w:rsidR="2A1DBA94" w:rsidRPr="003A42FB">
        <w:rPr>
          <w:rFonts w:ascii="Times New Roman" w:hAnsi="Times New Roman" w:cs="Times New Roman"/>
          <w:sz w:val="24"/>
          <w:szCs w:val="24"/>
        </w:rPr>
        <w:t xml:space="preserve">dla osób z niepełnosprawnościami </w:t>
      </w:r>
      <w:r w:rsidR="4796FC0F" w:rsidRPr="003A42FB">
        <w:rPr>
          <w:rFonts w:ascii="Times New Roman" w:hAnsi="Times New Roman" w:cs="Times New Roman"/>
          <w:sz w:val="24"/>
          <w:szCs w:val="24"/>
        </w:rPr>
        <w:t xml:space="preserve">związanych z tymi usługami </w:t>
      </w:r>
      <w:r w:rsidRPr="003A42FB">
        <w:rPr>
          <w:rFonts w:ascii="Times New Roman" w:hAnsi="Times New Roman" w:cs="Times New Roman"/>
          <w:sz w:val="24"/>
          <w:szCs w:val="24"/>
        </w:rPr>
        <w:t xml:space="preserve">(art.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7</w:t>
      </w:r>
      <w:r w:rsidR="00382752"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ust. 1 pkt 2).</w:t>
      </w:r>
    </w:p>
    <w:p w14:paraId="54598562" w14:textId="2230D4E8" w:rsidR="008829F1" w:rsidRPr="003A42F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projektowanym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7</w:t>
      </w:r>
      <w:r w:rsidR="00382752"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 xml:space="preserve">ust. 2 Prezes UKE może nałożyć obowiązek zapewnienia interoperacyjności usług na dostawcę usług łączności interpersonalnej niewykorzystujących numerów, które osiągnęły znaczny poziom zasięgu i upowszechnienia wśród użytkowników. Spełnienie przesłanki „znacznego poziomu zasięgu i upowszechnienia” należy do oceny Prezesa </w:t>
      </w:r>
      <w:r w:rsidR="00910AC9" w:rsidRPr="003A42FB">
        <w:rPr>
          <w:rFonts w:ascii="Times New Roman" w:eastAsiaTheme="minorEastAsia" w:hAnsi="Times New Roman" w:cs="Times New Roman"/>
          <w:sz w:val="24"/>
          <w:szCs w:val="24"/>
        </w:rPr>
        <w:t>UKE</w:t>
      </w:r>
      <w:r w:rsidR="00E53B39" w:rsidRPr="003A42FB">
        <w:rPr>
          <w:rFonts w:ascii="Times New Roman" w:eastAsiaTheme="minorEastAsia" w:hAnsi="Times New Roman" w:cs="Times New Roman"/>
          <w:sz w:val="24"/>
          <w:szCs w:val="24"/>
        </w:rPr>
        <w:t>, jednak</w:t>
      </w:r>
      <w:r w:rsidRPr="003A42FB">
        <w:rPr>
          <w:rFonts w:ascii="Times New Roman" w:eastAsiaTheme="minorEastAsia" w:hAnsi="Times New Roman" w:cs="Times New Roman"/>
          <w:sz w:val="24"/>
          <w:szCs w:val="24"/>
        </w:rPr>
        <w:t xml:space="preserve"> </w:t>
      </w:r>
      <w:r w:rsidR="00E53B39" w:rsidRPr="003A42FB">
        <w:rPr>
          <w:rFonts w:ascii="Times New Roman" w:eastAsiaTheme="minorEastAsia" w:hAnsi="Times New Roman" w:cs="Times New Roman"/>
          <w:sz w:val="24"/>
          <w:szCs w:val="24"/>
        </w:rPr>
        <w:t>r</w:t>
      </w:r>
      <w:r w:rsidRPr="003A42FB">
        <w:rPr>
          <w:rFonts w:ascii="Times New Roman" w:eastAsiaTheme="minorEastAsia" w:hAnsi="Times New Roman" w:cs="Times New Roman"/>
          <w:sz w:val="24"/>
          <w:szCs w:val="24"/>
        </w:rPr>
        <w:t xml:space="preserve">zeczony obowiązek może zostać nałożony jedynie wtedy, gdy możliwość komunikowania się między użytkownikami końcowymi jest zagrożona ze względu na interoperacyjności między usługami komunikacji interpersonalnej. Zagrożenia dla łączności typu koniec–koniec między użytkownikami końcowymi na terenie całej Unii lub co najmniej trzech państw członkowskich jest stwierdzane przez Komisję Europejską po konsultacji z BEREC. Rzeczony przepis stanowi transpozycję art. 61 ust. 2 lit. c </w:t>
      </w:r>
      <w:r w:rsidR="008829F1" w:rsidRPr="003A42FB">
        <w:rPr>
          <w:rFonts w:ascii="Times New Roman" w:eastAsiaTheme="minorEastAsia" w:hAnsi="Times New Roman" w:cs="Times New Roman"/>
          <w:sz w:val="24"/>
          <w:szCs w:val="24"/>
        </w:rPr>
        <w:t xml:space="preserve">EKŁE. </w:t>
      </w:r>
      <w:r w:rsidRPr="003A42FB">
        <w:rPr>
          <w:rFonts w:ascii="Times New Roman" w:eastAsiaTheme="minorEastAsia" w:hAnsi="Times New Roman" w:cs="Times New Roman"/>
          <w:sz w:val="24"/>
          <w:szCs w:val="24"/>
        </w:rPr>
        <w:t xml:space="preserve">Charakter obowiązków i ich zakres, które mogą zostać nałożone przez Prezesa UKE na podstawie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7</w:t>
      </w:r>
      <w:r w:rsidR="00382752" w:rsidRPr="003A42FB">
        <w:rPr>
          <w:rFonts w:ascii="Times New Roman" w:eastAsiaTheme="minorEastAsia" w:hAnsi="Times New Roman" w:cs="Times New Roman"/>
          <w:sz w:val="24"/>
          <w:szCs w:val="24"/>
        </w:rPr>
        <w:t xml:space="preserve">9 </w:t>
      </w:r>
      <w:r w:rsidR="008829F1" w:rsidRPr="003A42FB">
        <w:rPr>
          <w:rFonts w:ascii="Times New Roman" w:eastAsiaTheme="minorEastAsia" w:hAnsi="Times New Roman" w:cs="Times New Roman"/>
          <w:sz w:val="24"/>
          <w:szCs w:val="24"/>
        </w:rPr>
        <w:t>ust. 1 pkt 1 w zw. z ust.</w:t>
      </w:r>
      <w:r w:rsidRPr="003A42FB">
        <w:rPr>
          <w:rFonts w:ascii="Times New Roman" w:eastAsiaTheme="minorEastAsia" w:hAnsi="Times New Roman" w:cs="Times New Roman"/>
          <w:sz w:val="24"/>
          <w:szCs w:val="24"/>
        </w:rPr>
        <w:t xml:space="preserve"> 2, określa Komisja Europejska w środkach wykonawczych, o czym stanowi projektowany ust. 3. Przepis ten stanowi transpozycję art. 61 ust. 2 akapit drugi ppkt (ii) EKŁE.</w:t>
      </w:r>
    </w:p>
    <w:p w14:paraId="6E03821E" w14:textId="1D4D8C35" w:rsidR="008829F1" w:rsidRPr="003A42FB" w:rsidRDefault="006A73E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art.</w:t>
      </w:r>
      <w:r w:rsidR="005133C5" w:rsidRPr="003A42FB">
        <w:rPr>
          <w:rFonts w:ascii="Times New Roman" w:eastAsiaTheme="minorEastAsia" w:hAnsi="Times New Roman" w:cs="Times New Roman"/>
          <w:sz w:val="24"/>
          <w:szCs w:val="24"/>
        </w:rPr>
        <w:t xml:space="preserve">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7</w:t>
      </w:r>
      <w:r w:rsidR="00382752" w:rsidRPr="003A42FB">
        <w:rPr>
          <w:rFonts w:ascii="Times New Roman" w:eastAsiaTheme="minorEastAsia" w:hAnsi="Times New Roman" w:cs="Times New Roman"/>
          <w:sz w:val="24"/>
          <w:szCs w:val="24"/>
        </w:rPr>
        <w:t xml:space="preserve">9 </w:t>
      </w:r>
      <w:r w:rsidRPr="003A42FB">
        <w:rPr>
          <w:rFonts w:ascii="Times New Roman" w:eastAsiaTheme="minorEastAsia" w:hAnsi="Times New Roman" w:cs="Times New Roman"/>
          <w:sz w:val="24"/>
          <w:szCs w:val="24"/>
        </w:rPr>
        <w:t>ust. 4 ustanowiony jest otwarty katalog u</w:t>
      </w:r>
      <w:r w:rsidR="008829F1" w:rsidRPr="003A42FB">
        <w:rPr>
          <w:rFonts w:ascii="Times New Roman" w:eastAsiaTheme="minorEastAsia" w:hAnsi="Times New Roman" w:cs="Times New Roman"/>
          <w:sz w:val="24"/>
          <w:szCs w:val="24"/>
        </w:rPr>
        <w:t>dogodnie</w:t>
      </w:r>
      <w:r w:rsidRPr="003A42FB">
        <w:rPr>
          <w:rFonts w:ascii="Times New Roman" w:eastAsiaTheme="minorEastAsia" w:hAnsi="Times New Roman" w:cs="Times New Roman"/>
          <w:sz w:val="24"/>
          <w:szCs w:val="24"/>
        </w:rPr>
        <w:t>ń</w:t>
      </w:r>
      <w:r w:rsidR="008829F1" w:rsidRPr="003A42FB">
        <w:rPr>
          <w:rFonts w:ascii="Times New Roman" w:eastAsiaTheme="minorEastAsia" w:hAnsi="Times New Roman" w:cs="Times New Roman"/>
          <w:sz w:val="24"/>
          <w:szCs w:val="24"/>
        </w:rPr>
        <w:t xml:space="preserve"> dla osób z różnymi rodzajami niepełnosprawności</w:t>
      </w:r>
      <w:r w:rsidRPr="003A42FB">
        <w:rPr>
          <w:rFonts w:ascii="Times New Roman" w:eastAsiaTheme="minorEastAsia" w:hAnsi="Times New Roman" w:cs="Times New Roman"/>
          <w:sz w:val="24"/>
          <w:szCs w:val="24"/>
        </w:rPr>
        <w:t>,</w:t>
      </w:r>
      <w:r w:rsidR="008829F1" w:rsidRPr="003A42FB">
        <w:rPr>
          <w:rFonts w:ascii="Times New Roman" w:eastAsiaTheme="minorEastAsia" w:hAnsi="Times New Roman" w:cs="Times New Roman"/>
          <w:sz w:val="24"/>
          <w:szCs w:val="24"/>
        </w:rPr>
        <w:t xml:space="preserve"> związa</w:t>
      </w:r>
      <w:r w:rsidRPr="003A42FB">
        <w:rPr>
          <w:rFonts w:ascii="Times New Roman" w:eastAsiaTheme="minorEastAsia" w:hAnsi="Times New Roman" w:cs="Times New Roman"/>
          <w:sz w:val="24"/>
          <w:szCs w:val="24"/>
        </w:rPr>
        <w:t>nych</w:t>
      </w:r>
      <w:r w:rsidR="008829F1" w:rsidRPr="003A42FB">
        <w:rPr>
          <w:rFonts w:ascii="Times New Roman" w:eastAsiaTheme="minorEastAsia" w:hAnsi="Times New Roman" w:cs="Times New Roman"/>
          <w:sz w:val="24"/>
          <w:szCs w:val="24"/>
        </w:rPr>
        <w:t xml:space="preserve"> z usługami radia cyfrowego oraz telewizji </w:t>
      </w:r>
      <w:r w:rsidRPr="003A42FB">
        <w:rPr>
          <w:rFonts w:ascii="Times New Roman" w:eastAsiaTheme="minorEastAsia" w:hAnsi="Times New Roman" w:cs="Times New Roman"/>
          <w:sz w:val="24"/>
          <w:szCs w:val="24"/>
        </w:rPr>
        <w:t>cyfrowej</w:t>
      </w:r>
      <w:r w:rsidR="008829F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na który składają się</w:t>
      </w:r>
      <w:r w:rsidR="008829F1" w:rsidRPr="003A42FB">
        <w:rPr>
          <w:rFonts w:ascii="Times New Roman" w:eastAsiaTheme="minorEastAsia" w:hAnsi="Times New Roman" w:cs="Times New Roman"/>
          <w:sz w:val="24"/>
          <w:szCs w:val="24"/>
        </w:rPr>
        <w:t xml:space="preserve"> w szczególności:</w:t>
      </w:r>
    </w:p>
    <w:p w14:paraId="77392611" w14:textId="5687E472" w:rsidR="005133C5" w:rsidRPr="003A42FB" w:rsidRDefault="008829F1" w:rsidP="00C53EAB">
      <w:pPr>
        <w:pStyle w:val="Akapitzlist"/>
        <w:numPr>
          <w:ilvl w:val="0"/>
          <w:numId w:val="5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napisy dla niesłyszących</w:t>
      </w:r>
      <w:r w:rsidR="00B36B93"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p>
    <w:p w14:paraId="51B04B73" w14:textId="43088C1E" w:rsidR="006A73E7" w:rsidRPr="003A42FB" w:rsidRDefault="008829F1" w:rsidP="00C53EAB">
      <w:pPr>
        <w:pStyle w:val="Akapitzlist"/>
        <w:numPr>
          <w:ilvl w:val="0"/>
          <w:numId w:val="53"/>
        </w:numPr>
        <w:spacing w:after="120" w:line="240" w:lineRule="auto"/>
        <w:contextualSpacing w:val="0"/>
        <w:jc w:val="both"/>
        <w:rPr>
          <w:rFonts w:ascii="Times New Roman" w:hAnsi="Times New Roman" w:cs="Times New Roman"/>
          <w:sz w:val="24"/>
          <w:szCs w:val="24"/>
        </w:rPr>
      </w:pPr>
      <w:r w:rsidRPr="003A42FB">
        <w:rPr>
          <w:rFonts w:ascii="Times New Roman" w:eastAsiaTheme="minorEastAsia" w:hAnsi="Times New Roman" w:cs="Times New Roman"/>
          <w:sz w:val="24"/>
          <w:szCs w:val="24"/>
        </w:rPr>
        <w:lastRenderedPageBreak/>
        <w:t>audiodeskrypcję</w:t>
      </w:r>
      <w:r w:rsidR="00B36B93" w:rsidRPr="003A42FB">
        <w:rPr>
          <w:rFonts w:ascii="Times New Roman" w:eastAsiaTheme="minorEastAsia" w:hAnsi="Times New Roman" w:cs="Times New Roman"/>
          <w:sz w:val="24"/>
          <w:szCs w:val="24"/>
        </w:rPr>
        <w:t>,</w:t>
      </w:r>
    </w:p>
    <w:p w14:paraId="0FC22ABD" w14:textId="6FB1DCD8" w:rsidR="006A73E7" w:rsidRPr="003A42FB" w:rsidRDefault="008829F1" w:rsidP="00C53EAB">
      <w:pPr>
        <w:pStyle w:val="Akapitzlist"/>
        <w:numPr>
          <w:ilvl w:val="0"/>
          <w:numId w:val="53"/>
        </w:numPr>
        <w:spacing w:after="120" w:line="240" w:lineRule="auto"/>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tłumaczenie na język migowy.</w:t>
      </w:r>
    </w:p>
    <w:p w14:paraId="62FF9AF5" w14:textId="39F443F3" w:rsidR="00783F82" w:rsidRPr="003A42FB" w:rsidRDefault="00783F82"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0D7641">
        <w:rPr>
          <w:rFonts w:ascii="Times New Roman" w:eastAsiaTheme="minorEastAsia" w:hAnsi="Times New Roman" w:cs="Times New Roman"/>
          <w:b/>
          <w:bCs/>
          <w:sz w:val="24"/>
          <w:szCs w:val="24"/>
        </w:rPr>
        <w:t>8</w:t>
      </w:r>
      <w:r w:rsidR="005133C5" w:rsidRPr="003A42FB">
        <w:rPr>
          <w:rFonts w:ascii="Times New Roman" w:eastAsiaTheme="minorEastAsia" w:hAnsi="Times New Roman" w:cs="Times New Roman"/>
          <w:b/>
          <w:bCs/>
          <w:sz w:val="24"/>
          <w:szCs w:val="24"/>
        </w:rPr>
        <w:t>0</w:t>
      </w:r>
    </w:p>
    <w:p w14:paraId="11AC1257" w14:textId="5983C4F1" w:rsidR="00863E0B" w:rsidRPr="003A42FB" w:rsidRDefault="131B29E8" w:rsidP="005F69BF">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projektowanym</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43404BD5" w:rsidRPr="003A42FB">
        <w:rPr>
          <w:rFonts w:ascii="Times New Roman" w:eastAsiaTheme="minorEastAsia" w:hAnsi="Times New Roman" w:cs="Times New Roman"/>
          <w:sz w:val="24"/>
          <w:szCs w:val="24"/>
        </w:rPr>
        <w:t>P</w:t>
      </w:r>
      <w:r w:rsidR="00FD3F93" w:rsidRPr="003A42FB">
        <w:rPr>
          <w:rFonts w:ascii="Times New Roman" w:eastAsiaTheme="minorEastAsia" w:hAnsi="Times New Roman" w:cs="Times New Roman"/>
          <w:sz w:val="24"/>
          <w:szCs w:val="24"/>
        </w:rPr>
        <w:t>ke</w:t>
      </w:r>
      <w:r w:rsidRPr="003A42FB">
        <w:rPr>
          <w:rFonts w:ascii="Times New Roman" w:eastAsiaTheme="minorEastAsia" w:hAnsi="Times New Roman" w:cs="Times New Roman"/>
          <w:sz w:val="24"/>
          <w:szCs w:val="24"/>
        </w:rPr>
        <w:t>, stanowiącym transpozycję art. 61 ust. 4 EKŁE, w ustępie pierwszym przewidziana jest kompetencja do nakładania przez Prezesa UKE</w:t>
      </w:r>
      <w:r w:rsidR="00863E0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na przedsiębiorcę telekomunikacyjnego</w:t>
      </w:r>
      <w:r w:rsidR="00863E0B">
        <w:rPr>
          <w:rFonts w:ascii="Times New Roman" w:eastAsiaTheme="minorEastAsia" w:hAnsi="Times New Roman" w:cs="Times New Roman"/>
          <w:sz w:val="24"/>
          <w:szCs w:val="24"/>
        </w:rPr>
        <w:t xml:space="preserve"> </w:t>
      </w:r>
      <w:r w:rsidR="0D5D4D4E" w:rsidRPr="003A42FB">
        <w:rPr>
          <w:rFonts w:ascii="Times New Roman" w:eastAsiaTheme="minorEastAsia" w:hAnsi="Times New Roman" w:cs="Times New Roman"/>
          <w:sz w:val="24"/>
          <w:szCs w:val="24"/>
        </w:rPr>
        <w:t>będącego adresatem decyzji rezerwacyjnej,</w:t>
      </w:r>
      <w:r w:rsidRPr="003A42FB">
        <w:rPr>
          <w:rFonts w:ascii="Times New Roman" w:eastAsiaTheme="minorEastAsia" w:hAnsi="Times New Roman" w:cs="Times New Roman"/>
          <w:sz w:val="24"/>
          <w:szCs w:val="24"/>
        </w:rPr>
        <w:t xml:space="preserve"> obowiązk</w:t>
      </w:r>
      <w:r w:rsidR="00863E0B">
        <w:rPr>
          <w:rFonts w:ascii="Times New Roman" w:eastAsiaTheme="minorEastAsia" w:hAnsi="Times New Roman" w:cs="Times New Roman"/>
          <w:sz w:val="24"/>
          <w:szCs w:val="24"/>
        </w:rPr>
        <w:t xml:space="preserve">u </w:t>
      </w:r>
      <w:r w:rsidR="00783F82" w:rsidRPr="003A42FB">
        <w:rPr>
          <w:rFonts w:ascii="Times New Roman" w:eastAsiaTheme="minorEastAsia" w:hAnsi="Times New Roman" w:cs="Times New Roman"/>
          <w:sz w:val="24"/>
          <w:szCs w:val="24"/>
        </w:rPr>
        <w:t>zapewnienia dostępu do nieaktywnych elementów sieci telekomunikacyjnej i </w:t>
      </w:r>
      <w:r w:rsidR="00A46258" w:rsidRPr="003A42FB">
        <w:rPr>
          <w:rFonts w:ascii="Times New Roman" w:eastAsiaTheme="minorEastAsia" w:hAnsi="Times New Roman" w:cs="Times New Roman"/>
          <w:sz w:val="24"/>
          <w:szCs w:val="24"/>
        </w:rPr>
        <w:t>powiązanych zasobów</w:t>
      </w:r>
      <w:r w:rsidR="00783F82" w:rsidRPr="003A42FB">
        <w:rPr>
          <w:rFonts w:ascii="Times New Roman" w:eastAsiaTheme="minorEastAsia" w:hAnsi="Times New Roman" w:cs="Times New Roman"/>
          <w:sz w:val="24"/>
          <w:szCs w:val="24"/>
        </w:rPr>
        <w:t xml:space="preserve">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00783F82" w:rsidRPr="003A42FB">
        <w:rPr>
          <w:rFonts w:ascii="Times New Roman" w:eastAsiaTheme="minorEastAsia" w:hAnsi="Times New Roman" w:cs="Times New Roman"/>
          <w:sz w:val="24"/>
          <w:szCs w:val="24"/>
        </w:rPr>
        <w:t>ust. 1 pkt 1)</w:t>
      </w:r>
      <w:r w:rsidR="00863E0B">
        <w:rPr>
          <w:rFonts w:ascii="Times New Roman" w:eastAsiaTheme="minorEastAsia" w:hAnsi="Times New Roman" w:cs="Times New Roman"/>
          <w:sz w:val="24"/>
          <w:szCs w:val="24"/>
        </w:rPr>
        <w:t xml:space="preserve">. Natomiast gdy </w:t>
      </w:r>
      <w:r w:rsidR="00863E0B" w:rsidRPr="005F69BF">
        <w:rPr>
          <w:rFonts w:ascii="Times New Roman" w:eastAsiaTheme="minorEastAsia" w:hAnsi="Times New Roman" w:cs="Times New Roman"/>
          <w:sz w:val="24"/>
          <w:szCs w:val="24"/>
        </w:rPr>
        <w:t>nałożenie obowiązku, o którym mowa w</w:t>
      </w:r>
      <w:r w:rsidR="00863E0B">
        <w:rPr>
          <w:rFonts w:ascii="Times New Roman" w:eastAsiaTheme="minorEastAsia" w:hAnsi="Times New Roman" w:cs="Times New Roman"/>
          <w:sz w:val="24"/>
          <w:szCs w:val="24"/>
        </w:rPr>
        <w:t xml:space="preserve"> art. </w:t>
      </w:r>
      <w:r w:rsidR="00863E0B"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863E0B" w:rsidRPr="003A42FB">
        <w:rPr>
          <w:rFonts w:ascii="Times New Roman" w:eastAsiaTheme="minorEastAsia" w:hAnsi="Times New Roman" w:cs="Times New Roman"/>
          <w:sz w:val="24"/>
          <w:szCs w:val="24"/>
        </w:rPr>
        <w:t>0 ust. 1 pkt 1</w:t>
      </w:r>
      <w:r w:rsidR="00863E0B">
        <w:rPr>
          <w:rFonts w:ascii="Times New Roman" w:eastAsiaTheme="minorEastAsia" w:hAnsi="Times New Roman" w:cs="Times New Roman"/>
          <w:sz w:val="24"/>
          <w:szCs w:val="24"/>
        </w:rPr>
        <w:t xml:space="preserve"> pkt 1, byłoby niewystarczające, Prezes UKE może nałożyć obowiązek</w:t>
      </w:r>
      <w:r w:rsidR="00863E0B" w:rsidRPr="005F69BF">
        <w:rPr>
          <w:rFonts w:ascii="Times New Roman" w:eastAsiaTheme="minorEastAsia" w:hAnsi="Times New Roman" w:cs="Times New Roman"/>
          <w:sz w:val="24"/>
          <w:szCs w:val="24"/>
        </w:rPr>
        <w:t xml:space="preserve">, </w:t>
      </w:r>
    </w:p>
    <w:p w14:paraId="6045EE9A" w14:textId="170DDFE6" w:rsidR="00783F82" w:rsidRPr="003A42FB" w:rsidRDefault="00783F82"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zapewnienia dostępu do aktywnych elementów sieci telekomunikacyjnych i </w:t>
      </w:r>
      <w:r w:rsidR="00A46258" w:rsidRPr="003A42FB">
        <w:rPr>
          <w:rFonts w:ascii="Times New Roman" w:eastAsiaTheme="minorEastAsia" w:hAnsi="Times New Roman" w:cs="Times New Roman"/>
          <w:sz w:val="24"/>
          <w:szCs w:val="24"/>
        </w:rPr>
        <w:t>powiązanych zasobów</w:t>
      </w:r>
      <w:r w:rsidRPr="003A42FB">
        <w:rPr>
          <w:rFonts w:ascii="Times New Roman" w:eastAsiaTheme="minorEastAsia" w:hAnsi="Times New Roman" w:cs="Times New Roman"/>
          <w:sz w:val="24"/>
          <w:szCs w:val="24"/>
        </w:rPr>
        <w:t xml:space="preserve">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Pr="003A42FB">
        <w:rPr>
          <w:rFonts w:ascii="Times New Roman" w:eastAsiaTheme="minorEastAsia" w:hAnsi="Times New Roman" w:cs="Times New Roman"/>
          <w:sz w:val="24"/>
          <w:szCs w:val="24"/>
        </w:rPr>
        <w:t>ust. 1 pkt 2)</w:t>
      </w:r>
      <w:r w:rsidR="00863E0B">
        <w:rPr>
          <w:rFonts w:ascii="Times New Roman" w:eastAsiaTheme="minorEastAsia" w:hAnsi="Times New Roman" w:cs="Times New Roman"/>
          <w:sz w:val="24"/>
          <w:szCs w:val="24"/>
        </w:rPr>
        <w:t xml:space="preserve"> lub </w:t>
      </w:r>
      <w:r w:rsidR="00FD3F93" w:rsidRPr="003A42FB">
        <w:rPr>
          <w:rFonts w:ascii="Times New Roman" w:eastAsiaTheme="minorEastAsia" w:hAnsi="Times New Roman" w:cs="Times New Roman"/>
          <w:sz w:val="24"/>
          <w:szCs w:val="24"/>
        </w:rPr>
        <w:t>;</w:t>
      </w:r>
    </w:p>
    <w:p w14:paraId="2CD2B096" w14:textId="2B24DDCC" w:rsidR="00783F82" w:rsidRPr="003A42FB" w:rsidRDefault="00E53B39"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zapewnienia dostępu na potrzeby </w:t>
      </w:r>
      <w:r w:rsidR="00783F82" w:rsidRPr="003A42FB">
        <w:rPr>
          <w:rFonts w:ascii="Times New Roman" w:eastAsiaTheme="minorEastAsia" w:hAnsi="Times New Roman" w:cs="Times New Roman"/>
          <w:sz w:val="24"/>
          <w:szCs w:val="24"/>
        </w:rPr>
        <w:t xml:space="preserve">roamingu </w:t>
      </w:r>
      <w:r w:rsidRPr="003A42FB">
        <w:rPr>
          <w:rFonts w:ascii="Times New Roman" w:eastAsiaTheme="minorEastAsia" w:hAnsi="Times New Roman" w:cs="Times New Roman"/>
          <w:sz w:val="24"/>
          <w:szCs w:val="24"/>
        </w:rPr>
        <w:t>lokalnego</w:t>
      </w:r>
      <w:r w:rsidR="00783F82" w:rsidRPr="003A42FB">
        <w:rPr>
          <w:rFonts w:ascii="Times New Roman" w:eastAsiaTheme="minorEastAsia" w:hAnsi="Times New Roman" w:cs="Times New Roman"/>
          <w:sz w:val="24"/>
          <w:szCs w:val="24"/>
        </w:rPr>
        <w:t xml:space="preserve">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00783F82" w:rsidRPr="003A42FB">
        <w:rPr>
          <w:rFonts w:ascii="Times New Roman" w:eastAsiaTheme="minorEastAsia" w:hAnsi="Times New Roman" w:cs="Times New Roman"/>
          <w:sz w:val="24"/>
          <w:szCs w:val="24"/>
        </w:rPr>
        <w:t xml:space="preserve">ust. 1 pkt </w:t>
      </w:r>
      <w:r w:rsidR="00863E0B">
        <w:rPr>
          <w:rFonts w:ascii="Times New Roman" w:eastAsiaTheme="minorEastAsia" w:hAnsi="Times New Roman" w:cs="Times New Roman"/>
          <w:sz w:val="24"/>
          <w:szCs w:val="24"/>
        </w:rPr>
        <w:t>3</w:t>
      </w:r>
      <w:r w:rsidR="00783F82" w:rsidRPr="003A42FB">
        <w:rPr>
          <w:rFonts w:ascii="Times New Roman" w:eastAsiaTheme="minorEastAsia" w:hAnsi="Times New Roman" w:cs="Times New Roman"/>
          <w:sz w:val="24"/>
          <w:szCs w:val="24"/>
        </w:rPr>
        <w:t>).</w:t>
      </w:r>
    </w:p>
    <w:p w14:paraId="62053E6E" w14:textId="58E680F2" w:rsidR="00783F82" w:rsidRPr="003A42FB" w:rsidRDefault="00F16F0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w:t>
      </w:r>
      <w:r w:rsidR="00783F82" w:rsidRPr="003A42FB">
        <w:rPr>
          <w:rFonts w:ascii="Times New Roman" w:eastAsiaTheme="minorEastAsia" w:hAnsi="Times New Roman" w:cs="Times New Roman"/>
          <w:sz w:val="24"/>
          <w:szCs w:val="24"/>
        </w:rPr>
        <w:t xml:space="preserve">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00783F82" w:rsidRPr="003A42FB">
        <w:rPr>
          <w:rFonts w:ascii="Times New Roman" w:eastAsiaTheme="minorEastAsia" w:hAnsi="Times New Roman" w:cs="Times New Roman"/>
          <w:sz w:val="24"/>
          <w:szCs w:val="24"/>
        </w:rPr>
        <w:t>ust. 2</w:t>
      </w:r>
      <w:r w:rsidR="000655B8" w:rsidRPr="003A42FB">
        <w:rPr>
          <w:rFonts w:ascii="Times New Roman" w:eastAsiaTheme="minorEastAsia" w:hAnsi="Times New Roman" w:cs="Times New Roman"/>
          <w:sz w:val="24"/>
          <w:szCs w:val="24"/>
        </w:rPr>
        <w:t xml:space="preserve"> zawarte są </w:t>
      </w:r>
      <w:r w:rsidRPr="003A42FB">
        <w:rPr>
          <w:rFonts w:ascii="Times New Roman" w:eastAsiaTheme="minorEastAsia" w:hAnsi="Times New Roman" w:cs="Times New Roman"/>
          <w:sz w:val="24"/>
          <w:szCs w:val="24"/>
        </w:rPr>
        <w:t>przesłanki</w:t>
      </w:r>
      <w:r w:rsidR="00783F8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nałożenia obowiązków</w:t>
      </w:r>
      <w:r w:rsidR="000655B8" w:rsidRPr="003A42FB">
        <w:rPr>
          <w:rFonts w:ascii="Times New Roman" w:eastAsiaTheme="minorEastAsia" w:hAnsi="Times New Roman" w:cs="Times New Roman"/>
          <w:sz w:val="24"/>
          <w:szCs w:val="24"/>
        </w:rPr>
        <w:t>, o których mowa w ust. 1,</w:t>
      </w:r>
      <w:r w:rsidRPr="003A42FB">
        <w:rPr>
          <w:rFonts w:ascii="Times New Roman" w:eastAsiaTheme="minorEastAsia" w:hAnsi="Times New Roman" w:cs="Times New Roman"/>
          <w:sz w:val="24"/>
          <w:szCs w:val="24"/>
        </w:rPr>
        <w:t xml:space="preserve"> </w:t>
      </w:r>
      <w:r w:rsidR="00783F82" w:rsidRPr="003A42FB">
        <w:rPr>
          <w:rFonts w:ascii="Times New Roman" w:eastAsiaTheme="minorEastAsia" w:hAnsi="Times New Roman" w:cs="Times New Roman"/>
          <w:sz w:val="24"/>
          <w:szCs w:val="24"/>
        </w:rPr>
        <w:t>przez Prezesa UKE</w:t>
      </w:r>
      <w:r w:rsidRPr="003A42FB">
        <w:rPr>
          <w:rFonts w:ascii="Times New Roman" w:eastAsiaTheme="minorEastAsia" w:hAnsi="Times New Roman" w:cs="Times New Roman"/>
          <w:sz w:val="24"/>
          <w:szCs w:val="24"/>
        </w:rPr>
        <w:t>. Krajowy organ regulacyjny nakłada je</w:t>
      </w:r>
      <w:r w:rsidR="00783F82" w:rsidRPr="003A42FB">
        <w:rPr>
          <w:rFonts w:ascii="Times New Roman" w:eastAsiaTheme="minorEastAsia" w:hAnsi="Times New Roman" w:cs="Times New Roman"/>
          <w:sz w:val="24"/>
          <w:szCs w:val="24"/>
        </w:rPr>
        <w:t xml:space="preserve"> w przypadku gdy:</w:t>
      </w:r>
    </w:p>
    <w:p w14:paraId="012EB745" w14:textId="312A707C" w:rsidR="00783F82" w:rsidRPr="003A42FB" w:rsidRDefault="00783F82"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jest to </w:t>
      </w:r>
      <w:r w:rsidR="00863E0B">
        <w:rPr>
          <w:rFonts w:ascii="Times New Roman" w:eastAsiaTheme="minorEastAsia" w:hAnsi="Times New Roman" w:cs="Times New Roman"/>
          <w:sz w:val="24"/>
          <w:szCs w:val="24"/>
        </w:rPr>
        <w:t>niezbędne</w:t>
      </w:r>
      <w:r w:rsidRPr="003A42FB">
        <w:rPr>
          <w:rFonts w:ascii="Times New Roman" w:eastAsiaTheme="minorEastAsia" w:hAnsi="Times New Roman" w:cs="Times New Roman"/>
          <w:sz w:val="24"/>
          <w:szCs w:val="24"/>
        </w:rPr>
        <w:t xml:space="preserve"> do lokalnego świadczenia usług </w:t>
      </w:r>
      <w:r w:rsidR="00F16F0F" w:rsidRPr="003A42FB">
        <w:rPr>
          <w:rFonts w:ascii="Times New Roman" w:eastAsiaTheme="minorEastAsia" w:hAnsi="Times New Roman" w:cs="Times New Roman"/>
          <w:sz w:val="24"/>
          <w:szCs w:val="24"/>
        </w:rPr>
        <w:t>telekomunikacyjnych</w:t>
      </w:r>
      <w:r w:rsidRPr="003A42FB">
        <w:rPr>
          <w:rFonts w:ascii="Times New Roman" w:eastAsiaTheme="minorEastAsia" w:hAnsi="Times New Roman" w:cs="Times New Roman"/>
          <w:sz w:val="24"/>
          <w:szCs w:val="24"/>
        </w:rPr>
        <w:t xml:space="preserve">, które uzależnione są od wykorzystywania </w:t>
      </w:r>
      <w:r w:rsidR="00863E0B">
        <w:rPr>
          <w:rFonts w:ascii="Times New Roman" w:eastAsiaTheme="minorEastAsia" w:hAnsi="Times New Roman" w:cs="Times New Roman"/>
          <w:sz w:val="24"/>
          <w:szCs w:val="24"/>
        </w:rPr>
        <w:t>częstotliwości</w:t>
      </w:r>
      <w:r w:rsidR="000655B8" w:rsidRPr="003A42FB">
        <w:rPr>
          <w:rFonts w:ascii="Times New Roman" w:eastAsiaTheme="minorEastAsia" w:hAnsi="Times New Roman" w:cs="Times New Roman"/>
          <w:sz w:val="24"/>
          <w:szCs w:val="24"/>
        </w:rPr>
        <w:t xml:space="preserve">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000655B8" w:rsidRPr="003A42FB">
        <w:rPr>
          <w:rFonts w:ascii="Times New Roman" w:eastAsiaTheme="minorEastAsia" w:hAnsi="Times New Roman" w:cs="Times New Roman"/>
          <w:sz w:val="24"/>
          <w:szCs w:val="24"/>
        </w:rPr>
        <w:t>ust. 2 pkt 1);</w:t>
      </w:r>
    </w:p>
    <w:p w14:paraId="2372B37F" w14:textId="56E15C04" w:rsidR="00783F82" w:rsidRPr="003A42FB" w:rsidRDefault="00863E0B" w:rsidP="00863E0B">
      <w:pPr>
        <w:numPr>
          <w:ilvl w:val="0"/>
          <w:numId w:val="41"/>
        </w:numPr>
        <w:spacing w:after="120" w:line="240" w:lineRule="auto"/>
        <w:jc w:val="both"/>
        <w:rPr>
          <w:rFonts w:ascii="Times New Roman" w:eastAsiaTheme="minorEastAsia" w:hAnsi="Times New Roman" w:cs="Times New Roman"/>
          <w:sz w:val="24"/>
          <w:szCs w:val="24"/>
        </w:rPr>
      </w:pPr>
      <w:r w:rsidRPr="00863E0B">
        <w:rPr>
          <w:rFonts w:ascii="Times New Roman" w:eastAsiaTheme="minorEastAsia" w:hAnsi="Times New Roman" w:cs="Times New Roman"/>
          <w:sz w:val="24"/>
          <w:szCs w:val="24"/>
        </w:rPr>
        <w:t>przedsiębiorca telekomunikacyjny nie zapewnia podobnego, alternatywnego dostępu, na uczciwych i rozsądnych warunkach, umożliwiającego dotarcie do użytkowników końcowych przez przedsiębiorców telekomunikacyjnych</w:t>
      </w:r>
      <w:r>
        <w:rPr>
          <w:rFonts w:ascii="Times New Roman" w:eastAsiaTheme="minorEastAsia" w:hAnsi="Times New Roman" w:cs="Times New Roman"/>
          <w:sz w:val="24"/>
          <w:szCs w:val="24"/>
        </w:rPr>
        <w:t xml:space="preserve"> </w:t>
      </w:r>
      <w:r w:rsidR="000655B8" w:rsidRPr="003A42FB">
        <w:rPr>
          <w:rFonts w:ascii="Times New Roman" w:eastAsiaTheme="minorEastAsia" w:hAnsi="Times New Roman" w:cs="Times New Roman"/>
          <w:sz w:val="24"/>
          <w:szCs w:val="24"/>
        </w:rPr>
        <w:t>(art. 1</w:t>
      </w:r>
      <w:r w:rsidR="00382752">
        <w:rPr>
          <w:rFonts w:ascii="Times New Roman" w:eastAsiaTheme="minorEastAsia" w:hAnsi="Times New Roman" w:cs="Times New Roman"/>
          <w:sz w:val="24"/>
          <w:szCs w:val="24"/>
        </w:rPr>
        <w:t>8</w:t>
      </w:r>
      <w:r w:rsidR="005133C5" w:rsidRPr="003A42FB">
        <w:rPr>
          <w:rFonts w:ascii="Times New Roman" w:eastAsiaTheme="minorEastAsia" w:hAnsi="Times New Roman" w:cs="Times New Roman"/>
          <w:sz w:val="24"/>
          <w:szCs w:val="24"/>
        </w:rPr>
        <w:t>0</w:t>
      </w:r>
      <w:r w:rsidR="000655B8" w:rsidRPr="003A42FB">
        <w:rPr>
          <w:rFonts w:ascii="Times New Roman" w:eastAsiaTheme="minorEastAsia" w:hAnsi="Times New Roman" w:cs="Times New Roman"/>
          <w:sz w:val="24"/>
          <w:szCs w:val="24"/>
        </w:rPr>
        <w:t xml:space="preserve"> ust. 2 pkt 2);</w:t>
      </w:r>
    </w:p>
    <w:p w14:paraId="2AAD2AF4" w14:textId="3FE9AC41" w:rsidR="00783F82" w:rsidRPr="003A42FB" w:rsidRDefault="00783F82"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dostęp ma być zapewniany na obszarze, na którym trudne do pokonania techniczne lub ekonomiczne bariery ograniczają, ze szkodą dla użytkowników końcowych, możliwość realizacji sieci o bardzo dużej przepustowości lub świadczenie usług </w:t>
      </w:r>
      <w:r w:rsidR="0064754F">
        <w:rPr>
          <w:rFonts w:ascii="Times New Roman" w:eastAsiaTheme="minorEastAsia" w:hAnsi="Times New Roman" w:cs="Times New Roman"/>
          <w:sz w:val="24"/>
          <w:szCs w:val="24"/>
        </w:rPr>
        <w:t>telekomunikacyjnych</w:t>
      </w:r>
      <w:r w:rsidR="000655B8" w:rsidRPr="003A42FB">
        <w:rPr>
          <w:rFonts w:ascii="Times New Roman" w:eastAsiaTheme="minorEastAsia" w:hAnsi="Times New Roman" w:cs="Times New Roman"/>
          <w:sz w:val="24"/>
          <w:szCs w:val="24"/>
        </w:rPr>
        <w:t xml:space="preserve">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000655B8" w:rsidRPr="003A42FB">
        <w:rPr>
          <w:rFonts w:ascii="Times New Roman" w:eastAsiaTheme="minorEastAsia" w:hAnsi="Times New Roman" w:cs="Times New Roman"/>
          <w:sz w:val="24"/>
          <w:szCs w:val="24"/>
        </w:rPr>
        <w:t>ust. 2 pkt 3)</w:t>
      </w:r>
      <w:r w:rsidRPr="003A42FB">
        <w:rPr>
          <w:rFonts w:ascii="Times New Roman" w:eastAsiaTheme="minorEastAsia" w:hAnsi="Times New Roman" w:cs="Times New Roman"/>
          <w:sz w:val="24"/>
          <w:szCs w:val="24"/>
        </w:rPr>
        <w:t>.</w:t>
      </w:r>
    </w:p>
    <w:p w14:paraId="583367FB" w14:textId="6DC18AD9" w:rsidR="00783F82" w:rsidRPr="003A42FB" w:rsidRDefault="00A4625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w:t>
      </w:r>
      <w:r w:rsidR="005133C5" w:rsidRPr="003A42FB">
        <w:rPr>
          <w:rFonts w:ascii="Times New Roman" w:eastAsiaTheme="minorEastAsia" w:hAnsi="Times New Roman" w:cs="Times New Roman"/>
          <w:sz w:val="24"/>
          <w:szCs w:val="24"/>
        </w:rPr>
        <w:t xml:space="preserve">godnie z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0 </w:t>
      </w:r>
      <w:r w:rsidRPr="003A42FB">
        <w:rPr>
          <w:rFonts w:ascii="Times New Roman" w:eastAsiaTheme="minorEastAsia" w:hAnsi="Times New Roman" w:cs="Times New Roman"/>
          <w:sz w:val="24"/>
          <w:szCs w:val="24"/>
        </w:rPr>
        <w:t>ust. 3, n</w:t>
      </w:r>
      <w:r w:rsidR="00783F82" w:rsidRPr="003A42FB">
        <w:rPr>
          <w:rFonts w:ascii="Times New Roman" w:eastAsiaTheme="minorEastAsia" w:hAnsi="Times New Roman" w:cs="Times New Roman"/>
          <w:sz w:val="24"/>
          <w:szCs w:val="24"/>
        </w:rPr>
        <w:t>akładając obowiązki, o</w:t>
      </w:r>
      <w:r w:rsidR="00783F82" w:rsidRPr="003A42FB">
        <w:rPr>
          <w:rFonts w:ascii="Times New Roman" w:eastAsiaTheme="minorEastAsia" w:hAnsi="Times New Roman" w:cs="Times New Roman"/>
          <w:b/>
          <w:bCs/>
          <w:sz w:val="24"/>
          <w:szCs w:val="24"/>
        </w:rPr>
        <w:t xml:space="preserve"> </w:t>
      </w:r>
      <w:r w:rsidR="00783F82" w:rsidRPr="003A42FB">
        <w:rPr>
          <w:rFonts w:ascii="Times New Roman" w:eastAsiaTheme="minorEastAsia" w:hAnsi="Times New Roman" w:cs="Times New Roman"/>
          <w:sz w:val="24"/>
          <w:szCs w:val="24"/>
        </w:rPr>
        <w:t>którym mowa w ust. 1, Prezes UKE jest zobowiązany wziąć</w:t>
      </w:r>
      <w:r w:rsidR="0060743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pod uwagę przede wszystkim</w:t>
      </w:r>
      <w:r w:rsidRPr="003A42FB">
        <w:rPr>
          <w:rFonts w:ascii="Times New Roman" w:hAnsi="Times New Roman" w:cs="Times New Roman"/>
          <w:sz w:val="24"/>
          <w:szCs w:val="24"/>
        </w:rPr>
        <w:t xml:space="preserve"> </w:t>
      </w:r>
      <w:r w:rsidRPr="003A42FB">
        <w:rPr>
          <w:rFonts w:ascii="Times New Roman" w:eastAsiaTheme="minorEastAsia" w:hAnsi="Times New Roman" w:cs="Times New Roman"/>
          <w:sz w:val="24"/>
          <w:szCs w:val="24"/>
        </w:rPr>
        <w:t>potrzebę wspierania</w:t>
      </w:r>
      <w:r w:rsidR="0064754F">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skierowanych do operatorów na danym obszarze zachęt</w:t>
      </w:r>
      <w:r w:rsidR="0064754F">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do uruchamiania infrastruktury, a także inne okoliczności wskazane w pkt 1-6. Redakcja przepisu została ukształtowana w ten sposób, ponieważ „potrzeba wspierania skierowanych do operatorów na danym obszarze zachęt do uruchamiania infrastruktury”, jest najważniejsz</w:t>
      </w:r>
      <w:r w:rsidR="0010395A">
        <w:rPr>
          <w:rFonts w:ascii="Times New Roman" w:eastAsiaTheme="minorEastAsia" w:hAnsi="Times New Roman" w:cs="Times New Roman"/>
          <w:sz w:val="24"/>
          <w:szCs w:val="24"/>
        </w:rPr>
        <w:t>ą okolicznością</w:t>
      </w:r>
      <w:r w:rsidR="0064754F">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(zgodnie z EKŁE „nadrzędn</w:t>
      </w:r>
      <w:r w:rsidR="0010395A">
        <w:rPr>
          <w:rFonts w:ascii="Times New Roman" w:eastAsiaTheme="minorEastAsia" w:hAnsi="Times New Roman" w:cs="Times New Roman"/>
          <w:sz w:val="24"/>
          <w:szCs w:val="24"/>
        </w:rPr>
        <w:t>ą</w:t>
      </w:r>
      <w:r w:rsidRPr="003A42FB">
        <w:rPr>
          <w:rFonts w:ascii="Times New Roman" w:eastAsiaTheme="minorEastAsia" w:hAnsi="Times New Roman" w:cs="Times New Roman"/>
          <w:sz w:val="24"/>
          <w:szCs w:val="24"/>
        </w:rPr>
        <w:t>”</w:t>
      </w:r>
      <w:r w:rsidR="00605FA3" w:rsidRPr="003A42FB">
        <w:rPr>
          <w:rFonts w:ascii="Times New Roman" w:eastAsiaTheme="minorEastAsia" w:hAnsi="Times New Roman" w:cs="Times New Roman"/>
          <w:sz w:val="24"/>
          <w:szCs w:val="24"/>
        </w:rPr>
        <w:t>), co o</w:t>
      </w:r>
      <w:r w:rsidRPr="003A42FB">
        <w:rPr>
          <w:rFonts w:ascii="Times New Roman" w:eastAsiaTheme="minorEastAsia" w:hAnsi="Times New Roman" w:cs="Times New Roman"/>
          <w:sz w:val="24"/>
          <w:szCs w:val="24"/>
        </w:rPr>
        <w:t>znacz</w:t>
      </w:r>
      <w:r w:rsidR="0064754F">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że </w:t>
      </w:r>
      <w:r w:rsidR="0010395A">
        <w:rPr>
          <w:rFonts w:ascii="Times New Roman" w:eastAsiaTheme="minorEastAsia" w:hAnsi="Times New Roman" w:cs="Times New Roman"/>
          <w:sz w:val="24"/>
          <w:szCs w:val="24"/>
        </w:rPr>
        <w:t>identyfikacja rzeczonej potrzeby</w:t>
      </w:r>
      <w:r w:rsidR="0064754F">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jest niezbędn</w:t>
      </w:r>
      <w:r w:rsidR="0010395A">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w:t>
      </w:r>
      <w:r w:rsidR="0010395A">
        <w:rPr>
          <w:rFonts w:ascii="Times New Roman" w:eastAsiaTheme="minorEastAsia" w:hAnsi="Times New Roman" w:cs="Times New Roman"/>
          <w:sz w:val="24"/>
          <w:szCs w:val="24"/>
        </w:rPr>
        <w:t>w przypadku</w:t>
      </w:r>
      <w:r w:rsidR="0010395A"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nałożenia obowiązku</w:t>
      </w:r>
      <w:r w:rsidR="00732DA9">
        <w:rPr>
          <w:rFonts w:ascii="Times New Roman" w:eastAsiaTheme="minorEastAsia" w:hAnsi="Times New Roman" w:cs="Times New Roman"/>
          <w:sz w:val="24"/>
          <w:szCs w:val="24"/>
        </w:rPr>
        <w:t>. Prezes UKE jest zobowiązany również wziąć pod uwagę</w:t>
      </w:r>
      <w:r w:rsidRPr="003A42FB">
        <w:rPr>
          <w:rFonts w:ascii="Times New Roman" w:eastAsiaTheme="minorEastAsia" w:hAnsi="Times New Roman" w:cs="Times New Roman"/>
          <w:sz w:val="24"/>
          <w:szCs w:val="24"/>
        </w:rPr>
        <w:t>:</w:t>
      </w:r>
    </w:p>
    <w:p w14:paraId="6E7C91EB" w14:textId="48BA85A6" w:rsidR="0010395A" w:rsidRPr="005F69BF" w:rsidRDefault="0010395A" w:rsidP="005F69BF">
      <w:pPr>
        <w:numPr>
          <w:ilvl w:val="0"/>
          <w:numId w:val="41"/>
        </w:numPr>
        <w:spacing w:after="120" w:line="240" w:lineRule="auto"/>
        <w:ind w:left="567" w:hanging="283"/>
        <w:jc w:val="both"/>
        <w:rPr>
          <w:rFonts w:ascii="Times New Roman" w:hAnsi="Times New Roman" w:cs="Times New Roman"/>
          <w:szCs w:val="24"/>
        </w:rPr>
      </w:pPr>
      <w:r w:rsidRPr="005F69BF">
        <w:rPr>
          <w:rFonts w:ascii="Times New Roman" w:eastAsiaTheme="minorEastAsia" w:hAnsi="Times New Roman" w:cs="Times New Roman"/>
          <w:sz w:val="24"/>
          <w:szCs w:val="24"/>
        </w:rPr>
        <w:t>stan konkurencji infrastrukturalnej i usługowej;</w:t>
      </w:r>
    </w:p>
    <w:p w14:paraId="3BF6D656" w14:textId="4CA89BEB" w:rsidR="0010395A" w:rsidRPr="005F69BF" w:rsidRDefault="0010395A" w:rsidP="005F69BF">
      <w:pPr>
        <w:numPr>
          <w:ilvl w:val="0"/>
          <w:numId w:val="41"/>
        </w:numPr>
        <w:spacing w:after="120" w:line="240" w:lineRule="auto"/>
        <w:ind w:left="567" w:hanging="283"/>
        <w:jc w:val="both"/>
        <w:rPr>
          <w:rFonts w:ascii="Times New Roman" w:hAnsi="Times New Roman" w:cs="Times New Roman"/>
          <w:szCs w:val="24"/>
        </w:rPr>
      </w:pPr>
      <w:r w:rsidRPr="005F69BF">
        <w:rPr>
          <w:rFonts w:ascii="Times New Roman" w:eastAsiaTheme="minorEastAsia" w:hAnsi="Times New Roman" w:cs="Times New Roman"/>
          <w:sz w:val="24"/>
          <w:szCs w:val="24"/>
        </w:rPr>
        <w:t>efektywne wykorzystanie częstotliwości;</w:t>
      </w:r>
    </w:p>
    <w:p w14:paraId="078985BA" w14:textId="7B727556" w:rsidR="0010395A" w:rsidRPr="005F69BF" w:rsidRDefault="0010395A" w:rsidP="005F69BF">
      <w:pPr>
        <w:numPr>
          <w:ilvl w:val="0"/>
          <w:numId w:val="41"/>
        </w:numPr>
        <w:spacing w:after="120" w:line="240" w:lineRule="auto"/>
        <w:ind w:left="567" w:hanging="283"/>
        <w:jc w:val="both"/>
        <w:rPr>
          <w:rFonts w:ascii="Times New Roman" w:hAnsi="Times New Roman" w:cs="Times New Roman"/>
          <w:szCs w:val="24"/>
        </w:rPr>
      </w:pPr>
      <w:r w:rsidRPr="005F69BF">
        <w:rPr>
          <w:rFonts w:ascii="Times New Roman" w:eastAsiaTheme="minorEastAsia" w:hAnsi="Times New Roman" w:cs="Times New Roman"/>
          <w:sz w:val="24"/>
          <w:szCs w:val="24"/>
        </w:rPr>
        <w:t>innowacje technologiczne;</w:t>
      </w:r>
    </w:p>
    <w:p w14:paraId="41DBD3F0" w14:textId="710C64D1" w:rsidR="0010395A" w:rsidRPr="005F69BF" w:rsidRDefault="0010395A" w:rsidP="005F69BF">
      <w:pPr>
        <w:numPr>
          <w:ilvl w:val="0"/>
          <w:numId w:val="41"/>
        </w:numPr>
        <w:spacing w:after="120" w:line="240" w:lineRule="auto"/>
        <w:ind w:left="567" w:hanging="283"/>
        <w:jc w:val="both"/>
        <w:rPr>
          <w:rFonts w:ascii="Times New Roman" w:hAnsi="Times New Roman" w:cs="Times New Roman"/>
          <w:szCs w:val="24"/>
        </w:rPr>
      </w:pPr>
      <w:r w:rsidRPr="005F69BF">
        <w:rPr>
          <w:rFonts w:ascii="Times New Roman" w:eastAsiaTheme="minorEastAsia" w:hAnsi="Times New Roman" w:cs="Times New Roman"/>
          <w:sz w:val="24"/>
          <w:szCs w:val="24"/>
        </w:rPr>
        <w:t>techniczną możliwość współużytkowania lub związanych z tym warunków;</w:t>
      </w:r>
    </w:p>
    <w:p w14:paraId="295E6DD7" w14:textId="03849A71" w:rsidR="0010395A" w:rsidRPr="005F69BF" w:rsidRDefault="0010395A" w:rsidP="005F69BF">
      <w:pPr>
        <w:numPr>
          <w:ilvl w:val="0"/>
          <w:numId w:val="41"/>
        </w:numPr>
        <w:spacing w:after="120" w:line="240" w:lineRule="auto"/>
        <w:ind w:left="567" w:hanging="283"/>
        <w:jc w:val="both"/>
        <w:rPr>
          <w:rFonts w:ascii="Times New Roman" w:hAnsi="Times New Roman" w:cs="Times New Roman"/>
          <w:szCs w:val="24"/>
        </w:rPr>
      </w:pPr>
      <w:r w:rsidRPr="005F69BF">
        <w:rPr>
          <w:rFonts w:ascii="Times New Roman" w:eastAsiaTheme="minorEastAsia" w:hAnsi="Times New Roman" w:cs="Times New Roman"/>
          <w:sz w:val="24"/>
          <w:szCs w:val="24"/>
        </w:rPr>
        <w:t>potrzebę poszerzania obszaru, na którym możliwy jest dostęp do sieci o bardzo dużej przepustowości, w szczególności wzdłuż głównych szlaków komunikacyjnych oraz na obszarach o niższej gęstości zaludnienia;</w:t>
      </w:r>
    </w:p>
    <w:p w14:paraId="26A887CE" w14:textId="6BF01EFF" w:rsidR="0010395A" w:rsidRPr="005F69BF" w:rsidRDefault="0010395A" w:rsidP="005F69BF">
      <w:pPr>
        <w:numPr>
          <w:ilvl w:val="0"/>
          <w:numId w:val="41"/>
        </w:numPr>
        <w:spacing w:after="120" w:line="240" w:lineRule="auto"/>
        <w:ind w:left="567" w:hanging="283"/>
        <w:jc w:val="both"/>
        <w:rPr>
          <w:rFonts w:ascii="Times New Roman" w:hAnsi="Times New Roman" w:cs="Times New Roman"/>
          <w:szCs w:val="24"/>
        </w:rPr>
      </w:pPr>
      <w:r w:rsidRPr="005F69BF">
        <w:rPr>
          <w:rFonts w:ascii="Times New Roman" w:eastAsiaTheme="minorEastAsia" w:hAnsi="Times New Roman" w:cs="Times New Roman"/>
          <w:sz w:val="24"/>
          <w:szCs w:val="24"/>
        </w:rPr>
        <w:t>zwiększenie konkurencyjności</w:t>
      </w:r>
      <w:r w:rsidRPr="005F69BF">
        <w:rPr>
          <w:rFonts w:ascii="Times New Roman" w:eastAsiaTheme="minorEastAsia" w:hAnsi="Times New Roman" w:cs="Times New Roman"/>
          <w:sz w:val="24"/>
          <w:szCs w:val="24"/>
        </w:rPr>
        <w:tab/>
        <w:t xml:space="preserve"> w zakresie jakości i wyboru usług oferowanych użytkownikom końcowym</w:t>
      </w:r>
      <w:r w:rsidR="00732DA9">
        <w:rPr>
          <w:rFonts w:ascii="Times New Roman" w:eastAsiaTheme="minorEastAsia" w:hAnsi="Times New Roman" w:cs="Times New Roman"/>
          <w:sz w:val="24"/>
          <w:szCs w:val="24"/>
        </w:rPr>
        <w:t>.</w:t>
      </w:r>
    </w:p>
    <w:p w14:paraId="6027B90A" w14:textId="6110C58C" w:rsidR="00E53B39" w:rsidRPr="003A42FB" w:rsidRDefault="00E53B39"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82752" w:rsidRPr="003A42FB">
        <w:rPr>
          <w:rFonts w:ascii="Times New Roman" w:eastAsiaTheme="minorEastAsia" w:hAnsi="Times New Roman" w:cs="Times New Roman"/>
          <w:b/>
          <w:bCs/>
          <w:sz w:val="24"/>
          <w:szCs w:val="24"/>
        </w:rPr>
        <w:t>1</w:t>
      </w:r>
      <w:r w:rsidR="00382752">
        <w:rPr>
          <w:rFonts w:ascii="Times New Roman" w:eastAsiaTheme="minorEastAsia" w:hAnsi="Times New Roman" w:cs="Times New Roman"/>
          <w:b/>
          <w:bCs/>
          <w:sz w:val="24"/>
          <w:szCs w:val="24"/>
        </w:rPr>
        <w:t>7</w:t>
      </w:r>
      <w:r w:rsidR="00382752" w:rsidRPr="003A42FB">
        <w:rPr>
          <w:rFonts w:ascii="Times New Roman" w:eastAsiaTheme="minorEastAsia" w:hAnsi="Times New Roman" w:cs="Times New Roman"/>
          <w:b/>
          <w:bCs/>
          <w:sz w:val="24"/>
          <w:szCs w:val="24"/>
        </w:rPr>
        <w:t>1</w:t>
      </w:r>
    </w:p>
    <w:p w14:paraId="41D9BC36" w14:textId="6D28FF72" w:rsidR="00EB010E" w:rsidRDefault="00E53B3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Projektowany art. </w:t>
      </w:r>
      <w:r w:rsidR="00382752"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w:t>
      </w:r>
      <w:r w:rsidR="00382752" w:rsidRPr="003A42FB">
        <w:rPr>
          <w:rFonts w:ascii="Times New Roman" w:eastAsiaTheme="minorEastAsia" w:hAnsi="Times New Roman" w:cs="Times New Roman"/>
          <w:sz w:val="24"/>
          <w:szCs w:val="24"/>
        </w:rPr>
        <w:t xml:space="preserve">1 </w:t>
      </w:r>
      <w:r w:rsidRPr="003A42FB">
        <w:rPr>
          <w:rFonts w:ascii="Times New Roman" w:eastAsiaTheme="minorEastAsia" w:hAnsi="Times New Roman" w:cs="Times New Roman"/>
          <w:sz w:val="24"/>
          <w:szCs w:val="24"/>
        </w:rPr>
        <w:t>przewiduje</w:t>
      </w:r>
      <w:r w:rsidRPr="003A42FB">
        <w:rPr>
          <w:rFonts w:ascii="Times New Roman" w:eastAsiaTheme="minorEastAsia" w:hAnsi="Times New Roman" w:cs="Times New Roman"/>
          <w:sz w:val="24"/>
          <w:szCs w:val="24"/>
          <w:vertAlign w:val="superscript"/>
        </w:rPr>
        <w:t xml:space="preserve"> </w:t>
      </w:r>
      <w:r w:rsidRPr="003A42FB">
        <w:rPr>
          <w:rFonts w:ascii="Times New Roman" w:eastAsiaTheme="minorEastAsia" w:hAnsi="Times New Roman" w:cs="Times New Roman"/>
          <w:sz w:val="24"/>
          <w:szCs w:val="24"/>
        </w:rPr>
        <w:t xml:space="preserve">kompetencję Prezesa UKE do nałożenia </w:t>
      </w:r>
      <w:r w:rsidR="00732DA9">
        <w:rPr>
          <w:rFonts w:ascii="Times New Roman" w:eastAsiaTheme="minorEastAsia" w:hAnsi="Times New Roman" w:cs="Times New Roman"/>
          <w:sz w:val="24"/>
          <w:szCs w:val="24"/>
        </w:rPr>
        <w:t xml:space="preserve">na operatora </w:t>
      </w:r>
      <w:r w:rsidRPr="003A42FB">
        <w:rPr>
          <w:rFonts w:ascii="Times New Roman" w:eastAsiaTheme="minorEastAsia" w:hAnsi="Times New Roman" w:cs="Times New Roman"/>
          <w:sz w:val="24"/>
          <w:szCs w:val="24"/>
        </w:rPr>
        <w:t>obowiązku w zakresie kolokacji</w:t>
      </w:r>
      <w:r w:rsidR="00732DA9">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udostępniania elementów sieci telekomunikacyjnej oraz powiązanych zasobów, które zostały umieszczone na nieruchomości w związku z wykonywaniem uprawnień wynikających z przepisów prawa, wyroku sądu lub decyzji. Przesłanki nałożenia tego obowiązku są opisane poprzez odwołanie do klauzul generalnych – ochrony środowiska, zdrowia publicznego, bezpieczeństwa publicznego lub z uwagi n</w:t>
      </w:r>
      <w:r w:rsidR="00607438" w:rsidRPr="003A42FB">
        <w:rPr>
          <w:rFonts w:ascii="Times New Roman" w:eastAsiaTheme="minorEastAsia" w:hAnsi="Times New Roman" w:cs="Times New Roman"/>
          <w:sz w:val="24"/>
          <w:szCs w:val="24"/>
        </w:rPr>
        <w:t>a realizację celów planowania i </w:t>
      </w:r>
      <w:r w:rsidRPr="003A42FB">
        <w:rPr>
          <w:rFonts w:ascii="Times New Roman" w:eastAsiaTheme="minorEastAsia" w:hAnsi="Times New Roman" w:cs="Times New Roman"/>
          <w:sz w:val="24"/>
          <w:szCs w:val="24"/>
        </w:rPr>
        <w:t>zagospodarowania przestrzennego, przy czym nałożenie obowiązku w celu ochrony chociażby jednego z ww. desygnatów interesu publicznego, musi posiadać walor niezbędności.</w:t>
      </w:r>
      <w:r w:rsidR="00F16F0F" w:rsidRPr="003A42FB">
        <w:rPr>
          <w:rFonts w:ascii="Times New Roman" w:eastAsiaTheme="minorEastAsia" w:hAnsi="Times New Roman" w:cs="Times New Roman"/>
          <w:sz w:val="24"/>
          <w:szCs w:val="24"/>
        </w:rPr>
        <w:t xml:space="preserve"> Przepis ten stanowi transpozycję art. 44 EKŁE.</w:t>
      </w:r>
    </w:p>
    <w:p w14:paraId="45885FF1" w14:textId="195AC894" w:rsidR="00EB010E" w:rsidRPr="003A42FB" w:rsidRDefault="00EB010E" w:rsidP="00EB010E">
      <w:pPr>
        <w:pStyle w:val="ARTartustawynprozporzdzenia"/>
        <w:tabs>
          <w:tab w:val="left" w:pos="2367"/>
        </w:tabs>
        <w:spacing w:before="0" w:after="120" w:line="240" w:lineRule="auto"/>
        <w:ind w:firstLine="0"/>
        <w:rPr>
          <w:rFonts w:ascii="Times New Roman" w:hAnsi="Times New Roman" w:cs="Times New Roman"/>
          <w:b/>
          <w:szCs w:val="24"/>
          <w:lang w:eastAsia="en-US"/>
        </w:rPr>
      </w:pPr>
      <w:r w:rsidRPr="003A42FB">
        <w:rPr>
          <w:rFonts w:ascii="Times New Roman" w:hAnsi="Times New Roman" w:cs="Times New Roman"/>
          <w:b/>
          <w:szCs w:val="24"/>
          <w:lang w:eastAsia="en-US"/>
        </w:rPr>
        <w:t xml:space="preserve">Art. </w:t>
      </w:r>
      <w:r w:rsidR="00382752">
        <w:rPr>
          <w:rFonts w:ascii="Times New Roman" w:hAnsi="Times New Roman" w:cs="Times New Roman"/>
          <w:b/>
          <w:szCs w:val="24"/>
          <w:lang w:eastAsia="en-US"/>
        </w:rPr>
        <w:t>182</w:t>
      </w:r>
    </w:p>
    <w:p w14:paraId="708A8D13" w14:textId="64FF5225" w:rsidR="0033465A" w:rsidRDefault="00EB010E"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 xml:space="preserve">Projektowany art. </w:t>
      </w:r>
      <w:r w:rsidR="00382752" w:rsidRPr="00382752">
        <w:rPr>
          <w:rFonts w:ascii="Times New Roman" w:hAnsi="Times New Roman" w:cs="Times New Roman"/>
          <w:sz w:val="24"/>
          <w:szCs w:val="24"/>
        </w:rPr>
        <w:t>182</w:t>
      </w:r>
      <w:r w:rsidR="00732DA9">
        <w:rPr>
          <w:rFonts w:ascii="Times New Roman" w:hAnsi="Times New Roman" w:cs="Times New Roman"/>
          <w:sz w:val="24"/>
          <w:szCs w:val="24"/>
        </w:rPr>
        <w:t xml:space="preserve"> </w:t>
      </w:r>
      <w:r w:rsidRPr="003A42FB">
        <w:rPr>
          <w:rFonts w:ascii="Times New Roman" w:hAnsi="Times New Roman" w:cs="Times New Roman"/>
          <w:sz w:val="24"/>
          <w:szCs w:val="24"/>
        </w:rPr>
        <w:t>przewiduje procedurę przeglądu nałożonych obow</w:t>
      </w:r>
      <w:r w:rsidR="00382752">
        <w:rPr>
          <w:rFonts w:ascii="Times New Roman" w:hAnsi="Times New Roman" w:cs="Times New Roman"/>
          <w:sz w:val="24"/>
          <w:szCs w:val="24"/>
        </w:rPr>
        <w:t>iązków, o których mowa w art. 178 ust. 1, art. 17</w:t>
      </w:r>
      <w:r w:rsidRPr="003A42FB">
        <w:rPr>
          <w:rFonts w:ascii="Times New Roman" w:hAnsi="Times New Roman" w:cs="Times New Roman"/>
          <w:sz w:val="24"/>
          <w:szCs w:val="24"/>
        </w:rPr>
        <w:t xml:space="preserve">9 oraz </w:t>
      </w:r>
      <w:r w:rsidR="00732DA9">
        <w:rPr>
          <w:rFonts w:ascii="Times New Roman" w:hAnsi="Times New Roman" w:cs="Times New Roman"/>
          <w:sz w:val="24"/>
          <w:szCs w:val="24"/>
        </w:rPr>
        <w:t xml:space="preserve">art. </w:t>
      </w:r>
      <w:r w:rsidR="00382752">
        <w:rPr>
          <w:rFonts w:ascii="Times New Roman" w:hAnsi="Times New Roman" w:cs="Times New Roman"/>
          <w:sz w:val="24"/>
          <w:szCs w:val="24"/>
        </w:rPr>
        <w:t>18</w:t>
      </w:r>
      <w:r w:rsidRPr="003A42FB">
        <w:rPr>
          <w:rFonts w:ascii="Times New Roman" w:hAnsi="Times New Roman" w:cs="Times New Roman"/>
          <w:sz w:val="24"/>
          <w:szCs w:val="24"/>
        </w:rPr>
        <w:t xml:space="preserve">0. Przegląd decyzji polega na analizie, czy uzasadnione jest, aby utrzymać nałożony obowiązek w obowiązującym kształcie. Przegląd decyzji musi zostać przeprowadzony przez Prezesa UKE w ciągu 5 lat </w:t>
      </w:r>
      <w:r w:rsidR="00732DA9">
        <w:rPr>
          <w:rFonts w:ascii="Times New Roman" w:hAnsi="Times New Roman" w:cs="Times New Roman"/>
          <w:sz w:val="24"/>
          <w:szCs w:val="24"/>
        </w:rPr>
        <w:t xml:space="preserve">od wydania ostatecznej decyzji (art. </w:t>
      </w:r>
      <w:r w:rsidR="00382752">
        <w:rPr>
          <w:rFonts w:ascii="Times New Roman" w:hAnsi="Times New Roman" w:cs="Times New Roman"/>
          <w:sz w:val="24"/>
          <w:szCs w:val="24"/>
        </w:rPr>
        <w:t>182</w:t>
      </w:r>
      <w:r w:rsidR="00732DA9">
        <w:rPr>
          <w:rFonts w:ascii="Times New Roman" w:hAnsi="Times New Roman" w:cs="Times New Roman"/>
          <w:sz w:val="24"/>
          <w:szCs w:val="24"/>
        </w:rPr>
        <w:t xml:space="preserve"> ust. 1 Pke).</w:t>
      </w:r>
      <w:r w:rsidR="0033465A">
        <w:rPr>
          <w:rFonts w:ascii="Times New Roman" w:hAnsi="Times New Roman" w:cs="Times New Roman"/>
          <w:sz w:val="24"/>
          <w:szCs w:val="24"/>
        </w:rPr>
        <w:t xml:space="preserve"> </w:t>
      </w:r>
      <w:r w:rsidRPr="003A42FB">
        <w:rPr>
          <w:rFonts w:ascii="Times New Roman" w:hAnsi="Times New Roman" w:cs="Times New Roman"/>
          <w:sz w:val="24"/>
          <w:szCs w:val="24"/>
        </w:rPr>
        <w:t xml:space="preserve">W ramach przeglądu Prezes UKE wydaje postanowienie o: </w:t>
      </w:r>
      <w:r w:rsidR="00732DA9">
        <w:rPr>
          <w:rFonts w:ascii="Times New Roman" w:hAnsi="Times New Roman" w:cs="Times New Roman"/>
          <w:sz w:val="24"/>
          <w:szCs w:val="24"/>
        </w:rPr>
        <w:t>reasumpcji</w:t>
      </w:r>
      <w:r w:rsidRPr="003A42FB">
        <w:rPr>
          <w:rFonts w:ascii="Times New Roman" w:hAnsi="Times New Roman" w:cs="Times New Roman"/>
          <w:sz w:val="24"/>
          <w:szCs w:val="24"/>
        </w:rPr>
        <w:t xml:space="preserve"> postepowania lub braku podstaw do </w:t>
      </w:r>
      <w:r w:rsidR="00732DA9">
        <w:rPr>
          <w:rFonts w:ascii="Times New Roman" w:hAnsi="Times New Roman" w:cs="Times New Roman"/>
          <w:sz w:val="24"/>
          <w:szCs w:val="24"/>
        </w:rPr>
        <w:t xml:space="preserve">jej przeprowadzenia </w:t>
      </w:r>
      <w:r w:rsidRPr="003A42FB">
        <w:rPr>
          <w:rFonts w:ascii="Times New Roman" w:hAnsi="Times New Roman" w:cs="Times New Roman"/>
          <w:sz w:val="24"/>
          <w:szCs w:val="24"/>
        </w:rPr>
        <w:t xml:space="preserve">w sprawie, </w:t>
      </w:r>
      <w:r w:rsidR="00732DA9">
        <w:rPr>
          <w:rFonts w:ascii="Times New Roman" w:hAnsi="Times New Roman" w:cs="Times New Roman"/>
          <w:sz w:val="24"/>
          <w:szCs w:val="24"/>
        </w:rPr>
        <w:t xml:space="preserve">w </w:t>
      </w:r>
      <w:r w:rsidR="0033465A">
        <w:rPr>
          <w:rFonts w:ascii="Times New Roman" w:hAnsi="Times New Roman" w:cs="Times New Roman"/>
          <w:sz w:val="24"/>
          <w:szCs w:val="24"/>
        </w:rPr>
        <w:t xml:space="preserve">której wydano tę decyzję. Wydanie postanowienia </w:t>
      </w:r>
      <w:r w:rsidR="0033465A" w:rsidRPr="003A42FB">
        <w:rPr>
          <w:rFonts w:ascii="Times New Roman" w:hAnsi="Times New Roman" w:cs="Times New Roman"/>
          <w:sz w:val="24"/>
          <w:szCs w:val="24"/>
        </w:rPr>
        <w:t>poprzedzone jest przeprowadzeniem postępowania konsultacyjnego</w:t>
      </w:r>
      <w:r w:rsidR="0033465A">
        <w:rPr>
          <w:rFonts w:ascii="Times New Roman" w:hAnsi="Times New Roman" w:cs="Times New Roman"/>
          <w:sz w:val="24"/>
          <w:szCs w:val="24"/>
        </w:rPr>
        <w:t>,</w:t>
      </w:r>
      <w:r w:rsidR="0033465A" w:rsidRPr="003A42FB">
        <w:rPr>
          <w:rFonts w:ascii="Times New Roman" w:hAnsi="Times New Roman" w:cs="Times New Roman"/>
          <w:sz w:val="24"/>
          <w:szCs w:val="24"/>
        </w:rPr>
        <w:t xml:space="preserve"> i </w:t>
      </w:r>
      <w:r w:rsidR="0033465A">
        <w:rPr>
          <w:rFonts w:ascii="Times New Roman" w:hAnsi="Times New Roman" w:cs="Times New Roman"/>
          <w:sz w:val="24"/>
          <w:szCs w:val="24"/>
        </w:rPr>
        <w:t xml:space="preserve">w stosownych przypadkach, </w:t>
      </w:r>
      <w:r w:rsidR="00E23462">
        <w:rPr>
          <w:rFonts w:ascii="Times New Roman" w:hAnsi="Times New Roman" w:cs="Times New Roman"/>
          <w:sz w:val="24"/>
          <w:szCs w:val="24"/>
        </w:rPr>
        <w:t>postępowania konsolidacyjnego (</w:t>
      </w:r>
      <w:r w:rsidR="0033465A" w:rsidRPr="003A42FB">
        <w:rPr>
          <w:rFonts w:ascii="Times New Roman" w:hAnsi="Times New Roman" w:cs="Times New Roman"/>
          <w:sz w:val="24"/>
          <w:szCs w:val="24"/>
        </w:rPr>
        <w:t xml:space="preserve">co wynika </w:t>
      </w:r>
      <w:r w:rsidR="00483D26" w:rsidRPr="00E23462">
        <w:rPr>
          <w:rFonts w:ascii="Times New Roman" w:hAnsi="Times New Roman" w:cs="Times New Roman"/>
          <w:sz w:val="24"/>
          <w:szCs w:val="24"/>
        </w:rPr>
        <w:t>odpowiednio z treści</w:t>
      </w:r>
      <w:r w:rsidR="0033465A" w:rsidRPr="00E23462">
        <w:rPr>
          <w:rFonts w:ascii="Times New Roman" w:hAnsi="Times New Roman" w:cs="Times New Roman"/>
          <w:sz w:val="24"/>
          <w:szCs w:val="24"/>
        </w:rPr>
        <w:t xml:space="preserve"> art. 30 ust. 1 pkt </w:t>
      </w:r>
      <w:r w:rsidR="00483D26" w:rsidRPr="005F69BF">
        <w:rPr>
          <w:rFonts w:ascii="Times New Roman" w:hAnsi="Times New Roman" w:cs="Times New Roman"/>
          <w:sz w:val="24"/>
          <w:szCs w:val="24"/>
        </w:rPr>
        <w:t>3,</w:t>
      </w:r>
      <w:r w:rsidR="0033465A" w:rsidRPr="00E23462">
        <w:rPr>
          <w:rFonts w:ascii="Times New Roman" w:hAnsi="Times New Roman" w:cs="Times New Roman"/>
          <w:sz w:val="24"/>
          <w:szCs w:val="24"/>
        </w:rPr>
        <w:t xml:space="preserve"> i art. 35 </w:t>
      </w:r>
      <w:r w:rsidR="00483D26" w:rsidRPr="005F69BF">
        <w:rPr>
          <w:rFonts w:ascii="Times New Roman" w:hAnsi="Times New Roman" w:cs="Times New Roman"/>
          <w:sz w:val="24"/>
          <w:szCs w:val="24"/>
        </w:rPr>
        <w:t xml:space="preserve">ust. 1 w zw. z art. 30 ust. 1 pkt 3 </w:t>
      </w:r>
      <w:r w:rsidR="0033465A" w:rsidRPr="005F69BF">
        <w:rPr>
          <w:rFonts w:ascii="Times New Roman" w:hAnsi="Times New Roman" w:cs="Times New Roman"/>
          <w:sz w:val="24"/>
          <w:szCs w:val="24"/>
        </w:rPr>
        <w:t>Pke</w:t>
      </w:r>
      <w:r w:rsidR="00E23462" w:rsidRPr="005F69BF">
        <w:rPr>
          <w:rFonts w:ascii="Times New Roman" w:hAnsi="Times New Roman" w:cs="Times New Roman"/>
          <w:sz w:val="24"/>
          <w:szCs w:val="24"/>
        </w:rPr>
        <w:t>)</w:t>
      </w:r>
      <w:r w:rsidR="0033465A" w:rsidRPr="00E23462">
        <w:rPr>
          <w:rFonts w:ascii="Times New Roman" w:hAnsi="Times New Roman" w:cs="Times New Roman"/>
          <w:sz w:val="24"/>
          <w:szCs w:val="24"/>
        </w:rPr>
        <w:t>.</w:t>
      </w:r>
    </w:p>
    <w:p w14:paraId="1992D1C6" w14:textId="1FDA1786" w:rsidR="00732DA9" w:rsidRDefault="00EB010E"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 xml:space="preserve">W </w:t>
      </w:r>
      <w:r w:rsidR="0033465A">
        <w:rPr>
          <w:rFonts w:ascii="Times New Roman" w:hAnsi="Times New Roman" w:cs="Times New Roman"/>
          <w:sz w:val="24"/>
          <w:szCs w:val="24"/>
        </w:rPr>
        <w:t>art. 1</w:t>
      </w:r>
      <w:r w:rsidR="00382752">
        <w:rPr>
          <w:rFonts w:ascii="Times New Roman" w:hAnsi="Times New Roman" w:cs="Times New Roman"/>
          <w:sz w:val="24"/>
          <w:szCs w:val="24"/>
        </w:rPr>
        <w:t>82</w:t>
      </w:r>
      <w:r w:rsidR="0033465A">
        <w:rPr>
          <w:rFonts w:ascii="Times New Roman" w:hAnsi="Times New Roman" w:cs="Times New Roman"/>
          <w:sz w:val="24"/>
          <w:szCs w:val="24"/>
        </w:rPr>
        <w:t xml:space="preserve"> ust. 2 Pke jest  przesądzone</w:t>
      </w:r>
      <w:r w:rsidRPr="003A42FB">
        <w:rPr>
          <w:rFonts w:ascii="Times New Roman" w:hAnsi="Times New Roman" w:cs="Times New Roman"/>
          <w:sz w:val="24"/>
          <w:szCs w:val="24"/>
        </w:rPr>
        <w:t xml:space="preserve">, </w:t>
      </w:r>
      <w:r w:rsidR="0033465A">
        <w:rPr>
          <w:rFonts w:ascii="Times New Roman" w:hAnsi="Times New Roman" w:cs="Times New Roman"/>
          <w:sz w:val="24"/>
          <w:szCs w:val="24"/>
        </w:rPr>
        <w:t xml:space="preserve">że </w:t>
      </w:r>
      <w:r w:rsidRPr="003A42FB">
        <w:rPr>
          <w:rFonts w:ascii="Times New Roman" w:hAnsi="Times New Roman" w:cs="Times New Roman"/>
          <w:sz w:val="24"/>
          <w:szCs w:val="24"/>
        </w:rPr>
        <w:t xml:space="preserve">Prezes UKE jest zobowiązany wydać postanowienie o </w:t>
      </w:r>
      <w:r w:rsidR="00732DA9">
        <w:rPr>
          <w:rFonts w:ascii="Times New Roman" w:hAnsi="Times New Roman" w:cs="Times New Roman"/>
          <w:sz w:val="24"/>
          <w:szCs w:val="24"/>
        </w:rPr>
        <w:t xml:space="preserve">reasumpcji </w:t>
      </w:r>
      <w:r w:rsidR="0033465A">
        <w:rPr>
          <w:rFonts w:ascii="Times New Roman" w:hAnsi="Times New Roman" w:cs="Times New Roman"/>
          <w:sz w:val="24"/>
          <w:szCs w:val="24"/>
        </w:rPr>
        <w:t>postępowania</w:t>
      </w:r>
      <w:r w:rsidRPr="003A42FB">
        <w:rPr>
          <w:rFonts w:ascii="Times New Roman" w:hAnsi="Times New Roman" w:cs="Times New Roman"/>
          <w:sz w:val="24"/>
          <w:szCs w:val="24"/>
        </w:rPr>
        <w:t>, gdy zachodzą poważne wątpliwości co do tego, czy przesłanki nałożenia obowiązku są nadal spełnione albo czy w przypadku uchylenia obowiązku nadal byłyby pods</w:t>
      </w:r>
      <w:r w:rsidR="00732DA9">
        <w:rPr>
          <w:rFonts w:ascii="Times New Roman" w:hAnsi="Times New Roman" w:cs="Times New Roman"/>
          <w:sz w:val="24"/>
          <w:szCs w:val="24"/>
        </w:rPr>
        <w:t>tawy do jego nałożenia w takim zakresie</w:t>
      </w:r>
      <w:r w:rsidRPr="003A42FB">
        <w:rPr>
          <w:rFonts w:ascii="Times New Roman" w:hAnsi="Times New Roman" w:cs="Times New Roman"/>
          <w:sz w:val="24"/>
          <w:szCs w:val="24"/>
        </w:rPr>
        <w:t xml:space="preserve">, jaki przewidywała decyzja. </w:t>
      </w:r>
    </w:p>
    <w:p w14:paraId="791406F6" w14:textId="5533E0CA" w:rsidR="0033465A" w:rsidRDefault="0033465A" w:rsidP="00C53EA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Postępowanie, w którym zostało wydane</w:t>
      </w:r>
      <w:r w:rsidR="00EB010E" w:rsidRPr="003A42FB">
        <w:rPr>
          <w:rFonts w:ascii="Times New Roman" w:hAnsi="Times New Roman" w:cs="Times New Roman"/>
          <w:sz w:val="24"/>
          <w:szCs w:val="24"/>
        </w:rPr>
        <w:t xml:space="preserve"> postanowienia o </w:t>
      </w:r>
      <w:r>
        <w:rPr>
          <w:rFonts w:ascii="Times New Roman" w:hAnsi="Times New Roman" w:cs="Times New Roman"/>
          <w:sz w:val="24"/>
          <w:szCs w:val="24"/>
        </w:rPr>
        <w:t>reasumpcji postępowania</w:t>
      </w:r>
      <w:r w:rsidR="00EB010E" w:rsidRPr="003A42FB">
        <w:rPr>
          <w:rFonts w:ascii="Times New Roman" w:hAnsi="Times New Roman" w:cs="Times New Roman"/>
          <w:sz w:val="24"/>
          <w:szCs w:val="24"/>
        </w:rPr>
        <w:t xml:space="preserve"> kończy się </w:t>
      </w:r>
      <w:r w:rsidR="00382752">
        <w:rPr>
          <w:rFonts w:ascii="Times New Roman" w:hAnsi="Times New Roman" w:cs="Times New Roman"/>
          <w:sz w:val="24"/>
          <w:szCs w:val="24"/>
        </w:rPr>
        <w:t>zgodnie z art. 182</w:t>
      </w:r>
      <w:r w:rsidR="00BA6204">
        <w:rPr>
          <w:rFonts w:ascii="Times New Roman" w:hAnsi="Times New Roman" w:cs="Times New Roman"/>
          <w:sz w:val="24"/>
          <w:szCs w:val="24"/>
        </w:rPr>
        <w:t xml:space="preserve"> ust. 4 Pke </w:t>
      </w:r>
      <w:r w:rsidR="00EB010E" w:rsidRPr="003A42FB">
        <w:rPr>
          <w:rFonts w:ascii="Times New Roman" w:hAnsi="Times New Roman" w:cs="Times New Roman"/>
          <w:sz w:val="24"/>
          <w:szCs w:val="24"/>
        </w:rPr>
        <w:t xml:space="preserve">rozstrzygnięciem: </w:t>
      </w:r>
    </w:p>
    <w:p w14:paraId="349C8427" w14:textId="77777777" w:rsidR="0033465A" w:rsidRPr="005F69BF" w:rsidRDefault="00EB010E" w:rsidP="005F69BF">
      <w:pPr>
        <w:pStyle w:val="Akapitzlist"/>
        <w:numPr>
          <w:ilvl w:val="0"/>
          <w:numId w:val="84"/>
        </w:numPr>
        <w:spacing w:after="120" w:line="240" w:lineRule="auto"/>
        <w:jc w:val="both"/>
        <w:rPr>
          <w:rFonts w:ascii="Times New Roman" w:hAnsi="Times New Roman" w:cs="Times New Roman"/>
          <w:sz w:val="24"/>
          <w:szCs w:val="24"/>
        </w:rPr>
      </w:pPr>
      <w:r w:rsidRPr="005F69BF">
        <w:rPr>
          <w:rFonts w:ascii="Times New Roman" w:hAnsi="Times New Roman" w:cs="Times New Roman"/>
          <w:sz w:val="24"/>
          <w:szCs w:val="24"/>
        </w:rPr>
        <w:t xml:space="preserve">stwierdzającym brak podstaw do zmiany lub uchylenia decyzji; </w:t>
      </w:r>
    </w:p>
    <w:p w14:paraId="0C4B728E" w14:textId="258BC1BA" w:rsidR="0033465A" w:rsidRPr="005F69BF" w:rsidRDefault="00EB010E" w:rsidP="005F69BF">
      <w:pPr>
        <w:pStyle w:val="Akapitzlist"/>
        <w:numPr>
          <w:ilvl w:val="0"/>
          <w:numId w:val="84"/>
        </w:numPr>
        <w:spacing w:after="120" w:line="240" w:lineRule="auto"/>
        <w:jc w:val="both"/>
        <w:rPr>
          <w:rFonts w:ascii="Times New Roman" w:hAnsi="Times New Roman" w:cs="Times New Roman"/>
          <w:sz w:val="24"/>
          <w:szCs w:val="24"/>
        </w:rPr>
      </w:pPr>
      <w:r w:rsidRPr="005F69BF">
        <w:rPr>
          <w:rFonts w:ascii="Times New Roman" w:hAnsi="Times New Roman" w:cs="Times New Roman"/>
          <w:sz w:val="24"/>
          <w:szCs w:val="24"/>
        </w:rPr>
        <w:t xml:space="preserve">zmianie decyzji, lub </w:t>
      </w:r>
    </w:p>
    <w:p w14:paraId="06022871" w14:textId="1686CFB3" w:rsidR="00BA6204" w:rsidRPr="005F69BF" w:rsidRDefault="00BA6204" w:rsidP="005F69BF">
      <w:pPr>
        <w:pStyle w:val="Akapitzlist"/>
        <w:numPr>
          <w:ilvl w:val="0"/>
          <w:numId w:val="84"/>
        </w:numPr>
        <w:spacing w:after="120" w:line="240" w:lineRule="auto"/>
        <w:jc w:val="both"/>
        <w:rPr>
          <w:rFonts w:ascii="Times New Roman" w:hAnsi="Times New Roman" w:cs="Times New Roman"/>
          <w:sz w:val="24"/>
          <w:szCs w:val="24"/>
        </w:rPr>
      </w:pPr>
      <w:r w:rsidRPr="005F69BF">
        <w:rPr>
          <w:rFonts w:ascii="Times New Roman" w:hAnsi="Times New Roman" w:cs="Times New Roman"/>
          <w:sz w:val="24"/>
          <w:szCs w:val="24"/>
        </w:rPr>
        <w:t>uchyleniu decyzji</w:t>
      </w:r>
      <w:r w:rsidR="00EB010E" w:rsidRPr="005F69BF">
        <w:rPr>
          <w:rFonts w:ascii="Times New Roman" w:hAnsi="Times New Roman" w:cs="Times New Roman"/>
          <w:sz w:val="24"/>
          <w:szCs w:val="24"/>
        </w:rPr>
        <w:t xml:space="preserve">. </w:t>
      </w:r>
    </w:p>
    <w:p w14:paraId="7C90EA8C" w14:textId="4EDA8201" w:rsidR="00BA6204" w:rsidRPr="00D449FA" w:rsidRDefault="00EB010E" w:rsidP="00C53EAB">
      <w:pPr>
        <w:spacing w:after="120" w:line="240" w:lineRule="auto"/>
        <w:jc w:val="both"/>
        <w:rPr>
          <w:rFonts w:ascii="Times New Roman" w:hAnsi="Times New Roman" w:cs="Times New Roman"/>
          <w:sz w:val="24"/>
          <w:szCs w:val="24"/>
        </w:rPr>
      </w:pPr>
      <w:r w:rsidRPr="00D449FA">
        <w:rPr>
          <w:rFonts w:ascii="Times New Roman" w:hAnsi="Times New Roman" w:cs="Times New Roman"/>
          <w:sz w:val="24"/>
          <w:szCs w:val="24"/>
        </w:rPr>
        <w:t xml:space="preserve">Również wydanie </w:t>
      </w:r>
      <w:r w:rsidR="00483D26">
        <w:rPr>
          <w:rFonts w:ascii="Times New Roman" w:hAnsi="Times New Roman" w:cs="Times New Roman"/>
          <w:sz w:val="24"/>
          <w:szCs w:val="24"/>
        </w:rPr>
        <w:t>tego</w:t>
      </w:r>
      <w:r w:rsidRPr="00D449FA">
        <w:rPr>
          <w:rFonts w:ascii="Times New Roman" w:hAnsi="Times New Roman" w:cs="Times New Roman"/>
          <w:sz w:val="24"/>
          <w:szCs w:val="24"/>
        </w:rPr>
        <w:t xml:space="preserve"> rozstrzygnięcia musi zostać poprzedzone postępowaniem konsultacyjnym zgodnie z </w:t>
      </w:r>
      <w:r w:rsidRPr="00483D26">
        <w:rPr>
          <w:rFonts w:ascii="Times New Roman" w:hAnsi="Times New Roman" w:cs="Times New Roman"/>
          <w:sz w:val="24"/>
          <w:szCs w:val="24"/>
        </w:rPr>
        <w:t>art. 30 pkt 3 Pke</w:t>
      </w:r>
      <w:r w:rsidRPr="00D449FA">
        <w:rPr>
          <w:rFonts w:ascii="Times New Roman" w:hAnsi="Times New Roman" w:cs="Times New Roman"/>
          <w:sz w:val="24"/>
          <w:szCs w:val="24"/>
        </w:rPr>
        <w:t>, jak również postępowania konsolidacyjnego, jeżeli zachodzą przesłanki do jego przeprowadzenia.</w:t>
      </w:r>
    </w:p>
    <w:p w14:paraId="4FFE2F21" w14:textId="58DCB3BF" w:rsidR="00696205" w:rsidRPr="003A42FB" w:rsidRDefault="00D449FA" w:rsidP="00FC3700">
      <w:pPr>
        <w:spacing w:after="120" w:line="240" w:lineRule="auto"/>
        <w:jc w:val="both"/>
      </w:pPr>
      <w:r w:rsidRPr="005F69BF">
        <w:rPr>
          <w:rFonts w:ascii="Times New Roman" w:hAnsi="Times New Roman" w:cs="Times New Roman"/>
          <w:sz w:val="24"/>
          <w:szCs w:val="24"/>
        </w:rPr>
        <w:t>Przegląd ma charakter cyklicz</w:t>
      </w:r>
      <w:r w:rsidR="00662BDE" w:rsidRPr="00F4567C">
        <w:rPr>
          <w:rFonts w:ascii="Times New Roman" w:hAnsi="Times New Roman" w:cs="Times New Roman"/>
          <w:sz w:val="24"/>
          <w:szCs w:val="24"/>
        </w:rPr>
        <w:t xml:space="preserve">ny, o czym stanowi </w:t>
      </w:r>
      <w:r w:rsidR="00E4443E" w:rsidRPr="00F4567C">
        <w:rPr>
          <w:rFonts w:ascii="Times New Roman" w:hAnsi="Times New Roman" w:cs="Times New Roman"/>
          <w:sz w:val="24"/>
          <w:szCs w:val="24"/>
        </w:rPr>
        <w:t>ust. 4</w:t>
      </w:r>
      <w:r w:rsidR="00662BDE" w:rsidRPr="00F4567C">
        <w:rPr>
          <w:rFonts w:ascii="Times New Roman" w:hAnsi="Times New Roman" w:cs="Times New Roman"/>
          <w:sz w:val="24"/>
          <w:szCs w:val="24"/>
        </w:rPr>
        <w:t>, co oznacza, że przegląd nie jest wykonywany jedynie jednokrotnie, tj. w terminie 5 lat od wydania ostatecznej decyzji nakładającej obowiązek dostępowy symetryczny</w:t>
      </w:r>
      <w:r w:rsidR="000D7641">
        <w:rPr>
          <w:rFonts w:ascii="Times New Roman" w:hAnsi="Times New Roman" w:cs="Times New Roman"/>
          <w:sz w:val="24"/>
          <w:szCs w:val="24"/>
        </w:rPr>
        <w:t xml:space="preserve"> –</w:t>
      </w:r>
      <w:r w:rsidR="00662BDE" w:rsidRPr="00F4567C">
        <w:rPr>
          <w:rFonts w:ascii="Times New Roman" w:hAnsi="Times New Roman" w:cs="Times New Roman"/>
          <w:sz w:val="24"/>
          <w:szCs w:val="24"/>
        </w:rPr>
        <w:t xml:space="preserve"> z wyłączeniem decyzji,</w:t>
      </w:r>
      <w:r w:rsidR="00382752">
        <w:rPr>
          <w:rFonts w:ascii="Times New Roman" w:hAnsi="Times New Roman" w:cs="Times New Roman"/>
          <w:sz w:val="24"/>
          <w:szCs w:val="24"/>
        </w:rPr>
        <w:t xml:space="preserve"> o której mowa w art. 18</w:t>
      </w:r>
      <w:r w:rsidR="00662BDE" w:rsidRPr="00F4567C">
        <w:rPr>
          <w:rFonts w:ascii="Times New Roman" w:hAnsi="Times New Roman" w:cs="Times New Roman"/>
          <w:sz w:val="24"/>
          <w:szCs w:val="24"/>
        </w:rPr>
        <w:t>1 Pke (ust. 1</w:t>
      </w:r>
      <w:r w:rsidR="000D7641">
        <w:rPr>
          <w:rFonts w:ascii="Times New Roman" w:hAnsi="Times New Roman" w:cs="Times New Roman"/>
          <w:sz w:val="24"/>
          <w:szCs w:val="24"/>
        </w:rPr>
        <w:t>) –</w:t>
      </w:r>
      <w:r w:rsidR="00662BDE" w:rsidRPr="00F4567C">
        <w:rPr>
          <w:rFonts w:ascii="Times New Roman" w:hAnsi="Times New Roman" w:cs="Times New Roman"/>
          <w:sz w:val="24"/>
          <w:szCs w:val="24"/>
        </w:rPr>
        <w:t xml:space="preserve"> ale również w terminie do pięciu lat, liczonego od </w:t>
      </w:r>
      <w:r w:rsidR="00F4567C" w:rsidRPr="00F4567C">
        <w:rPr>
          <w:rFonts w:ascii="Times New Roman" w:hAnsi="Times New Roman" w:cs="Times New Roman"/>
          <w:sz w:val="24"/>
          <w:szCs w:val="24"/>
        </w:rPr>
        <w:t xml:space="preserve">wydania </w:t>
      </w:r>
      <w:r w:rsidR="00662BDE" w:rsidRPr="00F4567C">
        <w:rPr>
          <w:rFonts w:ascii="Times New Roman" w:hAnsi="Times New Roman" w:cs="Times New Roman"/>
          <w:sz w:val="24"/>
          <w:szCs w:val="24"/>
        </w:rPr>
        <w:t xml:space="preserve">każdego postanowienia o braku podstaw do reasumpcji postępowania w sprawie, w której </w:t>
      </w:r>
      <w:r w:rsidR="000D7641">
        <w:rPr>
          <w:rFonts w:ascii="Times New Roman" w:hAnsi="Times New Roman" w:cs="Times New Roman"/>
          <w:sz w:val="24"/>
          <w:szCs w:val="24"/>
        </w:rPr>
        <w:t>obowiązuje decyzja</w:t>
      </w:r>
      <w:r w:rsidR="00662BDE" w:rsidRPr="00F4567C">
        <w:rPr>
          <w:rFonts w:ascii="Times New Roman" w:hAnsi="Times New Roman" w:cs="Times New Roman"/>
          <w:sz w:val="24"/>
          <w:szCs w:val="24"/>
        </w:rPr>
        <w:t>,</w:t>
      </w:r>
      <w:r w:rsidR="000D7641">
        <w:rPr>
          <w:rFonts w:ascii="Times New Roman" w:hAnsi="Times New Roman" w:cs="Times New Roman"/>
          <w:sz w:val="24"/>
          <w:szCs w:val="24"/>
        </w:rPr>
        <w:t xml:space="preserve"> o której mowa w ust. 1</w:t>
      </w:r>
      <w:r w:rsidR="00662BDE" w:rsidRPr="00F4567C">
        <w:rPr>
          <w:rFonts w:ascii="Times New Roman" w:hAnsi="Times New Roman" w:cs="Times New Roman"/>
          <w:sz w:val="24"/>
          <w:szCs w:val="24"/>
        </w:rPr>
        <w:t>, a także w przypadk</w:t>
      </w:r>
      <w:r w:rsidR="00662BDE" w:rsidRPr="005F69BF">
        <w:rPr>
          <w:rFonts w:ascii="Times New Roman" w:hAnsi="Times New Roman" w:cs="Times New Roman"/>
          <w:sz w:val="24"/>
          <w:szCs w:val="24"/>
        </w:rPr>
        <w:t xml:space="preserve">u </w:t>
      </w:r>
      <w:r w:rsidR="000D7641">
        <w:rPr>
          <w:rFonts w:ascii="Times New Roman" w:hAnsi="Times New Roman" w:cs="Times New Roman"/>
          <w:sz w:val="24"/>
          <w:szCs w:val="24"/>
        </w:rPr>
        <w:t>wydania decyzji</w:t>
      </w:r>
      <w:r w:rsidR="00F4567C" w:rsidRPr="005F69BF">
        <w:rPr>
          <w:rFonts w:ascii="Times New Roman" w:hAnsi="Times New Roman" w:cs="Times New Roman"/>
          <w:sz w:val="24"/>
          <w:szCs w:val="24"/>
        </w:rPr>
        <w:t xml:space="preserve"> o braku podstaw do zmiany lub uchylenia decyzji</w:t>
      </w:r>
      <w:r w:rsidR="00F4567C">
        <w:rPr>
          <w:rFonts w:ascii="Times New Roman" w:hAnsi="Times New Roman" w:cs="Times New Roman"/>
          <w:sz w:val="24"/>
          <w:szCs w:val="24"/>
        </w:rPr>
        <w:t xml:space="preserve"> (ust. 3 pkt 1)</w:t>
      </w:r>
      <w:r w:rsidR="00F4567C" w:rsidRPr="005F69BF">
        <w:rPr>
          <w:rFonts w:ascii="Times New Roman" w:hAnsi="Times New Roman" w:cs="Times New Roman"/>
          <w:sz w:val="24"/>
          <w:szCs w:val="24"/>
        </w:rPr>
        <w:t xml:space="preserve"> lub zmian</w:t>
      </w:r>
      <w:r w:rsidR="00F4567C">
        <w:rPr>
          <w:rFonts w:ascii="Times New Roman" w:hAnsi="Times New Roman" w:cs="Times New Roman"/>
          <w:sz w:val="24"/>
          <w:szCs w:val="24"/>
        </w:rPr>
        <w:t>ą</w:t>
      </w:r>
      <w:r w:rsidR="00F4567C" w:rsidRPr="005F69BF">
        <w:rPr>
          <w:rFonts w:ascii="Times New Roman" w:hAnsi="Times New Roman" w:cs="Times New Roman"/>
          <w:sz w:val="24"/>
          <w:szCs w:val="24"/>
        </w:rPr>
        <w:t xml:space="preserve"> decyzji</w:t>
      </w:r>
      <w:r w:rsidR="00F4567C">
        <w:rPr>
          <w:rFonts w:ascii="Times New Roman" w:hAnsi="Times New Roman" w:cs="Times New Roman"/>
          <w:sz w:val="24"/>
          <w:szCs w:val="24"/>
        </w:rPr>
        <w:t xml:space="preserve"> (ust. 3 pkt </w:t>
      </w:r>
      <w:r w:rsidR="000D7641">
        <w:rPr>
          <w:rFonts w:ascii="Times New Roman" w:hAnsi="Times New Roman" w:cs="Times New Roman"/>
          <w:sz w:val="24"/>
          <w:szCs w:val="24"/>
        </w:rPr>
        <w:t>2</w:t>
      </w:r>
      <w:r w:rsidR="00F4567C">
        <w:rPr>
          <w:rFonts w:ascii="Times New Roman" w:hAnsi="Times New Roman" w:cs="Times New Roman"/>
          <w:sz w:val="24"/>
          <w:szCs w:val="24"/>
        </w:rPr>
        <w:t>)</w:t>
      </w:r>
      <w:r w:rsidR="000D7641">
        <w:rPr>
          <w:rFonts w:ascii="Times New Roman" w:hAnsi="Times New Roman" w:cs="Times New Roman"/>
          <w:sz w:val="24"/>
          <w:szCs w:val="24"/>
        </w:rPr>
        <w:t>, jeżeli takie rozstrzygnięcie nadal jest w obrocie prawnym</w:t>
      </w:r>
      <w:r w:rsidR="00F4567C">
        <w:rPr>
          <w:rFonts w:ascii="Times New Roman" w:hAnsi="Times New Roman" w:cs="Times New Roman"/>
          <w:sz w:val="24"/>
          <w:szCs w:val="24"/>
        </w:rPr>
        <w:t xml:space="preserve">. Nie podlegają przeglądowi decyzje uchylające decyzje zgodnie z art. </w:t>
      </w:r>
      <w:r w:rsidR="00382752">
        <w:rPr>
          <w:rFonts w:ascii="Times New Roman" w:hAnsi="Times New Roman" w:cs="Times New Roman"/>
          <w:sz w:val="24"/>
          <w:szCs w:val="24"/>
        </w:rPr>
        <w:t>182</w:t>
      </w:r>
      <w:r w:rsidR="00F4567C">
        <w:rPr>
          <w:rFonts w:ascii="Times New Roman" w:hAnsi="Times New Roman" w:cs="Times New Roman"/>
          <w:sz w:val="24"/>
          <w:szCs w:val="24"/>
        </w:rPr>
        <w:t xml:space="preserve"> ust. 3 pkt 3, a także takie, które w inny sposób zostały wyeliminowane z obrotu prawnego.</w:t>
      </w:r>
    </w:p>
    <w:p w14:paraId="3B6E21AF" w14:textId="1900470A" w:rsidR="00A145BC" w:rsidRPr="003A42FB" w:rsidRDefault="00A145BC"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 xml:space="preserve">ROZDZIAŁ </w:t>
      </w:r>
      <w:r w:rsidR="00A639CC" w:rsidRPr="003A42FB">
        <w:rPr>
          <w:rFonts w:ascii="Times New Roman" w:hAnsi="Times New Roman" w:cs="Times New Roman"/>
          <w:b/>
          <w:lang w:eastAsia="en-US"/>
        </w:rPr>
        <w:t>3</w:t>
      </w:r>
      <w:r w:rsidRPr="003A42FB">
        <w:rPr>
          <w:rFonts w:ascii="Times New Roman" w:hAnsi="Times New Roman" w:cs="Times New Roman"/>
          <w:b/>
          <w:lang w:eastAsia="en-US"/>
        </w:rPr>
        <w:t xml:space="preserve">. Koordynacja dostępu </w:t>
      </w:r>
    </w:p>
    <w:p w14:paraId="57D69AB9" w14:textId="28448DC0" w:rsidR="00A31D09" w:rsidRDefault="006C0F74"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w:t>
      </w:r>
      <w:r w:rsidR="00783F82" w:rsidRPr="003A42FB">
        <w:rPr>
          <w:rFonts w:ascii="Times New Roman" w:eastAsiaTheme="minorEastAsia" w:hAnsi="Times New Roman" w:cs="Times New Roman"/>
          <w:sz w:val="24"/>
          <w:szCs w:val="24"/>
        </w:rPr>
        <w:t xml:space="preserve">a gruncie </w:t>
      </w:r>
      <w:r>
        <w:rPr>
          <w:rFonts w:ascii="Times New Roman" w:eastAsiaTheme="minorEastAsia" w:hAnsi="Times New Roman" w:cs="Times New Roman"/>
          <w:sz w:val="24"/>
          <w:szCs w:val="24"/>
        </w:rPr>
        <w:t>dotychczas</w:t>
      </w:r>
      <w:r w:rsidRPr="003A42FB">
        <w:rPr>
          <w:rFonts w:ascii="Times New Roman" w:eastAsiaTheme="minorEastAsia" w:hAnsi="Times New Roman" w:cs="Times New Roman"/>
          <w:sz w:val="24"/>
          <w:szCs w:val="24"/>
        </w:rPr>
        <w:t xml:space="preserve"> </w:t>
      </w:r>
      <w:r w:rsidR="00783F82" w:rsidRPr="003A42FB">
        <w:rPr>
          <w:rFonts w:ascii="Times New Roman" w:eastAsiaTheme="minorEastAsia" w:hAnsi="Times New Roman" w:cs="Times New Roman"/>
          <w:sz w:val="24"/>
          <w:szCs w:val="24"/>
        </w:rPr>
        <w:t>obowiązując</w:t>
      </w:r>
      <w:r>
        <w:rPr>
          <w:rFonts w:ascii="Times New Roman" w:eastAsiaTheme="minorEastAsia" w:hAnsi="Times New Roman" w:cs="Times New Roman"/>
          <w:sz w:val="24"/>
          <w:szCs w:val="24"/>
        </w:rPr>
        <w:t xml:space="preserve">ych przepisów </w:t>
      </w:r>
      <w:r w:rsidR="00783F82" w:rsidRPr="003A42FB">
        <w:rPr>
          <w:rFonts w:ascii="Times New Roman" w:eastAsiaTheme="minorEastAsia" w:hAnsi="Times New Roman" w:cs="Times New Roman"/>
          <w:sz w:val="24"/>
          <w:szCs w:val="24"/>
        </w:rPr>
        <w:t>podstawy do rozstrzygania spor</w:t>
      </w:r>
      <w:r>
        <w:rPr>
          <w:rFonts w:ascii="Times New Roman" w:eastAsiaTheme="minorEastAsia" w:hAnsi="Times New Roman" w:cs="Times New Roman"/>
          <w:sz w:val="24"/>
          <w:szCs w:val="24"/>
        </w:rPr>
        <w:t>ów</w:t>
      </w:r>
      <w:r w:rsidR="00783F82" w:rsidRPr="003A42FB">
        <w:rPr>
          <w:rFonts w:ascii="Times New Roman" w:eastAsiaTheme="minorEastAsia" w:hAnsi="Times New Roman" w:cs="Times New Roman"/>
          <w:sz w:val="24"/>
          <w:szCs w:val="24"/>
        </w:rPr>
        <w:t xml:space="preserve"> o dostęp, których co najmniej jedną stroną jest przedsiębiorca telekomunikacyjny, są rozproszone w </w:t>
      </w:r>
      <w:r w:rsidR="00CB38CF" w:rsidRPr="003A42FB">
        <w:rPr>
          <w:rFonts w:ascii="Times New Roman" w:eastAsiaTheme="minorEastAsia" w:hAnsi="Times New Roman" w:cs="Times New Roman"/>
          <w:sz w:val="24"/>
          <w:szCs w:val="24"/>
        </w:rPr>
        <w:t>Pt</w:t>
      </w:r>
      <w:r w:rsidR="00783F82" w:rsidRPr="003A42FB">
        <w:rPr>
          <w:rFonts w:ascii="Times New Roman" w:eastAsiaTheme="minorEastAsia" w:hAnsi="Times New Roman" w:cs="Times New Roman"/>
          <w:sz w:val="24"/>
          <w:szCs w:val="24"/>
        </w:rPr>
        <w:t xml:space="preserve"> oraz w ustawie o wspieraniu rozwoju. Sprawy sporne dotyczą dostępu telekomunikacyjnego</w:t>
      </w:r>
      <w:r w:rsidR="00483D26">
        <w:rPr>
          <w:rFonts w:ascii="Times New Roman" w:eastAsiaTheme="minorEastAsia" w:hAnsi="Times New Roman" w:cs="Times New Roman"/>
          <w:sz w:val="24"/>
          <w:szCs w:val="24"/>
        </w:rPr>
        <w:t xml:space="preserve"> w rozumieniu Pke, a więc m.in. </w:t>
      </w:r>
      <w:r w:rsidR="00783F82" w:rsidRPr="003A42FB">
        <w:rPr>
          <w:rFonts w:ascii="Times New Roman" w:eastAsiaTheme="minorEastAsia" w:hAnsi="Times New Roman" w:cs="Times New Roman"/>
          <w:sz w:val="24"/>
          <w:szCs w:val="24"/>
        </w:rPr>
        <w:t xml:space="preserve">dostępu do infrastruktury technicznej, dostępu do infrastruktury </w:t>
      </w:r>
      <w:r w:rsidR="00783F82" w:rsidRPr="003A42FB">
        <w:rPr>
          <w:rFonts w:ascii="Times New Roman" w:eastAsiaTheme="minorEastAsia" w:hAnsi="Times New Roman" w:cs="Times New Roman"/>
          <w:sz w:val="24"/>
          <w:szCs w:val="24"/>
        </w:rPr>
        <w:lastRenderedPageBreak/>
        <w:t>lub sieci, które zostały zbudowane, przebudowane lub wyremontowane ze środków publicznych; dostępu do nieruchomości w celu zapewnienia telekomunikacji</w:t>
      </w:r>
      <w:r w:rsidR="00483D26">
        <w:rPr>
          <w:rFonts w:ascii="Times New Roman" w:eastAsiaTheme="minorEastAsia" w:hAnsi="Times New Roman" w:cs="Times New Roman"/>
          <w:sz w:val="24"/>
          <w:szCs w:val="24"/>
        </w:rPr>
        <w:t xml:space="preserve">, </w:t>
      </w:r>
      <w:r w:rsidR="00783F82" w:rsidRPr="003A42FB">
        <w:rPr>
          <w:rFonts w:ascii="Times New Roman" w:eastAsiaTheme="minorEastAsia" w:hAnsi="Times New Roman" w:cs="Times New Roman"/>
          <w:sz w:val="24"/>
          <w:szCs w:val="24"/>
        </w:rPr>
        <w:t>w tym budynk</w:t>
      </w:r>
      <w:r w:rsidR="00483D26">
        <w:rPr>
          <w:rFonts w:ascii="Times New Roman" w:eastAsiaTheme="minorEastAsia" w:hAnsi="Times New Roman" w:cs="Times New Roman"/>
          <w:sz w:val="24"/>
          <w:szCs w:val="24"/>
        </w:rPr>
        <w:t>ów</w:t>
      </w:r>
      <w:r w:rsidR="00A31D09">
        <w:rPr>
          <w:rFonts w:ascii="Times New Roman" w:eastAsiaTheme="minorEastAsia" w:hAnsi="Times New Roman" w:cs="Times New Roman"/>
          <w:sz w:val="24"/>
          <w:szCs w:val="24"/>
        </w:rPr>
        <w:t xml:space="preserve">. </w:t>
      </w:r>
    </w:p>
    <w:p w14:paraId="7E08E9B6" w14:textId="37637026" w:rsidR="00783F82" w:rsidRPr="003A42FB" w:rsidRDefault="00A31D0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projektowanego rozdziału mają zapewnić ujednolicenie </w:t>
      </w:r>
      <w:r>
        <w:rPr>
          <w:rFonts w:ascii="Times New Roman" w:eastAsiaTheme="minorEastAsia" w:hAnsi="Times New Roman" w:cs="Times New Roman"/>
          <w:sz w:val="24"/>
          <w:szCs w:val="24"/>
        </w:rPr>
        <w:t xml:space="preserve">regulacji </w:t>
      </w:r>
      <w:r w:rsidRPr="003A42FB">
        <w:rPr>
          <w:rFonts w:ascii="Times New Roman" w:eastAsiaTheme="minorEastAsia" w:hAnsi="Times New Roman" w:cs="Times New Roman"/>
          <w:sz w:val="24"/>
          <w:szCs w:val="24"/>
        </w:rPr>
        <w:t>związan</w:t>
      </w:r>
      <w:r>
        <w:rPr>
          <w:rFonts w:ascii="Times New Roman" w:eastAsiaTheme="minorEastAsia" w:hAnsi="Times New Roman" w:cs="Times New Roman"/>
          <w:sz w:val="24"/>
          <w:szCs w:val="24"/>
        </w:rPr>
        <w:t>ej</w:t>
      </w:r>
      <w:r w:rsidRPr="003A42FB">
        <w:rPr>
          <w:rFonts w:ascii="Times New Roman" w:eastAsiaTheme="minorEastAsia" w:hAnsi="Times New Roman" w:cs="Times New Roman"/>
          <w:sz w:val="24"/>
          <w:szCs w:val="24"/>
        </w:rPr>
        <w:t xml:space="preserve"> z procedurą rozstrzyganiem sporów o dostęp przez Prezesa UKE, co pozytywnie wpłynie na </w:t>
      </w:r>
      <w:r>
        <w:rPr>
          <w:rFonts w:ascii="Times New Roman" w:eastAsiaTheme="minorEastAsia" w:hAnsi="Times New Roman" w:cs="Times New Roman"/>
          <w:sz w:val="24"/>
          <w:szCs w:val="24"/>
        </w:rPr>
        <w:t>ich przejrzystość</w:t>
      </w:r>
      <w:r w:rsidRPr="003A42FB">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Rozdział ten nie ma zastosowania do regulacji, które dotyczą dostępu telekomunikacyjnego, jak choćby art. 33 Megaustawy, ale przyznają ko</w:t>
      </w:r>
      <w:r w:rsidR="00E23462">
        <w:rPr>
          <w:rFonts w:ascii="Times New Roman" w:eastAsiaTheme="minorEastAsia" w:hAnsi="Times New Roman" w:cs="Times New Roman"/>
          <w:sz w:val="24"/>
          <w:szCs w:val="24"/>
        </w:rPr>
        <w:t>mpetencje do rozstrzygania sprawy spornej</w:t>
      </w:r>
      <w:r>
        <w:rPr>
          <w:rFonts w:ascii="Times New Roman" w:eastAsiaTheme="minorEastAsia" w:hAnsi="Times New Roman" w:cs="Times New Roman"/>
          <w:sz w:val="24"/>
          <w:szCs w:val="24"/>
        </w:rPr>
        <w:t xml:space="preserve"> innemu organowi niż Prezes UKE. W takich przypadkach, gdy przepis nie zawiera odwołania do stosowania (choćby odpowiedniego) Działu III Rozdziału 3 PKE, przepisy te należy wykładać zgodnie z zasadą </w:t>
      </w:r>
      <w:r w:rsidRPr="00AD16BC">
        <w:rPr>
          <w:rFonts w:ascii="Times New Roman" w:eastAsiaTheme="minorEastAsia" w:hAnsi="Times New Roman" w:cs="Times New Roman"/>
          <w:i/>
          <w:sz w:val="24"/>
          <w:szCs w:val="24"/>
        </w:rPr>
        <w:t>lex specialis derogat legi generali</w:t>
      </w:r>
      <w:r>
        <w:rPr>
          <w:rFonts w:ascii="Times New Roman" w:eastAsiaTheme="minorEastAsia" w:hAnsi="Times New Roman" w:cs="Times New Roman"/>
          <w:sz w:val="24"/>
          <w:szCs w:val="24"/>
        </w:rPr>
        <w:t>.</w:t>
      </w:r>
    </w:p>
    <w:p w14:paraId="5DC3F8B2" w14:textId="28B9F571" w:rsidR="00783F82" w:rsidRPr="003A42FB" w:rsidRDefault="00783F82"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382752">
        <w:rPr>
          <w:rFonts w:ascii="Times New Roman" w:eastAsiaTheme="minorEastAsia" w:hAnsi="Times New Roman" w:cs="Times New Roman"/>
          <w:b/>
          <w:bCs/>
          <w:sz w:val="24"/>
          <w:szCs w:val="24"/>
        </w:rPr>
        <w:t>83</w:t>
      </w:r>
    </w:p>
    <w:p w14:paraId="11DC0DA5" w14:textId="1583790A" w:rsidR="00783F82" w:rsidRPr="003A42F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art. 1</w:t>
      </w:r>
      <w:r w:rsidR="00382752">
        <w:rPr>
          <w:rFonts w:ascii="Times New Roman" w:eastAsiaTheme="minorEastAsia" w:hAnsi="Times New Roman" w:cs="Times New Roman"/>
          <w:sz w:val="24"/>
          <w:szCs w:val="24"/>
        </w:rPr>
        <w:t>83</w:t>
      </w:r>
      <w:r w:rsidRPr="003A42FB">
        <w:rPr>
          <w:rFonts w:ascii="Times New Roman" w:eastAsiaTheme="minorEastAsia" w:hAnsi="Times New Roman" w:cs="Times New Roman"/>
          <w:sz w:val="24"/>
          <w:szCs w:val="24"/>
        </w:rPr>
        <w:t xml:space="preserve"> ust. 1 przewiduje ogólny, </w:t>
      </w:r>
      <w:r w:rsidR="00340477" w:rsidRPr="003A42FB">
        <w:rPr>
          <w:rFonts w:ascii="Times New Roman" w:eastAsiaTheme="minorEastAsia" w:hAnsi="Times New Roman" w:cs="Times New Roman"/>
          <w:sz w:val="24"/>
          <w:szCs w:val="24"/>
        </w:rPr>
        <w:t>60</w:t>
      </w:r>
      <w:r w:rsidR="009265F4"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dniowy termin na rozstrzyganie sporu przez Prezesa UKE, dotyczy to rozstrzygania sporów pomiędzy przedsiębiorcami </w:t>
      </w:r>
      <w:r w:rsidR="00E4443E">
        <w:rPr>
          <w:rFonts w:ascii="Times New Roman" w:eastAsiaTheme="minorEastAsia" w:hAnsi="Times New Roman" w:cs="Times New Roman"/>
          <w:sz w:val="24"/>
          <w:szCs w:val="24"/>
        </w:rPr>
        <w:t xml:space="preserve">komunikacji elektronicznej </w:t>
      </w:r>
      <w:r w:rsidRPr="003A42FB">
        <w:rPr>
          <w:rFonts w:ascii="Times New Roman" w:eastAsiaTheme="minorEastAsia" w:hAnsi="Times New Roman" w:cs="Times New Roman"/>
          <w:sz w:val="24"/>
          <w:szCs w:val="24"/>
        </w:rPr>
        <w:t xml:space="preserve">lub </w:t>
      </w:r>
      <w:r w:rsidR="00E4443E">
        <w:rPr>
          <w:rFonts w:ascii="Times New Roman" w:eastAsiaTheme="minorEastAsia" w:hAnsi="Times New Roman" w:cs="Times New Roman"/>
          <w:sz w:val="24"/>
          <w:szCs w:val="24"/>
        </w:rPr>
        <w:t>przedsiębiorcą komunikacji elektronicznej</w:t>
      </w:r>
      <w:r w:rsidRPr="003A42FB">
        <w:rPr>
          <w:rFonts w:ascii="Times New Roman" w:eastAsiaTheme="minorEastAsia" w:hAnsi="Times New Roman" w:cs="Times New Roman"/>
          <w:sz w:val="24"/>
          <w:szCs w:val="24"/>
        </w:rPr>
        <w:t xml:space="preserve"> a innym podmiotem, gdy jest on zobowiązany do zapewnienia dostępu. </w:t>
      </w:r>
    </w:p>
    <w:p w14:paraId="094CDA42" w14:textId="4BD476EB" w:rsidR="00007A9B" w:rsidRPr="003A42F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proponowaną treścią art. 1</w:t>
      </w:r>
      <w:r w:rsidR="00382752">
        <w:rPr>
          <w:rFonts w:ascii="Times New Roman" w:eastAsiaTheme="minorEastAsia" w:hAnsi="Times New Roman" w:cs="Times New Roman"/>
          <w:sz w:val="24"/>
          <w:szCs w:val="24"/>
        </w:rPr>
        <w:t>83</w:t>
      </w:r>
      <w:r w:rsidRPr="003A42FB">
        <w:rPr>
          <w:rFonts w:ascii="Times New Roman" w:eastAsiaTheme="minorEastAsia" w:hAnsi="Times New Roman" w:cs="Times New Roman"/>
          <w:sz w:val="24"/>
          <w:szCs w:val="24"/>
        </w:rPr>
        <w:t xml:space="preserve"> ust. 2, wniosek o rozstrzygnięcie sporu może złożyć każda ze stron sporu, jeżeli</w:t>
      </w:r>
      <w:r w:rsidR="00007A9B" w:rsidRPr="003A42FB">
        <w:rPr>
          <w:rFonts w:ascii="Times New Roman" w:eastAsiaTheme="minorEastAsia" w:hAnsi="Times New Roman" w:cs="Times New Roman"/>
          <w:sz w:val="24"/>
          <w:szCs w:val="24"/>
        </w:rPr>
        <w:t>:</w:t>
      </w:r>
    </w:p>
    <w:p w14:paraId="3B47E03E" w14:textId="0F6400BF" w:rsidR="00783F82" w:rsidRPr="003A42FB" w:rsidRDefault="00C83A1B"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C83A1B">
        <w:rPr>
          <w:rFonts w:ascii="Times New Roman" w:eastAsiaTheme="minorEastAsia" w:hAnsi="Times New Roman" w:cs="Times New Roman"/>
          <w:sz w:val="24"/>
          <w:szCs w:val="24"/>
        </w:rPr>
        <w:t>jedna ze stron odmówiła zapewnienia dostępu telekomunikacyjnego, lub</w:t>
      </w:r>
      <w:r w:rsidRPr="00C83A1B" w:rsidDel="00C83A1B">
        <w:rPr>
          <w:rFonts w:ascii="Times New Roman" w:eastAsiaTheme="minorEastAsia" w:hAnsi="Times New Roman" w:cs="Times New Roman"/>
          <w:sz w:val="24"/>
          <w:szCs w:val="24"/>
        </w:rPr>
        <w:t xml:space="preserve"> </w:t>
      </w:r>
      <w:r w:rsidR="00007A9B" w:rsidRPr="003A42FB">
        <w:rPr>
          <w:rFonts w:ascii="Times New Roman" w:eastAsiaTheme="minorEastAsia" w:hAnsi="Times New Roman" w:cs="Times New Roman"/>
          <w:sz w:val="24"/>
          <w:szCs w:val="24"/>
        </w:rPr>
        <w:t xml:space="preserve">(art. </w:t>
      </w:r>
      <w:r w:rsidR="005133C5" w:rsidRPr="003A42FB">
        <w:rPr>
          <w:rFonts w:ascii="Times New Roman" w:eastAsiaTheme="minorEastAsia" w:hAnsi="Times New Roman" w:cs="Times New Roman"/>
          <w:sz w:val="24"/>
          <w:szCs w:val="24"/>
        </w:rPr>
        <w:t>1</w:t>
      </w:r>
      <w:r w:rsidR="00382752">
        <w:rPr>
          <w:rFonts w:ascii="Times New Roman" w:eastAsiaTheme="minorEastAsia" w:hAnsi="Times New Roman" w:cs="Times New Roman"/>
          <w:sz w:val="24"/>
          <w:szCs w:val="24"/>
        </w:rPr>
        <w:t>83</w:t>
      </w:r>
      <w:r w:rsidR="00007A9B" w:rsidRPr="003A42FB">
        <w:rPr>
          <w:rFonts w:ascii="Times New Roman" w:eastAsiaTheme="minorEastAsia" w:hAnsi="Times New Roman" w:cs="Times New Roman"/>
          <w:sz w:val="24"/>
          <w:szCs w:val="24"/>
        </w:rPr>
        <w:t xml:space="preserve"> ust. 2 pkt 1);</w:t>
      </w:r>
    </w:p>
    <w:p w14:paraId="167D38EB" w14:textId="01EAE14B" w:rsidR="00382752" w:rsidRDefault="00C83A1B" w:rsidP="00382752">
      <w:pPr>
        <w:numPr>
          <w:ilvl w:val="0"/>
          <w:numId w:val="41"/>
        </w:numPr>
        <w:spacing w:after="120" w:line="240" w:lineRule="auto"/>
        <w:ind w:left="567" w:hanging="283"/>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 xml:space="preserve">umowa o dostępie nie została zawarta lub zmieniona w terminie 60 dni od dnia wystąpienia przez jedną ze stron z wnioskiem o jej zawarcie lub </w:t>
      </w:r>
      <w:r w:rsidR="00382752" w:rsidRPr="00382752">
        <w:rPr>
          <w:rFonts w:ascii="Times New Roman" w:eastAsiaTheme="minorEastAsia" w:hAnsi="Times New Roman" w:cs="Times New Roman"/>
          <w:sz w:val="24"/>
          <w:szCs w:val="24"/>
        </w:rPr>
        <w:t>zmianę, z zastrzeżeniem art. 1</w:t>
      </w:r>
      <w:r w:rsidR="00382752">
        <w:rPr>
          <w:rFonts w:ascii="Times New Roman" w:eastAsiaTheme="minorEastAsia" w:hAnsi="Times New Roman" w:cs="Times New Roman"/>
          <w:sz w:val="24"/>
          <w:szCs w:val="24"/>
        </w:rPr>
        <w:t>74</w:t>
      </w:r>
      <w:r w:rsidRPr="005F69BF">
        <w:rPr>
          <w:rFonts w:ascii="Times New Roman" w:eastAsiaTheme="minorEastAsia" w:hAnsi="Times New Roman" w:cs="Times New Roman"/>
          <w:sz w:val="24"/>
          <w:szCs w:val="24"/>
        </w:rPr>
        <w:t xml:space="preserve"> ust. 5, chyba że przepisy ustawy z dnia 7 maja 2010 r. o wspieraniu rozwoju usług i sieci telekomunikacyjnych, lub postanowienie Prezesa UKE, o którym mowa w ust. 3, wskazują inny termin </w:t>
      </w:r>
      <w:r w:rsidR="005133C5" w:rsidRPr="003A42FB">
        <w:rPr>
          <w:rFonts w:ascii="Times New Roman" w:eastAsiaTheme="minorEastAsia" w:hAnsi="Times New Roman" w:cs="Times New Roman"/>
          <w:sz w:val="24"/>
          <w:szCs w:val="24"/>
        </w:rPr>
        <w:t>(art. 1</w:t>
      </w:r>
      <w:r w:rsidR="00382752">
        <w:rPr>
          <w:rFonts w:ascii="Times New Roman" w:eastAsiaTheme="minorEastAsia" w:hAnsi="Times New Roman" w:cs="Times New Roman"/>
          <w:sz w:val="24"/>
          <w:szCs w:val="24"/>
        </w:rPr>
        <w:t>83</w:t>
      </w:r>
      <w:r w:rsidR="00007A9B" w:rsidRPr="003A42FB">
        <w:rPr>
          <w:rFonts w:ascii="Times New Roman" w:eastAsiaTheme="minorEastAsia" w:hAnsi="Times New Roman" w:cs="Times New Roman"/>
          <w:sz w:val="24"/>
          <w:szCs w:val="24"/>
        </w:rPr>
        <w:t xml:space="preserve"> ust. 2 pkt 2)</w:t>
      </w:r>
      <w:r w:rsidR="005133C5" w:rsidRPr="003A42FB">
        <w:rPr>
          <w:rFonts w:ascii="Times New Roman" w:eastAsiaTheme="minorEastAsia" w:hAnsi="Times New Roman" w:cs="Times New Roman"/>
          <w:sz w:val="24"/>
          <w:szCs w:val="24"/>
        </w:rPr>
        <w:t>.</w:t>
      </w:r>
    </w:p>
    <w:p w14:paraId="35324707" w14:textId="389C243B" w:rsidR="00783F82" w:rsidRPr="003A42F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 1</w:t>
      </w:r>
      <w:r w:rsidR="005747C8">
        <w:rPr>
          <w:rFonts w:ascii="Times New Roman" w:eastAsiaTheme="minorEastAsia" w:hAnsi="Times New Roman" w:cs="Times New Roman"/>
          <w:sz w:val="24"/>
          <w:szCs w:val="24"/>
        </w:rPr>
        <w:t>83</w:t>
      </w:r>
      <w:r w:rsidRPr="003A42FB">
        <w:rPr>
          <w:rFonts w:ascii="Times New Roman" w:eastAsiaTheme="minorEastAsia" w:hAnsi="Times New Roman" w:cs="Times New Roman"/>
          <w:sz w:val="24"/>
          <w:szCs w:val="24"/>
        </w:rPr>
        <w:t xml:space="preserve"> ust. 3 nadaje kompetencję Prezesowi UKE do określenia, na wniosek </w:t>
      </w:r>
      <w:r w:rsidR="00340477" w:rsidRPr="003A42FB">
        <w:rPr>
          <w:rFonts w:ascii="Times New Roman" w:eastAsiaTheme="minorEastAsia" w:hAnsi="Times New Roman" w:cs="Times New Roman"/>
          <w:sz w:val="24"/>
          <w:szCs w:val="24"/>
        </w:rPr>
        <w:t>strony negocjacji</w:t>
      </w:r>
      <w:r w:rsidR="00483D26">
        <w:rPr>
          <w:rFonts w:ascii="Times New Roman" w:eastAsiaTheme="minorEastAsia" w:hAnsi="Times New Roman" w:cs="Times New Roman"/>
          <w:sz w:val="24"/>
          <w:szCs w:val="24"/>
        </w:rPr>
        <w:t xml:space="preserve"> i w drodze postanowienia</w:t>
      </w:r>
      <w:r w:rsidRPr="003A42FB">
        <w:rPr>
          <w:rFonts w:ascii="Times New Roman" w:eastAsiaTheme="minorEastAsia" w:hAnsi="Times New Roman" w:cs="Times New Roman"/>
          <w:sz w:val="24"/>
          <w:szCs w:val="24"/>
        </w:rPr>
        <w:t>, krótszego terminu na zawarcie umowy o dostępie. Skrócenie terminu oznacza, że w przypadku niedojścia do porozumienia przez strony, skuteczne skierowanie wniosku do Prezesa UKE o wydanie decyzji rozstrzygające</w:t>
      </w:r>
      <w:r w:rsidR="000975CF" w:rsidRPr="003A42FB">
        <w:rPr>
          <w:rFonts w:ascii="Times New Roman" w:eastAsiaTheme="minorEastAsia" w:hAnsi="Times New Roman" w:cs="Times New Roman"/>
          <w:sz w:val="24"/>
          <w:szCs w:val="24"/>
        </w:rPr>
        <w:t>j spór będzie możliwe szybciej.</w:t>
      </w:r>
    </w:p>
    <w:p w14:paraId="143AC5DE" w14:textId="7A697178" w:rsidR="00C83A1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art. 1</w:t>
      </w:r>
      <w:r w:rsidR="005747C8">
        <w:rPr>
          <w:rFonts w:ascii="Times New Roman" w:eastAsiaTheme="minorEastAsia" w:hAnsi="Times New Roman" w:cs="Times New Roman"/>
          <w:sz w:val="24"/>
          <w:szCs w:val="24"/>
        </w:rPr>
        <w:t>83</w:t>
      </w:r>
      <w:r w:rsidRPr="003A42FB">
        <w:rPr>
          <w:rFonts w:ascii="Times New Roman" w:eastAsiaTheme="minorEastAsia" w:hAnsi="Times New Roman" w:cs="Times New Roman"/>
          <w:sz w:val="24"/>
          <w:szCs w:val="24"/>
        </w:rPr>
        <w:t xml:space="preserve"> ust. 4</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zawiera wymogi, jakim musi czynić zadość wniosek o rozstrzygnięcie sporu kierowany do Prezesa UKE. </w:t>
      </w:r>
      <w:r w:rsidR="00C83A1B">
        <w:rPr>
          <w:rFonts w:ascii="Times New Roman" w:eastAsiaTheme="minorEastAsia" w:hAnsi="Times New Roman" w:cs="Times New Roman"/>
          <w:sz w:val="24"/>
          <w:szCs w:val="24"/>
        </w:rPr>
        <w:t>W celu:</w:t>
      </w:r>
    </w:p>
    <w:p w14:paraId="3EED054E" w14:textId="63283912" w:rsidR="00C83A1B" w:rsidRDefault="00783F82" w:rsidP="005F69BF">
      <w:pPr>
        <w:pStyle w:val="Akapitzlist"/>
        <w:numPr>
          <w:ilvl w:val="0"/>
          <w:numId w:val="85"/>
        </w:num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właściwego ukształtowania decyzji wpadkowej co do zachowania terminu ponieważ wniosek wniesiony przed upływem terminu jest bezprzedmiotowy i zgodnie z art. 61a § 1 Kpa organ administracji publicznej wydaje postanowienie o odmowie wszczęcia postępowania</w:t>
      </w:r>
      <w:r w:rsidR="00C83A1B" w:rsidRPr="005F69BF">
        <w:rPr>
          <w:rFonts w:ascii="Times New Roman" w:eastAsiaTheme="minorEastAsia" w:hAnsi="Times New Roman" w:cs="Times New Roman"/>
          <w:sz w:val="24"/>
          <w:szCs w:val="24"/>
        </w:rPr>
        <w:t>,</w:t>
      </w:r>
      <w:r w:rsidRPr="005F69BF">
        <w:rPr>
          <w:rFonts w:ascii="Times New Roman" w:eastAsiaTheme="minorEastAsia" w:hAnsi="Times New Roman" w:cs="Times New Roman"/>
          <w:sz w:val="24"/>
          <w:szCs w:val="24"/>
        </w:rPr>
        <w:t xml:space="preserve"> oraz </w:t>
      </w:r>
    </w:p>
    <w:p w14:paraId="172371CF" w14:textId="77777777" w:rsidR="00C83A1B" w:rsidRDefault="00783F82" w:rsidP="005F69BF">
      <w:pPr>
        <w:pStyle w:val="Akapitzlist"/>
        <w:numPr>
          <w:ilvl w:val="0"/>
          <w:numId w:val="85"/>
        </w:num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 xml:space="preserve">ustalenia zakresu rozstrzygnięcia Prezesa UKE, </w:t>
      </w:r>
    </w:p>
    <w:p w14:paraId="3348F8D1" w14:textId="5CDDB5D8" w:rsidR="00783F82" w:rsidRPr="005F69BF" w:rsidRDefault="00C83A1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konieczne </w:t>
      </w:r>
      <w:r w:rsidR="00783F82" w:rsidRPr="005F69BF">
        <w:rPr>
          <w:rFonts w:ascii="Times New Roman" w:eastAsiaTheme="minorEastAsia" w:hAnsi="Times New Roman" w:cs="Times New Roman"/>
          <w:sz w:val="24"/>
          <w:szCs w:val="24"/>
        </w:rPr>
        <w:t>jest przedłożenie:</w:t>
      </w:r>
    </w:p>
    <w:p w14:paraId="52EDADAD" w14:textId="4897EF37" w:rsidR="00783F82" w:rsidRPr="003A42FB" w:rsidRDefault="00783F82" w:rsidP="005F69BF">
      <w:pPr>
        <w:numPr>
          <w:ilvl w:val="0"/>
          <w:numId w:val="41"/>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wniosku w sprawie zawarcia </w:t>
      </w:r>
      <w:r w:rsidR="002832D3" w:rsidRPr="002832D3">
        <w:rPr>
          <w:rFonts w:ascii="Times New Roman" w:eastAsiaTheme="minorEastAsia" w:hAnsi="Times New Roman" w:cs="Times New Roman"/>
          <w:sz w:val="24"/>
          <w:szCs w:val="24"/>
        </w:rPr>
        <w:t>lub zmiany umowy o dostępie wraz ze wskazaniem okoliczności, w jaki sposób jego treść została przekazana drugiej stronie</w:t>
      </w:r>
      <w:r w:rsidRPr="003A42FB">
        <w:rPr>
          <w:rFonts w:ascii="Times New Roman" w:eastAsiaTheme="minorEastAsia" w:hAnsi="Times New Roman" w:cs="Times New Roman"/>
          <w:sz w:val="24"/>
          <w:szCs w:val="24"/>
        </w:rPr>
        <w:t xml:space="preserve">; </w:t>
      </w:r>
    </w:p>
    <w:p w14:paraId="1971BD96" w14:textId="07C0FD68" w:rsidR="00783F82" w:rsidRPr="003A42FB" w:rsidRDefault="00783F82"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dokumentów z negocjacji prowadzonych z drugą stroną, </w:t>
      </w:r>
      <w:r w:rsidR="00E4443E">
        <w:rPr>
          <w:rFonts w:ascii="Times New Roman" w:eastAsiaTheme="minorEastAsia" w:hAnsi="Times New Roman" w:cs="Times New Roman"/>
          <w:sz w:val="24"/>
          <w:szCs w:val="24"/>
        </w:rPr>
        <w:t xml:space="preserve">o ile </w:t>
      </w:r>
      <w:r w:rsidR="00483D26">
        <w:rPr>
          <w:rFonts w:ascii="Times New Roman" w:eastAsiaTheme="minorEastAsia" w:hAnsi="Times New Roman" w:cs="Times New Roman"/>
          <w:sz w:val="24"/>
          <w:szCs w:val="24"/>
        </w:rPr>
        <w:t xml:space="preserve">takie negocjacje </w:t>
      </w:r>
      <w:r w:rsidR="00E4443E">
        <w:rPr>
          <w:rFonts w:ascii="Times New Roman" w:eastAsiaTheme="minorEastAsia" w:hAnsi="Times New Roman" w:cs="Times New Roman"/>
          <w:sz w:val="24"/>
          <w:szCs w:val="24"/>
        </w:rPr>
        <w:t>zostały przeprowadzone;</w:t>
      </w:r>
    </w:p>
    <w:p w14:paraId="1C40F714" w14:textId="07FAD426" w:rsidR="00783F82" w:rsidRPr="003A42FB" w:rsidRDefault="00783F82"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projektu umowy o dostępie, z zaznaczeniem tych części umowy, co do których strony nie doszły do porozumienia</w:t>
      </w:r>
      <w:r w:rsidR="005133C5"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p>
    <w:p w14:paraId="552F1B16" w14:textId="7A8E8AA3" w:rsidR="00891C0F" w:rsidRPr="005F69BF" w:rsidRDefault="00783F82" w:rsidP="00C53EAB">
      <w:pPr>
        <w:spacing w:after="120" w:line="240" w:lineRule="auto"/>
        <w:jc w:val="both"/>
        <w:rPr>
          <w:rFonts w:ascii="Times New Roman" w:hAnsi="Times New Roman" w:cs="Times New Roman"/>
          <w:sz w:val="24"/>
          <w:szCs w:val="24"/>
        </w:rPr>
      </w:pPr>
      <w:r w:rsidRPr="00891C0F">
        <w:rPr>
          <w:rFonts w:ascii="Times New Roman" w:eastAsiaTheme="minorEastAsia" w:hAnsi="Times New Roman" w:cs="Times New Roman"/>
          <w:sz w:val="24"/>
          <w:szCs w:val="24"/>
        </w:rPr>
        <w:t>Zgodnie z projektowanym art. 1</w:t>
      </w:r>
      <w:r w:rsidR="005747C8">
        <w:rPr>
          <w:rFonts w:ascii="Times New Roman" w:eastAsiaTheme="minorEastAsia" w:hAnsi="Times New Roman" w:cs="Times New Roman"/>
          <w:sz w:val="24"/>
          <w:szCs w:val="24"/>
        </w:rPr>
        <w:t>83</w:t>
      </w:r>
      <w:r w:rsidRPr="00891C0F">
        <w:rPr>
          <w:rFonts w:ascii="Times New Roman" w:eastAsiaTheme="minorEastAsia" w:hAnsi="Times New Roman" w:cs="Times New Roman"/>
          <w:sz w:val="24"/>
          <w:szCs w:val="24"/>
        </w:rPr>
        <w:t xml:space="preserve"> ust. 5, w przypadku </w:t>
      </w:r>
      <w:r w:rsidR="00891C0F" w:rsidRPr="005F69BF">
        <w:rPr>
          <w:rFonts w:ascii="Times New Roman" w:hAnsi="Times New Roman" w:cs="Times New Roman"/>
          <w:sz w:val="24"/>
          <w:szCs w:val="24"/>
        </w:rPr>
        <w:t xml:space="preserve">gdy spór dotyczy zawartej umowy o dostępie oraz gdy treść stosunku zobowiązanego jest określona częściowo przez decyzję, o </w:t>
      </w:r>
      <w:r w:rsidR="00891C0F" w:rsidRPr="005F69BF">
        <w:rPr>
          <w:rFonts w:ascii="Times New Roman" w:hAnsi="Times New Roman" w:cs="Times New Roman"/>
          <w:sz w:val="24"/>
          <w:szCs w:val="24"/>
        </w:rPr>
        <w:lastRenderedPageBreak/>
        <w:t>k</w:t>
      </w:r>
      <w:r w:rsidR="005747C8" w:rsidRPr="00FC3700">
        <w:rPr>
          <w:rFonts w:ascii="Times New Roman" w:hAnsi="Times New Roman" w:cs="Times New Roman"/>
          <w:sz w:val="24"/>
          <w:szCs w:val="24"/>
        </w:rPr>
        <w:t xml:space="preserve">tórej mowa w ust. 1 lub </w:t>
      </w:r>
      <w:r w:rsidR="00483D26">
        <w:rPr>
          <w:rFonts w:ascii="Times New Roman" w:hAnsi="Times New Roman" w:cs="Times New Roman"/>
          <w:sz w:val="24"/>
          <w:szCs w:val="24"/>
        </w:rPr>
        <w:t>w</w:t>
      </w:r>
      <w:r w:rsidR="005747C8" w:rsidRPr="00FC3700">
        <w:rPr>
          <w:rFonts w:ascii="Times New Roman" w:hAnsi="Times New Roman" w:cs="Times New Roman"/>
          <w:sz w:val="24"/>
          <w:szCs w:val="24"/>
        </w:rPr>
        <w:t xml:space="preserve"> art. </w:t>
      </w:r>
      <w:r w:rsidR="005747C8" w:rsidRPr="005747C8">
        <w:rPr>
          <w:rFonts w:ascii="Times New Roman" w:hAnsi="Times New Roman" w:cs="Times New Roman"/>
          <w:sz w:val="24"/>
          <w:szCs w:val="24"/>
        </w:rPr>
        <w:t>1</w:t>
      </w:r>
      <w:r w:rsidR="005747C8">
        <w:rPr>
          <w:rFonts w:ascii="Times New Roman" w:hAnsi="Times New Roman" w:cs="Times New Roman"/>
          <w:sz w:val="24"/>
          <w:szCs w:val="24"/>
        </w:rPr>
        <w:t>87</w:t>
      </w:r>
      <w:r w:rsidR="00891C0F" w:rsidRPr="005F69BF">
        <w:rPr>
          <w:rFonts w:ascii="Times New Roman" w:hAnsi="Times New Roman" w:cs="Times New Roman"/>
          <w:sz w:val="24"/>
          <w:szCs w:val="24"/>
        </w:rPr>
        <w:t>, a częściowo przez umowę o dostępie, do wniosku, o którym mowa w ust. 1 dołącza się również jednolity tekst umowy zawierający również postanowienia wynikające z decyzji.</w:t>
      </w:r>
    </w:p>
    <w:p w14:paraId="2FF59DEB" w14:textId="3DF53DF2" w:rsidR="00783F82" w:rsidRPr="003A42FB" w:rsidRDefault="00F21E7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Dotychczasowe doświadczenia Prezesa UKE wskazują, że ze względu na wielość materialnych podstaw związanych z obowiązkiem zapewnienia dostępu do określonych zasobów (aktów prawnych oraz aktów stosowania prawa), konieczny jest przepis, który umożliwiałby w sposób jednoznaczny łączne rozpoznawanie spraw spornych</w:t>
      </w:r>
      <w:r w:rsidR="00483D26">
        <w:rPr>
          <w:rFonts w:ascii="Times New Roman" w:eastAsiaTheme="minorEastAsia" w:hAnsi="Times New Roman" w:cs="Times New Roman"/>
          <w:sz w:val="24"/>
          <w:szCs w:val="24"/>
        </w:rPr>
        <w:t xml:space="preserve"> (a wcześniej prowadzenie jednego postępowania administracyjnego, obejmującego przedmiot wielu wniosków)</w:t>
      </w:r>
      <w:r w:rsidRPr="003A42FB">
        <w:rPr>
          <w:rFonts w:ascii="Times New Roman" w:eastAsiaTheme="minorEastAsia" w:hAnsi="Times New Roman" w:cs="Times New Roman"/>
          <w:sz w:val="24"/>
          <w:szCs w:val="24"/>
        </w:rPr>
        <w:t xml:space="preserve">, </w:t>
      </w:r>
      <w:r w:rsidR="00483D26">
        <w:rPr>
          <w:rFonts w:ascii="Times New Roman" w:eastAsiaTheme="minorEastAsia" w:hAnsi="Times New Roman" w:cs="Times New Roman"/>
          <w:sz w:val="24"/>
          <w:szCs w:val="24"/>
        </w:rPr>
        <w:t>o ile</w:t>
      </w:r>
      <w:r w:rsidRPr="003A42FB">
        <w:rPr>
          <w:rFonts w:ascii="Times New Roman" w:eastAsiaTheme="minorEastAsia" w:hAnsi="Times New Roman" w:cs="Times New Roman"/>
          <w:sz w:val="24"/>
          <w:szCs w:val="24"/>
        </w:rPr>
        <w:t xml:space="preserve"> dotyc</w:t>
      </w:r>
      <w:r w:rsidR="00A551F0" w:rsidRPr="003A42FB">
        <w:rPr>
          <w:rFonts w:ascii="Times New Roman" w:eastAsiaTheme="minorEastAsia" w:hAnsi="Times New Roman" w:cs="Times New Roman"/>
          <w:sz w:val="24"/>
          <w:szCs w:val="24"/>
        </w:rPr>
        <w:t>zą tych samych stron, co konstytuuje</w:t>
      </w:r>
      <w:r w:rsidRPr="003A42FB">
        <w:rPr>
          <w:rFonts w:ascii="Times New Roman" w:eastAsiaTheme="minorEastAsia" w:hAnsi="Times New Roman" w:cs="Times New Roman"/>
          <w:sz w:val="24"/>
          <w:szCs w:val="24"/>
        </w:rPr>
        <w:t xml:space="preserve"> </w:t>
      </w:r>
      <w:r w:rsidR="005133C5" w:rsidRPr="003A42FB">
        <w:rPr>
          <w:rFonts w:ascii="Times New Roman" w:eastAsiaTheme="minorEastAsia" w:hAnsi="Times New Roman" w:cs="Times New Roman"/>
          <w:sz w:val="24"/>
          <w:szCs w:val="24"/>
        </w:rPr>
        <w:t>art. 1</w:t>
      </w:r>
      <w:r w:rsidR="005747C8">
        <w:rPr>
          <w:rFonts w:ascii="Times New Roman" w:eastAsiaTheme="minorEastAsia" w:hAnsi="Times New Roman" w:cs="Times New Roman"/>
          <w:sz w:val="24"/>
          <w:szCs w:val="24"/>
        </w:rPr>
        <w:t>83</w:t>
      </w:r>
      <w:r w:rsidRPr="003A42FB">
        <w:rPr>
          <w:rFonts w:ascii="Times New Roman" w:eastAsiaTheme="minorEastAsia" w:hAnsi="Times New Roman" w:cs="Times New Roman"/>
          <w:sz w:val="24"/>
          <w:szCs w:val="24"/>
        </w:rPr>
        <w:t xml:space="preserve"> ust. 6</w:t>
      </w:r>
      <w:r w:rsidR="00FC7346">
        <w:rPr>
          <w:rFonts w:ascii="Times New Roman" w:eastAsiaTheme="minorEastAsia" w:hAnsi="Times New Roman" w:cs="Times New Roman"/>
          <w:sz w:val="24"/>
          <w:szCs w:val="24"/>
        </w:rPr>
        <w:t xml:space="preserve"> Pke.</w:t>
      </w:r>
    </w:p>
    <w:p w14:paraId="04E07BB0" w14:textId="56E1572B" w:rsidR="00783F82" w:rsidRPr="003A42FB" w:rsidRDefault="00783F82"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5747C8">
        <w:rPr>
          <w:rFonts w:ascii="Times New Roman" w:eastAsiaTheme="minorEastAsia" w:hAnsi="Times New Roman" w:cs="Times New Roman"/>
          <w:b/>
          <w:bCs/>
          <w:sz w:val="24"/>
          <w:szCs w:val="24"/>
        </w:rPr>
        <w:t>84</w:t>
      </w:r>
    </w:p>
    <w:p w14:paraId="0CF46AD2" w14:textId="7E5990E5" w:rsidR="009E045C" w:rsidRPr="005F69BF" w:rsidRDefault="009E045C">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w:t>
      </w:r>
      <w:r w:rsidR="00783F82" w:rsidRPr="005F69BF">
        <w:rPr>
          <w:rFonts w:ascii="Times New Roman" w:eastAsiaTheme="minorEastAsia" w:hAnsi="Times New Roman" w:cs="Times New Roman"/>
          <w:sz w:val="24"/>
          <w:szCs w:val="24"/>
        </w:rPr>
        <w:t>rojektowany</w:t>
      </w:r>
      <w:r w:rsidR="00783F82" w:rsidRPr="005F69BF">
        <w:rPr>
          <w:rFonts w:ascii="Times New Roman" w:eastAsiaTheme="minorEastAsia" w:hAnsi="Times New Roman" w:cs="Times New Roman"/>
          <w:b/>
          <w:bCs/>
          <w:sz w:val="24"/>
          <w:szCs w:val="24"/>
        </w:rPr>
        <w:t xml:space="preserve"> </w:t>
      </w:r>
      <w:r w:rsidR="00783F82" w:rsidRPr="005F69BF">
        <w:rPr>
          <w:rFonts w:ascii="Times New Roman" w:eastAsiaTheme="minorEastAsia" w:hAnsi="Times New Roman" w:cs="Times New Roman"/>
          <w:sz w:val="24"/>
          <w:szCs w:val="24"/>
        </w:rPr>
        <w:t>art. 1</w:t>
      </w:r>
      <w:r w:rsidR="005747C8">
        <w:rPr>
          <w:rFonts w:ascii="Times New Roman" w:eastAsiaTheme="minorEastAsia" w:hAnsi="Times New Roman" w:cs="Times New Roman"/>
          <w:sz w:val="24"/>
          <w:szCs w:val="24"/>
        </w:rPr>
        <w:t>84</w:t>
      </w:r>
      <w:r w:rsidR="00783F82" w:rsidRPr="005F69BF">
        <w:rPr>
          <w:rFonts w:ascii="Times New Roman" w:eastAsiaTheme="minorEastAsia" w:hAnsi="Times New Roman" w:cs="Times New Roman"/>
          <w:sz w:val="24"/>
          <w:szCs w:val="24"/>
        </w:rPr>
        <w:t xml:space="preserve"> </w:t>
      </w:r>
      <w:r w:rsidR="0033710D" w:rsidRPr="005F69BF">
        <w:rPr>
          <w:rFonts w:ascii="Times New Roman" w:eastAsiaTheme="minorEastAsia" w:hAnsi="Times New Roman" w:cs="Times New Roman"/>
          <w:sz w:val="24"/>
          <w:szCs w:val="24"/>
        </w:rPr>
        <w:t>ust. 1</w:t>
      </w:r>
      <w:r>
        <w:rPr>
          <w:rFonts w:ascii="Times New Roman" w:eastAsiaTheme="minorEastAsia" w:hAnsi="Times New Roman" w:cs="Times New Roman"/>
          <w:sz w:val="24"/>
          <w:szCs w:val="24"/>
        </w:rPr>
        <w:t xml:space="preserve"> Pke</w:t>
      </w:r>
      <w:r w:rsidR="0033710D" w:rsidRPr="005F69BF">
        <w:rPr>
          <w:rFonts w:ascii="Times New Roman" w:eastAsiaTheme="minorEastAsia" w:hAnsi="Times New Roman" w:cs="Times New Roman"/>
          <w:sz w:val="24"/>
          <w:szCs w:val="24"/>
        </w:rPr>
        <w:t xml:space="preserve"> </w:t>
      </w:r>
      <w:r w:rsidR="00783F82" w:rsidRPr="005F69BF">
        <w:rPr>
          <w:rFonts w:ascii="Times New Roman" w:eastAsiaTheme="minorEastAsia" w:hAnsi="Times New Roman" w:cs="Times New Roman"/>
          <w:sz w:val="24"/>
          <w:szCs w:val="24"/>
        </w:rPr>
        <w:t>jest przepisem kompetencyjnym, wskazującym stosowanie zróżnicowanych rodzajów rozstrzygnięć</w:t>
      </w:r>
      <w:r w:rsidR="00F70349" w:rsidRPr="005F69BF">
        <w:rPr>
          <w:rFonts w:ascii="Times New Roman" w:eastAsiaTheme="minorEastAsia" w:hAnsi="Times New Roman" w:cs="Times New Roman"/>
          <w:sz w:val="24"/>
          <w:szCs w:val="24"/>
        </w:rPr>
        <w:t xml:space="preserve"> w przypadku rozpatrywania spraw spornych przez</w:t>
      </w:r>
      <w:r w:rsidR="00783F82" w:rsidRPr="005F69BF">
        <w:rPr>
          <w:rFonts w:ascii="Times New Roman" w:eastAsiaTheme="minorEastAsia" w:hAnsi="Times New Roman" w:cs="Times New Roman"/>
          <w:sz w:val="24"/>
          <w:szCs w:val="24"/>
        </w:rPr>
        <w:t xml:space="preserve"> Prezes</w:t>
      </w:r>
      <w:r w:rsidR="00F70349" w:rsidRPr="005F69BF">
        <w:rPr>
          <w:rFonts w:ascii="Times New Roman" w:eastAsiaTheme="minorEastAsia" w:hAnsi="Times New Roman" w:cs="Times New Roman"/>
          <w:sz w:val="24"/>
          <w:szCs w:val="24"/>
        </w:rPr>
        <w:t>a</w:t>
      </w:r>
      <w:r w:rsidR="00783F82" w:rsidRPr="005F69BF">
        <w:rPr>
          <w:rFonts w:ascii="Times New Roman" w:eastAsiaTheme="minorEastAsia" w:hAnsi="Times New Roman" w:cs="Times New Roman"/>
          <w:sz w:val="24"/>
          <w:szCs w:val="24"/>
        </w:rPr>
        <w:t xml:space="preserve"> UKE</w:t>
      </w:r>
      <w:r w:rsidR="00F70349" w:rsidRPr="005F69BF">
        <w:rPr>
          <w:rFonts w:ascii="Times New Roman" w:eastAsiaTheme="minorEastAsia" w:hAnsi="Times New Roman" w:cs="Times New Roman"/>
          <w:sz w:val="24"/>
          <w:szCs w:val="24"/>
        </w:rPr>
        <w:t>.</w:t>
      </w:r>
      <w:r w:rsidR="00783F82" w:rsidRPr="005F69BF">
        <w:rPr>
          <w:rFonts w:ascii="Times New Roman" w:eastAsiaTheme="minorEastAsia" w:hAnsi="Times New Roman" w:cs="Times New Roman"/>
          <w:sz w:val="24"/>
          <w:szCs w:val="24"/>
        </w:rPr>
        <w:t xml:space="preserve"> </w:t>
      </w:r>
      <w:r w:rsidR="00F70349" w:rsidRPr="005F69BF">
        <w:rPr>
          <w:rFonts w:ascii="Times New Roman" w:eastAsiaTheme="minorEastAsia" w:hAnsi="Times New Roman" w:cs="Times New Roman"/>
          <w:sz w:val="24"/>
          <w:szCs w:val="24"/>
        </w:rPr>
        <w:t xml:space="preserve">Prezes UKE </w:t>
      </w:r>
      <w:r w:rsidRPr="005F69BF">
        <w:rPr>
          <w:rFonts w:ascii="Times New Roman" w:eastAsiaTheme="minorEastAsia" w:hAnsi="Times New Roman" w:cs="Times New Roman"/>
          <w:sz w:val="24"/>
          <w:szCs w:val="24"/>
        </w:rPr>
        <w:t>załatwiając sprawę wydaje decyzję;</w:t>
      </w:r>
    </w:p>
    <w:p w14:paraId="3CB58A65" w14:textId="42AFCB90" w:rsidR="009E045C" w:rsidRPr="005F69BF" w:rsidRDefault="00340477" w:rsidP="005F69BF">
      <w:pPr>
        <w:pStyle w:val="Akapitzlist"/>
        <w:numPr>
          <w:ilvl w:val="0"/>
          <w:numId w:val="86"/>
        </w:num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 xml:space="preserve">określając treść stosunku zobowiązaniowego zastępującego umowę o dostępie (art. </w:t>
      </w:r>
      <w:r w:rsidR="00672785" w:rsidRPr="005F69BF">
        <w:rPr>
          <w:rFonts w:ascii="Times New Roman" w:eastAsiaTheme="minorEastAsia" w:hAnsi="Times New Roman" w:cs="Times New Roman"/>
          <w:sz w:val="24"/>
          <w:szCs w:val="24"/>
        </w:rPr>
        <w:t>1</w:t>
      </w:r>
      <w:r w:rsidR="005747C8">
        <w:rPr>
          <w:rFonts w:ascii="Times New Roman" w:eastAsiaTheme="minorEastAsia" w:hAnsi="Times New Roman" w:cs="Times New Roman"/>
          <w:sz w:val="24"/>
          <w:szCs w:val="24"/>
        </w:rPr>
        <w:t>84</w:t>
      </w:r>
      <w:r w:rsidRPr="005F69BF">
        <w:rPr>
          <w:rFonts w:ascii="Times New Roman" w:eastAsiaTheme="minorEastAsia" w:hAnsi="Times New Roman" w:cs="Times New Roman"/>
          <w:sz w:val="24"/>
          <w:szCs w:val="24"/>
        </w:rPr>
        <w:t xml:space="preserve"> pkt </w:t>
      </w:r>
      <w:r w:rsidR="00672785" w:rsidRPr="005F69BF">
        <w:rPr>
          <w:rFonts w:ascii="Times New Roman" w:eastAsiaTheme="minorEastAsia" w:hAnsi="Times New Roman" w:cs="Times New Roman"/>
          <w:sz w:val="24"/>
          <w:szCs w:val="24"/>
        </w:rPr>
        <w:t>1</w:t>
      </w:r>
      <w:r w:rsidRPr="005F69BF">
        <w:rPr>
          <w:rFonts w:ascii="Times New Roman" w:eastAsiaTheme="minorEastAsia" w:hAnsi="Times New Roman" w:cs="Times New Roman"/>
          <w:sz w:val="24"/>
          <w:szCs w:val="24"/>
        </w:rPr>
        <w:t>)</w:t>
      </w:r>
      <w:r w:rsidR="009E045C" w:rsidRPr="005F69BF">
        <w:rPr>
          <w:rFonts w:ascii="Times New Roman" w:eastAsiaTheme="minorEastAsia" w:hAnsi="Times New Roman" w:cs="Times New Roman"/>
          <w:sz w:val="24"/>
          <w:szCs w:val="24"/>
        </w:rPr>
        <w:t>;</w:t>
      </w:r>
    </w:p>
    <w:p w14:paraId="3FC67F9E" w14:textId="19E214E6" w:rsidR="009E045C" w:rsidRPr="005F69BF" w:rsidRDefault="00783F82" w:rsidP="005F69BF">
      <w:pPr>
        <w:pStyle w:val="Akapitzlist"/>
        <w:numPr>
          <w:ilvl w:val="0"/>
          <w:numId w:val="86"/>
        </w:num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 xml:space="preserve">zmienić umowę lub decyzję o dostępie </w:t>
      </w:r>
      <w:r w:rsidR="00672785" w:rsidRPr="005F69BF">
        <w:rPr>
          <w:rFonts w:ascii="Times New Roman" w:eastAsiaTheme="minorEastAsia" w:hAnsi="Times New Roman" w:cs="Times New Roman"/>
          <w:sz w:val="24"/>
          <w:szCs w:val="24"/>
        </w:rPr>
        <w:t>wydaną wcześniej,</w:t>
      </w:r>
      <w:r w:rsidRPr="005F69BF">
        <w:rPr>
          <w:rFonts w:ascii="Times New Roman" w:eastAsiaTheme="minorEastAsia" w:hAnsi="Times New Roman" w:cs="Times New Roman"/>
          <w:sz w:val="24"/>
          <w:szCs w:val="24"/>
        </w:rPr>
        <w:t xml:space="preserve"> w całości lub w części (art. 1</w:t>
      </w:r>
      <w:r w:rsidR="005747C8">
        <w:rPr>
          <w:rFonts w:ascii="Times New Roman" w:eastAsiaTheme="minorEastAsia" w:hAnsi="Times New Roman" w:cs="Times New Roman"/>
          <w:sz w:val="24"/>
          <w:szCs w:val="24"/>
        </w:rPr>
        <w:t>84</w:t>
      </w:r>
      <w:r w:rsidRPr="005F69BF">
        <w:rPr>
          <w:rFonts w:ascii="Times New Roman" w:eastAsiaTheme="minorEastAsia" w:hAnsi="Times New Roman" w:cs="Times New Roman"/>
          <w:sz w:val="24"/>
          <w:szCs w:val="24"/>
        </w:rPr>
        <w:t xml:space="preserve"> pkt </w:t>
      </w:r>
      <w:r w:rsidR="00672785" w:rsidRPr="005F69BF">
        <w:rPr>
          <w:rFonts w:ascii="Times New Roman" w:eastAsiaTheme="minorEastAsia" w:hAnsi="Times New Roman" w:cs="Times New Roman"/>
          <w:sz w:val="24"/>
          <w:szCs w:val="24"/>
        </w:rPr>
        <w:t>2</w:t>
      </w:r>
      <w:r w:rsidRPr="005F69BF">
        <w:rPr>
          <w:rFonts w:ascii="Times New Roman" w:eastAsiaTheme="minorEastAsia" w:hAnsi="Times New Roman" w:cs="Times New Roman"/>
          <w:sz w:val="24"/>
          <w:szCs w:val="24"/>
        </w:rPr>
        <w:t>)</w:t>
      </w:r>
      <w:r w:rsidR="00340477" w:rsidRPr="005F69BF">
        <w:rPr>
          <w:rFonts w:ascii="Times New Roman" w:eastAsiaTheme="minorEastAsia" w:hAnsi="Times New Roman" w:cs="Times New Roman"/>
          <w:sz w:val="24"/>
          <w:szCs w:val="24"/>
        </w:rPr>
        <w:t>;</w:t>
      </w:r>
      <w:r w:rsidRPr="005F69BF">
        <w:rPr>
          <w:rFonts w:ascii="Times New Roman" w:eastAsiaTheme="minorEastAsia" w:hAnsi="Times New Roman" w:cs="Times New Roman"/>
          <w:sz w:val="24"/>
          <w:szCs w:val="24"/>
        </w:rPr>
        <w:t xml:space="preserve"> </w:t>
      </w:r>
    </w:p>
    <w:p w14:paraId="4301B7D5" w14:textId="2422E8B5" w:rsidR="009E045C" w:rsidRPr="005F69BF" w:rsidRDefault="00783F82" w:rsidP="005F69BF">
      <w:pPr>
        <w:pStyle w:val="Akapitzlist"/>
        <w:numPr>
          <w:ilvl w:val="0"/>
          <w:numId w:val="86"/>
        </w:num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zobowiązać strony do zmiany umowy o dostępie (art. 1</w:t>
      </w:r>
      <w:r w:rsidR="005747C8">
        <w:rPr>
          <w:rFonts w:ascii="Times New Roman" w:eastAsiaTheme="minorEastAsia" w:hAnsi="Times New Roman" w:cs="Times New Roman"/>
          <w:sz w:val="24"/>
          <w:szCs w:val="24"/>
        </w:rPr>
        <w:t>84</w:t>
      </w:r>
      <w:r w:rsidRPr="005F69BF">
        <w:rPr>
          <w:rFonts w:ascii="Times New Roman" w:eastAsiaTheme="minorEastAsia" w:hAnsi="Times New Roman" w:cs="Times New Roman"/>
          <w:sz w:val="24"/>
          <w:szCs w:val="24"/>
        </w:rPr>
        <w:t xml:space="preserve"> pkt </w:t>
      </w:r>
      <w:r w:rsidR="00672785" w:rsidRPr="005F69BF">
        <w:rPr>
          <w:rFonts w:ascii="Times New Roman" w:eastAsiaTheme="minorEastAsia" w:hAnsi="Times New Roman" w:cs="Times New Roman"/>
          <w:sz w:val="24"/>
          <w:szCs w:val="24"/>
        </w:rPr>
        <w:t>3</w:t>
      </w:r>
      <w:r w:rsidRPr="005F69BF">
        <w:rPr>
          <w:rFonts w:ascii="Times New Roman" w:eastAsiaTheme="minorEastAsia" w:hAnsi="Times New Roman" w:cs="Times New Roman"/>
          <w:sz w:val="24"/>
          <w:szCs w:val="24"/>
        </w:rPr>
        <w:t>)</w:t>
      </w:r>
      <w:r w:rsidR="00340477" w:rsidRPr="005F69BF">
        <w:rPr>
          <w:rFonts w:ascii="Times New Roman" w:eastAsiaTheme="minorEastAsia" w:hAnsi="Times New Roman" w:cs="Times New Roman"/>
          <w:sz w:val="24"/>
          <w:szCs w:val="24"/>
        </w:rPr>
        <w:t xml:space="preserve">; </w:t>
      </w:r>
    </w:p>
    <w:p w14:paraId="08F936CC" w14:textId="2235AE14" w:rsidR="009E045C" w:rsidRPr="005F69BF" w:rsidRDefault="00783F82" w:rsidP="005F69BF">
      <w:pPr>
        <w:pStyle w:val="Akapitzlist"/>
        <w:numPr>
          <w:ilvl w:val="0"/>
          <w:numId w:val="86"/>
        </w:numPr>
        <w:spacing w:after="120" w:line="240" w:lineRule="auto"/>
        <w:jc w:val="both"/>
        <w:rPr>
          <w:rFonts w:ascii="Times New Roman" w:eastAsiaTheme="minorEastAsia" w:hAnsi="Times New Roman" w:cs="Times New Roman"/>
          <w:sz w:val="24"/>
          <w:szCs w:val="24"/>
        </w:rPr>
      </w:pPr>
      <w:r w:rsidRPr="005F69BF">
        <w:rPr>
          <w:rFonts w:ascii="Times New Roman" w:eastAsiaTheme="minorEastAsia" w:hAnsi="Times New Roman" w:cs="Times New Roman"/>
          <w:sz w:val="24"/>
          <w:szCs w:val="24"/>
        </w:rPr>
        <w:t>rozwiązać umowę (art. 1</w:t>
      </w:r>
      <w:r w:rsidR="005747C8">
        <w:rPr>
          <w:rFonts w:ascii="Times New Roman" w:eastAsiaTheme="minorEastAsia" w:hAnsi="Times New Roman" w:cs="Times New Roman"/>
          <w:sz w:val="24"/>
          <w:szCs w:val="24"/>
        </w:rPr>
        <w:t>84</w:t>
      </w:r>
      <w:r w:rsidRPr="005F69BF">
        <w:rPr>
          <w:rFonts w:ascii="Times New Roman" w:eastAsiaTheme="minorEastAsia" w:hAnsi="Times New Roman" w:cs="Times New Roman"/>
          <w:sz w:val="24"/>
          <w:szCs w:val="24"/>
        </w:rPr>
        <w:t xml:space="preserve"> pkt </w:t>
      </w:r>
      <w:r w:rsidR="00672785" w:rsidRPr="005F69BF">
        <w:rPr>
          <w:rFonts w:ascii="Times New Roman" w:eastAsiaTheme="minorEastAsia" w:hAnsi="Times New Roman" w:cs="Times New Roman"/>
          <w:sz w:val="24"/>
          <w:szCs w:val="24"/>
        </w:rPr>
        <w:t>4</w:t>
      </w:r>
      <w:r w:rsidRPr="005F69BF">
        <w:rPr>
          <w:rFonts w:ascii="Times New Roman" w:eastAsiaTheme="minorEastAsia" w:hAnsi="Times New Roman" w:cs="Times New Roman"/>
          <w:sz w:val="24"/>
          <w:szCs w:val="24"/>
        </w:rPr>
        <w:t xml:space="preserve">). </w:t>
      </w:r>
    </w:p>
    <w:p w14:paraId="68B20A39" w14:textId="232F7D97" w:rsidR="00FC7346"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art. 1</w:t>
      </w:r>
      <w:r w:rsidR="005747C8">
        <w:rPr>
          <w:rFonts w:ascii="Times New Roman" w:eastAsiaTheme="minorEastAsia" w:hAnsi="Times New Roman" w:cs="Times New Roman"/>
          <w:sz w:val="24"/>
          <w:szCs w:val="24"/>
        </w:rPr>
        <w:t>84</w:t>
      </w:r>
      <w:r w:rsidRPr="003A42FB">
        <w:rPr>
          <w:rFonts w:ascii="Times New Roman" w:eastAsiaTheme="minorEastAsia" w:hAnsi="Times New Roman" w:cs="Times New Roman"/>
          <w:sz w:val="24"/>
          <w:szCs w:val="24"/>
        </w:rPr>
        <w:t xml:space="preserve"> ust. 1</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i/>
          <w:iCs/>
          <w:sz w:val="24"/>
          <w:szCs w:val="24"/>
        </w:rPr>
        <w:t xml:space="preserve">in fine </w:t>
      </w:r>
      <w:r w:rsidRPr="003A42FB">
        <w:rPr>
          <w:rFonts w:ascii="Times New Roman" w:eastAsiaTheme="minorEastAsia" w:hAnsi="Times New Roman" w:cs="Times New Roman"/>
          <w:sz w:val="24"/>
          <w:szCs w:val="24"/>
        </w:rPr>
        <w:t xml:space="preserve">wyznacza granice rozstrzygnięcia Prezesa UKE. Rozstrzygnięcie musi być zgodne z obowiązkami nałożonymi na strony, a także z celami polityki regulacyjnej określonymi w </w:t>
      </w:r>
      <w:r w:rsidR="00672785" w:rsidRPr="003A42FB">
        <w:rPr>
          <w:rFonts w:ascii="Times New Roman" w:eastAsiaTheme="minorEastAsia" w:hAnsi="Times New Roman" w:cs="Times New Roman"/>
          <w:sz w:val="24"/>
          <w:szCs w:val="24"/>
        </w:rPr>
        <w:t xml:space="preserve">art. </w:t>
      </w:r>
      <w:r w:rsidR="005747C8">
        <w:rPr>
          <w:rFonts w:ascii="Times New Roman" w:eastAsiaTheme="minorEastAsia" w:hAnsi="Times New Roman" w:cs="Times New Roman"/>
          <w:sz w:val="24"/>
          <w:szCs w:val="24"/>
        </w:rPr>
        <w:t>407</w:t>
      </w:r>
      <w:r w:rsidR="005133C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w:t>
      </w:r>
      <w:r w:rsidR="00672785" w:rsidRPr="003A42FB">
        <w:rPr>
          <w:rFonts w:ascii="Times New Roman" w:eastAsiaTheme="minorEastAsia" w:hAnsi="Times New Roman" w:cs="Times New Roman"/>
          <w:sz w:val="24"/>
          <w:szCs w:val="24"/>
        </w:rPr>
        <w:t>2</w:t>
      </w:r>
      <w:r w:rsidR="00570EC0">
        <w:rPr>
          <w:rFonts w:ascii="Times New Roman" w:eastAsiaTheme="minorEastAsia" w:hAnsi="Times New Roman" w:cs="Times New Roman"/>
          <w:sz w:val="24"/>
          <w:szCs w:val="24"/>
        </w:rPr>
        <w:t>.</w:t>
      </w:r>
    </w:p>
    <w:p w14:paraId="1F3BC195" w14:textId="77777777" w:rsidR="00FC7346" w:rsidRDefault="00FC7346"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Prezes UKE, rozstrzygając spór o dostęp (z wyjątkiem sytuacji, gdy rozwiązuje umowę o dostępie) bierze pod uwagę </w:t>
      </w:r>
      <w:r w:rsidRPr="00FC7346">
        <w:rPr>
          <w:rFonts w:ascii="Times New Roman" w:eastAsiaTheme="minorEastAsia" w:hAnsi="Times New Roman" w:cs="Times New Roman"/>
          <w:sz w:val="24"/>
          <w:szCs w:val="24"/>
        </w:rPr>
        <w:t>bierze pod uwagę konieczność zapewnienia przejrzystych i niedyskryminacyjnych warunków dostępu</w:t>
      </w:r>
      <w:r>
        <w:rPr>
          <w:rFonts w:ascii="Times New Roman" w:eastAsiaTheme="minorEastAsia" w:hAnsi="Times New Roman" w:cs="Times New Roman"/>
          <w:sz w:val="24"/>
          <w:szCs w:val="24"/>
        </w:rPr>
        <w:t xml:space="preserve"> (art. 184 ust. 2). </w:t>
      </w:r>
    </w:p>
    <w:p w14:paraId="0F49E24E" w14:textId="28BBF6CF" w:rsidR="00570EC0" w:rsidRDefault="00FC7346"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Z art. 184 ust. 3 wynika skutek rozstrzygnięcia Prezesa UKE dla wcześniej zawartej i obowiązującej umowy o dostępie. </w:t>
      </w:r>
    </w:p>
    <w:p w14:paraId="68F53F78" w14:textId="0BD1ECA8" w:rsidR="00783F82" w:rsidRPr="003A42FB" w:rsidRDefault="005133C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Natomiast </w:t>
      </w:r>
      <w:r w:rsidR="00FC7346">
        <w:rPr>
          <w:rFonts w:ascii="Times New Roman" w:eastAsiaTheme="minorEastAsia" w:hAnsi="Times New Roman" w:cs="Times New Roman"/>
          <w:sz w:val="24"/>
          <w:szCs w:val="24"/>
        </w:rPr>
        <w:t xml:space="preserve">regulacja zawarta w </w:t>
      </w:r>
      <w:r w:rsidRPr="003A42FB">
        <w:rPr>
          <w:rFonts w:ascii="Times New Roman" w:eastAsiaTheme="minorEastAsia" w:hAnsi="Times New Roman" w:cs="Times New Roman"/>
          <w:sz w:val="24"/>
          <w:szCs w:val="24"/>
        </w:rPr>
        <w:t>art. 1</w:t>
      </w:r>
      <w:r w:rsidR="005747C8">
        <w:rPr>
          <w:rFonts w:ascii="Times New Roman" w:eastAsiaTheme="minorEastAsia" w:hAnsi="Times New Roman" w:cs="Times New Roman"/>
          <w:sz w:val="24"/>
          <w:szCs w:val="24"/>
        </w:rPr>
        <w:t>84</w:t>
      </w:r>
      <w:r w:rsidR="0033710D" w:rsidRPr="003A42FB">
        <w:rPr>
          <w:rFonts w:ascii="Times New Roman" w:eastAsiaTheme="minorEastAsia" w:hAnsi="Times New Roman" w:cs="Times New Roman"/>
          <w:sz w:val="24"/>
          <w:szCs w:val="24"/>
        </w:rPr>
        <w:t xml:space="preserve"> ust. </w:t>
      </w:r>
      <w:r w:rsidR="00FC7346">
        <w:rPr>
          <w:rFonts w:ascii="Times New Roman" w:eastAsiaTheme="minorEastAsia" w:hAnsi="Times New Roman" w:cs="Times New Roman"/>
          <w:sz w:val="24"/>
          <w:szCs w:val="24"/>
        </w:rPr>
        <w:t>4</w:t>
      </w:r>
      <w:r w:rsidR="0033710D" w:rsidRPr="003A42FB">
        <w:rPr>
          <w:rFonts w:ascii="Times New Roman" w:eastAsiaTheme="minorEastAsia" w:hAnsi="Times New Roman" w:cs="Times New Roman"/>
          <w:sz w:val="24"/>
          <w:szCs w:val="24"/>
        </w:rPr>
        <w:t xml:space="preserve"> pozwoli uniknąć problemów pojawiających się na gruncie aktualnych przepisów. Obecnie, jeżeli strona wniesie o zmianę umowy, a w toku postępowania umowa ta przestanie obowiązywać, Prezes UKE zobowiązany jest takie postępowanie umorzyć z uwagi na brak przedmiotu, tj. umowy, która mogłaby zostać zmieniona. Powoduje to często negatywne konsekwencje dla strony np. korzystającej z infrastruktury innego podmiotu, która z uwagi na brak obowiązywania umowy musi usunąć infrastrukturę telekomunikacyjną i</w:t>
      </w:r>
      <w:r w:rsidR="00986D8D">
        <w:rPr>
          <w:rFonts w:ascii="Times New Roman" w:eastAsiaTheme="minorEastAsia" w:hAnsi="Times New Roman" w:cs="Times New Roman"/>
          <w:sz w:val="24"/>
          <w:szCs w:val="24"/>
        </w:rPr>
        <w:t> </w:t>
      </w:r>
      <w:r w:rsidR="0033710D" w:rsidRPr="003A42FB">
        <w:rPr>
          <w:rFonts w:ascii="Times New Roman" w:eastAsiaTheme="minorEastAsia" w:hAnsi="Times New Roman" w:cs="Times New Roman"/>
          <w:sz w:val="24"/>
          <w:szCs w:val="24"/>
        </w:rPr>
        <w:t>zaprzestać świadczenia usług telekomunikacyjnych. Zaproponowan</w:t>
      </w:r>
      <w:r w:rsidRPr="003A42FB">
        <w:rPr>
          <w:rFonts w:ascii="Times New Roman" w:eastAsiaTheme="minorEastAsia" w:hAnsi="Times New Roman" w:cs="Times New Roman"/>
          <w:sz w:val="24"/>
          <w:szCs w:val="24"/>
        </w:rPr>
        <w:t>a redakcja art. 1</w:t>
      </w:r>
      <w:r w:rsidR="005747C8">
        <w:rPr>
          <w:rFonts w:ascii="Times New Roman" w:eastAsiaTheme="minorEastAsia" w:hAnsi="Times New Roman" w:cs="Times New Roman"/>
          <w:sz w:val="24"/>
          <w:szCs w:val="24"/>
        </w:rPr>
        <w:t>84</w:t>
      </w:r>
      <w:r w:rsidR="0033710D" w:rsidRPr="003A42FB">
        <w:rPr>
          <w:rFonts w:ascii="Times New Roman" w:eastAsiaTheme="minorEastAsia" w:hAnsi="Times New Roman" w:cs="Times New Roman"/>
          <w:sz w:val="24"/>
          <w:szCs w:val="24"/>
        </w:rPr>
        <w:t xml:space="preserve"> ust. </w:t>
      </w:r>
      <w:r w:rsidR="00FC7346">
        <w:rPr>
          <w:rFonts w:ascii="Times New Roman" w:eastAsiaTheme="minorEastAsia" w:hAnsi="Times New Roman" w:cs="Times New Roman"/>
          <w:sz w:val="24"/>
          <w:szCs w:val="24"/>
        </w:rPr>
        <w:t>4</w:t>
      </w:r>
      <w:r w:rsidR="0033710D" w:rsidRPr="003A42FB">
        <w:rPr>
          <w:rFonts w:ascii="Times New Roman" w:eastAsiaTheme="minorEastAsia" w:hAnsi="Times New Roman" w:cs="Times New Roman"/>
          <w:sz w:val="24"/>
          <w:szCs w:val="24"/>
        </w:rPr>
        <w:t xml:space="preserve"> umożliwia Prezesowi UKE wydanie w takiej sytuacji decyzji zastępującej umowę o dostępie zamiast decyzji zmieniającej umowę</w:t>
      </w:r>
      <w:r w:rsidR="00986D8D">
        <w:rPr>
          <w:rFonts w:ascii="Times New Roman" w:eastAsiaTheme="minorEastAsia" w:hAnsi="Times New Roman" w:cs="Times New Roman"/>
          <w:sz w:val="24"/>
          <w:szCs w:val="24"/>
        </w:rPr>
        <w:t xml:space="preserve">, </w:t>
      </w:r>
      <w:r w:rsidR="0033710D" w:rsidRPr="003A42FB">
        <w:rPr>
          <w:rFonts w:ascii="Times New Roman" w:eastAsiaTheme="minorEastAsia" w:hAnsi="Times New Roman" w:cs="Times New Roman"/>
          <w:sz w:val="24"/>
          <w:szCs w:val="24"/>
        </w:rPr>
        <w:t>wyeliminuje ww. negatywnych konsekwencji.</w:t>
      </w:r>
    </w:p>
    <w:p w14:paraId="3437D190" w14:textId="6DA9DEF9" w:rsidR="00672785" w:rsidRPr="003A42FB" w:rsidRDefault="00783F82"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5747C8">
        <w:rPr>
          <w:rFonts w:ascii="Times New Roman" w:eastAsiaTheme="minorEastAsia" w:hAnsi="Times New Roman" w:cs="Times New Roman"/>
          <w:b/>
          <w:bCs/>
          <w:sz w:val="24"/>
          <w:szCs w:val="24"/>
        </w:rPr>
        <w:t>85</w:t>
      </w:r>
    </w:p>
    <w:p w14:paraId="4E9C3A09" w14:textId="36DA116C" w:rsidR="00672785" w:rsidRPr="003A42F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myśl projektowanego art. </w:t>
      </w:r>
      <w:r w:rsidR="005747C8" w:rsidRPr="003A42FB">
        <w:rPr>
          <w:rFonts w:ascii="Times New Roman" w:eastAsiaTheme="minorEastAsia" w:hAnsi="Times New Roman" w:cs="Times New Roman"/>
          <w:sz w:val="24"/>
          <w:szCs w:val="24"/>
        </w:rPr>
        <w:t>1</w:t>
      </w:r>
      <w:r w:rsidR="005747C8">
        <w:rPr>
          <w:rFonts w:ascii="Times New Roman" w:eastAsiaTheme="minorEastAsia" w:hAnsi="Times New Roman" w:cs="Times New Roman"/>
          <w:sz w:val="24"/>
          <w:szCs w:val="24"/>
        </w:rPr>
        <w:t>85</w:t>
      </w:r>
      <w:r w:rsidR="005747C8" w:rsidRPr="003A42FB">
        <w:rPr>
          <w:rFonts w:ascii="Times New Roman" w:eastAsiaTheme="minorEastAsia" w:hAnsi="Times New Roman" w:cs="Times New Roman"/>
          <w:sz w:val="24"/>
          <w:szCs w:val="24"/>
        </w:rPr>
        <w:t xml:space="preserve"> </w:t>
      </w:r>
      <w:r w:rsidR="00EC12CE" w:rsidRPr="003A42FB">
        <w:rPr>
          <w:rFonts w:ascii="Times New Roman" w:eastAsiaTheme="minorEastAsia" w:hAnsi="Times New Roman" w:cs="Times New Roman"/>
          <w:sz w:val="24"/>
          <w:szCs w:val="24"/>
        </w:rPr>
        <w:t>ust. 1</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Prezes UKE rozstrzygając spór dotyczący dostępu może także nałożyć na stronę, </w:t>
      </w:r>
      <w:r w:rsidR="00672785" w:rsidRPr="003A42FB">
        <w:rPr>
          <w:rFonts w:ascii="Times New Roman" w:eastAsiaTheme="minorEastAsia" w:hAnsi="Times New Roman" w:cs="Times New Roman"/>
          <w:sz w:val="24"/>
          <w:szCs w:val="24"/>
        </w:rPr>
        <w:t>obowiązki dostępowe symetryczne</w:t>
      </w:r>
      <w:r w:rsidRPr="003A42FB">
        <w:rPr>
          <w:rFonts w:ascii="Times New Roman" w:eastAsiaTheme="minorEastAsia" w:hAnsi="Times New Roman" w:cs="Times New Roman"/>
          <w:sz w:val="24"/>
          <w:szCs w:val="24"/>
        </w:rPr>
        <w:t>, o ile spełnione zostaną przewidziane w przepisach wymogi dla nałożenia tych obowiązków</w:t>
      </w:r>
      <w:r w:rsidR="00672785" w:rsidRPr="003A42FB">
        <w:rPr>
          <w:rFonts w:ascii="Times New Roman" w:eastAsiaTheme="minorEastAsia" w:hAnsi="Times New Roman" w:cs="Times New Roman"/>
          <w:sz w:val="24"/>
          <w:szCs w:val="24"/>
        </w:rPr>
        <w:t xml:space="preserve">, określone w Dziale III Rozdziale </w:t>
      </w:r>
      <w:r w:rsidR="005133C5" w:rsidRPr="003A42FB">
        <w:rPr>
          <w:rFonts w:ascii="Times New Roman" w:eastAsiaTheme="minorEastAsia" w:hAnsi="Times New Roman" w:cs="Times New Roman"/>
          <w:sz w:val="24"/>
          <w:szCs w:val="24"/>
        </w:rPr>
        <w:t>2</w:t>
      </w:r>
      <w:r w:rsidR="00672785" w:rsidRPr="003A42FB">
        <w:rPr>
          <w:rFonts w:ascii="Times New Roman" w:eastAsiaTheme="minorEastAsia" w:hAnsi="Times New Roman" w:cs="Times New Roman"/>
          <w:sz w:val="24"/>
          <w:szCs w:val="24"/>
        </w:rPr>
        <w:t>.</w:t>
      </w:r>
      <w:r w:rsidR="002C64F8" w:rsidRPr="003A42FB">
        <w:rPr>
          <w:rFonts w:ascii="Times New Roman" w:eastAsiaTheme="minorEastAsia" w:hAnsi="Times New Roman" w:cs="Times New Roman"/>
          <w:sz w:val="24"/>
          <w:szCs w:val="24"/>
        </w:rPr>
        <w:t xml:space="preserve"> Natomiast w przypadku, gdy stroną postępowania w sprawie o rozstrzygnięcie sporu, jest podmiot, na który nałożono obowiązek, o którym mowa w art. </w:t>
      </w:r>
      <w:r w:rsidR="005747C8">
        <w:rPr>
          <w:rFonts w:ascii="Times New Roman" w:eastAsiaTheme="minorEastAsia" w:hAnsi="Times New Roman" w:cs="Times New Roman"/>
          <w:sz w:val="24"/>
          <w:szCs w:val="24"/>
        </w:rPr>
        <w:t>216</w:t>
      </w:r>
      <w:r w:rsidR="002C64F8" w:rsidRPr="003A42FB">
        <w:rPr>
          <w:rFonts w:ascii="Times New Roman" w:eastAsiaTheme="minorEastAsia" w:hAnsi="Times New Roman" w:cs="Times New Roman"/>
          <w:sz w:val="24"/>
          <w:szCs w:val="24"/>
        </w:rPr>
        <w:t xml:space="preserve"> ust. 1 pkt 2, ale względem którego nie przeprowadzono procedury określonej w art. </w:t>
      </w:r>
      <w:r w:rsidR="005747C8">
        <w:rPr>
          <w:rFonts w:ascii="Times New Roman" w:eastAsiaTheme="minorEastAsia" w:hAnsi="Times New Roman" w:cs="Times New Roman"/>
          <w:sz w:val="24"/>
          <w:szCs w:val="24"/>
        </w:rPr>
        <w:t>217</w:t>
      </w:r>
      <w:r w:rsidR="002C64F8" w:rsidRPr="003A42FB">
        <w:rPr>
          <w:rFonts w:ascii="Times New Roman" w:eastAsiaTheme="minorEastAsia" w:hAnsi="Times New Roman" w:cs="Times New Roman"/>
          <w:sz w:val="24"/>
          <w:szCs w:val="24"/>
        </w:rPr>
        <w:t xml:space="preserve">, Prezes UKE może określić opłaty należne temu podmiotowi od drugiej strony postępowania, stosując odpowiednio przepisy art. </w:t>
      </w:r>
      <w:r w:rsidR="005747C8">
        <w:rPr>
          <w:rFonts w:ascii="Times New Roman" w:eastAsiaTheme="minorEastAsia" w:hAnsi="Times New Roman" w:cs="Times New Roman"/>
          <w:sz w:val="24"/>
          <w:szCs w:val="24"/>
        </w:rPr>
        <w:t>217</w:t>
      </w:r>
      <w:r w:rsidR="00EC12CE" w:rsidRPr="003A42FB">
        <w:rPr>
          <w:rFonts w:ascii="Times New Roman" w:eastAsiaTheme="minorEastAsia" w:hAnsi="Times New Roman" w:cs="Times New Roman"/>
          <w:sz w:val="24"/>
          <w:szCs w:val="24"/>
        </w:rPr>
        <w:t>.</w:t>
      </w:r>
    </w:p>
    <w:p w14:paraId="0339ED51" w14:textId="02ECFD20" w:rsidR="00672785" w:rsidRPr="003A42FB" w:rsidRDefault="0067278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lastRenderedPageBreak/>
        <w:t>Art. 1</w:t>
      </w:r>
      <w:r w:rsidR="009D4B40">
        <w:rPr>
          <w:rFonts w:ascii="Times New Roman" w:eastAsiaTheme="minorEastAsia" w:hAnsi="Times New Roman" w:cs="Times New Roman"/>
          <w:b/>
          <w:bCs/>
          <w:sz w:val="24"/>
          <w:szCs w:val="24"/>
        </w:rPr>
        <w:t>86</w:t>
      </w:r>
    </w:p>
    <w:p w14:paraId="6F641D6B" w14:textId="5B096298" w:rsidR="00783F82" w:rsidRPr="003A42FB" w:rsidRDefault="0067278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rozstrzygając spór o dostęp związany z obowiązkiem, o którym mowa w art. 1</w:t>
      </w:r>
      <w:r w:rsidR="005747C8">
        <w:rPr>
          <w:rFonts w:ascii="Times New Roman" w:eastAsiaTheme="minorEastAsia" w:hAnsi="Times New Roman" w:cs="Times New Roman"/>
          <w:sz w:val="24"/>
          <w:szCs w:val="24"/>
        </w:rPr>
        <w:t>8</w:t>
      </w:r>
      <w:r w:rsidR="00AA371D" w:rsidRPr="003A42FB">
        <w:rPr>
          <w:rFonts w:ascii="Times New Roman" w:eastAsiaTheme="minorEastAsia" w:hAnsi="Times New Roman" w:cs="Times New Roman"/>
          <w:sz w:val="24"/>
          <w:szCs w:val="24"/>
        </w:rPr>
        <w:t>0</w:t>
      </w:r>
      <w:r w:rsidRPr="003A42FB">
        <w:rPr>
          <w:rFonts w:ascii="Times New Roman" w:eastAsiaTheme="minorEastAsia" w:hAnsi="Times New Roman" w:cs="Times New Roman"/>
          <w:sz w:val="24"/>
          <w:szCs w:val="24"/>
        </w:rPr>
        <w:t xml:space="preserve"> ust. 1, może nałożyć na przedsiębiorcę telekomunikacyjnego uprawnionego do dostępu, obowiązek współużytkowania częstotliwości z przedsiębiorcą zobowiązanym do zapewnienia dostępu</w:t>
      </w:r>
      <w:r w:rsidR="006D102E" w:rsidRPr="003A42FB">
        <w:rPr>
          <w:rFonts w:ascii="Times New Roman" w:eastAsiaTheme="minorEastAsia" w:hAnsi="Times New Roman" w:cs="Times New Roman"/>
          <w:sz w:val="24"/>
          <w:szCs w:val="24"/>
        </w:rPr>
        <w:t xml:space="preserve"> oraz określić jego warunki</w:t>
      </w:r>
      <w:r w:rsidRPr="003A42FB">
        <w:rPr>
          <w:rFonts w:ascii="Times New Roman" w:eastAsiaTheme="minorEastAsia" w:hAnsi="Times New Roman" w:cs="Times New Roman"/>
          <w:sz w:val="24"/>
          <w:szCs w:val="24"/>
        </w:rPr>
        <w:t xml:space="preserve">, </w:t>
      </w:r>
      <w:r w:rsidR="006D102E" w:rsidRPr="003A42FB">
        <w:rPr>
          <w:rFonts w:ascii="Times New Roman" w:eastAsiaTheme="minorEastAsia" w:hAnsi="Times New Roman" w:cs="Times New Roman"/>
          <w:sz w:val="24"/>
          <w:szCs w:val="24"/>
        </w:rPr>
        <w:t>w tym</w:t>
      </w:r>
      <w:r w:rsidRPr="003A42FB">
        <w:rPr>
          <w:rFonts w:ascii="Times New Roman" w:eastAsiaTheme="minorEastAsia" w:hAnsi="Times New Roman" w:cs="Times New Roman"/>
          <w:sz w:val="24"/>
          <w:szCs w:val="24"/>
        </w:rPr>
        <w:t xml:space="preserve"> </w:t>
      </w:r>
      <w:r w:rsidR="00986D8D">
        <w:rPr>
          <w:rFonts w:ascii="Times New Roman" w:eastAsiaTheme="minorEastAsia" w:hAnsi="Times New Roman" w:cs="Times New Roman"/>
          <w:sz w:val="24"/>
          <w:szCs w:val="24"/>
        </w:rPr>
        <w:t xml:space="preserve">wskazać </w:t>
      </w:r>
      <w:r w:rsidR="00F34C6D" w:rsidRPr="003A42FB">
        <w:rPr>
          <w:rFonts w:ascii="Times New Roman" w:eastAsiaTheme="minorEastAsia" w:hAnsi="Times New Roman" w:cs="Times New Roman"/>
          <w:sz w:val="24"/>
          <w:szCs w:val="24"/>
        </w:rPr>
        <w:t>obszar geograficzny (art. 1</w:t>
      </w:r>
      <w:r w:rsidR="005747C8">
        <w:rPr>
          <w:rFonts w:ascii="Times New Roman" w:eastAsiaTheme="minorEastAsia" w:hAnsi="Times New Roman" w:cs="Times New Roman"/>
          <w:sz w:val="24"/>
          <w:szCs w:val="24"/>
        </w:rPr>
        <w:t>86</w:t>
      </w:r>
      <w:r w:rsidR="00F34C6D" w:rsidRPr="003A42FB">
        <w:rPr>
          <w:rFonts w:ascii="Times New Roman" w:eastAsiaTheme="minorEastAsia" w:hAnsi="Times New Roman" w:cs="Times New Roman"/>
          <w:sz w:val="24"/>
          <w:szCs w:val="24"/>
        </w:rPr>
        <w:t xml:space="preserve"> ust. 1). </w:t>
      </w:r>
      <w:r w:rsidRPr="003A42FB">
        <w:rPr>
          <w:rFonts w:ascii="Times New Roman" w:eastAsiaTheme="minorEastAsia" w:hAnsi="Times New Roman" w:cs="Times New Roman"/>
          <w:sz w:val="24"/>
          <w:szCs w:val="24"/>
        </w:rPr>
        <w:t>Obowiązek współużytkowania częstotliwości, o którym mowa w ust. 1, mus</w:t>
      </w:r>
      <w:r w:rsidR="00986D8D">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być obiektywny, przejrzysty, prop</w:t>
      </w:r>
      <w:r w:rsidR="00F34C6D" w:rsidRPr="003A42FB">
        <w:rPr>
          <w:rFonts w:ascii="Times New Roman" w:eastAsiaTheme="minorEastAsia" w:hAnsi="Times New Roman" w:cs="Times New Roman"/>
          <w:sz w:val="24"/>
          <w:szCs w:val="24"/>
        </w:rPr>
        <w:t>orcjonalny i niedyskryminacyjny (art. 1</w:t>
      </w:r>
      <w:r w:rsidR="005747C8">
        <w:rPr>
          <w:rFonts w:ascii="Times New Roman" w:eastAsiaTheme="minorEastAsia" w:hAnsi="Times New Roman" w:cs="Times New Roman"/>
          <w:sz w:val="24"/>
          <w:szCs w:val="24"/>
        </w:rPr>
        <w:t>86</w:t>
      </w:r>
      <w:r w:rsidR="00F34C6D" w:rsidRPr="003A42FB">
        <w:rPr>
          <w:rFonts w:ascii="Times New Roman" w:eastAsiaTheme="minorEastAsia" w:hAnsi="Times New Roman" w:cs="Times New Roman"/>
          <w:sz w:val="24"/>
          <w:szCs w:val="24"/>
        </w:rPr>
        <w:t xml:space="preserve"> ust. 2). </w:t>
      </w:r>
      <w:r w:rsidRPr="003A42FB">
        <w:rPr>
          <w:rFonts w:ascii="Times New Roman" w:eastAsiaTheme="minorEastAsia" w:hAnsi="Times New Roman" w:cs="Times New Roman"/>
          <w:sz w:val="24"/>
          <w:szCs w:val="24"/>
        </w:rPr>
        <w:t>Do obowiązku współużytkowania częstotliwości, o którym mowa w ust. 1, stosuje się odpowiednio</w:t>
      </w:r>
      <w:r w:rsidR="00F34C6D" w:rsidRPr="003A42FB">
        <w:rPr>
          <w:rFonts w:ascii="Times New Roman" w:eastAsiaTheme="minorEastAsia" w:hAnsi="Times New Roman" w:cs="Times New Roman"/>
          <w:sz w:val="24"/>
          <w:szCs w:val="24"/>
        </w:rPr>
        <w:t xml:space="preserve"> </w:t>
      </w:r>
      <w:r w:rsidR="009A781D" w:rsidRPr="003A42FB">
        <w:rPr>
          <w:rFonts w:ascii="Times New Roman" w:eastAsiaTheme="minorEastAsia" w:hAnsi="Times New Roman" w:cs="Times New Roman"/>
          <w:sz w:val="24"/>
          <w:szCs w:val="24"/>
        </w:rPr>
        <w:t xml:space="preserve">przepisy dotyczące </w:t>
      </w:r>
      <w:r w:rsidR="00F34C6D" w:rsidRPr="003A42FB">
        <w:rPr>
          <w:rFonts w:ascii="Times New Roman" w:eastAsiaTheme="minorEastAsia" w:hAnsi="Times New Roman" w:cs="Times New Roman"/>
          <w:sz w:val="24"/>
          <w:szCs w:val="24"/>
        </w:rPr>
        <w:t>przegląd</w:t>
      </w:r>
      <w:r w:rsidR="009A781D" w:rsidRPr="003A42FB">
        <w:rPr>
          <w:rFonts w:ascii="Times New Roman" w:eastAsiaTheme="minorEastAsia" w:hAnsi="Times New Roman" w:cs="Times New Roman"/>
          <w:sz w:val="24"/>
          <w:szCs w:val="24"/>
        </w:rPr>
        <w:t>u</w:t>
      </w:r>
      <w:r w:rsidR="00F34C6D" w:rsidRPr="003A42FB">
        <w:rPr>
          <w:rFonts w:ascii="Times New Roman" w:eastAsiaTheme="minorEastAsia" w:hAnsi="Times New Roman" w:cs="Times New Roman"/>
          <w:sz w:val="24"/>
          <w:szCs w:val="24"/>
        </w:rPr>
        <w:t xml:space="preserve">, o którym mowa w art. </w:t>
      </w:r>
      <w:r w:rsidR="005747C8">
        <w:rPr>
          <w:rFonts w:ascii="Times New Roman" w:eastAsiaTheme="minorEastAsia" w:hAnsi="Times New Roman" w:cs="Times New Roman"/>
          <w:sz w:val="24"/>
          <w:szCs w:val="24"/>
        </w:rPr>
        <w:t>182</w:t>
      </w:r>
      <w:r w:rsidR="00F34C6D" w:rsidRPr="003A42FB">
        <w:rPr>
          <w:rFonts w:ascii="Times New Roman" w:eastAsiaTheme="minorEastAsia" w:hAnsi="Times New Roman" w:cs="Times New Roman"/>
          <w:sz w:val="24"/>
          <w:szCs w:val="24"/>
        </w:rPr>
        <w:t>.</w:t>
      </w:r>
    </w:p>
    <w:p w14:paraId="303D520E" w14:textId="49E8BA3A" w:rsidR="00672785" w:rsidRPr="003A42FB" w:rsidRDefault="0067278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9D4B40">
        <w:rPr>
          <w:rFonts w:ascii="Times New Roman" w:eastAsiaTheme="minorEastAsia" w:hAnsi="Times New Roman" w:cs="Times New Roman"/>
          <w:b/>
          <w:bCs/>
          <w:sz w:val="24"/>
          <w:szCs w:val="24"/>
        </w:rPr>
        <w:t>87</w:t>
      </w:r>
    </w:p>
    <w:p w14:paraId="03340379" w14:textId="467EE64E" w:rsidR="00F34C6D" w:rsidRPr="003A42FB" w:rsidRDefault="00AA371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 1</w:t>
      </w:r>
      <w:r w:rsidR="009D4B40">
        <w:rPr>
          <w:rFonts w:ascii="Times New Roman" w:eastAsiaTheme="minorEastAsia" w:hAnsi="Times New Roman" w:cs="Times New Roman"/>
          <w:sz w:val="24"/>
          <w:szCs w:val="24"/>
        </w:rPr>
        <w:t>87</w:t>
      </w:r>
      <w:r w:rsidR="006D102E" w:rsidRPr="003A42FB">
        <w:rPr>
          <w:rFonts w:ascii="Times New Roman" w:eastAsiaTheme="minorEastAsia" w:hAnsi="Times New Roman" w:cs="Times New Roman"/>
          <w:sz w:val="24"/>
          <w:szCs w:val="24"/>
        </w:rPr>
        <w:t xml:space="preserve"> </w:t>
      </w:r>
      <w:r w:rsidR="00783F82" w:rsidRPr="003A42FB">
        <w:rPr>
          <w:rFonts w:ascii="Times New Roman" w:eastAsiaTheme="minorEastAsia" w:hAnsi="Times New Roman" w:cs="Times New Roman"/>
          <w:sz w:val="24"/>
          <w:szCs w:val="24"/>
        </w:rPr>
        <w:t>jest przepisem kompetencyjnym, zgodnie z którym, Prezes UKE może, w drodze decyzji wydawanej z urzędu, zmienić umowę</w:t>
      </w:r>
      <w:r w:rsidR="006D102E" w:rsidRPr="003A42FB">
        <w:rPr>
          <w:rFonts w:ascii="Times New Roman" w:eastAsiaTheme="minorEastAsia" w:hAnsi="Times New Roman" w:cs="Times New Roman"/>
          <w:sz w:val="24"/>
          <w:szCs w:val="24"/>
        </w:rPr>
        <w:t xml:space="preserve"> o dostępie</w:t>
      </w:r>
      <w:r w:rsidR="00783F82" w:rsidRPr="003A42FB">
        <w:rPr>
          <w:rFonts w:ascii="Times New Roman" w:eastAsiaTheme="minorEastAsia" w:hAnsi="Times New Roman" w:cs="Times New Roman"/>
          <w:sz w:val="24"/>
          <w:szCs w:val="24"/>
        </w:rPr>
        <w:t xml:space="preserve"> lub decyzję </w:t>
      </w:r>
      <w:r w:rsidR="00F34C6D" w:rsidRPr="003A42FB">
        <w:rPr>
          <w:rFonts w:ascii="Times New Roman" w:eastAsiaTheme="minorEastAsia" w:hAnsi="Times New Roman" w:cs="Times New Roman"/>
          <w:sz w:val="24"/>
          <w:szCs w:val="24"/>
        </w:rPr>
        <w:t>rozstrzygającą spór o dostęp,</w:t>
      </w:r>
      <w:r w:rsidR="00783F82" w:rsidRPr="003A42FB">
        <w:rPr>
          <w:rFonts w:ascii="Times New Roman" w:eastAsiaTheme="minorEastAsia" w:hAnsi="Times New Roman" w:cs="Times New Roman"/>
          <w:sz w:val="24"/>
          <w:szCs w:val="24"/>
        </w:rPr>
        <w:t xml:space="preserve"> w przypadkach uzasadnionych potrzebą zapewnienia ochrony interesów użytkowników końcowych, skutecznej konkurencji lub interoperacyjności usług, </w:t>
      </w:r>
      <w:r w:rsidR="00986D8D">
        <w:rPr>
          <w:rFonts w:ascii="Times New Roman" w:eastAsiaTheme="minorEastAsia" w:hAnsi="Times New Roman" w:cs="Times New Roman"/>
          <w:sz w:val="24"/>
          <w:szCs w:val="24"/>
        </w:rPr>
        <w:t>pod warunkiem, że będzie</w:t>
      </w:r>
      <w:r w:rsidR="00783F82" w:rsidRPr="003A42FB">
        <w:rPr>
          <w:rFonts w:ascii="Times New Roman" w:eastAsiaTheme="minorEastAsia" w:hAnsi="Times New Roman" w:cs="Times New Roman"/>
          <w:sz w:val="24"/>
          <w:szCs w:val="24"/>
        </w:rPr>
        <w:t xml:space="preserve"> to zgodne z</w:t>
      </w:r>
      <w:r w:rsidR="006D102E" w:rsidRPr="003A42FB">
        <w:rPr>
          <w:rFonts w:ascii="Times New Roman" w:eastAsiaTheme="minorEastAsia" w:hAnsi="Times New Roman" w:cs="Times New Roman"/>
          <w:sz w:val="24"/>
          <w:szCs w:val="24"/>
        </w:rPr>
        <w:t> </w:t>
      </w:r>
      <w:r w:rsidR="00783F82" w:rsidRPr="003A42FB">
        <w:rPr>
          <w:rFonts w:ascii="Times New Roman" w:eastAsiaTheme="minorEastAsia" w:hAnsi="Times New Roman" w:cs="Times New Roman"/>
          <w:sz w:val="24"/>
          <w:szCs w:val="24"/>
        </w:rPr>
        <w:t>obowiązkami nałożonymi na strony.</w:t>
      </w:r>
    </w:p>
    <w:p w14:paraId="4F22C31F" w14:textId="396647DE" w:rsidR="00783F82" w:rsidRPr="003A42FB" w:rsidRDefault="00F34C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9D4B40">
        <w:rPr>
          <w:rFonts w:ascii="Times New Roman" w:eastAsiaTheme="minorEastAsia" w:hAnsi="Times New Roman" w:cs="Times New Roman"/>
          <w:b/>
          <w:bCs/>
          <w:sz w:val="24"/>
          <w:szCs w:val="24"/>
        </w:rPr>
        <w:t>88</w:t>
      </w:r>
    </w:p>
    <w:p w14:paraId="47D45870" w14:textId="0944D902" w:rsidR="00783F82" w:rsidRPr="003A42FB" w:rsidRDefault="131B29E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Skutek prawny zawarcia umowy </w:t>
      </w:r>
      <w:r w:rsidR="640064C3" w:rsidRPr="003A42FB">
        <w:rPr>
          <w:rFonts w:ascii="Times New Roman" w:eastAsiaTheme="minorEastAsia" w:hAnsi="Times New Roman" w:cs="Times New Roman"/>
          <w:sz w:val="24"/>
          <w:szCs w:val="24"/>
        </w:rPr>
        <w:t xml:space="preserve">o dostępie </w:t>
      </w:r>
      <w:r w:rsidRPr="003A42FB">
        <w:rPr>
          <w:rFonts w:ascii="Times New Roman" w:eastAsiaTheme="minorEastAsia" w:hAnsi="Times New Roman" w:cs="Times New Roman"/>
          <w:sz w:val="24"/>
          <w:szCs w:val="24"/>
        </w:rPr>
        <w:t xml:space="preserve">w zakresie rozstrzygniętym decyzją Prezesa UKE został zastrzeżony w projektowanym art. </w:t>
      </w:r>
      <w:r w:rsidR="143796B6" w:rsidRPr="003A42FB">
        <w:rPr>
          <w:rFonts w:ascii="Times New Roman" w:eastAsiaTheme="minorEastAsia" w:hAnsi="Times New Roman" w:cs="Times New Roman"/>
          <w:sz w:val="24"/>
          <w:szCs w:val="24"/>
        </w:rPr>
        <w:t>1</w:t>
      </w:r>
      <w:r w:rsidR="009D4B40">
        <w:rPr>
          <w:rFonts w:ascii="Times New Roman" w:eastAsiaTheme="minorEastAsia" w:hAnsi="Times New Roman" w:cs="Times New Roman"/>
          <w:sz w:val="24"/>
          <w:szCs w:val="24"/>
        </w:rPr>
        <w:t>88</w:t>
      </w:r>
      <w:r w:rsidR="5A864440"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Decyzje Prezesa UKE rozstrzygające spór o</w:t>
      </w:r>
      <w:r w:rsidR="5A864440" w:rsidRPr="003A42FB">
        <w:rPr>
          <w:rFonts w:ascii="Times New Roman" w:eastAsiaTheme="minorEastAsia" w:hAnsi="Times New Roman" w:cs="Times New Roman"/>
          <w:sz w:val="24"/>
          <w:szCs w:val="24"/>
        </w:rPr>
        <w:t> </w:t>
      </w:r>
      <w:r w:rsidRPr="003A42FB">
        <w:rPr>
          <w:rFonts w:ascii="Times New Roman" w:eastAsiaTheme="minorEastAsia" w:hAnsi="Times New Roman" w:cs="Times New Roman"/>
          <w:sz w:val="24"/>
          <w:szCs w:val="24"/>
        </w:rPr>
        <w:t xml:space="preserve">dostęp </w:t>
      </w:r>
      <w:r w:rsidR="143796B6" w:rsidRPr="003A42FB">
        <w:rPr>
          <w:rFonts w:ascii="Times New Roman" w:eastAsiaTheme="minorEastAsia" w:hAnsi="Times New Roman" w:cs="Times New Roman"/>
          <w:sz w:val="24"/>
          <w:szCs w:val="24"/>
        </w:rPr>
        <w:t xml:space="preserve">lub </w:t>
      </w:r>
      <w:r w:rsidR="3BFF4F47" w:rsidRPr="003A42FB">
        <w:rPr>
          <w:rFonts w:ascii="Times New Roman" w:eastAsiaTheme="minorEastAsia" w:hAnsi="Times New Roman" w:cs="Times New Roman"/>
          <w:sz w:val="24"/>
          <w:szCs w:val="24"/>
        </w:rPr>
        <w:t xml:space="preserve">decyzje </w:t>
      </w:r>
      <w:r w:rsidR="143796B6" w:rsidRPr="003A42FB">
        <w:rPr>
          <w:rFonts w:ascii="Times New Roman" w:eastAsiaTheme="minorEastAsia" w:hAnsi="Times New Roman" w:cs="Times New Roman"/>
          <w:sz w:val="24"/>
          <w:szCs w:val="24"/>
        </w:rPr>
        <w:t xml:space="preserve">wydawane na podstawie </w:t>
      </w:r>
      <w:r w:rsidR="640064C3" w:rsidRPr="003A42FB">
        <w:rPr>
          <w:rFonts w:ascii="Times New Roman" w:eastAsiaTheme="minorEastAsia" w:hAnsi="Times New Roman" w:cs="Times New Roman"/>
          <w:sz w:val="24"/>
          <w:szCs w:val="24"/>
        </w:rPr>
        <w:t>art. 1</w:t>
      </w:r>
      <w:r w:rsidR="009D4B40">
        <w:rPr>
          <w:rFonts w:ascii="Times New Roman" w:eastAsiaTheme="minorEastAsia" w:hAnsi="Times New Roman" w:cs="Times New Roman"/>
          <w:sz w:val="24"/>
          <w:szCs w:val="24"/>
        </w:rPr>
        <w:t>87</w:t>
      </w:r>
      <w:r w:rsidR="640064C3"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355329A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wygasają z mocy prawa w części objętej umową. Dotyczy to przypadków, w których zawarci</w:t>
      </w:r>
      <w:r w:rsidR="00986D8D">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umowy </w:t>
      </w:r>
      <w:r w:rsidR="00986D8D">
        <w:rPr>
          <w:rFonts w:ascii="Times New Roman" w:eastAsiaTheme="minorEastAsia" w:hAnsi="Times New Roman" w:cs="Times New Roman"/>
          <w:sz w:val="24"/>
          <w:szCs w:val="24"/>
        </w:rPr>
        <w:t xml:space="preserve">lub jej zmiana </w:t>
      </w:r>
      <w:r w:rsidRPr="003A42FB">
        <w:rPr>
          <w:rFonts w:ascii="Times New Roman" w:eastAsiaTheme="minorEastAsia" w:hAnsi="Times New Roman" w:cs="Times New Roman"/>
          <w:sz w:val="24"/>
          <w:szCs w:val="24"/>
        </w:rPr>
        <w:t>nastąpił</w:t>
      </w:r>
      <w:r w:rsidR="00986D8D">
        <w:rPr>
          <w:rFonts w:ascii="Times New Roman" w:eastAsiaTheme="minorEastAsia" w:hAnsi="Times New Roman" w:cs="Times New Roman"/>
          <w:sz w:val="24"/>
          <w:szCs w:val="24"/>
        </w:rPr>
        <w:t>y</w:t>
      </w:r>
      <w:r w:rsidRPr="003A42FB">
        <w:rPr>
          <w:rFonts w:ascii="Times New Roman" w:eastAsiaTheme="minorEastAsia" w:hAnsi="Times New Roman" w:cs="Times New Roman"/>
          <w:sz w:val="24"/>
          <w:szCs w:val="24"/>
        </w:rPr>
        <w:t xml:space="preserve"> po wydaniu decyzji.</w:t>
      </w:r>
    </w:p>
    <w:p w14:paraId="4B5EA1AD" w14:textId="6041AFDA" w:rsidR="00F34C6D" w:rsidRPr="003A42FB" w:rsidRDefault="00F34C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 1</w:t>
      </w:r>
      <w:r w:rsidR="009D4B40">
        <w:rPr>
          <w:rFonts w:ascii="Times New Roman" w:eastAsiaTheme="minorEastAsia" w:hAnsi="Times New Roman" w:cs="Times New Roman"/>
          <w:b/>
          <w:bCs/>
          <w:sz w:val="24"/>
          <w:szCs w:val="24"/>
        </w:rPr>
        <w:t>89</w:t>
      </w:r>
    </w:p>
    <w:p w14:paraId="3C6EEEC6" w14:textId="52387744" w:rsidR="006D102E" w:rsidRPr="003A42FB" w:rsidRDefault="00783F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art. </w:t>
      </w:r>
      <w:r w:rsidR="00FC35EF" w:rsidRPr="003A42FB">
        <w:rPr>
          <w:rFonts w:ascii="Times New Roman" w:eastAsiaTheme="minorEastAsia" w:hAnsi="Times New Roman" w:cs="Times New Roman"/>
          <w:sz w:val="24"/>
          <w:szCs w:val="24"/>
        </w:rPr>
        <w:t>1</w:t>
      </w:r>
      <w:r w:rsidR="009D4B40">
        <w:rPr>
          <w:rFonts w:ascii="Times New Roman" w:eastAsiaTheme="minorEastAsia" w:hAnsi="Times New Roman" w:cs="Times New Roman"/>
          <w:sz w:val="24"/>
          <w:szCs w:val="24"/>
        </w:rPr>
        <w:t>89</w:t>
      </w:r>
      <w:r w:rsidR="006D102E"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ma na celu ograniczenie prób dochodzenia ewentualny roszczeń z</w:t>
      </w:r>
      <w:r w:rsidR="00FC35EF" w:rsidRPr="003A42FB">
        <w:rPr>
          <w:rFonts w:ascii="Times New Roman" w:eastAsiaTheme="minorEastAsia" w:hAnsi="Times New Roman" w:cs="Times New Roman"/>
          <w:sz w:val="24"/>
          <w:szCs w:val="24"/>
        </w:rPr>
        <w:t> </w:t>
      </w:r>
      <w:r w:rsidRPr="003A42FB">
        <w:rPr>
          <w:rFonts w:ascii="Times New Roman" w:eastAsiaTheme="minorEastAsia" w:hAnsi="Times New Roman" w:cs="Times New Roman"/>
          <w:sz w:val="24"/>
          <w:szCs w:val="24"/>
        </w:rPr>
        <w:t>tytułu niewykonania lub nienależnego wykonania obowiązków wynikających z decyzji o dostępie przed Prezesem UKE. Ze względu na zakres kompetencji Prezesa UKE, każda taka próba jest bezskuteczna.</w:t>
      </w:r>
    </w:p>
    <w:p w14:paraId="1A6A7B81" w14:textId="5B443A3A" w:rsidR="00DE19F2" w:rsidRPr="003A42FB" w:rsidRDefault="002E353C"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Art. 1</w:t>
      </w:r>
      <w:r w:rsidR="009D4B40">
        <w:rPr>
          <w:rFonts w:ascii="Times New Roman" w:eastAsiaTheme="minorEastAsia" w:hAnsi="Times New Roman" w:cs="Times New Roman"/>
          <w:b/>
          <w:sz w:val="24"/>
          <w:szCs w:val="24"/>
        </w:rPr>
        <w:t>90</w:t>
      </w:r>
    </w:p>
    <w:p w14:paraId="0EA147F4" w14:textId="5864E0B2" w:rsidR="002E353C" w:rsidRPr="003A42FB" w:rsidRDefault="006D102E" w:rsidP="00C53EAB">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 xml:space="preserve">Przepisy Działu III Rozdziału </w:t>
      </w:r>
      <w:r w:rsidR="00FF7A7A">
        <w:rPr>
          <w:rFonts w:ascii="Times New Roman" w:eastAsiaTheme="minorEastAsia" w:hAnsi="Times New Roman" w:cs="Times New Roman"/>
          <w:sz w:val="24"/>
          <w:szCs w:val="24"/>
        </w:rPr>
        <w:t>3</w:t>
      </w:r>
      <w:r w:rsidRPr="003A42FB">
        <w:rPr>
          <w:rFonts w:ascii="Times New Roman" w:eastAsiaTheme="minorEastAsia" w:hAnsi="Times New Roman" w:cs="Times New Roman"/>
          <w:sz w:val="24"/>
          <w:szCs w:val="24"/>
        </w:rPr>
        <w:t xml:space="preserve"> mają </w:t>
      </w:r>
      <w:r w:rsidR="00FF7A7A">
        <w:rPr>
          <w:rFonts w:ascii="Times New Roman" w:eastAsiaTheme="minorEastAsia" w:hAnsi="Times New Roman" w:cs="Times New Roman"/>
          <w:sz w:val="24"/>
          <w:szCs w:val="24"/>
        </w:rPr>
        <w:t>co do zasady za</w:t>
      </w:r>
      <w:r w:rsidRPr="003A42FB">
        <w:rPr>
          <w:rFonts w:ascii="Times New Roman" w:eastAsiaTheme="minorEastAsia" w:hAnsi="Times New Roman" w:cs="Times New Roman"/>
          <w:sz w:val="24"/>
          <w:szCs w:val="24"/>
        </w:rPr>
        <w:t xml:space="preserve">stosowanie również do sporów transgranicznych, czyli sporów, w których jedną ze stron jest przedsiębiorca telekomunikacyjny z innego państwa członkowskiego. </w:t>
      </w:r>
      <w:r w:rsidR="00FF7A7A">
        <w:rPr>
          <w:rFonts w:ascii="Times New Roman" w:eastAsiaTheme="minorEastAsia" w:hAnsi="Times New Roman" w:cs="Times New Roman"/>
          <w:sz w:val="24"/>
          <w:szCs w:val="24"/>
        </w:rPr>
        <w:t xml:space="preserve">Postępowanie to zawiera z oczywistych względów pewne odmienności. </w:t>
      </w:r>
      <w:r w:rsidRPr="003A42FB">
        <w:rPr>
          <w:rFonts w:ascii="Times New Roman" w:eastAsiaTheme="minorEastAsia" w:hAnsi="Times New Roman" w:cs="Times New Roman"/>
          <w:sz w:val="24"/>
          <w:szCs w:val="24"/>
        </w:rPr>
        <w:t xml:space="preserve">Transponując postanowienia art. 27 </w:t>
      </w:r>
      <w:r w:rsidR="00637357" w:rsidRPr="003A42FB">
        <w:rPr>
          <w:rFonts w:ascii="Times New Roman" w:eastAsiaTheme="minorEastAsia" w:hAnsi="Times New Roman" w:cs="Times New Roman"/>
          <w:sz w:val="24"/>
          <w:szCs w:val="24"/>
        </w:rPr>
        <w:t xml:space="preserve">ust. 2 </w:t>
      </w:r>
      <w:r w:rsidRPr="003A42FB">
        <w:rPr>
          <w:rFonts w:ascii="Times New Roman" w:eastAsiaTheme="minorEastAsia" w:hAnsi="Times New Roman" w:cs="Times New Roman"/>
          <w:sz w:val="24"/>
          <w:szCs w:val="24"/>
        </w:rPr>
        <w:t>EKŁE, w art. 1</w:t>
      </w:r>
      <w:r w:rsidR="009D4B40">
        <w:rPr>
          <w:rFonts w:ascii="Times New Roman" w:eastAsiaTheme="minorEastAsia" w:hAnsi="Times New Roman" w:cs="Times New Roman"/>
          <w:sz w:val="24"/>
          <w:szCs w:val="24"/>
        </w:rPr>
        <w:t>90</w:t>
      </w:r>
      <w:r w:rsidRPr="003A42FB">
        <w:rPr>
          <w:rFonts w:ascii="Times New Roman" w:eastAsiaTheme="minorEastAsia" w:hAnsi="Times New Roman" w:cs="Times New Roman"/>
          <w:sz w:val="24"/>
          <w:szCs w:val="24"/>
        </w:rPr>
        <w:t xml:space="preserve"> ust. 3 przewidziany jest obowiązek z</w:t>
      </w:r>
      <w:r w:rsidR="00C44113" w:rsidRPr="003A42FB">
        <w:rPr>
          <w:rFonts w:ascii="Times New Roman" w:eastAsiaTheme="minorEastAsia" w:hAnsi="Times New Roman" w:cs="Times New Roman"/>
          <w:sz w:val="24"/>
          <w:szCs w:val="24"/>
        </w:rPr>
        <w:t>głoszenia sporu przez Prezesa U</w:t>
      </w:r>
      <w:r w:rsidRPr="003A42FB">
        <w:rPr>
          <w:rFonts w:ascii="Times New Roman" w:eastAsiaTheme="minorEastAsia" w:hAnsi="Times New Roman" w:cs="Times New Roman"/>
          <w:sz w:val="24"/>
          <w:szCs w:val="24"/>
        </w:rPr>
        <w:t>KE d</w:t>
      </w:r>
      <w:r w:rsidR="00637357" w:rsidRPr="003A42FB">
        <w:rPr>
          <w:rFonts w:ascii="Times New Roman" w:eastAsiaTheme="minorEastAsia" w:hAnsi="Times New Roman" w:cs="Times New Roman"/>
          <w:sz w:val="24"/>
          <w:szCs w:val="24"/>
        </w:rPr>
        <w:t xml:space="preserve">o BEREC </w:t>
      </w:r>
      <w:r w:rsidRPr="003A42FB">
        <w:rPr>
          <w:rFonts w:ascii="Times New Roman" w:hAnsi="Times New Roman" w:cs="Times New Roman"/>
          <w:sz w:val="24"/>
          <w:szCs w:val="24"/>
        </w:rPr>
        <w:t>wraz z przedstawieniem stanu faktycznego, w celu doprowadzenia do spójnego rozstrzygnięcia sporu</w:t>
      </w:r>
      <w:r w:rsidR="00A34FA2" w:rsidRPr="003A42FB">
        <w:rPr>
          <w:rFonts w:ascii="Times New Roman" w:hAnsi="Times New Roman" w:cs="Times New Roman"/>
          <w:sz w:val="24"/>
          <w:szCs w:val="24"/>
        </w:rPr>
        <w:t>.</w:t>
      </w:r>
      <w:r w:rsidR="002E353C" w:rsidRPr="003A42FB">
        <w:rPr>
          <w:rFonts w:ascii="Times New Roman" w:hAnsi="Times New Roman" w:cs="Times New Roman"/>
          <w:sz w:val="24"/>
          <w:szCs w:val="24"/>
        </w:rPr>
        <w:t xml:space="preserve"> W przypadku sporu transgranicznego, choć wpływa on na wymianę handlową między państwami członkowskimi, nie przeprowadza się postępowania konsolidacyjnego. </w:t>
      </w:r>
      <w:r w:rsidR="00D14154" w:rsidRPr="003A42FB">
        <w:rPr>
          <w:rFonts w:ascii="Times New Roman" w:hAnsi="Times New Roman" w:cs="Times New Roman"/>
          <w:sz w:val="24"/>
          <w:szCs w:val="24"/>
        </w:rPr>
        <w:t xml:space="preserve">Zgodnie z art. 23 ust. 1 EKŁE z obowiązku konsultacji wyłączone są m.in. sprawy określone w art. 27 EKŁE, a więc spory transgraniczne. </w:t>
      </w:r>
      <w:r w:rsidR="00CC2145" w:rsidRPr="003A42FB">
        <w:rPr>
          <w:rFonts w:ascii="Times New Roman" w:hAnsi="Times New Roman" w:cs="Times New Roman"/>
          <w:sz w:val="24"/>
          <w:szCs w:val="24"/>
        </w:rPr>
        <w:t>W konsekwencji</w:t>
      </w:r>
      <w:r w:rsidR="00D14154" w:rsidRPr="003A42FB">
        <w:rPr>
          <w:rFonts w:ascii="Times New Roman" w:hAnsi="Times New Roman" w:cs="Times New Roman"/>
          <w:sz w:val="24"/>
          <w:szCs w:val="24"/>
        </w:rPr>
        <w:t>,</w:t>
      </w:r>
      <w:r w:rsidR="00CC2145" w:rsidRPr="003A42FB">
        <w:rPr>
          <w:rFonts w:ascii="Times New Roman" w:hAnsi="Times New Roman" w:cs="Times New Roman"/>
          <w:sz w:val="24"/>
          <w:szCs w:val="24"/>
        </w:rPr>
        <w:t xml:space="preserve"> spory transgraniczne nie są </w:t>
      </w:r>
      <w:r w:rsidR="00021F24">
        <w:rPr>
          <w:rFonts w:ascii="Times New Roman" w:hAnsi="Times New Roman" w:cs="Times New Roman"/>
          <w:sz w:val="24"/>
          <w:szCs w:val="24"/>
        </w:rPr>
        <w:t xml:space="preserve">również </w:t>
      </w:r>
      <w:r w:rsidR="00CC2145" w:rsidRPr="003A42FB">
        <w:rPr>
          <w:rFonts w:ascii="Times New Roman" w:hAnsi="Times New Roman" w:cs="Times New Roman"/>
          <w:sz w:val="24"/>
          <w:szCs w:val="24"/>
        </w:rPr>
        <w:t>objęte postępowanie konsolidacyjnym zgodnie z art. 34 ust. 4 EKŁE.</w:t>
      </w:r>
    </w:p>
    <w:p w14:paraId="5A7ABBA7" w14:textId="01B878AC" w:rsidR="00021F24" w:rsidRDefault="145AC114"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Prezes UKE ma obowiązek współpracy z BEREC</w:t>
      </w:r>
      <w:r w:rsidR="00021F24">
        <w:rPr>
          <w:rFonts w:ascii="Times New Roman" w:hAnsi="Times New Roman" w:cs="Times New Roman"/>
          <w:sz w:val="24"/>
          <w:szCs w:val="24"/>
        </w:rPr>
        <w:t xml:space="preserve"> ze względu na </w:t>
      </w:r>
      <w:r w:rsidRPr="003A42FB">
        <w:rPr>
          <w:rFonts w:ascii="Times New Roman" w:hAnsi="Times New Roman" w:cs="Times New Roman"/>
          <w:sz w:val="24"/>
          <w:szCs w:val="24"/>
        </w:rPr>
        <w:t>konieczność najwłaściwszego i najskuteczniejszego rozstrzygnięcia sporu, spełniającego cele polityki regulacyjnej, o których mowa w art.</w:t>
      </w:r>
      <w:r w:rsidR="3BFF4F47" w:rsidRPr="003A42FB">
        <w:rPr>
          <w:rFonts w:ascii="Times New Roman" w:hAnsi="Times New Roman" w:cs="Times New Roman"/>
          <w:sz w:val="24"/>
          <w:szCs w:val="24"/>
        </w:rPr>
        <w:t xml:space="preserve"> </w:t>
      </w:r>
      <w:r w:rsidR="009D4B40">
        <w:rPr>
          <w:rFonts w:ascii="Times New Roman" w:hAnsi="Times New Roman" w:cs="Times New Roman"/>
          <w:sz w:val="24"/>
          <w:szCs w:val="24"/>
        </w:rPr>
        <w:t>407</w:t>
      </w:r>
      <w:r w:rsidR="009D4B40" w:rsidRPr="003A42FB">
        <w:rPr>
          <w:rFonts w:ascii="Times New Roman" w:hAnsi="Times New Roman" w:cs="Times New Roman"/>
          <w:sz w:val="24"/>
          <w:szCs w:val="24"/>
        </w:rPr>
        <w:t xml:space="preserve"> </w:t>
      </w:r>
      <w:r w:rsidR="43404BD5" w:rsidRPr="003A42FB">
        <w:rPr>
          <w:rFonts w:ascii="Times New Roman" w:hAnsi="Times New Roman" w:cs="Times New Roman"/>
          <w:sz w:val="24"/>
          <w:szCs w:val="24"/>
        </w:rPr>
        <w:t>Pke</w:t>
      </w:r>
      <w:r w:rsidRPr="003A42FB">
        <w:rPr>
          <w:rFonts w:ascii="Times New Roman" w:hAnsi="Times New Roman" w:cs="Times New Roman"/>
          <w:sz w:val="24"/>
          <w:szCs w:val="24"/>
        </w:rPr>
        <w:t>,</w:t>
      </w:r>
      <w:r w:rsidR="00021F24">
        <w:rPr>
          <w:rFonts w:ascii="Times New Roman" w:hAnsi="Times New Roman" w:cs="Times New Roman"/>
          <w:sz w:val="24"/>
          <w:szCs w:val="24"/>
        </w:rPr>
        <w:t xml:space="preserve"> oraz</w:t>
      </w:r>
      <w:r w:rsidRPr="003A42FB">
        <w:rPr>
          <w:rFonts w:ascii="Times New Roman" w:hAnsi="Times New Roman" w:cs="Times New Roman"/>
          <w:sz w:val="24"/>
          <w:szCs w:val="24"/>
        </w:rPr>
        <w:t xml:space="preserve"> uwzględniając stanowiska uczestników sporu, o czym stanowi ust. 4 przywołanego przepisu. </w:t>
      </w:r>
    </w:p>
    <w:p w14:paraId="6562E80B" w14:textId="70B594BD" w:rsidR="00696205" w:rsidRPr="003A42FB" w:rsidRDefault="145AC114" w:rsidP="005F69BF">
      <w:pPr>
        <w:spacing w:after="120" w:line="240" w:lineRule="auto"/>
        <w:jc w:val="both"/>
      </w:pPr>
      <w:r w:rsidRPr="003A42FB">
        <w:rPr>
          <w:rFonts w:ascii="Times New Roman" w:hAnsi="Times New Roman" w:cs="Times New Roman"/>
          <w:sz w:val="24"/>
          <w:szCs w:val="24"/>
        </w:rPr>
        <w:t>Natomiast ust. 5 wskazuje, że Prezes UKE jest zobowiązany rozstrzygnąć spór w terminie miesiąca od wydania przez BEREC opinii, co wynika wprost z</w:t>
      </w:r>
      <w:r w:rsidR="3B9067EF" w:rsidRPr="003A42FB">
        <w:rPr>
          <w:rFonts w:ascii="Times New Roman" w:hAnsi="Times New Roman" w:cs="Times New Roman"/>
          <w:sz w:val="24"/>
          <w:szCs w:val="24"/>
        </w:rPr>
        <w:t> </w:t>
      </w:r>
      <w:r w:rsidRPr="003A42FB">
        <w:rPr>
          <w:rFonts w:ascii="Times New Roman" w:hAnsi="Times New Roman" w:cs="Times New Roman"/>
          <w:sz w:val="24"/>
          <w:szCs w:val="24"/>
        </w:rPr>
        <w:t>art. 27</w:t>
      </w:r>
      <w:r w:rsidR="1769B336" w:rsidRPr="003A42FB">
        <w:rPr>
          <w:rFonts w:ascii="Times New Roman" w:hAnsi="Times New Roman" w:cs="Times New Roman"/>
          <w:sz w:val="24"/>
          <w:szCs w:val="24"/>
        </w:rPr>
        <w:t xml:space="preserve"> ust. 3</w:t>
      </w:r>
      <w:r w:rsidRPr="003A42FB">
        <w:rPr>
          <w:rFonts w:ascii="Times New Roman" w:hAnsi="Times New Roman" w:cs="Times New Roman"/>
          <w:sz w:val="24"/>
          <w:szCs w:val="24"/>
        </w:rPr>
        <w:t xml:space="preserve"> EKŁE. </w:t>
      </w:r>
      <w:r w:rsidR="00021F24">
        <w:rPr>
          <w:rFonts w:ascii="Times New Roman" w:hAnsi="Times New Roman" w:cs="Times New Roman"/>
          <w:sz w:val="24"/>
          <w:szCs w:val="24"/>
        </w:rPr>
        <w:t>Przepisy ustawy</w:t>
      </w:r>
      <w:r w:rsidR="00021F24" w:rsidRPr="003A42FB">
        <w:rPr>
          <w:rFonts w:ascii="Times New Roman" w:hAnsi="Times New Roman" w:cs="Times New Roman"/>
          <w:sz w:val="24"/>
          <w:szCs w:val="24"/>
        </w:rPr>
        <w:t xml:space="preserve"> </w:t>
      </w:r>
      <w:r w:rsidR="00021F24">
        <w:rPr>
          <w:rFonts w:ascii="Times New Roman" w:hAnsi="Times New Roman" w:cs="Times New Roman"/>
          <w:sz w:val="24"/>
          <w:szCs w:val="24"/>
        </w:rPr>
        <w:t>odnoszą się także do</w:t>
      </w:r>
      <w:r w:rsidRPr="003A42FB">
        <w:rPr>
          <w:rFonts w:ascii="Times New Roman" w:hAnsi="Times New Roman" w:cs="Times New Roman"/>
          <w:sz w:val="24"/>
          <w:szCs w:val="24"/>
        </w:rPr>
        <w:t xml:space="preserve"> sytuacj</w:t>
      </w:r>
      <w:r w:rsidR="00021F24">
        <w:rPr>
          <w:rFonts w:ascii="Times New Roman" w:hAnsi="Times New Roman" w:cs="Times New Roman"/>
          <w:sz w:val="24"/>
          <w:szCs w:val="24"/>
        </w:rPr>
        <w:t>i</w:t>
      </w:r>
      <w:r w:rsidRPr="003A42FB">
        <w:rPr>
          <w:rFonts w:ascii="Times New Roman" w:hAnsi="Times New Roman" w:cs="Times New Roman"/>
          <w:sz w:val="24"/>
          <w:szCs w:val="24"/>
        </w:rPr>
        <w:t xml:space="preserve">, w których BEREC z przyczyn obiektywnych lub </w:t>
      </w:r>
      <w:r w:rsidRPr="003A42FB">
        <w:rPr>
          <w:rFonts w:ascii="Times New Roman" w:hAnsi="Times New Roman" w:cs="Times New Roman"/>
          <w:sz w:val="24"/>
          <w:szCs w:val="24"/>
        </w:rPr>
        <w:lastRenderedPageBreak/>
        <w:t>subiektywnych nie wydał opinii w ciągu 4 miesięcy. W tej sytu</w:t>
      </w:r>
      <w:r w:rsidR="3B9067EF" w:rsidRPr="003A42FB">
        <w:rPr>
          <w:rFonts w:ascii="Times New Roman" w:hAnsi="Times New Roman" w:cs="Times New Roman"/>
          <w:sz w:val="24"/>
          <w:szCs w:val="24"/>
        </w:rPr>
        <w:t>acji wiąże Prezesa UKE termin pięcio</w:t>
      </w:r>
      <w:r w:rsidRPr="003A42FB">
        <w:rPr>
          <w:rFonts w:ascii="Times New Roman" w:hAnsi="Times New Roman" w:cs="Times New Roman"/>
          <w:sz w:val="24"/>
          <w:szCs w:val="24"/>
        </w:rPr>
        <w:t>miesięczny</w:t>
      </w:r>
      <w:r w:rsidR="3B9067EF" w:rsidRPr="003A42FB">
        <w:rPr>
          <w:rFonts w:ascii="Times New Roman" w:hAnsi="Times New Roman" w:cs="Times New Roman"/>
          <w:sz w:val="24"/>
          <w:szCs w:val="24"/>
        </w:rPr>
        <w:t xml:space="preserve"> liczony od dnia, w którym</w:t>
      </w:r>
      <w:r w:rsidRPr="003A42FB">
        <w:rPr>
          <w:rFonts w:ascii="Times New Roman" w:hAnsi="Times New Roman" w:cs="Times New Roman"/>
          <w:sz w:val="24"/>
          <w:szCs w:val="24"/>
        </w:rPr>
        <w:t xml:space="preserve"> nastąpiło zgłoszenie sporu do BEREC.</w:t>
      </w:r>
      <w:r w:rsidR="1769B336" w:rsidRPr="003A42FB">
        <w:rPr>
          <w:rFonts w:ascii="Times New Roman" w:hAnsi="Times New Roman" w:cs="Times New Roman"/>
          <w:sz w:val="24"/>
          <w:szCs w:val="24"/>
        </w:rPr>
        <w:t xml:space="preserve"> Innymi słowy, Prezes UKE, w przypadku zgłoszenia sporu transgranicznego nie powinien rozstrzygać sprawy przed przedstawieniem przez BEREC opinii, chyba że nie została ona przekazana w terminie 4 miesięcy od jej zgłoszenia.</w:t>
      </w:r>
    </w:p>
    <w:p w14:paraId="7C4CBE19" w14:textId="011803D6" w:rsidR="00A145BC" w:rsidRPr="003A42FB" w:rsidRDefault="00A145BC"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rPr>
        <w:t>ROZDZIAŁ</w:t>
      </w:r>
      <w:r w:rsidRPr="003A42FB">
        <w:rPr>
          <w:rFonts w:ascii="Times New Roman" w:hAnsi="Times New Roman" w:cs="Times New Roman"/>
          <w:b/>
          <w:lang w:eastAsia="en-US"/>
        </w:rPr>
        <w:t xml:space="preserve"> 3. Decyzje </w:t>
      </w:r>
      <w:r w:rsidR="00021F24">
        <w:rPr>
          <w:rFonts w:ascii="Times New Roman" w:hAnsi="Times New Roman" w:cs="Times New Roman"/>
          <w:b/>
          <w:lang w:eastAsia="en-US"/>
        </w:rPr>
        <w:t>obszarowe</w:t>
      </w:r>
      <w:r w:rsidR="00B80C77" w:rsidRPr="003A42FB">
        <w:rPr>
          <w:rFonts w:ascii="Times New Roman" w:hAnsi="Times New Roman" w:cs="Times New Roman"/>
          <w:b/>
          <w:lang w:eastAsia="en-US"/>
        </w:rPr>
        <w:t>.</w:t>
      </w:r>
    </w:p>
    <w:p w14:paraId="7B43E749" w14:textId="31A1CC71"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Specyfika rynku telekomunikacyjnego pokazuje, że dla skutecznego zaimplementowania określonych rozwiązań regulacyjnych</w:t>
      </w:r>
      <w:r w:rsidR="00021F24">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konieczne jest ich jednoczesne wdrożenie przez podmioty dysponujące największymi zasobami lub świadczące usługi dla znacznej liczby abonentów. W aktualnym stanie prawnym powyższe wymusza na Prezesie UKE konieczność jednoczesnego prowadzenia wielu analogicznych postępowań wobec różnych stron, w których podejmowane są w tym samym czasie takie same czynności (np. postępowania w przedmiocie określenia warunków dostępu do kanalizacji kablowej i kanalizacji telekomunikacyjnej budynku, czy postępowania dotyczące określenia warunków zapewnienia dostępu do infrastruktury telekomunikacyjnej w zakresie kabli telekomunikacyjnych w budynkach wielorodzinnych).</w:t>
      </w:r>
    </w:p>
    <w:p w14:paraId="26512A8C" w14:textId="0BA254CC"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Co istotne, Prezes UKE nie ma możliwości równoczesnego prowadzenia analogicznych postępowań wobec wszystkich podmiotów zobowiązanych do zapewnienia dostępu wskazanego w ww. przepisach obecnie obowiązującej </w:t>
      </w:r>
      <w:r w:rsidR="00CB38C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lub ustawy o wspieraniu rozwoju (np. wobec wszystkich właścicieli okablowania w budynku). Dla przykładu można wskazać, że do rejestru przedsiębiorców telekomunikacyjnych (którzy z racji posiadania tego statusu mają obowiązek zapewnienia dostępu do infrastruktury telekomunikacyjnej) wpisanych jest ok. 5000 podmiotów. W związku z powyższymi ograniczeniami i dużą liczbą podmiotów wydając decyzje określające ogólne warunki dostępu do określonych elementów infrastruktury w trybie decyzji indywidualnych, Prezes UKE dokonuje wyboru największych podmiotów tak, aby przyjęty przez Prezesa UKE model regulacji określonego rodzaju dostępu znalazł jak najszersze zastosowanie na rynku telekomunikacyjnym. Dokonanie takiego wyboru przez Prezesa UKE ułatwia zaś adresatom decyzji określających warunki zapewnienia dostępu podniesienie zarzutu dyskryminacji w stosunku do podmiotów, wobec których takie decyzje nie zostały wydane, pomimo że podmioty te także zobowiązane są do zapewnienia dostępu z mocy prawa. </w:t>
      </w:r>
    </w:p>
    <w:p w14:paraId="30D899C0" w14:textId="70A87909"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ocenie projektodawcy zasadnym jest umożliwienie Prezesowi UKE prowadzenie postępowań, które doprowadzą albo do wydania decyzji </w:t>
      </w:r>
      <w:r w:rsidR="00F07188">
        <w:rPr>
          <w:rFonts w:ascii="Times New Roman" w:eastAsiaTheme="minorEastAsia" w:hAnsi="Times New Roman" w:cs="Times New Roman"/>
          <w:sz w:val="24"/>
          <w:szCs w:val="24"/>
        </w:rPr>
        <w:t>obszarowe o charakterze generalnym – a więc aktu stosowania prawa, którego adresat jest określony w sposób generalny a nie indywidualny –</w:t>
      </w:r>
      <w:r w:rsidR="00F071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albo do wydania decyzji indywidulanej. Problemy związane z zarzutami dotyczącymi dyskryminacji określonych podmiotów rozwiązuje zastosowanie </w:t>
      </w:r>
      <w:r w:rsidR="00F07188">
        <w:rPr>
          <w:rFonts w:ascii="Times New Roman" w:eastAsiaTheme="minorEastAsia" w:hAnsi="Times New Roman" w:cs="Times New Roman"/>
          <w:sz w:val="24"/>
          <w:szCs w:val="24"/>
        </w:rPr>
        <w:t>instytucji</w:t>
      </w:r>
      <w:r w:rsidR="00F071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decyzji </w:t>
      </w:r>
      <w:r w:rsidR="00021F24">
        <w:rPr>
          <w:rFonts w:ascii="Times New Roman" w:eastAsiaTheme="minorEastAsia" w:hAnsi="Times New Roman" w:cs="Times New Roman"/>
          <w:sz w:val="24"/>
          <w:szCs w:val="24"/>
        </w:rPr>
        <w:t xml:space="preserve">obszarowych </w:t>
      </w:r>
      <w:r w:rsidRPr="003A42FB">
        <w:rPr>
          <w:rFonts w:ascii="Times New Roman" w:eastAsiaTheme="minorEastAsia" w:hAnsi="Times New Roman" w:cs="Times New Roman"/>
          <w:sz w:val="24"/>
          <w:szCs w:val="24"/>
        </w:rPr>
        <w:t>o charakterze generalnym, bowiem sytuacja wszystkich podmiotów zobowiązanych do zapewnienia określonego rodzaju dostępu jest porównywalna – wiążą ich te same zasady, w tym samym czasie.</w:t>
      </w:r>
    </w:p>
    <w:p w14:paraId="5054563E" w14:textId="0A3837CF" w:rsidR="00160A4D" w:rsidRPr="003A42FB" w:rsidRDefault="00160A4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Zakres spraw regulowanych w drodze decyzji</w:t>
      </w:r>
      <w:r w:rsidR="00021F24">
        <w:rPr>
          <w:rFonts w:ascii="Times New Roman" w:eastAsiaTheme="minorEastAsia" w:hAnsi="Times New Roman" w:cs="Times New Roman"/>
          <w:b/>
          <w:bCs/>
          <w:sz w:val="24"/>
          <w:szCs w:val="24"/>
        </w:rPr>
        <w:t xml:space="preserve"> obszarowych</w:t>
      </w:r>
    </w:p>
    <w:p w14:paraId="61AD36ED" w14:textId="29C1C0DD" w:rsidR="00160A4D" w:rsidRPr="003A42FB" w:rsidRDefault="373230D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Propozycja wprowadzenia do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instytucji decyzji </w:t>
      </w:r>
      <w:r w:rsidR="00021F24">
        <w:rPr>
          <w:rFonts w:ascii="Times New Roman" w:eastAsiaTheme="minorEastAsia" w:hAnsi="Times New Roman" w:cs="Times New Roman"/>
          <w:sz w:val="24"/>
          <w:szCs w:val="24"/>
        </w:rPr>
        <w:t>obszarowe</w:t>
      </w:r>
      <w:r w:rsidRPr="003A42FB">
        <w:rPr>
          <w:rFonts w:ascii="Times New Roman" w:eastAsiaTheme="minorEastAsia" w:hAnsi="Times New Roman" w:cs="Times New Roman"/>
          <w:sz w:val="24"/>
          <w:szCs w:val="24"/>
        </w:rPr>
        <w:t xml:space="preserve">j obejmuje rozstrzyganie tą drogą spraw enumeratywnie określonych w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albo </w:t>
      </w:r>
      <w:r w:rsidR="00021F24">
        <w:rPr>
          <w:rFonts w:ascii="Times New Roman" w:eastAsiaTheme="minorEastAsia" w:hAnsi="Times New Roman" w:cs="Times New Roman"/>
          <w:sz w:val="24"/>
          <w:szCs w:val="24"/>
        </w:rPr>
        <w:t xml:space="preserve">poprzez odesłanie – w </w:t>
      </w:r>
      <w:r w:rsidRPr="003A42FB">
        <w:rPr>
          <w:rFonts w:ascii="Times New Roman" w:eastAsiaTheme="minorEastAsia" w:hAnsi="Times New Roman" w:cs="Times New Roman"/>
          <w:sz w:val="24"/>
          <w:szCs w:val="24"/>
        </w:rPr>
        <w:t>ustawie o wspieraniu rozwoju, tj. postępowań dotyczących:</w:t>
      </w:r>
    </w:p>
    <w:p w14:paraId="101FF8EF" w14:textId="736309AA" w:rsidR="00160A4D" w:rsidRPr="003A42FB" w:rsidRDefault="373230D0" w:rsidP="00C53EAB">
      <w:pPr>
        <w:spacing w:after="120" w:line="240" w:lineRule="auto"/>
        <w:ind w:left="1134" w:hanging="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w:t>
      </w:r>
      <w:r w:rsidR="00160A4D"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określenia warunków zapewnienia dostępu do okablowania pomiędzy zakończeniami sieci w obiekcie budowlanym a najbliższym punktem dystrybucji (art. 1</w:t>
      </w:r>
      <w:r w:rsidR="00F00CE0">
        <w:rPr>
          <w:rFonts w:ascii="Times New Roman" w:eastAsiaTheme="minorEastAsia" w:hAnsi="Times New Roman" w:cs="Times New Roman"/>
          <w:sz w:val="24"/>
          <w:szCs w:val="24"/>
        </w:rPr>
        <w:t>75</w:t>
      </w:r>
      <w:r w:rsidRPr="003A42FB">
        <w:rPr>
          <w:rFonts w:ascii="Times New Roman" w:eastAsiaTheme="minorEastAsia" w:hAnsi="Times New Roman" w:cs="Times New Roman"/>
          <w:sz w:val="24"/>
          <w:szCs w:val="24"/>
        </w:rPr>
        <w:t xml:space="preserve"> w zw. z </w:t>
      </w:r>
      <w:r w:rsidR="16ACC2B8" w:rsidRPr="003A42FB">
        <w:rPr>
          <w:rFonts w:ascii="Times New Roman" w:eastAsiaTheme="minorEastAsia" w:hAnsi="Times New Roman" w:cs="Times New Roman"/>
          <w:sz w:val="24"/>
          <w:szCs w:val="24"/>
        </w:rPr>
        <w:t>1</w:t>
      </w:r>
      <w:r w:rsidR="00F00CE0">
        <w:rPr>
          <w:rFonts w:ascii="Times New Roman" w:eastAsiaTheme="minorEastAsia" w:hAnsi="Times New Roman" w:cs="Times New Roman"/>
          <w:sz w:val="24"/>
          <w:szCs w:val="24"/>
        </w:rPr>
        <w:t>74</w:t>
      </w:r>
      <w:r w:rsidR="16ACC2B8"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w:t>
      </w:r>
      <w:r w:rsidR="5BA6B45C" w:rsidRPr="003A42FB">
        <w:rPr>
          <w:rFonts w:ascii="Times New Roman" w:eastAsiaTheme="minorEastAsia" w:hAnsi="Times New Roman" w:cs="Times New Roman"/>
          <w:sz w:val="24"/>
          <w:szCs w:val="24"/>
        </w:rPr>
        <w:t>,</w:t>
      </w:r>
    </w:p>
    <w:p w14:paraId="1664D938" w14:textId="74E21F31" w:rsidR="00160A4D" w:rsidRPr="003A42FB" w:rsidRDefault="373230D0" w:rsidP="00C53EAB">
      <w:pPr>
        <w:spacing w:after="120" w:line="240" w:lineRule="auto"/>
        <w:ind w:left="1134" w:hanging="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2.</w:t>
      </w:r>
      <w:r w:rsidR="00160A4D"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 xml:space="preserve">rozszerzenia ustawowego obowiązku zapewnienia dostępu do okablowania o okablowanie poza pierwszym punktem dystrybucji (art. </w:t>
      </w:r>
      <w:r w:rsidR="00F00CE0" w:rsidRPr="003A42FB">
        <w:rPr>
          <w:rFonts w:ascii="Times New Roman" w:eastAsiaTheme="minorEastAsia" w:hAnsi="Times New Roman" w:cs="Times New Roman"/>
          <w:sz w:val="24"/>
          <w:szCs w:val="24"/>
        </w:rPr>
        <w:t>1</w:t>
      </w:r>
      <w:r w:rsidR="00F00CE0">
        <w:rPr>
          <w:rFonts w:ascii="Times New Roman" w:eastAsiaTheme="minorEastAsia" w:hAnsi="Times New Roman" w:cs="Times New Roman"/>
          <w:sz w:val="24"/>
          <w:szCs w:val="24"/>
        </w:rPr>
        <w:t>7</w:t>
      </w:r>
      <w:r w:rsidR="00F00CE0" w:rsidRPr="003A42FB">
        <w:rPr>
          <w:rFonts w:ascii="Times New Roman" w:eastAsiaTheme="minorEastAsia" w:hAnsi="Times New Roman" w:cs="Times New Roman"/>
          <w:sz w:val="24"/>
          <w:szCs w:val="24"/>
        </w:rPr>
        <w:t xml:space="preserve">8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w:t>
      </w:r>
      <w:r w:rsidR="5BA6B45C" w:rsidRPr="003A42FB">
        <w:rPr>
          <w:rFonts w:ascii="Times New Roman" w:eastAsiaTheme="minorEastAsia" w:hAnsi="Times New Roman" w:cs="Times New Roman"/>
          <w:sz w:val="24"/>
          <w:szCs w:val="24"/>
        </w:rPr>
        <w:t>,</w:t>
      </w:r>
    </w:p>
    <w:p w14:paraId="198EE754" w14:textId="40CE5F9C" w:rsidR="00160A4D" w:rsidRPr="003A42FB" w:rsidRDefault="373230D0" w:rsidP="00C53EAB">
      <w:pPr>
        <w:spacing w:after="120" w:line="240" w:lineRule="auto"/>
        <w:ind w:left="1134" w:hanging="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3.</w:t>
      </w:r>
      <w:r w:rsidR="00160A4D"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określenia warunków zapewnienia dostępu do okablowania poza pierwszym punktem dystrybucji (art. 1</w:t>
      </w:r>
      <w:r w:rsidR="00F00CE0">
        <w:rPr>
          <w:rFonts w:ascii="Times New Roman" w:eastAsiaTheme="minorEastAsia" w:hAnsi="Times New Roman" w:cs="Times New Roman"/>
          <w:sz w:val="24"/>
          <w:szCs w:val="24"/>
        </w:rPr>
        <w:t>75</w:t>
      </w:r>
      <w:r w:rsidRPr="003A42FB">
        <w:rPr>
          <w:rFonts w:ascii="Times New Roman" w:eastAsiaTheme="minorEastAsia" w:hAnsi="Times New Roman" w:cs="Times New Roman"/>
          <w:sz w:val="24"/>
          <w:szCs w:val="24"/>
        </w:rPr>
        <w:t xml:space="preserve"> w zw. z art. </w:t>
      </w:r>
      <w:r w:rsidR="00F00CE0" w:rsidRPr="003A42FB">
        <w:rPr>
          <w:rFonts w:ascii="Times New Roman" w:eastAsiaTheme="minorEastAsia" w:hAnsi="Times New Roman" w:cs="Times New Roman"/>
          <w:sz w:val="24"/>
          <w:szCs w:val="24"/>
        </w:rPr>
        <w:t>1</w:t>
      </w:r>
      <w:r w:rsidR="00F00CE0">
        <w:rPr>
          <w:rFonts w:ascii="Times New Roman" w:eastAsiaTheme="minorEastAsia" w:hAnsi="Times New Roman" w:cs="Times New Roman"/>
          <w:sz w:val="24"/>
          <w:szCs w:val="24"/>
        </w:rPr>
        <w:t>7</w:t>
      </w:r>
      <w:r w:rsidR="00F00CE0" w:rsidRPr="003A42FB">
        <w:rPr>
          <w:rFonts w:ascii="Times New Roman" w:eastAsiaTheme="minorEastAsia" w:hAnsi="Times New Roman" w:cs="Times New Roman"/>
          <w:sz w:val="24"/>
          <w:szCs w:val="24"/>
        </w:rPr>
        <w:t xml:space="preserve">8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w:t>
      </w:r>
      <w:r w:rsidR="5BA6B45C" w:rsidRPr="003A42FB">
        <w:rPr>
          <w:rFonts w:ascii="Times New Roman" w:eastAsiaTheme="minorEastAsia" w:hAnsi="Times New Roman" w:cs="Times New Roman"/>
          <w:sz w:val="24"/>
          <w:szCs w:val="24"/>
        </w:rPr>
        <w:t>,</w:t>
      </w:r>
    </w:p>
    <w:p w14:paraId="22DE9F09" w14:textId="117FCFA9" w:rsidR="00160A4D" w:rsidRPr="003A42FB" w:rsidRDefault="00160A4D" w:rsidP="00C53EAB">
      <w:pPr>
        <w:spacing w:after="120" w:line="240" w:lineRule="auto"/>
        <w:ind w:left="1134" w:hanging="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4.</w:t>
      </w:r>
      <w:r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określenia warunków zapewnienia dostępu do infrastruktury technicznej przez operatorów sieci (art. 18 ustawy o wspieraniu rozwoju)</w:t>
      </w:r>
      <w:r w:rsidR="00B36B93" w:rsidRPr="003A42FB">
        <w:rPr>
          <w:rFonts w:ascii="Times New Roman" w:eastAsiaTheme="minorEastAsia" w:hAnsi="Times New Roman" w:cs="Times New Roman"/>
          <w:sz w:val="24"/>
          <w:szCs w:val="24"/>
        </w:rPr>
        <w:t>,</w:t>
      </w:r>
    </w:p>
    <w:p w14:paraId="5A39486F" w14:textId="77777777" w:rsidR="00160A4D" w:rsidRPr="003A42FB" w:rsidRDefault="00160A4D" w:rsidP="00C53EAB">
      <w:pPr>
        <w:spacing w:after="120" w:line="240" w:lineRule="auto"/>
        <w:ind w:left="1134" w:hanging="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5.</w:t>
      </w:r>
      <w:r w:rsidRPr="003A42FB">
        <w:rPr>
          <w:rFonts w:ascii="Times New Roman" w:hAnsi="Times New Roman" w:cs="Times New Roman"/>
          <w:sz w:val="24"/>
          <w:szCs w:val="24"/>
        </w:rPr>
        <w:tab/>
      </w:r>
      <w:r w:rsidRPr="003A42FB">
        <w:rPr>
          <w:rFonts w:ascii="Times New Roman" w:eastAsiaTheme="minorEastAsia" w:hAnsi="Times New Roman" w:cs="Times New Roman"/>
          <w:sz w:val="24"/>
          <w:szCs w:val="24"/>
        </w:rPr>
        <w:t>określenia warunków zapewnienia dostępu do nieruchomości przez podmioty wskazane w art. 35a ust. 1 pkt 1 ustawy o wspieraniu rozwoju.</w:t>
      </w:r>
    </w:p>
    <w:p w14:paraId="3CE6553D" w14:textId="4836BC17" w:rsidR="00CA04AA" w:rsidRDefault="00160A4D" w:rsidP="005F69BF">
      <w:pPr>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Wymienione w pkt 1, 3-5 sprawy mają cechę wspólną – podmioty będące dysponentem określonego </w:t>
      </w:r>
      <w:r w:rsidR="00CA04AA">
        <w:rPr>
          <w:rFonts w:ascii="Times New Roman" w:eastAsiaTheme="minorEastAsia" w:hAnsi="Times New Roman" w:cs="Times New Roman"/>
          <w:sz w:val="24"/>
          <w:szCs w:val="24"/>
        </w:rPr>
        <w:t>zasobu</w:t>
      </w:r>
      <w:r w:rsidR="00CA04AA"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(infrastruktury, nieruchomości) z mocy prawa są zobowiązane do zapewnienia dostępu do tego dobra. Natomiast wydawana przez Prezesa UKE w tych przypadkach decyzja administracyjna (indywidualna) może określić sposób wykonania przez te podmioty ich ustawowego obowiązku (decyzja określająca warunki zapewnienia dostępu).</w:t>
      </w:r>
    </w:p>
    <w:p w14:paraId="188F408E" w14:textId="4FD38E88" w:rsidR="00160A4D" w:rsidRDefault="00160A4D" w:rsidP="005F69BF">
      <w:pPr>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 kolei wskazana w pkt 2 kompetencja odnosi się do nowego instrumentu przewidzianego w EKŁE, którego efektywne zastosowanie, na wzór już funkcjonującego rozwiązania francuskiego, powinno nastąpić w formie aktu </w:t>
      </w:r>
      <w:r w:rsidR="00E30D88">
        <w:rPr>
          <w:rFonts w:ascii="Times New Roman" w:eastAsiaTheme="minorEastAsia" w:hAnsi="Times New Roman" w:cs="Times New Roman"/>
          <w:sz w:val="24"/>
          <w:szCs w:val="24"/>
        </w:rPr>
        <w:t xml:space="preserve">stosowania prawa </w:t>
      </w:r>
      <w:r w:rsidRPr="003A42FB">
        <w:rPr>
          <w:rFonts w:ascii="Times New Roman" w:eastAsiaTheme="minorEastAsia" w:hAnsi="Times New Roman" w:cs="Times New Roman"/>
          <w:sz w:val="24"/>
          <w:szCs w:val="24"/>
        </w:rPr>
        <w:t>o charakterze generalnym</w:t>
      </w:r>
      <w:r w:rsidR="00F07188">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odnoszącego się do wyznaczonych obszarów, na których obowiązki o charakterze symetrycznym (niewynikające z pozycji rynkowej zobowiązanych podmiotów), powinny być rozszerzone ze względu na niemożliwe do pokonania w inny sposób bariery ekonomiczne.</w:t>
      </w:r>
    </w:p>
    <w:p w14:paraId="7F6EA820" w14:textId="6B46FF9D" w:rsidR="00CA04AA" w:rsidRPr="003A42FB" w:rsidRDefault="00CA04AA" w:rsidP="005F69BF">
      <w:pPr>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Co warte podkreślenia, ze względu na elastyczność wymaganą do skutecznego rozwiązywania konkretnych problemów rynkowych, możliwość rozstrzygnięcia ww. spraw w drodze decyzji </w:t>
      </w:r>
      <w:r w:rsidR="00F07188">
        <w:rPr>
          <w:rFonts w:ascii="Times New Roman" w:eastAsiaTheme="minorEastAsia" w:hAnsi="Times New Roman" w:cs="Times New Roman"/>
          <w:sz w:val="24"/>
          <w:szCs w:val="24"/>
        </w:rPr>
        <w:t>obszarowej</w:t>
      </w:r>
      <w:r w:rsidRPr="003A42FB">
        <w:rPr>
          <w:rFonts w:ascii="Times New Roman" w:eastAsiaTheme="minorEastAsia" w:hAnsi="Times New Roman" w:cs="Times New Roman"/>
          <w:sz w:val="24"/>
          <w:szCs w:val="24"/>
        </w:rPr>
        <w:t xml:space="preserve"> powinna pozostać instrumentem dodatkowym w stosunku do możliwości rozstrzygania tych spraw w sposób dotychczasowy (decyzje indywidualne wobec każdego dysponenta). Ostateczna decyzja co do skorzystania z określonego mechanizmu załatwienia sprawy (decyzja </w:t>
      </w:r>
      <w:r w:rsidR="00F07188">
        <w:rPr>
          <w:rFonts w:ascii="Times New Roman" w:eastAsiaTheme="minorEastAsia" w:hAnsi="Times New Roman" w:cs="Times New Roman"/>
          <w:sz w:val="24"/>
          <w:szCs w:val="24"/>
        </w:rPr>
        <w:t>obszarow</w:t>
      </w:r>
      <w:r w:rsidRPr="003A42FB">
        <w:rPr>
          <w:rFonts w:ascii="Times New Roman" w:eastAsiaTheme="minorEastAsia" w:hAnsi="Times New Roman" w:cs="Times New Roman"/>
          <w:sz w:val="24"/>
          <w:szCs w:val="24"/>
        </w:rPr>
        <w:t>a, czy decyzje indywidualne) będzie należała każdorazowo do Prezesa UKE</w:t>
      </w:r>
      <w:r>
        <w:rPr>
          <w:rFonts w:ascii="Times New Roman" w:eastAsiaTheme="minorEastAsia" w:hAnsi="Times New Roman" w:cs="Times New Roman"/>
          <w:sz w:val="24"/>
          <w:szCs w:val="24"/>
        </w:rPr>
        <w:t xml:space="preserve">, przy czym Prezes UKE powinien </w:t>
      </w:r>
      <w:r w:rsidR="0077549A">
        <w:rPr>
          <w:rFonts w:ascii="Times New Roman" w:eastAsiaTheme="minorEastAsia" w:hAnsi="Times New Roman" w:cs="Times New Roman"/>
          <w:sz w:val="24"/>
          <w:szCs w:val="24"/>
        </w:rPr>
        <w:t>wziąć pod rozwagę przede wszystkim, czy wydanie rozstrzygnięcia w drodze decyzji obszarowej pozwoli w sposób pełniejszy urzeczywistnić zasadę niedyskryminacji.</w:t>
      </w:r>
    </w:p>
    <w:p w14:paraId="033A4ED7" w14:textId="77777777" w:rsidR="00160A4D" w:rsidRPr="003A42FB" w:rsidRDefault="00160A4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Praktyka europejska</w:t>
      </w:r>
    </w:p>
    <w:p w14:paraId="01ABFA7F" w14:textId="77777777"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wielu krajach europejskich przepisy określające ogólne zasady postępowania administracyjnego przewidują możliwość wydawania decyzji o charakterze generalnym, określanych niekiedy decyzjami regulacyjnymi. Jako przykłady podać można § 2 pkt c i in. norweskiej ustawy o postępowaniu administracyjnym (</w:t>
      </w:r>
      <w:r w:rsidRPr="003A42FB">
        <w:rPr>
          <w:rFonts w:ascii="Times New Roman" w:eastAsiaTheme="minorEastAsia" w:hAnsi="Times New Roman" w:cs="Times New Roman"/>
          <w:i/>
          <w:iCs/>
          <w:sz w:val="24"/>
          <w:szCs w:val="24"/>
        </w:rPr>
        <w:t>Lov om behandlingsmåten i forvaltningssaker, LOV-1967-02-10, ze zm.</w:t>
      </w:r>
      <w:r w:rsidRPr="003A42FB">
        <w:rPr>
          <w:rFonts w:ascii="Times New Roman" w:eastAsiaTheme="minorEastAsia" w:hAnsi="Times New Roman" w:cs="Times New Roman"/>
          <w:sz w:val="24"/>
          <w:szCs w:val="24"/>
        </w:rPr>
        <w:t>), § 35 i in. niemieckiej ustawy o postępowaniu administracyjnym (</w:t>
      </w:r>
      <w:r w:rsidRPr="003A42FB">
        <w:rPr>
          <w:rFonts w:ascii="Times New Roman" w:eastAsiaTheme="minorEastAsia" w:hAnsi="Times New Roman" w:cs="Times New Roman"/>
          <w:i/>
          <w:iCs/>
          <w:sz w:val="24"/>
          <w:szCs w:val="24"/>
        </w:rPr>
        <w:t>Verwaltungsverfahrensgesetz in der Fassung der Bekanntmachung vom 23. Januar 2003 (BGBl. I S. 102), ze zm</w:t>
      </w:r>
      <w:r w:rsidRPr="003A42FB">
        <w:rPr>
          <w:rFonts w:ascii="Times New Roman" w:eastAsiaTheme="minorEastAsia" w:hAnsi="Times New Roman" w:cs="Times New Roman"/>
          <w:sz w:val="24"/>
          <w:szCs w:val="24"/>
        </w:rPr>
        <w:t>.), art. 45 i in. hiszpańskiej ustawy o postepowaniu administracyjnym (</w:t>
      </w:r>
      <w:r w:rsidRPr="003A42FB">
        <w:rPr>
          <w:rFonts w:ascii="Times New Roman" w:eastAsiaTheme="minorEastAsia" w:hAnsi="Times New Roman" w:cs="Times New Roman"/>
          <w:i/>
          <w:iCs/>
          <w:sz w:val="24"/>
          <w:szCs w:val="24"/>
        </w:rPr>
        <w:t>Ley 39/2015, de 1 de octubre, del Procedimiento Administrativo Común de las Administraciones Públicas</w:t>
      </w:r>
      <w:r w:rsidRPr="003A42FB">
        <w:rPr>
          <w:rFonts w:ascii="Times New Roman" w:eastAsiaTheme="minorEastAsia" w:hAnsi="Times New Roman" w:cs="Times New Roman"/>
          <w:sz w:val="24"/>
          <w:szCs w:val="24"/>
        </w:rPr>
        <w:t>), art. 97 i nast. portugalskiej ustawy o postępowaniu administracyjnym (</w:t>
      </w:r>
      <w:r w:rsidRPr="003A42FB">
        <w:rPr>
          <w:rFonts w:ascii="Times New Roman" w:eastAsiaTheme="minorEastAsia" w:hAnsi="Times New Roman" w:cs="Times New Roman"/>
          <w:i/>
          <w:iCs/>
          <w:sz w:val="24"/>
          <w:szCs w:val="24"/>
        </w:rPr>
        <w:t>DL n.º 4/2015, de 07 de Janeiro, Código do procedimento administrativo</w:t>
      </w:r>
      <w:r w:rsidRPr="003A42FB">
        <w:rPr>
          <w:rFonts w:ascii="Times New Roman" w:eastAsiaTheme="minorEastAsia" w:hAnsi="Times New Roman" w:cs="Times New Roman"/>
          <w:sz w:val="24"/>
          <w:szCs w:val="24"/>
        </w:rPr>
        <w:t>).</w:t>
      </w:r>
    </w:p>
    <w:p w14:paraId="2F3C6703" w14:textId="1DC920CD"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Za wprowadzeniem możliwości rozstrzygania spraw wskazanych powyżej w pkt 2 w drodze decyzji </w:t>
      </w:r>
      <w:r w:rsidR="00F07188">
        <w:rPr>
          <w:rFonts w:ascii="Times New Roman" w:eastAsiaTheme="minorEastAsia" w:hAnsi="Times New Roman" w:cs="Times New Roman"/>
          <w:sz w:val="24"/>
          <w:szCs w:val="24"/>
        </w:rPr>
        <w:t xml:space="preserve">obszarowej </w:t>
      </w:r>
      <w:r w:rsidRPr="003A42FB">
        <w:rPr>
          <w:rFonts w:ascii="Times New Roman" w:eastAsiaTheme="minorEastAsia" w:hAnsi="Times New Roman" w:cs="Times New Roman"/>
          <w:sz w:val="24"/>
          <w:szCs w:val="24"/>
        </w:rPr>
        <w:t xml:space="preserve">przemawia fakt, że w innych państwach członkowskich Unii Europejskiej tego rodzaju regulacje wynikają właśnie z aktów </w:t>
      </w:r>
      <w:r w:rsidR="00E30D88">
        <w:rPr>
          <w:rFonts w:ascii="Times New Roman" w:eastAsiaTheme="minorEastAsia" w:hAnsi="Times New Roman" w:cs="Times New Roman"/>
          <w:sz w:val="24"/>
          <w:szCs w:val="24"/>
        </w:rPr>
        <w:t xml:space="preserve">stosowania prawa </w:t>
      </w:r>
      <w:r w:rsidRPr="003A42FB">
        <w:rPr>
          <w:rFonts w:ascii="Times New Roman" w:eastAsiaTheme="minorEastAsia" w:hAnsi="Times New Roman" w:cs="Times New Roman"/>
          <w:sz w:val="24"/>
          <w:szCs w:val="24"/>
        </w:rPr>
        <w:t>o charakterze generalnym wydawanych przez krajowe organy regulacyjne, np.:</w:t>
      </w:r>
    </w:p>
    <w:p w14:paraId="6354FD23" w14:textId="6F4E525F" w:rsidR="00160A4D" w:rsidRPr="003A42FB" w:rsidRDefault="00160A4D"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we Francji – decyzja ARCEP nr 2009-1106 z dnia 22 grudnia 2009 r. określająca zasady dostępu do światłowodowych linii telekomunikacyjnych i umieszczania punktów dostępu na nieruchomościach prywatnych; decyzja ARCEP nr 2010-1312 z dnia 14 grudnia 2010 r. określająca warunki dostępu do bardzo szybkich światłowodowych linii łączności elektronicznej na całym terytorium, z wyjątkiem bardzo gęstych obszarów</w:t>
      </w:r>
      <w:r w:rsidR="00B36B93" w:rsidRPr="003A42FB">
        <w:rPr>
          <w:rFonts w:ascii="Times New Roman" w:eastAsiaTheme="minorEastAsia" w:hAnsi="Times New Roman" w:cs="Times New Roman"/>
          <w:sz w:val="24"/>
          <w:szCs w:val="24"/>
        </w:rPr>
        <w:t>,</w:t>
      </w:r>
    </w:p>
    <w:p w14:paraId="51AEC543" w14:textId="2ABAE765" w:rsidR="00160A4D" w:rsidRPr="003A42FB" w:rsidRDefault="00160A4D"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w Chorwacji – rozporządzenie HAKOM nr OG 75/13 w sprawie sposobu i warunków dostępu i wspólnego korzystania z infrastruktury telekomunikacyjnej oraz udogodnień towarzyszących; rozporządzenie HAKOM nr OG 57/14 w sprawie sieci światłowodowych</w:t>
      </w:r>
      <w:r w:rsidR="00B36B93" w:rsidRPr="003A42FB">
        <w:rPr>
          <w:rFonts w:ascii="Times New Roman" w:eastAsiaTheme="minorEastAsia" w:hAnsi="Times New Roman" w:cs="Times New Roman"/>
          <w:sz w:val="24"/>
          <w:szCs w:val="24"/>
        </w:rPr>
        <w:t>,</w:t>
      </w:r>
    </w:p>
    <w:p w14:paraId="2FAE398B" w14:textId="5F4BE249" w:rsidR="00B80C77" w:rsidRPr="003A42FB" w:rsidRDefault="00160A4D" w:rsidP="00C53EAB">
      <w:pPr>
        <w:numPr>
          <w:ilvl w:val="0"/>
          <w:numId w:val="45"/>
        </w:num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we Włoszech – uchwała AGCOM nr 538/13/CONS regulująca zapewnienie przez wszystkich operatorów dostępu do kabli światłowodowych na odcinku od lokalu abonenta do pierwszego punktu koncentracji.</w:t>
      </w:r>
    </w:p>
    <w:p w14:paraId="016C9D9D" w14:textId="77777777" w:rsidR="00160A4D" w:rsidRPr="003A42FB" w:rsidRDefault="00160A4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Decyzje o charakterze generalnym w prawie polskim i europejskim</w:t>
      </w:r>
    </w:p>
    <w:p w14:paraId="7EE8DCF0" w14:textId="7D34E721"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 dnia dzisiejszego, do polskiego porządku prawnego nie wprowadzono ogólnej procedury wydawania decyzji o charakterze generalnym. Niemniej jednak można wskazać na przepisy materialne stanowiące podstawę do wydawania takich decyzji. W kontekście propozycji odnoszących się do regulacji zagadnień telekomunikacyjnych, warto przede wszystkim zwrócić uwagę na kompetencję Komisji Nadzoru Finansowego przewidzianą w art. 23h ustawy z dnia 29 lipca 2005 r. o nadzorze nad rynkiem kapitałowym. Decyzje wydawane na tej podstawie kształtują sytuację prawną nieokreślonej liczby podmiotów i odpowiednio stosuje się do nich przepisy Kpa. W odniesieniu do decyzji rozszerzających ustawowy obowiązek zapewnienia dostępu do okablowania o okablowanie poza pierwszym punktem dystrybucji, wynikających z transpozycji art. 61 ust. 3 akapit 2 EKŁE, warto także wskazać na kompetencję przewidzianą w ustawie z dnia 23 lipca 2003 r. o ochronie zabytków i opiece nad zabytkami do wydania decyzji o wpisie układów urbanistycznych i ruralistycznych, historycznych zespołów budowlanych oraz terenów, na których znajduje się znaczna ilość zabytków archeologicznych, do rejestru zabytków.</w:t>
      </w:r>
    </w:p>
    <w:p w14:paraId="02583395" w14:textId="2AD3816B"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ocenie projektodawców, biorąc pod uwagę aktualn</w:t>
      </w:r>
      <w:r w:rsidR="00F07188">
        <w:rPr>
          <w:rFonts w:ascii="Times New Roman" w:eastAsiaTheme="minorEastAsia" w:hAnsi="Times New Roman" w:cs="Times New Roman"/>
          <w:sz w:val="24"/>
          <w:szCs w:val="24"/>
        </w:rPr>
        <w:t>ie obowiązujące procedury administracyjne</w:t>
      </w:r>
      <w:r w:rsidRPr="003A42FB">
        <w:rPr>
          <w:rFonts w:ascii="Times New Roman" w:eastAsiaTheme="minorEastAsia" w:hAnsi="Times New Roman" w:cs="Times New Roman"/>
          <w:sz w:val="24"/>
          <w:szCs w:val="24"/>
        </w:rPr>
        <w:t>,</w:t>
      </w:r>
      <w:r w:rsidR="00F07188">
        <w:rPr>
          <w:rFonts w:ascii="Times New Roman" w:eastAsiaTheme="minorEastAsia" w:hAnsi="Times New Roman" w:cs="Times New Roman"/>
          <w:sz w:val="24"/>
          <w:szCs w:val="24"/>
        </w:rPr>
        <w:t xml:space="preserve"> w szczególności tzw. ogólne postępowanie administracyjne,</w:t>
      </w:r>
      <w:r w:rsidRPr="003A42FB">
        <w:rPr>
          <w:rFonts w:ascii="Times New Roman" w:eastAsiaTheme="minorEastAsia" w:hAnsi="Times New Roman" w:cs="Times New Roman"/>
          <w:sz w:val="24"/>
          <w:szCs w:val="24"/>
        </w:rPr>
        <w:t xml:space="preserve"> decyzje</w:t>
      </w:r>
      <w:r w:rsidR="00E30D88">
        <w:rPr>
          <w:rFonts w:ascii="Times New Roman" w:eastAsiaTheme="minorEastAsia" w:hAnsi="Times New Roman" w:cs="Times New Roman"/>
          <w:sz w:val="24"/>
          <w:szCs w:val="24"/>
        </w:rPr>
        <w:t xml:space="preserve"> obszarowe, będące decyzjami</w:t>
      </w:r>
      <w:r w:rsidRPr="003A42FB">
        <w:rPr>
          <w:rFonts w:ascii="Times New Roman" w:eastAsiaTheme="minorEastAsia" w:hAnsi="Times New Roman" w:cs="Times New Roman"/>
          <w:sz w:val="24"/>
          <w:szCs w:val="24"/>
        </w:rPr>
        <w:t xml:space="preserve"> o charakterze generalnym</w:t>
      </w:r>
      <w:r w:rsidR="00E30D88">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powinny być wydawane przez Prezesa UKE przy odpowiednim zastosowaniu przepisów Kpa. Jednakże z uwagi na konieczność ochrony interesu stron takich aktów, zasadnym jest dokładniejsze określenie odstępstw i odmienności względem zasad stosowanych przy rozstrzyganiu spraw indywidualnych. Istotnym jest przede wszystkim określenie zasad udziału stron w postępowaniu.</w:t>
      </w:r>
    </w:p>
    <w:p w14:paraId="569DD9E3" w14:textId="3FD0A535" w:rsidR="00160A4D" w:rsidRPr="003A42FB" w:rsidRDefault="00160A4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Decyzje </w:t>
      </w:r>
      <w:r w:rsidR="00E30D88">
        <w:rPr>
          <w:rFonts w:ascii="Times New Roman" w:eastAsiaTheme="minorEastAsia" w:hAnsi="Times New Roman" w:cs="Times New Roman"/>
          <w:b/>
          <w:bCs/>
          <w:sz w:val="24"/>
          <w:szCs w:val="24"/>
        </w:rPr>
        <w:t>obszarowe</w:t>
      </w:r>
      <w:r w:rsidR="00E30D8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a ogólne zezwolenie </w:t>
      </w:r>
      <w:r w:rsidR="00F07188">
        <w:rPr>
          <w:rFonts w:ascii="Times New Roman" w:eastAsiaTheme="minorEastAsia" w:hAnsi="Times New Roman" w:cs="Times New Roman"/>
          <w:b/>
          <w:bCs/>
          <w:sz w:val="24"/>
          <w:szCs w:val="24"/>
        </w:rPr>
        <w:t>w rozumieniu</w:t>
      </w:r>
      <w:r w:rsidRPr="003A42FB">
        <w:rPr>
          <w:rFonts w:ascii="Times New Roman" w:eastAsiaTheme="minorEastAsia" w:hAnsi="Times New Roman" w:cs="Times New Roman"/>
          <w:b/>
          <w:bCs/>
          <w:sz w:val="24"/>
          <w:szCs w:val="24"/>
        </w:rPr>
        <w:t xml:space="preserve"> EKŁE</w:t>
      </w:r>
    </w:p>
    <w:p w14:paraId="4392E24A" w14:textId="77777777"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Możliwość wydania decyzji stanowiącej źródło konkretnych obowiązków przedsiębiorców telekomunikacyjnych jest nie tylko niesprzeczna z założeniami i przepisami EKŁE, ale stanowi rozwiązanie spójne z charakterem ogólnego zezwolenia.</w:t>
      </w:r>
    </w:p>
    <w:p w14:paraId="3B28D92E" w14:textId="77777777"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art. 13 ust. 1-2 EKŁE:</w:t>
      </w:r>
    </w:p>
    <w:p w14:paraId="65D258F0" w14:textId="77777777" w:rsidR="00160A4D" w:rsidRPr="003A42FB" w:rsidRDefault="00160A4D" w:rsidP="00C53EAB">
      <w:pPr>
        <w:spacing w:after="120" w:line="240" w:lineRule="auto"/>
        <w:ind w:left="567"/>
        <w:jc w:val="both"/>
        <w:rPr>
          <w:rFonts w:ascii="Times New Roman" w:eastAsiaTheme="minorEastAsia" w:hAnsi="Times New Roman" w:cs="Times New Roman"/>
          <w:i/>
          <w:iCs/>
          <w:sz w:val="24"/>
          <w:szCs w:val="24"/>
        </w:rPr>
      </w:pPr>
      <w:r w:rsidRPr="003A42FB">
        <w:rPr>
          <w:rFonts w:ascii="Times New Roman" w:eastAsiaTheme="minorEastAsia" w:hAnsi="Times New Roman" w:cs="Times New Roman"/>
          <w:i/>
          <w:iCs/>
          <w:sz w:val="24"/>
          <w:szCs w:val="24"/>
        </w:rPr>
        <w:t>„1. Ogólne zezwolenie na dostarczanie sieci łączności elektronicznej lub świadczenie usług łączności elektronicznej oraz prawa użytkowania widma radiowego i prawa użytkowania zasobami numeracyjnymi mogą jedynie podlegać warunkom określonym w załączniku I. Warunki te muszą być niedyskryminacyjne, proporcjonalne i przejrzyste. W przypadku praw użytkowania widma radiowego, takie warunki muszą zapewniać jego efektywne i wydajne użytkowanie i być zgodne z art. 45 i 51, a w przypadku prawa użytkowania zasobami numeracyjnymi – zgodne z art. 94.</w:t>
      </w:r>
    </w:p>
    <w:p w14:paraId="627F592E" w14:textId="77777777" w:rsidR="00160A4D" w:rsidRPr="003A42FB" w:rsidRDefault="00160A4D" w:rsidP="00C53EAB">
      <w:p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i/>
          <w:iCs/>
          <w:sz w:val="24"/>
          <w:szCs w:val="24"/>
        </w:rPr>
        <w:t xml:space="preserve">2. Szczególne obowiązki, które mogą być nałożone na przedsiębiorstwa udostępniające sieci i świadczące usługi łączności elektronicznej na podstawie art. 61 ust. 1 i 5 i art. 62, 68 i 83 lub na podmioty wyznaczone do świadczenia usługi powszechnej na podstawie niniejszej dyrektywy, muszą być prawnie oddzielone od praw i obowiązków wynikających </w:t>
      </w:r>
      <w:r w:rsidRPr="003A42FB">
        <w:rPr>
          <w:rFonts w:ascii="Times New Roman" w:eastAsiaTheme="minorEastAsia" w:hAnsi="Times New Roman" w:cs="Times New Roman"/>
          <w:i/>
          <w:iCs/>
          <w:sz w:val="24"/>
          <w:szCs w:val="24"/>
        </w:rPr>
        <w:lastRenderedPageBreak/>
        <w:t>z ogólnego zezwolenia. Celem zapewnienia przejrzystości, kryteria i procedury nakładania takich szczególnych obowiązków na poszczególne przedsiębiorstwa wskazuje się w ogólnym zezwoleniu.”</w:t>
      </w:r>
      <w:r w:rsidRPr="003A42FB">
        <w:rPr>
          <w:rFonts w:ascii="Times New Roman" w:eastAsiaTheme="minorEastAsia" w:hAnsi="Times New Roman" w:cs="Times New Roman"/>
          <w:sz w:val="24"/>
          <w:szCs w:val="24"/>
        </w:rPr>
        <w:t>.</w:t>
      </w:r>
    </w:p>
    <w:p w14:paraId="025FA5ED" w14:textId="77777777"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Natomiast zgodnie z załącznikiem I do EKŁE:</w:t>
      </w:r>
    </w:p>
    <w:p w14:paraId="2C53086A" w14:textId="77777777" w:rsidR="00160A4D" w:rsidRPr="003A42FB" w:rsidRDefault="00160A4D" w:rsidP="00C53EAB">
      <w:pPr>
        <w:spacing w:after="120" w:line="240" w:lineRule="auto"/>
        <w:ind w:left="567"/>
        <w:jc w:val="both"/>
        <w:rPr>
          <w:rFonts w:ascii="Times New Roman" w:eastAsiaTheme="minorEastAsia" w:hAnsi="Times New Roman" w:cs="Times New Roman"/>
          <w:i/>
          <w:iCs/>
          <w:sz w:val="24"/>
          <w:szCs w:val="24"/>
        </w:rPr>
      </w:pPr>
      <w:r w:rsidRPr="003A42FB">
        <w:rPr>
          <w:rFonts w:ascii="Times New Roman" w:eastAsiaTheme="minorEastAsia" w:hAnsi="Times New Roman" w:cs="Times New Roman"/>
          <w:i/>
          <w:iCs/>
          <w:sz w:val="24"/>
          <w:szCs w:val="24"/>
        </w:rPr>
        <w:t>„A. Ogólne warunki, którymi mogą zostać obwarowane ogólne zezwolenia</w:t>
      </w:r>
    </w:p>
    <w:p w14:paraId="27631554" w14:textId="77777777" w:rsidR="00160A4D" w:rsidRPr="003A42FB" w:rsidRDefault="00160A4D" w:rsidP="00C53EAB">
      <w:pPr>
        <w:spacing w:after="120" w:line="240" w:lineRule="auto"/>
        <w:ind w:left="567"/>
        <w:jc w:val="both"/>
        <w:rPr>
          <w:rFonts w:ascii="Times New Roman" w:eastAsiaTheme="minorEastAsia" w:hAnsi="Times New Roman" w:cs="Times New Roman"/>
          <w:i/>
          <w:iCs/>
          <w:sz w:val="24"/>
          <w:szCs w:val="24"/>
        </w:rPr>
      </w:pPr>
      <w:r w:rsidRPr="003A42FB">
        <w:rPr>
          <w:rFonts w:ascii="Times New Roman" w:eastAsiaTheme="minorEastAsia" w:hAnsi="Times New Roman" w:cs="Times New Roman"/>
          <w:i/>
          <w:iCs/>
          <w:sz w:val="24"/>
          <w:szCs w:val="24"/>
        </w:rPr>
        <w:t>(…)</w:t>
      </w:r>
    </w:p>
    <w:p w14:paraId="68B89180" w14:textId="77777777" w:rsidR="00160A4D" w:rsidRPr="003A42FB" w:rsidRDefault="00160A4D" w:rsidP="00C53EAB">
      <w:pPr>
        <w:spacing w:after="120" w:line="240" w:lineRule="auto"/>
        <w:ind w:left="567"/>
        <w:jc w:val="both"/>
        <w:rPr>
          <w:rFonts w:ascii="Times New Roman" w:eastAsiaTheme="minorEastAsia" w:hAnsi="Times New Roman" w:cs="Times New Roman"/>
          <w:sz w:val="24"/>
          <w:szCs w:val="24"/>
        </w:rPr>
      </w:pPr>
      <w:r w:rsidRPr="003A42FB">
        <w:rPr>
          <w:rFonts w:ascii="Times New Roman" w:eastAsiaTheme="minorEastAsia" w:hAnsi="Times New Roman" w:cs="Times New Roman"/>
          <w:i/>
          <w:iCs/>
          <w:sz w:val="24"/>
          <w:szCs w:val="24"/>
        </w:rPr>
        <w:t>7. Obowiązki związane z dostępem do sieci inne niż te określone w art. 13, dotyczące przedsiębiorstw udostępniających sieci lub usługi łączności elektronicznej.</w:t>
      </w:r>
      <w:r w:rsidRPr="003A42FB">
        <w:rPr>
          <w:rFonts w:ascii="Times New Roman" w:eastAsiaTheme="minorEastAsia" w:hAnsi="Times New Roman" w:cs="Times New Roman"/>
          <w:sz w:val="24"/>
          <w:szCs w:val="24"/>
        </w:rPr>
        <w:t>”.</w:t>
      </w:r>
    </w:p>
    <w:p w14:paraId="19A746A2" w14:textId="379E6311"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Oznacza to, że obowiązki związane z zapewnianiem dostępu, z wyjątkiem tych, o których mowa w art. 61 ust. 1 i</w:t>
      </w:r>
      <w:r w:rsidR="00721B6B" w:rsidRPr="003A42FB">
        <w:rPr>
          <w:rFonts w:ascii="Times New Roman" w:eastAsiaTheme="minorEastAsia" w:hAnsi="Times New Roman" w:cs="Times New Roman"/>
          <w:sz w:val="24"/>
          <w:szCs w:val="24"/>
        </w:rPr>
        <w:t> </w:t>
      </w:r>
      <w:r w:rsidRPr="003A42FB">
        <w:rPr>
          <w:rFonts w:ascii="Times New Roman" w:eastAsiaTheme="minorEastAsia" w:hAnsi="Times New Roman" w:cs="Times New Roman"/>
          <w:sz w:val="24"/>
          <w:szCs w:val="24"/>
        </w:rPr>
        <w:t>5 oraz w art. 62, 68 i 83 EKŁE, nie muszą być nakładane indywidualnie dla każdego z przedsiębiorców telekomunikacyjnych z osobna. Dopuszczalnym jest ukształtowanie pozycji przedsiębiorców telekomunikacyjnych w taki sposób, by już z racji korzystania z ogólnego zezwolenia ciążyły na nich określone obowiązki dostępowe. EKŁE zakłada przy tym, że nałożenie niektórych obowiązków powinno stanowić kompetencję krajowego organu regulacyjnego, realizowaną po spełnieniu szeregu wymogów (np. art. 61 ust. 3 akapit 2 EKŁE).</w:t>
      </w:r>
    </w:p>
    <w:p w14:paraId="2042E4F7" w14:textId="77777777" w:rsidR="00160A4D"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Wydawanie decyzji o charakterze generalnym jest jedynym dopuszczalnym rozwiązaniem, które pozwala spełnić dwa warunki:</w:t>
      </w:r>
    </w:p>
    <w:p w14:paraId="415CF9FA" w14:textId="4DC51323" w:rsidR="00160A4D" w:rsidRPr="003A42FB" w:rsidRDefault="00160A4D"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dotyczy wszystkich adresatów obowiązków, dzięki czemu możliwe jest zrealizowanie zasady niedyskryminacji</w:t>
      </w:r>
      <w:r w:rsidR="008B08CD" w:rsidRPr="003A42FB">
        <w:rPr>
          <w:rFonts w:ascii="Times New Roman" w:eastAsiaTheme="minorEastAsia" w:hAnsi="Times New Roman" w:cs="Times New Roman"/>
          <w:sz w:val="24"/>
          <w:szCs w:val="24"/>
        </w:rPr>
        <w:t>. W przypadku prowadzenia wielu postępowań w indywidualnych sprawach istnieje poważne ryzyko wystąpienia negatywnego zjawiska określanego jako „</w:t>
      </w:r>
      <w:r w:rsidR="00081F63" w:rsidRPr="003A42FB">
        <w:rPr>
          <w:rFonts w:ascii="Times New Roman" w:eastAsiaTheme="minorEastAsia" w:hAnsi="Times New Roman" w:cs="Times New Roman"/>
          <w:sz w:val="24"/>
          <w:szCs w:val="24"/>
        </w:rPr>
        <w:t>regulacyjna przewaga konkuren</w:t>
      </w:r>
      <w:r w:rsidR="008B08CD" w:rsidRPr="003A42FB">
        <w:rPr>
          <w:rFonts w:ascii="Times New Roman" w:eastAsiaTheme="minorEastAsia" w:hAnsi="Times New Roman" w:cs="Times New Roman"/>
          <w:sz w:val="24"/>
          <w:szCs w:val="24"/>
        </w:rPr>
        <w:t>cyjna”, które przejawia się m.in. że jeden (lub grupa podmiotów) zostaje objęty jakimś obowiązkiem z opóźnieniem, co nie wynika ze względów merytorycznych, ale ze względów na przebieg postępowania administracyjnego lub procedurę rozpatrywania środka zaskarżenia,</w:t>
      </w:r>
    </w:p>
    <w:p w14:paraId="4F4F7FE2" w14:textId="46CEB0C7" w:rsidR="004270E2" w:rsidRPr="003A42FB" w:rsidRDefault="00160A4D"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nakładanie obowiązku stanowi kompetencję Prezesa UKE.</w:t>
      </w:r>
    </w:p>
    <w:p w14:paraId="0FEFD393" w14:textId="425EC4A3" w:rsidR="00B80C77" w:rsidRPr="003A42FB" w:rsidRDefault="00B80C77"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b/>
          <w:bCs/>
          <w:sz w:val="24"/>
          <w:szCs w:val="24"/>
        </w:rPr>
        <w:t xml:space="preserve">Art. </w:t>
      </w:r>
      <w:r w:rsidR="00F00CE0" w:rsidRPr="003A42FB">
        <w:rPr>
          <w:rFonts w:ascii="Times New Roman" w:hAnsi="Times New Roman" w:cs="Times New Roman"/>
          <w:b/>
          <w:bCs/>
          <w:sz w:val="24"/>
          <w:szCs w:val="24"/>
        </w:rPr>
        <w:t>1</w:t>
      </w:r>
      <w:r w:rsidR="00F00CE0">
        <w:rPr>
          <w:rFonts w:ascii="Times New Roman" w:hAnsi="Times New Roman" w:cs="Times New Roman"/>
          <w:b/>
          <w:bCs/>
          <w:sz w:val="24"/>
          <w:szCs w:val="24"/>
        </w:rPr>
        <w:t>91</w:t>
      </w:r>
      <w:r w:rsidR="00F00CE0" w:rsidRPr="003A42FB">
        <w:rPr>
          <w:rFonts w:ascii="Times New Roman" w:hAnsi="Times New Roman" w:cs="Times New Roman"/>
          <w:b/>
          <w:bCs/>
          <w:sz w:val="24"/>
          <w:szCs w:val="24"/>
        </w:rPr>
        <w:t xml:space="preserve"> </w:t>
      </w:r>
    </w:p>
    <w:p w14:paraId="0FE71748" w14:textId="66BB00FC" w:rsidR="00721B6B" w:rsidRPr="003A42FB" w:rsidRDefault="737F74CC"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 xml:space="preserve">Przepis </w:t>
      </w:r>
      <w:r w:rsidR="48A37993" w:rsidRPr="003A42FB">
        <w:rPr>
          <w:rFonts w:ascii="Times New Roman" w:hAnsi="Times New Roman" w:cs="Times New Roman"/>
          <w:sz w:val="24"/>
          <w:szCs w:val="24"/>
        </w:rPr>
        <w:t xml:space="preserve">ust. 1 </w:t>
      </w:r>
      <w:r w:rsidRPr="003A42FB">
        <w:rPr>
          <w:rFonts w:ascii="Times New Roman" w:hAnsi="Times New Roman" w:cs="Times New Roman"/>
          <w:sz w:val="24"/>
          <w:szCs w:val="24"/>
        </w:rPr>
        <w:t xml:space="preserve">określa zakres rozstrzygnięć, które mogą być wydane w drodze decyzji </w:t>
      </w:r>
      <w:r w:rsidR="00E30D88">
        <w:rPr>
          <w:rFonts w:ascii="Times New Roman" w:hAnsi="Times New Roman" w:cs="Times New Roman"/>
          <w:sz w:val="24"/>
          <w:szCs w:val="24"/>
        </w:rPr>
        <w:t>obszarowej</w:t>
      </w:r>
      <w:r w:rsidRPr="003A42FB">
        <w:rPr>
          <w:rFonts w:ascii="Times New Roman" w:hAnsi="Times New Roman" w:cs="Times New Roman"/>
          <w:sz w:val="24"/>
          <w:szCs w:val="24"/>
        </w:rPr>
        <w:t>. Dotyczy to rozstrzygnięć, o których mowa w art. 1</w:t>
      </w:r>
      <w:r w:rsidR="00F00CE0">
        <w:rPr>
          <w:rFonts w:ascii="Times New Roman" w:hAnsi="Times New Roman" w:cs="Times New Roman"/>
          <w:sz w:val="24"/>
          <w:szCs w:val="24"/>
        </w:rPr>
        <w:t>75</w:t>
      </w:r>
      <w:r w:rsidRPr="003A42FB">
        <w:rPr>
          <w:rFonts w:ascii="Times New Roman" w:hAnsi="Times New Roman" w:cs="Times New Roman"/>
          <w:sz w:val="24"/>
          <w:szCs w:val="24"/>
        </w:rPr>
        <w:t xml:space="preserve"> ust. 1 i art. </w:t>
      </w:r>
      <w:r w:rsidR="00F00CE0" w:rsidRPr="003A42FB">
        <w:rPr>
          <w:rFonts w:ascii="Times New Roman" w:hAnsi="Times New Roman" w:cs="Times New Roman"/>
          <w:sz w:val="24"/>
          <w:szCs w:val="24"/>
        </w:rPr>
        <w:t>1</w:t>
      </w:r>
      <w:r w:rsidR="00F00CE0">
        <w:rPr>
          <w:rFonts w:ascii="Times New Roman" w:hAnsi="Times New Roman" w:cs="Times New Roman"/>
          <w:sz w:val="24"/>
          <w:szCs w:val="24"/>
        </w:rPr>
        <w:t>7</w:t>
      </w:r>
      <w:r w:rsidR="00F00CE0" w:rsidRPr="003A42FB">
        <w:rPr>
          <w:rFonts w:ascii="Times New Roman" w:hAnsi="Times New Roman" w:cs="Times New Roman"/>
          <w:sz w:val="24"/>
          <w:szCs w:val="24"/>
        </w:rPr>
        <w:t xml:space="preserve">8 </w:t>
      </w:r>
      <w:r w:rsidRPr="003A42FB">
        <w:rPr>
          <w:rFonts w:ascii="Times New Roman" w:hAnsi="Times New Roman" w:cs="Times New Roman"/>
          <w:sz w:val="24"/>
          <w:szCs w:val="24"/>
        </w:rPr>
        <w:t xml:space="preserve">ust. 1 </w:t>
      </w:r>
      <w:r w:rsidR="7F0C4941" w:rsidRPr="003A42FB">
        <w:rPr>
          <w:rFonts w:ascii="Times New Roman" w:hAnsi="Times New Roman" w:cs="Times New Roman"/>
          <w:sz w:val="24"/>
          <w:szCs w:val="24"/>
        </w:rPr>
        <w:t>Pke</w:t>
      </w:r>
      <w:r w:rsidRPr="003A42FB">
        <w:rPr>
          <w:rFonts w:ascii="Times New Roman" w:hAnsi="Times New Roman" w:cs="Times New Roman"/>
          <w:sz w:val="24"/>
          <w:szCs w:val="24"/>
        </w:rPr>
        <w:t xml:space="preserve"> oraz art. 18 ust. 3 i art. 35a ust. 3 ustawy o wspieraniu rozwoju. Rozstrzygnięcie takie dotyczą określonego obszaru i nieokreślonej liczby podmiotów, a Prezes UKE </w:t>
      </w:r>
      <w:r w:rsidR="00846D90">
        <w:rPr>
          <w:rFonts w:ascii="Times New Roman" w:hAnsi="Times New Roman" w:cs="Times New Roman"/>
          <w:sz w:val="24"/>
          <w:szCs w:val="24"/>
        </w:rPr>
        <w:t>decydując</w:t>
      </w:r>
      <w:r w:rsidRPr="003A42FB">
        <w:rPr>
          <w:rFonts w:ascii="Times New Roman" w:hAnsi="Times New Roman" w:cs="Times New Roman"/>
          <w:sz w:val="24"/>
          <w:szCs w:val="24"/>
        </w:rPr>
        <w:t xml:space="preserve"> się na wydanie rozstrzygnięcia w drodze decyzji </w:t>
      </w:r>
      <w:r w:rsidR="0069524E">
        <w:rPr>
          <w:rFonts w:ascii="Times New Roman" w:hAnsi="Times New Roman" w:cs="Times New Roman"/>
          <w:sz w:val="24"/>
          <w:szCs w:val="24"/>
        </w:rPr>
        <w:t>obszarowej</w:t>
      </w:r>
      <w:r w:rsidR="00846D90">
        <w:rPr>
          <w:rFonts w:ascii="Times New Roman" w:hAnsi="Times New Roman" w:cs="Times New Roman"/>
          <w:sz w:val="24"/>
          <w:szCs w:val="24"/>
        </w:rPr>
        <w:t xml:space="preserve"> (zamiast indywidualnej)</w:t>
      </w:r>
      <w:r w:rsidRPr="003A42FB">
        <w:rPr>
          <w:rFonts w:ascii="Times New Roman" w:hAnsi="Times New Roman" w:cs="Times New Roman"/>
          <w:sz w:val="24"/>
          <w:szCs w:val="24"/>
        </w:rPr>
        <w:t>,</w:t>
      </w:r>
      <w:r w:rsidR="00846D90">
        <w:rPr>
          <w:rFonts w:ascii="Times New Roman" w:hAnsi="Times New Roman" w:cs="Times New Roman"/>
          <w:sz w:val="24"/>
          <w:szCs w:val="24"/>
        </w:rPr>
        <w:t xml:space="preserve"> powinien</w:t>
      </w:r>
      <w:r w:rsidRPr="003A42FB">
        <w:rPr>
          <w:rFonts w:ascii="Times New Roman" w:hAnsi="Times New Roman" w:cs="Times New Roman"/>
          <w:sz w:val="24"/>
          <w:szCs w:val="24"/>
        </w:rPr>
        <w:t xml:space="preserve"> w szczególności </w:t>
      </w:r>
      <w:r w:rsidR="00846D90">
        <w:rPr>
          <w:rFonts w:ascii="Times New Roman" w:hAnsi="Times New Roman" w:cs="Times New Roman"/>
          <w:sz w:val="24"/>
          <w:szCs w:val="24"/>
        </w:rPr>
        <w:t>wziąć</w:t>
      </w:r>
      <w:r w:rsidR="00846D90" w:rsidRPr="003A42FB">
        <w:rPr>
          <w:rFonts w:ascii="Times New Roman" w:hAnsi="Times New Roman" w:cs="Times New Roman"/>
          <w:sz w:val="24"/>
          <w:szCs w:val="24"/>
        </w:rPr>
        <w:t xml:space="preserve"> </w:t>
      </w:r>
      <w:r w:rsidRPr="003A42FB">
        <w:rPr>
          <w:rFonts w:ascii="Times New Roman" w:hAnsi="Times New Roman" w:cs="Times New Roman"/>
          <w:sz w:val="24"/>
          <w:szCs w:val="24"/>
        </w:rPr>
        <w:t xml:space="preserve">pod uwagę </w:t>
      </w:r>
      <w:r w:rsidR="00846D90">
        <w:rPr>
          <w:rFonts w:ascii="Times New Roman" w:hAnsi="Times New Roman" w:cs="Times New Roman"/>
          <w:sz w:val="24"/>
          <w:szCs w:val="24"/>
        </w:rPr>
        <w:t xml:space="preserve">najpełniejszą realizację zasady niedyskryminacyjnego </w:t>
      </w:r>
      <w:r w:rsidRPr="003A42FB">
        <w:rPr>
          <w:rFonts w:ascii="Times New Roman" w:hAnsi="Times New Roman" w:cs="Times New Roman"/>
          <w:sz w:val="24"/>
          <w:szCs w:val="24"/>
        </w:rPr>
        <w:t>traktowania podmiotów zobowiązanych do zapewnienia dostępu na określonym obszarze.</w:t>
      </w:r>
      <w:r w:rsidR="48A37993" w:rsidRPr="003A42FB">
        <w:rPr>
          <w:rFonts w:ascii="Times New Roman" w:hAnsi="Times New Roman" w:cs="Times New Roman"/>
          <w:sz w:val="24"/>
          <w:szCs w:val="24"/>
        </w:rPr>
        <w:t xml:space="preserve"> </w:t>
      </w:r>
    </w:p>
    <w:p w14:paraId="67E79035" w14:textId="09E16776" w:rsidR="00492A9F" w:rsidRPr="003A42FB" w:rsidRDefault="00492A9F"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 xml:space="preserve">Zgodnie z art. </w:t>
      </w:r>
      <w:r w:rsidR="00F00CE0" w:rsidRPr="003A42FB">
        <w:rPr>
          <w:rFonts w:ascii="Times New Roman" w:hAnsi="Times New Roman" w:cs="Times New Roman"/>
          <w:sz w:val="24"/>
          <w:szCs w:val="24"/>
        </w:rPr>
        <w:t>1</w:t>
      </w:r>
      <w:r w:rsidR="00F00CE0">
        <w:rPr>
          <w:rFonts w:ascii="Times New Roman" w:hAnsi="Times New Roman" w:cs="Times New Roman"/>
          <w:sz w:val="24"/>
          <w:szCs w:val="24"/>
        </w:rPr>
        <w:t>91</w:t>
      </w:r>
      <w:r w:rsidR="00F00CE0" w:rsidRPr="003A42FB">
        <w:rPr>
          <w:rFonts w:ascii="Times New Roman" w:hAnsi="Times New Roman" w:cs="Times New Roman"/>
          <w:sz w:val="24"/>
          <w:szCs w:val="24"/>
        </w:rPr>
        <w:t xml:space="preserve"> </w:t>
      </w:r>
      <w:r w:rsidRPr="003A42FB">
        <w:rPr>
          <w:rFonts w:ascii="Times New Roman" w:hAnsi="Times New Roman" w:cs="Times New Roman"/>
          <w:sz w:val="24"/>
          <w:szCs w:val="24"/>
        </w:rPr>
        <w:t xml:space="preserve">ust. 2 decyzja </w:t>
      </w:r>
      <w:r w:rsidR="00846D90">
        <w:rPr>
          <w:rFonts w:ascii="Times New Roman" w:hAnsi="Times New Roman" w:cs="Times New Roman"/>
          <w:sz w:val="24"/>
          <w:szCs w:val="24"/>
        </w:rPr>
        <w:t>obszarowa</w:t>
      </w:r>
      <w:r w:rsidRPr="003A42FB">
        <w:rPr>
          <w:rFonts w:ascii="Times New Roman" w:hAnsi="Times New Roman" w:cs="Times New Roman"/>
          <w:sz w:val="24"/>
          <w:szCs w:val="24"/>
        </w:rPr>
        <w:t xml:space="preserve"> nie narusza tożsamych materialnie rozstrzygnięć podjętych w drodze decyzji</w:t>
      </w:r>
      <w:r w:rsidR="00846D90">
        <w:rPr>
          <w:rFonts w:ascii="Times New Roman" w:hAnsi="Times New Roman" w:cs="Times New Roman"/>
          <w:sz w:val="24"/>
          <w:szCs w:val="24"/>
        </w:rPr>
        <w:t xml:space="preserve"> indywidualnych</w:t>
      </w:r>
      <w:r w:rsidRPr="003A42FB">
        <w:rPr>
          <w:rFonts w:ascii="Times New Roman" w:hAnsi="Times New Roman" w:cs="Times New Roman"/>
          <w:sz w:val="24"/>
          <w:szCs w:val="24"/>
        </w:rPr>
        <w:t xml:space="preserve">, chyba że Prezes UKE w decyzji </w:t>
      </w:r>
      <w:r w:rsidR="00846D90">
        <w:rPr>
          <w:rFonts w:ascii="Times New Roman" w:hAnsi="Times New Roman" w:cs="Times New Roman"/>
          <w:sz w:val="24"/>
          <w:szCs w:val="24"/>
        </w:rPr>
        <w:t>obszarowej</w:t>
      </w:r>
      <w:r w:rsidR="00846D90" w:rsidRPr="003A42FB">
        <w:rPr>
          <w:rFonts w:ascii="Times New Roman" w:hAnsi="Times New Roman" w:cs="Times New Roman"/>
          <w:sz w:val="24"/>
          <w:szCs w:val="24"/>
        </w:rPr>
        <w:t xml:space="preserve"> </w:t>
      </w:r>
      <w:r w:rsidRPr="003A42FB">
        <w:rPr>
          <w:rFonts w:ascii="Times New Roman" w:hAnsi="Times New Roman" w:cs="Times New Roman"/>
          <w:sz w:val="24"/>
          <w:szCs w:val="24"/>
        </w:rPr>
        <w:t>stwierdzi ich uchylenie</w:t>
      </w:r>
      <w:r w:rsidR="00C047DF">
        <w:rPr>
          <w:rFonts w:ascii="Times New Roman" w:hAnsi="Times New Roman" w:cs="Times New Roman"/>
          <w:sz w:val="24"/>
          <w:szCs w:val="24"/>
        </w:rPr>
        <w:t xml:space="preserve">, ze względu na konieczność zapewnienia jednolitości obowiązków dla wszystkich adresatów określonych w sposób rodzajowy przez decyzję generalną. Oznacza to, że w sytuacji, w której zdaniem Prezesa UKE występuje potrzeba zapewnienia jednakowych warunków </w:t>
      </w:r>
      <w:r w:rsidR="00AE20B4">
        <w:rPr>
          <w:rFonts w:ascii="Times New Roman" w:hAnsi="Times New Roman" w:cs="Times New Roman"/>
          <w:sz w:val="24"/>
          <w:szCs w:val="24"/>
        </w:rPr>
        <w:t xml:space="preserve">również </w:t>
      </w:r>
      <w:r w:rsidR="00C047DF">
        <w:rPr>
          <w:rFonts w:ascii="Times New Roman" w:hAnsi="Times New Roman" w:cs="Times New Roman"/>
          <w:sz w:val="24"/>
          <w:szCs w:val="24"/>
        </w:rPr>
        <w:t>dla podmiot</w:t>
      </w:r>
      <w:r w:rsidR="00AE20B4">
        <w:rPr>
          <w:rFonts w:ascii="Times New Roman" w:hAnsi="Times New Roman" w:cs="Times New Roman"/>
          <w:sz w:val="24"/>
          <w:szCs w:val="24"/>
        </w:rPr>
        <w:t>u, dla którego</w:t>
      </w:r>
      <w:r w:rsidR="00C047DF">
        <w:rPr>
          <w:rFonts w:ascii="Times New Roman" w:hAnsi="Times New Roman" w:cs="Times New Roman"/>
          <w:sz w:val="24"/>
          <w:szCs w:val="24"/>
        </w:rPr>
        <w:t xml:space="preserve"> została uprzednio wydana decyzja indywidualna, może taką decyzję uchylić</w:t>
      </w:r>
      <w:r w:rsidR="00AE20B4">
        <w:rPr>
          <w:rFonts w:ascii="Times New Roman" w:hAnsi="Times New Roman" w:cs="Times New Roman"/>
          <w:sz w:val="24"/>
          <w:szCs w:val="24"/>
        </w:rPr>
        <w:t>,</w:t>
      </w:r>
      <w:r w:rsidR="00C047DF">
        <w:rPr>
          <w:rFonts w:ascii="Times New Roman" w:hAnsi="Times New Roman" w:cs="Times New Roman"/>
          <w:sz w:val="24"/>
          <w:szCs w:val="24"/>
        </w:rPr>
        <w:t xml:space="preserve"> wskazując ją w decyzji obszarowej.</w:t>
      </w:r>
      <w:r w:rsidR="00AE20B4">
        <w:rPr>
          <w:rFonts w:ascii="Times New Roman" w:hAnsi="Times New Roman" w:cs="Times New Roman"/>
          <w:sz w:val="24"/>
          <w:szCs w:val="24"/>
        </w:rPr>
        <w:t xml:space="preserve"> Dotyczy to sytuacji, w której adresat decyzji indywidualnej będzie również objęty decyzją obszarową jako podmiot określony w sposób rodzajowy.</w:t>
      </w:r>
    </w:p>
    <w:p w14:paraId="23CCE19D" w14:textId="51A12540" w:rsidR="00492A9F" w:rsidRDefault="00492A9F" w:rsidP="00C53EAB">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 xml:space="preserve">W </w:t>
      </w:r>
      <w:r w:rsidR="00846D90">
        <w:rPr>
          <w:rFonts w:ascii="Times New Roman" w:hAnsi="Times New Roman" w:cs="Times New Roman"/>
          <w:sz w:val="24"/>
          <w:szCs w:val="24"/>
        </w:rPr>
        <w:t>art. 1</w:t>
      </w:r>
      <w:r w:rsidR="00F00CE0">
        <w:rPr>
          <w:rFonts w:ascii="Times New Roman" w:hAnsi="Times New Roman" w:cs="Times New Roman"/>
          <w:sz w:val="24"/>
          <w:szCs w:val="24"/>
        </w:rPr>
        <w:t>91</w:t>
      </w:r>
      <w:r w:rsidR="00846D90">
        <w:rPr>
          <w:rFonts w:ascii="Times New Roman" w:hAnsi="Times New Roman" w:cs="Times New Roman"/>
          <w:sz w:val="24"/>
          <w:szCs w:val="24"/>
        </w:rPr>
        <w:t xml:space="preserve"> </w:t>
      </w:r>
      <w:r w:rsidRPr="003A42FB">
        <w:rPr>
          <w:rFonts w:ascii="Times New Roman" w:hAnsi="Times New Roman" w:cs="Times New Roman"/>
          <w:sz w:val="24"/>
          <w:szCs w:val="24"/>
        </w:rPr>
        <w:t xml:space="preserve">ust. 3 zawarta jest szczególna regulacja, zgodnie z którą w przypadku wydania decyzji </w:t>
      </w:r>
      <w:r w:rsidR="00E30D88">
        <w:rPr>
          <w:rFonts w:ascii="Times New Roman" w:hAnsi="Times New Roman" w:cs="Times New Roman"/>
          <w:sz w:val="24"/>
          <w:szCs w:val="24"/>
        </w:rPr>
        <w:t>obszarowej</w:t>
      </w:r>
      <w:r w:rsidR="00E30D88" w:rsidRPr="003A42FB">
        <w:rPr>
          <w:rFonts w:ascii="Times New Roman" w:hAnsi="Times New Roman" w:cs="Times New Roman"/>
          <w:sz w:val="24"/>
          <w:szCs w:val="24"/>
        </w:rPr>
        <w:t xml:space="preserve"> </w:t>
      </w:r>
      <w:r w:rsidRPr="003A42FB">
        <w:rPr>
          <w:rFonts w:ascii="Times New Roman" w:hAnsi="Times New Roman" w:cs="Times New Roman"/>
          <w:sz w:val="24"/>
          <w:szCs w:val="24"/>
        </w:rPr>
        <w:t xml:space="preserve">w związku z art. </w:t>
      </w:r>
      <w:r w:rsidR="00F00CE0" w:rsidRPr="003A42FB">
        <w:rPr>
          <w:rFonts w:ascii="Times New Roman" w:hAnsi="Times New Roman" w:cs="Times New Roman"/>
          <w:sz w:val="24"/>
          <w:szCs w:val="24"/>
        </w:rPr>
        <w:t>1</w:t>
      </w:r>
      <w:r w:rsidR="00F00CE0">
        <w:rPr>
          <w:rFonts w:ascii="Times New Roman" w:hAnsi="Times New Roman" w:cs="Times New Roman"/>
          <w:sz w:val="24"/>
          <w:szCs w:val="24"/>
        </w:rPr>
        <w:t>7</w:t>
      </w:r>
      <w:r w:rsidR="00F00CE0" w:rsidRPr="003A42FB">
        <w:rPr>
          <w:rFonts w:ascii="Times New Roman" w:hAnsi="Times New Roman" w:cs="Times New Roman"/>
          <w:sz w:val="24"/>
          <w:szCs w:val="24"/>
        </w:rPr>
        <w:t xml:space="preserve">8 </w:t>
      </w:r>
      <w:r w:rsidRPr="003A42FB">
        <w:rPr>
          <w:rFonts w:ascii="Times New Roman" w:hAnsi="Times New Roman" w:cs="Times New Roman"/>
          <w:sz w:val="24"/>
          <w:szCs w:val="24"/>
        </w:rPr>
        <w:t xml:space="preserve">ust. 1, Prezes UKE jest obowiązany </w:t>
      </w:r>
      <w:r w:rsidR="00BB5C0E" w:rsidRPr="003A42FB">
        <w:rPr>
          <w:rFonts w:ascii="Times New Roman" w:hAnsi="Times New Roman" w:cs="Times New Roman"/>
          <w:sz w:val="24"/>
          <w:szCs w:val="24"/>
        </w:rPr>
        <w:t xml:space="preserve">do </w:t>
      </w:r>
      <w:r w:rsidRPr="003A42FB">
        <w:rPr>
          <w:rFonts w:ascii="Times New Roman" w:hAnsi="Times New Roman" w:cs="Times New Roman"/>
          <w:sz w:val="24"/>
          <w:szCs w:val="24"/>
        </w:rPr>
        <w:t xml:space="preserve">określenia w </w:t>
      </w:r>
      <w:r w:rsidRPr="003A42FB">
        <w:rPr>
          <w:rFonts w:ascii="Times New Roman" w:hAnsi="Times New Roman" w:cs="Times New Roman"/>
          <w:sz w:val="24"/>
          <w:szCs w:val="24"/>
        </w:rPr>
        <w:lastRenderedPageBreak/>
        <w:t>decyzji kryteri</w:t>
      </w:r>
      <w:r w:rsidR="00BB5C0E" w:rsidRPr="003A42FB">
        <w:rPr>
          <w:rFonts w:ascii="Times New Roman" w:hAnsi="Times New Roman" w:cs="Times New Roman"/>
          <w:sz w:val="24"/>
          <w:szCs w:val="24"/>
        </w:rPr>
        <w:t>ów</w:t>
      </w:r>
      <w:r w:rsidRPr="003A42FB">
        <w:rPr>
          <w:rFonts w:ascii="Times New Roman" w:hAnsi="Times New Roman" w:cs="Times New Roman"/>
          <w:sz w:val="24"/>
          <w:szCs w:val="24"/>
        </w:rPr>
        <w:t>, które musi spełniać przedsiębiorca telekomunikacyjny do uznania, że skala prowadzonej działalności przez niego działalności nie uzasadnia realizacji nowych sieci o bardzo dużej przepustowości, ze względów ekonomicznych lub finansowych.</w:t>
      </w:r>
    </w:p>
    <w:p w14:paraId="51C52D60" w14:textId="44E2EEFE" w:rsidR="00262313" w:rsidRPr="00262313" w:rsidRDefault="00F00CE0" w:rsidP="00C53EA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Natomiast art. 191</w:t>
      </w:r>
      <w:r w:rsidR="00262313" w:rsidRPr="3D03DFB3">
        <w:rPr>
          <w:rFonts w:ascii="Times New Roman" w:hAnsi="Times New Roman" w:cs="Times New Roman"/>
          <w:sz w:val="24"/>
          <w:szCs w:val="24"/>
        </w:rPr>
        <w:t xml:space="preserve"> ust. 4 przesadza, że wezwanie odpowiednio – operatora sieci (pkt 1) i nadleśniczego Lasów Państwowych (pkt 2)</w:t>
      </w:r>
      <w:r w:rsidR="00262313" w:rsidRPr="005F69BF">
        <w:rPr>
          <w:rFonts w:ascii="Times New Roman" w:hAnsi="Times New Roman" w:cs="Times New Roman"/>
          <w:sz w:val="24"/>
          <w:szCs w:val="24"/>
        </w:rPr>
        <w:t xml:space="preserve"> nie jest </w:t>
      </w:r>
      <w:r w:rsidR="00262313" w:rsidRPr="005F69BF">
        <w:rPr>
          <w:rFonts w:ascii="Times New Roman" w:hAnsi="Times New Roman" w:cs="Times New Roman"/>
          <w:i/>
          <w:sz w:val="24"/>
          <w:szCs w:val="24"/>
        </w:rPr>
        <w:t>condicio sine qua non</w:t>
      </w:r>
      <w:r w:rsidR="00262313" w:rsidRPr="3D03DFB3">
        <w:rPr>
          <w:rFonts w:ascii="Times New Roman" w:hAnsi="Times New Roman" w:cs="Times New Roman"/>
          <w:sz w:val="24"/>
          <w:szCs w:val="24"/>
        </w:rPr>
        <w:t xml:space="preserve"> do wydania decyzji </w:t>
      </w:r>
      <w:r>
        <w:rPr>
          <w:rFonts w:ascii="Times New Roman" w:hAnsi="Times New Roman" w:cs="Times New Roman"/>
          <w:sz w:val="24"/>
          <w:szCs w:val="24"/>
        </w:rPr>
        <w:t>generalnej na podstawie art. 191</w:t>
      </w:r>
      <w:r w:rsidR="00262313" w:rsidRPr="3D03DFB3">
        <w:rPr>
          <w:rFonts w:ascii="Times New Roman" w:hAnsi="Times New Roman" w:cs="Times New Roman"/>
          <w:sz w:val="24"/>
          <w:szCs w:val="24"/>
        </w:rPr>
        <w:t xml:space="preserve"> ust. 1 pkt 3 i 4. Rozwiązanie to ma na celu wykluczenie wykładni przepisów, zgodnie z którą adresatem rozstrzygnięć Prezesa UKE są tylko takie podmioty, do których wezwanie zostało skierowane. Konsekwencją jest to, że objęty decyzją generalną – określającą obiektywne, przejrzyste, proporcjonalne i niedyskryminacyjne warunki, na jakich powinien być zapewniany konkretny dostęp telekomunikacyjny – może być również podmiot, do którego nie zostało skierowane wezwanie do p</w:t>
      </w:r>
      <w:r w:rsidR="00262313" w:rsidRPr="005F69BF">
        <w:rPr>
          <w:rFonts w:ascii="Times New Roman" w:hAnsi="Times New Roman" w:cs="Times New Roman"/>
          <w:sz w:val="24"/>
          <w:szCs w:val="24"/>
        </w:rPr>
        <w:t xml:space="preserve">rzedstawienia informacji w sprawie warunków zapewnienia dostępu, jak i podmiot do którego wezwanie zostało skierowane, ale nie przedstawił wymaganych informacji niezależnie od przyczyn takiego działania. </w:t>
      </w:r>
      <w:r w:rsidR="00262313">
        <w:rPr>
          <w:rFonts w:ascii="Times New Roman" w:hAnsi="Times New Roman" w:cs="Times New Roman"/>
          <w:sz w:val="24"/>
          <w:szCs w:val="24"/>
        </w:rPr>
        <w:t xml:space="preserve">Należy podkreślić, że </w:t>
      </w:r>
      <w:r w:rsidR="00816CBB">
        <w:rPr>
          <w:rFonts w:ascii="Times New Roman" w:hAnsi="Times New Roman" w:cs="Times New Roman"/>
          <w:sz w:val="24"/>
          <w:szCs w:val="24"/>
        </w:rPr>
        <w:t>użyty zwrot „Prezes UKE nie jest obowiązany” wskazuje, że nie ciąży na organie taki obowiązek, jednak oczywiście posiada on kompetencję do takiego działania, w ramach wykonywanej władzy dyskrecjonalnej.</w:t>
      </w:r>
    </w:p>
    <w:p w14:paraId="286BA36B" w14:textId="72F990D5" w:rsidR="005C0D0C" w:rsidRPr="003A42FB" w:rsidRDefault="005C0D0C" w:rsidP="00C53EAB">
      <w:pPr>
        <w:spacing w:after="120" w:line="240" w:lineRule="auto"/>
        <w:jc w:val="both"/>
        <w:rPr>
          <w:rFonts w:ascii="Times New Roman" w:hAnsi="Times New Roman" w:cs="Times New Roman"/>
          <w:b/>
          <w:bCs/>
          <w:sz w:val="24"/>
          <w:szCs w:val="24"/>
        </w:rPr>
      </w:pPr>
      <w:r w:rsidRPr="003A42FB">
        <w:rPr>
          <w:rFonts w:ascii="Times New Roman" w:hAnsi="Times New Roman" w:cs="Times New Roman"/>
          <w:b/>
          <w:bCs/>
          <w:sz w:val="24"/>
          <w:szCs w:val="24"/>
        </w:rPr>
        <w:t>Art. 1</w:t>
      </w:r>
      <w:r w:rsidR="00F00CE0">
        <w:rPr>
          <w:rFonts w:ascii="Times New Roman" w:hAnsi="Times New Roman" w:cs="Times New Roman"/>
          <w:b/>
          <w:bCs/>
          <w:sz w:val="24"/>
          <w:szCs w:val="24"/>
        </w:rPr>
        <w:t>92-19</w:t>
      </w:r>
      <w:r w:rsidR="009C6CA7">
        <w:rPr>
          <w:rFonts w:ascii="Times New Roman" w:hAnsi="Times New Roman" w:cs="Times New Roman"/>
          <w:b/>
          <w:bCs/>
          <w:sz w:val="24"/>
          <w:szCs w:val="24"/>
        </w:rPr>
        <w:t>6</w:t>
      </w:r>
    </w:p>
    <w:p w14:paraId="3889AD18" w14:textId="4EFAD40F" w:rsidR="00081F63" w:rsidRPr="003A42FB" w:rsidRDefault="00505C86" w:rsidP="00C53EAB">
      <w:pPr>
        <w:shd w:val="clear" w:color="auto" w:fill="FFFFFF"/>
        <w:spacing w:after="120" w:line="240" w:lineRule="auto"/>
        <w:jc w:val="both"/>
        <w:rPr>
          <w:rFonts w:ascii="Times New Roman" w:eastAsia="Times New Roman" w:hAnsi="Times New Roman" w:cs="Times New Roman"/>
          <w:sz w:val="24"/>
          <w:szCs w:val="24"/>
          <w:lang w:eastAsia="pl-PL"/>
        </w:rPr>
      </w:pPr>
      <w:r w:rsidRPr="003A42FB">
        <w:rPr>
          <w:rFonts w:ascii="Times New Roman" w:hAnsi="Times New Roman" w:cs="Times New Roman"/>
          <w:sz w:val="24"/>
          <w:szCs w:val="24"/>
        </w:rPr>
        <w:t>Art. 1</w:t>
      </w:r>
      <w:r w:rsidR="009C6CA7">
        <w:rPr>
          <w:rFonts w:ascii="Times New Roman" w:hAnsi="Times New Roman" w:cs="Times New Roman"/>
          <w:sz w:val="24"/>
          <w:szCs w:val="24"/>
        </w:rPr>
        <w:t>92</w:t>
      </w:r>
      <w:r w:rsidRPr="003A42FB">
        <w:rPr>
          <w:rFonts w:ascii="Times New Roman" w:hAnsi="Times New Roman" w:cs="Times New Roman"/>
          <w:sz w:val="24"/>
          <w:szCs w:val="24"/>
        </w:rPr>
        <w:t xml:space="preserve"> przesądza, że do decyzji </w:t>
      </w:r>
      <w:r w:rsidR="00E30D88">
        <w:rPr>
          <w:rFonts w:ascii="Times New Roman" w:hAnsi="Times New Roman" w:cs="Times New Roman"/>
          <w:sz w:val="24"/>
          <w:szCs w:val="24"/>
        </w:rPr>
        <w:t>obszarowej</w:t>
      </w:r>
      <w:r w:rsidR="00E30D88" w:rsidRPr="003A42FB">
        <w:rPr>
          <w:rFonts w:ascii="Times New Roman" w:hAnsi="Times New Roman" w:cs="Times New Roman"/>
          <w:sz w:val="24"/>
          <w:szCs w:val="24"/>
        </w:rPr>
        <w:t xml:space="preserve"> </w:t>
      </w:r>
      <w:r w:rsidRPr="003A42FB">
        <w:rPr>
          <w:rFonts w:ascii="Times New Roman" w:hAnsi="Times New Roman" w:cs="Times New Roman"/>
          <w:sz w:val="24"/>
          <w:szCs w:val="24"/>
        </w:rPr>
        <w:t>stosuje się odpowiednio przepisy Kodeksu postępowania administracyjnego.</w:t>
      </w:r>
      <w:r w:rsidR="00081F63" w:rsidRPr="003A42FB">
        <w:rPr>
          <w:rFonts w:ascii="Times New Roman" w:hAnsi="Times New Roman" w:cs="Times New Roman"/>
          <w:sz w:val="24"/>
          <w:szCs w:val="24"/>
        </w:rPr>
        <w:t xml:space="preserve"> „Odpowiednie stosowanie” stosowanie przepisów oznacza, że przepisy Kpa są stosowane: wprost; z modyfikacjami (ponieważ nie jest możliwe stosowanie ich w całości wprost) lub nie mają zastosowania w ogóle.</w:t>
      </w:r>
    </w:p>
    <w:p w14:paraId="189615AF" w14:textId="2B2BBEFA" w:rsidR="00505C86" w:rsidRPr="003A42FB" w:rsidRDefault="00505C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Decyzja </w:t>
      </w:r>
      <w:r w:rsidR="00E30D88">
        <w:rPr>
          <w:rFonts w:ascii="Times New Roman" w:eastAsiaTheme="minorEastAsia" w:hAnsi="Times New Roman" w:cs="Times New Roman"/>
          <w:sz w:val="24"/>
          <w:szCs w:val="24"/>
        </w:rPr>
        <w:t>obszarowa</w:t>
      </w:r>
      <w:r w:rsidR="00E30D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jest wydawana na okres nie dłuższy niż </w:t>
      </w:r>
      <w:r w:rsidR="00846D90">
        <w:rPr>
          <w:rFonts w:ascii="Times New Roman" w:eastAsiaTheme="minorEastAsia" w:hAnsi="Times New Roman" w:cs="Times New Roman"/>
          <w:sz w:val="24"/>
          <w:szCs w:val="24"/>
        </w:rPr>
        <w:t>7</w:t>
      </w:r>
      <w:r w:rsidRPr="003A42FB">
        <w:rPr>
          <w:rFonts w:ascii="Times New Roman" w:eastAsiaTheme="minorEastAsia" w:hAnsi="Times New Roman" w:cs="Times New Roman"/>
          <w:sz w:val="24"/>
          <w:szCs w:val="24"/>
        </w:rPr>
        <w:t xml:space="preserve"> lat (art. </w:t>
      </w:r>
      <w:r w:rsidR="009C6CA7" w:rsidRPr="003A42FB">
        <w:rPr>
          <w:rFonts w:ascii="Times New Roman" w:eastAsiaTheme="minorEastAsia" w:hAnsi="Times New Roman" w:cs="Times New Roman"/>
          <w:sz w:val="24"/>
          <w:szCs w:val="24"/>
        </w:rPr>
        <w:t>1</w:t>
      </w:r>
      <w:r w:rsidR="009C6CA7">
        <w:rPr>
          <w:rFonts w:ascii="Times New Roman" w:eastAsiaTheme="minorEastAsia" w:hAnsi="Times New Roman" w:cs="Times New Roman"/>
          <w:sz w:val="24"/>
          <w:szCs w:val="24"/>
        </w:rPr>
        <w:t>93</w:t>
      </w:r>
      <w:r w:rsidR="009C6CA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1). Do decyzji </w:t>
      </w:r>
      <w:r w:rsidR="00E30D88">
        <w:rPr>
          <w:rFonts w:ascii="Times New Roman" w:eastAsiaTheme="minorEastAsia" w:hAnsi="Times New Roman" w:cs="Times New Roman"/>
          <w:sz w:val="24"/>
          <w:szCs w:val="24"/>
        </w:rPr>
        <w:t>obszarowej</w:t>
      </w:r>
      <w:r w:rsidR="00E30D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stosuje się zgodnie z </w:t>
      </w:r>
      <w:r w:rsidR="009C6CA7">
        <w:rPr>
          <w:rFonts w:ascii="Times New Roman" w:eastAsiaTheme="minorEastAsia" w:hAnsi="Times New Roman" w:cs="Times New Roman"/>
          <w:sz w:val="24"/>
          <w:szCs w:val="24"/>
        </w:rPr>
        <w:t>art. 193</w:t>
      </w:r>
      <w:r w:rsidR="000306CC">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2 procedurę przeglądu, o której mowa w art. </w:t>
      </w:r>
      <w:r w:rsidR="009C6CA7">
        <w:rPr>
          <w:rFonts w:ascii="Times New Roman" w:eastAsiaTheme="minorEastAsia" w:hAnsi="Times New Roman" w:cs="Times New Roman"/>
          <w:sz w:val="24"/>
          <w:szCs w:val="24"/>
        </w:rPr>
        <w:t>182</w:t>
      </w:r>
      <w:r w:rsidRPr="003A42FB">
        <w:rPr>
          <w:rFonts w:ascii="Times New Roman" w:eastAsiaTheme="minorEastAsia" w:hAnsi="Times New Roman" w:cs="Times New Roman"/>
          <w:sz w:val="24"/>
          <w:szCs w:val="24"/>
        </w:rPr>
        <w:t>, z odpowiednimi modyfikacjami, polegającymi na tym, że:</w:t>
      </w:r>
    </w:p>
    <w:p w14:paraId="50CA92B2" w14:textId="7F8717BC" w:rsidR="00505C86" w:rsidRPr="003A42FB" w:rsidRDefault="23E5E14D"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wydaje z urzędu postanowienie, o którym mowa w art. 1</w:t>
      </w:r>
      <w:r w:rsidR="009C6CA7">
        <w:rPr>
          <w:rFonts w:ascii="Times New Roman" w:eastAsiaTheme="minorEastAsia" w:hAnsi="Times New Roman" w:cs="Times New Roman"/>
          <w:sz w:val="24"/>
          <w:szCs w:val="24"/>
        </w:rPr>
        <w:t>82</w:t>
      </w:r>
      <w:r w:rsidRPr="003A42FB">
        <w:rPr>
          <w:rFonts w:ascii="Times New Roman" w:eastAsiaTheme="minorEastAsia" w:hAnsi="Times New Roman" w:cs="Times New Roman"/>
          <w:sz w:val="24"/>
          <w:szCs w:val="24"/>
        </w:rPr>
        <w:t xml:space="preserve"> ust. 1, </w:t>
      </w:r>
      <w:r w:rsidR="1A52CDFD" w:rsidRPr="003A42FB">
        <w:rPr>
          <w:rFonts w:ascii="Times New Roman" w:hAnsi="Times New Roman" w:cs="Times New Roman"/>
          <w:sz w:val="24"/>
          <w:szCs w:val="24"/>
        </w:rPr>
        <w:t>dotyczące określonego obszaru i nieokreślonej liczby podmiotów, do którego stosuje się odpowiednio przepisy art. 1</w:t>
      </w:r>
      <w:r w:rsidR="009C6CA7">
        <w:rPr>
          <w:rFonts w:ascii="Times New Roman" w:hAnsi="Times New Roman" w:cs="Times New Roman"/>
          <w:sz w:val="24"/>
          <w:szCs w:val="24"/>
        </w:rPr>
        <w:t>94-196</w:t>
      </w:r>
      <w:r w:rsidR="1A52CDFD" w:rsidRPr="003A42FB">
        <w:rPr>
          <w:rFonts w:ascii="Times New Roman" w:hAnsi="Times New Roman" w:cs="Times New Roman"/>
          <w:sz w:val="24"/>
          <w:szCs w:val="24"/>
        </w:rPr>
        <w:t xml:space="preserve"> </w:t>
      </w:r>
      <w:r w:rsidR="43404BD5" w:rsidRPr="003A42FB">
        <w:rPr>
          <w:rFonts w:ascii="Times New Roman" w:hAnsi="Times New Roman" w:cs="Times New Roman"/>
          <w:sz w:val="24"/>
          <w:szCs w:val="24"/>
        </w:rPr>
        <w:t>Pke</w:t>
      </w:r>
      <w:r w:rsidR="1A52CDFD" w:rsidRPr="003A42FB">
        <w:rPr>
          <w:rFonts w:ascii="Times New Roman" w:hAnsi="Times New Roman" w:cs="Times New Roman"/>
          <w:sz w:val="24"/>
          <w:szCs w:val="24"/>
        </w:rPr>
        <w:t xml:space="preserve"> oraz Kpa</w:t>
      </w:r>
      <w:r w:rsidR="000306CC">
        <w:rPr>
          <w:rFonts w:ascii="Times New Roman" w:hAnsi="Times New Roman" w:cs="Times New Roman"/>
          <w:sz w:val="24"/>
          <w:szCs w:val="24"/>
        </w:rPr>
        <w:t xml:space="preserve"> (a więc to swoiste postanowienie obszarowe o charakterze generalnym)</w:t>
      </w:r>
      <w:r w:rsidR="1A52CDFD" w:rsidRPr="003A42FB">
        <w:rPr>
          <w:rFonts w:ascii="Times New Roman" w:hAnsi="Times New Roman" w:cs="Times New Roman"/>
          <w:sz w:val="24"/>
          <w:szCs w:val="24"/>
        </w:rPr>
        <w:t>,</w:t>
      </w:r>
      <w:r w:rsidR="1A52CDF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w terminie </w:t>
      </w:r>
      <w:r w:rsidR="000306CC">
        <w:rPr>
          <w:rFonts w:ascii="Times New Roman" w:eastAsiaTheme="minorEastAsia" w:hAnsi="Times New Roman" w:cs="Times New Roman"/>
          <w:sz w:val="24"/>
          <w:szCs w:val="24"/>
        </w:rPr>
        <w:t>4</w:t>
      </w:r>
      <w:r w:rsidR="000306C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lat od wydania ostatecznej decyzji </w:t>
      </w:r>
      <w:r w:rsidR="000306CC">
        <w:rPr>
          <w:rFonts w:ascii="Times New Roman" w:eastAsiaTheme="minorEastAsia" w:hAnsi="Times New Roman" w:cs="Times New Roman"/>
          <w:sz w:val="24"/>
          <w:szCs w:val="24"/>
        </w:rPr>
        <w:t>obszarowej</w:t>
      </w:r>
      <w:r w:rsidRPr="003A42FB">
        <w:rPr>
          <w:rFonts w:ascii="Times New Roman" w:eastAsiaTheme="minorEastAsia" w:hAnsi="Times New Roman" w:cs="Times New Roman"/>
          <w:sz w:val="24"/>
          <w:szCs w:val="24"/>
        </w:rPr>
        <w:t>, co oznacza, że obowiązek przegląd</w:t>
      </w:r>
      <w:r w:rsidR="000306CC">
        <w:rPr>
          <w:rFonts w:ascii="Times New Roman" w:eastAsiaTheme="minorEastAsia" w:hAnsi="Times New Roman" w:cs="Times New Roman"/>
          <w:sz w:val="24"/>
          <w:szCs w:val="24"/>
        </w:rPr>
        <w:t>u</w:t>
      </w:r>
      <w:r w:rsidRPr="003A42FB">
        <w:rPr>
          <w:rFonts w:ascii="Times New Roman" w:eastAsiaTheme="minorEastAsia" w:hAnsi="Times New Roman" w:cs="Times New Roman"/>
          <w:sz w:val="24"/>
          <w:szCs w:val="24"/>
        </w:rPr>
        <w:t xml:space="preserve"> decyzji </w:t>
      </w:r>
      <w:r w:rsidR="000306CC">
        <w:rPr>
          <w:rFonts w:ascii="Times New Roman" w:eastAsiaTheme="minorEastAsia" w:hAnsi="Times New Roman" w:cs="Times New Roman"/>
          <w:sz w:val="24"/>
          <w:szCs w:val="24"/>
        </w:rPr>
        <w:t>obszarowych</w:t>
      </w:r>
      <w:r w:rsidR="000306C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musi zostać zrealizowany w krótszym o </w:t>
      </w:r>
      <w:r w:rsidR="000306CC">
        <w:rPr>
          <w:rFonts w:ascii="Times New Roman" w:eastAsiaTheme="minorEastAsia" w:hAnsi="Times New Roman" w:cs="Times New Roman"/>
          <w:sz w:val="24"/>
          <w:szCs w:val="24"/>
        </w:rPr>
        <w:t>rok</w:t>
      </w:r>
      <w:r w:rsidRPr="003A42FB">
        <w:rPr>
          <w:rFonts w:ascii="Times New Roman" w:eastAsiaTheme="minorEastAsia" w:hAnsi="Times New Roman" w:cs="Times New Roman"/>
          <w:sz w:val="24"/>
          <w:szCs w:val="24"/>
        </w:rPr>
        <w:t xml:space="preserve"> maksymalnym terminie, niż w przypadku innych </w:t>
      </w:r>
      <w:r w:rsidR="000306CC">
        <w:rPr>
          <w:rFonts w:ascii="Times New Roman" w:eastAsiaTheme="minorEastAsia" w:hAnsi="Times New Roman" w:cs="Times New Roman"/>
          <w:sz w:val="24"/>
          <w:szCs w:val="24"/>
        </w:rPr>
        <w:t>obowiązków</w:t>
      </w:r>
      <w:r w:rsidRPr="003A42FB">
        <w:rPr>
          <w:rFonts w:ascii="Times New Roman" w:eastAsiaTheme="minorEastAsia" w:hAnsi="Times New Roman" w:cs="Times New Roman"/>
          <w:sz w:val="24"/>
          <w:szCs w:val="24"/>
        </w:rPr>
        <w:t xml:space="preserve"> objętych przeglądem;</w:t>
      </w:r>
    </w:p>
    <w:p w14:paraId="60C3558A" w14:textId="48BE3AD1" w:rsidR="00A921A9" w:rsidRPr="003A42FB" w:rsidRDefault="00505C86"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rozstrzygnięcie, o którym mowa w art. </w:t>
      </w:r>
      <w:r w:rsidR="009C6CA7" w:rsidRPr="003A42FB">
        <w:rPr>
          <w:rFonts w:ascii="Times New Roman" w:eastAsiaTheme="minorEastAsia" w:hAnsi="Times New Roman" w:cs="Times New Roman"/>
          <w:sz w:val="24"/>
          <w:szCs w:val="24"/>
        </w:rPr>
        <w:t>1</w:t>
      </w:r>
      <w:r w:rsidR="009C6CA7">
        <w:rPr>
          <w:rFonts w:ascii="Times New Roman" w:eastAsiaTheme="minorEastAsia" w:hAnsi="Times New Roman" w:cs="Times New Roman"/>
          <w:sz w:val="24"/>
          <w:szCs w:val="24"/>
        </w:rPr>
        <w:t>82</w:t>
      </w:r>
      <w:r w:rsidR="009C6CA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4, następuje w drodze decyzji </w:t>
      </w:r>
      <w:r w:rsidR="000306CC">
        <w:rPr>
          <w:rFonts w:ascii="Times New Roman" w:eastAsiaTheme="minorEastAsia" w:hAnsi="Times New Roman" w:cs="Times New Roman"/>
          <w:sz w:val="24"/>
          <w:szCs w:val="24"/>
        </w:rPr>
        <w:t>obszarowej (zamiast decyzji indywidualnej)</w:t>
      </w:r>
      <w:r w:rsidRPr="003A42FB">
        <w:rPr>
          <w:rFonts w:ascii="Times New Roman" w:eastAsiaTheme="minorEastAsia" w:hAnsi="Times New Roman" w:cs="Times New Roman"/>
          <w:sz w:val="24"/>
          <w:szCs w:val="24"/>
        </w:rPr>
        <w:t>.</w:t>
      </w:r>
    </w:p>
    <w:p w14:paraId="2AA5A07D" w14:textId="7D19D365" w:rsidR="00BB5C0E" w:rsidRPr="003A42FB"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Procedura wydania decyzji </w:t>
      </w:r>
      <w:r w:rsidR="000306CC">
        <w:rPr>
          <w:rFonts w:ascii="Times New Roman" w:eastAsiaTheme="minorEastAsia" w:hAnsi="Times New Roman" w:cs="Times New Roman"/>
          <w:sz w:val="24"/>
          <w:szCs w:val="24"/>
        </w:rPr>
        <w:t>obszarowej</w:t>
      </w:r>
      <w:r w:rsidRPr="003A42FB">
        <w:rPr>
          <w:rFonts w:ascii="Times New Roman" w:eastAsiaTheme="minorEastAsia" w:hAnsi="Times New Roman" w:cs="Times New Roman"/>
          <w:sz w:val="24"/>
          <w:szCs w:val="24"/>
        </w:rPr>
        <w:t xml:space="preserve">, z uwagi na jej zakres i cechy, z jednej strony, musi wprowadzać odmienności w stosunku do </w:t>
      </w:r>
      <w:r w:rsidR="000D0B7C">
        <w:rPr>
          <w:rFonts w:ascii="Times New Roman" w:eastAsiaTheme="minorEastAsia" w:hAnsi="Times New Roman" w:cs="Times New Roman"/>
          <w:sz w:val="24"/>
          <w:szCs w:val="24"/>
        </w:rPr>
        <w:t>ogólnego</w:t>
      </w:r>
      <w:r w:rsidR="000D0B7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postepowania administracyjnego, a z drugiej, pozwalać adresatom decyzji na wyrażenie swojego stanowiska w sprawie, czy zapoznania się z aktami postępowania. W przypadku decyzji </w:t>
      </w:r>
      <w:r w:rsidR="00E30D88">
        <w:rPr>
          <w:rFonts w:ascii="Times New Roman" w:eastAsiaTheme="minorEastAsia" w:hAnsi="Times New Roman" w:cs="Times New Roman"/>
          <w:sz w:val="24"/>
          <w:szCs w:val="24"/>
        </w:rPr>
        <w:t>obszarowych</w:t>
      </w:r>
      <w:r w:rsidR="00E30D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nie jest możliwe prowadzenie klasycznego postępowania wyjaśniającego, gdyż w jego toku musiałby dojść do zidentyfikowania stron postępowania, a pominięcie takiej strony skutkowałoby wadliwością toczącego się postępowania. Postępowanie w sprawie </w:t>
      </w:r>
      <w:r w:rsidR="00505C86" w:rsidRPr="003A42FB">
        <w:rPr>
          <w:rFonts w:ascii="Times New Roman" w:eastAsiaTheme="minorEastAsia" w:hAnsi="Times New Roman" w:cs="Times New Roman"/>
          <w:sz w:val="24"/>
          <w:szCs w:val="24"/>
        </w:rPr>
        <w:t>wydania</w:t>
      </w:r>
      <w:r w:rsidRPr="003A42FB">
        <w:rPr>
          <w:rFonts w:ascii="Times New Roman" w:eastAsiaTheme="minorEastAsia" w:hAnsi="Times New Roman" w:cs="Times New Roman"/>
          <w:sz w:val="24"/>
          <w:szCs w:val="24"/>
        </w:rPr>
        <w:t xml:space="preserve"> decyzji </w:t>
      </w:r>
      <w:r w:rsidR="000D0B7C">
        <w:rPr>
          <w:rFonts w:ascii="Times New Roman" w:eastAsiaTheme="minorEastAsia" w:hAnsi="Times New Roman" w:cs="Times New Roman"/>
          <w:sz w:val="24"/>
          <w:szCs w:val="24"/>
        </w:rPr>
        <w:t>obszarowej</w:t>
      </w:r>
      <w:r w:rsidR="000D0B7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zostało skonstruowane w taki sposób, aby wszyscy adresaci decyzji mogli dowiedzieć się o </w:t>
      </w:r>
      <w:r w:rsidR="000D0B7C">
        <w:rPr>
          <w:rFonts w:ascii="Times New Roman" w:eastAsiaTheme="minorEastAsia" w:hAnsi="Times New Roman" w:cs="Times New Roman"/>
          <w:sz w:val="24"/>
          <w:szCs w:val="24"/>
        </w:rPr>
        <w:t xml:space="preserve">wszczęciu postępowania i rozpoczęciu </w:t>
      </w:r>
      <w:r w:rsidRPr="003A42FB">
        <w:rPr>
          <w:rFonts w:ascii="Times New Roman" w:eastAsiaTheme="minorEastAsia" w:hAnsi="Times New Roman" w:cs="Times New Roman"/>
          <w:sz w:val="24"/>
          <w:szCs w:val="24"/>
        </w:rPr>
        <w:t>prac nad</w:t>
      </w:r>
      <w:r w:rsidR="000D0B7C">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przygotowanie</w:t>
      </w:r>
      <w:r w:rsidR="00BB5C0E" w:rsidRPr="003A42FB">
        <w:rPr>
          <w:rFonts w:ascii="Times New Roman" w:eastAsiaTheme="minorEastAsia" w:hAnsi="Times New Roman" w:cs="Times New Roman"/>
          <w:sz w:val="24"/>
          <w:szCs w:val="24"/>
        </w:rPr>
        <w:t>m</w:t>
      </w:r>
      <w:r w:rsidRPr="003A42FB">
        <w:rPr>
          <w:rFonts w:ascii="Times New Roman" w:eastAsiaTheme="minorEastAsia" w:hAnsi="Times New Roman" w:cs="Times New Roman"/>
          <w:sz w:val="24"/>
          <w:szCs w:val="24"/>
        </w:rPr>
        <w:t xml:space="preserve"> tego aktu stosowania prawa oraz w odpowiednim terminie przedstawić swoje stanowisko. W tym celu w projekcie ustawy wskazano, odrębny od Kpa, tryb prowadzenia postepowania wyjaśniającego. Prezes UKE</w:t>
      </w:r>
      <w:r w:rsidR="009C6CA7">
        <w:rPr>
          <w:rFonts w:ascii="Times New Roman" w:eastAsiaTheme="minorEastAsia" w:hAnsi="Times New Roman" w:cs="Times New Roman"/>
          <w:sz w:val="24"/>
          <w:szCs w:val="24"/>
        </w:rPr>
        <w:t>, zgodnie z art. 194</w:t>
      </w:r>
      <w:r w:rsidR="000D0B7C">
        <w:rPr>
          <w:rFonts w:ascii="Times New Roman" w:eastAsiaTheme="minorEastAsia" w:hAnsi="Times New Roman" w:cs="Times New Roman"/>
          <w:sz w:val="24"/>
          <w:szCs w:val="24"/>
        </w:rPr>
        <w:t xml:space="preserve"> ust. 1 Pke,</w:t>
      </w:r>
      <w:r w:rsidRPr="003A42FB">
        <w:rPr>
          <w:rFonts w:ascii="Times New Roman" w:eastAsiaTheme="minorEastAsia" w:hAnsi="Times New Roman" w:cs="Times New Roman"/>
          <w:sz w:val="24"/>
          <w:szCs w:val="24"/>
        </w:rPr>
        <w:t xml:space="preserve"> zobowiązany jest dokonać obwieszczenia</w:t>
      </w:r>
      <w:r w:rsidR="00BB5C0E" w:rsidRPr="003A42FB">
        <w:rPr>
          <w:rFonts w:ascii="Times New Roman" w:eastAsiaTheme="minorEastAsia" w:hAnsi="Times New Roman" w:cs="Times New Roman"/>
          <w:sz w:val="24"/>
          <w:szCs w:val="24"/>
        </w:rPr>
        <w:t xml:space="preserve"> i opublikować je </w:t>
      </w:r>
      <w:r w:rsidR="00B36B93" w:rsidRPr="003A42FB">
        <w:rPr>
          <w:rFonts w:ascii="Times New Roman" w:eastAsiaTheme="minorEastAsia" w:hAnsi="Times New Roman" w:cs="Times New Roman"/>
          <w:sz w:val="24"/>
          <w:szCs w:val="24"/>
        </w:rPr>
        <w:t>na stronie podmiotowej</w:t>
      </w:r>
      <w:r w:rsidR="00BB5C0E" w:rsidRPr="003A42FB">
        <w:rPr>
          <w:rFonts w:ascii="Times New Roman" w:eastAsiaTheme="minorEastAsia" w:hAnsi="Times New Roman" w:cs="Times New Roman"/>
          <w:sz w:val="24"/>
          <w:szCs w:val="24"/>
        </w:rPr>
        <w:t xml:space="preserve"> BIP UKE</w:t>
      </w:r>
      <w:r w:rsidRPr="003A42FB">
        <w:rPr>
          <w:rFonts w:ascii="Times New Roman" w:eastAsiaTheme="minorEastAsia" w:hAnsi="Times New Roman" w:cs="Times New Roman"/>
          <w:sz w:val="24"/>
          <w:szCs w:val="24"/>
        </w:rPr>
        <w:t xml:space="preserve">. </w:t>
      </w:r>
      <w:r w:rsidR="00BB5C0E" w:rsidRPr="003A42FB">
        <w:rPr>
          <w:rFonts w:ascii="Times New Roman" w:eastAsiaTheme="minorEastAsia" w:hAnsi="Times New Roman" w:cs="Times New Roman"/>
          <w:sz w:val="24"/>
          <w:szCs w:val="24"/>
        </w:rPr>
        <w:t>Obwieszczenie zawiera informacje o:</w:t>
      </w:r>
    </w:p>
    <w:p w14:paraId="0FA0BC93" w14:textId="59FC96DE" w:rsidR="00BB5C0E" w:rsidRPr="003A42FB" w:rsidRDefault="00BB5C0E" w:rsidP="00C53EAB">
      <w:pPr>
        <w:numPr>
          <w:ilvl w:val="0"/>
          <w:numId w:val="45"/>
        </w:num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lastRenderedPageBreak/>
        <w:t>przystąpieniu do opracowania projektu decyzji</w:t>
      </w:r>
      <w:r w:rsidR="000D0B7C">
        <w:rPr>
          <w:rFonts w:ascii="Times New Roman" w:eastAsiaTheme="minorEastAsia" w:hAnsi="Times New Roman" w:cs="Times New Roman"/>
          <w:sz w:val="24"/>
          <w:szCs w:val="24"/>
        </w:rPr>
        <w:t xml:space="preserve"> obszarowej</w:t>
      </w:r>
      <w:r w:rsidRPr="003A42FB">
        <w:rPr>
          <w:rFonts w:ascii="Times New Roman" w:eastAsiaTheme="minorEastAsia" w:hAnsi="Times New Roman" w:cs="Times New Roman"/>
          <w:sz w:val="24"/>
          <w:szCs w:val="24"/>
        </w:rPr>
        <w:t>, jej zmiany lub uchylenia, wraz z informacją o jej przedmiocie i założeniach</w:t>
      </w:r>
      <w:r w:rsidR="000D6A8A" w:rsidRPr="003A42FB">
        <w:rPr>
          <w:rFonts w:ascii="Times New Roman" w:eastAsiaTheme="minorEastAsia" w:hAnsi="Times New Roman" w:cs="Times New Roman"/>
          <w:sz w:val="24"/>
          <w:szCs w:val="24"/>
        </w:rPr>
        <w:t>;</w:t>
      </w:r>
    </w:p>
    <w:p w14:paraId="246F1005" w14:textId="7DC921D5" w:rsidR="00BB5C0E" w:rsidRPr="003A42FB" w:rsidRDefault="00BB5C0E" w:rsidP="00C53EAB">
      <w:pPr>
        <w:numPr>
          <w:ilvl w:val="0"/>
          <w:numId w:val="45"/>
        </w:num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sposobie zapoznania się z aktami sprawy oraz o miejscu, w którym są one dostępne do wglądu</w:t>
      </w:r>
      <w:r w:rsidR="000D6A8A" w:rsidRPr="003A42FB">
        <w:rPr>
          <w:rFonts w:ascii="Times New Roman" w:eastAsiaTheme="minorEastAsia" w:hAnsi="Times New Roman" w:cs="Times New Roman"/>
          <w:sz w:val="24"/>
          <w:szCs w:val="24"/>
        </w:rPr>
        <w:t>;</w:t>
      </w:r>
    </w:p>
    <w:p w14:paraId="439CA630" w14:textId="61383864" w:rsidR="00BB5C0E" w:rsidRPr="003A42FB" w:rsidRDefault="00BB5C0E" w:rsidP="00C53EAB">
      <w:pPr>
        <w:numPr>
          <w:ilvl w:val="0"/>
          <w:numId w:val="45"/>
        </w:num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uprawnieniu </w:t>
      </w:r>
      <w:r w:rsidR="000D0B7C">
        <w:rPr>
          <w:rFonts w:ascii="Times New Roman" w:eastAsiaTheme="minorEastAsia" w:hAnsi="Times New Roman" w:cs="Times New Roman"/>
          <w:sz w:val="24"/>
          <w:szCs w:val="24"/>
        </w:rPr>
        <w:t xml:space="preserve">do </w:t>
      </w:r>
      <w:r w:rsidRPr="003A42FB">
        <w:rPr>
          <w:rFonts w:ascii="Times New Roman" w:eastAsiaTheme="minorEastAsia" w:hAnsi="Times New Roman" w:cs="Times New Roman"/>
          <w:sz w:val="24"/>
          <w:szCs w:val="24"/>
        </w:rPr>
        <w:t>składania stanowisk, w tym sposobie, miejscu i terminie.</w:t>
      </w:r>
    </w:p>
    <w:p w14:paraId="53AFAA50" w14:textId="453A26FB" w:rsidR="00E36BB3" w:rsidRDefault="00160A4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celu zapewnienia transparentności procesu, </w:t>
      </w:r>
      <w:r w:rsidR="00FA26AE">
        <w:rPr>
          <w:rFonts w:ascii="Times New Roman" w:eastAsiaTheme="minorEastAsia" w:hAnsi="Times New Roman" w:cs="Times New Roman"/>
          <w:sz w:val="24"/>
          <w:szCs w:val="24"/>
        </w:rPr>
        <w:t xml:space="preserve">przepisy </w:t>
      </w:r>
      <w:r w:rsidR="00E36BB3">
        <w:rPr>
          <w:rFonts w:ascii="Times New Roman" w:eastAsiaTheme="minorEastAsia" w:hAnsi="Times New Roman" w:cs="Times New Roman"/>
          <w:sz w:val="24"/>
          <w:szCs w:val="24"/>
        </w:rPr>
        <w:t>art.</w:t>
      </w:r>
      <w:r w:rsidR="009C6CA7">
        <w:rPr>
          <w:rFonts w:ascii="Times New Roman" w:eastAsiaTheme="minorEastAsia" w:hAnsi="Times New Roman" w:cs="Times New Roman"/>
          <w:sz w:val="24"/>
          <w:szCs w:val="24"/>
        </w:rPr>
        <w:t xml:space="preserve"> 194</w:t>
      </w:r>
      <w:r w:rsidR="00FA26AE">
        <w:rPr>
          <w:rFonts w:ascii="Times New Roman" w:eastAsiaTheme="minorEastAsia" w:hAnsi="Times New Roman" w:cs="Times New Roman"/>
          <w:sz w:val="24"/>
          <w:szCs w:val="24"/>
        </w:rPr>
        <w:t xml:space="preserve"> ust. 2-3</w:t>
      </w:r>
      <w:r w:rsidR="00E36BB3" w:rsidRPr="003A42FB">
        <w:rPr>
          <w:rFonts w:ascii="Times New Roman" w:eastAsiaTheme="minorEastAsia" w:hAnsi="Times New Roman" w:cs="Times New Roman"/>
          <w:sz w:val="24"/>
          <w:szCs w:val="24"/>
        </w:rPr>
        <w:t xml:space="preserve"> </w:t>
      </w:r>
      <w:r w:rsidR="00FA26AE">
        <w:rPr>
          <w:rFonts w:ascii="Times New Roman" w:eastAsiaTheme="minorEastAsia" w:hAnsi="Times New Roman" w:cs="Times New Roman"/>
          <w:sz w:val="24"/>
          <w:szCs w:val="24"/>
        </w:rPr>
        <w:t xml:space="preserve">Pke </w:t>
      </w:r>
      <w:r w:rsidRPr="003A42FB">
        <w:rPr>
          <w:rFonts w:ascii="Times New Roman" w:eastAsiaTheme="minorEastAsia" w:hAnsi="Times New Roman" w:cs="Times New Roman"/>
          <w:sz w:val="24"/>
          <w:szCs w:val="24"/>
        </w:rPr>
        <w:t>przewiduj</w:t>
      </w:r>
      <w:r w:rsidR="00FA26AE">
        <w:rPr>
          <w:rFonts w:ascii="Times New Roman" w:eastAsiaTheme="minorEastAsia" w:hAnsi="Times New Roman" w:cs="Times New Roman"/>
          <w:sz w:val="24"/>
          <w:szCs w:val="24"/>
        </w:rPr>
        <w:t>ą</w:t>
      </w:r>
      <w:r w:rsidRPr="003A42FB">
        <w:rPr>
          <w:rFonts w:ascii="Times New Roman" w:eastAsiaTheme="minorEastAsia" w:hAnsi="Times New Roman" w:cs="Times New Roman"/>
          <w:sz w:val="24"/>
          <w:szCs w:val="24"/>
        </w:rPr>
        <w:t xml:space="preserve"> także obowiązek udostępnienia obwieszczenia na stronach BIP</w:t>
      </w:r>
      <w:r w:rsidRPr="003A42FB">
        <w:rPr>
          <w:rFonts w:ascii="Times New Roman" w:hAnsi="Times New Roman" w:cs="Times New Roman"/>
          <w:sz w:val="24"/>
          <w:szCs w:val="24"/>
        </w:rPr>
        <w:t xml:space="preserve"> </w:t>
      </w:r>
      <w:r w:rsidR="004270E2" w:rsidRPr="003A42FB">
        <w:rPr>
          <w:rFonts w:ascii="Times New Roman" w:hAnsi="Times New Roman" w:cs="Times New Roman"/>
          <w:sz w:val="24"/>
          <w:szCs w:val="24"/>
        </w:rPr>
        <w:t xml:space="preserve">właściwego, ze względu na obszar objęty decyzją </w:t>
      </w:r>
      <w:r w:rsidR="00FA26AE">
        <w:rPr>
          <w:rFonts w:ascii="Times New Roman" w:hAnsi="Times New Roman" w:cs="Times New Roman"/>
          <w:sz w:val="24"/>
          <w:szCs w:val="24"/>
        </w:rPr>
        <w:t>obszarow</w:t>
      </w:r>
      <w:r w:rsidR="00FA26AE" w:rsidRPr="003A42FB">
        <w:rPr>
          <w:rFonts w:ascii="Times New Roman" w:hAnsi="Times New Roman" w:cs="Times New Roman"/>
          <w:sz w:val="24"/>
          <w:szCs w:val="24"/>
        </w:rPr>
        <w:t>ą</w:t>
      </w:r>
      <w:r w:rsidR="00BB5C0E" w:rsidRPr="003A42FB">
        <w:rPr>
          <w:rFonts w:ascii="Times New Roman" w:hAnsi="Times New Roman" w:cs="Times New Roman"/>
          <w:sz w:val="24"/>
          <w:szCs w:val="24"/>
        </w:rPr>
        <w:t>,</w:t>
      </w:r>
      <w:r w:rsidR="004270E2" w:rsidRPr="003A42FB">
        <w:rPr>
          <w:rFonts w:ascii="Times New Roman" w:hAnsi="Times New Roman" w:cs="Times New Roman"/>
          <w:sz w:val="24"/>
          <w:szCs w:val="24"/>
        </w:rPr>
        <w:t xml:space="preserve"> urzędu wojewódzkiego.</w:t>
      </w:r>
      <w:r w:rsidR="00FA26AE">
        <w:rPr>
          <w:rFonts w:ascii="Times New Roman" w:hAnsi="Times New Roman" w:cs="Times New Roman"/>
          <w:sz w:val="24"/>
          <w:szCs w:val="24"/>
        </w:rPr>
        <w:t xml:space="preserve"> W tym celu obwieszczenie przekazuje wojewodzie Prezes UKE.</w:t>
      </w:r>
      <w:r w:rsidRPr="003A42FB">
        <w:rPr>
          <w:rFonts w:ascii="Times New Roman" w:eastAsiaTheme="minorEastAsia" w:hAnsi="Times New Roman" w:cs="Times New Roman"/>
          <w:sz w:val="24"/>
          <w:szCs w:val="24"/>
        </w:rPr>
        <w:t xml:space="preserve"> </w:t>
      </w:r>
      <w:r w:rsidR="00BB5C0E" w:rsidRPr="003A42FB">
        <w:rPr>
          <w:rFonts w:ascii="Times New Roman" w:eastAsiaTheme="minorEastAsia" w:hAnsi="Times New Roman" w:cs="Times New Roman"/>
          <w:sz w:val="24"/>
          <w:szCs w:val="24"/>
        </w:rPr>
        <w:t xml:space="preserve">W przypadku gdy obszar decyzji </w:t>
      </w:r>
      <w:r w:rsidR="00FA26AE">
        <w:rPr>
          <w:rFonts w:ascii="Times New Roman" w:eastAsiaTheme="minorEastAsia" w:hAnsi="Times New Roman" w:cs="Times New Roman"/>
          <w:sz w:val="24"/>
          <w:szCs w:val="24"/>
        </w:rPr>
        <w:t>obszarowej</w:t>
      </w:r>
      <w:r w:rsidR="00FA26AE" w:rsidRPr="003A42FB">
        <w:rPr>
          <w:rFonts w:ascii="Times New Roman" w:eastAsiaTheme="minorEastAsia" w:hAnsi="Times New Roman" w:cs="Times New Roman"/>
          <w:sz w:val="24"/>
          <w:szCs w:val="24"/>
        </w:rPr>
        <w:t xml:space="preserve"> </w:t>
      </w:r>
      <w:r w:rsidR="00BB5C0E" w:rsidRPr="003A42FB">
        <w:rPr>
          <w:rFonts w:ascii="Times New Roman" w:eastAsiaTheme="minorEastAsia" w:hAnsi="Times New Roman" w:cs="Times New Roman"/>
          <w:sz w:val="24"/>
          <w:szCs w:val="24"/>
        </w:rPr>
        <w:t>wykracza poza obszar jednego województwa, Prezes UKE</w:t>
      </w:r>
      <w:r w:rsidR="009471EA" w:rsidRPr="003A42FB">
        <w:rPr>
          <w:rFonts w:ascii="Times New Roman" w:eastAsiaTheme="minorEastAsia" w:hAnsi="Times New Roman" w:cs="Times New Roman"/>
          <w:sz w:val="24"/>
          <w:szCs w:val="24"/>
        </w:rPr>
        <w:t xml:space="preserve"> ma obowiązek przekazania go do </w:t>
      </w:r>
      <w:r w:rsidR="00BB5C0E" w:rsidRPr="003A42FB">
        <w:rPr>
          <w:rFonts w:ascii="Times New Roman" w:eastAsiaTheme="minorEastAsia" w:hAnsi="Times New Roman" w:cs="Times New Roman"/>
          <w:sz w:val="24"/>
          <w:szCs w:val="24"/>
        </w:rPr>
        <w:t>wszystkich wojewodów, na których również ciąży obowiązek publikacji</w:t>
      </w:r>
      <w:r w:rsidR="009471EA" w:rsidRPr="003A42FB">
        <w:rPr>
          <w:rFonts w:ascii="Times New Roman" w:eastAsiaTheme="minorEastAsia" w:hAnsi="Times New Roman" w:cs="Times New Roman"/>
          <w:sz w:val="24"/>
          <w:szCs w:val="24"/>
        </w:rPr>
        <w:t xml:space="preserve"> </w:t>
      </w:r>
      <w:r w:rsidR="00B36B93" w:rsidRPr="003A42FB">
        <w:rPr>
          <w:rFonts w:ascii="Times New Roman" w:eastAsiaTheme="minorEastAsia" w:hAnsi="Times New Roman" w:cs="Times New Roman"/>
          <w:sz w:val="24"/>
          <w:szCs w:val="24"/>
        </w:rPr>
        <w:t>na stronie podmiotowej</w:t>
      </w:r>
      <w:r w:rsidR="009471EA" w:rsidRPr="003A42FB">
        <w:rPr>
          <w:rFonts w:ascii="Times New Roman" w:eastAsiaTheme="minorEastAsia" w:hAnsi="Times New Roman" w:cs="Times New Roman"/>
          <w:sz w:val="24"/>
          <w:szCs w:val="24"/>
        </w:rPr>
        <w:t xml:space="preserve"> BIP urzędu wojewódzkiego</w:t>
      </w:r>
      <w:r w:rsidR="00BB5C0E" w:rsidRPr="003A42FB">
        <w:rPr>
          <w:rFonts w:ascii="Times New Roman" w:eastAsiaTheme="minorEastAsia" w:hAnsi="Times New Roman" w:cs="Times New Roman"/>
          <w:sz w:val="24"/>
          <w:szCs w:val="24"/>
        </w:rPr>
        <w:t xml:space="preserve">. </w:t>
      </w:r>
    </w:p>
    <w:p w14:paraId="64463A65" w14:textId="62F63210" w:rsidR="002D352F" w:rsidRDefault="009471E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Ze względu na zagrożenie naruszenia przepisów proceduralnych przez organ niebędący jego gospodarzem, </w:t>
      </w:r>
      <w:r w:rsidR="00FA26AE">
        <w:rPr>
          <w:rFonts w:ascii="Times New Roman" w:eastAsiaTheme="minorEastAsia" w:hAnsi="Times New Roman" w:cs="Times New Roman"/>
          <w:sz w:val="24"/>
          <w:szCs w:val="24"/>
        </w:rPr>
        <w:t xml:space="preserve">przepisy </w:t>
      </w:r>
      <w:r w:rsidRPr="003A42FB">
        <w:rPr>
          <w:rFonts w:ascii="Times New Roman" w:eastAsiaTheme="minorEastAsia" w:hAnsi="Times New Roman" w:cs="Times New Roman"/>
          <w:sz w:val="24"/>
          <w:szCs w:val="24"/>
        </w:rPr>
        <w:t>art. 1</w:t>
      </w:r>
      <w:r w:rsidR="009C6CA7">
        <w:rPr>
          <w:rFonts w:ascii="Times New Roman" w:eastAsiaTheme="minorEastAsia" w:hAnsi="Times New Roman" w:cs="Times New Roman"/>
          <w:sz w:val="24"/>
          <w:szCs w:val="24"/>
        </w:rPr>
        <w:t>95</w:t>
      </w:r>
      <w:r w:rsidRPr="003A42FB">
        <w:rPr>
          <w:rFonts w:ascii="Times New Roman" w:eastAsiaTheme="minorEastAsia" w:hAnsi="Times New Roman" w:cs="Times New Roman"/>
          <w:sz w:val="24"/>
          <w:szCs w:val="24"/>
        </w:rPr>
        <w:t xml:space="preserve"> ust. 4</w:t>
      </w:r>
      <w:r w:rsidR="00FA26AE">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 xml:space="preserve"> </w:t>
      </w:r>
      <w:r w:rsidR="002D352F">
        <w:rPr>
          <w:rFonts w:ascii="Times New Roman" w:eastAsiaTheme="minorEastAsia" w:hAnsi="Times New Roman" w:cs="Times New Roman"/>
          <w:sz w:val="24"/>
          <w:szCs w:val="24"/>
        </w:rPr>
        <w:t xml:space="preserve">Pke </w:t>
      </w:r>
      <w:r w:rsidRPr="003A42FB">
        <w:rPr>
          <w:rFonts w:ascii="Times New Roman" w:eastAsiaTheme="minorEastAsia" w:hAnsi="Times New Roman" w:cs="Times New Roman"/>
          <w:sz w:val="24"/>
          <w:szCs w:val="24"/>
        </w:rPr>
        <w:t>przewiduj</w:t>
      </w:r>
      <w:r w:rsidR="00FA26AE">
        <w:rPr>
          <w:rFonts w:ascii="Times New Roman" w:eastAsiaTheme="minorEastAsia" w:hAnsi="Times New Roman" w:cs="Times New Roman"/>
          <w:sz w:val="24"/>
          <w:szCs w:val="24"/>
        </w:rPr>
        <w:t>ą</w:t>
      </w:r>
      <w:r w:rsidR="003E5F0D">
        <w:rPr>
          <w:rFonts w:ascii="Times New Roman" w:eastAsiaTheme="minorEastAsia" w:hAnsi="Times New Roman" w:cs="Times New Roman"/>
          <w:sz w:val="24"/>
          <w:szCs w:val="24"/>
        </w:rPr>
        <w:t xml:space="preserve"> skutki w przypadku późniejszego, niż zakładany przez </w:t>
      </w:r>
      <w:r w:rsidR="002D352F">
        <w:rPr>
          <w:rFonts w:ascii="Times New Roman" w:eastAsiaTheme="minorEastAsia" w:hAnsi="Times New Roman" w:cs="Times New Roman"/>
          <w:sz w:val="24"/>
          <w:szCs w:val="24"/>
        </w:rPr>
        <w:t>Prezesa UKE, opublikowania przez wojewodę obwieszczenia. Można wyróżnić trzy istotnie różne sytuacje:</w:t>
      </w:r>
    </w:p>
    <w:p w14:paraId="4AD792D6" w14:textId="7B9B3DB3" w:rsidR="002E362E" w:rsidRPr="005F69BF" w:rsidRDefault="002E362E" w:rsidP="005F69BF">
      <w:pPr>
        <w:pStyle w:val="Akapitzlist"/>
        <w:numPr>
          <w:ilvl w:val="0"/>
          <w:numId w:val="87"/>
        </w:numPr>
        <w:spacing w:line="240" w:lineRule="auto"/>
        <w:jc w:val="both"/>
        <w:rPr>
          <w:rFonts w:ascii="Times New Roman" w:hAnsi="Times New Roman" w:cs="Times New Roman"/>
          <w:sz w:val="24"/>
          <w:szCs w:val="24"/>
        </w:rPr>
      </w:pPr>
      <w:r>
        <w:rPr>
          <w:rFonts w:ascii="Times New Roman" w:eastAsiaTheme="minorEastAsia" w:hAnsi="Times New Roman" w:cs="Times New Roman"/>
          <w:sz w:val="24"/>
          <w:szCs w:val="24"/>
        </w:rPr>
        <w:t>o</w:t>
      </w:r>
      <w:r w:rsidR="002D352F" w:rsidRPr="008C7594">
        <w:rPr>
          <w:rFonts w:ascii="Times New Roman" w:eastAsiaTheme="minorEastAsia" w:hAnsi="Times New Roman" w:cs="Times New Roman"/>
          <w:sz w:val="24"/>
          <w:szCs w:val="24"/>
        </w:rPr>
        <w:t>publikowani</w:t>
      </w:r>
      <w:r w:rsidR="00546378" w:rsidRPr="005F69BF">
        <w:rPr>
          <w:rFonts w:ascii="Times New Roman" w:eastAsiaTheme="minorEastAsia" w:hAnsi="Times New Roman" w:cs="Times New Roman"/>
          <w:sz w:val="24"/>
          <w:szCs w:val="24"/>
        </w:rPr>
        <w:t>e</w:t>
      </w:r>
      <w:r w:rsidR="002D352F" w:rsidRPr="008C7594">
        <w:rPr>
          <w:rFonts w:ascii="Times New Roman" w:eastAsiaTheme="minorEastAsia" w:hAnsi="Times New Roman" w:cs="Times New Roman"/>
          <w:sz w:val="24"/>
          <w:szCs w:val="24"/>
        </w:rPr>
        <w:t xml:space="preserve"> obwieszczenia następuje w takim terminie, aby od momentu (dnia) jego publikacji na stronie </w:t>
      </w:r>
      <w:r w:rsidR="002D352F" w:rsidRPr="005F69BF">
        <w:rPr>
          <w:rFonts w:ascii="Times New Roman" w:hAnsi="Times New Roman" w:cs="Times New Roman"/>
          <w:sz w:val="24"/>
          <w:szCs w:val="24"/>
        </w:rPr>
        <w:t xml:space="preserve">podmiotowej Biuletynu Informacji Publicznej właściwego miejscowo urzędu wojewódzkiego do ostatniego dnia uprawniającego do składania stanowisk </w:t>
      </w:r>
      <w:r w:rsidR="00546378" w:rsidRPr="005F69BF">
        <w:rPr>
          <w:rFonts w:ascii="Times New Roman" w:hAnsi="Times New Roman" w:cs="Times New Roman"/>
          <w:sz w:val="24"/>
          <w:szCs w:val="24"/>
        </w:rPr>
        <w:t>p</w:t>
      </w:r>
      <w:r>
        <w:rPr>
          <w:rFonts w:ascii="Times New Roman" w:hAnsi="Times New Roman" w:cs="Times New Roman"/>
          <w:sz w:val="24"/>
          <w:szCs w:val="24"/>
        </w:rPr>
        <w:t>ozosta</w:t>
      </w:r>
      <w:r w:rsidR="008C7594" w:rsidRPr="005F69BF">
        <w:rPr>
          <w:rFonts w:ascii="Times New Roman" w:hAnsi="Times New Roman" w:cs="Times New Roman"/>
          <w:sz w:val="24"/>
          <w:szCs w:val="24"/>
        </w:rPr>
        <w:t>ło</w:t>
      </w:r>
      <w:r w:rsidR="002D352F" w:rsidRPr="005F69BF">
        <w:rPr>
          <w:rFonts w:ascii="Times New Roman" w:hAnsi="Times New Roman" w:cs="Times New Roman"/>
          <w:sz w:val="24"/>
          <w:szCs w:val="24"/>
        </w:rPr>
        <w:t xml:space="preserve"> co najmniej 30 dni. W </w:t>
      </w:r>
      <w:r w:rsidR="00546378" w:rsidRPr="005F69BF">
        <w:rPr>
          <w:rFonts w:ascii="Times New Roman" w:hAnsi="Times New Roman" w:cs="Times New Roman"/>
          <w:sz w:val="24"/>
          <w:szCs w:val="24"/>
        </w:rPr>
        <w:t>tym przypadku</w:t>
      </w:r>
      <w:r w:rsidR="002D352F" w:rsidRPr="005F69BF">
        <w:rPr>
          <w:rFonts w:ascii="Times New Roman" w:hAnsi="Times New Roman" w:cs="Times New Roman"/>
          <w:sz w:val="24"/>
          <w:szCs w:val="24"/>
        </w:rPr>
        <w:t xml:space="preserve"> obwieszczenie jest skuteczne, a termin na składanie</w:t>
      </w:r>
      <w:r>
        <w:rPr>
          <w:rFonts w:ascii="Times New Roman" w:hAnsi="Times New Roman" w:cs="Times New Roman"/>
          <w:sz w:val="24"/>
          <w:szCs w:val="24"/>
        </w:rPr>
        <w:t xml:space="preserve"> stanowisk nie ulega wydłużeniu;</w:t>
      </w:r>
    </w:p>
    <w:p w14:paraId="45661035" w14:textId="63CD9F7E" w:rsidR="002D352F" w:rsidRPr="005F69BF" w:rsidRDefault="002E362E" w:rsidP="005F69BF">
      <w:pPr>
        <w:pStyle w:val="Akapitzlist"/>
        <w:numPr>
          <w:ilvl w:val="0"/>
          <w:numId w:val="87"/>
        </w:numPr>
        <w:spacing w:after="120" w:line="240" w:lineRule="auto"/>
        <w:jc w:val="both"/>
        <w:rPr>
          <w:rFonts w:ascii="Times New Roman" w:hAnsi="Times New Roman" w:cs="Times New Roman"/>
          <w:sz w:val="24"/>
          <w:szCs w:val="24"/>
        </w:rPr>
      </w:pPr>
      <w:r>
        <w:rPr>
          <w:rFonts w:ascii="Times New Roman" w:eastAsiaTheme="minorEastAsia" w:hAnsi="Times New Roman" w:cs="Times New Roman"/>
          <w:sz w:val="24"/>
          <w:szCs w:val="24"/>
        </w:rPr>
        <w:t>o</w:t>
      </w:r>
      <w:r w:rsidR="002D352F" w:rsidRPr="008C7594">
        <w:rPr>
          <w:rFonts w:ascii="Times New Roman" w:eastAsiaTheme="minorEastAsia" w:hAnsi="Times New Roman" w:cs="Times New Roman"/>
          <w:sz w:val="24"/>
          <w:szCs w:val="24"/>
        </w:rPr>
        <w:t>publikowani</w:t>
      </w:r>
      <w:r w:rsidR="00546378" w:rsidRPr="005F69BF">
        <w:rPr>
          <w:rFonts w:ascii="Times New Roman" w:eastAsiaTheme="minorEastAsia" w:hAnsi="Times New Roman" w:cs="Times New Roman"/>
          <w:sz w:val="24"/>
          <w:szCs w:val="24"/>
        </w:rPr>
        <w:t xml:space="preserve">e </w:t>
      </w:r>
      <w:r w:rsidR="002D352F" w:rsidRPr="008C7594">
        <w:rPr>
          <w:rFonts w:ascii="Times New Roman" w:eastAsiaTheme="minorEastAsia" w:hAnsi="Times New Roman" w:cs="Times New Roman"/>
          <w:sz w:val="24"/>
          <w:szCs w:val="24"/>
        </w:rPr>
        <w:t>obwieszczenia następuje</w:t>
      </w:r>
      <w:r w:rsidR="008C7594" w:rsidRPr="005F69BF">
        <w:rPr>
          <w:rFonts w:ascii="Times New Roman" w:eastAsiaTheme="minorEastAsia" w:hAnsi="Times New Roman" w:cs="Times New Roman"/>
          <w:sz w:val="24"/>
          <w:szCs w:val="24"/>
        </w:rPr>
        <w:t xml:space="preserve"> – ze względu na zwłokę wojewody –</w:t>
      </w:r>
      <w:r w:rsidR="002D352F" w:rsidRPr="008C7594">
        <w:rPr>
          <w:rFonts w:ascii="Times New Roman" w:eastAsiaTheme="minorEastAsia" w:hAnsi="Times New Roman" w:cs="Times New Roman"/>
          <w:sz w:val="24"/>
          <w:szCs w:val="24"/>
        </w:rPr>
        <w:t xml:space="preserve"> w terminie, w</w:t>
      </w:r>
      <w:r w:rsidR="002D352F" w:rsidRPr="005F69BF">
        <w:rPr>
          <w:rFonts w:ascii="Times New Roman" w:hAnsi="Times New Roman" w:cs="Times New Roman"/>
          <w:sz w:val="24"/>
          <w:szCs w:val="24"/>
        </w:rPr>
        <w:t xml:space="preserve"> którym od momentu (dnia) jego publikacji na stronie podmiotowej Biuletynu Informacji Publicznej właściwego miejscowo urzędu wojewódzkiego do ostatniego dnia uprawniającego do składania stanowisk p</w:t>
      </w:r>
      <w:r>
        <w:rPr>
          <w:rFonts w:ascii="Times New Roman" w:hAnsi="Times New Roman" w:cs="Times New Roman"/>
          <w:sz w:val="24"/>
          <w:szCs w:val="24"/>
        </w:rPr>
        <w:t>ozostało</w:t>
      </w:r>
      <w:r w:rsidR="00546378" w:rsidRPr="008C7594">
        <w:rPr>
          <w:rFonts w:ascii="Times New Roman" w:hAnsi="Times New Roman" w:cs="Times New Roman"/>
          <w:sz w:val="24"/>
          <w:szCs w:val="24"/>
        </w:rPr>
        <w:t xml:space="preserve"> </w:t>
      </w:r>
      <w:r w:rsidR="002D352F" w:rsidRPr="005F69BF">
        <w:rPr>
          <w:rFonts w:ascii="Times New Roman" w:hAnsi="Times New Roman" w:cs="Times New Roman"/>
          <w:sz w:val="24"/>
          <w:szCs w:val="24"/>
        </w:rPr>
        <w:t>29 dni lub mniej.</w:t>
      </w:r>
      <w:r w:rsidR="00546378" w:rsidRPr="008C7594">
        <w:rPr>
          <w:rFonts w:ascii="Times New Roman" w:hAnsi="Times New Roman" w:cs="Times New Roman"/>
          <w:sz w:val="24"/>
          <w:szCs w:val="24"/>
        </w:rPr>
        <w:t xml:space="preserve"> W tej sytuacji</w:t>
      </w:r>
      <w:r w:rsidR="008C7594" w:rsidRPr="008C7594">
        <w:rPr>
          <w:rFonts w:ascii="Times New Roman" w:hAnsi="Times New Roman" w:cs="Times New Roman"/>
          <w:sz w:val="24"/>
          <w:szCs w:val="24"/>
        </w:rPr>
        <w:t xml:space="preserve"> termin</w:t>
      </w:r>
      <w:r w:rsidR="008C7594" w:rsidRPr="005F69BF">
        <w:rPr>
          <w:rFonts w:ascii="Times New Roman" w:hAnsi="Times New Roman" w:cs="Times New Roman"/>
          <w:sz w:val="24"/>
          <w:szCs w:val="24"/>
        </w:rPr>
        <w:t xml:space="preserve"> na składanie stanowisk</w:t>
      </w:r>
      <w:r w:rsidR="008C7594" w:rsidRPr="008C7594">
        <w:rPr>
          <w:rFonts w:ascii="Times New Roman" w:hAnsi="Times New Roman" w:cs="Times New Roman"/>
          <w:sz w:val="24"/>
          <w:szCs w:val="24"/>
        </w:rPr>
        <w:t xml:space="preserve"> </w:t>
      </w:r>
      <w:r w:rsidR="008C7594" w:rsidRPr="005F69BF">
        <w:rPr>
          <w:rFonts w:ascii="Times New Roman" w:hAnsi="Times New Roman" w:cs="Times New Roman"/>
          <w:sz w:val="24"/>
          <w:szCs w:val="24"/>
        </w:rPr>
        <w:t>ulega z mocy prawa wydłużeniu do 30 dni od dnia udostępnienia obwieszczenia przez wojewodę na podstawie art.</w:t>
      </w:r>
      <w:r w:rsidR="009C6CA7">
        <w:rPr>
          <w:rFonts w:ascii="Times New Roman" w:hAnsi="Times New Roman" w:cs="Times New Roman"/>
          <w:sz w:val="24"/>
          <w:szCs w:val="24"/>
        </w:rPr>
        <w:t xml:space="preserve"> 195</w:t>
      </w:r>
      <w:r>
        <w:rPr>
          <w:rFonts w:ascii="Times New Roman" w:hAnsi="Times New Roman" w:cs="Times New Roman"/>
          <w:sz w:val="24"/>
          <w:szCs w:val="24"/>
        </w:rPr>
        <w:t xml:space="preserve"> ust. 4 Pke;</w:t>
      </w:r>
    </w:p>
    <w:p w14:paraId="123EAEC8" w14:textId="2FCF2C53" w:rsidR="00FA26AE" w:rsidRPr="005F69BF" w:rsidRDefault="002E362E" w:rsidP="005F69BF">
      <w:pPr>
        <w:pStyle w:val="Akapitzlist"/>
        <w:numPr>
          <w:ilvl w:val="0"/>
          <w:numId w:val="87"/>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o</w:t>
      </w:r>
      <w:r w:rsidR="008C7594" w:rsidRPr="005F69BF">
        <w:rPr>
          <w:rFonts w:ascii="Times New Roman" w:hAnsi="Times New Roman" w:cs="Times New Roman"/>
          <w:sz w:val="24"/>
          <w:szCs w:val="24"/>
        </w:rPr>
        <w:t>bwieszczenia nie zostało udostępnione przez wojewodę lub zostało udostępnione po terminie uprawniającym do składania stanowisk wskazanym przez Prezesa UKE. W tej sytuacji konieczna jest konwalidacja tej czynności poprzez ponowne udostępnienie obwieszczenia przez Prezes UKE i ustaleniu nowego terminu uprawniającego do składania stanowisk</w:t>
      </w:r>
      <w:r w:rsidR="009C6CA7">
        <w:rPr>
          <w:rFonts w:ascii="Times New Roman" w:hAnsi="Times New Roman" w:cs="Times New Roman"/>
          <w:sz w:val="24"/>
          <w:szCs w:val="24"/>
        </w:rPr>
        <w:t xml:space="preserve"> zgodnie z art. 195</w:t>
      </w:r>
      <w:r>
        <w:rPr>
          <w:rFonts w:ascii="Times New Roman" w:hAnsi="Times New Roman" w:cs="Times New Roman"/>
          <w:sz w:val="24"/>
          <w:szCs w:val="24"/>
        </w:rPr>
        <w:t xml:space="preserve"> ust. 5 Pke. </w:t>
      </w:r>
      <w:r w:rsidRPr="003A42FB">
        <w:rPr>
          <w:rFonts w:ascii="Times New Roman" w:eastAsiaTheme="minorEastAsia" w:hAnsi="Times New Roman" w:cs="Times New Roman"/>
          <w:sz w:val="24"/>
          <w:szCs w:val="24"/>
        </w:rPr>
        <w:t xml:space="preserve">Do ponownego udostępnienia obwieszczenia stosuje się </w:t>
      </w:r>
      <w:r w:rsidR="009C6CA7">
        <w:rPr>
          <w:rFonts w:ascii="Times New Roman" w:eastAsiaTheme="minorEastAsia" w:hAnsi="Times New Roman" w:cs="Times New Roman"/>
          <w:sz w:val="24"/>
          <w:szCs w:val="24"/>
        </w:rPr>
        <w:t>art. 195</w:t>
      </w:r>
      <w:r>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w:t>
      </w:r>
      <w:r>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w:t>
      </w:r>
    </w:p>
    <w:p w14:paraId="6F5147D4" w14:textId="29647B4F" w:rsidR="004270E2" w:rsidRPr="003A42FB" w:rsidRDefault="002E362E"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Opisana </w:t>
      </w:r>
      <w:r w:rsidR="00160A4D" w:rsidRPr="003A42FB">
        <w:rPr>
          <w:rFonts w:ascii="Times New Roman" w:eastAsiaTheme="minorEastAsia" w:hAnsi="Times New Roman" w:cs="Times New Roman"/>
          <w:sz w:val="24"/>
          <w:szCs w:val="24"/>
        </w:rPr>
        <w:t xml:space="preserve">procedura zastępuje (i wyłącza) obowiązki organu </w:t>
      </w:r>
      <w:r>
        <w:rPr>
          <w:rFonts w:ascii="Times New Roman" w:eastAsiaTheme="minorEastAsia" w:hAnsi="Times New Roman" w:cs="Times New Roman"/>
          <w:sz w:val="24"/>
          <w:szCs w:val="24"/>
        </w:rPr>
        <w:t xml:space="preserve">w zakresie </w:t>
      </w:r>
      <w:r w:rsidR="00160A4D" w:rsidRPr="003A42FB">
        <w:rPr>
          <w:rFonts w:ascii="Times New Roman" w:eastAsiaTheme="minorEastAsia" w:hAnsi="Times New Roman" w:cs="Times New Roman"/>
          <w:sz w:val="24"/>
          <w:szCs w:val="24"/>
        </w:rPr>
        <w:t>indywidualnego</w:t>
      </w:r>
      <w:r>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zawiadomienia</w:t>
      </w:r>
      <w:r w:rsidR="00160A4D" w:rsidRPr="003A42FB">
        <w:rPr>
          <w:rFonts w:ascii="Times New Roman" w:eastAsiaTheme="minorEastAsia" w:hAnsi="Times New Roman" w:cs="Times New Roman"/>
          <w:sz w:val="24"/>
          <w:szCs w:val="24"/>
        </w:rPr>
        <w:t xml:space="preserve"> stron</w:t>
      </w:r>
      <w:r>
        <w:rPr>
          <w:rFonts w:ascii="Times New Roman" w:eastAsiaTheme="minorEastAsia" w:hAnsi="Times New Roman" w:cs="Times New Roman"/>
          <w:sz w:val="24"/>
          <w:szCs w:val="24"/>
        </w:rPr>
        <w:t xml:space="preserve"> o wszczęciu postępowania,</w:t>
      </w:r>
      <w:r w:rsidR="00160A4D" w:rsidRPr="003A42FB">
        <w:rPr>
          <w:rFonts w:ascii="Times New Roman" w:eastAsiaTheme="minorEastAsia" w:hAnsi="Times New Roman" w:cs="Times New Roman"/>
          <w:sz w:val="24"/>
          <w:szCs w:val="24"/>
        </w:rPr>
        <w:t xml:space="preserve"> o którym mowa w Kpa. W tym zakresie przepis ten w ocenie projektodawcy stanowi </w:t>
      </w:r>
      <w:r w:rsidR="00332150" w:rsidRPr="003A42FB">
        <w:rPr>
          <w:rFonts w:ascii="Times New Roman" w:eastAsiaTheme="minorEastAsia" w:hAnsi="Times New Roman" w:cs="Times New Roman"/>
          <w:i/>
          <w:iCs/>
          <w:sz w:val="24"/>
          <w:szCs w:val="24"/>
        </w:rPr>
        <w:t>lex speci</w:t>
      </w:r>
      <w:r w:rsidR="00160A4D" w:rsidRPr="003A42FB">
        <w:rPr>
          <w:rFonts w:ascii="Times New Roman" w:eastAsiaTheme="minorEastAsia" w:hAnsi="Times New Roman" w:cs="Times New Roman"/>
          <w:i/>
          <w:iCs/>
          <w:sz w:val="24"/>
          <w:szCs w:val="24"/>
        </w:rPr>
        <w:t>ali</w:t>
      </w:r>
      <w:r w:rsidR="00160A4D" w:rsidRPr="003A42FB">
        <w:rPr>
          <w:rFonts w:ascii="Times New Roman" w:eastAsiaTheme="minorEastAsia" w:hAnsi="Times New Roman" w:cs="Times New Roman"/>
          <w:sz w:val="24"/>
          <w:szCs w:val="24"/>
        </w:rPr>
        <w:t xml:space="preserve">s. </w:t>
      </w:r>
      <w:r>
        <w:rPr>
          <w:rFonts w:ascii="Times New Roman" w:eastAsiaTheme="minorEastAsia" w:hAnsi="Times New Roman" w:cs="Times New Roman"/>
          <w:sz w:val="24"/>
          <w:szCs w:val="24"/>
        </w:rPr>
        <w:t>M</w:t>
      </w:r>
      <w:r w:rsidR="00160A4D" w:rsidRPr="003A42FB">
        <w:rPr>
          <w:rFonts w:ascii="Times New Roman" w:eastAsiaTheme="minorEastAsia" w:hAnsi="Times New Roman" w:cs="Times New Roman"/>
          <w:sz w:val="24"/>
          <w:szCs w:val="24"/>
        </w:rPr>
        <w:t xml:space="preserve">odyfikacji </w:t>
      </w:r>
      <w:r>
        <w:rPr>
          <w:rFonts w:ascii="Times New Roman" w:eastAsiaTheme="minorEastAsia" w:hAnsi="Times New Roman" w:cs="Times New Roman"/>
          <w:sz w:val="24"/>
          <w:szCs w:val="24"/>
        </w:rPr>
        <w:t xml:space="preserve">ulega </w:t>
      </w:r>
      <w:r w:rsidR="00160A4D" w:rsidRPr="003A42FB">
        <w:rPr>
          <w:rFonts w:ascii="Times New Roman" w:eastAsiaTheme="minorEastAsia" w:hAnsi="Times New Roman" w:cs="Times New Roman"/>
          <w:sz w:val="24"/>
          <w:szCs w:val="24"/>
        </w:rPr>
        <w:t>prowadzeni</w:t>
      </w:r>
      <w:r>
        <w:rPr>
          <w:rFonts w:ascii="Times New Roman" w:eastAsiaTheme="minorEastAsia" w:hAnsi="Times New Roman" w:cs="Times New Roman"/>
          <w:sz w:val="24"/>
          <w:szCs w:val="24"/>
        </w:rPr>
        <w:t>e</w:t>
      </w:r>
      <w:r w:rsidR="00160A4D" w:rsidRPr="003A42FB">
        <w:rPr>
          <w:rFonts w:ascii="Times New Roman" w:eastAsiaTheme="minorEastAsia" w:hAnsi="Times New Roman" w:cs="Times New Roman"/>
          <w:sz w:val="24"/>
          <w:szCs w:val="24"/>
        </w:rPr>
        <w:t xml:space="preserve"> postepowania wyjaśniającego</w:t>
      </w:r>
      <w:r>
        <w:rPr>
          <w:rFonts w:ascii="Times New Roman" w:eastAsiaTheme="minorEastAsia" w:hAnsi="Times New Roman" w:cs="Times New Roman"/>
          <w:sz w:val="24"/>
          <w:szCs w:val="24"/>
        </w:rPr>
        <w:t xml:space="preserve"> (dowodowego)</w:t>
      </w:r>
      <w:r w:rsidR="00160A4D" w:rsidRPr="003A42FB">
        <w:rPr>
          <w:rFonts w:ascii="Times New Roman" w:eastAsiaTheme="minorEastAsia" w:hAnsi="Times New Roman" w:cs="Times New Roman"/>
          <w:sz w:val="24"/>
          <w:szCs w:val="24"/>
        </w:rPr>
        <w:t xml:space="preserve"> poprzez ograniczenie go do trybu, o którym mowa w projektowanym art.</w:t>
      </w:r>
      <w:r w:rsidR="004270E2" w:rsidRPr="003A42FB">
        <w:rPr>
          <w:rFonts w:ascii="Times New Roman" w:eastAsiaTheme="minorEastAsia" w:hAnsi="Times New Roman" w:cs="Times New Roman"/>
          <w:sz w:val="24"/>
          <w:szCs w:val="24"/>
        </w:rPr>
        <w:t xml:space="preserve"> </w:t>
      </w:r>
      <w:r w:rsidR="009C6CA7" w:rsidRPr="003A42FB">
        <w:rPr>
          <w:rFonts w:ascii="Times New Roman" w:eastAsiaTheme="minorEastAsia" w:hAnsi="Times New Roman" w:cs="Times New Roman"/>
          <w:sz w:val="24"/>
          <w:szCs w:val="24"/>
        </w:rPr>
        <w:t>1</w:t>
      </w:r>
      <w:r w:rsidR="009C6CA7">
        <w:rPr>
          <w:rFonts w:ascii="Times New Roman" w:eastAsiaTheme="minorEastAsia" w:hAnsi="Times New Roman" w:cs="Times New Roman"/>
          <w:sz w:val="24"/>
          <w:szCs w:val="24"/>
        </w:rPr>
        <w:t xml:space="preserve">94 </w:t>
      </w:r>
      <w:r>
        <w:rPr>
          <w:rFonts w:ascii="Times New Roman" w:eastAsiaTheme="minorEastAsia" w:hAnsi="Times New Roman" w:cs="Times New Roman"/>
          <w:sz w:val="24"/>
          <w:szCs w:val="24"/>
        </w:rPr>
        <w:t>Pke</w:t>
      </w:r>
      <w:r w:rsidR="004270E2" w:rsidRPr="003A42FB">
        <w:rPr>
          <w:rFonts w:ascii="Times New Roman" w:eastAsiaTheme="minorEastAsia" w:hAnsi="Times New Roman" w:cs="Times New Roman"/>
          <w:sz w:val="24"/>
          <w:szCs w:val="24"/>
        </w:rPr>
        <w:t xml:space="preserve"> oraz</w:t>
      </w:r>
      <w:r>
        <w:rPr>
          <w:rFonts w:ascii="Times New Roman" w:eastAsiaTheme="minorEastAsia" w:hAnsi="Times New Roman" w:cs="Times New Roman"/>
          <w:sz w:val="24"/>
          <w:szCs w:val="24"/>
        </w:rPr>
        <w:t xml:space="preserve"> do</w:t>
      </w:r>
      <w:r w:rsidR="004270E2" w:rsidRPr="003A42FB">
        <w:rPr>
          <w:rFonts w:ascii="Times New Roman" w:eastAsiaTheme="minorEastAsia" w:hAnsi="Times New Roman" w:cs="Times New Roman"/>
          <w:sz w:val="24"/>
          <w:szCs w:val="24"/>
        </w:rPr>
        <w:t xml:space="preserve"> postępowania konsultacyjnego, i w stosownych przypadkach konsolidacyjnego</w:t>
      </w:r>
      <w:r>
        <w:rPr>
          <w:rFonts w:ascii="Times New Roman" w:eastAsiaTheme="minorEastAsia" w:hAnsi="Times New Roman" w:cs="Times New Roman"/>
          <w:sz w:val="24"/>
          <w:szCs w:val="24"/>
        </w:rPr>
        <w:t>.</w:t>
      </w:r>
      <w:r w:rsidR="00160A4D" w:rsidRPr="003A42FB">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Organ prowadzący postępowanie dokonuje więc dwie czynności spełniające </w:t>
      </w:r>
      <w:r w:rsidR="00160A4D" w:rsidRPr="003A42FB">
        <w:rPr>
          <w:rFonts w:ascii="Times New Roman" w:eastAsiaTheme="minorEastAsia" w:hAnsi="Times New Roman" w:cs="Times New Roman"/>
          <w:sz w:val="24"/>
          <w:szCs w:val="24"/>
        </w:rPr>
        <w:t>wymagani</w:t>
      </w:r>
      <w:r>
        <w:rPr>
          <w:rFonts w:ascii="Times New Roman" w:eastAsiaTheme="minorEastAsia" w:hAnsi="Times New Roman" w:cs="Times New Roman"/>
          <w:sz w:val="24"/>
          <w:szCs w:val="24"/>
        </w:rPr>
        <w:t>a</w:t>
      </w:r>
      <w:r w:rsidR="00160A4D" w:rsidRPr="003A42FB">
        <w:rPr>
          <w:rFonts w:ascii="Times New Roman" w:eastAsiaTheme="minorEastAsia" w:hAnsi="Times New Roman" w:cs="Times New Roman"/>
          <w:sz w:val="24"/>
          <w:szCs w:val="24"/>
        </w:rPr>
        <w:t xml:space="preserve"> w zakresie konsultacji wynikając</w:t>
      </w:r>
      <w:r>
        <w:rPr>
          <w:rFonts w:ascii="Times New Roman" w:eastAsiaTheme="minorEastAsia" w:hAnsi="Times New Roman" w:cs="Times New Roman"/>
          <w:sz w:val="24"/>
          <w:szCs w:val="24"/>
        </w:rPr>
        <w:t>e</w:t>
      </w:r>
      <w:r w:rsidR="00160A4D" w:rsidRPr="003A42FB">
        <w:rPr>
          <w:rFonts w:ascii="Times New Roman" w:eastAsiaTheme="minorEastAsia" w:hAnsi="Times New Roman" w:cs="Times New Roman"/>
          <w:sz w:val="24"/>
          <w:szCs w:val="24"/>
        </w:rPr>
        <w:t xml:space="preserve"> z art. 23 EKŁE.</w:t>
      </w:r>
    </w:p>
    <w:p w14:paraId="5BF3545F" w14:textId="633F0B8B" w:rsidR="00801D96" w:rsidRDefault="002E362E" w:rsidP="00C53EAB">
      <w:pPr>
        <w:shd w:val="clear" w:color="auto" w:fill="FFFFFF" w:themeFill="background1"/>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Należy podkreślić, że k</w:t>
      </w:r>
      <w:r w:rsidR="00160A4D" w:rsidRPr="003A42FB">
        <w:rPr>
          <w:rFonts w:ascii="Times New Roman" w:eastAsiaTheme="minorEastAsia" w:hAnsi="Times New Roman" w:cs="Times New Roman"/>
          <w:sz w:val="24"/>
          <w:szCs w:val="24"/>
        </w:rPr>
        <w:t>ażdy zainteresowany może złożyć stanowisk</w:t>
      </w:r>
      <w:r>
        <w:rPr>
          <w:rFonts w:ascii="Times New Roman" w:eastAsiaTheme="minorEastAsia" w:hAnsi="Times New Roman" w:cs="Times New Roman"/>
          <w:sz w:val="24"/>
          <w:szCs w:val="24"/>
        </w:rPr>
        <w:t>o</w:t>
      </w:r>
      <w:r w:rsidR="00160A4D" w:rsidRPr="003A42FB">
        <w:rPr>
          <w:rFonts w:ascii="Times New Roman" w:eastAsiaTheme="minorEastAsia" w:hAnsi="Times New Roman" w:cs="Times New Roman"/>
          <w:sz w:val="24"/>
          <w:szCs w:val="24"/>
        </w:rPr>
        <w:t xml:space="preserve"> w określonym</w:t>
      </w:r>
      <w:r>
        <w:rPr>
          <w:rFonts w:ascii="Times New Roman" w:eastAsiaTheme="minorEastAsia" w:hAnsi="Times New Roman" w:cs="Times New Roman"/>
          <w:sz w:val="24"/>
          <w:szCs w:val="24"/>
        </w:rPr>
        <w:t xml:space="preserve"> przez Prezesa UKE</w:t>
      </w:r>
      <w:r w:rsidR="00160A4D" w:rsidRPr="003A42FB">
        <w:rPr>
          <w:rFonts w:ascii="Times New Roman" w:eastAsiaTheme="minorEastAsia" w:hAnsi="Times New Roman" w:cs="Times New Roman"/>
          <w:sz w:val="24"/>
          <w:szCs w:val="24"/>
        </w:rPr>
        <w:t xml:space="preserve"> terminie</w:t>
      </w:r>
      <w:r w:rsidR="004270E2" w:rsidRPr="003A42FB">
        <w:rPr>
          <w:rFonts w:ascii="Times New Roman" w:eastAsiaTheme="minorEastAsia" w:hAnsi="Times New Roman" w:cs="Times New Roman"/>
          <w:sz w:val="24"/>
          <w:szCs w:val="24"/>
        </w:rPr>
        <w:t>, nie krótszym niż 30 dni</w:t>
      </w:r>
      <w:r w:rsidR="009471EA" w:rsidRPr="003A42FB">
        <w:rPr>
          <w:rFonts w:ascii="Times New Roman" w:eastAsiaTheme="minorEastAsia" w:hAnsi="Times New Roman" w:cs="Times New Roman"/>
          <w:sz w:val="24"/>
          <w:szCs w:val="24"/>
        </w:rPr>
        <w:t xml:space="preserve"> (art. 1</w:t>
      </w:r>
      <w:r w:rsidR="009C6CA7">
        <w:rPr>
          <w:rFonts w:ascii="Times New Roman" w:eastAsiaTheme="minorEastAsia" w:hAnsi="Times New Roman" w:cs="Times New Roman"/>
          <w:sz w:val="24"/>
          <w:szCs w:val="24"/>
        </w:rPr>
        <w:t>95</w:t>
      </w:r>
      <w:r w:rsidR="009471EA" w:rsidRPr="003A42FB">
        <w:rPr>
          <w:rFonts w:ascii="Times New Roman" w:eastAsiaTheme="minorEastAsia" w:hAnsi="Times New Roman" w:cs="Times New Roman"/>
          <w:sz w:val="24"/>
          <w:szCs w:val="24"/>
        </w:rPr>
        <w:t xml:space="preserve"> ust. 1</w:t>
      </w:r>
      <w:r>
        <w:rPr>
          <w:rFonts w:ascii="Times New Roman" w:eastAsiaTheme="minorEastAsia" w:hAnsi="Times New Roman" w:cs="Times New Roman"/>
          <w:sz w:val="24"/>
          <w:szCs w:val="24"/>
        </w:rPr>
        <w:t xml:space="preserve"> Pke</w:t>
      </w:r>
      <w:r w:rsidR="009471EA" w:rsidRPr="003A42FB">
        <w:rPr>
          <w:rFonts w:ascii="Times New Roman" w:eastAsiaTheme="minorEastAsia" w:hAnsi="Times New Roman" w:cs="Times New Roman"/>
          <w:sz w:val="24"/>
          <w:szCs w:val="24"/>
        </w:rPr>
        <w:t>)</w:t>
      </w:r>
      <w:r w:rsidR="004270E2" w:rsidRPr="003A42FB">
        <w:rPr>
          <w:rFonts w:ascii="Times New Roman" w:eastAsiaTheme="minorEastAsia" w:hAnsi="Times New Roman" w:cs="Times New Roman"/>
          <w:sz w:val="24"/>
          <w:szCs w:val="24"/>
        </w:rPr>
        <w:t>.</w:t>
      </w:r>
      <w:r w:rsidR="00160A4D" w:rsidRPr="003A42FB">
        <w:rPr>
          <w:rFonts w:ascii="Times New Roman" w:eastAsiaTheme="minorEastAsia" w:hAnsi="Times New Roman" w:cs="Times New Roman"/>
          <w:sz w:val="24"/>
          <w:szCs w:val="24"/>
        </w:rPr>
        <w:t xml:space="preserve"> </w:t>
      </w:r>
      <w:r w:rsidR="004270E2" w:rsidRPr="003A42FB">
        <w:rPr>
          <w:rFonts w:ascii="Times New Roman" w:eastAsiaTheme="minorEastAsia" w:hAnsi="Times New Roman" w:cs="Times New Roman"/>
          <w:sz w:val="24"/>
          <w:szCs w:val="24"/>
        </w:rPr>
        <w:t>Następnie, zgodnie z projektowanym art. 1</w:t>
      </w:r>
      <w:r w:rsidR="009C6CA7">
        <w:rPr>
          <w:rFonts w:ascii="Times New Roman" w:eastAsiaTheme="minorEastAsia" w:hAnsi="Times New Roman" w:cs="Times New Roman"/>
          <w:sz w:val="24"/>
          <w:szCs w:val="24"/>
        </w:rPr>
        <w:t>95</w:t>
      </w:r>
      <w:r w:rsidR="004270E2" w:rsidRPr="003A42FB">
        <w:rPr>
          <w:rFonts w:ascii="Times New Roman" w:eastAsiaTheme="minorEastAsia" w:hAnsi="Times New Roman" w:cs="Times New Roman"/>
          <w:sz w:val="24"/>
          <w:szCs w:val="24"/>
        </w:rPr>
        <w:t xml:space="preserve"> ust. 2</w:t>
      </w:r>
      <w:r w:rsidR="00801D96">
        <w:rPr>
          <w:rFonts w:ascii="Times New Roman" w:eastAsiaTheme="minorEastAsia" w:hAnsi="Times New Roman" w:cs="Times New Roman"/>
          <w:sz w:val="24"/>
          <w:szCs w:val="24"/>
        </w:rPr>
        <w:t>,</w:t>
      </w:r>
      <w:r w:rsidR="004270E2" w:rsidRPr="003A42FB">
        <w:rPr>
          <w:rFonts w:ascii="Times New Roman" w:eastAsiaTheme="minorEastAsia" w:hAnsi="Times New Roman" w:cs="Times New Roman"/>
          <w:sz w:val="24"/>
          <w:szCs w:val="24"/>
        </w:rPr>
        <w:t xml:space="preserve"> Prezes UKE udostępnia w BIP UKE raport ze złożonych w terminie stanowisk, wskazując główne uwagi w nich zawarte. </w:t>
      </w:r>
      <w:r w:rsidR="00801D96">
        <w:rPr>
          <w:rFonts w:ascii="Times New Roman" w:eastAsiaTheme="minorEastAsia" w:hAnsi="Times New Roman" w:cs="Times New Roman"/>
          <w:sz w:val="24"/>
          <w:szCs w:val="24"/>
        </w:rPr>
        <w:t xml:space="preserve"> </w:t>
      </w:r>
      <w:r w:rsidR="004270E2" w:rsidRPr="003A42FB">
        <w:rPr>
          <w:rFonts w:ascii="Times New Roman" w:eastAsiaTheme="minorEastAsia" w:hAnsi="Times New Roman" w:cs="Times New Roman"/>
          <w:sz w:val="24"/>
          <w:szCs w:val="24"/>
        </w:rPr>
        <w:t xml:space="preserve">Biorąc pod uwagę zastosowanie postępowania konsultacyjnego, i w stosownych przypadkach konsultacyjnego, </w:t>
      </w:r>
      <w:r w:rsidR="00160A4D" w:rsidRPr="003A42FB">
        <w:rPr>
          <w:rFonts w:ascii="Times New Roman" w:eastAsiaTheme="minorEastAsia" w:hAnsi="Times New Roman" w:cs="Times New Roman"/>
          <w:sz w:val="24"/>
          <w:szCs w:val="24"/>
        </w:rPr>
        <w:t xml:space="preserve">Prezes UKE będzie zwolniony z zasady wysłuchania stron z art. 10 Kpa. Przepis </w:t>
      </w:r>
      <w:r w:rsidR="004270E2" w:rsidRPr="003A42FB">
        <w:rPr>
          <w:rFonts w:ascii="Times New Roman" w:eastAsiaTheme="minorEastAsia" w:hAnsi="Times New Roman" w:cs="Times New Roman"/>
          <w:sz w:val="24"/>
          <w:szCs w:val="24"/>
        </w:rPr>
        <w:t>art. 1</w:t>
      </w:r>
      <w:r w:rsidR="009C6CA7">
        <w:rPr>
          <w:rFonts w:ascii="Times New Roman" w:eastAsiaTheme="minorEastAsia" w:hAnsi="Times New Roman" w:cs="Times New Roman"/>
          <w:sz w:val="24"/>
          <w:szCs w:val="24"/>
        </w:rPr>
        <w:t>95</w:t>
      </w:r>
      <w:r w:rsidR="004270E2" w:rsidRPr="003A42FB">
        <w:rPr>
          <w:rFonts w:ascii="Times New Roman" w:eastAsiaTheme="minorEastAsia" w:hAnsi="Times New Roman" w:cs="Times New Roman"/>
          <w:sz w:val="24"/>
          <w:szCs w:val="24"/>
        </w:rPr>
        <w:t xml:space="preserve"> ust. 1</w:t>
      </w:r>
      <w:r w:rsidR="00160A4D" w:rsidRPr="003A42FB">
        <w:rPr>
          <w:rFonts w:ascii="Times New Roman" w:eastAsiaTheme="minorEastAsia" w:hAnsi="Times New Roman" w:cs="Times New Roman"/>
          <w:sz w:val="24"/>
          <w:szCs w:val="24"/>
        </w:rPr>
        <w:t xml:space="preserve"> </w:t>
      </w:r>
      <w:r w:rsidR="00801D96">
        <w:rPr>
          <w:rFonts w:ascii="Times New Roman" w:eastAsiaTheme="minorEastAsia" w:hAnsi="Times New Roman" w:cs="Times New Roman"/>
          <w:sz w:val="24"/>
          <w:szCs w:val="24"/>
        </w:rPr>
        <w:t xml:space="preserve">Pke </w:t>
      </w:r>
      <w:r w:rsidR="00160A4D" w:rsidRPr="003A42FB">
        <w:rPr>
          <w:rFonts w:ascii="Times New Roman" w:eastAsiaTheme="minorEastAsia" w:hAnsi="Times New Roman" w:cs="Times New Roman"/>
          <w:sz w:val="24"/>
          <w:szCs w:val="24"/>
        </w:rPr>
        <w:t xml:space="preserve">w ocenie projektodawcy </w:t>
      </w:r>
      <w:r w:rsidR="004270E2" w:rsidRPr="003A42FB">
        <w:rPr>
          <w:rFonts w:ascii="Times New Roman" w:eastAsiaTheme="minorEastAsia" w:hAnsi="Times New Roman" w:cs="Times New Roman"/>
          <w:sz w:val="24"/>
          <w:szCs w:val="24"/>
        </w:rPr>
        <w:t>stanowi</w:t>
      </w:r>
      <w:r w:rsidR="00160A4D" w:rsidRPr="003A42FB">
        <w:rPr>
          <w:rFonts w:ascii="Times New Roman" w:eastAsiaTheme="minorEastAsia" w:hAnsi="Times New Roman" w:cs="Times New Roman"/>
          <w:sz w:val="24"/>
          <w:szCs w:val="24"/>
        </w:rPr>
        <w:t xml:space="preserve"> </w:t>
      </w:r>
      <w:r w:rsidR="00160A4D" w:rsidRPr="003A42FB">
        <w:rPr>
          <w:rFonts w:ascii="Times New Roman" w:eastAsiaTheme="minorEastAsia" w:hAnsi="Times New Roman" w:cs="Times New Roman"/>
          <w:i/>
          <w:iCs/>
          <w:sz w:val="24"/>
          <w:szCs w:val="24"/>
        </w:rPr>
        <w:t>lex specialis</w:t>
      </w:r>
      <w:r w:rsidR="00160A4D" w:rsidRPr="003A42FB">
        <w:rPr>
          <w:rFonts w:ascii="Times New Roman" w:eastAsiaTheme="minorEastAsia" w:hAnsi="Times New Roman" w:cs="Times New Roman"/>
          <w:sz w:val="24"/>
          <w:szCs w:val="24"/>
        </w:rPr>
        <w:t xml:space="preserve"> w stosunku do przepisów Kpa. </w:t>
      </w:r>
    </w:p>
    <w:p w14:paraId="3551DA3D" w14:textId="3921C1A7" w:rsidR="00801D96" w:rsidRDefault="00160A4D" w:rsidP="00C53EAB">
      <w:pPr>
        <w:shd w:val="clear" w:color="auto" w:fill="FFFFFF" w:themeFill="background1"/>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Przepisem odrębnym od Kpa jest także projektowany art. </w:t>
      </w:r>
      <w:r w:rsidR="004270E2" w:rsidRPr="003A42FB">
        <w:rPr>
          <w:rFonts w:ascii="Times New Roman" w:eastAsiaTheme="minorEastAsia" w:hAnsi="Times New Roman" w:cs="Times New Roman"/>
          <w:sz w:val="24"/>
          <w:szCs w:val="24"/>
        </w:rPr>
        <w:t>1</w:t>
      </w:r>
      <w:r w:rsidR="009C6CA7">
        <w:rPr>
          <w:rFonts w:ascii="Times New Roman" w:eastAsiaTheme="minorEastAsia" w:hAnsi="Times New Roman" w:cs="Times New Roman"/>
          <w:sz w:val="24"/>
          <w:szCs w:val="24"/>
        </w:rPr>
        <w:t>96</w:t>
      </w:r>
      <w:r w:rsidR="00801D96">
        <w:rPr>
          <w:rFonts w:ascii="Times New Roman" w:eastAsiaTheme="minorEastAsia" w:hAnsi="Times New Roman" w:cs="Times New Roman"/>
          <w:sz w:val="24"/>
          <w:szCs w:val="24"/>
        </w:rPr>
        <w:t xml:space="preserve"> ust. 1</w:t>
      </w:r>
      <w:r w:rsidRPr="003A42FB">
        <w:rPr>
          <w:rFonts w:ascii="Times New Roman" w:eastAsiaTheme="minorEastAsia" w:hAnsi="Times New Roman" w:cs="Times New Roman"/>
          <w:sz w:val="24"/>
          <w:szCs w:val="24"/>
        </w:rPr>
        <w:t xml:space="preserve">, który wprost wskazuje odrębny niż przewidziany w Kpa sposób zapoznania adresatów decyzji z jej treścią. Z uwagi na skierowanie decyzji do nieokreślonej liczby adresatów, decyzje </w:t>
      </w:r>
      <w:r w:rsidR="00E30D88">
        <w:rPr>
          <w:rFonts w:ascii="Times New Roman" w:eastAsiaTheme="minorEastAsia" w:hAnsi="Times New Roman" w:cs="Times New Roman"/>
          <w:sz w:val="24"/>
          <w:szCs w:val="24"/>
        </w:rPr>
        <w:t>obszarowe</w:t>
      </w:r>
      <w:r w:rsidR="00E30D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podlegają ogłoszeniu w Dzienniku Urzędowym Urzędu Komunikacji Elektronicznej. Przepis art. </w:t>
      </w:r>
      <w:r w:rsidR="009471EA" w:rsidRPr="003A42FB">
        <w:rPr>
          <w:rFonts w:ascii="Times New Roman" w:eastAsiaTheme="minorEastAsia" w:hAnsi="Times New Roman" w:cs="Times New Roman"/>
          <w:sz w:val="24"/>
          <w:szCs w:val="24"/>
        </w:rPr>
        <w:t>1</w:t>
      </w:r>
      <w:r w:rsidR="009C6CA7">
        <w:rPr>
          <w:rFonts w:ascii="Times New Roman" w:eastAsiaTheme="minorEastAsia" w:hAnsi="Times New Roman" w:cs="Times New Roman"/>
          <w:sz w:val="24"/>
          <w:szCs w:val="24"/>
        </w:rPr>
        <w:t>96</w:t>
      </w:r>
      <w:r w:rsidR="009471EA" w:rsidRPr="003A42FB">
        <w:rPr>
          <w:rFonts w:ascii="Times New Roman" w:eastAsiaTheme="minorEastAsia" w:hAnsi="Times New Roman" w:cs="Times New Roman"/>
          <w:sz w:val="24"/>
          <w:szCs w:val="24"/>
        </w:rPr>
        <w:t xml:space="preserve"> ust. 1 </w:t>
      </w:r>
      <w:r w:rsidRPr="003A42FB">
        <w:rPr>
          <w:rFonts w:ascii="Times New Roman" w:eastAsiaTheme="minorEastAsia" w:hAnsi="Times New Roman" w:cs="Times New Roman"/>
          <w:sz w:val="24"/>
          <w:szCs w:val="24"/>
        </w:rPr>
        <w:t xml:space="preserve">wyłącza więc tym samym doręczenie indywidualne decyzji stronom postępowania, o którym mowa w Kpa. W przypadku postępowania w celu wydania decyzji </w:t>
      </w:r>
      <w:r w:rsidR="00E30D88">
        <w:rPr>
          <w:rFonts w:ascii="Times New Roman" w:eastAsiaTheme="minorEastAsia" w:hAnsi="Times New Roman" w:cs="Times New Roman"/>
          <w:sz w:val="24"/>
          <w:szCs w:val="24"/>
        </w:rPr>
        <w:t>obszarowej</w:t>
      </w:r>
      <w:r w:rsidRPr="003A42FB">
        <w:rPr>
          <w:rFonts w:ascii="Times New Roman" w:eastAsiaTheme="minorEastAsia" w:hAnsi="Times New Roman" w:cs="Times New Roman"/>
          <w:sz w:val="24"/>
          <w:szCs w:val="24"/>
        </w:rPr>
        <w:t xml:space="preserve">, Prezes UKE będzie zobowiązany do stosowania zasad postępowania administracyjnego takich jak np. zachowanie prawdy obiektywnej, analizy zebranego materiału dowodowego, itp. </w:t>
      </w:r>
    </w:p>
    <w:p w14:paraId="564D887E" w14:textId="21DBDC63" w:rsidR="00160A4D" w:rsidRPr="00E30D88" w:rsidRDefault="00160A4D" w:rsidP="00C53EAB">
      <w:pPr>
        <w:shd w:val="clear" w:color="auto" w:fill="FFFFFF" w:themeFill="background1"/>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Odrębności wynikające z charakteru decyzji </w:t>
      </w:r>
      <w:r w:rsidR="00E30D88">
        <w:rPr>
          <w:rFonts w:ascii="Times New Roman" w:eastAsiaTheme="minorEastAsia" w:hAnsi="Times New Roman" w:cs="Times New Roman"/>
          <w:sz w:val="24"/>
          <w:szCs w:val="24"/>
        </w:rPr>
        <w:t>obszarowej</w:t>
      </w:r>
      <w:r w:rsidR="00E30D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skutkują także w ocenie pr</w:t>
      </w:r>
      <w:r w:rsidRPr="00E30D88">
        <w:rPr>
          <w:rFonts w:ascii="Times New Roman" w:eastAsiaTheme="minorEastAsia" w:hAnsi="Times New Roman" w:cs="Times New Roman"/>
          <w:sz w:val="24"/>
          <w:szCs w:val="24"/>
        </w:rPr>
        <w:t>ojektodawcy, wyłączeniem przepisów Kpa w zakresie wznowienia postepowania z uwagi na brak zapewnienia uczestniczenia w postepowaniu. Możliwości wzruszenia decyzji w tym zakresie ograniczają się wyłącznie do kwestionowania formalnych działań Prezesa UKE związanych z publikacją i udostępnianiem obwieszczenia o wszczęciu postępowania</w:t>
      </w:r>
      <w:r w:rsidR="004270E2" w:rsidRPr="00E30D88">
        <w:rPr>
          <w:rFonts w:ascii="Times New Roman" w:eastAsiaTheme="minorEastAsia" w:hAnsi="Times New Roman" w:cs="Times New Roman"/>
          <w:sz w:val="24"/>
          <w:szCs w:val="24"/>
        </w:rPr>
        <w:t xml:space="preserve"> oraz przeprowadzeniu postępowania konsultacyjnego, i w stosownych przypadkach konsolidacyjnego</w:t>
      </w:r>
      <w:r w:rsidRPr="00E30D88">
        <w:rPr>
          <w:rFonts w:ascii="Times New Roman" w:eastAsiaTheme="minorEastAsia" w:hAnsi="Times New Roman" w:cs="Times New Roman"/>
          <w:sz w:val="24"/>
          <w:szCs w:val="24"/>
        </w:rPr>
        <w:t xml:space="preserve">. Na etapie prowadzenia postępowania w sprawie </w:t>
      </w:r>
      <w:r w:rsidR="0077135C">
        <w:rPr>
          <w:rFonts w:ascii="Times New Roman" w:eastAsiaTheme="minorEastAsia" w:hAnsi="Times New Roman" w:cs="Times New Roman"/>
          <w:sz w:val="24"/>
          <w:szCs w:val="24"/>
        </w:rPr>
        <w:t xml:space="preserve">rozstrzyganej w dodze </w:t>
      </w:r>
      <w:r w:rsidRPr="00E30D88">
        <w:rPr>
          <w:rFonts w:ascii="Times New Roman" w:eastAsiaTheme="minorEastAsia" w:hAnsi="Times New Roman" w:cs="Times New Roman"/>
          <w:sz w:val="24"/>
          <w:szCs w:val="24"/>
        </w:rPr>
        <w:t xml:space="preserve">decyzji </w:t>
      </w:r>
      <w:r w:rsidR="0077135C">
        <w:rPr>
          <w:rFonts w:ascii="Times New Roman" w:eastAsiaTheme="minorEastAsia" w:hAnsi="Times New Roman" w:cs="Times New Roman"/>
          <w:sz w:val="24"/>
          <w:szCs w:val="24"/>
        </w:rPr>
        <w:t xml:space="preserve">obszarowej </w:t>
      </w:r>
      <w:r w:rsidRPr="00E30D88">
        <w:rPr>
          <w:rFonts w:ascii="Times New Roman" w:eastAsiaTheme="minorEastAsia" w:hAnsi="Times New Roman" w:cs="Times New Roman"/>
          <w:sz w:val="24"/>
          <w:szCs w:val="24"/>
        </w:rPr>
        <w:t>nie jest bowiem obowiązkiem organu ustalenie katalogu stron.</w:t>
      </w:r>
    </w:p>
    <w:p w14:paraId="3DEEC669" w14:textId="0A4989B2" w:rsidR="004660B9" w:rsidRPr="003A42FB" w:rsidRDefault="00160A4D" w:rsidP="00C53EAB">
      <w:pPr>
        <w:spacing w:after="120" w:line="240" w:lineRule="auto"/>
        <w:jc w:val="both"/>
        <w:rPr>
          <w:rFonts w:ascii="Times New Roman" w:eastAsiaTheme="minorEastAsia" w:hAnsi="Times New Roman" w:cs="Times New Roman"/>
          <w:sz w:val="24"/>
          <w:szCs w:val="24"/>
        </w:rPr>
      </w:pPr>
      <w:r w:rsidRPr="00E30D88">
        <w:rPr>
          <w:rFonts w:ascii="Times New Roman" w:eastAsiaTheme="minorEastAsia" w:hAnsi="Times New Roman" w:cs="Times New Roman"/>
          <w:sz w:val="24"/>
          <w:szCs w:val="24"/>
        </w:rPr>
        <w:t xml:space="preserve">Mając na uwadze </w:t>
      </w:r>
      <w:r w:rsidRPr="00E30D88">
        <w:rPr>
          <w:rFonts w:ascii="Times New Roman" w:eastAsiaTheme="minorEastAsia" w:hAnsi="Times New Roman" w:cs="Times New Roman"/>
          <w:i/>
          <w:sz w:val="24"/>
          <w:szCs w:val="24"/>
        </w:rPr>
        <w:t>ratio legis</w:t>
      </w:r>
      <w:r w:rsidRPr="00E30D88">
        <w:rPr>
          <w:rFonts w:ascii="Times New Roman" w:eastAsiaTheme="minorEastAsia" w:hAnsi="Times New Roman" w:cs="Times New Roman"/>
          <w:sz w:val="24"/>
          <w:szCs w:val="24"/>
        </w:rPr>
        <w:t xml:space="preserve"> wprowadzenia decyzji </w:t>
      </w:r>
      <w:r w:rsidR="0077135C">
        <w:rPr>
          <w:rFonts w:ascii="Times New Roman" w:eastAsiaTheme="minorEastAsia" w:hAnsi="Times New Roman" w:cs="Times New Roman"/>
          <w:sz w:val="24"/>
          <w:szCs w:val="24"/>
        </w:rPr>
        <w:t>obszarowej</w:t>
      </w:r>
      <w:r w:rsidRPr="00E30D88">
        <w:rPr>
          <w:rFonts w:ascii="Times New Roman" w:eastAsiaTheme="minorEastAsia" w:hAnsi="Times New Roman" w:cs="Times New Roman"/>
          <w:sz w:val="24"/>
          <w:szCs w:val="24"/>
        </w:rPr>
        <w:t xml:space="preserve">, projektodawca zdecydował się na </w:t>
      </w:r>
      <w:r w:rsidR="00E30D88" w:rsidRPr="00E30D88">
        <w:rPr>
          <w:rFonts w:ascii="Times New Roman" w:eastAsiaTheme="minorEastAsia" w:hAnsi="Times New Roman" w:cs="Times New Roman"/>
          <w:sz w:val="24"/>
          <w:szCs w:val="24"/>
        </w:rPr>
        <w:t xml:space="preserve">znaczne </w:t>
      </w:r>
      <w:r w:rsidRPr="00E30D88">
        <w:rPr>
          <w:rFonts w:ascii="Times New Roman" w:eastAsiaTheme="minorEastAsia" w:hAnsi="Times New Roman" w:cs="Times New Roman"/>
          <w:sz w:val="24"/>
          <w:szCs w:val="24"/>
        </w:rPr>
        <w:t xml:space="preserve">wydłużenie czasu na złożenie skargi na decyzję </w:t>
      </w:r>
      <w:r w:rsidR="00801D96" w:rsidRPr="00E30D88">
        <w:rPr>
          <w:rFonts w:ascii="Times New Roman" w:eastAsiaTheme="minorEastAsia" w:hAnsi="Times New Roman" w:cs="Times New Roman"/>
          <w:sz w:val="24"/>
          <w:szCs w:val="24"/>
        </w:rPr>
        <w:t>obszarową</w:t>
      </w:r>
      <w:r w:rsidR="009471EA" w:rsidRPr="00E30D88">
        <w:rPr>
          <w:rFonts w:ascii="Times New Roman" w:eastAsiaTheme="minorEastAsia" w:hAnsi="Times New Roman" w:cs="Times New Roman"/>
          <w:sz w:val="24"/>
          <w:szCs w:val="24"/>
        </w:rPr>
        <w:t xml:space="preserve">, z terminu </w:t>
      </w:r>
      <w:r w:rsidR="00E30D88" w:rsidRPr="00E30D88">
        <w:rPr>
          <w:rFonts w:ascii="Times New Roman" w:eastAsiaTheme="minorEastAsia" w:hAnsi="Times New Roman" w:cs="Times New Roman"/>
          <w:sz w:val="24"/>
          <w:szCs w:val="24"/>
        </w:rPr>
        <w:t xml:space="preserve">14dniowego, wynikającego z art. </w:t>
      </w:r>
      <w:r w:rsidR="00E30D88" w:rsidRPr="005F69BF">
        <w:rPr>
          <w:rStyle w:val="articletitle"/>
          <w:rFonts w:ascii="Times New Roman" w:hAnsi="Times New Roman" w:cs="Times New Roman"/>
          <w:sz w:val="21"/>
          <w:szCs w:val="21"/>
        </w:rPr>
        <w:t>479</w:t>
      </w:r>
      <w:r w:rsidR="00E30D88" w:rsidRPr="005F69BF">
        <w:rPr>
          <w:rStyle w:val="articletitle"/>
          <w:rFonts w:ascii="Times New Roman" w:hAnsi="Times New Roman" w:cs="Times New Roman"/>
          <w:sz w:val="21"/>
          <w:szCs w:val="21"/>
          <w:vertAlign w:val="superscript"/>
        </w:rPr>
        <w:t xml:space="preserve">58 </w:t>
      </w:r>
      <w:r w:rsidR="00E30D88" w:rsidRPr="005F69BF">
        <w:rPr>
          <w:rFonts w:ascii="Times New Roman" w:eastAsiaTheme="minorEastAsia" w:hAnsi="Times New Roman" w:cs="Times New Roman"/>
          <w:sz w:val="24"/>
          <w:szCs w:val="24"/>
        </w:rPr>
        <w:t>Kodeksu postępowania cywilnego</w:t>
      </w:r>
      <w:r w:rsidR="00E30D88" w:rsidRPr="00E30D88">
        <w:rPr>
          <w:rFonts w:ascii="Times New Roman" w:eastAsiaTheme="minorEastAsia" w:hAnsi="Times New Roman" w:cs="Times New Roman"/>
          <w:sz w:val="24"/>
          <w:szCs w:val="24"/>
        </w:rPr>
        <w:t xml:space="preserve"> </w:t>
      </w:r>
      <w:r w:rsidR="009471EA" w:rsidRPr="00E30D88">
        <w:rPr>
          <w:rFonts w:ascii="Times New Roman" w:eastAsiaTheme="minorEastAsia" w:hAnsi="Times New Roman" w:cs="Times New Roman"/>
          <w:sz w:val="24"/>
          <w:szCs w:val="24"/>
        </w:rPr>
        <w:t>do dwumiesięcznego</w:t>
      </w:r>
      <w:r w:rsidR="00E30D88" w:rsidRPr="00E30D88">
        <w:rPr>
          <w:rFonts w:ascii="Times New Roman" w:eastAsiaTheme="minorEastAsia" w:hAnsi="Times New Roman" w:cs="Times New Roman"/>
          <w:sz w:val="24"/>
          <w:szCs w:val="24"/>
        </w:rPr>
        <w:t>. W tym zakresie</w:t>
      </w:r>
      <w:r w:rsidRPr="00E30D88">
        <w:rPr>
          <w:rFonts w:ascii="Times New Roman" w:eastAsiaTheme="minorEastAsia" w:hAnsi="Times New Roman" w:cs="Times New Roman"/>
          <w:sz w:val="24"/>
          <w:szCs w:val="24"/>
        </w:rPr>
        <w:t xml:space="preserve"> </w:t>
      </w:r>
      <w:r w:rsidR="00E30D88" w:rsidRPr="00E30D88">
        <w:rPr>
          <w:rFonts w:ascii="Times New Roman" w:eastAsiaTheme="minorEastAsia" w:hAnsi="Times New Roman" w:cs="Times New Roman"/>
          <w:sz w:val="24"/>
          <w:szCs w:val="24"/>
        </w:rPr>
        <w:t>a</w:t>
      </w:r>
      <w:r w:rsidRPr="00E30D88">
        <w:rPr>
          <w:rFonts w:ascii="Times New Roman" w:eastAsiaTheme="minorEastAsia" w:hAnsi="Times New Roman" w:cs="Times New Roman"/>
          <w:sz w:val="24"/>
          <w:szCs w:val="24"/>
        </w:rPr>
        <w:t xml:space="preserve">rt. </w:t>
      </w:r>
      <w:r w:rsidR="004270E2" w:rsidRPr="00E30D88">
        <w:rPr>
          <w:rFonts w:ascii="Times New Roman" w:eastAsiaTheme="minorEastAsia" w:hAnsi="Times New Roman" w:cs="Times New Roman"/>
          <w:sz w:val="24"/>
          <w:szCs w:val="24"/>
        </w:rPr>
        <w:t>1</w:t>
      </w:r>
      <w:r w:rsidR="009C6CA7">
        <w:rPr>
          <w:rFonts w:ascii="Times New Roman" w:eastAsiaTheme="minorEastAsia" w:hAnsi="Times New Roman" w:cs="Times New Roman"/>
          <w:sz w:val="24"/>
          <w:szCs w:val="24"/>
        </w:rPr>
        <w:t>96</w:t>
      </w:r>
      <w:r w:rsidRPr="00E30D88">
        <w:rPr>
          <w:rFonts w:ascii="Times New Roman" w:eastAsiaTheme="minorEastAsia" w:hAnsi="Times New Roman" w:cs="Times New Roman"/>
          <w:sz w:val="24"/>
          <w:szCs w:val="24"/>
        </w:rPr>
        <w:t xml:space="preserve"> ust. 2</w:t>
      </w:r>
      <w:r w:rsidR="00E30D88" w:rsidRPr="00E30D88">
        <w:rPr>
          <w:rFonts w:ascii="Times New Roman" w:eastAsiaTheme="minorEastAsia" w:hAnsi="Times New Roman" w:cs="Times New Roman"/>
          <w:sz w:val="24"/>
          <w:szCs w:val="24"/>
        </w:rPr>
        <w:t xml:space="preserve"> Pke stanowi </w:t>
      </w:r>
      <w:r w:rsidR="00E30D88" w:rsidRPr="005F69BF">
        <w:rPr>
          <w:rFonts w:ascii="Times New Roman" w:eastAsiaTheme="minorEastAsia" w:hAnsi="Times New Roman" w:cs="Times New Roman"/>
          <w:i/>
          <w:sz w:val="24"/>
          <w:szCs w:val="24"/>
        </w:rPr>
        <w:t>lex specialis</w:t>
      </w:r>
      <w:r w:rsidR="00E30D88" w:rsidRPr="00E30D88">
        <w:rPr>
          <w:rFonts w:ascii="Times New Roman" w:eastAsiaTheme="minorEastAsia" w:hAnsi="Times New Roman" w:cs="Times New Roman"/>
          <w:sz w:val="24"/>
          <w:szCs w:val="24"/>
        </w:rPr>
        <w:t xml:space="preserve"> w stosunku do ww. przepisu Kpc</w:t>
      </w:r>
      <w:r w:rsidRPr="00E30D88">
        <w:rPr>
          <w:rFonts w:ascii="Times New Roman" w:eastAsiaTheme="minorEastAsia" w:hAnsi="Times New Roman" w:cs="Times New Roman"/>
          <w:sz w:val="24"/>
          <w:szCs w:val="24"/>
        </w:rPr>
        <w:t>. Jednocześnie przepis ten stanowi termin zawity na złożenie skargi</w:t>
      </w:r>
      <w:r w:rsidR="001E642D" w:rsidRPr="00E30D88">
        <w:rPr>
          <w:rFonts w:ascii="Times New Roman" w:eastAsiaTheme="minorEastAsia" w:hAnsi="Times New Roman" w:cs="Times New Roman"/>
          <w:sz w:val="24"/>
          <w:szCs w:val="24"/>
        </w:rPr>
        <w:t xml:space="preserve">, a </w:t>
      </w:r>
      <w:r w:rsidR="001E642D" w:rsidRPr="005F69BF">
        <w:rPr>
          <w:rFonts w:ascii="Times New Roman" w:hAnsi="Times New Roman" w:cs="Times New Roman"/>
          <w:sz w:val="24"/>
          <w:szCs w:val="24"/>
        </w:rPr>
        <w:t>wniosek o przywrócenie terminu na złożenie odwołania jest niedopusz</w:t>
      </w:r>
      <w:r w:rsidR="009C6CA7" w:rsidRPr="00357184">
        <w:rPr>
          <w:rFonts w:ascii="Times New Roman" w:hAnsi="Times New Roman" w:cs="Times New Roman"/>
          <w:sz w:val="24"/>
          <w:szCs w:val="24"/>
        </w:rPr>
        <w:t xml:space="preserve">czalny o czym przesądza art. </w:t>
      </w:r>
      <w:r w:rsidR="009C6CA7" w:rsidRPr="009C6CA7">
        <w:rPr>
          <w:rFonts w:ascii="Times New Roman" w:hAnsi="Times New Roman" w:cs="Times New Roman"/>
          <w:sz w:val="24"/>
          <w:szCs w:val="24"/>
        </w:rPr>
        <w:t>1</w:t>
      </w:r>
      <w:r w:rsidR="009C6CA7">
        <w:rPr>
          <w:rFonts w:ascii="Times New Roman" w:hAnsi="Times New Roman" w:cs="Times New Roman"/>
          <w:sz w:val="24"/>
          <w:szCs w:val="24"/>
        </w:rPr>
        <w:t>96</w:t>
      </w:r>
      <w:r w:rsidR="001E642D" w:rsidRPr="005F69BF">
        <w:rPr>
          <w:rFonts w:ascii="Times New Roman" w:hAnsi="Times New Roman" w:cs="Times New Roman"/>
          <w:sz w:val="24"/>
          <w:szCs w:val="24"/>
        </w:rPr>
        <w:t xml:space="preserve"> ust. 4 Pke</w:t>
      </w:r>
      <w:r w:rsidR="001E642D" w:rsidRPr="00E30D88">
        <w:rPr>
          <w:rFonts w:ascii="Times New Roman" w:hAnsi="Times New Roman" w:cs="Times New Roman"/>
          <w:sz w:val="24"/>
          <w:szCs w:val="24"/>
        </w:rPr>
        <w:t xml:space="preserve">. </w:t>
      </w:r>
      <w:r w:rsidRPr="00E30D88">
        <w:rPr>
          <w:rFonts w:ascii="Times New Roman" w:eastAsiaTheme="minorEastAsia" w:hAnsi="Times New Roman" w:cs="Times New Roman"/>
          <w:sz w:val="24"/>
          <w:szCs w:val="24"/>
        </w:rPr>
        <w:t xml:space="preserve">Tym samym, po upływie ww. terminu, skarga </w:t>
      </w:r>
      <w:r w:rsidR="00505C86" w:rsidRPr="00E30D88">
        <w:rPr>
          <w:rFonts w:ascii="Times New Roman" w:eastAsiaTheme="minorEastAsia" w:hAnsi="Times New Roman" w:cs="Times New Roman"/>
          <w:sz w:val="24"/>
          <w:szCs w:val="24"/>
        </w:rPr>
        <w:t xml:space="preserve">powinna </w:t>
      </w:r>
      <w:r w:rsidRPr="00E30D88">
        <w:rPr>
          <w:rFonts w:ascii="Times New Roman" w:eastAsiaTheme="minorEastAsia" w:hAnsi="Times New Roman" w:cs="Times New Roman"/>
          <w:sz w:val="24"/>
          <w:szCs w:val="24"/>
        </w:rPr>
        <w:t>podlegać odrzuceniu. Rozwiązani</w:t>
      </w:r>
      <w:r w:rsidR="001E642D" w:rsidRPr="00E30D88">
        <w:rPr>
          <w:rFonts w:ascii="Times New Roman" w:eastAsiaTheme="minorEastAsia" w:hAnsi="Times New Roman" w:cs="Times New Roman"/>
          <w:sz w:val="24"/>
          <w:szCs w:val="24"/>
        </w:rPr>
        <w:t xml:space="preserve">a te </w:t>
      </w:r>
      <w:r w:rsidRPr="00E30D88">
        <w:rPr>
          <w:rFonts w:ascii="Times New Roman" w:eastAsiaTheme="minorEastAsia" w:hAnsi="Times New Roman" w:cs="Times New Roman"/>
          <w:sz w:val="24"/>
          <w:szCs w:val="24"/>
        </w:rPr>
        <w:t>służ</w:t>
      </w:r>
      <w:r w:rsidR="001E642D" w:rsidRPr="00E30D88">
        <w:rPr>
          <w:rFonts w:ascii="Times New Roman" w:eastAsiaTheme="minorEastAsia" w:hAnsi="Times New Roman" w:cs="Times New Roman"/>
          <w:sz w:val="24"/>
          <w:szCs w:val="24"/>
        </w:rPr>
        <w:t>ą</w:t>
      </w:r>
      <w:r w:rsidRPr="00E30D88">
        <w:rPr>
          <w:rFonts w:ascii="Times New Roman" w:eastAsiaTheme="minorEastAsia" w:hAnsi="Times New Roman" w:cs="Times New Roman"/>
          <w:sz w:val="24"/>
          <w:szCs w:val="24"/>
        </w:rPr>
        <w:t xml:space="preserve"> zabezpieczeniu adresatów wydanej decyzji przed jej uchyleniem w sytuacji, w której zastosowali się już do jej postanowień m.in. zawierając zobowiązania cywilnoprawne. Późniejsze uchylenie decyzji e</w:t>
      </w:r>
      <w:r w:rsidRPr="00E30D88">
        <w:rPr>
          <w:rFonts w:ascii="Times New Roman" w:eastAsiaTheme="minorEastAsia" w:hAnsi="Times New Roman" w:cs="Times New Roman"/>
          <w:i/>
          <w:sz w:val="24"/>
          <w:szCs w:val="24"/>
        </w:rPr>
        <w:t>x nun</w:t>
      </w:r>
      <w:r w:rsidRPr="00E30D88">
        <w:rPr>
          <w:rFonts w:ascii="Times New Roman" w:eastAsiaTheme="minorEastAsia" w:hAnsi="Times New Roman" w:cs="Times New Roman"/>
          <w:sz w:val="24"/>
          <w:szCs w:val="24"/>
        </w:rPr>
        <w:t xml:space="preserve">c w okresie jej </w:t>
      </w:r>
      <w:r w:rsidR="001E642D" w:rsidRPr="00E30D88">
        <w:rPr>
          <w:rFonts w:ascii="Times New Roman" w:eastAsiaTheme="minorEastAsia" w:hAnsi="Times New Roman" w:cs="Times New Roman"/>
          <w:sz w:val="24"/>
          <w:szCs w:val="24"/>
        </w:rPr>
        <w:t>7</w:t>
      </w:r>
      <w:r w:rsidR="001E642D">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letniego obowiązywania stanowiłoby naruszenie zasady sprawiedliwości i niedyskryminacji.</w:t>
      </w:r>
    </w:p>
    <w:p w14:paraId="6B7484F2" w14:textId="3FEC6656" w:rsidR="00AE20B4" w:rsidRDefault="009471EA" w:rsidP="005F69BF">
      <w:pPr>
        <w:spacing w:after="120" w:line="240" w:lineRule="auto"/>
        <w:jc w:val="both"/>
        <w:rPr>
          <w:rFonts w:ascii="Times New Roman" w:hAnsi="Times New Roman"/>
          <w:szCs w:val="24"/>
        </w:rPr>
      </w:pPr>
      <w:r w:rsidRPr="003A42FB">
        <w:rPr>
          <w:rFonts w:ascii="Times New Roman" w:eastAsiaTheme="minorEastAsia" w:hAnsi="Times New Roman" w:cs="Times New Roman"/>
          <w:sz w:val="24"/>
          <w:szCs w:val="24"/>
        </w:rPr>
        <w:t xml:space="preserve">Niezbędne jest również przesądzenie, że w przypadku, gdy wiele podmiotów wniesie odwołanie, </w:t>
      </w:r>
      <w:r w:rsidRPr="003A42FB">
        <w:rPr>
          <w:rFonts w:ascii="Times New Roman" w:hAnsi="Times New Roman" w:cs="Times New Roman"/>
          <w:sz w:val="24"/>
          <w:szCs w:val="24"/>
        </w:rPr>
        <w:t xml:space="preserve">sąd zarządza połączenie kilku oddzielnych spraw toczących się przed nim w celu ich łącznego rozpoznania i rozstrzygnięcia, jeżeli mogły być objęte jednym odwołaniem, ponieważ dotyczą tej samej decyzji </w:t>
      </w:r>
      <w:r w:rsidR="0077135C">
        <w:rPr>
          <w:rFonts w:ascii="Times New Roman" w:hAnsi="Times New Roman" w:cs="Times New Roman"/>
          <w:sz w:val="24"/>
          <w:szCs w:val="24"/>
        </w:rPr>
        <w:t>obszarowej</w:t>
      </w:r>
      <w:r w:rsidR="0077135C" w:rsidRPr="003A42FB">
        <w:rPr>
          <w:rFonts w:ascii="Times New Roman" w:hAnsi="Times New Roman" w:cs="Times New Roman"/>
          <w:sz w:val="24"/>
          <w:szCs w:val="24"/>
        </w:rPr>
        <w:t xml:space="preserve"> </w:t>
      </w:r>
      <w:r w:rsidR="00FD3C0C" w:rsidRPr="003A42FB">
        <w:rPr>
          <w:rFonts w:ascii="Times New Roman" w:hAnsi="Times New Roman" w:cs="Times New Roman"/>
          <w:sz w:val="24"/>
          <w:szCs w:val="24"/>
        </w:rPr>
        <w:t>(art. 1</w:t>
      </w:r>
      <w:r w:rsidR="009C6CA7">
        <w:rPr>
          <w:rFonts w:ascii="Times New Roman" w:hAnsi="Times New Roman" w:cs="Times New Roman"/>
          <w:sz w:val="24"/>
          <w:szCs w:val="24"/>
        </w:rPr>
        <w:t>96</w:t>
      </w:r>
      <w:r w:rsidR="00FD3C0C" w:rsidRPr="003A42FB">
        <w:rPr>
          <w:rFonts w:ascii="Times New Roman" w:hAnsi="Times New Roman" w:cs="Times New Roman"/>
          <w:sz w:val="24"/>
          <w:szCs w:val="24"/>
        </w:rPr>
        <w:t xml:space="preserve"> ust. 3</w:t>
      </w:r>
      <w:r w:rsidR="001E642D">
        <w:rPr>
          <w:rFonts w:ascii="Times New Roman" w:hAnsi="Times New Roman" w:cs="Times New Roman"/>
          <w:sz w:val="24"/>
          <w:szCs w:val="24"/>
        </w:rPr>
        <w:t xml:space="preserve"> Pke</w:t>
      </w:r>
      <w:r w:rsidR="00FD3C0C" w:rsidRPr="003A42FB">
        <w:rPr>
          <w:rFonts w:ascii="Times New Roman" w:hAnsi="Times New Roman" w:cs="Times New Roman"/>
          <w:sz w:val="24"/>
          <w:szCs w:val="24"/>
        </w:rPr>
        <w:t>)</w:t>
      </w:r>
      <w:r w:rsidRPr="003A42FB">
        <w:rPr>
          <w:rFonts w:ascii="Times New Roman" w:hAnsi="Times New Roman" w:cs="Times New Roman"/>
          <w:sz w:val="24"/>
          <w:szCs w:val="24"/>
        </w:rPr>
        <w:t>.</w:t>
      </w:r>
    </w:p>
    <w:p w14:paraId="1E6CCCC8" w14:textId="77777777" w:rsidR="00696205" w:rsidRPr="003A42FB" w:rsidRDefault="00696205" w:rsidP="005F69BF">
      <w:pPr>
        <w:spacing w:after="120" w:line="240" w:lineRule="auto"/>
        <w:jc w:val="both"/>
      </w:pPr>
    </w:p>
    <w:p w14:paraId="6884ECC9" w14:textId="77777777" w:rsidR="00415545" w:rsidRPr="003A42FB" w:rsidRDefault="00415545" w:rsidP="00C53EAB">
      <w:pPr>
        <w:pStyle w:val="TYTDZPRZEDMprzedmiotregulacjitytuulubdziau"/>
        <w:spacing w:before="0" w:after="120" w:line="240" w:lineRule="auto"/>
        <w:jc w:val="both"/>
        <w:rPr>
          <w:rFonts w:ascii="Times New Roman" w:eastAsiaTheme="minorEastAsia" w:hAnsi="Times New Roman"/>
          <w:szCs w:val="24"/>
          <w:lang w:eastAsia="en-US"/>
        </w:rPr>
      </w:pPr>
      <w:r w:rsidRPr="003A42FB">
        <w:rPr>
          <w:rFonts w:ascii="Times New Roman" w:eastAsiaTheme="minorEastAsia" w:hAnsi="Times New Roman"/>
          <w:szCs w:val="24"/>
          <w:lang w:eastAsia="en-US"/>
        </w:rPr>
        <w:t xml:space="preserve">DZIAŁ </w:t>
      </w:r>
      <w:r w:rsidRPr="003A42FB">
        <w:rPr>
          <w:rFonts w:ascii="Times New Roman" w:eastAsiaTheme="minorEastAsia" w:hAnsi="Times New Roman"/>
          <w:szCs w:val="24"/>
        </w:rPr>
        <w:t>IV</w:t>
      </w:r>
      <w:r w:rsidRPr="003A42FB">
        <w:rPr>
          <w:rFonts w:ascii="Times New Roman" w:eastAsiaTheme="minorEastAsia" w:hAnsi="Times New Roman"/>
          <w:szCs w:val="24"/>
          <w:lang w:eastAsia="en-US"/>
        </w:rPr>
        <w:t xml:space="preserve">. Regulowanie rynku </w:t>
      </w:r>
      <w:r w:rsidR="00361F99" w:rsidRPr="003A42FB">
        <w:rPr>
          <w:rFonts w:ascii="Times New Roman" w:eastAsiaTheme="minorEastAsia" w:hAnsi="Times New Roman"/>
          <w:szCs w:val="24"/>
          <w:lang w:eastAsia="en-US"/>
        </w:rPr>
        <w:t>komunikacji elektronicznej</w:t>
      </w:r>
    </w:p>
    <w:p w14:paraId="00D31B1F" w14:textId="36C295DB" w:rsidR="00415545" w:rsidRPr="003A42FB" w:rsidRDefault="00415545"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lang w:eastAsia="en-US"/>
        </w:rPr>
        <w:t>ROZDZIAŁ 1. Analiza rynków, nakładanie obowiązków regulacyjnych</w:t>
      </w:r>
      <w:r w:rsidR="00A95006" w:rsidRPr="003A42FB">
        <w:rPr>
          <w:rFonts w:ascii="Times New Roman" w:hAnsi="Times New Roman" w:cs="Times New Roman"/>
          <w:b/>
          <w:lang w:eastAsia="en-US"/>
        </w:rPr>
        <w:t xml:space="preserve"> – art. </w:t>
      </w:r>
      <w:r w:rsidR="00666DF9">
        <w:rPr>
          <w:rFonts w:ascii="Times New Roman" w:hAnsi="Times New Roman" w:cs="Times New Roman"/>
          <w:b/>
          <w:lang w:eastAsia="en-US"/>
        </w:rPr>
        <w:t>197</w:t>
      </w:r>
      <w:r w:rsidR="00A95006" w:rsidRPr="003A42FB">
        <w:rPr>
          <w:rFonts w:ascii="Times New Roman" w:hAnsi="Times New Roman" w:cs="Times New Roman"/>
          <w:b/>
          <w:lang w:eastAsia="en-US"/>
        </w:rPr>
        <w:t>-</w:t>
      </w:r>
      <w:r w:rsidR="00B527D3">
        <w:rPr>
          <w:rFonts w:ascii="Times New Roman" w:hAnsi="Times New Roman" w:cs="Times New Roman"/>
          <w:b/>
          <w:lang w:eastAsia="en-US"/>
        </w:rPr>
        <w:t>209</w:t>
      </w:r>
    </w:p>
    <w:p w14:paraId="02517DB8" w14:textId="3A9CC67A" w:rsidR="007D7CC2" w:rsidRPr="003A42FB" w:rsidRDefault="007D7CC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Analiza rynku jest jednym z głównych narzędzi regulowania rynku i należy do kluczowych kompetencji Prezesa UKE jako org</w:t>
      </w:r>
      <w:r w:rsidR="007C5492" w:rsidRPr="003A42FB">
        <w:rPr>
          <w:rFonts w:ascii="Times New Roman" w:eastAsiaTheme="minorEastAsia" w:hAnsi="Times New Roman" w:cs="Times New Roman"/>
          <w:sz w:val="24"/>
          <w:szCs w:val="24"/>
        </w:rPr>
        <w:t>anu regulacyjnego w dziedzinie komunikacji elektronicznej</w:t>
      </w:r>
      <w:r w:rsidRPr="003A42FB">
        <w:rPr>
          <w:rFonts w:ascii="Times New Roman" w:eastAsiaTheme="minorEastAsia" w:hAnsi="Times New Roman" w:cs="Times New Roman"/>
          <w:sz w:val="24"/>
          <w:szCs w:val="24"/>
        </w:rPr>
        <w:t xml:space="preserve">. </w:t>
      </w:r>
      <w:r w:rsidR="72F93DCF" w:rsidRPr="003A42FB">
        <w:rPr>
          <w:rFonts w:ascii="Times New Roman" w:eastAsiaTheme="minorEastAsia" w:hAnsi="Times New Roman" w:cs="Times New Roman"/>
          <w:sz w:val="24"/>
          <w:szCs w:val="24"/>
        </w:rPr>
        <w:t>Regulowanie rynku obejmuje cykliczne podejmowanie sekwencji działań</w:t>
      </w:r>
      <w:r w:rsidR="050CE7B4" w:rsidRPr="003A42FB">
        <w:rPr>
          <w:rFonts w:ascii="Times New Roman" w:eastAsiaTheme="minorEastAsia" w:hAnsi="Times New Roman" w:cs="Times New Roman"/>
          <w:sz w:val="24"/>
          <w:szCs w:val="24"/>
        </w:rPr>
        <w:t xml:space="preserve"> - </w:t>
      </w:r>
      <w:r w:rsidR="72F93DCF" w:rsidRPr="003A42FB">
        <w:rPr>
          <w:rFonts w:ascii="Times New Roman" w:eastAsiaTheme="minorEastAsia" w:hAnsi="Times New Roman" w:cs="Times New Roman"/>
          <w:sz w:val="24"/>
          <w:szCs w:val="24"/>
        </w:rPr>
        <w:t>po</w:t>
      </w:r>
      <w:r w:rsidR="3FFFDC5F" w:rsidRPr="003A42FB">
        <w:rPr>
          <w:rFonts w:ascii="Times New Roman" w:eastAsiaTheme="minorEastAsia" w:hAnsi="Times New Roman" w:cs="Times New Roman"/>
          <w:sz w:val="24"/>
          <w:szCs w:val="24"/>
        </w:rPr>
        <w:t>cząwszy od</w:t>
      </w:r>
      <w:r w:rsidR="72F93DCF" w:rsidRPr="003A42FB">
        <w:rPr>
          <w:rFonts w:ascii="Times New Roman" w:eastAsiaTheme="minorEastAsia" w:hAnsi="Times New Roman" w:cs="Times New Roman"/>
          <w:sz w:val="24"/>
          <w:szCs w:val="24"/>
        </w:rPr>
        <w:t xml:space="preserve"> określeni</w:t>
      </w:r>
      <w:r w:rsidR="55348414" w:rsidRPr="003A42FB">
        <w:rPr>
          <w:rFonts w:ascii="Times New Roman" w:eastAsiaTheme="minorEastAsia" w:hAnsi="Times New Roman" w:cs="Times New Roman"/>
          <w:sz w:val="24"/>
          <w:szCs w:val="24"/>
        </w:rPr>
        <w:t>a</w:t>
      </w:r>
      <w:r w:rsidR="72F93DCF" w:rsidRPr="003A42FB">
        <w:rPr>
          <w:rFonts w:ascii="Times New Roman" w:eastAsiaTheme="minorEastAsia" w:hAnsi="Times New Roman" w:cs="Times New Roman"/>
          <w:sz w:val="24"/>
          <w:szCs w:val="24"/>
        </w:rPr>
        <w:t xml:space="preserve"> rynku właściwego, </w:t>
      </w:r>
      <w:r w:rsidR="0B79E2EB" w:rsidRPr="003A42FB">
        <w:rPr>
          <w:rFonts w:ascii="Times New Roman" w:eastAsiaTheme="minorEastAsia" w:hAnsi="Times New Roman" w:cs="Times New Roman"/>
          <w:sz w:val="24"/>
          <w:szCs w:val="24"/>
        </w:rPr>
        <w:t xml:space="preserve">poprzez </w:t>
      </w:r>
      <w:r w:rsidR="72F93DCF" w:rsidRPr="003A42FB">
        <w:rPr>
          <w:rFonts w:ascii="Times New Roman" w:eastAsiaTheme="minorEastAsia" w:hAnsi="Times New Roman" w:cs="Times New Roman"/>
          <w:sz w:val="24"/>
          <w:szCs w:val="24"/>
        </w:rPr>
        <w:t xml:space="preserve">ustalenie przedsiębiorcy lub przedsiębiorców o pozycji znaczącej i </w:t>
      </w:r>
      <w:r w:rsidR="3C76CA69" w:rsidRPr="003A42FB">
        <w:rPr>
          <w:rFonts w:ascii="Times New Roman" w:eastAsiaTheme="minorEastAsia" w:hAnsi="Times New Roman" w:cs="Times New Roman"/>
          <w:sz w:val="24"/>
          <w:szCs w:val="24"/>
        </w:rPr>
        <w:t xml:space="preserve">ostateczne </w:t>
      </w:r>
      <w:r w:rsidR="72F93DCF" w:rsidRPr="003A42FB">
        <w:rPr>
          <w:rFonts w:ascii="Times New Roman" w:eastAsiaTheme="minorEastAsia" w:hAnsi="Times New Roman" w:cs="Times New Roman"/>
          <w:sz w:val="24"/>
          <w:szCs w:val="24"/>
        </w:rPr>
        <w:t>rozstrzygnięcie w sprawie obowiązków regulacyjnych tych przedsiębiorców</w:t>
      </w:r>
      <w:r w:rsidR="162817FD" w:rsidRPr="003A42FB">
        <w:rPr>
          <w:rFonts w:ascii="Times New Roman" w:eastAsiaTheme="minorEastAsia" w:hAnsi="Times New Roman" w:cs="Times New Roman"/>
          <w:sz w:val="24"/>
          <w:szCs w:val="24"/>
        </w:rPr>
        <w:t>.</w:t>
      </w:r>
      <w:r w:rsidR="10014BCA" w:rsidRPr="003A42FB">
        <w:rPr>
          <w:rFonts w:ascii="Times New Roman" w:eastAsiaTheme="minorEastAsia" w:hAnsi="Times New Roman" w:cs="Times New Roman"/>
          <w:sz w:val="24"/>
          <w:szCs w:val="24"/>
        </w:rPr>
        <w:t xml:space="preserve"> W Pt regulacje dotyczące analiz rynku obejmowały przepisy art. 21-25f.</w:t>
      </w:r>
    </w:p>
    <w:p w14:paraId="38B65D61" w14:textId="61FBD204" w:rsidR="0095686E" w:rsidRPr="003A42FB" w:rsidRDefault="009C004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666DF9">
        <w:rPr>
          <w:rFonts w:ascii="Times New Roman" w:eastAsiaTheme="minorEastAsia" w:hAnsi="Times New Roman" w:cs="Times New Roman"/>
          <w:b/>
          <w:bCs/>
          <w:sz w:val="24"/>
          <w:szCs w:val="24"/>
        </w:rPr>
        <w:t>197</w:t>
      </w:r>
    </w:p>
    <w:p w14:paraId="0BE8A6DE" w14:textId="250210FD" w:rsidR="009975DF" w:rsidRPr="003A42FB" w:rsidRDefault="009975D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ten stanowi implementację art. 67 ust. 5 EKŁE, zgodnie z którym krajowe organy regulacyjne przeprowadzają analizę rynku właściwego i powiadamiają o planowanym środku Komisję Europejską w terminach wskazanych w tym przepisie. W stosunku do pakietu dyrektyw z 2002 r. zmienione zostały terminy powiadomienia KE. W związku z tym </w:t>
      </w:r>
      <w:r w:rsidR="792E54F5" w:rsidRPr="003A42FB">
        <w:rPr>
          <w:rFonts w:ascii="Times New Roman" w:eastAsiaTheme="minorEastAsia" w:hAnsi="Times New Roman" w:cs="Times New Roman"/>
          <w:sz w:val="24"/>
          <w:szCs w:val="24"/>
        </w:rPr>
        <w:t xml:space="preserve">projektowany przepis </w:t>
      </w:r>
      <w:r w:rsidRPr="003A42FB">
        <w:rPr>
          <w:rFonts w:ascii="Times New Roman" w:eastAsiaTheme="minorEastAsia" w:hAnsi="Times New Roman" w:cs="Times New Roman"/>
          <w:sz w:val="24"/>
          <w:szCs w:val="24"/>
        </w:rPr>
        <w:t>przewiduje nowe wydłużone termi</w:t>
      </w:r>
      <w:r w:rsidR="00AA36EF" w:rsidRPr="003A42FB">
        <w:rPr>
          <w:rFonts w:ascii="Times New Roman" w:eastAsiaTheme="minorEastAsia" w:hAnsi="Times New Roman" w:cs="Times New Roman"/>
          <w:sz w:val="24"/>
          <w:szCs w:val="24"/>
        </w:rPr>
        <w:t xml:space="preserve">ny w zakresie notyfikacji KE o </w:t>
      </w:r>
      <w:r w:rsidRPr="003A42FB">
        <w:rPr>
          <w:rFonts w:ascii="Times New Roman" w:eastAsiaTheme="minorEastAsia" w:hAnsi="Times New Roman" w:cs="Times New Roman"/>
          <w:sz w:val="24"/>
          <w:szCs w:val="24"/>
        </w:rPr>
        <w:lastRenderedPageBreak/>
        <w:t xml:space="preserve">planowanym </w:t>
      </w:r>
      <w:r w:rsidR="001434F4" w:rsidRPr="003A42FB">
        <w:rPr>
          <w:rFonts w:ascii="Times New Roman" w:eastAsiaTheme="minorEastAsia" w:hAnsi="Times New Roman" w:cs="Times New Roman"/>
          <w:sz w:val="24"/>
          <w:szCs w:val="24"/>
        </w:rPr>
        <w:t>rozstrzygnięciu kończącym postę</w:t>
      </w:r>
      <w:r w:rsidR="00AA36EF" w:rsidRPr="003A42FB">
        <w:rPr>
          <w:rFonts w:ascii="Times New Roman" w:eastAsiaTheme="minorEastAsia" w:hAnsi="Times New Roman" w:cs="Times New Roman"/>
          <w:sz w:val="24"/>
          <w:szCs w:val="24"/>
        </w:rPr>
        <w:t xml:space="preserve">powanie mające na celu określenie rynku właściwego, ustalenie, czy na rynku właściwym występuje przedsiębiorca </w:t>
      </w:r>
      <w:r w:rsidR="007C5492" w:rsidRPr="003A42FB">
        <w:rPr>
          <w:rFonts w:ascii="Times New Roman" w:eastAsiaTheme="minorEastAsia" w:hAnsi="Times New Roman" w:cs="Times New Roman"/>
          <w:sz w:val="24"/>
          <w:szCs w:val="24"/>
        </w:rPr>
        <w:t>komunikacji elektroniczne</w:t>
      </w:r>
      <w:r w:rsidR="00067E0A" w:rsidRPr="003A42FB">
        <w:rPr>
          <w:rFonts w:ascii="Times New Roman" w:eastAsiaTheme="minorEastAsia" w:hAnsi="Times New Roman" w:cs="Times New Roman"/>
          <w:sz w:val="24"/>
          <w:szCs w:val="24"/>
        </w:rPr>
        <w:t>j</w:t>
      </w:r>
      <w:r w:rsidR="00AA36EF" w:rsidRPr="003A42FB">
        <w:rPr>
          <w:rFonts w:ascii="Times New Roman" w:eastAsiaTheme="minorEastAsia" w:hAnsi="Times New Roman" w:cs="Times New Roman"/>
          <w:sz w:val="24"/>
          <w:szCs w:val="24"/>
        </w:rPr>
        <w:t xml:space="preserve"> o znaczącej pozycji rynkowej lub przedsiębiorcy </w:t>
      </w:r>
      <w:r w:rsidR="007C5492" w:rsidRPr="003A42FB">
        <w:rPr>
          <w:rFonts w:ascii="Times New Roman" w:eastAsiaTheme="minorEastAsia" w:hAnsi="Times New Roman" w:cs="Times New Roman"/>
          <w:sz w:val="24"/>
          <w:szCs w:val="24"/>
        </w:rPr>
        <w:t>komunikacji elektroniczne</w:t>
      </w:r>
      <w:r w:rsidR="00067E0A" w:rsidRPr="003A42FB">
        <w:rPr>
          <w:rFonts w:ascii="Times New Roman" w:eastAsiaTheme="minorEastAsia" w:hAnsi="Times New Roman" w:cs="Times New Roman"/>
          <w:sz w:val="24"/>
          <w:szCs w:val="24"/>
        </w:rPr>
        <w:t>j</w:t>
      </w:r>
      <w:r w:rsidR="00AA36EF" w:rsidRPr="003A42FB">
        <w:rPr>
          <w:rFonts w:ascii="Times New Roman" w:eastAsiaTheme="minorEastAsia" w:hAnsi="Times New Roman" w:cs="Times New Roman"/>
          <w:sz w:val="24"/>
          <w:szCs w:val="24"/>
        </w:rPr>
        <w:t xml:space="preserve"> zajmujący kolektywną pozycję znaczącą, wyznaczenie takich przedsiębiorców, utrzymanie, zmianę albo uchylenie obowiązków regulacyjnych nałożonych na takich przedsiębiorców. </w:t>
      </w:r>
    </w:p>
    <w:p w14:paraId="668B68F4" w14:textId="14B4CD08" w:rsidR="009975DF" w:rsidRPr="003A42FB" w:rsidRDefault="009975DF"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FB16DE" w:rsidRPr="003A42FB">
        <w:rPr>
          <w:rFonts w:ascii="Times New Roman" w:eastAsiaTheme="minorEastAsia" w:hAnsi="Times New Roman" w:cs="Times New Roman"/>
          <w:b/>
          <w:bCs/>
          <w:sz w:val="24"/>
          <w:szCs w:val="24"/>
        </w:rPr>
        <w:t xml:space="preserve"> </w:t>
      </w:r>
      <w:r w:rsidR="00B527D3">
        <w:rPr>
          <w:rFonts w:ascii="Times New Roman" w:eastAsiaTheme="minorEastAsia" w:hAnsi="Times New Roman" w:cs="Times New Roman"/>
          <w:b/>
          <w:bCs/>
          <w:sz w:val="24"/>
          <w:szCs w:val="24"/>
        </w:rPr>
        <w:t>198</w:t>
      </w:r>
    </w:p>
    <w:p w14:paraId="1D68A360" w14:textId="77777777" w:rsidR="00BB13B7" w:rsidRPr="003A42FB" w:rsidRDefault="00FB16D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dotyczy procedury określania rynków ponadnarodowych i stanowi wdrożenie art. 65 </w:t>
      </w:r>
      <w:r w:rsidR="00A263E2" w:rsidRPr="003A42FB">
        <w:rPr>
          <w:rFonts w:ascii="Times New Roman" w:eastAsiaTheme="minorEastAsia" w:hAnsi="Times New Roman" w:cs="Times New Roman"/>
          <w:sz w:val="24"/>
          <w:szCs w:val="24"/>
        </w:rPr>
        <w:t xml:space="preserve">oraz art. 66 ust. 1 </w:t>
      </w:r>
      <w:r w:rsidRPr="003A42FB">
        <w:rPr>
          <w:rFonts w:ascii="Times New Roman" w:eastAsiaTheme="minorEastAsia" w:hAnsi="Times New Roman" w:cs="Times New Roman"/>
          <w:sz w:val="24"/>
          <w:szCs w:val="24"/>
        </w:rPr>
        <w:t xml:space="preserve">EKŁE. </w:t>
      </w:r>
      <w:r w:rsidR="00855323" w:rsidRPr="003A42FB">
        <w:rPr>
          <w:rFonts w:ascii="Times New Roman" w:eastAsiaTheme="minorEastAsia" w:hAnsi="Times New Roman" w:cs="Times New Roman"/>
          <w:sz w:val="24"/>
          <w:szCs w:val="24"/>
        </w:rPr>
        <w:t>Rynkami ponadnarodowymi są, zgodnie z art. 2 pkt 3 EKŁE, rynki zdefiniowane zgodnie z art. 65 obejmujące Unię Europejską lu</w:t>
      </w:r>
      <w:r w:rsidR="00AC52F6" w:rsidRPr="003A42FB">
        <w:rPr>
          <w:rFonts w:ascii="Times New Roman" w:eastAsiaTheme="minorEastAsia" w:hAnsi="Times New Roman" w:cs="Times New Roman"/>
          <w:sz w:val="24"/>
          <w:szCs w:val="24"/>
        </w:rPr>
        <w:t xml:space="preserve">b znaczną jej część, znajdujące </w:t>
      </w:r>
      <w:r w:rsidR="00855323" w:rsidRPr="003A42FB">
        <w:rPr>
          <w:rFonts w:ascii="Times New Roman" w:eastAsiaTheme="minorEastAsia" w:hAnsi="Times New Roman" w:cs="Times New Roman"/>
          <w:sz w:val="24"/>
          <w:szCs w:val="24"/>
        </w:rPr>
        <w:t>się w więcej niż jednym państwie członkowskim. Dotychczasowy pakiet dyrektyw telekomunikacyjnych również zawierał postanowienia w tym zakresie przewidując, że Komisja Europejska po przeprowadzeniu konsultacji oraz uwzględniając opinie BEREC może</w:t>
      </w:r>
      <w:r w:rsidR="00AC52F6" w:rsidRPr="003A42FB">
        <w:rPr>
          <w:rFonts w:ascii="Times New Roman" w:eastAsiaTheme="minorEastAsia" w:hAnsi="Times New Roman" w:cs="Times New Roman"/>
          <w:sz w:val="24"/>
          <w:szCs w:val="24"/>
        </w:rPr>
        <w:t xml:space="preserve"> przyjąć decyzje określającą rynki ponadnarodowe. W takim przypadku organy regulacyjne wspólnie przeprowadzają analizę rynku oraz działając wspólnie podejmują decyzję dotyczącą nałożenia, utrzymania, zmiany lub uchylenia wymogów regulacyjnych. EKŁE do tych </w:t>
      </w:r>
      <w:r w:rsidR="00BB13B7" w:rsidRPr="003A42FB">
        <w:rPr>
          <w:rFonts w:ascii="Times New Roman" w:eastAsiaTheme="minorEastAsia" w:hAnsi="Times New Roman" w:cs="Times New Roman"/>
          <w:sz w:val="24"/>
          <w:szCs w:val="24"/>
        </w:rPr>
        <w:t>postanowień</w:t>
      </w:r>
      <w:r w:rsidR="00AC52F6" w:rsidRPr="003A42FB">
        <w:rPr>
          <w:rFonts w:ascii="Times New Roman" w:eastAsiaTheme="minorEastAsia" w:hAnsi="Times New Roman" w:cs="Times New Roman"/>
          <w:sz w:val="24"/>
          <w:szCs w:val="24"/>
        </w:rPr>
        <w:t xml:space="preserve"> dodało </w:t>
      </w:r>
      <w:r w:rsidR="000B25B9" w:rsidRPr="003A42FB">
        <w:rPr>
          <w:rFonts w:ascii="Times New Roman" w:eastAsiaTheme="minorEastAsia" w:hAnsi="Times New Roman" w:cs="Times New Roman"/>
          <w:sz w:val="24"/>
          <w:szCs w:val="24"/>
        </w:rPr>
        <w:t>przepis dotyczący wspólnego zgłaszania Komisji</w:t>
      </w:r>
      <w:r w:rsidR="00BB13B7" w:rsidRPr="003A42FB">
        <w:rPr>
          <w:rFonts w:ascii="Times New Roman" w:eastAsiaTheme="minorEastAsia" w:hAnsi="Times New Roman" w:cs="Times New Roman"/>
          <w:sz w:val="24"/>
          <w:szCs w:val="24"/>
        </w:rPr>
        <w:t>,</w:t>
      </w:r>
      <w:r w:rsidR="000B25B9" w:rsidRPr="003A42FB">
        <w:rPr>
          <w:rFonts w:ascii="Times New Roman" w:eastAsiaTheme="minorEastAsia" w:hAnsi="Times New Roman" w:cs="Times New Roman"/>
          <w:sz w:val="24"/>
          <w:szCs w:val="24"/>
        </w:rPr>
        <w:t xml:space="preserve"> przez krajowe organy regulacyjne</w:t>
      </w:r>
      <w:r w:rsidR="00BB13B7" w:rsidRPr="003A42FB">
        <w:rPr>
          <w:rFonts w:ascii="Times New Roman" w:eastAsiaTheme="minorEastAsia" w:hAnsi="Times New Roman" w:cs="Times New Roman"/>
          <w:sz w:val="24"/>
          <w:szCs w:val="24"/>
        </w:rPr>
        <w:t>,</w:t>
      </w:r>
      <w:r w:rsidR="000B25B9" w:rsidRPr="003A42FB">
        <w:rPr>
          <w:rFonts w:ascii="Times New Roman" w:eastAsiaTheme="minorEastAsia" w:hAnsi="Times New Roman" w:cs="Times New Roman"/>
          <w:sz w:val="24"/>
          <w:szCs w:val="24"/>
        </w:rPr>
        <w:t xml:space="preserve"> planowanych środków oraz</w:t>
      </w:r>
      <w:r w:rsidR="00BB13B7" w:rsidRPr="003A42FB">
        <w:rPr>
          <w:rFonts w:ascii="Times New Roman" w:eastAsiaTheme="minorEastAsia" w:hAnsi="Times New Roman" w:cs="Times New Roman"/>
          <w:sz w:val="24"/>
          <w:szCs w:val="24"/>
        </w:rPr>
        <w:t xml:space="preserve"> obowiązków regulacyjnych, możliwość wspólnego zgłaszania środków w przypadku niewystępowania rynków ponadnarodowych oraz występowania do BEREC z uzasadniony</w:t>
      </w:r>
      <w:r w:rsidR="001434F4" w:rsidRPr="003A42FB">
        <w:rPr>
          <w:rFonts w:ascii="Times New Roman" w:eastAsiaTheme="minorEastAsia" w:hAnsi="Times New Roman" w:cs="Times New Roman"/>
          <w:sz w:val="24"/>
          <w:szCs w:val="24"/>
        </w:rPr>
        <w:t>m</w:t>
      </w:r>
      <w:r w:rsidR="00BB13B7" w:rsidRPr="003A42FB">
        <w:rPr>
          <w:rFonts w:ascii="Times New Roman" w:eastAsiaTheme="minorEastAsia" w:hAnsi="Times New Roman" w:cs="Times New Roman"/>
          <w:sz w:val="24"/>
          <w:szCs w:val="24"/>
        </w:rPr>
        <w:t xml:space="preserve"> wnioskiem o przeprowadzenie analizy popytu ponadnarodowego (gdy istnieje problem związany z popytem na dane produkty lub usługi).</w:t>
      </w:r>
      <w:r w:rsidR="000B25B9" w:rsidRPr="003A42FB">
        <w:rPr>
          <w:rFonts w:ascii="Times New Roman" w:eastAsiaTheme="minorEastAsia" w:hAnsi="Times New Roman" w:cs="Times New Roman"/>
          <w:sz w:val="24"/>
          <w:szCs w:val="24"/>
        </w:rPr>
        <w:t xml:space="preserve">   </w:t>
      </w:r>
    </w:p>
    <w:p w14:paraId="499486DE" w14:textId="772A5CC2" w:rsidR="00BB13B7" w:rsidRPr="003A42FB" w:rsidRDefault="00BB13B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199</w:t>
      </w:r>
    </w:p>
    <w:p w14:paraId="029A18AD" w14:textId="2F0250B9" w:rsidR="007D7CC2" w:rsidRPr="003A42FB" w:rsidRDefault="0050351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B527D3">
        <w:rPr>
          <w:rFonts w:ascii="Times New Roman" w:eastAsiaTheme="minorEastAsia" w:hAnsi="Times New Roman" w:cs="Times New Roman"/>
          <w:sz w:val="24"/>
          <w:szCs w:val="24"/>
        </w:rPr>
        <w:t>199</w:t>
      </w:r>
      <w:r w:rsidR="00B527D3" w:rsidRPr="003A42FB">
        <w:rPr>
          <w:rFonts w:ascii="Times New Roman" w:eastAsiaTheme="minorEastAsia" w:hAnsi="Times New Roman" w:cs="Times New Roman"/>
          <w:sz w:val="24"/>
          <w:szCs w:val="24"/>
        </w:rPr>
        <w:t xml:space="preserve"> </w:t>
      </w:r>
      <w:r w:rsidR="00573E59" w:rsidRPr="003A42FB">
        <w:rPr>
          <w:rFonts w:ascii="Times New Roman" w:eastAsiaTheme="minorEastAsia" w:hAnsi="Times New Roman" w:cs="Times New Roman"/>
          <w:sz w:val="24"/>
          <w:szCs w:val="24"/>
        </w:rPr>
        <w:t xml:space="preserve">reguluje przeprowadzanie przez Prezesa UKE, po analizie rynku, postępowania w celu określenia </w:t>
      </w:r>
      <w:r w:rsidR="004C7B59" w:rsidRPr="003A42FB">
        <w:rPr>
          <w:rFonts w:ascii="Times New Roman" w:eastAsiaTheme="minorEastAsia" w:hAnsi="Times New Roman" w:cs="Times New Roman"/>
          <w:sz w:val="24"/>
          <w:szCs w:val="24"/>
        </w:rPr>
        <w:t>rynku właściwego, ustalenia</w:t>
      </w:r>
      <w:r w:rsidR="00573E59" w:rsidRPr="003A42FB">
        <w:rPr>
          <w:rFonts w:ascii="Times New Roman" w:eastAsiaTheme="minorEastAsia" w:hAnsi="Times New Roman" w:cs="Times New Roman"/>
          <w:sz w:val="24"/>
          <w:szCs w:val="24"/>
        </w:rPr>
        <w:t xml:space="preserve">, czy na rynku właściwym występuje przedsiębiorca </w:t>
      </w:r>
      <w:r w:rsidR="007C5492" w:rsidRPr="003A42FB">
        <w:rPr>
          <w:rFonts w:ascii="Times New Roman" w:eastAsiaTheme="minorEastAsia" w:hAnsi="Times New Roman" w:cs="Times New Roman"/>
          <w:sz w:val="24"/>
          <w:szCs w:val="24"/>
        </w:rPr>
        <w:t>komunikacji elektroniczne</w:t>
      </w:r>
      <w:r w:rsidR="0090308D" w:rsidRPr="003A42FB">
        <w:rPr>
          <w:rFonts w:ascii="Times New Roman" w:eastAsiaTheme="minorEastAsia" w:hAnsi="Times New Roman" w:cs="Times New Roman"/>
          <w:sz w:val="24"/>
          <w:szCs w:val="24"/>
        </w:rPr>
        <w:t>j</w:t>
      </w:r>
      <w:r w:rsidR="00573E59" w:rsidRPr="003A42FB">
        <w:rPr>
          <w:rFonts w:ascii="Times New Roman" w:eastAsiaTheme="minorEastAsia" w:hAnsi="Times New Roman" w:cs="Times New Roman"/>
          <w:sz w:val="24"/>
          <w:szCs w:val="24"/>
        </w:rPr>
        <w:t xml:space="preserve"> o znaczącej pozycji rynkowej lub przedsiębiorcy </w:t>
      </w:r>
      <w:r w:rsidR="007C5492" w:rsidRPr="003A42FB">
        <w:rPr>
          <w:rFonts w:ascii="Times New Roman" w:eastAsiaTheme="minorEastAsia" w:hAnsi="Times New Roman" w:cs="Times New Roman"/>
          <w:sz w:val="24"/>
          <w:szCs w:val="24"/>
        </w:rPr>
        <w:t>komunikacji elektroniczne</w:t>
      </w:r>
      <w:r w:rsidR="0090308D" w:rsidRPr="003A42FB">
        <w:rPr>
          <w:rFonts w:ascii="Times New Roman" w:eastAsiaTheme="minorEastAsia" w:hAnsi="Times New Roman" w:cs="Times New Roman"/>
          <w:sz w:val="24"/>
          <w:szCs w:val="24"/>
        </w:rPr>
        <w:t>j</w:t>
      </w:r>
      <w:r w:rsidR="00573E59" w:rsidRPr="003A42FB">
        <w:rPr>
          <w:rFonts w:ascii="Times New Roman" w:eastAsiaTheme="minorEastAsia" w:hAnsi="Times New Roman" w:cs="Times New Roman"/>
          <w:sz w:val="24"/>
          <w:szCs w:val="24"/>
        </w:rPr>
        <w:t xml:space="preserve"> zajmujący kolektywną pozycję znaczącą, wyznaczeni</w:t>
      </w:r>
      <w:r w:rsidR="004C7B59" w:rsidRPr="003A42FB">
        <w:rPr>
          <w:rFonts w:ascii="Times New Roman" w:eastAsiaTheme="minorEastAsia" w:hAnsi="Times New Roman" w:cs="Times New Roman"/>
          <w:sz w:val="24"/>
          <w:szCs w:val="24"/>
        </w:rPr>
        <w:t>a</w:t>
      </w:r>
      <w:r w:rsidR="00573E59" w:rsidRPr="003A42FB">
        <w:rPr>
          <w:rFonts w:ascii="Times New Roman" w:eastAsiaTheme="minorEastAsia" w:hAnsi="Times New Roman" w:cs="Times New Roman"/>
          <w:sz w:val="24"/>
          <w:szCs w:val="24"/>
        </w:rPr>
        <w:t xml:space="preserve"> takich przedsiębiorców, utrzymani</w:t>
      </w:r>
      <w:r w:rsidR="004C7B59" w:rsidRPr="003A42FB">
        <w:rPr>
          <w:rFonts w:ascii="Times New Roman" w:eastAsiaTheme="minorEastAsia" w:hAnsi="Times New Roman" w:cs="Times New Roman"/>
          <w:sz w:val="24"/>
          <w:szCs w:val="24"/>
        </w:rPr>
        <w:t>a, zmiany</w:t>
      </w:r>
      <w:r w:rsidR="00573E59" w:rsidRPr="003A42FB">
        <w:rPr>
          <w:rFonts w:ascii="Times New Roman" w:eastAsiaTheme="minorEastAsia" w:hAnsi="Times New Roman" w:cs="Times New Roman"/>
          <w:sz w:val="24"/>
          <w:szCs w:val="24"/>
        </w:rPr>
        <w:t xml:space="preserve"> albo uchyleni</w:t>
      </w:r>
      <w:r w:rsidR="004C7B59" w:rsidRPr="003A42FB">
        <w:rPr>
          <w:rFonts w:ascii="Times New Roman" w:eastAsiaTheme="minorEastAsia" w:hAnsi="Times New Roman" w:cs="Times New Roman"/>
          <w:sz w:val="24"/>
          <w:szCs w:val="24"/>
        </w:rPr>
        <w:t>a</w:t>
      </w:r>
      <w:r w:rsidR="00573E59" w:rsidRPr="003A42FB">
        <w:rPr>
          <w:rFonts w:ascii="Times New Roman" w:eastAsiaTheme="minorEastAsia" w:hAnsi="Times New Roman" w:cs="Times New Roman"/>
          <w:sz w:val="24"/>
          <w:szCs w:val="24"/>
        </w:rPr>
        <w:t xml:space="preserve"> obowiązków regulacyjnych nałożonych na takich przedsiębiorców. </w:t>
      </w:r>
      <w:r w:rsidR="004C7B59" w:rsidRPr="003A42FB">
        <w:rPr>
          <w:rFonts w:ascii="Times New Roman" w:eastAsiaTheme="minorEastAsia" w:hAnsi="Times New Roman" w:cs="Times New Roman"/>
          <w:sz w:val="24"/>
          <w:szCs w:val="24"/>
        </w:rPr>
        <w:t>Przepis m</w:t>
      </w:r>
      <w:r w:rsidRPr="003A42FB">
        <w:rPr>
          <w:rFonts w:ascii="Times New Roman" w:eastAsiaTheme="minorEastAsia" w:hAnsi="Times New Roman" w:cs="Times New Roman"/>
          <w:sz w:val="24"/>
          <w:szCs w:val="24"/>
        </w:rPr>
        <w:t>a na celu wdrożenie art.</w:t>
      </w:r>
      <w:r w:rsidR="00573E59" w:rsidRPr="003A42FB">
        <w:rPr>
          <w:rFonts w:ascii="Times New Roman" w:eastAsiaTheme="minorEastAsia" w:hAnsi="Times New Roman" w:cs="Times New Roman"/>
          <w:sz w:val="24"/>
          <w:szCs w:val="24"/>
        </w:rPr>
        <w:t xml:space="preserve"> 64 oraz 67</w:t>
      </w:r>
      <w:r w:rsidR="00F40CFE" w:rsidRPr="003A42FB">
        <w:rPr>
          <w:rFonts w:ascii="Times New Roman" w:eastAsiaTheme="minorEastAsia" w:hAnsi="Times New Roman" w:cs="Times New Roman"/>
          <w:sz w:val="24"/>
          <w:szCs w:val="24"/>
        </w:rPr>
        <w:t xml:space="preserve"> ust. 1</w:t>
      </w:r>
      <w:r w:rsidR="00573E59" w:rsidRPr="003A42FB">
        <w:rPr>
          <w:rFonts w:ascii="Times New Roman" w:eastAsiaTheme="minorEastAsia" w:hAnsi="Times New Roman" w:cs="Times New Roman"/>
          <w:sz w:val="24"/>
          <w:szCs w:val="24"/>
        </w:rPr>
        <w:t xml:space="preserve"> EKŁE. Są to przepisy odpowiadające dotychczasowym art. 15 i 16 dyrektywy ramowej (wdrożone dotychczas w art. 22 ustawy Pt), jednakże </w:t>
      </w:r>
      <w:r w:rsidR="001434F4" w:rsidRPr="003A42FB">
        <w:rPr>
          <w:rFonts w:ascii="Times New Roman" w:eastAsiaTheme="minorEastAsia" w:hAnsi="Times New Roman" w:cs="Times New Roman"/>
          <w:sz w:val="24"/>
          <w:szCs w:val="24"/>
        </w:rPr>
        <w:t xml:space="preserve">je </w:t>
      </w:r>
      <w:r w:rsidR="00573E59" w:rsidRPr="003A42FB">
        <w:rPr>
          <w:rFonts w:ascii="Times New Roman" w:eastAsiaTheme="minorEastAsia" w:hAnsi="Times New Roman" w:cs="Times New Roman"/>
          <w:sz w:val="24"/>
          <w:szCs w:val="24"/>
        </w:rPr>
        <w:t xml:space="preserve">modyfikujące. </w:t>
      </w:r>
      <w:r w:rsidR="004C7B59" w:rsidRPr="003A42FB">
        <w:rPr>
          <w:rFonts w:ascii="Times New Roman" w:eastAsiaTheme="minorEastAsia" w:hAnsi="Times New Roman" w:cs="Times New Roman"/>
          <w:sz w:val="24"/>
          <w:szCs w:val="24"/>
        </w:rPr>
        <w:t>Nowymi elementami dodanymi przez EKŁE, mającymi swoje odzwierciedlenie w projektowanym przepisie jest</w:t>
      </w:r>
      <w:r w:rsidR="006017C7" w:rsidRPr="003A42FB">
        <w:rPr>
          <w:rFonts w:ascii="Times New Roman" w:eastAsiaTheme="minorEastAsia" w:hAnsi="Times New Roman" w:cs="Times New Roman"/>
          <w:sz w:val="24"/>
          <w:szCs w:val="24"/>
        </w:rPr>
        <w:t xml:space="preserve"> </w:t>
      </w:r>
      <w:r w:rsidR="0032137F" w:rsidRPr="003A42FB">
        <w:rPr>
          <w:rFonts w:ascii="Times New Roman" w:eastAsiaTheme="minorEastAsia" w:hAnsi="Times New Roman" w:cs="Times New Roman"/>
          <w:sz w:val="24"/>
          <w:szCs w:val="24"/>
        </w:rPr>
        <w:t>obowiązek wzięcia pod uwagę – przy definiowaniu</w:t>
      </w:r>
      <w:r w:rsidR="00653DE5" w:rsidRPr="003A42FB">
        <w:rPr>
          <w:rFonts w:ascii="Times New Roman" w:eastAsiaTheme="minorEastAsia" w:hAnsi="Times New Roman" w:cs="Times New Roman"/>
          <w:sz w:val="24"/>
          <w:szCs w:val="24"/>
        </w:rPr>
        <w:t xml:space="preserve"> </w:t>
      </w:r>
      <w:r w:rsidR="0032137F" w:rsidRPr="003A42FB">
        <w:rPr>
          <w:rFonts w:ascii="Times New Roman" w:eastAsiaTheme="minorEastAsia" w:hAnsi="Times New Roman" w:cs="Times New Roman"/>
          <w:sz w:val="24"/>
          <w:szCs w:val="24"/>
        </w:rPr>
        <w:t xml:space="preserve">rynku właściwego </w:t>
      </w:r>
      <w:r w:rsidR="008132B2" w:rsidRPr="003A42FB">
        <w:rPr>
          <w:rFonts w:ascii="Times New Roman" w:eastAsiaTheme="minorEastAsia" w:hAnsi="Times New Roman" w:cs="Times New Roman"/>
          <w:sz w:val="24"/>
          <w:szCs w:val="24"/>
        </w:rPr>
        <w:t>– stopnia konkurencji w zakresie infrastruktury na tych obszarach, wyniki analizy geograficznej (przez którą należy rozumieć na gruncie polskich regulacji przeprowadzaną na podstawie ustawy o wspieraniu rozwoju usług i sieci telekomunikacyjnych – inwentaryzację przedstawiającą pokrycie istniejącą infrastrukturą telekomunikacyjną i publicznymi sieciami telekomunikacyjnymi, zapewniającymi lub umożliwiającymi zapewnienie szerokopasmowego dostępu do Internetu)</w:t>
      </w:r>
      <w:r w:rsidR="000961D3" w:rsidRPr="003A42FB">
        <w:rPr>
          <w:rFonts w:ascii="Times New Roman" w:eastAsiaTheme="minorEastAsia" w:hAnsi="Times New Roman" w:cs="Times New Roman"/>
          <w:sz w:val="24"/>
          <w:szCs w:val="24"/>
        </w:rPr>
        <w:t xml:space="preserve">. </w:t>
      </w:r>
      <w:r w:rsidR="00C61B41" w:rsidRPr="003A42FB">
        <w:rPr>
          <w:rFonts w:ascii="Times New Roman" w:eastAsiaTheme="minorEastAsia" w:hAnsi="Times New Roman" w:cs="Times New Roman"/>
          <w:sz w:val="24"/>
          <w:szCs w:val="24"/>
        </w:rPr>
        <w:t xml:space="preserve">W art. 67 </w:t>
      </w:r>
      <w:r w:rsidR="00F40CFE" w:rsidRPr="003A42FB">
        <w:rPr>
          <w:rFonts w:ascii="Times New Roman" w:eastAsiaTheme="minorEastAsia" w:hAnsi="Times New Roman" w:cs="Times New Roman"/>
          <w:sz w:val="24"/>
          <w:szCs w:val="24"/>
        </w:rPr>
        <w:t xml:space="preserve">ust. 1 </w:t>
      </w:r>
      <w:r w:rsidR="00C61B41" w:rsidRPr="003A42FB">
        <w:rPr>
          <w:rFonts w:ascii="Times New Roman" w:eastAsiaTheme="minorEastAsia" w:hAnsi="Times New Roman" w:cs="Times New Roman"/>
          <w:sz w:val="24"/>
          <w:szCs w:val="24"/>
        </w:rPr>
        <w:t xml:space="preserve">EKŁE wprowadzono </w:t>
      </w:r>
      <w:r w:rsidR="00F40CFE" w:rsidRPr="003A42FB">
        <w:rPr>
          <w:rFonts w:ascii="Times New Roman" w:eastAsiaTheme="minorEastAsia" w:hAnsi="Times New Roman" w:cs="Times New Roman"/>
          <w:sz w:val="24"/>
          <w:szCs w:val="24"/>
        </w:rPr>
        <w:t xml:space="preserve">kryteria uzasadniające nałożenie obowiązków regulacyjnych, co znalazło swoje odzwierciedlenie w treści </w:t>
      </w:r>
      <w:r w:rsidR="00E24295" w:rsidRPr="003A42FB">
        <w:rPr>
          <w:rFonts w:ascii="Times New Roman" w:eastAsiaTheme="minorEastAsia" w:hAnsi="Times New Roman" w:cs="Times New Roman"/>
          <w:sz w:val="24"/>
          <w:szCs w:val="24"/>
        </w:rPr>
        <w:t>projektowanych przepisów</w:t>
      </w:r>
      <w:r w:rsidR="00F40CFE" w:rsidRPr="003A42FB">
        <w:rPr>
          <w:rFonts w:ascii="Times New Roman" w:eastAsiaTheme="minorEastAsia" w:hAnsi="Times New Roman" w:cs="Times New Roman"/>
          <w:sz w:val="24"/>
          <w:szCs w:val="24"/>
        </w:rPr>
        <w:t xml:space="preserve">. </w:t>
      </w:r>
    </w:p>
    <w:p w14:paraId="7C1817AD" w14:textId="06DF914B" w:rsidR="00506791" w:rsidRPr="003A42FB" w:rsidRDefault="0050679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200</w:t>
      </w:r>
    </w:p>
    <w:p w14:paraId="26F745CD" w14:textId="218F6536" w:rsidR="00453E28" w:rsidRPr="003A42FB" w:rsidRDefault="0050679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stanowi wdrożenie art. 67 ust. 2 EKŁE, który nie miał dotychczas swojego odpowiednika </w:t>
      </w:r>
      <w:r w:rsidR="00453E28" w:rsidRPr="003A42FB">
        <w:rPr>
          <w:rFonts w:ascii="Times New Roman" w:eastAsiaTheme="minorEastAsia" w:hAnsi="Times New Roman" w:cs="Times New Roman"/>
          <w:sz w:val="24"/>
          <w:szCs w:val="24"/>
        </w:rPr>
        <w:t>w</w:t>
      </w:r>
      <w:r w:rsidRPr="003A42FB">
        <w:rPr>
          <w:rFonts w:ascii="Times New Roman" w:eastAsiaTheme="minorEastAsia" w:hAnsi="Times New Roman" w:cs="Times New Roman"/>
          <w:sz w:val="24"/>
          <w:szCs w:val="24"/>
        </w:rPr>
        <w:t xml:space="preserve"> pakiecie dyrektyw telekomunikacyjnych. Art. </w:t>
      </w:r>
      <w:r w:rsidR="00B527D3">
        <w:rPr>
          <w:rFonts w:ascii="Times New Roman" w:eastAsiaTheme="minorEastAsia" w:hAnsi="Times New Roman" w:cs="Times New Roman"/>
          <w:sz w:val="24"/>
          <w:szCs w:val="24"/>
        </w:rPr>
        <w:t>200</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reguluje </w:t>
      </w:r>
      <w:r w:rsidR="00453E28" w:rsidRPr="003A42FB">
        <w:rPr>
          <w:rFonts w:ascii="Times New Roman" w:eastAsiaTheme="minorEastAsia" w:hAnsi="Times New Roman" w:cs="Times New Roman"/>
          <w:sz w:val="24"/>
          <w:szCs w:val="24"/>
        </w:rPr>
        <w:t>obowiązek Prezesa UKE, badania, w trakcie przeprowadzania analizy rynku, rozwoju sytuacji rynkowej w ujęciu perspektywicznym, przy założeniu, że nie nałożono obowiązków regulacyjnych oraz określa elementy jakie należy brać pod uwagę przy takim badaniu. Celem przepisu będzie zbadanie m.in. tego czy rynek sta</w:t>
      </w:r>
      <w:r w:rsidR="001434F4" w:rsidRPr="003A42FB">
        <w:rPr>
          <w:rFonts w:ascii="Times New Roman" w:eastAsiaTheme="minorEastAsia" w:hAnsi="Times New Roman" w:cs="Times New Roman"/>
          <w:sz w:val="24"/>
          <w:szCs w:val="24"/>
        </w:rPr>
        <w:t>nie</w:t>
      </w:r>
      <w:r w:rsidR="00453E28" w:rsidRPr="003A42FB">
        <w:rPr>
          <w:rFonts w:ascii="Times New Roman" w:eastAsiaTheme="minorEastAsia" w:hAnsi="Times New Roman" w:cs="Times New Roman"/>
          <w:sz w:val="24"/>
          <w:szCs w:val="24"/>
        </w:rPr>
        <w:t xml:space="preserve"> się konkurencyjny w przyszłości, mimo iż obowiązki regulacyjne nie zostały nałożone.</w:t>
      </w:r>
    </w:p>
    <w:p w14:paraId="5732512A" w14:textId="152A8AC8" w:rsidR="000E6BD7" w:rsidRPr="003A42FB" w:rsidRDefault="00CA4D6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201</w:t>
      </w:r>
    </w:p>
    <w:p w14:paraId="5CB3FA27" w14:textId="0EB8284E" w:rsidR="000E6BD7" w:rsidRPr="003A42FB" w:rsidRDefault="000E6BD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Art. </w:t>
      </w:r>
      <w:r w:rsidR="00B527D3">
        <w:rPr>
          <w:rFonts w:ascii="Times New Roman" w:eastAsiaTheme="minorEastAsia" w:hAnsi="Times New Roman" w:cs="Times New Roman"/>
          <w:sz w:val="24"/>
          <w:szCs w:val="24"/>
        </w:rPr>
        <w:t>201</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dotyczy postępowania wszczynanego z urzędu przez Prezesa UKE, które to jest kontynuacją postępowania, o którym mowa w art. </w:t>
      </w:r>
      <w:r w:rsidR="00B527D3">
        <w:rPr>
          <w:rFonts w:ascii="Times New Roman" w:eastAsiaTheme="minorEastAsia" w:hAnsi="Times New Roman" w:cs="Times New Roman"/>
          <w:sz w:val="24"/>
          <w:szCs w:val="24"/>
        </w:rPr>
        <w:t>199</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1. W sytuacji bowiem gdy na rynku właściwym </w:t>
      </w:r>
      <w:r w:rsidR="00AE1598" w:rsidRPr="003A42FB">
        <w:rPr>
          <w:rFonts w:ascii="Times New Roman" w:eastAsiaTheme="minorEastAsia" w:hAnsi="Times New Roman" w:cs="Times New Roman"/>
          <w:sz w:val="24"/>
          <w:szCs w:val="24"/>
        </w:rPr>
        <w:t xml:space="preserve">nie występuje </w:t>
      </w:r>
      <w:r w:rsidRPr="003A42FB">
        <w:rPr>
          <w:rFonts w:ascii="Times New Roman" w:eastAsiaTheme="minorEastAsia" w:hAnsi="Times New Roman" w:cs="Times New Roman"/>
          <w:sz w:val="24"/>
          <w:szCs w:val="24"/>
        </w:rPr>
        <w:t xml:space="preserve">przedsiębiorca </w:t>
      </w:r>
      <w:r w:rsidR="007C5492" w:rsidRPr="003A42FB">
        <w:rPr>
          <w:rFonts w:ascii="Times New Roman" w:eastAsiaTheme="minorEastAsia" w:hAnsi="Times New Roman" w:cs="Times New Roman"/>
          <w:sz w:val="24"/>
          <w:szCs w:val="24"/>
        </w:rPr>
        <w:t>komunikacji elektroniczne</w:t>
      </w:r>
      <w:r w:rsidR="00153C47"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o znaczącej pozycji rynkowej lub przedsiębiorcy </w:t>
      </w:r>
      <w:r w:rsidR="007C5492" w:rsidRPr="003A42FB">
        <w:rPr>
          <w:rFonts w:ascii="Times New Roman" w:eastAsiaTheme="minorEastAsia" w:hAnsi="Times New Roman" w:cs="Times New Roman"/>
          <w:sz w:val="24"/>
          <w:szCs w:val="24"/>
        </w:rPr>
        <w:t>komunikacji elektroniczne</w:t>
      </w:r>
      <w:r w:rsidR="00153C47" w:rsidRPr="003A42FB">
        <w:rPr>
          <w:rFonts w:ascii="Times New Roman" w:eastAsiaTheme="minorEastAsia" w:hAnsi="Times New Roman" w:cs="Times New Roman"/>
          <w:sz w:val="24"/>
          <w:szCs w:val="24"/>
        </w:rPr>
        <w:t>j</w:t>
      </w:r>
      <w:r w:rsidR="007C549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zajmujący kolektywną pozycję znaczącą, Prezes UKE wydaje decyzję, w której określa rynek właściwy w sposób określony w art. </w:t>
      </w:r>
      <w:r w:rsidR="00B527D3">
        <w:rPr>
          <w:rFonts w:ascii="Times New Roman" w:eastAsiaTheme="minorEastAsia" w:hAnsi="Times New Roman" w:cs="Times New Roman"/>
          <w:sz w:val="24"/>
          <w:szCs w:val="24"/>
        </w:rPr>
        <w:t>199</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 pkt 1, stwierdza, że na tym rynku właściwym występuje skuteczna konkurencja</w:t>
      </w:r>
      <w:r w:rsidR="005C0FAE" w:rsidRPr="003A42FB">
        <w:rPr>
          <w:rFonts w:ascii="Times New Roman" w:eastAsiaTheme="minorEastAsia" w:hAnsi="Times New Roman" w:cs="Times New Roman"/>
          <w:sz w:val="24"/>
          <w:szCs w:val="24"/>
        </w:rPr>
        <w:t xml:space="preserve">. Prezes UKE może również uchylić </w:t>
      </w:r>
      <w:r w:rsidRPr="003A42FB">
        <w:rPr>
          <w:rFonts w:ascii="Times New Roman" w:eastAsiaTheme="minorEastAsia" w:hAnsi="Times New Roman" w:cs="Times New Roman"/>
          <w:sz w:val="24"/>
          <w:szCs w:val="24"/>
        </w:rPr>
        <w:t>nałożone obowiązki regulacyjne</w:t>
      </w:r>
      <w:r w:rsidR="005C0FAE" w:rsidRPr="003A42FB">
        <w:rPr>
          <w:rFonts w:ascii="Times New Roman" w:eastAsiaTheme="minorEastAsia" w:hAnsi="Times New Roman" w:cs="Times New Roman"/>
          <w:sz w:val="24"/>
          <w:szCs w:val="24"/>
        </w:rPr>
        <w:t>, jeżeli na tym rynku właśc</w:t>
      </w:r>
      <w:r w:rsidR="007C5492" w:rsidRPr="003A42FB">
        <w:rPr>
          <w:rFonts w:ascii="Times New Roman" w:eastAsiaTheme="minorEastAsia" w:hAnsi="Times New Roman" w:cs="Times New Roman"/>
          <w:sz w:val="24"/>
          <w:szCs w:val="24"/>
        </w:rPr>
        <w:t>iwym występował przedsiębiorca komunikacji elektroniczne</w:t>
      </w:r>
      <w:r w:rsidR="00561A46" w:rsidRPr="003A42FB">
        <w:rPr>
          <w:rFonts w:ascii="Times New Roman" w:eastAsiaTheme="minorEastAsia" w:hAnsi="Times New Roman" w:cs="Times New Roman"/>
          <w:sz w:val="24"/>
          <w:szCs w:val="24"/>
        </w:rPr>
        <w:t>j</w:t>
      </w:r>
      <w:r w:rsidR="005C0FAE" w:rsidRPr="003A42FB">
        <w:rPr>
          <w:rFonts w:ascii="Times New Roman" w:eastAsiaTheme="minorEastAsia" w:hAnsi="Times New Roman" w:cs="Times New Roman"/>
          <w:sz w:val="24"/>
          <w:szCs w:val="24"/>
        </w:rPr>
        <w:t xml:space="preserve"> o znaczącej pozyc</w:t>
      </w:r>
      <w:r w:rsidR="007C5492" w:rsidRPr="003A42FB">
        <w:rPr>
          <w:rFonts w:ascii="Times New Roman" w:eastAsiaTheme="minorEastAsia" w:hAnsi="Times New Roman" w:cs="Times New Roman"/>
          <w:sz w:val="24"/>
          <w:szCs w:val="24"/>
        </w:rPr>
        <w:t>ji rynkowej lub przedsiębiorcy komunikacji elektroniczne</w:t>
      </w:r>
      <w:r w:rsidR="00561A46" w:rsidRPr="003A42FB">
        <w:rPr>
          <w:rFonts w:ascii="Times New Roman" w:eastAsiaTheme="minorEastAsia" w:hAnsi="Times New Roman" w:cs="Times New Roman"/>
          <w:sz w:val="24"/>
          <w:szCs w:val="24"/>
        </w:rPr>
        <w:t>j</w:t>
      </w:r>
      <w:r w:rsidR="005C0FAE" w:rsidRPr="003A42FB">
        <w:rPr>
          <w:rFonts w:ascii="Times New Roman" w:eastAsiaTheme="minorEastAsia" w:hAnsi="Times New Roman" w:cs="Times New Roman"/>
          <w:sz w:val="24"/>
          <w:szCs w:val="24"/>
        </w:rPr>
        <w:t xml:space="preserve"> zajmujący kolektywną pozycję znaczącą, którzy utracili tę pozycję</w:t>
      </w:r>
      <w:r w:rsidRPr="003A42FB">
        <w:rPr>
          <w:rFonts w:ascii="Times New Roman" w:eastAsiaTheme="minorEastAsia" w:hAnsi="Times New Roman" w:cs="Times New Roman"/>
          <w:sz w:val="24"/>
          <w:szCs w:val="24"/>
        </w:rPr>
        <w:t xml:space="preserve">. Zgodnie z dyspozycją zawartą w art. 67 ust. 3 akapit 2 </w:t>
      </w:r>
      <w:r w:rsidR="006A2D5A" w:rsidRPr="003A42FB">
        <w:rPr>
          <w:rFonts w:ascii="Times New Roman" w:eastAsiaTheme="minorEastAsia" w:hAnsi="Times New Roman" w:cs="Times New Roman"/>
          <w:sz w:val="24"/>
          <w:szCs w:val="24"/>
        </w:rPr>
        <w:t>EKŁE projekt ustawy wskazuje</w:t>
      </w:r>
      <w:r w:rsidRPr="003A42FB">
        <w:rPr>
          <w:rFonts w:ascii="Times New Roman" w:eastAsiaTheme="minorEastAsia" w:hAnsi="Times New Roman" w:cs="Times New Roman"/>
          <w:sz w:val="24"/>
          <w:szCs w:val="24"/>
        </w:rPr>
        <w:t>, iż Prezes UKE uwzględnia nie tylko sytuację działaj</w:t>
      </w:r>
      <w:r w:rsidR="00D77440" w:rsidRPr="003A42FB">
        <w:rPr>
          <w:rFonts w:ascii="Times New Roman" w:eastAsiaTheme="minorEastAsia" w:hAnsi="Times New Roman" w:cs="Times New Roman"/>
          <w:sz w:val="24"/>
          <w:szCs w:val="24"/>
        </w:rPr>
        <w:t>ących na rynku przedsiębiorców komunikacji elektroniczne</w:t>
      </w:r>
      <w:r w:rsidR="00561A46"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objętych tą decyzją, ale również sytuację użytkowników końcowych, a także zapewnia tym użytkownikom możliwość wyboru usług. Ponadto, Prezes UKE może w decyzji, o której mowa w ust. 1, określić szczegółowe warunki i termin uchylenia obowiązków regulacyjnych w odniesieniu do </w:t>
      </w:r>
      <w:r w:rsidR="00D77440" w:rsidRPr="003A42FB">
        <w:rPr>
          <w:rFonts w:ascii="Times New Roman" w:eastAsiaTheme="minorEastAsia" w:hAnsi="Times New Roman" w:cs="Times New Roman"/>
          <w:sz w:val="24"/>
          <w:szCs w:val="24"/>
        </w:rPr>
        <w:t>obowiązujących umów o dostępie</w:t>
      </w:r>
      <w:r w:rsidRPr="003A42FB">
        <w:rPr>
          <w:rFonts w:ascii="Times New Roman" w:eastAsiaTheme="minorEastAsia" w:hAnsi="Times New Roman" w:cs="Times New Roman"/>
          <w:sz w:val="24"/>
          <w:szCs w:val="24"/>
        </w:rPr>
        <w:t xml:space="preserve">. Należy również wskazać, że projekt decyzji, o której mowa w </w:t>
      </w:r>
      <w:r w:rsidR="006A2D5A" w:rsidRPr="003A42FB">
        <w:rPr>
          <w:rFonts w:ascii="Times New Roman" w:eastAsiaTheme="minorEastAsia" w:hAnsi="Times New Roman" w:cs="Times New Roman"/>
          <w:sz w:val="24"/>
          <w:szCs w:val="24"/>
        </w:rPr>
        <w:t xml:space="preserve">projektowanym art. </w:t>
      </w:r>
      <w:r w:rsidR="00B527D3">
        <w:rPr>
          <w:rFonts w:ascii="Times New Roman" w:eastAsiaTheme="minorEastAsia" w:hAnsi="Times New Roman" w:cs="Times New Roman"/>
          <w:sz w:val="24"/>
          <w:szCs w:val="24"/>
        </w:rPr>
        <w:t>201</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podlega przepisom o postępowaniu konsultacyjnym, co wynika z art. 67 ust. 5 EKŁE.</w:t>
      </w:r>
      <w:r w:rsidR="00BA4C1D" w:rsidRPr="003A42FB">
        <w:rPr>
          <w:rFonts w:ascii="Times New Roman" w:eastAsiaTheme="minorEastAsia" w:hAnsi="Times New Roman" w:cs="Times New Roman"/>
          <w:sz w:val="24"/>
          <w:szCs w:val="24"/>
        </w:rPr>
        <w:t xml:space="preserve"> W ramach postępowania konsultacyjnego następuje zasięgnięcie opinii Prezesa UOKiK.</w:t>
      </w:r>
    </w:p>
    <w:p w14:paraId="72EE40FF" w14:textId="49EEFFE4" w:rsidR="000E6BD7" w:rsidRPr="003A42FB" w:rsidRDefault="000E6BD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202</w:t>
      </w:r>
    </w:p>
    <w:p w14:paraId="71432C91" w14:textId="00664D15" w:rsidR="00620BD1" w:rsidRPr="003A42FB" w:rsidRDefault="00620BD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art. </w:t>
      </w:r>
      <w:r w:rsidR="00B527D3">
        <w:rPr>
          <w:rFonts w:ascii="Times New Roman" w:eastAsiaTheme="minorEastAsia" w:hAnsi="Times New Roman" w:cs="Times New Roman"/>
          <w:sz w:val="24"/>
          <w:szCs w:val="24"/>
        </w:rPr>
        <w:t>202</w:t>
      </w:r>
      <w:r w:rsidR="00B527D3" w:rsidRPr="003A42FB">
        <w:rPr>
          <w:rFonts w:ascii="Times New Roman" w:eastAsiaTheme="minorEastAsia" w:hAnsi="Times New Roman" w:cs="Times New Roman"/>
          <w:sz w:val="24"/>
          <w:szCs w:val="24"/>
        </w:rPr>
        <w:t xml:space="preserve"> </w:t>
      </w:r>
      <w:r w:rsidR="000E6BD7" w:rsidRPr="003A42FB">
        <w:rPr>
          <w:rFonts w:ascii="Times New Roman" w:eastAsiaTheme="minorEastAsia" w:hAnsi="Times New Roman" w:cs="Times New Roman"/>
          <w:sz w:val="24"/>
          <w:szCs w:val="24"/>
        </w:rPr>
        <w:t xml:space="preserve">dotyczy postępowania toczącego się na podstawie art. </w:t>
      </w:r>
      <w:r w:rsidR="00B527D3">
        <w:rPr>
          <w:rFonts w:ascii="Times New Roman" w:eastAsiaTheme="minorEastAsia" w:hAnsi="Times New Roman" w:cs="Times New Roman"/>
          <w:sz w:val="24"/>
          <w:szCs w:val="24"/>
        </w:rPr>
        <w:t>199</w:t>
      </w:r>
      <w:r w:rsidR="000E6BD7" w:rsidRPr="003A42FB">
        <w:rPr>
          <w:rFonts w:ascii="Times New Roman" w:eastAsiaTheme="minorEastAsia" w:hAnsi="Times New Roman" w:cs="Times New Roman"/>
          <w:sz w:val="24"/>
          <w:szCs w:val="24"/>
        </w:rPr>
        <w:t>, w którym Prezes UKE określa czy na rynku występuje przedsiębiorca lub przedsiębiorcy o znaczącej pozycji rynkowej.</w:t>
      </w:r>
      <w:r w:rsidR="4AE6E75C" w:rsidRPr="003A42FB">
        <w:rPr>
          <w:rFonts w:ascii="Times New Roman" w:eastAsiaTheme="minorEastAsia" w:hAnsi="Times New Roman" w:cs="Times New Roman"/>
          <w:sz w:val="24"/>
          <w:szCs w:val="24"/>
        </w:rPr>
        <w:t xml:space="preserve"> Prezes UKE w przypadku ustalenia, że na rynku właściwym występuje przedsiębiorca komunikacji elektronicznej o znaczącej pozycji rynkowej lub przedsiębiorcy komunikacji elektronicznej zajmujący kolektywną pozycję znaczącą, wydaje decyzję, w której określa rynek właściwy</w:t>
      </w:r>
      <w:r w:rsidR="01684873" w:rsidRPr="003A42FB">
        <w:rPr>
          <w:rFonts w:ascii="Times New Roman" w:eastAsiaTheme="minorEastAsia" w:hAnsi="Times New Roman" w:cs="Times New Roman"/>
          <w:sz w:val="24"/>
          <w:szCs w:val="24"/>
        </w:rPr>
        <w:t xml:space="preserve">, wyznacza przedsiębiorcę o znaczącej pozycji oraz, biorąc pod uwagę </w:t>
      </w:r>
      <w:r w:rsidR="41AA4F89" w:rsidRPr="003A42FB">
        <w:rPr>
          <w:rFonts w:ascii="Times New Roman" w:eastAsiaTheme="minorEastAsia" w:hAnsi="Times New Roman" w:cs="Times New Roman"/>
          <w:sz w:val="24"/>
          <w:szCs w:val="24"/>
        </w:rPr>
        <w:t>określone</w:t>
      </w:r>
      <w:r w:rsidR="01684873" w:rsidRPr="003A42FB">
        <w:rPr>
          <w:rFonts w:ascii="Times New Roman" w:eastAsiaTheme="minorEastAsia" w:hAnsi="Times New Roman" w:cs="Times New Roman"/>
          <w:sz w:val="24"/>
          <w:szCs w:val="24"/>
        </w:rPr>
        <w:t xml:space="preserve"> w przepisie przesłanki nakłada, utrzymuje</w:t>
      </w:r>
      <w:r w:rsidR="7945F652" w:rsidRPr="003A42FB">
        <w:rPr>
          <w:rFonts w:ascii="Times New Roman" w:eastAsiaTheme="minorEastAsia" w:hAnsi="Times New Roman" w:cs="Times New Roman"/>
          <w:sz w:val="24"/>
          <w:szCs w:val="24"/>
        </w:rPr>
        <w:t>, uchyla</w:t>
      </w:r>
      <w:r w:rsidR="01684873" w:rsidRPr="003A42FB">
        <w:rPr>
          <w:rFonts w:ascii="Times New Roman" w:eastAsiaTheme="minorEastAsia" w:hAnsi="Times New Roman" w:cs="Times New Roman"/>
          <w:sz w:val="24"/>
          <w:szCs w:val="24"/>
        </w:rPr>
        <w:t xml:space="preserve"> lub zmienia </w:t>
      </w:r>
      <w:r w:rsidR="56740EE5" w:rsidRPr="003A42FB">
        <w:rPr>
          <w:rFonts w:ascii="Times New Roman" w:eastAsiaTheme="minorEastAsia" w:hAnsi="Times New Roman" w:cs="Times New Roman"/>
          <w:sz w:val="24"/>
          <w:szCs w:val="24"/>
        </w:rPr>
        <w:t>obowiązki regulacyjne.</w:t>
      </w:r>
      <w:r w:rsidR="54379806" w:rsidRPr="003A42FB">
        <w:rPr>
          <w:rFonts w:ascii="Times New Roman" w:eastAsiaTheme="minorEastAsia" w:hAnsi="Times New Roman" w:cs="Times New Roman"/>
          <w:sz w:val="24"/>
          <w:szCs w:val="24"/>
        </w:rPr>
        <w:t xml:space="preserve"> Przepis funkcjonował już w Pt.</w:t>
      </w:r>
      <w:r w:rsidR="00CD1C26" w:rsidRPr="003A42FB">
        <w:rPr>
          <w:rFonts w:ascii="Times New Roman" w:eastAsiaTheme="minorEastAsia" w:hAnsi="Times New Roman" w:cs="Times New Roman"/>
          <w:sz w:val="24"/>
          <w:szCs w:val="24"/>
        </w:rPr>
        <w:t xml:space="preserve"> W ramach postępowania konsultacyjnego następuje zasięgnięcie opinii Prezesa UOKiK.</w:t>
      </w:r>
    </w:p>
    <w:p w14:paraId="5D692B2A" w14:textId="6FA7DA45" w:rsidR="000E6BD7" w:rsidRPr="003A42FB" w:rsidRDefault="57AE38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203</w:t>
      </w:r>
    </w:p>
    <w:p w14:paraId="1DB0B00E" w14:textId="1C513BDD" w:rsidR="75EF4D1E" w:rsidRPr="003A42FB" w:rsidRDefault="75EF4D1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przesądza o odpowiednim stosowaniu przepisów art. </w:t>
      </w:r>
      <w:r w:rsidR="00B527D3">
        <w:rPr>
          <w:rFonts w:ascii="Times New Roman" w:eastAsiaTheme="minorEastAsia" w:hAnsi="Times New Roman" w:cs="Times New Roman"/>
          <w:sz w:val="24"/>
          <w:szCs w:val="24"/>
        </w:rPr>
        <w:t>201</w:t>
      </w:r>
      <w:r w:rsidRPr="003A42FB">
        <w:rPr>
          <w:rFonts w:ascii="Times New Roman" w:eastAsiaTheme="minorEastAsia" w:hAnsi="Times New Roman" w:cs="Times New Roman"/>
          <w:sz w:val="24"/>
          <w:szCs w:val="24"/>
        </w:rPr>
        <w:t xml:space="preserve">, </w:t>
      </w:r>
      <w:r w:rsidR="00B527D3">
        <w:rPr>
          <w:rFonts w:ascii="Times New Roman" w:eastAsiaTheme="minorEastAsia" w:hAnsi="Times New Roman" w:cs="Times New Roman"/>
          <w:sz w:val="24"/>
          <w:szCs w:val="24"/>
        </w:rPr>
        <w:t>202</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i </w:t>
      </w:r>
      <w:r w:rsidR="00B527D3">
        <w:rPr>
          <w:rFonts w:ascii="Times New Roman" w:eastAsiaTheme="minorEastAsia" w:hAnsi="Times New Roman" w:cs="Times New Roman"/>
          <w:sz w:val="24"/>
          <w:szCs w:val="24"/>
        </w:rPr>
        <w:t>205</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w </w:t>
      </w:r>
      <w:r w:rsidR="676DC4DD" w:rsidRPr="003A42FB">
        <w:rPr>
          <w:rFonts w:ascii="Times New Roman" w:eastAsiaTheme="minorEastAsia" w:hAnsi="Times New Roman" w:cs="Times New Roman"/>
          <w:sz w:val="24"/>
          <w:szCs w:val="24"/>
        </w:rPr>
        <w:t>przypadku zmiany zakresu geograficznego lub produktowego danego rynku właściwego, która nie powoduje, że rynek ten obejmuje całkowicie inne usługi niż dotychczas</w:t>
      </w:r>
      <w:r w:rsidR="0B1C70E3" w:rsidRPr="003A42FB">
        <w:rPr>
          <w:rFonts w:ascii="Times New Roman" w:eastAsiaTheme="minorEastAsia" w:hAnsi="Times New Roman" w:cs="Times New Roman"/>
          <w:sz w:val="24"/>
          <w:szCs w:val="24"/>
        </w:rPr>
        <w:t>.</w:t>
      </w:r>
    </w:p>
    <w:p w14:paraId="46D26936" w14:textId="73724002" w:rsidR="000E6BD7" w:rsidRPr="003A42FB" w:rsidRDefault="000E6BD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204</w:t>
      </w:r>
    </w:p>
    <w:p w14:paraId="41FE5A96" w14:textId="3394353E" w:rsidR="000E6BD7" w:rsidRPr="003A42FB" w:rsidRDefault="000E6BD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B527D3">
        <w:rPr>
          <w:rFonts w:ascii="Times New Roman" w:eastAsiaTheme="minorEastAsia" w:hAnsi="Times New Roman" w:cs="Times New Roman"/>
          <w:sz w:val="24"/>
          <w:szCs w:val="24"/>
        </w:rPr>
        <w:t>204</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projektu dotyczy przedsiębiorstw wyłącznie hurtowych i zawiera regulacje, które dotychczas nie były regulowane ani na gruncie prawa unijnego ani w przepisach krajowych. Przepis ten stanowi implementację art. 80 EKŁE. Regulacja ta daje Prezesowi UKE możliwość nałożenia w drodze decyzji, o której mowa w art. </w:t>
      </w:r>
      <w:r w:rsidR="00B527D3">
        <w:rPr>
          <w:rFonts w:ascii="Times New Roman" w:eastAsiaTheme="minorEastAsia" w:hAnsi="Times New Roman" w:cs="Times New Roman"/>
          <w:sz w:val="24"/>
          <w:szCs w:val="24"/>
        </w:rPr>
        <w:t>202</w:t>
      </w:r>
      <w:r w:rsidR="00B527D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wyłącznie obowiązków, o których mowa w art. </w:t>
      </w:r>
      <w:r w:rsidR="00A9747D">
        <w:rPr>
          <w:rFonts w:ascii="Times New Roman" w:eastAsiaTheme="minorEastAsia" w:hAnsi="Times New Roman" w:cs="Times New Roman"/>
          <w:sz w:val="24"/>
          <w:szCs w:val="24"/>
        </w:rPr>
        <w:t>209</w:t>
      </w:r>
      <w:r w:rsidR="00A9747D" w:rsidRPr="003A42FB">
        <w:rPr>
          <w:rFonts w:ascii="Times New Roman" w:eastAsiaTheme="minorEastAsia" w:hAnsi="Times New Roman" w:cs="Times New Roman"/>
          <w:sz w:val="24"/>
          <w:szCs w:val="24"/>
        </w:rPr>
        <w:t xml:space="preserve"> </w:t>
      </w:r>
      <w:r w:rsidR="00D63879" w:rsidRPr="003A42FB">
        <w:rPr>
          <w:rFonts w:ascii="Times New Roman" w:eastAsiaTheme="minorEastAsia" w:hAnsi="Times New Roman" w:cs="Times New Roman"/>
          <w:sz w:val="24"/>
          <w:szCs w:val="24"/>
        </w:rPr>
        <w:t xml:space="preserve">i </w:t>
      </w:r>
      <w:r w:rsidR="00A9747D">
        <w:rPr>
          <w:rFonts w:ascii="Times New Roman" w:eastAsiaTheme="minorEastAsia" w:hAnsi="Times New Roman" w:cs="Times New Roman"/>
          <w:sz w:val="24"/>
          <w:szCs w:val="24"/>
        </w:rPr>
        <w:t>213</w:t>
      </w:r>
      <w:r w:rsidR="00A9747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lub obowiązku stosowania niezawyżonych cen</w:t>
      </w:r>
      <w:r w:rsidRPr="003A42FB">
        <w:rPr>
          <w:rFonts w:ascii="Times New Roman" w:eastAsiaTheme="minorEastAsia" w:hAnsi="Times New Roman" w:cs="Times New Roman"/>
          <w:sz w:val="24"/>
          <w:szCs w:val="24"/>
          <w:lang w:eastAsia="pl-PL"/>
        </w:rPr>
        <w:t xml:space="preserve"> na </w:t>
      </w:r>
      <w:r w:rsidRPr="003A42FB">
        <w:rPr>
          <w:rFonts w:ascii="Times New Roman" w:eastAsiaTheme="minorEastAsia" w:hAnsi="Times New Roman" w:cs="Times New Roman"/>
          <w:sz w:val="24"/>
          <w:szCs w:val="24"/>
        </w:rPr>
        <w:t xml:space="preserve">przedsiębiorcę </w:t>
      </w:r>
      <w:r w:rsidR="00E83F2C" w:rsidRPr="003A42FB">
        <w:rPr>
          <w:rFonts w:ascii="Times New Roman" w:eastAsiaTheme="minorEastAsia" w:hAnsi="Times New Roman" w:cs="Times New Roman"/>
          <w:sz w:val="24"/>
          <w:szCs w:val="24"/>
        </w:rPr>
        <w:t>komunikacji elektroniczne</w:t>
      </w:r>
      <w:r w:rsidR="00D63879"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o znaczącej pozycji rynkowej, który nie świadczy i nie planuje świadczyć usług </w:t>
      </w:r>
      <w:r w:rsidR="00E83F2C" w:rsidRPr="003A42FB">
        <w:rPr>
          <w:rFonts w:ascii="Times New Roman" w:eastAsiaTheme="minorEastAsia" w:hAnsi="Times New Roman" w:cs="Times New Roman"/>
          <w:sz w:val="24"/>
          <w:szCs w:val="24"/>
        </w:rPr>
        <w:t>komunikacji elektroniczne</w:t>
      </w:r>
      <w:r w:rsidR="006826BF"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użytkownikom końcowym na obszarze państw członkowskich UE. Ponadto ust. 1 projektu wskazuje, że przedsiębiorca taki nie może być członkiem grupy kapitałowej, której podmioty świadczą lub planują świadczyć usługi </w:t>
      </w:r>
      <w:r w:rsidR="00E83F2C" w:rsidRPr="003A42FB">
        <w:rPr>
          <w:rFonts w:ascii="Times New Roman" w:eastAsiaTheme="minorEastAsia" w:hAnsi="Times New Roman" w:cs="Times New Roman"/>
          <w:sz w:val="24"/>
          <w:szCs w:val="24"/>
        </w:rPr>
        <w:t>komunikacji elektroniczne</w:t>
      </w:r>
      <w:r w:rsidR="006826BF"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użytkownikom końcowym na obszarze państw członkowskich UE oraz nie może być stroną umowy o wyłączn</w:t>
      </w:r>
      <w:r w:rsidR="00E83F2C" w:rsidRPr="003A42FB">
        <w:rPr>
          <w:rFonts w:ascii="Times New Roman" w:eastAsiaTheme="minorEastAsia" w:hAnsi="Times New Roman" w:cs="Times New Roman"/>
          <w:sz w:val="24"/>
          <w:szCs w:val="24"/>
        </w:rPr>
        <w:t>ej współpracy z przedsiębiorcą komunikacji elektroniczne</w:t>
      </w:r>
      <w:r w:rsidR="00D63879" w:rsidRPr="003A42FB">
        <w:rPr>
          <w:rFonts w:ascii="Times New Roman" w:eastAsiaTheme="minorEastAsia" w:hAnsi="Times New Roman" w:cs="Times New Roman"/>
          <w:sz w:val="24"/>
          <w:szCs w:val="24"/>
        </w:rPr>
        <w:t>j</w:t>
      </w:r>
      <w:r w:rsidR="00E83F2C" w:rsidRPr="003A42FB">
        <w:rPr>
          <w:rFonts w:ascii="Times New Roman" w:eastAsiaTheme="minorEastAsia" w:hAnsi="Times New Roman" w:cs="Times New Roman"/>
          <w:sz w:val="24"/>
          <w:szCs w:val="24"/>
        </w:rPr>
        <w:t xml:space="preserve"> świadczącym usługi komunikacji elektroniczne</w:t>
      </w:r>
      <w:r w:rsidR="00D63879"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 xml:space="preserve"> użytkownikom końcowym. </w:t>
      </w:r>
    </w:p>
    <w:p w14:paraId="0CA7070A" w14:textId="57CB5853" w:rsidR="000A54D5" w:rsidRPr="003A42FB" w:rsidRDefault="000A54D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527D3">
        <w:rPr>
          <w:rFonts w:ascii="Times New Roman" w:eastAsiaTheme="minorEastAsia" w:hAnsi="Times New Roman" w:cs="Times New Roman"/>
          <w:b/>
          <w:bCs/>
          <w:sz w:val="24"/>
          <w:szCs w:val="24"/>
        </w:rPr>
        <w:t>205</w:t>
      </w:r>
    </w:p>
    <w:p w14:paraId="278135F3" w14:textId="1E1F5B23" w:rsidR="000A54D5" w:rsidRPr="003A42FB" w:rsidRDefault="000A54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Art. </w:t>
      </w:r>
      <w:r w:rsidR="00A9747D">
        <w:rPr>
          <w:rFonts w:ascii="Times New Roman" w:eastAsiaTheme="minorEastAsia" w:hAnsi="Times New Roman" w:cs="Times New Roman"/>
          <w:sz w:val="24"/>
          <w:szCs w:val="24"/>
        </w:rPr>
        <w:t>205</w:t>
      </w:r>
      <w:r w:rsidR="00A9747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1 projektu dotyczy sytuacji kiedy przedsiębiorca posiadający znaczącą pozycję rynkową utracił ją, ponieważ taką pozycję osiągnął na tym rynku inny przedsiębiorca. Przepis ten stanowi dla Prezesa UKE podstawę do uchylenia obowiązków nałożonych na przedsiębiorcę, który utracił pozycję znaczącą. Art. </w:t>
      </w:r>
      <w:r w:rsidR="00A9747D">
        <w:rPr>
          <w:rFonts w:ascii="Times New Roman" w:eastAsiaTheme="minorEastAsia" w:hAnsi="Times New Roman" w:cs="Times New Roman"/>
          <w:sz w:val="24"/>
          <w:szCs w:val="24"/>
        </w:rPr>
        <w:t>205</w:t>
      </w:r>
      <w:r w:rsidR="00A9747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2 projektu stanowi implementację art. 67 ust. 3 akapit 2 EKŁE, który zobowiązuje państwa członkowskiego do określenia terminu uchylenia obowiązków regulacyjnych i wskazuje na konieczność uwzględnienia sytuacji działających na rynku przedsiębiorców </w:t>
      </w:r>
      <w:r w:rsidR="00CB51D4"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objętych decyzją oraz użytkowników końcowych, a także zapewnienia tym użytkownikom możliwości wyboru usług. W związku z tym, że decyzja określająca termin uchylenia obowiązków regulacyjnych może dotyczyć dużej liczby przedsiębi</w:t>
      </w:r>
      <w:r w:rsidR="00DB4AE2" w:rsidRPr="003A42FB">
        <w:rPr>
          <w:rFonts w:ascii="Times New Roman" w:eastAsiaTheme="minorEastAsia" w:hAnsi="Times New Roman" w:cs="Times New Roman"/>
          <w:sz w:val="24"/>
          <w:szCs w:val="24"/>
        </w:rPr>
        <w:t>orców niebędących stronami postę</w:t>
      </w:r>
      <w:r w:rsidRPr="003A42FB">
        <w:rPr>
          <w:rFonts w:ascii="Times New Roman" w:eastAsiaTheme="minorEastAsia" w:hAnsi="Times New Roman" w:cs="Times New Roman"/>
          <w:sz w:val="24"/>
          <w:szCs w:val="24"/>
        </w:rPr>
        <w:t xml:space="preserve">powania, to art. </w:t>
      </w:r>
      <w:r w:rsidR="00A9747D">
        <w:rPr>
          <w:rFonts w:ascii="Times New Roman" w:eastAsiaTheme="minorEastAsia" w:hAnsi="Times New Roman" w:cs="Times New Roman"/>
          <w:sz w:val="24"/>
          <w:szCs w:val="24"/>
        </w:rPr>
        <w:t>205</w:t>
      </w:r>
      <w:r w:rsidR="00A9747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3 przewiduje ogłoszenie tej decyzji na stronie podmiotowej BIP UKE.</w:t>
      </w:r>
    </w:p>
    <w:p w14:paraId="4431A193" w14:textId="33F81892" w:rsidR="000A54D5" w:rsidRPr="003A42FB" w:rsidRDefault="000A54D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206</w:t>
      </w:r>
      <w:r w:rsidR="00A9747D" w:rsidRPr="003A42FB">
        <w:rPr>
          <w:rFonts w:ascii="Times New Roman" w:eastAsiaTheme="minorEastAsia" w:hAnsi="Times New Roman" w:cs="Times New Roman"/>
          <w:b/>
          <w:bCs/>
          <w:sz w:val="24"/>
          <w:szCs w:val="24"/>
        </w:rPr>
        <w:t xml:space="preserve"> </w:t>
      </w:r>
    </w:p>
    <w:p w14:paraId="617E598E" w14:textId="77777777" w:rsidR="000A54D5" w:rsidRPr="003A42FB" w:rsidRDefault="000A54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określa zasady ustalania indywidualnej (ust. 1) i kolektywnej znaczącej pozycji rynkowej (ust. 3 i 4) w postępowaniu regulacyjnym i stanowi implementację art. 63 EKŁE. Wyznaczanie przedsiębiorców posiadających znaczącą pozycję rynkowa następuje zgodnie z regułami unijnego prawa konkurencji oraz wytycznymi KE w sprawie analizy rynku i oceny znaczącej pozycji rynkowej, ustalonymi po przeprowadzeniu konsultacji z BEREC. Wytyczne w sprawie znaczącej pozycji rynkowej zawierają wskazówki dla krajowych organów regulacyjnych dotyczące zastosowania koncepcji znaczącej pozycji rynkowej w konkretnym kontekście regulacji </w:t>
      </w:r>
      <w:r w:rsidRPr="003A42FB">
        <w:rPr>
          <w:rFonts w:ascii="Times New Roman" w:eastAsiaTheme="minorEastAsia" w:hAnsi="Times New Roman" w:cs="Times New Roman"/>
          <w:i/>
          <w:iCs/>
          <w:sz w:val="24"/>
          <w:szCs w:val="24"/>
        </w:rPr>
        <w:t>ex ante</w:t>
      </w:r>
      <w:r w:rsidRPr="003A42FB">
        <w:rPr>
          <w:rFonts w:ascii="Times New Roman" w:eastAsiaTheme="minorEastAsia" w:hAnsi="Times New Roman" w:cs="Times New Roman"/>
          <w:sz w:val="24"/>
          <w:szCs w:val="24"/>
        </w:rPr>
        <w:t xml:space="preserve"> rynków łączności elektronicznej. Obowiązek uwzględnienia przez Prezesa UKE kryteriów określonych w wytycznych Komisji wynika z art. </w:t>
      </w:r>
      <w:r w:rsidR="00023A23"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projektu. </w:t>
      </w:r>
    </w:p>
    <w:p w14:paraId="27ED1D2E" w14:textId="77777777" w:rsidR="000A54D5" w:rsidRPr="003A42FB" w:rsidRDefault="000A54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Należy wskazać, że znacząca pozycja rynkowa odpowiada pozycji dominującej określonej w art. 102 TFUE. Zgodnie z projektem znaczącą pozycję rynkową posiada przedsiębiorca, który samodzielnie lub wspólnie z innymi zajmuje pozycje odpowiadającą dominacji, czyli dysponuje silą ekonomiczną pozwalająca mu na zachowania w znacznym stopniu niezależne od konkurentów i konsumentów. </w:t>
      </w:r>
    </w:p>
    <w:p w14:paraId="384C6C3D" w14:textId="4FD35E1F" w:rsidR="000A54D5" w:rsidRPr="003A42FB" w:rsidRDefault="000A54D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207</w:t>
      </w:r>
    </w:p>
    <w:p w14:paraId="3E18A967" w14:textId="77777777" w:rsidR="000A54D5" w:rsidRPr="003A42FB" w:rsidRDefault="000A54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dotyczy przenoszenia pozycji znaczącej na rynek powiązany i stanowi implementację art. 63 ust. 3 EKŁE, zgodnie z którym jeżeli przedsiębiorstwo ma znaczącą pozycję na określonym rynku, może także być ono wyznaczone jako posiadające znaczącą pozycję rynkową na rynku blisko z tym rynkiem związanym, w przypadku gdy powiązania między obydwoma rynkami pozwalają na przeniesienie pozycji rynkowej z określonego rynku na ściśle powiązany rynek, tym samym zwiększając pozycję rynkową danego przedsiębiorstwa. Dla stwierdzenia pozycji znaczącej na rynku powiązanym, najpierw musi być ona ustalona</w:t>
      </w:r>
      <w:r w:rsidR="00214917" w:rsidRPr="003A42FB">
        <w:rPr>
          <w:rFonts w:ascii="Times New Roman" w:eastAsiaTheme="minorEastAsia" w:hAnsi="Times New Roman" w:cs="Times New Roman"/>
          <w:sz w:val="24"/>
          <w:szCs w:val="24"/>
        </w:rPr>
        <w:t xml:space="preserve"> na ry</w:t>
      </w:r>
      <w:r w:rsidRPr="003A42FB">
        <w:rPr>
          <w:rFonts w:ascii="Times New Roman" w:eastAsiaTheme="minorEastAsia" w:hAnsi="Times New Roman" w:cs="Times New Roman"/>
          <w:sz w:val="24"/>
          <w:szCs w:val="24"/>
        </w:rPr>
        <w:t>nku pierwotnym. Należy wskazać, że zarówno EKŁE jak i przepisy projektu dopuszczą zastosowanie środków naprawczych na podstawie art. 69, 70, 71 i 74 EKŁE na ściśle powiązanym rynku, które mają na celu uniemożliwienie</w:t>
      </w:r>
      <w:r w:rsidR="00214917" w:rsidRPr="003A42FB">
        <w:rPr>
          <w:rFonts w:ascii="Times New Roman" w:eastAsiaTheme="minorEastAsia" w:hAnsi="Times New Roman" w:cs="Times New Roman"/>
          <w:sz w:val="24"/>
          <w:szCs w:val="24"/>
        </w:rPr>
        <w:t xml:space="preserve"> takiego przeniesienia</w:t>
      </w:r>
      <w:r w:rsidRPr="003A42FB">
        <w:rPr>
          <w:rFonts w:ascii="Times New Roman" w:eastAsiaTheme="minorEastAsia" w:hAnsi="Times New Roman" w:cs="Times New Roman"/>
          <w:sz w:val="24"/>
          <w:szCs w:val="24"/>
        </w:rPr>
        <w:t>. Istotną różnicą w stosunku do poprzednich regulacji krajowych i unijnych jest brak możliwości nałożenia przez Prezesa UKE obowiązków na rynkach detalicznych w przypadku gdy zastosowanie środków naprawczych nie przyniosło zamierzonych skutków.</w:t>
      </w:r>
    </w:p>
    <w:p w14:paraId="4549488E" w14:textId="7ACEB73B" w:rsidR="000A54D5" w:rsidRPr="003A42FB" w:rsidRDefault="000A54D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208</w:t>
      </w:r>
    </w:p>
    <w:p w14:paraId="09C00030" w14:textId="78AD0AA1" w:rsidR="000A54D5" w:rsidRPr="003A42FB" w:rsidRDefault="0048D4C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jest implementacją art. 67 ust. 6 EKŁE, a jego celem jest uniknięcie opóźn</w:t>
      </w:r>
      <w:r w:rsidR="14911360" w:rsidRPr="003A42FB">
        <w:rPr>
          <w:rFonts w:ascii="Times New Roman" w:eastAsiaTheme="minorEastAsia" w:hAnsi="Times New Roman" w:cs="Times New Roman"/>
          <w:sz w:val="24"/>
          <w:szCs w:val="24"/>
        </w:rPr>
        <w:t>ień w zakresie prowadzenia postę</w:t>
      </w:r>
      <w:r w:rsidRPr="003A42FB">
        <w:rPr>
          <w:rFonts w:ascii="Times New Roman" w:eastAsiaTheme="minorEastAsia" w:hAnsi="Times New Roman" w:cs="Times New Roman"/>
          <w:sz w:val="24"/>
          <w:szCs w:val="24"/>
        </w:rPr>
        <w:t xml:space="preserve">powań regulacyjnych. Daje on możliwość zwrócenia się przez regulatora, w przypadku naruszenia terminów związanych z procedurą określania rynków, do BEREC o pomoc w sprawie przygotowania projektu decyzji regulacyjnej. Prezes UKE nie ma obowiązku występowania z wnioskiem o konsultację, a jedynie uprawnienie. W przypadku uzyskania konsultacji Prezes UKE powinien powiadomić KE o planowanym rozstrzygnięciu w </w:t>
      </w:r>
      <w:r w:rsidRPr="003A42FB">
        <w:rPr>
          <w:rFonts w:ascii="Times New Roman" w:eastAsiaTheme="minorEastAsia" w:hAnsi="Times New Roman" w:cs="Times New Roman"/>
          <w:sz w:val="24"/>
          <w:szCs w:val="24"/>
        </w:rPr>
        <w:lastRenderedPageBreak/>
        <w:t xml:space="preserve">terminie 6 miesięcy od uzyskania wyniku konsultacji od BEREC. Postanowienia przepisu nie wprowadzają nowych rozwiązań, są powieleniem zarówno dotychczasowych przepisów unijnych, jak i krajowych. </w:t>
      </w:r>
    </w:p>
    <w:p w14:paraId="7AE614BE" w14:textId="675848D1" w:rsidR="000A54D5" w:rsidRPr="003A42FB" w:rsidRDefault="000A54D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209</w:t>
      </w:r>
    </w:p>
    <w:p w14:paraId="5405E8F3" w14:textId="77777777" w:rsidR="000A54D5" w:rsidRPr="003A42FB" w:rsidRDefault="000A54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ten stanowi implementację art. 68 ust. 6 EKŁE, który w ramach nakładania, zmiany lub uchylania obowiązków zobowiązuje krajowe organy regulacyjne do uwzględniania wpływu najnowszych zmian sytuacji rynkowej, dotyczących m.in. umów handlowych mających wpływ na dynamikę konkurencji. Projektowany przepis przyznaje Prezesowi UKE możliwość zmiany decyzji określającej przedsiębiorcę o znaczącej pozycji rynkowej poprzez nałożenie lub zmianę obowiązków regulacyjnych, biorąc pod uwagę adekwatność i proporcjonalność danego obowiązku do problemów rynkowych lub uchylenie nałożonych obowiązków regulacyjnych, jeżeli warunki na rynku właściwym uzasadniają uchylenie tych obowiązków. </w:t>
      </w:r>
    </w:p>
    <w:p w14:paraId="4623A710" w14:textId="77777777" w:rsidR="000A54D5" w:rsidRPr="003A42FB" w:rsidRDefault="000A54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jest nowym rozwiązaniem zarówno na gruncie prawa unijnego, jak i krajowego.  </w:t>
      </w:r>
    </w:p>
    <w:p w14:paraId="4EF8E5E1"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6D65F13B" w14:textId="77777777" w:rsidR="000E1B85" w:rsidRPr="003A42FB" w:rsidRDefault="000E1B85"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lang w:eastAsia="en-US"/>
        </w:rPr>
        <w:t>ROZDZIAŁ 2. Obowiązki na rynkach hurtowych</w:t>
      </w:r>
    </w:p>
    <w:p w14:paraId="08D36041" w14:textId="40EE79D4" w:rsidR="007E653D" w:rsidRPr="003A42FB" w:rsidRDefault="007E653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5A58F3" w:rsidRPr="003A42FB">
        <w:rPr>
          <w:rFonts w:ascii="Times New Roman" w:eastAsiaTheme="minorEastAsia" w:hAnsi="Times New Roman" w:cs="Times New Roman"/>
          <w:b/>
          <w:bCs/>
          <w:sz w:val="24"/>
          <w:szCs w:val="24"/>
        </w:rPr>
        <w:t xml:space="preserve"> </w:t>
      </w:r>
      <w:r w:rsidR="00A9747D">
        <w:rPr>
          <w:rFonts w:ascii="Times New Roman" w:eastAsiaTheme="minorEastAsia" w:hAnsi="Times New Roman" w:cs="Times New Roman"/>
          <w:b/>
          <w:bCs/>
          <w:sz w:val="24"/>
          <w:szCs w:val="24"/>
        </w:rPr>
        <w:t>210</w:t>
      </w:r>
    </w:p>
    <w:p w14:paraId="4732A814" w14:textId="6BC22638" w:rsidR="004F0B14" w:rsidRPr="003A42FB" w:rsidRDefault="00B250E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wdraża art. 72 EKŁE dotyczący dostępu do obiektów inżynierii lądowej i wodnej. Art. 72 EKŁE nie miał swojego odpowiednika w pakiecie dyrektyw telekomunikacyjnych.  Umożliwia on k</w:t>
      </w:r>
      <w:r w:rsidR="004F0B14" w:rsidRPr="003A42FB">
        <w:rPr>
          <w:rFonts w:ascii="Times New Roman" w:eastAsiaTheme="minorEastAsia" w:hAnsi="Times New Roman" w:cs="Times New Roman"/>
          <w:sz w:val="24"/>
          <w:szCs w:val="24"/>
        </w:rPr>
        <w:t>rajowemu organowi regulacyjnemu</w:t>
      </w:r>
      <w:r w:rsidRPr="003A42FB">
        <w:rPr>
          <w:rFonts w:ascii="Times New Roman" w:eastAsiaTheme="minorEastAsia" w:hAnsi="Times New Roman" w:cs="Times New Roman"/>
          <w:sz w:val="24"/>
          <w:szCs w:val="24"/>
        </w:rPr>
        <w:t xml:space="preserve"> nałożenie na przedsiębiorcę obowiązku uwzględniania uzasadnionych wniosków o dostęp i użytkowanie obiektów inżynierii lądowej i wodnej</w:t>
      </w:r>
      <w:r w:rsidR="004F0B14" w:rsidRPr="003A42FB">
        <w:rPr>
          <w:rFonts w:ascii="Times New Roman" w:eastAsiaTheme="minorEastAsia" w:hAnsi="Times New Roman" w:cs="Times New Roman"/>
          <w:sz w:val="24"/>
          <w:szCs w:val="24"/>
        </w:rPr>
        <w:t xml:space="preserve"> jeżeli uzna, ż</w:t>
      </w:r>
      <w:r w:rsidR="005A1CFE" w:rsidRPr="003A42FB">
        <w:rPr>
          <w:rFonts w:ascii="Times New Roman" w:eastAsiaTheme="minorEastAsia" w:hAnsi="Times New Roman" w:cs="Times New Roman"/>
          <w:sz w:val="24"/>
          <w:szCs w:val="24"/>
        </w:rPr>
        <w:t>e m.in. odmowa przyznania dostępu uniemożliwiłaby powstanie trwale konkurencyjnego rynku i nie leżałaby w interesie użytkowników końcowych.</w:t>
      </w:r>
      <w:r w:rsidR="004F0B14" w:rsidRPr="003A42FB">
        <w:rPr>
          <w:rFonts w:ascii="Times New Roman" w:eastAsiaTheme="minorEastAsia" w:hAnsi="Times New Roman" w:cs="Times New Roman"/>
          <w:sz w:val="24"/>
          <w:szCs w:val="24"/>
        </w:rPr>
        <w:t xml:space="preserve"> Składniki aktywów, których dotyczy obowiązek nie muszą przy tym stanowić elementu rynku właściwego. Przepis przykładowo wymienia obiekty zaliczane do obiektów inżynierii lądowej i wodnej. Należy uznać, że obiekty te są de facto infrastrukturą pasywną. W projektowanym art. </w:t>
      </w:r>
      <w:r w:rsidR="00A9747D">
        <w:rPr>
          <w:rFonts w:ascii="Times New Roman" w:eastAsiaTheme="minorEastAsia" w:hAnsi="Times New Roman" w:cs="Times New Roman"/>
          <w:sz w:val="24"/>
          <w:szCs w:val="24"/>
        </w:rPr>
        <w:t>210</w:t>
      </w:r>
      <w:r w:rsidR="00A9747D" w:rsidRPr="003A42FB">
        <w:rPr>
          <w:rFonts w:ascii="Times New Roman" w:eastAsiaTheme="minorEastAsia" w:hAnsi="Times New Roman" w:cs="Times New Roman"/>
          <w:sz w:val="24"/>
          <w:szCs w:val="24"/>
        </w:rPr>
        <w:t xml:space="preserve"> </w:t>
      </w:r>
      <w:r w:rsidR="004F0B14" w:rsidRPr="003A42FB">
        <w:rPr>
          <w:rFonts w:ascii="Times New Roman" w:eastAsiaTheme="minorEastAsia" w:hAnsi="Times New Roman" w:cs="Times New Roman"/>
          <w:sz w:val="24"/>
          <w:szCs w:val="24"/>
        </w:rPr>
        <w:t>odniesiono się zatem do definicji infrastruktury technicznej oraz uzupełniono</w:t>
      </w:r>
      <w:r w:rsidR="00A52A76" w:rsidRPr="003A42FB">
        <w:rPr>
          <w:rFonts w:ascii="Times New Roman" w:eastAsiaTheme="minorEastAsia" w:hAnsi="Times New Roman" w:cs="Times New Roman"/>
          <w:sz w:val="24"/>
          <w:szCs w:val="24"/>
        </w:rPr>
        <w:t xml:space="preserve"> go</w:t>
      </w:r>
      <w:r w:rsidR="004F0B14" w:rsidRPr="003A42FB">
        <w:rPr>
          <w:rFonts w:ascii="Times New Roman" w:eastAsiaTheme="minorEastAsia" w:hAnsi="Times New Roman" w:cs="Times New Roman"/>
          <w:sz w:val="24"/>
          <w:szCs w:val="24"/>
        </w:rPr>
        <w:t xml:space="preserve"> o elementy wskazane w dyrektywie, a wykraczające poza definicję infrastruktury technicznej. </w:t>
      </w:r>
    </w:p>
    <w:p w14:paraId="541065CF" w14:textId="12412570" w:rsidR="007E653D" w:rsidRPr="003A42FB" w:rsidRDefault="0060316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211</w:t>
      </w:r>
    </w:p>
    <w:p w14:paraId="603F899D" w14:textId="47348A78" w:rsidR="0060316A" w:rsidRPr="003A42FB" w:rsidRDefault="0060316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wdraża </w:t>
      </w:r>
      <w:r w:rsidR="007E45FA" w:rsidRPr="003A42FB">
        <w:rPr>
          <w:rFonts w:ascii="Times New Roman" w:eastAsiaTheme="minorEastAsia" w:hAnsi="Times New Roman" w:cs="Times New Roman"/>
          <w:sz w:val="24"/>
          <w:szCs w:val="24"/>
        </w:rPr>
        <w:t>częściowo</w:t>
      </w:r>
      <w:r w:rsidRPr="003A42FB">
        <w:rPr>
          <w:rFonts w:ascii="Times New Roman" w:eastAsiaTheme="minorEastAsia" w:hAnsi="Times New Roman" w:cs="Times New Roman"/>
          <w:sz w:val="24"/>
          <w:szCs w:val="24"/>
        </w:rPr>
        <w:t xml:space="preserve"> art. 73 </w:t>
      </w:r>
      <w:r w:rsidR="00C30D60" w:rsidRPr="003A42FB">
        <w:rPr>
          <w:rFonts w:ascii="Times New Roman" w:eastAsiaTheme="minorEastAsia" w:hAnsi="Times New Roman" w:cs="Times New Roman"/>
          <w:sz w:val="24"/>
          <w:szCs w:val="24"/>
        </w:rPr>
        <w:t xml:space="preserve">ust. 1 i 2 </w:t>
      </w:r>
      <w:r w:rsidRPr="003A42FB">
        <w:rPr>
          <w:rFonts w:ascii="Times New Roman" w:eastAsiaTheme="minorEastAsia" w:hAnsi="Times New Roman" w:cs="Times New Roman"/>
          <w:sz w:val="24"/>
          <w:szCs w:val="24"/>
        </w:rPr>
        <w:t xml:space="preserve">EKŁE </w:t>
      </w:r>
      <w:r w:rsidR="007E45FA" w:rsidRPr="003A42FB">
        <w:rPr>
          <w:rFonts w:ascii="Times New Roman" w:eastAsiaTheme="minorEastAsia" w:hAnsi="Times New Roman" w:cs="Times New Roman"/>
          <w:sz w:val="24"/>
          <w:szCs w:val="24"/>
        </w:rPr>
        <w:t>dotyczący</w:t>
      </w:r>
      <w:r w:rsidRPr="003A42FB">
        <w:rPr>
          <w:rFonts w:ascii="Times New Roman" w:eastAsiaTheme="minorEastAsia" w:hAnsi="Times New Roman" w:cs="Times New Roman"/>
          <w:sz w:val="24"/>
          <w:szCs w:val="24"/>
        </w:rPr>
        <w:t xml:space="preserve"> obowiązków związanych z dostępem </w:t>
      </w:r>
      <w:r w:rsidR="00A52A76" w:rsidRPr="003A42FB">
        <w:rPr>
          <w:rFonts w:ascii="Times New Roman" w:eastAsiaTheme="minorEastAsia" w:hAnsi="Times New Roman" w:cs="Times New Roman"/>
          <w:sz w:val="24"/>
          <w:szCs w:val="24"/>
        </w:rPr>
        <w:t xml:space="preserve">telekomunikacyjnym </w:t>
      </w:r>
      <w:r w:rsidRPr="003A42FB">
        <w:rPr>
          <w:rFonts w:ascii="Times New Roman" w:eastAsiaTheme="minorEastAsia" w:hAnsi="Times New Roman" w:cs="Times New Roman"/>
          <w:sz w:val="24"/>
          <w:szCs w:val="24"/>
        </w:rPr>
        <w:t>i użytkowaniem specyficznych elementów sieci i urządzeń towarzyszących.</w:t>
      </w:r>
      <w:r w:rsidR="00194BBE" w:rsidRPr="003A42FB">
        <w:rPr>
          <w:rFonts w:ascii="Times New Roman" w:eastAsiaTheme="minorEastAsia" w:hAnsi="Times New Roman" w:cs="Times New Roman"/>
          <w:sz w:val="24"/>
          <w:szCs w:val="24"/>
        </w:rPr>
        <w:t xml:space="preserve"> </w:t>
      </w:r>
    </w:p>
    <w:p w14:paraId="00A5C6CA" w14:textId="5DA835EE" w:rsidR="00A00FCD" w:rsidRPr="003A42FB" w:rsidRDefault="00194BB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A9747D">
        <w:rPr>
          <w:rFonts w:ascii="Times New Roman" w:eastAsiaTheme="minorEastAsia" w:hAnsi="Times New Roman" w:cs="Times New Roman"/>
          <w:sz w:val="24"/>
          <w:szCs w:val="24"/>
        </w:rPr>
        <w:t>211</w:t>
      </w:r>
      <w:r w:rsidR="00A9747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analogicznie do dotychczas obowiązujących przepisów Pt u</w:t>
      </w:r>
      <w:r w:rsidR="003D06D8" w:rsidRPr="003A42FB">
        <w:rPr>
          <w:rFonts w:ascii="Times New Roman" w:eastAsiaTheme="minorEastAsia" w:hAnsi="Times New Roman" w:cs="Times New Roman"/>
          <w:sz w:val="24"/>
          <w:szCs w:val="24"/>
        </w:rPr>
        <w:t>możliwia Prezesowi UKE nałożenie</w:t>
      </w:r>
      <w:r w:rsidRPr="003A42FB">
        <w:rPr>
          <w:rFonts w:ascii="Times New Roman" w:eastAsiaTheme="minorEastAsia" w:hAnsi="Times New Roman" w:cs="Times New Roman"/>
          <w:sz w:val="24"/>
          <w:szCs w:val="24"/>
        </w:rPr>
        <w:t xml:space="preserve"> obowiązku uwzględnienia wniosków przedsiębiorców </w:t>
      </w:r>
      <w:r w:rsidR="007D36BE"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o zapewnienie dostępu</w:t>
      </w:r>
      <w:r w:rsidR="00A52A76" w:rsidRPr="003A42FB">
        <w:rPr>
          <w:rFonts w:ascii="Times New Roman" w:eastAsiaTheme="minorEastAsia" w:hAnsi="Times New Roman" w:cs="Times New Roman"/>
          <w:sz w:val="24"/>
          <w:szCs w:val="24"/>
        </w:rPr>
        <w:t xml:space="preserve"> telekomunikacyjnego</w:t>
      </w:r>
      <w:r w:rsidRPr="003A42FB">
        <w:rPr>
          <w:rFonts w:ascii="Times New Roman" w:eastAsiaTheme="minorEastAsia" w:hAnsi="Times New Roman" w:cs="Times New Roman"/>
          <w:sz w:val="24"/>
          <w:szCs w:val="24"/>
        </w:rPr>
        <w:t xml:space="preserve">, w tym użytkowania elementów sieci oraz </w:t>
      </w:r>
      <w:r w:rsidR="007D36BE" w:rsidRPr="003A42FB">
        <w:rPr>
          <w:rFonts w:ascii="Times New Roman" w:eastAsiaTheme="minorEastAsia" w:hAnsi="Times New Roman" w:cs="Times New Roman"/>
          <w:sz w:val="24"/>
          <w:szCs w:val="24"/>
        </w:rPr>
        <w:t>powiązanych zasobów</w:t>
      </w:r>
      <w:r w:rsidRPr="003A42FB">
        <w:rPr>
          <w:rFonts w:ascii="Times New Roman" w:eastAsiaTheme="minorEastAsia" w:hAnsi="Times New Roman" w:cs="Times New Roman"/>
          <w:sz w:val="24"/>
          <w:szCs w:val="24"/>
        </w:rPr>
        <w:t>.</w:t>
      </w:r>
      <w:r w:rsidR="003D06D8" w:rsidRPr="003A42FB">
        <w:rPr>
          <w:rFonts w:ascii="Times New Roman" w:eastAsiaTheme="minorEastAsia" w:hAnsi="Times New Roman" w:cs="Times New Roman"/>
          <w:sz w:val="24"/>
          <w:szCs w:val="24"/>
        </w:rPr>
        <w:t xml:space="preserve"> </w:t>
      </w:r>
      <w:r w:rsidR="00480230" w:rsidRPr="003A42FB">
        <w:rPr>
          <w:rFonts w:ascii="Times New Roman" w:eastAsiaTheme="minorEastAsia" w:hAnsi="Times New Roman" w:cs="Times New Roman"/>
          <w:sz w:val="24"/>
          <w:szCs w:val="24"/>
        </w:rPr>
        <w:t>Przepis ponadto doprecyzowuje na czym może polegać ten obowiązek, wprowadzając nieznaczne modyfikacje w porównaniu do dotychczas obowiązujących regulacji. Przy tym nowym przykładem w/w obowiązku, przewidzianym w EKŁE jest m.in. zapewnieni</w:t>
      </w:r>
      <w:r w:rsidR="00214917" w:rsidRPr="003A42FB">
        <w:rPr>
          <w:rFonts w:ascii="Times New Roman" w:eastAsiaTheme="minorEastAsia" w:hAnsi="Times New Roman" w:cs="Times New Roman"/>
          <w:sz w:val="24"/>
          <w:szCs w:val="24"/>
        </w:rPr>
        <w:t>e</w:t>
      </w:r>
      <w:r w:rsidR="00480230" w:rsidRPr="003A42FB">
        <w:rPr>
          <w:rFonts w:ascii="Times New Roman" w:eastAsiaTheme="minorEastAsia" w:hAnsi="Times New Roman" w:cs="Times New Roman"/>
          <w:sz w:val="24"/>
          <w:szCs w:val="24"/>
        </w:rPr>
        <w:t xml:space="preserve"> dostępu do aktywnych lub wirtualnych elementów sieci telekomunikacyjnej i związanych z nimi usług. </w:t>
      </w:r>
    </w:p>
    <w:p w14:paraId="4D0AC8AF" w14:textId="0E16D3FE" w:rsidR="00194BBE" w:rsidRPr="003A42FB" w:rsidRDefault="53C6AE0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Kolejnym nowym przepisem jest </w:t>
      </w:r>
      <w:r w:rsidR="473C8EDA" w:rsidRPr="003A42FB">
        <w:rPr>
          <w:rFonts w:ascii="Times New Roman" w:eastAsiaTheme="minorEastAsia" w:hAnsi="Times New Roman" w:cs="Times New Roman"/>
          <w:sz w:val="24"/>
          <w:szCs w:val="24"/>
        </w:rPr>
        <w:t xml:space="preserve">przepis nakazujący Prezesowi UKE, aby nakładając </w:t>
      </w:r>
      <w:r w:rsidRPr="003A42FB">
        <w:rPr>
          <w:rFonts w:ascii="Times New Roman" w:eastAsiaTheme="minorEastAsia" w:hAnsi="Times New Roman" w:cs="Times New Roman"/>
          <w:sz w:val="24"/>
          <w:szCs w:val="24"/>
        </w:rPr>
        <w:t xml:space="preserve">obowiązek zapewnienia dostępu </w:t>
      </w:r>
      <w:r w:rsidR="473C8EDA" w:rsidRPr="003A42FB">
        <w:rPr>
          <w:rFonts w:ascii="Times New Roman" w:eastAsiaTheme="minorEastAsia" w:hAnsi="Times New Roman" w:cs="Times New Roman"/>
          <w:sz w:val="24"/>
          <w:szCs w:val="24"/>
        </w:rPr>
        <w:t xml:space="preserve">wziął pod uwagę to czy m.in. inne, również planowane, formy dostępu lub obowiązek z art. </w:t>
      </w:r>
      <w:r w:rsidR="00A9747D">
        <w:rPr>
          <w:rFonts w:ascii="Times New Roman" w:eastAsiaTheme="minorEastAsia" w:hAnsi="Times New Roman" w:cs="Times New Roman"/>
          <w:sz w:val="24"/>
          <w:szCs w:val="24"/>
        </w:rPr>
        <w:t>210</w:t>
      </w:r>
      <w:r w:rsidR="00A9747D" w:rsidRPr="003A42FB">
        <w:rPr>
          <w:rFonts w:ascii="Times New Roman" w:eastAsiaTheme="minorEastAsia" w:hAnsi="Times New Roman" w:cs="Times New Roman"/>
          <w:sz w:val="24"/>
          <w:szCs w:val="24"/>
        </w:rPr>
        <w:t xml:space="preserve"> </w:t>
      </w:r>
      <w:r w:rsidR="473C8EDA" w:rsidRPr="003A42FB">
        <w:rPr>
          <w:rFonts w:ascii="Times New Roman" w:eastAsiaTheme="minorEastAsia" w:hAnsi="Times New Roman" w:cs="Times New Roman"/>
          <w:sz w:val="24"/>
          <w:szCs w:val="24"/>
        </w:rPr>
        <w:t xml:space="preserve">nie będą wystarczające do rozwiązania problemów rynkowych. W tym zakresie art. </w:t>
      </w:r>
      <w:r w:rsidR="00A9747D">
        <w:rPr>
          <w:rFonts w:ascii="Times New Roman" w:eastAsiaTheme="minorEastAsia" w:hAnsi="Times New Roman" w:cs="Times New Roman"/>
          <w:sz w:val="24"/>
          <w:szCs w:val="24"/>
        </w:rPr>
        <w:t>211</w:t>
      </w:r>
      <w:r w:rsidR="00A9747D" w:rsidRPr="003A42FB">
        <w:rPr>
          <w:rFonts w:ascii="Times New Roman" w:eastAsiaTheme="minorEastAsia" w:hAnsi="Times New Roman" w:cs="Times New Roman"/>
          <w:sz w:val="24"/>
          <w:szCs w:val="24"/>
        </w:rPr>
        <w:t xml:space="preserve"> </w:t>
      </w:r>
      <w:r w:rsidR="43404BD5" w:rsidRPr="003A42FB">
        <w:rPr>
          <w:rFonts w:ascii="Times New Roman" w:eastAsiaTheme="minorEastAsia" w:hAnsi="Times New Roman" w:cs="Times New Roman"/>
          <w:sz w:val="24"/>
          <w:szCs w:val="24"/>
        </w:rPr>
        <w:t>Pke</w:t>
      </w:r>
      <w:r w:rsidR="473C8EDA" w:rsidRPr="003A42FB">
        <w:rPr>
          <w:rFonts w:ascii="Times New Roman" w:eastAsiaTheme="minorEastAsia" w:hAnsi="Times New Roman" w:cs="Times New Roman"/>
          <w:sz w:val="24"/>
          <w:szCs w:val="24"/>
        </w:rPr>
        <w:t xml:space="preserve"> stanowi wdrożenie art. 73 ust. 2 akapit 1 EKŁE. </w:t>
      </w:r>
    </w:p>
    <w:p w14:paraId="7BCECFBC" w14:textId="1CCF5CF7" w:rsidR="007062CE" w:rsidRPr="003A42FB" w:rsidRDefault="00C30D60"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212</w:t>
      </w:r>
    </w:p>
    <w:p w14:paraId="3D55C198" w14:textId="392301BE" w:rsidR="00633ADD" w:rsidRPr="003A42FB" w:rsidRDefault="007062C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A</w:t>
      </w:r>
      <w:r w:rsidR="00C30D60" w:rsidRPr="003A42FB">
        <w:rPr>
          <w:rFonts w:ascii="Times New Roman" w:eastAsiaTheme="minorEastAsia" w:hAnsi="Times New Roman" w:cs="Times New Roman"/>
          <w:sz w:val="24"/>
          <w:szCs w:val="24"/>
        </w:rPr>
        <w:t xml:space="preserve">rt. </w:t>
      </w:r>
      <w:r w:rsidR="00A9747D">
        <w:rPr>
          <w:rFonts w:ascii="Times New Roman" w:eastAsiaTheme="minorEastAsia" w:hAnsi="Times New Roman" w:cs="Times New Roman"/>
          <w:sz w:val="24"/>
          <w:szCs w:val="24"/>
        </w:rPr>
        <w:t>212</w:t>
      </w:r>
      <w:r w:rsidR="00A9747D" w:rsidRPr="003A42FB">
        <w:rPr>
          <w:rFonts w:ascii="Times New Roman" w:eastAsiaTheme="minorEastAsia" w:hAnsi="Times New Roman" w:cs="Times New Roman"/>
          <w:sz w:val="24"/>
          <w:szCs w:val="24"/>
        </w:rPr>
        <w:t xml:space="preserve"> </w:t>
      </w:r>
      <w:r w:rsidR="00C30D60" w:rsidRPr="003A42FB">
        <w:rPr>
          <w:rFonts w:ascii="Times New Roman" w:eastAsiaTheme="minorEastAsia" w:hAnsi="Times New Roman" w:cs="Times New Roman"/>
          <w:sz w:val="24"/>
          <w:szCs w:val="24"/>
        </w:rPr>
        <w:t xml:space="preserve">stanowi implementację art. 73 ust. 2 i 3 EKŁE i dotyczy kwestii </w:t>
      </w:r>
      <w:r w:rsidR="000D1C9F" w:rsidRPr="003A42FB">
        <w:rPr>
          <w:rFonts w:ascii="Times New Roman" w:eastAsiaTheme="minorEastAsia" w:hAnsi="Times New Roman" w:cs="Times New Roman"/>
          <w:sz w:val="24"/>
          <w:szCs w:val="24"/>
        </w:rPr>
        <w:t xml:space="preserve">ustalania przez Prezesa UKE warunków dostępu </w:t>
      </w:r>
      <w:r w:rsidR="00FF186C" w:rsidRPr="003A42FB">
        <w:rPr>
          <w:rFonts w:ascii="Times New Roman" w:eastAsiaTheme="minorEastAsia" w:hAnsi="Times New Roman" w:cs="Times New Roman"/>
          <w:sz w:val="24"/>
          <w:szCs w:val="24"/>
        </w:rPr>
        <w:t xml:space="preserve">telekomunikacyjnego </w:t>
      </w:r>
      <w:r w:rsidR="008025ED" w:rsidRPr="003A42FB">
        <w:rPr>
          <w:rFonts w:ascii="Times New Roman" w:eastAsiaTheme="minorEastAsia" w:hAnsi="Times New Roman" w:cs="Times New Roman"/>
          <w:sz w:val="24"/>
          <w:szCs w:val="24"/>
        </w:rPr>
        <w:t>w zasadniczej części powtarzając</w:t>
      </w:r>
      <w:r w:rsidR="00C30D60" w:rsidRPr="003A42FB">
        <w:rPr>
          <w:rFonts w:ascii="Times New Roman" w:eastAsiaTheme="minorEastAsia" w:hAnsi="Times New Roman" w:cs="Times New Roman"/>
          <w:sz w:val="24"/>
          <w:szCs w:val="24"/>
        </w:rPr>
        <w:t xml:space="preserve"> </w:t>
      </w:r>
      <w:r w:rsidR="008025ED" w:rsidRPr="003A42FB">
        <w:rPr>
          <w:rFonts w:ascii="Times New Roman" w:eastAsiaTheme="minorEastAsia" w:hAnsi="Times New Roman" w:cs="Times New Roman"/>
          <w:sz w:val="24"/>
          <w:szCs w:val="24"/>
        </w:rPr>
        <w:t>brzmienie dotychczasowego art. 35 Pt. EKŁE rozbudowuje katalog elementów jakie organ uwzględnia przy ustalaniu zakresu obowiązku dostępu. Nowym elementem, który wynika z EKŁE, jest obowiązek wzięcia</w:t>
      </w:r>
      <w:r w:rsidR="00633ADD" w:rsidRPr="003A42FB">
        <w:rPr>
          <w:rFonts w:ascii="Times New Roman" w:eastAsiaTheme="minorEastAsia" w:hAnsi="Times New Roman" w:cs="Times New Roman"/>
          <w:sz w:val="24"/>
          <w:szCs w:val="24"/>
        </w:rPr>
        <w:t xml:space="preserve"> przez organ</w:t>
      </w:r>
      <w:r w:rsidR="008025ED" w:rsidRPr="003A42FB">
        <w:rPr>
          <w:rFonts w:ascii="Times New Roman" w:eastAsiaTheme="minorEastAsia" w:hAnsi="Times New Roman" w:cs="Times New Roman"/>
          <w:sz w:val="24"/>
          <w:szCs w:val="24"/>
        </w:rPr>
        <w:t xml:space="preserve"> pod uwagę</w:t>
      </w:r>
      <w:r w:rsidR="00633ADD" w:rsidRPr="003A42FB">
        <w:rPr>
          <w:rFonts w:ascii="Times New Roman" w:eastAsiaTheme="minorEastAsia" w:hAnsi="Times New Roman" w:cs="Times New Roman"/>
          <w:sz w:val="24"/>
          <w:szCs w:val="24"/>
        </w:rPr>
        <w:t xml:space="preserve"> m.in.</w:t>
      </w:r>
      <w:r w:rsidR="008025ED" w:rsidRPr="003A42FB">
        <w:rPr>
          <w:rFonts w:ascii="Times New Roman" w:eastAsiaTheme="minorEastAsia" w:hAnsi="Times New Roman" w:cs="Times New Roman"/>
          <w:sz w:val="24"/>
          <w:szCs w:val="24"/>
        </w:rPr>
        <w:t xml:space="preserve"> </w:t>
      </w:r>
      <w:r w:rsidR="00633ADD" w:rsidRPr="003A42FB">
        <w:rPr>
          <w:rFonts w:ascii="Times New Roman" w:eastAsiaTheme="minorEastAsia" w:hAnsi="Times New Roman" w:cs="Times New Roman"/>
          <w:sz w:val="24"/>
          <w:szCs w:val="24"/>
        </w:rPr>
        <w:t xml:space="preserve">inwestycji w sieci o bardzo dużej przepustowości oraz poziomów ryzyka związanych z tymi inwestycjami, prognozowanego rozwoju technologicznego związanego z projektowaniem sieci i zarządzaniem nimi, potrzeby zapewnienia neutralności technologicznej w zakresie projektowania sieci i zarządzania nimi. </w:t>
      </w:r>
    </w:p>
    <w:p w14:paraId="7C4BE243" w14:textId="0F06AC0B" w:rsidR="00633ADD" w:rsidRPr="003A42FB" w:rsidRDefault="00073342"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9747D">
        <w:rPr>
          <w:rFonts w:ascii="Times New Roman" w:eastAsiaTheme="minorEastAsia" w:hAnsi="Times New Roman" w:cs="Times New Roman"/>
          <w:b/>
          <w:bCs/>
          <w:sz w:val="24"/>
          <w:szCs w:val="24"/>
        </w:rPr>
        <w:t>213</w:t>
      </w:r>
    </w:p>
    <w:p w14:paraId="14D5BADC" w14:textId="77777777" w:rsidR="00073342" w:rsidRPr="003A42FB" w:rsidRDefault="0007334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wdraża art. 70 EKŁE dotyczący obowiązku niedyskryminacji. </w:t>
      </w:r>
    </w:p>
    <w:p w14:paraId="36532C12" w14:textId="77777777" w:rsidR="0006107B" w:rsidRPr="003A42FB" w:rsidRDefault="00CF4BE4"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Zasada niedyskryminacji wyrażona w projektowanym przepisie ma na celu, jak wskazuje motyw (184) EKŁE, zagwarantowanie, że przedsiębiorstwa o znaczącej pozycji rynkowej nie będą zniekształcać konkurencji, a w szczególności w sytuacji, gdy są to zintegrowane pionowo przedsiębiorstwa świadczące usługi innym przedsiębiorstwom, z którymi konkurują na rynkach detalicznych.</w:t>
      </w:r>
      <w:r w:rsidR="00AA7F21" w:rsidRPr="003A42FB">
        <w:rPr>
          <w:rFonts w:ascii="Times New Roman" w:eastAsiaTheme="minorEastAsia" w:hAnsi="Times New Roman" w:cs="Times New Roman"/>
          <w:sz w:val="24"/>
          <w:szCs w:val="24"/>
        </w:rPr>
        <w:t xml:space="preserve"> EKŁE</w:t>
      </w:r>
      <w:r w:rsidRPr="003A42FB">
        <w:rPr>
          <w:rFonts w:ascii="Times New Roman" w:eastAsiaTheme="minorEastAsia" w:hAnsi="Times New Roman" w:cs="Times New Roman"/>
          <w:sz w:val="24"/>
          <w:szCs w:val="24"/>
        </w:rPr>
        <w:t xml:space="preserve"> uznaje, iż zasada </w:t>
      </w:r>
      <w:r w:rsidR="00AA7F21" w:rsidRPr="003A42FB">
        <w:rPr>
          <w:rFonts w:ascii="Times New Roman" w:eastAsiaTheme="minorEastAsia" w:hAnsi="Times New Roman" w:cs="Times New Roman"/>
          <w:sz w:val="24"/>
          <w:szCs w:val="24"/>
        </w:rPr>
        <w:t>równoważności</w:t>
      </w:r>
      <w:r w:rsidRPr="003A42FB">
        <w:rPr>
          <w:rFonts w:ascii="Times New Roman" w:eastAsiaTheme="minorEastAsia" w:hAnsi="Times New Roman" w:cs="Times New Roman"/>
          <w:sz w:val="24"/>
          <w:szCs w:val="24"/>
        </w:rPr>
        <w:t xml:space="preserve"> produktów stanowi najbardziej niezawodny sposób uzyskania skutecznej ochrony przed </w:t>
      </w:r>
      <w:r w:rsidR="00AA7F21" w:rsidRPr="003A42FB">
        <w:rPr>
          <w:rFonts w:ascii="Times New Roman" w:eastAsiaTheme="minorEastAsia" w:hAnsi="Times New Roman" w:cs="Times New Roman"/>
          <w:sz w:val="24"/>
          <w:szCs w:val="24"/>
        </w:rPr>
        <w:t xml:space="preserve">dyskryminacją. </w:t>
      </w:r>
    </w:p>
    <w:p w14:paraId="7C6007C5" w14:textId="77777777" w:rsidR="0006107B" w:rsidRPr="003A42FB" w:rsidRDefault="0006107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w ust. 1 powtarza co do zasady treść dotychczasowego art. 36 Pt (który wdrażał w tym zakresie art. 10 dyrektywy o dostępie). </w:t>
      </w:r>
      <w:r w:rsidR="002466A6" w:rsidRPr="003A42FB">
        <w:rPr>
          <w:rFonts w:ascii="Times New Roman" w:eastAsiaTheme="minorEastAsia" w:hAnsi="Times New Roman" w:cs="Times New Roman"/>
          <w:sz w:val="24"/>
          <w:szCs w:val="24"/>
        </w:rPr>
        <w:t xml:space="preserve">EKŁE w porównaniu do dyrektywy o dostępie odnosi się przy tym do obowiązku przedsiębiorstwa, a nie jedynie operatora. Z tego względu należało uwzględnić tę zmianę i odnieść się w projektowanym przepisie do obowiązków przedsiębiorcy </w:t>
      </w:r>
      <w:r w:rsidR="00BF3312" w:rsidRPr="003A42FB">
        <w:rPr>
          <w:rFonts w:ascii="Times New Roman" w:eastAsiaTheme="minorEastAsia" w:hAnsi="Times New Roman" w:cs="Times New Roman"/>
          <w:sz w:val="24"/>
          <w:szCs w:val="24"/>
        </w:rPr>
        <w:t>komunikacji elektronicznej</w:t>
      </w:r>
      <w:r w:rsidR="002466A6" w:rsidRPr="003A42FB">
        <w:rPr>
          <w:rFonts w:ascii="Times New Roman" w:eastAsiaTheme="minorEastAsia" w:hAnsi="Times New Roman" w:cs="Times New Roman"/>
          <w:sz w:val="24"/>
          <w:szCs w:val="24"/>
        </w:rPr>
        <w:t>.</w:t>
      </w:r>
    </w:p>
    <w:p w14:paraId="4018607A" w14:textId="20C6B1F9" w:rsidR="002466A6" w:rsidRPr="003A42FB" w:rsidRDefault="002466A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EKŁE ponadto</w:t>
      </w:r>
      <w:r w:rsidR="006B61BE" w:rsidRPr="003A42FB">
        <w:rPr>
          <w:rFonts w:ascii="Times New Roman" w:eastAsiaTheme="minorEastAsia" w:hAnsi="Times New Roman" w:cs="Times New Roman"/>
          <w:sz w:val="24"/>
          <w:szCs w:val="24"/>
        </w:rPr>
        <w:t xml:space="preserve"> uregulowało kwestię obowiązków, jakie krajowy organ regulacyjny może nałożyć celem zapewnienia </w:t>
      </w:r>
      <w:r w:rsidR="008073BA" w:rsidRPr="003A42FB">
        <w:rPr>
          <w:rFonts w:ascii="Times New Roman" w:eastAsiaTheme="minorEastAsia" w:hAnsi="Times New Roman" w:cs="Times New Roman"/>
          <w:sz w:val="24"/>
          <w:szCs w:val="24"/>
        </w:rPr>
        <w:t>równego traktowania w zakresie dostępu</w:t>
      </w:r>
      <w:r w:rsidR="006B61BE" w:rsidRPr="003A42FB">
        <w:rPr>
          <w:rFonts w:ascii="Times New Roman" w:eastAsiaTheme="minorEastAsia" w:hAnsi="Times New Roman" w:cs="Times New Roman"/>
          <w:sz w:val="24"/>
          <w:szCs w:val="24"/>
        </w:rPr>
        <w:t xml:space="preserve">. Fragment ten został wdrożony w projektowanym art. </w:t>
      </w:r>
      <w:r w:rsidR="00A9747D">
        <w:rPr>
          <w:rFonts w:ascii="Times New Roman" w:eastAsiaTheme="minorEastAsia" w:hAnsi="Times New Roman" w:cs="Times New Roman"/>
          <w:sz w:val="24"/>
          <w:szCs w:val="24"/>
        </w:rPr>
        <w:t>213</w:t>
      </w:r>
      <w:r w:rsidR="00A9747D" w:rsidRPr="003A42FB">
        <w:rPr>
          <w:rFonts w:ascii="Times New Roman" w:eastAsiaTheme="minorEastAsia" w:hAnsi="Times New Roman" w:cs="Times New Roman"/>
          <w:sz w:val="24"/>
          <w:szCs w:val="24"/>
        </w:rPr>
        <w:t xml:space="preserve"> </w:t>
      </w:r>
      <w:r w:rsidR="006B61BE" w:rsidRPr="003A42FB">
        <w:rPr>
          <w:rFonts w:ascii="Times New Roman" w:eastAsiaTheme="minorEastAsia" w:hAnsi="Times New Roman" w:cs="Times New Roman"/>
          <w:sz w:val="24"/>
          <w:szCs w:val="24"/>
        </w:rPr>
        <w:t>ust. 2.</w:t>
      </w:r>
    </w:p>
    <w:p w14:paraId="7E101947" w14:textId="01A65894" w:rsidR="00130A35" w:rsidRPr="003A42FB" w:rsidRDefault="00130A3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214</w:t>
      </w:r>
    </w:p>
    <w:p w14:paraId="322ADD49" w14:textId="76D1F095" w:rsidR="0011648E" w:rsidRPr="003A42FB" w:rsidRDefault="00197E6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wdraża art. 69 </w:t>
      </w:r>
      <w:r w:rsidR="0011648E" w:rsidRPr="003A42FB">
        <w:rPr>
          <w:rFonts w:ascii="Times New Roman" w:eastAsiaTheme="minorEastAsia" w:hAnsi="Times New Roman" w:cs="Times New Roman"/>
          <w:sz w:val="24"/>
          <w:szCs w:val="24"/>
        </w:rPr>
        <w:t xml:space="preserve">ust. 1 i 3 </w:t>
      </w:r>
      <w:r w:rsidRPr="003A42FB">
        <w:rPr>
          <w:rFonts w:ascii="Times New Roman" w:eastAsiaTheme="minorEastAsia" w:hAnsi="Times New Roman" w:cs="Times New Roman"/>
          <w:sz w:val="24"/>
          <w:szCs w:val="24"/>
        </w:rPr>
        <w:t>EKŁE dotyczący</w:t>
      </w:r>
      <w:r w:rsidR="0011648E" w:rsidRPr="003A42FB">
        <w:rPr>
          <w:rFonts w:ascii="Times New Roman" w:eastAsiaTheme="minorEastAsia" w:hAnsi="Times New Roman" w:cs="Times New Roman"/>
          <w:sz w:val="24"/>
          <w:szCs w:val="24"/>
        </w:rPr>
        <w:t xml:space="preserve"> obowiązku przejrzystości i w tym zakresie w zasadniczej części powtarza treść dotychczasowego </w:t>
      </w:r>
      <w:r w:rsidR="1B1F5D9B" w:rsidRPr="003A42FB">
        <w:rPr>
          <w:rFonts w:ascii="Times New Roman" w:eastAsiaTheme="minorEastAsia" w:hAnsi="Times New Roman" w:cs="Times New Roman"/>
          <w:sz w:val="24"/>
          <w:szCs w:val="24"/>
        </w:rPr>
        <w:t>przepisu</w:t>
      </w:r>
      <w:r w:rsidR="006B7EBF" w:rsidRPr="003A42FB">
        <w:rPr>
          <w:rFonts w:ascii="Times New Roman" w:eastAsiaTheme="minorEastAsia" w:hAnsi="Times New Roman" w:cs="Times New Roman"/>
          <w:sz w:val="24"/>
          <w:szCs w:val="24"/>
        </w:rPr>
        <w:t xml:space="preserve"> </w:t>
      </w:r>
      <w:r w:rsidR="0011648E" w:rsidRPr="003A42FB">
        <w:rPr>
          <w:rFonts w:ascii="Times New Roman" w:eastAsiaTheme="minorEastAsia" w:hAnsi="Times New Roman" w:cs="Times New Roman"/>
          <w:sz w:val="24"/>
          <w:szCs w:val="24"/>
        </w:rPr>
        <w:t xml:space="preserve">Pt. Projektowany przepis reguluje zatem możliwość nałożenia przez Prezesa UKE na </w:t>
      </w:r>
      <w:r w:rsidR="2490280F" w:rsidRPr="003A42FB">
        <w:rPr>
          <w:rFonts w:ascii="Times New Roman" w:eastAsiaTheme="minorEastAsia" w:hAnsi="Times New Roman" w:cs="Times New Roman"/>
          <w:sz w:val="24"/>
          <w:szCs w:val="24"/>
        </w:rPr>
        <w:t>przedsiębiorcę</w:t>
      </w:r>
      <w:r w:rsidR="0011648E" w:rsidRPr="003A42FB">
        <w:rPr>
          <w:rFonts w:ascii="Times New Roman" w:eastAsiaTheme="minorEastAsia" w:hAnsi="Times New Roman" w:cs="Times New Roman"/>
          <w:sz w:val="24"/>
          <w:szCs w:val="24"/>
        </w:rPr>
        <w:t xml:space="preserve"> o znaczącej pozycji rynkowej, w drodze decyzji, obowiązku ogłaszania lub udostępniania informacji w sprawach zapewnienia dostępu. Informacje są publikowane na stronie podmiotowej BIP UKE.  Mogą one obejmować m.in. informacje księgowe, specyfikacje techniczne urządzeń i sieci, informacje dotyczące opłat.</w:t>
      </w:r>
      <w:r w:rsidR="00C61F0D" w:rsidRPr="003A42FB">
        <w:rPr>
          <w:rFonts w:ascii="Times New Roman" w:eastAsiaTheme="minorEastAsia" w:hAnsi="Times New Roman" w:cs="Times New Roman"/>
          <w:sz w:val="24"/>
          <w:szCs w:val="24"/>
        </w:rPr>
        <w:t xml:space="preserve"> </w:t>
      </w:r>
    </w:p>
    <w:p w14:paraId="5E7F4E91" w14:textId="77777777" w:rsidR="0006107B" w:rsidRPr="003A42FB" w:rsidRDefault="000B4440"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Wprowadzenie obowiązku przejrzystości motyw</w:t>
      </w:r>
      <w:r w:rsidR="0011648E" w:rsidRPr="003A42FB">
        <w:rPr>
          <w:rFonts w:ascii="Times New Roman" w:eastAsiaTheme="minorEastAsia" w:hAnsi="Times New Roman" w:cs="Times New Roman"/>
          <w:sz w:val="24"/>
          <w:szCs w:val="24"/>
        </w:rPr>
        <w:t xml:space="preserve"> (182) EKŁE </w:t>
      </w:r>
      <w:r w:rsidRPr="003A42FB">
        <w:rPr>
          <w:rFonts w:ascii="Times New Roman" w:eastAsiaTheme="minorEastAsia" w:hAnsi="Times New Roman" w:cs="Times New Roman"/>
          <w:sz w:val="24"/>
          <w:szCs w:val="24"/>
        </w:rPr>
        <w:t xml:space="preserve">uzasadnia to tym, iż </w:t>
      </w:r>
      <w:r w:rsidRPr="003A42FB">
        <w:rPr>
          <w:rFonts w:ascii="Times New Roman" w:eastAsiaTheme="minorEastAsia" w:hAnsi="Times New Roman" w:cs="Times New Roman"/>
          <w:sz w:val="24"/>
          <w:szCs w:val="24"/>
          <w:lang w:eastAsia="pl-PL"/>
        </w:rPr>
        <w:t>jawność zasad i warunków dostępu oraz wzajemnych połączeń, w tym cen, służy przyspieszaniu negocjacji, unikaniu sporów i daje uczestnikom rynku pewność, że usługa nie jest świadczona na dyskryminujących warunkach. Otwartość i jawność technicznych interfejsów może mieć szczególne znaczenie dla zapewnienia interoperacyjności.</w:t>
      </w:r>
    </w:p>
    <w:p w14:paraId="49D519EF" w14:textId="65A0E54E" w:rsidR="00CF5A71" w:rsidRPr="003A42FB" w:rsidRDefault="00CF5A7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ED7D7F">
        <w:rPr>
          <w:rFonts w:ascii="Times New Roman" w:eastAsiaTheme="minorEastAsia" w:hAnsi="Times New Roman" w:cs="Times New Roman"/>
          <w:b/>
          <w:bCs/>
          <w:sz w:val="24"/>
          <w:szCs w:val="24"/>
        </w:rPr>
        <w:t>215</w:t>
      </w:r>
    </w:p>
    <w:p w14:paraId="415D6F80" w14:textId="6C6E2F9F" w:rsidR="00A04D10"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ED7D7F">
        <w:rPr>
          <w:rFonts w:ascii="Times New Roman" w:eastAsiaTheme="minorEastAsia" w:hAnsi="Times New Roman" w:cs="Times New Roman"/>
          <w:sz w:val="24"/>
          <w:szCs w:val="24"/>
        </w:rPr>
        <w:t>215</w:t>
      </w:r>
      <w:r w:rsidRPr="003A42FB">
        <w:rPr>
          <w:rFonts w:ascii="Times New Roman" w:eastAsiaTheme="minorEastAsia" w:hAnsi="Times New Roman" w:cs="Times New Roman"/>
          <w:sz w:val="24"/>
          <w:szCs w:val="24"/>
        </w:rPr>
        <w:t xml:space="preserve"> reguluje ogólne zasady dotyczące nakładania na </w:t>
      </w:r>
      <w:r w:rsidR="6EA1E5AC" w:rsidRPr="003A42FB">
        <w:rPr>
          <w:rFonts w:ascii="Times New Roman" w:eastAsiaTheme="minorEastAsia" w:hAnsi="Times New Roman" w:cs="Times New Roman"/>
          <w:sz w:val="24"/>
          <w:szCs w:val="24"/>
        </w:rPr>
        <w:t>przedsiębiorcę komunikacji elektronicznej</w:t>
      </w:r>
      <w:r w:rsidRPr="003A42FB">
        <w:rPr>
          <w:rFonts w:ascii="Times New Roman" w:eastAsiaTheme="minorEastAsia" w:hAnsi="Times New Roman" w:cs="Times New Roman"/>
          <w:sz w:val="24"/>
          <w:szCs w:val="24"/>
        </w:rPr>
        <w:t xml:space="preserve"> o znaczącej pozycji rynkowej obowiązku prowadzenia rachunkowości regulacyjnej wraz z odwołaniem do dalszych przepisów w art. </w:t>
      </w:r>
      <w:r w:rsidR="00ED7D7F" w:rsidRPr="003A42FB">
        <w:rPr>
          <w:rFonts w:ascii="Times New Roman" w:eastAsiaTheme="minorEastAsia" w:hAnsi="Times New Roman" w:cs="Times New Roman"/>
          <w:sz w:val="24"/>
          <w:szCs w:val="24"/>
        </w:rPr>
        <w:t>2</w:t>
      </w:r>
      <w:r w:rsidR="00ED7D7F">
        <w:rPr>
          <w:rFonts w:ascii="Times New Roman" w:eastAsiaTheme="minorEastAsia" w:hAnsi="Times New Roman" w:cs="Times New Roman"/>
          <w:sz w:val="24"/>
          <w:szCs w:val="24"/>
        </w:rPr>
        <w:t>53</w:t>
      </w:r>
      <w:r w:rsidRPr="003A42FB">
        <w:rPr>
          <w:rFonts w:ascii="Times New Roman" w:eastAsiaTheme="minorEastAsia" w:hAnsi="Times New Roman" w:cs="Times New Roman"/>
          <w:sz w:val="24"/>
          <w:szCs w:val="24"/>
        </w:rPr>
        <w:t>-</w:t>
      </w:r>
      <w:r w:rsidR="00ED7D7F" w:rsidRPr="003A42FB">
        <w:rPr>
          <w:rFonts w:ascii="Times New Roman" w:eastAsiaTheme="minorEastAsia" w:hAnsi="Times New Roman" w:cs="Times New Roman"/>
          <w:sz w:val="24"/>
          <w:szCs w:val="24"/>
        </w:rPr>
        <w:t>2</w:t>
      </w:r>
      <w:r w:rsidR="00ED7D7F">
        <w:rPr>
          <w:rFonts w:ascii="Times New Roman" w:eastAsiaTheme="minorEastAsia" w:hAnsi="Times New Roman" w:cs="Times New Roman"/>
          <w:sz w:val="24"/>
          <w:szCs w:val="24"/>
        </w:rPr>
        <w:t>58</w:t>
      </w:r>
      <w:r w:rsidRPr="003A42FB">
        <w:rPr>
          <w:rFonts w:ascii="Times New Roman" w:eastAsiaTheme="minorEastAsia" w:hAnsi="Times New Roman" w:cs="Times New Roman"/>
          <w:sz w:val="24"/>
          <w:szCs w:val="24"/>
        </w:rPr>
        <w:t xml:space="preserve">, w tym zapisanych w rozporządzeniu wydawanym na podstawie art. </w:t>
      </w:r>
      <w:r w:rsidR="00ED7D7F" w:rsidRPr="003A42FB">
        <w:rPr>
          <w:rFonts w:ascii="Times New Roman" w:eastAsiaTheme="minorEastAsia" w:hAnsi="Times New Roman" w:cs="Times New Roman"/>
          <w:sz w:val="24"/>
          <w:szCs w:val="24"/>
        </w:rPr>
        <w:t>2</w:t>
      </w:r>
      <w:r w:rsidR="00ED7D7F">
        <w:rPr>
          <w:rFonts w:ascii="Times New Roman" w:eastAsiaTheme="minorEastAsia" w:hAnsi="Times New Roman" w:cs="Times New Roman"/>
          <w:sz w:val="24"/>
          <w:szCs w:val="24"/>
        </w:rPr>
        <w:t>55</w:t>
      </w:r>
      <w:r w:rsidRPr="003A42FB">
        <w:rPr>
          <w:rFonts w:ascii="Times New Roman" w:eastAsiaTheme="minorEastAsia" w:hAnsi="Times New Roman" w:cs="Times New Roman"/>
          <w:sz w:val="24"/>
          <w:szCs w:val="24"/>
        </w:rPr>
        <w:t>, które zawierają szczegółowe przepisy dotyczące rachunkowości regulacyjnej.</w:t>
      </w:r>
    </w:p>
    <w:p w14:paraId="29410A6E" w14:textId="5A25DEDF" w:rsidR="0E947B53" w:rsidRPr="003A42FB" w:rsidRDefault="0E947B5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ED7D7F">
        <w:rPr>
          <w:rFonts w:ascii="Times New Roman" w:eastAsiaTheme="minorEastAsia" w:hAnsi="Times New Roman" w:cs="Times New Roman"/>
          <w:sz w:val="24"/>
          <w:szCs w:val="24"/>
        </w:rPr>
        <w:t>215</w:t>
      </w:r>
      <w:r w:rsidR="00ED7D7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jest odpowiednikiem art. 38 </w:t>
      </w:r>
      <w:r w:rsidR="5AD46134" w:rsidRPr="003A42FB">
        <w:rPr>
          <w:rFonts w:ascii="Times New Roman" w:eastAsiaTheme="minorEastAsia" w:hAnsi="Times New Roman" w:cs="Times New Roman"/>
          <w:sz w:val="24"/>
          <w:szCs w:val="24"/>
        </w:rPr>
        <w:t>P</w:t>
      </w:r>
      <w:r w:rsidR="46B0B895" w:rsidRPr="003A42FB">
        <w:rPr>
          <w:rFonts w:ascii="Times New Roman" w:eastAsiaTheme="minorEastAsia" w:hAnsi="Times New Roman" w:cs="Times New Roman"/>
          <w:sz w:val="24"/>
          <w:szCs w:val="24"/>
        </w:rPr>
        <w:t>t</w:t>
      </w:r>
      <w:r w:rsidR="5AD46134" w:rsidRPr="003A42FB">
        <w:rPr>
          <w:rFonts w:ascii="Times New Roman" w:eastAsiaTheme="minorEastAsia" w:hAnsi="Times New Roman" w:cs="Times New Roman"/>
          <w:sz w:val="24"/>
          <w:szCs w:val="24"/>
        </w:rPr>
        <w:t>.</w:t>
      </w:r>
    </w:p>
    <w:p w14:paraId="19D858D1" w14:textId="79E3F171" w:rsidR="00A04D10"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Zgodnie z ust. 2, podstawą do przygotowania sprawozdań z rachunkowości regulacyjnej stanowi </w:t>
      </w:r>
      <w:r w:rsidRPr="003A42FB">
        <w:rPr>
          <w:rFonts w:ascii="Times New Roman" w:eastAsiaTheme="minorEastAsia" w:hAnsi="Times New Roman" w:cs="Times New Roman"/>
          <w:sz w:val="24"/>
          <w:szCs w:val="24"/>
          <w:lang w:eastAsia="pl-PL"/>
        </w:rPr>
        <w:t xml:space="preserve">zatwierdzona przez Prezesa UKE instrukcja, zdefiniowana w słowniku w art. 2 pkt </w:t>
      </w:r>
      <w:r w:rsidR="009D7F35" w:rsidRPr="003A42FB">
        <w:rPr>
          <w:rFonts w:ascii="Times New Roman" w:eastAsiaTheme="minorEastAsia" w:hAnsi="Times New Roman" w:cs="Times New Roman"/>
          <w:sz w:val="24"/>
          <w:szCs w:val="24"/>
          <w:lang w:eastAsia="pl-PL"/>
        </w:rPr>
        <w:t>1</w:t>
      </w:r>
      <w:r w:rsidR="009D7F35">
        <w:rPr>
          <w:rFonts w:ascii="Times New Roman" w:eastAsiaTheme="minorEastAsia" w:hAnsi="Times New Roman" w:cs="Times New Roman"/>
          <w:sz w:val="24"/>
          <w:szCs w:val="24"/>
          <w:lang w:eastAsia="pl-PL"/>
        </w:rPr>
        <w:t>3</w:t>
      </w:r>
      <w:r w:rsidRPr="003A42FB">
        <w:rPr>
          <w:rFonts w:ascii="Times New Roman" w:eastAsiaTheme="minorEastAsia" w:hAnsi="Times New Roman" w:cs="Times New Roman"/>
          <w:sz w:val="24"/>
          <w:szCs w:val="24"/>
          <w:lang w:eastAsia="pl-PL"/>
        </w:rPr>
        <w:t>.</w:t>
      </w:r>
    </w:p>
    <w:p w14:paraId="7984E867" w14:textId="79C018FE" w:rsidR="00A04D10"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ED7D7F">
        <w:rPr>
          <w:rFonts w:ascii="Times New Roman" w:eastAsiaTheme="minorEastAsia" w:hAnsi="Times New Roman" w:cs="Times New Roman"/>
          <w:sz w:val="24"/>
          <w:szCs w:val="24"/>
        </w:rPr>
        <w:t>215</w:t>
      </w:r>
      <w:r w:rsidRPr="003A42FB">
        <w:rPr>
          <w:rFonts w:ascii="Times New Roman" w:eastAsiaTheme="minorEastAsia" w:hAnsi="Times New Roman" w:cs="Times New Roman"/>
          <w:sz w:val="24"/>
          <w:szCs w:val="24"/>
        </w:rPr>
        <w:t xml:space="preserve"> implementuje do polskiego prawa art. 71 z EKŁE, zgodnie z którym regulator ma prawo do nałożenia obowiązku rozdzielności księgowej</w:t>
      </w:r>
      <w:r w:rsidR="072242B8"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Obowiązek rozdzielności księgowej został określony w polskim prawie jako obowiązek rachunkowości regulacyjnej</w:t>
      </w:r>
      <w:r w:rsidR="00F02A4D"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zdefiniowany w słowniku w art. 2 pkt </w:t>
      </w:r>
      <w:r w:rsidR="009D7F35" w:rsidRPr="003A42FB">
        <w:rPr>
          <w:rFonts w:ascii="Times New Roman" w:eastAsiaTheme="minorEastAsia" w:hAnsi="Times New Roman" w:cs="Times New Roman"/>
          <w:sz w:val="24"/>
          <w:szCs w:val="24"/>
        </w:rPr>
        <w:t>5</w:t>
      </w:r>
      <w:r w:rsidR="009D7F35">
        <w:rPr>
          <w:rFonts w:ascii="Times New Roman" w:eastAsiaTheme="minorEastAsia" w:hAnsi="Times New Roman" w:cs="Times New Roman"/>
          <w:sz w:val="24"/>
          <w:szCs w:val="24"/>
        </w:rPr>
        <w:t>0</w:t>
      </w:r>
      <w:r w:rsidRPr="003A42FB">
        <w:rPr>
          <w:rFonts w:ascii="Times New Roman" w:eastAsiaTheme="minorEastAsia" w:hAnsi="Times New Roman" w:cs="Times New Roman"/>
          <w:sz w:val="24"/>
          <w:szCs w:val="24"/>
        </w:rPr>
        <w:t xml:space="preserve">, dodatkowo </w:t>
      </w:r>
      <w:r w:rsidR="00214917" w:rsidRPr="003A42FB">
        <w:rPr>
          <w:rFonts w:ascii="Times New Roman" w:eastAsiaTheme="minorEastAsia" w:hAnsi="Times New Roman" w:cs="Times New Roman"/>
          <w:sz w:val="24"/>
          <w:szCs w:val="24"/>
        </w:rPr>
        <w:t>art.</w:t>
      </w:r>
      <w:r w:rsidRPr="003A42FB">
        <w:rPr>
          <w:rFonts w:ascii="Times New Roman" w:eastAsiaTheme="minorEastAsia" w:hAnsi="Times New Roman" w:cs="Times New Roman"/>
          <w:sz w:val="24"/>
          <w:szCs w:val="24"/>
        </w:rPr>
        <w:t xml:space="preserve"> </w:t>
      </w:r>
      <w:r w:rsidR="00ED7D7F">
        <w:rPr>
          <w:rFonts w:ascii="Times New Roman" w:eastAsiaTheme="minorEastAsia" w:hAnsi="Times New Roman" w:cs="Times New Roman"/>
          <w:sz w:val="24"/>
          <w:szCs w:val="24"/>
        </w:rPr>
        <w:t>253</w:t>
      </w:r>
      <w:r w:rsidRPr="003A42FB">
        <w:rPr>
          <w:rFonts w:ascii="Times New Roman" w:eastAsiaTheme="minorEastAsia" w:hAnsi="Times New Roman" w:cs="Times New Roman"/>
          <w:sz w:val="24"/>
          <w:szCs w:val="24"/>
        </w:rPr>
        <w:t xml:space="preserve"> określa cel oraz sposób prowadzenia rachunkowości regulacyjnej. </w:t>
      </w:r>
    </w:p>
    <w:p w14:paraId="0293AE72" w14:textId="49926855" w:rsidR="00CF5A71"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Prawidłowe prowadzenie rachunkowości regulacyjnej ma umożliwić regulatorowi skuteczne badanie</w:t>
      </w:r>
      <w:r w:rsidR="39638A44" w:rsidRPr="003A42FB">
        <w:rPr>
          <w:rFonts w:ascii="Times New Roman" w:eastAsiaTheme="minorEastAsia" w:hAnsi="Times New Roman" w:cs="Times New Roman"/>
          <w:sz w:val="24"/>
          <w:szCs w:val="24"/>
        </w:rPr>
        <w:t xml:space="preserve"> i monitorowanie</w:t>
      </w:r>
      <w:r w:rsidRPr="003A42FB">
        <w:rPr>
          <w:rFonts w:ascii="Times New Roman" w:eastAsiaTheme="minorEastAsia" w:hAnsi="Times New Roman" w:cs="Times New Roman"/>
          <w:sz w:val="24"/>
          <w:szCs w:val="24"/>
        </w:rPr>
        <w:t xml:space="preserve"> transferów wewnętrznych </w:t>
      </w:r>
      <w:r w:rsidR="181DFB26" w:rsidRPr="003A42FB">
        <w:rPr>
          <w:rFonts w:ascii="Times New Roman" w:eastAsiaTheme="minorEastAsia" w:hAnsi="Times New Roman" w:cs="Times New Roman"/>
          <w:sz w:val="24"/>
          <w:szCs w:val="24"/>
        </w:rPr>
        <w:t>u</w:t>
      </w:r>
      <w:r w:rsidR="71BD399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danego przedsiębior</w:t>
      </w:r>
      <w:r w:rsidR="54035850" w:rsidRPr="003A42FB">
        <w:rPr>
          <w:rFonts w:ascii="Times New Roman" w:eastAsiaTheme="minorEastAsia" w:hAnsi="Times New Roman" w:cs="Times New Roman"/>
          <w:sz w:val="24"/>
          <w:szCs w:val="24"/>
        </w:rPr>
        <w:t>cy komunikacji elektronicznej</w:t>
      </w:r>
      <w:r w:rsidRPr="003A42FB">
        <w:rPr>
          <w:rFonts w:ascii="Times New Roman" w:eastAsiaTheme="minorEastAsia" w:hAnsi="Times New Roman" w:cs="Times New Roman"/>
          <w:sz w:val="24"/>
          <w:szCs w:val="24"/>
        </w:rPr>
        <w:t xml:space="preserve"> oraz eliminowanie niedozwolonych transferów. Jest to szczególnie istotne dla prawidłowego ustalania </w:t>
      </w:r>
      <w:r w:rsidR="52FC3483" w:rsidRPr="003A42FB">
        <w:rPr>
          <w:rFonts w:ascii="Times New Roman" w:eastAsiaTheme="minorEastAsia" w:hAnsi="Times New Roman" w:cs="Times New Roman"/>
          <w:sz w:val="24"/>
          <w:szCs w:val="24"/>
        </w:rPr>
        <w:t>opłat hurtowych</w:t>
      </w:r>
      <w:r w:rsidR="56240AF8"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ponieważ prawidłowy system rachunkowości regulacyjnej stanowi podstawę kalkulacji kosztów, te zaś są podstawą ustalania opłat</w:t>
      </w:r>
      <w:r w:rsidR="5C8320DB" w:rsidRPr="003A42FB">
        <w:rPr>
          <w:rFonts w:ascii="Times New Roman" w:eastAsiaTheme="minorEastAsia" w:hAnsi="Times New Roman" w:cs="Times New Roman"/>
          <w:sz w:val="24"/>
          <w:szCs w:val="24"/>
        </w:rPr>
        <w:t xml:space="preserve"> hurtowych</w:t>
      </w:r>
      <w:r w:rsidRPr="003A42FB">
        <w:rPr>
          <w:rFonts w:ascii="Times New Roman" w:eastAsiaTheme="minorEastAsia" w:hAnsi="Times New Roman" w:cs="Times New Roman"/>
          <w:sz w:val="24"/>
          <w:szCs w:val="24"/>
        </w:rPr>
        <w:t>.</w:t>
      </w:r>
    </w:p>
    <w:p w14:paraId="04740131" w14:textId="598BD3DD" w:rsidR="00B80C46" w:rsidRPr="003A42FB" w:rsidRDefault="00B80C46"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b/>
          <w:bCs/>
          <w:szCs w:val="24"/>
        </w:rPr>
        <w:t xml:space="preserve">Art. </w:t>
      </w:r>
      <w:r w:rsidR="009D7F35">
        <w:rPr>
          <w:rFonts w:ascii="Times New Roman" w:hAnsi="Times New Roman" w:cs="Times New Roman"/>
          <w:b/>
          <w:bCs/>
          <w:szCs w:val="24"/>
        </w:rPr>
        <w:t>216</w:t>
      </w:r>
    </w:p>
    <w:p w14:paraId="3CD8F41C" w14:textId="644BAE68" w:rsidR="00A04D10"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9D7F35">
        <w:rPr>
          <w:rFonts w:ascii="Times New Roman" w:eastAsiaTheme="minorEastAsia" w:hAnsi="Times New Roman" w:cs="Times New Roman"/>
          <w:sz w:val="24"/>
          <w:szCs w:val="24"/>
        </w:rPr>
        <w:t>216</w:t>
      </w:r>
      <w:r w:rsidR="009D7F3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wdrażający art. 74 EKŁE określa zasady dotyczące nakładania na </w:t>
      </w:r>
      <w:r w:rsidR="5935B3D5" w:rsidRPr="003A42FB">
        <w:rPr>
          <w:rFonts w:ascii="Times New Roman" w:eastAsiaTheme="minorEastAsia" w:hAnsi="Times New Roman" w:cs="Times New Roman"/>
          <w:sz w:val="24"/>
          <w:szCs w:val="24"/>
        </w:rPr>
        <w:t>przedsiębiorcę komunikacji elektronicznej</w:t>
      </w:r>
      <w:r w:rsidRPr="003A42FB">
        <w:rPr>
          <w:rFonts w:ascii="Times New Roman" w:eastAsiaTheme="minorEastAsia" w:hAnsi="Times New Roman" w:cs="Times New Roman"/>
          <w:sz w:val="24"/>
          <w:szCs w:val="24"/>
        </w:rPr>
        <w:t xml:space="preserve"> o znaczącej pozycji rynkowej obowiązków dotyczących kalkulacji kosztów </w:t>
      </w:r>
      <w:r w:rsidRPr="003A42FB">
        <w:rPr>
          <w:rFonts w:ascii="Times New Roman" w:eastAsiaTheme="minorEastAsia" w:hAnsi="Times New Roman" w:cs="Times New Roman"/>
          <w:sz w:val="24"/>
          <w:szCs w:val="24"/>
          <w:lang w:eastAsia="pl-PL"/>
        </w:rPr>
        <w:t xml:space="preserve">świadczenia dostępu </w:t>
      </w:r>
      <w:r w:rsidR="00BF44A3" w:rsidRPr="003A42FB">
        <w:rPr>
          <w:rFonts w:ascii="Times New Roman" w:eastAsiaTheme="minorEastAsia" w:hAnsi="Times New Roman" w:cs="Times New Roman"/>
          <w:sz w:val="24"/>
          <w:szCs w:val="24"/>
          <w:lang w:eastAsia="pl-PL"/>
        </w:rPr>
        <w:t xml:space="preserve">telekomunikacyjnego </w:t>
      </w:r>
      <w:r w:rsidRPr="003A42FB">
        <w:rPr>
          <w:rFonts w:ascii="Times New Roman" w:eastAsiaTheme="minorEastAsia" w:hAnsi="Times New Roman" w:cs="Times New Roman"/>
          <w:sz w:val="24"/>
          <w:szCs w:val="24"/>
        </w:rPr>
        <w:t>oraz stosowania opłat</w:t>
      </w:r>
      <w:r w:rsidRPr="003A42FB">
        <w:rPr>
          <w:rFonts w:ascii="Times New Roman" w:eastAsiaTheme="minorEastAsia" w:hAnsi="Times New Roman" w:cs="Times New Roman"/>
          <w:sz w:val="24"/>
          <w:szCs w:val="24"/>
          <w:lang w:eastAsia="pl-PL"/>
        </w:rPr>
        <w:t xml:space="preserve"> z tytułu dostępu</w:t>
      </w:r>
      <w:r w:rsidR="00BF44A3" w:rsidRPr="003A42FB">
        <w:rPr>
          <w:rFonts w:ascii="Times New Roman" w:eastAsiaTheme="minorEastAsia" w:hAnsi="Times New Roman" w:cs="Times New Roman"/>
          <w:sz w:val="24"/>
          <w:szCs w:val="24"/>
          <w:lang w:eastAsia="pl-PL"/>
        </w:rPr>
        <w:t xml:space="preserve"> telekomunikacyjnego</w:t>
      </w:r>
      <w:r w:rsidR="00F02A4D" w:rsidRPr="003A42FB">
        <w:rPr>
          <w:rFonts w:ascii="Times New Roman" w:eastAsiaTheme="minorEastAsia" w:hAnsi="Times New Roman" w:cs="Times New Roman"/>
          <w:sz w:val="24"/>
          <w:szCs w:val="24"/>
          <w:lang w:eastAsia="pl-PL"/>
        </w:rPr>
        <w:t>.</w:t>
      </w:r>
      <w:r w:rsidRPr="003A42FB">
        <w:rPr>
          <w:rFonts w:ascii="Times New Roman" w:eastAsiaTheme="minorEastAsia" w:hAnsi="Times New Roman" w:cs="Times New Roman"/>
          <w:sz w:val="24"/>
          <w:szCs w:val="24"/>
          <w:lang w:eastAsia="pl-PL"/>
        </w:rPr>
        <w:t xml:space="preserve"> </w:t>
      </w:r>
    </w:p>
    <w:p w14:paraId="06CCC716" w14:textId="466EC5EA" w:rsidR="00A04D10" w:rsidRPr="003A42FB" w:rsidRDefault="2B3FC5F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ust. 1 są wymienione trzy różne obowiązki dotyczące stosowania opłat</w:t>
      </w:r>
      <w:r w:rsidRPr="003A42FB">
        <w:rPr>
          <w:rFonts w:ascii="Times New Roman" w:eastAsiaTheme="minorEastAsia" w:hAnsi="Times New Roman" w:cs="Times New Roman"/>
          <w:sz w:val="24"/>
          <w:szCs w:val="24"/>
          <w:lang w:eastAsia="pl-PL"/>
        </w:rPr>
        <w:t xml:space="preserve"> z tytułu dostępu</w:t>
      </w:r>
      <w:r w:rsidR="003C4B3C" w:rsidRPr="003A42FB">
        <w:rPr>
          <w:rFonts w:ascii="Times New Roman" w:eastAsiaTheme="minorEastAsia" w:hAnsi="Times New Roman" w:cs="Times New Roman"/>
          <w:sz w:val="24"/>
          <w:szCs w:val="24"/>
          <w:lang w:eastAsia="pl-PL"/>
        </w:rPr>
        <w:t xml:space="preserve"> telekomunikacyjnego</w:t>
      </w:r>
      <w:r w:rsidRPr="003A42FB">
        <w:rPr>
          <w:rFonts w:ascii="Times New Roman" w:eastAsiaTheme="minorEastAsia" w:hAnsi="Times New Roman" w:cs="Times New Roman"/>
          <w:sz w:val="24"/>
          <w:szCs w:val="24"/>
        </w:rPr>
        <w:t xml:space="preserve">. Prezes UKE ma możliwość wyboru i nałożenia na </w:t>
      </w:r>
      <w:r w:rsidR="1F8EA346" w:rsidRPr="003A42FB">
        <w:rPr>
          <w:rFonts w:ascii="Times New Roman" w:eastAsiaTheme="minorEastAsia" w:hAnsi="Times New Roman" w:cs="Times New Roman"/>
          <w:sz w:val="24"/>
          <w:szCs w:val="24"/>
        </w:rPr>
        <w:t>przedsiębiorcę komunikacji elektronicznej</w:t>
      </w:r>
      <w:r w:rsidRPr="003A42FB">
        <w:rPr>
          <w:rFonts w:ascii="Times New Roman" w:eastAsiaTheme="minorEastAsia" w:hAnsi="Times New Roman" w:cs="Times New Roman"/>
          <w:sz w:val="24"/>
          <w:szCs w:val="24"/>
        </w:rPr>
        <w:t xml:space="preserve"> jednego z tych obowiązków</w:t>
      </w:r>
      <w:r w:rsidR="7C00B223" w:rsidRPr="003A42FB">
        <w:rPr>
          <w:rFonts w:ascii="Times New Roman" w:eastAsiaTheme="minorEastAsia" w:hAnsi="Times New Roman" w:cs="Times New Roman"/>
          <w:sz w:val="24"/>
          <w:szCs w:val="24"/>
        </w:rPr>
        <w:t>.</w:t>
      </w:r>
      <w:r w:rsidR="6CA26B44" w:rsidRPr="003A42FB">
        <w:rPr>
          <w:rFonts w:ascii="Times New Roman" w:eastAsiaTheme="minorEastAsia" w:hAnsi="Times New Roman" w:cs="Times New Roman"/>
          <w:sz w:val="24"/>
          <w:szCs w:val="24"/>
          <w:lang w:eastAsia="pl-PL"/>
        </w:rPr>
        <w:t xml:space="preserve"> Przesłanki nakładania obowiązków</w:t>
      </w:r>
      <w:r w:rsidR="6F667828" w:rsidRPr="003A42FB">
        <w:rPr>
          <w:rFonts w:ascii="Times New Roman" w:eastAsiaTheme="minorEastAsia" w:hAnsi="Times New Roman" w:cs="Times New Roman"/>
          <w:sz w:val="24"/>
          <w:szCs w:val="24"/>
          <w:lang w:eastAsia="pl-PL"/>
        </w:rPr>
        <w:t xml:space="preserve">, zapisane w </w:t>
      </w:r>
      <w:r w:rsidR="248C1A9B" w:rsidRPr="003A42FB">
        <w:rPr>
          <w:rFonts w:ascii="Times New Roman" w:eastAsiaTheme="minorEastAsia" w:hAnsi="Times New Roman" w:cs="Times New Roman"/>
          <w:sz w:val="24"/>
          <w:szCs w:val="24"/>
          <w:lang w:eastAsia="pl-PL"/>
        </w:rPr>
        <w:t>Pke</w:t>
      </w:r>
      <w:r w:rsidR="6F667828" w:rsidRPr="003A42FB">
        <w:rPr>
          <w:rFonts w:ascii="Times New Roman" w:eastAsiaTheme="minorEastAsia" w:hAnsi="Times New Roman" w:cs="Times New Roman"/>
          <w:sz w:val="24"/>
          <w:szCs w:val="24"/>
          <w:lang w:eastAsia="pl-PL"/>
        </w:rPr>
        <w:t>,</w:t>
      </w:r>
      <w:r w:rsidR="6CA26B44" w:rsidRPr="003A42FB">
        <w:rPr>
          <w:rFonts w:ascii="Times New Roman" w:eastAsiaTheme="minorEastAsia" w:hAnsi="Times New Roman" w:cs="Times New Roman"/>
          <w:sz w:val="24"/>
          <w:szCs w:val="24"/>
          <w:lang w:eastAsia="pl-PL"/>
        </w:rPr>
        <w:t xml:space="preserve"> wynikają bezpośrednio z dyrektywy</w:t>
      </w:r>
      <w:r w:rsidR="5A6D4FAC" w:rsidRPr="003A42FB">
        <w:rPr>
          <w:rFonts w:ascii="Times New Roman" w:eastAsiaTheme="minorEastAsia" w:hAnsi="Times New Roman" w:cs="Times New Roman"/>
          <w:sz w:val="24"/>
          <w:szCs w:val="24"/>
          <w:lang w:eastAsia="pl-PL"/>
        </w:rPr>
        <w:t>,</w:t>
      </w:r>
      <w:r w:rsidR="6F677238" w:rsidRPr="003A42FB">
        <w:rPr>
          <w:rFonts w:ascii="Times New Roman" w:eastAsiaTheme="minorEastAsia" w:hAnsi="Times New Roman" w:cs="Times New Roman"/>
          <w:sz w:val="24"/>
          <w:szCs w:val="24"/>
          <w:lang w:eastAsia="pl-PL"/>
        </w:rPr>
        <w:t xml:space="preserve"> w</w:t>
      </w:r>
      <w:r w:rsidR="5A6D4FAC" w:rsidRPr="003A42FB">
        <w:rPr>
          <w:rFonts w:ascii="Times New Roman" w:eastAsiaTheme="minorEastAsia" w:hAnsi="Times New Roman" w:cs="Times New Roman"/>
          <w:sz w:val="24"/>
          <w:szCs w:val="24"/>
          <w:lang w:eastAsia="pl-PL"/>
        </w:rPr>
        <w:t xml:space="preserve"> szczególności </w:t>
      </w:r>
      <w:r w:rsidR="4F263C10" w:rsidRPr="003A42FB">
        <w:rPr>
          <w:rFonts w:ascii="Times New Roman" w:eastAsiaTheme="minorEastAsia" w:hAnsi="Times New Roman" w:cs="Times New Roman"/>
          <w:sz w:val="24"/>
          <w:szCs w:val="24"/>
          <w:lang w:eastAsia="pl-PL"/>
        </w:rPr>
        <w:t>z</w:t>
      </w:r>
      <w:r w:rsidR="34BF138F" w:rsidRPr="003A42FB">
        <w:rPr>
          <w:rFonts w:ascii="Times New Roman" w:eastAsiaTheme="minorEastAsia" w:hAnsi="Times New Roman" w:cs="Times New Roman"/>
          <w:sz w:val="24"/>
          <w:szCs w:val="24"/>
          <w:lang w:eastAsia="pl-PL"/>
        </w:rPr>
        <w:t xml:space="preserve"> </w:t>
      </w:r>
      <w:r w:rsidR="5A6D4FAC" w:rsidRPr="003A42FB">
        <w:rPr>
          <w:rFonts w:ascii="Times New Roman" w:eastAsiaTheme="minorEastAsia" w:hAnsi="Times New Roman" w:cs="Times New Roman"/>
          <w:sz w:val="24"/>
          <w:szCs w:val="24"/>
          <w:lang w:eastAsia="pl-PL"/>
        </w:rPr>
        <w:t xml:space="preserve">art. 74 ust. </w:t>
      </w:r>
      <w:r w:rsidR="1C4DA7FB" w:rsidRPr="003A42FB">
        <w:rPr>
          <w:rFonts w:ascii="Times New Roman" w:eastAsiaTheme="minorEastAsia" w:hAnsi="Times New Roman" w:cs="Times New Roman"/>
          <w:sz w:val="24"/>
          <w:szCs w:val="24"/>
          <w:lang w:eastAsia="pl-PL"/>
        </w:rPr>
        <w:t>1 i</w:t>
      </w:r>
      <w:r w:rsidR="6CA26B44" w:rsidRPr="003A42FB">
        <w:rPr>
          <w:rFonts w:ascii="Times New Roman" w:eastAsiaTheme="minorEastAsia" w:hAnsi="Times New Roman" w:cs="Times New Roman"/>
          <w:sz w:val="24"/>
          <w:szCs w:val="24"/>
          <w:lang w:eastAsia="pl-PL"/>
        </w:rPr>
        <w:t xml:space="preserve"> </w:t>
      </w:r>
      <w:r w:rsidR="1BF66954" w:rsidRPr="003A42FB">
        <w:rPr>
          <w:rFonts w:ascii="Times New Roman" w:eastAsiaTheme="minorEastAsia" w:hAnsi="Times New Roman" w:cs="Times New Roman"/>
          <w:sz w:val="24"/>
          <w:szCs w:val="24"/>
          <w:lang w:eastAsia="pl-PL"/>
        </w:rPr>
        <w:t>ust. 2</w:t>
      </w:r>
      <w:r w:rsidR="492E877F" w:rsidRPr="003A42FB">
        <w:rPr>
          <w:rFonts w:ascii="Times New Roman" w:eastAsiaTheme="minorEastAsia" w:hAnsi="Times New Roman" w:cs="Times New Roman"/>
          <w:sz w:val="24"/>
          <w:szCs w:val="24"/>
          <w:lang w:eastAsia="pl-PL"/>
        </w:rPr>
        <w:t>.</w:t>
      </w:r>
      <w:r w:rsidR="6747941F" w:rsidRPr="003A42FB">
        <w:rPr>
          <w:rFonts w:ascii="Times New Roman" w:eastAsiaTheme="minorEastAsia" w:hAnsi="Times New Roman" w:cs="Times New Roman"/>
          <w:sz w:val="24"/>
          <w:szCs w:val="24"/>
          <w:lang w:eastAsia="pl-PL"/>
        </w:rPr>
        <w:t xml:space="preserve"> Zgodnie z</w:t>
      </w:r>
      <w:r w:rsidR="37282D6B" w:rsidRPr="003A42FB">
        <w:rPr>
          <w:rFonts w:ascii="Times New Roman" w:eastAsiaTheme="minorEastAsia" w:hAnsi="Times New Roman" w:cs="Times New Roman"/>
          <w:sz w:val="24"/>
          <w:szCs w:val="24"/>
          <w:lang w:eastAsia="pl-PL"/>
        </w:rPr>
        <w:t xml:space="preserve"> art. 74 ust. 1 akapit 2 zdanie 3 </w:t>
      </w:r>
      <w:r w:rsidR="4F172826" w:rsidRPr="003A42FB">
        <w:rPr>
          <w:rFonts w:ascii="Times New Roman" w:eastAsiaTheme="minorEastAsia" w:hAnsi="Times New Roman" w:cs="Times New Roman"/>
          <w:sz w:val="24"/>
          <w:szCs w:val="24"/>
          <w:lang w:eastAsia="pl-PL"/>
        </w:rPr>
        <w:t>implementowanym w ust. 1</w:t>
      </w:r>
      <w:r w:rsidR="000A15FA" w:rsidRPr="003A42FB">
        <w:rPr>
          <w:rFonts w:ascii="Times New Roman" w:eastAsiaTheme="minorEastAsia" w:hAnsi="Times New Roman" w:cs="Times New Roman"/>
          <w:sz w:val="24"/>
          <w:szCs w:val="24"/>
          <w:lang w:eastAsia="pl-PL"/>
        </w:rPr>
        <w:t>,</w:t>
      </w:r>
      <w:r w:rsidR="4F172826" w:rsidRPr="003A42FB">
        <w:rPr>
          <w:rFonts w:ascii="Times New Roman" w:eastAsiaTheme="minorEastAsia" w:hAnsi="Times New Roman" w:cs="Times New Roman"/>
          <w:sz w:val="24"/>
          <w:szCs w:val="24"/>
          <w:lang w:eastAsia="pl-PL"/>
        </w:rPr>
        <w:t xml:space="preserve"> </w:t>
      </w:r>
      <w:r w:rsidR="323D3B37" w:rsidRPr="003A42FB">
        <w:rPr>
          <w:rFonts w:ascii="Times New Roman" w:eastAsiaTheme="minorEastAsia" w:hAnsi="Times New Roman" w:cs="Times New Roman"/>
          <w:sz w:val="24"/>
          <w:szCs w:val="24"/>
          <w:lang w:eastAsia="pl-PL"/>
        </w:rPr>
        <w:t>P</w:t>
      </w:r>
      <w:r w:rsidR="2FFD7EEE" w:rsidRPr="003A42FB">
        <w:rPr>
          <w:rFonts w:ascii="Times New Roman" w:eastAsiaTheme="minorEastAsia" w:hAnsi="Times New Roman" w:cs="Times New Roman"/>
          <w:sz w:val="24"/>
          <w:szCs w:val="24"/>
        </w:rPr>
        <w:t xml:space="preserve">rezes UKE </w:t>
      </w:r>
      <w:r w:rsidR="363D249D" w:rsidRPr="003A42FB">
        <w:rPr>
          <w:rFonts w:ascii="Times New Roman" w:eastAsiaTheme="minorEastAsia" w:hAnsi="Times New Roman" w:cs="Times New Roman"/>
          <w:sz w:val="24"/>
          <w:szCs w:val="24"/>
        </w:rPr>
        <w:t xml:space="preserve">ma </w:t>
      </w:r>
      <w:r w:rsidR="2FFD7EEE" w:rsidRPr="003A42FB">
        <w:rPr>
          <w:rFonts w:ascii="Times New Roman" w:eastAsiaTheme="minorEastAsia" w:hAnsi="Times New Roman" w:cs="Times New Roman"/>
          <w:sz w:val="24"/>
          <w:szCs w:val="24"/>
        </w:rPr>
        <w:t>umożliwi</w:t>
      </w:r>
      <w:r w:rsidR="6B159D4D" w:rsidRPr="003A42FB">
        <w:rPr>
          <w:rFonts w:ascii="Times New Roman" w:eastAsiaTheme="minorEastAsia" w:hAnsi="Times New Roman" w:cs="Times New Roman"/>
          <w:sz w:val="24"/>
          <w:szCs w:val="24"/>
        </w:rPr>
        <w:t xml:space="preserve">ć </w:t>
      </w:r>
      <w:r w:rsidR="2FFD7EEE" w:rsidRPr="003A42FB">
        <w:rPr>
          <w:rFonts w:ascii="Times New Roman" w:eastAsiaTheme="minorEastAsia" w:hAnsi="Times New Roman" w:cs="Times New Roman"/>
          <w:sz w:val="24"/>
          <w:szCs w:val="24"/>
        </w:rPr>
        <w:t xml:space="preserve">przedsiębiorcy komunikacji elektronicznej o znaczącej pozycji rynkowej </w:t>
      </w:r>
      <w:r w:rsidR="006B3BB9" w:rsidRPr="003A42FB">
        <w:rPr>
          <w:rFonts w:ascii="Times New Roman" w:eastAsiaTheme="minorEastAsia" w:hAnsi="Times New Roman" w:cs="Times New Roman"/>
          <w:sz w:val="24"/>
          <w:szCs w:val="24"/>
        </w:rPr>
        <w:t xml:space="preserve">uzyskanie </w:t>
      </w:r>
      <w:r w:rsidR="2FFD7EEE" w:rsidRPr="003A42FB">
        <w:rPr>
          <w:rFonts w:ascii="Times New Roman" w:eastAsiaTheme="minorEastAsia" w:hAnsi="Times New Roman" w:cs="Times New Roman"/>
          <w:sz w:val="24"/>
          <w:szCs w:val="24"/>
        </w:rPr>
        <w:t xml:space="preserve">rozsądnej stopy zwrotu z zaangażowanego kapitału, uwzględniając wszelkie ryzyko typowe dla </w:t>
      </w:r>
      <w:r w:rsidR="00912401">
        <w:rPr>
          <w:rFonts w:ascii="Times New Roman" w:eastAsiaTheme="minorEastAsia" w:hAnsi="Times New Roman" w:cs="Times New Roman"/>
          <w:sz w:val="24"/>
          <w:szCs w:val="24"/>
        </w:rPr>
        <w:t>danego</w:t>
      </w:r>
      <w:r w:rsidR="00912401" w:rsidRPr="003A42FB">
        <w:rPr>
          <w:rFonts w:ascii="Times New Roman" w:eastAsiaTheme="minorEastAsia" w:hAnsi="Times New Roman" w:cs="Times New Roman"/>
          <w:sz w:val="24"/>
          <w:szCs w:val="24"/>
        </w:rPr>
        <w:t xml:space="preserve"> </w:t>
      </w:r>
      <w:r w:rsidR="2FFD7EEE" w:rsidRPr="003A42FB">
        <w:rPr>
          <w:rFonts w:ascii="Times New Roman" w:eastAsiaTheme="minorEastAsia" w:hAnsi="Times New Roman" w:cs="Times New Roman"/>
          <w:sz w:val="24"/>
          <w:szCs w:val="24"/>
        </w:rPr>
        <w:t>nowego przedsięwzięcia inwestycyjnego.</w:t>
      </w:r>
    </w:p>
    <w:p w14:paraId="14D5FAAD" w14:textId="6C03F64E" w:rsidR="00A04D10" w:rsidRPr="003A42FB" w:rsidRDefault="00A04D10"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Metoda wskazana w pkt 1 w ust. 1 jest to metoda stosowania opłat z tytułu dostępu </w:t>
      </w:r>
      <w:r w:rsidR="003C4B3C" w:rsidRPr="003A42FB">
        <w:rPr>
          <w:rFonts w:ascii="Times New Roman" w:eastAsiaTheme="minorEastAsia" w:hAnsi="Times New Roman" w:cs="Times New Roman"/>
          <w:sz w:val="24"/>
          <w:szCs w:val="24"/>
        </w:rPr>
        <w:t xml:space="preserve">telekomunikacyjnego </w:t>
      </w:r>
      <w:r w:rsidRPr="003A42FB">
        <w:rPr>
          <w:rFonts w:ascii="Times New Roman" w:eastAsiaTheme="minorEastAsia" w:hAnsi="Times New Roman" w:cs="Times New Roman"/>
          <w:sz w:val="24"/>
          <w:szCs w:val="24"/>
        </w:rPr>
        <w:t>w oparciu o metodę kalkulacji kosztów precyzyjnie regulowaną poprzez</w:t>
      </w:r>
      <w:r w:rsidRPr="003A42FB">
        <w:rPr>
          <w:rFonts w:ascii="Times New Roman" w:eastAsiaTheme="minorEastAsia" w:hAnsi="Times New Roman" w:cs="Times New Roman"/>
          <w:sz w:val="24"/>
          <w:szCs w:val="24"/>
          <w:lang w:eastAsia="pl-PL"/>
        </w:rPr>
        <w:t xml:space="preserve"> </w:t>
      </w:r>
      <w:r w:rsidR="00F02A4D" w:rsidRPr="003A42FB">
        <w:rPr>
          <w:rFonts w:ascii="Times New Roman" w:eastAsiaTheme="minorEastAsia" w:hAnsi="Times New Roman" w:cs="Times New Roman"/>
          <w:sz w:val="24"/>
          <w:szCs w:val="24"/>
        </w:rPr>
        <w:t>prze</w:t>
      </w:r>
      <w:r w:rsidRPr="003A42FB">
        <w:rPr>
          <w:rFonts w:ascii="Times New Roman" w:eastAsiaTheme="minorEastAsia" w:hAnsi="Times New Roman" w:cs="Times New Roman"/>
          <w:sz w:val="24"/>
          <w:szCs w:val="24"/>
        </w:rPr>
        <w:t>pisy ustawy, w szczególności definicję w słowniczku w art.</w:t>
      </w:r>
      <w:r w:rsidR="00F02A4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2 pkt </w:t>
      </w:r>
      <w:r w:rsidR="008235FF" w:rsidRPr="003A42FB">
        <w:rPr>
          <w:rFonts w:ascii="Times New Roman" w:eastAsiaTheme="minorEastAsia" w:hAnsi="Times New Roman" w:cs="Times New Roman"/>
          <w:sz w:val="24"/>
          <w:szCs w:val="24"/>
        </w:rPr>
        <w:t>1</w:t>
      </w:r>
      <w:r w:rsidR="008235FF">
        <w:rPr>
          <w:rFonts w:ascii="Times New Roman" w:eastAsiaTheme="minorEastAsia" w:hAnsi="Times New Roman" w:cs="Times New Roman"/>
          <w:sz w:val="24"/>
          <w:szCs w:val="24"/>
        </w:rPr>
        <w:t>7</w:t>
      </w:r>
      <w:r w:rsidRPr="003A42FB">
        <w:rPr>
          <w:rFonts w:ascii="Times New Roman" w:eastAsiaTheme="minorEastAsia" w:hAnsi="Times New Roman" w:cs="Times New Roman"/>
          <w:sz w:val="24"/>
          <w:szCs w:val="24"/>
        </w:rPr>
        <w:t xml:space="preserve"> oraz art. </w:t>
      </w:r>
      <w:r w:rsidR="008235FF" w:rsidRPr="003A42FB">
        <w:rPr>
          <w:rFonts w:ascii="Times New Roman" w:eastAsiaTheme="minorEastAsia" w:hAnsi="Times New Roman" w:cs="Times New Roman"/>
          <w:sz w:val="24"/>
          <w:szCs w:val="24"/>
        </w:rPr>
        <w:t>2</w:t>
      </w:r>
      <w:r w:rsidR="008235FF">
        <w:rPr>
          <w:rFonts w:ascii="Times New Roman" w:eastAsiaTheme="minorEastAsia" w:hAnsi="Times New Roman" w:cs="Times New Roman"/>
          <w:sz w:val="24"/>
          <w:szCs w:val="24"/>
        </w:rPr>
        <w:t>57</w:t>
      </w:r>
      <w:r w:rsidR="008235F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i </w:t>
      </w:r>
      <w:r w:rsidR="008235FF" w:rsidRPr="003A42FB">
        <w:rPr>
          <w:rFonts w:ascii="Times New Roman" w:eastAsiaTheme="minorEastAsia" w:hAnsi="Times New Roman" w:cs="Times New Roman"/>
          <w:sz w:val="24"/>
          <w:szCs w:val="24"/>
        </w:rPr>
        <w:t>2</w:t>
      </w:r>
      <w:r w:rsidR="008235FF">
        <w:rPr>
          <w:rFonts w:ascii="Times New Roman" w:eastAsiaTheme="minorEastAsia" w:hAnsi="Times New Roman" w:cs="Times New Roman"/>
          <w:sz w:val="24"/>
          <w:szCs w:val="24"/>
        </w:rPr>
        <w:t>58</w:t>
      </w:r>
      <w:r w:rsidRPr="003A42FB">
        <w:rPr>
          <w:rFonts w:ascii="Times New Roman" w:eastAsiaTheme="minorEastAsia" w:hAnsi="Times New Roman" w:cs="Times New Roman"/>
          <w:sz w:val="24"/>
          <w:szCs w:val="24"/>
        </w:rPr>
        <w:t xml:space="preserve"> </w:t>
      </w:r>
      <w:r w:rsidR="6808FFBD"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oraz przepisy rozporządzenia, wydawanego na podstawie </w:t>
      </w:r>
      <w:r w:rsidR="063D4BD2" w:rsidRPr="003A42FB">
        <w:rPr>
          <w:rFonts w:ascii="Times New Roman" w:eastAsiaTheme="minorEastAsia" w:hAnsi="Times New Roman" w:cs="Times New Roman"/>
          <w:sz w:val="24"/>
          <w:szCs w:val="24"/>
        </w:rPr>
        <w:t xml:space="preserve">art. </w:t>
      </w:r>
      <w:r w:rsidR="008235FF" w:rsidRPr="003A42FB">
        <w:rPr>
          <w:rFonts w:ascii="Times New Roman" w:eastAsiaTheme="minorEastAsia" w:hAnsi="Times New Roman" w:cs="Times New Roman"/>
          <w:sz w:val="24"/>
          <w:szCs w:val="24"/>
        </w:rPr>
        <w:t>2</w:t>
      </w:r>
      <w:r w:rsidR="008235FF">
        <w:rPr>
          <w:rFonts w:ascii="Times New Roman" w:eastAsiaTheme="minorEastAsia" w:hAnsi="Times New Roman" w:cs="Times New Roman"/>
          <w:sz w:val="24"/>
          <w:szCs w:val="24"/>
        </w:rPr>
        <w:t>55</w:t>
      </w:r>
      <w:r w:rsidRPr="003A42FB">
        <w:rPr>
          <w:rFonts w:ascii="Times New Roman" w:eastAsiaTheme="minorEastAsia" w:hAnsi="Times New Roman" w:cs="Times New Roman"/>
          <w:sz w:val="24"/>
          <w:szCs w:val="24"/>
          <w:lang w:eastAsia="pl-PL"/>
        </w:rPr>
        <w:t>.</w:t>
      </w:r>
      <w:r w:rsidR="3424480E" w:rsidRPr="003A42FB">
        <w:rPr>
          <w:rFonts w:ascii="Times New Roman" w:eastAsiaTheme="minorEastAsia" w:hAnsi="Times New Roman" w:cs="Times New Roman"/>
          <w:sz w:val="24"/>
          <w:szCs w:val="24"/>
          <w:lang w:eastAsia="pl-PL"/>
        </w:rPr>
        <w:t xml:space="preserve"> W P</w:t>
      </w:r>
      <w:r w:rsidR="06908D43" w:rsidRPr="003A42FB">
        <w:rPr>
          <w:rFonts w:ascii="Times New Roman" w:eastAsiaTheme="minorEastAsia" w:hAnsi="Times New Roman" w:cs="Times New Roman"/>
          <w:sz w:val="24"/>
          <w:szCs w:val="24"/>
          <w:lang w:eastAsia="pl-PL"/>
        </w:rPr>
        <w:t>t</w:t>
      </w:r>
      <w:r w:rsidR="3424480E" w:rsidRPr="003A42FB">
        <w:rPr>
          <w:rFonts w:ascii="Times New Roman" w:eastAsiaTheme="minorEastAsia" w:hAnsi="Times New Roman" w:cs="Times New Roman"/>
          <w:sz w:val="24"/>
          <w:szCs w:val="24"/>
          <w:lang w:eastAsia="pl-PL"/>
        </w:rPr>
        <w:t xml:space="preserve"> ta metoda była regulowana w art. 39.</w:t>
      </w:r>
    </w:p>
    <w:p w14:paraId="33DA4522" w14:textId="461BBF84" w:rsidR="00A04D10" w:rsidRPr="003A42FB" w:rsidRDefault="403A77E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decyzji nakładającej ten obowiązek, </w:t>
      </w:r>
      <w:r w:rsidRPr="003A42FB">
        <w:rPr>
          <w:rFonts w:ascii="Times New Roman" w:eastAsiaTheme="minorEastAsia" w:hAnsi="Times New Roman" w:cs="Times New Roman"/>
          <w:sz w:val="24"/>
          <w:szCs w:val="24"/>
          <w:lang w:eastAsia="pl-PL"/>
        </w:rPr>
        <w:t xml:space="preserve">Prezes UKE wskazuje </w:t>
      </w:r>
      <w:r w:rsidR="7B9E4A9C" w:rsidRPr="003A42FB">
        <w:rPr>
          <w:rFonts w:ascii="Times New Roman" w:eastAsiaTheme="minorEastAsia" w:hAnsi="Times New Roman" w:cs="Times New Roman"/>
          <w:sz w:val="24"/>
          <w:szCs w:val="24"/>
          <w:lang w:eastAsia="pl-PL"/>
        </w:rPr>
        <w:t>przedsiębiorcy komunikacji elektronicznej</w:t>
      </w:r>
      <w:r w:rsidRPr="003A42FB">
        <w:rPr>
          <w:rFonts w:ascii="Times New Roman" w:eastAsiaTheme="minorEastAsia" w:hAnsi="Times New Roman" w:cs="Times New Roman"/>
          <w:sz w:val="24"/>
          <w:szCs w:val="24"/>
          <w:lang w:eastAsia="pl-PL"/>
        </w:rPr>
        <w:t xml:space="preserve"> sposób kalkulacji kosztów spośród wymienionych w rozporządzeniu, o którym mowa w art. </w:t>
      </w:r>
      <w:r w:rsidR="008235FF" w:rsidRPr="003A42FB">
        <w:rPr>
          <w:rFonts w:ascii="Times New Roman" w:eastAsiaTheme="minorEastAsia" w:hAnsi="Times New Roman" w:cs="Times New Roman"/>
          <w:sz w:val="24"/>
          <w:szCs w:val="24"/>
          <w:lang w:eastAsia="pl-PL"/>
        </w:rPr>
        <w:t>2</w:t>
      </w:r>
      <w:r w:rsidR="008235FF">
        <w:rPr>
          <w:rFonts w:ascii="Times New Roman" w:eastAsiaTheme="minorEastAsia" w:hAnsi="Times New Roman" w:cs="Times New Roman"/>
          <w:sz w:val="24"/>
          <w:szCs w:val="24"/>
          <w:lang w:eastAsia="pl-PL"/>
        </w:rPr>
        <w:t>55</w:t>
      </w:r>
      <w:r w:rsidRPr="003A42FB">
        <w:rPr>
          <w:rFonts w:ascii="Times New Roman" w:eastAsiaTheme="minorEastAsia" w:hAnsi="Times New Roman" w:cs="Times New Roman"/>
          <w:sz w:val="24"/>
          <w:szCs w:val="24"/>
          <w:lang w:eastAsia="pl-PL"/>
        </w:rPr>
        <w:t xml:space="preserve"> oraz sposoby ustalania opłat, które będzie stosował w przypadkach, </w:t>
      </w:r>
      <w:r w:rsidR="005574A1" w:rsidRPr="003A42FB">
        <w:rPr>
          <w:rFonts w:ascii="Times New Roman" w:eastAsiaTheme="minorEastAsia" w:hAnsi="Times New Roman" w:cs="Times New Roman"/>
          <w:sz w:val="24"/>
          <w:szCs w:val="24"/>
          <w:lang w:eastAsia="pl-PL"/>
        </w:rPr>
        <w:t xml:space="preserve">o </w:t>
      </w:r>
      <w:r w:rsidRPr="003A42FB">
        <w:rPr>
          <w:rFonts w:ascii="Times New Roman" w:eastAsiaTheme="minorEastAsia" w:hAnsi="Times New Roman" w:cs="Times New Roman"/>
          <w:sz w:val="24"/>
          <w:szCs w:val="24"/>
          <w:lang w:eastAsia="pl-PL"/>
        </w:rPr>
        <w:t xml:space="preserve">których mowa w art. </w:t>
      </w:r>
      <w:r w:rsidR="008235FF">
        <w:rPr>
          <w:rFonts w:ascii="Times New Roman" w:eastAsiaTheme="minorEastAsia" w:hAnsi="Times New Roman" w:cs="Times New Roman"/>
          <w:sz w:val="24"/>
          <w:szCs w:val="24"/>
          <w:lang w:eastAsia="pl-PL"/>
        </w:rPr>
        <w:t xml:space="preserve"> 217 </w:t>
      </w:r>
      <w:r w:rsidRPr="003A42FB">
        <w:rPr>
          <w:rFonts w:ascii="Times New Roman" w:eastAsiaTheme="minorEastAsia" w:hAnsi="Times New Roman" w:cs="Times New Roman"/>
          <w:sz w:val="24"/>
          <w:szCs w:val="24"/>
          <w:lang w:eastAsia="pl-PL"/>
        </w:rPr>
        <w:t>ust.</w:t>
      </w:r>
      <w:r w:rsidR="057DF84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5.</w:t>
      </w:r>
      <w:r w:rsidRPr="003A42FB">
        <w:rPr>
          <w:rFonts w:ascii="Times New Roman" w:eastAsiaTheme="minorEastAsia" w:hAnsi="Times New Roman" w:cs="Times New Roman"/>
          <w:sz w:val="24"/>
          <w:szCs w:val="24"/>
        </w:rPr>
        <w:t xml:space="preserve"> Powyższe sposoby ustalania opłat nie są sprecyzowane w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i wynikają z aktualnej praktyki w innych krajach UE oraz zaleceń Komisji Europejskiej. </w:t>
      </w:r>
      <w:r w:rsidR="4A00D173" w:rsidRPr="003A42FB">
        <w:rPr>
          <w:rFonts w:ascii="Times New Roman" w:eastAsiaTheme="minorEastAsia" w:hAnsi="Times New Roman" w:cs="Times New Roman"/>
          <w:sz w:val="24"/>
          <w:szCs w:val="24"/>
        </w:rPr>
        <w:t>Przykładami takich sposobów są</w:t>
      </w:r>
      <w:r w:rsidRPr="003A42FB">
        <w:rPr>
          <w:rFonts w:ascii="Times New Roman" w:eastAsiaTheme="minorEastAsia" w:hAnsi="Times New Roman" w:cs="Times New Roman"/>
          <w:sz w:val="24"/>
          <w:szCs w:val="24"/>
        </w:rPr>
        <w:t xml:space="preserve"> wykorzystanie przez organ regulacyjny w tym celu poziomu </w:t>
      </w:r>
      <w:r w:rsidRPr="003A42FB">
        <w:rPr>
          <w:rFonts w:ascii="Times New Roman" w:eastAsiaTheme="minorEastAsia" w:hAnsi="Times New Roman" w:cs="Times New Roman"/>
          <w:sz w:val="24"/>
          <w:szCs w:val="24"/>
          <w:lang w:eastAsia="pl-PL"/>
        </w:rPr>
        <w:t xml:space="preserve">opłat stosowanych na porównywalnych rynkach konkurencyjnych </w:t>
      </w:r>
      <w:r w:rsidR="7A80138A" w:rsidRPr="003A42FB">
        <w:rPr>
          <w:rFonts w:ascii="Times New Roman" w:eastAsiaTheme="minorEastAsia" w:hAnsi="Times New Roman" w:cs="Times New Roman"/>
          <w:sz w:val="24"/>
          <w:szCs w:val="24"/>
          <w:lang w:eastAsia="pl-PL"/>
        </w:rPr>
        <w:t xml:space="preserve">lub regulowanych </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i/>
          <w:iCs/>
          <w:sz w:val="24"/>
          <w:szCs w:val="24"/>
        </w:rPr>
        <w:t>benchmarking</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lang w:eastAsia="pl-PL"/>
        </w:rPr>
        <w:t>, metoda ta jest zapisana w Dyrektywie w art. 74 ust.</w:t>
      </w:r>
      <w:r w:rsidR="057DF84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2</w:t>
      </w:r>
      <w:r w:rsidRPr="003A42FB">
        <w:rPr>
          <w:rFonts w:ascii="Times New Roman" w:eastAsiaTheme="minorEastAsia" w:hAnsi="Times New Roman" w:cs="Times New Roman"/>
          <w:sz w:val="24"/>
          <w:szCs w:val="24"/>
        </w:rPr>
        <w:t xml:space="preserve">, </w:t>
      </w:r>
      <w:r w:rsidR="3C30F71B" w:rsidRPr="003A42FB">
        <w:rPr>
          <w:rFonts w:ascii="Times New Roman" w:eastAsiaTheme="minorEastAsia" w:hAnsi="Times New Roman" w:cs="Times New Roman"/>
          <w:sz w:val="24"/>
          <w:szCs w:val="24"/>
        </w:rPr>
        <w:t xml:space="preserve">oraz </w:t>
      </w:r>
      <w:r w:rsidRPr="003A42FB">
        <w:rPr>
          <w:rFonts w:ascii="Times New Roman" w:eastAsiaTheme="minorEastAsia" w:hAnsi="Times New Roman" w:cs="Times New Roman"/>
          <w:sz w:val="24"/>
          <w:szCs w:val="24"/>
        </w:rPr>
        <w:t>metod</w:t>
      </w:r>
      <w:r w:rsidR="49AD96C6"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w:t>
      </w:r>
      <w:r w:rsidR="009C79FC" w:rsidRPr="003A42FB">
        <w:rPr>
          <w:rFonts w:ascii="Times New Roman" w:eastAsiaTheme="minorEastAsia" w:hAnsi="Times New Roman" w:cs="Times New Roman"/>
          <w:sz w:val="24"/>
          <w:szCs w:val="24"/>
        </w:rPr>
        <w:t xml:space="preserve">cena detaliczna </w:t>
      </w:r>
      <w:r w:rsidRPr="003A42FB">
        <w:rPr>
          <w:rFonts w:ascii="Times New Roman" w:eastAsiaTheme="minorEastAsia" w:hAnsi="Times New Roman" w:cs="Times New Roman"/>
          <w:sz w:val="24"/>
          <w:szCs w:val="24"/>
        </w:rPr>
        <w:t>minus" (</w:t>
      </w:r>
      <w:r w:rsidRPr="003A42FB">
        <w:rPr>
          <w:rFonts w:ascii="Times New Roman" w:eastAsiaTheme="minorEastAsia" w:hAnsi="Times New Roman" w:cs="Times New Roman"/>
          <w:i/>
          <w:iCs/>
          <w:sz w:val="24"/>
          <w:szCs w:val="24"/>
        </w:rPr>
        <w:t>retail minus</w:t>
      </w:r>
      <w:r w:rsidRPr="003A42FB">
        <w:rPr>
          <w:rFonts w:ascii="Times New Roman" w:eastAsiaTheme="minorEastAsia" w:hAnsi="Times New Roman" w:cs="Times New Roman"/>
          <w:sz w:val="24"/>
          <w:szCs w:val="24"/>
        </w:rPr>
        <w:t xml:space="preserve">), </w:t>
      </w:r>
      <w:r w:rsidR="4070E8A7" w:rsidRPr="003A42FB">
        <w:rPr>
          <w:rFonts w:ascii="Times New Roman" w:eastAsiaTheme="minorEastAsia" w:hAnsi="Times New Roman" w:cs="Times New Roman"/>
          <w:sz w:val="24"/>
          <w:szCs w:val="24"/>
        </w:rPr>
        <w:t xml:space="preserve">stosowana </w:t>
      </w:r>
      <w:r w:rsidRPr="003A42FB">
        <w:rPr>
          <w:rFonts w:ascii="Times New Roman" w:eastAsiaTheme="minorEastAsia" w:hAnsi="Times New Roman" w:cs="Times New Roman"/>
          <w:sz w:val="24"/>
          <w:szCs w:val="24"/>
        </w:rPr>
        <w:t>szczególnie w przypadku konkurencyjnego rynku detalicznego.</w:t>
      </w:r>
    </w:p>
    <w:p w14:paraId="21ADE127" w14:textId="3B70EC1E" w:rsidR="00A04D10"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Metoda wskazana w pkt 2 w ust. 1 jest metodą mniej restrykcyjnej kontroli opłat w stosunku do metody z pkt 1. </w:t>
      </w:r>
      <w:r w:rsidR="50A230EB" w:rsidRPr="003A42FB">
        <w:rPr>
          <w:rFonts w:ascii="Times New Roman" w:eastAsiaTheme="minorEastAsia" w:hAnsi="Times New Roman" w:cs="Times New Roman"/>
          <w:sz w:val="24"/>
          <w:szCs w:val="24"/>
          <w:lang w:eastAsia="pl-PL"/>
        </w:rPr>
        <w:t>W obecnym P</w:t>
      </w:r>
      <w:r w:rsidR="747ED669" w:rsidRPr="003A42FB">
        <w:rPr>
          <w:rFonts w:ascii="Times New Roman" w:eastAsiaTheme="minorEastAsia" w:hAnsi="Times New Roman" w:cs="Times New Roman"/>
          <w:sz w:val="24"/>
          <w:szCs w:val="24"/>
          <w:lang w:eastAsia="pl-PL"/>
        </w:rPr>
        <w:t xml:space="preserve">t </w:t>
      </w:r>
      <w:r w:rsidR="50A230EB" w:rsidRPr="003A42FB">
        <w:rPr>
          <w:rFonts w:ascii="Times New Roman" w:eastAsiaTheme="minorEastAsia" w:hAnsi="Times New Roman" w:cs="Times New Roman"/>
          <w:sz w:val="24"/>
          <w:szCs w:val="24"/>
          <w:lang w:eastAsia="pl-PL"/>
        </w:rPr>
        <w:t>ta metoda była regulowana w art. 40.</w:t>
      </w:r>
      <w:r w:rsidR="50A230EB"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Prezes UKE nakłada na </w:t>
      </w:r>
      <w:r w:rsidR="2D7FA2E4" w:rsidRPr="003A42FB">
        <w:rPr>
          <w:rFonts w:ascii="Times New Roman" w:eastAsiaTheme="minorEastAsia" w:hAnsi="Times New Roman" w:cs="Times New Roman"/>
          <w:sz w:val="24"/>
          <w:szCs w:val="24"/>
        </w:rPr>
        <w:t>przedsiębiorcę komunikacji elektronicznej</w:t>
      </w:r>
      <w:r w:rsidRPr="003A42FB">
        <w:rPr>
          <w:rFonts w:ascii="Times New Roman" w:eastAsiaTheme="minorEastAsia" w:hAnsi="Times New Roman" w:cs="Times New Roman"/>
          <w:sz w:val="24"/>
          <w:szCs w:val="24"/>
        </w:rPr>
        <w:t xml:space="preserve"> o znaczącej pozycji rynkowej obowiązek </w:t>
      </w:r>
      <w:r w:rsidRPr="003A42FB">
        <w:rPr>
          <w:rFonts w:ascii="Times New Roman" w:eastAsiaTheme="minorEastAsia" w:hAnsi="Times New Roman" w:cs="Times New Roman"/>
          <w:sz w:val="24"/>
          <w:szCs w:val="24"/>
          <w:lang w:eastAsia="pl-PL"/>
        </w:rPr>
        <w:t>stosowania opłat z tytułu dostępu</w:t>
      </w:r>
      <w:r w:rsidR="003C4B3C" w:rsidRPr="003A42FB">
        <w:rPr>
          <w:rFonts w:ascii="Times New Roman" w:eastAsiaTheme="minorEastAsia" w:hAnsi="Times New Roman" w:cs="Times New Roman"/>
          <w:sz w:val="24"/>
          <w:szCs w:val="24"/>
          <w:lang w:eastAsia="pl-PL"/>
        </w:rPr>
        <w:t xml:space="preserve"> telekomunikacyjnego</w:t>
      </w:r>
      <w:r w:rsidRPr="003A42FB">
        <w:rPr>
          <w:rFonts w:ascii="Times New Roman" w:eastAsiaTheme="minorEastAsia" w:hAnsi="Times New Roman" w:cs="Times New Roman"/>
          <w:sz w:val="24"/>
          <w:szCs w:val="24"/>
          <w:lang w:eastAsia="pl-PL"/>
        </w:rPr>
        <w:t>, w oparciu o koszty, które ponosi</w:t>
      </w:r>
      <w:r w:rsidR="3CC25C2A" w:rsidRPr="003A42FB">
        <w:rPr>
          <w:rFonts w:ascii="Times New Roman" w:eastAsiaTheme="minorEastAsia" w:hAnsi="Times New Roman" w:cs="Times New Roman"/>
          <w:sz w:val="24"/>
          <w:szCs w:val="24"/>
          <w:lang w:eastAsia="pl-PL"/>
        </w:rPr>
        <w:t xml:space="preserve"> przedsiębiorca</w:t>
      </w:r>
      <w:r w:rsidRPr="003A42FB">
        <w:rPr>
          <w:rFonts w:ascii="Times New Roman" w:eastAsiaTheme="minorEastAsia" w:hAnsi="Times New Roman" w:cs="Times New Roman"/>
          <w:sz w:val="24"/>
          <w:szCs w:val="24"/>
          <w:lang w:eastAsia="pl-PL"/>
        </w:rPr>
        <w:t>, wskazując jednocześnie</w:t>
      </w:r>
      <w:r w:rsidRPr="003A42FB">
        <w:rPr>
          <w:rFonts w:ascii="Times New Roman" w:eastAsiaTheme="minorEastAsia" w:hAnsi="Times New Roman" w:cs="Times New Roman"/>
          <w:sz w:val="24"/>
          <w:szCs w:val="24"/>
        </w:rPr>
        <w:t xml:space="preserve"> sposoby weryfikacji i ustalania opłat. Powyższe </w:t>
      </w:r>
      <w:r w:rsidRPr="003A42FB">
        <w:rPr>
          <w:rFonts w:ascii="Times New Roman" w:eastAsiaTheme="minorEastAsia" w:hAnsi="Times New Roman" w:cs="Times New Roman"/>
          <w:sz w:val="24"/>
          <w:szCs w:val="24"/>
        </w:rPr>
        <w:lastRenderedPageBreak/>
        <w:t>sposoby, analogicznie jak w pkt 1 nie są sprecyzowane w ustawie i wynikają z aktualnej praktyki w innych krajach UE oraz zaleceń Komisji Europejskiej.</w:t>
      </w:r>
    </w:p>
    <w:p w14:paraId="5225FC36" w14:textId="318EFBBA" w:rsidR="00A04D10" w:rsidRPr="003A42FB" w:rsidRDefault="00A04D10"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Inaczej niż w przypadku obowiązku z pkt 1 w ust. 1, </w:t>
      </w:r>
      <w:r w:rsidR="0E4423AB" w:rsidRPr="003A42FB">
        <w:rPr>
          <w:rFonts w:ascii="Times New Roman" w:eastAsiaTheme="minorEastAsia" w:hAnsi="Times New Roman" w:cs="Times New Roman"/>
          <w:sz w:val="24"/>
          <w:szCs w:val="24"/>
        </w:rPr>
        <w:t>przedsiębiorca</w:t>
      </w:r>
      <w:r w:rsidRPr="003A42FB">
        <w:rPr>
          <w:rFonts w:ascii="Times New Roman" w:eastAsiaTheme="minorEastAsia" w:hAnsi="Times New Roman" w:cs="Times New Roman"/>
          <w:sz w:val="24"/>
          <w:szCs w:val="24"/>
        </w:rPr>
        <w:t xml:space="preserve"> ma sam możliwość wyboru sposobu wyliczenia </w:t>
      </w:r>
      <w:r w:rsidRPr="003A42FB">
        <w:rPr>
          <w:rFonts w:ascii="Times New Roman" w:eastAsiaTheme="minorEastAsia" w:hAnsi="Times New Roman" w:cs="Times New Roman"/>
          <w:sz w:val="24"/>
          <w:szCs w:val="24"/>
          <w:lang w:eastAsia="pl-PL"/>
        </w:rPr>
        <w:t xml:space="preserve">kosztów, może w tym celu skorzystać ze sposobów kalkulacji kosztów wskazanych w </w:t>
      </w:r>
      <w:r w:rsidRPr="003A42FB">
        <w:rPr>
          <w:rFonts w:ascii="Times New Roman" w:eastAsiaTheme="minorEastAsia" w:hAnsi="Times New Roman" w:cs="Times New Roman"/>
          <w:sz w:val="24"/>
          <w:szCs w:val="24"/>
        </w:rPr>
        <w:t xml:space="preserve">rozporządzeniu, wydawanym na podstawie </w:t>
      </w:r>
      <w:r w:rsidR="2589C17C" w:rsidRPr="003A42FB">
        <w:rPr>
          <w:rFonts w:ascii="Times New Roman" w:eastAsiaTheme="minorEastAsia" w:hAnsi="Times New Roman" w:cs="Times New Roman"/>
          <w:sz w:val="24"/>
          <w:szCs w:val="24"/>
        </w:rPr>
        <w:t xml:space="preserve">art. </w:t>
      </w:r>
      <w:r w:rsidR="008235FF" w:rsidRPr="003A42FB">
        <w:rPr>
          <w:rFonts w:ascii="Times New Roman" w:eastAsiaTheme="minorEastAsia" w:hAnsi="Times New Roman" w:cs="Times New Roman"/>
          <w:sz w:val="24"/>
          <w:szCs w:val="24"/>
        </w:rPr>
        <w:t>2</w:t>
      </w:r>
      <w:r w:rsidR="008235FF">
        <w:rPr>
          <w:rFonts w:ascii="Times New Roman" w:eastAsiaTheme="minorEastAsia" w:hAnsi="Times New Roman" w:cs="Times New Roman"/>
          <w:sz w:val="24"/>
          <w:szCs w:val="24"/>
        </w:rPr>
        <w:t>55</w:t>
      </w:r>
      <w:r w:rsidRPr="003A42FB">
        <w:rPr>
          <w:rFonts w:ascii="Times New Roman" w:eastAsiaTheme="minorEastAsia" w:hAnsi="Times New Roman" w:cs="Times New Roman"/>
          <w:sz w:val="24"/>
          <w:szCs w:val="24"/>
          <w:lang w:eastAsia="pl-PL"/>
        </w:rPr>
        <w:t>.</w:t>
      </w:r>
    </w:p>
    <w:p w14:paraId="23944789" w14:textId="761F19AF" w:rsidR="00A04D10" w:rsidRPr="003A42FB" w:rsidRDefault="00A04D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Metoda wskazana w pkt 3 w ust. 1</w:t>
      </w:r>
      <w:r w:rsidR="117C629F" w:rsidRPr="003A42FB">
        <w:rPr>
          <w:rFonts w:ascii="Times New Roman" w:eastAsiaTheme="minorEastAsia" w:hAnsi="Times New Roman" w:cs="Times New Roman"/>
          <w:sz w:val="24"/>
          <w:szCs w:val="24"/>
        </w:rPr>
        <w:t>, która jest nową regulacją,</w:t>
      </w:r>
      <w:r w:rsidR="00332150"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nakłada na </w:t>
      </w:r>
      <w:r w:rsidR="0A733637" w:rsidRPr="003A42FB">
        <w:rPr>
          <w:rFonts w:ascii="Times New Roman" w:eastAsiaTheme="minorEastAsia" w:hAnsi="Times New Roman" w:cs="Times New Roman"/>
          <w:sz w:val="24"/>
          <w:szCs w:val="24"/>
        </w:rPr>
        <w:t>przedsiębiorcę komunikacji elektronicznej</w:t>
      </w:r>
      <w:r w:rsidRPr="003A42FB">
        <w:rPr>
          <w:rFonts w:ascii="Times New Roman" w:eastAsiaTheme="minorEastAsia" w:hAnsi="Times New Roman" w:cs="Times New Roman"/>
          <w:sz w:val="24"/>
          <w:szCs w:val="24"/>
        </w:rPr>
        <w:t xml:space="preserve"> obowiązek </w:t>
      </w:r>
      <w:r w:rsidRPr="003A42FB">
        <w:rPr>
          <w:rFonts w:ascii="Times New Roman" w:eastAsiaTheme="minorEastAsia" w:hAnsi="Times New Roman" w:cs="Times New Roman"/>
          <w:sz w:val="24"/>
          <w:szCs w:val="24"/>
          <w:lang w:eastAsia="pl-PL"/>
        </w:rPr>
        <w:t xml:space="preserve">stosowania opłat z tytułu dostępu </w:t>
      </w:r>
      <w:r w:rsidR="003C4B3C" w:rsidRPr="003A42FB">
        <w:rPr>
          <w:rFonts w:ascii="Times New Roman" w:eastAsiaTheme="minorEastAsia" w:hAnsi="Times New Roman" w:cs="Times New Roman"/>
          <w:sz w:val="24"/>
          <w:szCs w:val="24"/>
          <w:lang w:eastAsia="pl-PL"/>
        </w:rPr>
        <w:t xml:space="preserve">telekomunikacyjnego </w:t>
      </w:r>
      <w:r w:rsidRPr="003A42FB">
        <w:rPr>
          <w:rFonts w:ascii="Times New Roman" w:eastAsiaTheme="minorEastAsia" w:hAnsi="Times New Roman" w:cs="Times New Roman"/>
          <w:sz w:val="24"/>
          <w:szCs w:val="24"/>
          <w:lang w:eastAsia="pl-PL"/>
        </w:rPr>
        <w:t>w wysokości określonej przez Prezesa UKE</w:t>
      </w:r>
      <w:r w:rsidR="05B82028" w:rsidRPr="003A42FB">
        <w:rPr>
          <w:rFonts w:ascii="Times New Roman" w:eastAsiaTheme="minorEastAsia" w:hAnsi="Times New Roman" w:cs="Times New Roman"/>
          <w:sz w:val="24"/>
          <w:szCs w:val="24"/>
          <w:lang w:eastAsia="pl-PL"/>
        </w:rPr>
        <w:t xml:space="preserve">. Art. 74 </w:t>
      </w:r>
      <w:r w:rsidR="00BF4A1D" w:rsidRPr="003A42FB">
        <w:rPr>
          <w:rFonts w:ascii="Times New Roman" w:eastAsiaTheme="minorEastAsia" w:hAnsi="Times New Roman" w:cs="Times New Roman"/>
          <w:sz w:val="24"/>
          <w:szCs w:val="24"/>
          <w:lang w:eastAsia="pl-PL"/>
        </w:rPr>
        <w:t xml:space="preserve">EKŁE </w:t>
      </w:r>
      <w:r w:rsidR="1ADB389C" w:rsidRPr="003A42FB">
        <w:rPr>
          <w:rFonts w:ascii="Times New Roman" w:eastAsiaTheme="minorEastAsia" w:hAnsi="Times New Roman" w:cs="Times New Roman"/>
          <w:sz w:val="24"/>
          <w:szCs w:val="24"/>
          <w:lang w:eastAsia="pl-PL"/>
        </w:rPr>
        <w:t>opisuje</w:t>
      </w:r>
      <w:r w:rsidR="05B82028" w:rsidRPr="003A42FB">
        <w:rPr>
          <w:rFonts w:ascii="Times New Roman" w:eastAsiaTheme="minorEastAsia" w:hAnsi="Times New Roman" w:cs="Times New Roman"/>
          <w:sz w:val="24"/>
          <w:szCs w:val="24"/>
          <w:lang w:eastAsia="pl-PL"/>
        </w:rPr>
        <w:t xml:space="preserve"> dwa sposoby ustalania </w:t>
      </w:r>
      <w:r w:rsidR="13AA9316" w:rsidRPr="003A42FB">
        <w:rPr>
          <w:rFonts w:ascii="Times New Roman" w:eastAsiaTheme="minorEastAsia" w:hAnsi="Times New Roman" w:cs="Times New Roman"/>
          <w:sz w:val="24"/>
          <w:szCs w:val="24"/>
          <w:lang w:eastAsia="pl-PL"/>
        </w:rPr>
        <w:t>cen (</w:t>
      </w:r>
      <w:r w:rsidR="05B82028" w:rsidRPr="003A42FB">
        <w:rPr>
          <w:rFonts w:ascii="Times New Roman" w:eastAsiaTheme="minorEastAsia" w:hAnsi="Times New Roman" w:cs="Times New Roman"/>
          <w:sz w:val="24"/>
          <w:szCs w:val="24"/>
          <w:lang w:eastAsia="pl-PL"/>
        </w:rPr>
        <w:t>opł</w:t>
      </w:r>
      <w:r w:rsidR="1869A19F" w:rsidRPr="003A42FB">
        <w:rPr>
          <w:rFonts w:ascii="Times New Roman" w:eastAsiaTheme="minorEastAsia" w:hAnsi="Times New Roman" w:cs="Times New Roman"/>
          <w:sz w:val="24"/>
          <w:szCs w:val="24"/>
          <w:lang w:eastAsia="pl-PL"/>
        </w:rPr>
        <w:t>a</w:t>
      </w:r>
      <w:r w:rsidR="05B82028" w:rsidRPr="003A42FB">
        <w:rPr>
          <w:rFonts w:ascii="Times New Roman" w:eastAsiaTheme="minorEastAsia" w:hAnsi="Times New Roman" w:cs="Times New Roman"/>
          <w:sz w:val="24"/>
          <w:szCs w:val="24"/>
          <w:lang w:eastAsia="pl-PL"/>
        </w:rPr>
        <w:t>t</w:t>
      </w:r>
      <w:r w:rsidR="27B78174" w:rsidRPr="003A42FB">
        <w:rPr>
          <w:rFonts w:ascii="Times New Roman" w:eastAsiaTheme="minorEastAsia" w:hAnsi="Times New Roman" w:cs="Times New Roman"/>
          <w:sz w:val="24"/>
          <w:szCs w:val="24"/>
          <w:lang w:eastAsia="pl-PL"/>
        </w:rPr>
        <w:t>)</w:t>
      </w:r>
      <w:r w:rsidR="05B82028" w:rsidRPr="003A42FB">
        <w:rPr>
          <w:rFonts w:ascii="Times New Roman" w:eastAsiaTheme="minorEastAsia" w:hAnsi="Times New Roman" w:cs="Times New Roman"/>
          <w:sz w:val="24"/>
          <w:szCs w:val="24"/>
          <w:lang w:eastAsia="pl-PL"/>
        </w:rPr>
        <w:t xml:space="preserve">, jednakże </w:t>
      </w:r>
      <w:r w:rsidR="56890336" w:rsidRPr="003A42FB">
        <w:rPr>
          <w:rFonts w:ascii="Times New Roman" w:eastAsiaTheme="minorEastAsia" w:hAnsi="Times New Roman" w:cs="Times New Roman"/>
          <w:sz w:val="24"/>
          <w:szCs w:val="24"/>
          <w:lang w:eastAsia="pl-PL"/>
        </w:rPr>
        <w:t>pierwsze zdanie tego artykułu, szczególnie poprzez użycie wy</w:t>
      </w:r>
      <w:r w:rsidR="755EBD5A" w:rsidRPr="003A42FB">
        <w:rPr>
          <w:rFonts w:ascii="Times New Roman" w:eastAsiaTheme="minorEastAsia" w:hAnsi="Times New Roman" w:cs="Times New Roman"/>
          <w:sz w:val="24"/>
          <w:szCs w:val="24"/>
          <w:lang w:eastAsia="pl-PL"/>
        </w:rPr>
        <w:t xml:space="preserve">rażenia “w tym” </w:t>
      </w:r>
      <w:r w:rsidR="56890336" w:rsidRPr="003A42FB">
        <w:rPr>
          <w:rFonts w:ascii="Times New Roman" w:eastAsiaTheme="minorEastAsia" w:hAnsi="Times New Roman" w:cs="Times New Roman"/>
          <w:sz w:val="24"/>
          <w:szCs w:val="24"/>
          <w:lang w:eastAsia="pl-PL"/>
        </w:rPr>
        <w:t xml:space="preserve">wyraźnie wskazuje, że </w:t>
      </w:r>
      <w:r w:rsidR="12B47022" w:rsidRPr="003A42FB">
        <w:rPr>
          <w:rFonts w:ascii="Times New Roman" w:eastAsiaTheme="minorEastAsia" w:hAnsi="Times New Roman" w:cs="Times New Roman"/>
          <w:sz w:val="24"/>
          <w:szCs w:val="24"/>
          <w:lang w:eastAsia="pl-PL"/>
        </w:rPr>
        <w:t xml:space="preserve">katalog sposobów ustalania </w:t>
      </w:r>
      <w:r w:rsidR="1DCC9FD5" w:rsidRPr="003A42FB">
        <w:rPr>
          <w:rFonts w:ascii="Times New Roman" w:eastAsiaTheme="minorEastAsia" w:hAnsi="Times New Roman" w:cs="Times New Roman"/>
          <w:sz w:val="24"/>
          <w:szCs w:val="24"/>
          <w:lang w:eastAsia="pl-PL"/>
        </w:rPr>
        <w:t>cen (</w:t>
      </w:r>
      <w:r w:rsidR="12B47022" w:rsidRPr="003A42FB">
        <w:rPr>
          <w:rFonts w:ascii="Times New Roman" w:eastAsiaTheme="minorEastAsia" w:hAnsi="Times New Roman" w:cs="Times New Roman"/>
          <w:sz w:val="24"/>
          <w:szCs w:val="24"/>
          <w:lang w:eastAsia="pl-PL"/>
        </w:rPr>
        <w:t>opłat</w:t>
      </w:r>
      <w:r w:rsidR="5EA8EDFC" w:rsidRPr="003A42FB">
        <w:rPr>
          <w:rFonts w:ascii="Times New Roman" w:eastAsiaTheme="minorEastAsia" w:hAnsi="Times New Roman" w:cs="Times New Roman"/>
          <w:sz w:val="24"/>
          <w:szCs w:val="24"/>
          <w:lang w:eastAsia="pl-PL"/>
        </w:rPr>
        <w:t>)</w:t>
      </w:r>
      <w:r w:rsidR="12B47022" w:rsidRPr="003A42FB">
        <w:rPr>
          <w:rFonts w:ascii="Times New Roman" w:eastAsiaTheme="minorEastAsia" w:hAnsi="Times New Roman" w:cs="Times New Roman"/>
          <w:sz w:val="24"/>
          <w:szCs w:val="24"/>
          <w:lang w:eastAsia="pl-PL"/>
        </w:rPr>
        <w:t xml:space="preserve"> jest otwarty</w:t>
      </w:r>
      <w:r w:rsidR="7F4B7763" w:rsidRPr="003A42FB">
        <w:rPr>
          <w:rFonts w:ascii="Times New Roman" w:eastAsiaTheme="minorEastAsia" w:hAnsi="Times New Roman" w:cs="Times New Roman"/>
          <w:sz w:val="24"/>
          <w:szCs w:val="24"/>
          <w:lang w:eastAsia="pl-PL"/>
        </w:rPr>
        <w:t>. Potwierdzają to też zalecenia Komisj</w:t>
      </w:r>
      <w:r w:rsidR="7CDEC87A" w:rsidRPr="003A42FB">
        <w:rPr>
          <w:rFonts w:ascii="Times New Roman" w:eastAsiaTheme="minorEastAsia" w:hAnsi="Times New Roman" w:cs="Times New Roman"/>
          <w:sz w:val="24"/>
          <w:szCs w:val="24"/>
          <w:lang w:eastAsia="pl-PL"/>
        </w:rPr>
        <w:t xml:space="preserve">i Europejskiej, </w:t>
      </w:r>
      <w:r w:rsidR="680F4537" w:rsidRPr="003A42FB">
        <w:rPr>
          <w:rFonts w:ascii="Times New Roman" w:eastAsiaTheme="minorEastAsia" w:hAnsi="Times New Roman" w:cs="Times New Roman"/>
          <w:sz w:val="24"/>
          <w:szCs w:val="24"/>
          <w:lang w:eastAsia="pl-PL"/>
        </w:rPr>
        <w:t>w których</w:t>
      </w:r>
      <w:r w:rsidR="4EF8BF88" w:rsidRPr="003A42FB">
        <w:rPr>
          <w:rFonts w:ascii="Times New Roman" w:eastAsiaTheme="minorEastAsia" w:hAnsi="Times New Roman" w:cs="Times New Roman"/>
          <w:sz w:val="24"/>
          <w:szCs w:val="24"/>
          <w:lang w:eastAsia="pl-PL"/>
        </w:rPr>
        <w:t xml:space="preserve">, na podstawie przepisów ówcześnie </w:t>
      </w:r>
      <w:r w:rsidR="3694EF79" w:rsidRPr="003A42FB">
        <w:rPr>
          <w:rFonts w:ascii="Times New Roman" w:eastAsiaTheme="minorEastAsia" w:hAnsi="Times New Roman" w:cs="Times New Roman"/>
          <w:sz w:val="24"/>
          <w:szCs w:val="24"/>
          <w:lang w:eastAsia="pl-PL"/>
        </w:rPr>
        <w:t>obowiązujących</w:t>
      </w:r>
      <w:r w:rsidR="4EF8BF88" w:rsidRPr="003A42FB">
        <w:rPr>
          <w:rFonts w:ascii="Times New Roman" w:eastAsiaTheme="minorEastAsia" w:hAnsi="Times New Roman" w:cs="Times New Roman"/>
          <w:sz w:val="24"/>
          <w:szCs w:val="24"/>
          <w:lang w:eastAsia="pl-PL"/>
        </w:rPr>
        <w:t xml:space="preserve"> dyrektyw</w:t>
      </w:r>
      <w:r w:rsidR="3E808297" w:rsidRPr="003A42FB">
        <w:rPr>
          <w:rFonts w:ascii="Times New Roman" w:eastAsiaTheme="minorEastAsia" w:hAnsi="Times New Roman" w:cs="Times New Roman"/>
          <w:sz w:val="24"/>
          <w:szCs w:val="24"/>
          <w:lang w:eastAsia="pl-PL"/>
        </w:rPr>
        <w:t xml:space="preserve"> </w:t>
      </w:r>
      <w:r w:rsidR="32968A29" w:rsidRPr="003A42FB">
        <w:rPr>
          <w:rFonts w:ascii="Times New Roman" w:eastAsiaTheme="minorEastAsia" w:hAnsi="Times New Roman" w:cs="Times New Roman"/>
          <w:sz w:val="24"/>
          <w:szCs w:val="24"/>
          <w:lang w:eastAsia="pl-PL"/>
        </w:rPr>
        <w:t xml:space="preserve">będących </w:t>
      </w:r>
      <w:r w:rsidR="3E808297" w:rsidRPr="003A42FB">
        <w:rPr>
          <w:rFonts w:ascii="Times New Roman" w:eastAsiaTheme="minorEastAsia" w:hAnsi="Times New Roman" w:cs="Times New Roman"/>
          <w:sz w:val="24"/>
          <w:szCs w:val="24"/>
          <w:lang w:eastAsia="pl-PL"/>
        </w:rPr>
        <w:t>odpowiednik</w:t>
      </w:r>
      <w:r w:rsidR="73CAE671" w:rsidRPr="003A42FB">
        <w:rPr>
          <w:rFonts w:ascii="Times New Roman" w:eastAsiaTheme="minorEastAsia" w:hAnsi="Times New Roman" w:cs="Times New Roman"/>
          <w:sz w:val="24"/>
          <w:szCs w:val="24"/>
          <w:lang w:eastAsia="pl-PL"/>
        </w:rPr>
        <w:t>ami</w:t>
      </w:r>
      <w:r w:rsidR="3E808297" w:rsidRPr="003A42FB">
        <w:rPr>
          <w:rFonts w:ascii="Times New Roman" w:eastAsiaTheme="minorEastAsia" w:hAnsi="Times New Roman" w:cs="Times New Roman"/>
          <w:sz w:val="24"/>
          <w:szCs w:val="24"/>
          <w:lang w:eastAsia="pl-PL"/>
        </w:rPr>
        <w:t xml:space="preserve"> art. 74</w:t>
      </w:r>
      <w:r w:rsidR="3308C6AD" w:rsidRPr="003A42FB">
        <w:rPr>
          <w:rFonts w:ascii="Times New Roman" w:eastAsiaTheme="minorEastAsia" w:hAnsi="Times New Roman" w:cs="Times New Roman"/>
          <w:sz w:val="24"/>
          <w:szCs w:val="24"/>
          <w:lang w:eastAsia="pl-PL"/>
        </w:rPr>
        <w:t xml:space="preserve"> z </w:t>
      </w:r>
      <w:r w:rsidR="00BF4A1D" w:rsidRPr="003A42FB">
        <w:rPr>
          <w:rFonts w:ascii="Times New Roman" w:eastAsiaTheme="minorEastAsia" w:hAnsi="Times New Roman" w:cs="Times New Roman"/>
          <w:sz w:val="24"/>
          <w:szCs w:val="24"/>
          <w:lang w:eastAsia="pl-PL"/>
        </w:rPr>
        <w:t>EKŁE</w:t>
      </w:r>
      <w:r w:rsidR="3E808297" w:rsidRPr="003A42FB">
        <w:rPr>
          <w:rFonts w:ascii="Times New Roman" w:eastAsiaTheme="minorEastAsia" w:hAnsi="Times New Roman" w:cs="Times New Roman"/>
          <w:sz w:val="24"/>
          <w:szCs w:val="24"/>
          <w:lang w:eastAsia="pl-PL"/>
        </w:rPr>
        <w:t xml:space="preserve">, </w:t>
      </w:r>
      <w:r w:rsidR="3BE23A1A" w:rsidRPr="003A42FB">
        <w:rPr>
          <w:rFonts w:ascii="Times New Roman" w:eastAsiaTheme="minorEastAsia" w:hAnsi="Times New Roman" w:cs="Times New Roman"/>
          <w:sz w:val="24"/>
          <w:szCs w:val="24"/>
          <w:lang w:eastAsia="pl-PL"/>
        </w:rPr>
        <w:t xml:space="preserve">zalecano </w:t>
      </w:r>
      <w:r w:rsidR="08CC632B" w:rsidRPr="003A42FB">
        <w:rPr>
          <w:rFonts w:ascii="Times New Roman" w:eastAsiaTheme="minorEastAsia" w:hAnsi="Times New Roman" w:cs="Times New Roman"/>
          <w:sz w:val="24"/>
          <w:szCs w:val="24"/>
          <w:lang w:eastAsia="pl-PL"/>
        </w:rPr>
        <w:t>ustalanie opłat na podstawie mo</w:t>
      </w:r>
      <w:r w:rsidR="00332150" w:rsidRPr="003A42FB">
        <w:rPr>
          <w:rFonts w:ascii="Times New Roman" w:eastAsiaTheme="minorEastAsia" w:hAnsi="Times New Roman" w:cs="Times New Roman"/>
          <w:sz w:val="24"/>
          <w:szCs w:val="24"/>
          <w:lang w:eastAsia="pl-PL"/>
        </w:rPr>
        <w:t>delu kalkulacji kosztów „bottom</w:t>
      </w:r>
      <w:r w:rsidR="08CC632B" w:rsidRPr="003A42FB">
        <w:rPr>
          <w:rFonts w:ascii="Times New Roman" w:eastAsiaTheme="minorEastAsia" w:hAnsi="Times New Roman" w:cs="Times New Roman"/>
          <w:sz w:val="24"/>
          <w:szCs w:val="24"/>
          <w:lang w:eastAsia="pl-PL"/>
        </w:rPr>
        <w:t>-up” (modelowanie oddolne)</w:t>
      </w:r>
      <w:r w:rsidR="40A288A1" w:rsidRPr="003A42FB">
        <w:rPr>
          <w:rFonts w:ascii="Times New Roman" w:eastAsiaTheme="minorEastAsia" w:hAnsi="Times New Roman" w:cs="Times New Roman"/>
          <w:sz w:val="24"/>
          <w:szCs w:val="24"/>
          <w:lang w:eastAsia="pl-PL"/>
        </w:rPr>
        <w:t xml:space="preserve">, </w:t>
      </w:r>
      <w:r w:rsidR="08CC632B" w:rsidRPr="003A42FB">
        <w:rPr>
          <w:rFonts w:ascii="Times New Roman" w:eastAsiaTheme="minorEastAsia" w:hAnsi="Times New Roman" w:cs="Times New Roman"/>
          <w:sz w:val="24"/>
          <w:szCs w:val="24"/>
          <w:lang w:eastAsia="pl-PL"/>
        </w:rPr>
        <w:t>opartego o</w:t>
      </w:r>
      <w:r w:rsidR="3EB20E72" w:rsidRPr="003A42FB">
        <w:rPr>
          <w:rFonts w:ascii="Times New Roman" w:eastAsiaTheme="minorEastAsia" w:hAnsi="Times New Roman" w:cs="Times New Roman"/>
          <w:sz w:val="24"/>
          <w:szCs w:val="24"/>
          <w:lang w:eastAsia="pl-PL"/>
        </w:rPr>
        <w:t xml:space="preserve"> </w:t>
      </w:r>
      <w:r w:rsidR="08CC632B" w:rsidRPr="003A42FB">
        <w:rPr>
          <w:rFonts w:ascii="Times New Roman" w:eastAsiaTheme="minorEastAsia" w:hAnsi="Times New Roman" w:cs="Times New Roman"/>
          <w:sz w:val="24"/>
          <w:szCs w:val="24"/>
        </w:rPr>
        <w:t>koszty ponoszone przez efektywn</w:t>
      </w:r>
      <w:r w:rsidR="402CDD21" w:rsidRPr="003A42FB">
        <w:rPr>
          <w:rFonts w:ascii="Times New Roman" w:eastAsiaTheme="minorEastAsia" w:hAnsi="Times New Roman" w:cs="Times New Roman"/>
          <w:sz w:val="24"/>
          <w:szCs w:val="24"/>
        </w:rPr>
        <w:t>ego</w:t>
      </w:r>
      <w:r w:rsidR="08CC632B" w:rsidRPr="003A42FB">
        <w:rPr>
          <w:rFonts w:ascii="Times New Roman" w:eastAsiaTheme="minorEastAsia" w:hAnsi="Times New Roman" w:cs="Times New Roman"/>
          <w:sz w:val="24"/>
          <w:szCs w:val="24"/>
        </w:rPr>
        <w:t xml:space="preserve"> </w:t>
      </w:r>
      <w:r w:rsidR="7CD09384" w:rsidRPr="003A42FB">
        <w:rPr>
          <w:rFonts w:ascii="Times New Roman" w:eastAsiaTheme="minorEastAsia" w:hAnsi="Times New Roman" w:cs="Times New Roman"/>
          <w:sz w:val="24"/>
          <w:szCs w:val="24"/>
        </w:rPr>
        <w:t>operatora</w:t>
      </w:r>
      <w:r w:rsidR="2A4EEBFA" w:rsidRPr="003A42FB">
        <w:rPr>
          <w:rFonts w:ascii="Times New Roman" w:eastAsiaTheme="minorEastAsia" w:hAnsi="Times New Roman" w:cs="Times New Roman"/>
          <w:sz w:val="24"/>
          <w:szCs w:val="24"/>
        </w:rPr>
        <w:t xml:space="preserve"> np. </w:t>
      </w:r>
      <w:r w:rsidR="6FD5ECED" w:rsidRPr="003A42FB">
        <w:rPr>
          <w:rFonts w:ascii="Times New Roman" w:eastAsiaTheme="minorEastAsia" w:hAnsi="Times New Roman" w:cs="Times New Roman"/>
          <w:sz w:val="24"/>
          <w:szCs w:val="24"/>
        </w:rPr>
        <w:t>w</w:t>
      </w:r>
      <w:r w:rsidR="2A4EEBFA" w:rsidRPr="003A42FB">
        <w:rPr>
          <w:rFonts w:ascii="Times New Roman" w:eastAsiaTheme="minorEastAsia" w:hAnsi="Times New Roman" w:cs="Times New Roman"/>
          <w:sz w:val="24"/>
          <w:szCs w:val="24"/>
        </w:rPr>
        <w:t xml:space="preserve"> Zaleceniu Komisji </w:t>
      </w:r>
      <w:r w:rsidR="129E0450" w:rsidRPr="003A42FB">
        <w:rPr>
          <w:rFonts w:ascii="Times New Roman" w:eastAsiaTheme="minorEastAsia" w:hAnsi="Times New Roman" w:cs="Times New Roman"/>
          <w:sz w:val="24"/>
          <w:szCs w:val="24"/>
        </w:rPr>
        <w:t>z dnia 7 maja 2009 r. w sprawie uregulowań dotyczących stawek za zakańczanie połączeń w sieciach stacjonarnych i ruchomych (2009/396/WE)</w:t>
      </w:r>
      <w:r w:rsidR="00D452DD" w:rsidRPr="003A42FB">
        <w:rPr>
          <w:rFonts w:ascii="Times New Roman" w:eastAsiaTheme="minorEastAsia" w:hAnsi="Times New Roman" w:cs="Times New Roman"/>
          <w:sz w:val="24"/>
          <w:szCs w:val="24"/>
        </w:rPr>
        <w:t>.</w:t>
      </w:r>
    </w:p>
    <w:p w14:paraId="46A8250A" w14:textId="269E889B" w:rsidR="00A04D10" w:rsidRPr="003A42FB" w:rsidRDefault="1746BA59"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Powyższa metoda nie wymaga procesu oceny i weryfikacji </w:t>
      </w:r>
      <w:r w:rsidR="0FB660E9" w:rsidRPr="003A42FB">
        <w:rPr>
          <w:rFonts w:ascii="Times New Roman" w:eastAsiaTheme="minorEastAsia" w:hAnsi="Times New Roman" w:cs="Times New Roman"/>
          <w:sz w:val="24"/>
          <w:szCs w:val="24"/>
          <w:lang w:eastAsia="pl-PL"/>
        </w:rPr>
        <w:t xml:space="preserve">przez regulatora </w:t>
      </w:r>
      <w:r w:rsidRPr="003A42FB">
        <w:rPr>
          <w:rFonts w:ascii="Times New Roman" w:eastAsiaTheme="minorEastAsia" w:hAnsi="Times New Roman" w:cs="Times New Roman"/>
          <w:sz w:val="24"/>
          <w:szCs w:val="24"/>
          <w:lang w:eastAsia="pl-PL"/>
        </w:rPr>
        <w:t>ani kosztów</w:t>
      </w:r>
      <w:r w:rsidR="0E852BDC" w:rsidRPr="003A42FB">
        <w:rPr>
          <w:rFonts w:ascii="Times New Roman" w:eastAsiaTheme="minorEastAsia" w:hAnsi="Times New Roman" w:cs="Times New Roman"/>
          <w:sz w:val="24"/>
          <w:szCs w:val="24"/>
          <w:lang w:eastAsia="pl-PL"/>
        </w:rPr>
        <w:t>,</w:t>
      </w:r>
      <w:r w:rsidRPr="003A42FB">
        <w:rPr>
          <w:rFonts w:ascii="Times New Roman" w:eastAsiaTheme="minorEastAsia" w:hAnsi="Times New Roman" w:cs="Times New Roman"/>
          <w:sz w:val="24"/>
          <w:szCs w:val="24"/>
          <w:lang w:eastAsia="pl-PL"/>
        </w:rPr>
        <w:t xml:space="preserve"> ani opłat, </w:t>
      </w:r>
      <w:r w:rsidR="52236830" w:rsidRPr="003A42FB">
        <w:rPr>
          <w:rFonts w:ascii="Times New Roman" w:eastAsia="Times New Roman" w:hAnsi="Times New Roman" w:cs="Times New Roman"/>
          <w:sz w:val="24"/>
          <w:szCs w:val="24"/>
        </w:rPr>
        <w:t>wynikających z uzasadnienia kosztowego,</w:t>
      </w:r>
      <w:r w:rsidR="5223683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ponieważ opłaty są ustalone przez regulatora.</w:t>
      </w:r>
    </w:p>
    <w:p w14:paraId="5D13C0B5" w14:textId="4FC90DEF" w:rsidR="0AA207FA" w:rsidRPr="003A42FB" w:rsidRDefault="3F5C82A9" w:rsidP="00C53EAB">
      <w:pPr>
        <w:spacing w:after="120" w:line="240" w:lineRule="auto"/>
        <w:jc w:val="both"/>
        <w:rPr>
          <w:rFonts w:ascii="Times New Roman" w:eastAsiaTheme="minorEastAsia" w:hAnsi="Times New Roman" w:cs="Times New Roman"/>
          <w:strike/>
          <w:sz w:val="24"/>
          <w:szCs w:val="24"/>
        </w:rPr>
      </w:pPr>
      <w:r w:rsidRPr="003A42FB">
        <w:rPr>
          <w:rFonts w:ascii="Times New Roman" w:eastAsiaTheme="minorEastAsia" w:hAnsi="Times New Roman" w:cs="Times New Roman"/>
          <w:sz w:val="24"/>
          <w:szCs w:val="24"/>
        </w:rPr>
        <w:t>Metoda ustalania opłat z pkt 3 w ust. 1 będzie mogła być zastosowana</w:t>
      </w:r>
      <w:r w:rsidR="6621BCC4" w:rsidRPr="003A42FB">
        <w:rPr>
          <w:rFonts w:ascii="Times New Roman" w:eastAsiaTheme="minorEastAsia" w:hAnsi="Times New Roman" w:cs="Times New Roman"/>
          <w:sz w:val="24"/>
          <w:szCs w:val="24"/>
        </w:rPr>
        <w:t xml:space="preserve">, zgodnie z ust. </w:t>
      </w:r>
      <w:r w:rsidR="69AF9052" w:rsidRPr="003A42FB">
        <w:rPr>
          <w:rFonts w:ascii="Times New Roman" w:eastAsiaTheme="minorEastAsia" w:hAnsi="Times New Roman" w:cs="Times New Roman"/>
          <w:sz w:val="24"/>
          <w:szCs w:val="24"/>
        </w:rPr>
        <w:t>4</w:t>
      </w:r>
      <w:r w:rsidR="6621BCC4"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tylko w </w:t>
      </w:r>
      <w:r w:rsidR="1649FBC3" w:rsidRPr="003A42FB">
        <w:rPr>
          <w:rFonts w:ascii="Times New Roman" w:eastAsiaTheme="minorEastAsia" w:hAnsi="Times New Roman" w:cs="Times New Roman"/>
          <w:sz w:val="24"/>
          <w:szCs w:val="24"/>
        </w:rPr>
        <w:t xml:space="preserve">dwóch </w:t>
      </w:r>
      <w:r w:rsidRPr="003A42FB">
        <w:rPr>
          <w:rFonts w:ascii="Times New Roman" w:eastAsiaTheme="minorEastAsia" w:hAnsi="Times New Roman" w:cs="Times New Roman"/>
          <w:sz w:val="24"/>
          <w:szCs w:val="24"/>
        </w:rPr>
        <w:t>sytuacj</w:t>
      </w:r>
      <w:r w:rsidR="5E72DD89" w:rsidRPr="003A42FB">
        <w:rPr>
          <w:rFonts w:ascii="Times New Roman" w:eastAsiaTheme="minorEastAsia" w:hAnsi="Times New Roman" w:cs="Times New Roman"/>
          <w:sz w:val="24"/>
          <w:szCs w:val="24"/>
        </w:rPr>
        <w:t>ach.</w:t>
      </w:r>
      <w:r w:rsidR="2AC7C3B1" w:rsidRPr="003A42FB">
        <w:rPr>
          <w:rFonts w:ascii="Times New Roman" w:eastAsiaTheme="minorEastAsia" w:hAnsi="Times New Roman" w:cs="Times New Roman"/>
          <w:sz w:val="24"/>
          <w:szCs w:val="24"/>
        </w:rPr>
        <w:t xml:space="preserve"> </w:t>
      </w:r>
      <w:r w:rsidR="77990459" w:rsidRPr="003A42FB">
        <w:rPr>
          <w:rFonts w:ascii="Times New Roman" w:eastAsiaTheme="minorEastAsia" w:hAnsi="Times New Roman" w:cs="Times New Roman"/>
          <w:sz w:val="24"/>
          <w:szCs w:val="24"/>
        </w:rPr>
        <w:t>Pierwszy przypadek będzie mieć miejsce</w:t>
      </w:r>
      <w:r w:rsidR="4943664B"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gdy Komi</w:t>
      </w:r>
      <w:r w:rsidR="1724ACDA" w:rsidRPr="003A42FB">
        <w:rPr>
          <w:rFonts w:ascii="Times New Roman" w:eastAsiaTheme="minorEastAsia" w:hAnsi="Times New Roman" w:cs="Times New Roman"/>
          <w:sz w:val="24"/>
          <w:szCs w:val="24"/>
        </w:rPr>
        <w:t xml:space="preserve">sja Europejska </w:t>
      </w:r>
      <w:r w:rsidR="10AE14AA" w:rsidRPr="003A42FB">
        <w:rPr>
          <w:rFonts w:ascii="Times New Roman" w:eastAsiaTheme="minorEastAsia" w:hAnsi="Times New Roman" w:cs="Times New Roman"/>
          <w:sz w:val="24"/>
          <w:szCs w:val="24"/>
        </w:rPr>
        <w:t xml:space="preserve">lub BEREC </w:t>
      </w:r>
      <w:r w:rsidR="1724ACDA" w:rsidRPr="003A42FB">
        <w:rPr>
          <w:rFonts w:ascii="Times New Roman" w:eastAsiaTheme="minorEastAsia" w:hAnsi="Times New Roman" w:cs="Times New Roman"/>
          <w:sz w:val="24"/>
          <w:szCs w:val="24"/>
        </w:rPr>
        <w:t>wyda odpowiednie wytyczne</w:t>
      </w:r>
      <w:r w:rsidR="0CCF27CC" w:rsidRPr="003A42FB">
        <w:rPr>
          <w:rFonts w:ascii="Times New Roman" w:eastAsiaTheme="minorEastAsia" w:hAnsi="Times New Roman" w:cs="Times New Roman"/>
          <w:sz w:val="24"/>
          <w:szCs w:val="24"/>
        </w:rPr>
        <w:t>,</w:t>
      </w:r>
      <w:r w:rsidR="01AE5948" w:rsidRPr="003A42FB">
        <w:rPr>
          <w:rFonts w:ascii="Times New Roman" w:eastAsiaTheme="minorEastAsia" w:hAnsi="Times New Roman" w:cs="Times New Roman"/>
          <w:sz w:val="24"/>
          <w:szCs w:val="24"/>
        </w:rPr>
        <w:t xml:space="preserve"> zalecenia</w:t>
      </w:r>
      <w:r w:rsidR="39AD8F94" w:rsidRPr="003A42FB">
        <w:rPr>
          <w:rFonts w:ascii="Times New Roman" w:eastAsiaTheme="minorEastAsia" w:hAnsi="Times New Roman" w:cs="Times New Roman"/>
          <w:sz w:val="24"/>
          <w:szCs w:val="24"/>
        </w:rPr>
        <w:t xml:space="preserve"> lub wspólne stanowisko</w:t>
      </w:r>
      <w:r w:rsidR="01AE5948" w:rsidRPr="003A42FB">
        <w:rPr>
          <w:rFonts w:ascii="Times New Roman" w:eastAsiaTheme="minorEastAsia" w:hAnsi="Times New Roman" w:cs="Times New Roman"/>
          <w:sz w:val="24"/>
          <w:szCs w:val="24"/>
        </w:rPr>
        <w:t xml:space="preserve"> </w:t>
      </w:r>
      <w:r w:rsidR="4DA48419" w:rsidRPr="003A42FB">
        <w:rPr>
          <w:rFonts w:ascii="Times New Roman" w:eastAsiaTheme="minorEastAsia" w:hAnsi="Times New Roman" w:cs="Times New Roman"/>
          <w:sz w:val="24"/>
          <w:szCs w:val="24"/>
        </w:rPr>
        <w:t xml:space="preserve">w </w:t>
      </w:r>
      <w:r w:rsidR="01AE5948" w:rsidRPr="003A42FB">
        <w:rPr>
          <w:rFonts w:ascii="Times New Roman" w:eastAsiaTheme="minorEastAsia" w:hAnsi="Times New Roman" w:cs="Times New Roman"/>
          <w:sz w:val="24"/>
          <w:szCs w:val="24"/>
        </w:rPr>
        <w:t>tym zakresie</w:t>
      </w:r>
      <w:r w:rsidR="5062441A" w:rsidRPr="003A42FB">
        <w:rPr>
          <w:rFonts w:ascii="Times New Roman" w:eastAsiaTheme="minorEastAsia" w:hAnsi="Times New Roman" w:cs="Times New Roman"/>
          <w:sz w:val="24"/>
          <w:szCs w:val="24"/>
        </w:rPr>
        <w:t>.</w:t>
      </w:r>
      <w:r w:rsidR="01AE5948" w:rsidRPr="003A42FB">
        <w:rPr>
          <w:rFonts w:ascii="Times New Roman" w:eastAsiaTheme="minorEastAsia" w:hAnsi="Times New Roman" w:cs="Times New Roman"/>
          <w:sz w:val="24"/>
          <w:szCs w:val="24"/>
        </w:rPr>
        <w:t xml:space="preserve"> </w:t>
      </w:r>
      <w:r w:rsidR="1840B7D2" w:rsidRPr="003A42FB">
        <w:rPr>
          <w:rFonts w:ascii="Times New Roman" w:eastAsiaTheme="minorEastAsia" w:hAnsi="Times New Roman" w:cs="Times New Roman"/>
          <w:sz w:val="24"/>
          <w:szCs w:val="24"/>
        </w:rPr>
        <w:t>Druga przesłanka dotyczy sytuacji,</w:t>
      </w:r>
      <w:r w:rsidR="01AE5948" w:rsidRPr="003A42FB">
        <w:rPr>
          <w:rFonts w:ascii="Times New Roman" w:eastAsiaTheme="minorEastAsia" w:hAnsi="Times New Roman" w:cs="Times New Roman"/>
          <w:sz w:val="24"/>
          <w:szCs w:val="24"/>
        </w:rPr>
        <w:t xml:space="preserve"> </w:t>
      </w:r>
      <w:r w:rsidR="4878679A" w:rsidRPr="003A42FB">
        <w:rPr>
          <w:rFonts w:ascii="Times New Roman" w:eastAsiaTheme="minorEastAsia" w:hAnsi="Times New Roman" w:cs="Times New Roman"/>
          <w:sz w:val="24"/>
          <w:szCs w:val="24"/>
        </w:rPr>
        <w:t xml:space="preserve">gdy </w:t>
      </w:r>
      <w:r w:rsidR="01AE5948" w:rsidRPr="003A42FB">
        <w:rPr>
          <w:rFonts w:ascii="Times New Roman" w:eastAsiaTheme="minorEastAsia" w:hAnsi="Times New Roman" w:cs="Times New Roman"/>
          <w:sz w:val="24"/>
          <w:szCs w:val="24"/>
        </w:rPr>
        <w:t>obowiązek stosowania opłat z p</w:t>
      </w:r>
      <w:r w:rsidR="47D595ED" w:rsidRPr="003A42FB">
        <w:rPr>
          <w:rFonts w:ascii="Times New Roman" w:eastAsiaTheme="minorEastAsia" w:hAnsi="Times New Roman" w:cs="Times New Roman"/>
          <w:sz w:val="24"/>
          <w:szCs w:val="24"/>
        </w:rPr>
        <w:t>kt 3 ust.1 będzie nakładan</w:t>
      </w:r>
      <w:r w:rsidR="792B9DDF" w:rsidRPr="003A42FB">
        <w:rPr>
          <w:rFonts w:ascii="Times New Roman" w:eastAsiaTheme="minorEastAsia" w:hAnsi="Times New Roman" w:cs="Times New Roman"/>
          <w:sz w:val="24"/>
          <w:szCs w:val="24"/>
        </w:rPr>
        <w:t>y</w:t>
      </w:r>
      <w:r w:rsidR="47D595ED" w:rsidRPr="003A42FB">
        <w:rPr>
          <w:rFonts w:ascii="Times New Roman" w:eastAsiaTheme="minorEastAsia" w:hAnsi="Times New Roman" w:cs="Times New Roman"/>
          <w:sz w:val="24"/>
          <w:szCs w:val="24"/>
        </w:rPr>
        <w:t xml:space="preserve"> na więcej niż </w:t>
      </w:r>
      <w:r w:rsidR="05AEC0A8" w:rsidRPr="003A42FB">
        <w:rPr>
          <w:rFonts w:ascii="Times New Roman" w:eastAsiaTheme="minorEastAsia" w:hAnsi="Times New Roman" w:cs="Times New Roman"/>
          <w:sz w:val="24"/>
          <w:szCs w:val="24"/>
        </w:rPr>
        <w:t>jednego przedsiębiorcę komunikacji elektronicznej</w:t>
      </w:r>
      <w:r w:rsidR="01AE5948" w:rsidRPr="003A42FB">
        <w:rPr>
          <w:rFonts w:ascii="Times New Roman" w:eastAsiaTheme="minorEastAsia" w:hAnsi="Times New Roman" w:cs="Times New Roman"/>
          <w:sz w:val="24"/>
          <w:szCs w:val="24"/>
        </w:rPr>
        <w:t xml:space="preserve"> </w:t>
      </w:r>
      <w:r w:rsidR="7574ACB2" w:rsidRPr="003A42FB">
        <w:rPr>
          <w:rFonts w:ascii="Times New Roman" w:eastAsiaTheme="minorEastAsia" w:hAnsi="Times New Roman" w:cs="Times New Roman"/>
          <w:sz w:val="24"/>
          <w:szCs w:val="24"/>
        </w:rPr>
        <w:t xml:space="preserve">na tym samym rynku </w:t>
      </w:r>
      <w:r w:rsidR="4A4D52E2" w:rsidRPr="003A42FB">
        <w:rPr>
          <w:rFonts w:ascii="Times New Roman" w:eastAsiaTheme="minorEastAsia" w:hAnsi="Times New Roman" w:cs="Times New Roman"/>
          <w:sz w:val="24"/>
          <w:szCs w:val="24"/>
        </w:rPr>
        <w:t xml:space="preserve">właściwym lub </w:t>
      </w:r>
      <w:r w:rsidR="4A4D52E2" w:rsidRPr="003A42FB">
        <w:rPr>
          <w:rFonts w:ascii="Times New Roman" w:eastAsia="Times New Roman" w:hAnsi="Times New Roman" w:cs="Times New Roman"/>
          <w:sz w:val="24"/>
          <w:szCs w:val="24"/>
        </w:rPr>
        <w:t>rynku właściwym obejmującym takie same produkty lub usługi</w:t>
      </w:r>
      <w:r w:rsidR="4A4D52E2" w:rsidRPr="003A42FB">
        <w:rPr>
          <w:rFonts w:ascii="Times New Roman" w:eastAsiaTheme="minorEastAsia" w:hAnsi="Times New Roman" w:cs="Times New Roman"/>
          <w:sz w:val="24"/>
          <w:szCs w:val="24"/>
        </w:rPr>
        <w:t xml:space="preserve"> </w:t>
      </w:r>
      <w:r w:rsidR="5C98D423" w:rsidRPr="003A42FB">
        <w:rPr>
          <w:rFonts w:ascii="Times New Roman" w:eastAsiaTheme="minorEastAsia" w:hAnsi="Times New Roman" w:cs="Times New Roman"/>
          <w:sz w:val="24"/>
          <w:szCs w:val="24"/>
        </w:rPr>
        <w:t>w połączeniu z warunkiem, że</w:t>
      </w:r>
      <w:r w:rsidR="7574ACB2" w:rsidRPr="003A42FB">
        <w:rPr>
          <w:rFonts w:ascii="Times New Roman" w:eastAsiaTheme="minorEastAsia" w:hAnsi="Times New Roman" w:cs="Times New Roman"/>
          <w:sz w:val="24"/>
          <w:szCs w:val="24"/>
        </w:rPr>
        <w:t xml:space="preserve"> na tych rynkach</w:t>
      </w:r>
      <w:r w:rsidR="42D7898F" w:rsidRPr="003A42FB">
        <w:rPr>
          <w:rFonts w:ascii="Times New Roman" w:eastAsiaTheme="minorEastAsia" w:hAnsi="Times New Roman" w:cs="Times New Roman"/>
          <w:sz w:val="24"/>
          <w:szCs w:val="24"/>
        </w:rPr>
        <w:t xml:space="preserve"> </w:t>
      </w:r>
      <w:r w:rsidR="16C00E30" w:rsidRPr="003A42FB">
        <w:rPr>
          <w:rFonts w:ascii="Times New Roman" w:eastAsiaTheme="minorEastAsia" w:hAnsi="Times New Roman" w:cs="Times New Roman"/>
          <w:sz w:val="24"/>
          <w:szCs w:val="24"/>
        </w:rPr>
        <w:t>powinn</w:t>
      </w:r>
      <w:r w:rsidR="76D6E239" w:rsidRPr="003A42FB">
        <w:rPr>
          <w:rFonts w:ascii="Times New Roman" w:eastAsiaTheme="minorEastAsia" w:hAnsi="Times New Roman" w:cs="Times New Roman"/>
          <w:sz w:val="24"/>
          <w:szCs w:val="24"/>
        </w:rPr>
        <w:t>y</w:t>
      </w:r>
      <w:r w:rsidR="16C00E30" w:rsidRPr="003A42FB">
        <w:rPr>
          <w:rFonts w:ascii="Times New Roman" w:eastAsiaTheme="minorEastAsia" w:hAnsi="Times New Roman" w:cs="Times New Roman"/>
          <w:sz w:val="24"/>
          <w:szCs w:val="24"/>
        </w:rPr>
        <w:t xml:space="preserve"> być st</w:t>
      </w:r>
      <w:r w:rsidR="11C649DD" w:rsidRPr="003A42FB">
        <w:rPr>
          <w:rFonts w:ascii="Times New Roman" w:eastAsiaTheme="minorEastAsia" w:hAnsi="Times New Roman" w:cs="Times New Roman"/>
          <w:sz w:val="24"/>
          <w:szCs w:val="24"/>
        </w:rPr>
        <w:t>o</w:t>
      </w:r>
      <w:r w:rsidR="16C00E30" w:rsidRPr="003A42FB">
        <w:rPr>
          <w:rFonts w:ascii="Times New Roman" w:eastAsiaTheme="minorEastAsia" w:hAnsi="Times New Roman" w:cs="Times New Roman"/>
          <w:sz w:val="24"/>
          <w:szCs w:val="24"/>
        </w:rPr>
        <w:t>sowane symetryczne opłaty z tytułu dostępu</w:t>
      </w:r>
      <w:r w:rsidR="003C4B3C" w:rsidRPr="003A42FB">
        <w:rPr>
          <w:rFonts w:ascii="Times New Roman" w:eastAsiaTheme="minorEastAsia" w:hAnsi="Times New Roman" w:cs="Times New Roman"/>
          <w:sz w:val="24"/>
          <w:szCs w:val="24"/>
        </w:rPr>
        <w:t xml:space="preserve"> telekomunikacyjnego</w:t>
      </w:r>
      <w:r w:rsidR="120A88BF" w:rsidRPr="003A42FB">
        <w:rPr>
          <w:rFonts w:ascii="Times New Roman" w:eastAsiaTheme="minorEastAsia" w:hAnsi="Times New Roman" w:cs="Times New Roman"/>
          <w:sz w:val="24"/>
          <w:szCs w:val="24"/>
        </w:rPr>
        <w:t xml:space="preserve">. </w:t>
      </w:r>
    </w:p>
    <w:p w14:paraId="2096B7BA" w14:textId="710EE173" w:rsidR="0AA207FA" w:rsidRPr="003A42FB" w:rsidRDefault="2699B38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Prezes UKE </w:t>
      </w:r>
      <w:r w:rsidR="0AA207FA" w:rsidRPr="003A42FB">
        <w:rPr>
          <w:rFonts w:ascii="Times New Roman" w:eastAsiaTheme="minorEastAsia" w:hAnsi="Times New Roman" w:cs="Times New Roman"/>
          <w:sz w:val="24"/>
          <w:szCs w:val="24"/>
        </w:rPr>
        <w:t>nakładając obowiązek, o których mowa w ust. 1 pkt 3</w:t>
      </w:r>
      <w:r w:rsidR="64D183EC" w:rsidRPr="003A42FB">
        <w:rPr>
          <w:rFonts w:ascii="Times New Roman" w:eastAsiaTheme="minorEastAsia" w:hAnsi="Times New Roman" w:cs="Times New Roman"/>
          <w:sz w:val="24"/>
          <w:szCs w:val="24"/>
        </w:rPr>
        <w:t xml:space="preserve">, będzie musiał </w:t>
      </w:r>
      <w:r w:rsidR="0AA207FA" w:rsidRPr="003A42FB">
        <w:rPr>
          <w:rFonts w:ascii="Times New Roman" w:eastAsiaTheme="minorEastAsia" w:hAnsi="Times New Roman" w:cs="Times New Roman"/>
          <w:sz w:val="24"/>
          <w:szCs w:val="24"/>
        </w:rPr>
        <w:t>uwzględni</w:t>
      </w:r>
      <w:r w:rsidR="01CEF742" w:rsidRPr="003A42FB">
        <w:rPr>
          <w:rFonts w:ascii="Times New Roman" w:eastAsiaTheme="minorEastAsia" w:hAnsi="Times New Roman" w:cs="Times New Roman"/>
          <w:sz w:val="24"/>
          <w:szCs w:val="24"/>
        </w:rPr>
        <w:t xml:space="preserve">ć </w:t>
      </w:r>
      <w:r w:rsidR="0AA207FA" w:rsidRPr="003A42FB">
        <w:rPr>
          <w:rFonts w:ascii="Times New Roman" w:eastAsiaTheme="minorEastAsia" w:hAnsi="Times New Roman" w:cs="Times New Roman"/>
          <w:sz w:val="24"/>
          <w:szCs w:val="24"/>
        </w:rPr>
        <w:t xml:space="preserve">koszty ponoszone przez efektywnie działającego przedsiębiorcę komunikacji </w:t>
      </w:r>
      <w:r w:rsidR="5C84D721" w:rsidRPr="003A42FB">
        <w:rPr>
          <w:rFonts w:ascii="Times New Roman" w:eastAsiaTheme="minorEastAsia" w:hAnsi="Times New Roman" w:cs="Times New Roman"/>
          <w:sz w:val="24"/>
          <w:szCs w:val="24"/>
        </w:rPr>
        <w:t>elektronicznej</w:t>
      </w:r>
      <w:r w:rsidR="6575092C" w:rsidRPr="003A42FB">
        <w:rPr>
          <w:rFonts w:ascii="Times New Roman" w:eastAsiaTheme="minorEastAsia" w:hAnsi="Times New Roman" w:cs="Times New Roman"/>
          <w:sz w:val="24"/>
          <w:szCs w:val="24"/>
        </w:rPr>
        <w:t xml:space="preserve"> (</w:t>
      </w:r>
      <w:r w:rsidR="39D3BAC0" w:rsidRPr="003A42FB">
        <w:rPr>
          <w:rFonts w:ascii="Times New Roman" w:eastAsiaTheme="minorEastAsia" w:hAnsi="Times New Roman" w:cs="Times New Roman"/>
          <w:sz w:val="24"/>
          <w:szCs w:val="24"/>
        </w:rPr>
        <w:t xml:space="preserve">hipotetycznego przedsiębiorcę komunikacji elektronicznej, jaki funkcjonowałby na w pełni konkurencyjnym rynku) lub </w:t>
      </w:r>
      <w:r w:rsidR="0AA207FA" w:rsidRPr="003A42FB">
        <w:rPr>
          <w:rFonts w:ascii="Times New Roman" w:eastAsiaTheme="minorEastAsia" w:hAnsi="Times New Roman" w:cs="Times New Roman"/>
          <w:sz w:val="24"/>
          <w:szCs w:val="24"/>
        </w:rPr>
        <w:t>koszty ponoszone przez przedsiębiorcę komunikacji elektronicznej, na którego ma być nałożony obowiązek, o którym mowa w ust. 1 pkt 3 oraz koszty innych przedsiębiorców komunikacji elektronicznej działających na tym samym lub  rynku</w:t>
      </w:r>
      <w:r w:rsidR="57F89188" w:rsidRPr="003A42FB">
        <w:rPr>
          <w:rFonts w:ascii="Times New Roman" w:eastAsia="Times New Roman" w:hAnsi="Times New Roman" w:cs="Times New Roman"/>
          <w:sz w:val="24"/>
          <w:szCs w:val="24"/>
        </w:rPr>
        <w:t xml:space="preserve"> właściwym lub rynku właściwym obejmującym takie same produkty lub usługi</w:t>
      </w:r>
      <w:r w:rsidR="0AA207FA" w:rsidRPr="003A42FB">
        <w:rPr>
          <w:rFonts w:ascii="Times New Roman" w:eastAsiaTheme="minorEastAsia" w:hAnsi="Times New Roman" w:cs="Times New Roman"/>
          <w:sz w:val="24"/>
          <w:szCs w:val="24"/>
        </w:rPr>
        <w:t>.</w:t>
      </w:r>
      <w:r w:rsidR="62E24F66" w:rsidRPr="003A42FB">
        <w:rPr>
          <w:rFonts w:ascii="Times New Roman" w:eastAsiaTheme="minorEastAsia" w:hAnsi="Times New Roman" w:cs="Times New Roman"/>
          <w:sz w:val="24"/>
          <w:szCs w:val="24"/>
        </w:rPr>
        <w:t xml:space="preserve"> Pkt 2) jest szczególnie istotny w przy</w:t>
      </w:r>
      <w:r w:rsidR="387D0B3C" w:rsidRPr="003A42FB">
        <w:rPr>
          <w:rFonts w:ascii="Times New Roman" w:eastAsiaTheme="minorEastAsia" w:hAnsi="Times New Roman" w:cs="Times New Roman"/>
          <w:sz w:val="24"/>
          <w:szCs w:val="24"/>
        </w:rPr>
        <w:t>padku ustalania symetrycznych opłat</w:t>
      </w:r>
      <w:r w:rsidR="7206BEFC" w:rsidRPr="003A42FB">
        <w:rPr>
          <w:rFonts w:ascii="Times New Roman" w:eastAsiaTheme="minorEastAsia" w:hAnsi="Times New Roman" w:cs="Times New Roman"/>
          <w:sz w:val="24"/>
          <w:szCs w:val="24"/>
        </w:rPr>
        <w:t xml:space="preserve"> na rynkach</w:t>
      </w:r>
      <w:r w:rsidR="6F62703B" w:rsidRPr="003A42FB">
        <w:rPr>
          <w:rFonts w:ascii="Times New Roman" w:eastAsiaTheme="minorEastAsia" w:hAnsi="Times New Roman" w:cs="Times New Roman"/>
          <w:sz w:val="24"/>
          <w:szCs w:val="24"/>
        </w:rPr>
        <w:t xml:space="preserve"> obejmujących takie same produkty lub usługi</w:t>
      </w:r>
      <w:r w:rsidR="7206BEFC" w:rsidRPr="003A42FB">
        <w:rPr>
          <w:rFonts w:ascii="Times New Roman" w:eastAsiaTheme="minorEastAsia" w:hAnsi="Times New Roman" w:cs="Times New Roman"/>
          <w:sz w:val="24"/>
          <w:szCs w:val="24"/>
        </w:rPr>
        <w:t>.</w:t>
      </w:r>
    </w:p>
    <w:p w14:paraId="7A653BA6" w14:textId="7E9D9EBB" w:rsidR="2A96A418" w:rsidRPr="003A42FB" w:rsidRDefault="75B31DA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wyjątkowych sytuacjach, kiedy Prezes UKE</w:t>
      </w:r>
      <w:r w:rsidR="0AA207FA" w:rsidRPr="003A42FB">
        <w:rPr>
          <w:rFonts w:ascii="Times New Roman" w:eastAsiaTheme="minorEastAsia" w:hAnsi="Times New Roman" w:cs="Times New Roman"/>
          <w:sz w:val="24"/>
          <w:szCs w:val="24"/>
        </w:rPr>
        <w:t xml:space="preserve"> </w:t>
      </w:r>
      <w:r w:rsidR="1C9F92CC" w:rsidRPr="003A42FB">
        <w:rPr>
          <w:rFonts w:ascii="Times New Roman" w:eastAsiaTheme="minorEastAsia" w:hAnsi="Times New Roman" w:cs="Times New Roman"/>
          <w:sz w:val="24"/>
          <w:szCs w:val="24"/>
        </w:rPr>
        <w:t xml:space="preserve">nie będzie mógł zastosować </w:t>
      </w:r>
      <w:r w:rsidR="00F02A7A" w:rsidRPr="003A42FB">
        <w:rPr>
          <w:rFonts w:ascii="Times New Roman" w:eastAsiaTheme="minorEastAsia" w:hAnsi="Times New Roman" w:cs="Times New Roman"/>
          <w:sz w:val="24"/>
          <w:szCs w:val="24"/>
        </w:rPr>
        <w:t xml:space="preserve">ust. </w:t>
      </w:r>
      <w:r w:rsidR="1BF61BE8" w:rsidRPr="003A42FB">
        <w:rPr>
          <w:rFonts w:ascii="Times New Roman" w:eastAsiaTheme="minorEastAsia" w:hAnsi="Times New Roman" w:cs="Times New Roman"/>
          <w:sz w:val="24"/>
          <w:szCs w:val="24"/>
        </w:rPr>
        <w:t>5</w:t>
      </w:r>
      <w:r w:rsidR="7F75C599" w:rsidRPr="003A42FB">
        <w:rPr>
          <w:rFonts w:ascii="Times New Roman" w:eastAsiaTheme="minorEastAsia" w:hAnsi="Times New Roman" w:cs="Times New Roman"/>
          <w:sz w:val="24"/>
          <w:szCs w:val="24"/>
        </w:rPr>
        <w:t xml:space="preserve">, </w:t>
      </w:r>
      <w:r w:rsidR="1AA6C261" w:rsidRPr="003A42FB">
        <w:rPr>
          <w:rFonts w:ascii="Times New Roman" w:eastAsiaTheme="minorEastAsia" w:hAnsi="Times New Roman" w:cs="Times New Roman"/>
          <w:sz w:val="24"/>
          <w:szCs w:val="24"/>
        </w:rPr>
        <w:t>przy nakładaniu obowiązku, o którym mowa w ust.</w:t>
      </w:r>
      <w:r w:rsidR="1C587EC4" w:rsidRPr="003A42FB">
        <w:rPr>
          <w:rFonts w:ascii="Times New Roman" w:eastAsiaTheme="minorEastAsia" w:hAnsi="Times New Roman" w:cs="Times New Roman"/>
          <w:sz w:val="24"/>
          <w:szCs w:val="24"/>
        </w:rPr>
        <w:t xml:space="preserve"> </w:t>
      </w:r>
      <w:r w:rsidR="1AA6C261" w:rsidRPr="003A42FB">
        <w:rPr>
          <w:rFonts w:ascii="Times New Roman" w:eastAsiaTheme="minorEastAsia" w:hAnsi="Times New Roman" w:cs="Times New Roman"/>
          <w:sz w:val="24"/>
          <w:szCs w:val="24"/>
        </w:rPr>
        <w:t xml:space="preserve">1 pkt. 3 </w:t>
      </w:r>
      <w:r w:rsidR="7F75C599" w:rsidRPr="003A42FB">
        <w:rPr>
          <w:rFonts w:ascii="Times New Roman" w:eastAsiaTheme="minorEastAsia" w:hAnsi="Times New Roman" w:cs="Times New Roman"/>
          <w:sz w:val="24"/>
          <w:szCs w:val="24"/>
        </w:rPr>
        <w:t>będzie mógł</w:t>
      </w:r>
      <w:r w:rsidR="1C9F92CC" w:rsidRPr="003A42FB">
        <w:rPr>
          <w:rFonts w:ascii="Times New Roman" w:eastAsiaTheme="minorEastAsia" w:hAnsi="Times New Roman" w:cs="Times New Roman"/>
          <w:sz w:val="24"/>
          <w:szCs w:val="24"/>
        </w:rPr>
        <w:t xml:space="preserve"> </w:t>
      </w:r>
      <w:r w:rsidR="0AA207FA" w:rsidRPr="003A42FB">
        <w:rPr>
          <w:rFonts w:ascii="Times New Roman" w:eastAsiaTheme="minorEastAsia" w:hAnsi="Times New Roman" w:cs="Times New Roman"/>
          <w:sz w:val="24"/>
          <w:szCs w:val="24"/>
        </w:rPr>
        <w:t>uwzględn</w:t>
      </w:r>
      <w:r w:rsidR="0D756A61" w:rsidRPr="003A42FB">
        <w:rPr>
          <w:rFonts w:ascii="Times New Roman" w:eastAsiaTheme="minorEastAsia" w:hAnsi="Times New Roman" w:cs="Times New Roman"/>
          <w:sz w:val="24"/>
          <w:szCs w:val="24"/>
        </w:rPr>
        <w:t>ić</w:t>
      </w:r>
      <w:r w:rsidR="0AA207FA" w:rsidRPr="003A42FB">
        <w:rPr>
          <w:rFonts w:ascii="Times New Roman" w:eastAsiaTheme="minorEastAsia" w:hAnsi="Times New Roman" w:cs="Times New Roman"/>
          <w:sz w:val="24"/>
          <w:szCs w:val="24"/>
        </w:rPr>
        <w:t xml:space="preserve"> opłaty z tytułu dostępu </w:t>
      </w:r>
      <w:r w:rsidR="00BF44A3" w:rsidRPr="003A42FB">
        <w:rPr>
          <w:rFonts w:ascii="Times New Roman" w:eastAsiaTheme="minorEastAsia" w:hAnsi="Times New Roman" w:cs="Times New Roman"/>
          <w:sz w:val="24"/>
          <w:szCs w:val="24"/>
        </w:rPr>
        <w:t xml:space="preserve">telekomunikacyjnego </w:t>
      </w:r>
      <w:r w:rsidR="0AA207FA" w:rsidRPr="003A42FB">
        <w:rPr>
          <w:rFonts w:ascii="Times New Roman" w:eastAsiaTheme="minorEastAsia" w:hAnsi="Times New Roman" w:cs="Times New Roman"/>
          <w:sz w:val="24"/>
          <w:szCs w:val="24"/>
        </w:rPr>
        <w:t>stosowane na porównywalnych rynkach konkurencyjnych lub regulowanych.</w:t>
      </w:r>
      <w:r w:rsidR="0E7C99B2" w:rsidRPr="003A42FB">
        <w:rPr>
          <w:rFonts w:ascii="Times New Roman" w:eastAsiaTheme="minorEastAsia" w:hAnsi="Times New Roman" w:cs="Times New Roman"/>
          <w:sz w:val="24"/>
          <w:szCs w:val="24"/>
        </w:rPr>
        <w:t xml:space="preserve"> </w:t>
      </w:r>
      <w:r w:rsidR="293AE538" w:rsidRPr="003A42FB">
        <w:rPr>
          <w:rFonts w:ascii="Times New Roman" w:eastAsiaTheme="minorEastAsia" w:hAnsi="Times New Roman" w:cs="Times New Roman"/>
          <w:sz w:val="24"/>
          <w:szCs w:val="24"/>
        </w:rPr>
        <w:t>Takie sytuacje mog</w:t>
      </w:r>
      <w:r w:rsidR="421A02C1" w:rsidRPr="003A42FB">
        <w:rPr>
          <w:rFonts w:ascii="Times New Roman" w:eastAsiaTheme="minorEastAsia" w:hAnsi="Times New Roman" w:cs="Times New Roman"/>
          <w:sz w:val="24"/>
          <w:szCs w:val="24"/>
        </w:rPr>
        <w:t>ą</w:t>
      </w:r>
      <w:r w:rsidR="293AE538" w:rsidRPr="003A42FB">
        <w:rPr>
          <w:rFonts w:ascii="Times New Roman" w:eastAsiaTheme="minorEastAsia" w:hAnsi="Times New Roman" w:cs="Times New Roman"/>
          <w:sz w:val="24"/>
          <w:szCs w:val="24"/>
        </w:rPr>
        <w:t xml:space="preserve"> dotyczyć np. rynków nowych usług, gdzie określenie kosztów </w:t>
      </w:r>
      <w:r w:rsidR="1B99361F" w:rsidRPr="003A42FB">
        <w:rPr>
          <w:rFonts w:ascii="Times New Roman" w:eastAsiaTheme="minorEastAsia" w:hAnsi="Times New Roman" w:cs="Times New Roman"/>
          <w:sz w:val="24"/>
          <w:szCs w:val="24"/>
        </w:rPr>
        <w:t xml:space="preserve">ponoszonych przez </w:t>
      </w:r>
      <w:r w:rsidR="293AE538" w:rsidRPr="003A42FB">
        <w:rPr>
          <w:rFonts w:ascii="Times New Roman" w:eastAsiaTheme="minorEastAsia" w:hAnsi="Times New Roman" w:cs="Times New Roman"/>
          <w:sz w:val="24"/>
          <w:szCs w:val="24"/>
        </w:rPr>
        <w:t>efektywn</w:t>
      </w:r>
      <w:r w:rsidR="7CD9F03A" w:rsidRPr="003A42FB">
        <w:rPr>
          <w:rFonts w:ascii="Times New Roman" w:eastAsiaTheme="minorEastAsia" w:hAnsi="Times New Roman" w:cs="Times New Roman"/>
          <w:sz w:val="24"/>
          <w:szCs w:val="24"/>
        </w:rPr>
        <w:t xml:space="preserve">ie działającego przedsiębiorcę komunikacji elektronicznej </w:t>
      </w:r>
      <w:r w:rsidR="293AE538" w:rsidRPr="003A42FB">
        <w:rPr>
          <w:rFonts w:ascii="Times New Roman" w:eastAsiaTheme="minorEastAsia" w:hAnsi="Times New Roman" w:cs="Times New Roman"/>
          <w:sz w:val="24"/>
          <w:szCs w:val="24"/>
        </w:rPr>
        <w:t xml:space="preserve">może być </w:t>
      </w:r>
      <w:r w:rsidR="7E16C7EF" w:rsidRPr="003A42FB">
        <w:rPr>
          <w:rFonts w:ascii="Times New Roman" w:eastAsiaTheme="minorEastAsia" w:hAnsi="Times New Roman" w:cs="Times New Roman"/>
          <w:sz w:val="24"/>
          <w:szCs w:val="24"/>
        </w:rPr>
        <w:t>niemożliwe</w:t>
      </w:r>
      <w:r w:rsidR="5C22E2F7" w:rsidRPr="003A42FB">
        <w:rPr>
          <w:rFonts w:ascii="Times New Roman" w:eastAsiaTheme="minorEastAsia" w:hAnsi="Times New Roman" w:cs="Times New Roman"/>
          <w:sz w:val="24"/>
          <w:szCs w:val="24"/>
        </w:rPr>
        <w:t>.</w:t>
      </w:r>
    </w:p>
    <w:p w14:paraId="3E285F5B" w14:textId="57CA4F25" w:rsidR="00A04D10" w:rsidRPr="003A42FB" w:rsidRDefault="00A04D10"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Ustęp </w:t>
      </w:r>
      <w:r w:rsidR="4735B7E4" w:rsidRPr="5372851C">
        <w:rPr>
          <w:rFonts w:ascii="Times New Roman" w:eastAsiaTheme="minorEastAsia" w:hAnsi="Times New Roman" w:cs="Times New Roman"/>
          <w:sz w:val="24"/>
          <w:szCs w:val="24"/>
        </w:rPr>
        <w:t>7</w:t>
      </w:r>
      <w:r w:rsidRPr="5372851C">
        <w:rPr>
          <w:rFonts w:ascii="Times New Roman" w:eastAsiaTheme="minorEastAsia" w:hAnsi="Times New Roman" w:cs="Times New Roman"/>
          <w:sz w:val="24"/>
          <w:szCs w:val="24"/>
        </w:rPr>
        <w:t xml:space="preserve"> dotyczy </w:t>
      </w:r>
      <w:r w:rsidR="00674686" w:rsidRPr="5372851C">
        <w:rPr>
          <w:rFonts w:ascii="Times New Roman" w:eastAsiaTheme="minorEastAsia" w:hAnsi="Times New Roman" w:cs="Times New Roman"/>
          <w:sz w:val="24"/>
          <w:szCs w:val="24"/>
        </w:rPr>
        <w:t xml:space="preserve">nowej </w:t>
      </w:r>
      <w:r w:rsidRPr="5372851C">
        <w:rPr>
          <w:rFonts w:ascii="Times New Roman" w:eastAsiaTheme="minorEastAsia" w:hAnsi="Times New Roman" w:cs="Times New Roman"/>
          <w:sz w:val="24"/>
          <w:szCs w:val="24"/>
        </w:rPr>
        <w:t xml:space="preserve">sytuacji, </w:t>
      </w:r>
      <w:r w:rsidR="00674686" w:rsidRPr="5372851C">
        <w:rPr>
          <w:rFonts w:ascii="Times New Roman" w:eastAsiaTheme="minorEastAsia" w:hAnsi="Times New Roman" w:cs="Times New Roman"/>
          <w:sz w:val="24"/>
          <w:szCs w:val="24"/>
        </w:rPr>
        <w:t xml:space="preserve">wskazanej </w:t>
      </w:r>
      <w:r w:rsidRPr="5372851C">
        <w:rPr>
          <w:rFonts w:ascii="Times New Roman" w:eastAsiaTheme="minorEastAsia" w:hAnsi="Times New Roman" w:cs="Times New Roman"/>
          <w:sz w:val="24"/>
          <w:szCs w:val="24"/>
        </w:rPr>
        <w:t>w art. 74 EKŁE</w:t>
      </w:r>
      <w:r w:rsidR="00BF38E7" w:rsidRPr="5372851C">
        <w:rPr>
          <w:rFonts w:ascii="Times New Roman" w:eastAsiaTheme="minorEastAsia" w:hAnsi="Times New Roman" w:cs="Times New Roman"/>
          <w:sz w:val="24"/>
          <w:szCs w:val="24"/>
        </w:rPr>
        <w:t xml:space="preserve"> ust. 1 </w:t>
      </w:r>
      <w:r w:rsidR="00654AEC" w:rsidRPr="5372851C">
        <w:rPr>
          <w:rFonts w:ascii="Times New Roman" w:eastAsiaTheme="minorEastAsia" w:hAnsi="Times New Roman" w:cs="Times New Roman"/>
          <w:sz w:val="24"/>
          <w:szCs w:val="24"/>
        </w:rPr>
        <w:t>akapi</w:t>
      </w:r>
      <w:r w:rsidR="00654AEC">
        <w:rPr>
          <w:rFonts w:ascii="Times New Roman" w:eastAsiaTheme="minorEastAsia" w:hAnsi="Times New Roman" w:cs="Times New Roman"/>
          <w:sz w:val="24"/>
          <w:szCs w:val="24"/>
        </w:rPr>
        <w:t>t</w:t>
      </w:r>
      <w:r w:rsidR="00BF38E7" w:rsidRPr="5372851C">
        <w:rPr>
          <w:rFonts w:ascii="Times New Roman" w:eastAsiaTheme="minorEastAsia" w:hAnsi="Times New Roman" w:cs="Times New Roman"/>
          <w:sz w:val="24"/>
          <w:szCs w:val="24"/>
        </w:rPr>
        <w:t xml:space="preserve"> 3</w:t>
      </w:r>
      <w:r w:rsidRPr="5372851C">
        <w:rPr>
          <w:rFonts w:ascii="Times New Roman" w:eastAsiaTheme="minorEastAsia" w:hAnsi="Times New Roman" w:cs="Times New Roman"/>
          <w:sz w:val="24"/>
          <w:szCs w:val="24"/>
        </w:rPr>
        <w:t xml:space="preserve">, związanej z inwestycjami poniesionymi przez </w:t>
      </w:r>
      <w:r w:rsidR="317BF835" w:rsidRPr="5372851C">
        <w:rPr>
          <w:rFonts w:ascii="Times New Roman" w:eastAsiaTheme="minorEastAsia" w:hAnsi="Times New Roman" w:cs="Times New Roman"/>
          <w:sz w:val="24"/>
          <w:szCs w:val="24"/>
        </w:rPr>
        <w:t>przedsiębiorców komunikacji elektronicznej</w:t>
      </w:r>
      <w:r w:rsidRPr="5372851C">
        <w:rPr>
          <w:rFonts w:ascii="Times New Roman" w:eastAsiaTheme="minorEastAsia" w:hAnsi="Times New Roman" w:cs="Times New Roman"/>
          <w:sz w:val="24"/>
          <w:szCs w:val="24"/>
        </w:rPr>
        <w:t xml:space="preserve"> w budowę sieci </w:t>
      </w:r>
      <w:r w:rsidR="6A92DCAC" w:rsidRPr="5372851C">
        <w:rPr>
          <w:rFonts w:ascii="Times New Roman" w:eastAsiaTheme="minorEastAsia" w:hAnsi="Times New Roman" w:cs="Times New Roman"/>
          <w:sz w:val="24"/>
          <w:szCs w:val="24"/>
        </w:rPr>
        <w:t>składającej</w:t>
      </w:r>
      <w:r w:rsidR="56764B10" w:rsidRPr="5372851C">
        <w:rPr>
          <w:rFonts w:ascii="Times New Roman" w:eastAsiaTheme="minorEastAsia" w:hAnsi="Times New Roman" w:cs="Times New Roman"/>
          <w:sz w:val="24"/>
          <w:szCs w:val="24"/>
        </w:rPr>
        <w:t xml:space="preserve"> się z </w:t>
      </w:r>
      <w:r w:rsidR="09F81662" w:rsidRPr="5372851C">
        <w:rPr>
          <w:rFonts w:ascii="Times New Roman" w:eastAsiaTheme="minorEastAsia" w:hAnsi="Times New Roman" w:cs="Times New Roman"/>
          <w:sz w:val="24"/>
          <w:szCs w:val="24"/>
        </w:rPr>
        <w:t>elementów</w:t>
      </w:r>
      <w:r w:rsidR="56764B10" w:rsidRPr="5372851C">
        <w:rPr>
          <w:rFonts w:ascii="Times New Roman" w:eastAsiaTheme="minorEastAsia" w:hAnsi="Times New Roman" w:cs="Times New Roman"/>
          <w:sz w:val="24"/>
          <w:szCs w:val="24"/>
        </w:rPr>
        <w:t xml:space="preserve"> </w:t>
      </w:r>
      <w:r w:rsidR="440B0EB8" w:rsidRPr="5372851C">
        <w:rPr>
          <w:rFonts w:ascii="Times New Roman" w:eastAsiaTheme="minorEastAsia" w:hAnsi="Times New Roman" w:cs="Times New Roman"/>
          <w:sz w:val="24"/>
          <w:szCs w:val="24"/>
        </w:rPr>
        <w:t>światłowodowych</w:t>
      </w:r>
      <w:r w:rsidR="56764B10" w:rsidRPr="5372851C">
        <w:rPr>
          <w:rFonts w:ascii="Times New Roman" w:eastAsiaTheme="minorEastAsia" w:hAnsi="Times New Roman" w:cs="Times New Roman"/>
          <w:sz w:val="24"/>
          <w:szCs w:val="24"/>
        </w:rPr>
        <w:t xml:space="preserve"> (</w:t>
      </w:r>
      <w:r w:rsidRPr="5372851C">
        <w:rPr>
          <w:rFonts w:ascii="Times New Roman" w:eastAsiaTheme="minorEastAsia" w:hAnsi="Times New Roman" w:cs="Times New Roman"/>
          <w:sz w:val="24"/>
          <w:szCs w:val="24"/>
        </w:rPr>
        <w:t>nowej generacji</w:t>
      </w:r>
      <w:r w:rsidR="2924B981" w:rsidRPr="5372851C">
        <w:rPr>
          <w:rFonts w:ascii="Times New Roman" w:eastAsiaTheme="minorEastAsia" w:hAnsi="Times New Roman" w:cs="Times New Roman"/>
          <w:sz w:val="24"/>
          <w:szCs w:val="24"/>
        </w:rPr>
        <w:t>)</w:t>
      </w:r>
      <w:r w:rsidR="2791F6B0" w:rsidRPr="5372851C">
        <w:rPr>
          <w:rFonts w:ascii="Times New Roman" w:eastAsiaTheme="minorEastAsia" w:hAnsi="Times New Roman" w:cs="Times New Roman"/>
          <w:sz w:val="24"/>
          <w:szCs w:val="24"/>
        </w:rPr>
        <w:t>,</w:t>
      </w:r>
      <w:r w:rsidRPr="5372851C">
        <w:rPr>
          <w:rFonts w:ascii="Times New Roman" w:eastAsiaTheme="minorEastAsia" w:hAnsi="Times New Roman" w:cs="Times New Roman"/>
          <w:sz w:val="24"/>
          <w:szCs w:val="24"/>
          <w:lang w:eastAsia="pl-PL"/>
        </w:rPr>
        <w:t xml:space="preserve"> w szczególności sieci o bardzo dużej przepustowości</w:t>
      </w:r>
      <w:r w:rsidRPr="5372851C">
        <w:rPr>
          <w:rFonts w:ascii="Times New Roman" w:eastAsiaTheme="minorEastAsia" w:hAnsi="Times New Roman" w:cs="Times New Roman"/>
          <w:sz w:val="24"/>
          <w:szCs w:val="24"/>
        </w:rPr>
        <w:t>, które Prezes UKE musi wziąć pod uwagę przy podejmowaniu decyzji o konieczności nałożenia obowiązków dotyczących kalkulacji kosztów</w:t>
      </w:r>
      <w:r w:rsidR="2489E744" w:rsidRPr="5372851C">
        <w:rPr>
          <w:rFonts w:ascii="Times New Roman" w:eastAsiaTheme="minorEastAsia" w:hAnsi="Times New Roman" w:cs="Times New Roman"/>
          <w:sz w:val="24"/>
          <w:szCs w:val="24"/>
        </w:rPr>
        <w:t xml:space="preserve"> i stosowania opłat</w:t>
      </w:r>
      <w:r w:rsidRPr="5372851C">
        <w:rPr>
          <w:rFonts w:ascii="Times New Roman" w:eastAsiaTheme="minorEastAsia" w:hAnsi="Times New Roman" w:cs="Times New Roman"/>
          <w:sz w:val="24"/>
          <w:szCs w:val="24"/>
        </w:rPr>
        <w:t xml:space="preserve">. Powyższy przepis ma zachęcić </w:t>
      </w:r>
      <w:r w:rsidR="5C6A7840" w:rsidRPr="5372851C">
        <w:rPr>
          <w:rFonts w:ascii="Times New Roman" w:eastAsiaTheme="minorEastAsia" w:hAnsi="Times New Roman" w:cs="Times New Roman"/>
          <w:sz w:val="24"/>
          <w:szCs w:val="24"/>
        </w:rPr>
        <w:t>przedsiębiorców komunikacji elektronicznej</w:t>
      </w:r>
      <w:r w:rsidRPr="5372851C">
        <w:rPr>
          <w:rFonts w:ascii="Times New Roman" w:eastAsiaTheme="minorEastAsia" w:hAnsi="Times New Roman" w:cs="Times New Roman"/>
          <w:sz w:val="24"/>
          <w:szCs w:val="24"/>
        </w:rPr>
        <w:t xml:space="preserve"> do </w:t>
      </w:r>
      <w:r w:rsidRPr="5372851C">
        <w:rPr>
          <w:rFonts w:ascii="Times New Roman" w:eastAsiaTheme="minorEastAsia" w:hAnsi="Times New Roman" w:cs="Times New Roman"/>
          <w:sz w:val="24"/>
          <w:szCs w:val="24"/>
        </w:rPr>
        <w:lastRenderedPageBreak/>
        <w:t xml:space="preserve">inwestycji </w:t>
      </w:r>
      <w:r w:rsidRPr="5372851C">
        <w:rPr>
          <w:rFonts w:ascii="Times New Roman" w:eastAsiaTheme="minorEastAsia" w:hAnsi="Times New Roman" w:cs="Times New Roman"/>
          <w:sz w:val="24"/>
          <w:szCs w:val="24"/>
          <w:lang w:eastAsia="pl-PL"/>
        </w:rPr>
        <w:t xml:space="preserve">w budowę sieci, w szczególności sieci o bardzo dużej przepustowości, które przy odpowiednich warunkach, wymienionych w tym przepisie, mogą doprowadzić do nienakładania lub </w:t>
      </w:r>
      <w:r w:rsidR="00FE49F1" w:rsidRPr="5372851C">
        <w:rPr>
          <w:rFonts w:ascii="Times New Roman" w:eastAsiaTheme="minorEastAsia" w:hAnsi="Times New Roman" w:cs="Times New Roman"/>
          <w:sz w:val="24"/>
          <w:szCs w:val="24"/>
          <w:lang w:eastAsia="pl-PL"/>
        </w:rPr>
        <w:t xml:space="preserve">uchylenia </w:t>
      </w:r>
      <w:r w:rsidRPr="5372851C">
        <w:rPr>
          <w:rFonts w:ascii="Times New Roman" w:eastAsiaTheme="minorEastAsia" w:hAnsi="Times New Roman" w:cs="Times New Roman"/>
          <w:sz w:val="24"/>
          <w:szCs w:val="24"/>
          <w:lang w:eastAsia="pl-PL"/>
        </w:rPr>
        <w:t>obowiązków regulacyjnych</w:t>
      </w:r>
      <w:r w:rsidR="00A1694F" w:rsidRPr="5372851C">
        <w:rPr>
          <w:rFonts w:ascii="Times New Roman" w:eastAsiaTheme="minorEastAsia" w:hAnsi="Times New Roman" w:cs="Times New Roman"/>
          <w:sz w:val="24"/>
          <w:szCs w:val="24"/>
          <w:lang w:eastAsia="pl-PL"/>
        </w:rPr>
        <w:t xml:space="preserve"> w</w:t>
      </w:r>
      <w:r w:rsidR="00504D32" w:rsidRPr="5372851C">
        <w:rPr>
          <w:rFonts w:ascii="Times New Roman" w:eastAsiaTheme="minorEastAsia" w:hAnsi="Times New Roman" w:cs="Times New Roman"/>
          <w:sz w:val="24"/>
          <w:szCs w:val="24"/>
          <w:lang w:eastAsia="pl-PL"/>
        </w:rPr>
        <w:t>skazanych</w:t>
      </w:r>
      <w:r w:rsidR="00A1694F" w:rsidRPr="5372851C">
        <w:rPr>
          <w:rFonts w:ascii="Times New Roman" w:eastAsiaTheme="minorEastAsia" w:hAnsi="Times New Roman" w:cs="Times New Roman"/>
          <w:sz w:val="24"/>
          <w:szCs w:val="24"/>
          <w:lang w:eastAsia="pl-PL"/>
        </w:rPr>
        <w:t xml:space="preserve"> w</w:t>
      </w:r>
      <w:r w:rsidRPr="5372851C">
        <w:rPr>
          <w:rFonts w:ascii="Times New Roman" w:eastAsiaTheme="minorEastAsia" w:hAnsi="Times New Roman" w:cs="Times New Roman"/>
          <w:sz w:val="24"/>
          <w:szCs w:val="24"/>
          <w:lang w:eastAsia="pl-PL"/>
        </w:rPr>
        <w:t xml:space="preserve"> </w:t>
      </w:r>
      <w:r w:rsidR="00A1694F" w:rsidRPr="5372851C">
        <w:rPr>
          <w:rFonts w:ascii="Times New Roman" w:eastAsiaTheme="minorEastAsia" w:hAnsi="Times New Roman" w:cs="Times New Roman"/>
          <w:sz w:val="24"/>
          <w:szCs w:val="24"/>
          <w:lang w:eastAsia="pl-PL"/>
        </w:rPr>
        <w:t xml:space="preserve">art. </w:t>
      </w:r>
      <w:r w:rsidR="008235FF">
        <w:rPr>
          <w:rFonts w:ascii="Times New Roman" w:eastAsiaTheme="minorEastAsia" w:hAnsi="Times New Roman" w:cs="Times New Roman"/>
          <w:sz w:val="24"/>
          <w:szCs w:val="24"/>
          <w:lang w:eastAsia="pl-PL"/>
        </w:rPr>
        <w:t>216</w:t>
      </w:r>
      <w:r w:rsidR="00A1694F" w:rsidRPr="5372851C">
        <w:rPr>
          <w:rFonts w:ascii="Times New Roman" w:eastAsiaTheme="minorEastAsia" w:hAnsi="Times New Roman" w:cs="Times New Roman"/>
          <w:sz w:val="24"/>
          <w:szCs w:val="24"/>
          <w:lang w:eastAsia="pl-PL"/>
        </w:rPr>
        <w:t xml:space="preserve"> </w:t>
      </w:r>
      <w:r w:rsidRPr="5372851C">
        <w:rPr>
          <w:rFonts w:ascii="Times New Roman" w:eastAsiaTheme="minorEastAsia" w:hAnsi="Times New Roman" w:cs="Times New Roman"/>
          <w:sz w:val="24"/>
          <w:szCs w:val="24"/>
          <w:lang w:eastAsia="pl-PL"/>
        </w:rPr>
        <w:t xml:space="preserve">w stosunku do danego </w:t>
      </w:r>
      <w:r w:rsidR="27D017C4" w:rsidRPr="5372851C">
        <w:rPr>
          <w:rFonts w:ascii="Times New Roman" w:eastAsiaTheme="minorEastAsia" w:hAnsi="Times New Roman" w:cs="Times New Roman"/>
          <w:sz w:val="24"/>
          <w:szCs w:val="24"/>
          <w:lang w:eastAsia="pl-PL"/>
        </w:rPr>
        <w:t>przedsiębiorcy</w:t>
      </w:r>
      <w:r w:rsidRPr="5372851C">
        <w:rPr>
          <w:rFonts w:ascii="Times New Roman" w:eastAsiaTheme="minorEastAsia" w:hAnsi="Times New Roman" w:cs="Times New Roman"/>
          <w:sz w:val="24"/>
          <w:szCs w:val="24"/>
          <w:lang w:eastAsia="pl-PL"/>
        </w:rPr>
        <w:t>.</w:t>
      </w:r>
    </w:p>
    <w:p w14:paraId="3931B15E" w14:textId="074B12F7" w:rsidR="372BF5D1" w:rsidRPr="003A42FB" w:rsidRDefault="372BF5D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235FF">
        <w:rPr>
          <w:rFonts w:ascii="Times New Roman" w:eastAsiaTheme="minorEastAsia" w:hAnsi="Times New Roman" w:cs="Times New Roman"/>
          <w:b/>
          <w:bCs/>
          <w:sz w:val="24"/>
          <w:szCs w:val="24"/>
        </w:rPr>
        <w:t>217</w:t>
      </w:r>
    </w:p>
    <w:p w14:paraId="07EF53DE" w14:textId="1ECAB69D" w:rsidR="372BF5D1" w:rsidRPr="003A42FB" w:rsidRDefault="372BF5D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235FF">
        <w:rPr>
          <w:rFonts w:ascii="Times New Roman" w:eastAsiaTheme="minorEastAsia" w:hAnsi="Times New Roman" w:cs="Times New Roman"/>
          <w:sz w:val="24"/>
          <w:szCs w:val="24"/>
        </w:rPr>
        <w:t>217</w:t>
      </w:r>
      <w:r w:rsidRPr="003A42FB">
        <w:rPr>
          <w:rFonts w:ascii="Times New Roman" w:eastAsiaTheme="minorEastAsia" w:hAnsi="Times New Roman" w:cs="Times New Roman"/>
          <w:sz w:val="24"/>
          <w:szCs w:val="24"/>
        </w:rPr>
        <w:t xml:space="preserve">, wdrażający art. 74 EKŁE, określa zasady dotyczące weryfikacji kosztów i opłat z tytułu </w:t>
      </w:r>
      <w:r w:rsidRPr="003A42FB">
        <w:rPr>
          <w:rFonts w:ascii="Times New Roman" w:eastAsiaTheme="minorEastAsia" w:hAnsi="Times New Roman" w:cs="Times New Roman"/>
          <w:sz w:val="24"/>
          <w:szCs w:val="24"/>
          <w:lang w:eastAsia="pl-PL"/>
        </w:rPr>
        <w:t xml:space="preserve">dostępu </w:t>
      </w:r>
      <w:r w:rsidR="003C4B3C" w:rsidRPr="003A42FB">
        <w:rPr>
          <w:rFonts w:ascii="Times New Roman" w:eastAsiaTheme="minorEastAsia" w:hAnsi="Times New Roman" w:cs="Times New Roman"/>
          <w:sz w:val="24"/>
          <w:szCs w:val="24"/>
          <w:lang w:eastAsia="pl-PL"/>
        </w:rPr>
        <w:t xml:space="preserve">telekomunikacyjnego </w:t>
      </w:r>
      <w:r w:rsidRPr="003A42FB">
        <w:rPr>
          <w:rFonts w:ascii="Times New Roman" w:eastAsiaTheme="minorEastAsia" w:hAnsi="Times New Roman" w:cs="Times New Roman"/>
          <w:sz w:val="24"/>
          <w:szCs w:val="24"/>
        </w:rPr>
        <w:t>oraz ustalania opłat</w:t>
      </w:r>
      <w:r w:rsidRPr="003A42FB">
        <w:rPr>
          <w:rFonts w:ascii="Times New Roman" w:eastAsiaTheme="minorEastAsia" w:hAnsi="Times New Roman" w:cs="Times New Roman"/>
          <w:sz w:val="24"/>
          <w:szCs w:val="24"/>
          <w:lang w:eastAsia="pl-PL"/>
        </w:rPr>
        <w:t xml:space="preserve"> z tytułu dostępu</w:t>
      </w:r>
      <w:r w:rsidR="003C4B3C" w:rsidRPr="003A42FB">
        <w:rPr>
          <w:rFonts w:ascii="Times New Roman" w:eastAsiaTheme="minorEastAsia" w:hAnsi="Times New Roman" w:cs="Times New Roman"/>
          <w:sz w:val="24"/>
          <w:szCs w:val="24"/>
          <w:lang w:eastAsia="pl-PL"/>
        </w:rPr>
        <w:t xml:space="preserve"> telekomunikacyjnego</w:t>
      </w:r>
      <w:r w:rsidRPr="003A42FB">
        <w:rPr>
          <w:rFonts w:ascii="Times New Roman" w:eastAsiaTheme="minorEastAsia" w:hAnsi="Times New Roman" w:cs="Times New Roman"/>
          <w:sz w:val="24"/>
          <w:szCs w:val="24"/>
        </w:rPr>
        <w:t>.</w:t>
      </w:r>
      <w:r w:rsidR="16C39606" w:rsidRPr="003A42FB">
        <w:rPr>
          <w:rFonts w:ascii="Times New Roman" w:eastAsiaTheme="minorEastAsia" w:hAnsi="Times New Roman" w:cs="Times New Roman"/>
          <w:sz w:val="24"/>
          <w:szCs w:val="24"/>
        </w:rPr>
        <w:t xml:space="preserve"> Art. </w:t>
      </w:r>
      <w:r w:rsidR="008235FF">
        <w:rPr>
          <w:rFonts w:ascii="Times New Roman" w:eastAsiaTheme="minorEastAsia" w:hAnsi="Times New Roman" w:cs="Times New Roman"/>
          <w:sz w:val="24"/>
          <w:szCs w:val="24"/>
        </w:rPr>
        <w:t>217</w:t>
      </w:r>
      <w:r w:rsidR="16C39606" w:rsidRPr="003A42FB">
        <w:rPr>
          <w:rFonts w:ascii="Times New Roman" w:eastAsiaTheme="minorEastAsia" w:hAnsi="Times New Roman" w:cs="Times New Roman"/>
          <w:sz w:val="24"/>
          <w:szCs w:val="24"/>
        </w:rPr>
        <w:t xml:space="preserve"> jest odpowiednikiem art. 39 u</w:t>
      </w:r>
      <w:r w:rsidR="1BC29726" w:rsidRPr="003A42FB">
        <w:rPr>
          <w:rFonts w:ascii="Times New Roman" w:eastAsiaTheme="minorEastAsia" w:hAnsi="Times New Roman" w:cs="Times New Roman"/>
          <w:sz w:val="24"/>
          <w:szCs w:val="24"/>
        </w:rPr>
        <w:t>st. 2-</w:t>
      </w:r>
      <w:r w:rsidR="00311B34" w:rsidRPr="003A42FB">
        <w:rPr>
          <w:rFonts w:ascii="Times New Roman" w:eastAsiaTheme="minorEastAsia" w:hAnsi="Times New Roman" w:cs="Times New Roman"/>
          <w:sz w:val="24"/>
          <w:szCs w:val="24"/>
        </w:rPr>
        <w:t xml:space="preserve">6 </w:t>
      </w:r>
      <w:r w:rsidR="16C39606" w:rsidRPr="003A42FB">
        <w:rPr>
          <w:rFonts w:ascii="Times New Roman" w:eastAsiaTheme="minorEastAsia" w:hAnsi="Times New Roman" w:cs="Times New Roman"/>
          <w:sz w:val="24"/>
          <w:szCs w:val="24"/>
        </w:rPr>
        <w:t>i art. 40 Pt</w:t>
      </w:r>
      <w:r w:rsidR="3D733C33" w:rsidRPr="003A42FB">
        <w:rPr>
          <w:rFonts w:ascii="Times New Roman" w:eastAsiaTheme="minorEastAsia" w:hAnsi="Times New Roman" w:cs="Times New Roman"/>
          <w:sz w:val="24"/>
          <w:szCs w:val="24"/>
        </w:rPr>
        <w:t xml:space="preserve"> ust. 2-</w:t>
      </w:r>
      <w:r w:rsidR="00311B34" w:rsidRPr="003A42FB">
        <w:rPr>
          <w:rFonts w:ascii="Times New Roman" w:eastAsiaTheme="minorEastAsia" w:hAnsi="Times New Roman" w:cs="Times New Roman"/>
          <w:sz w:val="24"/>
          <w:szCs w:val="24"/>
        </w:rPr>
        <w:t>5</w:t>
      </w:r>
      <w:r w:rsidR="16C39606" w:rsidRPr="003A42FB">
        <w:rPr>
          <w:rFonts w:ascii="Times New Roman" w:eastAsiaTheme="minorEastAsia" w:hAnsi="Times New Roman" w:cs="Times New Roman"/>
          <w:sz w:val="24"/>
          <w:szCs w:val="24"/>
        </w:rPr>
        <w:t>.</w:t>
      </w:r>
    </w:p>
    <w:p w14:paraId="4DD63E40" w14:textId="61CC5E5B" w:rsidR="372BF5D1" w:rsidRPr="003A42FB" w:rsidRDefault="372BF5D1"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Zgodnie z ust. 1</w:t>
      </w:r>
      <w:r w:rsidR="00311B34" w:rsidRPr="003A42FB">
        <w:rPr>
          <w:rFonts w:ascii="Times New Roman" w:eastAsiaTheme="minorEastAsia" w:hAnsi="Times New Roman" w:cs="Times New Roman"/>
          <w:sz w:val="24"/>
          <w:szCs w:val="24"/>
          <w:lang w:eastAsia="pl-PL"/>
        </w:rPr>
        <w:t>,</w:t>
      </w:r>
      <w:r w:rsidRPr="003A42FB">
        <w:rPr>
          <w:rFonts w:ascii="Times New Roman" w:eastAsiaTheme="minorEastAsia" w:hAnsi="Times New Roman" w:cs="Times New Roman"/>
          <w:sz w:val="24"/>
          <w:szCs w:val="24"/>
          <w:lang w:eastAsia="pl-PL"/>
        </w:rPr>
        <w:t xml:space="preserve"> </w:t>
      </w:r>
      <w:r w:rsidR="0B7C7019" w:rsidRPr="003A42FB">
        <w:rPr>
          <w:rFonts w:ascii="Times New Roman" w:eastAsiaTheme="minorEastAsia" w:hAnsi="Times New Roman" w:cs="Times New Roman"/>
          <w:sz w:val="24"/>
          <w:szCs w:val="24"/>
          <w:lang w:eastAsia="pl-PL"/>
        </w:rPr>
        <w:t>przedsiębiorca komunikacji elektronicznej</w:t>
      </w:r>
      <w:r w:rsidRPr="003A42FB">
        <w:rPr>
          <w:rFonts w:ascii="Times New Roman" w:eastAsiaTheme="minorEastAsia" w:hAnsi="Times New Roman" w:cs="Times New Roman"/>
          <w:sz w:val="24"/>
          <w:szCs w:val="24"/>
          <w:lang w:eastAsia="pl-PL"/>
        </w:rPr>
        <w:t xml:space="preserve">, na którego został nałożony obowiązek, o którym mowa w art. </w:t>
      </w:r>
      <w:r w:rsidR="0034502E">
        <w:rPr>
          <w:rFonts w:ascii="Times New Roman" w:eastAsiaTheme="minorEastAsia" w:hAnsi="Times New Roman" w:cs="Times New Roman"/>
          <w:sz w:val="24"/>
          <w:szCs w:val="24"/>
          <w:lang w:eastAsia="pl-PL"/>
        </w:rPr>
        <w:t>216</w:t>
      </w:r>
      <w:r w:rsidR="0034502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ust. 1 pkt 2, przedstawia Prezesowi UKE, szczegółowe uzasadnienie wysokości opłat ustalonych w oparciu o koszty, które ponosi </w:t>
      </w:r>
      <w:r w:rsidR="7A31F207" w:rsidRPr="003A42FB">
        <w:rPr>
          <w:rFonts w:ascii="Times New Roman" w:eastAsiaTheme="minorEastAsia" w:hAnsi="Times New Roman" w:cs="Times New Roman"/>
          <w:sz w:val="24"/>
          <w:szCs w:val="24"/>
          <w:lang w:eastAsia="pl-PL"/>
        </w:rPr>
        <w:t>przedsiębiorca komunikacji elektronicznej</w:t>
      </w:r>
      <w:r w:rsidRPr="003A42FB">
        <w:rPr>
          <w:rFonts w:ascii="Times New Roman" w:eastAsiaTheme="minorEastAsia" w:hAnsi="Times New Roman" w:cs="Times New Roman"/>
          <w:sz w:val="24"/>
          <w:szCs w:val="24"/>
          <w:lang w:eastAsia="pl-PL"/>
        </w:rPr>
        <w:t xml:space="preserve">. </w:t>
      </w:r>
    </w:p>
    <w:p w14:paraId="57F0EB75" w14:textId="784CA12C" w:rsidR="372BF5D1" w:rsidRPr="003A42FB" w:rsidRDefault="372BF5D1"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Zgodnie z ust. 2, Prezes UKE </w:t>
      </w:r>
      <w:r w:rsidR="0004478F" w:rsidRPr="003A42FB">
        <w:rPr>
          <w:rFonts w:ascii="Times New Roman" w:eastAsiaTheme="minorEastAsia" w:hAnsi="Times New Roman" w:cs="Times New Roman"/>
          <w:sz w:val="24"/>
          <w:szCs w:val="24"/>
          <w:lang w:eastAsia="pl-PL"/>
        </w:rPr>
        <w:t>weryfikuje</w:t>
      </w:r>
      <w:r w:rsidRPr="003A42FB">
        <w:rPr>
          <w:rFonts w:ascii="Times New Roman" w:eastAsiaTheme="minorEastAsia" w:hAnsi="Times New Roman" w:cs="Times New Roman"/>
          <w:sz w:val="24"/>
          <w:szCs w:val="24"/>
          <w:lang w:eastAsia="pl-PL"/>
        </w:rPr>
        <w:t xml:space="preserve"> ww. opłat</w:t>
      </w:r>
      <w:r w:rsidR="0004478F" w:rsidRPr="003A42FB">
        <w:rPr>
          <w:rFonts w:ascii="Times New Roman" w:eastAsiaTheme="minorEastAsia" w:hAnsi="Times New Roman" w:cs="Times New Roman"/>
          <w:sz w:val="24"/>
          <w:szCs w:val="24"/>
          <w:lang w:eastAsia="pl-PL"/>
        </w:rPr>
        <w:t>y</w:t>
      </w:r>
      <w:r w:rsidRPr="003A42FB">
        <w:rPr>
          <w:rFonts w:ascii="Times New Roman" w:eastAsiaTheme="minorEastAsia" w:hAnsi="Times New Roman" w:cs="Times New Roman"/>
          <w:sz w:val="24"/>
          <w:szCs w:val="24"/>
          <w:lang w:eastAsia="pl-PL"/>
        </w:rPr>
        <w:t>, ale tylko według sposob</w:t>
      </w:r>
      <w:r w:rsidR="195753D1" w:rsidRPr="003A42FB">
        <w:rPr>
          <w:rFonts w:ascii="Times New Roman" w:eastAsiaTheme="minorEastAsia" w:hAnsi="Times New Roman" w:cs="Times New Roman"/>
          <w:sz w:val="24"/>
          <w:szCs w:val="24"/>
          <w:lang w:eastAsia="pl-PL"/>
        </w:rPr>
        <w:t>ów</w:t>
      </w:r>
      <w:r w:rsidRPr="003A42FB">
        <w:rPr>
          <w:rFonts w:ascii="Times New Roman" w:eastAsiaTheme="minorEastAsia" w:hAnsi="Times New Roman" w:cs="Times New Roman"/>
          <w:sz w:val="24"/>
          <w:szCs w:val="24"/>
          <w:lang w:eastAsia="pl-PL"/>
        </w:rPr>
        <w:t xml:space="preserve"> wskazan</w:t>
      </w:r>
      <w:r w:rsidR="5B5DC31C" w:rsidRPr="003A42FB">
        <w:rPr>
          <w:rFonts w:ascii="Times New Roman" w:eastAsiaTheme="minorEastAsia" w:hAnsi="Times New Roman" w:cs="Times New Roman"/>
          <w:sz w:val="24"/>
          <w:szCs w:val="24"/>
          <w:lang w:eastAsia="pl-PL"/>
        </w:rPr>
        <w:t>ych</w:t>
      </w:r>
      <w:r w:rsidRPr="003A42FB">
        <w:rPr>
          <w:rFonts w:ascii="Times New Roman" w:eastAsiaTheme="minorEastAsia" w:hAnsi="Times New Roman" w:cs="Times New Roman"/>
          <w:sz w:val="24"/>
          <w:szCs w:val="24"/>
          <w:lang w:eastAsia="pl-PL"/>
        </w:rPr>
        <w:t xml:space="preserve"> w decyzji, nakładającej obowiązek z art. </w:t>
      </w:r>
      <w:r w:rsidR="0034502E">
        <w:rPr>
          <w:rFonts w:ascii="Times New Roman" w:eastAsiaTheme="minorEastAsia" w:hAnsi="Times New Roman" w:cs="Times New Roman"/>
          <w:sz w:val="24"/>
          <w:szCs w:val="24"/>
          <w:lang w:eastAsia="pl-PL"/>
        </w:rPr>
        <w:t>216</w:t>
      </w:r>
      <w:r w:rsidR="0034502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ust. 1 pkt 2. Jeżeli wysokość opłat okaże się nieprawidłowa, Prezes UKE sam ustala wysokość opłat z tytułu dostępu </w:t>
      </w:r>
      <w:r w:rsidR="003C4B3C" w:rsidRPr="003A42FB">
        <w:rPr>
          <w:rFonts w:ascii="Times New Roman" w:eastAsiaTheme="minorEastAsia" w:hAnsi="Times New Roman" w:cs="Times New Roman"/>
          <w:sz w:val="24"/>
          <w:szCs w:val="24"/>
          <w:lang w:eastAsia="pl-PL"/>
        </w:rPr>
        <w:t xml:space="preserve">telekomunikacyjnego </w:t>
      </w:r>
      <w:r w:rsidRPr="003A42FB">
        <w:rPr>
          <w:rFonts w:ascii="Times New Roman" w:eastAsiaTheme="minorEastAsia" w:hAnsi="Times New Roman" w:cs="Times New Roman"/>
          <w:sz w:val="24"/>
          <w:szCs w:val="24"/>
          <w:lang w:eastAsia="pl-PL"/>
        </w:rPr>
        <w:t>lub ich maksymalny albo minimalny poziom, biorąc pod uwagę wytyczne z ust. 3.</w:t>
      </w:r>
    </w:p>
    <w:p w14:paraId="41113A1C" w14:textId="4EA9C54C" w:rsidR="372BF5D1" w:rsidRPr="003A42FB" w:rsidRDefault="372BF5D1"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Natomiast w przypadku nałożenia na </w:t>
      </w:r>
      <w:r w:rsidR="3F0C0963" w:rsidRPr="003A42FB">
        <w:rPr>
          <w:rFonts w:ascii="Times New Roman" w:eastAsiaTheme="minorEastAsia" w:hAnsi="Times New Roman" w:cs="Times New Roman"/>
          <w:sz w:val="24"/>
          <w:szCs w:val="24"/>
          <w:lang w:eastAsia="pl-PL"/>
        </w:rPr>
        <w:t>przedsiębiorcę komunikacji elektronicznej</w:t>
      </w:r>
      <w:r w:rsidRPr="003A42FB">
        <w:rPr>
          <w:rFonts w:ascii="Times New Roman" w:eastAsiaTheme="minorEastAsia" w:hAnsi="Times New Roman" w:cs="Times New Roman"/>
          <w:sz w:val="24"/>
          <w:szCs w:val="24"/>
          <w:lang w:eastAsia="pl-PL"/>
        </w:rPr>
        <w:t xml:space="preserve"> obowiązku, o którym mowa w art. </w:t>
      </w:r>
      <w:r w:rsidR="0034502E">
        <w:rPr>
          <w:rFonts w:ascii="Times New Roman" w:eastAsiaTheme="minorEastAsia" w:hAnsi="Times New Roman" w:cs="Times New Roman"/>
          <w:sz w:val="24"/>
          <w:szCs w:val="24"/>
          <w:lang w:eastAsia="pl-PL"/>
        </w:rPr>
        <w:t>216</w:t>
      </w:r>
      <w:r w:rsidR="0034502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ust. 1 pkt 1</w:t>
      </w:r>
      <w:r w:rsidRPr="003A42FB">
        <w:rPr>
          <w:rFonts w:ascii="Times New Roman" w:eastAsiaTheme="minorEastAsia" w:hAnsi="Times New Roman" w:cs="Times New Roman"/>
          <w:sz w:val="24"/>
          <w:szCs w:val="24"/>
        </w:rPr>
        <w:t xml:space="preserve">, po otrzymaniu wyników kalkulacji kosztów od </w:t>
      </w:r>
      <w:r w:rsidR="6B3A56F6" w:rsidRPr="003A42FB">
        <w:rPr>
          <w:rFonts w:ascii="Times New Roman" w:eastAsiaTheme="minorEastAsia" w:hAnsi="Times New Roman" w:cs="Times New Roman"/>
          <w:sz w:val="24"/>
          <w:szCs w:val="24"/>
          <w:lang w:eastAsia="pl-PL"/>
        </w:rPr>
        <w:t>przedsiębiorcy komunikacji elektronicznej</w:t>
      </w:r>
      <w:r w:rsidR="00311B34" w:rsidRPr="003A42FB">
        <w:rPr>
          <w:rFonts w:ascii="Times New Roman" w:eastAsiaTheme="minorEastAsia" w:hAnsi="Times New Roman" w:cs="Times New Roman"/>
          <w:sz w:val="24"/>
          <w:szCs w:val="24"/>
          <w:lang w:eastAsia="pl-PL"/>
        </w:rPr>
        <w:t>,</w:t>
      </w:r>
      <w:r w:rsidR="6B3A56F6"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rPr>
        <w:t xml:space="preserve">jest przeprowadzana </w:t>
      </w:r>
      <w:r w:rsidR="00593809" w:rsidRPr="003A42FB">
        <w:rPr>
          <w:rFonts w:ascii="Times New Roman" w:eastAsiaTheme="minorEastAsia" w:hAnsi="Times New Roman" w:cs="Times New Roman"/>
          <w:sz w:val="24"/>
          <w:szCs w:val="24"/>
        </w:rPr>
        <w:t>ocena</w:t>
      </w:r>
      <w:r w:rsidR="0004478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kosztów poprzez </w:t>
      </w:r>
      <w:r w:rsidR="0004478F" w:rsidRPr="003A42FB">
        <w:rPr>
          <w:rFonts w:ascii="Times New Roman" w:eastAsiaTheme="minorEastAsia" w:hAnsi="Times New Roman" w:cs="Times New Roman"/>
          <w:sz w:val="24"/>
          <w:szCs w:val="24"/>
        </w:rPr>
        <w:t xml:space="preserve">weryfikację </w:t>
      </w:r>
      <w:r w:rsidRPr="003A42FB">
        <w:rPr>
          <w:rFonts w:ascii="Times New Roman" w:eastAsiaTheme="minorEastAsia" w:hAnsi="Times New Roman" w:cs="Times New Roman"/>
          <w:sz w:val="24"/>
          <w:szCs w:val="24"/>
        </w:rPr>
        <w:t xml:space="preserve">biegłego rewidenta, </w:t>
      </w:r>
      <w:r w:rsidR="008C1B3B" w:rsidRPr="003A42FB">
        <w:rPr>
          <w:rFonts w:ascii="Times New Roman" w:eastAsiaTheme="minorEastAsia" w:hAnsi="Times New Roman" w:cs="Times New Roman"/>
          <w:sz w:val="24"/>
          <w:szCs w:val="24"/>
          <w:lang w:eastAsia="pl-PL"/>
        </w:rPr>
        <w:t xml:space="preserve">wskazaną </w:t>
      </w:r>
      <w:r w:rsidRPr="003A42FB">
        <w:rPr>
          <w:rFonts w:ascii="Times New Roman" w:eastAsiaTheme="minorEastAsia" w:hAnsi="Times New Roman" w:cs="Times New Roman"/>
          <w:sz w:val="24"/>
          <w:szCs w:val="24"/>
          <w:lang w:eastAsia="pl-PL"/>
        </w:rPr>
        <w:t xml:space="preserve">w </w:t>
      </w:r>
      <w:r w:rsidR="5C2DE0FD" w:rsidRPr="003A42FB">
        <w:rPr>
          <w:rFonts w:ascii="Times New Roman" w:eastAsiaTheme="minorEastAsia" w:hAnsi="Times New Roman" w:cs="Times New Roman"/>
          <w:sz w:val="24"/>
          <w:szCs w:val="24"/>
          <w:lang w:eastAsia="pl-PL"/>
        </w:rPr>
        <w:t xml:space="preserve">art. </w:t>
      </w:r>
      <w:r w:rsidR="0034502E" w:rsidRPr="003A42FB">
        <w:rPr>
          <w:rFonts w:ascii="Times New Roman" w:eastAsiaTheme="minorEastAsia" w:hAnsi="Times New Roman" w:cs="Times New Roman"/>
          <w:sz w:val="24"/>
          <w:szCs w:val="24"/>
          <w:lang w:eastAsia="pl-PL"/>
        </w:rPr>
        <w:t>2</w:t>
      </w:r>
      <w:r w:rsidR="0034502E">
        <w:rPr>
          <w:rFonts w:ascii="Times New Roman" w:eastAsiaTheme="minorEastAsia" w:hAnsi="Times New Roman" w:cs="Times New Roman"/>
          <w:sz w:val="24"/>
          <w:szCs w:val="24"/>
          <w:lang w:eastAsia="pl-PL"/>
        </w:rPr>
        <w:t>57</w:t>
      </w:r>
      <w:r w:rsidR="5C2DE0FD" w:rsidRPr="003A42FB">
        <w:rPr>
          <w:rFonts w:ascii="Times New Roman" w:eastAsiaTheme="minorEastAsia" w:hAnsi="Times New Roman" w:cs="Times New Roman"/>
          <w:sz w:val="24"/>
          <w:szCs w:val="24"/>
          <w:lang w:eastAsia="pl-PL"/>
        </w:rPr>
        <w:t xml:space="preserve"> ust. </w:t>
      </w:r>
      <w:r w:rsidR="00B31FCF" w:rsidRPr="003A42FB">
        <w:rPr>
          <w:rFonts w:ascii="Times New Roman" w:eastAsiaTheme="minorEastAsia" w:hAnsi="Times New Roman" w:cs="Times New Roman"/>
          <w:sz w:val="24"/>
          <w:szCs w:val="24"/>
          <w:lang w:eastAsia="pl-PL"/>
        </w:rPr>
        <w:t>7</w:t>
      </w:r>
      <w:r w:rsidR="5C2DE0FD" w:rsidRPr="003A42FB">
        <w:rPr>
          <w:rFonts w:ascii="Times New Roman" w:eastAsiaTheme="minorEastAsia" w:hAnsi="Times New Roman" w:cs="Times New Roman"/>
          <w:sz w:val="24"/>
          <w:szCs w:val="24"/>
          <w:lang w:eastAsia="pl-PL"/>
        </w:rPr>
        <w:t>.</w:t>
      </w:r>
    </w:p>
    <w:p w14:paraId="223A5346" w14:textId="3970A553" w:rsidR="372BF5D1" w:rsidRPr="003A42FB" w:rsidRDefault="372BF5D1"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Należy podkreślić, że w przypadku obowiązku kalkulacji kosztów, nałożonego przez Prezesa UKE na </w:t>
      </w:r>
      <w:r w:rsidR="69DABF67" w:rsidRPr="003A42FB">
        <w:rPr>
          <w:rFonts w:ascii="Times New Roman" w:eastAsiaTheme="minorEastAsia" w:hAnsi="Times New Roman" w:cs="Times New Roman"/>
          <w:sz w:val="24"/>
          <w:szCs w:val="24"/>
          <w:lang w:eastAsia="pl-PL"/>
        </w:rPr>
        <w:t>przedsiębiorc</w:t>
      </w:r>
      <w:r w:rsidR="5EA48F02" w:rsidRPr="003A42FB">
        <w:rPr>
          <w:rFonts w:ascii="Times New Roman" w:eastAsiaTheme="minorEastAsia" w:hAnsi="Times New Roman" w:cs="Times New Roman"/>
          <w:sz w:val="24"/>
          <w:szCs w:val="24"/>
          <w:lang w:eastAsia="pl-PL"/>
        </w:rPr>
        <w:t xml:space="preserve">ę </w:t>
      </w:r>
      <w:r w:rsidR="69DABF67" w:rsidRPr="003A42FB">
        <w:rPr>
          <w:rFonts w:ascii="Times New Roman" w:eastAsiaTheme="minorEastAsia" w:hAnsi="Times New Roman" w:cs="Times New Roman"/>
          <w:sz w:val="24"/>
          <w:szCs w:val="24"/>
          <w:lang w:eastAsia="pl-PL"/>
        </w:rPr>
        <w:t>komunikacji elektronicznej</w:t>
      </w:r>
      <w:r w:rsidRPr="003A42FB">
        <w:rPr>
          <w:rFonts w:ascii="Times New Roman" w:eastAsiaTheme="minorEastAsia" w:hAnsi="Times New Roman" w:cs="Times New Roman"/>
          <w:sz w:val="24"/>
          <w:szCs w:val="24"/>
          <w:lang w:eastAsia="pl-PL"/>
        </w:rPr>
        <w:t xml:space="preserve">, tylko w przypadkach określonych w ust. </w:t>
      </w:r>
      <w:r w:rsidR="7380BD4E" w:rsidRPr="003A42FB">
        <w:rPr>
          <w:rFonts w:ascii="Times New Roman" w:eastAsiaTheme="minorEastAsia" w:hAnsi="Times New Roman" w:cs="Times New Roman"/>
          <w:sz w:val="24"/>
          <w:szCs w:val="24"/>
          <w:lang w:eastAsia="pl-PL"/>
        </w:rPr>
        <w:t>5</w:t>
      </w:r>
      <w:r w:rsidRPr="003A42FB">
        <w:rPr>
          <w:rFonts w:ascii="Times New Roman" w:eastAsiaTheme="minorEastAsia" w:hAnsi="Times New Roman" w:cs="Times New Roman"/>
          <w:sz w:val="24"/>
          <w:szCs w:val="24"/>
          <w:lang w:eastAsia="pl-PL"/>
        </w:rPr>
        <w:t xml:space="preserve">, Prezes UKE sam może ustalić wysokość opłat z tytułu dostępu </w:t>
      </w:r>
      <w:r w:rsidR="003C4B3C" w:rsidRPr="003A42FB">
        <w:rPr>
          <w:rFonts w:ascii="Times New Roman" w:eastAsiaTheme="minorEastAsia" w:hAnsi="Times New Roman" w:cs="Times New Roman"/>
          <w:sz w:val="24"/>
          <w:szCs w:val="24"/>
          <w:lang w:eastAsia="pl-PL"/>
        </w:rPr>
        <w:t xml:space="preserve">telekomunikacyjnego </w:t>
      </w:r>
      <w:r w:rsidRPr="003A42FB">
        <w:rPr>
          <w:rFonts w:ascii="Times New Roman" w:eastAsiaTheme="minorEastAsia" w:hAnsi="Times New Roman" w:cs="Times New Roman"/>
          <w:sz w:val="24"/>
          <w:szCs w:val="24"/>
          <w:lang w:eastAsia="pl-PL"/>
        </w:rPr>
        <w:t>lub ich maksymalny albo minimalny poziom.</w:t>
      </w:r>
    </w:p>
    <w:p w14:paraId="21D04996" w14:textId="3EF9AE41" w:rsidR="372BF5D1" w:rsidRPr="003A42FB" w:rsidRDefault="372BF5D1"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Ustęp </w:t>
      </w:r>
      <w:r w:rsidR="21A37204" w:rsidRPr="003A42FB">
        <w:rPr>
          <w:rFonts w:ascii="Times New Roman" w:eastAsiaTheme="minorEastAsia" w:hAnsi="Times New Roman" w:cs="Times New Roman"/>
          <w:sz w:val="24"/>
          <w:szCs w:val="24"/>
        </w:rPr>
        <w:t xml:space="preserve">7 </w:t>
      </w:r>
      <w:r w:rsidRPr="003A42FB">
        <w:rPr>
          <w:rFonts w:ascii="Times New Roman" w:eastAsiaTheme="minorEastAsia" w:hAnsi="Times New Roman" w:cs="Times New Roman"/>
          <w:sz w:val="24"/>
          <w:szCs w:val="24"/>
        </w:rPr>
        <w:t>dotyczy szczególnej sytuacji, wymienionej w art. 74 EKŁE</w:t>
      </w:r>
      <w:r w:rsidR="00311B34" w:rsidRPr="003A42FB">
        <w:rPr>
          <w:rFonts w:ascii="Times New Roman" w:eastAsiaTheme="minorEastAsia" w:hAnsi="Times New Roman" w:cs="Times New Roman"/>
          <w:sz w:val="24"/>
          <w:szCs w:val="24"/>
        </w:rPr>
        <w:t xml:space="preserve"> ust. 1 akapit 2</w:t>
      </w:r>
      <w:r w:rsidRPr="003A42FB">
        <w:rPr>
          <w:rFonts w:ascii="Times New Roman" w:eastAsiaTheme="minorEastAsia" w:hAnsi="Times New Roman" w:cs="Times New Roman"/>
          <w:sz w:val="24"/>
          <w:szCs w:val="24"/>
        </w:rPr>
        <w:t xml:space="preserve">, związanej z wydatkami poniesionymi przez </w:t>
      </w:r>
      <w:r w:rsidR="4569CAB5" w:rsidRPr="003A42FB">
        <w:rPr>
          <w:rFonts w:ascii="Times New Roman" w:eastAsiaTheme="minorEastAsia" w:hAnsi="Times New Roman" w:cs="Times New Roman"/>
          <w:sz w:val="24"/>
          <w:szCs w:val="24"/>
          <w:lang w:eastAsia="pl-PL"/>
        </w:rPr>
        <w:t>przedsiębiorc</w:t>
      </w:r>
      <w:r w:rsidR="12685B9C" w:rsidRPr="003A42FB">
        <w:rPr>
          <w:rFonts w:ascii="Times New Roman" w:eastAsiaTheme="minorEastAsia" w:hAnsi="Times New Roman" w:cs="Times New Roman"/>
          <w:sz w:val="24"/>
          <w:szCs w:val="24"/>
          <w:lang w:eastAsia="pl-PL"/>
        </w:rPr>
        <w:t>ę</w:t>
      </w:r>
      <w:r w:rsidR="4569CAB5" w:rsidRPr="003A42FB">
        <w:rPr>
          <w:rFonts w:ascii="Times New Roman" w:eastAsiaTheme="minorEastAsia" w:hAnsi="Times New Roman" w:cs="Times New Roman"/>
          <w:sz w:val="24"/>
          <w:szCs w:val="24"/>
          <w:lang w:eastAsia="pl-PL"/>
        </w:rPr>
        <w:t xml:space="preserve"> komunikacji elektronicznej</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lang w:eastAsia="pl-PL"/>
        </w:rPr>
        <w:t>na nowe przedsięwzięcie inwestycyjne</w:t>
      </w:r>
      <w:r w:rsidRPr="003A42FB">
        <w:rPr>
          <w:rFonts w:ascii="Times New Roman" w:eastAsiaTheme="minorEastAsia" w:hAnsi="Times New Roman" w:cs="Times New Roman"/>
          <w:sz w:val="24"/>
          <w:szCs w:val="24"/>
        </w:rPr>
        <w:t xml:space="preserve">, które Prezes UKE musi wziąć pod uwagę przy </w:t>
      </w:r>
      <w:r w:rsidRPr="003A42FB">
        <w:rPr>
          <w:rFonts w:ascii="Times New Roman" w:eastAsiaTheme="minorEastAsia" w:hAnsi="Times New Roman" w:cs="Times New Roman"/>
          <w:sz w:val="24"/>
          <w:szCs w:val="24"/>
          <w:lang w:eastAsia="pl-PL"/>
        </w:rPr>
        <w:t>ustalaniu opłat z tytułu dostępu</w:t>
      </w:r>
      <w:r w:rsidR="003C4B3C" w:rsidRPr="003A42FB">
        <w:rPr>
          <w:rFonts w:ascii="Times New Roman" w:eastAsiaTheme="minorEastAsia" w:hAnsi="Times New Roman" w:cs="Times New Roman"/>
          <w:sz w:val="24"/>
          <w:szCs w:val="24"/>
          <w:lang w:eastAsia="pl-PL"/>
        </w:rPr>
        <w:t xml:space="preserve"> telekomunikacyjnego.</w:t>
      </w:r>
      <w:r w:rsidRPr="003A42FB">
        <w:rPr>
          <w:rFonts w:ascii="Times New Roman" w:eastAsiaTheme="minorEastAsia" w:hAnsi="Times New Roman" w:cs="Times New Roman"/>
          <w:sz w:val="24"/>
          <w:szCs w:val="24"/>
        </w:rPr>
        <w:t xml:space="preserve"> Powyższe przepisy mają na celu zachętę dla </w:t>
      </w:r>
      <w:r w:rsidR="7DC2B4DD" w:rsidRPr="003A42FB">
        <w:rPr>
          <w:rFonts w:ascii="Times New Roman" w:eastAsiaTheme="minorEastAsia" w:hAnsi="Times New Roman" w:cs="Times New Roman"/>
          <w:sz w:val="24"/>
          <w:szCs w:val="24"/>
          <w:lang w:eastAsia="pl-PL"/>
        </w:rPr>
        <w:t>przedsiębiorc</w:t>
      </w:r>
      <w:r w:rsidR="7FC9E2C5" w:rsidRPr="003A42FB">
        <w:rPr>
          <w:rFonts w:ascii="Times New Roman" w:eastAsiaTheme="minorEastAsia" w:hAnsi="Times New Roman" w:cs="Times New Roman"/>
          <w:sz w:val="24"/>
          <w:szCs w:val="24"/>
          <w:lang w:eastAsia="pl-PL"/>
        </w:rPr>
        <w:t>y</w:t>
      </w:r>
      <w:r w:rsidR="7DC2B4DD" w:rsidRPr="003A42FB">
        <w:rPr>
          <w:rFonts w:ascii="Times New Roman" w:eastAsiaTheme="minorEastAsia" w:hAnsi="Times New Roman" w:cs="Times New Roman"/>
          <w:sz w:val="24"/>
          <w:szCs w:val="24"/>
          <w:lang w:eastAsia="pl-PL"/>
        </w:rPr>
        <w:t xml:space="preserve"> komunikacji elektronicznej</w:t>
      </w:r>
      <w:r w:rsidRPr="003A42FB">
        <w:rPr>
          <w:rFonts w:ascii="Times New Roman" w:eastAsiaTheme="minorEastAsia" w:hAnsi="Times New Roman" w:cs="Times New Roman"/>
          <w:sz w:val="24"/>
          <w:szCs w:val="24"/>
        </w:rPr>
        <w:t xml:space="preserve"> do </w:t>
      </w:r>
      <w:r w:rsidRPr="003A42FB">
        <w:rPr>
          <w:rFonts w:ascii="Times New Roman" w:eastAsiaTheme="minorEastAsia" w:hAnsi="Times New Roman" w:cs="Times New Roman"/>
          <w:sz w:val="24"/>
          <w:szCs w:val="24"/>
          <w:lang w:eastAsia="pl-PL"/>
        </w:rPr>
        <w:t xml:space="preserve">realizacji nowych przedsięwzięć inwestycyjnych, w tym budowy sieci </w:t>
      </w:r>
      <w:r w:rsidR="53A62A17" w:rsidRPr="003A42FB">
        <w:rPr>
          <w:rFonts w:ascii="Times New Roman" w:eastAsiaTheme="minorEastAsia" w:hAnsi="Times New Roman" w:cs="Times New Roman"/>
          <w:sz w:val="24"/>
          <w:szCs w:val="24"/>
          <w:lang w:eastAsia="pl-PL"/>
        </w:rPr>
        <w:t>o bardzo dużej przepustowości.</w:t>
      </w:r>
      <w:r w:rsidR="00FE49F1" w:rsidRPr="003A42FB">
        <w:rPr>
          <w:rFonts w:ascii="Times New Roman" w:eastAsiaTheme="minorEastAsia" w:hAnsi="Times New Roman" w:cs="Times New Roman"/>
          <w:sz w:val="24"/>
          <w:szCs w:val="24"/>
          <w:lang w:eastAsia="pl-PL"/>
        </w:rPr>
        <w:t xml:space="preserve"> Ust. 7</w:t>
      </w:r>
      <w:r w:rsidR="00FE49F1" w:rsidRPr="003A42FB">
        <w:rPr>
          <w:rFonts w:ascii="Times New Roman" w:eastAsiaTheme="minorEastAsia" w:hAnsi="Times New Roman" w:cs="Times New Roman"/>
          <w:sz w:val="24"/>
          <w:szCs w:val="24"/>
        </w:rPr>
        <w:t xml:space="preserve"> jest odpowiednikiem art. 39 ust. 6 i art. 40 ust. 5 Pt.</w:t>
      </w:r>
    </w:p>
    <w:p w14:paraId="5D1029E7" w14:textId="6202E706" w:rsidR="5D713A1E" w:rsidRPr="003A42FB" w:rsidRDefault="5D713A1E"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4502E">
        <w:rPr>
          <w:rFonts w:ascii="Times New Roman" w:eastAsiaTheme="minorEastAsia" w:hAnsi="Times New Roman" w:cs="Times New Roman"/>
          <w:b/>
          <w:bCs/>
          <w:sz w:val="24"/>
          <w:szCs w:val="24"/>
        </w:rPr>
        <w:t>218</w:t>
      </w:r>
    </w:p>
    <w:p w14:paraId="6C5FA8DD" w14:textId="127628B2" w:rsidR="5D713A1E" w:rsidRPr="003A42FB" w:rsidRDefault="5D713A1E"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Projektowany przepis reguluje kwestię rozliczeń między przedsiębiorcami komunikacji elektronicznej związanych z przenoszeniem numerów (ust. 1) oraz wyborem dostawcy usług (ust. 2). Artykuł implementuje art. 106 EKŁE i łączy się z prawem dla abonentów do bezpłatnego przeniesienia numeru oraz wyboru dostawcy usług</w:t>
      </w:r>
      <w:r w:rsidR="009D2489">
        <w:rPr>
          <w:rFonts w:ascii="Times New Roman" w:eastAsiaTheme="minorEastAsia" w:hAnsi="Times New Roman" w:cs="Times New Roman"/>
          <w:sz w:val="24"/>
          <w:szCs w:val="24"/>
          <w:lang w:eastAsia="pl-PL"/>
        </w:rPr>
        <w:t>.</w:t>
      </w:r>
    </w:p>
    <w:p w14:paraId="635043E7" w14:textId="78297604" w:rsidR="5D713A1E" w:rsidRPr="003A42FB" w:rsidRDefault="5D713A1E"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Przepisy informują tylko, że w przypadku ustanowienia opłat przez przedsiębiorców komunikacji elektronicznej związanych z przenoszeniem numerów</w:t>
      </w:r>
      <w:r w:rsidRPr="003A42FB">
        <w:rPr>
          <w:rFonts w:ascii="Times New Roman" w:eastAsiaTheme="minorEastAsia" w:hAnsi="Times New Roman" w:cs="Times New Roman"/>
          <w:sz w:val="24"/>
          <w:szCs w:val="24"/>
        </w:rPr>
        <w:t xml:space="preserve"> lub wyborem dostawcy usług</w:t>
      </w:r>
      <w:r w:rsidRPr="003A42FB">
        <w:rPr>
          <w:rFonts w:ascii="Times New Roman" w:eastAsiaTheme="minorEastAsia" w:hAnsi="Times New Roman" w:cs="Times New Roman"/>
          <w:sz w:val="24"/>
          <w:szCs w:val="24"/>
          <w:lang w:eastAsia="pl-PL"/>
        </w:rPr>
        <w:t>, to te opłaty mają uwzględniać ponoszone koszty związane z tą usługą.</w:t>
      </w:r>
    </w:p>
    <w:p w14:paraId="697FA1D7" w14:textId="5A03F04E" w:rsidR="39E3101E" w:rsidRPr="003A42FB" w:rsidRDefault="39E3101E"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Art. </w:t>
      </w:r>
      <w:r w:rsidR="0034502E">
        <w:rPr>
          <w:rFonts w:ascii="Times New Roman" w:eastAsiaTheme="minorEastAsia" w:hAnsi="Times New Roman" w:cs="Times New Roman"/>
          <w:sz w:val="24"/>
          <w:szCs w:val="24"/>
          <w:lang w:eastAsia="pl-PL"/>
        </w:rPr>
        <w:t>218</w:t>
      </w:r>
      <w:r w:rsidR="0034502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jest odpowiednikiem art. 41 Pt.</w:t>
      </w:r>
    </w:p>
    <w:p w14:paraId="3C229E5E" w14:textId="6426D0A7" w:rsidR="1A4898FB" w:rsidRPr="003A42FB" w:rsidRDefault="1A4898FB"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4502E">
        <w:rPr>
          <w:rFonts w:ascii="Times New Roman" w:eastAsiaTheme="minorEastAsia" w:hAnsi="Times New Roman" w:cs="Times New Roman"/>
          <w:b/>
          <w:bCs/>
          <w:sz w:val="24"/>
          <w:szCs w:val="24"/>
        </w:rPr>
        <w:t>219</w:t>
      </w:r>
    </w:p>
    <w:p w14:paraId="37EF4129" w14:textId="2A827210" w:rsidR="00FE49F1" w:rsidRPr="003A42FB" w:rsidRDefault="1A4898F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dotyczy ustalania opłat za zakańczanie połączenia głosowego w sieciach stacjonarnych lub ruchomych</w:t>
      </w:r>
      <w:r w:rsidRPr="003A42FB">
        <w:rPr>
          <w:rFonts w:ascii="Times New Roman" w:eastAsiaTheme="minorEastAsia" w:hAnsi="Times New Roman" w:cs="Times New Roman"/>
          <w:sz w:val="24"/>
          <w:szCs w:val="24"/>
          <w:lang w:eastAsia="pl-PL"/>
        </w:rPr>
        <w:t xml:space="preserve"> i stanowi implementację </w:t>
      </w:r>
      <w:r w:rsidR="7B785BA4" w:rsidRPr="003A42FB">
        <w:rPr>
          <w:rFonts w:ascii="Times New Roman" w:eastAsiaTheme="minorEastAsia" w:hAnsi="Times New Roman" w:cs="Times New Roman"/>
          <w:sz w:val="24"/>
          <w:szCs w:val="24"/>
          <w:lang w:eastAsia="pl-PL"/>
        </w:rPr>
        <w:t xml:space="preserve">nowej regulacji czyli </w:t>
      </w:r>
      <w:r w:rsidRPr="003A42FB">
        <w:rPr>
          <w:rFonts w:ascii="Times New Roman" w:eastAsiaTheme="minorEastAsia" w:hAnsi="Times New Roman" w:cs="Times New Roman"/>
          <w:sz w:val="24"/>
          <w:szCs w:val="24"/>
          <w:lang w:eastAsia="pl-PL"/>
        </w:rPr>
        <w:t>artykułu 75 EKŁE</w:t>
      </w:r>
      <w:r w:rsidRPr="003A42FB">
        <w:rPr>
          <w:rFonts w:ascii="Times New Roman" w:eastAsiaTheme="minorEastAsia" w:hAnsi="Times New Roman" w:cs="Times New Roman"/>
          <w:sz w:val="24"/>
          <w:szCs w:val="24"/>
        </w:rPr>
        <w:t>. Zgodnie z przepis</w:t>
      </w:r>
      <w:r w:rsidR="3F933632" w:rsidRPr="003A42FB">
        <w:rPr>
          <w:rFonts w:ascii="Times New Roman" w:eastAsiaTheme="minorEastAsia" w:hAnsi="Times New Roman" w:cs="Times New Roman"/>
          <w:sz w:val="24"/>
          <w:szCs w:val="24"/>
        </w:rPr>
        <w:t>em</w:t>
      </w:r>
      <w:r w:rsidRPr="003A42FB">
        <w:rPr>
          <w:rFonts w:ascii="Times New Roman" w:eastAsiaTheme="minorEastAsia" w:hAnsi="Times New Roman" w:cs="Times New Roman"/>
          <w:sz w:val="24"/>
          <w:szCs w:val="24"/>
        </w:rPr>
        <w:t xml:space="preserve"> ust. 1, </w:t>
      </w:r>
      <w:r w:rsidR="606958C0" w:rsidRPr="003A42FB">
        <w:rPr>
          <w:rFonts w:ascii="Times New Roman" w:eastAsiaTheme="minorEastAsia" w:hAnsi="Times New Roman" w:cs="Times New Roman"/>
          <w:sz w:val="24"/>
          <w:szCs w:val="24"/>
          <w:lang w:eastAsia="pl-PL"/>
        </w:rPr>
        <w:t>przedsiębiorca komunikacji elektronicznej</w:t>
      </w:r>
      <w:r w:rsidRPr="003A42FB">
        <w:rPr>
          <w:rFonts w:ascii="Times New Roman" w:eastAsiaTheme="minorEastAsia" w:hAnsi="Times New Roman" w:cs="Times New Roman"/>
          <w:sz w:val="24"/>
          <w:szCs w:val="24"/>
        </w:rPr>
        <w:t xml:space="preserve"> stosuje </w:t>
      </w:r>
      <w:r w:rsidR="7B5496CC" w:rsidRPr="003A42FB">
        <w:rPr>
          <w:rFonts w:ascii="Times New Roman" w:eastAsiaTheme="minorEastAsia" w:hAnsi="Times New Roman" w:cs="Times New Roman"/>
          <w:sz w:val="24"/>
          <w:szCs w:val="24"/>
        </w:rPr>
        <w:t xml:space="preserve">nie wyższe niż </w:t>
      </w:r>
      <w:r w:rsidRPr="003A42FB">
        <w:rPr>
          <w:rFonts w:ascii="Times New Roman" w:eastAsiaTheme="minorEastAsia" w:hAnsi="Times New Roman" w:cs="Times New Roman"/>
          <w:sz w:val="24"/>
          <w:szCs w:val="24"/>
        </w:rPr>
        <w:t>maksymalne opłaty</w:t>
      </w:r>
      <w:r w:rsidR="5E727DF5"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zgodn</w:t>
      </w:r>
      <w:r w:rsidR="0090347E"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e z aktem delegowanym</w:t>
      </w:r>
      <w:r w:rsidR="68AFAB6E" w:rsidRPr="003A42FB">
        <w:rPr>
          <w:rFonts w:ascii="Times New Roman" w:eastAsiaTheme="minorEastAsia" w:hAnsi="Times New Roman" w:cs="Times New Roman"/>
          <w:sz w:val="24"/>
          <w:szCs w:val="24"/>
        </w:rPr>
        <w:t xml:space="preserve"> wydanym</w:t>
      </w:r>
      <w:r w:rsidRPr="003A42FB">
        <w:rPr>
          <w:rFonts w:ascii="Times New Roman" w:eastAsiaTheme="minorEastAsia" w:hAnsi="Times New Roman" w:cs="Times New Roman"/>
          <w:sz w:val="24"/>
          <w:szCs w:val="24"/>
        </w:rPr>
        <w:t xml:space="preserve"> przez KE w tym zakresie. </w:t>
      </w:r>
      <w:r w:rsidR="0098258D" w:rsidRPr="003A42FB">
        <w:rPr>
          <w:rFonts w:ascii="Times New Roman" w:eastAsiaTheme="minorEastAsia" w:hAnsi="Times New Roman" w:cs="Times New Roman"/>
          <w:sz w:val="24"/>
          <w:szCs w:val="24"/>
        </w:rPr>
        <w:lastRenderedPageBreak/>
        <w:t>Zgodnie z najlepszą wiedzą projektodawcy w tym zakresie, na podstawie art. 75 EKŁE</w:t>
      </w:r>
      <w:r w:rsidR="005E495A" w:rsidRPr="003A42FB">
        <w:rPr>
          <w:rFonts w:ascii="Times New Roman" w:eastAsiaTheme="minorEastAsia" w:hAnsi="Times New Roman" w:cs="Times New Roman"/>
          <w:sz w:val="24"/>
          <w:szCs w:val="24"/>
        </w:rPr>
        <w:t xml:space="preserve"> </w:t>
      </w:r>
      <w:r w:rsidR="00A35315" w:rsidRPr="003A42FB">
        <w:rPr>
          <w:rFonts w:ascii="Times New Roman" w:eastAsiaTheme="minorEastAsia" w:hAnsi="Times New Roman" w:cs="Times New Roman"/>
          <w:sz w:val="24"/>
          <w:szCs w:val="24"/>
        </w:rPr>
        <w:t xml:space="preserve">ust.1, </w:t>
      </w:r>
      <w:r w:rsidR="005E495A" w:rsidRPr="003A42FB">
        <w:rPr>
          <w:rFonts w:ascii="Times New Roman" w:eastAsiaTheme="minorEastAsia" w:hAnsi="Times New Roman" w:cs="Times New Roman"/>
          <w:sz w:val="24"/>
          <w:szCs w:val="24"/>
        </w:rPr>
        <w:t>Komisja Europejska planuje wydać rozporządzenie, czyli akt delegowany</w:t>
      </w:r>
      <w:r w:rsidR="00B86E1E" w:rsidRPr="003A42FB">
        <w:rPr>
          <w:rFonts w:ascii="Times New Roman" w:eastAsiaTheme="minorEastAsia" w:hAnsi="Times New Roman" w:cs="Times New Roman"/>
          <w:sz w:val="24"/>
          <w:szCs w:val="24"/>
        </w:rPr>
        <w:t>,</w:t>
      </w:r>
      <w:r w:rsidR="005E495A" w:rsidRPr="003A42FB">
        <w:rPr>
          <w:rFonts w:ascii="Times New Roman" w:eastAsiaTheme="minorEastAsia" w:hAnsi="Times New Roman" w:cs="Times New Roman"/>
          <w:sz w:val="24"/>
          <w:szCs w:val="24"/>
        </w:rPr>
        <w:t xml:space="preserve"> który</w:t>
      </w:r>
      <w:r w:rsidR="0098258D" w:rsidRPr="003A42FB">
        <w:rPr>
          <w:rFonts w:ascii="Times New Roman" w:eastAsiaTheme="minorEastAsia" w:hAnsi="Times New Roman" w:cs="Times New Roman"/>
          <w:sz w:val="24"/>
          <w:szCs w:val="24"/>
        </w:rPr>
        <w:t xml:space="preserve"> </w:t>
      </w:r>
      <w:r w:rsidR="0098258D" w:rsidRPr="003A42FB">
        <w:rPr>
          <w:rFonts w:ascii="Times New Roman" w:hAnsi="Times New Roman" w:cs="Times New Roman"/>
          <w:sz w:val="24"/>
          <w:szCs w:val="24"/>
        </w:rPr>
        <w:t xml:space="preserve">nie </w:t>
      </w:r>
      <w:r w:rsidR="001C051E" w:rsidRPr="003A42FB">
        <w:rPr>
          <w:rFonts w:ascii="Times New Roman" w:hAnsi="Times New Roman" w:cs="Times New Roman"/>
          <w:sz w:val="24"/>
          <w:szCs w:val="24"/>
        </w:rPr>
        <w:t xml:space="preserve">będzie </w:t>
      </w:r>
      <w:r w:rsidR="0098258D" w:rsidRPr="003A42FB">
        <w:rPr>
          <w:rFonts w:ascii="Times New Roman" w:hAnsi="Times New Roman" w:cs="Times New Roman"/>
          <w:sz w:val="24"/>
          <w:szCs w:val="24"/>
        </w:rPr>
        <w:t>wymaga</w:t>
      </w:r>
      <w:r w:rsidR="001C051E" w:rsidRPr="003A42FB">
        <w:rPr>
          <w:rFonts w:ascii="Times New Roman" w:hAnsi="Times New Roman" w:cs="Times New Roman"/>
          <w:sz w:val="24"/>
          <w:szCs w:val="24"/>
        </w:rPr>
        <w:t>ł</w:t>
      </w:r>
      <w:r w:rsidR="0098258D" w:rsidRPr="003A42FB">
        <w:rPr>
          <w:rFonts w:ascii="Times New Roman" w:hAnsi="Times New Roman" w:cs="Times New Roman"/>
          <w:sz w:val="24"/>
          <w:szCs w:val="24"/>
        </w:rPr>
        <w:t xml:space="preserve"> transpozycji jak każde rozporządzenie przyjmowane przez instytucje unijne, niezależnie czy ma charakter ustawodawczy (jak rozporządzenie), czy nieustawodawczy (jak np. rozporządzenie wykonawcze).</w:t>
      </w:r>
      <w:r w:rsidR="00C26B10" w:rsidRPr="003A42FB">
        <w:rPr>
          <w:rFonts w:ascii="Times New Roman" w:hAnsi="Times New Roman" w:cs="Times New Roman"/>
          <w:sz w:val="24"/>
          <w:szCs w:val="24"/>
        </w:rPr>
        <w:t xml:space="preserve"> Przepis ust. 1 porządkuje tylko regulacje w tym zakresie</w:t>
      </w:r>
      <w:r w:rsidR="00B86E1E" w:rsidRPr="003A42FB">
        <w:rPr>
          <w:rFonts w:ascii="Times New Roman" w:hAnsi="Times New Roman" w:cs="Times New Roman"/>
          <w:sz w:val="24"/>
          <w:szCs w:val="24"/>
        </w:rPr>
        <w:t>.</w:t>
      </w:r>
    </w:p>
    <w:p w14:paraId="77008B39" w14:textId="63B02A2B" w:rsidR="1A4898FB" w:rsidRPr="003A42FB" w:rsidRDefault="1A4898FB"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W przypadku niewydania przez KE </w:t>
      </w:r>
      <w:r w:rsidR="00832761" w:rsidRPr="003A42FB">
        <w:rPr>
          <w:rFonts w:ascii="Times New Roman" w:eastAsiaTheme="minorEastAsia" w:hAnsi="Times New Roman" w:cs="Times New Roman"/>
          <w:sz w:val="24"/>
          <w:szCs w:val="24"/>
        </w:rPr>
        <w:t xml:space="preserve">ww. </w:t>
      </w:r>
      <w:r w:rsidRPr="003A42FB">
        <w:rPr>
          <w:rFonts w:ascii="Times New Roman" w:eastAsiaTheme="minorEastAsia" w:hAnsi="Times New Roman" w:cs="Times New Roman"/>
          <w:sz w:val="24"/>
          <w:szCs w:val="24"/>
        </w:rPr>
        <w:t xml:space="preserve">aktu delegowanego określającego maksymalne stawki za zakańczanie połączeń głosowych, zgodnie z projektowanym ust. 2, Prezes UKE może w drodze decyzji, nałożyć na </w:t>
      </w:r>
      <w:r w:rsidR="14EFF439" w:rsidRPr="003A42FB">
        <w:rPr>
          <w:rFonts w:ascii="Times New Roman" w:eastAsiaTheme="minorEastAsia" w:hAnsi="Times New Roman" w:cs="Times New Roman"/>
          <w:sz w:val="24"/>
          <w:szCs w:val="24"/>
          <w:lang w:eastAsia="pl-PL"/>
        </w:rPr>
        <w:t>przedsiębiorcę komunikacji elektronicznej</w:t>
      </w:r>
      <w:r w:rsidRPr="003A42FB">
        <w:rPr>
          <w:rFonts w:ascii="Times New Roman" w:eastAsiaTheme="minorEastAsia" w:hAnsi="Times New Roman" w:cs="Times New Roman"/>
          <w:sz w:val="24"/>
          <w:szCs w:val="24"/>
        </w:rPr>
        <w:t xml:space="preserve"> o znaczącej pozycji rynkowej obowiązek </w:t>
      </w:r>
      <w:r w:rsidRPr="003A42FB">
        <w:rPr>
          <w:rFonts w:ascii="Times New Roman" w:eastAsiaTheme="minorEastAsia" w:hAnsi="Times New Roman" w:cs="Times New Roman"/>
          <w:sz w:val="24"/>
          <w:szCs w:val="24"/>
          <w:lang w:eastAsia="pl-PL"/>
        </w:rPr>
        <w:t>stosowania opłaty za zakańczanie połączeń w określonej przez Prezesa UKE wysokości. Prezes UKE, określając opłaty będzie musiał wziąć pod uwagę zasady wymienione w ust. 3, stanowiące implementację zasad określonych w Załączniku nr III do EKŁE.</w:t>
      </w:r>
    </w:p>
    <w:p w14:paraId="5B3E7566" w14:textId="12C70A68" w:rsidR="1A4898FB" w:rsidRPr="003A42FB" w:rsidRDefault="75663AF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lang w:eastAsia="pl-PL"/>
        </w:rPr>
        <w:t xml:space="preserve">Zgodnie z ust. </w:t>
      </w:r>
      <w:r w:rsidR="6C1577B6" w:rsidRPr="003A42FB">
        <w:rPr>
          <w:rFonts w:ascii="Times New Roman" w:eastAsiaTheme="minorEastAsia" w:hAnsi="Times New Roman" w:cs="Times New Roman"/>
          <w:sz w:val="24"/>
          <w:szCs w:val="24"/>
          <w:lang w:eastAsia="pl-PL"/>
        </w:rPr>
        <w:t>4</w:t>
      </w:r>
      <w:r w:rsidRPr="003A42FB">
        <w:rPr>
          <w:rFonts w:ascii="Times New Roman" w:eastAsiaTheme="minorEastAsia" w:hAnsi="Times New Roman" w:cs="Times New Roman"/>
          <w:sz w:val="24"/>
          <w:szCs w:val="24"/>
          <w:lang w:eastAsia="pl-PL"/>
        </w:rPr>
        <w:t xml:space="preserve">, wdrażającym ust. 3 </w:t>
      </w:r>
      <w:r w:rsidR="00A643CD">
        <w:rPr>
          <w:rFonts w:ascii="Times New Roman" w:eastAsiaTheme="minorEastAsia" w:hAnsi="Times New Roman" w:cs="Times New Roman"/>
          <w:sz w:val="24"/>
          <w:szCs w:val="24"/>
          <w:lang w:eastAsia="pl-PL"/>
        </w:rPr>
        <w:t>z</w:t>
      </w:r>
      <w:r w:rsidRPr="003A42FB">
        <w:rPr>
          <w:rFonts w:ascii="Times New Roman" w:eastAsiaTheme="minorEastAsia" w:hAnsi="Times New Roman" w:cs="Times New Roman"/>
          <w:sz w:val="24"/>
          <w:szCs w:val="24"/>
          <w:lang w:eastAsia="pl-PL"/>
        </w:rPr>
        <w:t xml:space="preserve"> art. 75 EKŁE, Prezes UKE ma obowiązek monitorować </w:t>
      </w:r>
      <w:r w:rsidRPr="003A42FB">
        <w:rPr>
          <w:rFonts w:ascii="Times New Roman" w:eastAsiaTheme="minorEastAsia" w:hAnsi="Times New Roman" w:cs="Times New Roman"/>
          <w:sz w:val="24"/>
          <w:szCs w:val="24"/>
        </w:rPr>
        <w:t xml:space="preserve">wysokość opłat za zakańczanie połączeń głosowych w sieciach stacjonarnych lub ruchomych oraz zapewniać ich zgodność z opłatami określonymi w akcie delegowanym, </w:t>
      </w:r>
      <w:r w:rsidRPr="003A42FB">
        <w:rPr>
          <w:rFonts w:ascii="Times New Roman" w:eastAsiaTheme="minorEastAsia" w:hAnsi="Times New Roman" w:cs="Times New Roman"/>
          <w:sz w:val="24"/>
          <w:szCs w:val="24"/>
          <w:lang w:eastAsia="pl-PL"/>
        </w:rPr>
        <w:t xml:space="preserve">wydawanym na podstawie art. 75 ust. 1 EKŁE. </w:t>
      </w:r>
      <w:r w:rsidR="1A4898FB" w:rsidRPr="003A42FB">
        <w:rPr>
          <w:rFonts w:ascii="Times New Roman" w:eastAsiaTheme="minorEastAsia" w:hAnsi="Times New Roman" w:cs="Times New Roman"/>
          <w:sz w:val="24"/>
          <w:szCs w:val="24"/>
        </w:rPr>
        <w:t xml:space="preserve">Zgodnie z ust. </w:t>
      </w:r>
      <w:r w:rsidR="375EE947" w:rsidRPr="003A42FB">
        <w:rPr>
          <w:rFonts w:ascii="Times New Roman" w:eastAsiaTheme="minorEastAsia" w:hAnsi="Times New Roman" w:cs="Times New Roman"/>
          <w:sz w:val="24"/>
          <w:szCs w:val="24"/>
        </w:rPr>
        <w:t>5</w:t>
      </w:r>
      <w:r w:rsidR="1A4898FB" w:rsidRPr="003A42FB">
        <w:rPr>
          <w:rFonts w:ascii="Times New Roman" w:eastAsiaTheme="minorEastAsia" w:hAnsi="Times New Roman" w:cs="Times New Roman"/>
          <w:sz w:val="24"/>
          <w:szCs w:val="24"/>
        </w:rPr>
        <w:t xml:space="preserve">, Prezes UKE jest zobowiązany przedstawiać KE i BEREC sprawozdanie dotyczące stosowania opłat za zakańczanie połączeń głosowych w sieciach stacjonarnych lub ruchomych, co też jest wymogiem wynikającym z </w:t>
      </w:r>
      <w:r w:rsidR="1A4898FB" w:rsidRPr="003A42FB">
        <w:rPr>
          <w:rFonts w:ascii="Times New Roman" w:eastAsiaTheme="minorEastAsia" w:hAnsi="Times New Roman" w:cs="Times New Roman"/>
          <w:sz w:val="24"/>
          <w:szCs w:val="24"/>
          <w:lang w:eastAsia="pl-PL"/>
        </w:rPr>
        <w:t>ust. 3 w art. 75 EKŁE.</w:t>
      </w:r>
    </w:p>
    <w:p w14:paraId="5B8EE23F" w14:textId="78E7034E" w:rsidR="00C953E3" w:rsidRPr="003A42FB" w:rsidRDefault="00C953E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220</w:t>
      </w:r>
    </w:p>
    <w:p w14:paraId="159A045D" w14:textId="24A2C1D6" w:rsidR="00C953E3" w:rsidRPr="003A42FB" w:rsidRDefault="00A3221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w:t>
      </w:r>
      <w:r w:rsidR="00C953E3" w:rsidRPr="003A42FB">
        <w:rPr>
          <w:rFonts w:ascii="Times New Roman" w:eastAsiaTheme="minorEastAsia" w:hAnsi="Times New Roman" w:cs="Times New Roman"/>
          <w:sz w:val="24"/>
          <w:szCs w:val="24"/>
        </w:rPr>
        <w:t xml:space="preserve">dotyczy możliwości nałożenia przez Prezesa UKE na </w:t>
      </w:r>
      <w:r w:rsidR="0A7DF4F3" w:rsidRPr="003A42FB">
        <w:rPr>
          <w:rFonts w:ascii="Times New Roman" w:eastAsiaTheme="minorEastAsia" w:hAnsi="Times New Roman" w:cs="Times New Roman"/>
          <w:sz w:val="24"/>
          <w:szCs w:val="24"/>
        </w:rPr>
        <w:t>przedsiębiorcę komunikacji elektronicznej</w:t>
      </w:r>
      <w:r w:rsidR="00C953E3" w:rsidRPr="003A42FB">
        <w:rPr>
          <w:rFonts w:ascii="Times New Roman" w:eastAsiaTheme="minorEastAsia" w:hAnsi="Times New Roman" w:cs="Times New Roman"/>
          <w:sz w:val="24"/>
          <w:szCs w:val="24"/>
        </w:rPr>
        <w:t xml:space="preserve"> o znaczącej pozycji rynkowej, na którego został nałożony obowiązek równego traktowania</w:t>
      </w:r>
      <w:r w:rsidRPr="003A42FB">
        <w:rPr>
          <w:rFonts w:ascii="Times New Roman" w:eastAsiaTheme="minorEastAsia" w:hAnsi="Times New Roman" w:cs="Times New Roman"/>
          <w:sz w:val="24"/>
          <w:szCs w:val="24"/>
        </w:rPr>
        <w:t>,</w:t>
      </w:r>
      <w:r w:rsidR="00C953E3" w:rsidRPr="003A42FB">
        <w:rPr>
          <w:rFonts w:ascii="Times New Roman" w:eastAsiaTheme="minorEastAsia" w:hAnsi="Times New Roman" w:cs="Times New Roman"/>
          <w:sz w:val="24"/>
          <w:szCs w:val="24"/>
        </w:rPr>
        <w:t xml:space="preserve"> obowiązek przygotowania i przedstawienia oferty ramowej o dostępie</w:t>
      </w:r>
      <w:r w:rsidR="000168D9"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Przepis stanowi wdrożenie art. 69 ust. 2-4 EKŁE, który reguluje kwestie obowiązku przejrzystości.</w:t>
      </w:r>
    </w:p>
    <w:p w14:paraId="0CBC12BF" w14:textId="5176CB22" w:rsidR="00A3221C" w:rsidRPr="003A42FB" w:rsidRDefault="00A3221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art. </w:t>
      </w:r>
      <w:r w:rsidR="00354C22">
        <w:rPr>
          <w:rFonts w:ascii="Times New Roman" w:eastAsiaTheme="minorEastAsia" w:hAnsi="Times New Roman" w:cs="Times New Roman"/>
          <w:sz w:val="24"/>
          <w:szCs w:val="24"/>
        </w:rPr>
        <w:t>204</w:t>
      </w:r>
      <w:r w:rsidR="00354C2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częściowo powtarza dotychczasową regulację Pt w tym zakresie, z uwzględnieniem zmian wynikających z EKŁE. Zasadniczą zmianą wynikającą z EKŁE w stosunku do </w:t>
      </w:r>
      <w:r w:rsidR="00C3226C" w:rsidRPr="003A42FB">
        <w:rPr>
          <w:rFonts w:ascii="Times New Roman" w:eastAsiaTheme="minorEastAsia" w:hAnsi="Times New Roman" w:cs="Times New Roman"/>
          <w:sz w:val="24"/>
          <w:szCs w:val="24"/>
        </w:rPr>
        <w:t>dyrektywy o dostępie</w:t>
      </w:r>
      <w:r w:rsidR="001E6435" w:rsidRPr="003A42FB">
        <w:rPr>
          <w:rFonts w:ascii="Times New Roman" w:eastAsiaTheme="minorEastAsia" w:hAnsi="Times New Roman" w:cs="Times New Roman"/>
          <w:sz w:val="24"/>
          <w:szCs w:val="24"/>
        </w:rPr>
        <w:t xml:space="preserve"> jest to, iż EKŁE </w:t>
      </w:r>
      <w:r w:rsidRPr="003A42FB">
        <w:rPr>
          <w:rFonts w:ascii="Times New Roman" w:eastAsiaTheme="minorEastAsia" w:hAnsi="Times New Roman" w:cs="Times New Roman"/>
          <w:sz w:val="24"/>
          <w:szCs w:val="24"/>
        </w:rPr>
        <w:t xml:space="preserve">nie </w:t>
      </w:r>
      <w:r w:rsidR="00C3226C" w:rsidRPr="003A42FB">
        <w:rPr>
          <w:rFonts w:ascii="Times New Roman" w:eastAsiaTheme="minorEastAsia" w:hAnsi="Times New Roman" w:cs="Times New Roman"/>
          <w:sz w:val="24"/>
          <w:szCs w:val="24"/>
        </w:rPr>
        <w:t>określa</w:t>
      </w:r>
      <w:r w:rsidRPr="003A42FB">
        <w:rPr>
          <w:rFonts w:ascii="Times New Roman" w:eastAsiaTheme="minorEastAsia" w:hAnsi="Times New Roman" w:cs="Times New Roman"/>
          <w:sz w:val="24"/>
          <w:szCs w:val="24"/>
        </w:rPr>
        <w:t xml:space="preserve"> </w:t>
      </w:r>
      <w:r w:rsidR="001E6435" w:rsidRPr="003A42FB">
        <w:rPr>
          <w:rFonts w:ascii="Times New Roman" w:eastAsiaTheme="minorEastAsia" w:hAnsi="Times New Roman" w:cs="Times New Roman"/>
          <w:sz w:val="24"/>
          <w:szCs w:val="24"/>
        </w:rPr>
        <w:t xml:space="preserve">już </w:t>
      </w:r>
      <w:r w:rsidR="00C3226C" w:rsidRPr="003A42FB">
        <w:rPr>
          <w:rFonts w:ascii="Times New Roman" w:eastAsiaTheme="minorEastAsia" w:hAnsi="Times New Roman" w:cs="Times New Roman"/>
          <w:sz w:val="24"/>
          <w:szCs w:val="24"/>
        </w:rPr>
        <w:t>elementów, jakie powinna zawierać oferta ramowa. Elementy te były dotychczas określone w załączniku II do dyrektywy o dostępie. Z</w:t>
      </w:r>
      <w:r w:rsidR="001E6435" w:rsidRPr="003A42FB">
        <w:rPr>
          <w:rFonts w:ascii="Times New Roman" w:eastAsiaTheme="minorEastAsia" w:hAnsi="Times New Roman" w:cs="Times New Roman"/>
          <w:sz w:val="24"/>
          <w:szCs w:val="24"/>
        </w:rPr>
        <w:t>amiast tego z</w:t>
      </w:r>
      <w:r w:rsidR="00C3226C" w:rsidRPr="003A42FB">
        <w:rPr>
          <w:rFonts w:ascii="Times New Roman" w:eastAsiaTheme="minorEastAsia" w:hAnsi="Times New Roman" w:cs="Times New Roman"/>
          <w:sz w:val="24"/>
          <w:szCs w:val="24"/>
        </w:rPr>
        <w:t xml:space="preserve">godnie z art. 69 ust. 3 to BEREC </w:t>
      </w:r>
      <w:r w:rsidR="001E6435" w:rsidRPr="003A42FB">
        <w:rPr>
          <w:rFonts w:ascii="Times New Roman" w:eastAsiaTheme="minorEastAsia" w:hAnsi="Times New Roman" w:cs="Times New Roman"/>
          <w:sz w:val="24"/>
          <w:szCs w:val="24"/>
        </w:rPr>
        <w:t>określ</w:t>
      </w:r>
      <w:r w:rsidR="00F02A4D" w:rsidRPr="003A42FB">
        <w:rPr>
          <w:rFonts w:ascii="Times New Roman" w:eastAsiaTheme="minorEastAsia" w:hAnsi="Times New Roman" w:cs="Times New Roman"/>
          <w:sz w:val="24"/>
          <w:szCs w:val="24"/>
        </w:rPr>
        <w:t>a</w:t>
      </w:r>
      <w:r w:rsidR="00C3226C" w:rsidRPr="003A42FB">
        <w:rPr>
          <w:rFonts w:ascii="Times New Roman" w:eastAsiaTheme="minorEastAsia" w:hAnsi="Times New Roman" w:cs="Times New Roman"/>
          <w:sz w:val="24"/>
          <w:szCs w:val="24"/>
        </w:rPr>
        <w:t xml:space="preserve"> wytyczne w sprawie minimalnych kryteriów dotyczących oferty ramowej. </w:t>
      </w:r>
      <w:r w:rsidR="001E6435" w:rsidRPr="003A42FB">
        <w:rPr>
          <w:rFonts w:ascii="Times New Roman" w:eastAsiaTheme="minorEastAsia" w:hAnsi="Times New Roman" w:cs="Times New Roman"/>
          <w:sz w:val="24"/>
          <w:szCs w:val="24"/>
        </w:rPr>
        <w:t xml:space="preserve">Z tego względu projektowany przepis również nie zawiera już ustępów odnoszących się do elementów oferty ramowej. Prezes UKE będzie te elementy określał w decyzji dla </w:t>
      </w:r>
      <w:r w:rsidR="0CC6D840" w:rsidRPr="003A42FB">
        <w:rPr>
          <w:rFonts w:ascii="Times New Roman" w:eastAsiaTheme="minorEastAsia" w:hAnsi="Times New Roman" w:cs="Times New Roman"/>
          <w:sz w:val="24"/>
          <w:szCs w:val="24"/>
        </w:rPr>
        <w:t>przedsiębiorcy</w:t>
      </w:r>
      <w:r w:rsidR="001E6435" w:rsidRPr="003A42FB">
        <w:rPr>
          <w:rFonts w:ascii="Times New Roman" w:eastAsiaTheme="minorEastAsia" w:hAnsi="Times New Roman" w:cs="Times New Roman"/>
          <w:sz w:val="24"/>
          <w:szCs w:val="24"/>
        </w:rPr>
        <w:t xml:space="preserve"> o znaczącej pozycji rynkowej</w:t>
      </w:r>
      <w:r w:rsidR="00287F25" w:rsidRPr="003A42FB">
        <w:rPr>
          <w:rFonts w:ascii="Times New Roman" w:eastAsiaTheme="minorEastAsia" w:hAnsi="Times New Roman" w:cs="Times New Roman"/>
          <w:sz w:val="24"/>
          <w:szCs w:val="24"/>
        </w:rPr>
        <w:t xml:space="preserve">, </w:t>
      </w:r>
      <w:r w:rsidR="00870946" w:rsidRPr="003A42FB">
        <w:rPr>
          <w:rFonts w:ascii="Times New Roman" w:eastAsiaTheme="minorEastAsia" w:hAnsi="Times New Roman" w:cs="Times New Roman"/>
          <w:sz w:val="24"/>
          <w:szCs w:val="24"/>
        </w:rPr>
        <w:t>a przy tym w jak największym stopniu będzie obowiązany uwzględniać wytyczne BEREC w sprawie minimalnych kryteriów dotyczących oferty ramowej, o czym stanowi art.</w:t>
      </w:r>
      <w:r w:rsidR="00603873" w:rsidRPr="003A42FB">
        <w:rPr>
          <w:rFonts w:ascii="Times New Roman" w:eastAsiaTheme="minorEastAsia" w:hAnsi="Times New Roman" w:cs="Times New Roman"/>
          <w:sz w:val="24"/>
          <w:szCs w:val="24"/>
        </w:rPr>
        <w:t xml:space="preserve"> 69 ust. 4 EKŁE. Kwestię uwzględniania wytycznych BEREC reguluje przy tym projektowany art. </w:t>
      </w:r>
      <w:r w:rsidR="00B176D6" w:rsidRPr="003A42FB">
        <w:rPr>
          <w:rFonts w:ascii="Times New Roman" w:eastAsiaTheme="minorEastAsia" w:hAnsi="Times New Roman" w:cs="Times New Roman"/>
          <w:sz w:val="24"/>
          <w:szCs w:val="24"/>
        </w:rPr>
        <w:t xml:space="preserve">4 </w:t>
      </w:r>
      <w:r w:rsidR="00603873" w:rsidRPr="003A42FB">
        <w:rPr>
          <w:rFonts w:ascii="Times New Roman" w:eastAsiaTheme="minorEastAsia" w:hAnsi="Times New Roman" w:cs="Times New Roman"/>
          <w:sz w:val="24"/>
          <w:szCs w:val="24"/>
        </w:rPr>
        <w:t>ust. 2.</w:t>
      </w:r>
      <w:r w:rsidR="00870946" w:rsidRPr="003A42FB">
        <w:rPr>
          <w:rFonts w:ascii="Times New Roman" w:eastAsiaTheme="minorEastAsia" w:hAnsi="Times New Roman" w:cs="Times New Roman"/>
          <w:sz w:val="24"/>
          <w:szCs w:val="24"/>
        </w:rPr>
        <w:t xml:space="preserve"> </w:t>
      </w:r>
    </w:p>
    <w:p w14:paraId="016CE05C" w14:textId="3C94D4D9" w:rsidR="00E355FD" w:rsidRPr="003A42FB" w:rsidRDefault="0060387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221</w:t>
      </w:r>
      <w:r w:rsidR="00354C22" w:rsidRPr="003A42FB">
        <w:rPr>
          <w:rFonts w:ascii="Times New Roman" w:eastAsiaTheme="minorEastAsia" w:hAnsi="Times New Roman" w:cs="Times New Roman"/>
          <w:b/>
          <w:bCs/>
          <w:sz w:val="24"/>
          <w:szCs w:val="24"/>
        </w:rPr>
        <w:t xml:space="preserve"> </w:t>
      </w:r>
    </w:p>
    <w:p w14:paraId="5AE7607C" w14:textId="5423D589" w:rsidR="00FE2F71" w:rsidRPr="003A42FB" w:rsidRDefault="00E6755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przepisem Prezes UKE </w:t>
      </w:r>
      <w:r w:rsidR="00555A4B" w:rsidRPr="003A42FB">
        <w:rPr>
          <w:rFonts w:ascii="Times New Roman" w:eastAsiaTheme="minorEastAsia" w:hAnsi="Times New Roman" w:cs="Times New Roman"/>
          <w:sz w:val="24"/>
          <w:szCs w:val="24"/>
        </w:rPr>
        <w:t>może dokonać kilku czynności</w:t>
      </w:r>
      <w:r w:rsidR="00494530" w:rsidRPr="003A42FB">
        <w:rPr>
          <w:rFonts w:ascii="Times New Roman" w:eastAsiaTheme="minorEastAsia" w:hAnsi="Times New Roman" w:cs="Times New Roman"/>
          <w:sz w:val="24"/>
          <w:szCs w:val="24"/>
        </w:rPr>
        <w:t xml:space="preserve"> w zakresie zatwierdzenia projektu oferty ramowej</w:t>
      </w:r>
      <w:r w:rsidR="1A156BBC" w:rsidRPr="003A42FB">
        <w:rPr>
          <w:rFonts w:ascii="Times New Roman" w:eastAsiaTheme="minorEastAsia" w:hAnsi="Times New Roman" w:cs="Times New Roman"/>
          <w:sz w:val="24"/>
          <w:szCs w:val="24"/>
        </w:rPr>
        <w:t xml:space="preserve"> lub jej zmiany</w:t>
      </w:r>
      <w:r w:rsidR="00494530" w:rsidRPr="003A42FB">
        <w:rPr>
          <w:rFonts w:ascii="Times New Roman" w:eastAsiaTheme="minorEastAsia" w:hAnsi="Times New Roman" w:cs="Times New Roman"/>
          <w:sz w:val="24"/>
          <w:szCs w:val="24"/>
        </w:rPr>
        <w:t>.</w:t>
      </w:r>
      <w:r w:rsidR="00555A4B" w:rsidRPr="003A42FB">
        <w:rPr>
          <w:rFonts w:ascii="Times New Roman" w:eastAsiaTheme="minorEastAsia" w:hAnsi="Times New Roman" w:cs="Times New Roman"/>
          <w:sz w:val="24"/>
          <w:szCs w:val="24"/>
        </w:rPr>
        <w:t xml:space="preserve"> Może bowiem </w:t>
      </w:r>
      <w:r w:rsidRPr="003A42FB">
        <w:rPr>
          <w:rFonts w:ascii="Times New Roman" w:eastAsiaTheme="minorEastAsia" w:hAnsi="Times New Roman" w:cs="Times New Roman"/>
          <w:sz w:val="24"/>
          <w:szCs w:val="24"/>
        </w:rPr>
        <w:t>zatwierdz</w:t>
      </w:r>
      <w:r w:rsidR="00555A4B" w:rsidRPr="003A42FB">
        <w:rPr>
          <w:rFonts w:ascii="Times New Roman" w:eastAsiaTheme="minorEastAsia" w:hAnsi="Times New Roman" w:cs="Times New Roman"/>
          <w:sz w:val="24"/>
          <w:szCs w:val="24"/>
        </w:rPr>
        <w:t>ić</w:t>
      </w:r>
      <w:r w:rsidRPr="003A42FB">
        <w:rPr>
          <w:rFonts w:ascii="Times New Roman" w:eastAsiaTheme="minorEastAsia" w:hAnsi="Times New Roman" w:cs="Times New Roman"/>
          <w:sz w:val="24"/>
          <w:szCs w:val="24"/>
        </w:rPr>
        <w:t xml:space="preserve"> </w:t>
      </w:r>
      <w:r w:rsidR="00494530" w:rsidRPr="003A42FB">
        <w:rPr>
          <w:rFonts w:ascii="Times New Roman" w:eastAsiaTheme="minorEastAsia" w:hAnsi="Times New Roman" w:cs="Times New Roman"/>
          <w:sz w:val="24"/>
          <w:szCs w:val="24"/>
        </w:rPr>
        <w:t xml:space="preserve">projekt oferty </w:t>
      </w:r>
      <w:r w:rsidRPr="003A42FB">
        <w:rPr>
          <w:rFonts w:ascii="Times New Roman" w:eastAsiaTheme="minorEastAsia" w:hAnsi="Times New Roman" w:cs="Times New Roman"/>
          <w:sz w:val="24"/>
          <w:szCs w:val="24"/>
        </w:rPr>
        <w:t xml:space="preserve">wydając decyzję administracyjną, o której mowa w </w:t>
      </w:r>
      <w:hyperlink r:id="rId23">
        <w:r w:rsidRPr="003A42FB">
          <w:rPr>
            <w:rStyle w:val="Hipercze"/>
            <w:rFonts w:ascii="Times New Roman" w:hAnsi="Times New Roman" w:cs="Times New Roman"/>
            <w:color w:val="auto"/>
            <w:sz w:val="24"/>
            <w:szCs w:val="24"/>
            <w:u w:val="none"/>
          </w:rPr>
          <w:t>art. 104</w:t>
        </w:r>
      </w:hyperlink>
      <w:r w:rsidRPr="003A42FB">
        <w:rPr>
          <w:rFonts w:ascii="Times New Roman" w:eastAsiaTheme="minorEastAsia" w:hAnsi="Times New Roman" w:cs="Times New Roman"/>
          <w:sz w:val="24"/>
          <w:szCs w:val="24"/>
        </w:rPr>
        <w:t xml:space="preserve"> </w:t>
      </w:r>
      <w:r w:rsidR="00F94297" w:rsidRPr="003A42FB">
        <w:rPr>
          <w:rFonts w:ascii="Times New Roman" w:eastAsiaTheme="minorEastAsia" w:hAnsi="Times New Roman" w:cs="Times New Roman"/>
          <w:sz w:val="24"/>
          <w:szCs w:val="24"/>
        </w:rPr>
        <w:t>Kpa</w:t>
      </w:r>
      <w:r w:rsidRPr="003A42FB">
        <w:rPr>
          <w:rFonts w:ascii="Times New Roman" w:eastAsiaTheme="minorEastAsia" w:hAnsi="Times New Roman" w:cs="Times New Roman"/>
          <w:sz w:val="24"/>
          <w:szCs w:val="24"/>
        </w:rPr>
        <w:t xml:space="preserve">. </w:t>
      </w:r>
      <w:r w:rsidR="00555A4B" w:rsidRPr="003A42FB">
        <w:rPr>
          <w:rFonts w:ascii="Times New Roman" w:eastAsiaTheme="minorEastAsia" w:hAnsi="Times New Roman" w:cs="Times New Roman"/>
          <w:sz w:val="24"/>
          <w:szCs w:val="24"/>
        </w:rPr>
        <w:t>Przy czym w</w:t>
      </w:r>
      <w:r w:rsidRPr="003A42FB">
        <w:rPr>
          <w:rFonts w:ascii="Times New Roman" w:eastAsiaTheme="minorEastAsia" w:hAnsi="Times New Roman" w:cs="Times New Roman"/>
          <w:sz w:val="24"/>
          <w:szCs w:val="24"/>
        </w:rPr>
        <w:t>arunkiem zatwierdzenia projektu oferty lub jej zmiany jest to, aby projekt odpowiada</w:t>
      </w:r>
      <w:r w:rsidR="6CC43809" w:rsidRPr="003A42FB">
        <w:rPr>
          <w:rFonts w:ascii="Times New Roman" w:eastAsiaTheme="minorEastAsia" w:hAnsi="Times New Roman" w:cs="Times New Roman"/>
          <w:sz w:val="24"/>
          <w:szCs w:val="24"/>
        </w:rPr>
        <w:t>ł</w:t>
      </w:r>
      <w:r w:rsidRPr="003A42FB">
        <w:rPr>
          <w:rFonts w:ascii="Times New Roman" w:eastAsiaTheme="minorEastAsia" w:hAnsi="Times New Roman" w:cs="Times New Roman"/>
          <w:sz w:val="24"/>
          <w:szCs w:val="24"/>
        </w:rPr>
        <w:t xml:space="preserve"> przepisom prawa oraz potrzebom rynku wskazanym w decyzji nakładającej obowiązek przygotowania oferty, przepisom dotyc</w:t>
      </w:r>
      <w:r w:rsidR="00564A45" w:rsidRPr="003A42FB">
        <w:rPr>
          <w:rFonts w:ascii="Times New Roman" w:eastAsiaTheme="minorEastAsia" w:hAnsi="Times New Roman" w:cs="Times New Roman"/>
          <w:sz w:val="24"/>
          <w:szCs w:val="24"/>
        </w:rPr>
        <w:t>zących oferty ramowej i dostępu</w:t>
      </w:r>
      <w:r w:rsidRPr="003A42FB">
        <w:rPr>
          <w:rFonts w:ascii="Times New Roman" w:eastAsiaTheme="minorEastAsia" w:hAnsi="Times New Roman" w:cs="Times New Roman"/>
          <w:sz w:val="24"/>
          <w:szCs w:val="24"/>
        </w:rPr>
        <w:t>.</w:t>
      </w:r>
      <w:r w:rsidR="00555A4B" w:rsidRPr="003A42FB">
        <w:rPr>
          <w:rFonts w:ascii="Times New Roman" w:eastAsiaTheme="minorEastAsia" w:hAnsi="Times New Roman" w:cs="Times New Roman"/>
          <w:sz w:val="24"/>
          <w:szCs w:val="24"/>
        </w:rPr>
        <w:t xml:space="preserve"> Prezes UKE może także zmienić projekt oferty ramowej lub jej zmiany i zatwierdzić projekt</w:t>
      </w:r>
      <w:r w:rsidR="7D135365" w:rsidRPr="003A42FB">
        <w:rPr>
          <w:rFonts w:ascii="Times New Roman" w:eastAsiaTheme="minorEastAsia" w:hAnsi="Times New Roman" w:cs="Times New Roman"/>
          <w:sz w:val="24"/>
          <w:szCs w:val="24"/>
        </w:rPr>
        <w:t xml:space="preserve"> lub odrzucić proponowaną zmianę</w:t>
      </w:r>
      <w:r w:rsidR="00555A4B" w:rsidRPr="003A42FB">
        <w:rPr>
          <w:rFonts w:ascii="Times New Roman" w:eastAsiaTheme="minorEastAsia" w:hAnsi="Times New Roman" w:cs="Times New Roman"/>
          <w:sz w:val="24"/>
          <w:szCs w:val="24"/>
        </w:rPr>
        <w:t>. Ponadto możliwe jest także samodzielne ustaleni</w:t>
      </w:r>
      <w:r w:rsidR="006D1608" w:rsidRPr="003A42FB">
        <w:rPr>
          <w:rFonts w:ascii="Times New Roman" w:eastAsiaTheme="minorEastAsia" w:hAnsi="Times New Roman" w:cs="Times New Roman"/>
          <w:sz w:val="24"/>
          <w:szCs w:val="24"/>
        </w:rPr>
        <w:t>e</w:t>
      </w:r>
      <w:r w:rsidR="00555A4B" w:rsidRPr="003A42FB">
        <w:rPr>
          <w:rFonts w:ascii="Times New Roman" w:eastAsiaTheme="minorEastAsia" w:hAnsi="Times New Roman" w:cs="Times New Roman"/>
          <w:sz w:val="24"/>
          <w:szCs w:val="24"/>
        </w:rPr>
        <w:t xml:space="preserve"> oferty ramowej przez Prezesa UKE</w:t>
      </w:r>
      <w:r w:rsidR="006D1608" w:rsidRPr="003A42FB">
        <w:rPr>
          <w:rFonts w:ascii="Times New Roman" w:eastAsiaTheme="minorEastAsia" w:hAnsi="Times New Roman" w:cs="Times New Roman"/>
          <w:sz w:val="24"/>
          <w:szCs w:val="24"/>
        </w:rPr>
        <w:t>,</w:t>
      </w:r>
      <w:r w:rsidR="00555A4B" w:rsidRPr="003A42FB">
        <w:rPr>
          <w:rFonts w:ascii="Times New Roman" w:eastAsiaTheme="minorEastAsia" w:hAnsi="Times New Roman" w:cs="Times New Roman"/>
          <w:sz w:val="24"/>
          <w:szCs w:val="24"/>
        </w:rPr>
        <w:t xml:space="preserve"> w przypadku nieprzedstawienia jej w terminie</w:t>
      </w:r>
      <w:r w:rsidR="006D1608" w:rsidRPr="003A42FB">
        <w:rPr>
          <w:rFonts w:ascii="Times New Roman" w:eastAsiaTheme="minorEastAsia" w:hAnsi="Times New Roman" w:cs="Times New Roman"/>
          <w:sz w:val="24"/>
          <w:szCs w:val="24"/>
        </w:rPr>
        <w:t xml:space="preserve"> przez </w:t>
      </w:r>
      <w:r w:rsidR="07139B09" w:rsidRPr="003A42FB">
        <w:rPr>
          <w:rFonts w:ascii="Times New Roman" w:eastAsiaTheme="minorEastAsia" w:hAnsi="Times New Roman" w:cs="Times New Roman"/>
          <w:sz w:val="24"/>
          <w:szCs w:val="24"/>
        </w:rPr>
        <w:t>przedsiębiorcę komunikacji elektronicznej</w:t>
      </w:r>
      <w:r w:rsidR="00555A4B" w:rsidRPr="003A42FB">
        <w:rPr>
          <w:rFonts w:ascii="Times New Roman" w:eastAsiaTheme="minorEastAsia" w:hAnsi="Times New Roman" w:cs="Times New Roman"/>
          <w:sz w:val="24"/>
          <w:szCs w:val="24"/>
        </w:rPr>
        <w:t>.</w:t>
      </w:r>
      <w:r w:rsidR="00004C4C" w:rsidRPr="003A42FB">
        <w:rPr>
          <w:rFonts w:ascii="Times New Roman" w:eastAsiaTheme="minorEastAsia" w:hAnsi="Times New Roman" w:cs="Times New Roman"/>
          <w:sz w:val="24"/>
          <w:szCs w:val="24"/>
        </w:rPr>
        <w:t xml:space="preserve"> </w:t>
      </w:r>
    </w:p>
    <w:p w14:paraId="3B9BCBB7" w14:textId="74AEE087" w:rsidR="003570D0" w:rsidRPr="003A42FB" w:rsidRDefault="00004C4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Należy zwrócić uwagę na możliwość przedstawienia Prezesowi UKE przez </w:t>
      </w:r>
      <w:r w:rsidR="324F3802" w:rsidRPr="003A42FB">
        <w:rPr>
          <w:rFonts w:ascii="Times New Roman" w:eastAsiaTheme="minorEastAsia" w:hAnsi="Times New Roman" w:cs="Times New Roman"/>
          <w:sz w:val="24"/>
          <w:szCs w:val="24"/>
        </w:rPr>
        <w:t>przedsiębiorcę</w:t>
      </w:r>
      <w:r w:rsidRPr="003A42FB">
        <w:rPr>
          <w:rFonts w:ascii="Times New Roman" w:eastAsiaTheme="minorEastAsia" w:hAnsi="Times New Roman" w:cs="Times New Roman"/>
          <w:sz w:val="24"/>
          <w:szCs w:val="24"/>
        </w:rPr>
        <w:t xml:space="preserve"> projektu zmiany oferty ramowej. </w:t>
      </w:r>
      <w:r w:rsidR="00F20C12">
        <w:rPr>
          <w:rFonts w:ascii="Times New Roman" w:eastAsiaTheme="minorEastAsia" w:hAnsi="Times New Roman" w:cs="Times New Roman"/>
          <w:sz w:val="24"/>
          <w:szCs w:val="24"/>
        </w:rPr>
        <w:t xml:space="preserve"> </w:t>
      </w:r>
      <w:r w:rsidR="008F6A58" w:rsidRPr="003A42FB">
        <w:rPr>
          <w:rFonts w:ascii="Times New Roman" w:eastAsiaTheme="minorEastAsia" w:hAnsi="Times New Roman" w:cs="Times New Roman"/>
          <w:sz w:val="24"/>
          <w:szCs w:val="24"/>
        </w:rPr>
        <w:t>Organ zobowiązany jest do oceny przedłożonego projektu zmiany oferty ramowej przez pryzmat zapotrzebowania na usługi lub zmiany warunków rynkowych i wydać w tym zakresie decyzję.</w:t>
      </w:r>
      <w:r w:rsidR="196FA487" w:rsidRPr="003A42FB">
        <w:rPr>
          <w:rFonts w:ascii="Times New Roman" w:eastAsiaTheme="minorEastAsia" w:hAnsi="Times New Roman" w:cs="Times New Roman"/>
          <w:sz w:val="24"/>
          <w:szCs w:val="24"/>
        </w:rPr>
        <w:t xml:space="preserve"> Nie ma przy tym podstaw do różnicowania procesu w zależności od tego, kto jest inicjatorem zmiany. Należy podkreślić, że w każdym przypadku powinno być stwierdzone spełnienie przesłanek zmiany warunków rynkowych lub zapotrzebowania</w:t>
      </w:r>
      <w:r w:rsidR="00F20C12">
        <w:rPr>
          <w:rFonts w:ascii="Times New Roman" w:eastAsiaTheme="minorEastAsia" w:hAnsi="Times New Roman" w:cs="Times New Roman"/>
          <w:sz w:val="24"/>
          <w:szCs w:val="24"/>
        </w:rPr>
        <w:t xml:space="preserve"> </w:t>
      </w:r>
      <w:r w:rsidR="196FA487" w:rsidRPr="003A42FB">
        <w:rPr>
          <w:rFonts w:ascii="Times New Roman" w:eastAsiaTheme="minorEastAsia" w:hAnsi="Times New Roman" w:cs="Times New Roman"/>
          <w:sz w:val="24"/>
          <w:szCs w:val="24"/>
        </w:rPr>
        <w:t>.</w:t>
      </w:r>
      <w:r w:rsidR="003570D0" w:rsidRPr="003A42FB">
        <w:rPr>
          <w:rFonts w:ascii="Times New Roman" w:eastAsiaTheme="minorEastAsia" w:hAnsi="Times New Roman" w:cs="Times New Roman"/>
          <w:sz w:val="24"/>
          <w:szCs w:val="24"/>
        </w:rPr>
        <w:t>Celem przepisu jest przesądzenie aby przedsiębiorca komunikacji elektronicznej zobowiązany do przedłożenia oferty ramowej nie musiał występować do Prezesa UKE z wnioskiem o zobowiązanie samego siebie do przedłożenia zmiany oferty, lecz mógł od razu przedłożyć Prezesowi UKE projekt zmiany oferty ramowej w celu jej zatwierdzenia.</w:t>
      </w:r>
    </w:p>
    <w:p w14:paraId="64C342A5" w14:textId="18A61354" w:rsidR="0054261A" w:rsidRPr="003A42FB" w:rsidRDefault="008A2869"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Prezes UKE obowiązany będzie, tak jak dotychczas na podstawie art. 43 Pt, niezwłocznie publikować zatwierdzone oferty ramowe lub ich zmiany na stronie podmiotowej BIP UKE. Dodatkowo wprowadzono obowiązek publikowania również ujednolicone teksty ofert ramowych. Regulacja ta zapewni większą przejrzystość wprowadzanych zmian w ofercie ramowej.</w:t>
      </w:r>
    </w:p>
    <w:p w14:paraId="6A6BC36C" w14:textId="3D3F7591" w:rsidR="00D60597" w:rsidRPr="003A42FB" w:rsidRDefault="00D6059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222</w:t>
      </w:r>
      <w:r w:rsidR="00354C22" w:rsidRPr="003A42FB">
        <w:rPr>
          <w:rFonts w:ascii="Times New Roman" w:eastAsiaTheme="minorEastAsia" w:hAnsi="Times New Roman" w:cs="Times New Roman"/>
          <w:b/>
          <w:bCs/>
          <w:sz w:val="24"/>
          <w:szCs w:val="24"/>
        </w:rPr>
        <w:t xml:space="preserve"> </w:t>
      </w:r>
    </w:p>
    <w:p w14:paraId="4135B9E0" w14:textId="784E9BC5" w:rsidR="00CF5A71" w:rsidRPr="003A42FB" w:rsidRDefault="00F1188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implementację art.</w:t>
      </w:r>
      <w:r w:rsidR="0054778F" w:rsidRPr="003A42FB">
        <w:rPr>
          <w:rFonts w:ascii="Times New Roman" w:eastAsiaTheme="minorEastAsia" w:hAnsi="Times New Roman" w:cs="Times New Roman"/>
          <w:sz w:val="24"/>
          <w:szCs w:val="24"/>
        </w:rPr>
        <w:t xml:space="preserve"> 6</w:t>
      </w:r>
      <w:r w:rsidRPr="003A42FB">
        <w:rPr>
          <w:rFonts w:ascii="Times New Roman" w:eastAsiaTheme="minorEastAsia" w:hAnsi="Times New Roman" w:cs="Times New Roman"/>
          <w:sz w:val="24"/>
          <w:szCs w:val="24"/>
        </w:rPr>
        <w:t>8 ust. 3</w:t>
      </w:r>
      <w:r w:rsidR="00FF0005" w:rsidRPr="003A42FB">
        <w:rPr>
          <w:rFonts w:ascii="Times New Roman" w:eastAsiaTheme="minorEastAsia" w:hAnsi="Times New Roman" w:cs="Times New Roman"/>
          <w:sz w:val="24"/>
          <w:szCs w:val="24"/>
        </w:rPr>
        <w:t xml:space="preserve"> akapit</w:t>
      </w:r>
      <w:r w:rsidR="0054778F" w:rsidRPr="003A42FB">
        <w:rPr>
          <w:rFonts w:ascii="Times New Roman" w:eastAsiaTheme="minorEastAsia" w:hAnsi="Times New Roman" w:cs="Times New Roman"/>
          <w:sz w:val="24"/>
          <w:szCs w:val="24"/>
        </w:rPr>
        <w:t xml:space="preserve"> 2 EKŁE dotyczącego nakładania obowiązków na przedsiębiorstwa wyznaczone jako posiadając</w:t>
      </w:r>
      <w:r w:rsidR="00ED2E9A" w:rsidRPr="003A42FB">
        <w:rPr>
          <w:rFonts w:ascii="Times New Roman" w:eastAsiaTheme="minorEastAsia" w:hAnsi="Times New Roman" w:cs="Times New Roman"/>
          <w:sz w:val="24"/>
          <w:szCs w:val="24"/>
        </w:rPr>
        <w:t>e</w:t>
      </w:r>
      <w:r w:rsidR="0054778F" w:rsidRPr="003A42FB">
        <w:rPr>
          <w:rFonts w:ascii="Times New Roman" w:eastAsiaTheme="minorEastAsia" w:hAnsi="Times New Roman" w:cs="Times New Roman"/>
          <w:sz w:val="24"/>
          <w:szCs w:val="24"/>
        </w:rPr>
        <w:t xml:space="preserve"> znaczącą pozycję rynkową w wyjątkowych okolicznościach.</w:t>
      </w:r>
      <w:r w:rsidR="00895B28" w:rsidRPr="003A42FB">
        <w:rPr>
          <w:rFonts w:ascii="Times New Roman" w:eastAsiaTheme="minorEastAsia" w:hAnsi="Times New Roman" w:cs="Times New Roman"/>
          <w:sz w:val="24"/>
          <w:szCs w:val="24"/>
        </w:rPr>
        <w:t xml:space="preserve"> </w:t>
      </w:r>
      <w:r w:rsidR="424B08E8" w:rsidRPr="003A42FB">
        <w:rPr>
          <w:rFonts w:ascii="Times New Roman" w:eastAsiaTheme="minorEastAsia" w:hAnsi="Times New Roman" w:cs="Times New Roman"/>
          <w:sz w:val="24"/>
          <w:szCs w:val="24"/>
        </w:rPr>
        <w:t>Jednocześnie tożsamy przepis funkcjonował w ustawie Pt w art. 44.</w:t>
      </w:r>
    </w:p>
    <w:p w14:paraId="06E68751" w14:textId="468E21CE" w:rsidR="00C44093" w:rsidRPr="003A42FB" w:rsidRDefault="00E60B7B"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5F1682" w:rsidRPr="003A42FB">
        <w:rPr>
          <w:rFonts w:ascii="Times New Roman" w:eastAsiaTheme="minorEastAsia" w:hAnsi="Times New Roman" w:cs="Times New Roman"/>
          <w:b/>
          <w:bCs/>
          <w:sz w:val="24"/>
          <w:szCs w:val="24"/>
        </w:rPr>
        <w:t xml:space="preserve"> </w:t>
      </w:r>
      <w:r w:rsidR="00354C22">
        <w:rPr>
          <w:rFonts w:ascii="Times New Roman" w:eastAsiaTheme="minorEastAsia" w:hAnsi="Times New Roman" w:cs="Times New Roman"/>
          <w:b/>
          <w:bCs/>
          <w:sz w:val="24"/>
          <w:szCs w:val="24"/>
        </w:rPr>
        <w:t>223</w:t>
      </w:r>
    </w:p>
    <w:p w14:paraId="23D0B6F1" w14:textId="67DDBB95" w:rsidR="004734DF" w:rsidRPr="003A42FB" w:rsidRDefault="004734D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stanowi </w:t>
      </w:r>
      <w:r w:rsidR="00FA5ECC" w:rsidRPr="003A42FB">
        <w:rPr>
          <w:rFonts w:ascii="Times New Roman" w:eastAsiaTheme="minorEastAsia" w:hAnsi="Times New Roman" w:cs="Times New Roman"/>
          <w:sz w:val="24"/>
          <w:szCs w:val="24"/>
        </w:rPr>
        <w:t xml:space="preserve">podobnie jak art. </w:t>
      </w:r>
      <w:r w:rsidR="00354C22">
        <w:rPr>
          <w:rFonts w:ascii="Times New Roman" w:eastAsiaTheme="minorEastAsia" w:hAnsi="Times New Roman" w:cs="Times New Roman"/>
          <w:sz w:val="24"/>
          <w:szCs w:val="24"/>
        </w:rPr>
        <w:t>222</w:t>
      </w:r>
      <w:r w:rsidR="00354C2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implementacj</w:t>
      </w:r>
      <w:r w:rsidR="00FA5ECC" w:rsidRPr="003A42FB">
        <w:rPr>
          <w:rFonts w:ascii="Times New Roman" w:eastAsiaTheme="minorEastAsia" w:hAnsi="Times New Roman" w:cs="Times New Roman"/>
          <w:sz w:val="24"/>
          <w:szCs w:val="24"/>
        </w:rPr>
        <w:t>ę</w:t>
      </w:r>
      <w:r w:rsidRPr="003A42FB">
        <w:rPr>
          <w:rFonts w:ascii="Times New Roman" w:eastAsiaTheme="minorEastAsia" w:hAnsi="Times New Roman" w:cs="Times New Roman"/>
          <w:sz w:val="24"/>
          <w:szCs w:val="24"/>
        </w:rPr>
        <w:t xml:space="preserve"> art. 68 ust. 3 akapit 2 EKŁE i nie odbiega od dotychczasowych rozwiązań. </w:t>
      </w:r>
    </w:p>
    <w:p w14:paraId="3F8DF15C" w14:textId="77777777" w:rsidR="00AF5FE1" w:rsidRPr="003A42FB" w:rsidRDefault="0072787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w:t>
      </w:r>
      <w:r w:rsidR="00FA5ECC" w:rsidRPr="003A42FB">
        <w:rPr>
          <w:rFonts w:ascii="Times New Roman" w:eastAsiaTheme="minorEastAsia" w:hAnsi="Times New Roman" w:cs="Times New Roman"/>
          <w:sz w:val="24"/>
          <w:szCs w:val="24"/>
        </w:rPr>
        <w:t xml:space="preserve"> dotyczy wystąpienia Prezesa UKE o uzyskanie zgody KE na zastosowanie środków nieprzewidzianych dyrektywami i ustawą. Należy wskazać, że procedura uzyskania zgody nie jest typowym postępowaniem konsolidacyjn</w:t>
      </w:r>
      <w:r w:rsidR="0080306A" w:rsidRPr="003A42FB">
        <w:rPr>
          <w:rFonts w:ascii="Times New Roman" w:eastAsiaTheme="minorEastAsia" w:hAnsi="Times New Roman" w:cs="Times New Roman"/>
          <w:sz w:val="24"/>
          <w:szCs w:val="24"/>
        </w:rPr>
        <w:t xml:space="preserve">ym. </w:t>
      </w:r>
      <w:r w:rsidR="00FA5ECC" w:rsidRPr="003A42FB">
        <w:rPr>
          <w:rFonts w:ascii="Times New Roman" w:eastAsiaTheme="minorEastAsia" w:hAnsi="Times New Roman" w:cs="Times New Roman"/>
          <w:sz w:val="24"/>
          <w:szCs w:val="24"/>
        </w:rPr>
        <w:t xml:space="preserve">Zgoda Komisji jest wyrażana w formie decyzji, </w:t>
      </w:r>
      <w:r w:rsidR="0080306A" w:rsidRPr="003A42FB">
        <w:rPr>
          <w:rFonts w:ascii="Times New Roman" w:eastAsiaTheme="minorEastAsia" w:hAnsi="Times New Roman" w:cs="Times New Roman"/>
          <w:sz w:val="24"/>
          <w:szCs w:val="24"/>
        </w:rPr>
        <w:t>która jeśli jest pozytywna uprawnia Prezesa UKE do wydania decyzji nakładającej obowiązki objęte wnioskiem złożonym do Komisji. Prezes UKE może wycofać proponowany środek w trakcie postępowania przed Komisją.</w:t>
      </w:r>
      <w:r w:rsidR="002E5381" w:rsidRPr="003A42FB">
        <w:rPr>
          <w:rFonts w:ascii="Times New Roman" w:eastAsiaTheme="minorEastAsia" w:hAnsi="Times New Roman" w:cs="Times New Roman"/>
          <w:sz w:val="24"/>
          <w:szCs w:val="24"/>
        </w:rPr>
        <w:t xml:space="preserve"> Przy</w:t>
      </w:r>
      <w:r w:rsidR="0080306A" w:rsidRPr="003A42FB">
        <w:rPr>
          <w:rFonts w:ascii="Times New Roman" w:eastAsiaTheme="minorEastAsia" w:hAnsi="Times New Roman" w:cs="Times New Roman"/>
          <w:sz w:val="24"/>
          <w:szCs w:val="24"/>
        </w:rPr>
        <w:t xml:space="preserve"> czym, zgodnie z przepisem ust. 4 ust. 2, w przypadku wydania decyzji przez Komisję Prezes UKE nakłada obowiązek.</w:t>
      </w:r>
    </w:p>
    <w:p w14:paraId="7AF45770" w14:textId="7685F3FA"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Separacja funkcjonalna – art. </w:t>
      </w:r>
      <w:r w:rsidR="00354C22">
        <w:rPr>
          <w:rFonts w:ascii="Times New Roman" w:eastAsiaTheme="minorEastAsia" w:hAnsi="Times New Roman" w:cs="Times New Roman"/>
          <w:b/>
          <w:bCs/>
          <w:sz w:val="24"/>
          <w:szCs w:val="24"/>
        </w:rPr>
        <w:t>224</w:t>
      </w:r>
      <w:r w:rsidR="4AEAAA8D" w:rsidRPr="003A42FB">
        <w:rPr>
          <w:rFonts w:ascii="Times New Roman" w:eastAsiaTheme="minorEastAsia" w:hAnsi="Times New Roman" w:cs="Times New Roman"/>
          <w:b/>
          <w:bCs/>
          <w:sz w:val="24"/>
          <w:szCs w:val="24"/>
        </w:rPr>
        <w:t>–</w:t>
      </w:r>
      <w:r w:rsidR="00354C22">
        <w:rPr>
          <w:rFonts w:ascii="Times New Roman" w:eastAsiaTheme="minorEastAsia" w:hAnsi="Times New Roman" w:cs="Times New Roman"/>
          <w:b/>
          <w:bCs/>
          <w:sz w:val="24"/>
          <w:szCs w:val="24"/>
        </w:rPr>
        <w:t>230</w:t>
      </w:r>
    </w:p>
    <w:p w14:paraId="01505797"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dotyczące separacji funkcjonalnej stanowią element regulacji dotyczącej dostępu. Zostały wprowadzone do </w:t>
      </w:r>
      <w:r w:rsidR="00F46019"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na mocy nowelizacji z 2012 r., wdrażającej znowelizowany pakiet dyrektyw telekomunikacyjnych. Dotychczasowy art. 44b-44g Pt wdrażał w tym zakresie art. 13a dyrektywy o dostępie (dotyczący możliwości nałożenia na przedsiębiorcę zintegrowanego pionowo obowiązku rozdziału funkcjonalnego) i art. 13b dyrektywy o dostępie (dotyczący dobrowolnego podziału przedsiębiorstwa zintegrowanego pionowo). EKŁE również reguluje te kwestie w art. 77 (podział funkcjonalny) oraz art. 78 (dobrowolny podział przedsiębiorstwa zintegrowanego pionowo). Art. 77 EKŁE powtarza treść art. 13a dyrektywy o dostępie i nie wprowadza żadnych modyfikacji. Natomiast art. 78 EKŁE będący odpowiednikiem art. 13b dyrektywy o dostępie zawiera szereg zmian.</w:t>
      </w:r>
    </w:p>
    <w:p w14:paraId="494C355D" w14:textId="77777777"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Podział funkcjonalny</w:t>
      </w:r>
    </w:p>
    <w:p w14:paraId="1DD3630D" w14:textId="0BEDACDE"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224</w:t>
      </w:r>
    </w:p>
    <w:p w14:paraId="6CCD2C80"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s</w:t>
      </w:r>
      <w:r w:rsidR="005D057A" w:rsidRPr="003A42FB">
        <w:rPr>
          <w:rFonts w:ascii="Times New Roman" w:eastAsiaTheme="minorEastAsia" w:hAnsi="Times New Roman" w:cs="Times New Roman"/>
          <w:sz w:val="24"/>
          <w:szCs w:val="24"/>
        </w:rPr>
        <w:t>tanowi wdrożenie art. 77 ust. 1–</w:t>
      </w:r>
      <w:r w:rsidRPr="003A42FB">
        <w:rPr>
          <w:rFonts w:ascii="Times New Roman" w:eastAsiaTheme="minorEastAsia" w:hAnsi="Times New Roman" w:cs="Times New Roman"/>
          <w:sz w:val="24"/>
          <w:szCs w:val="24"/>
        </w:rPr>
        <w:t xml:space="preserve">3 EKŁE.  </w:t>
      </w:r>
    </w:p>
    <w:p w14:paraId="0452AD0F"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Przepis art. 77 EKŁE przewiduje możliwość nałożenia na przedsiębiorcę </w:t>
      </w:r>
      <w:r w:rsidR="00A245E2" w:rsidRPr="003A42FB">
        <w:rPr>
          <w:rFonts w:ascii="Times New Roman" w:eastAsiaTheme="minorEastAsia" w:hAnsi="Times New Roman" w:cs="Times New Roman"/>
          <w:sz w:val="24"/>
          <w:szCs w:val="24"/>
        </w:rPr>
        <w:t xml:space="preserve">komunikacji elektronicznej świadczącego usługi na rynku lub rynkach hurtowych oraz na odpowiadającym mu rynku detalicznym lub rynkach detalicznych (przedsiębiorcą zintegrowanym pionowo </w:t>
      </w:r>
      <w:r w:rsidRPr="003A42FB">
        <w:rPr>
          <w:rFonts w:ascii="Times New Roman" w:eastAsiaTheme="minorEastAsia" w:hAnsi="Times New Roman" w:cs="Times New Roman"/>
          <w:sz w:val="24"/>
          <w:szCs w:val="24"/>
        </w:rPr>
        <w:t>zintegrowanego pionowo</w:t>
      </w:r>
      <w:r w:rsidR="00A245E2"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obowiązku rozdziału funkcjonalnego, w przypadku gdy obowiązki regulacyjne nałożone wcześniej na tego przedsiębiorcę nie zapewniły skutecznej konkurencji oraz gdy istnieją istotne i trwałe problemy konkurencyjne lub niewydolność rynków, związane z hurtowym oferowaniem określonych rynków produktów dostępu. Podział funkcjonalny, zgodnie z przepisem dyrektywy, ma polega</w:t>
      </w:r>
      <w:r w:rsidR="00110F4E" w:rsidRPr="003A42FB">
        <w:rPr>
          <w:rFonts w:ascii="Times New Roman" w:eastAsiaTheme="minorEastAsia" w:hAnsi="Times New Roman" w:cs="Times New Roman"/>
          <w:sz w:val="24"/>
          <w:szCs w:val="24"/>
        </w:rPr>
        <w:t>ć</w:t>
      </w:r>
      <w:r w:rsidRPr="003A42FB">
        <w:rPr>
          <w:rFonts w:ascii="Times New Roman" w:eastAsiaTheme="minorEastAsia" w:hAnsi="Times New Roman" w:cs="Times New Roman"/>
          <w:sz w:val="24"/>
          <w:szCs w:val="24"/>
        </w:rPr>
        <w:t xml:space="preserve"> na wyodrębnieniu w ramach przedsiębiorcy zintegrowanego pionowo niezalenie działającej jednostki organizacyjnej, której zostałaby powierzona działalność związana z hurtowym oferowaniem produktów dostępu. Jednostka ta miałaby obowiązek dostarczania produktów i usług dostępu wszystkim przedsiębiorstwom, tak</w:t>
      </w:r>
      <w:r w:rsidR="00110F4E" w:rsidRPr="003A42FB">
        <w:rPr>
          <w:rFonts w:ascii="Times New Roman" w:eastAsiaTheme="minorEastAsia" w:hAnsi="Times New Roman" w:cs="Times New Roman"/>
          <w:sz w:val="24"/>
          <w:szCs w:val="24"/>
        </w:rPr>
        <w:t>ż</w:t>
      </w:r>
      <w:r w:rsidRPr="003A42FB">
        <w:rPr>
          <w:rFonts w:ascii="Times New Roman" w:eastAsiaTheme="minorEastAsia" w:hAnsi="Times New Roman" w:cs="Times New Roman"/>
          <w:sz w:val="24"/>
          <w:szCs w:val="24"/>
        </w:rPr>
        <w:t xml:space="preserve">e innym jednostkom organizacyjnym działającym w ramach spółki dominującej, w takich samych terminach, na tych samych warunkach – dotyczących między innymi poziomów cen i usług – oraz z użyciem tych samych systemów i procesów. </w:t>
      </w:r>
    </w:p>
    <w:p w14:paraId="2E7F2DBB" w14:textId="1B8FC854"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Obowiązek rozdziału funkcjonalnego ma na celu w istotny sposób ograniczyć motywację do dyskryminacji oraz ma być pomocny przy weryfikacji i egzekwowaniu przestrzegania zasady niedyskryminacji. Nałożenie obowiązku rozdziału funkcjonalnego jest środkiem naprawczym, który może być stosowany wyjątkowo – w w/w przypadku. Zgodnie z wymogami EKŁE</w:t>
      </w:r>
      <w:r w:rsidR="54DCA9F7"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gdy krajowy organ regulacyjny zamierza nałożyć obowiązek rozdziału funkcjonalnego obowiązany jest przedłożyć wniosek w tym</w:t>
      </w:r>
      <w:r w:rsidR="00F056BC" w:rsidRPr="003A42FB">
        <w:rPr>
          <w:rFonts w:ascii="Times New Roman" w:eastAsiaTheme="minorEastAsia" w:hAnsi="Times New Roman" w:cs="Times New Roman"/>
          <w:sz w:val="24"/>
          <w:szCs w:val="24"/>
        </w:rPr>
        <w:t xml:space="preserve"> zakresie Komisji Europejskiej. </w:t>
      </w:r>
      <w:r w:rsidRPr="003A42FB">
        <w:rPr>
          <w:rFonts w:ascii="Times New Roman" w:eastAsiaTheme="minorEastAsia" w:hAnsi="Times New Roman" w:cs="Times New Roman"/>
          <w:sz w:val="24"/>
          <w:szCs w:val="24"/>
        </w:rPr>
        <w:t>Uprzednie zatwierdzanie wniosków przez Komisję ma na celu zapobieganie zakłóceniom konkurencji na rynku wewnętrznym.</w:t>
      </w:r>
    </w:p>
    <w:p w14:paraId="42228E25"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nie przewiduje zmian w porównaniu do dotychczas obowiązującego art. 44b Pt.</w:t>
      </w:r>
    </w:p>
    <w:p w14:paraId="43A8FC9F" w14:textId="380D7B9E" w:rsidR="00086786" w:rsidRPr="003A42FB" w:rsidRDefault="00332E2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225</w:t>
      </w:r>
    </w:p>
    <w:p w14:paraId="5B79F3E0"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wdraża art. 77 ust. 3 akapit 2 EKŁE, zgodnie z którym po podjęciu przez Komisję decyzji w sprawie proponowanego środka zgodnie z art. 68 ust. 3 EKŁE, krajowy organ regulacyjny przeprowadza skoordynowaną analizę różnych rynków związanych z siecią dostępu. Na podstawie swojej oceny krajowy organ regulacyjny nakłada, utrzymuje, zmienia lub uchyla obowiązki. Przepis ten odnosi się do nakładania obowiązku rozdziału funkcjonalnego.</w:t>
      </w:r>
    </w:p>
    <w:p w14:paraId="67103E2F"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nie przewiduje zmian w porównaniu do dotychczas obowiązującego art. 44c Pt.</w:t>
      </w:r>
    </w:p>
    <w:p w14:paraId="19F2B09B" w14:textId="784C345C"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226</w:t>
      </w:r>
    </w:p>
    <w:p w14:paraId="43F1A37E"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ten stanowi implementację art. 77 ust. 4 EKŁE, który wskazuje, że dla uniknięcia wątpliwości interpretacyjnych, iż nałożenie na przedsiębiorcę telekomunikacyjnego obowiązku podziału funkcjonalnego nie wyklucza możliwości nałożenia na tego przedsiębiorcę innych obowiązków regulacyjnych przewidzianych dla rynków hurtowych.</w:t>
      </w:r>
    </w:p>
    <w:p w14:paraId="4ED6A210"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nie przewiduje zmian w porównaniu do dotychczas obowiązującego art. 44d Pt.</w:t>
      </w:r>
    </w:p>
    <w:p w14:paraId="2B47A74C" w14:textId="1E81B711"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227</w:t>
      </w:r>
    </w:p>
    <w:p w14:paraId="56A0677F" w14:textId="77777777" w:rsidR="00086786" w:rsidRPr="003A42FB" w:rsidRDefault="00332E2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w:t>
      </w:r>
      <w:r w:rsidR="00086786" w:rsidRPr="003A42FB">
        <w:rPr>
          <w:rFonts w:ascii="Times New Roman" w:eastAsiaTheme="minorEastAsia" w:hAnsi="Times New Roman" w:cs="Times New Roman"/>
          <w:sz w:val="24"/>
          <w:szCs w:val="24"/>
        </w:rPr>
        <w:t xml:space="preserve">wprowadza w stosunku do osoby lub osób kierujących wydzieloną jednostką organizacyjną zakaz świadczenia pracy, wykonywania innych zajęć u przedsiębiorcy telekomunikacyjnego zintegrowanego pionowo, na którego nałożono obowiązek rozdziału funkcjonalnego lub w innej wydzielonej jednostce tego przedsiębiorcy, w spółce od niego </w:t>
      </w:r>
      <w:r w:rsidR="00086786" w:rsidRPr="003A42FB">
        <w:rPr>
          <w:rFonts w:ascii="Times New Roman" w:eastAsiaTheme="minorEastAsia" w:hAnsi="Times New Roman" w:cs="Times New Roman"/>
          <w:sz w:val="24"/>
          <w:szCs w:val="24"/>
        </w:rPr>
        <w:lastRenderedPageBreak/>
        <w:t>zależnej, wobec niego dominującej lub z nim powiązanej, a także zakaz pełnienia funkcji w organach lub pełnienia funkcji doradczych na rzecz tych podmiotów.</w:t>
      </w:r>
    </w:p>
    <w:p w14:paraId="70BBA93A" w14:textId="7158D493"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228</w:t>
      </w:r>
    </w:p>
    <w:p w14:paraId="47ABA472"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powtarza treść dotychczas obowiązującego art. 44f Pt. </w:t>
      </w:r>
    </w:p>
    <w:p w14:paraId="48E177B8" w14:textId="1B4AF295"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w decyzji o nałożeniu obowiązku rozdziału funkcjonalnego będzie określał m.in. status prawny wydzielonej jednostki. Przepis ust. 1 wskazuje, że w przypadku</w:t>
      </w:r>
      <w:r w:rsidR="1FABD6F4"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gdy formą wydzielonej jednostki nie jest odrębna osoba prawna (mowa tu o spółce kapitałowej), stosuje się do takiego podmiotu przepisy o oddziale. W momencie wprowadzania w 2012 r. do ustawy - Prawo telekomunikacyjne przepisów o separacji funkcjonalnej, jak i w procesie legislacyjnym niniejszego projektu uznano, iż najbardziej optymalną formą wydzielenia jednostki na gruncie prawa polskiego, spełniającą wymogi dyrektywy, jest oddział. Forma oddziału w pełni uwzględnia specyfikę instytucji separacji funkcjonalnej i potrzebę odrębności wyodrębnionej jednostki w stosunku do przedsiębiorcy, na którego jest nakładany przedmiotowy obowiązek.   </w:t>
      </w:r>
    </w:p>
    <w:p w14:paraId="15F373CD" w14:textId="1ED24F12"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Należy wskazać, że przepis ten został wprowadzony do Pt gdy obowiązywała ustawa o swobodzie działalności gospodarczej (dalej: usdg). Ustawa ta zawierała w art. 5 pkt 4 definicję oddziału, wskazując, że oddziałem jest wyodrębniona i samodzielna organizacyjnie część działalności gospodarczej, wykonywana przez przedsiębiorcę poza siedzibą przedsiębiorcy lub głównym miejscem wykonywania działalności. Usdg została zastąpiona przez ustawę z dnia 6 marca 2018 r. - Prawo przedsiębiorców, która nie zawiera już definicji oddziału. Pojęcie to pojawia się natomiast w ustawie z dnia 6 marca 2018 r. o zasadach uczestnictwa przedsiębiorców zagranicznych i innych osób zagranicznych w obrocie gospodarczym na terytorium Rzeczypospolitej Polskiej</w:t>
      </w:r>
      <w:r w:rsidR="00B36B93" w:rsidRPr="003A42FB">
        <w:rPr>
          <w:rFonts w:ascii="Times New Roman" w:eastAsiaTheme="minorEastAsia" w:hAnsi="Times New Roman" w:cs="Times New Roman"/>
          <w:sz w:val="24"/>
          <w:szCs w:val="24"/>
        </w:rPr>
        <w:t xml:space="preserve"> (Dz. U. z 2019 r. poz. 1079, 1214, 1495 i 1655)</w:t>
      </w:r>
      <w:r w:rsidRPr="003A42FB">
        <w:rPr>
          <w:rFonts w:ascii="Times New Roman" w:eastAsiaTheme="minorEastAsia" w:hAnsi="Times New Roman" w:cs="Times New Roman"/>
          <w:sz w:val="24"/>
          <w:szCs w:val="24"/>
        </w:rPr>
        <w:t xml:space="preserve"> i jest zdefiniowane w art. 3 pkt 4 w sposób identyczny jak w usdg. Może zatem posłużyć przy interpretacji pojęcia „oddziału” na gruncie Pt. </w:t>
      </w:r>
    </w:p>
    <w:p w14:paraId="368AA4F0" w14:textId="2C290CB1"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art. 38 pkt 1 lit. d ustawy z dnia 20 sierpnia 1997 r. o Krajowym Rejestrze Sądowym </w:t>
      </w:r>
      <w:r w:rsidR="00B36B93" w:rsidRPr="003A42FB">
        <w:rPr>
          <w:rFonts w:ascii="Times New Roman" w:eastAsiaTheme="minorEastAsia" w:hAnsi="Times New Roman" w:cs="Times New Roman"/>
          <w:sz w:val="24"/>
          <w:szCs w:val="24"/>
        </w:rPr>
        <w:t>(Dz</w:t>
      </w:r>
      <w:r w:rsidR="00332150" w:rsidRPr="003A42FB">
        <w:rPr>
          <w:rFonts w:ascii="Times New Roman" w:eastAsiaTheme="minorEastAsia" w:hAnsi="Times New Roman" w:cs="Times New Roman"/>
          <w:sz w:val="24"/>
          <w:szCs w:val="24"/>
        </w:rPr>
        <w:t>.</w:t>
      </w:r>
      <w:r w:rsidR="00B36B93" w:rsidRPr="003A42FB">
        <w:rPr>
          <w:rFonts w:ascii="Times New Roman" w:eastAsiaTheme="minorEastAsia" w:hAnsi="Times New Roman" w:cs="Times New Roman"/>
          <w:sz w:val="24"/>
          <w:szCs w:val="24"/>
        </w:rPr>
        <w:t xml:space="preserve"> U. z 2019 r. poz. 1500, 1655, 1798 oraz z 2020 r. poz. 288)</w:t>
      </w:r>
      <w:r w:rsidR="64E764C0" w:rsidRPr="003A42FB">
        <w:rPr>
          <w:rFonts w:ascii="Times New Roman" w:eastAsiaTheme="minorEastAsia" w:hAnsi="Times New Roman" w:cs="Times New Roman"/>
          <w:sz w:val="24"/>
          <w:szCs w:val="24"/>
        </w:rPr>
        <w:t>,</w:t>
      </w:r>
      <w:r w:rsidR="00B36B9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jeżeli przedsiębiorca posiada oddziały, w rejestrze przedsiębiorców obok danych dotyczących przedsiębiorcy powinny by ujawnione także siedziby i adresy jego oddziałów.  </w:t>
      </w:r>
    </w:p>
    <w:p w14:paraId="4EDCBED9" w14:textId="7E5517C0"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odnoszące się do oddziału znajdują się w Kodeksie cywilnym: </w:t>
      </w:r>
    </w:p>
    <w:p w14:paraId="7F8DC71A"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 art. 43</w:t>
      </w:r>
      <w:r w:rsidRPr="003A42FB">
        <w:rPr>
          <w:rFonts w:ascii="Times New Roman" w:eastAsiaTheme="minorEastAsia" w:hAnsi="Times New Roman" w:cs="Times New Roman"/>
          <w:sz w:val="24"/>
          <w:szCs w:val="24"/>
          <w:vertAlign w:val="superscript"/>
        </w:rPr>
        <w:t>6</w:t>
      </w:r>
      <w:r w:rsidRPr="003A42FB">
        <w:rPr>
          <w:rFonts w:ascii="Times New Roman" w:eastAsiaTheme="minorEastAsia" w:hAnsi="Times New Roman" w:cs="Times New Roman"/>
          <w:sz w:val="24"/>
          <w:szCs w:val="24"/>
        </w:rPr>
        <w:t xml:space="preserve"> – firma oddziału osoby prawnej zawiera pełną nazwę tej osoby oraz określenie „oddział” ze wskazaniem miejscowości, w której oddział ma siedzibę, </w:t>
      </w:r>
    </w:p>
    <w:p w14:paraId="79407C37"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2) art. 109</w:t>
      </w:r>
      <w:r w:rsidRPr="003A42FB">
        <w:rPr>
          <w:rFonts w:ascii="Times New Roman" w:eastAsiaTheme="minorEastAsia" w:hAnsi="Times New Roman" w:cs="Times New Roman"/>
          <w:sz w:val="24"/>
          <w:szCs w:val="24"/>
          <w:vertAlign w:val="superscript"/>
        </w:rPr>
        <w:t>5</w:t>
      </w:r>
      <w:r w:rsidRPr="003A42FB">
        <w:rPr>
          <w:rFonts w:ascii="Times New Roman" w:eastAsiaTheme="minorEastAsia" w:hAnsi="Times New Roman" w:cs="Times New Roman"/>
          <w:sz w:val="24"/>
          <w:szCs w:val="24"/>
        </w:rPr>
        <w:t xml:space="preserve"> – prokurę można ograniczyć do zakresu spraw wpisanych do rejestru oddziału przedsiębiorstwa (prokura oddziałowa).</w:t>
      </w:r>
    </w:p>
    <w:p w14:paraId="5993C73A" w14:textId="6AE6E3BB" w:rsidR="00086786" w:rsidRPr="003A42FB" w:rsidRDefault="00870FF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w:t>
      </w:r>
      <w:r w:rsidR="00086786" w:rsidRPr="003A42FB">
        <w:rPr>
          <w:rFonts w:ascii="Times New Roman" w:eastAsiaTheme="minorEastAsia" w:hAnsi="Times New Roman" w:cs="Times New Roman"/>
          <w:sz w:val="24"/>
          <w:szCs w:val="24"/>
        </w:rPr>
        <w:t xml:space="preserve"> reguluje równie kwestie z zakresu prawa pracy. Zgodnie z art. 3 ustawy z dnia 26 kwietnia 1974 r. – Kodeks pracy</w:t>
      </w:r>
      <w:r w:rsidR="007864B2" w:rsidRPr="003A42FB">
        <w:rPr>
          <w:rFonts w:ascii="Times New Roman" w:eastAsiaTheme="minorEastAsia" w:hAnsi="Times New Roman" w:cs="Times New Roman"/>
          <w:sz w:val="24"/>
          <w:szCs w:val="24"/>
        </w:rPr>
        <w:t xml:space="preserve"> (Dz. U. z 2019 r. poz. 1040, 1043 i 1495)</w:t>
      </w:r>
      <w:r w:rsidR="00086786" w:rsidRPr="003A42FB">
        <w:rPr>
          <w:rFonts w:ascii="Times New Roman" w:eastAsiaTheme="minorEastAsia" w:hAnsi="Times New Roman" w:cs="Times New Roman"/>
          <w:sz w:val="24"/>
          <w:szCs w:val="24"/>
        </w:rPr>
        <w:t xml:space="preserve"> pracodawcą jest jednostka organizacyjna, chociażby nie posiadała osobowości prawnej, a także osoba fizyczna, jeżeli zatrudniają one pracowników. Możliwość uznania za pracodawcę oddziału spółki handlowej potwierdza orzecznictwo Sądu Najwyższego. SN stwierdził, że każda osoba prawna jest pracodawcą w rozumieniu art. 3 Kodeksu pracy, chyba że dla niektórych pracowników za pracodawcę należy uznać jednostkę organizacyjną stanowiącą jej część składową</w:t>
      </w:r>
      <w:r w:rsidR="00086786" w:rsidRPr="003A42FB">
        <w:rPr>
          <w:rStyle w:val="Odwoanieprzypisudolnego"/>
          <w:rFonts w:ascii="Times New Roman" w:eastAsiaTheme="minorEastAsia" w:hAnsi="Times New Roman" w:cs="Times New Roman"/>
          <w:sz w:val="24"/>
          <w:szCs w:val="24"/>
        </w:rPr>
        <w:footnoteReference w:id="3"/>
      </w:r>
      <w:r w:rsidR="00086786" w:rsidRPr="003A42FB">
        <w:rPr>
          <w:rFonts w:ascii="Times New Roman" w:eastAsiaTheme="minorEastAsia" w:hAnsi="Times New Roman" w:cs="Times New Roman"/>
          <w:sz w:val="24"/>
          <w:szCs w:val="24"/>
        </w:rPr>
        <w:t xml:space="preserve">. Taka jednostka organizacyjna niewyposażona w osobowość prawną, musi być dostatecznie wyodrębniona pod względem organizacyjnym i finansowym oraz być uprawniona do samodzielnego zatrudniania pracowników (nie można jednak uznać za pracodawcę </w:t>
      </w:r>
      <w:r w:rsidR="00086786" w:rsidRPr="003A42FB">
        <w:rPr>
          <w:rFonts w:ascii="Times New Roman" w:eastAsiaTheme="minorEastAsia" w:hAnsi="Times New Roman" w:cs="Times New Roman"/>
          <w:sz w:val="24"/>
          <w:szCs w:val="24"/>
        </w:rPr>
        <w:lastRenderedPageBreak/>
        <w:t>jednostki organizacyjnej, której kierownik przyjmuje i zwalnia pracowników wyłącznie na podstawie upoważnienia)</w:t>
      </w:r>
      <w:r w:rsidR="00086786" w:rsidRPr="003A42FB">
        <w:rPr>
          <w:rStyle w:val="Odwoanieprzypisudolnego"/>
          <w:rFonts w:ascii="Times New Roman" w:eastAsiaTheme="minorEastAsia" w:hAnsi="Times New Roman" w:cs="Times New Roman"/>
          <w:sz w:val="24"/>
          <w:szCs w:val="24"/>
        </w:rPr>
        <w:footnoteReference w:id="4"/>
      </w:r>
      <w:r w:rsidR="00086786" w:rsidRPr="003A42FB">
        <w:rPr>
          <w:rFonts w:ascii="Times New Roman" w:eastAsiaTheme="minorEastAsia" w:hAnsi="Times New Roman" w:cs="Times New Roman"/>
          <w:sz w:val="24"/>
          <w:szCs w:val="24"/>
        </w:rPr>
        <w:t>.</w:t>
      </w:r>
    </w:p>
    <w:p w14:paraId="1158A974" w14:textId="23E031AA"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 uwagi na powyższe w projektowanym art. 44f ust. 3 stwierdzono, i</w:t>
      </w:r>
      <w:r w:rsidR="29AD355A" w:rsidRPr="003A42FB">
        <w:rPr>
          <w:rFonts w:ascii="Times New Roman" w:eastAsiaTheme="minorEastAsia" w:hAnsi="Times New Roman" w:cs="Times New Roman"/>
          <w:sz w:val="24"/>
          <w:szCs w:val="24"/>
        </w:rPr>
        <w:t>ż</w:t>
      </w:r>
      <w:r w:rsidRPr="003A42FB">
        <w:rPr>
          <w:rFonts w:ascii="Times New Roman" w:eastAsiaTheme="minorEastAsia" w:hAnsi="Times New Roman" w:cs="Times New Roman"/>
          <w:sz w:val="24"/>
          <w:szCs w:val="24"/>
        </w:rPr>
        <w:t xml:space="preserve"> „Wydzielona jednostka organizacyjna jest odrębnym pracodawcą w ramach przedsiębiorstwa przedsiębiorcy telekomunikacyjnego, o którym mowa w art. 44b ust. 1, za którego uprawnienia i obowiązki pracodawcy wykonuje osoba lub osoby kierujące wydzieloną jednostką organizacyjną.”. </w:t>
      </w:r>
    </w:p>
    <w:p w14:paraId="7D6DD97E" w14:textId="77DFFD97" w:rsidR="00086786" w:rsidRPr="003A42FB" w:rsidRDefault="0008678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Dobrowolny podział przedsiębiorstwa zintegrowanego pionowo – art. </w:t>
      </w:r>
      <w:r w:rsidR="00354C22">
        <w:rPr>
          <w:rFonts w:ascii="Times New Roman" w:eastAsiaTheme="minorEastAsia" w:hAnsi="Times New Roman" w:cs="Times New Roman"/>
          <w:b/>
          <w:bCs/>
          <w:sz w:val="24"/>
          <w:szCs w:val="24"/>
        </w:rPr>
        <w:t>229</w:t>
      </w:r>
    </w:p>
    <w:p w14:paraId="77BD9352" w14:textId="77777777" w:rsidR="00086786" w:rsidRPr="003A42FB" w:rsidRDefault="00091D1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w:t>
      </w:r>
      <w:r w:rsidR="00086786" w:rsidRPr="003A42FB">
        <w:rPr>
          <w:rFonts w:ascii="Times New Roman" w:eastAsiaTheme="minorEastAsia" w:hAnsi="Times New Roman" w:cs="Times New Roman"/>
          <w:sz w:val="24"/>
          <w:szCs w:val="24"/>
        </w:rPr>
        <w:t xml:space="preserve"> stanowi implementację art. 78 EKŁE.   </w:t>
      </w:r>
    </w:p>
    <w:p w14:paraId="6F70A086" w14:textId="067D57F1"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co do zasady tak jak dotychczasowy art. 44g ust. 1 reguluje obowiązek powiadomienia Prezesa UKE, przez przedsiębiorcę telekomunikacyjnego o znaczącej pozycji rynkowej zintegrowanego pionowo, o planowanym przeniesieniu środków majątkowych lokalnej sieci dostępu lub ich znacznej części na odrębną osobę prawną mającą innego właściciela lub na nowo zawiązany w tym celu podmiot. Zmiana w porównaniu do dotychczas obowiązujących przepisów dotyczy terminu dokonania zawiadomienia. Dotychczas zawiadomienia dokonywało się najpóźniej sześć miesięcy przed planowanym przeniesieniem środków majątkowych. Ze względu jednak na to, że EKŁE w art. 78 ust. 1 wskazuje, że poinformowanie organu powinno nastąpić co najmniej trzy miesiące przed planowanym przeniesieniem aktywów, analogiczną zmianę wprowadzono w projektowanym przepisie.</w:t>
      </w:r>
    </w:p>
    <w:p w14:paraId="096DC710" w14:textId="77777777" w:rsidR="00086786" w:rsidRPr="003A42FB" w:rsidRDefault="0008678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Nowym elementem wprowadzonym przez EKŁE w art. 78 ust. 1 akapit 3 jest możliwość zobowiązania się przez przedsiębiorcę do stosowania określonych warunków dostępu do sieci w okresie po dokonaniu podziału. Celem tych zobowiązań jest zapewnienie stronom trzecim skutecznego i niedyskryminacyjnego dostępu. Zgodnie z EKŁE organ może przy tym uczynić określone warunki wiążącymi</w:t>
      </w:r>
      <w:r w:rsidR="00110F4E"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 zatem zobowiązać przedsiębiorcę do ich stosowania w całości lub w części. Organ regulacyjny powinien przy tym monitorować wykonanie tych warunków. Regulacje te zawarte w EKŁE znalazły odzwierciedlenie w projektowanym przepisie.</w:t>
      </w:r>
    </w:p>
    <w:p w14:paraId="302F1E64" w14:textId="6710832A" w:rsidR="00A43797" w:rsidRPr="003A42FB" w:rsidRDefault="00267B4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 </w:t>
      </w:r>
      <w:r w:rsidR="00A43797"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230</w:t>
      </w:r>
    </w:p>
    <w:p w14:paraId="5D543C03" w14:textId="18D4EFF4" w:rsidR="00A43797" w:rsidRPr="003A42FB" w:rsidRDefault="00A4379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 wdraża art. 81 EKŁE, który nie miał swojego odpowiednika w pakiecie dyrektyw telekomunikacyjnych.</w:t>
      </w:r>
      <w:r w:rsidR="00666011" w:rsidRPr="003A42FB">
        <w:rPr>
          <w:rFonts w:ascii="Times New Roman" w:eastAsiaTheme="minorEastAsia" w:hAnsi="Times New Roman" w:cs="Times New Roman"/>
          <w:sz w:val="24"/>
          <w:szCs w:val="24"/>
        </w:rPr>
        <w:t xml:space="preserve"> </w:t>
      </w:r>
      <w:r w:rsidR="003676B5" w:rsidRPr="003A42FB">
        <w:rPr>
          <w:rFonts w:ascii="Times New Roman" w:eastAsiaTheme="minorEastAsia" w:hAnsi="Times New Roman" w:cs="Times New Roman"/>
          <w:sz w:val="24"/>
          <w:szCs w:val="24"/>
        </w:rPr>
        <w:t>Celem przepisu jest ułatwienie przechodzenia z tradycyjnych sieci miedzianych do sieci nowej generacji.</w:t>
      </w:r>
      <w:r w:rsidR="00176F72" w:rsidRPr="003A42FB">
        <w:rPr>
          <w:rFonts w:ascii="Times New Roman" w:eastAsiaTheme="minorEastAsia" w:hAnsi="Times New Roman" w:cs="Times New Roman"/>
          <w:sz w:val="24"/>
          <w:szCs w:val="24"/>
        </w:rPr>
        <w:t xml:space="preserve"> Aby </w:t>
      </w:r>
      <w:r w:rsidR="00D034E6" w:rsidRPr="003A42FB">
        <w:rPr>
          <w:rFonts w:ascii="Times New Roman" w:eastAsiaTheme="minorEastAsia" w:hAnsi="Times New Roman" w:cs="Times New Roman"/>
          <w:sz w:val="24"/>
          <w:szCs w:val="24"/>
        </w:rPr>
        <w:t xml:space="preserve">zapewnić nadzór nad tym procesem oraz </w:t>
      </w:r>
      <w:r w:rsidR="00ED20F0" w:rsidRPr="003A42FB">
        <w:rPr>
          <w:rFonts w:ascii="Times New Roman" w:eastAsiaTheme="minorEastAsia" w:hAnsi="Times New Roman" w:cs="Times New Roman"/>
          <w:sz w:val="24"/>
          <w:szCs w:val="24"/>
        </w:rPr>
        <w:t>aby go usprawnić EKŁE nakłada na krajowy organ regulacyjny obowiązek zapewnienia, aby proces wycofania lub zastąpienia elementów sieci obejmował przejrzysty harmonogram oraz warunki migracji, a także, aby przewidywał dostępność alternatywnych produktów o przynajmniej porównywalnej jakości pozwalających uzyskać dostęp do zmoderniz</w:t>
      </w:r>
      <w:r w:rsidR="00F658ED" w:rsidRPr="003A42FB">
        <w:rPr>
          <w:rFonts w:ascii="Times New Roman" w:eastAsiaTheme="minorEastAsia" w:hAnsi="Times New Roman" w:cs="Times New Roman"/>
          <w:sz w:val="24"/>
          <w:szCs w:val="24"/>
        </w:rPr>
        <w:t>owanej infrastruktury sieciowej</w:t>
      </w:r>
      <w:r w:rsidR="0F187E82" w:rsidRPr="003A42FB">
        <w:rPr>
          <w:rFonts w:ascii="Times New Roman" w:eastAsiaTheme="minorEastAsia" w:hAnsi="Times New Roman" w:cs="Times New Roman"/>
          <w:sz w:val="24"/>
          <w:szCs w:val="24"/>
        </w:rPr>
        <w:t>,</w:t>
      </w:r>
      <w:r w:rsidR="00F658ED" w:rsidRPr="003A42FB">
        <w:rPr>
          <w:rFonts w:ascii="Times New Roman" w:eastAsiaTheme="minorEastAsia" w:hAnsi="Times New Roman" w:cs="Times New Roman"/>
          <w:sz w:val="24"/>
          <w:szCs w:val="24"/>
        </w:rPr>
        <w:t xml:space="preserve"> jeżeli jest to konieczne do ochrony konkurencji i praw użytkowników końcowych. </w:t>
      </w:r>
      <w:r w:rsidR="00F739AD" w:rsidRPr="003A42FB">
        <w:rPr>
          <w:rFonts w:ascii="Times New Roman" w:eastAsiaTheme="minorEastAsia" w:hAnsi="Times New Roman" w:cs="Times New Roman"/>
          <w:sz w:val="24"/>
          <w:szCs w:val="24"/>
        </w:rPr>
        <w:t>Dyrektywa umożliwia organowi uchylenie obowiązków dotyczących dostępu w odniesieniu do sieci miedzianej</w:t>
      </w:r>
      <w:r w:rsidR="00FF5358" w:rsidRPr="003A42FB">
        <w:rPr>
          <w:rFonts w:ascii="Times New Roman" w:eastAsiaTheme="minorEastAsia" w:hAnsi="Times New Roman" w:cs="Times New Roman"/>
          <w:sz w:val="24"/>
          <w:szCs w:val="24"/>
        </w:rPr>
        <w:t xml:space="preserve"> z chwilą ustanowienia odpowiedniego procesu migracji oraz zapewnienia zgodności z warunkami, o których powiadomił organ. Ma to na celu uniknięcie nieuzasadnionych opóźnień w migracji.</w:t>
      </w:r>
    </w:p>
    <w:p w14:paraId="63079094" w14:textId="77777777" w:rsidR="00FF5358" w:rsidRPr="003A42FB" w:rsidRDefault="00FF535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Powyższe postanowienia znalazły odzwierciedlenie </w:t>
      </w:r>
      <w:r w:rsidR="007611F8" w:rsidRPr="003A42FB">
        <w:rPr>
          <w:rFonts w:ascii="Times New Roman" w:eastAsiaTheme="minorEastAsia" w:hAnsi="Times New Roman" w:cs="Times New Roman"/>
          <w:sz w:val="24"/>
          <w:szCs w:val="24"/>
        </w:rPr>
        <w:t xml:space="preserve">w projektowanym </w:t>
      </w:r>
      <w:r w:rsidR="00177A02" w:rsidRPr="003A42FB">
        <w:rPr>
          <w:rFonts w:ascii="Times New Roman" w:eastAsiaTheme="minorEastAsia" w:hAnsi="Times New Roman" w:cs="Times New Roman"/>
          <w:sz w:val="24"/>
          <w:szCs w:val="24"/>
        </w:rPr>
        <w:t>przepisie</w:t>
      </w:r>
      <w:r w:rsidR="007611F8" w:rsidRPr="003A42FB">
        <w:rPr>
          <w:rFonts w:ascii="Times New Roman" w:eastAsiaTheme="minorEastAsia" w:hAnsi="Times New Roman" w:cs="Times New Roman"/>
          <w:sz w:val="24"/>
          <w:szCs w:val="24"/>
        </w:rPr>
        <w:t xml:space="preserve">, który </w:t>
      </w:r>
      <w:r w:rsidR="00795198" w:rsidRPr="003A42FB">
        <w:rPr>
          <w:rFonts w:ascii="Times New Roman" w:eastAsiaTheme="minorEastAsia" w:hAnsi="Times New Roman" w:cs="Times New Roman"/>
          <w:sz w:val="24"/>
          <w:szCs w:val="24"/>
        </w:rPr>
        <w:t xml:space="preserve">uszczegóławia </w:t>
      </w:r>
      <w:r w:rsidR="00CA6A12" w:rsidRPr="003A42FB">
        <w:rPr>
          <w:rFonts w:ascii="Times New Roman" w:eastAsiaTheme="minorEastAsia" w:hAnsi="Times New Roman" w:cs="Times New Roman"/>
          <w:sz w:val="24"/>
          <w:szCs w:val="24"/>
        </w:rPr>
        <w:t xml:space="preserve">przy tym </w:t>
      </w:r>
      <w:r w:rsidR="00795198" w:rsidRPr="003A42FB">
        <w:rPr>
          <w:rFonts w:ascii="Times New Roman" w:eastAsiaTheme="minorEastAsia" w:hAnsi="Times New Roman" w:cs="Times New Roman"/>
          <w:sz w:val="24"/>
          <w:szCs w:val="24"/>
        </w:rPr>
        <w:t>procedurę powiadamiania organu (Prezesa UKE) o zamiarze migracji i zatwierdzania powiadomienia.</w:t>
      </w:r>
    </w:p>
    <w:p w14:paraId="049F31CB" w14:textId="77777777" w:rsidR="00C44093" w:rsidRPr="003A42FB" w:rsidRDefault="00C44093" w:rsidP="00C53EAB">
      <w:pPr>
        <w:pStyle w:val="ROZDZODDZOZNoznaczenierozdziauluboddziau"/>
        <w:spacing w:before="0" w:after="120" w:line="240" w:lineRule="auto"/>
        <w:jc w:val="both"/>
        <w:rPr>
          <w:rFonts w:ascii="Times New Roman" w:hAnsi="Times New Roman" w:cs="Times New Roman"/>
        </w:rPr>
      </w:pPr>
    </w:p>
    <w:p w14:paraId="6B8FCC74" w14:textId="77777777" w:rsidR="00177A02" w:rsidRPr="003A42FB" w:rsidRDefault="00177A02" w:rsidP="00C53EAB">
      <w:pPr>
        <w:pStyle w:val="ROZDZODDZOZNoznaczenierozdziauluboddziau"/>
        <w:spacing w:before="0" w:after="120" w:line="240" w:lineRule="auto"/>
        <w:jc w:val="both"/>
        <w:rPr>
          <w:rFonts w:ascii="Times New Roman" w:hAnsi="Times New Roman" w:cs="Times New Roman"/>
          <w:lang w:eastAsia="en-US"/>
        </w:rPr>
      </w:pPr>
      <w:r w:rsidRPr="003A42FB">
        <w:rPr>
          <w:rFonts w:ascii="Times New Roman" w:hAnsi="Times New Roman" w:cs="Times New Roman"/>
          <w:b/>
          <w:lang w:eastAsia="en-US"/>
        </w:rPr>
        <w:t>ROZDZIAŁ 3.  Ograniczenia na rynkach detalicznych</w:t>
      </w:r>
    </w:p>
    <w:p w14:paraId="1A541CFF" w14:textId="7F84BF17" w:rsidR="00C51F2B" w:rsidRPr="003A42FB" w:rsidRDefault="00271009"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54C22">
        <w:rPr>
          <w:rFonts w:ascii="Times New Roman" w:eastAsiaTheme="minorEastAsia" w:hAnsi="Times New Roman" w:cs="Times New Roman"/>
          <w:b/>
          <w:bCs/>
          <w:sz w:val="24"/>
          <w:szCs w:val="24"/>
        </w:rPr>
        <w:t>231</w:t>
      </w:r>
    </w:p>
    <w:p w14:paraId="2D46036E" w14:textId="60D47471" w:rsidR="00A66152" w:rsidRPr="003A42FB" w:rsidRDefault="00727A6C" w:rsidP="00C53EAB">
      <w:pPr>
        <w:pStyle w:val="CZWSPPKTczwsplnapunktw"/>
        <w:spacing w:after="120"/>
        <w:rPr>
          <w:rFonts w:eastAsiaTheme="minorEastAsia" w:cs="Times New Roman"/>
          <w:sz w:val="24"/>
          <w:szCs w:val="24"/>
        </w:rPr>
      </w:pPr>
      <w:r w:rsidRPr="003A42FB">
        <w:rPr>
          <w:rFonts w:eastAsiaTheme="minorEastAsia" w:cs="Times New Roman"/>
          <w:sz w:val="24"/>
          <w:szCs w:val="24"/>
        </w:rPr>
        <w:t xml:space="preserve">Projektowany przepis dotyczy nakładania obowiązków na </w:t>
      </w:r>
      <w:r w:rsidR="00074179" w:rsidRPr="003A42FB">
        <w:rPr>
          <w:rFonts w:eastAsiaTheme="minorEastAsia" w:cs="Times New Roman"/>
          <w:sz w:val="24"/>
          <w:szCs w:val="24"/>
        </w:rPr>
        <w:t xml:space="preserve">przedsiębiorcę telekomunikacyjnego o znaczącej pozycji rynkowej na rynku usług detalicznych </w:t>
      </w:r>
      <w:r w:rsidRPr="003A42FB">
        <w:rPr>
          <w:rFonts w:eastAsiaTheme="minorEastAsia" w:cs="Times New Roman"/>
          <w:sz w:val="24"/>
          <w:szCs w:val="24"/>
        </w:rPr>
        <w:t>i nie odbiega w sposób zasadniczy od dotychczasowej treści art. 46 Pt</w:t>
      </w:r>
      <w:r w:rsidR="00A66152" w:rsidRPr="003A42FB">
        <w:rPr>
          <w:rFonts w:eastAsiaTheme="minorEastAsia" w:cs="Times New Roman"/>
          <w:sz w:val="24"/>
          <w:szCs w:val="24"/>
        </w:rPr>
        <w:t>, z tym</w:t>
      </w:r>
      <w:r w:rsidR="79EB1062" w:rsidRPr="003A42FB">
        <w:rPr>
          <w:rFonts w:eastAsiaTheme="minorEastAsia" w:cs="Times New Roman"/>
          <w:sz w:val="24"/>
          <w:szCs w:val="24"/>
        </w:rPr>
        <w:t>,</w:t>
      </w:r>
      <w:r w:rsidR="00A66152" w:rsidRPr="003A42FB">
        <w:rPr>
          <w:rFonts w:eastAsiaTheme="minorEastAsia" w:cs="Times New Roman"/>
          <w:sz w:val="24"/>
          <w:szCs w:val="24"/>
        </w:rPr>
        <w:t xml:space="preserve"> że dotyczy obowiązków nakładanych na przedsiębiorcę komunikacji elektronicznej o znaczącej pozycji rynkowej na danym rynku detalicznym. Zakres ten jest zatem szerszy niż dotychczas obowiązujący na gruncie </w:t>
      </w:r>
      <w:r w:rsidR="00110F4E" w:rsidRPr="003A42FB">
        <w:rPr>
          <w:rFonts w:eastAsiaTheme="minorEastAsia" w:cs="Times New Roman"/>
          <w:sz w:val="24"/>
          <w:szCs w:val="24"/>
        </w:rPr>
        <w:t>Pt</w:t>
      </w:r>
      <w:r w:rsidR="00A66152" w:rsidRPr="003A42FB">
        <w:rPr>
          <w:rFonts w:eastAsiaTheme="minorEastAsia" w:cs="Times New Roman"/>
          <w:sz w:val="24"/>
          <w:szCs w:val="24"/>
        </w:rPr>
        <w:t>, który obejmował przedsiębiorców telekomunikacyjnych.</w:t>
      </w:r>
    </w:p>
    <w:p w14:paraId="1B72EBC2" w14:textId="6B434DAD" w:rsidR="00C51F2B" w:rsidRPr="003A42FB" w:rsidRDefault="00692D0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stanowi wdrożenie art. 83 EKŁE. </w:t>
      </w:r>
      <w:r w:rsidR="00560267" w:rsidRPr="003A42FB">
        <w:rPr>
          <w:rFonts w:ascii="Times New Roman" w:eastAsiaTheme="minorEastAsia" w:hAnsi="Times New Roman" w:cs="Times New Roman"/>
          <w:sz w:val="24"/>
          <w:szCs w:val="24"/>
        </w:rPr>
        <w:t xml:space="preserve">Rynkami detalicznymi są rynki produktów i usług w zakresie usług telekomunikacyjnych dla użytkowników końcowych. </w:t>
      </w:r>
      <w:r w:rsidR="00C10E2B" w:rsidRPr="003A42FB">
        <w:rPr>
          <w:rFonts w:ascii="Times New Roman" w:eastAsiaTheme="minorEastAsia" w:hAnsi="Times New Roman" w:cs="Times New Roman"/>
          <w:sz w:val="24"/>
          <w:szCs w:val="24"/>
        </w:rPr>
        <w:t>Obowiązki mogą być nakładane</w:t>
      </w:r>
      <w:r w:rsidR="21C74C05" w:rsidRPr="003A42FB">
        <w:rPr>
          <w:rFonts w:ascii="Times New Roman" w:eastAsiaTheme="minorEastAsia" w:hAnsi="Times New Roman" w:cs="Times New Roman"/>
          <w:sz w:val="24"/>
          <w:szCs w:val="24"/>
        </w:rPr>
        <w:t>,</w:t>
      </w:r>
      <w:r w:rsidR="00C10E2B" w:rsidRPr="003A42FB">
        <w:rPr>
          <w:rFonts w:ascii="Times New Roman" w:eastAsiaTheme="minorEastAsia" w:hAnsi="Times New Roman" w:cs="Times New Roman"/>
          <w:sz w:val="24"/>
          <w:szCs w:val="24"/>
        </w:rPr>
        <w:t xml:space="preserve"> gdy analiza rynku wykaże, że dany rynek detaliczny nie jest skutecznie konkurencyjny oraz obowiązki</w:t>
      </w:r>
      <w:r w:rsidR="00B45E4E" w:rsidRPr="003A42FB">
        <w:rPr>
          <w:rFonts w:ascii="Times New Roman" w:eastAsiaTheme="minorEastAsia" w:hAnsi="Times New Roman" w:cs="Times New Roman"/>
          <w:sz w:val="24"/>
          <w:szCs w:val="24"/>
        </w:rPr>
        <w:t xml:space="preserve"> </w:t>
      </w:r>
      <w:r w:rsidR="0036469A" w:rsidRPr="003A42FB">
        <w:rPr>
          <w:rFonts w:ascii="Times New Roman" w:eastAsiaTheme="minorEastAsia" w:hAnsi="Times New Roman" w:cs="Times New Roman"/>
          <w:sz w:val="24"/>
          <w:szCs w:val="24"/>
        </w:rPr>
        <w:t xml:space="preserve">dostępowe </w:t>
      </w:r>
      <w:r w:rsidR="00327071" w:rsidRPr="003A42FB">
        <w:rPr>
          <w:rFonts w:ascii="Times New Roman" w:eastAsiaTheme="minorEastAsia" w:hAnsi="Times New Roman" w:cs="Times New Roman"/>
          <w:sz w:val="24"/>
          <w:szCs w:val="24"/>
        </w:rPr>
        <w:t>nie doprowadziły</w:t>
      </w:r>
      <w:r w:rsidR="00FF788A" w:rsidRPr="003A42FB">
        <w:rPr>
          <w:rFonts w:ascii="Times New Roman" w:eastAsiaTheme="minorEastAsia" w:hAnsi="Times New Roman" w:cs="Times New Roman"/>
          <w:sz w:val="24"/>
          <w:szCs w:val="24"/>
        </w:rPr>
        <w:t>by</w:t>
      </w:r>
      <w:r w:rsidR="00327071" w:rsidRPr="003A42FB">
        <w:rPr>
          <w:rFonts w:ascii="Times New Roman" w:eastAsiaTheme="minorEastAsia" w:hAnsi="Times New Roman" w:cs="Times New Roman"/>
          <w:sz w:val="24"/>
          <w:szCs w:val="24"/>
        </w:rPr>
        <w:t xml:space="preserve"> do osiągnięcia celów polityki regulacyjnej</w:t>
      </w:r>
      <w:r w:rsidR="00074179" w:rsidRPr="003A42FB">
        <w:rPr>
          <w:rFonts w:ascii="Times New Roman" w:eastAsiaTheme="minorEastAsia" w:hAnsi="Times New Roman" w:cs="Times New Roman"/>
          <w:sz w:val="24"/>
          <w:szCs w:val="24"/>
        </w:rPr>
        <w:t>.</w:t>
      </w:r>
    </w:p>
    <w:p w14:paraId="50ACF8C2" w14:textId="22A3D795" w:rsidR="00711B17" w:rsidRPr="003A42FB" w:rsidRDefault="00182FE3" w:rsidP="037A78B1">
      <w:pPr>
        <w:spacing w:after="120" w:line="240" w:lineRule="auto"/>
        <w:jc w:val="both"/>
        <w:rPr>
          <w:rStyle w:val="articletitle"/>
          <w:rFonts w:ascii="Times New Roman" w:eastAsiaTheme="minorEastAsia" w:hAnsi="Times New Roman" w:cs="Times New Roman"/>
          <w:b/>
          <w:bCs/>
          <w:sz w:val="24"/>
          <w:szCs w:val="24"/>
        </w:rPr>
      </w:pPr>
      <w:r w:rsidRPr="003A42FB">
        <w:rPr>
          <w:rStyle w:val="articletitle"/>
          <w:rFonts w:ascii="Times New Roman" w:eastAsiaTheme="minorEastAsia" w:hAnsi="Times New Roman" w:cs="Times New Roman"/>
          <w:b/>
          <w:bCs/>
          <w:sz w:val="24"/>
          <w:szCs w:val="24"/>
        </w:rPr>
        <w:t xml:space="preserve">Art. </w:t>
      </w:r>
      <w:r w:rsidR="00354C22">
        <w:rPr>
          <w:rStyle w:val="articletitle"/>
          <w:rFonts w:ascii="Times New Roman" w:eastAsiaTheme="minorEastAsia" w:hAnsi="Times New Roman" w:cs="Times New Roman"/>
          <w:b/>
          <w:bCs/>
          <w:sz w:val="24"/>
          <w:szCs w:val="24"/>
        </w:rPr>
        <w:t>232</w:t>
      </w:r>
    </w:p>
    <w:p w14:paraId="6DD6FCBE" w14:textId="246EE595" w:rsidR="000E527A" w:rsidRPr="003A42FB" w:rsidRDefault="000E527A" w:rsidP="00C53EAB">
      <w:pPr>
        <w:spacing w:after="120" w:line="240" w:lineRule="auto"/>
        <w:jc w:val="both"/>
        <w:rPr>
          <w:rStyle w:val="articletitle"/>
          <w:rFonts w:ascii="Times New Roman" w:eastAsiaTheme="minorEastAsia" w:hAnsi="Times New Roman" w:cs="Times New Roman"/>
          <w:sz w:val="24"/>
          <w:szCs w:val="24"/>
        </w:rPr>
      </w:pPr>
      <w:r w:rsidRPr="003A42FB">
        <w:rPr>
          <w:rStyle w:val="articletitle"/>
          <w:rFonts w:ascii="Times New Roman" w:eastAsiaTheme="minorEastAsia" w:hAnsi="Times New Roman" w:cs="Times New Roman"/>
          <w:sz w:val="24"/>
          <w:szCs w:val="24"/>
        </w:rPr>
        <w:t>Projektowany przepis jest analogiczny do dotychczasowej regulacji zawartej w Pt</w:t>
      </w:r>
      <w:r w:rsidR="00A76FAD" w:rsidRPr="003A42FB">
        <w:rPr>
          <w:rStyle w:val="articletitle"/>
          <w:rFonts w:ascii="Times New Roman" w:eastAsiaTheme="minorEastAsia" w:hAnsi="Times New Roman" w:cs="Times New Roman"/>
          <w:sz w:val="24"/>
          <w:szCs w:val="24"/>
        </w:rPr>
        <w:t xml:space="preserve">, z tą różnicą, iż dotyczy </w:t>
      </w:r>
      <w:r w:rsidR="00A76FAD" w:rsidRPr="003A42FB">
        <w:rPr>
          <w:rFonts w:ascii="Times New Roman" w:eastAsiaTheme="minorEastAsia" w:hAnsi="Times New Roman" w:cs="Times New Roman"/>
          <w:sz w:val="24"/>
          <w:szCs w:val="24"/>
        </w:rPr>
        <w:t>przedsiębiorców komunikacji elektronicznej</w:t>
      </w:r>
      <w:r w:rsidRPr="003A42FB">
        <w:rPr>
          <w:rStyle w:val="articletitle"/>
          <w:rFonts w:ascii="Times New Roman" w:eastAsiaTheme="minorEastAsia" w:hAnsi="Times New Roman" w:cs="Times New Roman"/>
          <w:sz w:val="24"/>
          <w:szCs w:val="24"/>
        </w:rPr>
        <w:t xml:space="preserve">. Przepis dotyczy przypadku, gdy na podstawie projektowanego art. 46 Prezes UKE nałoży obowiązek </w:t>
      </w:r>
      <w:r w:rsidRPr="003A42FB">
        <w:rPr>
          <w:rFonts w:ascii="Times New Roman" w:eastAsiaTheme="minorEastAsia" w:hAnsi="Times New Roman" w:cs="Times New Roman"/>
          <w:sz w:val="24"/>
          <w:szCs w:val="24"/>
        </w:rPr>
        <w:t xml:space="preserve">przedstawiania do zatwierdzenia </w:t>
      </w:r>
      <w:r w:rsidR="005410D8" w:rsidRPr="003A42FB">
        <w:rPr>
          <w:rFonts w:ascii="Times New Roman" w:eastAsiaTheme="minorEastAsia" w:hAnsi="Times New Roman" w:cs="Times New Roman"/>
          <w:sz w:val="24"/>
          <w:szCs w:val="24"/>
        </w:rPr>
        <w:t>informacji przedumownych</w:t>
      </w:r>
      <w:r w:rsidRPr="003A42FB">
        <w:rPr>
          <w:rFonts w:ascii="Times New Roman" w:eastAsiaTheme="minorEastAsia" w:hAnsi="Times New Roman" w:cs="Times New Roman"/>
          <w:sz w:val="24"/>
          <w:szCs w:val="24"/>
        </w:rPr>
        <w:t xml:space="preserve">. </w:t>
      </w:r>
      <w:r w:rsidR="00E77547" w:rsidRPr="003A42FB">
        <w:rPr>
          <w:rStyle w:val="articletitle"/>
          <w:rFonts w:ascii="Times New Roman" w:eastAsiaTheme="minorEastAsia" w:hAnsi="Times New Roman" w:cs="Times New Roman"/>
          <w:sz w:val="24"/>
          <w:szCs w:val="24"/>
        </w:rPr>
        <w:t>Możliwość nałożenia takiego obowiązku wynika z art. 83 ust. 2 EKŁE, który to przepis dotyczy m.in. możliwości zastosowania środków kontroli poszczególnych taryf.</w:t>
      </w:r>
    </w:p>
    <w:p w14:paraId="4F425B9F" w14:textId="7B923111" w:rsidR="00E77547" w:rsidRPr="003A42FB" w:rsidRDefault="00E77547" w:rsidP="00C53EAB">
      <w:pPr>
        <w:spacing w:after="120" w:line="240" w:lineRule="auto"/>
        <w:jc w:val="both"/>
        <w:rPr>
          <w:rStyle w:val="articletitle"/>
          <w:rFonts w:ascii="Times New Roman" w:eastAsiaTheme="minorEastAsia" w:hAnsi="Times New Roman" w:cs="Times New Roman"/>
          <w:sz w:val="24"/>
          <w:szCs w:val="24"/>
        </w:rPr>
      </w:pPr>
      <w:r w:rsidRPr="003A42FB">
        <w:rPr>
          <w:rStyle w:val="articletitle"/>
          <w:rFonts w:ascii="Times New Roman" w:eastAsiaTheme="minorEastAsia" w:hAnsi="Times New Roman" w:cs="Times New Roman"/>
          <w:sz w:val="24"/>
          <w:szCs w:val="24"/>
        </w:rPr>
        <w:t xml:space="preserve">Projektowany przepis uszczegóławia procedurę zatwierdzania przez Prezesa UKE </w:t>
      </w:r>
      <w:r w:rsidR="005410D8" w:rsidRPr="003A42FB">
        <w:rPr>
          <w:rFonts w:ascii="Times New Roman" w:eastAsiaTheme="minorEastAsia" w:hAnsi="Times New Roman" w:cs="Times New Roman"/>
          <w:sz w:val="24"/>
          <w:szCs w:val="24"/>
        </w:rPr>
        <w:t>informacji przedumownych</w:t>
      </w:r>
      <w:r w:rsidR="009F33FE" w:rsidRPr="003A42FB">
        <w:rPr>
          <w:rStyle w:val="articletitle"/>
          <w:rFonts w:ascii="Times New Roman" w:eastAsiaTheme="minorEastAsia" w:hAnsi="Times New Roman" w:cs="Times New Roman"/>
          <w:sz w:val="24"/>
          <w:szCs w:val="24"/>
        </w:rPr>
        <w:t xml:space="preserve">, zakreślając termin przedłożenia planowanych </w:t>
      </w:r>
      <w:r w:rsidR="005410D8" w:rsidRPr="003A42FB">
        <w:rPr>
          <w:rFonts w:ascii="Times New Roman" w:eastAsiaTheme="minorEastAsia" w:hAnsi="Times New Roman" w:cs="Times New Roman"/>
          <w:sz w:val="24"/>
          <w:szCs w:val="24"/>
        </w:rPr>
        <w:t>informacji przedumownych</w:t>
      </w:r>
      <w:r w:rsidR="005410D8" w:rsidRPr="003A42FB">
        <w:rPr>
          <w:rStyle w:val="articletitle"/>
          <w:rFonts w:ascii="Times New Roman" w:eastAsiaTheme="minorEastAsia" w:hAnsi="Times New Roman" w:cs="Times New Roman"/>
          <w:sz w:val="24"/>
          <w:szCs w:val="24"/>
        </w:rPr>
        <w:t xml:space="preserve"> </w:t>
      </w:r>
      <w:r w:rsidR="009F33FE" w:rsidRPr="003A42FB">
        <w:rPr>
          <w:rStyle w:val="articletitle"/>
          <w:rFonts w:ascii="Times New Roman" w:eastAsiaTheme="minorEastAsia" w:hAnsi="Times New Roman" w:cs="Times New Roman"/>
          <w:sz w:val="24"/>
          <w:szCs w:val="24"/>
        </w:rPr>
        <w:t xml:space="preserve">do zatwierdzenia, przewidując możliwość zgłoszenia sprzeciwu przez Prezesa UKE, oraz regulując kwestie publikowania na stronie </w:t>
      </w:r>
      <w:r w:rsidR="00110F4E" w:rsidRPr="003A42FB">
        <w:rPr>
          <w:rStyle w:val="articletitle"/>
          <w:rFonts w:ascii="Times New Roman" w:eastAsiaTheme="minorEastAsia" w:hAnsi="Times New Roman" w:cs="Times New Roman"/>
          <w:sz w:val="24"/>
          <w:szCs w:val="24"/>
        </w:rPr>
        <w:t xml:space="preserve">podmiotowej </w:t>
      </w:r>
      <w:r w:rsidR="009F33FE" w:rsidRPr="003A42FB">
        <w:rPr>
          <w:rStyle w:val="articletitle"/>
          <w:rFonts w:ascii="Times New Roman" w:eastAsiaTheme="minorEastAsia" w:hAnsi="Times New Roman" w:cs="Times New Roman"/>
          <w:sz w:val="24"/>
          <w:szCs w:val="24"/>
        </w:rPr>
        <w:t>BIP UKE</w:t>
      </w:r>
      <w:r w:rsidR="00AC3E4C" w:rsidRPr="003A42FB">
        <w:rPr>
          <w:rStyle w:val="articletitle"/>
          <w:rFonts w:ascii="Times New Roman" w:eastAsiaTheme="minorEastAsia" w:hAnsi="Times New Roman" w:cs="Times New Roman"/>
          <w:sz w:val="24"/>
          <w:szCs w:val="24"/>
        </w:rPr>
        <w:t xml:space="preserve"> </w:t>
      </w:r>
      <w:r w:rsidR="005410D8" w:rsidRPr="003A42FB">
        <w:rPr>
          <w:rFonts w:ascii="Times New Roman" w:eastAsiaTheme="minorEastAsia" w:hAnsi="Times New Roman" w:cs="Times New Roman"/>
          <w:sz w:val="24"/>
          <w:szCs w:val="24"/>
        </w:rPr>
        <w:t>informacji przedumownych.</w:t>
      </w:r>
      <w:r w:rsidR="009F33FE" w:rsidRPr="003A42FB">
        <w:rPr>
          <w:rStyle w:val="articletitle"/>
          <w:rFonts w:ascii="Times New Roman" w:eastAsiaTheme="minorEastAsia" w:hAnsi="Times New Roman" w:cs="Times New Roman"/>
          <w:sz w:val="24"/>
          <w:szCs w:val="24"/>
        </w:rPr>
        <w:t xml:space="preserve"> </w:t>
      </w:r>
      <w:r w:rsidRPr="003A42FB">
        <w:rPr>
          <w:rStyle w:val="articletitle"/>
          <w:rFonts w:ascii="Times New Roman" w:eastAsiaTheme="minorEastAsia" w:hAnsi="Times New Roman" w:cs="Times New Roman"/>
          <w:sz w:val="24"/>
          <w:szCs w:val="24"/>
        </w:rPr>
        <w:t xml:space="preserve"> </w:t>
      </w:r>
    </w:p>
    <w:p w14:paraId="371ED9EE" w14:textId="02923D48" w:rsidR="00E67DF9" w:rsidRPr="003A42FB" w:rsidRDefault="00E67DF9" w:rsidP="00E67DF9">
      <w:pPr>
        <w:pStyle w:val="ZROZDZODDZOZNzmoznrozdzoddzartykuempunktem"/>
        <w:spacing w:after="120" w:line="240" w:lineRule="auto"/>
        <w:ind w:left="0"/>
        <w:jc w:val="both"/>
        <w:rPr>
          <w:rFonts w:ascii="Times New Roman" w:hAnsi="Times New Roman" w:cs="Times New Roman"/>
          <w:b/>
        </w:rPr>
      </w:pPr>
      <w:r w:rsidRPr="003A42FB">
        <w:rPr>
          <w:rFonts w:ascii="Times New Roman" w:hAnsi="Times New Roman" w:cs="Times New Roman"/>
          <w:b/>
        </w:rPr>
        <w:t xml:space="preserve">ROZDZIAŁ </w:t>
      </w:r>
      <w:r w:rsidR="00354C22">
        <w:rPr>
          <w:rFonts w:ascii="Times New Roman" w:hAnsi="Times New Roman" w:cs="Times New Roman"/>
          <w:b/>
        </w:rPr>
        <w:t>4.</w:t>
      </w:r>
      <w:r w:rsidRPr="003A42FB">
        <w:rPr>
          <w:rFonts w:ascii="Times New Roman" w:hAnsi="Times New Roman" w:cs="Times New Roman"/>
          <w:b/>
        </w:rPr>
        <w:t xml:space="preserve"> Szczegółowe warunki regulacyjne</w:t>
      </w:r>
    </w:p>
    <w:p w14:paraId="62E962B8" w14:textId="698CE3F9" w:rsidR="00E67DF9" w:rsidRPr="003A42FB" w:rsidRDefault="00E67DF9" w:rsidP="69A7DB06">
      <w:pPr>
        <w:spacing w:after="120" w:line="240" w:lineRule="auto"/>
        <w:jc w:val="both"/>
        <w:rPr>
          <w:rStyle w:val="articletitle"/>
          <w:rFonts w:ascii="Times New Roman" w:eastAsiaTheme="minorEastAsia" w:hAnsi="Times New Roman" w:cs="Times New Roman"/>
          <w:sz w:val="24"/>
          <w:szCs w:val="24"/>
        </w:rPr>
      </w:pPr>
      <w:r w:rsidRPr="69A7DB06">
        <w:rPr>
          <w:rStyle w:val="articletitle"/>
          <w:rFonts w:ascii="Times New Roman" w:eastAsiaTheme="minorEastAsia" w:hAnsi="Times New Roman" w:cs="Times New Roman"/>
          <w:sz w:val="24"/>
          <w:szCs w:val="24"/>
        </w:rPr>
        <w:t xml:space="preserve">Proponowane przepisy Rozdziału </w:t>
      </w:r>
      <w:r w:rsidR="00B30CA9" w:rsidRPr="69A7DB06">
        <w:rPr>
          <w:rStyle w:val="articletitle"/>
          <w:rFonts w:ascii="Times New Roman" w:eastAsiaTheme="minorEastAsia" w:hAnsi="Times New Roman" w:cs="Times New Roman"/>
          <w:sz w:val="24"/>
          <w:szCs w:val="24"/>
        </w:rPr>
        <w:t xml:space="preserve">4 </w:t>
      </w:r>
      <w:r w:rsidRPr="69A7DB06">
        <w:rPr>
          <w:rStyle w:val="articletitle"/>
          <w:rFonts w:ascii="Times New Roman" w:eastAsiaTheme="minorEastAsia" w:hAnsi="Times New Roman" w:cs="Times New Roman"/>
          <w:sz w:val="24"/>
          <w:szCs w:val="24"/>
        </w:rPr>
        <w:t xml:space="preserve">„Szczegółowe warunki regulacyjne” – art. </w:t>
      </w:r>
      <w:r w:rsidR="00B30CA9" w:rsidRPr="69A7DB06">
        <w:rPr>
          <w:rStyle w:val="articletitle"/>
          <w:rFonts w:ascii="Times New Roman" w:eastAsiaTheme="minorEastAsia" w:hAnsi="Times New Roman" w:cs="Times New Roman"/>
          <w:sz w:val="24"/>
          <w:szCs w:val="24"/>
        </w:rPr>
        <w:t>233</w:t>
      </w:r>
      <w:r w:rsidRPr="69A7DB06">
        <w:rPr>
          <w:rStyle w:val="articletitle"/>
          <w:rFonts w:ascii="Times New Roman" w:eastAsiaTheme="minorEastAsia" w:hAnsi="Times New Roman" w:cs="Times New Roman"/>
          <w:sz w:val="24"/>
          <w:szCs w:val="24"/>
        </w:rPr>
        <w:t>-</w:t>
      </w:r>
      <w:r w:rsidR="00B30CA9" w:rsidRPr="69A7DB06">
        <w:rPr>
          <w:rStyle w:val="articletitle"/>
          <w:rFonts w:ascii="Times New Roman" w:eastAsiaTheme="minorEastAsia" w:hAnsi="Times New Roman" w:cs="Times New Roman"/>
          <w:sz w:val="24"/>
          <w:szCs w:val="24"/>
        </w:rPr>
        <w:t xml:space="preserve">236 </w:t>
      </w:r>
      <w:r w:rsidRPr="69A7DB06">
        <w:rPr>
          <w:rStyle w:val="articletitle"/>
          <w:rFonts w:ascii="Times New Roman" w:eastAsiaTheme="minorEastAsia" w:hAnsi="Times New Roman" w:cs="Times New Roman"/>
          <w:sz w:val="24"/>
          <w:szCs w:val="24"/>
        </w:rPr>
        <w:t xml:space="preserve">projektu ustawy Pke mają na celu przeniesienie na grunt nowego aktu instytucji </w:t>
      </w:r>
      <w:r w:rsidR="389BD02E" w:rsidRPr="69A7DB06">
        <w:rPr>
          <w:rStyle w:val="articletitle"/>
          <w:rFonts w:ascii="Times New Roman" w:eastAsiaTheme="minorEastAsia" w:hAnsi="Times New Roman" w:cs="Times New Roman"/>
          <w:sz w:val="24"/>
          <w:szCs w:val="24"/>
        </w:rPr>
        <w:t>ustanowionych przepisem</w:t>
      </w:r>
      <w:r w:rsidRPr="69A7DB06">
        <w:rPr>
          <w:rStyle w:val="articletitle"/>
          <w:rFonts w:ascii="Times New Roman" w:eastAsiaTheme="minorEastAsia" w:hAnsi="Times New Roman" w:cs="Times New Roman"/>
          <w:sz w:val="24"/>
          <w:szCs w:val="24"/>
        </w:rPr>
        <w:t xml:space="preserve"> art. 43a Prawa telekomunikacyjnego. </w:t>
      </w:r>
    </w:p>
    <w:p w14:paraId="46E0FD92" w14:textId="5D12B992" w:rsidR="00E67DF9" w:rsidRPr="003A42FB" w:rsidRDefault="00E67DF9" w:rsidP="69A7DB06">
      <w:pPr>
        <w:spacing w:after="120" w:line="240" w:lineRule="auto"/>
        <w:jc w:val="both"/>
        <w:rPr>
          <w:rStyle w:val="articletitle"/>
          <w:rFonts w:ascii="Times New Roman" w:eastAsiaTheme="minorEastAsia" w:hAnsi="Times New Roman" w:cs="Times New Roman"/>
          <w:sz w:val="24"/>
          <w:szCs w:val="24"/>
        </w:rPr>
      </w:pPr>
      <w:r w:rsidRPr="69A7DB06">
        <w:rPr>
          <w:rStyle w:val="articletitle"/>
          <w:rFonts w:ascii="Times New Roman" w:eastAsiaTheme="minorEastAsia" w:hAnsi="Times New Roman" w:cs="Times New Roman"/>
          <w:sz w:val="24"/>
          <w:szCs w:val="24"/>
        </w:rPr>
        <w:t xml:space="preserve">Postanowienia oryginalnego art. 43a zostały wprowadzone nowelizacją z 29.10.2010 r. (Dz.U. Nr 229, </w:t>
      </w:r>
      <w:hyperlink r:id="rId24">
        <w:r w:rsidRPr="69A7DB06">
          <w:rPr>
            <w:rStyle w:val="articletitle"/>
            <w:rFonts w:ascii="Times New Roman" w:eastAsiaTheme="minorEastAsia" w:hAnsi="Times New Roman" w:cs="Times New Roman"/>
            <w:sz w:val="24"/>
            <w:szCs w:val="24"/>
          </w:rPr>
          <w:t>poz. 1499</w:t>
        </w:r>
      </w:hyperlink>
      <w:r w:rsidRPr="69A7DB06">
        <w:rPr>
          <w:rStyle w:val="articletitle"/>
          <w:rFonts w:ascii="Times New Roman" w:eastAsiaTheme="minorEastAsia" w:hAnsi="Times New Roman" w:cs="Times New Roman"/>
          <w:sz w:val="24"/>
          <w:szCs w:val="24"/>
        </w:rPr>
        <w:t xml:space="preserve">). Przyczynkiem do ich kodyfikacji były doświadczenia Prezesa UKE związane z zawarciem i wykonywaniem porozumienia pomiędzy Prezesem UKE a </w:t>
      </w:r>
      <w:r w:rsidR="18348F7B" w:rsidRPr="69A7DB06">
        <w:rPr>
          <w:rStyle w:val="articletitle"/>
          <w:rFonts w:ascii="Times New Roman" w:eastAsiaTheme="minorEastAsia" w:hAnsi="Times New Roman" w:cs="Times New Roman"/>
          <w:sz w:val="24"/>
          <w:szCs w:val="24"/>
        </w:rPr>
        <w:t xml:space="preserve">największym wówczas </w:t>
      </w:r>
      <w:r w:rsidR="0A263594" w:rsidRPr="69A7DB06">
        <w:rPr>
          <w:rStyle w:val="articletitle"/>
          <w:rFonts w:ascii="Times New Roman" w:eastAsiaTheme="minorEastAsia" w:hAnsi="Times New Roman" w:cs="Times New Roman"/>
          <w:sz w:val="24"/>
          <w:szCs w:val="24"/>
        </w:rPr>
        <w:t>operatorem</w:t>
      </w:r>
      <w:r w:rsidR="18348F7B" w:rsidRPr="69A7DB06">
        <w:rPr>
          <w:rStyle w:val="articletitle"/>
          <w:rFonts w:ascii="Times New Roman" w:eastAsiaTheme="minorEastAsia" w:hAnsi="Times New Roman" w:cs="Times New Roman"/>
          <w:sz w:val="24"/>
          <w:szCs w:val="24"/>
        </w:rPr>
        <w:t xml:space="preserve"> telekomunikacyjnym</w:t>
      </w:r>
      <w:r w:rsidRPr="69A7DB06">
        <w:rPr>
          <w:rStyle w:val="articletitle"/>
          <w:rFonts w:ascii="Times New Roman" w:eastAsiaTheme="minorEastAsia" w:hAnsi="Times New Roman" w:cs="Times New Roman"/>
          <w:sz w:val="24"/>
          <w:szCs w:val="24"/>
        </w:rPr>
        <w:t xml:space="preserve">.  </w:t>
      </w:r>
    </w:p>
    <w:p w14:paraId="39F3EFD2" w14:textId="32660861" w:rsidR="00DC123B" w:rsidRPr="003A42FB" w:rsidRDefault="00E67DF9" w:rsidP="69A7DB06">
      <w:pPr>
        <w:spacing w:after="120" w:line="240" w:lineRule="auto"/>
        <w:jc w:val="both"/>
        <w:rPr>
          <w:rStyle w:val="articletitle"/>
          <w:rFonts w:ascii="Times New Roman" w:eastAsiaTheme="minorEastAsia" w:hAnsi="Times New Roman" w:cs="Times New Roman"/>
          <w:sz w:val="24"/>
          <w:szCs w:val="24"/>
        </w:rPr>
      </w:pPr>
      <w:r w:rsidRPr="69A7DB06">
        <w:rPr>
          <w:rStyle w:val="articletitle"/>
          <w:rFonts w:ascii="Times New Roman" w:eastAsiaTheme="minorEastAsia" w:hAnsi="Times New Roman" w:cs="Times New Roman"/>
          <w:sz w:val="24"/>
          <w:szCs w:val="24"/>
        </w:rPr>
        <w:t xml:space="preserve">Regulacja ta ma na celu umożliwienie włączenia zobowiązań przedsiębiorcy uzgodnionych pomiędzy przedsiębiorcą a </w:t>
      </w:r>
      <w:r w:rsidR="00DC123B" w:rsidRPr="69A7DB06">
        <w:rPr>
          <w:rStyle w:val="articletitle"/>
          <w:rFonts w:ascii="Times New Roman" w:eastAsiaTheme="minorEastAsia" w:hAnsi="Times New Roman" w:cs="Times New Roman"/>
          <w:sz w:val="24"/>
          <w:szCs w:val="24"/>
        </w:rPr>
        <w:t>organem regulacyjnym</w:t>
      </w:r>
      <w:r w:rsidRPr="69A7DB06">
        <w:rPr>
          <w:rStyle w:val="articletitle"/>
          <w:rFonts w:ascii="Times New Roman" w:eastAsiaTheme="minorEastAsia" w:hAnsi="Times New Roman" w:cs="Times New Roman"/>
          <w:sz w:val="24"/>
          <w:szCs w:val="24"/>
        </w:rPr>
        <w:t xml:space="preserve"> w mechanizm regulacji rynków telekomunikacyjnych. </w:t>
      </w:r>
      <w:r w:rsidR="00DC123B" w:rsidRPr="69A7DB06">
        <w:rPr>
          <w:rStyle w:val="articletitle"/>
          <w:rFonts w:ascii="Times New Roman" w:eastAsiaTheme="minorEastAsia" w:hAnsi="Times New Roman" w:cs="Times New Roman"/>
          <w:sz w:val="24"/>
          <w:szCs w:val="24"/>
        </w:rPr>
        <w:t xml:space="preserve">Nowa regulacja w tym zakresie powtarza rozwiązania przyjęte </w:t>
      </w:r>
      <w:r w:rsidR="0C0EE761" w:rsidRPr="69A7DB06">
        <w:rPr>
          <w:rStyle w:val="articletitle"/>
          <w:rFonts w:ascii="Times New Roman" w:eastAsiaTheme="minorEastAsia" w:hAnsi="Times New Roman" w:cs="Times New Roman"/>
          <w:sz w:val="24"/>
          <w:szCs w:val="24"/>
        </w:rPr>
        <w:t>w ustawie</w:t>
      </w:r>
      <w:r w:rsidR="00DC123B" w:rsidRPr="69A7DB06">
        <w:rPr>
          <w:rStyle w:val="articletitle"/>
          <w:rFonts w:ascii="Times New Roman" w:eastAsiaTheme="minorEastAsia" w:hAnsi="Times New Roman" w:cs="Times New Roman"/>
          <w:sz w:val="24"/>
          <w:szCs w:val="24"/>
        </w:rPr>
        <w:t xml:space="preserve"> uchylanej. Wskazać jednakże należy, że proponowane przepisy zostały przystosowane do systematyki nowej kodyfikacji. </w:t>
      </w:r>
    </w:p>
    <w:p w14:paraId="3D97BEAE" w14:textId="63C743C7" w:rsidR="00696205" w:rsidRPr="003A42FB" w:rsidRDefault="005410D8" w:rsidP="00DC123B">
      <w:pPr>
        <w:pStyle w:val="ZROZDZODDZOZNzmoznrozdzoddzartykuempunktem"/>
        <w:spacing w:after="120" w:line="240" w:lineRule="auto"/>
        <w:ind w:left="0"/>
        <w:jc w:val="both"/>
        <w:rPr>
          <w:rFonts w:ascii="Times New Roman" w:hAnsi="Times New Roman" w:cs="Times New Roman"/>
          <w:b/>
        </w:rPr>
      </w:pPr>
      <w:r w:rsidRPr="003A42FB">
        <w:rPr>
          <w:rFonts w:ascii="Times New Roman" w:hAnsi="Times New Roman" w:cs="Times New Roman"/>
          <w:b/>
        </w:rPr>
        <w:t xml:space="preserve">Art. </w:t>
      </w:r>
      <w:r w:rsidR="00B30CA9">
        <w:rPr>
          <w:rFonts w:ascii="Times New Roman" w:hAnsi="Times New Roman" w:cs="Times New Roman"/>
          <w:b/>
        </w:rPr>
        <w:t>233</w:t>
      </w:r>
      <w:r w:rsidR="00B30CA9" w:rsidRPr="003A42FB">
        <w:rPr>
          <w:rFonts w:ascii="Times New Roman" w:hAnsi="Times New Roman" w:cs="Times New Roman"/>
          <w:b/>
        </w:rPr>
        <w:t xml:space="preserve"> </w:t>
      </w:r>
    </w:p>
    <w:p w14:paraId="1CAAB370" w14:textId="6E80254C" w:rsidR="00DC123B" w:rsidRPr="003A42FB" w:rsidRDefault="00DC123B" w:rsidP="005410D8">
      <w:pPr>
        <w:jc w:val="both"/>
        <w:rPr>
          <w:rFonts w:ascii="Times New Roman" w:hAnsi="Times New Roman" w:cs="Times New Roman"/>
          <w:sz w:val="24"/>
          <w:szCs w:val="24"/>
        </w:rPr>
      </w:pPr>
      <w:r w:rsidRPr="003A42FB">
        <w:rPr>
          <w:rFonts w:ascii="Times New Roman" w:hAnsi="Times New Roman" w:cs="Times New Roman"/>
          <w:sz w:val="24"/>
          <w:szCs w:val="24"/>
          <w:lang w:eastAsia="pl-PL"/>
        </w:rPr>
        <w:t xml:space="preserve">Przepisy tego artykułu wskazują, że postępowanie w sprawie zatwierdzenia szczegółowych warunków regulacyjnych jest postępowaniem wnioskowym. </w:t>
      </w:r>
      <w:r w:rsidR="00287890" w:rsidRPr="003A42FB">
        <w:rPr>
          <w:rFonts w:ascii="Times New Roman" w:hAnsi="Times New Roman" w:cs="Times New Roman"/>
          <w:sz w:val="24"/>
          <w:szCs w:val="24"/>
          <w:lang w:eastAsia="pl-PL"/>
        </w:rPr>
        <w:t xml:space="preserve">Podmiotem uprawnionym do złożenia wniosku jest przedsiębiorca komunikacji elektronicznej o znaczącej pozycji rynkowej. Przepis ten definiuje czym są </w:t>
      </w:r>
      <w:r w:rsidR="00B30CA9">
        <w:rPr>
          <w:rFonts w:ascii="Times New Roman" w:hAnsi="Times New Roman" w:cs="Times New Roman"/>
          <w:sz w:val="24"/>
          <w:szCs w:val="24"/>
          <w:lang w:eastAsia="pl-PL"/>
        </w:rPr>
        <w:t>„</w:t>
      </w:r>
      <w:r w:rsidR="00287890" w:rsidRPr="003A42FB">
        <w:rPr>
          <w:rFonts w:ascii="Times New Roman" w:hAnsi="Times New Roman" w:cs="Times New Roman"/>
          <w:sz w:val="24"/>
          <w:szCs w:val="24"/>
          <w:lang w:eastAsia="pl-PL"/>
        </w:rPr>
        <w:t xml:space="preserve">szczegółowe warunki regulacyjne” określają tym także zakres, którego dotyczyć może składany wniosek, wskazując na szczegółowe warunki wykonywania </w:t>
      </w:r>
      <w:r w:rsidR="00287890" w:rsidRPr="003A42FB">
        <w:rPr>
          <w:rFonts w:ascii="Times New Roman" w:hAnsi="Times New Roman" w:cs="Times New Roman"/>
          <w:sz w:val="24"/>
          <w:szCs w:val="24"/>
          <w:lang w:eastAsia="pl-PL"/>
        </w:rPr>
        <w:lastRenderedPageBreak/>
        <w:t>obowiązków regulacyjnych wcześniej nałożonych na przedsiębiorcę komunikacji elektroniczne.  Do zakresu wniosku należeć mogą również inne zobowiązań przedsiębiorcy komunikacji elektronicznej, które mogą się przyczynić do skutecznej realizacji obowiązków regulacyjnych nałożonych na przedsiębiorcę komunikacji elektronicznej, rozwoju równoprawnej i skutecznej konkurencji, rozwoju i wykorzystania infrastruktury telekomunikacyjnej oraz zapewnienia użytkownikom maksymalnych korzyści w zakresie różnorodności, ceny i jakości usług komunikacji elektronicznej.</w:t>
      </w:r>
    </w:p>
    <w:p w14:paraId="4A8EDB16" w14:textId="4523C60D" w:rsidR="00E67DF9" w:rsidRPr="003A42FB" w:rsidRDefault="00287890" w:rsidP="005410D8">
      <w:pPr>
        <w:jc w:val="both"/>
        <w:rPr>
          <w:rFonts w:ascii="Times New Roman" w:hAnsi="Times New Roman" w:cs="Times New Roman"/>
          <w:b/>
          <w:sz w:val="24"/>
          <w:szCs w:val="24"/>
        </w:rPr>
      </w:pPr>
      <w:r w:rsidRPr="003A42FB">
        <w:rPr>
          <w:rFonts w:ascii="Times New Roman" w:hAnsi="Times New Roman" w:cs="Times New Roman"/>
          <w:b/>
          <w:sz w:val="24"/>
          <w:szCs w:val="24"/>
          <w:lang w:eastAsia="pl-PL"/>
        </w:rPr>
        <w:t xml:space="preserve">Art. </w:t>
      </w:r>
      <w:r w:rsidR="00B30CA9">
        <w:rPr>
          <w:rFonts w:ascii="Times New Roman" w:hAnsi="Times New Roman" w:cs="Times New Roman"/>
          <w:b/>
          <w:sz w:val="24"/>
          <w:szCs w:val="24"/>
          <w:lang w:eastAsia="pl-PL"/>
        </w:rPr>
        <w:t>234</w:t>
      </w:r>
    </w:p>
    <w:p w14:paraId="722DD7BB" w14:textId="574472C0" w:rsidR="00287890" w:rsidRPr="003A42FB" w:rsidRDefault="00287890" w:rsidP="005410D8">
      <w:pPr>
        <w:jc w:val="both"/>
        <w:rPr>
          <w:rFonts w:ascii="Times New Roman" w:hAnsi="Times New Roman" w:cs="Times New Roman"/>
          <w:sz w:val="24"/>
          <w:szCs w:val="24"/>
        </w:rPr>
      </w:pPr>
      <w:r w:rsidRPr="003A42FB">
        <w:rPr>
          <w:rFonts w:ascii="Times New Roman" w:hAnsi="Times New Roman" w:cs="Times New Roman"/>
          <w:sz w:val="24"/>
          <w:szCs w:val="24"/>
          <w:lang w:eastAsia="pl-PL"/>
        </w:rPr>
        <w:t>Przepisy tego artykułu określają odrębny sposób prowadzenia postępowania w zakresie zatwierdzenia szczególnych warunków regulacyjnych, poprzez określenie uprawnień Prezesa UKE. Przyjęte rozwiązania dostosowane są do dynamicznej specyfiki prowadzenia ustaleń w tym zakresie.</w:t>
      </w:r>
    </w:p>
    <w:p w14:paraId="0FD0C5E4" w14:textId="0871BADD" w:rsidR="00287890" w:rsidRPr="003A42FB" w:rsidRDefault="00287890" w:rsidP="005410D8">
      <w:pPr>
        <w:jc w:val="both"/>
        <w:rPr>
          <w:rFonts w:ascii="Times New Roman" w:hAnsi="Times New Roman" w:cs="Times New Roman"/>
          <w:b/>
          <w:sz w:val="24"/>
          <w:szCs w:val="24"/>
        </w:rPr>
      </w:pPr>
      <w:r w:rsidRPr="003A42FB">
        <w:rPr>
          <w:rFonts w:ascii="Times New Roman" w:hAnsi="Times New Roman" w:cs="Times New Roman"/>
          <w:b/>
          <w:sz w:val="24"/>
          <w:szCs w:val="24"/>
          <w:lang w:eastAsia="pl-PL"/>
        </w:rPr>
        <w:t xml:space="preserve">Art. </w:t>
      </w:r>
      <w:r w:rsidR="00B30CA9">
        <w:rPr>
          <w:rFonts w:ascii="Times New Roman" w:hAnsi="Times New Roman" w:cs="Times New Roman"/>
          <w:b/>
          <w:sz w:val="24"/>
          <w:szCs w:val="24"/>
          <w:lang w:eastAsia="pl-PL"/>
        </w:rPr>
        <w:t>235</w:t>
      </w:r>
    </w:p>
    <w:p w14:paraId="50132C62" w14:textId="6C07A139" w:rsidR="00287890" w:rsidRPr="003A42FB" w:rsidRDefault="00287890" w:rsidP="005410D8">
      <w:pPr>
        <w:jc w:val="both"/>
        <w:rPr>
          <w:rFonts w:ascii="Times New Roman" w:hAnsi="Times New Roman" w:cs="Times New Roman"/>
          <w:sz w:val="24"/>
          <w:szCs w:val="24"/>
        </w:rPr>
      </w:pPr>
      <w:r w:rsidRPr="003A42FB">
        <w:rPr>
          <w:rFonts w:ascii="Times New Roman" w:hAnsi="Times New Roman" w:cs="Times New Roman"/>
          <w:sz w:val="24"/>
          <w:szCs w:val="24"/>
          <w:lang w:eastAsia="pl-PL"/>
        </w:rPr>
        <w:t xml:space="preserve">Przepis ten określa sposób zatwierdzenia szczególnych warunków regulacyjnych, określa termin na podjęcie tego rozstrzygnięcia. </w:t>
      </w:r>
      <w:r w:rsidR="00990823" w:rsidRPr="003A42FB">
        <w:rPr>
          <w:rFonts w:ascii="Times New Roman" w:hAnsi="Times New Roman" w:cs="Times New Roman"/>
          <w:sz w:val="24"/>
          <w:szCs w:val="24"/>
          <w:lang w:eastAsia="pl-PL"/>
        </w:rPr>
        <w:t xml:space="preserve">Przede wszystkim jednak wskazuje na kryteria oceny wniosku, jakim są cele określone w art. </w:t>
      </w:r>
      <w:r w:rsidR="00B30CA9">
        <w:rPr>
          <w:rFonts w:ascii="Times New Roman" w:hAnsi="Times New Roman" w:cs="Times New Roman"/>
          <w:sz w:val="24"/>
          <w:szCs w:val="24"/>
          <w:lang w:eastAsia="pl-PL"/>
        </w:rPr>
        <w:t>407</w:t>
      </w:r>
      <w:r w:rsidR="00B30CA9" w:rsidRPr="003A42FB">
        <w:rPr>
          <w:rFonts w:ascii="Times New Roman" w:hAnsi="Times New Roman" w:cs="Times New Roman"/>
          <w:sz w:val="24"/>
          <w:szCs w:val="24"/>
          <w:lang w:eastAsia="pl-PL"/>
        </w:rPr>
        <w:t xml:space="preserve"> </w:t>
      </w:r>
      <w:r w:rsidR="00990823" w:rsidRPr="003A42FB">
        <w:rPr>
          <w:rFonts w:ascii="Times New Roman" w:hAnsi="Times New Roman" w:cs="Times New Roman"/>
          <w:sz w:val="24"/>
          <w:szCs w:val="24"/>
          <w:lang w:eastAsia="pl-PL"/>
        </w:rPr>
        <w:t xml:space="preserve">ust. 2 </w:t>
      </w:r>
      <w:r w:rsidR="00B30CA9">
        <w:rPr>
          <w:rFonts w:ascii="Times New Roman" w:hAnsi="Times New Roman" w:cs="Times New Roman"/>
          <w:sz w:val="24"/>
          <w:szCs w:val="24"/>
          <w:lang w:eastAsia="pl-PL"/>
        </w:rPr>
        <w:t>p</w:t>
      </w:r>
      <w:r w:rsidR="00990823" w:rsidRPr="003A42FB">
        <w:rPr>
          <w:rFonts w:ascii="Times New Roman" w:hAnsi="Times New Roman" w:cs="Times New Roman"/>
          <w:sz w:val="24"/>
          <w:szCs w:val="24"/>
          <w:lang w:eastAsia="pl-PL"/>
        </w:rPr>
        <w:t>rojektu Pke.</w:t>
      </w:r>
    </w:p>
    <w:p w14:paraId="3E2A2C7D" w14:textId="7BC0EBBC" w:rsidR="00E67DF9" w:rsidRPr="003A42FB" w:rsidRDefault="00990823" w:rsidP="005410D8">
      <w:pPr>
        <w:jc w:val="both"/>
        <w:rPr>
          <w:rFonts w:ascii="Times New Roman" w:hAnsi="Times New Roman" w:cs="Times New Roman"/>
          <w:b/>
          <w:sz w:val="24"/>
          <w:szCs w:val="24"/>
        </w:rPr>
      </w:pPr>
      <w:r w:rsidRPr="003A42FB">
        <w:rPr>
          <w:rFonts w:ascii="Times New Roman" w:hAnsi="Times New Roman" w:cs="Times New Roman"/>
          <w:b/>
          <w:sz w:val="24"/>
          <w:szCs w:val="24"/>
          <w:lang w:eastAsia="pl-PL"/>
        </w:rPr>
        <w:t xml:space="preserve">Art. </w:t>
      </w:r>
      <w:r w:rsidR="00B30CA9">
        <w:rPr>
          <w:rFonts w:ascii="Times New Roman" w:hAnsi="Times New Roman" w:cs="Times New Roman"/>
          <w:b/>
          <w:sz w:val="24"/>
          <w:szCs w:val="24"/>
          <w:lang w:eastAsia="pl-PL"/>
        </w:rPr>
        <w:t>236</w:t>
      </w:r>
    </w:p>
    <w:p w14:paraId="2F0A0146" w14:textId="2DA4FEF0" w:rsidR="00990823" w:rsidRPr="003A42FB" w:rsidRDefault="00990823" w:rsidP="005410D8">
      <w:pPr>
        <w:jc w:val="both"/>
        <w:rPr>
          <w:rFonts w:ascii="Times New Roman" w:hAnsi="Times New Roman" w:cs="Times New Roman"/>
          <w:sz w:val="24"/>
          <w:szCs w:val="24"/>
        </w:rPr>
      </w:pPr>
      <w:r w:rsidRPr="003A42FB">
        <w:rPr>
          <w:rFonts w:ascii="Times New Roman" w:hAnsi="Times New Roman" w:cs="Times New Roman"/>
          <w:sz w:val="24"/>
          <w:szCs w:val="24"/>
          <w:lang w:eastAsia="pl-PL"/>
        </w:rPr>
        <w:t xml:space="preserve">W przepisie tym wskazane zostały przesłanki zatwierdzania propozycji zawartych we wniosku przedsiębiorcy komunikacji elektronicznej. Ustęp 2 tego przepisu określa uprawnienia Prezesa UKE w zakresie określenia dodatkowe postanowienia decyzji, co do zastrzeżenia warunków i terminów.   </w:t>
      </w:r>
    </w:p>
    <w:p w14:paraId="13C1D057" w14:textId="77777777" w:rsidR="00E67DF9" w:rsidRPr="003A42FB" w:rsidRDefault="00E67DF9" w:rsidP="00C53EAB">
      <w:pPr>
        <w:pStyle w:val="ZROZDZODDZOZNzmoznrozdzoddzartykuempunktem"/>
        <w:spacing w:after="120" w:line="240" w:lineRule="auto"/>
        <w:ind w:left="0"/>
        <w:jc w:val="both"/>
        <w:rPr>
          <w:rFonts w:ascii="Times New Roman" w:hAnsi="Times New Roman" w:cs="Times New Roman"/>
          <w:b/>
        </w:rPr>
      </w:pPr>
    </w:p>
    <w:p w14:paraId="3F4E3878" w14:textId="33207805" w:rsidR="00941C32" w:rsidRPr="003A42FB" w:rsidRDefault="00941C32" w:rsidP="00C53EAB">
      <w:pPr>
        <w:pStyle w:val="ZROZDZODDZOZNzmoznrozdzoddzartykuempunktem"/>
        <w:spacing w:after="120" w:line="240" w:lineRule="auto"/>
        <w:ind w:left="0"/>
        <w:jc w:val="both"/>
        <w:rPr>
          <w:rFonts w:ascii="Times New Roman" w:hAnsi="Times New Roman" w:cs="Times New Roman"/>
          <w:b/>
        </w:rPr>
      </w:pPr>
      <w:r w:rsidRPr="003A42FB">
        <w:rPr>
          <w:rFonts w:ascii="Times New Roman" w:hAnsi="Times New Roman" w:cs="Times New Roman"/>
          <w:b/>
        </w:rPr>
        <w:t xml:space="preserve">ROZDZIAŁ </w:t>
      </w:r>
      <w:r w:rsidR="00B30CA9">
        <w:rPr>
          <w:rFonts w:ascii="Times New Roman" w:hAnsi="Times New Roman" w:cs="Times New Roman"/>
          <w:b/>
        </w:rPr>
        <w:t>5</w:t>
      </w:r>
      <w:r w:rsidRPr="003A42FB">
        <w:rPr>
          <w:rFonts w:ascii="Times New Roman" w:hAnsi="Times New Roman" w:cs="Times New Roman"/>
          <w:b/>
        </w:rPr>
        <w:t>. Szc</w:t>
      </w:r>
      <w:r w:rsidR="000F286A" w:rsidRPr="003A42FB">
        <w:rPr>
          <w:rFonts w:ascii="Times New Roman" w:hAnsi="Times New Roman" w:cs="Times New Roman"/>
          <w:b/>
        </w:rPr>
        <w:t>zegółowe warunki inwestowania</w:t>
      </w:r>
    </w:p>
    <w:p w14:paraId="76D8A0A1" w14:textId="6DFE0633" w:rsidR="000F286A" w:rsidRPr="003A42FB" w:rsidRDefault="3A9A78CD"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Proponowane przepisy Rozdziału </w:t>
      </w:r>
      <w:r w:rsidR="00B30CA9">
        <w:rPr>
          <w:rFonts w:ascii="Times New Roman" w:eastAsiaTheme="minorEastAsia" w:hAnsi="Times New Roman" w:cs="Times New Roman"/>
          <w:sz w:val="24"/>
          <w:szCs w:val="24"/>
          <w:lang w:eastAsia="pl-PL"/>
        </w:rPr>
        <w:t>5</w:t>
      </w:r>
      <w:r w:rsidR="00B30CA9"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„Szczegółowe warunki inwestowania” – art. </w:t>
      </w:r>
      <w:r w:rsidR="00B30CA9">
        <w:rPr>
          <w:rFonts w:ascii="Times New Roman" w:eastAsiaTheme="minorEastAsia" w:hAnsi="Times New Roman" w:cs="Times New Roman"/>
          <w:sz w:val="24"/>
          <w:szCs w:val="24"/>
          <w:lang w:eastAsia="pl-PL"/>
        </w:rPr>
        <w:t>237</w:t>
      </w:r>
      <w:r w:rsidR="4709AB6D" w:rsidRPr="003A42FB">
        <w:rPr>
          <w:rFonts w:ascii="Times New Roman" w:eastAsiaTheme="minorEastAsia" w:hAnsi="Times New Roman" w:cs="Times New Roman"/>
          <w:sz w:val="24"/>
          <w:szCs w:val="24"/>
          <w:lang w:eastAsia="pl-PL"/>
        </w:rPr>
        <w:t>-</w:t>
      </w:r>
      <w:r w:rsidR="00B30CA9">
        <w:rPr>
          <w:rFonts w:ascii="Times New Roman" w:eastAsiaTheme="minorEastAsia" w:hAnsi="Times New Roman" w:cs="Times New Roman"/>
          <w:sz w:val="24"/>
          <w:szCs w:val="24"/>
          <w:lang w:eastAsia="pl-PL"/>
        </w:rPr>
        <w:t>2</w:t>
      </w:r>
      <w:r w:rsidR="00E302CC">
        <w:rPr>
          <w:rFonts w:ascii="Times New Roman" w:eastAsiaTheme="minorEastAsia" w:hAnsi="Times New Roman" w:cs="Times New Roman"/>
          <w:sz w:val="24"/>
          <w:szCs w:val="24"/>
          <w:lang w:eastAsia="pl-PL"/>
        </w:rPr>
        <w:t>52</w:t>
      </w:r>
      <w:r w:rsidR="00B30CA9"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projektu ustawy </w:t>
      </w:r>
      <w:r w:rsidR="7F0C4941" w:rsidRPr="003A42FB">
        <w:rPr>
          <w:rFonts w:ascii="Times New Roman" w:eastAsiaTheme="minorEastAsia" w:hAnsi="Times New Roman" w:cs="Times New Roman"/>
          <w:sz w:val="24"/>
          <w:szCs w:val="24"/>
          <w:lang w:eastAsia="pl-PL"/>
        </w:rPr>
        <w:t>Pke</w:t>
      </w:r>
      <w:r w:rsidR="0A42AF10" w:rsidRPr="003A42FB">
        <w:rPr>
          <w:rFonts w:ascii="Times New Roman" w:eastAsiaTheme="minorEastAsia" w:hAnsi="Times New Roman" w:cs="Times New Roman"/>
          <w:sz w:val="24"/>
          <w:szCs w:val="24"/>
          <w:lang w:eastAsia="pl-PL"/>
        </w:rPr>
        <w:t>, mają na celu implementację</w:t>
      </w:r>
      <w:r w:rsidRPr="003A42FB">
        <w:rPr>
          <w:rFonts w:ascii="Times New Roman" w:eastAsiaTheme="minorEastAsia" w:hAnsi="Times New Roman" w:cs="Times New Roman"/>
          <w:sz w:val="24"/>
          <w:szCs w:val="24"/>
          <w:lang w:eastAsia="pl-PL"/>
        </w:rPr>
        <w:t xml:space="preserve"> postanowień określonych w art. 7</w:t>
      </w:r>
      <w:r w:rsidR="009A0C4B" w:rsidRPr="003A42FB">
        <w:rPr>
          <w:rFonts w:ascii="Times New Roman" w:eastAsiaTheme="minorEastAsia" w:hAnsi="Times New Roman" w:cs="Times New Roman"/>
          <w:sz w:val="24"/>
          <w:szCs w:val="24"/>
          <w:lang w:eastAsia="pl-PL"/>
        </w:rPr>
        <w:t>6</w:t>
      </w:r>
      <w:r w:rsidRPr="003A42FB">
        <w:rPr>
          <w:rFonts w:ascii="Times New Roman" w:eastAsiaTheme="minorEastAsia" w:hAnsi="Times New Roman" w:cs="Times New Roman"/>
          <w:sz w:val="24"/>
          <w:szCs w:val="24"/>
          <w:lang w:eastAsia="pl-PL"/>
        </w:rPr>
        <w:t xml:space="preserve"> i 7</w:t>
      </w:r>
      <w:r w:rsidR="009A0C4B" w:rsidRPr="003A42FB">
        <w:rPr>
          <w:rFonts w:ascii="Times New Roman" w:eastAsiaTheme="minorEastAsia" w:hAnsi="Times New Roman" w:cs="Times New Roman"/>
          <w:sz w:val="24"/>
          <w:szCs w:val="24"/>
          <w:lang w:eastAsia="pl-PL"/>
        </w:rPr>
        <w:t>9</w:t>
      </w:r>
      <w:r w:rsidR="17635F45" w:rsidRPr="003A42FB">
        <w:rPr>
          <w:rFonts w:ascii="Times New Roman" w:eastAsiaTheme="minorEastAsia" w:hAnsi="Times New Roman" w:cs="Times New Roman"/>
          <w:sz w:val="24"/>
          <w:szCs w:val="24"/>
          <w:lang w:eastAsia="pl-PL"/>
        </w:rPr>
        <w:t xml:space="preserve"> oraz uwzględnienie</w:t>
      </w:r>
      <w:r w:rsidRPr="003A42FB">
        <w:rPr>
          <w:rFonts w:ascii="Times New Roman" w:eastAsiaTheme="minorEastAsia" w:hAnsi="Times New Roman" w:cs="Times New Roman"/>
          <w:sz w:val="24"/>
          <w:szCs w:val="24"/>
          <w:lang w:eastAsia="pl-PL"/>
        </w:rPr>
        <w:t xml:space="preserve"> motyw</w:t>
      </w:r>
      <w:r w:rsidR="76F14EBF" w:rsidRPr="003A42FB">
        <w:rPr>
          <w:rFonts w:ascii="Times New Roman" w:eastAsiaTheme="minorEastAsia" w:hAnsi="Times New Roman" w:cs="Times New Roman"/>
          <w:sz w:val="24"/>
          <w:szCs w:val="24"/>
          <w:lang w:eastAsia="pl-PL"/>
        </w:rPr>
        <w:t>ów</w:t>
      </w:r>
      <w:r w:rsidRPr="003A42FB">
        <w:rPr>
          <w:rFonts w:ascii="Times New Roman" w:eastAsiaTheme="minorEastAsia" w:hAnsi="Times New Roman" w:cs="Times New Roman"/>
          <w:sz w:val="24"/>
          <w:szCs w:val="24"/>
          <w:lang w:eastAsia="pl-PL"/>
        </w:rPr>
        <w:t xml:space="preserve"> 198-201, 206 i 207 EKŁE. Wspomniane przepisy dyrektywy odnoszą się do możliwości nadania krajowemu organowi regulacyjnemu możliwości zatwierdzania propozycji zobowiązań (sankcjonowania samoregulacji w drodze wydawanych decyzji) przedkładanych przez przedsiębiorców </w:t>
      </w:r>
      <w:r w:rsidR="463E8E4A"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lang w:eastAsia="pl-PL"/>
        </w:rPr>
        <w:t xml:space="preserve"> o znaczącej pozycji rynkowej (tzw. przedsiębiorców SMP), w zakresie </w:t>
      </w:r>
      <w:r w:rsidR="54715281" w:rsidRPr="003A42FB">
        <w:rPr>
          <w:rFonts w:ascii="Times New Roman" w:eastAsiaTheme="minorEastAsia" w:hAnsi="Times New Roman" w:cs="Times New Roman"/>
          <w:sz w:val="24"/>
          <w:szCs w:val="24"/>
          <w:lang w:eastAsia="pl-PL"/>
        </w:rPr>
        <w:t>dostępu</w:t>
      </w:r>
      <w:r w:rsidRPr="003A42FB">
        <w:rPr>
          <w:rFonts w:ascii="Times New Roman" w:eastAsiaTheme="minorEastAsia" w:hAnsi="Times New Roman" w:cs="Times New Roman"/>
          <w:sz w:val="24"/>
          <w:szCs w:val="24"/>
          <w:lang w:eastAsia="pl-PL"/>
        </w:rPr>
        <w:t xml:space="preserve"> czy realizacji w drodze współinwestycji nowych sieci/elementów sieci, czy powiązanych zasobów. </w:t>
      </w:r>
    </w:p>
    <w:p w14:paraId="5A67896C" w14:textId="118EA081"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Na wstępie należy zauważyć, że przyjęte przez europejskiego prawodawcę rozwiązania</w:t>
      </w:r>
      <w:r w:rsidR="00110F4E" w:rsidRPr="003A42FB">
        <w:rPr>
          <w:rFonts w:ascii="Times New Roman" w:eastAsiaTheme="minorEastAsia" w:hAnsi="Times New Roman" w:cs="Times New Roman"/>
          <w:sz w:val="24"/>
          <w:szCs w:val="24"/>
          <w:lang w:eastAsia="pl-PL"/>
        </w:rPr>
        <w:t xml:space="preserve"> w</w:t>
      </w:r>
      <w:r w:rsidRPr="003A42FB">
        <w:rPr>
          <w:rFonts w:ascii="Times New Roman" w:eastAsiaTheme="minorEastAsia" w:hAnsi="Times New Roman" w:cs="Times New Roman"/>
          <w:sz w:val="24"/>
          <w:szCs w:val="24"/>
          <w:lang w:eastAsia="pl-PL"/>
        </w:rPr>
        <w:t xml:space="preserve"> art. 79 odnoszą się do zakresu wcześniej regulowanego, choć w węższym zakresie, przez art. 8 </w:t>
      </w:r>
      <w:r w:rsidRPr="003A42FB">
        <w:rPr>
          <w:rFonts w:ascii="Times New Roman" w:eastAsiaTheme="minorEastAsia" w:hAnsi="Times New Roman" w:cs="Times New Roman"/>
          <w:i/>
          <w:iCs/>
          <w:sz w:val="24"/>
          <w:szCs w:val="24"/>
          <w:lang w:eastAsia="pl-PL"/>
        </w:rPr>
        <w:t xml:space="preserve">dyrektywy 2002/19/WE Parlamentu Europejskiego i Rady z dnia 7 marca 2002 r. w sprawie dostępu do sieci łączności elektronicznej i urządzeń towarzyszących oraz wzajemnych połączeń (dyrektywa o dostępie). </w:t>
      </w:r>
      <w:r w:rsidRPr="003A42FB">
        <w:rPr>
          <w:rFonts w:ascii="Times New Roman" w:eastAsiaTheme="minorEastAsia" w:hAnsi="Times New Roman" w:cs="Times New Roman"/>
          <w:sz w:val="24"/>
          <w:szCs w:val="24"/>
          <w:lang w:eastAsia="pl-PL"/>
        </w:rPr>
        <w:t>Wspomniany wyżej przepis art. 8 dyrektywy o dostępie znalazł swoje odzwierciedlenie na gruncie prawa krajowego w przepisach art. 43a uchylanego Prawa telekomunikacyjnego. Przepisy te były wprowadzone do niej ustaw</w:t>
      </w:r>
      <w:r w:rsidR="00110F4E" w:rsidRPr="003A42FB">
        <w:rPr>
          <w:rFonts w:ascii="Times New Roman" w:eastAsiaTheme="minorEastAsia" w:hAnsi="Times New Roman" w:cs="Times New Roman"/>
          <w:sz w:val="24"/>
          <w:szCs w:val="24"/>
          <w:lang w:eastAsia="pl-PL"/>
        </w:rPr>
        <w:t>ą</w:t>
      </w:r>
      <w:r w:rsidRPr="003A42FB">
        <w:rPr>
          <w:rFonts w:ascii="Times New Roman" w:eastAsiaTheme="minorEastAsia" w:hAnsi="Times New Roman" w:cs="Times New Roman"/>
          <w:sz w:val="24"/>
          <w:szCs w:val="24"/>
          <w:lang w:eastAsia="pl-PL"/>
        </w:rPr>
        <w:t xml:space="preserve"> z dnia 29 października 2010 r. o zmianie ustawy - Prawo telekomunikacyjne (Dz.</w:t>
      </w:r>
      <w:r w:rsidR="002D512E">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U. 2010 nr 229 poz. 1499). Unormowania te upoważniały Prezesa UKE do zatwierdzania w drodze decyzji tzw. szczegółowych warunków regulacyjnych, nakładanych na przedsiębiorcę telekomunikacyjnego o znaczącej pozycji rynkowej. Szczegółowe warunki regulacyjne, zatwierdzane były przez Prezesa UKE na wniosek zainteresowanego przedsiębiorcy i określały </w:t>
      </w:r>
      <w:r w:rsidRPr="003A42FB">
        <w:rPr>
          <w:rFonts w:ascii="Times New Roman" w:eastAsiaTheme="minorEastAsia" w:hAnsi="Times New Roman" w:cs="Times New Roman"/>
          <w:sz w:val="24"/>
          <w:szCs w:val="24"/>
          <w:lang w:eastAsia="pl-PL"/>
        </w:rPr>
        <w:lastRenderedPageBreak/>
        <w:t xml:space="preserve">szczegółowe warunki wykonywania obowiązków regulacyjnych wcześniej nałożonych na tego przedsiębiorcę telekomunikacyjnego, jak również innych zobowiązań tego przedsiębiorcy, mogących się przyczynić do skutecznej realizacji obowiązków regulacyjnych nałożonych na przedsiębiorcę telekomunikacyjnego, rozwoju równoprawnej i skutecznej konkurencji, rozwoju i wykorzystania nowoczesnej infrastruktury telekomunikacyjnej lub zapewnienia użytkownikom maksymalnych korzyści w zakresie różnorodności, ceny i jakości usług telekomunikacyjnych. </w:t>
      </w:r>
    </w:p>
    <w:p w14:paraId="436E912D" w14:textId="77777777"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Co się zaś tyczy unormowań art. 76 dyrektywy, które wskazują na możliwość zatwierdzania propozycji zobowiązań odnoszących się do realizacji współinwestycji w sieci o bardzo dużej przepustowości, to do czynienia będziemy mieli z nowymi rozwiązaniami prawnymi. Proponowane rozwiązania mają na celu wprowadzenie mechanizmów prawnych mających na celu stworzenie m.in. systemu zachęt inwestycyjnych przy jednoczesnym zachowaniu konkurencyjności na rynku. Docelowym efektem wprowadzonej regulacji ma być wywarcie pozytywnego wpływu na uczestników rynku telekomunikacyjnego, </w:t>
      </w:r>
      <w:r w:rsidR="00110F4E" w:rsidRPr="003A42FB">
        <w:rPr>
          <w:rFonts w:ascii="Times New Roman" w:eastAsiaTheme="minorEastAsia" w:hAnsi="Times New Roman" w:cs="Times New Roman"/>
          <w:sz w:val="24"/>
          <w:szCs w:val="24"/>
          <w:lang w:eastAsia="pl-PL"/>
        </w:rPr>
        <w:t>skutkuj</w:t>
      </w:r>
      <w:r w:rsidRPr="003A42FB">
        <w:rPr>
          <w:rFonts w:ascii="Times New Roman" w:eastAsiaTheme="minorEastAsia" w:hAnsi="Times New Roman" w:cs="Times New Roman"/>
          <w:sz w:val="24"/>
          <w:szCs w:val="24"/>
          <w:lang w:eastAsia="pl-PL"/>
        </w:rPr>
        <w:t xml:space="preserve">ącego powstawaniem nowych sieci o bardzo dużej przepustowości, jednocześnie przy obniżaniu kosztów ich budowy oraz zachowaniu zrównoważonego modelu inwestycyjnego związanego z brakiem konieczności powielania infrastruktury. </w:t>
      </w:r>
    </w:p>
    <w:p w14:paraId="517E48A0" w14:textId="2315CDAA"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Decyzje krajowego organu regulacyjnego, wydawane na podstawie przepisów implementujących art. 79 ust. 3 akapit czwarty EKŁE – art. </w:t>
      </w:r>
      <w:r w:rsidR="002D512E">
        <w:rPr>
          <w:rFonts w:ascii="Times New Roman" w:eastAsiaTheme="minorEastAsia" w:hAnsi="Times New Roman" w:cs="Times New Roman"/>
          <w:sz w:val="24"/>
          <w:szCs w:val="24"/>
          <w:lang w:eastAsia="pl-PL"/>
        </w:rPr>
        <w:t>242</w:t>
      </w:r>
      <w:r w:rsidR="002D512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projektu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lang w:eastAsia="pl-PL"/>
        </w:rPr>
        <w:t>, będą nadawać propozycjom zobowiązań charakter wiążący. Decyzje te podlegają procedurze konsolidacji. Oznacza to, że decyzj</w:t>
      </w:r>
      <w:r w:rsidR="49B2D3B9" w:rsidRPr="003A42FB">
        <w:rPr>
          <w:rFonts w:ascii="Times New Roman" w:eastAsiaTheme="minorEastAsia" w:hAnsi="Times New Roman" w:cs="Times New Roman"/>
          <w:sz w:val="24"/>
          <w:szCs w:val="24"/>
          <w:lang w:eastAsia="pl-PL"/>
        </w:rPr>
        <w:t>e</w:t>
      </w:r>
      <w:r w:rsidRPr="003A42FB">
        <w:rPr>
          <w:rFonts w:ascii="Times New Roman" w:eastAsiaTheme="minorEastAsia" w:hAnsi="Times New Roman" w:cs="Times New Roman"/>
          <w:sz w:val="24"/>
          <w:szCs w:val="24"/>
          <w:lang w:eastAsia="pl-PL"/>
        </w:rPr>
        <w:t xml:space="preserve"> Prezesa UKE muszą być notyfikowane zgodnie z projektowanym art. 3</w:t>
      </w:r>
      <w:r w:rsidR="38BB4553" w:rsidRPr="003A42FB">
        <w:rPr>
          <w:rFonts w:ascii="Times New Roman" w:eastAsiaTheme="minorEastAsia" w:hAnsi="Times New Roman" w:cs="Times New Roman"/>
          <w:sz w:val="24"/>
          <w:szCs w:val="24"/>
          <w:lang w:eastAsia="pl-PL"/>
        </w:rPr>
        <w:t>5</w:t>
      </w:r>
      <w:r w:rsidRPr="003A42FB">
        <w:rPr>
          <w:rFonts w:ascii="Times New Roman" w:eastAsiaTheme="minorEastAsia" w:hAnsi="Times New Roman" w:cs="Times New Roman"/>
          <w:sz w:val="24"/>
          <w:szCs w:val="24"/>
          <w:lang w:eastAsia="pl-PL"/>
        </w:rPr>
        <w:t xml:space="preserve">. To samo tyczy </w:t>
      </w:r>
      <w:r w:rsidR="49B2D3B9" w:rsidRPr="003A42FB">
        <w:rPr>
          <w:rFonts w:ascii="Times New Roman" w:eastAsiaTheme="minorEastAsia" w:hAnsi="Times New Roman" w:cs="Times New Roman"/>
          <w:sz w:val="24"/>
          <w:szCs w:val="24"/>
          <w:lang w:eastAsia="pl-PL"/>
        </w:rPr>
        <w:t xml:space="preserve">się </w:t>
      </w:r>
      <w:r w:rsidRPr="003A42FB">
        <w:rPr>
          <w:rFonts w:ascii="Times New Roman" w:eastAsiaTheme="minorEastAsia" w:hAnsi="Times New Roman" w:cs="Times New Roman"/>
          <w:sz w:val="24"/>
          <w:szCs w:val="24"/>
          <w:lang w:eastAsia="pl-PL"/>
        </w:rPr>
        <w:t xml:space="preserve">również pozostałych decyzji tego typu, w tym tych o nienakładaniu obowiązków w okresie obowiązywania zobowiązań odnośnie do elementów sieci o bardzo wysokiej przepustowości, które podlegają tym zobowiązaniom. </w:t>
      </w:r>
    </w:p>
    <w:p w14:paraId="4C6680E1" w14:textId="7DDC9A6D"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Projektowane przepisy mają na celu usankcjonowanie możliwości „samoregulacji” przedsiębiorców </w:t>
      </w:r>
      <w:r w:rsidR="5491B351" w:rsidRPr="003A42FB">
        <w:rPr>
          <w:rFonts w:ascii="Times New Roman" w:eastAsiaTheme="minorEastAsia" w:hAnsi="Times New Roman" w:cs="Times New Roman"/>
          <w:sz w:val="24"/>
          <w:szCs w:val="24"/>
        </w:rPr>
        <w:t xml:space="preserve">komunikacji elektronicznej </w:t>
      </w:r>
      <w:r w:rsidRPr="003A42FB">
        <w:rPr>
          <w:rFonts w:ascii="Times New Roman" w:eastAsiaTheme="minorEastAsia" w:hAnsi="Times New Roman" w:cs="Times New Roman"/>
          <w:sz w:val="24"/>
          <w:szCs w:val="24"/>
          <w:lang w:eastAsia="pl-PL"/>
        </w:rPr>
        <w:t xml:space="preserve">o znaczącej pozycji rynkowej, poprzez zatwierdzanie propozycji zobowiązań w drodze decyzji Prezesa UKE. Należy wskazać, że dotychczas </w:t>
      </w:r>
      <w:r w:rsidR="00110F4E" w:rsidRPr="003A42FB">
        <w:rPr>
          <w:rFonts w:ascii="Times New Roman" w:eastAsiaTheme="minorEastAsia" w:hAnsi="Times New Roman" w:cs="Times New Roman"/>
          <w:sz w:val="24"/>
          <w:szCs w:val="24"/>
          <w:lang w:eastAsia="pl-PL"/>
        </w:rPr>
        <w:t xml:space="preserve">taka </w:t>
      </w:r>
      <w:r w:rsidRPr="003A42FB">
        <w:rPr>
          <w:rFonts w:ascii="Times New Roman" w:eastAsiaTheme="minorEastAsia" w:hAnsi="Times New Roman" w:cs="Times New Roman"/>
          <w:sz w:val="24"/>
          <w:szCs w:val="24"/>
          <w:lang w:eastAsia="pl-PL"/>
        </w:rPr>
        <w:t xml:space="preserve">konstrukcja nie funkcjonowała na gruncie przepisów szerokorozumianego prawa telekomunikacyjnego. Proponowane przepisy mają za zadanie umocowanie Prezesa UKE do zatwierdzania w drodze, objętych postępowaniem konsolidacyjnym, decyzji administracyjnych propozycji zobowiązań dotyczących warunków zapewnienia dostępu do należących do tych przedsiębiorców sieci telekomunikacyjnych lub powiązanych zasobów. Przepisy te sankcjonują zatwierdzanie przez Prezesa UKE również propozycji zobowiązań w zakresie określania zasad włączania się (przyłączania się) do współinwestycji, realizowanych przez tych przedsiębiorców o znaczącej pozycji rynkowej. W ślad za regulacją dyrektywy propozycja krajowego przepisu nie zawiera zamkniętego wyliczenia przedmiotu proponowanych do zatwierdzenia samoregulacji, dlatego też wskazuje ich zakres poprzez przykładowe wyliczenie – przepis zawiera sfomułowanie „w szczególności”. W tym kontekście, należy podkreślić, że proponowana regulacja bezpośrednio odnosi się w art. </w:t>
      </w:r>
      <w:r w:rsidR="00E302CC">
        <w:rPr>
          <w:rFonts w:ascii="Times New Roman" w:eastAsiaTheme="minorEastAsia" w:hAnsi="Times New Roman" w:cs="Times New Roman"/>
          <w:sz w:val="24"/>
          <w:szCs w:val="24"/>
          <w:lang w:eastAsia="pl-PL"/>
        </w:rPr>
        <w:t>237</w:t>
      </w:r>
      <w:r w:rsidR="00E302CC"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ust. 1 pkt 3, w ślad za wskazaniem motywu 206 </w:t>
      </w:r>
      <w:r w:rsidRPr="003A42FB">
        <w:rPr>
          <w:rFonts w:ascii="Times New Roman" w:eastAsiaTheme="minorEastAsia" w:hAnsi="Times New Roman" w:cs="Times New Roman"/>
          <w:i/>
          <w:iCs/>
          <w:sz w:val="24"/>
          <w:szCs w:val="24"/>
          <w:lang w:eastAsia="pl-PL"/>
        </w:rPr>
        <w:t>in fine</w:t>
      </w:r>
      <w:r w:rsidRPr="003A42FB">
        <w:rPr>
          <w:rFonts w:ascii="Times New Roman" w:eastAsiaTheme="minorEastAsia" w:hAnsi="Times New Roman" w:cs="Times New Roman"/>
          <w:sz w:val="24"/>
          <w:szCs w:val="24"/>
          <w:lang w:eastAsia="pl-PL"/>
        </w:rPr>
        <w:t xml:space="preserve">, również do kwestii zobowiązań związanych </w:t>
      </w:r>
      <w:r w:rsidRPr="003A42FB">
        <w:rPr>
          <w:rFonts w:ascii="Times New Roman" w:eastAsiaTheme="minorEastAsia" w:hAnsi="Times New Roman" w:cs="Times New Roman"/>
          <w:i/>
          <w:iCs/>
          <w:sz w:val="24"/>
          <w:szCs w:val="24"/>
          <w:lang w:eastAsia="pl-PL"/>
        </w:rPr>
        <w:t>z dobrowolnym podziałem przedsiębiorstwa zintegrowanego pionowo, które zostało wyznaczone jako posiadające znaczącą pozycję rynkową na co najmniej jednym rynku właściwym, mogą zwiększać przewidywalność i przejrzystość tego procesu dzięki ustanowieniu procedury wdrożenia planowanego podziału, np. w formie harmonogramu wdrażania według jasno określonych kluczowych etapów z podaniem przewidywalnych skutków braku realizacji niektórych etapów.</w:t>
      </w:r>
    </w:p>
    <w:p w14:paraId="7FEC6EAF" w14:textId="131D4DDF" w:rsidR="638D91CF" w:rsidRPr="003A42FB" w:rsidRDefault="638D91CF"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E302CC">
        <w:rPr>
          <w:rFonts w:ascii="Times New Roman" w:eastAsiaTheme="minorEastAsia" w:hAnsi="Times New Roman" w:cs="Times New Roman"/>
          <w:b/>
          <w:bCs/>
          <w:sz w:val="24"/>
          <w:szCs w:val="24"/>
          <w:lang w:eastAsia="pl-PL"/>
        </w:rPr>
        <w:t>237</w:t>
      </w:r>
    </w:p>
    <w:p w14:paraId="080C3EF9" w14:textId="6D0EC6F9"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lastRenderedPageBreak/>
        <w:t xml:space="preserve">Proponowane przepisy art. </w:t>
      </w:r>
      <w:r w:rsidR="00E302CC">
        <w:rPr>
          <w:rFonts w:ascii="Times New Roman" w:eastAsiaTheme="minorEastAsia" w:hAnsi="Times New Roman" w:cs="Times New Roman"/>
          <w:sz w:val="24"/>
          <w:szCs w:val="24"/>
          <w:lang w:eastAsia="pl-PL"/>
        </w:rPr>
        <w:t>237</w:t>
      </w:r>
      <w:r w:rsidR="00E302CC"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dokonują implementacji art. 79 ust. 1 akapit pierwszy i lit. a-c EKŁE. Wskazują one w pierwszej kolejności przesłanki podmiotowe, zgodnie z którymi przedsiębiorcy </w:t>
      </w:r>
      <w:r w:rsidR="58AFFC40" w:rsidRPr="003A42FB">
        <w:rPr>
          <w:rFonts w:ascii="Times New Roman" w:eastAsiaTheme="minorEastAsia" w:hAnsi="Times New Roman" w:cs="Times New Roman"/>
          <w:sz w:val="24"/>
          <w:szCs w:val="24"/>
        </w:rPr>
        <w:t xml:space="preserve">komunikacji elektronicznej </w:t>
      </w:r>
      <w:r w:rsidRPr="003A42FB">
        <w:rPr>
          <w:rFonts w:ascii="Times New Roman" w:eastAsiaTheme="minorEastAsia" w:hAnsi="Times New Roman" w:cs="Times New Roman"/>
          <w:sz w:val="24"/>
          <w:szCs w:val="24"/>
          <w:lang w:eastAsia="pl-PL"/>
        </w:rPr>
        <w:t xml:space="preserve">o znaczącej pozycji rynkowej będą mogli skorzystać z nowej instytucji zatwierdzenia propozycji zobowiązań. Przepisy te od strony przedmiotowej wskazują na zakres jaki może być objęty propozycją zobowiązań. Ust. 2 ma na celu sprecyzowanie </w:t>
      </w:r>
      <w:r w:rsidR="00110F4E" w:rsidRPr="003A42FB">
        <w:rPr>
          <w:rFonts w:ascii="Times New Roman" w:eastAsiaTheme="minorEastAsia" w:hAnsi="Times New Roman" w:cs="Times New Roman"/>
          <w:sz w:val="24"/>
          <w:szCs w:val="24"/>
          <w:lang w:eastAsia="pl-PL"/>
        </w:rPr>
        <w:t>podstawowego</w:t>
      </w:r>
      <w:r w:rsidRPr="003A42FB">
        <w:rPr>
          <w:rFonts w:ascii="Times New Roman" w:eastAsiaTheme="minorEastAsia" w:hAnsi="Times New Roman" w:cs="Times New Roman"/>
          <w:sz w:val="24"/>
          <w:szCs w:val="24"/>
          <w:lang w:eastAsia="pl-PL"/>
        </w:rPr>
        <w:t xml:space="preserve"> zakresu propozycji zobowiązań. </w:t>
      </w:r>
    </w:p>
    <w:p w14:paraId="6175EEAE" w14:textId="6AF42B07" w:rsidR="000F286A" w:rsidRPr="003A42FB" w:rsidRDefault="6A81A57C" w:rsidP="00C53EAB">
      <w:pPr>
        <w:suppressAutoHyphens/>
        <w:autoSpaceDE w:val="0"/>
        <w:autoSpaceDN w:val="0"/>
        <w:adjustRightInd w:val="0"/>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E302CC">
        <w:rPr>
          <w:rFonts w:ascii="Times New Roman" w:eastAsiaTheme="minorEastAsia" w:hAnsi="Times New Roman" w:cs="Times New Roman"/>
          <w:b/>
          <w:bCs/>
          <w:sz w:val="24"/>
          <w:szCs w:val="24"/>
          <w:lang w:eastAsia="pl-PL"/>
        </w:rPr>
        <w:t>238</w:t>
      </w:r>
    </w:p>
    <w:p w14:paraId="66517011" w14:textId="5D60B189"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W art. </w:t>
      </w:r>
      <w:r w:rsidR="00E302CC">
        <w:rPr>
          <w:rFonts w:ascii="Times New Roman" w:eastAsiaTheme="minorEastAsia" w:hAnsi="Times New Roman" w:cs="Times New Roman"/>
          <w:sz w:val="24"/>
          <w:szCs w:val="24"/>
          <w:lang w:eastAsia="pl-PL"/>
        </w:rPr>
        <w:t>238</w:t>
      </w:r>
      <w:r w:rsidR="00E302CC"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zawarta została implementacja postanowień art. 79 ust. 2 lit. a EKŁE, który określa minimalny zakres postanowień, które mają być zawarte, w przedkładanych do zatwierdzenia, propozycjach zobowiązań. Przepisy wskazują zatem (oprócz przesłanek: </w:t>
      </w:r>
      <w:r w:rsidRPr="003A42FB">
        <w:rPr>
          <w:rFonts w:ascii="Times New Roman" w:eastAsiaTheme="minorEastAsia" w:hAnsi="Times New Roman" w:cs="Times New Roman"/>
          <w:i/>
          <w:iCs/>
          <w:sz w:val="24"/>
          <w:szCs w:val="24"/>
          <w:lang w:eastAsia="pl-PL"/>
        </w:rPr>
        <w:t>uczciwych, rozsądnych i otwartych na wszystkich uczestników rynku warunków</w:t>
      </w:r>
      <w:r w:rsidRPr="003A42FB">
        <w:rPr>
          <w:rFonts w:ascii="Times New Roman" w:eastAsiaTheme="minorEastAsia" w:hAnsi="Times New Roman" w:cs="Times New Roman"/>
          <w:sz w:val="24"/>
          <w:szCs w:val="24"/>
          <w:lang w:eastAsia="pl-PL"/>
        </w:rPr>
        <w:t>), jakie kwestie muszą być w tych propozycjach obligatoryjnie uregulowane: zapewnienie dostępu, zapewnienie zrównoważonej konkurencji, wskazanie szczegółowego harmonogramu i zakresu ich wdrażania oraz okresu obowiązywania.</w:t>
      </w:r>
    </w:p>
    <w:p w14:paraId="7EF44760" w14:textId="222DE88F"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Propozycja przepisów zawarta w art. </w:t>
      </w:r>
      <w:r w:rsidR="00E302CC">
        <w:rPr>
          <w:rFonts w:ascii="Times New Roman" w:eastAsiaTheme="minorEastAsia" w:hAnsi="Times New Roman" w:cs="Times New Roman"/>
          <w:sz w:val="24"/>
          <w:szCs w:val="24"/>
          <w:lang w:eastAsia="pl-PL"/>
        </w:rPr>
        <w:t>238</w:t>
      </w:r>
      <w:r w:rsidR="6883136B" w:rsidRPr="003A42FB">
        <w:rPr>
          <w:rFonts w:ascii="Times New Roman" w:eastAsiaTheme="minorEastAsia" w:hAnsi="Times New Roman" w:cs="Times New Roman"/>
          <w:sz w:val="24"/>
          <w:szCs w:val="24"/>
          <w:lang w:eastAsia="pl-PL"/>
        </w:rPr>
        <w:t>-</w:t>
      </w:r>
      <w:r w:rsidR="00B46A20">
        <w:rPr>
          <w:rFonts w:ascii="Times New Roman" w:eastAsiaTheme="minorEastAsia" w:hAnsi="Times New Roman" w:cs="Times New Roman"/>
          <w:sz w:val="24"/>
          <w:szCs w:val="24"/>
          <w:lang w:eastAsia="pl-PL"/>
        </w:rPr>
        <w:t>243</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ma na celu określenie toku postępowania związanego z wydawaniem przez Prezesa UKE decyzji zatwierdzających propozycje zobowiązań. Propozycja ta odnosi się również bezpośrednio do wskazań motywu 205 </w:t>
      </w:r>
      <w:r w:rsidRPr="003A42FB">
        <w:rPr>
          <w:rFonts w:ascii="Times New Roman" w:eastAsiaTheme="minorEastAsia" w:hAnsi="Times New Roman" w:cs="Times New Roman"/>
          <w:i/>
          <w:iCs/>
          <w:sz w:val="24"/>
          <w:szCs w:val="24"/>
          <w:lang w:eastAsia="pl-PL"/>
        </w:rPr>
        <w:t>in medio</w:t>
      </w:r>
      <w:r w:rsidRPr="003A42FB">
        <w:rPr>
          <w:rFonts w:ascii="Times New Roman" w:eastAsiaTheme="minorEastAsia" w:hAnsi="Times New Roman" w:cs="Times New Roman"/>
          <w:sz w:val="24"/>
          <w:szCs w:val="24"/>
          <w:lang w:eastAsia="pl-PL"/>
        </w:rPr>
        <w:t xml:space="preserve">, który stanowi, że </w:t>
      </w:r>
      <w:r w:rsidRPr="003A42FB">
        <w:rPr>
          <w:rFonts w:ascii="Times New Roman" w:eastAsiaTheme="minorEastAsia" w:hAnsi="Times New Roman" w:cs="Times New Roman"/>
          <w:i/>
          <w:iCs/>
          <w:sz w:val="24"/>
          <w:szCs w:val="24"/>
          <w:lang w:eastAsia="pl-PL"/>
        </w:rPr>
        <w:t>należy ustanowić dla przedsiębiorstw procedurę składania zobowiązań, a dla krajowych organów regulacyjnych – procedurę ich oceny, z uwzględnieniem opinii uczestników rynku w drodze testu rynkowego, oraz – w stosownych przypadkach – nadania im mocy wiążącej wobec przedsiębiorstwa i możliwości ich egzekwowania przez krajowy organ regulacyjny.</w:t>
      </w:r>
    </w:p>
    <w:p w14:paraId="1308D235" w14:textId="5C621E4D"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Należy zauważyć, że inicjatorem zatwierdzenia propozycji zobowiązań, a także podmiotem proponującym ich treść będzie zawsze poddany regulacji przedsiębiorca</w:t>
      </w:r>
      <w:r w:rsidR="39DF4EA5" w:rsidRPr="003A42FB">
        <w:rPr>
          <w:rFonts w:ascii="Times New Roman" w:eastAsiaTheme="minorEastAsia" w:hAnsi="Times New Roman" w:cs="Times New Roman"/>
          <w:sz w:val="24"/>
          <w:szCs w:val="24"/>
        </w:rPr>
        <w:t xml:space="preserve"> komunikacji elektronicznej</w:t>
      </w:r>
      <w:r w:rsidRPr="003A42FB">
        <w:rPr>
          <w:rFonts w:ascii="Times New Roman" w:eastAsiaTheme="minorEastAsia" w:hAnsi="Times New Roman" w:cs="Times New Roman"/>
          <w:sz w:val="24"/>
          <w:szCs w:val="24"/>
          <w:lang w:eastAsia="pl-PL"/>
        </w:rPr>
        <w:t xml:space="preserve">. Natomiast na Prezesie UKE będzie spoczywał publicznoprawny obowiązek, związany z tym, by zobowiązania, w razie potrzeby poddane stosownym zmianom lub uzupełnieniom w stosunku do pierwotnej propozycji, były zgodne z przepisami prawa, nakładanymi na przedsiębiorcę </w:t>
      </w:r>
      <w:r w:rsidR="2AD6193D" w:rsidRPr="003A42FB">
        <w:rPr>
          <w:rFonts w:ascii="Times New Roman" w:eastAsiaTheme="minorEastAsia" w:hAnsi="Times New Roman" w:cs="Times New Roman"/>
          <w:sz w:val="24"/>
          <w:szCs w:val="24"/>
        </w:rPr>
        <w:t xml:space="preserve"> komunikacji elektronicznej</w:t>
      </w:r>
      <w:r w:rsidRPr="003A42FB">
        <w:rPr>
          <w:rFonts w:ascii="Times New Roman" w:eastAsiaTheme="minorEastAsia" w:hAnsi="Times New Roman" w:cs="Times New Roman"/>
          <w:sz w:val="24"/>
          <w:szCs w:val="24"/>
          <w:lang w:eastAsia="pl-PL"/>
        </w:rPr>
        <w:t xml:space="preserve"> obowiązkami regulacyjnymi, potrzebami rynku telekomunikacyjnego oraz by mogły się przyczyniać do skutecznej realizacji obowiązków regulacyjnych nałożonych na przedsiębiorcę </w:t>
      </w:r>
      <w:r w:rsidR="6C8E2368" w:rsidRPr="003A42FB">
        <w:rPr>
          <w:rFonts w:ascii="Times New Roman" w:eastAsiaTheme="minorEastAsia" w:hAnsi="Times New Roman" w:cs="Times New Roman"/>
          <w:sz w:val="24"/>
          <w:szCs w:val="24"/>
        </w:rPr>
        <w:t xml:space="preserve"> komunikacji elektronicznej</w:t>
      </w:r>
      <w:r w:rsidRPr="003A42FB">
        <w:rPr>
          <w:rFonts w:ascii="Times New Roman" w:eastAsiaTheme="minorEastAsia" w:hAnsi="Times New Roman" w:cs="Times New Roman"/>
          <w:sz w:val="24"/>
          <w:szCs w:val="24"/>
          <w:lang w:eastAsia="pl-PL"/>
        </w:rPr>
        <w:t xml:space="preserve">, rozwoju równoprawnej i skutecznej konkurencji, rozwoju i wykorzystania nowoczesnej infrastruktury telekomunikacyjnej lub zapewnienia użytkownikom maksymalnych korzyści w zakresie różnorodności, ceny i jakości usług telekomunikacyjnych. </w:t>
      </w:r>
    </w:p>
    <w:p w14:paraId="48008912" w14:textId="563F817A" w:rsidR="03A51523" w:rsidRPr="003A42FB" w:rsidRDefault="03A51523"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B46A20">
        <w:rPr>
          <w:rFonts w:ascii="Times New Roman" w:eastAsiaTheme="minorEastAsia" w:hAnsi="Times New Roman" w:cs="Times New Roman"/>
          <w:b/>
          <w:bCs/>
          <w:sz w:val="24"/>
          <w:szCs w:val="24"/>
          <w:lang w:eastAsia="pl-PL"/>
        </w:rPr>
        <w:t>239</w:t>
      </w:r>
    </w:p>
    <w:p w14:paraId="7697785C" w14:textId="02993F5E" w:rsidR="000F286A" w:rsidRPr="003A42FB" w:rsidRDefault="3A9A78CD"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W myśl przepisów art. </w:t>
      </w:r>
      <w:r w:rsidR="00B46A20">
        <w:rPr>
          <w:rFonts w:ascii="Times New Roman" w:eastAsiaTheme="minorEastAsia" w:hAnsi="Times New Roman" w:cs="Times New Roman"/>
          <w:sz w:val="24"/>
          <w:szCs w:val="24"/>
          <w:lang w:eastAsia="pl-PL"/>
        </w:rPr>
        <w:t>239</w:t>
      </w:r>
      <w:r w:rsidR="5AE650E7" w:rsidRPr="003A42FB">
        <w:rPr>
          <w:rFonts w:ascii="Times New Roman" w:eastAsiaTheme="minorEastAsia" w:hAnsi="Times New Roman" w:cs="Times New Roman"/>
          <w:sz w:val="24"/>
          <w:szCs w:val="24"/>
          <w:lang w:eastAsia="pl-PL"/>
        </w:rPr>
        <w:t>-</w:t>
      </w:r>
      <w:r w:rsidR="00B46A20">
        <w:rPr>
          <w:rFonts w:ascii="Times New Roman" w:eastAsiaTheme="minorEastAsia" w:hAnsi="Times New Roman" w:cs="Times New Roman"/>
          <w:sz w:val="24"/>
          <w:szCs w:val="24"/>
          <w:lang w:eastAsia="pl-PL"/>
        </w:rPr>
        <w:t>242</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projektowanej ustawy realizowane są postulaty zawarte w </w:t>
      </w:r>
      <w:r w:rsidRPr="003A42FB">
        <w:rPr>
          <w:rFonts w:ascii="Times New Roman" w:eastAsiaTheme="minorEastAsia" w:hAnsi="Times New Roman" w:cs="Times New Roman"/>
          <w:i/>
          <w:iCs/>
          <w:sz w:val="24"/>
          <w:szCs w:val="24"/>
          <w:lang w:eastAsia="pl-PL"/>
        </w:rPr>
        <w:t>ab initio</w:t>
      </w:r>
      <w:r w:rsidRPr="003A42FB">
        <w:rPr>
          <w:rFonts w:ascii="Times New Roman" w:eastAsiaTheme="minorEastAsia" w:hAnsi="Times New Roman" w:cs="Times New Roman"/>
          <w:sz w:val="24"/>
          <w:szCs w:val="24"/>
          <w:lang w:eastAsia="pl-PL"/>
        </w:rPr>
        <w:t xml:space="preserve"> postanowieniach motywu 206 </w:t>
      </w:r>
      <w:r w:rsidR="56CD4A1E" w:rsidRPr="003A42FB">
        <w:rPr>
          <w:rFonts w:ascii="Times New Roman" w:eastAsiaTheme="minorEastAsia" w:hAnsi="Times New Roman" w:cs="Times New Roman"/>
          <w:sz w:val="24"/>
          <w:szCs w:val="24"/>
          <w:lang w:eastAsia="pl-PL"/>
        </w:rPr>
        <w:t>EKŁE</w:t>
      </w:r>
      <w:r w:rsidRPr="003A42FB">
        <w:rPr>
          <w:rFonts w:ascii="Times New Roman" w:eastAsiaTheme="minorEastAsia" w:hAnsi="Times New Roman" w:cs="Times New Roman"/>
          <w:sz w:val="24"/>
          <w:szCs w:val="24"/>
          <w:lang w:eastAsia="pl-PL"/>
        </w:rPr>
        <w:t xml:space="preserve">, który stanowi, że </w:t>
      </w:r>
      <w:r w:rsidRPr="003A42FB">
        <w:rPr>
          <w:rFonts w:ascii="Times New Roman" w:eastAsiaTheme="minorEastAsia" w:hAnsi="Times New Roman" w:cs="Times New Roman"/>
          <w:i/>
          <w:iCs/>
          <w:sz w:val="24"/>
          <w:szCs w:val="24"/>
          <w:lang w:eastAsia="pl-PL"/>
        </w:rPr>
        <w:t xml:space="preserve">krajowe organy regulacyjne powinny być w stanie uczynić zobowiązania wiążącymi w całości lub w części, na określony czas, który nie powinien być dłuższy niż okres, na który są składane, po przeprowadzeniu testu rynkowego w drodze publicznych konsultacji z zainteresowanymi stronami. </w:t>
      </w:r>
      <w:r w:rsidRPr="003A42FB">
        <w:rPr>
          <w:rFonts w:ascii="Times New Roman" w:eastAsiaTheme="minorEastAsia" w:hAnsi="Times New Roman" w:cs="Times New Roman"/>
          <w:sz w:val="24"/>
          <w:szCs w:val="24"/>
          <w:lang w:eastAsia="pl-PL"/>
        </w:rPr>
        <w:t xml:space="preserve">A zatem na mocy projektowanych przepisów art. </w:t>
      </w:r>
      <w:r w:rsidR="00B46A20">
        <w:rPr>
          <w:rFonts w:ascii="Times New Roman" w:eastAsiaTheme="minorEastAsia" w:hAnsi="Times New Roman" w:cs="Times New Roman"/>
          <w:sz w:val="24"/>
          <w:szCs w:val="24"/>
          <w:lang w:eastAsia="pl-PL"/>
        </w:rPr>
        <w:t>239</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i n. Prezes UKE będzie mógł, przed przeprowadzeniem testu rynkowego, o którym mowa w dalszych przepisach, odmówić zatwierdzenia propozycji </w:t>
      </w:r>
      <w:r w:rsidR="7F99FCEE" w:rsidRPr="003A42FB">
        <w:rPr>
          <w:rFonts w:ascii="Times New Roman" w:eastAsiaTheme="minorEastAsia" w:hAnsi="Times New Roman" w:cs="Times New Roman"/>
          <w:sz w:val="24"/>
          <w:szCs w:val="24"/>
          <w:lang w:eastAsia="pl-PL"/>
        </w:rPr>
        <w:t>zobowiązań,</w:t>
      </w:r>
      <w:r w:rsidRPr="003A42FB">
        <w:rPr>
          <w:rFonts w:ascii="Times New Roman" w:eastAsiaTheme="minorEastAsia" w:hAnsi="Times New Roman" w:cs="Times New Roman"/>
          <w:sz w:val="24"/>
          <w:szCs w:val="24"/>
          <w:lang w:eastAsia="pl-PL"/>
        </w:rPr>
        <w:t xml:space="preserve"> jeżeli z ich analizy wynika, że nie spełniają one przesłanek określonych w art. </w:t>
      </w:r>
      <w:r w:rsidR="00B46A20">
        <w:rPr>
          <w:rFonts w:ascii="Times New Roman" w:eastAsiaTheme="minorEastAsia" w:hAnsi="Times New Roman" w:cs="Times New Roman"/>
          <w:sz w:val="24"/>
          <w:szCs w:val="24"/>
          <w:lang w:eastAsia="pl-PL"/>
        </w:rPr>
        <w:t>238</w:t>
      </w:r>
      <w:r w:rsidRPr="003A42FB">
        <w:rPr>
          <w:rFonts w:ascii="Times New Roman" w:eastAsiaTheme="minorEastAsia" w:hAnsi="Times New Roman" w:cs="Times New Roman"/>
          <w:sz w:val="24"/>
          <w:szCs w:val="24"/>
          <w:lang w:eastAsia="pl-PL"/>
        </w:rPr>
        <w:t xml:space="preserve">. Przepisy implementowanej dyrektywy wymagają od krajowych organów regulacyjnych prowadzenia „testu rynkowego”. Test ten na gruncie prawa krajowego realizowany będzie w drodze publicznych konsultacji z zainteresowanymi stronami, w ramach których prowadzona będzie analiza stanowisk konsultacyjnych składanych w terminie wyznaczonym przez Prezesa UKE, nie krótszym niż 30 dni. </w:t>
      </w:r>
    </w:p>
    <w:p w14:paraId="129D767D" w14:textId="4C209ADE" w:rsidR="7175A6FC" w:rsidRPr="003A42FB" w:rsidRDefault="7175A6FC"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lastRenderedPageBreak/>
        <w:t xml:space="preserve">Art. </w:t>
      </w:r>
      <w:r w:rsidR="00B46A20">
        <w:rPr>
          <w:rFonts w:ascii="Times New Roman" w:eastAsiaTheme="minorEastAsia" w:hAnsi="Times New Roman" w:cs="Times New Roman"/>
          <w:b/>
          <w:bCs/>
          <w:sz w:val="24"/>
          <w:szCs w:val="24"/>
          <w:lang w:eastAsia="pl-PL"/>
        </w:rPr>
        <w:t>240</w:t>
      </w:r>
    </w:p>
    <w:p w14:paraId="3D025943" w14:textId="0F1E456B" w:rsidR="000F286A" w:rsidRPr="003A42FB" w:rsidRDefault="094019C7"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A</w:t>
      </w:r>
      <w:r w:rsidR="000F286A" w:rsidRPr="003A42FB">
        <w:rPr>
          <w:rFonts w:ascii="Times New Roman" w:eastAsiaTheme="minorEastAsia" w:hAnsi="Times New Roman" w:cs="Times New Roman"/>
          <w:sz w:val="24"/>
          <w:szCs w:val="24"/>
          <w:lang w:eastAsia="pl-PL"/>
        </w:rPr>
        <w:t xml:space="preserve">by umożliwić zapoznanie się z propozycjami zobowiązań i aby umożliwić przeprowadzenie testu rynkowego art. </w:t>
      </w:r>
      <w:r w:rsidR="00B46A20">
        <w:rPr>
          <w:rFonts w:ascii="Times New Roman" w:eastAsiaTheme="minorEastAsia" w:hAnsi="Times New Roman" w:cs="Times New Roman"/>
          <w:sz w:val="24"/>
          <w:szCs w:val="24"/>
          <w:lang w:eastAsia="pl-PL"/>
        </w:rPr>
        <w:t>240</w:t>
      </w:r>
      <w:r w:rsidR="00B46A20" w:rsidRPr="003A42FB">
        <w:rPr>
          <w:rFonts w:ascii="Times New Roman" w:eastAsiaTheme="minorEastAsia" w:hAnsi="Times New Roman" w:cs="Times New Roman"/>
          <w:sz w:val="24"/>
          <w:szCs w:val="24"/>
          <w:lang w:eastAsia="pl-PL"/>
        </w:rPr>
        <w:t xml:space="preserve"> </w:t>
      </w:r>
      <w:r w:rsidR="000F286A" w:rsidRPr="003A42FB">
        <w:rPr>
          <w:rFonts w:ascii="Times New Roman" w:eastAsiaTheme="minorEastAsia" w:hAnsi="Times New Roman" w:cs="Times New Roman"/>
          <w:sz w:val="24"/>
          <w:szCs w:val="24"/>
          <w:lang w:eastAsia="pl-PL"/>
        </w:rPr>
        <w:t>zobowiązuje Prezesa UKE do publikacji projektu propozycji zobowiązań w Biuletynie Informacji Publicznej.</w:t>
      </w:r>
      <w:r w:rsidR="7D646770" w:rsidRPr="003A42FB">
        <w:rPr>
          <w:rFonts w:ascii="Times New Roman" w:eastAsiaTheme="minorEastAsia" w:hAnsi="Times New Roman" w:cs="Times New Roman"/>
          <w:sz w:val="24"/>
          <w:szCs w:val="24"/>
          <w:lang w:eastAsia="pl-PL"/>
        </w:rPr>
        <w:t xml:space="preserve"> </w:t>
      </w:r>
      <w:r w:rsidR="000F286A" w:rsidRPr="003A42FB">
        <w:rPr>
          <w:rFonts w:ascii="Times New Roman" w:eastAsiaTheme="minorEastAsia" w:hAnsi="Times New Roman" w:cs="Times New Roman"/>
          <w:sz w:val="24"/>
          <w:szCs w:val="24"/>
          <w:lang w:eastAsia="pl-PL"/>
        </w:rPr>
        <w:t xml:space="preserve">W tym zakresie projektowane przepisy dokonują implementacji postanowień art. 79 ust. 2 EKŁE. </w:t>
      </w:r>
    </w:p>
    <w:p w14:paraId="2F536037" w14:textId="6BFF374D"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Procedurę „testu rynkowego” realizują postanowienia projektowanego art. </w:t>
      </w:r>
      <w:r w:rsidR="00B46A20">
        <w:rPr>
          <w:rFonts w:ascii="Times New Roman" w:eastAsiaTheme="minorEastAsia" w:hAnsi="Times New Roman" w:cs="Times New Roman"/>
          <w:sz w:val="24"/>
          <w:szCs w:val="24"/>
          <w:lang w:eastAsia="pl-PL"/>
        </w:rPr>
        <w:t>241</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ust. 1, w którym implementowane są dalsze postanowienia art. 79 ust. 2 EKŁE poprzez wskazanie, nie wyłącznych, lecz obligatoryjnych kryteriów oceny szczególnie istotnych w stosunku do propozycji zobowiązań przez Prezesa UKE. </w:t>
      </w:r>
    </w:p>
    <w:p w14:paraId="02351EA0" w14:textId="38F9828E" w:rsidR="4D37A88C" w:rsidRPr="003A42FB" w:rsidRDefault="4D37A88C"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B46A20">
        <w:rPr>
          <w:rFonts w:ascii="Times New Roman" w:eastAsiaTheme="minorEastAsia" w:hAnsi="Times New Roman" w:cs="Times New Roman"/>
          <w:b/>
          <w:bCs/>
          <w:sz w:val="24"/>
          <w:szCs w:val="24"/>
          <w:lang w:eastAsia="pl-PL"/>
        </w:rPr>
        <w:t>241</w:t>
      </w:r>
    </w:p>
    <w:p w14:paraId="2B4DB453" w14:textId="4FC00662" w:rsidR="17C31E6B" w:rsidRPr="003A42FB" w:rsidRDefault="63BA3137"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Przepisy ust. 1 określają przesłanki, według których </w:t>
      </w:r>
      <w:r w:rsidR="78929A04" w:rsidRPr="003A42FB">
        <w:rPr>
          <w:rFonts w:ascii="Times New Roman" w:eastAsiaTheme="minorEastAsia" w:hAnsi="Times New Roman" w:cs="Times New Roman"/>
          <w:sz w:val="24"/>
          <w:szCs w:val="24"/>
        </w:rPr>
        <w:t xml:space="preserve">Prezes UKE </w:t>
      </w:r>
      <w:r w:rsidR="33922E47" w:rsidRPr="003A42FB">
        <w:rPr>
          <w:rFonts w:ascii="Times New Roman" w:eastAsiaTheme="minorEastAsia" w:hAnsi="Times New Roman" w:cs="Times New Roman"/>
          <w:sz w:val="24"/>
          <w:szCs w:val="24"/>
        </w:rPr>
        <w:t>wstępnie ocenia</w:t>
      </w:r>
      <w:r w:rsidR="78929A04" w:rsidRPr="003A42FB">
        <w:rPr>
          <w:rFonts w:ascii="Times New Roman" w:eastAsiaTheme="minorEastAsia" w:hAnsi="Times New Roman" w:cs="Times New Roman"/>
          <w:sz w:val="24"/>
          <w:szCs w:val="24"/>
        </w:rPr>
        <w:t xml:space="preserve"> </w:t>
      </w:r>
      <w:r w:rsidR="7400C15E" w:rsidRPr="003A42FB">
        <w:rPr>
          <w:rFonts w:ascii="Times New Roman" w:eastAsiaTheme="minorEastAsia" w:hAnsi="Times New Roman" w:cs="Times New Roman"/>
          <w:sz w:val="24"/>
          <w:szCs w:val="24"/>
        </w:rPr>
        <w:t xml:space="preserve">złożone </w:t>
      </w:r>
      <w:r w:rsidR="78929A04" w:rsidRPr="003A42FB">
        <w:rPr>
          <w:rFonts w:ascii="Times New Roman" w:eastAsiaTheme="minorEastAsia" w:hAnsi="Times New Roman" w:cs="Times New Roman"/>
          <w:sz w:val="24"/>
          <w:szCs w:val="24"/>
        </w:rPr>
        <w:t>propozycj</w:t>
      </w:r>
      <w:r w:rsidR="20831363" w:rsidRPr="003A42FB">
        <w:rPr>
          <w:rFonts w:ascii="Times New Roman" w:eastAsiaTheme="minorEastAsia" w:hAnsi="Times New Roman" w:cs="Times New Roman"/>
          <w:sz w:val="24"/>
          <w:szCs w:val="24"/>
        </w:rPr>
        <w:t xml:space="preserve">e </w:t>
      </w:r>
      <w:r w:rsidR="78929A04" w:rsidRPr="003A42FB">
        <w:rPr>
          <w:rFonts w:ascii="Times New Roman" w:eastAsiaTheme="minorEastAsia" w:hAnsi="Times New Roman" w:cs="Times New Roman"/>
          <w:sz w:val="24"/>
          <w:szCs w:val="24"/>
        </w:rPr>
        <w:t>zobowiązań</w:t>
      </w:r>
      <w:r w:rsidR="13561BBE" w:rsidRPr="003A42FB">
        <w:rPr>
          <w:rFonts w:ascii="Times New Roman" w:eastAsiaTheme="minorEastAsia" w:hAnsi="Times New Roman" w:cs="Times New Roman"/>
          <w:sz w:val="24"/>
          <w:szCs w:val="24"/>
        </w:rPr>
        <w:t xml:space="preserve">, przepis wskazuje na konieczność wzięcia </w:t>
      </w:r>
      <w:r w:rsidR="78929A04" w:rsidRPr="003A42FB">
        <w:rPr>
          <w:rFonts w:ascii="Times New Roman" w:eastAsiaTheme="minorEastAsia" w:hAnsi="Times New Roman" w:cs="Times New Roman"/>
          <w:sz w:val="24"/>
          <w:szCs w:val="24"/>
        </w:rPr>
        <w:t xml:space="preserve">pod uwagę </w:t>
      </w:r>
      <w:r w:rsidR="76D59F92" w:rsidRPr="003A42FB">
        <w:rPr>
          <w:rFonts w:ascii="Times New Roman" w:eastAsiaTheme="minorEastAsia" w:hAnsi="Times New Roman" w:cs="Times New Roman"/>
          <w:sz w:val="24"/>
          <w:szCs w:val="24"/>
        </w:rPr>
        <w:t xml:space="preserve">również </w:t>
      </w:r>
      <w:r w:rsidR="78929A04" w:rsidRPr="003A42FB">
        <w:rPr>
          <w:rFonts w:ascii="Times New Roman" w:eastAsiaTheme="minorEastAsia" w:hAnsi="Times New Roman" w:cs="Times New Roman"/>
          <w:sz w:val="24"/>
          <w:szCs w:val="24"/>
        </w:rPr>
        <w:t>stanowisk złożon</w:t>
      </w:r>
      <w:r w:rsidR="0F6E331E" w:rsidRPr="003A42FB">
        <w:rPr>
          <w:rFonts w:ascii="Times New Roman" w:eastAsiaTheme="minorEastAsia" w:hAnsi="Times New Roman" w:cs="Times New Roman"/>
          <w:sz w:val="24"/>
          <w:szCs w:val="24"/>
        </w:rPr>
        <w:t>ych</w:t>
      </w:r>
      <w:r w:rsidR="78929A04" w:rsidRPr="003A42FB">
        <w:rPr>
          <w:rFonts w:ascii="Times New Roman" w:eastAsiaTheme="minorEastAsia" w:hAnsi="Times New Roman" w:cs="Times New Roman"/>
          <w:sz w:val="24"/>
          <w:szCs w:val="24"/>
        </w:rPr>
        <w:t xml:space="preserve"> w ramach konsultacji.</w:t>
      </w:r>
      <w:r w:rsidR="2748EF60" w:rsidRPr="003A42FB">
        <w:rPr>
          <w:rFonts w:ascii="Times New Roman" w:eastAsiaTheme="minorEastAsia" w:hAnsi="Times New Roman" w:cs="Times New Roman"/>
          <w:sz w:val="24"/>
          <w:szCs w:val="24"/>
        </w:rPr>
        <w:t xml:space="preserve"> </w:t>
      </w:r>
      <w:r w:rsidR="000F286A" w:rsidRPr="003A42FB">
        <w:rPr>
          <w:rFonts w:ascii="Times New Roman" w:eastAsiaTheme="minorEastAsia" w:hAnsi="Times New Roman" w:cs="Times New Roman"/>
          <w:sz w:val="24"/>
          <w:szCs w:val="24"/>
          <w:lang w:eastAsia="pl-PL"/>
        </w:rPr>
        <w:t xml:space="preserve">Proponowane przepisy art. </w:t>
      </w:r>
      <w:r w:rsidR="00B46A20">
        <w:rPr>
          <w:rFonts w:ascii="Times New Roman" w:eastAsiaTheme="minorEastAsia" w:hAnsi="Times New Roman" w:cs="Times New Roman"/>
          <w:sz w:val="24"/>
          <w:szCs w:val="24"/>
          <w:lang w:eastAsia="pl-PL"/>
        </w:rPr>
        <w:t>241</w:t>
      </w:r>
      <w:r w:rsidR="00B46A20" w:rsidRPr="003A42FB">
        <w:rPr>
          <w:rFonts w:ascii="Times New Roman" w:eastAsiaTheme="minorEastAsia" w:hAnsi="Times New Roman" w:cs="Times New Roman"/>
          <w:sz w:val="24"/>
          <w:szCs w:val="24"/>
          <w:lang w:eastAsia="pl-PL"/>
        </w:rPr>
        <w:t xml:space="preserve"> </w:t>
      </w:r>
      <w:r w:rsidR="000F286A" w:rsidRPr="003A42FB">
        <w:rPr>
          <w:rFonts w:ascii="Times New Roman" w:eastAsiaTheme="minorEastAsia" w:hAnsi="Times New Roman" w:cs="Times New Roman"/>
          <w:sz w:val="24"/>
          <w:szCs w:val="24"/>
          <w:lang w:eastAsia="pl-PL"/>
        </w:rPr>
        <w:t xml:space="preserve">ust. 2, doprecyzowują czynności podejmowane przez Prezesa UKE, zobowiązując go do zawiadamia przedsiębiorcy </w:t>
      </w:r>
      <w:r w:rsidR="411AAECE" w:rsidRPr="003A42FB">
        <w:rPr>
          <w:rFonts w:ascii="Times New Roman" w:eastAsiaTheme="minorEastAsia" w:hAnsi="Times New Roman" w:cs="Times New Roman"/>
          <w:sz w:val="24"/>
          <w:szCs w:val="24"/>
        </w:rPr>
        <w:t>komunikacji elektronicznej</w:t>
      </w:r>
      <w:r w:rsidR="000F286A" w:rsidRPr="003A42FB">
        <w:rPr>
          <w:rFonts w:ascii="Times New Roman" w:eastAsiaTheme="minorEastAsia" w:hAnsi="Times New Roman" w:cs="Times New Roman"/>
          <w:sz w:val="24"/>
          <w:szCs w:val="24"/>
          <w:lang w:eastAsia="pl-PL"/>
        </w:rPr>
        <w:t xml:space="preserve"> o znaczącej pozycji rynkowej o wstępnej ocenie złożonych propozycji zobowiązań, uwzgledniającej stanowiska złożone w ramach konsultacji.</w:t>
      </w:r>
      <w:r w:rsidR="00E355FD" w:rsidRPr="003A42FB">
        <w:rPr>
          <w:rFonts w:ascii="Times New Roman" w:eastAsiaTheme="minorEastAsia" w:hAnsi="Times New Roman" w:cs="Times New Roman"/>
          <w:sz w:val="24"/>
          <w:szCs w:val="24"/>
          <w:lang w:eastAsia="pl-PL"/>
        </w:rPr>
        <w:t xml:space="preserve"> </w:t>
      </w:r>
      <w:r w:rsidR="000F286A" w:rsidRPr="003A42FB">
        <w:rPr>
          <w:rFonts w:ascii="Times New Roman" w:eastAsiaTheme="minorEastAsia" w:hAnsi="Times New Roman" w:cs="Times New Roman"/>
          <w:sz w:val="24"/>
          <w:szCs w:val="24"/>
          <w:lang w:eastAsia="pl-PL"/>
        </w:rPr>
        <w:t xml:space="preserve">Stosownie do postanowień ust. 3, jeśli ze wstępnej oceny wynikałoby, że nie zostały spełnione kryteria wskazane w art. </w:t>
      </w:r>
      <w:r w:rsidR="00B46A20">
        <w:rPr>
          <w:rFonts w:ascii="Times New Roman" w:eastAsiaTheme="minorEastAsia" w:hAnsi="Times New Roman" w:cs="Times New Roman"/>
          <w:sz w:val="24"/>
          <w:szCs w:val="24"/>
          <w:lang w:eastAsia="pl-PL"/>
        </w:rPr>
        <w:t>238</w:t>
      </w:r>
      <w:r w:rsidR="000F286A" w:rsidRPr="003A42FB">
        <w:rPr>
          <w:rFonts w:ascii="Times New Roman" w:eastAsiaTheme="minorEastAsia" w:hAnsi="Times New Roman" w:cs="Times New Roman"/>
          <w:sz w:val="24"/>
          <w:szCs w:val="24"/>
          <w:lang w:eastAsia="pl-PL"/>
        </w:rPr>
        <w:t xml:space="preserve">, </w:t>
      </w:r>
      <w:r w:rsidR="782D5911" w:rsidRPr="003A42FB">
        <w:rPr>
          <w:rFonts w:ascii="Times New Roman" w:eastAsiaTheme="minorEastAsia" w:hAnsi="Times New Roman" w:cs="Times New Roman"/>
          <w:sz w:val="24"/>
          <w:szCs w:val="24"/>
          <w:lang w:eastAsia="pl-PL"/>
        </w:rPr>
        <w:t xml:space="preserve">wówczas </w:t>
      </w:r>
      <w:r w:rsidR="17C31E6B" w:rsidRPr="003A42FB">
        <w:rPr>
          <w:rFonts w:ascii="Times New Roman" w:eastAsiaTheme="minorEastAsia" w:hAnsi="Times New Roman" w:cs="Times New Roman"/>
          <w:sz w:val="24"/>
          <w:szCs w:val="24"/>
        </w:rPr>
        <w:t>p</w:t>
      </w:r>
      <w:r w:rsidR="3A9F8BD1" w:rsidRPr="003A42FB">
        <w:rPr>
          <w:rFonts w:ascii="Times New Roman" w:eastAsiaTheme="minorEastAsia" w:hAnsi="Times New Roman" w:cs="Times New Roman"/>
          <w:sz w:val="24"/>
          <w:szCs w:val="24"/>
        </w:rPr>
        <w:t xml:space="preserve">rzedsiębiorca </w:t>
      </w:r>
      <w:r w:rsidR="33A5DA97" w:rsidRPr="003A42FB">
        <w:rPr>
          <w:rFonts w:ascii="Times New Roman" w:eastAsiaTheme="minorEastAsia" w:hAnsi="Times New Roman" w:cs="Times New Roman"/>
          <w:sz w:val="24"/>
          <w:szCs w:val="24"/>
        </w:rPr>
        <w:t>komunikacji elektronicznej</w:t>
      </w:r>
      <w:r w:rsidR="3A9F8BD1" w:rsidRPr="003A42FB">
        <w:rPr>
          <w:rFonts w:ascii="Times New Roman" w:eastAsiaTheme="minorEastAsia" w:hAnsi="Times New Roman" w:cs="Times New Roman"/>
          <w:sz w:val="24"/>
          <w:szCs w:val="24"/>
        </w:rPr>
        <w:t xml:space="preserve"> o znaczącej pozycji rynkowej, w celu uwzględnienia wstępnej oceny, może dokonać zmiany propozycji zobowiązań</w:t>
      </w:r>
      <w:r w:rsidR="38789329" w:rsidRPr="003A42FB">
        <w:rPr>
          <w:rFonts w:ascii="Times New Roman" w:eastAsiaTheme="minorEastAsia" w:hAnsi="Times New Roman" w:cs="Times New Roman"/>
          <w:sz w:val="24"/>
          <w:szCs w:val="24"/>
        </w:rPr>
        <w:t xml:space="preserve">. </w:t>
      </w:r>
      <w:r w:rsidR="30BDADED" w:rsidRPr="003A42FB">
        <w:rPr>
          <w:rFonts w:ascii="Times New Roman" w:eastAsiaTheme="minorEastAsia" w:hAnsi="Times New Roman" w:cs="Times New Roman"/>
          <w:sz w:val="24"/>
          <w:szCs w:val="24"/>
          <w:lang w:eastAsia="pl-PL"/>
        </w:rPr>
        <w:t>Prezesa UKE wyznacza co najmniej 14 dniowy termin, na dokonanie zmian</w:t>
      </w:r>
      <w:r w:rsidR="5C7275A5" w:rsidRPr="003A42FB">
        <w:rPr>
          <w:rFonts w:ascii="Times New Roman" w:eastAsiaTheme="minorEastAsia" w:hAnsi="Times New Roman" w:cs="Times New Roman"/>
          <w:sz w:val="24"/>
          <w:szCs w:val="24"/>
          <w:lang w:eastAsia="pl-PL"/>
        </w:rPr>
        <w:t>.</w:t>
      </w:r>
    </w:p>
    <w:p w14:paraId="6D2BBF9A" w14:textId="14C1B199" w:rsidR="0C722829" w:rsidRPr="003A42FB" w:rsidRDefault="0C722829"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B46A20">
        <w:rPr>
          <w:rFonts w:ascii="Times New Roman" w:eastAsiaTheme="minorEastAsia" w:hAnsi="Times New Roman" w:cs="Times New Roman"/>
          <w:b/>
          <w:bCs/>
          <w:sz w:val="24"/>
          <w:szCs w:val="24"/>
          <w:lang w:eastAsia="pl-PL"/>
        </w:rPr>
        <w:t>242</w:t>
      </w:r>
    </w:p>
    <w:p w14:paraId="69CA1891" w14:textId="712C363B"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Unormowania zawarte w art. </w:t>
      </w:r>
      <w:r w:rsidR="00B46A20">
        <w:rPr>
          <w:rFonts w:ascii="Times New Roman" w:eastAsiaTheme="minorEastAsia" w:hAnsi="Times New Roman" w:cs="Times New Roman"/>
          <w:sz w:val="24"/>
          <w:szCs w:val="24"/>
          <w:lang w:eastAsia="pl-PL"/>
        </w:rPr>
        <w:t>242</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implementują postanowienia zawarte w art. 79 ust. 1, art. 79 ust. 2 akapit drugi, art. 79 ust. 3 akapit czwarty zd. 1. E</w:t>
      </w:r>
      <w:r w:rsidR="008C43A4" w:rsidRPr="003A42FB">
        <w:rPr>
          <w:rFonts w:ascii="Times New Roman" w:eastAsiaTheme="minorEastAsia" w:hAnsi="Times New Roman" w:cs="Times New Roman"/>
          <w:sz w:val="24"/>
          <w:szCs w:val="24"/>
          <w:lang w:eastAsia="pl-PL"/>
        </w:rPr>
        <w:t>KŁE. Przepisy ust. 1 umocowują P</w:t>
      </w:r>
      <w:r w:rsidRPr="003A42FB">
        <w:rPr>
          <w:rFonts w:ascii="Times New Roman" w:eastAsiaTheme="minorEastAsia" w:hAnsi="Times New Roman" w:cs="Times New Roman"/>
          <w:sz w:val="24"/>
          <w:szCs w:val="24"/>
          <w:lang w:eastAsia="pl-PL"/>
        </w:rPr>
        <w:t xml:space="preserve">rezesa UKE do wydawania decyzji zatwierdzających propozycji zobowiązań. W ślad za europejskim prawodawcą propozycja przepisów krajowych art. </w:t>
      </w:r>
      <w:r w:rsidR="00B46A20">
        <w:rPr>
          <w:rFonts w:ascii="Times New Roman" w:eastAsiaTheme="minorEastAsia" w:hAnsi="Times New Roman" w:cs="Times New Roman"/>
          <w:sz w:val="24"/>
          <w:szCs w:val="24"/>
          <w:lang w:eastAsia="pl-PL"/>
        </w:rPr>
        <w:t>242</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ust. 2, odnośnie do ram czasowych zatwierdzanej przez Prezesa UKE propozycji samoregulacji, wskazuje minimalny okres siedmiu lat, przy czym dotyczy on do propozycji związanych ze współinwestycjami w zakresie sieci o bardzo dużej przepustowości. Proponowany art. </w:t>
      </w:r>
      <w:r w:rsidR="00B46A20">
        <w:rPr>
          <w:rFonts w:ascii="Times New Roman" w:eastAsiaTheme="minorEastAsia" w:hAnsi="Times New Roman" w:cs="Times New Roman"/>
          <w:sz w:val="24"/>
          <w:szCs w:val="24"/>
          <w:lang w:eastAsia="pl-PL"/>
        </w:rPr>
        <w:t>242</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ust. 3 potwierdza kompetencje Prezesa UKE związane z funkcją regulatora rynku i realizacją celów polityki regulacyjnej, jednocześnie dokonuje implementacji art. 79 ust.3 i ust. 4 EKŁE.</w:t>
      </w:r>
    </w:p>
    <w:p w14:paraId="65A888B4" w14:textId="482968AC" w:rsidR="4C909D56" w:rsidRPr="003A42FB" w:rsidRDefault="4C909D56"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B46A20">
        <w:rPr>
          <w:rFonts w:ascii="Times New Roman" w:eastAsiaTheme="minorEastAsia" w:hAnsi="Times New Roman" w:cs="Times New Roman"/>
          <w:b/>
          <w:bCs/>
          <w:sz w:val="24"/>
          <w:szCs w:val="24"/>
          <w:lang w:eastAsia="pl-PL"/>
        </w:rPr>
        <w:t>243</w:t>
      </w:r>
    </w:p>
    <w:p w14:paraId="62F1E8C2" w14:textId="08487184"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Regulacja art. </w:t>
      </w:r>
      <w:r w:rsidR="00B46A20">
        <w:rPr>
          <w:rFonts w:ascii="Times New Roman" w:eastAsiaTheme="minorEastAsia" w:hAnsi="Times New Roman" w:cs="Times New Roman"/>
          <w:sz w:val="24"/>
          <w:szCs w:val="24"/>
          <w:lang w:eastAsia="pl-PL"/>
        </w:rPr>
        <w:t>243</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uzależnia od zawarcia umowy o współinwestycji możliwość zwrócenia się do Prezesa UKE o uchylanie obowiązków regulacyjnych, o ile te odnoszą się do zobowiązań dotyczących współinwestycji obejmujących sieci o bardzo dużej</w:t>
      </w:r>
      <w:r w:rsidR="00E355FD"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przepustowości, i odnoszących się bezpośrednio do związanych z nimi elementów nowej sieci. Powyższa regulacja stanowi zachętę dla stron umowy współinwestycji do podjęcia działań związanych z jej zawarciem.</w:t>
      </w:r>
    </w:p>
    <w:p w14:paraId="533F5223" w14:textId="124EC316" w:rsidR="000F286A" w:rsidRPr="003A42FB" w:rsidRDefault="000F286A" w:rsidP="00C53EAB">
      <w:pPr>
        <w:autoSpaceDE w:val="0"/>
        <w:autoSpaceDN w:val="0"/>
        <w:adjustRightInd w:val="0"/>
        <w:spacing w:after="120" w:line="240" w:lineRule="auto"/>
        <w:jc w:val="both"/>
        <w:rPr>
          <w:rFonts w:ascii="Times New Roman" w:eastAsiaTheme="minorEastAsia" w:hAnsi="Times New Roman" w:cs="Times New Roman"/>
          <w:i/>
          <w:iCs/>
          <w:sz w:val="24"/>
          <w:szCs w:val="24"/>
        </w:rPr>
      </w:pPr>
      <w:r w:rsidRPr="003A42FB">
        <w:rPr>
          <w:rFonts w:ascii="Times New Roman" w:eastAsiaTheme="minorEastAsia" w:hAnsi="Times New Roman" w:cs="Times New Roman"/>
          <w:sz w:val="24"/>
          <w:szCs w:val="24"/>
        </w:rPr>
        <w:t xml:space="preserve">Regulacja art. </w:t>
      </w:r>
      <w:r w:rsidR="00B46A20">
        <w:rPr>
          <w:rFonts w:ascii="Times New Roman" w:eastAsiaTheme="minorEastAsia" w:hAnsi="Times New Roman" w:cs="Times New Roman"/>
          <w:sz w:val="24"/>
          <w:szCs w:val="24"/>
        </w:rPr>
        <w:t>243</w:t>
      </w:r>
      <w:r w:rsidR="00B46A20"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2 potwierdza uprawnienie Prezesa UKE do nakładania, uchylania lub zmieniania obowiązków regulacyjnych. Co stanowi realizację wskazań zawartych </w:t>
      </w:r>
      <w:r w:rsidRPr="003A42FB">
        <w:rPr>
          <w:rFonts w:ascii="Times New Roman" w:eastAsiaTheme="minorEastAsia" w:hAnsi="Times New Roman" w:cs="Times New Roman"/>
          <w:i/>
          <w:iCs/>
          <w:sz w:val="24"/>
          <w:szCs w:val="24"/>
        </w:rPr>
        <w:t>in medio</w:t>
      </w:r>
      <w:r w:rsidRPr="003A42FB">
        <w:rPr>
          <w:rFonts w:ascii="Times New Roman" w:eastAsiaTheme="minorEastAsia" w:hAnsi="Times New Roman" w:cs="Times New Roman"/>
          <w:sz w:val="24"/>
          <w:szCs w:val="24"/>
        </w:rPr>
        <w:t xml:space="preserve"> w motywie 205 dyrektywy, zgodnie z którym: </w:t>
      </w:r>
      <w:r w:rsidRPr="003A42FB">
        <w:rPr>
          <w:rFonts w:ascii="Times New Roman" w:eastAsiaTheme="minorEastAsia" w:hAnsi="Times New Roman" w:cs="Times New Roman"/>
          <w:i/>
          <w:iCs/>
          <w:sz w:val="24"/>
          <w:szCs w:val="24"/>
        </w:rPr>
        <w:t xml:space="preserve">Bez uszczerbku jednak dla przepisów dotyczących traktowania regulacyjnego współinwestycji charakter złożonych zobowiązań jako takich nie ogranicza uprawnień dyskrecjonalnych przyznanych krajowemu organowi regulacyjnemu do wprowadzenia środków naprawczych w przedsiębiorstwie wyznaczonym jako posiadające znaczącą pozycję rynkową. </w:t>
      </w:r>
    </w:p>
    <w:p w14:paraId="0A0575BA" w14:textId="46F77420"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Podobnie w przypadku tego przepisu, należy pamiętać, że również taka, wydana w stosownych przypadkach, decyzja krajowego organu regulacyjnego podlega procedurze konsolidacji. </w:t>
      </w:r>
      <w:r w:rsidRPr="003A42FB">
        <w:rPr>
          <w:rFonts w:ascii="Times New Roman" w:eastAsiaTheme="minorEastAsia" w:hAnsi="Times New Roman" w:cs="Times New Roman"/>
          <w:sz w:val="24"/>
          <w:szCs w:val="24"/>
          <w:lang w:eastAsia="pl-PL"/>
        </w:rPr>
        <w:lastRenderedPageBreak/>
        <w:t xml:space="preserve">Oznacza to, że również ona powinna zostać notyfikowana zgodnie z projektowanym art. </w:t>
      </w:r>
      <w:r w:rsidR="00E64201" w:rsidRPr="003A42FB">
        <w:rPr>
          <w:rFonts w:ascii="Times New Roman" w:eastAsiaTheme="minorEastAsia" w:hAnsi="Times New Roman" w:cs="Times New Roman"/>
          <w:sz w:val="24"/>
          <w:szCs w:val="24"/>
          <w:lang w:eastAsia="pl-PL"/>
        </w:rPr>
        <w:t>35</w:t>
      </w:r>
      <w:r w:rsidRPr="003A42FB">
        <w:rPr>
          <w:rFonts w:ascii="Times New Roman" w:eastAsiaTheme="minorEastAsia" w:hAnsi="Times New Roman" w:cs="Times New Roman"/>
          <w:sz w:val="24"/>
          <w:szCs w:val="24"/>
          <w:lang w:eastAsia="pl-PL"/>
        </w:rPr>
        <w:t xml:space="preserve">. To samo się tyczy również decyzji o przedłużających okres obowiązywania, jak również tych, które niezależnie od decyzji zatwierdzających propozycje zobowiązań, utrzymują lub zmieniają obowiązki regulacyjne. Zaś proponowany art. </w:t>
      </w:r>
      <w:r w:rsidR="00B46A20">
        <w:rPr>
          <w:rFonts w:ascii="Times New Roman" w:eastAsiaTheme="minorEastAsia" w:hAnsi="Times New Roman" w:cs="Times New Roman"/>
          <w:sz w:val="24"/>
          <w:szCs w:val="24"/>
          <w:lang w:eastAsia="pl-PL"/>
        </w:rPr>
        <w:t>243</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ust. 4 potwierdza kompetencje Prezesa UKE związane z funkcją regulatora rynku i realizacją celów polityki regulacyjnej, jednocześnie dokonują</w:t>
      </w:r>
      <w:r w:rsidR="008C43A4" w:rsidRPr="003A42FB">
        <w:rPr>
          <w:rFonts w:ascii="Times New Roman" w:eastAsiaTheme="minorEastAsia" w:hAnsi="Times New Roman" w:cs="Times New Roman"/>
          <w:sz w:val="24"/>
          <w:szCs w:val="24"/>
          <w:lang w:eastAsia="pl-PL"/>
        </w:rPr>
        <w:t>c</w:t>
      </w:r>
      <w:r w:rsidRPr="003A42FB">
        <w:rPr>
          <w:rFonts w:ascii="Times New Roman" w:eastAsiaTheme="minorEastAsia" w:hAnsi="Times New Roman" w:cs="Times New Roman"/>
          <w:sz w:val="24"/>
          <w:szCs w:val="24"/>
          <w:lang w:eastAsia="pl-PL"/>
        </w:rPr>
        <w:t xml:space="preserve"> implementacji art. 76 ust. 2 akapit 1 i 2 EKŁE.  Należy wskazać, że w tym zakresie projektowana regulacja odnosi się bezpośrednio również do postanowień motywu 205 </w:t>
      </w:r>
      <w:r w:rsidRPr="003A42FB">
        <w:rPr>
          <w:rFonts w:ascii="Times New Roman" w:eastAsiaTheme="minorEastAsia" w:hAnsi="Times New Roman" w:cs="Times New Roman"/>
          <w:i/>
          <w:iCs/>
          <w:sz w:val="24"/>
          <w:szCs w:val="24"/>
          <w:lang w:eastAsia="pl-PL"/>
        </w:rPr>
        <w:t xml:space="preserve">in fine, </w:t>
      </w:r>
      <w:r w:rsidRPr="003A42FB">
        <w:rPr>
          <w:rFonts w:ascii="Times New Roman" w:eastAsiaTheme="minorEastAsia" w:hAnsi="Times New Roman" w:cs="Times New Roman"/>
          <w:sz w:val="24"/>
          <w:szCs w:val="24"/>
          <w:lang w:eastAsia="pl-PL"/>
        </w:rPr>
        <w:t xml:space="preserve">który wskazuje, że w nawet </w:t>
      </w:r>
      <w:r w:rsidRPr="003A42FB">
        <w:rPr>
          <w:rFonts w:ascii="Times New Roman" w:eastAsiaTheme="minorEastAsia" w:hAnsi="Times New Roman" w:cs="Times New Roman"/>
          <w:sz w:val="24"/>
          <w:szCs w:val="24"/>
        </w:rPr>
        <w:t>w</w:t>
      </w:r>
      <w:r w:rsidR="008C43A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przypadku</w:t>
      </w:r>
      <w:r w:rsidRPr="003A42FB">
        <w:rPr>
          <w:rFonts w:ascii="Times New Roman" w:eastAsiaTheme="minorEastAsia" w:hAnsi="Times New Roman" w:cs="Times New Roman"/>
          <w:sz w:val="24"/>
          <w:szCs w:val="24"/>
          <w:lang w:eastAsia="pl-PL"/>
        </w:rPr>
        <w:t xml:space="preserve"> podjęcia przez </w:t>
      </w:r>
      <w:r w:rsidRPr="003A42FB">
        <w:rPr>
          <w:rFonts w:ascii="Times New Roman" w:eastAsiaTheme="minorEastAsia" w:hAnsi="Times New Roman" w:cs="Times New Roman"/>
          <w:i/>
          <w:iCs/>
          <w:sz w:val="24"/>
          <w:szCs w:val="24"/>
          <w:lang w:eastAsia="pl-PL"/>
        </w:rPr>
        <w:t>krajowe organy regulacyjne</w:t>
      </w:r>
      <w:r w:rsidRPr="003A42FB">
        <w:rPr>
          <w:rFonts w:ascii="Times New Roman" w:eastAsiaTheme="minorEastAsia" w:hAnsi="Times New Roman" w:cs="Times New Roman"/>
          <w:sz w:val="24"/>
          <w:szCs w:val="24"/>
          <w:lang w:eastAsia="pl-PL"/>
        </w:rPr>
        <w:t xml:space="preserve"> (…) wiążących zobowiązań dotyczących współinwestycji i decyzji o nienakładaniu obowiązków, </w:t>
      </w:r>
      <w:r w:rsidRPr="003A42FB">
        <w:rPr>
          <w:rFonts w:ascii="Times New Roman" w:eastAsiaTheme="minorEastAsia" w:hAnsi="Times New Roman" w:cs="Times New Roman"/>
          <w:i/>
          <w:iCs/>
          <w:sz w:val="24"/>
          <w:szCs w:val="24"/>
          <w:lang w:eastAsia="pl-PL"/>
        </w:rPr>
        <w:t>to procedura ta pozostaje bez uszczerbku dla stosowania procedury analizy rynku oraz  obowiązku stosowania odpowiednich i proporcjonalnych środków naprawczych służących zaradzeniu stwierdzonym nieprawidłowościom w funkcjonowaniu rynku.</w:t>
      </w:r>
    </w:p>
    <w:p w14:paraId="7A0A3BC3" w14:textId="1E2EDC93" w:rsidR="672F0D4E" w:rsidRPr="003A42FB" w:rsidRDefault="672F0D4E"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B46A20">
        <w:rPr>
          <w:rFonts w:ascii="Times New Roman" w:eastAsiaTheme="minorEastAsia" w:hAnsi="Times New Roman" w:cs="Times New Roman"/>
          <w:b/>
          <w:bCs/>
          <w:sz w:val="24"/>
          <w:szCs w:val="24"/>
          <w:lang w:eastAsia="pl-PL"/>
        </w:rPr>
        <w:t>244</w:t>
      </w:r>
    </w:p>
    <w:p w14:paraId="10A416BB" w14:textId="649506A1"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Proponowane przepisy art. </w:t>
      </w:r>
      <w:r w:rsidR="00B46A20">
        <w:rPr>
          <w:rFonts w:ascii="Times New Roman" w:eastAsiaTheme="minorEastAsia" w:hAnsi="Times New Roman" w:cs="Times New Roman"/>
          <w:sz w:val="24"/>
          <w:szCs w:val="24"/>
          <w:lang w:eastAsia="pl-PL"/>
        </w:rPr>
        <w:t>244</w:t>
      </w:r>
      <w:r w:rsidRPr="003A42FB">
        <w:rPr>
          <w:rFonts w:ascii="Times New Roman" w:eastAsiaTheme="minorEastAsia" w:hAnsi="Times New Roman" w:cs="Times New Roman"/>
          <w:sz w:val="24"/>
          <w:szCs w:val="24"/>
          <w:lang w:eastAsia="pl-PL"/>
        </w:rPr>
        <w:t>-</w:t>
      </w:r>
      <w:r w:rsidR="00B46A20">
        <w:rPr>
          <w:rFonts w:ascii="Times New Roman" w:eastAsiaTheme="minorEastAsia" w:hAnsi="Times New Roman" w:cs="Times New Roman"/>
          <w:sz w:val="24"/>
          <w:szCs w:val="24"/>
          <w:lang w:eastAsia="pl-PL"/>
        </w:rPr>
        <w:t>251</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stanowią implementację przepisów artykułu 76 EKŁE oraz Załącznika IV do EKŁE. Ww. przepisy EKŁE oraz implementujące je przepisy mają za zadanie określenie warunków, na jakich przedsiębiorstwo posiadające znaczącą pozycję rynkową może skorzystać z możliwości zatwierdzania propozycji zobowiązań (samoregulacji) oraz wynikającej z nich, stanowiącej zachętę inwestycyjną, deregulacji odnoszącej się nowych sieci telekomunikacyjnych o bardzo dużej przepustowości, ich elementów oraz zasobów powiązanych powstających w drodze współinwestycji. Konstruowane przepisy i zawarte w nich kryteria oceny postanowień zawartych przedkładanych propozycjach zobowiązań, zawierających oferty współinwestycji, oraz wskazane w nich obligatoryjne elementy takich ofert oraz przyszłych umów, a także związanych z nimi kompetencji Prezesa UKE, mają za zadanie, w ramach realizacji celów polityki regulacyjnej, wyeliminowanie możliwości realizacji „pseudo współinwestycji”. Przez powyższe należy rozumieć eliminowanie pozornych współinwestycji mających służyć wyłącznie możliwości korzystania z deregulacji.  </w:t>
      </w:r>
    </w:p>
    <w:p w14:paraId="34674D4A" w14:textId="3A93CC41"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Projektowane przepisy art. </w:t>
      </w:r>
      <w:r w:rsidR="00B46A20">
        <w:rPr>
          <w:rFonts w:ascii="Times New Roman" w:eastAsiaTheme="minorEastAsia" w:hAnsi="Times New Roman" w:cs="Times New Roman"/>
          <w:sz w:val="24"/>
          <w:szCs w:val="24"/>
          <w:lang w:eastAsia="pl-PL"/>
        </w:rPr>
        <w:t>244</w:t>
      </w:r>
      <w:r w:rsidR="00B46A20"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dotyczą decyzji wydawanych na podstawie art. </w:t>
      </w:r>
      <w:r w:rsidR="00B46A20">
        <w:rPr>
          <w:rFonts w:ascii="Times New Roman" w:eastAsiaTheme="minorEastAsia" w:hAnsi="Times New Roman" w:cs="Times New Roman"/>
          <w:sz w:val="24"/>
          <w:szCs w:val="24"/>
          <w:lang w:eastAsia="pl-PL"/>
        </w:rPr>
        <w:t>242</w:t>
      </w:r>
      <w:r w:rsidRPr="003A42FB">
        <w:rPr>
          <w:rFonts w:ascii="Times New Roman" w:eastAsiaTheme="minorEastAsia" w:hAnsi="Times New Roman" w:cs="Times New Roman"/>
          <w:sz w:val="24"/>
          <w:szCs w:val="24"/>
          <w:lang w:eastAsia="pl-PL"/>
        </w:rPr>
        <w:t xml:space="preserve">, ale dotyczących realizacji nowych sieci (ich elementów i zasobów powiązanych). Przepisy te stanowią również odzwierciedlenie wytycznych zawartych </w:t>
      </w:r>
      <w:r w:rsidR="00AB4E94" w:rsidRPr="003A42FB">
        <w:rPr>
          <w:rFonts w:ascii="Times New Roman" w:eastAsiaTheme="minorEastAsia" w:hAnsi="Times New Roman" w:cs="Times New Roman"/>
          <w:sz w:val="24"/>
          <w:szCs w:val="24"/>
          <w:lang w:eastAsia="pl-PL"/>
        </w:rPr>
        <w:t xml:space="preserve">w </w:t>
      </w:r>
      <w:r w:rsidRPr="003A42FB">
        <w:rPr>
          <w:rFonts w:ascii="Times New Roman" w:eastAsiaTheme="minorEastAsia" w:hAnsi="Times New Roman" w:cs="Times New Roman"/>
          <w:sz w:val="24"/>
          <w:szCs w:val="24"/>
          <w:lang w:eastAsia="pl-PL"/>
        </w:rPr>
        <w:t xml:space="preserve">treści motywu 199. </w:t>
      </w:r>
      <w:r w:rsidRPr="003A42FB">
        <w:rPr>
          <w:rFonts w:ascii="Times New Roman" w:eastAsiaTheme="minorEastAsia" w:hAnsi="Times New Roman" w:cs="Times New Roman"/>
          <w:i/>
          <w:iCs/>
          <w:sz w:val="24"/>
          <w:szCs w:val="24"/>
          <w:lang w:eastAsia="pl-PL"/>
        </w:rPr>
        <w:t>Ab initio</w:t>
      </w:r>
      <w:r w:rsidRPr="003A42FB">
        <w:rPr>
          <w:rFonts w:ascii="Times New Roman" w:eastAsiaTheme="minorEastAsia" w:hAnsi="Times New Roman" w:cs="Times New Roman"/>
          <w:sz w:val="24"/>
          <w:szCs w:val="24"/>
          <w:lang w:eastAsia="pl-PL"/>
        </w:rPr>
        <w:t xml:space="preserve"> przepis ten ma na celu określenie zakresu przedmiotu współinwestycji oraz umocowanie Prezesa UKE do sformułowania warunków jakie mają spełnić propozycje zobowiązań oraz kryteriów ich oceny. Należy pamiętać, że w przypadku niespełnienia tych warunków, Prezes UKE będzie do zobowiązany nałożyć odpowiednie obowiązki regulacyjne. </w:t>
      </w:r>
    </w:p>
    <w:p w14:paraId="35309DC0" w14:textId="1B5BC6B7"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Kolejne postanowienia art. </w:t>
      </w:r>
      <w:r w:rsidR="00DB7F97">
        <w:rPr>
          <w:rFonts w:ascii="Times New Roman" w:eastAsiaTheme="minorEastAsia" w:hAnsi="Times New Roman" w:cs="Times New Roman"/>
          <w:sz w:val="24"/>
          <w:szCs w:val="24"/>
          <w:lang w:eastAsia="pl-PL"/>
        </w:rPr>
        <w:t>244</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formułują kryteria wg których Prezes UKE weryfikuje bądź ocenia propozycje zobowiązań obejmujących swoim zakresem współinwestycje. W pierwszej kolejności zostały określone wymogi formalne, związane z upowszechnieniem informacji o możliwości udziału we współinwestycji oraz wymogi o charakterze gwarancyjnym. Wymogi o charakterze gwarancyjnym dotyczą t</w:t>
      </w:r>
      <w:r w:rsidR="00AB4E94" w:rsidRPr="003A42FB">
        <w:rPr>
          <w:rFonts w:ascii="Times New Roman" w:eastAsiaTheme="minorEastAsia" w:hAnsi="Times New Roman" w:cs="Times New Roman"/>
          <w:sz w:val="24"/>
          <w:szCs w:val="24"/>
          <w:lang w:eastAsia="pl-PL"/>
        </w:rPr>
        <w:t xml:space="preserve">ych postanowień mają zapewnić </w:t>
      </w:r>
      <w:r w:rsidRPr="003A42FB">
        <w:rPr>
          <w:rFonts w:ascii="Times New Roman" w:eastAsiaTheme="minorEastAsia" w:hAnsi="Times New Roman" w:cs="Times New Roman"/>
          <w:sz w:val="24"/>
          <w:szCs w:val="24"/>
          <w:lang w:eastAsia="pl-PL"/>
        </w:rPr>
        <w:t xml:space="preserve">możliwość przyłączenia się do współinwestycji, zapewnienie konkurencyjności stronom umowy, równego traktowania stron umowy, traktowania podmiotów trzecich w sposób nie ograniczający konkurencji. Dalsze wymogi, związane z oceną stron przystępujących do umowy, mają na celu zapewnienie możliwości realizacji umowy poprzez wskazanie racjonalnych kryteriów podmiotowych odnoszących się m.in. do zdolności finansowej. Wreszcie przepisy określają zasady formułowania warunków późniejszego przystępowania do umowy współinwestycji, które mają uwzględniać zmieniające się otoczenie inwestycyjne.  </w:t>
      </w:r>
    </w:p>
    <w:p w14:paraId="085F4761" w14:textId="2AE30903" w:rsidR="1B756165" w:rsidRPr="003A42FB" w:rsidRDefault="1B756165"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245</w:t>
      </w:r>
    </w:p>
    <w:p w14:paraId="28F6C295" w14:textId="79F8C05C"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lastRenderedPageBreak/>
        <w:t xml:space="preserve">Art. </w:t>
      </w:r>
      <w:r w:rsidR="00DB7F97">
        <w:rPr>
          <w:rFonts w:ascii="Times New Roman" w:eastAsiaTheme="minorEastAsia" w:hAnsi="Times New Roman" w:cs="Times New Roman"/>
          <w:sz w:val="24"/>
          <w:szCs w:val="24"/>
          <w:lang w:eastAsia="pl-PL"/>
        </w:rPr>
        <w:t>245</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w ślad za ustawodawcą europejskim określa przesłanki otwartości (art. </w:t>
      </w:r>
      <w:r w:rsidR="00DB7F97">
        <w:rPr>
          <w:rFonts w:ascii="Times New Roman" w:eastAsiaTheme="minorEastAsia" w:hAnsi="Times New Roman" w:cs="Times New Roman"/>
          <w:sz w:val="24"/>
          <w:szCs w:val="24"/>
          <w:lang w:eastAsia="pl-PL"/>
        </w:rPr>
        <w:t>244</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pkt 2), wg których Prezes UKE będzie dokonywał oceny propozycji zobowiązań obejmującej ofertę współinwestycji. </w:t>
      </w:r>
    </w:p>
    <w:p w14:paraId="3B406953" w14:textId="56F88CFF" w:rsidR="000F286A" w:rsidRPr="003A42FB" w:rsidRDefault="3D111266" w:rsidP="00C53EAB">
      <w:pPr>
        <w:suppressAutoHyphens/>
        <w:autoSpaceDE w:val="0"/>
        <w:autoSpaceDN w:val="0"/>
        <w:adjustRightInd w:val="0"/>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246</w:t>
      </w:r>
    </w:p>
    <w:p w14:paraId="736F6B28" w14:textId="3CB03FD2"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i/>
          <w:iCs/>
          <w:sz w:val="24"/>
          <w:szCs w:val="24"/>
          <w:lang w:eastAsia="pl-PL"/>
        </w:rPr>
      </w:pPr>
      <w:r w:rsidRPr="003A42FB">
        <w:rPr>
          <w:rFonts w:ascii="Times New Roman" w:eastAsiaTheme="minorEastAsia" w:hAnsi="Times New Roman" w:cs="Times New Roman"/>
          <w:sz w:val="24"/>
          <w:szCs w:val="24"/>
          <w:lang w:eastAsia="pl-PL"/>
        </w:rPr>
        <w:t>Podobnie</w:t>
      </w:r>
      <w:r w:rsidR="2B831E10" w:rsidRPr="003A42FB">
        <w:rPr>
          <w:rFonts w:ascii="Times New Roman" w:eastAsiaTheme="minorEastAsia" w:hAnsi="Times New Roman" w:cs="Times New Roman"/>
          <w:sz w:val="24"/>
          <w:szCs w:val="24"/>
          <w:lang w:eastAsia="pl-PL"/>
        </w:rPr>
        <w:t xml:space="preserve"> jak art. </w:t>
      </w:r>
      <w:r w:rsidR="00DB7F97">
        <w:rPr>
          <w:rFonts w:ascii="Times New Roman" w:eastAsiaTheme="minorEastAsia" w:hAnsi="Times New Roman" w:cs="Times New Roman"/>
          <w:sz w:val="24"/>
          <w:szCs w:val="24"/>
          <w:lang w:eastAsia="pl-PL"/>
        </w:rPr>
        <w:t>245</w:t>
      </w:r>
      <w:r w:rsidR="2B831E10" w:rsidRPr="003A42FB">
        <w:rPr>
          <w:rFonts w:ascii="Times New Roman" w:eastAsiaTheme="minorEastAsia" w:hAnsi="Times New Roman" w:cs="Times New Roman"/>
          <w:sz w:val="24"/>
          <w:szCs w:val="24"/>
          <w:lang w:eastAsia="pl-PL"/>
        </w:rPr>
        <w:t xml:space="preserve">, też </w:t>
      </w:r>
      <w:r w:rsidR="6EC2D6E8" w:rsidRPr="003A42FB">
        <w:rPr>
          <w:rFonts w:ascii="Times New Roman" w:eastAsiaTheme="minorEastAsia" w:hAnsi="Times New Roman" w:cs="Times New Roman"/>
          <w:sz w:val="24"/>
          <w:szCs w:val="24"/>
          <w:lang w:eastAsia="pl-PL"/>
        </w:rPr>
        <w:t>a</w:t>
      </w:r>
      <w:r w:rsidRPr="003A42FB">
        <w:rPr>
          <w:rFonts w:ascii="Times New Roman" w:eastAsiaTheme="minorEastAsia" w:hAnsi="Times New Roman" w:cs="Times New Roman"/>
          <w:sz w:val="24"/>
          <w:szCs w:val="24"/>
          <w:lang w:eastAsia="pl-PL"/>
        </w:rPr>
        <w:t xml:space="preserve">rt. </w:t>
      </w:r>
      <w:r w:rsidR="00DB7F97">
        <w:rPr>
          <w:rFonts w:ascii="Times New Roman" w:eastAsiaTheme="minorEastAsia" w:hAnsi="Times New Roman" w:cs="Times New Roman"/>
          <w:sz w:val="24"/>
          <w:szCs w:val="24"/>
          <w:lang w:eastAsia="pl-PL"/>
        </w:rPr>
        <w:t>246</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ma na celu doprecyzowanie przesłanek, wg których Prezes UKE będzie dokonywał weryfikacji (art. </w:t>
      </w:r>
      <w:r w:rsidR="00DB7F97">
        <w:rPr>
          <w:rFonts w:ascii="Times New Roman" w:eastAsiaTheme="minorEastAsia" w:hAnsi="Times New Roman" w:cs="Times New Roman"/>
          <w:sz w:val="24"/>
          <w:szCs w:val="24"/>
          <w:lang w:eastAsia="pl-PL"/>
        </w:rPr>
        <w:t>244</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pkt 3) propozycji zobowiązań obejmującej ofertę współinwestycji, pod względem </w:t>
      </w:r>
      <w:r w:rsidRPr="003A42FB">
        <w:rPr>
          <w:rFonts w:ascii="Times New Roman" w:eastAsiaTheme="minorEastAsia" w:hAnsi="Times New Roman" w:cs="Times New Roman"/>
          <w:i/>
          <w:iCs/>
          <w:sz w:val="24"/>
          <w:szCs w:val="24"/>
          <w:lang w:eastAsia="pl-PL"/>
        </w:rPr>
        <w:t>możliwości skutecznego i zrównoważonego konkurowania w długiej perspektywie na rynkach detalicznych, na których działa przedsiębiorca t</w:t>
      </w:r>
      <w:r w:rsidR="7D9A2EE4" w:rsidRPr="003A42FB">
        <w:rPr>
          <w:rFonts w:ascii="Times New Roman" w:eastAsiaTheme="minorEastAsia" w:hAnsi="Times New Roman" w:cs="Times New Roman"/>
          <w:i/>
          <w:iCs/>
          <w:sz w:val="24"/>
          <w:szCs w:val="24"/>
        </w:rPr>
        <w:t xml:space="preserve"> komunikacji elektronicznej</w:t>
      </w:r>
      <w:r w:rsidRPr="003A42FB">
        <w:rPr>
          <w:rFonts w:ascii="Times New Roman" w:eastAsiaTheme="minorEastAsia" w:hAnsi="Times New Roman" w:cs="Times New Roman"/>
          <w:i/>
          <w:iCs/>
          <w:sz w:val="24"/>
          <w:szCs w:val="24"/>
          <w:lang w:eastAsia="pl-PL"/>
        </w:rPr>
        <w:t xml:space="preserve"> posiadający znaczącą pozycję rynkową, innym współinwestującym przedsiębiorcom </w:t>
      </w:r>
      <w:r w:rsidR="007B8A93" w:rsidRPr="003A42FB">
        <w:rPr>
          <w:rFonts w:ascii="Times New Roman" w:eastAsiaTheme="minorEastAsia" w:hAnsi="Times New Roman" w:cs="Times New Roman"/>
          <w:i/>
          <w:iCs/>
          <w:sz w:val="24"/>
          <w:szCs w:val="24"/>
        </w:rPr>
        <w:t>komunikacji elektronicznej</w:t>
      </w:r>
      <w:r w:rsidR="00D452DD" w:rsidRPr="003A42FB">
        <w:rPr>
          <w:rFonts w:ascii="Times New Roman" w:eastAsiaTheme="minorEastAsia" w:hAnsi="Times New Roman" w:cs="Times New Roman"/>
          <w:i/>
          <w:iCs/>
          <w:sz w:val="24"/>
          <w:szCs w:val="24"/>
        </w:rPr>
        <w:t>.</w:t>
      </w:r>
    </w:p>
    <w:p w14:paraId="2FC85CCE" w14:textId="508D3D12" w:rsidR="724131E8" w:rsidRPr="003A42FB" w:rsidRDefault="724131E8"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247</w:t>
      </w:r>
    </w:p>
    <w:p w14:paraId="2055495E" w14:textId="46B37932"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Przepis art. </w:t>
      </w:r>
      <w:r w:rsidR="00DB7F97">
        <w:rPr>
          <w:rFonts w:ascii="Times New Roman" w:eastAsiaTheme="minorEastAsia" w:hAnsi="Times New Roman" w:cs="Times New Roman"/>
          <w:sz w:val="24"/>
          <w:szCs w:val="24"/>
          <w:lang w:eastAsia="pl-PL"/>
        </w:rPr>
        <w:t>247</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implementuje postanowienia Załącznika IV EKŁE ust. c, tiret piąte </w:t>
      </w:r>
      <w:r w:rsidRPr="003A42FB">
        <w:rPr>
          <w:rFonts w:ascii="Times New Roman" w:eastAsiaTheme="minorEastAsia" w:hAnsi="Times New Roman" w:cs="Times New Roman"/>
          <w:i/>
          <w:iCs/>
          <w:sz w:val="24"/>
          <w:szCs w:val="24"/>
          <w:lang w:eastAsia="pl-PL"/>
        </w:rPr>
        <w:t>in fine</w:t>
      </w:r>
      <w:r w:rsidRPr="003A42FB">
        <w:rPr>
          <w:rFonts w:ascii="Times New Roman" w:eastAsiaTheme="minorEastAsia" w:hAnsi="Times New Roman" w:cs="Times New Roman"/>
          <w:sz w:val="24"/>
          <w:szCs w:val="24"/>
          <w:lang w:eastAsia="pl-PL"/>
        </w:rPr>
        <w:t>. W tym zakresie projektowany przepis ma na celu nałożenie obowiązków na podmiot powołany przez współinwestorów do realizacji inwestycji. Obowiązki związane są z równym traktowaniem stron umowy współinwestycji poprzez określenie zasad udostępnia</w:t>
      </w:r>
      <w:r w:rsidR="00E355FD" w:rsidRPr="003A42FB">
        <w:rPr>
          <w:rFonts w:ascii="Times New Roman" w:eastAsiaTheme="minorEastAsia" w:hAnsi="Times New Roman" w:cs="Times New Roman"/>
          <w:sz w:val="24"/>
          <w:szCs w:val="24"/>
          <w:lang w:eastAsia="pl-PL"/>
        </w:rPr>
        <w:t>nia przedmiotu współinwestycji.</w:t>
      </w:r>
      <w:r w:rsidRPr="003A42FB">
        <w:rPr>
          <w:rFonts w:ascii="Times New Roman" w:eastAsiaTheme="minorEastAsia" w:hAnsi="Times New Roman" w:cs="Times New Roman"/>
          <w:sz w:val="24"/>
          <w:szCs w:val="24"/>
          <w:lang w:eastAsia="pl-PL"/>
        </w:rPr>
        <w:t xml:space="preserve"> W takim przypadku powołana spółki celowej ma obowiązek bezpośrednio lub pośrednio zapewniać dostęp do sieci wszystkim współinwestorom. W ślad za EKŁE przepis ten stanowi, że takie udostępnianie odbywa się na zasadzie równoważności produktów oraz na uczciwych i racjonalnych warunkach, włączając warunki finansowe odzwierciedlające różne poziomy ryzyka zaakceptowanego przez poszczególnych współinwestorów.</w:t>
      </w:r>
    </w:p>
    <w:p w14:paraId="1B522181" w14:textId="6E3D42BC" w:rsidR="5009FD0A" w:rsidRPr="003A42FB" w:rsidRDefault="5009FD0A"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248</w:t>
      </w:r>
    </w:p>
    <w:p w14:paraId="7EAC1257" w14:textId="1AE014B7"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Projektowany przepis art.</w:t>
      </w:r>
      <w:r w:rsidR="008473CE" w:rsidRPr="003A42FB">
        <w:rPr>
          <w:rFonts w:ascii="Times New Roman" w:eastAsiaTheme="minorEastAsia" w:hAnsi="Times New Roman" w:cs="Times New Roman"/>
          <w:sz w:val="24"/>
          <w:szCs w:val="24"/>
          <w:lang w:eastAsia="pl-PL"/>
        </w:rPr>
        <w:t xml:space="preserve"> </w:t>
      </w:r>
      <w:r w:rsidR="00DB7F97">
        <w:rPr>
          <w:rFonts w:ascii="Times New Roman" w:eastAsiaTheme="minorEastAsia" w:hAnsi="Times New Roman" w:cs="Times New Roman"/>
          <w:sz w:val="24"/>
          <w:szCs w:val="24"/>
          <w:lang w:eastAsia="pl-PL"/>
        </w:rPr>
        <w:t>248</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odzwierciedla postanowienia zawarte w ust. C tiret piąte </w:t>
      </w:r>
      <w:r w:rsidRPr="003A42FB">
        <w:rPr>
          <w:rFonts w:ascii="Times New Roman" w:eastAsiaTheme="minorEastAsia" w:hAnsi="Times New Roman" w:cs="Times New Roman"/>
          <w:i/>
          <w:iCs/>
          <w:sz w:val="24"/>
          <w:szCs w:val="24"/>
          <w:lang w:eastAsia="pl-PL"/>
        </w:rPr>
        <w:t>ab initio</w:t>
      </w:r>
      <w:r w:rsidRPr="003A42FB">
        <w:rPr>
          <w:rFonts w:ascii="Times New Roman" w:eastAsiaTheme="minorEastAsia" w:hAnsi="Times New Roman" w:cs="Times New Roman"/>
          <w:sz w:val="24"/>
          <w:szCs w:val="24"/>
          <w:lang w:eastAsia="pl-PL"/>
        </w:rPr>
        <w:t xml:space="preserve"> Załącznika IV do EKŁE. Jego adresatem jest podmiot przygotowujący ofertę współinwestycji, dlatego zawarte zostały w wyraźne wskazania odnośnie do postanowień oferty współinwestycji związanych z kwestiami dostępu do sieci telekomunikacyjnej, elementów sieci i powiązanych zasobów, będących przedmiotem współinwestycji</w:t>
      </w:r>
      <w:r w:rsidR="00D452DD" w:rsidRPr="003A42FB">
        <w:rPr>
          <w:rFonts w:ascii="Times New Roman" w:eastAsiaTheme="minorEastAsia" w:hAnsi="Times New Roman" w:cs="Times New Roman"/>
          <w:sz w:val="24"/>
          <w:szCs w:val="24"/>
          <w:lang w:eastAsia="pl-PL"/>
        </w:rPr>
        <w:t>.</w:t>
      </w:r>
    </w:p>
    <w:p w14:paraId="2EDEA315" w14:textId="218778B7" w:rsidR="0EF1B200" w:rsidRPr="003A42FB" w:rsidRDefault="0EF1B200"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249</w:t>
      </w:r>
    </w:p>
    <w:p w14:paraId="0134BC21" w14:textId="4CE97CF3"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Przepis art. </w:t>
      </w:r>
      <w:r w:rsidR="00DB7F97">
        <w:rPr>
          <w:rFonts w:ascii="Times New Roman" w:eastAsiaTheme="minorEastAsia" w:hAnsi="Times New Roman" w:cs="Times New Roman"/>
          <w:sz w:val="24"/>
          <w:szCs w:val="24"/>
          <w:lang w:eastAsia="pl-PL"/>
        </w:rPr>
        <w:t>249</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stanowi implementa</w:t>
      </w:r>
      <w:r w:rsidR="00AB4E94" w:rsidRPr="003A42FB">
        <w:rPr>
          <w:rFonts w:ascii="Times New Roman" w:eastAsiaTheme="minorEastAsia" w:hAnsi="Times New Roman" w:cs="Times New Roman"/>
          <w:sz w:val="24"/>
          <w:szCs w:val="24"/>
          <w:lang w:eastAsia="pl-PL"/>
        </w:rPr>
        <w:t xml:space="preserve">cję wytycznych z Załącznika IV </w:t>
      </w:r>
      <w:r w:rsidRPr="003A42FB">
        <w:rPr>
          <w:rFonts w:ascii="Times New Roman" w:eastAsiaTheme="minorEastAsia" w:hAnsi="Times New Roman" w:cs="Times New Roman"/>
          <w:sz w:val="24"/>
          <w:szCs w:val="24"/>
          <w:lang w:eastAsia="pl-PL"/>
        </w:rPr>
        <w:t>ust. C, tiret czwarte odnośnie do postanowień umownych, ustanawiając</w:t>
      </w:r>
      <w:r w:rsidR="00AB4E94" w:rsidRPr="003A42FB">
        <w:rPr>
          <w:rFonts w:ascii="Times New Roman" w:eastAsiaTheme="minorEastAsia" w:hAnsi="Times New Roman" w:cs="Times New Roman"/>
          <w:sz w:val="24"/>
          <w:szCs w:val="24"/>
          <w:lang w:eastAsia="pl-PL"/>
        </w:rPr>
        <w:t>ych</w:t>
      </w:r>
      <w:r w:rsidRPr="003A42FB">
        <w:rPr>
          <w:rFonts w:ascii="Times New Roman" w:eastAsiaTheme="minorEastAsia" w:hAnsi="Times New Roman" w:cs="Times New Roman"/>
          <w:sz w:val="24"/>
          <w:szCs w:val="24"/>
          <w:lang w:eastAsia="pl-PL"/>
        </w:rPr>
        <w:t xml:space="preserve"> zakaz postanowień ograniczających możliwość przenoszenia praw nabytych przez współinwestorów na innych współinwestorów lub inne podmioty gotowe przystąpić do umowy współinwestycji. </w:t>
      </w:r>
      <w:r w:rsidR="002F1964" w:rsidRPr="003A42FB">
        <w:rPr>
          <w:rFonts w:ascii="Times New Roman" w:eastAsiaTheme="minorEastAsia" w:hAnsi="Times New Roman" w:cs="Times New Roman"/>
          <w:sz w:val="24"/>
          <w:szCs w:val="24"/>
          <w:lang w:eastAsia="pl-PL"/>
        </w:rPr>
        <w:t>P</w:t>
      </w:r>
      <w:r w:rsidRPr="003A42FB">
        <w:rPr>
          <w:rFonts w:ascii="Times New Roman" w:eastAsiaTheme="minorEastAsia" w:hAnsi="Times New Roman" w:cs="Times New Roman"/>
          <w:sz w:val="24"/>
          <w:szCs w:val="24"/>
          <w:lang w:eastAsia="pl-PL"/>
        </w:rPr>
        <w:t xml:space="preserve">rzepis wiąże możliwość przeniesienia ww. praw z </w:t>
      </w:r>
      <w:r w:rsidR="002F1964" w:rsidRPr="003A42FB">
        <w:rPr>
          <w:rFonts w:ascii="Times New Roman" w:eastAsiaTheme="minorEastAsia" w:hAnsi="Times New Roman" w:cs="Times New Roman"/>
          <w:sz w:val="24"/>
          <w:szCs w:val="24"/>
          <w:lang w:eastAsia="pl-PL"/>
        </w:rPr>
        <w:t xml:space="preserve">jednoczesnym </w:t>
      </w:r>
      <w:r w:rsidRPr="003A42FB">
        <w:rPr>
          <w:rFonts w:ascii="Times New Roman" w:eastAsiaTheme="minorEastAsia" w:hAnsi="Times New Roman" w:cs="Times New Roman"/>
          <w:sz w:val="24"/>
          <w:szCs w:val="24"/>
          <w:lang w:eastAsia="pl-PL"/>
        </w:rPr>
        <w:t xml:space="preserve">przeniesieniem wszystkich obowiązków wynikających z umowy współinwestycji, które wcześniej spoczywały na podmiocie przenoszącym prawa. Konstrukcja ta ma na celu zabezpieczenie interesu pozostałych współinwestorów, nie dopuszczając do sytuacji, w której stroną stosunku umownego </w:t>
      </w:r>
      <w:r w:rsidR="005410D8" w:rsidRPr="003A42FB">
        <w:rPr>
          <w:rFonts w:ascii="Times New Roman" w:eastAsiaTheme="minorEastAsia" w:hAnsi="Times New Roman" w:cs="Times New Roman"/>
          <w:sz w:val="24"/>
          <w:szCs w:val="24"/>
          <w:lang w:eastAsia="pl-PL"/>
        </w:rPr>
        <w:t>współinwestycji</w:t>
      </w:r>
      <w:r w:rsidRPr="003A42FB">
        <w:rPr>
          <w:rFonts w:ascii="Times New Roman" w:eastAsiaTheme="minorEastAsia" w:hAnsi="Times New Roman" w:cs="Times New Roman"/>
          <w:sz w:val="24"/>
          <w:szCs w:val="24"/>
          <w:lang w:eastAsia="pl-PL"/>
        </w:rPr>
        <w:t xml:space="preserve"> byłby podmiot będący wyłącznie beneficjentem umowy, a w szczególności eliminuje sytuacje, w których podmiot zbywający, na którym pozostałyby obowiązki przestałby być uczestnikiem obrotu gospodarczego. </w:t>
      </w:r>
    </w:p>
    <w:p w14:paraId="7C02036D" w14:textId="346B5F8D" w:rsidR="3B296133" w:rsidRPr="003A42FB" w:rsidRDefault="3B296133"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250</w:t>
      </w:r>
    </w:p>
    <w:p w14:paraId="00C4375C" w14:textId="515A1734" w:rsidR="000F286A" w:rsidRPr="003A42FB" w:rsidRDefault="000F286A"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Przepisy projektowanego przepisu art. </w:t>
      </w:r>
      <w:r w:rsidR="00DB7F97">
        <w:rPr>
          <w:rFonts w:ascii="Times New Roman" w:eastAsiaTheme="minorEastAsia" w:hAnsi="Times New Roman" w:cs="Times New Roman"/>
          <w:sz w:val="24"/>
          <w:szCs w:val="24"/>
          <w:lang w:eastAsia="pl-PL"/>
        </w:rPr>
        <w:t>250</w:t>
      </w:r>
      <w:r w:rsidR="00DB7F97" w:rsidRPr="003A42FB">
        <w:rPr>
          <w:rFonts w:ascii="Times New Roman" w:eastAsiaTheme="minorEastAsia" w:hAnsi="Times New Roman" w:cs="Times New Roman"/>
          <w:sz w:val="24"/>
          <w:szCs w:val="24"/>
          <w:lang w:eastAsia="pl-PL"/>
        </w:rPr>
        <w:t xml:space="preserve"> </w:t>
      </w:r>
      <w:r w:rsidR="00957B9C" w:rsidRPr="003A42FB">
        <w:rPr>
          <w:rFonts w:ascii="Times New Roman" w:eastAsiaTheme="minorEastAsia" w:hAnsi="Times New Roman" w:cs="Times New Roman"/>
          <w:sz w:val="24"/>
          <w:szCs w:val="24"/>
          <w:lang w:eastAsia="pl-PL"/>
        </w:rPr>
        <w:t xml:space="preserve">odnoszą się do umów współinwestycji. W przypadku gdy umowa współinwestycji dotyczyć będzie kwestii związanych z dostępem telekomunikacyjnym odpowiednie zastosowanie znajdować będą przepisy art. </w:t>
      </w:r>
      <w:r w:rsidR="00DB7F97">
        <w:rPr>
          <w:rFonts w:ascii="Times New Roman" w:eastAsiaTheme="minorEastAsia" w:hAnsi="Times New Roman" w:cs="Times New Roman"/>
          <w:sz w:val="24"/>
          <w:szCs w:val="24"/>
          <w:lang w:eastAsia="pl-PL"/>
        </w:rPr>
        <w:t>171</w:t>
      </w:r>
      <w:r w:rsidR="00DB7F97" w:rsidRPr="003A42FB">
        <w:rPr>
          <w:rFonts w:ascii="Times New Roman" w:eastAsiaTheme="minorEastAsia" w:hAnsi="Times New Roman" w:cs="Times New Roman"/>
          <w:sz w:val="24"/>
          <w:szCs w:val="24"/>
          <w:lang w:eastAsia="pl-PL"/>
        </w:rPr>
        <w:t xml:space="preserve"> </w:t>
      </w:r>
      <w:r w:rsidR="00957B9C" w:rsidRPr="003A42FB">
        <w:rPr>
          <w:rFonts w:ascii="Times New Roman" w:eastAsiaTheme="minorEastAsia" w:hAnsi="Times New Roman" w:cs="Times New Roman"/>
          <w:sz w:val="24"/>
          <w:szCs w:val="24"/>
          <w:lang w:eastAsia="pl-PL"/>
        </w:rPr>
        <w:t xml:space="preserve">oraz </w:t>
      </w:r>
      <w:r w:rsidR="00DB7F97" w:rsidRPr="003A42FB">
        <w:rPr>
          <w:rFonts w:ascii="Times New Roman" w:eastAsiaTheme="minorEastAsia" w:hAnsi="Times New Roman" w:cs="Times New Roman"/>
          <w:sz w:val="24"/>
          <w:szCs w:val="24"/>
          <w:lang w:eastAsia="pl-PL"/>
        </w:rPr>
        <w:t>przepisy</w:t>
      </w:r>
      <w:r w:rsidR="00957B9C" w:rsidRPr="003A42FB">
        <w:rPr>
          <w:rFonts w:ascii="Times New Roman" w:eastAsiaTheme="minorEastAsia" w:hAnsi="Times New Roman" w:cs="Times New Roman"/>
          <w:sz w:val="24"/>
          <w:szCs w:val="24"/>
          <w:lang w:eastAsia="pl-PL"/>
        </w:rPr>
        <w:t xml:space="preserve"> dotyczące koordynacji dostępu.   </w:t>
      </w:r>
    </w:p>
    <w:p w14:paraId="34ACB77F" w14:textId="0838FF82" w:rsidR="0065C382" w:rsidRPr="003A42FB" w:rsidRDefault="0065C382" w:rsidP="00C53EAB">
      <w:pPr>
        <w:spacing w:after="120" w:line="240" w:lineRule="auto"/>
        <w:jc w:val="both"/>
        <w:rPr>
          <w:rFonts w:ascii="Times New Roman" w:eastAsiaTheme="minorEastAsia" w:hAnsi="Times New Roman" w:cs="Times New Roman"/>
          <w:b/>
          <w:bCs/>
          <w:sz w:val="24"/>
          <w:szCs w:val="24"/>
          <w:lang w:eastAsia="pl-PL"/>
        </w:rPr>
      </w:pPr>
      <w:r w:rsidRPr="003A42FB">
        <w:rPr>
          <w:rFonts w:ascii="Times New Roman" w:eastAsiaTheme="minorEastAsia" w:hAnsi="Times New Roman" w:cs="Times New Roman"/>
          <w:b/>
          <w:bCs/>
          <w:sz w:val="24"/>
          <w:szCs w:val="24"/>
          <w:lang w:eastAsia="pl-PL"/>
        </w:rPr>
        <w:t xml:space="preserve">Art. </w:t>
      </w:r>
      <w:r w:rsidR="00DB7F97">
        <w:rPr>
          <w:rFonts w:ascii="Times New Roman" w:eastAsiaTheme="minorEastAsia" w:hAnsi="Times New Roman" w:cs="Times New Roman"/>
          <w:b/>
          <w:bCs/>
          <w:sz w:val="24"/>
          <w:szCs w:val="24"/>
          <w:lang w:eastAsia="pl-PL"/>
        </w:rPr>
        <w:t>251</w:t>
      </w:r>
    </w:p>
    <w:p w14:paraId="4D1FC839" w14:textId="08142808" w:rsidR="000F286A" w:rsidRPr="003A42FB" w:rsidRDefault="000F286A" w:rsidP="00C53EAB">
      <w:pPr>
        <w:widowControl w:val="0"/>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lastRenderedPageBreak/>
        <w:t xml:space="preserve">Proponowany art. </w:t>
      </w:r>
      <w:r w:rsidR="00DB7F97">
        <w:rPr>
          <w:rFonts w:ascii="Times New Roman" w:eastAsiaTheme="minorEastAsia" w:hAnsi="Times New Roman" w:cs="Times New Roman"/>
          <w:sz w:val="24"/>
          <w:szCs w:val="24"/>
          <w:lang w:eastAsia="pl-PL"/>
        </w:rPr>
        <w:t>251</w:t>
      </w:r>
      <w:r w:rsidR="00DB7F97"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stanowi implementację postanowień art. 76 ust. 3 EKŁE. Dotyczy możliwości nałożenia przez regulatora dodatkowego obowiązku informacyjnego związanego z przekazywaniem informacji na temat dochowania postanowień decyzji zatwierdzającej propozycję zobowiązań. Przepis ten stanowi odrębną, od przepisów implementujących postanowienia art. 20 EKŁE, podstawę prawną dającą uprawnienia do żądania informacji (dot. np. konkretnych danych). W tym przypadku</w:t>
      </w:r>
      <w:r w:rsidR="24918389" w:rsidRPr="003A42FB">
        <w:rPr>
          <w:rFonts w:ascii="Times New Roman" w:eastAsiaTheme="minorEastAsia" w:hAnsi="Times New Roman" w:cs="Times New Roman"/>
          <w:sz w:val="24"/>
          <w:szCs w:val="24"/>
          <w:lang w:eastAsia="pl-PL"/>
        </w:rPr>
        <w:t>,</w:t>
      </w:r>
      <w:r w:rsidRPr="003A42FB">
        <w:rPr>
          <w:rFonts w:ascii="Times New Roman" w:eastAsiaTheme="minorEastAsia" w:hAnsi="Times New Roman" w:cs="Times New Roman"/>
          <w:sz w:val="24"/>
          <w:szCs w:val="24"/>
          <w:lang w:eastAsia="pl-PL"/>
        </w:rPr>
        <w:t xml:space="preserve"> jednakże przepis odnosi się do składania do oświadczeń o zgodności</w:t>
      </w:r>
      <w:r w:rsidR="002F1964" w:rsidRPr="003A42FB">
        <w:rPr>
          <w:rFonts w:ascii="Times New Roman" w:eastAsiaTheme="minorEastAsia" w:hAnsi="Times New Roman" w:cs="Times New Roman"/>
          <w:sz w:val="24"/>
          <w:szCs w:val="24"/>
          <w:lang w:eastAsia="pl-PL"/>
        </w:rPr>
        <w:t xml:space="preserve"> w formie rocznych sprawozdań</w:t>
      </w:r>
      <w:r w:rsidRPr="003A42FB">
        <w:rPr>
          <w:rFonts w:ascii="Times New Roman" w:eastAsiaTheme="minorEastAsia" w:hAnsi="Times New Roman" w:cs="Times New Roman"/>
          <w:sz w:val="24"/>
          <w:szCs w:val="24"/>
          <w:lang w:eastAsia="pl-PL"/>
        </w:rPr>
        <w:t xml:space="preserve">. </w:t>
      </w:r>
    </w:p>
    <w:p w14:paraId="76BB800F" w14:textId="085061A6" w:rsidR="70B4FFE3" w:rsidRPr="003A42FB" w:rsidRDefault="420496F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DB7F97">
        <w:rPr>
          <w:rFonts w:ascii="Times New Roman" w:eastAsiaTheme="minorEastAsia" w:hAnsi="Times New Roman" w:cs="Times New Roman"/>
          <w:b/>
          <w:bCs/>
          <w:sz w:val="24"/>
          <w:szCs w:val="24"/>
        </w:rPr>
        <w:t>252</w:t>
      </w:r>
    </w:p>
    <w:p w14:paraId="01B9C338" w14:textId="4C0844F3" w:rsidR="70B4FFE3" w:rsidRPr="003A42FB" w:rsidRDefault="420496F3" w:rsidP="69A7DB06">
      <w:pPr>
        <w:spacing w:after="120" w:line="240" w:lineRule="auto"/>
        <w:jc w:val="both"/>
        <w:rPr>
          <w:rFonts w:ascii="Times New Roman" w:eastAsiaTheme="minorEastAsia" w:hAnsi="Times New Roman" w:cs="Times New Roman"/>
          <w:sz w:val="24"/>
          <w:szCs w:val="24"/>
        </w:rPr>
      </w:pPr>
      <w:r w:rsidRPr="69A7DB06">
        <w:rPr>
          <w:rFonts w:ascii="Times New Roman" w:eastAsiaTheme="minorEastAsia" w:hAnsi="Times New Roman" w:cs="Times New Roman"/>
          <w:sz w:val="24"/>
          <w:szCs w:val="24"/>
        </w:rPr>
        <w:t xml:space="preserve">W proponowanym art. </w:t>
      </w:r>
      <w:r w:rsidR="288D6E88" w:rsidRPr="69A7DB06">
        <w:rPr>
          <w:rFonts w:ascii="Times New Roman" w:eastAsiaTheme="minorEastAsia" w:hAnsi="Times New Roman" w:cs="Times New Roman"/>
          <w:sz w:val="24"/>
          <w:szCs w:val="24"/>
        </w:rPr>
        <w:t>252</w:t>
      </w:r>
      <w:r w:rsidRPr="69A7DB06">
        <w:rPr>
          <w:rFonts w:ascii="Times New Roman" w:eastAsiaTheme="minorEastAsia" w:hAnsi="Times New Roman" w:cs="Times New Roman"/>
          <w:sz w:val="24"/>
          <w:szCs w:val="24"/>
        </w:rPr>
        <w:t xml:space="preserve"> określono zasady funkcjonowania instytucji umowy inwestycyjnej, </w:t>
      </w:r>
      <w:r w:rsidR="762EC425" w:rsidRPr="69A7DB06">
        <w:rPr>
          <w:rFonts w:ascii="Times New Roman" w:eastAsiaTheme="minorEastAsia" w:hAnsi="Times New Roman" w:cs="Times New Roman"/>
          <w:sz w:val="24"/>
          <w:szCs w:val="24"/>
        </w:rPr>
        <w:t>którą obecnie reguluje</w:t>
      </w:r>
      <w:r w:rsidRPr="69A7DB06">
        <w:rPr>
          <w:rFonts w:ascii="Times New Roman" w:eastAsiaTheme="minorEastAsia" w:hAnsi="Times New Roman" w:cs="Times New Roman"/>
          <w:sz w:val="24"/>
          <w:szCs w:val="24"/>
        </w:rPr>
        <w:t xml:space="preserve"> art. 139a uchylanego Prawa telekomunikacyjnego. Zgodnie z art. </w:t>
      </w:r>
      <w:r w:rsidR="00DB7F97" w:rsidRPr="69A7DB06">
        <w:rPr>
          <w:rFonts w:ascii="Times New Roman" w:eastAsiaTheme="minorEastAsia" w:hAnsi="Times New Roman" w:cs="Times New Roman"/>
          <w:sz w:val="24"/>
          <w:szCs w:val="24"/>
        </w:rPr>
        <w:t xml:space="preserve">252 </w:t>
      </w:r>
      <w:r w:rsidRPr="69A7DB06">
        <w:rPr>
          <w:rFonts w:ascii="Times New Roman" w:eastAsiaTheme="minorEastAsia" w:hAnsi="Times New Roman" w:cs="Times New Roman"/>
          <w:sz w:val="24"/>
          <w:szCs w:val="24"/>
        </w:rPr>
        <w:t>ust. 1</w:t>
      </w:r>
      <w:r w:rsidR="6641BED8" w:rsidRPr="69A7DB06">
        <w:rPr>
          <w:rFonts w:ascii="Times New Roman" w:eastAsiaTheme="minorEastAsia" w:hAnsi="Times New Roman" w:cs="Times New Roman"/>
          <w:sz w:val="24"/>
          <w:szCs w:val="24"/>
        </w:rPr>
        <w:t xml:space="preserve"> </w:t>
      </w:r>
      <w:r w:rsidR="1AC859CB" w:rsidRPr="69A7DB06">
        <w:rPr>
          <w:rFonts w:ascii="Times New Roman" w:eastAsiaTheme="minorEastAsia" w:hAnsi="Times New Roman" w:cs="Times New Roman"/>
          <w:sz w:val="24"/>
          <w:szCs w:val="24"/>
        </w:rPr>
        <w:t>j</w:t>
      </w:r>
      <w:r w:rsidRPr="69A7DB06">
        <w:rPr>
          <w:rFonts w:ascii="Times New Roman" w:eastAsiaTheme="minorEastAsia" w:hAnsi="Times New Roman" w:cs="Times New Roman"/>
          <w:sz w:val="24"/>
          <w:szCs w:val="24"/>
        </w:rPr>
        <w:t>eżeli Prezes UKE uzna, że pokrycie terytorium Rzeczypospolitej Polskiej zasięgiem ruchomych publicznych sieci telekomunikacyjnych nie jest wystarczające, może zawrzeć z przedsiębiorcą telekomunikacyjnym umowę, zwaną dalej „umową inwestycyjną”, na mocy której w zamian za obniżenie opłaty, o której mowa w art. 2</w:t>
      </w:r>
      <w:r w:rsidR="1895AAFD" w:rsidRPr="69A7DB06">
        <w:rPr>
          <w:rFonts w:ascii="Times New Roman" w:eastAsiaTheme="minorEastAsia" w:hAnsi="Times New Roman" w:cs="Times New Roman"/>
          <w:sz w:val="24"/>
          <w:szCs w:val="24"/>
        </w:rPr>
        <w:t>3</w:t>
      </w:r>
      <w:r w:rsidRPr="69A7DB06">
        <w:rPr>
          <w:rFonts w:ascii="Times New Roman" w:eastAsiaTheme="minorEastAsia" w:hAnsi="Times New Roman" w:cs="Times New Roman"/>
          <w:sz w:val="24"/>
          <w:szCs w:val="24"/>
        </w:rPr>
        <w:t xml:space="preserve"> ust. 1 </w:t>
      </w:r>
      <w:r w:rsidR="1A32EC63" w:rsidRPr="69A7DB06">
        <w:rPr>
          <w:rFonts w:ascii="Times New Roman" w:eastAsiaTheme="minorEastAsia" w:hAnsi="Times New Roman" w:cs="Times New Roman"/>
          <w:sz w:val="24"/>
          <w:szCs w:val="24"/>
        </w:rPr>
        <w:t xml:space="preserve">(opłata telekomunikacyjna) </w:t>
      </w:r>
      <w:r w:rsidRPr="69A7DB06">
        <w:rPr>
          <w:rFonts w:ascii="Times New Roman" w:eastAsiaTheme="minorEastAsia" w:hAnsi="Times New Roman" w:cs="Times New Roman"/>
          <w:sz w:val="24"/>
          <w:szCs w:val="24"/>
        </w:rPr>
        <w:t>lub w art. 2</w:t>
      </w:r>
      <w:r w:rsidR="2ED0CABE" w:rsidRPr="69A7DB06">
        <w:rPr>
          <w:rFonts w:ascii="Times New Roman" w:eastAsiaTheme="minorEastAsia" w:hAnsi="Times New Roman" w:cs="Times New Roman"/>
          <w:sz w:val="24"/>
          <w:szCs w:val="24"/>
        </w:rPr>
        <w:t>4</w:t>
      </w:r>
      <w:r w:rsidRPr="69A7DB06">
        <w:rPr>
          <w:rFonts w:ascii="Times New Roman" w:eastAsiaTheme="minorEastAsia" w:hAnsi="Times New Roman" w:cs="Times New Roman"/>
          <w:sz w:val="24"/>
          <w:szCs w:val="24"/>
        </w:rPr>
        <w:t xml:space="preserve"> ust. 1</w:t>
      </w:r>
      <w:r w:rsidR="47FD17AD" w:rsidRPr="69A7DB06">
        <w:rPr>
          <w:rFonts w:ascii="Times New Roman" w:eastAsiaTheme="minorEastAsia" w:hAnsi="Times New Roman" w:cs="Times New Roman"/>
          <w:sz w:val="24"/>
          <w:szCs w:val="24"/>
        </w:rPr>
        <w:t xml:space="preserve"> (opłata za prawo do dysponowania częstotliwością)</w:t>
      </w:r>
      <w:r w:rsidRPr="69A7DB06">
        <w:rPr>
          <w:rFonts w:ascii="Times New Roman" w:eastAsiaTheme="minorEastAsia" w:hAnsi="Times New Roman" w:cs="Times New Roman"/>
          <w:sz w:val="24"/>
          <w:szCs w:val="24"/>
        </w:rPr>
        <w:t xml:space="preserve">, przedsiębiorca telekomunikacyjny zrealizuje inwestycję zapewniającą pokrycie zasięgiem ruchomych publicznych sieci telekomunikacyjnych na wskazanym przez Prezesa UKE obszarze, na którym takie pokrycie nie jest wystarczające. Zawarcie umowy następuje z uwzględnieniem przepisów dotyczących pomocy publicznej. Zgodnie z projektowanym art. </w:t>
      </w:r>
      <w:r w:rsidR="00DB7F97" w:rsidRPr="69A7DB06">
        <w:rPr>
          <w:rFonts w:ascii="Times New Roman" w:eastAsiaTheme="minorEastAsia" w:hAnsi="Times New Roman" w:cs="Times New Roman"/>
          <w:sz w:val="24"/>
          <w:szCs w:val="24"/>
        </w:rPr>
        <w:t xml:space="preserve">252 </w:t>
      </w:r>
      <w:r w:rsidRPr="69A7DB06">
        <w:rPr>
          <w:rFonts w:ascii="Times New Roman" w:eastAsiaTheme="minorEastAsia" w:hAnsi="Times New Roman" w:cs="Times New Roman"/>
          <w:sz w:val="24"/>
          <w:szCs w:val="24"/>
        </w:rPr>
        <w:t xml:space="preserve">ust. 2, Prezes UKE ogłasza na stronie podmiotowej BIP UKE komunikat o zamiarze zawarcia umowy inwestycyjnej. Komunikat zawiera co najmniej wskazanie rodzaju inwestycji zapewniającej pokrycie zasięgiem ruchomych publicznych sieci telekomunikacyjnych, określenie obszaru lub obszarów, których ma dotyczyć inwestycja, oraz informację o terminie, w jakim przedsiębiorcy telekomunikacyjni mogą zgłaszać zainteresowanie zawarciem umowy inwestycyjnej. Zawarcie umowy inwestycyjnej nie może nastąpić przed upływem 30 dni od dnia upływu terminu na zgłoszenie zainteresowania jej zawarciem, co przesądza projektowany art. </w:t>
      </w:r>
      <w:r w:rsidR="00DB7F97" w:rsidRPr="69A7DB06">
        <w:rPr>
          <w:rFonts w:ascii="Times New Roman" w:eastAsiaTheme="minorEastAsia" w:hAnsi="Times New Roman" w:cs="Times New Roman"/>
          <w:sz w:val="24"/>
          <w:szCs w:val="24"/>
        </w:rPr>
        <w:t xml:space="preserve">252 </w:t>
      </w:r>
      <w:r w:rsidRPr="69A7DB06">
        <w:rPr>
          <w:rFonts w:ascii="Times New Roman" w:eastAsiaTheme="minorEastAsia" w:hAnsi="Times New Roman" w:cs="Times New Roman"/>
          <w:sz w:val="24"/>
          <w:szCs w:val="24"/>
        </w:rPr>
        <w:t xml:space="preserve">ust. 3. Natomiast art. </w:t>
      </w:r>
      <w:r w:rsidR="00DB7F97" w:rsidRPr="69A7DB06">
        <w:rPr>
          <w:rFonts w:ascii="Times New Roman" w:eastAsiaTheme="minorEastAsia" w:hAnsi="Times New Roman" w:cs="Times New Roman"/>
          <w:sz w:val="24"/>
          <w:szCs w:val="24"/>
        </w:rPr>
        <w:t xml:space="preserve">252 </w:t>
      </w:r>
      <w:r w:rsidRPr="69A7DB06">
        <w:rPr>
          <w:rFonts w:ascii="Times New Roman" w:eastAsiaTheme="minorEastAsia" w:hAnsi="Times New Roman" w:cs="Times New Roman"/>
          <w:sz w:val="24"/>
          <w:szCs w:val="24"/>
        </w:rPr>
        <w:t xml:space="preserve">ust. 4 zawiera przesłanki, które Prezes UKE bierze pod uwagę zawierając umowę inwestycyjną. Okolicznościami uwzględnianymi przez Prezesa UKE jest potrzeba użytkowników końcowych, potrzeby rynku oraz najnowocześniejsze osiągnięcia techniczne. Projektowany art. </w:t>
      </w:r>
      <w:r w:rsidR="00DB7F97" w:rsidRPr="69A7DB06">
        <w:rPr>
          <w:rFonts w:ascii="Times New Roman" w:eastAsiaTheme="minorEastAsia" w:hAnsi="Times New Roman" w:cs="Times New Roman"/>
          <w:sz w:val="24"/>
          <w:szCs w:val="24"/>
        </w:rPr>
        <w:t xml:space="preserve">252 </w:t>
      </w:r>
      <w:r w:rsidRPr="69A7DB06">
        <w:rPr>
          <w:rFonts w:ascii="Times New Roman" w:eastAsiaTheme="minorEastAsia" w:hAnsi="Times New Roman" w:cs="Times New Roman"/>
          <w:sz w:val="24"/>
          <w:szCs w:val="24"/>
        </w:rPr>
        <w:t>ust. 5 zawiera katalog minimalnych postanowień umowy inwestycyjnej. Umowa składa się z postanowień dotyczących:</w:t>
      </w:r>
    </w:p>
    <w:p w14:paraId="4F619494" w14:textId="77777777" w:rsidR="70B4FFE3" w:rsidRPr="003A42FB" w:rsidRDefault="420496F3"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rodzaju inwestycji wraz ze wskazaniem obszaru, na którym pokrycie zasięgiem ruchomych publicznych sieci telekomunikacyjnych nie jest wystarczające i którego ma dotyczyć inwestycja; </w:t>
      </w:r>
    </w:p>
    <w:p w14:paraId="4B4D531B" w14:textId="77777777" w:rsidR="70B4FFE3" w:rsidRPr="003A42FB" w:rsidRDefault="420496F3"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sposobu, miejsca i warunków realizacji inwestycji przez przedsiębiorcę telekomunikacyjnego; </w:t>
      </w:r>
    </w:p>
    <w:p w14:paraId="1DDDAE2B" w14:textId="77777777" w:rsidR="70B4FFE3" w:rsidRPr="003A42FB" w:rsidRDefault="420496F3"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harmonogramu realizacji inwestycji wraz ze wskazaniem terminu, od którego na wyznaczonym obszarze ma być zapewnione pokrycie zasięgiem ruchomych sieci telekomunikacyjnych wynikające z realizacji umowy inwestycyjnej; </w:t>
      </w:r>
    </w:p>
    <w:p w14:paraId="770E1A9B" w14:textId="77777777" w:rsidR="70B4FFE3" w:rsidRPr="003A42FB" w:rsidRDefault="420496F3" w:rsidP="00C53EAB">
      <w:pPr>
        <w:numPr>
          <w:ilvl w:val="0"/>
          <w:numId w:val="41"/>
        </w:numPr>
        <w:spacing w:after="120" w:line="240" w:lineRule="auto"/>
        <w:ind w:left="567" w:hanging="283"/>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wskazania rodzaju opłat podlegających obniżeniu, kwot obniżenia tych opłat odpowiadających łącznie ustalonej wartości inwestycji oraz okresu, którego to obniżenie dotyczy.</w:t>
      </w:r>
    </w:p>
    <w:p w14:paraId="4DA6FBBF" w14:textId="33DECB6D" w:rsidR="70B4FFE3" w:rsidRPr="003A42FB" w:rsidRDefault="420496F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projektowanym art. </w:t>
      </w:r>
      <w:r w:rsidR="00DB7F97">
        <w:rPr>
          <w:rFonts w:ascii="Times New Roman" w:eastAsiaTheme="minorEastAsia" w:hAnsi="Times New Roman" w:cs="Times New Roman"/>
          <w:sz w:val="24"/>
          <w:szCs w:val="24"/>
        </w:rPr>
        <w:t>252</w:t>
      </w:r>
      <w:r w:rsidR="00DB7F9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6 umowa inwestycyjna jest zawierana pod rygorem nieważności w formie aktu notarialnego (za co koszty ponosi przedsiębiorca telekomunikacyjny), a informacja o zawarciu umowy inwestycyjnej wraz z treścią tej umowy podlega niezwłocznej publikacji na stronie podmiotowej BIP UKE zgodnie z art. </w:t>
      </w:r>
      <w:r w:rsidR="00DB7F97">
        <w:rPr>
          <w:rFonts w:ascii="Times New Roman" w:eastAsiaTheme="minorEastAsia" w:hAnsi="Times New Roman" w:cs="Times New Roman"/>
          <w:sz w:val="24"/>
          <w:szCs w:val="24"/>
        </w:rPr>
        <w:t>252</w:t>
      </w:r>
      <w:r w:rsidR="00DB7F9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7. W myśl art. </w:t>
      </w:r>
      <w:r w:rsidR="00DB7F97">
        <w:rPr>
          <w:rFonts w:ascii="Times New Roman" w:eastAsiaTheme="minorEastAsia" w:hAnsi="Times New Roman" w:cs="Times New Roman"/>
          <w:sz w:val="24"/>
          <w:szCs w:val="24"/>
        </w:rPr>
        <w:t>252</w:t>
      </w:r>
      <w:r w:rsidR="00DB7F9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8 do zmiany umowy inwestycyjnej stosuje się przepisy art. </w:t>
      </w:r>
      <w:r w:rsidR="00DB7F97">
        <w:rPr>
          <w:rFonts w:ascii="Times New Roman" w:eastAsiaTheme="minorEastAsia" w:hAnsi="Times New Roman" w:cs="Times New Roman"/>
          <w:sz w:val="24"/>
          <w:szCs w:val="24"/>
        </w:rPr>
        <w:t>252</w:t>
      </w:r>
      <w:r w:rsidR="00DB7F9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ust. 2-7. </w:t>
      </w:r>
      <w:r w:rsidRPr="003A42FB">
        <w:rPr>
          <w:rFonts w:ascii="Times New Roman" w:eastAsiaTheme="minorEastAsia" w:hAnsi="Times New Roman" w:cs="Times New Roman"/>
          <w:sz w:val="24"/>
          <w:szCs w:val="24"/>
        </w:rPr>
        <w:lastRenderedPageBreak/>
        <w:t xml:space="preserve">Ostatni z ustępów art. </w:t>
      </w:r>
      <w:r w:rsidR="00DB7F97">
        <w:rPr>
          <w:rFonts w:ascii="Times New Roman" w:eastAsiaTheme="minorEastAsia" w:hAnsi="Times New Roman" w:cs="Times New Roman"/>
          <w:sz w:val="24"/>
          <w:szCs w:val="24"/>
        </w:rPr>
        <w:t>252</w:t>
      </w:r>
      <w:r w:rsidR="00DB7F9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zawiera delegację ustawową dla ministra właściwego do spraw informatyzacji, który może określić w drodze rozporządzenia, szczegółowe warunki i tryb udzielania pomocy publicznej w ramach umowy inwestycyjnej, kierując się koniecznością zachowania zgodności tych warunków i trybu z rynkiem wewnętrznym.</w:t>
      </w:r>
    </w:p>
    <w:p w14:paraId="017B002B"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02A2E07A" w14:textId="052EEF57" w:rsidR="00FB5B7E" w:rsidRPr="003A42FB" w:rsidRDefault="00FB5B7E"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lang w:eastAsia="en-US"/>
        </w:rPr>
        <w:t xml:space="preserve">ROZDZIAŁ </w:t>
      </w:r>
      <w:r w:rsidR="00DB7F97">
        <w:rPr>
          <w:rFonts w:ascii="Times New Roman" w:hAnsi="Times New Roman" w:cs="Times New Roman"/>
          <w:b/>
        </w:rPr>
        <w:t>6</w:t>
      </w:r>
      <w:r w:rsidRPr="003A42FB">
        <w:rPr>
          <w:rFonts w:ascii="Times New Roman" w:hAnsi="Times New Roman" w:cs="Times New Roman"/>
          <w:b/>
        </w:rPr>
        <w:t>. Rachunkowość regulacyjna i kalkulacja kosztów</w:t>
      </w:r>
    </w:p>
    <w:p w14:paraId="512FEB15" w14:textId="4E936980" w:rsidR="466D6491" w:rsidRPr="003A42FB" w:rsidRDefault="7C00EDB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75A73D66" w:rsidRPr="003A42FB">
        <w:rPr>
          <w:rFonts w:ascii="Times New Roman" w:eastAsiaTheme="minorEastAsia" w:hAnsi="Times New Roman" w:cs="Times New Roman"/>
          <w:b/>
          <w:bCs/>
          <w:sz w:val="24"/>
          <w:szCs w:val="24"/>
        </w:rPr>
        <w:t xml:space="preserve">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53</w:t>
      </w:r>
      <w:r w:rsidR="009D2489"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58</w:t>
      </w:r>
      <w:r w:rsidR="009D2489"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są odpowiednikiem art.</w:t>
      </w:r>
      <w:r w:rsidR="644317F8" w:rsidRPr="003A42FB">
        <w:rPr>
          <w:rFonts w:ascii="Times New Roman" w:eastAsiaTheme="minorEastAsia" w:hAnsi="Times New Roman" w:cs="Times New Roman"/>
          <w:b/>
          <w:bCs/>
          <w:sz w:val="24"/>
          <w:szCs w:val="24"/>
        </w:rPr>
        <w:t xml:space="preserve"> 49-54 Pt z nieznacznymi tylko zmianami.</w:t>
      </w:r>
    </w:p>
    <w:p w14:paraId="5B3DDDB6" w14:textId="0843264D" w:rsidR="00481C38" w:rsidRPr="003A42FB" w:rsidRDefault="00481C3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53</w:t>
      </w:r>
    </w:p>
    <w:p w14:paraId="2ACEDD7C" w14:textId="77777777"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wdraża art. 71 ust. 1 EKŁE i określa cel oraz sposób prowadzenia rachunkowości regulacyjnej. </w:t>
      </w:r>
    </w:p>
    <w:p w14:paraId="2CDB3EF2" w14:textId="75BB3F30"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Ten przepis należy czytać w połączeniu z definicją rachunkowości regulacyjnej ze słownika z art. 2 pkt </w:t>
      </w:r>
      <w:r w:rsidR="009D2489" w:rsidRPr="003A42FB">
        <w:rPr>
          <w:rFonts w:ascii="Times New Roman" w:eastAsiaTheme="minorEastAsia" w:hAnsi="Times New Roman" w:cs="Times New Roman"/>
          <w:sz w:val="24"/>
          <w:szCs w:val="24"/>
        </w:rPr>
        <w:t>5</w:t>
      </w:r>
      <w:r w:rsidR="009D2489">
        <w:rPr>
          <w:rFonts w:ascii="Times New Roman" w:eastAsiaTheme="minorEastAsia" w:hAnsi="Times New Roman" w:cs="Times New Roman"/>
          <w:sz w:val="24"/>
          <w:szCs w:val="24"/>
        </w:rPr>
        <w:t>0</w:t>
      </w:r>
      <w:r w:rsidR="009D2489"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oraz z rozporządzeniem wydawanym na podstawie art. </w:t>
      </w:r>
      <w:r w:rsidR="009D2489" w:rsidRPr="003A42FB">
        <w:rPr>
          <w:rFonts w:ascii="Times New Roman" w:eastAsiaTheme="minorEastAsia" w:hAnsi="Times New Roman" w:cs="Times New Roman"/>
          <w:sz w:val="24"/>
          <w:szCs w:val="24"/>
        </w:rPr>
        <w:t>2</w:t>
      </w:r>
      <w:r w:rsidR="009D2489">
        <w:rPr>
          <w:rFonts w:ascii="Times New Roman" w:eastAsiaTheme="minorEastAsia" w:hAnsi="Times New Roman" w:cs="Times New Roman"/>
          <w:sz w:val="24"/>
          <w:szCs w:val="24"/>
        </w:rPr>
        <w:t>55</w:t>
      </w:r>
      <w:r w:rsidRPr="003A42FB">
        <w:rPr>
          <w:rFonts w:ascii="Times New Roman" w:eastAsiaTheme="minorEastAsia" w:hAnsi="Times New Roman" w:cs="Times New Roman"/>
          <w:sz w:val="24"/>
          <w:szCs w:val="24"/>
        </w:rPr>
        <w:t>, oraz w przypadku rynku hurtowego − z art.</w:t>
      </w:r>
      <w:r w:rsidR="324775F8" w:rsidRPr="003A42FB">
        <w:rPr>
          <w:rFonts w:ascii="Times New Roman" w:eastAsiaTheme="minorEastAsia" w:hAnsi="Times New Roman" w:cs="Times New Roman"/>
          <w:sz w:val="24"/>
          <w:szCs w:val="24"/>
        </w:rPr>
        <w:t xml:space="preserve"> </w:t>
      </w:r>
      <w:r w:rsidR="009D2489">
        <w:rPr>
          <w:rFonts w:ascii="Times New Roman" w:eastAsiaTheme="minorEastAsia" w:hAnsi="Times New Roman" w:cs="Times New Roman"/>
          <w:sz w:val="24"/>
          <w:szCs w:val="24"/>
        </w:rPr>
        <w:t>215</w:t>
      </w:r>
      <w:r w:rsidRPr="003A42FB">
        <w:rPr>
          <w:rFonts w:ascii="Times New Roman" w:eastAsiaTheme="minorEastAsia" w:hAnsi="Times New Roman" w:cs="Times New Roman"/>
          <w:sz w:val="24"/>
          <w:szCs w:val="24"/>
        </w:rPr>
        <w:t>.</w:t>
      </w:r>
    </w:p>
    <w:p w14:paraId="6DE768FC" w14:textId="5AEA9B79"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Prowadzenie rachunkowości regulacyjnej powinno doprowadzić do przedstawienia </w:t>
      </w:r>
      <w:r w:rsidR="52D6C224" w:rsidRPr="003A42FB">
        <w:rPr>
          <w:rFonts w:ascii="Times New Roman" w:eastAsiaTheme="minorEastAsia" w:hAnsi="Times New Roman" w:cs="Times New Roman"/>
          <w:sz w:val="24"/>
          <w:szCs w:val="24"/>
        </w:rPr>
        <w:t>funkcjonowania</w:t>
      </w:r>
      <w:r w:rsidRPr="003A42FB">
        <w:rPr>
          <w:rFonts w:ascii="Times New Roman" w:eastAsiaTheme="minorEastAsia" w:hAnsi="Times New Roman" w:cs="Times New Roman"/>
          <w:sz w:val="24"/>
          <w:szCs w:val="24"/>
        </w:rPr>
        <w:t xml:space="preserve"> poszczególnych działów </w:t>
      </w:r>
      <w:r w:rsidR="18A6CDD5" w:rsidRPr="003A42FB">
        <w:rPr>
          <w:rFonts w:ascii="Times New Roman" w:eastAsiaTheme="minorEastAsia" w:hAnsi="Times New Roman" w:cs="Times New Roman"/>
          <w:sz w:val="24"/>
          <w:szCs w:val="24"/>
        </w:rPr>
        <w:t xml:space="preserve">(działalności i usług) </w:t>
      </w:r>
      <w:r w:rsidRPr="003A42FB">
        <w:rPr>
          <w:rFonts w:ascii="Times New Roman" w:eastAsiaTheme="minorEastAsia" w:hAnsi="Times New Roman" w:cs="Times New Roman"/>
          <w:sz w:val="24"/>
          <w:szCs w:val="24"/>
        </w:rPr>
        <w:t>przedsiębiorcy w taki sposób, jak gdyby działały one jako odrębne części.</w:t>
      </w:r>
    </w:p>
    <w:p w14:paraId="3C854C0B" w14:textId="6B3974DE"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Jest to szczególnie ważne w przypadku przedsiębiorców pionowo zintegrowanych. Jeżeli przedsiębiorca świadczy usługi na rynkach hurtowych, w zakresie których jest </w:t>
      </w:r>
      <w:r w:rsidR="58352690" w:rsidRPr="003A42FB">
        <w:rPr>
          <w:rFonts w:ascii="Times New Roman" w:eastAsiaTheme="minorEastAsia" w:hAnsi="Times New Roman" w:cs="Times New Roman"/>
          <w:sz w:val="24"/>
          <w:szCs w:val="24"/>
        </w:rPr>
        <w:t>przedsiębiorcą</w:t>
      </w:r>
      <w:r w:rsidRPr="003A42FB">
        <w:rPr>
          <w:rFonts w:ascii="Times New Roman" w:eastAsiaTheme="minorEastAsia" w:hAnsi="Times New Roman" w:cs="Times New Roman"/>
          <w:sz w:val="24"/>
          <w:szCs w:val="24"/>
        </w:rPr>
        <w:t xml:space="preserve"> o znaczącej pozycji oraz usługi na rynkach detalicznych, gdzie konkuruje z innymi przedsiębiorcami, może mieć tendencje do przypisywania większej ilości kosztów do usług hurtowych, co spowoduje nieuzasadnione zawyżanie opłat hurtowych, a jednocześnie możliwości większej obniżki cen detalicznych przez tego przedsiębiorcę niż jego konkurenci na tym rynku.</w:t>
      </w:r>
    </w:p>
    <w:p w14:paraId="5FA803A3" w14:textId="77777777"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Podobny problem może wystąpić w przypadku przedsiębiorców świadczących kilka usług dostępowych</w:t>
      </w:r>
      <w:r w:rsidR="002F196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lub detalicznych na rynkach o różnym poziomie konkurencyjności. Przedsiębiorca może wówczas przypisywać większe koszty do tych usług, w zakresie których jest przedsiębiorcą o znaczącej pozycji, tym samym zniekształcając warunki działania na obydwu rynkach.</w:t>
      </w:r>
    </w:p>
    <w:p w14:paraId="130E7B33" w14:textId="2B740116" w:rsidR="00481C38" w:rsidRPr="003A42FB" w:rsidRDefault="00481C3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54</w:t>
      </w:r>
    </w:p>
    <w:p w14:paraId="67DA016D" w14:textId="45A31906" w:rsidR="00481C38" w:rsidRPr="003A42FB" w:rsidRDefault="00B4545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Ten artykuł </w:t>
      </w:r>
      <w:r w:rsidR="00481C38" w:rsidRPr="003A42FB">
        <w:rPr>
          <w:rFonts w:ascii="Times New Roman" w:eastAsiaTheme="minorEastAsia" w:hAnsi="Times New Roman" w:cs="Times New Roman"/>
          <w:sz w:val="24"/>
          <w:szCs w:val="24"/>
        </w:rPr>
        <w:t xml:space="preserve">nie </w:t>
      </w:r>
      <w:r w:rsidRPr="003A42FB">
        <w:rPr>
          <w:rFonts w:ascii="Times New Roman" w:eastAsiaTheme="minorEastAsia" w:hAnsi="Times New Roman" w:cs="Times New Roman"/>
          <w:sz w:val="24"/>
          <w:szCs w:val="24"/>
        </w:rPr>
        <w:t xml:space="preserve">ustanawia </w:t>
      </w:r>
      <w:r w:rsidR="00481C38" w:rsidRPr="003A42FB">
        <w:rPr>
          <w:rFonts w:ascii="Times New Roman" w:eastAsiaTheme="minorEastAsia" w:hAnsi="Times New Roman" w:cs="Times New Roman"/>
          <w:sz w:val="24"/>
          <w:szCs w:val="24"/>
        </w:rPr>
        <w:t xml:space="preserve">nowych praw lub obowiązków a jedynie </w:t>
      </w:r>
      <w:r w:rsidRPr="003A42FB">
        <w:rPr>
          <w:rFonts w:ascii="Times New Roman" w:eastAsiaTheme="minorEastAsia" w:hAnsi="Times New Roman" w:cs="Times New Roman"/>
          <w:sz w:val="24"/>
          <w:szCs w:val="24"/>
        </w:rPr>
        <w:t xml:space="preserve">wskazuje </w:t>
      </w:r>
      <w:r w:rsidR="00481C38" w:rsidRPr="003A42FB">
        <w:rPr>
          <w:rFonts w:ascii="Times New Roman" w:eastAsiaTheme="minorEastAsia" w:hAnsi="Times New Roman" w:cs="Times New Roman"/>
          <w:sz w:val="24"/>
          <w:szCs w:val="24"/>
        </w:rPr>
        <w:t>przepisy, na podstawie których można nałożyć na przedsiębiorcę komunikacji elektronicznej obowiązek prowadzenia rachunkowości regulacyjnej lub kalkulacji kosztów w ramach regulacji rynków hurtowych i detalicznych. Rachunkowość regulacyjna i kalkulacja kosztów to odrębne obowiązki regulacyjne, które jednak są wzajemnie powiązane i często nakładane razem w celu osiągnięcia odpowiedniego efektu regulacyjnego.</w:t>
      </w:r>
    </w:p>
    <w:p w14:paraId="59DB6EAA" w14:textId="1C5A6B28" w:rsidR="00481C38" w:rsidRPr="003A42FB" w:rsidRDefault="00481C3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55</w:t>
      </w:r>
    </w:p>
    <w:p w14:paraId="40768304" w14:textId="127CD1AA"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9D2489" w:rsidRPr="003A42FB">
        <w:rPr>
          <w:rFonts w:ascii="Times New Roman" w:eastAsiaTheme="minorEastAsia" w:hAnsi="Times New Roman" w:cs="Times New Roman"/>
          <w:sz w:val="24"/>
          <w:szCs w:val="24"/>
        </w:rPr>
        <w:t>2</w:t>
      </w:r>
      <w:r w:rsidR="009D2489">
        <w:rPr>
          <w:rFonts w:ascii="Times New Roman" w:eastAsiaTheme="minorEastAsia" w:hAnsi="Times New Roman" w:cs="Times New Roman"/>
          <w:sz w:val="24"/>
          <w:szCs w:val="24"/>
        </w:rPr>
        <w:t>55</w:t>
      </w:r>
      <w:r w:rsidR="009D2489" w:rsidRPr="003A42FB">
        <w:rPr>
          <w:rFonts w:ascii="Times New Roman" w:eastAsiaTheme="minorEastAsia" w:hAnsi="Times New Roman" w:cs="Times New Roman"/>
          <w:sz w:val="24"/>
          <w:szCs w:val="24"/>
        </w:rPr>
        <w:t xml:space="preserve"> </w:t>
      </w:r>
      <w:r w:rsidR="2FED7CB1" w:rsidRPr="003A42FB">
        <w:rPr>
          <w:rFonts w:ascii="Times New Roman" w:eastAsiaTheme="minorEastAsia" w:hAnsi="Times New Roman" w:cs="Times New Roman"/>
          <w:sz w:val="24"/>
          <w:szCs w:val="24"/>
        </w:rPr>
        <w:t>jest</w:t>
      </w:r>
      <w:r w:rsidRPr="003A42FB">
        <w:rPr>
          <w:rFonts w:ascii="Times New Roman" w:eastAsiaTheme="minorEastAsia" w:hAnsi="Times New Roman" w:cs="Times New Roman"/>
          <w:sz w:val="24"/>
          <w:szCs w:val="24"/>
        </w:rPr>
        <w:t xml:space="preserve"> upoważnieniem </w:t>
      </w:r>
      <w:r w:rsidR="002F1964" w:rsidRPr="003A42FB">
        <w:rPr>
          <w:rFonts w:ascii="Times New Roman" w:eastAsiaTheme="minorEastAsia" w:hAnsi="Times New Roman" w:cs="Times New Roman"/>
          <w:sz w:val="24"/>
          <w:szCs w:val="24"/>
        </w:rPr>
        <w:t xml:space="preserve">ustawowym </w:t>
      </w:r>
      <w:r w:rsidRPr="003A42FB">
        <w:rPr>
          <w:rFonts w:ascii="Times New Roman" w:eastAsiaTheme="minorEastAsia" w:hAnsi="Times New Roman" w:cs="Times New Roman"/>
          <w:sz w:val="24"/>
          <w:szCs w:val="24"/>
        </w:rPr>
        <w:t>do wydania rozporządzenia w sprawie prowadzenia przez przedsiębiorcę komunikacji elektronicznej rachunkowości regulacyjnej i kalkulacji kosztów usług. Przepis wskazuje cel wydania rozporządzenia oraz zagadnienia, które powinny być w nim uregulowane.</w:t>
      </w:r>
    </w:p>
    <w:p w14:paraId="3CE299C4" w14:textId="598431AF"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71 EKŁE zaznacza, że krajowi regulatorzy mogą określić format oraz metodologię </w:t>
      </w:r>
      <w:r w:rsidRPr="003A42FB">
        <w:rPr>
          <w:rFonts w:ascii="Times New Roman" w:hAnsi="Times New Roman" w:cs="Times New Roman"/>
          <w:sz w:val="24"/>
          <w:szCs w:val="24"/>
        </w:rPr>
        <w:br/>
      </w:r>
      <w:r w:rsidRPr="003A42FB">
        <w:rPr>
          <w:rFonts w:ascii="Times New Roman" w:eastAsiaTheme="minorEastAsia" w:hAnsi="Times New Roman" w:cs="Times New Roman"/>
          <w:sz w:val="24"/>
          <w:szCs w:val="24"/>
        </w:rPr>
        <w:t xml:space="preserve">księgowe, jakie mają być stosowane przez przedsiębiorców, które w polskim prawie szczegółowo są zapisane w rozporządzeniu wydawanym na podstawie art. </w:t>
      </w:r>
      <w:r w:rsidR="009D2489" w:rsidRPr="003A42FB">
        <w:rPr>
          <w:rFonts w:ascii="Times New Roman" w:eastAsiaTheme="minorEastAsia" w:hAnsi="Times New Roman" w:cs="Times New Roman"/>
          <w:sz w:val="24"/>
          <w:szCs w:val="24"/>
        </w:rPr>
        <w:t>2</w:t>
      </w:r>
      <w:r w:rsidR="009D2489">
        <w:rPr>
          <w:rFonts w:ascii="Times New Roman" w:eastAsiaTheme="minorEastAsia" w:hAnsi="Times New Roman" w:cs="Times New Roman"/>
          <w:sz w:val="24"/>
          <w:szCs w:val="24"/>
        </w:rPr>
        <w:t>55</w:t>
      </w:r>
      <w:r w:rsidRPr="003A42FB">
        <w:rPr>
          <w:rFonts w:ascii="Times New Roman" w:eastAsiaTheme="minorEastAsia" w:hAnsi="Times New Roman" w:cs="Times New Roman"/>
          <w:sz w:val="24"/>
          <w:szCs w:val="24"/>
        </w:rPr>
        <w:t>.</w:t>
      </w:r>
    </w:p>
    <w:p w14:paraId="0CB679C9" w14:textId="3F72F8FD" w:rsidR="00481C38" w:rsidRPr="003A42FB" w:rsidRDefault="00481C3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56</w:t>
      </w:r>
    </w:p>
    <w:p w14:paraId="3F33E977" w14:textId="77777777" w:rsidR="00481C38" w:rsidRPr="003A42FB" w:rsidRDefault="00D27B0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Projektowany przepis </w:t>
      </w:r>
      <w:r w:rsidR="00481C38" w:rsidRPr="003A42FB">
        <w:rPr>
          <w:rFonts w:ascii="Times New Roman" w:eastAsiaTheme="minorEastAsia" w:hAnsi="Times New Roman" w:cs="Times New Roman"/>
          <w:sz w:val="24"/>
          <w:szCs w:val="24"/>
        </w:rPr>
        <w:t>wskazuje zasady dotyczące przechowywania dokumentacji związanej z prowadzeniem rachunkowości regulacyjnej lub kalkulacji kosztów przez przedsiębiorców komunikacji elektronicznej poprzez odwołanie do rozdziału 8 ustawy z dnia 29 września 1994 r. o rachunkowości, który określa zasady przechowywania dokumentacji księgowo-rachunkowej.</w:t>
      </w:r>
    </w:p>
    <w:p w14:paraId="3892AC33" w14:textId="38C6E9C3" w:rsidR="214FE0E2" w:rsidRPr="003A42FB" w:rsidRDefault="214FE0E2"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57</w:t>
      </w:r>
    </w:p>
    <w:p w14:paraId="2D20D240" w14:textId="55BC1C44" w:rsidR="00481C38" w:rsidRPr="003A42FB" w:rsidRDefault="00481C38" w:rsidP="00C53EAB">
      <w:pPr>
        <w:widowControl w:val="0"/>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Ust. 1 określa przesłanki oraz podmiot właściwy do określenia, w drodze decyzji, wskaźnika zwrotu kosztu zaangażowanego kapitału. Wskaźnik jest ustalany corocznie, odrębnie dla każdego przedsiębiorcy </w:t>
      </w:r>
      <w:r w:rsidRPr="003A42FB">
        <w:rPr>
          <w:rFonts w:ascii="Times New Roman" w:eastAsiaTheme="minorEastAsia" w:hAnsi="Times New Roman" w:cs="Times New Roman"/>
          <w:sz w:val="24"/>
          <w:szCs w:val="24"/>
        </w:rPr>
        <w:t xml:space="preserve">komunikacji elektronicznej </w:t>
      </w:r>
      <w:r w:rsidRPr="003A42FB">
        <w:rPr>
          <w:rFonts w:ascii="Times New Roman" w:eastAsiaTheme="minorEastAsia" w:hAnsi="Times New Roman" w:cs="Times New Roman"/>
          <w:sz w:val="24"/>
          <w:szCs w:val="24"/>
          <w:lang w:eastAsia="pl-PL"/>
        </w:rPr>
        <w:t>objętego obowiązkiem kalkulacji kosztów, który musi być przez niego stosowany podczas prowadzenia tej kalkulacji.</w:t>
      </w:r>
    </w:p>
    <w:p w14:paraId="58344E21" w14:textId="77777777" w:rsidR="00481C38" w:rsidRPr="003A42FB" w:rsidRDefault="00481C38" w:rsidP="00C53EAB">
      <w:pPr>
        <w:widowControl w:val="0"/>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Wskaźnik zwrotu kosztu zaangażowanego kapitału jest jednym z elementów uwzględnianych w wynikach ka</w:t>
      </w:r>
      <w:r w:rsidR="00BB6A86" w:rsidRPr="003A42FB">
        <w:rPr>
          <w:rFonts w:ascii="Times New Roman" w:eastAsiaTheme="minorEastAsia" w:hAnsi="Times New Roman" w:cs="Times New Roman"/>
          <w:sz w:val="24"/>
          <w:szCs w:val="24"/>
          <w:lang w:eastAsia="pl-PL"/>
        </w:rPr>
        <w:t>lkulacji kosztów, wynika to z prze</w:t>
      </w:r>
      <w:r w:rsidRPr="003A42FB">
        <w:rPr>
          <w:rFonts w:ascii="Times New Roman" w:eastAsiaTheme="minorEastAsia" w:hAnsi="Times New Roman" w:cs="Times New Roman"/>
          <w:sz w:val="24"/>
          <w:szCs w:val="24"/>
          <w:lang w:eastAsia="pl-PL"/>
        </w:rPr>
        <w:t>pisu art.</w:t>
      </w:r>
      <w:r w:rsidR="00BB6A86"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74 ust. 1 EKŁE „jeżeli krajowe organy regulacyjne uznają obowiązek kontroli cen za właściwe rozwiązanie, umożliwiają przedsiębiorstwu uzyskanie zwrotu stosownej części zainwestowanego kapitału, uwzględniając wszelkie ryzyko typowe dla konkretnego nowego przedsięwzięcia inwestycyjnego”. Wysokość wskaźnika zwrotu kosztu zaangażowanego kapitału ma wpływ na wynik kalkulacji kosztów i powinna z jednej strony zachęcać przedsiębiorcę do dokonywania inwestycji, z drugiej zaś strony przeciwdziałać ustanawianiu nadmiernych cen i zakłócaniu konkurencji.</w:t>
      </w:r>
    </w:p>
    <w:p w14:paraId="1235B345" w14:textId="214EF2E9" w:rsidR="00481C38" w:rsidRPr="003A42FB" w:rsidRDefault="00481C38" w:rsidP="00C53EAB">
      <w:pPr>
        <w:widowControl w:val="0"/>
        <w:autoSpaceDE w:val="0"/>
        <w:autoSpaceDN w:val="0"/>
        <w:adjustRightInd w:val="0"/>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Przepisy </w:t>
      </w:r>
      <w:r w:rsidR="00AE277D" w:rsidRPr="003A42FB">
        <w:rPr>
          <w:rFonts w:ascii="Times New Roman" w:eastAsiaTheme="minorEastAsia" w:hAnsi="Times New Roman" w:cs="Times New Roman"/>
          <w:sz w:val="24"/>
          <w:szCs w:val="24"/>
        </w:rPr>
        <w:t xml:space="preserve">ustępów </w:t>
      </w:r>
      <w:r w:rsidR="00ED5025">
        <w:rPr>
          <w:rFonts w:ascii="Times New Roman" w:eastAsiaTheme="minorEastAsia" w:hAnsi="Times New Roman" w:cs="Times New Roman"/>
          <w:sz w:val="24"/>
          <w:szCs w:val="24"/>
        </w:rPr>
        <w:t>2</w:t>
      </w:r>
      <w:r w:rsidR="00ED5025" w:rsidRPr="003A42FB">
        <w:rPr>
          <w:rFonts w:ascii="Times New Roman" w:eastAsiaTheme="minorEastAsia" w:hAnsi="Times New Roman" w:cs="Times New Roman"/>
          <w:sz w:val="24"/>
          <w:szCs w:val="24"/>
        </w:rPr>
        <w:t xml:space="preserve"> </w:t>
      </w:r>
      <w:r w:rsidR="00AE277D" w:rsidRPr="003A42FB">
        <w:rPr>
          <w:rFonts w:ascii="Times New Roman" w:eastAsiaTheme="minorEastAsia" w:hAnsi="Times New Roman" w:cs="Times New Roman"/>
          <w:sz w:val="24"/>
          <w:szCs w:val="24"/>
        </w:rPr>
        <w:t>─</w:t>
      </w:r>
      <w:r w:rsidR="00ED5025">
        <w:rPr>
          <w:rFonts w:ascii="Times New Roman" w:eastAsiaTheme="minorEastAsia" w:hAnsi="Times New Roman" w:cs="Times New Roman"/>
          <w:sz w:val="24"/>
          <w:szCs w:val="24"/>
        </w:rPr>
        <w:t>5</w:t>
      </w:r>
      <w:r w:rsidR="00ED5025"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dotyczą procedury związanej z </w:t>
      </w:r>
      <w:r w:rsidR="00AE277D" w:rsidRPr="003A42FB">
        <w:rPr>
          <w:rFonts w:ascii="Times New Roman" w:eastAsiaTheme="minorEastAsia" w:hAnsi="Times New Roman" w:cs="Times New Roman"/>
          <w:sz w:val="24"/>
          <w:szCs w:val="24"/>
        </w:rPr>
        <w:t xml:space="preserve">uzgadnianiem i </w:t>
      </w:r>
      <w:r w:rsidR="005F6468" w:rsidRPr="003A42FB">
        <w:rPr>
          <w:rFonts w:ascii="Times New Roman" w:eastAsiaTheme="minorEastAsia" w:hAnsi="Times New Roman" w:cs="Times New Roman"/>
          <w:sz w:val="24"/>
          <w:szCs w:val="24"/>
        </w:rPr>
        <w:t>zatwierdz</w:t>
      </w:r>
      <w:r w:rsidR="005F6468">
        <w:rPr>
          <w:rFonts w:ascii="Times New Roman" w:eastAsiaTheme="minorEastAsia" w:hAnsi="Times New Roman" w:cs="Times New Roman"/>
          <w:sz w:val="24"/>
          <w:szCs w:val="24"/>
        </w:rPr>
        <w:t>e</w:t>
      </w:r>
      <w:r w:rsidR="005F6468" w:rsidRPr="003A42FB">
        <w:rPr>
          <w:rFonts w:ascii="Times New Roman" w:eastAsiaTheme="minorEastAsia" w:hAnsi="Times New Roman" w:cs="Times New Roman"/>
          <w:sz w:val="24"/>
          <w:szCs w:val="24"/>
        </w:rPr>
        <w:t xml:space="preserve">niem </w:t>
      </w:r>
      <w:r w:rsidR="0033642B" w:rsidRPr="003A42FB">
        <w:rPr>
          <w:rFonts w:ascii="Times New Roman" w:eastAsiaTheme="minorEastAsia" w:hAnsi="Times New Roman" w:cs="Times New Roman"/>
          <w:sz w:val="24"/>
          <w:szCs w:val="24"/>
        </w:rPr>
        <w:t xml:space="preserve">projektu </w:t>
      </w:r>
      <w:r w:rsidRPr="003A42FB">
        <w:rPr>
          <w:rFonts w:ascii="Times New Roman" w:eastAsiaTheme="minorEastAsia" w:hAnsi="Times New Roman" w:cs="Times New Roman"/>
          <w:sz w:val="24"/>
          <w:szCs w:val="24"/>
        </w:rPr>
        <w:t xml:space="preserve">instrukcji </w:t>
      </w:r>
      <w:r w:rsidRPr="003A42FB">
        <w:rPr>
          <w:rFonts w:ascii="Times New Roman" w:eastAsiaTheme="minorEastAsia" w:hAnsi="Times New Roman" w:cs="Times New Roman"/>
          <w:sz w:val="24"/>
          <w:szCs w:val="24"/>
          <w:lang w:eastAsia="pl-PL"/>
        </w:rPr>
        <w:t>w zakresie rachunkowości regulacyjnej</w:t>
      </w:r>
      <w:r w:rsidRPr="003A42FB">
        <w:rPr>
          <w:rFonts w:ascii="Times New Roman" w:eastAsiaTheme="minorEastAsia" w:hAnsi="Times New Roman" w:cs="Times New Roman"/>
          <w:sz w:val="24"/>
          <w:szCs w:val="24"/>
        </w:rPr>
        <w:t xml:space="preserve"> i </w:t>
      </w:r>
      <w:r w:rsidR="0033642B" w:rsidRPr="003A42FB">
        <w:rPr>
          <w:rFonts w:ascii="Times New Roman" w:eastAsiaTheme="minorEastAsia" w:hAnsi="Times New Roman" w:cs="Times New Roman"/>
          <w:sz w:val="24"/>
          <w:szCs w:val="24"/>
        </w:rPr>
        <w:t xml:space="preserve">projektu </w:t>
      </w:r>
      <w:r w:rsidRPr="003A42FB">
        <w:rPr>
          <w:rFonts w:ascii="Times New Roman" w:eastAsiaTheme="minorEastAsia" w:hAnsi="Times New Roman" w:cs="Times New Roman"/>
          <w:sz w:val="24"/>
          <w:szCs w:val="24"/>
        </w:rPr>
        <w:t>opisu kalkulacji kosztów</w:t>
      </w:r>
      <w:r w:rsidR="00ED5025">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rPr>
        <w:t xml:space="preserve">Procedura przygotowywania i </w:t>
      </w:r>
      <w:r w:rsidR="005F6468" w:rsidRPr="003A42FB">
        <w:rPr>
          <w:rFonts w:ascii="Times New Roman" w:eastAsiaTheme="minorEastAsia" w:hAnsi="Times New Roman" w:cs="Times New Roman"/>
          <w:sz w:val="24"/>
          <w:szCs w:val="24"/>
        </w:rPr>
        <w:t>zatwierdz</w:t>
      </w:r>
      <w:r w:rsidR="005F6468">
        <w:rPr>
          <w:rFonts w:ascii="Times New Roman" w:eastAsiaTheme="minorEastAsia" w:hAnsi="Times New Roman" w:cs="Times New Roman"/>
          <w:sz w:val="24"/>
          <w:szCs w:val="24"/>
        </w:rPr>
        <w:t>e</w:t>
      </w:r>
      <w:r w:rsidR="005F6468" w:rsidRPr="003A42FB">
        <w:rPr>
          <w:rFonts w:ascii="Times New Roman" w:eastAsiaTheme="minorEastAsia" w:hAnsi="Times New Roman" w:cs="Times New Roman"/>
          <w:sz w:val="24"/>
          <w:szCs w:val="24"/>
        </w:rPr>
        <w:t xml:space="preserve">nia </w:t>
      </w:r>
      <w:r w:rsidRPr="003A42FB">
        <w:rPr>
          <w:rFonts w:ascii="Times New Roman" w:eastAsiaTheme="minorEastAsia" w:hAnsi="Times New Roman" w:cs="Times New Roman"/>
          <w:sz w:val="24"/>
          <w:szCs w:val="24"/>
        </w:rPr>
        <w:t xml:space="preserve">instrukcji i opisu kalkulacji w tym obowiązujące terminy, jest jednakowa dla obydwu dokumentów. </w:t>
      </w:r>
      <w:r w:rsidRPr="003A42FB">
        <w:rPr>
          <w:rFonts w:ascii="Times New Roman" w:eastAsiaTheme="minorEastAsia" w:hAnsi="Times New Roman" w:cs="Times New Roman"/>
          <w:sz w:val="24"/>
          <w:szCs w:val="24"/>
          <w:lang w:eastAsia="pl-PL"/>
        </w:rPr>
        <w:t>Ustawa wskazuje</w:t>
      </w:r>
      <w:r w:rsidR="00ED5025">
        <w:rPr>
          <w:rFonts w:ascii="Times New Roman" w:eastAsiaTheme="minorEastAsia" w:hAnsi="Times New Roman" w:cs="Times New Roman"/>
          <w:sz w:val="24"/>
          <w:szCs w:val="24"/>
          <w:lang w:eastAsia="pl-PL"/>
        </w:rPr>
        <w:t xml:space="preserve"> najważniejsze</w:t>
      </w:r>
      <w:r w:rsidR="00AF1DD7" w:rsidRPr="003A42FB">
        <w:rPr>
          <w:rFonts w:ascii="Times New Roman" w:eastAsiaTheme="minorEastAsia" w:hAnsi="Times New Roman" w:cs="Times New Roman"/>
          <w:sz w:val="24"/>
          <w:szCs w:val="24"/>
          <w:lang w:eastAsia="pl-PL"/>
        </w:rPr>
        <w:t xml:space="preserve"> przepisy</w:t>
      </w:r>
      <w:r w:rsidR="00ED5025">
        <w:rPr>
          <w:rFonts w:ascii="Times New Roman" w:eastAsiaTheme="minorEastAsia" w:hAnsi="Times New Roman" w:cs="Times New Roman"/>
          <w:sz w:val="24"/>
          <w:szCs w:val="24"/>
          <w:lang w:eastAsia="pl-PL"/>
        </w:rPr>
        <w:t xml:space="preserve"> w tym temacie</w:t>
      </w:r>
      <w:r w:rsidR="00AF1DD7" w:rsidRPr="003A42FB">
        <w:rPr>
          <w:rFonts w:ascii="Times New Roman" w:eastAsiaTheme="minorEastAsia" w:hAnsi="Times New Roman" w:cs="Times New Roman"/>
          <w:sz w:val="24"/>
          <w:szCs w:val="24"/>
          <w:lang w:eastAsia="pl-PL"/>
        </w:rPr>
        <w:t xml:space="preserve"> m.in.</w:t>
      </w:r>
      <w:r w:rsidRPr="003A42FB">
        <w:rPr>
          <w:rFonts w:ascii="Times New Roman" w:eastAsiaTheme="minorEastAsia" w:hAnsi="Times New Roman" w:cs="Times New Roman"/>
          <w:sz w:val="24"/>
          <w:szCs w:val="24"/>
          <w:lang w:eastAsia="pl-PL"/>
        </w:rPr>
        <w:t xml:space="preserve"> </w:t>
      </w:r>
      <w:r w:rsidR="005F6468">
        <w:rPr>
          <w:rFonts w:ascii="Times New Roman" w:eastAsiaTheme="minorEastAsia" w:hAnsi="Times New Roman" w:cs="Times New Roman"/>
          <w:sz w:val="24"/>
          <w:szCs w:val="24"/>
          <w:lang w:eastAsia="pl-PL"/>
        </w:rPr>
        <w:t xml:space="preserve">termin na uzgodnienie i </w:t>
      </w:r>
      <w:r w:rsidR="005F6468" w:rsidRPr="003A42FB">
        <w:rPr>
          <w:rFonts w:ascii="Times New Roman" w:eastAsiaTheme="minorEastAsia" w:hAnsi="Times New Roman" w:cs="Times New Roman"/>
          <w:sz w:val="24"/>
          <w:szCs w:val="24"/>
          <w:lang w:eastAsia="pl-PL"/>
        </w:rPr>
        <w:t>zatwierdz</w:t>
      </w:r>
      <w:r w:rsidR="005F6468">
        <w:rPr>
          <w:rFonts w:ascii="Times New Roman" w:eastAsiaTheme="minorEastAsia" w:hAnsi="Times New Roman" w:cs="Times New Roman"/>
          <w:sz w:val="24"/>
          <w:szCs w:val="24"/>
          <w:lang w:eastAsia="pl-PL"/>
        </w:rPr>
        <w:t>e</w:t>
      </w:r>
      <w:r w:rsidR="005F6468" w:rsidRPr="003A42FB">
        <w:rPr>
          <w:rFonts w:ascii="Times New Roman" w:eastAsiaTheme="minorEastAsia" w:hAnsi="Times New Roman" w:cs="Times New Roman"/>
          <w:sz w:val="24"/>
          <w:szCs w:val="24"/>
          <w:lang w:eastAsia="pl-PL"/>
        </w:rPr>
        <w:t xml:space="preserve">nie </w:t>
      </w:r>
      <w:r w:rsidRPr="003A42FB">
        <w:rPr>
          <w:rFonts w:ascii="Times New Roman" w:eastAsiaTheme="minorEastAsia" w:hAnsi="Times New Roman" w:cs="Times New Roman"/>
          <w:sz w:val="24"/>
          <w:szCs w:val="24"/>
          <w:lang w:eastAsia="pl-PL"/>
        </w:rPr>
        <w:t>dokumentów w formie decyzji</w:t>
      </w:r>
      <w:r w:rsidR="005F6468">
        <w:rPr>
          <w:rFonts w:ascii="Times New Roman" w:eastAsiaTheme="minorEastAsia" w:hAnsi="Times New Roman" w:cs="Times New Roman"/>
          <w:sz w:val="24"/>
          <w:szCs w:val="24"/>
          <w:lang w:eastAsia="pl-PL"/>
        </w:rPr>
        <w:t xml:space="preserve"> Prezesa UKE oraz up</w:t>
      </w:r>
      <w:r w:rsidR="005E2D89">
        <w:rPr>
          <w:rFonts w:ascii="Times New Roman" w:eastAsiaTheme="minorEastAsia" w:hAnsi="Times New Roman" w:cs="Times New Roman"/>
          <w:sz w:val="24"/>
          <w:szCs w:val="24"/>
          <w:lang w:eastAsia="pl-PL"/>
        </w:rPr>
        <w:t>rawnienie</w:t>
      </w:r>
      <w:r w:rsidR="005F6468">
        <w:rPr>
          <w:rFonts w:ascii="Times New Roman" w:eastAsiaTheme="minorEastAsia" w:hAnsi="Times New Roman" w:cs="Times New Roman"/>
          <w:sz w:val="24"/>
          <w:szCs w:val="24"/>
          <w:lang w:eastAsia="pl-PL"/>
        </w:rPr>
        <w:t xml:space="preserve"> dla Prezesa UKE</w:t>
      </w:r>
      <w:r w:rsidR="005E2D89">
        <w:rPr>
          <w:rFonts w:ascii="Times New Roman" w:eastAsiaTheme="minorEastAsia" w:hAnsi="Times New Roman" w:cs="Times New Roman"/>
          <w:sz w:val="24"/>
          <w:szCs w:val="24"/>
          <w:lang w:eastAsia="pl-PL"/>
        </w:rPr>
        <w:t xml:space="preserve"> do </w:t>
      </w:r>
      <w:r w:rsidR="005E2D89" w:rsidRPr="003A42FB">
        <w:rPr>
          <w:rFonts w:ascii="Times New Roman" w:eastAsiaTheme="minorEastAsia" w:hAnsi="Times New Roman" w:cs="Times New Roman"/>
          <w:sz w:val="24"/>
          <w:szCs w:val="24"/>
        </w:rPr>
        <w:t>dokon</w:t>
      </w:r>
      <w:r w:rsidR="005E2D89">
        <w:rPr>
          <w:rFonts w:ascii="Times New Roman" w:eastAsiaTheme="minorEastAsia" w:hAnsi="Times New Roman" w:cs="Times New Roman"/>
          <w:sz w:val="24"/>
          <w:szCs w:val="24"/>
        </w:rPr>
        <w:t>ywania</w:t>
      </w:r>
      <w:r w:rsidR="005E2D89"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zmian w przedłożonych do zatwierdzenia projektach instrukcji lub opisu kalkulacji kosztów, jeżeli zmian tych nie dokona przedsiębiorca</w:t>
      </w:r>
      <w:r w:rsidR="00AF1DD7" w:rsidRPr="003A42FB">
        <w:rPr>
          <w:rFonts w:ascii="Times New Roman" w:eastAsiaTheme="minorEastAsia" w:hAnsi="Times New Roman" w:cs="Times New Roman"/>
          <w:sz w:val="24"/>
          <w:szCs w:val="24"/>
        </w:rPr>
        <w:t>.</w:t>
      </w:r>
      <w:r w:rsidR="194CD53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lang w:eastAsia="pl-PL"/>
        </w:rPr>
        <w:t xml:space="preserve">Powyższe uprawnienie do zmian dokonywanych samodzielnie przez Prezesa UKE w dokumentach umożliwia ich zatwierdzenie w </w:t>
      </w:r>
      <w:r w:rsidR="00AF1DD7" w:rsidRPr="003A42FB">
        <w:rPr>
          <w:rFonts w:ascii="Times New Roman" w:eastAsiaTheme="minorEastAsia" w:hAnsi="Times New Roman" w:cs="Times New Roman"/>
          <w:sz w:val="24"/>
          <w:szCs w:val="24"/>
          <w:lang w:eastAsia="pl-PL"/>
        </w:rPr>
        <w:t xml:space="preserve">określonym terminie </w:t>
      </w:r>
      <w:r w:rsidRPr="003A42FB">
        <w:rPr>
          <w:rFonts w:ascii="Times New Roman" w:eastAsiaTheme="minorEastAsia" w:hAnsi="Times New Roman" w:cs="Times New Roman"/>
          <w:sz w:val="24"/>
          <w:szCs w:val="24"/>
          <w:lang w:eastAsia="pl-PL"/>
        </w:rPr>
        <w:t>i zapobiega powstaniu luki prawnej uniemożliwiającej wykonanie przez przedsiębiorcę obowiązku prowadzenia rachunkowości regulacyjnej i kalkulacji kosztów.</w:t>
      </w:r>
      <w:r w:rsidR="00ED5025">
        <w:rPr>
          <w:rFonts w:ascii="Times New Roman" w:eastAsiaTheme="minorEastAsia" w:hAnsi="Times New Roman" w:cs="Times New Roman"/>
          <w:sz w:val="24"/>
          <w:szCs w:val="24"/>
          <w:lang w:eastAsia="pl-PL"/>
        </w:rPr>
        <w:t xml:space="preserve"> </w:t>
      </w:r>
      <w:r w:rsidR="00780AD1" w:rsidRPr="005F69BF">
        <w:rPr>
          <w:rFonts w:ascii="Times New Roman" w:hAnsi="Times New Roman" w:cs="Times New Roman"/>
          <w:sz w:val="24"/>
          <w:szCs w:val="24"/>
        </w:rPr>
        <w:t xml:space="preserve">Terminy uzgadniania i zatwierdzania </w:t>
      </w:r>
      <w:r w:rsidR="00780AD1" w:rsidRPr="003A42FB">
        <w:rPr>
          <w:rFonts w:ascii="Times New Roman" w:eastAsiaTheme="minorEastAsia" w:hAnsi="Times New Roman" w:cs="Times New Roman"/>
          <w:sz w:val="24"/>
          <w:szCs w:val="24"/>
        </w:rPr>
        <w:t>projekt</w:t>
      </w:r>
      <w:r w:rsidR="00780AD1">
        <w:rPr>
          <w:rFonts w:ascii="Times New Roman" w:eastAsiaTheme="minorEastAsia" w:hAnsi="Times New Roman" w:cs="Times New Roman"/>
          <w:sz w:val="24"/>
          <w:szCs w:val="24"/>
        </w:rPr>
        <w:t>u</w:t>
      </w:r>
      <w:r w:rsidR="00780AD1" w:rsidRPr="003A42FB">
        <w:rPr>
          <w:rFonts w:ascii="Times New Roman" w:eastAsiaTheme="minorEastAsia" w:hAnsi="Times New Roman" w:cs="Times New Roman"/>
          <w:sz w:val="24"/>
          <w:szCs w:val="24"/>
        </w:rPr>
        <w:t xml:space="preserve"> instrukcji lub opisu kalkulacji kosztów</w:t>
      </w:r>
      <w:r w:rsidR="00780AD1" w:rsidRPr="00780AD1">
        <w:rPr>
          <w:rFonts w:ascii="Times New Roman" w:hAnsi="Times New Roman" w:cs="Times New Roman"/>
          <w:sz w:val="24"/>
          <w:szCs w:val="24"/>
        </w:rPr>
        <w:t xml:space="preserve"> </w:t>
      </w:r>
      <w:r w:rsidR="00780AD1" w:rsidRPr="005F69BF">
        <w:rPr>
          <w:rFonts w:ascii="Times New Roman" w:hAnsi="Times New Roman" w:cs="Times New Roman"/>
          <w:sz w:val="24"/>
          <w:szCs w:val="24"/>
        </w:rPr>
        <w:t>są tak wyznaczone, by cała procedura zakończyła się do końca roku obrotowego, za który przedstawiane będą sprawozdania z prowadzonej rachunkowości regulacyjnej lub wyniki kalkulacji kosztów.</w:t>
      </w:r>
      <w:r w:rsidR="00780AD1">
        <w:t xml:space="preserve"> </w:t>
      </w:r>
      <w:r w:rsidR="00ED5025">
        <w:rPr>
          <w:rFonts w:ascii="Times New Roman" w:eastAsiaTheme="minorEastAsia" w:hAnsi="Times New Roman" w:cs="Times New Roman"/>
          <w:sz w:val="24"/>
          <w:szCs w:val="24"/>
          <w:lang w:eastAsia="pl-PL"/>
        </w:rPr>
        <w:t xml:space="preserve">Pozostałe przepisy dotyczące uzgadniania </w:t>
      </w:r>
      <w:r w:rsidR="00ED5025" w:rsidRPr="003A42FB">
        <w:rPr>
          <w:rFonts w:ascii="Times New Roman" w:eastAsiaTheme="minorEastAsia" w:hAnsi="Times New Roman" w:cs="Times New Roman"/>
          <w:sz w:val="24"/>
          <w:szCs w:val="24"/>
        </w:rPr>
        <w:t>i zatwierdz</w:t>
      </w:r>
      <w:r w:rsidR="005F6468">
        <w:rPr>
          <w:rFonts w:ascii="Times New Roman" w:eastAsiaTheme="minorEastAsia" w:hAnsi="Times New Roman" w:cs="Times New Roman"/>
          <w:sz w:val="24"/>
          <w:szCs w:val="24"/>
        </w:rPr>
        <w:t>e</w:t>
      </w:r>
      <w:r w:rsidR="00ED5025" w:rsidRPr="003A42FB">
        <w:rPr>
          <w:rFonts w:ascii="Times New Roman" w:eastAsiaTheme="minorEastAsia" w:hAnsi="Times New Roman" w:cs="Times New Roman"/>
          <w:sz w:val="24"/>
          <w:szCs w:val="24"/>
        </w:rPr>
        <w:t>ni</w:t>
      </w:r>
      <w:r w:rsidR="005F6468">
        <w:rPr>
          <w:rFonts w:ascii="Times New Roman" w:eastAsiaTheme="minorEastAsia" w:hAnsi="Times New Roman" w:cs="Times New Roman"/>
          <w:sz w:val="24"/>
          <w:szCs w:val="24"/>
        </w:rPr>
        <w:t>a</w:t>
      </w:r>
      <w:r w:rsidR="00ED5025" w:rsidRPr="003A42FB">
        <w:rPr>
          <w:rFonts w:ascii="Times New Roman" w:eastAsiaTheme="minorEastAsia" w:hAnsi="Times New Roman" w:cs="Times New Roman"/>
          <w:sz w:val="24"/>
          <w:szCs w:val="24"/>
        </w:rPr>
        <w:t xml:space="preserve"> projektu instrukcji </w:t>
      </w:r>
      <w:r w:rsidR="00ED5025" w:rsidRPr="003A42FB">
        <w:rPr>
          <w:rFonts w:ascii="Times New Roman" w:eastAsiaTheme="minorEastAsia" w:hAnsi="Times New Roman" w:cs="Times New Roman"/>
          <w:sz w:val="24"/>
          <w:szCs w:val="24"/>
          <w:lang w:eastAsia="pl-PL"/>
        </w:rPr>
        <w:t>w zakresie rachunkowości regulacyjnej</w:t>
      </w:r>
      <w:r w:rsidR="00ED5025" w:rsidRPr="003A42FB">
        <w:rPr>
          <w:rFonts w:ascii="Times New Roman" w:eastAsiaTheme="minorEastAsia" w:hAnsi="Times New Roman" w:cs="Times New Roman"/>
          <w:sz w:val="24"/>
          <w:szCs w:val="24"/>
        </w:rPr>
        <w:t xml:space="preserve"> i projektu opisu kalkulacji kosztów</w:t>
      </w:r>
      <w:r w:rsidR="00ED5025">
        <w:rPr>
          <w:rFonts w:ascii="Times New Roman" w:eastAsiaTheme="minorEastAsia" w:hAnsi="Times New Roman" w:cs="Times New Roman"/>
          <w:sz w:val="24"/>
          <w:szCs w:val="24"/>
        </w:rPr>
        <w:t xml:space="preserve"> są zapisane w rozporządzeniu wydawanym na podstawie art. 2</w:t>
      </w:r>
      <w:r w:rsidR="009D2489">
        <w:rPr>
          <w:rFonts w:ascii="Times New Roman" w:eastAsiaTheme="minorEastAsia" w:hAnsi="Times New Roman" w:cs="Times New Roman"/>
          <w:sz w:val="24"/>
          <w:szCs w:val="24"/>
        </w:rPr>
        <w:t>55.</w:t>
      </w:r>
    </w:p>
    <w:p w14:paraId="1E85037F" w14:textId="6CC9A1D1" w:rsidR="00481C38" w:rsidRPr="003A42FB" w:rsidRDefault="00481C3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lang w:eastAsia="pl-PL"/>
        </w:rPr>
        <w:t xml:space="preserve">Ust. </w:t>
      </w:r>
      <w:r w:rsidR="00ED5025">
        <w:rPr>
          <w:rFonts w:ascii="Times New Roman" w:eastAsiaTheme="minorEastAsia" w:hAnsi="Times New Roman" w:cs="Times New Roman"/>
          <w:sz w:val="24"/>
          <w:szCs w:val="24"/>
          <w:lang w:eastAsia="pl-PL"/>
        </w:rPr>
        <w:t>6</w:t>
      </w:r>
      <w:r w:rsidR="00ED5025"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 xml:space="preserve">daje </w:t>
      </w:r>
      <w:r w:rsidRPr="003A42FB">
        <w:rPr>
          <w:rFonts w:ascii="Times New Roman" w:eastAsiaTheme="minorEastAsia" w:hAnsi="Times New Roman" w:cs="Times New Roman"/>
          <w:sz w:val="24"/>
          <w:szCs w:val="24"/>
        </w:rPr>
        <w:t xml:space="preserve">Prezesowi UKE prawo do zasięgnięcia opinii niezależnych biegłych rewidentów lub ekspertów w przypadku wątpliwości dotyczących </w:t>
      </w:r>
      <w:r w:rsidR="00AF1DD7" w:rsidRPr="003A42FB">
        <w:rPr>
          <w:rFonts w:ascii="Times New Roman" w:eastAsiaTheme="minorEastAsia" w:hAnsi="Times New Roman" w:cs="Times New Roman"/>
          <w:sz w:val="24"/>
          <w:szCs w:val="24"/>
        </w:rPr>
        <w:t xml:space="preserve">opracowanego </w:t>
      </w:r>
      <w:r w:rsidRPr="003A42FB">
        <w:rPr>
          <w:rFonts w:ascii="Times New Roman" w:eastAsiaTheme="minorEastAsia" w:hAnsi="Times New Roman" w:cs="Times New Roman"/>
          <w:sz w:val="24"/>
          <w:szCs w:val="24"/>
        </w:rPr>
        <w:t xml:space="preserve">przez przedsiębiorcę </w:t>
      </w:r>
      <w:r w:rsidR="00AF1DD7" w:rsidRPr="003A42FB">
        <w:rPr>
          <w:rFonts w:ascii="Times New Roman" w:eastAsiaTheme="minorEastAsia" w:hAnsi="Times New Roman" w:cs="Times New Roman"/>
          <w:sz w:val="24"/>
          <w:szCs w:val="24"/>
        </w:rPr>
        <w:t xml:space="preserve">projektu </w:t>
      </w:r>
      <w:r w:rsidRPr="003A42FB">
        <w:rPr>
          <w:rFonts w:ascii="Times New Roman" w:eastAsiaTheme="minorEastAsia" w:hAnsi="Times New Roman" w:cs="Times New Roman"/>
          <w:sz w:val="24"/>
          <w:szCs w:val="24"/>
        </w:rPr>
        <w:t xml:space="preserve">instrukcji i </w:t>
      </w:r>
      <w:r w:rsidR="00AF1DD7" w:rsidRPr="003A42FB">
        <w:rPr>
          <w:rFonts w:ascii="Times New Roman" w:eastAsiaTheme="minorEastAsia" w:hAnsi="Times New Roman" w:cs="Times New Roman"/>
          <w:sz w:val="24"/>
          <w:szCs w:val="24"/>
        </w:rPr>
        <w:t xml:space="preserve">projektu </w:t>
      </w:r>
      <w:r w:rsidRPr="003A42FB">
        <w:rPr>
          <w:rFonts w:ascii="Times New Roman" w:eastAsiaTheme="minorEastAsia" w:hAnsi="Times New Roman" w:cs="Times New Roman"/>
          <w:sz w:val="24"/>
          <w:szCs w:val="24"/>
        </w:rPr>
        <w:t>opisu kalkulacji kosztów oraz rzetelności i wiarygodności danych zawartych w sprawozdaniach z prowadzonej rachunkowości regulacyjnej i wynikach kalkulacji kosztów, co wynika z konieczności posiadania szczegółowej wiedzy i doświadczenia w zakresie rachunkowości i księgowości, żeby prawidłowo przeprowadzić proces zatwierdzania powyższych dokumentów.</w:t>
      </w:r>
    </w:p>
    <w:p w14:paraId="1CA6E9EF" w14:textId="740830C9" w:rsidR="00481C38" w:rsidRPr="003A42FB" w:rsidRDefault="00E355FD"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Przepisy ust. </w:t>
      </w:r>
      <w:r w:rsidR="005F6468">
        <w:rPr>
          <w:rFonts w:ascii="Times New Roman" w:eastAsiaTheme="minorEastAsia" w:hAnsi="Times New Roman" w:cs="Times New Roman"/>
          <w:sz w:val="24"/>
          <w:szCs w:val="24"/>
          <w:lang w:eastAsia="pl-PL"/>
        </w:rPr>
        <w:t xml:space="preserve"> </w:t>
      </w:r>
      <w:r w:rsidR="00AB5E58">
        <w:rPr>
          <w:rFonts w:ascii="Times New Roman" w:eastAsiaTheme="minorEastAsia" w:hAnsi="Times New Roman" w:cs="Times New Roman"/>
          <w:sz w:val="24"/>
          <w:szCs w:val="24"/>
          <w:lang w:eastAsia="pl-PL"/>
        </w:rPr>
        <w:t>7-10</w:t>
      </w:r>
      <w:r w:rsidR="00481C38" w:rsidRPr="003A42FB">
        <w:rPr>
          <w:rFonts w:ascii="Times New Roman" w:eastAsiaTheme="minorEastAsia" w:hAnsi="Times New Roman" w:cs="Times New Roman"/>
          <w:sz w:val="24"/>
          <w:szCs w:val="24"/>
          <w:lang w:eastAsia="pl-PL"/>
        </w:rPr>
        <w:t xml:space="preserve"> regulują procedurę i termin </w:t>
      </w:r>
      <w:r w:rsidR="00550FA4" w:rsidRPr="003A42FB">
        <w:rPr>
          <w:rFonts w:ascii="Times New Roman" w:eastAsiaTheme="minorEastAsia" w:hAnsi="Times New Roman" w:cs="Times New Roman"/>
          <w:sz w:val="24"/>
          <w:szCs w:val="24"/>
          <w:lang w:eastAsia="pl-PL"/>
        </w:rPr>
        <w:t xml:space="preserve">weryfikacji </w:t>
      </w:r>
      <w:r w:rsidR="00481C38" w:rsidRPr="003A42FB">
        <w:rPr>
          <w:rFonts w:ascii="Times New Roman" w:eastAsiaTheme="minorEastAsia" w:hAnsi="Times New Roman" w:cs="Times New Roman"/>
          <w:sz w:val="24"/>
          <w:szCs w:val="24"/>
          <w:lang w:eastAsia="pl-PL"/>
        </w:rPr>
        <w:t>sprawozdania z prowadzonej rachunkowości regulacyjnej oraz wyników kalkulacji kosztów, przeprowadzane</w:t>
      </w:r>
      <w:r w:rsidR="00550FA4" w:rsidRPr="003A42FB">
        <w:rPr>
          <w:rFonts w:ascii="Times New Roman" w:eastAsiaTheme="minorEastAsia" w:hAnsi="Times New Roman" w:cs="Times New Roman"/>
          <w:sz w:val="24"/>
          <w:szCs w:val="24"/>
          <w:lang w:eastAsia="pl-PL"/>
        </w:rPr>
        <w:t>j</w:t>
      </w:r>
      <w:r w:rsidR="00481C38" w:rsidRPr="003A42FB">
        <w:rPr>
          <w:rFonts w:ascii="Times New Roman" w:eastAsiaTheme="minorEastAsia" w:hAnsi="Times New Roman" w:cs="Times New Roman"/>
          <w:sz w:val="24"/>
          <w:szCs w:val="24"/>
          <w:lang w:eastAsia="pl-PL"/>
        </w:rPr>
        <w:t xml:space="preserve"> na koszt przedsiębiorcy </w:t>
      </w:r>
      <w:r w:rsidR="00481C38" w:rsidRPr="003A42FB">
        <w:rPr>
          <w:rFonts w:ascii="Times New Roman" w:eastAsiaTheme="minorEastAsia" w:hAnsi="Times New Roman" w:cs="Times New Roman"/>
          <w:sz w:val="24"/>
          <w:szCs w:val="24"/>
        </w:rPr>
        <w:t>komunikacji elektronicznej</w:t>
      </w:r>
      <w:r w:rsidR="00481C38" w:rsidRPr="003A42FB">
        <w:rPr>
          <w:rFonts w:ascii="Times New Roman" w:eastAsiaTheme="minorEastAsia" w:hAnsi="Times New Roman" w:cs="Times New Roman"/>
          <w:sz w:val="24"/>
          <w:szCs w:val="24"/>
          <w:lang w:eastAsia="pl-PL"/>
        </w:rPr>
        <w:t xml:space="preserve"> przez biegłego rewidenta, którego powołuje Prezes UKE oraz </w:t>
      </w:r>
      <w:r w:rsidR="00AF1DD7" w:rsidRPr="003A42FB">
        <w:rPr>
          <w:rFonts w:ascii="Times New Roman" w:eastAsiaTheme="minorEastAsia" w:hAnsi="Times New Roman" w:cs="Times New Roman"/>
          <w:sz w:val="24"/>
          <w:szCs w:val="24"/>
          <w:lang w:eastAsia="pl-PL"/>
        </w:rPr>
        <w:t xml:space="preserve">termin przekazywania tych dokumentów wraz ze </w:t>
      </w:r>
      <w:r w:rsidR="00AF1DD7" w:rsidRPr="003A42FB">
        <w:rPr>
          <w:rFonts w:ascii="Times New Roman" w:hAnsi="Times New Roman" w:cs="Times New Roman"/>
          <w:sz w:val="24"/>
          <w:szCs w:val="24"/>
        </w:rPr>
        <w:t>sprawozdaniem biegłego rewidenta z weryfikacji</w:t>
      </w:r>
      <w:r w:rsidR="00AF1DD7" w:rsidRPr="003A42FB">
        <w:rPr>
          <w:rFonts w:ascii="Times New Roman" w:eastAsiaTheme="minorEastAsia" w:hAnsi="Times New Roman" w:cs="Times New Roman"/>
          <w:sz w:val="24"/>
          <w:szCs w:val="24"/>
          <w:lang w:eastAsia="pl-PL"/>
        </w:rPr>
        <w:t xml:space="preserve"> dla Prezesa UKE oraz termin ich udostępnienia </w:t>
      </w:r>
      <w:r w:rsidR="00481C38" w:rsidRPr="003A42FB">
        <w:rPr>
          <w:rFonts w:ascii="Times New Roman" w:eastAsiaTheme="minorEastAsia" w:hAnsi="Times New Roman" w:cs="Times New Roman"/>
          <w:sz w:val="24"/>
          <w:szCs w:val="24"/>
          <w:lang w:eastAsia="pl-PL"/>
        </w:rPr>
        <w:t xml:space="preserve">na stronie podmiotowej BIP UKE. </w:t>
      </w:r>
    </w:p>
    <w:p w14:paraId="2E8C2EAC" w14:textId="77777777" w:rsidR="00481C38" w:rsidRPr="003A42FB" w:rsidRDefault="00481C38"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lastRenderedPageBreak/>
        <w:t>Weryfikacja sprawozdań z rachunkowości regulacyjnej oraz wyników kalkulacji kosztów i publikacja tych dokumentów wraz z opinią z ww. weryfikacji jest wymagana przepisami art. 71 ust. 2 oraz 74 ust. 4 EKŁE i zapewnia zachowanie obowiązku przejrzystości i dostępu do informacji.</w:t>
      </w:r>
    </w:p>
    <w:p w14:paraId="0B42608F" w14:textId="7944719F" w:rsidR="00481C38" w:rsidRPr="003A42FB" w:rsidRDefault="00481C3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D27B0D" w:rsidRPr="003A42FB">
        <w:rPr>
          <w:rFonts w:ascii="Times New Roman" w:eastAsiaTheme="minorEastAsia" w:hAnsi="Times New Roman" w:cs="Times New Roman"/>
          <w:b/>
          <w:bCs/>
          <w:sz w:val="24"/>
          <w:szCs w:val="24"/>
        </w:rPr>
        <w:t xml:space="preserve"> </w:t>
      </w:r>
      <w:r w:rsidR="009D2489" w:rsidRPr="003A42FB">
        <w:rPr>
          <w:rFonts w:ascii="Times New Roman" w:eastAsiaTheme="minorEastAsia" w:hAnsi="Times New Roman" w:cs="Times New Roman"/>
          <w:b/>
          <w:bCs/>
          <w:sz w:val="24"/>
          <w:szCs w:val="24"/>
        </w:rPr>
        <w:t>2</w:t>
      </w:r>
      <w:r w:rsidR="009D2489">
        <w:rPr>
          <w:rFonts w:ascii="Times New Roman" w:eastAsiaTheme="minorEastAsia" w:hAnsi="Times New Roman" w:cs="Times New Roman"/>
          <w:b/>
          <w:bCs/>
          <w:sz w:val="24"/>
          <w:szCs w:val="24"/>
        </w:rPr>
        <w:t>58</w:t>
      </w:r>
    </w:p>
    <w:p w14:paraId="3700FDFA" w14:textId="33F190C0" w:rsidR="00481C38" w:rsidRPr="003A42FB" w:rsidRDefault="00D27B0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Projektowany przepis</w:t>
      </w:r>
      <w:r w:rsidR="00481C38" w:rsidRPr="003A42FB">
        <w:rPr>
          <w:rFonts w:ascii="Times New Roman" w:eastAsiaTheme="minorEastAsia" w:hAnsi="Times New Roman" w:cs="Times New Roman"/>
          <w:sz w:val="24"/>
          <w:szCs w:val="24"/>
        </w:rPr>
        <w:t xml:space="preserve"> reguluje przepisy dotyczące </w:t>
      </w:r>
      <w:r w:rsidR="7D737702" w:rsidRPr="003A42FB">
        <w:rPr>
          <w:rFonts w:ascii="Times New Roman" w:eastAsiaTheme="minorEastAsia" w:hAnsi="Times New Roman" w:cs="Times New Roman"/>
          <w:sz w:val="24"/>
          <w:szCs w:val="24"/>
        </w:rPr>
        <w:t>udostępniania</w:t>
      </w:r>
      <w:r w:rsidR="00481C38" w:rsidRPr="003A42FB">
        <w:rPr>
          <w:rFonts w:ascii="Times New Roman" w:eastAsiaTheme="minorEastAsia" w:hAnsi="Times New Roman" w:cs="Times New Roman"/>
          <w:sz w:val="24"/>
          <w:szCs w:val="24"/>
        </w:rPr>
        <w:t xml:space="preserve"> na stronie </w:t>
      </w:r>
      <w:r w:rsidR="53943D8E" w:rsidRPr="003A42FB">
        <w:rPr>
          <w:rFonts w:ascii="Times New Roman" w:eastAsiaTheme="minorEastAsia" w:hAnsi="Times New Roman" w:cs="Times New Roman"/>
          <w:sz w:val="24"/>
          <w:szCs w:val="24"/>
        </w:rPr>
        <w:t xml:space="preserve">podmiotowej </w:t>
      </w:r>
      <w:r w:rsidR="00481C38" w:rsidRPr="003A42FB">
        <w:rPr>
          <w:rFonts w:ascii="Times New Roman" w:eastAsiaTheme="minorEastAsia" w:hAnsi="Times New Roman" w:cs="Times New Roman"/>
          <w:sz w:val="24"/>
          <w:szCs w:val="24"/>
        </w:rPr>
        <w:t xml:space="preserve">BIP UKE instrukcji </w:t>
      </w:r>
      <w:r w:rsidR="00481C38" w:rsidRPr="003A42FB">
        <w:rPr>
          <w:rFonts w:ascii="Times New Roman" w:eastAsiaTheme="minorEastAsia" w:hAnsi="Times New Roman" w:cs="Times New Roman"/>
          <w:sz w:val="24"/>
          <w:szCs w:val="24"/>
          <w:lang w:eastAsia="pl-PL"/>
        </w:rPr>
        <w:t xml:space="preserve">w zakresie rachunkowości regulacyjnej oraz opisu kalkulacji kosztów, te artykuły wdrażają </w:t>
      </w:r>
      <w:r w:rsidR="00481C38" w:rsidRPr="003A42FB">
        <w:rPr>
          <w:rFonts w:ascii="Times New Roman" w:eastAsiaTheme="minorEastAsia" w:hAnsi="Times New Roman" w:cs="Times New Roman"/>
          <w:sz w:val="24"/>
          <w:szCs w:val="24"/>
        </w:rPr>
        <w:t xml:space="preserve">art. 71 ust. 2 oraz 74 ust. 4 EKŁE </w:t>
      </w:r>
      <w:r w:rsidR="00481C38" w:rsidRPr="003A42FB">
        <w:rPr>
          <w:rFonts w:ascii="Times New Roman" w:eastAsiaTheme="minorEastAsia" w:hAnsi="Times New Roman" w:cs="Times New Roman"/>
          <w:sz w:val="24"/>
          <w:szCs w:val="24"/>
          <w:lang w:eastAsia="pl-PL"/>
        </w:rPr>
        <w:t>i zapewniają zachowanie obowiązku przejrzystości i dostępu do informacji.</w:t>
      </w:r>
    </w:p>
    <w:p w14:paraId="55966FA2" w14:textId="77777777" w:rsidR="0040394D" w:rsidRPr="003A42FB" w:rsidRDefault="0040394D" w:rsidP="00C53EAB">
      <w:pPr>
        <w:pStyle w:val="TYTDZPRZEDMprzedmiotregulacjitytuulubdziau"/>
        <w:spacing w:before="0" w:after="120" w:line="240" w:lineRule="auto"/>
        <w:jc w:val="both"/>
        <w:rPr>
          <w:rFonts w:ascii="Times New Roman" w:eastAsiaTheme="minorEastAsia" w:hAnsi="Times New Roman"/>
          <w:szCs w:val="24"/>
        </w:rPr>
      </w:pPr>
      <w:r w:rsidRPr="003A42FB">
        <w:rPr>
          <w:rFonts w:ascii="Times New Roman" w:eastAsiaTheme="minorEastAsia" w:hAnsi="Times New Roman"/>
          <w:szCs w:val="24"/>
        </w:rPr>
        <w:t xml:space="preserve">Dział V. Operator multipleksu i dostęp do multipleksu </w:t>
      </w:r>
    </w:p>
    <w:p w14:paraId="19B26F13" w14:textId="6A21EB45" w:rsidR="003405EC" w:rsidRPr="003A42FB" w:rsidRDefault="003405E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lang w:eastAsia="pl-PL"/>
        </w:rPr>
        <w:t xml:space="preserve">Zgodnie z zaprojektowanym art. </w:t>
      </w:r>
      <w:r w:rsidR="1987BC15" w:rsidRPr="003A42FB">
        <w:rPr>
          <w:rFonts w:ascii="Times New Roman" w:eastAsiaTheme="minorEastAsia" w:hAnsi="Times New Roman" w:cs="Times New Roman"/>
          <w:sz w:val="24"/>
          <w:szCs w:val="24"/>
          <w:lang w:eastAsia="pl-PL"/>
        </w:rPr>
        <w:t>234</w:t>
      </w:r>
      <w:r w:rsidRPr="003A42FB">
        <w:rPr>
          <w:rFonts w:ascii="Times New Roman" w:eastAsiaTheme="minorEastAsia" w:hAnsi="Times New Roman" w:cs="Times New Roman"/>
          <w:sz w:val="24"/>
          <w:szCs w:val="24"/>
          <w:lang w:eastAsia="pl-PL"/>
        </w:rPr>
        <w:t xml:space="preserve"> operator multipleksu będzie ustawowo obowiązany do umieszczania oraz rozpowszechniania w multipleksie programów radiofonicznych i telewizyjnych wskazanych w koncesji, jako przeznaczonych do rozpowszechniania lub rozprowadzania w tym multipleksie, zapewnienia dostępu do multipleksu nadawcy, który </w:t>
      </w:r>
      <w:r w:rsidRPr="003A42FB">
        <w:rPr>
          <w:rFonts w:ascii="Times New Roman" w:eastAsiaTheme="minorEastAsia" w:hAnsi="Times New Roman" w:cs="Times New Roman"/>
          <w:sz w:val="24"/>
          <w:szCs w:val="24"/>
        </w:rPr>
        <w:t>uzyskał koncesję na rozpowszechnianie programu radiofonicznego lub telewizyjnego w sposób cyfrowy drogą rozsiewczą naziemną w tym multipleksie,</w:t>
      </w:r>
      <w:r w:rsidRPr="003A42FB">
        <w:rPr>
          <w:rFonts w:ascii="Times New Roman" w:eastAsiaTheme="minorEastAsia" w:hAnsi="Times New Roman" w:cs="Times New Roman"/>
          <w:sz w:val="24"/>
          <w:szCs w:val="24"/>
          <w:lang w:eastAsia="pl-PL"/>
        </w:rPr>
        <w:t xml:space="preserve"> na warunkach równych i niedyskryminujących.</w:t>
      </w:r>
      <w:r w:rsidRPr="003A42FB">
        <w:rPr>
          <w:rFonts w:ascii="Times New Roman" w:eastAsiaTheme="minorEastAsia" w:hAnsi="Times New Roman" w:cs="Times New Roman"/>
          <w:sz w:val="24"/>
          <w:szCs w:val="24"/>
        </w:rPr>
        <w:t xml:space="preserve"> Ponadto operator multipleksu powinien zapewnić nieprzerwaną cyfrową transmisję sygnału multipleksu, chyba że przerwa nastąpiła z przyczyn technicznych lub nadawca zaprzestał udostępniania programu.</w:t>
      </w:r>
    </w:p>
    <w:p w14:paraId="776E7A6C"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Warunki uznane zostają za dyskryminujące, jeżeli operator multipleksu oferuje nadawcy tę samą usługę dostępu, na innych warunkach niż uprzednio oferował ją innemu nadawcy i gdy po stronie operatora multipleksu nie zachodzą żadne uzasadnione powody do zmiany oferty. Rozwiązanie to uwzględnia zalecenie </w:t>
      </w:r>
      <w:r w:rsidRPr="003A42FB">
        <w:rPr>
          <w:rStyle w:val="Pogrubienie"/>
          <w:rFonts w:ascii="Times New Roman" w:eastAsiaTheme="minorEastAsia" w:hAnsi="Times New Roman" w:cs="Times New Roman"/>
          <w:b w:val="0"/>
          <w:bCs w:val="0"/>
          <w:sz w:val="24"/>
          <w:szCs w:val="24"/>
          <w:shd w:val="clear" w:color="auto" w:fill="FFFFFF"/>
        </w:rPr>
        <w:t>CM/Rec(2018)1</w:t>
      </w:r>
      <w:r w:rsidRPr="003A42FB">
        <w:rPr>
          <w:rStyle w:val="Pogrubienie"/>
          <w:rFonts w:ascii="Times New Roman" w:eastAsiaTheme="minorEastAsia" w:hAnsi="Times New Roman" w:cs="Times New Roman"/>
          <w:sz w:val="24"/>
          <w:szCs w:val="24"/>
          <w:shd w:val="clear" w:color="auto" w:fill="FFFFFF"/>
        </w:rPr>
        <w:t xml:space="preserve"> </w:t>
      </w:r>
      <w:r w:rsidRPr="003A42FB">
        <w:rPr>
          <w:rFonts w:ascii="Times New Roman" w:eastAsiaTheme="minorEastAsia" w:hAnsi="Times New Roman" w:cs="Times New Roman"/>
          <w:sz w:val="24"/>
          <w:szCs w:val="24"/>
          <w:lang w:eastAsia="pl-PL"/>
        </w:rPr>
        <w:t>Komitetu Ministrów dla państw członkowskich w sprawie pluralizmu w mediach i przejrzystości w zakresie własności mediów (przyjęte przez Komitet Ministrów 7 marca 2018 na 1309 spotkaniu Przedstawicieli Ministrów), zgodnie z którym państwa członkowskie powinny zapewnić, że dostawcy zawartości mają uczciwy dostęp do elektronicznych sieci komunikacyjnych.</w:t>
      </w:r>
    </w:p>
    <w:p w14:paraId="4DFD034D"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Warunki dostępu do multipleksu zostaną określone w umowie. Zawarcie umowy powinno zostać poprzedzone negocjacjami. W umowie o dostępie do multipleksu operator multipleksu zobowiązuje się do zapewnienia dostępu do multipleksu za wynagrodzeniem oraz poniesienia wydatków z tytułu świadczenia usługi transmisji sygnału multipleksu, a nadawca zobowiązuje się do współdziałania z operatorem multipleksu, w szczególności poprzez udostępnienie swojego programu telewizyjnego.</w:t>
      </w:r>
    </w:p>
    <w:p w14:paraId="6E959A33"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Projektowane przepisy określają minimalny zakres postanowień, jakie powinny znaleźć się w umowie o dostępie do multipleksu. Zgodnie z zaprojektowanym przepisem umowa o dostępie do multipleksu powinna zawierać postanowienia dotyczące co najmniej:</w:t>
      </w:r>
    </w:p>
    <w:p w14:paraId="7DDBE682"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warunków technicznych dostępu do multipleksu;</w:t>
      </w:r>
    </w:p>
    <w:p w14:paraId="5C575B36"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rozliczeń z tytułu zapewnienia dostępu do multipleksu;</w:t>
      </w:r>
    </w:p>
    <w:p w14:paraId="2F025086"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postępowania w przypadku zmiany treści umowy;</w:t>
      </w:r>
    </w:p>
    <w:p w14:paraId="197DFEBD"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warunków rozwiązania umowy;</w:t>
      </w:r>
    </w:p>
    <w:p w14:paraId="033C6A04"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okresu obowiązywania umowy;</w:t>
      </w:r>
    </w:p>
    <w:p w14:paraId="4B921109"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sposobu i wysokości wynagrodzenia operatora multipleksu;</w:t>
      </w:r>
    </w:p>
    <w:p w14:paraId="79588550" w14:textId="77777777" w:rsidR="003405EC" w:rsidRPr="003A42FB" w:rsidRDefault="003405EC" w:rsidP="00C53EAB">
      <w:pPr>
        <w:numPr>
          <w:ilvl w:val="0"/>
          <w:numId w:val="38"/>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wykazu dokumentów, jakie strony umowy są obowiązane uzyskać lub dostarczyć w celu realizacji umowy wraz z podaniem terminów, w jakich powinno to nastąpić.</w:t>
      </w:r>
    </w:p>
    <w:p w14:paraId="77747035"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lastRenderedPageBreak/>
        <w:t>Projektowane przepisy ustawy nakładają obowiązki zarówno na operatora multipleksu, jak i nadawców, których programy będą rozprowadzane w multipleksie. Ponadto zapewnienie konsumentom atrakcyjnej oferty programowej wymagać będzie zwłaszcza w pierwszym etapie cyfryzacji przeprowadzenia skutecznych negocjacji między nadawcami prywatnymi a nadawcą publicznym. Przyznaje się Prezesowi UKE kompetencję do określenia terminu zakończenia negocjacji o zawarcie umowy o dostęp do multipleksu. Postanowienie w tym zakresie będzie wydane na pisemny wniosek każdej ze stron negocjacji lub z urzędu. Termin zakończenia negocjacji określony przez Prezesa UKE nie będzie mógł być dłuższy niż 90 dni, licząc od dnia wystąpienia z wnioskiem o zawarcie umowy o dostępie.</w:t>
      </w:r>
    </w:p>
    <w:p w14:paraId="21BEC4F4"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Może zaistnieć sytuacja, w której konieczne będzie zastosowanie rozwiązań, które umożliwią skuteczne rozstrzyganie kwestii spornych, jak również ustalenie zasad wzajemnej współpracy podmiotów uczestniczących w tym procesie przez niezależny podmiot. Dlatego też w ustawie zawarte zostały regulacje umożliwiające skuteczne i bezstronne rozstrzyganie kwestii spornych. Projektowane przepisy przyznają każdej ze stron negocjowanej umowy o dostępie do multipleksu prawo do wystąpienia do Prezesa UKE z wnioskiem o wydanie decyzji w sprawie rozstrzygnięcia kwestii spornych lub określenia warunków współpracy (w przypadku niepodjęcia negocjacji o zawarcie umowy o dostępie do multipleksu, niezawarcia umowy w terminie 90 dni, licząc od dnia wystąpienia z wnioskiem o zawarcie umowy o dostępie, niezawarcia umowy o dostępie w terminie określonym jako termin zakończenia negocjacji przez Prezesa UKE w drodze postanowienia lub odmowy udzielenia dostępu do multipleksu). </w:t>
      </w:r>
    </w:p>
    <w:p w14:paraId="4D4FCD92"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Zasadne jest także określenie, co powinien zawierać wniosek w przedmiocie rozstrzygnięcia kwestii spornych lub ustalenia warunków współpracy. Wniosek ten powinien zawierać projekt umowy o dostępie wraz ze stanowiskami stron, z zaznaczeniem tych części umowy, co do których strony nie doszły do porozumienia. Prezes UKE będzie także uprawniony do wystąpienia z żądaniem przekazania, w terminie 14 dni od dnia otrzymania żądania, stanowisk stron wobec rozbieżności oraz dokumentów niezbędnych do rozpatrzenia wniosku.</w:t>
      </w:r>
    </w:p>
    <w:p w14:paraId="1F65D538"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Podjęcie przez Prezesa UKE decyzji o dostępie do multipleksu uwarunkowane powin</w:t>
      </w:r>
      <w:r w:rsidR="005B5553" w:rsidRPr="003A42FB">
        <w:rPr>
          <w:rFonts w:ascii="Times New Roman" w:eastAsiaTheme="minorEastAsia" w:hAnsi="Times New Roman" w:cs="Times New Roman"/>
          <w:sz w:val="24"/>
          <w:szCs w:val="24"/>
          <w:lang w:eastAsia="pl-PL"/>
        </w:rPr>
        <w:t>no być następującymi kryteriami</w:t>
      </w:r>
      <w:r w:rsidRPr="003A42FB">
        <w:rPr>
          <w:rFonts w:ascii="Times New Roman" w:eastAsiaTheme="minorEastAsia" w:hAnsi="Times New Roman" w:cs="Times New Roman"/>
          <w:sz w:val="24"/>
          <w:szCs w:val="24"/>
          <w:lang w:eastAsia="pl-PL"/>
        </w:rPr>
        <w:t>:</w:t>
      </w:r>
    </w:p>
    <w:p w14:paraId="439F6738" w14:textId="77777777" w:rsidR="003405EC" w:rsidRPr="003A42FB" w:rsidRDefault="003405EC" w:rsidP="00C53EAB">
      <w:pPr>
        <w:numPr>
          <w:ilvl w:val="0"/>
          <w:numId w:val="37"/>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charakter</w:t>
      </w:r>
      <w:r w:rsidR="005B5553" w:rsidRPr="003A42FB">
        <w:rPr>
          <w:rFonts w:ascii="Times New Roman" w:eastAsiaTheme="minorEastAsia" w:hAnsi="Times New Roman" w:cs="Times New Roman"/>
          <w:sz w:val="24"/>
          <w:szCs w:val="24"/>
          <w:lang w:eastAsia="pl-PL"/>
        </w:rPr>
        <w:t>em</w:t>
      </w:r>
      <w:r w:rsidRPr="003A42FB">
        <w:rPr>
          <w:rFonts w:ascii="Times New Roman" w:eastAsiaTheme="minorEastAsia" w:hAnsi="Times New Roman" w:cs="Times New Roman"/>
          <w:sz w:val="24"/>
          <w:szCs w:val="24"/>
          <w:lang w:eastAsia="pl-PL"/>
        </w:rPr>
        <w:t xml:space="preserve"> zaistniałych kwestii spornych oraz praktyczną możliwość wdrożenia rozwiązań dotyczących technicznych i ekonomicznych warunków dostępu do multipleksu;</w:t>
      </w:r>
    </w:p>
    <w:p w14:paraId="62AD5FB5" w14:textId="77777777" w:rsidR="003405EC" w:rsidRPr="003A42FB" w:rsidRDefault="005B5553" w:rsidP="00C53EAB">
      <w:pPr>
        <w:numPr>
          <w:ilvl w:val="0"/>
          <w:numId w:val="37"/>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obowiązkami</w:t>
      </w:r>
      <w:r w:rsidR="003405EC" w:rsidRPr="003A42FB">
        <w:rPr>
          <w:rFonts w:ascii="Times New Roman" w:eastAsiaTheme="minorEastAsia" w:hAnsi="Times New Roman" w:cs="Times New Roman"/>
          <w:sz w:val="24"/>
          <w:szCs w:val="24"/>
          <w:lang w:eastAsia="pl-PL"/>
        </w:rPr>
        <w:t xml:space="preserve"> operatora multipleksu;</w:t>
      </w:r>
    </w:p>
    <w:p w14:paraId="7DE117FB" w14:textId="77777777" w:rsidR="003405EC" w:rsidRPr="003A42FB" w:rsidRDefault="005B5553" w:rsidP="00C53EAB">
      <w:pPr>
        <w:numPr>
          <w:ilvl w:val="0"/>
          <w:numId w:val="37"/>
        </w:num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koniecznością</w:t>
      </w:r>
      <w:r w:rsidR="003405EC" w:rsidRPr="003A42FB">
        <w:rPr>
          <w:rFonts w:ascii="Times New Roman" w:eastAsiaTheme="minorEastAsia" w:hAnsi="Times New Roman" w:cs="Times New Roman"/>
          <w:sz w:val="24"/>
          <w:szCs w:val="24"/>
          <w:lang w:eastAsia="pl-PL"/>
        </w:rPr>
        <w:t xml:space="preserve"> zapewnienia:</w:t>
      </w:r>
    </w:p>
    <w:p w14:paraId="4F57E101" w14:textId="77777777" w:rsidR="003405EC" w:rsidRPr="003A42FB" w:rsidRDefault="003405EC" w:rsidP="00C53EAB">
      <w:pPr>
        <w:numPr>
          <w:ilvl w:val="0"/>
          <w:numId w:val="39"/>
        </w:numPr>
        <w:spacing w:after="120" w:line="240" w:lineRule="auto"/>
        <w:ind w:firstLine="0"/>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niedyskryminujących i równych warunków dostępu do multipleksu,</w:t>
      </w:r>
    </w:p>
    <w:p w14:paraId="400C01E0" w14:textId="77777777" w:rsidR="003405EC" w:rsidRPr="003A42FB" w:rsidRDefault="003405EC" w:rsidP="00C53EAB">
      <w:pPr>
        <w:numPr>
          <w:ilvl w:val="0"/>
          <w:numId w:val="39"/>
        </w:numPr>
        <w:spacing w:after="120" w:line="240" w:lineRule="auto"/>
        <w:ind w:firstLine="0"/>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rozwoju konkurencyjnego rynku usług medialnych. </w:t>
      </w:r>
    </w:p>
    <w:p w14:paraId="00985C66"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Taka decyzja zastępuje umowę o dostępie do multipleksu w zakresie objętym tą decyzją. Ponadto decyzja ta w zakresie obowiązków i zadań przedsiębiorcy w zakresie zawartości programowej, w tym transmisji obowiązkowej, podejmowana jest w porozumieniu z Krajową Radą Radiofonii i Telewizji, która powinna uwzględnić pozaekonomiczne interesy narodowe dotyczące kultury, języka i pluralizmu mediów. Pojęcie transmisji obowiązkowej, o którym mowa w tym przepisie, należy rozumieć w znaczeniu używanym na gruncie ustawy o radiofonii i telewizji. </w:t>
      </w:r>
    </w:p>
    <w:p w14:paraId="6868FC69" w14:textId="77777777" w:rsidR="003405EC" w:rsidRPr="003A42FB" w:rsidRDefault="003405EC"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 xml:space="preserve">W konsekwencji powyższych uregulowań Prezes UKE będzie mógł w drodze decyzji zmienić treść umowy o dostępie do multipleksu lub zobowiązać strony umowy do jej zmiany, w przypadkach uzasadnionych potrzebą zapewnienia dostępu do multipleksu na warunkach </w:t>
      </w:r>
      <w:r w:rsidRPr="003A42FB">
        <w:rPr>
          <w:rFonts w:ascii="Times New Roman" w:eastAsiaTheme="minorEastAsia" w:hAnsi="Times New Roman" w:cs="Times New Roman"/>
          <w:sz w:val="24"/>
          <w:szCs w:val="24"/>
          <w:lang w:eastAsia="pl-PL"/>
        </w:rPr>
        <w:lastRenderedPageBreak/>
        <w:t xml:space="preserve">równych i niedyskryminujących. Decyzja ta w zakresie zawartości programowej, podejmowana jest w porozumieniu z Krajową Radą Radiofonii i Telewizji. </w:t>
      </w:r>
    </w:p>
    <w:p w14:paraId="08C48489" w14:textId="6A337AB4" w:rsidR="00E355FD" w:rsidRPr="003A42FB" w:rsidRDefault="46CA5422"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lang w:eastAsia="pl-PL"/>
        </w:rPr>
        <w:t>Analogiczne regulacje funkcjonowały w ustawie Pt.</w:t>
      </w:r>
    </w:p>
    <w:p w14:paraId="2E3DFB98" w14:textId="7C47B2E3" w:rsidR="0040394D" w:rsidRPr="003A42FB" w:rsidRDefault="0040394D" w:rsidP="00C53EAB">
      <w:pPr>
        <w:pStyle w:val="ROZDZODDZPRZEDMprzedmiotregulacjirozdziauluboddziau"/>
        <w:spacing w:before="0" w:after="120" w:line="240" w:lineRule="auto"/>
        <w:jc w:val="both"/>
        <w:rPr>
          <w:rFonts w:ascii="Times New Roman" w:hAnsi="Times New Roman"/>
        </w:rPr>
      </w:pPr>
      <w:r w:rsidRPr="003A42FB">
        <w:rPr>
          <w:rFonts w:ascii="Times New Roman" w:hAnsi="Times New Roman"/>
        </w:rPr>
        <w:t xml:space="preserve">Dział VI. Urządzenia radiowe – art. </w:t>
      </w:r>
      <w:r w:rsidR="00093AD3">
        <w:rPr>
          <w:rFonts w:ascii="Times New Roman" w:hAnsi="Times New Roman"/>
        </w:rPr>
        <w:t>267</w:t>
      </w:r>
      <w:r w:rsidR="2855FE25" w:rsidRPr="003A42FB">
        <w:rPr>
          <w:rFonts w:ascii="Times New Roman" w:hAnsi="Times New Roman"/>
        </w:rPr>
        <w:t>-</w:t>
      </w:r>
      <w:r w:rsidR="00093AD3">
        <w:rPr>
          <w:rFonts w:ascii="Times New Roman" w:hAnsi="Times New Roman"/>
        </w:rPr>
        <w:t>276</w:t>
      </w:r>
    </w:p>
    <w:p w14:paraId="12BAF5C1" w14:textId="77777777" w:rsidR="00EB1A63" w:rsidRPr="003A42FB" w:rsidRDefault="00DA0D58" w:rsidP="24A5FBB1">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sz w:val="24"/>
          <w:szCs w:val="24"/>
        </w:rPr>
        <w:t xml:space="preserve">Projektowane przepisy </w:t>
      </w:r>
      <w:r w:rsidR="0040394D" w:rsidRPr="003A42FB">
        <w:rPr>
          <w:rFonts w:ascii="Times New Roman" w:eastAsiaTheme="minorEastAsia" w:hAnsi="Times New Roman" w:cs="Times New Roman"/>
          <w:sz w:val="24"/>
          <w:szCs w:val="24"/>
        </w:rPr>
        <w:t xml:space="preserve">działu VI. </w:t>
      </w:r>
      <w:r w:rsidRPr="003A42FB">
        <w:rPr>
          <w:rFonts w:ascii="Times New Roman" w:eastAsiaTheme="minorEastAsia" w:hAnsi="Times New Roman" w:cs="Times New Roman"/>
          <w:sz w:val="24"/>
          <w:szCs w:val="24"/>
        </w:rPr>
        <w:t>stanowią w przeważającej mierze</w:t>
      </w:r>
      <w:r w:rsidR="0040394D" w:rsidRPr="003A42FB">
        <w:rPr>
          <w:rFonts w:ascii="Times New Roman" w:eastAsiaTheme="minorEastAsia" w:hAnsi="Times New Roman" w:cs="Times New Roman"/>
          <w:sz w:val="24"/>
          <w:szCs w:val="24"/>
        </w:rPr>
        <w:t xml:space="preserve"> </w:t>
      </w:r>
      <w:r w:rsidR="005B5553" w:rsidRPr="003A42FB">
        <w:rPr>
          <w:rFonts w:ascii="Times New Roman" w:eastAsiaTheme="minorEastAsia" w:hAnsi="Times New Roman" w:cs="Times New Roman"/>
          <w:sz w:val="24"/>
          <w:szCs w:val="24"/>
        </w:rPr>
        <w:t>powtórzenie przepisów art. 152-</w:t>
      </w:r>
      <w:r w:rsidR="0040394D" w:rsidRPr="003A42FB">
        <w:rPr>
          <w:rFonts w:ascii="Times New Roman" w:eastAsiaTheme="minorEastAsia" w:hAnsi="Times New Roman" w:cs="Times New Roman"/>
          <w:sz w:val="24"/>
          <w:szCs w:val="24"/>
        </w:rPr>
        <w:t>158c Pt i mają na celu</w:t>
      </w:r>
      <w:r w:rsidRPr="003A42FB">
        <w:rPr>
          <w:rFonts w:ascii="Times New Roman" w:eastAsiaTheme="minorEastAsia" w:hAnsi="Times New Roman" w:cs="Times New Roman"/>
          <w:sz w:val="24"/>
          <w:szCs w:val="24"/>
        </w:rPr>
        <w:t xml:space="preserve"> wdrożenie dyrektywy </w:t>
      </w:r>
      <w:r w:rsidR="00A11F34" w:rsidRPr="003A42FB">
        <w:rPr>
          <w:rFonts w:ascii="Times New Roman" w:eastAsiaTheme="minorEastAsia" w:hAnsi="Times New Roman" w:cs="Times New Roman"/>
          <w:sz w:val="24"/>
          <w:szCs w:val="24"/>
          <w:shd w:val="clear" w:color="auto" w:fill="FFFFFF"/>
        </w:rPr>
        <w:t xml:space="preserve">Parlamentu Europejskiego i Rady 2014/53/UE z dnia 16 kwietnia 2014 r. w sprawie harmonizacji ustawodawstw państw członkowskich dotyczących udostępniania na rynku urządzeń radiowych i uchylającej dyrektywę 1999/5/WE. Dyrektywa ta określa </w:t>
      </w:r>
      <w:r w:rsidR="005A3BDF" w:rsidRPr="003A42FB">
        <w:rPr>
          <w:rFonts w:ascii="Times New Roman" w:eastAsiaTheme="minorEastAsia" w:hAnsi="Times New Roman" w:cs="Times New Roman"/>
          <w:sz w:val="24"/>
          <w:szCs w:val="24"/>
          <w:shd w:val="clear" w:color="auto" w:fill="FFFFFF"/>
        </w:rPr>
        <w:t xml:space="preserve">m.in. </w:t>
      </w:r>
      <w:r w:rsidR="00A11F34" w:rsidRPr="003A42FB">
        <w:rPr>
          <w:rFonts w:ascii="Times New Roman" w:eastAsiaTheme="minorEastAsia" w:hAnsi="Times New Roman" w:cs="Times New Roman"/>
          <w:sz w:val="24"/>
          <w:szCs w:val="24"/>
          <w:shd w:val="clear" w:color="auto" w:fill="FFFFFF"/>
        </w:rPr>
        <w:t>wymagania jakie muszą spełniać urządzenia radiowe wprowadzane do obrotu lub oddawane do użytku</w:t>
      </w:r>
      <w:r w:rsidR="00E52448" w:rsidRPr="003A42FB">
        <w:rPr>
          <w:rFonts w:ascii="Times New Roman" w:eastAsiaTheme="minorEastAsia" w:hAnsi="Times New Roman" w:cs="Times New Roman"/>
          <w:sz w:val="24"/>
          <w:szCs w:val="24"/>
          <w:shd w:val="clear" w:color="auto" w:fill="FFFFFF"/>
        </w:rPr>
        <w:t>;</w:t>
      </w:r>
      <w:r w:rsidR="005A3BDF" w:rsidRPr="003A42FB">
        <w:rPr>
          <w:rFonts w:ascii="Times New Roman" w:eastAsiaTheme="minorEastAsia" w:hAnsi="Times New Roman" w:cs="Times New Roman"/>
          <w:sz w:val="24"/>
          <w:szCs w:val="24"/>
          <w:shd w:val="clear" w:color="auto" w:fill="FFFFFF"/>
        </w:rPr>
        <w:t xml:space="preserve"> ob</w:t>
      </w:r>
      <w:r w:rsidR="00E52448" w:rsidRPr="003A42FB">
        <w:rPr>
          <w:rFonts w:ascii="Times New Roman" w:eastAsiaTheme="minorEastAsia" w:hAnsi="Times New Roman" w:cs="Times New Roman"/>
          <w:sz w:val="24"/>
          <w:szCs w:val="24"/>
          <w:shd w:val="clear" w:color="auto" w:fill="FFFFFF"/>
        </w:rPr>
        <w:t>owiązki producentów, importerów;</w:t>
      </w:r>
      <w:r w:rsidR="005A3BDF" w:rsidRPr="003A42FB">
        <w:rPr>
          <w:rFonts w:ascii="Times New Roman" w:eastAsiaTheme="minorEastAsia" w:hAnsi="Times New Roman" w:cs="Times New Roman"/>
          <w:sz w:val="24"/>
          <w:szCs w:val="24"/>
          <w:shd w:val="clear" w:color="auto" w:fill="FFFFFF"/>
        </w:rPr>
        <w:t xml:space="preserve"> zasady ekspozycji urządzeń radiowych na targach i wystawach</w:t>
      </w:r>
      <w:r w:rsidR="00E52448" w:rsidRPr="003A42FB">
        <w:rPr>
          <w:rFonts w:ascii="Times New Roman" w:eastAsiaTheme="minorEastAsia" w:hAnsi="Times New Roman" w:cs="Times New Roman"/>
          <w:sz w:val="24"/>
          <w:szCs w:val="24"/>
          <w:shd w:val="clear" w:color="auto" w:fill="FFFFFF"/>
        </w:rPr>
        <w:t>; zasady</w:t>
      </w:r>
      <w:r w:rsidR="005A3BDF" w:rsidRPr="003A42FB">
        <w:rPr>
          <w:rFonts w:ascii="Times New Roman" w:eastAsiaTheme="minorEastAsia" w:hAnsi="Times New Roman" w:cs="Times New Roman"/>
          <w:sz w:val="24"/>
          <w:szCs w:val="24"/>
          <w:shd w:val="clear" w:color="auto" w:fill="FFFFFF"/>
        </w:rPr>
        <w:t xml:space="preserve"> </w:t>
      </w:r>
      <w:r w:rsidR="00E52448" w:rsidRPr="003A42FB">
        <w:rPr>
          <w:rFonts w:ascii="Times New Roman" w:eastAsiaTheme="minorEastAsia" w:hAnsi="Times New Roman" w:cs="Times New Roman"/>
          <w:sz w:val="24"/>
          <w:szCs w:val="24"/>
          <w:shd w:val="clear" w:color="auto" w:fill="FFFFFF"/>
        </w:rPr>
        <w:t xml:space="preserve">sporządzania dokumentacji, deklaracji zgodności, oznakowania urządzeń. Regulacje te znalazły odzwierciedlenie w projektowanych przepisach, które </w:t>
      </w:r>
      <w:r w:rsidR="00E52448" w:rsidRPr="003A42FB">
        <w:rPr>
          <w:rFonts w:ascii="Times New Roman" w:eastAsiaTheme="minorEastAsia" w:hAnsi="Times New Roman" w:cs="Times New Roman"/>
          <w:sz w:val="24"/>
          <w:szCs w:val="24"/>
        </w:rPr>
        <w:t xml:space="preserve">stanowią </w:t>
      </w:r>
      <w:r w:rsidR="00E52448" w:rsidRPr="003A42FB">
        <w:rPr>
          <w:rFonts w:ascii="Times New Roman" w:eastAsiaTheme="minorEastAsia" w:hAnsi="Times New Roman" w:cs="Times New Roman"/>
          <w:i/>
          <w:iCs/>
          <w:sz w:val="24"/>
          <w:szCs w:val="24"/>
        </w:rPr>
        <w:t>lex specialis</w:t>
      </w:r>
      <w:r w:rsidR="00E52448" w:rsidRPr="003A42FB">
        <w:rPr>
          <w:rFonts w:ascii="Times New Roman" w:eastAsiaTheme="minorEastAsia" w:hAnsi="Times New Roman" w:cs="Times New Roman"/>
          <w:sz w:val="24"/>
          <w:szCs w:val="24"/>
        </w:rPr>
        <w:t xml:space="preserve"> w stosunku do ustawy z dnia 13 kwietnia 2016 r. o systemach oceny zgodności i nadzoru rynku (SOZiNR). W zakresie nieuregulowanym w projektowanej ustawie stosuje się przepisy SOZiNR.</w:t>
      </w:r>
    </w:p>
    <w:p w14:paraId="44234F16" w14:textId="4BC1D03A" w:rsidR="75FFED03" w:rsidRPr="003A42FB" w:rsidRDefault="75FFED03" w:rsidP="24A5FBB1">
      <w:pPr>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Pke podobnie jak Pt wskazuje, że s</w:t>
      </w:r>
      <w:r w:rsidRPr="003A42FB">
        <w:rPr>
          <w:rFonts w:ascii="Times New Roman" w:eastAsia="Times New Roman" w:hAnsi="Times New Roman" w:cs="Times New Roman"/>
          <w:sz w:val="24"/>
          <w:szCs w:val="24"/>
        </w:rPr>
        <w:t xml:space="preserve">posób i tryb przeprowadzania oceny zgodności urządzeń radiowych, przeznaczonych na potrzeby obronności i bezpieczeństwa państwa, określa ustawa z dnia 17 listopada 2006 r. o systemie oceny zgodności wyrobów przeznaczonych na potrzeby obronności i bezpieczeństwa państwa (Dz. U. z 2018 r. poz. 114). Dodatkowo wskazano, iż kwestie te </w:t>
      </w:r>
      <w:r w:rsidR="5BB8F600" w:rsidRPr="003A42FB">
        <w:rPr>
          <w:rFonts w:ascii="Times New Roman" w:eastAsia="Times New Roman" w:hAnsi="Times New Roman" w:cs="Times New Roman"/>
          <w:sz w:val="24"/>
          <w:szCs w:val="24"/>
        </w:rPr>
        <w:t>określają również akty wykonawcze wydane na podstawie tej ustawy</w:t>
      </w:r>
      <w:r w:rsidR="57E04462" w:rsidRPr="003A42FB">
        <w:rPr>
          <w:rFonts w:ascii="Times New Roman" w:eastAsia="Times New Roman" w:hAnsi="Times New Roman" w:cs="Times New Roman"/>
          <w:sz w:val="24"/>
          <w:szCs w:val="24"/>
        </w:rPr>
        <w:t xml:space="preserve">. Należy bowiem wskazać, że obecnie </w:t>
      </w:r>
      <w:r w:rsidR="0E55376E" w:rsidRPr="003A42FB">
        <w:rPr>
          <w:rFonts w:ascii="Times New Roman" w:eastAsia="Times New Roman" w:hAnsi="Times New Roman" w:cs="Times New Roman"/>
          <w:sz w:val="24"/>
          <w:szCs w:val="24"/>
        </w:rPr>
        <w:t>u</w:t>
      </w:r>
      <w:r w:rsidRPr="003A42FB">
        <w:rPr>
          <w:rFonts w:ascii="Times New Roman" w:eastAsia="Times New Roman" w:hAnsi="Times New Roman" w:cs="Times New Roman"/>
          <w:sz w:val="24"/>
          <w:szCs w:val="24"/>
        </w:rPr>
        <w:t>rządzenia podlegające ocenie zgodności wyrobów przeznaczonych na potrzeby obronności i bezpieczeństwa państwa, a także sposób i tryb przeprowadzania oceny zgodności są ujęte w</w:t>
      </w:r>
      <w:r w:rsidR="6DA7AA06" w:rsidRPr="003A42FB">
        <w:rPr>
          <w:rFonts w:ascii="Times New Roman" w:eastAsia="Times New Roman" w:hAnsi="Times New Roman" w:cs="Times New Roman"/>
          <w:sz w:val="24"/>
          <w:szCs w:val="24"/>
        </w:rPr>
        <w:t xml:space="preserve"> rozporządzeniach z art. 10 ust. 1 w/w ustawy, tj.</w:t>
      </w:r>
      <w:r w:rsidRPr="003A42FB">
        <w:rPr>
          <w:rFonts w:ascii="Times New Roman" w:eastAsia="Times New Roman" w:hAnsi="Times New Roman" w:cs="Times New Roman"/>
          <w:sz w:val="24"/>
          <w:szCs w:val="24"/>
        </w:rPr>
        <w:t>:</w:t>
      </w:r>
    </w:p>
    <w:p w14:paraId="1D363AFE" w14:textId="49F31CE3" w:rsidR="75FFED03" w:rsidRPr="003A42FB" w:rsidRDefault="75FFED03" w:rsidP="00F01158">
      <w:pPr>
        <w:pStyle w:val="Akapitzlist"/>
        <w:numPr>
          <w:ilvl w:val="0"/>
          <w:numId w:val="10"/>
        </w:numPr>
        <w:jc w:val="both"/>
        <w:rPr>
          <w:rFonts w:ascii="Times New Roman" w:eastAsiaTheme="minorEastAsia" w:hAnsi="Times New Roman" w:cs="Times New Roman"/>
          <w:i/>
          <w:iCs/>
          <w:sz w:val="24"/>
          <w:szCs w:val="24"/>
        </w:rPr>
      </w:pPr>
      <w:r w:rsidRPr="003A42FB">
        <w:rPr>
          <w:rFonts w:ascii="Times New Roman" w:eastAsia="Times New Roman" w:hAnsi="Times New Roman" w:cs="Times New Roman"/>
          <w:sz w:val="24"/>
          <w:szCs w:val="24"/>
        </w:rPr>
        <w:t>rozporządzeniu Ministra Obrony Narodowej z dnia 11 stycznia 2013 r. w sprawie szczegółowego wykazu wyrobów podlegających ocenie zgodności oraz sposobu i trybu przeprowadzania oceny zgodności wyrobów przeznaczonych na potrzeby obronności państwa (Dz. U. z 2018 r. poz. 1385 oraz z 2020 r. poz. 1186);</w:t>
      </w:r>
    </w:p>
    <w:p w14:paraId="447BF07E" w14:textId="4081BE82" w:rsidR="75FFED03" w:rsidRPr="003A42FB" w:rsidRDefault="75FFED03" w:rsidP="00F01158">
      <w:pPr>
        <w:pStyle w:val="Akapitzlist"/>
        <w:numPr>
          <w:ilvl w:val="0"/>
          <w:numId w:val="10"/>
        </w:numPr>
        <w:jc w:val="both"/>
        <w:rPr>
          <w:rFonts w:ascii="Times New Roman" w:eastAsiaTheme="minorEastAsia" w:hAnsi="Times New Roman" w:cs="Times New Roman"/>
          <w:i/>
          <w:iCs/>
          <w:sz w:val="24"/>
          <w:szCs w:val="24"/>
        </w:rPr>
      </w:pPr>
      <w:r w:rsidRPr="003A42FB">
        <w:rPr>
          <w:rFonts w:ascii="Times New Roman" w:eastAsia="Times New Roman" w:hAnsi="Times New Roman" w:cs="Times New Roman"/>
          <w:sz w:val="24"/>
          <w:szCs w:val="24"/>
        </w:rPr>
        <w:t>rozporządzeniu Ministra Spraw Wewnętrznych z dnia 18 marca 2013 r. w sprawie przeprowadzania oceny zgodności wyrobów przeznaczonych na potrzeby bezpieczeństwa państwa oraz wykazu tych wyrobów (Dz. U. z 2018 r. poz. 266 i 1606);</w:t>
      </w:r>
    </w:p>
    <w:p w14:paraId="7E159ED2" w14:textId="7E9A5E58" w:rsidR="007B3AE3" w:rsidRPr="003A42FB" w:rsidRDefault="00E5244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shd w:val="clear" w:color="auto" w:fill="FFFFFF"/>
        </w:rPr>
        <w:t>Do wymagań dla urządzeń radiowych dyrektywa, jak i projektowane przepisy zaliczają wymagania dotyczące</w:t>
      </w:r>
      <w:r w:rsidR="00A11F34" w:rsidRPr="003A42FB">
        <w:rPr>
          <w:rFonts w:ascii="Times New Roman" w:eastAsiaTheme="minorEastAsia" w:hAnsi="Times New Roman" w:cs="Times New Roman"/>
          <w:sz w:val="24"/>
          <w:szCs w:val="24"/>
          <w:shd w:val="clear" w:color="auto" w:fill="FFFFFF"/>
        </w:rPr>
        <w:t xml:space="preserve"> ochrony zdrowia i bezpieczeństwa osób i zwierząt domowych oraz ochrony mienia, wymagania w zakresie efektywnego wykorzystania częstotliwości i zasobów orbitalnych oraz wymagania w zakresie kompatybilności elektromagnetycznej (które zostały określone w ustawie </w:t>
      </w:r>
      <w:r w:rsidR="00203380" w:rsidRPr="003A42FB">
        <w:rPr>
          <w:rFonts w:ascii="Times New Roman" w:eastAsiaTheme="minorEastAsia" w:hAnsi="Times New Roman" w:cs="Times New Roman"/>
          <w:sz w:val="24"/>
          <w:szCs w:val="24"/>
          <w:shd w:val="clear" w:color="auto" w:fill="FFFFFF"/>
        </w:rPr>
        <w:t>z dnia 13 kwietnia 2007 r. o kompatybilności elektromagnetycznej)</w:t>
      </w:r>
      <w:r w:rsidR="00A11F34" w:rsidRPr="003A42FB">
        <w:rPr>
          <w:rFonts w:ascii="Times New Roman" w:eastAsiaTheme="minorEastAsia" w:hAnsi="Times New Roman" w:cs="Times New Roman"/>
          <w:sz w:val="24"/>
          <w:szCs w:val="24"/>
          <w:shd w:val="clear" w:color="auto" w:fill="FFFFFF"/>
        </w:rPr>
        <w:t>.</w:t>
      </w:r>
      <w:r w:rsidR="00203380" w:rsidRPr="003A42FB">
        <w:rPr>
          <w:rFonts w:ascii="Times New Roman" w:eastAsiaTheme="minorEastAsia" w:hAnsi="Times New Roman" w:cs="Times New Roman"/>
          <w:sz w:val="24"/>
          <w:szCs w:val="24"/>
          <w:shd w:val="clear" w:color="auto" w:fill="FFFFFF"/>
        </w:rPr>
        <w:t xml:space="preserve"> </w:t>
      </w:r>
      <w:r w:rsidR="00A11F34" w:rsidRPr="003A42FB">
        <w:rPr>
          <w:rFonts w:ascii="Times New Roman" w:eastAsiaTheme="minorEastAsia" w:hAnsi="Times New Roman" w:cs="Times New Roman"/>
          <w:sz w:val="24"/>
          <w:szCs w:val="24"/>
          <w:shd w:val="clear" w:color="auto" w:fill="FFFFFF"/>
        </w:rPr>
        <w:t xml:space="preserve">  </w:t>
      </w:r>
      <w:r w:rsidR="00A80135" w:rsidRPr="003A42FB">
        <w:rPr>
          <w:rFonts w:ascii="Times New Roman" w:eastAsiaTheme="minorEastAsia" w:hAnsi="Times New Roman" w:cs="Times New Roman"/>
          <w:sz w:val="24"/>
          <w:szCs w:val="24"/>
          <w:shd w:val="clear" w:color="auto" w:fill="FFFFFF"/>
        </w:rPr>
        <w:t xml:space="preserve">Komisja Europejska w aktach delegowanych może również określić dodatkowe wymagania. Przykładem jest </w:t>
      </w:r>
      <w:r w:rsidR="00A80135" w:rsidRPr="003A42FB">
        <w:rPr>
          <w:rFonts w:ascii="Times New Roman" w:eastAsiaTheme="minorEastAsia" w:hAnsi="Times New Roman" w:cs="Times New Roman"/>
          <w:sz w:val="24"/>
          <w:szCs w:val="24"/>
        </w:rPr>
        <w:t>rozporządzenie delegowane Komisji (UE) 2019/320 z dnia 12 grudnia 2018 r. uzupełniające dyrektywę Parlamentu Europejskiego i Rady 2014/53/UE (RED)</w:t>
      </w:r>
      <w:r w:rsidR="00BA1C01" w:rsidRPr="003A42FB">
        <w:rPr>
          <w:rFonts w:ascii="Times New Roman" w:eastAsiaTheme="minorEastAsia" w:hAnsi="Times New Roman" w:cs="Times New Roman"/>
          <w:sz w:val="24"/>
          <w:szCs w:val="24"/>
        </w:rPr>
        <w:t>, które</w:t>
      </w:r>
      <w:r w:rsidR="00A80135" w:rsidRPr="003A42FB">
        <w:rPr>
          <w:rFonts w:ascii="Times New Roman" w:eastAsiaTheme="minorEastAsia" w:hAnsi="Times New Roman" w:cs="Times New Roman"/>
          <w:sz w:val="24"/>
          <w:szCs w:val="24"/>
        </w:rPr>
        <w:t xml:space="preserve"> wprowadza nowe zasadnicze wymaganie dla urządzeń przenośnych (np. smartfonów) odnośnie możliwości udostępniania w trakcie zgłoszeń alarmowych (tel. 112) informacji dotyczących lokalizacji uzyskanych za pomocą WiFi i GNSS (globalny system nawigacji satelitarnej).</w:t>
      </w:r>
      <w:r w:rsidR="00BA1C01" w:rsidRPr="003A42FB">
        <w:rPr>
          <w:rFonts w:ascii="Times New Roman" w:eastAsiaTheme="minorEastAsia" w:hAnsi="Times New Roman" w:cs="Times New Roman"/>
          <w:sz w:val="24"/>
          <w:szCs w:val="24"/>
        </w:rPr>
        <w:t xml:space="preserve"> Urządzenia radiowe podlegają obowiązkowej ocenie zgodności z wymaganiami wskazanymi w projekto</w:t>
      </w:r>
      <w:r w:rsidR="00EB1A63" w:rsidRPr="003A42FB">
        <w:rPr>
          <w:rFonts w:ascii="Times New Roman" w:eastAsiaTheme="minorEastAsia" w:hAnsi="Times New Roman" w:cs="Times New Roman"/>
          <w:sz w:val="24"/>
          <w:szCs w:val="24"/>
        </w:rPr>
        <w:t xml:space="preserve">wanych przepisach, a także </w:t>
      </w:r>
      <w:r w:rsidR="005A3BDF" w:rsidRPr="003A42FB">
        <w:rPr>
          <w:rFonts w:ascii="Times New Roman" w:eastAsiaTheme="minorEastAsia" w:hAnsi="Times New Roman" w:cs="Times New Roman"/>
          <w:sz w:val="24"/>
          <w:szCs w:val="24"/>
        </w:rPr>
        <w:t xml:space="preserve">przepisach Unii Europejskiej. </w:t>
      </w:r>
    </w:p>
    <w:p w14:paraId="23E6EDE5" w14:textId="77777777" w:rsidR="007A3053" w:rsidRPr="003A42FB" w:rsidRDefault="00E52448" w:rsidP="007A3053">
      <w:pPr>
        <w:rPr>
          <w:rFonts w:ascii="Times New Roman" w:hAnsi="Times New Roman" w:cs="Times New Roman"/>
          <w:sz w:val="24"/>
          <w:szCs w:val="24"/>
        </w:rPr>
      </w:pPr>
      <w:r w:rsidRPr="003A42FB">
        <w:rPr>
          <w:rFonts w:ascii="Times New Roman" w:eastAsiaTheme="minorEastAsia" w:hAnsi="Times New Roman" w:cs="Times New Roman"/>
          <w:sz w:val="24"/>
          <w:szCs w:val="24"/>
        </w:rPr>
        <w:t xml:space="preserve">W porównaniu do dotychczas obowiązującej regulacji zaktualizowano katalog urządzeń, do których nie stosuje się projektowanych przepisów (i przepisów dyrektywy 2014/53/UE). </w:t>
      </w:r>
      <w:r w:rsidR="001C6FF2" w:rsidRPr="003A42FB">
        <w:rPr>
          <w:rFonts w:ascii="Times New Roman" w:eastAsiaTheme="minorEastAsia" w:hAnsi="Times New Roman" w:cs="Times New Roman"/>
          <w:sz w:val="24"/>
          <w:szCs w:val="24"/>
        </w:rPr>
        <w:lastRenderedPageBreak/>
        <w:t>Przepisami tymi</w:t>
      </w:r>
      <w:r w:rsidRPr="003A42FB">
        <w:rPr>
          <w:rFonts w:ascii="Times New Roman" w:eastAsiaTheme="minorEastAsia" w:hAnsi="Times New Roman" w:cs="Times New Roman"/>
          <w:sz w:val="24"/>
          <w:szCs w:val="24"/>
        </w:rPr>
        <w:t>, tak jak dotychczas,</w:t>
      </w:r>
      <w:r w:rsidR="001C6FF2" w:rsidRPr="003A42FB">
        <w:rPr>
          <w:rFonts w:ascii="Times New Roman" w:eastAsiaTheme="minorEastAsia" w:hAnsi="Times New Roman" w:cs="Times New Roman"/>
          <w:sz w:val="24"/>
          <w:szCs w:val="24"/>
        </w:rPr>
        <w:t xml:space="preserve"> nie są objęte m.in. urządzenia przeznaczone do używania wyłącznie w służbie radiokomunikacyjnej amatorskiej, </w:t>
      </w:r>
      <w:r w:rsidR="00221330" w:rsidRPr="003A42FB">
        <w:rPr>
          <w:rFonts w:ascii="Times New Roman" w:eastAsiaTheme="minorEastAsia" w:hAnsi="Times New Roman" w:cs="Times New Roman"/>
          <w:sz w:val="24"/>
          <w:szCs w:val="24"/>
        </w:rPr>
        <w:t xml:space="preserve">urządzenia wyposażenia radiokomunikacyjnego objętego przepisami o wyposażeniu morskim. Wyłączeniem zostały objęte również określone urządzenia będące wyposażeniem lotniczym - statki powietrzne inne niż bezzałogowe statki powietrzne, a także związane z nimi silniki, śmigła, części i wyposażenie nieinstalowane oraz bezzałogowe statki powietrzne, a także związane z nimi silniki, śmigła, części i wyposażenie nieinstalowane, których projekt jest certyfikowany zgodnie z art. 56 ust. 1 tego rozporządzenia i które są przeznaczone jedynie do działania na częstotliwościach przydzielonych w regulacjach radiowych Międzynarodowego Związku Telekomunikacyjnego do celów chronionego użytkowania lotniczego. Wyłączenie to </w:t>
      </w:r>
      <w:r w:rsidR="00221330" w:rsidRPr="003A42FB">
        <w:rPr>
          <w:rFonts w:ascii="Times New Roman" w:eastAsiaTheme="minorEastAsia" w:hAnsi="Times New Roman" w:cs="Times New Roman"/>
          <w:i/>
          <w:iCs/>
          <w:sz w:val="24"/>
          <w:szCs w:val="24"/>
        </w:rPr>
        <w:t xml:space="preserve">wynika z art. 138 Rozporządzenia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3922/912018/1139. </w:t>
      </w:r>
      <w:r w:rsidR="00221330" w:rsidRPr="003A42FB">
        <w:rPr>
          <w:rFonts w:ascii="Times New Roman" w:eastAsiaTheme="minorEastAsia" w:hAnsi="Times New Roman" w:cs="Times New Roman"/>
          <w:sz w:val="24"/>
          <w:szCs w:val="24"/>
        </w:rPr>
        <w:t>Przepis ten zmienia Załącznik I pkt 3 dyrektywy Parlamentu Europejskiego i Rady 2014/53/UE.</w:t>
      </w:r>
      <w:r w:rsidR="007A3053" w:rsidRPr="003A42FB">
        <w:rPr>
          <w:rFonts w:ascii="Times New Roman" w:eastAsiaTheme="minorEastAsia" w:hAnsi="Times New Roman" w:cs="Times New Roman"/>
          <w:sz w:val="24"/>
          <w:szCs w:val="24"/>
        </w:rPr>
        <w:t xml:space="preserve"> </w:t>
      </w:r>
      <w:r w:rsidR="007A3053" w:rsidRPr="003A42FB">
        <w:rPr>
          <w:rFonts w:ascii="Times New Roman" w:hAnsi="Times New Roman" w:cs="Times New Roman"/>
          <w:sz w:val="24"/>
          <w:szCs w:val="24"/>
        </w:rPr>
        <w:t xml:space="preserve">Wyłączenie będzie dotyczyło również, tak jak obecnie, wyposażenia radiokomunikacyjnego objętego przepisami ustawy z dnia 3 lipca 2002 r. – Prawo lotnicze. Dotyczy to urządzeń, które nie są regulowane prawem unijnym. </w:t>
      </w:r>
    </w:p>
    <w:p w14:paraId="66C214C3" w14:textId="77777777" w:rsidR="00696205" w:rsidRPr="003A42FB" w:rsidRDefault="00696205" w:rsidP="00C53EAB">
      <w:pPr>
        <w:spacing w:after="120" w:line="240" w:lineRule="auto"/>
        <w:jc w:val="both"/>
        <w:rPr>
          <w:rFonts w:ascii="Times New Roman" w:eastAsiaTheme="minorEastAsia" w:hAnsi="Times New Roman" w:cs="Times New Roman"/>
          <w:b/>
          <w:bCs/>
          <w:sz w:val="24"/>
          <w:szCs w:val="24"/>
        </w:rPr>
      </w:pPr>
    </w:p>
    <w:p w14:paraId="4F0539EA" w14:textId="36D76C9C" w:rsidR="00221330" w:rsidRPr="003A42FB" w:rsidRDefault="566EAAC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DZIAŁ VII. Publicznie dostępne usługi komunikacji elektronicznej</w:t>
      </w:r>
    </w:p>
    <w:p w14:paraId="79F353BD" w14:textId="151228DC" w:rsidR="00221330" w:rsidRPr="003A42FB" w:rsidRDefault="566EAACD"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rPr>
        <w:t>Świadczenie usług użytkownikom końcowym – zakres podmiotowy i przedmiotowy przepisów</w:t>
      </w:r>
    </w:p>
    <w:p w14:paraId="5688D099" w14:textId="65F5FA6A"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zakresie praw użytkowników końcowych EKŁE przewiduje pełną harmonizację, z wyraźnie wskazanymi wyjątkami np. art. 102 ust. 7 EKŁE, w który</w:t>
      </w:r>
      <w:r w:rsidR="4578C91C" w:rsidRPr="003A42FB">
        <w:rPr>
          <w:rFonts w:ascii="Times New Roman" w:eastAsiaTheme="minorEastAsia" w:hAnsi="Times New Roman" w:cs="Times New Roman"/>
          <w:sz w:val="24"/>
          <w:szCs w:val="24"/>
        </w:rPr>
        <w:t>m</w:t>
      </w:r>
      <w:r w:rsidRPr="003A42FB">
        <w:rPr>
          <w:rFonts w:ascii="Times New Roman" w:eastAsiaTheme="minorEastAsia" w:hAnsi="Times New Roman" w:cs="Times New Roman"/>
          <w:sz w:val="24"/>
          <w:szCs w:val="24"/>
        </w:rPr>
        <w:t xml:space="preserve"> dopuszczono możliwość utrzymania lub wprowadzania przepisów dotyczących aspektów nieuregulowanych w tym artykule, w szczególności, aby zająć się nowymi kwestiami. Określony w ten sposób poziom harmonizacji nie oznacza braku możliwości regulowania w przepisach krajowych kwestii niewynikających wprost z EKŁE. Zasada pełnej harmonizacji oznacza, że państwa członkowskie nie mogą, w zakresie kwestii uregulowanych w EKŁE, wprowadzać mniej lub bardziej rygorystycznych przepisów, co potwierdza brzmienie motywu 257 EKŁE. </w:t>
      </w:r>
    </w:p>
    <w:p w14:paraId="0FCDD829" w14:textId="1D0A41FD" w:rsidR="00221330" w:rsidRPr="003A42FB" w:rsidRDefault="566EAACD"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Zakres podmiotowy stosowania przepisów dotyczących świadczenia usług użytkownikom końcowym jest zróżnicowany w zależności od rodzaju przewidzianego w przepisach uprawnienia. Niektóre z przepisów regulujących kwestie ochrony użytkowników końcowych (dotyczące przekazywania informacji przedumownych i zwięzłego podsumowania warunków umowy, maksymalnego okresu obowiązywania umowy i usług wiązanych) mają zastosowanie, zgodnie z art. </w:t>
      </w:r>
      <w:r w:rsidR="005D3582" w:rsidRPr="5372851C">
        <w:rPr>
          <w:rFonts w:ascii="Times New Roman" w:eastAsiaTheme="minorEastAsia" w:hAnsi="Times New Roman" w:cs="Times New Roman"/>
          <w:sz w:val="24"/>
          <w:szCs w:val="24"/>
        </w:rPr>
        <w:t>258</w:t>
      </w:r>
      <w:r w:rsidRPr="5372851C">
        <w:rPr>
          <w:rFonts w:ascii="Times New Roman" w:eastAsiaTheme="minorEastAsia" w:hAnsi="Times New Roman" w:cs="Times New Roman"/>
          <w:sz w:val="24"/>
          <w:szCs w:val="24"/>
        </w:rPr>
        <w:t xml:space="preserve"> projektowanej ustawy, nie tylko do konsumentów, ale również do mikroprzedsiębiorców, małych przedsiębiorców w rozumieniu ustawy z dnia 6 marca 2018 r. - Prawo przedsiębiorców (Dz. U. poz. 646, 1479, 1629 i 1633) oraz organizacji pozarządowych w rozumieniu art. 3 ust. 2 ustawy z dnia 24 kwietnia 2003 r. o działalności pożytku publicznego i o wolontariacie (Dz.</w:t>
      </w:r>
      <w:r w:rsidR="00332150" w:rsidRPr="5372851C">
        <w:rPr>
          <w:rFonts w:ascii="Times New Roman" w:eastAsiaTheme="minorEastAsia" w:hAnsi="Times New Roman" w:cs="Times New Roman"/>
          <w:sz w:val="24"/>
          <w:szCs w:val="24"/>
        </w:rPr>
        <w:t xml:space="preserve"> </w:t>
      </w:r>
      <w:r w:rsidRPr="5372851C">
        <w:rPr>
          <w:rFonts w:ascii="Times New Roman" w:eastAsiaTheme="minorEastAsia" w:hAnsi="Times New Roman" w:cs="Times New Roman"/>
          <w:sz w:val="24"/>
          <w:szCs w:val="24"/>
        </w:rPr>
        <w:t>U. z 2019 r. poz. 688</w:t>
      </w:r>
      <w:r w:rsidR="007864B2" w:rsidRPr="5372851C">
        <w:rPr>
          <w:rFonts w:ascii="Times New Roman" w:eastAsiaTheme="minorEastAsia" w:hAnsi="Times New Roman" w:cs="Times New Roman"/>
          <w:sz w:val="24"/>
          <w:szCs w:val="24"/>
        </w:rPr>
        <w:t>, 1570, 2020 oraz z 2020 r. poz. 284</w:t>
      </w:r>
      <w:r w:rsidRPr="5372851C">
        <w:rPr>
          <w:rFonts w:ascii="Times New Roman" w:eastAsiaTheme="minorEastAsia" w:hAnsi="Times New Roman" w:cs="Times New Roman"/>
          <w:sz w:val="24"/>
          <w:szCs w:val="24"/>
        </w:rPr>
        <w:t xml:space="preserve">). Z uwagi na zbliżoną pozycję negocjacyjną do konsumentów podmioty te powinny mieć możliwość korzystania z takich samych uprawnień jak konsumenci, chyba że wyraźnie zdecydują się na </w:t>
      </w:r>
      <w:r w:rsidRPr="5372851C">
        <w:rPr>
          <w:rFonts w:ascii="Times New Roman" w:eastAsiaTheme="minorEastAsia" w:hAnsi="Times New Roman" w:cs="Times New Roman"/>
          <w:sz w:val="24"/>
          <w:szCs w:val="24"/>
        </w:rPr>
        <w:lastRenderedPageBreak/>
        <w:t xml:space="preserve">rezygnację z przyznanych im praw np. gdy wolą negocjować zindywidualizowane warunki umowne z dostawcą usługi. </w:t>
      </w:r>
    </w:p>
    <w:p w14:paraId="6820EA32" w14:textId="739024AA" w:rsidR="00221330" w:rsidRPr="003A42FB" w:rsidRDefault="566EAACD"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Przepisy dotyczące ochrony i uprawnień użytkowników końcowych są również zróżnicowane przedmiotowo - w zależności od rodzaju usług, których świadczenia dotyczą. Duża część uprawnień abonentów będzie wyłączona w przypadku świadczenia usług transmisyjnych stosowanych na potrzeby świadczenia usług komunikacji maszyna – maszyna (usługi transmisji na potrzeby </w:t>
      </w:r>
      <w:r w:rsidR="339C3DA6" w:rsidRPr="5372851C">
        <w:rPr>
          <w:rFonts w:ascii="Times New Roman" w:eastAsiaTheme="minorEastAsia" w:hAnsi="Times New Roman" w:cs="Times New Roman"/>
          <w:sz w:val="24"/>
          <w:szCs w:val="24"/>
        </w:rPr>
        <w:t xml:space="preserve">komunikacji </w:t>
      </w:r>
      <w:r w:rsidRPr="5372851C">
        <w:rPr>
          <w:rFonts w:ascii="Times New Roman" w:eastAsiaTheme="minorEastAsia" w:hAnsi="Times New Roman" w:cs="Times New Roman"/>
          <w:sz w:val="24"/>
          <w:szCs w:val="24"/>
        </w:rPr>
        <w:t>M2M), które nie są typowymi usługami abonenckimi. Zasadne jest zatem, aby dostawcy tych usług nie byli związani przepisami, których celem jest wyłącznie ochrona interesów abonentów.</w:t>
      </w:r>
    </w:p>
    <w:p w14:paraId="0BCAEF1A" w14:textId="65A6AF7D" w:rsidR="00F01158" w:rsidRPr="003A42FB" w:rsidRDefault="003E1FF8" w:rsidP="003E1FF8">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A</w:t>
      </w:r>
      <w:r w:rsidR="00F01158" w:rsidRPr="003A42FB">
        <w:rPr>
          <w:rFonts w:ascii="Times New Roman" w:eastAsiaTheme="minorEastAsia" w:hAnsi="Times New Roman" w:cs="Times New Roman"/>
          <w:b/>
          <w:sz w:val="24"/>
          <w:szCs w:val="24"/>
        </w:rPr>
        <w:t xml:space="preserve">rt. </w:t>
      </w:r>
      <w:r w:rsidR="00E25298">
        <w:rPr>
          <w:rFonts w:ascii="Times New Roman" w:eastAsiaTheme="minorEastAsia" w:hAnsi="Times New Roman" w:cs="Times New Roman"/>
          <w:b/>
          <w:sz w:val="24"/>
          <w:szCs w:val="24"/>
        </w:rPr>
        <w:t>277</w:t>
      </w:r>
    </w:p>
    <w:p w14:paraId="21C91FB5" w14:textId="361B93F0" w:rsidR="003E1FF8" w:rsidRPr="003A42FB" w:rsidRDefault="00F01158" w:rsidP="003E1FF8">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sz w:val="24"/>
          <w:szCs w:val="24"/>
        </w:rPr>
        <w:t>W przepisie w</w:t>
      </w:r>
      <w:r w:rsidR="00333A9D" w:rsidRPr="003A42FB">
        <w:rPr>
          <w:rFonts w:ascii="Times New Roman" w:eastAsiaTheme="minorEastAsia" w:hAnsi="Times New Roman" w:cs="Times New Roman"/>
          <w:sz w:val="24"/>
          <w:szCs w:val="24"/>
        </w:rPr>
        <w:t>prowadzono normę porządkującą dla całego działu VII, z której wynika, że ilekroć jest mowa o usłudze komunikacji elektronicznej lub usłudze wchodzącej w jej zakres należy przez to rozumieć usługę publicznie dostępną.</w:t>
      </w:r>
      <w:r w:rsidR="003E1FF8" w:rsidRPr="003A42FB">
        <w:rPr>
          <w:rFonts w:ascii="Times New Roman" w:eastAsiaTheme="minorEastAsia" w:hAnsi="Times New Roman" w:cs="Times New Roman"/>
          <w:sz w:val="24"/>
          <w:szCs w:val="24"/>
        </w:rPr>
        <w:t xml:space="preserve"> </w:t>
      </w:r>
    </w:p>
    <w:p w14:paraId="569E4930" w14:textId="46A74685" w:rsidR="00333A9D" w:rsidRPr="003A42FB" w:rsidRDefault="003E1FF8"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W ust. 2 </w:t>
      </w:r>
      <w:r w:rsidR="00D97819" w:rsidRPr="5372851C">
        <w:rPr>
          <w:rFonts w:ascii="Times New Roman" w:eastAsiaTheme="minorEastAsia" w:hAnsi="Times New Roman" w:cs="Times New Roman"/>
          <w:sz w:val="24"/>
          <w:szCs w:val="24"/>
        </w:rPr>
        <w:t>zawart</w:t>
      </w:r>
      <w:r w:rsidRPr="5372851C">
        <w:rPr>
          <w:rFonts w:ascii="Times New Roman" w:eastAsiaTheme="minorEastAsia" w:hAnsi="Times New Roman" w:cs="Times New Roman"/>
          <w:sz w:val="24"/>
          <w:szCs w:val="24"/>
        </w:rPr>
        <w:t>o generalne wyłączenie dotyczące adresatów obowiązków wskazanych w rozdziale I. Przywołany przepis stanowi implementację art. 98 EKŁE. Zgodnie z projektowanymi przepisami obowiązki wskazane w rozdziale I (za wyjątkiem obowiązku niedyskryminacji użytkowników) nie mają zastosowania do przedsiębiorców komunikacji elektronicznej świadczących wyłącznie usługi komunikacji interpersonalnej niewykorzystujące numerów, będących mikroprzedsiębiorcami w rozumieniu ustawy z dnia 6 marca 2018 r. - Prawo przedsiębiorców (Dz. U. poz. 646, 1479, 1629 i 1633). Takie podejście regulacyjne uwzględnia zasadę proporcjonalności, tak aby zakres obowiązków odpowiadał ich celowi jakim jest ochrona interesów użytkowników końcowych. Skala działalności mikroprzedsiębiorców świadczących usługi komunikacji interpersonalnej niewykorzystujące numerów jest ograniczona, zatem uzasadnione jest, aby zakres zobowiązań nakładanych na takich przedsiębiorców był relatywnie mniejszy. Również specyfika usług komunikacji interpersonalnej niewykorzystujących numerów, które nie są typowymi, samodzielnymi usługami abonenckimi przemawia za ograniczeniem zakresu zobowiązań wobec podmiotów je świadczących. W celu zabezpieczenia interesów użytkowników końcowych w ust. 3 wskazano, że mikroprzedsiębiorca ma obowiązek poinformować użytkownika końcowego przed zawarciem umowy o powyższym wyłączeniu, gdyż oznacza ono de facto ograniczenie wielu uprawnień użytkowników końcowych w relacjach z takim dostawcą usług. Naruszenie obowiązku informacyjnego podlega karz</w:t>
      </w:r>
      <w:r w:rsidR="00F01158" w:rsidRPr="5372851C">
        <w:rPr>
          <w:rFonts w:ascii="Times New Roman" w:eastAsiaTheme="minorEastAsia" w:hAnsi="Times New Roman" w:cs="Times New Roman"/>
          <w:sz w:val="24"/>
          <w:szCs w:val="24"/>
        </w:rPr>
        <w:t>e nakładanej przez Prezesa UKE.</w:t>
      </w:r>
    </w:p>
    <w:p w14:paraId="65BC8E4C" w14:textId="1A493CAD" w:rsidR="00221330" w:rsidRPr="003A42FB" w:rsidRDefault="5C1DFD1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77B91CE7" w:rsidRPr="003A42FB">
        <w:rPr>
          <w:rFonts w:ascii="Times New Roman" w:eastAsiaTheme="minorEastAsia" w:hAnsi="Times New Roman" w:cs="Times New Roman"/>
          <w:b/>
          <w:bCs/>
          <w:sz w:val="24"/>
          <w:szCs w:val="24"/>
        </w:rPr>
        <w:t xml:space="preserve"> </w:t>
      </w:r>
      <w:r w:rsidR="00E25298">
        <w:rPr>
          <w:rFonts w:ascii="Times New Roman" w:eastAsiaTheme="minorEastAsia" w:hAnsi="Times New Roman" w:cs="Times New Roman"/>
          <w:b/>
          <w:bCs/>
          <w:sz w:val="24"/>
          <w:szCs w:val="24"/>
        </w:rPr>
        <w:t>278</w:t>
      </w:r>
      <w:r w:rsidR="77B91CE7"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5EA69C75" w:rsidRPr="003A42FB">
        <w:rPr>
          <w:rFonts w:ascii="Times New Roman" w:eastAsiaTheme="minorEastAsia" w:hAnsi="Times New Roman" w:cs="Times New Roman"/>
          <w:b/>
          <w:bCs/>
          <w:sz w:val="24"/>
          <w:szCs w:val="24"/>
        </w:rPr>
        <w:t>u</w:t>
      </w:r>
      <w:r w:rsidR="566EAACD" w:rsidRPr="003A42FB">
        <w:rPr>
          <w:rFonts w:ascii="Times New Roman" w:eastAsiaTheme="minorEastAsia" w:hAnsi="Times New Roman" w:cs="Times New Roman"/>
          <w:b/>
          <w:bCs/>
          <w:sz w:val="24"/>
          <w:szCs w:val="24"/>
        </w:rPr>
        <w:t>mowa o świadczenie usług komunikacji elektronicznej</w:t>
      </w:r>
    </w:p>
    <w:p w14:paraId="30E915B1" w14:textId="301196C5" w:rsidR="007F3DCC" w:rsidRPr="003A42FB" w:rsidRDefault="1C586B8F"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Artykuł </w:t>
      </w:r>
      <w:r w:rsidR="00E25298">
        <w:rPr>
          <w:rFonts w:ascii="Times New Roman" w:eastAsiaTheme="minorEastAsia" w:hAnsi="Times New Roman" w:cs="Times New Roman"/>
          <w:sz w:val="24"/>
          <w:szCs w:val="24"/>
        </w:rPr>
        <w:t>278</w:t>
      </w:r>
      <w:r w:rsidRPr="5372851C">
        <w:rPr>
          <w:rFonts w:ascii="Times New Roman" w:eastAsiaTheme="minorEastAsia" w:hAnsi="Times New Roman" w:cs="Times New Roman"/>
          <w:sz w:val="24"/>
          <w:szCs w:val="24"/>
        </w:rPr>
        <w:t xml:space="preserve"> wskazuje podstawę świadczenia publicznie dostępnych usług komunikacji elektronicznej, którą jest umowa o świadczenie usług komunikacji elektronicznej. </w:t>
      </w:r>
      <w:r w:rsidR="007F3DCC" w:rsidRPr="5372851C">
        <w:rPr>
          <w:rFonts w:ascii="Times New Roman" w:eastAsiaTheme="minorEastAsia" w:hAnsi="Times New Roman" w:cs="Times New Roman"/>
          <w:sz w:val="24"/>
          <w:szCs w:val="24"/>
        </w:rPr>
        <w:t>Dla rozwiania wszelkich wątpliwości należy przy tym podkreślić, że w przypadku gdy dostawca świadczy jedynie usługi telekomunikacyjne (usługi komunikacji elektronicznej z wyłączeniem usługi komunikacji interpersonalnej niewykorzystującej numerów) zawiera również umowę o świadczenie usług komunikacji elektronicznej, a nie umowę o świadczenie usług telekomunikacyjnych</w:t>
      </w:r>
      <w:r w:rsidR="1FCB6E2E" w:rsidRPr="5372851C">
        <w:rPr>
          <w:rFonts w:ascii="Times New Roman" w:eastAsiaTheme="minorEastAsia" w:hAnsi="Times New Roman" w:cs="Times New Roman"/>
          <w:sz w:val="24"/>
          <w:szCs w:val="24"/>
        </w:rPr>
        <w:t>, które mieszczą się w katalogu usług komunikacji elektronicznej</w:t>
      </w:r>
      <w:r w:rsidR="007F3DCC" w:rsidRPr="5372851C">
        <w:rPr>
          <w:rFonts w:ascii="Times New Roman" w:eastAsiaTheme="minorEastAsia" w:hAnsi="Times New Roman" w:cs="Times New Roman"/>
          <w:sz w:val="24"/>
          <w:szCs w:val="24"/>
        </w:rPr>
        <w:t>.</w:t>
      </w:r>
    </w:p>
    <w:p w14:paraId="301FC1A0" w14:textId="22FE007E" w:rsidR="00221330" w:rsidRPr="003A42FB" w:rsidRDefault="1C586B8F"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Umowa może być zawarta w formie pisemnej, elektronicznej </w:t>
      </w:r>
      <w:r w:rsidR="37383A41" w:rsidRPr="5372851C">
        <w:rPr>
          <w:rFonts w:ascii="Times New Roman" w:eastAsiaTheme="minorEastAsia" w:hAnsi="Times New Roman" w:cs="Times New Roman"/>
          <w:sz w:val="24"/>
          <w:szCs w:val="24"/>
        </w:rPr>
        <w:t>lub</w:t>
      </w:r>
      <w:r w:rsidRPr="5372851C">
        <w:rPr>
          <w:rFonts w:ascii="Times New Roman" w:eastAsiaTheme="minorEastAsia" w:hAnsi="Times New Roman" w:cs="Times New Roman"/>
          <w:sz w:val="24"/>
          <w:szCs w:val="24"/>
        </w:rPr>
        <w:t xml:space="preserve"> dokumentowej. Wymóg formy pisemnej, elektronicznej lub dokumentowej nie dotyczy umowy zawieranej przez dokonanie czynności faktycznych obejmujących w szczególności umowy o świadczenie usług przedpłaconych</w:t>
      </w:r>
      <w:r w:rsidR="00332150" w:rsidRPr="5372851C">
        <w:rPr>
          <w:rFonts w:ascii="Times New Roman" w:eastAsiaTheme="minorEastAsia" w:hAnsi="Times New Roman" w:cs="Times New Roman"/>
          <w:sz w:val="24"/>
          <w:szCs w:val="24"/>
        </w:rPr>
        <w:t xml:space="preserve"> (pre</w:t>
      </w:r>
      <w:r w:rsidR="5A25FAA2" w:rsidRPr="5372851C">
        <w:rPr>
          <w:rFonts w:ascii="Times New Roman" w:eastAsiaTheme="minorEastAsia" w:hAnsi="Times New Roman" w:cs="Times New Roman"/>
          <w:sz w:val="24"/>
          <w:szCs w:val="24"/>
        </w:rPr>
        <w:t>paid)</w:t>
      </w:r>
      <w:r w:rsidRPr="5372851C">
        <w:rPr>
          <w:rFonts w:ascii="Times New Roman" w:eastAsiaTheme="minorEastAsia" w:hAnsi="Times New Roman" w:cs="Times New Roman"/>
          <w:sz w:val="24"/>
          <w:szCs w:val="24"/>
        </w:rPr>
        <w:t>, publicznie dostępnych usług komunikacji głosowej świadczonych za pomocą aparatu publicznego lub przez wybranie numeru dostępu do sieci dostawcy usług telekomunikacyjnych.</w:t>
      </w:r>
      <w:r w:rsidR="78FACE40" w:rsidRPr="5372851C">
        <w:rPr>
          <w:rFonts w:ascii="Times New Roman" w:eastAsiaTheme="minorEastAsia" w:hAnsi="Times New Roman" w:cs="Times New Roman"/>
          <w:sz w:val="24"/>
          <w:szCs w:val="24"/>
        </w:rPr>
        <w:t xml:space="preserve"> Kwestia formy zawierania umowy nie jest regulowana na gruncie </w:t>
      </w:r>
      <w:r w:rsidR="78FACE40" w:rsidRPr="5372851C">
        <w:rPr>
          <w:rFonts w:ascii="Times New Roman" w:eastAsiaTheme="minorEastAsia" w:hAnsi="Times New Roman" w:cs="Times New Roman"/>
          <w:sz w:val="24"/>
          <w:szCs w:val="24"/>
        </w:rPr>
        <w:lastRenderedPageBreak/>
        <w:t xml:space="preserve">EKŁE. Zaproponowane w </w:t>
      </w:r>
      <w:r w:rsidR="43404BD5" w:rsidRPr="5372851C">
        <w:rPr>
          <w:rFonts w:ascii="Times New Roman" w:eastAsiaTheme="minorEastAsia" w:hAnsi="Times New Roman" w:cs="Times New Roman"/>
          <w:sz w:val="24"/>
          <w:szCs w:val="24"/>
        </w:rPr>
        <w:t>Pke</w:t>
      </w:r>
      <w:r w:rsidR="78FACE40" w:rsidRPr="5372851C">
        <w:rPr>
          <w:rFonts w:ascii="Times New Roman" w:eastAsiaTheme="minorEastAsia" w:hAnsi="Times New Roman" w:cs="Times New Roman"/>
          <w:sz w:val="24"/>
          <w:szCs w:val="24"/>
        </w:rPr>
        <w:t xml:space="preserve"> rozwiązania odpowiadają rozwiązaniom wyn</w:t>
      </w:r>
      <w:r w:rsidR="708F2F51" w:rsidRPr="5372851C">
        <w:rPr>
          <w:rFonts w:ascii="Times New Roman" w:eastAsiaTheme="minorEastAsia" w:hAnsi="Times New Roman" w:cs="Times New Roman"/>
          <w:sz w:val="24"/>
          <w:szCs w:val="24"/>
        </w:rPr>
        <w:t>ikającym z</w:t>
      </w:r>
      <w:r w:rsidR="11364BDB" w:rsidRPr="5372851C">
        <w:rPr>
          <w:rFonts w:ascii="Times New Roman" w:eastAsiaTheme="minorEastAsia" w:hAnsi="Times New Roman" w:cs="Times New Roman"/>
          <w:sz w:val="24"/>
          <w:szCs w:val="24"/>
        </w:rPr>
        <w:t xml:space="preserve"> ustawy</w:t>
      </w:r>
      <w:r w:rsidR="708F2F51" w:rsidRPr="5372851C">
        <w:rPr>
          <w:rFonts w:ascii="Times New Roman" w:eastAsiaTheme="minorEastAsia" w:hAnsi="Times New Roman" w:cs="Times New Roman"/>
          <w:sz w:val="24"/>
          <w:szCs w:val="24"/>
        </w:rPr>
        <w:t xml:space="preserve"> Pt.</w:t>
      </w:r>
    </w:p>
    <w:p w14:paraId="49D29730" w14:textId="2DD1CC06" w:rsidR="00D222AC" w:rsidRPr="003A42FB" w:rsidRDefault="00D222AC" w:rsidP="00D222AC">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E25298">
        <w:rPr>
          <w:rFonts w:ascii="Times New Roman" w:eastAsiaTheme="minorEastAsia" w:hAnsi="Times New Roman" w:cs="Times New Roman"/>
          <w:b/>
          <w:bCs/>
          <w:sz w:val="24"/>
          <w:szCs w:val="24"/>
        </w:rPr>
        <w:t>279</w:t>
      </w:r>
      <w:r w:rsidRPr="003A42FB">
        <w:rPr>
          <w:rFonts w:ascii="Times New Roman" w:eastAsiaTheme="minorEastAsia" w:hAnsi="Times New Roman" w:cs="Times New Roman"/>
          <w:b/>
          <w:bCs/>
          <w:sz w:val="24"/>
          <w:szCs w:val="24"/>
        </w:rPr>
        <w:t xml:space="preserve"> - informacje przedumowne</w:t>
      </w:r>
      <w:r w:rsidR="00322EA1" w:rsidRPr="003A42FB">
        <w:rPr>
          <w:rFonts w:ascii="Times New Roman" w:eastAsiaTheme="minorEastAsia" w:hAnsi="Times New Roman" w:cs="Times New Roman"/>
          <w:b/>
          <w:bCs/>
          <w:sz w:val="24"/>
          <w:szCs w:val="24"/>
        </w:rPr>
        <w:t xml:space="preserve"> – zakres, sposób doręczania</w:t>
      </w:r>
    </w:p>
    <w:p w14:paraId="2EFEF08B" w14:textId="648CCE74" w:rsidR="00D222AC" w:rsidRPr="003A42FB" w:rsidRDefault="00D222AC" w:rsidP="5372851C">
      <w:pPr>
        <w:spacing w:after="120" w:line="240" w:lineRule="auto"/>
        <w:jc w:val="both"/>
        <w:rPr>
          <w:rFonts w:ascii="Times New Roman" w:eastAsiaTheme="minorEastAsia" w:hAnsi="Times New Roman" w:cs="Times New Roman"/>
          <w:sz w:val="24"/>
          <w:szCs w:val="24"/>
        </w:rPr>
      </w:pPr>
      <w:r w:rsidRPr="5372851C">
        <w:rPr>
          <w:rFonts w:ascii="Times New Roman" w:eastAsiaTheme="minorEastAsia" w:hAnsi="Times New Roman" w:cs="Times New Roman"/>
          <w:sz w:val="24"/>
          <w:szCs w:val="24"/>
        </w:rPr>
        <w:t xml:space="preserve">Artykuł </w:t>
      </w:r>
      <w:r w:rsidR="00E25298">
        <w:rPr>
          <w:rFonts w:ascii="Times New Roman" w:eastAsiaTheme="minorEastAsia" w:hAnsi="Times New Roman" w:cs="Times New Roman"/>
          <w:sz w:val="24"/>
          <w:szCs w:val="24"/>
        </w:rPr>
        <w:t>279</w:t>
      </w:r>
      <w:r w:rsidRPr="5372851C">
        <w:rPr>
          <w:rFonts w:ascii="Times New Roman" w:eastAsiaTheme="minorEastAsia" w:hAnsi="Times New Roman" w:cs="Times New Roman"/>
          <w:sz w:val="24"/>
          <w:szCs w:val="24"/>
        </w:rPr>
        <w:t xml:space="preserve"> projektowanej ustawy dotyczy obowiązku udzielania konsumentowi określonych informacji przed zawarciem umowy (informacji przedumownych) przez dostawcę usług komunikacji elektronicznej i stanowi implementację art. 102 ust. 1 EKŁE oraz załącznika VIII. Jest to nowy obowiązek niewynikający z dotychczasowych przepisów ustawy Pt. Przedmiotowe przepisy mają odpowiednie zastosowanie również do użytkowników końcowych będących mikroprzedsiębiorcami i małymi przedsiębiorcami lub organizacjami pozarządowymi w rozumieniu art. 3 ust. 2 ustawy z dnia 24 kwietnia 2003 r. o działalności pożytku publicznego i o wolontariacie (Dz. U. z 2019 r. poz. 688). Projektowane przepisy nie mają natomiast zastosowania do świadczenia usług transmisji na potrzeby komunikacji M2M. </w:t>
      </w:r>
    </w:p>
    <w:p w14:paraId="496B1EC4" w14:textId="08D934E6" w:rsidR="00D222AC" w:rsidRPr="003A42FB" w:rsidRDefault="00D222AC" w:rsidP="00D222AC">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Celem udzielania informacji przedumownych jest umożliwienie konsumentowi podjęcia świadomej decyzji co do związania się umową, a tym samym dokonania wyboru najkorzystniejszej dla siebie oferty. Informacje przedumowne powinny być udzielone konsumentowi przed zawarciem umowy. </w:t>
      </w:r>
      <w:r w:rsidR="001C737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Informacje przedumowne udzielane są</w:t>
      </w:r>
      <w:r w:rsidR="00D97819"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co do zasady</w:t>
      </w:r>
      <w:r w:rsidR="00D97819"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na trwałym nośniku, z zastrzeżeniem ust. 7, dotyczącego braku możliwości doręczenia informacji przedumownych na trwałym nośniku. </w:t>
      </w:r>
      <w:r w:rsidR="00185D2F" w:rsidRPr="003A42FB">
        <w:rPr>
          <w:rFonts w:ascii="Times New Roman" w:eastAsiaTheme="minorEastAsia" w:hAnsi="Times New Roman" w:cs="Times New Roman"/>
          <w:sz w:val="24"/>
          <w:szCs w:val="24"/>
        </w:rPr>
        <w:t xml:space="preserve">Powołanie się na brak możliwości doręczenia informacji przedumownych na trwałym nośniku dotyczyć może wyłącznie przejściowych trudności jakie zaistniały po stronie dostawcy usług, mających charakter obiektywny i niezależny od tego dostawcy. </w:t>
      </w:r>
      <w:r w:rsidRPr="003A42FB">
        <w:rPr>
          <w:rFonts w:ascii="Times New Roman" w:eastAsiaTheme="minorEastAsia" w:hAnsi="Times New Roman" w:cs="Times New Roman"/>
          <w:sz w:val="24"/>
          <w:szCs w:val="24"/>
        </w:rPr>
        <w:t xml:space="preserve">W takim wypadku dostawca usług udostępnia te informacje w postaci łatwych do pobrania dokumentów, ze wskazaniem ich źródła kierującego bezpośrednio do tych dokumentów oraz pouczeniem o konieczności ich pobrania, utrwalenia i późniejszego odtworzenia </w:t>
      </w:r>
      <w:r w:rsidR="00185D2F" w:rsidRPr="003A42FB">
        <w:rPr>
          <w:rFonts w:ascii="Times New Roman" w:eastAsiaTheme="minorEastAsia" w:hAnsi="Times New Roman" w:cs="Times New Roman"/>
          <w:sz w:val="24"/>
          <w:szCs w:val="24"/>
        </w:rPr>
        <w:t xml:space="preserve">w niezmienionej postaci </w:t>
      </w:r>
      <w:r w:rsidRPr="003A42FB">
        <w:rPr>
          <w:rFonts w:ascii="Times New Roman" w:eastAsiaTheme="minorEastAsia" w:hAnsi="Times New Roman" w:cs="Times New Roman"/>
          <w:sz w:val="24"/>
          <w:szCs w:val="24"/>
        </w:rPr>
        <w:t>dla celów dowodowych. Powyższe wyłączenie dotyczy również zawierania umowy o świadczenie usług przedpłaconych. W przypadku tego typu usług, z uwagi na odformalizowany sposób ich nabywania oraz niewielki rozmiar zestawów startowych nie będzie możliwe przekazanie informacji przedumownych na trwałym nośniku np. przez zawarcie wszystkich wymaganych informacji na opakowaniu lub na dołączonych do opakowania dokumentach. W związku z tym w przypadku usług przedpłaconych konsument powinien zostać poinformowany o tym, gdzie może zapoznać się z informacjami przedumownymi. Zakres informacji przedumownych jest różny w zależności od rodzaju usług będących przedmiotem umowy. Na katalog informacji przedumownych składają się informacje wskazane w</w:t>
      </w:r>
      <w:r w:rsidR="00185D2F" w:rsidRPr="003A42FB">
        <w:rPr>
          <w:rFonts w:ascii="Times New Roman" w:eastAsiaTheme="minorEastAsia" w:hAnsi="Times New Roman" w:cs="Times New Roman"/>
          <w:sz w:val="24"/>
          <w:szCs w:val="24"/>
        </w:rPr>
        <w:t xml:space="preserve"> ustępach 2-6</w:t>
      </w:r>
      <w:r w:rsidRPr="003A42FB">
        <w:rPr>
          <w:rFonts w:ascii="Times New Roman" w:eastAsiaTheme="minorEastAsia" w:hAnsi="Times New Roman" w:cs="Times New Roman"/>
          <w:sz w:val="24"/>
          <w:szCs w:val="24"/>
        </w:rPr>
        <w:t xml:space="preserve">: ust. </w:t>
      </w:r>
      <w:r w:rsidR="00185D2F" w:rsidRPr="003A42FB">
        <w:rPr>
          <w:rFonts w:ascii="Times New Roman" w:eastAsiaTheme="minorEastAsia" w:hAnsi="Times New Roman" w:cs="Times New Roman"/>
          <w:sz w:val="24"/>
          <w:szCs w:val="24"/>
        </w:rPr>
        <w:t>2</w:t>
      </w:r>
      <w:r w:rsidRPr="003A42FB">
        <w:rPr>
          <w:rFonts w:ascii="Times New Roman" w:eastAsiaTheme="minorEastAsia" w:hAnsi="Times New Roman" w:cs="Times New Roman"/>
          <w:sz w:val="24"/>
          <w:szCs w:val="24"/>
        </w:rPr>
        <w:t xml:space="preserve"> (ogólny katalog dotyczący wszystkich usług komunikacji elektronicznej), w ust. </w:t>
      </w:r>
      <w:r w:rsidR="00185D2F" w:rsidRPr="003A42FB">
        <w:rPr>
          <w:rFonts w:ascii="Times New Roman" w:eastAsiaTheme="minorEastAsia" w:hAnsi="Times New Roman" w:cs="Times New Roman"/>
          <w:sz w:val="24"/>
          <w:szCs w:val="24"/>
        </w:rPr>
        <w:t>3</w:t>
      </w:r>
      <w:r w:rsidRPr="003A42FB">
        <w:rPr>
          <w:rFonts w:ascii="Times New Roman" w:eastAsiaTheme="minorEastAsia" w:hAnsi="Times New Roman" w:cs="Times New Roman"/>
          <w:sz w:val="24"/>
          <w:szCs w:val="24"/>
        </w:rPr>
        <w:t xml:space="preserve"> (dodatkowy katalog informacji dotyczący usług dostępu do internetu i usług komunikacji interpersonalnej), w ust. </w:t>
      </w:r>
      <w:r w:rsidR="00185D2F"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(dodatkowy katalog informacji dotyczący usług komunikacji interpersonalnej wykorzystujących numery), w ust. </w:t>
      </w:r>
      <w:r w:rsidR="00185D2F" w:rsidRPr="003A42FB">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 xml:space="preserve"> (dodatkowy katalog informacji dotyczących wyłącznie usługi dostępu do internetu), w ust. </w:t>
      </w:r>
      <w:r w:rsidR="00185D2F" w:rsidRPr="003A42FB">
        <w:rPr>
          <w:rFonts w:ascii="Times New Roman" w:eastAsiaTheme="minorEastAsia" w:hAnsi="Times New Roman" w:cs="Times New Roman"/>
          <w:sz w:val="24"/>
          <w:szCs w:val="24"/>
        </w:rPr>
        <w:t>6</w:t>
      </w:r>
      <w:r w:rsidRPr="003A42FB">
        <w:rPr>
          <w:rFonts w:ascii="Times New Roman" w:eastAsiaTheme="minorEastAsia" w:hAnsi="Times New Roman" w:cs="Times New Roman"/>
          <w:sz w:val="24"/>
          <w:szCs w:val="24"/>
        </w:rPr>
        <w:t xml:space="preserve"> (katalog informacji wynikających z ustawy o prawach konsumenta</w:t>
      </w:r>
      <w:r w:rsidR="00185D2F" w:rsidRPr="003A42FB">
        <w:rPr>
          <w:rFonts w:ascii="Times New Roman" w:eastAsiaTheme="minorEastAsia" w:hAnsi="Times New Roman" w:cs="Times New Roman"/>
          <w:sz w:val="24"/>
          <w:szCs w:val="24"/>
        </w:rPr>
        <w:t xml:space="preserve"> (</w:t>
      </w:r>
      <w:r w:rsidR="00434CDC" w:rsidRPr="003A42FB">
        <w:rPr>
          <w:rFonts w:ascii="Times New Roman" w:eastAsiaTheme="minorEastAsia" w:hAnsi="Times New Roman" w:cs="Times New Roman"/>
          <w:sz w:val="24"/>
          <w:szCs w:val="24"/>
        </w:rPr>
        <w:t>U</w:t>
      </w:r>
      <w:r w:rsidR="00185D2F" w:rsidRPr="003A42FB">
        <w:rPr>
          <w:rFonts w:ascii="Times New Roman" w:eastAsiaTheme="minorEastAsia" w:hAnsi="Times New Roman" w:cs="Times New Roman"/>
          <w:sz w:val="24"/>
          <w:szCs w:val="24"/>
        </w:rPr>
        <w:t>pk)</w:t>
      </w:r>
      <w:r w:rsidRPr="003A42FB">
        <w:rPr>
          <w:rFonts w:ascii="Times New Roman" w:eastAsiaTheme="minorEastAsia" w:hAnsi="Times New Roman" w:cs="Times New Roman"/>
          <w:sz w:val="24"/>
          <w:szCs w:val="24"/>
        </w:rPr>
        <w:t xml:space="preserve">, w zakresie w jakim informacje te nie zostały już uwzględnione w ramach informacji przekazywanych na podstawie ust. </w:t>
      </w:r>
      <w:r w:rsidR="00185D2F" w:rsidRPr="003A42FB">
        <w:rPr>
          <w:rFonts w:ascii="Times New Roman" w:eastAsiaTheme="minorEastAsia" w:hAnsi="Times New Roman" w:cs="Times New Roman"/>
          <w:sz w:val="24"/>
          <w:szCs w:val="24"/>
        </w:rPr>
        <w:t>2-6</w:t>
      </w:r>
      <w:r w:rsidRPr="003A42FB">
        <w:rPr>
          <w:rFonts w:ascii="Times New Roman" w:eastAsiaTheme="minorEastAsia" w:hAnsi="Times New Roman" w:cs="Times New Roman"/>
          <w:sz w:val="24"/>
          <w:szCs w:val="24"/>
        </w:rPr>
        <w:t xml:space="preserve"> oraz w zakresie w jakim informacje te dotyczą  konkretnej </w:t>
      </w:r>
      <w:r w:rsidR="00185D2F" w:rsidRPr="003A42FB">
        <w:rPr>
          <w:rFonts w:ascii="Times New Roman" w:eastAsiaTheme="minorEastAsia" w:hAnsi="Times New Roman" w:cs="Times New Roman"/>
          <w:sz w:val="24"/>
          <w:szCs w:val="24"/>
        </w:rPr>
        <w:t xml:space="preserve">nabywanej </w:t>
      </w:r>
      <w:r w:rsidRPr="003A42FB">
        <w:rPr>
          <w:rFonts w:ascii="Times New Roman" w:eastAsiaTheme="minorEastAsia" w:hAnsi="Times New Roman" w:cs="Times New Roman"/>
          <w:sz w:val="24"/>
          <w:szCs w:val="24"/>
        </w:rPr>
        <w:t xml:space="preserve">usługi tj. informacje z art. 8 </w:t>
      </w:r>
      <w:r w:rsidR="00434CDC" w:rsidRPr="003A42FB">
        <w:rPr>
          <w:rFonts w:ascii="Times New Roman" w:eastAsiaTheme="minorEastAsia" w:hAnsi="Times New Roman" w:cs="Times New Roman"/>
          <w:sz w:val="24"/>
          <w:szCs w:val="24"/>
        </w:rPr>
        <w:t>U</w:t>
      </w:r>
      <w:r w:rsidR="00185D2F" w:rsidRPr="003A42FB">
        <w:rPr>
          <w:rFonts w:ascii="Times New Roman" w:eastAsiaTheme="minorEastAsia" w:hAnsi="Times New Roman" w:cs="Times New Roman"/>
          <w:sz w:val="24"/>
          <w:szCs w:val="24"/>
        </w:rPr>
        <w:t>pk</w:t>
      </w:r>
      <w:r w:rsidR="50F061AF" w:rsidRPr="3111C990">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w przypadku umów innych niż umowy zawierane poza lokalem przedsiębiorstwa lub na odległość i informacje z art. 12</w:t>
      </w:r>
      <w:r w:rsidR="00185D2F" w:rsidRPr="003A42FB">
        <w:rPr>
          <w:rFonts w:ascii="Times New Roman" w:eastAsiaTheme="minorEastAsia" w:hAnsi="Times New Roman" w:cs="Times New Roman"/>
          <w:sz w:val="24"/>
          <w:szCs w:val="24"/>
        </w:rPr>
        <w:t xml:space="preserve"> </w:t>
      </w:r>
      <w:r w:rsidR="00434CDC" w:rsidRPr="003A42FB">
        <w:rPr>
          <w:rFonts w:ascii="Times New Roman" w:eastAsiaTheme="minorEastAsia" w:hAnsi="Times New Roman" w:cs="Times New Roman"/>
          <w:sz w:val="24"/>
          <w:szCs w:val="24"/>
        </w:rPr>
        <w:t>U</w:t>
      </w:r>
      <w:r w:rsidR="00185D2F" w:rsidRPr="003A42FB">
        <w:rPr>
          <w:rFonts w:ascii="Times New Roman" w:eastAsiaTheme="minorEastAsia" w:hAnsi="Times New Roman" w:cs="Times New Roman"/>
          <w:sz w:val="24"/>
          <w:szCs w:val="24"/>
        </w:rPr>
        <w:t>pk</w:t>
      </w:r>
      <w:r w:rsidR="2BD4A435" w:rsidRPr="3111C990">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 w przypadku umów zawieranych poza lokalem przedsiębiorstwa lub na odległość). Odwołanie do </w:t>
      </w:r>
      <w:r w:rsidR="6D92CBB4" w:rsidRPr="3111C990">
        <w:rPr>
          <w:rFonts w:ascii="Times New Roman" w:eastAsiaTheme="minorEastAsia" w:hAnsi="Times New Roman" w:cs="Times New Roman"/>
          <w:sz w:val="24"/>
          <w:szCs w:val="24"/>
        </w:rPr>
        <w:t>U</w:t>
      </w:r>
      <w:r w:rsidR="00434CDC" w:rsidRPr="3111C990">
        <w:rPr>
          <w:rFonts w:ascii="Times New Roman" w:eastAsiaTheme="minorEastAsia" w:hAnsi="Times New Roman" w:cs="Times New Roman"/>
          <w:sz w:val="24"/>
          <w:szCs w:val="24"/>
        </w:rPr>
        <w:t>pk</w:t>
      </w:r>
      <w:r w:rsidRPr="003A42FB">
        <w:rPr>
          <w:rFonts w:ascii="Times New Roman" w:eastAsiaTheme="minorEastAsia" w:hAnsi="Times New Roman" w:cs="Times New Roman"/>
          <w:sz w:val="24"/>
          <w:szCs w:val="24"/>
        </w:rPr>
        <w:t xml:space="preserve"> wskazuje, że w zakresie nieuregulowanym projektowaną ustawą stosuje się </w:t>
      </w:r>
      <w:r w:rsidR="00434CDC" w:rsidRPr="003A42FB">
        <w:rPr>
          <w:rFonts w:ascii="Times New Roman" w:eastAsiaTheme="minorEastAsia" w:hAnsi="Times New Roman" w:cs="Times New Roman"/>
          <w:sz w:val="24"/>
          <w:szCs w:val="24"/>
        </w:rPr>
        <w:t>Upk</w:t>
      </w:r>
      <w:r w:rsidR="00F0115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np. regulacje dotyczące odstąpienia od umowy zawartej na odległość, jednak w przypadku, gdy dana kwestia została już uregulowana na gruncie ustawy Pke, stosuje się przepisy Pke.</w:t>
      </w:r>
      <w:r w:rsidR="007F3DCC" w:rsidRPr="003A42FB">
        <w:rPr>
          <w:rFonts w:ascii="Times New Roman" w:eastAsiaTheme="minorEastAsia" w:hAnsi="Times New Roman" w:cs="Times New Roman"/>
          <w:sz w:val="24"/>
          <w:szCs w:val="24"/>
        </w:rPr>
        <w:t xml:space="preserve"> Ma to na celu ograniczenie </w:t>
      </w:r>
      <w:r w:rsidR="00897857" w:rsidRPr="003A42FB">
        <w:rPr>
          <w:rFonts w:ascii="Times New Roman" w:eastAsiaTheme="minorEastAsia" w:hAnsi="Times New Roman" w:cs="Times New Roman"/>
          <w:sz w:val="24"/>
          <w:szCs w:val="24"/>
        </w:rPr>
        <w:t>konieczności</w:t>
      </w:r>
      <w:r w:rsidR="007F3DCC" w:rsidRPr="003A42FB">
        <w:rPr>
          <w:rFonts w:ascii="Times New Roman" w:eastAsiaTheme="minorEastAsia" w:hAnsi="Times New Roman" w:cs="Times New Roman"/>
          <w:sz w:val="24"/>
          <w:szCs w:val="24"/>
        </w:rPr>
        <w:t xml:space="preserve"> dublowania informacji </w:t>
      </w:r>
      <w:r w:rsidR="00897857" w:rsidRPr="003A42FB">
        <w:rPr>
          <w:rFonts w:ascii="Times New Roman" w:eastAsiaTheme="minorEastAsia" w:hAnsi="Times New Roman" w:cs="Times New Roman"/>
          <w:sz w:val="24"/>
          <w:szCs w:val="24"/>
        </w:rPr>
        <w:t>wymaganych</w:t>
      </w:r>
      <w:r w:rsidR="007F3DCC" w:rsidRPr="003A42FB">
        <w:rPr>
          <w:rFonts w:ascii="Times New Roman" w:eastAsiaTheme="minorEastAsia" w:hAnsi="Times New Roman" w:cs="Times New Roman"/>
          <w:sz w:val="24"/>
          <w:szCs w:val="24"/>
        </w:rPr>
        <w:t xml:space="preserve"> w EKŁE i </w:t>
      </w:r>
      <w:r w:rsidR="00897857" w:rsidRPr="003A42FB">
        <w:rPr>
          <w:rFonts w:ascii="Times New Roman" w:eastAsiaTheme="minorEastAsia" w:hAnsi="Times New Roman" w:cs="Times New Roman"/>
          <w:sz w:val="24"/>
          <w:szCs w:val="24"/>
        </w:rPr>
        <w:t xml:space="preserve">Dyrektywie Parlamentu Europejskiego i Rady 2011/83/UE z dnia 25 października 2011 r. w sprawie praw konsumentów, zmieniającej dyrektywę Rady 93/13/EWG i dyrektywę 1999/44/WE Parlamentu Europejskiego i Rady oraz </w:t>
      </w:r>
      <w:r w:rsidR="00897857" w:rsidRPr="003A42FB">
        <w:rPr>
          <w:rFonts w:ascii="Times New Roman" w:eastAsiaTheme="minorEastAsia" w:hAnsi="Times New Roman" w:cs="Times New Roman"/>
          <w:sz w:val="24"/>
          <w:szCs w:val="24"/>
        </w:rPr>
        <w:lastRenderedPageBreak/>
        <w:t xml:space="preserve">uchylająca dyrektywę Rady 85/577/EWG i dyrektywę 97/7/WE Parlamentu Europejskiego i Rady. Należy bowiem wskazać, że </w:t>
      </w:r>
      <w:r w:rsidR="00434CDC" w:rsidRPr="003A42FB">
        <w:rPr>
          <w:rFonts w:ascii="Times New Roman" w:eastAsiaTheme="minorEastAsia" w:hAnsi="Times New Roman" w:cs="Times New Roman"/>
          <w:sz w:val="24"/>
          <w:szCs w:val="24"/>
        </w:rPr>
        <w:t>Upk</w:t>
      </w:r>
      <w:r w:rsidR="00897857" w:rsidRPr="003A42FB">
        <w:rPr>
          <w:rFonts w:ascii="Times New Roman" w:eastAsiaTheme="minorEastAsia" w:hAnsi="Times New Roman" w:cs="Times New Roman"/>
          <w:sz w:val="24"/>
          <w:szCs w:val="24"/>
        </w:rPr>
        <w:t xml:space="preserve"> stosuje się wprost, jednak Pke doprecyzowuje poszczególne informacje. Dla przykładu art. 8 </w:t>
      </w:r>
      <w:r w:rsidR="00434CDC" w:rsidRPr="003A42FB">
        <w:rPr>
          <w:rFonts w:ascii="Times New Roman" w:eastAsiaTheme="minorEastAsia" w:hAnsi="Times New Roman" w:cs="Times New Roman"/>
          <w:sz w:val="24"/>
          <w:szCs w:val="24"/>
        </w:rPr>
        <w:t>Upk</w:t>
      </w:r>
      <w:r w:rsidR="00897857" w:rsidRPr="003A42FB">
        <w:rPr>
          <w:rFonts w:ascii="Times New Roman" w:eastAsiaTheme="minorEastAsia" w:hAnsi="Times New Roman" w:cs="Times New Roman"/>
          <w:sz w:val="24"/>
          <w:szCs w:val="24"/>
        </w:rPr>
        <w:t xml:space="preserve"> wymaga przekazania informacji o głównych cechach świadczenia, z uwzględnieniem przedmiotu świadczenia, </w:t>
      </w:r>
      <w:r w:rsidR="7AAC81FD" w:rsidRPr="3111C990">
        <w:rPr>
          <w:rFonts w:ascii="Times New Roman" w:eastAsiaTheme="minorEastAsia" w:hAnsi="Times New Roman" w:cs="Times New Roman"/>
          <w:sz w:val="24"/>
          <w:szCs w:val="24"/>
        </w:rPr>
        <w:t xml:space="preserve">natomiast </w:t>
      </w:r>
      <w:r w:rsidR="00897857" w:rsidRPr="3111C990">
        <w:rPr>
          <w:rFonts w:ascii="Times New Roman" w:eastAsiaTheme="minorEastAsia" w:hAnsi="Times New Roman" w:cs="Times New Roman"/>
          <w:sz w:val="24"/>
          <w:szCs w:val="24"/>
        </w:rPr>
        <w:t xml:space="preserve">art. </w:t>
      </w:r>
      <w:r w:rsidR="00E25298">
        <w:rPr>
          <w:rFonts w:ascii="Times New Roman" w:eastAsiaTheme="minorEastAsia" w:hAnsi="Times New Roman" w:cs="Times New Roman"/>
          <w:sz w:val="24"/>
          <w:szCs w:val="24"/>
        </w:rPr>
        <w:t>284</w:t>
      </w:r>
      <w:r w:rsidR="00897857" w:rsidRPr="003A42FB">
        <w:rPr>
          <w:rFonts w:ascii="Times New Roman" w:eastAsiaTheme="minorEastAsia" w:hAnsi="Times New Roman" w:cs="Times New Roman"/>
          <w:sz w:val="24"/>
          <w:szCs w:val="24"/>
        </w:rPr>
        <w:t xml:space="preserve"> ust. 2 Pke wymaga</w:t>
      </w:r>
      <w:r w:rsidR="2F68E761" w:rsidRPr="3111C990">
        <w:rPr>
          <w:rFonts w:ascii="Times New Roman" w:eastAsiaTheme="minorEastAsia" w:hAnsi="Times New Roman" w:cs="Times New Roman"/>
          <w:sz w:val="24"/>
          <w:szCs w:val="24"/>
        </w:rPr>
        <w:t>,</w:t>
      </w:r>
      <w:r w:rsidR="00897857" w:rsidRPr="003A42FB">
        <w:rPr>
          <w:rFonts w:ascii="Times New Roman" w:eastAsiaTheme="minorEastAsia" w:hAnsi="Times New Roman" w:cs="Times New Roman"/>
          <w:sz w:val="24"/>
          <w:szCs w:val="24"/>
        </w:rPr>
        <w:t xml:space="preserve"> aby wskazując główne cechy każdej usługi, wskazać wszelkie minimalne poziomy jakości usług, a w przypadku usług innych niż usługi dostępu do internetu, konkretne gwarantowane parametry jakości, albo oświadczenie o braku minimalnych poziomów jakości usług.</w:t>
      </w:r>
    </w:p>
    <w:p w14:paraId="03E212C3" w14:textId="0A75EE07" w:rsidR="000B794E" w:rsidRPr="003A42FB" w:rsidRDefault="000B794E" w:rsidP="00D222AC">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Jednocześnie należy podkreślić, że wszystkie pozostałe regulacje wynikające z </w:t>
      </w:r>
      <w:r w:rsidR="00434CDC" w:rsidRPr="3111C990">
        <w:rPr>
          <w:rFonts w:ascii="Times New Roman" w:eastAsiaTheme="minorEastAsia" w:hAnsi="Times New Roman" w:cs="Times New Roman"/>
          <w:sz w:val="24"/>
          <w:szCs w:val="24"/>
        </w:rPr>
        <w:t>Upk</w:t>
      </w:r>
      <w:r w:rsidR="68812315" w:rsidRPr="3111C990">
        <w:rPr>
          <w:rFonts w:ascii="Times New Roman" w:eastAsiaTheme="minorEastAsia" w:hAnsi="Times New Roman" w:cs="Times New Roman"/>
          <w:sz w:val="24"/>
          <w:szCs w:val="24"/>
        </w:rPr>
        <w:t xml:space="preserve"> </w:t>
      </w:r>
      <w:r w:rsidRPr="3111C990">
        <w:rPr>
          <w:rFonts w:ascii="Times New Roman" w:eastAsiaTheme="minorEastAsia" w:hAnsi="Times New Roman" w:cs="Times New Roman"/>
          <w:sz w:val="24"/>
          <w:szCs w:val="24"/>
        </w:rPr>
        <w:t>mają</w:t>
      </w:r>
      <w:r w:rsidRPr="003A42FB">
        <w:rPr>
          <w:rFonts w:ascii="Times New Roman" w:eastAsiaTheme="minorEastAsia" w:hAnsi="Times New Roman" w:cs="Times New Roman"/>
          <w:sz w:val="24"/>
          <w:szCs w:val="24"/>
        </w:rPr>
        <w:t xml:space="preserve"> zastosowanie. </w:t>
      </w:r>
      <w:r w:rsidR="00594001" w:rsidRPr="003A42FB">
        <w:rPr>
          <w:rFonts w:ascii="Times New Roman" w:eastAsiaTheme="minorEastAsia" w:hAnsi="Times New Roman" w:cs="Times New Roman"/>
          <w:sz w:val="24"/>
          <w:szCs w:val="24"/>
        </w:rPr>
        <w:t xml:space="preserve">Do szczególnie istotnych należy kwestia nałożenia na przedsiębiorcę ciężaru dowodu spełnienia obowiązków informacyjnych przed zawarciem umowy (art. 24 </w:t>
      </w:r>
      <w:r w:rsidR="00434CDC" w:rsidRPr="003A42FB">
        <w:rPr>
          <w:rFonts w:ascii="Times New Roman" w:eastAsiaTheme="minorEastAsia" w:hAnsi="Times New Roman" w:cs="Times New Roman"/>
          <w:sz w:val="24"/>
          <w:szCs w:val="24"/>
        </w:rPr>
        <w:t>U</w:t>
      </w:r>
      <w:r w:rsidR="00594001" w:rsidRPr="003A42FB">
        <w:rPr>
          <w:rFonts w:ascii="Times New Roman" w:eastAsiaTheme="minorEastAsia" w:hAnsi="Times New Roman" w:cs="Times New Roman"/>
          <w:sz w:val="24"/>
          <w:szCs w:val="24"/>
        </w:rPr>
        <w:t>pk) co ma na celu wyeliminowanie sytuacji patogennych</w:t>
      </w:r>
      <w:r w:rsidR="00434CDC" w:rsidRPr="003A42FB">
        <w:rPr>
          <w:rFonts w:ascii="Times New Roman" w:eastAsiaTheme="minorEastAsia" w:hAnsi="Times New Roman" w:cs="Times New Roman"/>
          <w:sz w:val="24"/>
          <w:szCs w:val="24"/>
        </w:rPr>
        <w:t>,</w:t>
      </w:r>
      <w:r w:rsidR="00594001" w:rsidRPr="003A42FB">
        <w:rPr>
          <w:rFonts w:ascii="Times New Roman" w:eastAsiaTheme="minorEastAsia" w:hAnsi="Times New Roman" w:cs="Times New Roman"/>
          <w:sz w:val="24"/>
          <w:szCs w:val="24"/>
        </w:rPr>
        <w:t xml:space="preserve"> w których niewydawane są informacje przedumowne czy wreszcie konsekwencji </w:t>
      </w:r>
      <w:r w:rsidR="48616A25" w:rsidRPr="3111C990">
        <w:rPr>
          <w:rFonts w:ascii="Times New Roman" w:eastAsiaTheme="minorEastAsia" w:hAnsi="Times New Roman" w:cs="Times New Roman"/>
          <w:sz w:val="24"/>
          <w:szCs w:val="24"/>
        </w:rPr>
        <w:t>nie</w:t>
      </w:r>
      <w:r w:rsidR="00594001" w:rsidRPr="3111C990">
        <w:rPr>
          <w:rFonts w:ascii="Times New Roman" w:eastAsiaTheme="minorEastAsia" w:hAnsi="Times New Roman" w:cs="Times New Roman"/>
          <w:sz w:val="24"/>
          <w:szCs w:val="24"/>
        </w:rPr>
        <w:t>przekazania</w:t>
      </w:r>
      <w:r w:rsidR="00594001" w:rsidRPr="003A42FB">
        <w:rPr>
          <w:rFonts w:ascii="Times New Roman" w:eastAsiaTheme="minorEastAsia" w:hAnsi="Times New Roman" w:cs="Times New Roman"/>
          <w:sz w:val="24"/>
          <w:szCs w:val="24"/>
        </w:rPr>
        <w:t xml:space="preserve"> takich informacji w postaci braku możliwości pobierania opłat i kosztów za świadczone usługi. </w:t>
      </w:r>
    </w:p>
    <w:p w14:paraId="74274CD4" w14:textId="730AC36A" w:rsidR="006A1F1D" w:rsidRPr="003A42FB" w:rsidRDefault="006A1F1D" w:rsidP="00D222AC">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Podkreślenia również wymaga, że obowiązek przekazywania informacji przedumownych nie wyłącza ani nie ogranicza obowiązków informacyjnych wobec</w:t>
      </w:r>
      <w:r w:rsidRPr="003A42FB">
        <w:rPr>
          <w:rFonts w:ascii="Times New Roman" w:eastAsia="Calibri" w:hAnsi="Times New Roman" w:cs="Times New Roman"/>
          <w:sz w:val="24"/>
          <w:szCs w:val="24"/>
          <w:lang w:eastAsia="ar-SA"/>
        </w:rPr>
        <w:t xml:space="preserve"> </w:t>
      </w:r>
      <w:r w:rsidRPr="003A42FB">
        <w:rPr>
          <w:rFonts w:ascii="Times New Roman" w:eastAsiaTheme="minorEastAsia" w:hAnsi="Times New Roman" w:cs="Times New Roman"/>
          <w:sz w:val="24"/>
          <w:szCs w:val="24"/>
        </w:rPr>
        <w:t>konsumentów wynikających m.in. z art. 13 i 14 RODO.</w:t>
      </w:r>
      <w:r w:rsidR="00434CDC" w:rsidRPr="003A42FB">
        <w:rPr>
          <w:rFonts w:ascii="Times New Roman" w:eastAsiaTheme="minorEastAsia" w:hAnsi="Times New Roman" w:cs="Times New Roman"/>
          <w:sz w:val="24"/>
          <w:szCs w:val="24"/>
        </w:rPr>
        <w:t xml:space="preserve"> Przepisy te są stosowane wprost, niezależnie od Pke.</w:t>
      </w:r>
    </w:p>
    <w:p w14:paraId="0DEB8D2B" w14:textId="32DE62E6" w:rsidR="00A6376A" w:rsidRPr="003A42FB" w:rsidRDefault="00897857" w:rsidP="00D222AC">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Informacje przedumowne, które przekonały abonenta do zawarcia umowy o świadczenie usług komunikacji elektronicznej</w:t>
      </w:r>
      <w:r w:rsidR="00374F29" w:rsidRPr="003A42FB">
        <w:rPr>
          <w:rFonts w:ascii="Times New Roman" w:eastAsiaTheme="minorEastAsia" w:hAnsi="Times New Roman" w:cs="Times New Roman"/>
          <w:sz w:val="24"/>
          <w:szCs w:val="24"/>
        </w:rPr>
        <w:t xml:space="preserve"> </w:t>
      </w:r>
      <w:r w:rsidR="00434CDC" w:rsidRPr="003A42FB">
        <w:rPr>
          <w:rFonts w:ascii="Times New Roman" w:eastAsiaTheme="minorEastAsia" w:hAnsi="Times New Roman" w:cs="Times New Roman"/>
          <w:sz w:val="24"/>
          <w:szCs w:val="24"/>
        </w:rPr>
        <w:t xml:space="preserve">i zostały przez niego zaakceptowane </w:t>
      </w:r>
      <w:r w:rsidR="00374F29" w:rsidRPr="003A42FB">
        <w:rPr>
          <w:rFonts w:ascii="Times New Roman" w:eastAsiaTheme="minorEastAsia" w:hAnsi="Times New Roman" w:cs="Times New Roman"/>
          <w:sz w:val="24"/>
          <w:szCs w:val="24"/>
        </w:rPr>
        <w:t>po podpisaniu</w:t>
      </w:r>
      <w:r w:rsidR="00581545" w:rsidRPr="003A42FB">
        <w:rPr>
          <w:rFonts w:ascii="Times New Roman" w:eastAsiaTheme="minorEastAsia" w:hAnsi="Times New Roman" w:cs="Times New Roman"/>
          <w:sz w:val="24"/>
          <w:szCs w:val="24"/>
        </w:rPr>
        <w:t xml:space="preserve"> umowy </w:t>
      </w:r>
      <w:r w:rsidRPr="003A42FB">
        <w:rPr>
          <w:rFonts w:ascii="Times New Roman" w:eastAsiaTheme="minorEastAsia" w:hAnsi="Times New Roman" w:cs="Times New Roman"/>
          <w:sz w:val="24"/>
          <w:szCs w:val="24"/>
        </w:rPr>
        <w:t>stają się jej integralną c</w:t>
      </w:r>
      <w:r w:rsidR="00581545" w:rsidRPr="003A42FB">
        <w:rPr>
          <w:rFonts w:ascii="Times New Roman" w:eastAsiaTheme="minorEastAsia" w:hAnsi="Times New Roman" w:cs="Times New Roman"/>
          <w:sz w:val="24"/>
          <w:szCs w:val="24"/>
        </w:rPr>
        <w:t>zęścią i nie podlegają zmianie</w:t>
      </w:r>
      <w:r w:rsidR="00322EA1" w:rsidRPr="003A42FB">
        <w:rPr>
          <w:rFonts w:ascii="Times New Roman" w:eastAsiaTheme="minorEastAsia" w:hAnsi="Times New Roman" w:cs="Times New Roman"/>
          <w:sz w:val="24"/>
          <w:szCs w:val="24"/>
        </w:rPr>
        <w:t xml:space="preserve"> (ust. 8)</w:t>
      </w:r>
      <w:r w:rsidR="00581545" w:rsidRPr="003A42FB">
        <w:rPr>
          <w:rFonts w:ascii="Times New Roman" w:eastAsiaTheme="minorEastAsia" w:hAnsi="Times New Roman" w:cs="Times New Roman"/>
          <w:sz w:val="24"/>
          <w:szCs w:val="24"/>
        </w:rPr>
        <w:t>. Zmiana ta może nastąpić jedynie za wyraźnym porozumieniem stron</w:t>
      </w:r>
      <w:r w:rsidRPr="003A42FB">
        <w:rPr>
          <w:rFonts w:ascii="Times New Roman" w:eastAsiaTheme="minorEastAsia" w:hAnsi="Times New Roman" w:cs="Times New Roman"/>
          <w:sz w:val="24"/>
          <w:szCs w:val="24"/>
        </w:rPr>
        <w:t>.</w:t>
      </w:r>
      <w:r w:rsidR="00581545" w:rsidRPr="003A42FB">
        <w:rPr>
          <w:rFonts w:ascii="Times New Roman" w:eastAsiaTheme="minorEastAsia" w:hAnsi="Times New Roman" w:cs="Times New Roman"/>
          <w:sz w:val="24"/>
          <w:szCs w:val="24"/>
        </w:rPr>
        <w:t xml:space="preserve"> Ustawa Pke, wzorem art. 102 ust 4 EKŁE reguluje w sposób szczególny kwestię zmiany treści informacji przedumownych. Zmiana ta może nastąpić przed zawarciem umowy co skutkuje tym, że to zmienione informacje staną się elementem treści umowy. Natomiast w razie zmiany elementów, których dotyczyły informacje przedumowne, już po zawarciu umowy dochodzi do zmiany treści zobowiązania</w:t>
      </w:r>
      <w:r w:rsidR="00322EA1" w:rsidRPr="003A42FB">
        <w:rPr>
          <w:rFonts w:ascii="Times New Roman" w:eastAsiaTheme="minorEastAsia" w:hAnsi="Times New Roman" w:cs="Times New Roman"/>
          <w:sz w:val="24"/>
          <w:szCs w:val="24"/>
        </w:rPr>
        <w:t xml:space="preserve"> umownego</w:t>
      </w:r>
      <w:r w:rsidR="00581545" w:rsidRPr="003A42FB">
        <w:rPr>
          <w:rFonts w:ascii="Times New Roman" w:eastAsiaTheme="minorEastAsia" w:hAnsi="Times New Roman" w:cs="Times New Roman"/>
          <w:sz w:val="24"/>
          <w:szCs w:val="24"/>
        </w:rPr>
        <w:t xml:space="preserve">. </w:t>
      </w:r>
    </w:p>
    <w:p w14:paraId="75AA5B18" w14:textId="0FCF1F98" w:rsidR="00322EA1" w:rsidRPr="003A42FB" w:rsidRDefault="00322EA1" w:rsidP="00D222AC">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E25298">
        <w:rPr>
          <w:rFonts w:ascii="Times New Roman" w:eastAsiaTheme="minorEastAsia" w:hAnsi="Times New Roman" w:cs="Times New Roman"/>
          <w:b/>
          <w:sz w:val="24"/>
          <w:szCs w:val="24"/>
        </w:rPr>
        <w:t>280</w:t>
      </w:r>
      <w:r w:rsidRPr="003A42FB">
        <w:rPr>
          <w:rFonts w:ascii="Times New Roman" w:eastAsiaTheme="minorEastAsia" w:hAnsi="Times New Roman" w:cs="Times New Roman"/>
          <w:b/>
          <w:sz w:val="24"/>
          <w:szCs w:val="24"/>
        </w:rPr>
        <w:t xml:space="preserve"> – informacje przedumowne – sposób przedstawiania</w:t>
      </w:r>
    </w:p>
    <w:p w14:paraId="0ACEAA29" w14:textId="17FBBB00" w:rsidR="00322EA1" w:rsidRDefault="00322EA1" w:rsidP="00322EA1">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bCs/>
          <w:sz w:val="24"/>
          <w:szCs w:val="24"/>
        </w:rPr>
        <w:t>Zgodnie z ust. 1 dostawca usług</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Cs/>
          <w:sz w:val="24"/>
          <w:szCs w:val="24"/>
        </w:rPr>
        <w:t xml:space="preserve">przedstawia informacje przedumowne w jasny i zrozumiały sposób w jednym albo w dwóch wzorcach </w:t>
      </w:r>
      <w:r w:rsidR="09065FA6" w:rsidRPr="3111C990">
        <w:rPr>
          <w:rFonts w:ascii="Times New Roman" w:eastAsiaTheme="minorEastAsia" w:hAnsi="Times New Roman" w:cs="Times New Roman"/>
          <w:sz w:val="24"/>
          <w:szCs w:val="24"/>
        </w:rPr>
        <w:t>umownych</w:t>
      </w:r>
      <w:r w:rsidRPr="3111C990">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Cs/>
          <w:sz w:val="24"/>
          <w:szCs w:val="24"/>
        </w:rPr>
        <w:t>(regulamin świadczenia usług komunikacji elektronicznej i cennik). Informacje przedumowne nie mogą być przenoszone doinnych, niż ww. regulamin i cennik, wzorców umownych. Regulamin świadczenia usług komunikacji elektronicznej może zawierać te elementy informacji przeudmownych, które odnoszą się do zakresu i warunków świadczenia usługi komunikacji elektronicznej, natomiast cennik może zawierać elementy informacji przedumownych odnoszące się do wszelkich cen i opłat za usługę komunikacji elektronicznej. W związku z powyższym informacje przedumowne, stanowiące zamknięty katalog informacji mogą być przedstawione w maksymalnie dwóch dokumentach, zgodnie z ww. podziałem.</w:t>
      </w:r>
    </w:p>
    <w:p w14:paraId="5BA8EB70" w14:textId="2CD8CCA9" w:rsidR="00A079CB" w:rsidRPr="003A42FB" w:rsidRDefault="00A079CB" w:rsidP="00322EA1">
      <w:pPr>
        <w:spacing w:after="120" w:line="240" w:lineRule="auto"/>
        <w:jc w:val="both"/>
        <w:rPr>
          <w:rFonts w:ascii="Times New Roman" w:eastAsiaTheme="minorEastAsia" w:hAnsi="Times New Roman" w:cs="Times New Roman"/>
          <w:bCs/>
          <w:sz w:val="24"/>
          <w:szCs w:val="24"/>
        </w:rPr>
      </w:pPr>
      <w:r w:rsidRPr="00A079CB">
        <w:rPr>
          <w:rFonts w:ascii="Times New Roman" w:eastAsiaTheme="minorEastAsia" w:hAnsi="Times New Roman" w:cs="Times New Roman"/>
          <w:bCs/>
          <w:sz w:val="24"/>
          <w:szCs w:val="24"/>
        </w:rPr>
        <w:t>Konsument w ramach informacji przedumownych powinien uzyskać informacje o zasadach świadczenia usługi oraz cenach i wszelkich opłatach, które może ponieść w związku z korzystaniem z usługi. Dzięki uzyskaniu pełnej informacji na temat korzystania z usługi konsument nie będzie zaskakiwany dodatkowymi warunkami czy opłatami, które mogłyby zostać na niego nałożone w trakcie trwania umowy.</w:t>
      </w:r>
      <w:r>
        <w:rPr>
          <w:rFonts w:ascii="Times New Roman" w:eastAsiaTheme="minorEastAsia" w:hAnsi="Times New Roman" w:cs="Times New Roman"/>
          <w:bCs/>
          <w:sz w:val="24"/>
          <w:szCs w:val="24"/>
        </w:rPr>
        <w:t xml:space="preserve"> Jednocześnie informacje</w:t>
      </w:r>
      <w:r w:rsidR="00474247">
        <w:rPr>
          <w:rFonts w:ascii="Times New Roman" w:eastAsiaTheme="minorEastAsia" w:hAnsi="Times New Roman" w:cs="Times New Roman"/>
          <w:bCs/>
          <w:sz w:val="24"/>
          <w:szCs w:val="24"/>
        </w:rPr>
        <w:t xml:space="preserve">, które konsument otrzyma, jako stające się integralną częścią umowy, </w:t>
      </w:r>
      <w:r>
        <w:rPr>
          <w:rFonts w:ascii="Times New Roman" w:eastAsiaTheme="minorEastAsia" w:hAnsi="Times New Roman" w:cs="Times New Roman"/>
          <w:bCs/>
          <w:sz w:val="24"/>
          <w:szCs w:val="24"/>
        </w:rPr>
        <w:t>powinny dotyczyć wybranej przez niego usługi, nie zaś stanowić przedstawienie informacji o wszelkich dostępnych usługach i ofertach.</w:t>
      </w:r>
      <w:r w:rsidR="00474247">
        <w:rPr>
          <w:rFonts w:ascii="Times New Roman" w:eastAsiaTheme="minorEastAsia" w:hAnsi="Times New Roman" w:cs="Times New Roman"/>
          <w:bCs/>
          <w:sz w:val="24"/>
          <w:szCs w:val="24"/>
        </w:rPr>
        <w:t xml:space="preserve"> Informacje przedumowne powinny wskazywać najważniejsze cechy konkretnej, nabywanej usługi w taki sposób, aby konsument nie miał wątpliwości jaki jest zakres zobowiązań i uprawnień każdej ze stron umowy.</w:t>
      </w:r>
    </w:p>
    <w:p w14:paraId="356294E7" w14:textId="518F0A4A" w:rsidR="00322EA1" w:rsidRPr="003A42FB" w:rsidRDefault="00322EA1" w:rsidP="00322EA1">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bCs/>
          <w:sz w:val="24"/>
          <w:szCs w:val="24"/>
        </w:rPr>
        <w:lastRenderedPageBreak/>
        <w:t xml:space="preserve">Zgodnie z ust. </w:t>
      </w:r>
      <w:r w:rsidR="00A374DB" w:rsidRPr="003A42FB">
        <w:rPr>
          <w:rFonts w:ascii="Times New Roman" w:eastAsiaTheme="minorEastAsia" w:hAnsi="Times New Roman" w:cs="Times New Roman"/>
          <w:bCs/>
          <w:sz w:val="24"/>
          <w:szCs w:val="24"/>
        </w:rPr>
        <w:t xml:space="preserve">3 </w:t>
      </w:r>
      <w:r w:rsidR="003C6B4B" w:rsidRPr="003A42FB">
        <w:rPr>
          <w:rFonts w:ascii="Times New Roman" w:eastAsiaTheme="minorEastAsia" w:hAnsi="Times New Roman" w:cs="Times New Roman"/>
          <w:bCs/>
          <w:sz w:val="24"/>
          <w:szCs w:val="24"/>
        </w:rPr>
        <w:t xml:space="preserve">na każde żądanie konsumenta wyrażone w trakcie obowiązywania umowy o świadczenie usług komunikacji elektronicznej </w:t>
      </w:r>
      <w:r w:rsidR="00A374DB" w:rsidRPr="003A42FB">
        <w:rPr>
          <w:rFonts w:ascii="Times New Roman" w:eastAsiaTheme="minorEastAsia" w:hAnsi="Times New Roman" w:cs="Times New Roman"/>
          <w:bCs/>
          <w:sz w:val="24"/>
          <w:szCs w:val="24"/>
        </w:rPr>
        <w:t>dostawca usług</w:t>
      </w:r>
      <w:r w:rsidR="003C6B4B" w:rsidRPr="003A42FB">
        <w:rPr>
          <w:rFonts w:ascii="Times New Roman" w:eastAsiaTheme="minorEastAsia" w:hAnsi="Times New Roman" w:cs="Times New Roman"/>
          <w:bCs/>
          <w:sz w:val="24"/>
          <w:szCs w:val="24"/>
        </w:rPr>
        <w:t xml:space="preserve"> ma obowiązek</w:t>
      </w:r>
      <w:r w:rsidRPr="003A42FB">
        <w:rPr>
          <w:rFonts w:ascii="Times New Roman" w:eastAsiaTheme="minorEastAsia" w:hAnsi="Times New Roman" w:cs="Times New Roman"/>
          <w:bCs/>
          <w:sz w:val="24"/>
          <w:szCs w:val="24"/>
        </w:rPr>
        <w:t xml:space="preserve"> nieodpłatnie </w:t>
      </w:r>
      <w:r w:rsidR="003C6B4B" w:rsidRPr="003A42FB">
        <w:rPr>
          <w:rFonts w:ascii="Times New Roman" w:eastAsiaTheme="minorEastAsia" w:hAnsi="Times New Roman" w:cs="Times New Roman"/>
          <w:bCs/>
          <w:sz w:val="24"/>
          <w:szCs w:val="24"/>
        </w:rPr>
        <w:t xml:space="preserve">doręczyć konsumentowi </w:t>
      </w:r>
      <w:r w:rsidRPr="003A42FB">
        <w:rPr>
          <w:rFonts w:ascii="Times New Roman" w:eastAsiaTheme="minorEastAsia" w:hAnsi="Times New Roman" w:cs="Times New Roman"/>
          <w:bCs/>
          <w:sz w:val="24"/>
          <w:szCs w:val="24"/>
        </w:rPr>
        <w:t>informacje przedumowne na papierze lub innym trwałym nośniku</w:t>
      </w:r>
      <w:r w:rsidR="003C6B4B" w:rsidRPr="003A42FB">
        <w:rPr>
          <w:rFonts w:ascii="Times New Roman" w:eastAsiaTheme="minorEastAsia" w:hAnsi="Times New Roman" w:cs="Times New Roman"/>
          <w:bCs/>
          <w:sz w:val="24"/>
          <w:szCs w:val="24"/>
        </w:rPr>
        <w:t xml:space="preserve"> wybranym przez konsumenta</w:t>
      </w:r>
      <w:r w:rsidRPr="003A42FB">
        <w:rPr>
          <w:rFonts w:ascii="Times New Roman" w:eastAsiaTheme="minorEastAsia" w:hAnsi="Times New Roman" w:cs="Times New Roman"/>
          <w:bCs/>
          <w:sz w:val="24"/>
          <w:szCs w:val="24"/>
        </w:rPr>
        <w:t>.</w:t>
      </w:r>
    </w:p>
    <w:p w14:paraId="5ECC0BFC" w14:textId="3D58BE19" w:rsidR="00322EA1" w:rsidRPr="003A42FB" w:rsidRDefault="003C6B4B" w:rsidP="00D222AC">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 xml:space="preserve">Ustęp 4 wskazuje obowiązek przedkładania </w:t>
      </w:r>
      <w:r w:rsidRPr="003A42FB">
        <w:rPr>
          <w:rFonts w:ascii="Times New Roman" w:eastAsiaTheme="minorEastAsia" w:hAnsi="Times New Roman" w:cs="Times New Roman"/>
          <w:bCs/>
          <w:sz w:val="24"/>
          <w:szCs w:val="24"/>
        </w:rPr>
        <w:t>przed dostawcę usług informacji przedumownych na każde żądanie Prezesa UKE, w t</w:t>
      </w:r>
      <w:r w:rsidR="00F01158" w:rsidRPr="003A42FB">
        <w:rPr>
          <w:rFonts w:ascii="Times New Roman" w:eastAsiaTheme="minorEastAsia" w:hAnsi="Times New Roman" w:cs="Times New Roman"/>
          <w:bCs/>
          <w:sz w:val="24"/>
          <w:szCs w:val="24"/>
        </w:rPr>
        <w:t>erminie przez niego określonym.</w:t>
      </w:r>
    </w:p>
    <w:p w14:paraId="2D882137" w14:textId="2F41ABFE" w:rsidR="00D222AC" w:rsidRPr="003A42FB" w:rsidRDefault="00D222AC" w:rsidP="00D222AC">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E25298">
        <w:rPr>
          <w:rFonts w:ascii="Times New Roman" w:eastAsiaTheme="minorEastAsia" w:hAnsi="Times New Roman" w:cs="Times New Roman"/>
          <w:b/>
          <w:bCs/>
          <w:sz w:val="24"/>
          <w:szCs w:val="24"/>
        </w:rPr>
        <w:t>281</w:t>
      </w:r>
      <w:r w:rsidRPr="003A42FB">
        <w:rPr>
          <w:rFonts w:ascii="Times New Roman" w:eastAsiaTheme="minorEastAsia" w:hAnsi="Times New Roman" w:cs="Times New Roman"/>
          <w:b/>
          <w:bCs/>
          <w:sz w:val="24"/>
          <w:szCs w:val="24"/>
        </w:rPr>
        <w:t xml:space="preserve"> - zwięzłe podsumowanie warunków umowy</w:t>
      </w:r>
    </w:p>
    <w:p w14:paraId="5A6F16EB" w14:textId="3545B8C7" w:rsidR="00D222AC" w:rsidRPr="003A42FB" w:rsidRDefault="00D222AC" w:rsidP="00D222AC">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E25298">
        <w:rPr>
          <w:rFonts w:ascii="Times New Roman" w:eastAsiaTheme="minorEastAsia" w:hAnsi="Times New Roman" w:cs="Times New Roman"/>
          <w:sz w:val="24"/>
          <w:szCs w:val="24"/>
        </w:rPr>
        <w:t>281</w:t>
      </w:r>
      <w:r w:rsidRPr="003A42FB">
        <w:rPr>
          <w:rFonts w:ascii="Times New Roman" w:eastAsiaTheme="minorEastAsia" w:hAnsi="Times New Roman" w:cs="Times New Roman"/>
          <w:sz w:val="24"/>
          <w:szCs w:val="24"/>
        </w:rPr>
        <w:t xml:space="preserve"> stanowi implementację art. 102 ust. 3 EKŁE. Jest to nowy obowiązek niewynikający z dotychczasowych przepisów ustawy Pt. W celu umożliwienia konsumentom łatwego zapoznania się z najważniejszymi warunkami umowy oraz porównywania różnych ofert dostawca usług komunikacji elektronicznej obowiązany jest doręczać im bezpłatnie </w:t>
      </w:r>
      <w:r w:rsidR="00897857" w:rsidRPr="003A42FB">
        <w:rPr>
          <w:rFonts w:ascii="Times New Roman" w:eastAsiaTheme="minorEastAsia" w:hAnsi="Times New Roman" w:cs="Times New Roman"/>
          <w:sz w:val="24"/>
          <w:szCs w:val="24"/>
        </w:rPr>
        <w:t>na trwałym nośniku</w:t>
      </w:r>
      <w:r w:rsidRPr="003A42FB">
        <w:rPr>
          <w:rFonts w:ascii="Times New Roman" w:eastAsiaTheme="minorEastAsia" w:hAnsi="Times New Roman" w:cs="Times New Roman"/>
          <w:sz w:val="24"/>
          <w:szCs w:val="24"/>
        </w:rPr>
        <w:t xml:space="preserve"> zwięzłe podsumowanie warunków umowy. Podsumowanie warunków umowy powinno być doręczone przed zawarciem umowy. Jedynie w przypadku, gdy z uwagi na obiektywne przeszkody techniczne (np. problem z wydrukowaniem dokumentu w salonie, problem z serwerem przy wysyłaniu maila) nie jest możliwe przedstawienie podsumowania warunków umowy przed jej zawarciem, dostawca usług przedstawia je niezwłocznie, gdy tylko stanie się to możliwe. Oświadczenie konsumenta o zawarciu umowy jest skuteczne, jeżeli zostało potwierdzone po otrzymaniu podsumowania warunków umowy. W rezultacie umowa staje się skuteczna po otrzymaniu od konsumenta oświadczenia o chęci skorzystania z przedstawionych mu uprzednio warunków. Zastrzeżenie to ma uchronić konsumentów przed związaniem się warunkami umowy innymi niż zostały </w:t>
      </w:r>
      <w:r w:rsidR="000167A2"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m przedstawione przed zawarciem umowy. </w:t>
      </w:r>
    </w:p>
    <w:p w14:paraId="3DEEEE8A" w14:textId="36407A12" w:rsidR="00D222AC" w:rsidRPr="003A42FB" w:rsidRDefault="0089785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Zwięzłe podsumowanie, które przekonało abonenta do zawarcia umowy o świadczenie usług komunikacji elektronicznej</w:t>
      </w:r>
      <w:r w:rsidR="00374F29" w:rsidRPr="003A42FB">
        <w:rPr>
          <w:rFonts w:ascii="Times New Roman" w:eastAsiaTheme="minorEastAsia" w:hAnsi="Times New Roman" w:cs="Times New Roman"/>
          <w:sz w:val="24"/>
          <w:szCs w:val="24"/>
        </w:rPr>
        <w:t>, po podpisaniu</w:t>
      </w:r>
      <w:r w:rsidR="00581545" w:rsidRPr="003A42FB">
        <w:rPr>
          <w:rFonts w:ascii="Times New Roman" w:eastAsiaTheme="minorEastAsia" w:hAnsi="Times New Roman" w:cs="Times New Roman"/>
          <w:sz w:val="24"/>
          <w:szCs w:val="24"/>
        </w:rPr>
        <w:t xml:space="preserve"> umowy</w:t>
      </w:r>
      <w:r w:rsidR="00374F29"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staje się jej integralną częścią i nie </w:t>
      </w:r>
      <w:r w:rsidRPr="3111C990">
        <w:rPr>
          <w:rFonts w:ascii="Times New Roman" w:eastAsiaTheme="minorEastAsia" w:hAnsi="Times New Roman" w:cs="Times New Roman"/>
          <w:sz w:val="24"/>
          <w:szCs w:val="24"/>
        </w:rPr>
        <w:t>podlega</w:t>
      </w:r>
      <w:r w:rsidRPr="003A42FB">
        <w:rPr>
          <w:rFonts w:ascii="Times New Roman" w:eastAsiaTheme="minorEastAsia" w:hAnsi="Times New Roman" w:cs="Times New Roman"/>
          <w:sz w:val="24"/>
          <w:szCs w:val="24"/>
        </w:rPr>
        <w:t xml:space="preserve"> zmianie, chyba że umawiające się strony wyraźnie postanowią inaczej.</w:t>
      </w:r>
      <w:r w:rsidR="000167A2" w:rsidRPr="003A42FB">
        <w:rPr>
          <w:rFonts w:ascii="Times New Roman" w:eastAsiaTheme="minorEastAsia" w:hAnsi="Times New Roman" w:cs="Times New Roman"/>
          <w:sz w:val="24"/>
          <w:szCs w:val="24"/>
        </w:rPr>
        <w:t xml:space="preserve"> </w:t>
      </w:r>
      <w:r w:rsidR="00D222AC" w:rsidRPr="003A42FB">
        <w:rPr>
          <w:rFonts w:ascii="Times New Roman" w:eastAsiaTheme="minorEastAsia" w:hAnsi="Times New Roman" w:cs="Times New Roman"/>
          <w:sz w:val="24"/>
          <w:szCs w:val="24"/>
        </w:rPr>
        <w:t>Wzór podsumowania warunków umowy określony jest w Rozporządzeniu Wykonawczym Komisji Europejskiej (UE) 2019/2243 z dnia 17 grudnia 2019 r. ustanawiającym formularz zawierający podsumowanie warunków umowy, który ma być używany przez dostawców publicznie dostępnych usług łączności elektronicznej na podstawie dyrektywy Parlamentu Europejskiego i Rady (UE) 2018/1972 (Dz.U.UE.L.2019.336.274).</w:t>
      </w:r>
      <w:r w:rsidR="0040057B" w:rsidRPr="003A42FB">
        <w:rPr>
          <w:rFonts w:ascii="Times New Roman" w:eastAsiaTheme="minorEastAsia" w:hAnsi="Times New Roman" w:cs="Times New Roman"/>
          <w:sz w:val="24"/>
          <w:szCs w:val="24"/>
        </w:rPr>
        <w:t xml:space="preserve"> Ze względu na stosowanie rozporządzenia wprost bez konieczności implementacji zrezygnowano z określania i publikowania w Pke wzoru podsumowania.</w:t>
      </w:r>
    </w:p>
    <w:p w14:paraId="6ADD526D" w14:textId="4ECE81BC" w:rsidR="1F5BD202" w:rsidRPr="003A42FB" w:rsidRDefault="1F5BD20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Art.</w:t>
      </w:r>
      <w:r w:rsidR="00FD6052" w:rsidRPr="003A42FB">
        <w:rPr>
          <w:rFonts w:ascii="Times New Roman" w:eastAsiaTheme="minorEastAsia" w:hAnsi="Times New Roman" w:cs="Times New Roman"/>
          <w:b/>
          <w:bCs/>
          <w:sz w:val="24"/>
          <w:szCs w:val="24"/>
        </w:rPr>
        <w:t xml:space="preserve"> </w:t>
      </w:r>
      <w:r w:rsidR="00E25298">
        <w:rPr>
          <w:rFonts w:ascii="Times New Roman" w:eastAsiaTheme="minorEastAsia" w:hAnsi="Times New Roman" w:cs="Times New Roman"/>
          <w:b/>
          <w:bCs/>
          <w:sz w:val="24"/>
          <w:szCs w:val="24"/>
        </w:rPr>
        <w:t>282</w:t>
      </w:r>
      <w:r w:rsidR="00264765" w:rsidRPr="003A42FB">
        <w:rPr>
          <w:rFonts w:ascii="Times New Roman" w:eastAsiaTheme="minorEastAsia" w:hAnsi="Times New Roman" w:cs="Times New Roman"/>
          <w:b/>
          <w:bCs/>
          <w:sz w:val="24"/>
          <w:szCs w:val="24"/>
        </w:rPr>
        <w:t xml:space="preserve"> – umowa z konsumentem</w:t>
      </w:r>
    </w:p>
    <w:p w14:paraId="6B669861" w14:textId="4DEC59C6" w:rsidR="0040057B"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E25298">
        <w:rPr>
          <w:rFonts w:ascii="Times New Roman" w:eastAsiaTheme="minorEastAsia" w:hAnsi="Times New Roman" w:cs="Times New Roman"/>
          <w:sz w:val="24"/>
          <w:szCs w:val="24"/>
        </w:rPr>
        <w:t>282</w:t>
      </w:r>
      <w:r w:rsidRPr="003A42FB">
        <w:rPr>
          <w:rFonts w:ascii="Times New Roman" w:eastAsiaTheme="minorEastAsia" w:hAnsi="Times New Roman" w:cs="Times New Roman"/>
          <w:sz w:val="24"/>
          <w:szCs w:val="24"/>
        </w:rPr>
        <w:t xml:space="preserve"> ust. </w:t>
      </w:r>
      <w:r w:rsidR="005D3582"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wskazuje katalog obligatoryjnych elementów umowy zawieranej z konsumentem w formie pisemnej, elektronicznej lub dokumentowej. </w:t>
      </w:r>
      <w:r w:rsidR="0040057B" w:rsidRPr="003A42FB">
        <w:rPr>
          <w:rFonts w:ascii="Times New Roman" w:eastAsiaTheme="minorEastAsia" w:hAnsi="Times New Roman" w:cs="Times New Roman"/>
          <w:sz w:val="24"/>
          <w:szCs w:val="24"/>
        </w:rPr>
        <w:t>Są to informacje, które nie są wymagane przez ustawę o prawach konsumenta czy EKŁE, a zdaniem projektodawcy są niezbędne z punktu widzenia abonenta</w:t>
      </w:r>
      <w:r w:rsidR="23C34FB1" w:rsidRPr="3111C990">
        <w:rPr>
          <w:rFonts w:ascii="Times New Roman" w:eastAsiaTheme="minorEastAsia" w:hAnsi="Times New Roman" w:cs="Times New Roman"/>
          <w:sz w:val="24"/>
          <w:szCs w:val="24"/>
        </w:rPr>
        <w:t>,</w:t>
      </w:r>
      <w:r w:rsidR="0040057B" w:rsidRPr="003A42FB">
        <w:rPr>
          <w:rFonts w:ascii="Times New Roman" w:eastAsiaTheme="minorEastAsia" w:hAnsi="Times New Roman" w:cs="Times New Roman"/>
          <w:sz w:val="24"/>
          <w:szCs w:val="24"/>
        </w:rPr>
        <w:t xml:space="preserve"> ponieważ są dla niego istotne i uwzględniają polskie warunki świadczenia usług telekomunikacyjnych</w:t>
      </w:r>
      <w:r w:rsidR="000167A2" w:rsidRPr="003A42FB">
        <w:rPr>
          <w:rFonts w:ascii="Times New Roman" w:eastAsiaTheme="minorEastAsia" w:hAnsi="Times New Roman" w:cs="Times New Roman"/>
          <w:sz w:val="24"/>
          <w:szCs w:val="24"/>
        </w:rPr>
        <w:t xml:space="preserve">. </w:t>
      </w:r>
      <w:r w:rsidR="0040057B" w:rsidRPr="003A42FB">
        <w:rPr>
          <w:rFonts w:ascii="Times New Roman" w:eastAsiaTheme="minorEastAsia" w:hAnsi="Times New Roman" w:cs="Times New Roman"/>
          <w:sz w:val="24"/>
          <w:szCs w:val="24"/>
        </w:rPr>
        <w:t>Taką istotną informacj</w:t>
      </w:r>
      <w:r w:rsidR="5FA4ECDE" w:rsidRPr="003A42FB">
        <w:rPr>
          <w:rFonts w:ascii="Times New Roman" w:eastAsiaTheme="minorEastAsia" w:hAnsi="Times New Roman" w:cs="Times New Roman"/>
          <w:sz w:val="24"/>
          <w:szCs w:val="24"/>
        </w:rPr>
        <w:t>ą</w:t>
      </w:r>
      <w:r w:rsidR="0040057B" w:rsidRPr="003A42FB">
        <w:rPr>
          <w:rFonts w:ascii="Times New Roman" w:eastAsiaTheme="minorEastAsia" w:hAnsi="Times New Roman" w:cs="Times New Roman"/>
          <w:sz w:val="24"/>
          <w:szCs w:val="24"/>
        </w:rPr>
        <w:t xml:space="preserve"> jest np. wskazanie w umowie:</w:t>
      </w:r>
    </w:p>
    <w:p w14:paraId="0CC39758" w14:textId="3E81730A" w:rsidR="0040057B" w:rsidRPr="003A42FB" w:rsidRDefault="0040057B"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1) danych abonenta, ponieważ w informacjach przedumownych oraz zwięzłym podsumowaniu </w:t>
      </w:r>
      <w:r w:rsidR="000167A2" w:rsidRPr="003A42FB">
        <w:rPr>
          <w:rFonts w:ascii="Times New Roman" w:eastAsiaTheme="minorEastAsia" w:hAnsi="Times New Roman" w:cs="Times New Roman"/>
          <w:sz w:val="24"/>
          <w:szCs w:val="24"/>
        </w:rPr>
        <w:t xml:space="preserve">warunków umowy wymagane </w:t>
      </w:r>
      <w:r w:rsidRPr="003A42FB">
        <w:rPr>
          <w:rFonts w:ascii="Times New Roman" w:eastAsiaTheme="minorEastAsia" w:hAnsi="Times New Roman" w:cs="Times New Roman"/>
          <w:sz w:val="24"/>
          <w:szCs w:val="24"/>
        </w:rPr>
        <w:t>są jedynie dane dostawcy usług;</w:t>
      </w:r>
    </w:p>
    <w:p w14:paraId="4691CF14" w14:textId="5969A4B5" w:rsidR="0040057B" w:rsidRPr="003A42FB" w:rsidRDefault="0040057B"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2) adres</w:t>
      </w:r>
      <w:r w:rsidR="280A0F1C" w:rsidRPr="003A42FB">
        <w:rPr>
          <w:rFonts w:ascii="Times New Roman" w:eastAsiaTheme="minorEastAsia" w:hAnsi="Times New Roman" w:cs="Times New Roman"/>
          <w:sz w:val="24"/>
          <w:szCs w:val="24"/>
        </w:rPr>
        <w:t>u</w:t>
      </w:r>
      <w:r w:rsidR="00374F29" w:rsidRPr="003A42FB">
        <w:rPr>
          <w:rFonts w:ascii="Times New Roman" w:eastAsiaTheme="minorEastAsia" w:hAnsi="Times New Roman" w:cs="Times New Roman"/>
          <w:sz w:val="24"/>
          <w:szCs w:val="24"/>
        </w:rPr>
        <w:t xml:space="preserve"> poczty elektronicznej, </w:t>
      </w:r>
      <w:r w:rsidRPr="003A42FB">
        <w:rPr>
          <w:rFonts w:ascii="Times New Roman" w:eastAsiaTheme="minorEastAsia" w:hAnsi="Times New Roman" w:cs="Times New Roman"/>
          <w:sz w:val="24"/>
          <w:szCs w:val="24"/>
        </w:rPr>
        <w:t>numer</w:t>
      </w:r>
      <w:r w:rsidR="43A06CC1" w:rsidRPr="003A42FB">
        <w:rPr>
          <w:rFonts w:ascii="Times New Roman" w:eastAsiaTheme="minorEastAsia" w:hAnsi="Times New Roman" w:cs="Times New Roman"/>
          <w:sz w:val="24"/>
          <w:szCs w:val="24"/>
        </w:rPr>
        <w:t>u</w:t>
      </w:r>
      <w:r w:rsidRPr="003A42FB">
        <w:rPr>
          <w:rFonts w:ascii="Times New Roman" w:eastAsiaTheme="minorEastAsia" w:hAnsi="Times New Roman" w:cs="Times New Roman"/>
          <w:sz w:val="24"/>
          <w:szCs w:val="24"/>
        </w:rPr>
        <w:t xml:space="preserve"> telefonu</w:t>
      </w:r>
      <w:r w:rsidR="00093BAA" w:rsidRPr="003A42FB">
        <w:rPr>
          <w:rFonts w:ascii="Times New Roman" w:eastAsiaTheme="minorEastAsia" w:hAnsi="Times New Roman" w:cs="Times New Roman"/>
          <w:sz w:val="24"/>
          <w:szCs w:val="24"/>
        </w:rPr>
        <w:t xml:space="preserve"> </w:t>
      </w:r>
      <w:r w:rsidR="00374F29" w:rsidRPr="003A42FB">
        <w:rPr>
          <w:rFonts w:ascii="Times New Roman" w:hAnsi="Times New Roman" w:cs="Times New Roman"/>
          <w:sz w:val="24"/>
          <w:szCs w:val="24"/>
        </w:rPr>
        <w:t>lub adres elektroniczny innego środka komunikacji elektronicznej</w:t>
      </w:r>
      <w:r w:rsidR="00374F29" w:rsidRPr="003A42FB">
        <w:rPr>
          <w:rFonts w:ascii="Times New Roman" w:eastAsiaTheme="minorEastAsia" w:hAnsi="Times New Roman" w:cs="Times New Roman"/>
          <w:sz w:val="24"/>
          <w:szCs w:val="24"/>
        </w:rPr>
        <w:t xml:space="preserve"> </w:t>
      </w:r>
      <w:r w:rsidR="00093BAA" w:rsidRPr="003A42FB">
        <w:rPr>
          <w:rFonts w:ascii="Times New Roman" w:eastAsiaTheme="minorEastAsia" w:hAnsi="Times New Roman" w:cs="Times New Roman"/>
          <w:sz w:val="24"/>
          <w:szCs w:val="24"/>
        </w:rPr>
        <w:t>dostawcy, gdyż ustawa o prawach konsument</w:t>
      </w:r>
      <w:r w:rsidR="00EA7BA8" w:rsidRPr="003A42FB">
        <w:rPr>
          <w:rFonts w:ascii="Times New Roman" w:eastAsiaTheme="minorEastAsia" w:hAnsi="Times New Roman" w:cs="Times New Roman"/>
          <w:sz w:val="24"/>
          <w:szCs w:val="24"/>
        </w:rPr>
        <w:t>a</w:t>
      </w:r>
      <w:r w:rsidR="00093BAA" w:rsidRPr="003A42FB">
        <w:rPr>
          <w:rFonts w:ascii="Times New Roman" w:eastAsiaTheme="minorEastAsia" w:hAnsi="Times New Roman" w:cs="Times New Roman"/>
          <w:sz w:val="24"/>
          <w:szCs w:val="24"/>
        </w:rPr>
        <w:t xml:space="preserve"> wymaga podania takich danych tylko w przypadku zawierania umów na odległość</w:t>
      </w:r>
      <w:r w:rsidRPr="003A42FB">
        <w:rPr>
          <w:rFonts w:ascii="Times New Roman" w:eastAsiaTheme="minorEastAsia" w:hAnsi="Times New Roman" w:cs="Times New Roman"/>
          <w:sz w:val="24"/>
          <w:szCs w:val="24"/>
        </w:rPr>
        <w:t>;</w:t>
      </w:r>
    </w:p>
    <w:p w14:paraId="62C21060" w14:textId="7FCDEB7E" w:rsidR="0040057B" w:rsidRPr="003A42FB" w:rsidRDefault="00093BAA"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3) </w:t>
      </w:r>
      <w:r w:rsidR="0040057B" w:rsidRPr="003A42FB">
        <w:rPr>
          <w:rFonts w:ascii="Times New Roman" w:eastAsiaTheme="minorEastAsia" w:hAnsi="Times New Roman" w:cs="Times New Roman"/>
          <w:sz w:val="24"/>
          <w:szCs w:val="24"/>
        </w:rPr>
        <w:t>numer</w:t>
      </w:r>
      <w:r w:rsidRPr="003A42FB">
        <w:rPr>
          <w:rFonts w:ascii="Times New Roman" w:eastAsiaTheme="minorEastAsia" w:hAnsi="Times New Roman" w:cs="Times New Roman"/>
          <w:sz w:val="24"/>
          <w:szCs w:val="24"/>
        </w:rPr>
        <w:t>u</w:t>
      </w:r>
      <w:r w:rsidR="0040057B" w:rsidRPr="003A42FB">
        <w:rPr>
          <w:rFonts w:ascii="Times New Roman" w:eastAsiaTheme="minorEastAsia" w:hAnsi="Times New Roman" w:cs="Times New Roman"/>
          <w:sz w:val="24"/>
          <w:szCs w:val="24"/>
        </w:rPr>
        <w:t xml:space="preserve"> przydzielon</w:t>
      </w:r>
      <w:r w:rsidRPr="003A42FB">
        <w:rPr>
          <w:rFonts w:ascii="Times New Roman" w:eastAsiaTheme="minorEastAsia" w:hAnsi="Times New Roman" w:cs="Times New Roman"/>
          <w:sz w:val="24"/>
          <w:szCs w:val="24"/>
        </w:rPr>
        <w:t>ego</w:t>
      </w:r>
      <w:r w:rsidR="0040057B" w:rsidRPr="003A42FB">
        <w:rPr>
          <w:rFonts w:ascii="Times New Roman" w:eastAsiaTheme="minorEastAsia" w:hAnsi="Times New Roman" w:cs="Times New Roman"/>
          <w:sz w:val="24"/>
          <w:szCs w:val="24"/>
        </w:rPr>
        <w:t xml:space="preserve"> abonentowi</w:t>
      </w:r>
      <w:r w:rsidRPr="003A42FB">
        <w:rPr>
          <w:rFonts w:ascii="Times New Roman" w:eastAsiaTheme="minorEastAsia" w:hAnsi="Times New Roman" w:cs="Times New Roman"/>
          <w:sz w:val="24"/>
          <w:szCs w:val="24"/>
        </w:rPr>
        <w:t xml:space="preserve">, który jest informacją zindywidualizowaną, a nie znajdującą się </w:t>
      </w:r>
      <w:r w:rsidR="000167A2" w:rsidRPr="003A42FB">
        <w:rPr>
          <w:rFonts w:ascii="Times New Roman" w:eastAsiaTheme="minorEastAsia" w:hAnsi="Times New Roman" w:cs="Times New Roman"/>
          <w:sz w:val="24"/>
          <w:szCs w:val="24"/>
        </w:rPr>
        <w:t xml:space="preserve">w </w:t>
      </w:r>
      <w:r w:rsidRPr="003A42FB">
        <w:rPr>
          <w:rFonts w:ascii="Times New Roman" w:eastAsiaTheme="minorEastAsia" w:hAnsi="Times New Roman" w:cs="Times New Roman"/>
          <w:sz w:val="24"/>
          <w:szCs w:val="24"/>
        </w:rPr>
        <w:t>informacjach przedumownych</w:t>
      </w:r>
      <w:r w:rsidR="0040057B" w:rsidRPr="003A42FB">
        <w:rPr>
          <w:rFonts w:ascii="Times New Roman" w:eastAsiaTheme="minorEastAsia" w:hAnsi="Times New Roman" w:cs="Times New Roman"/>
          <w:sz w:val="24"/>
          <w:szCs w:val="24"/>
        </w:rPr>
        <w:t>;</w:t>
      </w:r>
    </w:p>
    <w:p w14:paraId="49FB121C" w14:textId="4B207149" w:rsidR="0040057B" w:rsidRPr="003A42FB" w:rsidRDefault="00093BAA"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4) informacji od kiedy można korzystać z usług</w:t>
      </w:r>
      <w:r w:rsidR="0040057B" w:rsidRPr="003A42FB">
        <w:rPr>
          <w:rFonts w:ascii="Times New Roman" w:eastAsiaTheme="minorEastAsia" w:hAnsi="Times New Roman" w:cs="Times New Roman"/>
          <w:sz w:val="24"/>
          <w:szCs w:val="24"/>
        </w:rPr>
        <w:t>;</w:t>
      </w:r>
    </w:p>
    <w:p w14:paraId="16535B28" w14:textId="121439C6" w:rsidR="00093BAA" w:rsidRPr="003A42FB" w:rsidRDefault="0040057B"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5) </w:t>
      </w:r>
      <w:r w:rsidR="00093BAA" w:rsidRPr="003A42FB">
        <w:rPr>
          <w:rFonts w:ascii="Times New Roman" w:eastAsiaTheme="minorEastAsia" w:hAnsi="Times New Roman" w:cs="Times New Roman"/>
          <w:sz w:val="24"/>
          <w:szCs w:val="24"/>
        </w:rPr>
        <w:t>nazwy promocji</w:t>
      </w:r>
      <w:r w:rsidR="5531E75D" w:rsidRPr="003A42FB">
        <w:rPr>
          <w:rFonts w:ascii="Times New Roman" w:eastAsiaTheme="minorEastAsia" w:hAnsi="Times New Roman" w:cs="Times New Roman"/>
          <w:sz w:val="24"/>
          <w:szCs w:val="24"/>
        </w:rPr>
        <w:t>,</w:t>
      </w:r>
      <w:r w:rsidR="00093BAA" w:rsidRPr="003A42FB">
        <w:rPr>
          <w:rFonts w:ascii="Times New Roman" w:eastAsiaTheme="minorEastAsia" w:hAnsi="Times New Roman" w:cs="Times New Roman"/>
          <w:sz w:val="24"/>
          <w:szCs w:val="24"/>
        </w:rPr>
        <w:t xml:space="preserve"> z której korzysta abonent, jeśli w informacjach przedumownych zostaną przedstawione różne warianty usług;</w:t>
      </w:r>
    </w:p>
    <w:p w14:paraId="2E146FCD" w14:textId="65A0BF45" w:rsidR="000167A2" w:rsidRPr="003A42FB" w:rsidRDefault="00093BAA"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6)</w:t>
      </w:r>
      <w:r w:rsidR="00374F29" w:rsidRPr="003A42FB">
        <w:rPr>
          <w:rFonts w:ascii="Times New Roman" w:eastAsiaTheme="minorEastAsia" w:hAnsi="Times New Roman" w:cs="Times New Roman"/>
          <w:sz w:val="24"/>
          <w:szCs w:val="24"/>
        </w:rPr>
        <w:t xml:space="preserve"> informacji </w:t>
      </w:r>
      <w:r w:rsidR="000167A2" w:rsidRPr="003A42FB">
        <w:rPr>
          <w:rFonts w:ascii="Times New Roman" w:eastAsiaTheme="minorEastAsia" w:hAnsi="Times New Roman" w:cs="Times New Roman"/>
          <w:sz w:val="24"/>
          <w:szCs w:val="24"/>
        </w:rPr>
        <w:t>j</w:t>
      </w:r>
      <w:r w:rsidRPr="003A42FB">
        <w:rPr>
          <w:rFonts w:ascii="Times New Roman" w:eastAsiaTheme="minorEastAsia" w:hAnsi="Times New Roman" w:cs="Times New Roman"/>
          <w:sz w:val="24"/>
          <w:szCs w:val="24"/>
        </w:rPr>
        <w:t>ak</w:t>
      </w:r>
      <w:r w:rsidR="000167A2"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częś</w:t>
      </w:r>
      <w:r w:rsidR="000167A2" w:rsidRPr="003A42FB">
        <w:rPr>
          <w:rFonts w:ascii="Times New Roman" w:eastAsiaTheme="minorEastAsia" w:hAnsi="Times New Roman" w:cs="Times New Roman"/>
          <w:sz w:val="24"/>
          <w:szCs w:val="24"/>
        </w:rPr>
        <w:t>ć</w:t>
      </w:r>
      <w:r w:rsidRPr="003A42FB">
        <w:rPr>
          <w:rFonts w:ascii="Times New Roman" w:eastAsiaTheme="minorEastAsia" w:hAnsi="Times New Roman" w:cs="Times New Roman"/>
          <w:sz w:val="24"/>
          <w:szCs w:val="24"/>
        </w:rPr>
        <w:t xml:space="preserve"> abonamentu </w:t>
      </w:r>
      <w:r w:rsidR="000167A2" w:rsidRPr="003A42FB">
        <w:rPr>
          <w:rFonts w:ascii="Times New Roman" w:eastAsiaTheme="minorEastAsia" w:hAnsi="Times New Roman" w:cs="Times New Roman"/>
          <w:sz w:val="24"/>
          <w:szCs w:val="24"/>
        </w:rPr>
        <w:t>stanowi cenę za</w:t>
      </w:r>
      <w:r w:rsidR="00374F29" w:rsidRPr="003A42FB">
        <w:rPr>
          <w:rFonts w:ascii="Times New Roman" w:eastAsiaTheme="minorEastAsia" w:hAnsi="Times New Roman" w:cs="Times New Roman"/>
          <w:sz w:val="24"/>
          <w:szCs w:val="24"/>
        </w:rPr>
        <w:t>:</w:t>
      </w:r>
    </w:p>
    <w:p w14:paraId="10CA672B" w14:textId="5D3FB997" w:rsidR="0096321B" w:rsidRPr="003A42FB" w:rsidRDefault="0096321B" w:rsidP="0096321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 świadczone usługi;</w:t>
      </w:r>
    </w:p>
    <w:p w14:paraId="07F06753" w14:textId="05E38468" w:rsidR="0096321B" w:rsidRPr="003A42FB" w:rsidRDefault="0096321B" w:rsidP="0096321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b) instalacj</w:t>
      </w:r>
      <w:r w:rsidR="000167A2" w:rsidRPr="003A42FB">
        <w:rPr>
          <w:rFonts w:ascii="Times New Roman" w:eastAsiaTheme="minorEastAsia" w:hAnsi="Times New Roman" w:cs="Times New Roman"/>
          <w:sz w:val="24"/>
          <w:szCs w:val="24"/>
        </w:rPr>
        <w:t>ę</w:t>
      </w:r>
      <w:r w:rsidRPr="003A42FB">
        <w:rPr>
          <w:rFonts w:ascii="Times New Roman" w:eastAsiaTheme="minorEastAsia" w:hAnsi="Times New Roman" w:cs="Times New Roman"/>
          <w:sz w:val="24"/>
          <w:szCs w:val="24"/>
        </w:rPr>
        <w:t xml:space="preserve"> usług;</w:t>
      </w:r>
    </w:p>
    <w:p w14:paraId="57AB6BAF" w14:textId="240F60EB" w:rsidR="0040057B" w:rsidRPr="003A42FB" w:rsidRDefault="0096321B"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c</w:t>
      </w:r>
      <w:r w:rsidR="00374F29" w:rsidRPr="003A42FB">
        <w:rPr>
          <w:rFonts w:ascii="Times New Roman" w:eastAsiaTheme="minorEastAsia" w:hAnsi="Times New Roman" w:cs="Times New Roman"/>
          <w:sz w:val="24"/>
          <w:szCs w:val="24"/>
        </w:rPr>
        <w:t>)</w:t>
      </w:r>
      <w:r w:rsidR="00093BAA" w:rsidRPr="003A42FB">
        <w:rPr>
          <w:rFonts w:ascii="Times New Roman" w:eastAsiaTheme="minorEastAsia" w:hAnsi="Times New Roman" w:cs="Times New Roman"/>
          <w:sz w:val="24"/>
          <w:szCs w:val="24"/>
        </w:rPr>
        <w:t xml:space="preserve"> zakupione w ramach umowy o świadczenie usług komunikacji elektronicznej </w:t>
      </w:r>
      <w:r w:rsidR="0040057B" w:rsidRPr="003A42FB">
        <w:rPr>
          <w:rFonts w:ascii="Times New Roman" w:eastAsiaTheme="minorEastAsia" w:hAnsi="Times New Roman" w:cs="Times New Roman"/>
          <w:sz w:val="24"/>
          <w:szCs w:val="24"/>
        </w:rPr>
        <w:t>telekomunikacyjne urządzenie końcowe</w:t>
      </w:r>
      <w:r w:rsidR="00093BAA" w:rsidRPr="003A42FB">
        <w:rPr>
          <w:rFonts w:ascii="Times New Roman" w:eastAsiaTheme="minorEastAsia" w:hAnsi="Times New Roman" w:cs="Times New Roman"/>
          <w:sz w:val="24"/>
          <w:szCs w:val="24"/>
        </w:rPr>
        <w:t xml:space="preserve"> (tzw. telefony za 1 zł), jeśli w ramach umowy zostało wydane takie urządzenie</w:t>
      </w:r>
      <w:r w:rsidR="0040057B" w:rsidRPr="003A42FB">
        <w:rPr>
          <w:rFonts w:ascii="Times New Roman" w:eastAsiaTheme="minorEastAsia" w:hAnsi="Times New Roman" w:cs="Times New Roman"/>
          <w:sz w:val="24"/>
          <w:szCs w:val="24"/>
        </w:rPr>
        <w:t>;</w:t>
      </w:r>
    </w:p>
    <w:p w14:paraId="664F01C6" w14:textId="528993D7" w:rsidR="0040057B" w:rsidRPr="003A42FB" w:rsidRDefault="00374F29"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7</w:t>
      </w:r>
      <w:r w:rsidR="0040057B" w:rsidRPr="003A42FB">
        <w:rPr>
          <w:rFonts w:ascii="Times New Roman" w:eastAsiaTheme="minorEastAsia" w:hAnsi="Times New Roman" w:cs="Times New Roman"/>
          <w:sz w:val="24"/>
          <w:szCs w:val="24"/>
        </w:rPr>
        <w:t xml:space="preserve">) </w:t>
      </w:r>
      <w:r w:rsidR="00093BAA" w:rsidRPr="003A42FB">
        <w:rPr>
          <w:rFonts w:ascii="Times New Roman" w:eastAsiaTheme="minorEastAsia" w:hAnsi="Times New Roman" w:cs="Times New Roman"/>
          <w:sz w:val="24"/>
          <w:szCs w:val="24"/>
        </w:rPr>
        <w:t>tabeli z informacją o wysokości odszkodowania w przypadku przedterminowego wypowiedzenia umowy zawartej na czas określony z podziałem na poszczególne miesiące;</w:t>
      </w:r>
    </w:p>
    <w:p w14:paraId="0003E3AC" w14:textId="1D9BBEA0" w:rsidR="0040057B" w:rsidRPr="003A42FB" w:rsidRDefault="00374F29"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8</w:t>
      </w:r>
      <w:r w:rsidR="0040057B" w:rsidRPr="003A42FB">
        <w:rPr>
          <w:rFonts w:ascii="Times New Roman" w:eastAsiaTheme="minorEastAsia" w:hAnsi="Times New Roman" w:cs="Times New Roman"/>
          <w:sz w:val="24"/>
          <w:szCs w:val="24"/>
        </w:rPr>
        <w:t>)</w:t>
      </w:r>
      <w:r w:rsidR="00B12435" w:rsidRPr="003A42FB">
        <w:rPr>
          <w:rFonts w:ascii="Times New Roman" w:eastAsiaTheme="minorEastAsia" w:hAnsi="Times New Roman" w:cs="Times New Roman"/>
          <w:sz w:val="24"/>
          <w:szCs w:val="24"/>
        </w:rPr>
        <w:t xml:space="preserve"> sposobów</w:t>
      </w:r>
      <w:r w:rsidR="0040057B" w:rsidRPr="003A42FB">
        <w:rPr>
          <w:rFonts w:ascii="Times New Roman" w:eastAsiaTheme="minorEastAsia" w:hAnsi="Times New Roman" w:cs="Times New Roman"/>
          <w:sz w:val="24"/>
          <w:szCs w:val="24"/>
        </w:rPr>
        <w:t xml:space="preserve"> składania zamówień na dodatkowe </w:t>
      </w:r>
      <w:r w:rsidR="000167A2" w:rsidRPr="003A42FB">
        <w:rPr>
          <w:rFonts w:ascii="Times New Roman" w:eastAsiaTheme="minorEastAsia" w:hAnsi="Times New Roman" w:cs="Times New Roman"/>
          <w:sz w:val="24"/>
          <w:szCs w:val="24"/>
        </w:rPr>
        <w:t xml:space="preserve">pakiety taryfowe oraz opcje </w:t>
      </w:r>
      <w:r w:rsidR="0040057B" w:rsidRPr="003A42FB">
        <w:rPr>
          <w:rFonts w:ascii="Times New Roman" w:eastAsiaTheme="minorEastAsia" w:hAnsi="Times New Roman" w:cs="Times New Roman"/>
          <w:sz w:val="24"/>
          <w:szCs w:val="24"/>
        </w:rPr>
        <w:t>usług</w:t>
      </w:r>
      <w:r w:rsidR="00B12435" w:rsidRPr="003A42FB">
        <w:rPr>
          <w:rFonts w:ascii="Times New Roman" w:eastAsiaTheme="minorEastAsia" w:hAnsi="Times New Roman" w:cs="Times New Roman"/>
          <w:sz w:val="24"/>
          <w:szCs w:val="24"/>
        </w:rPr>
        <w:t>, które nie wpływają na główne cechy czy cenę świadczonych usług, jest to sytuacja</w:t>
      </w:r>
      <w:r w:rsidR="4BCA6E48" w:rsidRPr="3111C990">
        <w:rPr>
          <w:rFonts w:ascii="Times New Roman" w:eastAsiaTheme="minorEastAsia" w:hAnsi="Times New Roman" w:cs="Times New Roman"/>
          <w:sz w:val="24"/>
          <w:szCs w:val="24"/>
        </w:rPr>
        <w:t>,</w:t>
      </w:r>
      <w:r w:rsidR="00B12435" w:rsidRPr="003A42FB">
        <w:rPr>
          <w:rFonts w:ascii="Times New Roman" w:eastAsiaTheme="minorEastAsia" w:hAnsi="Times New Roman" w:cs="Times New Roman"/>
          <w:sz w:val="24"/>
          <w:szCs w:val="24"/>
        </w:rPr>
        <w:t xml:space="preserve"> w której abonent korzystający z usługi tv dokupuje dodatkowy pakiet </w:t>
      </w:r>
      <w:r w:rsidR="00E24DE8" w:rsidRPr="003A42FB">
        <w:rPr>
          <w:rFonts w:ascii="Times New Roman" w:eastAsiaTheme="minorEastAsia" w:hAnsi="Times New Roman" w:cs="Times New Roman"/>
          <w:sz w:val="24"/>
          <w:szCs w:val="24"/>
        </w:rPr>
        <w:t>VOD</w:t>
      </w:r>
      <w:r w:rsidR="0040057B" w:rsidRPr="003A42FB">
        <w:rPr>
          <w:rFonts w:ascii="Times New Roman" w:eastAsiaTheme="minorEastAsia" w:hAnsi="Times New Roman" w:cs="Times New Roman"/>
          <w:sz w:val="24"/>
          <w:szCs w:val="24"/>
        </w:rPr>
        <w:t>;</w:t>
      </w:r>
    </w:p>
    <w:p w14:paraId="3041EFB0" w14:textId="06CF0614" w:rsidR="0040057B" w:rsidRPr="003A42FB" w:rsidRDefault="00E24DE8"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9</w:t>
      </w:r>
      <w:r w:rsidR="00B12435" w:rsidRPr="003A42FB">
        <w:rPr>
          <w:rFonts w:ascii="Times New Roman" w:eastAsiaTheme="minorEastAsia" w:hAnsi="Times New Roman" w:cs="Times New Roman"/>
          <w:sz w:val="24"/>
          <w:szCs w:val="24"/>
        </w:rPr>
        <w:t xml:space="preserve">) </w:t>
      </w:r>
      <w:r w:rsidR="0040057B" w:rsidRPr="003A42FB">
        <w:rPr>
          <w:rFonts w:ascii="Times New Roman" w:eastAsiaTheme="minorEastAsia" w:hAnsi="Times New Roman" w:cs="Times New Roman"/>
          <w:sz w:val="24"/>
          <w:szCs w:val="24"/>
        </w:rPr>
        <w:t>okres</w:t>
      </w:r>
      <w:r w:rsidR="00B12435" w:rsidRPr="003A42FB">
        <w:rPr>
          <w:rFonts w:ascii="Times New Roman" w:eastAsiaTheme="minorEastAsia" w:hAnsi="Times New Roman" w:cs="Times New Roman"/>
          <w:sz w:val="24"/>
          <w:szCs w:val="24"/>
        </w:rPr>
        <w:t>u rozliczeniowego i sposobów</w:t>
      </w:r>
      <w:r w:rsidR="0040057B" w:rsidRPr="003A42FB">
        <w:rPr>
          <w:rFonts w:ascii="Times New Roman" w:eastAsiaTheme="minorEastAsia" w:hAnsi="Times New Roman" w:cs="Times New Roman"/>
          <w:sz w:val="24"/>
          <w:szCs w:val="24"/>
        </w:rPr>
        <w:t xml:space="preserve"> dokonywania płatności;</w:t>
      </w:r>
    </w:p>
    <w:p w14:paraId="6C95013D" w14:textId="342357A3" w:rsidR="0040057B" w:rsidRPr="003A42FB" w:rsidRDefault="00E24DE8"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10</w:t>
      </w:r>
      <w:r w:rsidR="00B12435" w:rsidRPr="003A42FB">
        <w:rPr>
          <w:rFonts w:ascii="Times New Roman" w:eastAsiaTheme="minorEastAsia" w:hAnsi="Times New Roman" w:cs="Times New Roman"/>
          <w:sz w:val="24"/>
          <w:szCs w:val="24"/>
        </w:rPr>
        <w:t>) okoliczności</w:t>
      </w:r>
      <w:r w:rsidR="370F6717" w:rsidRPr="3111C990">
        <w:rPr>
          <w:rFonts w:ascii="Times New Roman" w:eastAsiaTheme="minorEastAsia" w:hAnsi="Times New Roman" w:cs="Times New Roman"/>
          <w:sz w:val="24"/>
          <w:szCs w:val="24"/>
        </w:rPr>
        <w:t>,</w:t>
      </w:r>
      <w:r w:rsidR="00B12435" w:rsidRPr="003A42FB">
        <w:rPr>
          <w:rFonts w:ascii="Times New Roman" w:eastAsiaTheme="minorEastAsia" w:hAnsi="Times New Roman" w:cs="Times New Roman"/>
          <w:sz w:val="24"/>
          <w:szCs w:val="24"/>
        </w:rPr>
        <w:t xml:space="preserve"> kiedy może dojść do jednostronnej zmiany warunków umowy, sposobu komunikacji i przysługujących drugiej stronie uprawnień</w:t>
      </w:r>
      <w:r w:rsidR="0040057B" w:rsidRPr="003A42FB">
        <w:rPr>
          <w:rFonts w:ascii="Times New Roman" w:eastAsiaTheme="minorEastAsia" w:hAnsi="Times New Roman" w:cs="Times New Roman"/>
          <w:sz w:val="24"/>
          <w:szCs w:val="24"/>
        </w:rPr>
        <w:t>;</w:t>
      </w:r>
    </w:p>
    <w:p w14:paraId="2B5D61B5" w14:textId="130BE70B" w:rsidR="0040057B" w:rsidRPr="003A42FB" w:rsidRDefault="00E24DE8"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11</w:t>
      </w:r>
      <w:r w:rsidR="00B12435" w:rsidRPr="003A42FB">
        <w:rPr>
          <w:rFonts w:ascii="Times New Roman" w:eastAsiaTheme="minorEastAsia" w:hAnsi="Times New Roman" w:cs="Times New Roman"/>
          <w:sz w:val="24"/>
          <w:szCs w:val="24"/>
        </w:rPr>
        <w:t>) ograniczeń</w:t>
      </w:r>
      <w:r w:rsidR="0040057B" w:rsidRPr="003A42FB">
        <w:rPr>
          <w:rFonts w:ascii="Times New Roman" w:eastAsiaTheme="minorEastAsia" w:hAnsi="Times New Roman" w:cs="Times New Roman"/>
          <w:sz w:val="24"/>
          <w:szCs w:val="24"/>
        </w:rPr>
        <w:t xml:space="preserve"> w dostępie lub korzystaniu z usług i aplikacji</w:t>
      </w:r>
      <w:r w:rsidR="00D0640D" w:rsidRPr="003A42FB">
        <w:rPr>
          <w:rFonts w:ascii="Times New Roman" w:eastAsiaTheme="minorEastAsia" w:hAnsi="Times New Roman" w:cs="Times New Roman"/>
          <w:sz w:val="24"/>
          <w:szCs w:val="24"/>
        </w:rPr>
        <w:t xml:space="preserve"> na telekomunikacyjnym urządzeniu końcowym zarówno sprzedanym jak i udostępnionym wraz z umową</w:t>
      </w:r>
      <w:r w:rsidR="0040057B" w:rsidRPr="003A42FB">
        <w:rPr>
          <w:rFonts w:ascii="Times New Roman" w:eastAsiaTheme="minorEastAsia" w:hAnsi="Times New Roman" w:cs="Times New Roman"/>
          <w:sz w:val="24"/>
          <w:szCs w:val="24"/>
        </w:rPr>
        <w:t>;</w:t>
      </w:r>
    </w:p>
    <w:p w14:paraId="387A2536" w14:textId="333731B4" w:rsidR="0040057B" w:rsidRPr="003A42FB" w:rsidRDefault="00E24DE8"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12</w:t>
      </w:r>
      <w:r w:rsidR="00B12435" w:rsidRPr="003A42FB">
        <w:rPr>
          <w:rFonts w:ascii="Times New Roman" w:eastAsiaTheme="minorEastAsia" w:hAnsi="Times New Roman" w:cs="Times New Roman"/>
          <w:sz w:val="24"/>
          <w:szCs w:val="24"/>
        </w:rPr>
        <w:t xml:space="preserve">) </w:t>
      </w:r>
      <w:r w:rsidR="00A72CC9" w:rsidRPr="003A42FB">
        <w:rPr>
          <w:rFonts w:ascii="Times New Roman" w:eastAsiaTheme="minorEastAsia" w:hAnsi="Times New Roman" w:cs="Times New Roman"/>
          <w:sz w:val="24"/>
          <w:szCs w:val="24"/>
        </w:rPr>
        <w:t>blokad założonych przez</w:t>
      </w:r>
      <w:r w:rsidR="0040057B" w:rsidRPr="003A42FB">
        <w:rPr>
          <w:rFonts w:ascii="Times New Roman" w:eastAsiaTheme="minorEastAsia" w:hAnsi="Times New Roman" w:cs="Times New Roman"/>
          <w:sz w:val="24"/>
          <w:szCs w:val="24"/>
        </w:rPr>
        <w:t xml:space="preserve"> </w:t>
      </w:r>
      <w:r w:rsidR="00A72CC9" w:rsidRPr="003A42FB">
        <w:rPr>
          <w:rFonts w:ascii="Times New Roman" w:eastAsiaTheme="minorEastAsia" w:hAnsi="Times New Roman" w:cs="Times New Roman"/>
          <w:sz w:val="24"/>
          <w:szCs w:val="24"/>
        </w:rPr>
        <w:t>dostawcę usług lub na jego zlecenie na telekomunikacyjne urządzenie</w:t>
      </w:r>
      <w:r w:rsidR="0040057B" w:rsidRPr="003A42FB">
        <w:rPr>
          <w:rFonts w:ascii="Times New Roman" w:eastAsiaTheme="minorEastAsia" w:hAnsi="Times New Roman" w:cs="Times New Roman"/>
          <w:sz w:val="24"/>
          <w:szCs w:val="24"/>
        </w:rPr>
        <w:t xml:space="preserve"> końcowego</w:t>
      </w:r>
      <w:r w:rsidR="00A72CC9" w:rsidRPr="003A42FB">
        <w:rPr>
          <w:rFonts w:ascii="Times New Roman" w:eastAsiaTheme="minorEastAsia" w:hAnsi="Times New Roman" w:cs="Times New Roman"/>
          <w:sz w:val="24"/>
          <w:szCs w:val="24"/>
        </w:rPr>
        <w:t xml:space="preserve"> w tym SIMLock</w:t>
      </w:r>
      <w:r w:rsidR="0096321B" w:rsidRPr="003A42FB">
        <w:rPr>
          <w:rFonts w:ascii="Times New Roman" w:eastAsiaTheme="minorEastAsia" w:hAnsi="Times New Roman" w:cs="Times New Roman"/>
          <w:sz w:val="24"/>
          <w:szCs w:val="24"/>
        </w:rPr>
        <w:t>;</w:t>
      </w:r>
    </w:p>
    <w:p w14:paraId="3B3ED544" w14:textId="677AA194" w:rsidR="0096321B" w:rsidRPr="003A42FB" w:rsidRDefault="0096321B" w:rsidP="00F01158">
      <w:pPr>
        <w:pStyle w:val="PKTpunkt"/>
        <w:rPr>
          <w:rFonts w:ascii="Times New Roman" w:hAnsi="Times New Roman" w:cs="Times New Roman"/>
          <w:szCs w:val="24"/>
        </w:rPr>
      </w:pPr>
      <w:r w:rsidRPr="003A42FB">
        <w:rPr>
          <w:rFonts w:ascii="Times New Roman" w:hAnsi="Times New Roman" w:cs="Times New Roman"/>
          <w:szCs w:val="24"/>
        </w:rPr>
        <w:t>13) zasady, tryb i terminy składania oraz rozpatrywania reklamacji;</w:t>
      </w:r>
    </w:p>
    <w:p w14:paraId="0ED1E678" w14:textId="74258A7E" w:rsidR="0096321B" w:rsidRPr="003A42FB" w:rsidRDefault="00E24DE8" w:rsidP="004005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w:t>
      </w:r>
      <w:r w:rsidR="0096321B" w:rsidRPr="003A42FB">
        <w:rPr>
          <w:rFonts w:ascii="Times New Roman" w:eastAsiaTheme="minorEastAsia" w:hAnsi="Times New Roman" w:cs="Times New Roman"/>
          <w:sz w:val="24"/>
          <w:szCs w:val="24"/>
        </w:rPr>
        <w:t>4</w:t>
      </w:r>
      <w:r w:rsidR="00A72CC9" w:rsidRPr="003A42FB">
        <w:rPr>
          <w:rFonts w:ascii="Times New Roman" w:eastAsiaTheme="minorEastAsia" w:hAnsi="Times New Roman" w:cs="Times New Roman"/>
          <w:sz w:val="24"/>
          <w:szCs w:val="24"/>
        </w:rPr>
        <w:t>) sposobów</w:t>
      </w:r>
      <w:r w:rsidR="0040057B" w:rsidRPr="003A42FB">
        <w:rPr>
          <w:rFonts w:ascii="Times New Roman" w:eastAsiaTheme="minorEastAsia" w:hAnsi="Times New Roman" w:cs="Times New Roman"/>
          <w:sz w:val="24"/>
          <w:szCs w:val="24"/>
        </w:rPr>
        <w:t xml:space="preserve"> </w:t>
      </w:r>
      <w:r w:rsidR="00A72CC9" w:rsidRPr="003A42FB">
        <w:rPr>
          <w:rFonts w:ascii="Times New Roman" w:eastAsiaTheme="minorEastAsia" w:hAnsi="Times New Roman" w:cs="Times New Roman"/>
          <w:sz w:val="24"/>
          <w:szCs w:val="24"/>
        </w:rPr>
        <w:t>komunikowania przez dostawcę usług</w:t>
      </w:r>
      <w:r w:rsidR="0040057B" w:rsidRPr="003A42FB">
        <w:rPr>
          <w:rFonts w:ascii="Times New Roman" w:eastAsiaTheme="minorEastAsia" w:hAnsi="Times New Roman" w:cs="Times New Roman"/>
          <w:sz w:val="24"/>
          <w:szCs w:val="24"/>
        </w:rPr>
        <w:t xml:space="preserve"> o zagrożeniach związanych ze świadczoną usługą, w tym sposoby ochrony bezpieczeństwa,</w:t>
      </w:r>
      <w:r w:rsidR="0096321B" w:rsidRPr="003A42FB">
        <w:rPr>
          <w:rFonts w:ascii="Times New Roman" w:eastAsiaTheme="minorEastAsia" w:hAnsi="Times New Roman" w:cs="Times New Roman"/>
          <w:sz w:val="24"/>
          <w:szCs w:val="24"/>
        </w:rPr>
        <w:t xml:space="preserve"> prywatności i danych osobowych</w:t>
      </w:r>
      <w:r w:rsidR="3BD84339" w:rsidRPr="3111C990">
        <w:rPr>
          <w:rFonts w:ascii="Times New Roman" w:eastAsiaTheme="minorEastAsia" w:hAnsi="Times New Roman" w:cs="Times New Roman"/>
          <w:sz w:val="24"/>
          <w:szCs w:val="24"/>
        </w:rPr>
        <w:t>;</w:t>
      </w:r>
    </w:p>
    <w:p w14:paraId="1F6559B8" w14:textId="3A32CDA1" w:rsidR="0040057B" w:rsidRPr="003A42FB" w:rsidRDefault="00E24DE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w:t>
      </w:r>
      <w:r w:rsidR="0096321B" w:rsidRPr="003A42FB">
        <w:rPr>
          <w:rFonts w:ascii="Times New Roman" w:eastAsiaTheme="minorEastAsia" w:hAnsi="Times New Roman" w:cs="Times New Roman"/>
          <w:sz w:val="24"/>
          <w:szCs w:val="24"/>
        </w:rPr>
        <w:t>5</w:t>
      </w:r>
      <w:r w:rsidR="00A72CC9" w:rsidRPr="003A42FB">
        <w:rPr>
          <w:rFonts w:ascii="Times New Roman" w:eastAsiaTheme="minorEastAsia" w:hAnsi="Times New Roman" w:cs="Times New Roman"/>
          <w:sz w:val="24"/>
          <w:szCs w:val="24"/>
        </w:rPr>
        <w:t>) warunków</w:t>
      </w:r>
      <w:r w:rsidR="0040057B" w:rsidRPr="003A42FB">
        <w:rPr>
          <w:rFonts w:ascii="Times New Roman" w:eastAsiaTheme="minorEastAsia" w:hAnsi="Times New Roman" w:cs="Times New Roman"/>
          <w:sz w:val="24"/>
          <w:szCs w:val="24"/>
        </w:rPr>
        <w:t xml:space="preserve"> zwrotu</w:t>
      </w:r>
      <w:r w:rsidR="00A72CC9" w:rsidRPr="003A42FB">
        <w:rPr>
          <w:rFonts w:ascii="Times New Roman" w:eastAsiaTheme="minorEastAsia" w:hAnsi="Times New Roman" w:cs="Times New Roman"/>
          <w:sz w:val="24"/>
          <w:szCs w:val="24"/>
        </w:rPr>
        <w:t xml:space="preserve"> </w:t>
      </w:r>
      <w:r w:rsidR="48900689" w:rsidRPr="3111C990">
        <w:rPr>
          <w:rFonts w:ascii="Times New Roman" w:eastAsiaTheme="minorEastAsia" w:hAnsi="Times New Roman" w:cs="Times New Roman"/>
          <w:sz w:val="24"/>
          <w:szCs w:val="24"/>
        </w:rPr>
        <w:t xml:space="preserve">urządzenia </w:t>
      </w:r>
      <w:r w:rsidR="00A72CC9" w:rsidRPr="003A42FB">
        <w:rPr>
          <w:rFonts w:ascii="Times New Roman" w:eastAsiaTheme="minorEastAsia" w:hAnsi="Times New Roman" w:cs="Times New Roman"/>
          <w:sz w:val="24"/>
          <w:szCs w:val="24"/>
        </w:rPr>
        <w:t xml:space="preserve">po zakończeniu umowy np. dekodera wydzierżawionego </w:t>
      </w:r>
      <w:r w:rsidR="00A72CC9" w:rsidRPr="3111C990">
        <w:rPr>
          <w:rFonts w:ascii="Times New Roman" w:eastAsiaTheme="minorEastAsia" w:hAnsi="Times New Roman" w:cs="Times New Roman"/>
          <w:sz w:val="24"/>
          <w:szCs w:val="24"/>
        </w:rPr>
        <w:t>prze</w:t>
      </w:r>
      <w:r w:rsidR="40B8C8B3" w:rsidRPr="3111C990">
        <w:rPr>
          <w:rFonts w:ascii="Times New Roman" w:eastAsiaTheme="minorEastAsia" w:hAnsi="Times New Roman" w:cs="Times New Roman"/>
          <w:sz w:val="24"/>
          <w:szCs w:val="24"/>
        </w:rPr>
        <w:t>z</w:t>
      </w:r>
      <w:r w:rsidR="00A72CC9" w:rsidRPr="003A42FB">
        <w:rPr>
          <w:rFonts w:ascii="Times New Roman" w:eastAsiaTheme="minorEastAsia" w:hAnsi="Times New Roman" w:cs="Times New Roman"/>
          <w:sz w:val="24"/>
          <w:szCs w:val="24"/>
        </w:rPr>
        <w:t xml:space="preserve"> dostawcę usług</w:t>
      </w:r>
      <w:r w:rsidR="0040057B" w:rsidRPr="003A42FB">
        <w:rPr>
          <w:rFonts w:ascii="Times New Roman" w:eastAsiaTheme="minorEastAsia" w:hAnsi="Times New Roman" w:cs="Times New Roman"/>
          <w:sz w:val="24"/>
          <w:szCs w:val="24"/>
        </w:rPr>
        <w:t>, ze wskazaniem na czyj koszt zwrot ma nastąpić</w:t>
      </w:r>
      <w:r w:rsidR="7D86B796" w:rsidRPr="3111C990">
        <w:rPr>
          <w:rFonts w:ascii="Times New Roman" w:eastAsiaTheme="minorEastAsia" w:hAnsi="Times New Roman" w:cs="Times New Roman"/>
          <w:sz w:val="24"/>
          <w:szCs w:val="24"/>
        </w:rPr>
        <w:t>.</w:t>
      </w:r>
    </w:p>
    <w:p w14:paraId="474D0F04" w14:textId="2AF79D2B" w:rsidR="00221330" w:rsidRPr="003A42FB" w:rsidRDefault="32026732"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 xml:space="preserve">W ust. 2 sprecyzowany został ważny wymóg zawarcia wszystkich informacji, o których mowa w ust. 1, </w:t>
      </w:r>
      <w:r w:rsidR="4F2032E4" w:rsidRPr="003A42FB">
        <w:rPr>
          <w:rFonts w:ascii="Times New Roman" w:eastAsiaTheme="minorEastAsia" w:hAnsi="Times New Roman" w:cs="Times New Roman"/>
          <w:sz w:val="24"/>
          <w:szCs w:val="24"/>
        </w:rPr>
        <w:t>w jednym dokumencie</w:t>
      </w:r>
      <w:r w:rsidR="00A72CC9" w:rsidRPr="003A42FB">
        <w:rPr>
          <w:rFonts w:ascii="Times New Roman" w:eastAsiaTheme="minorEastAsia" w:hAnsi="Times New Roman" w:cs="Times New Roman"/>
          <w:sz w:val="24"/>
          <w:szCs w:val="24"/>
        </w:rPr>
        <w:t xml:space="preserve"> oraz zaka</w:t>
      </w:r>
      <w:r w:rsidR="009D3325" w:rsidRPr="003A42FB">
        <w:rPr>
          <w:rFonts w:ascii="Times New Roman" w:eastAsiaTheme="minorEastAsia" w:hAnsi="Times New Roman" w:cs="Times New Roman"/>
          <w:sz w:val="24"/>
          <w:szCs w:val="24"/>
        </w:rPr>
        <w:t>z</w:t>
      </w:r>
      <w:r w:rsidR="00A72CC9" w:rsidRPr="003A42FB">
        <w:rPr>
          <w:rFonts w:ascii="Times New Roman" w:eastAsiaTheme="minorEastAsia" w:hAnsi="Times New Roman" w:cs="Times New Roman"/>
          <w:sz w:val="24"/>
          <w:szCs w:val="24"/>
        </w:rPr>
        <w:t xml:space="preserve"> przenoszenia tych informacji do innych wzorców umownych</w:t>
      </w:r>
      <w:r w:rsidR="4F2032E4" w:rsidRPr="003A42FB">
        <w:rPr>
          <w:rFonts w:ascii="Times New Roman" w:eastAsiaTheme="minorEastAsia" w:hAnsi="Times New Roman" w:cs="Times New Roman"/>
          <w:sz w:val="24"/>
          <w:szCs w:val="24"/>
        </w:rPr>
        <w:t xml:space="preserve">. Zastrzeżenie takie </w:t>
      </w:r>
      <w:r w:rsidR="4167189C" w:rsidRPr="003A42FB">
        <w:rPr>
          <w:rFonts w:ascii="Times New Roman" w:eastAsiaTheme="minorEastAsia" w:hAnsi="Times New Roman" w:cs="Times New Roman"/>
          <w:sz w:val="24"/>
          <w:szCs w:val="24"/>
        </w:rPr>
        <w:t xml:space="preserve">jest korzystne z punktu widzenia konsumenta, który wszystkie najważniejsze informacje dotyczące usługi ma dostępne w jednym </w:t>
      </w:r>
      <w:r w:rsidR="31169F08" w:rsidRPr="003A42FB">
        <w:rPr>
          <w:rFonts w:ascii="Times New Roman" w:eastAsiaTheme="minorEastAsia" w:hAnsi="Times New Roman" w:cs="Times New Roman"/>
          <w:sz w:val="24"/>
          <w:szCs w:val="24"/>
        </w:rPr>
        <w:t xml:space="preserve">dokumencie, bez </w:t>
      </w:r>
      <w:r w:rsidR="0DB9885E" w:rsidRPr="003A42FB">
        <w:rPr>
          <w:rFonts w:ascii="Times New Roman" w:eastAsiaTheme="minorEastAsia" w:hAnsi="Times New Roman" w:cs="Times New Roman"/>
          <w:sz w:val="24"/>
          <w:szCs w:val="24"/>
        </w:rPr>
        <w:t>konieczności sięgania do innych dokumentów</w:t>
      </w:r>
      <w:r w:rsidR="00E24DE8" w:rsidRPr="003A42FB">
        <w:rPr>
          <w:rFonts w:ascii="Times New Roman" w:eastAsia="Times New Roman" w:hAnsi="Times New Roman" w:cs="Times New Roman"/>
          <w:sz w:val="24"/>
          <w:szCs w:val="24"/>
        </w:rPr>
        <w:t>,</w:t>
      </w:r>
      <w:r w:rsidR="0DB9885E" w:rsidRPr="003A42FB" w:rsidDel="00E24DE8">
        <w:rPr>
          <w:rFonts w:ascii="Times New Roman" w:eastAsia="Times New Roman" w:hAnsi="Times New Roman" w:cs="Times New Roman"/>
          <w:sz w:val="24"/>
          <w:szCs w:val="24"/>
        </w:rPr>
        <w:t xml:space="preserve"> </w:t>
      </w:r>
      <w:r w:rsidR="73D62217" w:rsidRPr="003A42FB">
        <w:rPr>
          <w:rFonts w:ascii="Times New Roman" w:eastAsia="Times" w:hAnsi="Times New Roman" w:cs="Times New Roman"/>
          <w:sz w:val="24"/>
          <w:szCs w:val="24"/>
        </w:rPr>
        <w:t xml:space="preserve">w kilku różnych miejscach na stronie internetowej dostawcy usług. </w:t>
      </w:r>
      <w:r w:rsidR="3CC8F20E" w:rsidRPr="003A42FB">
        <w:rPr>
          <w:rFonts w:ascii="Times New Roman" w:eastAsia="Times" w:hAnsi="Times New Roman" w:cs="Times New Roman"/>
          <w:sz w:val="24"/>
          <w:szCs w:val="24"/>
        </w:rPr>
        <w:t>Ponadto informacje składające się na umowę powinny być przekazane</w:t>
      </w:r>
      <w:r w:rsidR="2BD80782" w:rsidRPr="003A42FB">
        <w:rPr>
          <w:rFonts w:ascii="Times New Roman" w:eastAsia="Times New Roman" w:hAnsi="Times New Roman" w:cs="Times New Roman"/>
          <w:sz w:val="24"/>
          <w:szCs w:val="24"/>
        </w:rPr>
        <w:t xml:space="preserve"> w jasny i zrozumiały sposób.</w:t>
      </w:r>
    </w:p>
    <w:p w14:paraId="210F08AE" w14:textId="7F3CF0A5" w:rsidR="00F01158" w:rsidRPr="003A42FB" w:rsidRDefault="005D77B5" w:rsidP="2284D859">
      <w:pPr>
        <w:spacing w:after="120" w:line="240" w:lineRule="auto"/>
        <w:jc w:val="both"/>
        <w:rPr>
          <w:rFonts w:ascii="Times New Roman" w:eastAsiaTheme="minorEastAsia" w:hAnsi="Times New Roman" w:cs="Times New Roman"/>
          <w:sz w:val="24"/>
          <w:szCs w:val="24"/>
        </w:rPr>
      </w:pPr>
      <w:r w:rsidRPr="003A42FB">
        <w:rPr>
          <w:rFonts w:ascii="Times New Roman" w:eastAsia="Times New Roman" w:hAnsi="Times New Roman" w:cs="Times New Roman"/>
          <w:sz w:val="24"/>
          <w:szCs w:val="24"/>
        </w:rPr>
        <w:t>Zgodnie z ust. 3</w:t>
      </w:r>
      <w:r w:rsidRPr="003A42FB">
        <w:rPr>
          <w:rFonts w:ascii="Times New Roman" w:eastAsiaTheme="minorEastAsia" w:hAnsi="Times New Roman" w:cs="Times New Roman"/>
          <w:sz w:val="24"/>
          <w:szCs w:val="24"/>
        </w:rPr>
        <w:t xml:space="preserve"> k</w:t>
      </w:r>
      <w:r w:rsidR="00C10DF9" w:rsidRPr="003A42FB">
        <w:rPr>
          <w:rFonts w:ascii="Times New Roman" w:eastAsiaTheme="minorEastAsia" w:hAnsi="Times New Roman" w:cs="Times New Roman"/>
          <w:sz w:val="24"/>
          <w:szCs w:val="24"/>
        </w:rPr>
        <w:t>onsument ma prawo wyboru preferowanej formy zawarcia umowy, spośród oferowanych przez dostawcę usług, o czym powinien zostać przed zawarciem umowy poinformowany</w:t>
      </w:r>
      <w:r w:rsidRPr="003A42FB">
        <w:rPr>
          <w:rFonts w:ascii="Times New Roman" w:eastAsiaTheme="minorEastAsia" w:hAnsi="Times New Roman" w:cs="Times New Roman"/>
          <w:sz w:val="24"/>
          <w:szCs w:val="24"/>
        </w:rPr>
        <w:t>.</w:t>
      </w:r>
      <w:r w:rsidR="00C10DF9" w:rsidRPr="003A42FB">
        <w:rPr>
          <w:rFonts w:ascii="Times New Roman" w:eastAsiaTheme="minorEastAsia" w:hAnsi="Times New Roman" w:cs="Times New Roman"/>
          <w:sz w:val="24"/>
          <w:szCs w:val="24"/>
        </w:rPr>
        <w:t xml:space="preserve"> </w:t>
      </w:r>
    </w:p>
    <w:p w14:paraId="392106A9" w14:textId="5FE8E379" w:rsidR="0096321B" w:rsidRPr="003A42FB" w:rsidRDefault="0096321B" w:rsidP="2284D859">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E25298">
        <w:rPr>
          <w:rFonts w:ascii="Times New Roman" w:eastAsiaTheme="minorEastAsia" w:hAnsi="Times New Roman" w:cs="Times New Roman"/>
          <w:b/>
          <w:sz w:val="24"/>
          <w:szCs w:val="24"/>
        </w:rPr>
        <w:t>283</w:t>
      </w:r>
      <w:r w:rsidRPr="003A42FB">
        <w:rPr>
          <w:rFonts w:ascii="Times New Roman" w:eastAsiaTheme="minorEastAsia" w:hAnsi="Times New Roman" w:cs="Times New Roman"/>
          <w:b/>
          <w:sz w:val="24"/>
          <w:szCs w:val="24"/>
        </w:rPr>
        <w:t xml:space="preserve"> </w:t>
      </w:r>
      <w:r w:rsidR="00264765" w:rsidRPr="003A42FB">
        <w:rPr>
          <w:rFonts w:ascii="Times New Roman" w:eastAsiaTheme="minorEastAsia" w:hAnsi="Times New Roman" w:cs="Times New Roman"/>
          <w:b/>
          <w:sz w:val="24"/>
          <w:szCs w:val="24"/>
        </w:rPr>
        <w:t>– korzystanie z dodatkowych pakietów taryfowych lub opcji usługi</w:t>
      </w:r>
    </w:p>
    <w:p w14:paraId="39A2B293" w14:textId="2CB7A466" w:rsidR="009F1DF0" w:rsidRPr="003A42FB" w:rsidRDefault="0096321B" w:rsidP="717D4736">
      <w:pPr>
        <w:spacing w:after="120" w:line="240" w:lineRule="auto"/>
        <w:jc w:val="both"/>
        <w:rPr>
          <w:rFonts w:ascii="Times New Roman" w:eastAsia="Times New Roman" w:hAnsi="Times New Roman" w:cs="Times New Roman"/>
          <w:bCs/>
          <w:sz w:val="24"/>
          <w:szCs w:val="24"/>
        </w:rPr>
      </w:pPr>
      <w:r w:rsidRPr="003A42FB">
        <w:rPr>
          <w:rFonts w:ascii="Times New Roman" w:eastAsia="Times New Roman" w:hAnsi="Times New Roman" w:cs="Times New Roman"/>
          <w:sz w:val="24"/>
          <w:szCs w:val="24"/>
        </w:rPr>
        <w:t xml:space="preserve">W przypadku oferowania przez dostawcę usług okresowych promocji, których nie mógł przewidzieć w momencie zawierania umowy, na usługi dodatkowe np. pakiet VOD przy usłudze telewizji, czy dodatkowe minuty przy usłudze komunikacji głosowej, dostawca może przedstawić informacje o warunkach skorzystania z tej usługi i sposobie złożenia na nią zamówienia w dodatkowym dokumencie np. w regulaminie promocji. Wobec takich, </w:t>
      </w:r>
      <w:r w:rsidRPr="003A42FB">
        <w:rPr>
          <w:rFonts w:ascii="Times New Roman" w:eastAsia="Times New Roman" w:hAnsi="Times New Roman" w:cs="Times New Roman"/>
          <w:sz w:val="24"/>
          <w:szCs w:val="24"/>
        </w:rPr>
        <w:lastRenderedPageBreak/>
        <w:t>dodatkowy</w:t>
      </w:r>
      <w:r w:rsidR="009F1DF0" w:rsidRPr="003A42FB">
        <w:rPr>
          <w:rFonts w:ascii="Times New Roman" w:eastAsia="Times New Roman" w:hAnsi="Times New Roman" w:cs="Times New Roman"/>
          <w:sz w:val="24"/>
          <w:szCs w:val="24"/>
        </w:rPr>
        <w:t>ch</w:t>
      </w:r>
      <w:r w:rsidRPr="003A42FB">
        <w:rPr>
          <w:rFonts w:ascii="Times New Roman" w:eastAsia="Times New Roman" w:hAnsi="Times New Roman" w:cs="Times New Roman"/>
          <w:sz w:val="24"/>
          <w:szCs w:val="24"/>
        </w:rPr>
        <w:t xml:space="preserve"> usług zastosowanie mają przepisy</w:t>
      </w:r>
      <w:r w:rsidR="009F1DF0" w:rsidRPr="003A42FB">
        <w:rPr>
          <w:rFonts w:ascii="Times New Roman" w:eastAsia="Times New Roman" w:hAnsi="Times New Roman" w:cs="Times New Roman"/>
          <w:sz w:val="24"/>
          <w:szCs w:val="24"/>
        </w:rPr>
        <w:t xml:space="preserve"> Upk</w:t>
      </w:r>
      <w:r w:rsidRPr="003A42FB">
        <w:rPr>
          <w:rFonts w:ascii="Times New Roman" w:eastAsia="Times New Roman" w:hAnsi="Times New Roman" w:cs="Times New Roman"/>
          <w:sz w:val="24"/>
          <w:szCs w:val="24"/>
        </w:rPr>
        <w:t>. Warunkiem skorzystania z powyższego wyjątku jest brak wpływu tych dodatkowych usług na główne cechy usługi głównej objętej umową oraz jej cenę.</w:t>
      </w:r>
      <w:r w:rsidR="009F1DF0" w:rsidRPr="003A42FB">
        <w:rPr>
          <w:rFonts w:ascii="Times New Roman" w:eastAsia="Times New Roman" w:hAnsi="Times New Roman" w:cs="Times New Roman"/>
          <w:sz w:val="24"/>
          <w:szCs w:val="24"/>
        </w:rPr>
        <w:t xml:space="preserve"> </w:t>
      </w:r>
      <w:r w:rsidR="009F1DF0" w:rsidRPr="003A42FB">
        <w:rPr>
          <w:rFonts w:ascii="Times New Roman" w:eastAsia="Times New Roman" w:hAnsi="Times New Roman" w:cs="Times New Roman"/>
          <w:bCs/>
          <w:sz w:val="24"/>
          <w:szCs w:val="24"/>
        </w:rPr>
        <w:t>W ust. 2 zastrzeżono, że skorzystanie z dodatkowych pakietów taryfowych lub dodatkowych opcji usług, nie stanowi zmiany warunków umowy oraz nie wpływa na wysokość odszkodow</w:t>
      </w:r>
      <w:r w:rsidR="00F01158" w:rsidRPr="003A42FB">
        <w:rPr>
          <w:rFonts w:ascii="Times New Roman" w:eastAsia="Times New Roman" w:hAnsi="Times New Roman" w:cs="Times New Roman"/>
          <w:bCs/>
          <w:sz w:val="24"/>
          <w:szCs w:val="24"/>
        </w:rPr>
        <w:t xml:space="preserve">ania, o którym mowa w art. </w:t>
      </w:r>
      <w:r w:rsidR="00E25298">
        <w:rPr>
          <w:rFonts w:ascii="Times New Roman" w:eastAsia="Times New Roman" w:hAnsi="Times New Roman" w:cs="Times New Roman"/>
          <w:bCs/>
          <w:sz w:val="24"/>
          <w:szCs w:val="24"/>
        </w:rPr>
        <w:t>298</w:t>
      </w:r>
      <w:r w:rsidR="00F01158" w:rsidRPr="003A42FB">
        <w:rPr>
          <w:rFonts w:ascii="Times New Roman" w:eastAsia="Times New Roman" w:hAnsi="Times New Roman" w:cs="Times New Roman"/>
          <w:bCs/>
          <w:sz w:val="24"/>
          <w:szCs w:val="24"/>
        </w:rPr>
        <w:t>.</w:t>
      </w:r>
    </w:p>
    <w:p w14:paraId="284152D9" w14:textId="2B7E1A79" w:rsidR="1A30A10C" w:rsidRPr="003A42FB" w:rsidRDefault="00D222A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284</w:t>
      </w:r>
      <w:r w:rsidR="00264765" w:rsidRPr="003A42FB">
        <w:rPr>
          <w:rFonts w:ascii="Times New Roman" w:eastAsiaTheme="minorEastAsia" w:hAnsi="Times New Roman" w:cs="Times New Roman"/>
          <w:b/>
          <w:bCs/>
          <w:sz w:val="24"/>
          <w:szCs w:val="24"/>
        </w:rPr>
        <w:t xml:space="preserve"> – umowa prepaid</w:t>
      </w:r>
    </w:p>
    <w:p w14:paraId="38B9AA61" w14:textId="75832F97" w:rsidR="00221330"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284</w:t>
      </w:r>
      <w:r w:rsidR="005D3582"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wskazuje katalog informacji umownych właściwy dla umów o świadczenie usług przedpłaconych (prepaid) zawieranych z konsumentem</w:t>
      </w:r>
      <w:r w:rsidR="00C10DF9" w:rsidRPr="003A42FB">
        <w:rPr>
          <w:rFonts w:ascii="Times New Roman" w:eastAsiaTheme="minorEastAsia" w:hAnsi="Times New Roman" w:cs="Times New Roman"/>
          <w:sz w:val="24"/>
          <w:szCs w:val="24"/>
        </w:rPr>
        <w:t xml:space="preserve"> wraz ze </w:t>
      </w:r>
      <w:r w:rsidRPr="003A42FB">
        <w:rPr>
          <w:rFonts w:ascii="Times New Roman" w:eastAsiaTheme="minorEastAsia" w:hAnsi="Times New Roman" w:cs="Times New Roman"/>
          <w:sz w:val="24"/>
          <w:szCs w:val="24"/>
        </w:rPr>
        <w:t>spos</w:t>
      </w:r>
      <w:r w:rsidR="00C10DF9" w:rsidRPr="003A42FB">
        <w:rPr>
          <w:rFonts w:ascii="Times New Roman" w:eastAsiaTheme="minorEastAsia" w:hAnsi="Times New Roman" w:cs="Times New Roman"/>
          <w:sz w:val="24"/>
          <w:szCs w:val="24"/>
        </w:rPr>
        <w:t>o</w:t>
      </w:r>
      <w:r w:rsidRPr="003A42FB">
        <w:rPr>
          <w:rFonts w:ascii="Times New Roman" w:eastAsiaTheme="minorEastAsia" w:hAnsi="Times New Roman" w:cs="Times New Roman"/>
          <w:sz w:val="24"/>
          <w:szCs w:val="24"/>
        </w:rPr>
        <w:t>b</w:t>
      </w:r>
      <w:r w:rsidR="00C10DF9" w:rsidRPr="003A42FB">
        <w:rPr>
          <w:rFonts w:ascii="Times New Roman" w:eastAsiaTheme="minorEastAsia" w:hAnsi="Times New Roman" w:cs="Times New Roman"/>
          <w:sz w:val="24"/>
          <w:szCs w:val="24"/>
        </w:rPr>
        <w:t>em</w:t>
      </w:r>
      <w:r w:rsidRPr="003A42FB">
        <w:rPr>
          <w:rFonts w:ascii="Times New Roman" w:eastAsiaTheme="minorEastAsia" w:hAnsi="Times New Roman" w:cs="Times New Roman"/>
          <w:sz w:val="24"/>
          <w:szCs w:val="24"/>
        </w:rPr>
        <w:t xml:space="preserve"> udostępnienia informacji składających się na umowę o świadczenie usług przedpłaconych z rozróżnieniem na informacje, które powinny być udostępnione na trwałym nośniku oraz informacje udostępniane poprzez wskazanie źródła, z którego można pobrać zawierające te informacje dokumenty. Co do zasady informacje składające się na umowę o świadczenie usług prepaid są udostępniane w postaci łatwych do pobrania dokumentów, ze wskazaniem ich źródła, z pouczeniem o konieczności ich pobrania i utrwalenia w celu zachowania możliwości ich późniejszego odtworzenia w niezmienionej postaci, do celów dowodowych, z dodatkowym zastrzeżeniem, że wskazane źródło kierować ma bezpośrednio do tych dokumentów (np. </w:t>
      </w:r>
      <w:r w:rsidR="29B5EFBA" w:rsidRPr="003A42FB">
        <w:rPr>
          <w:rFonts w:ascii="Times New Roman" w:eastAsiaTheme="minorEastAsia" w:hAnsi="Times New Roman" w:cs="Times New Roman"/>
          <w:sz w:val="24"/>
          <w:szCs w:val="24"/>
        </w:rPr>
        <w:t>l</w:t>
      </w:r>
      <w:r w:rsidRPr="003A42FB">
        <w:rPr>
          <w:rFonts w:ascii="Times New Roman" w:eastAsiaTheme="minorEastAsia" w:hAnsi="Times New Roman" w:cs="Times New Roman"/>
          <w:sz w:val="24"/>
          <w:szCs w:val="24"/>
        </w:rPr>
        <w:t xml:space="preserve">ink kierujący bezpośrednio do dokumentu na stronie). Wyjątek w sposobie udostępniania informacji stanowi informacja o przydzielonym numerze, która ma charakter zindywidualizowany i </w:t>
      </w:r>
      <w:r w:rsidR="00617A07" w:rsidRPr="003A42FB">
        <w:rPr>
          <w:rFonts w:ascii="Times New Roman" w:eastAsiaTheme="minorEastAsia" w:hAnsi="Times New Roman" w:cs="Times New Roman"/>
          <w:sz w:val="24"/>
          <w:szCs w:val="24"/>
        </w:rPr>
        <w:t xml:space="preserve">z tego powodu </w:t>
      </w:r>
      <w:r w:rsidRPr="003A42FB">
        <w:rPr>
          <w:rFonts w:ascii="Times New Roman" w:eastAsiaTheme="minorEastAsia" w:hAnsi="Times New Roman" w:cs="Times New Roman"/>
          <w:sz w:val="24"/>
          <w:szCs w:val="24"/>
        </w:rPr>
        <w:t xml:space="preserve">nie może być zamieszczona np. na stronie internetowej, stąd projektowane przepisy wprowadzają wymóg udostępnienia tej informacji na trwałym nośniku, czyli np. </w:t>
      </w:r>
      <w:r w:rsidR="00617A07" w:rsidRPr="003A42FB">
        <w:rPr>
          <w:rFonts w:ascii="Times New Roman" w:eastAsiaTheme="minorEastAsia" w:hAnsi="Times New Roman" w:cs="Times New Roman"/>
          <w:sz w:val="24"/>
          <w:szCs w:val="24"/>
        </w:rPr>
        <w:t xml:space="preserve">wprost </w:t>
      </w:r>
      <w:r w:rsidRPr="003A42FB">
        <w:rPr>
          <w:rFonts w:ascii="Times New Roman" w:eastAsiaTheme="minorEastAsia" w:hAnsi="Times New Roman" w:cs="Times New Roman"/>
          <w:sz w:val="24"/>
          <w:szCs w:val="24"/>
        </w:rPr>
        <w:t xml:space="preserve">na opakowaniu zestawu startowego prepaid lub w dołączonym </w:t>
      </w:r>
      <w:r w:rsidR="00C10DF9" w:rsidRPr="003A42FB">
        <w:rPr>
          <w:rFonts w:ascii="Times New Roman" w:eastAsiaTheme="minorEastAsia" w:hAnsi="Times New Roman" w:cs="Times New Roman"/>
          <w:sz w:val="24"/>
          <w:szCs w:val="24"/>
        </w:rPr>
        <w:t xml:space="preserve">do niego </w:t>
      </w:r>
      <w:r w:rsidRPr="003A42FB">
        <w:rPr>
          <w:rFonts w:ascii="Times New Roman" w:eastAsiaTheme="minorEastAsia" w:hAnsi="Times New Roman" w:cs="Times New Roman"/>
          <w:sz w:val="24"/>
          <w:szCs w:val="24"/>
        </w:rPr>
        <w:t>dokumencie.</w:t>
      </w:r>
      <w:r w:rsidR="00617A07" w:rsidRPr="003A42FB">
        <w:rPr>
          <w:rFonts w:ascii="Times New Roman" w:eastAsiaTheme="minorEastAsia" w:hAnsi="Times New Roman" w:cs="Times New Roman"/>
          <w:sz w:val="24"/>
          <w:szCs w:val="24"/>
        </w:rPr>
        <w:t xml:space="preserve"> </w:t>
      </w:r>
    </w:p>
    <w:p w14:paraId="4654A83D" w14:textId="75C82BEC" w:rsidR="00C10DF9" w:rsidRPr="003A42FB" w:rsidDel="00C04579" w:rsidRDefault="00C10DF9"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2 wskazano, że abonent usług prepaid w celu otrzymywania, w określonych w ustawie przypadkach, informacji i powiadomień może udostępnić dostawcy adres korespondencyjny, adres poczty elektronicznej lub wskazać inny środek komunikacji elektronicznej, o ile dostawca usług umożliwia korzystanie z takiego środka. </w:t>
      </w:r>
    </w:p>
    <w:p w14:paraId="4742F423" w14:textId="44C5B389" w:rsidR="00264765" w:rsidRPr="003A42FB" w:rsidRDefault="323F722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Nie ma oczywiście wątpliwości, iż przepisy dotyczące informacji przekazywanych konsumentom nie wyłączają obowiązków dotyczących ochrony danych osobowych, w szczególności </w:t>
      </w:r>
      <w:r w:rsidR="45D9D0EC" w:rsidRPr="404D52C4">
        <w:rPr>
          <w:rFonts w:ascii="Times New Roman" w:eastAsiaTheme="minorEastAsia" w:hAnsi="Times New Roman" w:cs="Times New Roman"/>
          <w:sz w:val="24"/>
          <w:szCs w:val="24"/>
        </w:rPr>
        <w:t>wynikających z</w:t>
      </w:r>
      <w:r w:rsidRPr="003A42FB">
        <w:rPr>
          <w:rFonts w:ascii="Times New Roman" w:eastAsiaTheme="minorEastAsia" w:hAnsi="Times New Roman" w:cs="Times New Roman"/>
          <w:sz w:val="24"/>
          <w:szCs w:val="24"/>
        </w:rPr>
        <w:t xml:space="preserve"> RODO.</w:t>
      </w:r>
    </w:p>
    <w:p w14:paraId="602025CC" w14:textId="6F855606" w:rsidR="456052C0" w:rsidRPr="003A42FB" w:rsidRDefault="00D222AC"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285</w:t>
      </w:r>
      <w:r w:rsidR="00264765" w:rsidRPr="003A42FB">
        <w:rPr>
          <w:rFonts w:ascii="Times New Roman" w:eastAsiaTheme="minorEastAsia" w:hAnsi="Times New Roman" w:cs="Times New Roman"/>
          <w:b/>
          <w:bCs/>
          <w:sz w:val="24"/>
          <w:szCs w:val="24"/>
        </w:rPr>
        <w:t xml:space="preserve"> – korzystanie z aparatów publicznych i NDS</w:t>
      </w:r>
    </w:p>
    <w:p w14:paraId="469A7F2E" w14:textId="69421A6A" w:rsidR="00F01158"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art. </w:t>
      </w:r>
      <w:r w:rsidR="00262036">
        <w:rPr>
          <w:rFonts w:ascii="Times New Roman" w:eastAsiaTheme="minorEastAsia" w:hAnsi="Times New Roman" w:cs="Times New Roman"/>
          <w:sz w:val="24"/>
          <w:szCs w:val="24"/>
        </w:rPr>
        <w:t>285</w:t>
      </w:r>
      <w:r w:rsidR="00F83FB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uregulowano zasady świadczenia usług komunikacji elektronicznej np. w przypadku korzystania z aparatów publicznych lub usług komunikacji głosowej świadczonych poprzez wybór numeru dostępu do sieci dostawcy usług. W przypadku takich usług ich dostawca jest obowiązany do określenia zakresu i warunków wykonywania usług w regulaminie świadczenia usług </w:t>
      </w:r>
      <w:r w:rsidR="00051A99" w:rsidRPr="003A42FB">
        <w:rPr>
          <w:rFonts w:ascii="Times New Roman" w:eastAsiaTheme="minorEastAsia" w:hAnsi="Times New Roman" w:cs="Times New Roman"/>
          <w:sz w:val="24"/>
          <w:szCs w:val="24"/>
        </w:rPr>
        <w:t xml:space="preserve">telekomunikacyjnych </w:t>
      </w:r>
      <w:r w:rsidRPr="003A42FB">
        <w:rPr>
          <w:rFonts w:ascii="Times New Roman" w:eastAsiaTheme="minorEastAsia" w:hAnsi="Times New Roman" w:cs="Times New Roman"/>
          <w:sz w:val="24"/>
          <w:szCs w:val="24"/>
        </w:rPr>
        <w:t xml:space="preserve">oraz </w:t>
      </w:r>
      <w:r w:rsidR="21678081" w:rsidRPr="003A42FB">
        <w:rPr>
          <w:rFonts w:ascii="Times New Roman" w:eastAsiaTheme="minorEastAsia" w:hAnsi="Times New Roman" w:cs="Times New Roman"/>
          <w:sz w:val="24"/>
          <w:szCs w:val="24"/>
        </w:rPr>
        <w:t xml:space="preserve">do </w:t>
      </w:r>
      <w:r w:rsidRPr="003A42FB">
        <w:rPr>
          <w:rFonts w:ascii="Times New Roman" w:eastAsiaTheme="minorEastAsia" w:hAnsi="Times New Roman" w:cs="Times New Roman"/>
          <w:sz w:val="24"/>
          <w:szCs w:val="24"/>
        </w:rPr>
        <w:t>podania tego regulaminu do publicznej wiadomości przez publikację na swojej stronie internetowej.</w:t>
      </w:r>
      <w:r w:rsidR="3457A982" w:rsidRPr="003A42FB">
        <w:rPr>
          <w:rFonts w:ascii="Times New Roman" w:eastAsiaTheme="minorEastAsia" w:hAnsi="Times New Roman" w:cs="Times New Roman"/>
          <w:sz w:val="24"/>
          <w:szCs w:val="24"/>
        </w:rPr>
        <w:t xml:space="preserve"> </w:t>
      </w:r>
      <w:r w:rsidR="6AA0A216" w:rsidRPr="003A42FB">
        <w:rPr>
          <w:rFonts w:ascii="Times New Roman" w:eastAsiaTheme="minorEastAsia" w:hAnsi="Times New Roman" w:cs="Times New Roman"/>
          <w:sz w:val="24"/>
          <w:szCs w:val="24"/>
        </w:rPr>
        <w:t xml:space="preserve"> </w:t>
      </w:r>
    </w:p>
    <w:p w14:paraId="3E611B65" w14:textId="3013A36E" w:rsidR="00221330" w:rsidRPr="003A42FB" w:rsidRDefault="2284D859"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ust. 2 wskazano, że abonent usług</w:t>
      </w:r>
      <w:r w:rsidR="2D04B9CE" w:rsidRPr="003A42FB">
        <w:rPr>
          <w:rFonts w:ascii="Times New Roman" w:eastAsiaTheme="minorEastAsia" w:hAnsi="Times New Roman" w:cs="Times New Roman"/>
          <w:sz w:val="24"/>
          <w:szCs w:val="24"/>
        </w:rPr>
        <w:t xml:space="preserve">, o których mowa </w:t>
      </w:r>
      <w:r w:rsidR="004F6296" w:rsidRPr="003A42FB">
        <w:rPr>
          <w:rFonts w:ascii="Times New Roman" w:eastAsiaTheme="minorEastAsia" w:hAnsi="Times New Roman" w:cs="Times New Roman"/>
          <w:sz w:val="24"/>
          <w:szCs w:val="24"/>
        </w:rPr>
        <w:t>wyżej, w</w:t>
      </w:r>
      <w:r w:rsidRPr="003A42FB">
        <w:rPr>
          <w:rFonts w:ascii="Times New Roman" w:eastAsiaTheme="minorEastAsia" w:hAnsi="Times New Roman" w:cs="Times New Roman"/>
          <w:sz w:val="24"/>
          <w:szCs w:val="24"/>
        </w:rPr>
        <w:t xml:space="preserve"> celu otrzymywania, w określonych w ustawie przypadkach, informacji i powiadomień może udostępnić dostawcy adres korespondencyjny, adres poczty elektronicznej lub wskazać inny środek komunikacji elektronicznej, o ile dostawca usług umożliwia korzystanie z takiego środka.</w:t>
      </w:r>
      <w:r w:rsidR="004F6296" w:rsidRPr="003A42FB">
        <w:rPr>
          <w:rFonts w:ascii="Times New Roman" w:eastAsiaTheme="minorEastAsia" w:hAnsi="Times New Roman" w:cs="Times New Roman"/>
          <w:sz w:val="24"/>
          <w:szCs w:val="24"/>
        </w:rPr>
        <w:t xml:space="preserve"> </w:t>
      </w:r>
      <w:r w:rsidR="00051A99" w:rsidRPr="003A42FB" w:rsidDel="00051A99">
        <w:rPr>
          <w:rFonts w:ascii="Times New Roman" w:eastAsiaTheme="minorEastAsia" w:hAnsi="Times New Roman" w:cs="Times New Roman"/>
          <w:sz w:val="24"/>
          <w:szCs w:val="24"/>
        </w:rPr>
        <w:t xml:space="preserve"> </w:t>
      </w:r>
    </w:p>
    <w:p w14:paraId="2C298833" w14:textId="27FC46A0" w:rsidR="00281DB6" w:rsidRPr="003A42FB" w:rsidRDefault="00281DB6" w:rsidP="00281DB6">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262036">
        <w:rPr>
          <w:rFonts w:ascii="Times New Roman" w:eastAsiaTheme="minorEastAsia" w:hAnsi="Times New Roman" w:cs="Times New Roman"/>
          <w:b/>
          <w:sz w:val="24"/>
          <w:szCs w:val="24"/>
        </w:rPr>
        <w:t>286</w:t>
      </w:r>
      <w:r w:rsidR="00051A99" w:rsidRPr="003A42FB">
        <w:rPr>
          <w:rFonts w:ascii="Times New Roman" w:eastAsiaTheme="minorEastAsia" w:hAnsi="Times New Roman" w:cs="Times New Roman"/>
          <w:b/>
          <w:sz w:val="24"/>
          <w:szCs w:val="24"/>
        </w:rPr>
        <w:t xml:space="preserve"> – dostępność dokumentów umownych dla osób z niepełnosprawnościami</w:t>
      </w:r>
    </w:p>
    <w:p w14:paraId="10318977" w14:textId="142E341B" w:rsidR="00281DB6" w:rsidRPr="003A42FB" w:rsidRDefault="00281DB6"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Konsument z niepełnosprawnościami może żądać wydania informacji przedumownych, zwięzłego podsumowania warunków umowy oraz pozostałych informacji składających się na umowę o świadczenie usług komunikacji elektronicznej w postaci dla niego dostępnej.</w:t>
      </w:r>
      <w:r w:rsidR="4D33621C" w:rsidRPr="404D52C4">
        <w:rPr>
          <w:rFonts w:ascii="Times New Roman" w:eastAsiaTheme="minorEastAsia" w:hAnsi="Times New Roman" w:cs="Times New Roman"/>
          <w:sz w:val="24"/>
          <w:szCs w:val="24"/>
        </w:rPr>
        <w:t xml:space="preserve"> Szczegóły dotyczące realizacji tego uprawnienia zostaną doprecyzowane w rozporządzeniu wydawanym na podstawie art. </w:t>
      </w:r>
      <w:r w:rsidR="00262036">
        <w:rPr>
          <w:rFonts w:ascii="Times New Roman" w:eastAsiaTheme="minorEastAsia" w:hAnsi="Times New Roman" w:cs="Times New Roman"/>
          <w:sz w:val="24"/>
          <w:szCs w:val="24"/>
        </w:rPr>
        <w:t>334</w:t>
      </w:r>
      <w:r w:rsidR="4D33621C" w:rsidRPr="404D52C4">
        <w:rPr>
          <w:rFonts w:ascii="Times New Roman" w:eastAsiaTheme="minorEastAsia" w:hAnsi="Times New Roman" w:cs="Times New Roman"/>
          <w:sz w:val="24"/>
          <w:szCs w:val="24"/>
        </w:rPr>
        <w:t xml:space="preserve"> ust. 3.</w:t>
      </w:r>
    </w:p>
    <w:p w14:paraId="5E8EDEFA" w14:textId="4B91AA54" w:rsidR="7DFC87A3" w:rsidRPr="003A42FB" w:rsidRDefault="00D222AC"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287</w:t>
      </w:r>
      <w:r w:rsidR="00051A99" w:rsidRPr="003A42FB">
        <w:rPr>
          <w:rFonts w:ascii="Times New Roman" w:eastAsiaTheme="minorEastAsia" w:hAnsi="Times New Roman" w:cs="Times New Roman"/>
          <w:b/>
          <w:bCs/>
          <w:sz w:val="24"/>
          <w:szCs w:val="24"/>
        </w:rPr>
        <w:t xml:space="preserve"> – rozszerzenie uprawnień konsumenckich</w:t>
      </w:r>
    </w:p>
    <w:p w14:paraId="4AA721A1" w14:textId="2E402D09" w:rsidR="4F7E5CAD" w:rsidRPr="003A42FB" w:rsidRDefault="75D2F8A7"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lastRenderedPageBreak/>
        <w:t>W artykule tym wskazano, które uprawnienia konsumenckie</w:t>
      </w:r>
      <w:r w:rsidR="59303AE4" w:rsidRPr="6BEADE18">
        <w:rPr>
          <w:rFonts w:ascii="Times New Roman" w:eastAsiaTheme="minorEastAsia" w:hAnsi="Times New Roman" w:cs="Times New Roman"/>
          <w:sz w:val="24"/>
          <w:szCs w:val="24"/>
        </w:rPr>
        <w:t xml:space="preserve"> mają odpowiednie zastosowanie również do użytkowników końcowych będących mikroprzedsiębiorcami i małymi przedsiębiorcami lub organizacjami pozarządowymi w rozumieniu art. 3 ust. 2 ustawy z dnia 24 kwietnia 2003 r. o działalności pożytku publicznego i o wolontariacie (Dz.</w:t>
      </w:r>
      <w:r w:rsidR="3E188747" w:rsidRPr="6BEADE18">
        <w:rPr>
          <w:rFonts w:ascii="Times New Roman" w:eastAsiaTheme="minorEastAsia" w:hAnsi="Times New Roman" w:cs="Times New Roman"/>
          <w:sz w:val="24"/>
          <w:szCs w:val="24"/>
        </w:rPr>
        <w:t xml:space="preserve"> </w:t>
      </w:r>
      <w:r w:rsidR="59303AE4" w:rsidRPr="6BEADE18">
        <w:rPr>
          <w:rFonts w:ascii="Times New Roman" w:eastAsiaTheme="minorEastAsia" w:hAnsi="Times New Roman" w:cs="Times New Roman"/>
          <w:sz w:val="24"/>
          <w:szCs w:val="24"/>
        </w:rPr>
        <w:t>U. z 2019 r. poz. 688)</w:t>
      </w:r>
      <w:r w:rsidR="2D7F31B6" w:rsidRPr="6BEADE18">
        <w:rPr>
          <w:rFonts w:ascii="Times New Roman" w:eastAsiaTheme="minorEastAsia" w:hAnsi="Times New Roman" w:cs="Times New Roman"/>
          <w:sz w:val="24"/>
          <w:szCs w:val="24"/>
        </w:rPr>
        <w:t>,</w:t>
      </w:r>
      <w:r w:rsidR="59303AE4" w:rsidRPr="6BEADE18">
        <w:rPr>
          <w:rFonts w:ascii="Times New Roman" w:eastAsiaTheme="minorEastAsia" w:hAnsi="Times New Roman" w:cs="Times New Roman"/>
          <w:sz w:val="24"/>
          <w:szCs w:val="24"/>
        </w:rPr>
        <w:t xml:space="preserve"> </w:t>
      </w:r>
      <w:r w:rsidR="2D7F31B6" w:rsidRPr="6BEADE18">
        <w:rPr>
          <w:rFonts w:ascii="Times New Roman" w:eastAsiaTheme="minorEastAsia" w:hAnsi="Times New Roman" w:cs="Times New Roman"/>
          <w:sz w:val="24"/>
          <w:szCs w:val="24"/>
        </w:rPr>
        <w:t>chyba że wyrazili oni, najpóźniej w chwili zawarcia umowy zgodę na to, że przepisy te nie będą miały do ni</w:t>
      </w:r>
      <w:r w:rsidR="6F4923F3" w:rsidRPr="6BEADE18">
        <w:rPr>
          <w:rFonts w:ascii="Times New Roman" w:eastAsiaTheme="minorEastAsia" w:hAnsi="Times New Roman" w:cs="Times New Roman"/>
          <w:sz w:val="24"/>
          <w:szCs w:val="24"/>
        </w:rPr>
        <w:t>ch</w:t>
      </w:r>
      <w:r w:rsidR="2D7F31B6" w:rsidRPr="6BEADE18">
        <w:rPr>
          <w:rFonts w:ascii="Times New Roman" w:eastAsiaTheme="minorEastAsia" w:hAnsi="Times New Roman" w:cs="Times New Roman"/>
          <w:sz w:val="24"/>
          <w:szCs w:val="24"/>
        </w:rPr>
        <w:t xml:space="preserve"> zastosowania</w:t>
      </w:r>
      <w:r w:rsidR="06B61160" w:rsidRPr="6BEADE18">
        <w:rPr>
          <w:rFonts w:ascii="Times New Roman" w:eastAsiaTheme="minorEastAsia" w:hAnsi="Times New Roman" w:cs="Times New Roman"/>
          <w:sz w:val="24"/>
          <w:szCs w:val="24"/>
        </w:rPr>
        <w:t>.</w:t>
      </w:r>
      <w:r w:rsidR="2D7F31B6" w:rsidRPr="6BEADE18">
        <w:rPr>
          <w:rFonts w:ascii="Times New Roman" w:eastAsiaTheme="minorEastAsia" w:hAnsi="Times New Roman" w:cs="Times New Roman"/>
          <w:sz w:val="24"/>
          <w:szCs w:val="24"/>
        </w:rPr>
        <w:t xml:space="preserve"> </w:t>
      </w:r>
      <w:r w:rsidR="59303AE4" w:rsidRPr="6BEADE18">
        <w:rPr>
          <w:rFonts w:ascii="Times New Roman" w:eastAsiaTheme="minorEastAsia" w:hAnsi="Times New Roman" w:cs="Times New Roman"/>
          <w:sz w:val="24"/>
          <w:szCs w:val="24"/>
        </w:rPr>
        <w:t>Projektowane przepisy nie mają natomiast zastosowania do świadczenia usług transmisji na potrzeby komunikacji M2M.</w:t>
      </w:r>
    </w:p>
    <w:p w14:paraId="4F9E16A6" w14:textId="76DCE25B" w:rsidR="00982FB1" w:rsidRPr="003A42FB" w:rsidRDefault="00982FB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Zgoda może zostać wyrażona w umowie o świadczenie usług komunikacji elektronicznej.</w:t>
      </w:r>
    </w:p>
    <w:p w14:paraId="2BAF16BF" w14:textId="6F0C87E9" w:rsidR="00221330" w:rsidRPr="003A42FB" w:rsidRDefault="774D1EF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288</w:t>
      </w:r>
      <w:r w:rsidR="008B2895" w:rsidRPr="003A42FB">
        <w:rPr>
          <w:rFonts w:ascii="Times New Roman" w:eastAsiaTheme="minorEastAsia" w:hAnsi="Times New Roman" w:cs="Times New Roman"/>
          <w:b/>
          <w:bCs/>
          <w:sz w:val="24"/>
          <w:szCs w:val="24"/>
        </w:rPr>
        <w:t xml:space="preserve"> – umowy B2B</w:t>
      </w:r>
    </w:p>
    <w:p w14:paraId="6984A136" w14:textId="0B2D8871" w:rsidR="00221330" w:rsidRPr="003A42FB" w:rsidRDefault="002A71A2"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w:t>
      </w:r>
      <w:r w:rsidR="00026532" w:rsidRPr="003A42FB">
        <w:rPr>
          <w:rFonts w:ascii="Times New Roman" w:eastAsiaTheme="minorEastAsia" w:hAnsi="Times New Roman" w:cs="Times New Roman"/>
          <w:sz w:val="24"/>
          <w:szCs w:val="24"/>
        </w:rPr>
        <w:t xml:space="preserve"> </w:t>
      </w:r>
      <w:r w:rsidR="566EAACD" w:rsidRPr="003A42FB">
        <w:rPr>
          <w:rFonts w:ascii="Times New Roman" w:eastAsiaTheme="minorEastAsia" w:hAnsi="Times New Roman" w:cs="Times New Roman"/>
          <w:sz w:val="24"/>
          <w:szCs w:val="24"/>
        </w:rPr>
        <w:t>zawiera katalog</w:t>
      </w:r>
      <w:r w:rsidR="00026532" w:rsidRPr="003A42FB">
        <w:rPr>
          <w:rFonts w:ascii="Times New Roman" w:eastAsiaTheme="minorEastAsia" w:hAnsi="Times New Roman" w:cs="Times New Roman"/>
          <w:sz w:val="24"/>
          <w:szCs w:val="24"/>
        </w:rPr>
        <w:t xml:space="preserve"> podstawowych</w:t>
      </w:r>
      <w:r w:rsidR="566EAACD" w:rsidRPr="003A42FB">
        <w:rPr>
          <w:rFonts w:ascii="Times New Roman" w:eastAsiaTheme="minorEastAsia" w:hAnsi="Times New Roman" w:cs="Times New Roman"/>
          <w:sz w:val="24"/>
          <w:szCs w:val="24"/>
        </w:rPr>
        <w:t xml:space="preserve"> informacji jakie maja być przekazane w umowach o świadczenie usług komunikacji elektronicznej zawieranych z użytkownikami końcowymi innymi niż konsumenci oraz </w:t>
      </w:r>
      <w:r w:rsidR="74394CCD" w:rsidRPr="404D52C4">
        <w:rPr>
          <w:rFonts w:ascii="Times New Roman" w:eastAsiaTheme="minorEastAsia" w:hAnsi="Times New Roman" w:cs="Times New Roman"/>
          <w:sz w:val="24"/>
          <w:szCs w:val="24"/>
        </w:rPr>
        <w:t xml:space="preserve">z </w:t>
      </w:r>
      <w:r w:rsidR="566EAACD" w:rsidRPr="404D52C4">
        <w:rPr>
          <w:rFonts w:ascii="Times New Roman" w:eastAsiaTheme="minorEastAsia" w:hAnsi="Times New Roman" w:cs="Times New Roman"/>
          <w:sz w:val="24"/>
          <w:szCs w:val="24"/>
        </w:rPr>
        <w:t>mikroprzedsiębiorc</w:t>
      </w:r>
      <w:r w:rsidR="6974CF7E" w:rsidRPr="404D52C4">
        <w:rPr>
          <w:rFonts w:ascii="Times New Roman" w:eastAsiaTheme="minorEastAsia" w:hAnsi="Times New Roman" w:cs="Times New Roman"/>
          <w:sz w:val="24"/>
          <w:szCs w:val="24"/>
        </w:rPr>
        <w:t>ami</w:t>
      </w:r>
      <w:r w:rsidR="566EAACD" w:rsidRPr="003A42FB">
        <w:rPr>
          <w:rFonts w:ascii="Times New Roman" w:eastAsiaTheme="minorEastAsia" w:hAnsi="Times New Roman" w:cs="Times New Roman"/>
          <w:sz w:val="24"/>
          <w:szCs w:val="24"/>
        </w:rPr>
        <w:t xml:space="preserve"> i </w:t>
      </w:r>
      <w:r w:rsidR="566EAACD" w:rsidRPr="404D52C4">
        <w:rPr>
          <w:rFonts w:ascii="Times New Roman" w:eastAsiaTheme="minorEastAsia" w:hAnsi="Times New Roman" w:cs="Times New Roman"/>
          <w:sz w:val="24"/>
          <w:szCs w:val="24"/>
        </w:rPr>
        <w:t>ma</w:t>
      </w:r>
      <w:r w:rsidR="20075675" w:rsidRPr="404D52C4">
        <w:rPr>
          <w:rFonts w:ascii="Times New Roman" w:eastAsiaTheme="minorEastAsia" w:hAnsi="Times New Roman" w:cs="Times New Roman"/>
          <w:sz w:val="24"/>
          <w:szCs w:val="24"/>
        </w:rPr>
        <w:t>łymi</w:t>
      </w:r>
      <w:r w:rsidR="566EAACD" w:rsidRPr="404D52C4">
        <w:rPr>
          <w:rFonts w:ascii="Times New Roman" w:eastAsiaTheme="minorEastAsia" w:hAnsi="Times New Roman" w:cs="Times New Roman"/>
          <w:sz w:val="24"/>
          <w:szCs w:val="24"/>
        </w:rPr>
        <w:t xml:space="preserve"> przedsiębiorc</w:t>
      </w:r>
      <w:r w:rsidR="6A56A094" w:rsidRPr="404D52C4">
        <w:rPr>
          <w:rFonts w:ascii="Times New Roman" w:eastAsiaTheme="minorEastAsia" w:hAnsi="Times New Roman" w:cs="Times New Roman"/>
          <w:sz w:val="24"/>
          <w:szCs w:val="24"/>
        </w:rPr>
        <w:t>ami</w:t>
      </w:r>
      <w:r w:rsidR="566EAACD" w:rsidRPr="003A42FB">
        <w:rPr>
          <w:rFonts w:ascii="Times New Roman" w:eastAsiaTheme="minorEastAsia" w:hAnsi="Times New Roman" w:cs="Times New Roman"/>
          <w:sz w:val="24"/>
          <w:szCs w:val="24"/>
        </w:rPr>
        <w:t xml:space="preserve"> lub </w:t>
      </w:r>
      <w:r w:rsidR="566EAACD" w:rsidRPr="404D52C4">
        <w:rPr>
          <w:rFonts w:ascii="Times New Roman" w:eastAsiaTheme="minorEastAsia" w:hAnsi="Times New Roman" w:cs="Times New Roman"/>
          <w:sz w:val="24"/>
          <w:szCs w:val="24"/>
        </w:rPr>
        <w:t>organizacj</w:t>
      </w:r>
      <w:r w:rsidR="17A44030" w:rsidRPr="404D52C4">
        <w:rPr>
          <w:rFonts w:ascii="Times New Roman" w:eastAsiaTheme="minorEastAsia" w:hAnsi="Times New Roman" w:cs="Times New Roman"/>
          <w:sz w:val="24"/>
          <w:szCs w:val="24"/>
        </w:rPr>
        <w:t>ami</w:t>
      </w:r>
      <w:r w:rsidR="566EAACD" w:rsidRPr="404D52C4">
        <w:rPr>
          <w:rFonts w:ascii="Times New Roman" w:eastAsiaTheme="minorEastAsia" w:hAnsi="Times New Roman" w:cs="Times New Roman"/>
          <w:sz w:val="24"/>
          <w:szCs w:val="24"/>
        </w:rPr>
        <w:t xml:space="preserve"> pozarządow</w:t>
      </w:r>
      <w:r w:rsidR="0F0C45B0" w:rsidRPr="404D52C4">
        <w:rPr>
          <w:rFonts w:ascii="Times New Roman" w:eastAsiaTheme="minorEastAsia" w:hAnsi="Times New Roman" w:cs="Times New Roman"/>
          <w:sz w:val="24"/>
          <w:szCs w:val="24"/>
        </w:rPr>
        <w:t>ymi</w:t>
      </w:r>
      <w:r w:rsidR="6D78C846" w:rsidRPr="003A42FB" w:rsidDel="3ECA0378">
        <w:rPr>
          <w:rFonts w:ascii="Times New Roman" w:eastAsiaTheme="minorEastAsia" w:hAnsi="Times New Roman" w:cs="Times New Roman"/>
          <w:sz w:val="24"/>
          <w:szCs w:val="24"/>
        </w:rPr>
        <w:t xml:space="preserve"> w przypadku</w:t>
      </w:r>
      <w:r w:rsidR="008B2895" w:rsidRPr="003A42FB">
        <w:rPr>
          <w:rFonts w:ascii="Times New Roman" w:eastAsiaTheme="minorEastAsia" w:hAnsi="Times New Roman" w:cs="Times New Roman"/>
          <w:sz w:val="24"/>
          <w:szCs w:val="24"/>
        </w:rPr>
        <w:t xml:space="preserve"> gdy </w:t>
      </w:r>
      <w:r w:rsidR="3ECA0378" w:rsidRPr="003A42FB">
        <w:rPr>
          <w:rFonts w:ascii="Times New Roman" w:eastAsiaTheme="minorEastAsia" w:hAnsi="Times New Roman" w:cs="Times New Roman"/>
          <w:sz w:val="24"/>
          <w:szCs w:val="24"/>
        </w:rPr>
        <w:t>z</w:t>
      </w:r>
      <w:r w:rsidR="566EAACD" w:rsidRPr="003A42FB">
        <w:rPr>
          <w:rFonts w:ascii="Times New Roman" w:eastAsiaTheme="minorEastAsia" w:hAnsi="Times New Roman" w:cs="Times New Roman"/>
          <w:sz w:val="24"/>
          <w:szCs w:val="24"/>
        </w:rPr>
        <w:t>rzekli się</w:t>
      </w:r>
      <w:r w:rsidR="7E585B6D" w:rsidRPr="003A42FB">
        <w:rPr>
          <w:rFonts w:ascii="Times New Roman" w:eastAsiaTheme="minorEastAsia" w:hAnsi="Times New Roman" w:cs="Times New Roman"/>
          <w:sz w:val="24"/>
          <w:szCs w:val="24"/>
        </w:rPr>
        <w:t xml:space="preserve"> oni możliwości korzystania z</w:t>
      </w:r>
      <w:r w:rsidR="566EAACD" w:rsidRPr="003A42FB">
        <w:rPr>
          <w:rFonts w:ascii="Times New Roman" w:eastAsiaTheme="minorEastAsia" w:hAnsi="Times New Roman" w:cs="Times New Roman"/>
          <w:sz w:val="24"/>
          <w:szCs w:val="24"/>
        </w:rPr>
        <w:t xml:space="preserve"> uprawnień konsumenckich</w:t>
      </w:r>
      <w:r w:rsidR="2487C43C" w:rsidRPr="003A42FB">
        <w:rPr>
          <w:rFonts w:ascii="Times New Roman" w:eastAsiaTheme="minorEastAsia" w:hAnsi="Times New Roman" w:cs="Times New Roman"/>
          <w:sz w:val="24"/>
          <w:szCs w:val="24"/>
        </w:rPr>
        <w:t xml:space="preserve"> (umowy zawierane z przedsiębiorcami).</w:t>
      </w:r>
      <w:r w:rsidR="6B6FADCF" w:rsidRPr="003A42FB">
        <w:rPr>
          <w:rFonts w:ascii="Times New Roman" w:eastAsiaTheme="minorEastAsia" w:hAnsi="Times New Roman" w:cs="Times New Roman"/>
          <w:sz w:val="24"/>
          <w:szCs w:val="24"/>
        </w:rPr>
        <w:t xml:space="preserve"> Przepis zbliżony jest do art. 56 ust. 3 ustawy Pt.</w:t>
      </w:r>
    </w:p>
    <w:p w14:paraId="254BAA87" w14:textId="6BF218F9" w:rsidR="00026532" w:rsidRPr="003A42FB" w:rsidRDefault="3A231725"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w:t>
      </w:r>
      <w:r w:rsidR="330C36A6" w:rsidRPr="003A42FB">
        <w:rPr>
          <w:rFonts w:ascii="Times New Roman" w:eastAsiaTheme="minorEastAsia" w:hAnsi="Times New Roman" w:cs="Times New Roman"/>
          <w:sz w:val="24"/>
          <w:szCs w:val="24"/>
        </w:rPr>
        <w:t xml:space="preserve"> u</w:t>
      </w:r>
      <w:r w:rsidR="00026532" w:rsidRPr="003A42FB">
        <w:rPr>
          <w:rFonts w:ascii="Times New Roman" w:eastAsiaTheme="minorEastAsia" w:hAnsi="Times New Roman" w:cs="Times New Roman"/>
          <w:sz w:val="24"/>
          <w:szCs w:val="24"/>
        </w:rPr>
        <w:t>stęp</w:t>
      </w:r>
      <w:r w:rsidR="606B5624" w:rsidRPr="003A42FB">
        <w:rPr>
          <w:rFonts w:ascii="Times New Roman" w:eastAsiaTheme="minorEastAsia" w:hAnsi="Times New Roman" w:cs="Times New Roman"/>
          <w:sz w:val="24"/>
          <w:szCs w:val="24"/>
        </w:rPr>
        <w:t>ie</w:t>
      </w:r>
      <w:r w:rsidR="004F6296" w:rsidRPr="003A42FB">
        <w:rPr>
          <w:rFonts w:ascii="Times New Roman" w:eastAsiaTheme="minorEastAsia" w:hAnsi="Times New Roman" w:cs="Times New Roman"/>
          <w:sz w:val="24"/>
          <w:szCs w:val="24"/>
        </w:rPr>
        <w:t xml:space="preserve"> </w:t>
      </w:r>
      <w:r w:rsidR="002A71A2" w:rsidRPr="003A42FB">
        <w:rPr>
          <w:rFonts w:ascii="Times New Roman" w:eastAsiaTheme="minorEastAsia" w:hAnsi="Times New Roman" w:cs="Times New Roman"/>
          <w:sz w:val="24"/>
          <w:szCs w:val="24"/>
        </w:rPr>
        <w:t>2</w:t>
      </w:r>
      <w:r w:rsidR="00026532" w:rsidRPr="003A42FB">
        <w:rPr>
          <w:rFonts w:ascii="Times New Roman" w:eastAsiaTheme="minorEastAsia" w:hAnsi="Times New Roman" w:cs="Times New Roman"/>
          <w:sz w:val="24"/>
          <w:szCs w:val="24"/>
        </w:rPr>
        <w:t xml:space="preserve"> wprowadzono wyłączenie stosowania przepisów o obowiązku publikowania aktualnych informacji o indywidualnie wynegocjowanych przez użytkowników końcowych niebędących konsumentami warunkach umowy. Wyłączenie dotyczy również możliwości innego sposobu określania wysokości odszkodowania za przedterminowe wypowiedzenie umowy przez abonenta lub z winy abonenta.</w:t>
      </w:r>
    </w:p>
    <w:p w14:paraId="54DEA58B" w14:textId="4EC6E716" w:rsidR="00D222AC" w:rsidRPr="003A42FB" w:rsidRDefault="00D222AC" w:rsidP="00D222AC">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289</w:t>
      </w:r>
      <w:r w:rsidR="002D6B91" w:rsidRPr="003A42FB">
        <w:rPr>
          <w:rFonts w:ascii="Times New Roman" w:eastAsiaTheme="minorEastAsia" w:hAnsi="Times New Roman" w:cs="Times New Roman"/>
          <w:b/>
          <w:bCs/>
          <w:sz w:val="24"/>
          <w:szCs w:val="24"/>
        </w:rPr>
        <w:t xml:space="preserve"> – oświadczenia w formie dokumentowej</w:t>
      </w:r>
    </w:p>
    <w:p w14:paraId="5F991CDF" w14:textId="614A0C88" w:rsidR="00D222AC" w:rsidRPr="003A42FB" w:rsidRDefault="00D222A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289</w:t>
      </w:r>
      <w:r w:rsidRPr="003A42FB">
        <w:rPr>
          <w:rFonts w:ascii="Times New Roman" w:eastAsiaTheme="minorEastAsia" w:hAnsi="Times New Roman" w:cs="Times New Roman"/>
          <w:sz w:val="24"/>
          <w:szCs w:val="24"/>
        </w:rPr>
        <w:t xml:space="preserve"> wskazuje, że w przypadku, gdy oświadczenia woli składane są w formie dokumentowej, dostawca publicznie dostępnych usług komunikacji elektronicznej utrwala i doręcza abonentowi treść zaproponowanych i uzgodnionych warunków umowy oraz oświadczenie abonenta o związaniu się tymi warunkami na trwałym nośniku. </w:t>
      </w:r>
    </w:p>
    <w:p w14:paraId="1D62438C" w14:textId="70CFACAC" w:rsidR="00221330" w:rsidRPr="003A42FB" w:rsidRDefault="7485371E"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E248DB" w:rsidRPr="003A42FB">
        <w:rPr>
          <w:rFonts w:ascii="Times New Roman" w:eastAsiaTheme="minorEastAsia" w:hAnsi="Times New Roman" w:cs="Times New Roman"/>
          <w:b/>
          <w:bCs/>
          <w:sz w:val="24"/>
          <w:szCs w:val="24"/>
        </w:rPr>
        <w:t xml:space="preserve"> </w:t>
      </w:r>
      <w:r w:rsidR="00262036">
        <w:rPr>
          <w:rFonts w:ascii="Times New Roman" w:eastAsiaTheme="minorEastAsia" w:hAnsi="Times New Roman" w:cs="Times New Roman"/>
          <w:b/>
          <w:bCs/>
          <w:sz w:val="24"/>
          <w:szCs w:val="24"/>
        </w:rPr>
        <w:t>290</w:t>
      </w:r>
      <w:r w:rsidR="0087287A" w:rsidRPr="003A42FB">
        <w:rPr>
          <w:rFonts w:ascii="Times New Roman" w:eastAsiaTheme="minorEastAsia" w:hAnsi="Times New Roman" w:cs="Times New Roman"/>
          <w:b/>
          <w:bCs/>
          <w:sz w:val="24"/>
          <w:szCs w:val="24"/>
        </w:rPr>
        <w:t xml:space="preserve"> – rozwiązanie umowy w formie dokumentowej</w:t>
      </w:r>
    </w:p>
    <w:p w14:paraId="745401AB" w14:textId="71271D11" w:rsidR="00221330"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290</w:t>
      </w:r>
      <w:r w:rsidR="70566C4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nakłada na dostawców usług, którzy dopuszczają możliwość zawarcia </w:t>
      </w:r>
      <w:r w:rsidR="002A71A2" w:rsidRPr="003A42FB">
        <w:rPr>
          <w:rFonts w:ascii="Times New Roman" w:eastAsiaTheme="minorEastAsia" w:hAnsi="Times New Roman" w:cs="Times New Roman"/>
          <w:sz w:val="24"/>
          <w:szCs w:val="24"/>
        </w:rPr>
        <w:t xml:space="preserve">lub zmiany </w:t>
      </w:r>
      <w:r w:rsidRPr="003A42FB">
        <w:rPr>
          <w:rFonts w:ascii="Times New Roman" w:eastAsiaTheme="minorEastAsia" w:hAnsi="Times New Roman" w:cs="Times New Roman"/>
          <w:sz w:val="24"/>
          <w:szCs w:val="24"/>
        </w:rPr>
        <w:t>umowy</w:t>
      </w:r>
      <w:r w:rsidR="00DB17A0" w:rsidRPr="003A42FB">
        <w:rPr>
          <w:rFonts w:ascii="Times New Roman" w:eastAsiaTheme="minorEastAsia" w:hAnsi="Times New Roman" w:cs="Times New Roman"/>
          <w:sz w:val="24"/>
          <w:szCs w:val="24"/>
        </w:rPr>
        <w:t xml:space="preserve"> o świadczenie usług komunikacji elektronicznej</w:t>
      </w:r>
      <w:r w:rsidRPr="003A42FB">
        <w:rPr>
          <w:rFonts w:ascii="Times New Roman" w:eastAsiaTheme="minorEastAsia" w:hAnsi="Times New Roman" w:cs="Times New Roman"/>
          <w:sz w:val="24"/>
          <w:szCs w:val="24"/>
        </w:rPr>
        <w:t xml:space="preserve"> w formie dokumentowej, obowiązek przyjęcia w tej formie wypowiedzenia umowy</w:t>
      </w:r>
      <w:r w:rsidR="1790A575" w:rsidRPr="003A42FB">
        <w:rPr>
          <w:rFonts w:ascii="Times New Roman" w:eastAsiaTheme="minorEastAsia" w:hAnsi="Times New Roman" w:cs="Times New Roman"/>
          <w:sz w:val="24"/>
          <w:szCs w:val="24"/>
        </w:rPr>
        <w:t xml:space="preserve"> oraz</w:t>
      </w:r>
      <w:r w:rsidRPr="003A42FB">
        <w:rPr>
          <w:rFonts w:ascii="Times New Roman" w:eastAsiaTheme="minorEastAsia" w:hAnsi="Times New Roman" w:cs="Times New Roman"/>
          <w:sz w:val="24"/>
          <w:szCs w:val="24"/>
        </w:rPr>
        <w:t xml:space="preserve"> oświadczenia o odstąpieniu od u</w:t>
      </w:r>
      <w:r w:rsidR="714DC2F7" w:rsidRPr="003A42FB">
        <w:rPr>
          <w:rFonts w:ascii="Times New Roman" w:eastAsiaTheme="minorEastAsia" w:hAnsi="Times New Roman" w:cs="Times New Roman"/>
          <w:sz w:val="24"/>
          <w:szCs w:val="24"/>
        </w:rPr>
        <w:t>mowy</w:t>
      </w:r>
      <w:r w:rsidR="00026532" w:rsidRPr="003A42FB">
        <w:rPr>
          <w:rFonts w:ascii="Times New Roman" w:eastAsiaTheme="minorEastAsia" w:hAnsi="Times New Roman" w:cs="Times New Roman"/>
          <w:sz w:val="24"/>
          <w:szCs w:val="24"/>
        </w:rPr>
        <w:t xml:space="preserve"> lub rozwiązaniu umowy za zgodą stron</w:t>
      </w:r>
      <w:r w:rsidRPr="003A42FB">
        <w:rPr>
          <w:rFonts w:ascii="Times New Roman" w:eastAsiaTheme="minorEastAsia" w:hAnsi="Times New Roman" w:cs="Times New Roman"/>
          <w:sz w:val="24"/>
          <w:szCs w:val="24"/>
        </w:rPr>
        <w:t>.</w:t>
      </w:r>
      <w:r w:rsidR="4BFACADF" w:rsidRPr="003A42FB">
        <w:rPr>
          <w:rFonts w:ascii="Times New Roman" w:eastAsiaTheme="minorEastAsia" w:hAnsi="Times New Roman" w:cs="Times New Roman"/>
          <w:sz w:val="24"/>
          <w:szCs w:val="24"/>
        </w:rPr>
        <w:t xml:space="preserve"> Uprawnienie to przysługuje abonentowi niezależne od sposobu w jaki zawarł umowę z dostawcą usług.</w:t>
      </w:r>
      <w:r w:rsidR="2FF8ACD0" w:rsidRPr="003A42FB">
        <w:rPr>
          <w:rFonts w:ascii="Times New Roman" w:eastAsiaTheme="minorEastAsia" w:hAnsi="Times New Roman" w:cs="Times New Roman"/>
          <w:sz w:val="24"/>
          <w:szCs w:val="24"/>
        </w:rPr>
        <w:t xml:space="preserve"> Oznacza to, że w przypadku, gdy na dzień wypowiedzenia umowy dostawca usług umożliwia zawieranie </w:t>
      </w:r>
      <w:r w:rsidR="0038001F" w:rsidRPr="003A42FB">
        <w:rPr>
          <w:rFonts w:ascii="Times New Roman" w:eastAsiaTheme="minorEastAsia" w:hAnsi="Times New Roman" w:cs="Times New Roman"/>
          <w:sz w:val="24"/>
          <w:szCs w:val="24"/>
        </w:rPr>
        <w:t xml:space="preserve">lub zmianę </w:t>
      </w:r>
      <w:r w:rsidR="2FF8ACD0" w:rsidRPr="003A42FB">
        <w:rPr>
          <w:rFonts w:ascii="Times New Roman" w:eastAsiaTheme="minorEastAsia" w:hAnsi="Times New Roman" w:cs="Times New Roman"/>
          <w:sz w:val="24"/>
          <w:szCs w:val="24"/>
        </w:rPr>
        <w:t xml:space="preserve">umów w formie dokumentowej to </w:t>
      </w:r>
      <w:r w:rsidR="76047A86" w:rsidRPr="003A42FB">
        <w:rPr>
          <w:rFonts w:ascii="Times New Roman" w:eastAsiaTheme="minorEastAsia" w:hAnsi="Times New Roman" w:cs="Times New Roman"/>
          <w:sz w:val="24"/>
          <w:szCs w:val="24"/>
        </w:rPr>
        <w:t xml:space="preserve">abonent może skorzystać z dokumentowej formy wypowiedzenia </w:t>
      </w:r>
      <w:r w:rsidR="75F4BCD0" w:rsidRPr="003A42FB">
        <w:rPr>
          <w:rFonts w:ascii="Times New Roman" w:eastAsiaTheme="minorEastAsia" w:hAnsi="Times New Roman" w:cs="Times New Roman"/>
          <w:sz w:val="24"/>
          <w:szCs w:val="24"/>
        </w:rPr>
        <w:t xml:space="preserve">swojej </w:t>
      </w:r>
      <w:r w:rsidR="76047A86" w:rsidRPr="003A42FB">
        <w:rPr>
          <w:rFonts w:ascii="Times New Roman" w:eastAsiaTheme="minorEastAsia" w:hAnsi="Times New Roman" w:cs="Times New Roman"/>
          <w:sz w:val="24"/>
          <w:szCs w:val="24"/>
        </w:rPr>
        <w:t>umowy, choćby umowa ta była zawarta w formie pisemnej.</w:t>
      </w:r>
    </w:p>
    <w:p w14:paraId="03C451B6" w14:textId="50852E88" w:rsidR="00026532" w:rsidRPr="003A42FB" w:rsidRDefault="006F76A4" w:rsidP="1E17D6F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Abonent powinien mieć możliwość wypowiedzenia umowy </w:t>
      </w:r>
      <w:r w:rsidR="40E35EBA" w:rsidRPr="404D52C4">
        <w:rPr>
          <w:rFonts w:ascii="Times New Roman" w:eastAsiaTheme="minorEastAsia" w:hAnsi="Times New Roman" w:cs="Times New Roman"/>
          <w:sz w:val="24"/>
          <w:szCs w:val="24"/>
        </w:rPr>
        <w:t xml:space="preserve">przede wszystkim </w:t>
      </w:r>
      <w:r w:rsidRPr="003A42FB">
        <w:rPr>
          <w:rFonts w:ascii="Times New Roman" w:eastAsiaTheme="minorEastAsia" w:hAnsi="Times New Roman" w:cs="Times New Roman"/>
          <w:sz w:val="24"/>
          <w:szCs w:val="24"/>
        </w:rPr>
        <w:t xml:space="preserve">przy wykorzystaniu poczty elektronicznej oraz </w:t>
      </w:r>
      <w:r w:rsidR="11B3A2D4" w:rsidRPr="404D52C4">
        <w:rPr>
          <w:rFonts w:ascii="Times New Roman" w:eastAsiaTheme="minorEastAsia" w:hAnsi="Times New Roman" w:cs="Times New Roman"/>
          <w:sz w:val="24"/>
          <w:szCs w:val="24"/>
        </w:rPr>
        <w:t xml:space="preserve">dodatkowo przy wykorzystaniu </w:t>
      </w:r>
      <w:r w:rsidRPr="003A42FB">
        <w:rPr>
          <w:rFonts w:ascii="Times New Roman" w:eastAsiaTheme="minorEastAsia" w:hAnsi="Times New Roman" w:cs="Times New Roman"/>
          <w:sz w:val="24"/>
          <w:szCs w:val="24"/>
        </w:rPr>
        <w:t>innego środka komunikacji elektronicznej wskazanego przez dostawcę usług w umowie</w:t>
      </w:r>
      <w:r w:rsidR="6AB4E880" w:rsidRPr="404D52C4">
        <w:rPr>
          <w:rFonts w:ascii="Times New Roman" w:eastAsiaTheme="minorEastAsia" w:hAnsi="Times New Roman" w:cs="Times New Roman"/>
          <w:sz w:val="24"/>
          <w:szCs w:val="24"/>
        </w:rPr>
        <w:t xml:space="preserve"> - jeżeli dostawca usług zdecyduje się na korzystanie z takiego środka</w:t>
      </w:r>
      <w:r w:rsidRPr="003A42FB" w:rsidDel="00C72B88">
        <w:rPr>
          <w:rFonts w:ascii="Times New Roman" w:eastAsiaTheme="minorEastAsia" w:hAnsi="Times New Roman" w:cs="Times New Roman"/>
          <w:sz w:val="24"/>
          <w:szCs w:val="24"/>
        </w:rPr>
        <w:t>.</w:t>
      </w:r>
      <w:r w:rsidRPr="003A42FB" w:rsidDel="006F76A4">
        <w:rPr>
          <w:rFonts w:ascii="Times New Roman" w:eastAsiaTheme="minorEastAsia" w:hAnsi="Times New Roman" w:cs="Times New Roman"/>
          <w:sz w:val="24"/>
          <w:szCs w:val="24"/>
        </w:rPr>
        <w:t xml:space="preserve"> </w:t>
      </w:r>
    </w:p>
    <w:p w14:paraId="273D94EB" w14:textId="7040FF76" w:rsidR="00731570" w:rsidRPr="003A42FB" w:rsidRDefault="566EAACD" w:rsidP="00026532">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W takim wypadku dostawca usług musi niezwłocznie</w:t>
      </w:r>
      <w:r w:rsidR="78B015C5"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jednak nie później niż w terminie 1 dnia</w:t>
      </w:r>
      <w:r w:rsidR="40E5D173" w:rsidRPr="003A42FB">
        <w:rPr>
          <w:rFonts w:ascii="Times New Roman" w:eastAsiaTheme="minorEastAsia" w:hAnsi="Times New Roman" w:cs="Times New Roman"/>
          <w:sz w:val="24"/>
          <w:szCs w:val="24"/>
        </w:rPr>
        <w:t xml:space="preserve"> roboczego</w:t>
      </w:r>
      <w:r w:rsidRPr="003A42FB">
        <w:rPr>
          <w:rFonts w:ascii="Times New Roman" w:eastAsiaTheme="minorEastAsia" w:hAnsi="Times New Roman" w:cs="Times New Roman"/>
          <w:sz w:val="24"/>
          <w:szCs w:val="24"/>
        </w:rPr>
        <w:t xml:space="preserve"> od dnia otrzymania wypowiedzenia</w:t>
      </w:r>
      <w:r w:rsidR="640C7A19"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zawiadomić abonenta o jego otrzymaniu</w:t>
      </w:r>
      <w:r w:rsidR="509D7D3D"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Do zawiadomienia zastosowano</w:t>
      </w:r>
      <w:r w:rsidR="5F574F10" w:rsidRPr="003A42FB">
        <w:rPr>
          <w:rFonts w:ascii="Times New Roman" w:eastAsiaTheme="minorEastAsia" w:hAnsi="Times New Roman" w:cs="Times New Roman"/>
          <w:sz w:val="24"/>
          <w:szCs w:val="24"/>
        </w:rPr>
        <w:t xml:space="preserve"> rozwiązanie</w:t>
      </w:r>
      <w:r w:rsidRPr="003A42FB">
        <w:rPr>
          <w:rFonts w:ascii="Times New Roman" w:eastAsiaTheme="minorEastAsia" w:hAnsi="Times New Roman" w:cs="Times New Roman"/>
          <w:sz w:val="24"/>
          <w:szCs w:val="24"/>
        </w:rPr>
        <w:t xml:space="preserve"> znan</w:t>
      </w:r>
      <w:r w:rsidR="50B3093C"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dotychczas z rynku premium rate oraz przepisów o przeniesieniu przydzielonego numeru przy zmianie dostawcy usług telekomunikacyjnych. </w:t>
      </w:r>
      <w:r w:rsidR="553FF92F" w:rsidRPr="003A42FB">
        <w:rPr>
          <w:rFonts w:ascii="Times New Roman" w:eastAsiaTheme="minorEastAsia" w:hAnsi="Times New Roman" w:cs="Times New Roman"/>
          <w:sz w:val="24"/>
          <w:szCs w:val="24"/>
        </w:rPr>
        <w:t>Zgodnie z zaproponowanym rozwiązaniem o</w:t>
      </w:r>
      <w:r w:rsidRPr="003A42FB">
        <w:rPr>
          <w:rFonts w:ascii="Times New Roman" w:eastAsiaTheme="minorEastAsia" w:hAnsi="Times New Roman" w:cs="Times New Roman"/>
          <w:sz w:val="24"/>
          <w:szCs w:val="24"/>
        </w:rPr>
        <w:t xml:space="preserve">bowiązek zawiadomienia uważa się za wykonany, jeśli dostawca usług wysłał </w:t>
      </w:r>
      <w:r w:rsidR="0C5570B4" w:rsidRPr="404D52C4">
        <w:rPr>
          <w:rFonts w:ascii="Times New Roman" w:eastAsiaTheme="minorEastAsia" w:hAnsi="Times New Roman" w:cs="Times New Roman"/>
          <w:sz w:val="24"/>
          <w:szCs w:val="24"/>
        </w:rPr>
        <w:t>SMS</w:t>
      </w:r>
      <w:r w:rsidRPr="003A42FB">
        <w:rPr>
          <w:rFonts w:ascii="Times New Roman" w:eastAsiaTheme="minorEastAsia" w:hAnsi="Times New Roman" w:cs="Times New Roman"/>
          <w:sz w:val="24"/>
          <w:szCs w:val="24"/>
        </w:rPr>
        <w:t xml:space="preserve"> z informacją o otrzymaniu wypowiedzenia do abonentów, którzy wskazali jako numer kontaktowy numer niegeograficzny</w:t>
      </w:r>
      <w:r w:rsidR="00E355F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albo wykonał co najmniej 3 próby połączenia z abonentem, który jako numer kontaktowy </w:t>
      </w:r>
      <w:r w:rsidRPr="003A42FB">
        <w:rPr>
          <w:rFonts w:ascii="Times New Roman" w:eastAsiaTheme="minorEastAsia" w:hAnsi="Times New Roman" w:cs="Times New Roman"/>
          <w:sz w:val="24"/>
          <w:szCs w:val="24"/>
        </w:rPr>
        <w:lastRenderedPageBreak/>
        <w:t>wskazał numer geograficzny.</w:t>
      </w:r>
      <w:r w:rsidR="194F1ACF" w:rsidRPr="003A42FB">
        <w:rPr>
          <w:rFonts w:ascii="Times New Roman" w:eastAsiaTheme="minorEastAsia" w:hAnsi="Times New Roman" w:cs="Times New Roman"/>
          <w:sz w:val="24"/>
          <w:szCs w:val="24"/>
        </w:rPr>
        <w:t xml:space="preserve"> </w:t>
      </w:r>
      <w:r w:rsidR="00DA5172" w:rsidRPr="003A42FB">
        <w:rPr>
          <w:rFonts w:ascii="Times New Roman" w:eastAsiaTheme="minorEastAsia" w:hAnsi="Times New Roman" w:cs="Times New Roman"/>
          <w:sz w:val="24"/>
          <w:szCs w:val="24"/>
        </w:rPr>
        <w:t>Jednocześnie u</w:t>
      </w:r>
      <w:r w:rsidR="00026532" w:rsidRPr="003A42FB">
        <w:rPr>
          <w:rFonts w:ascii="Times New Roman" w:eastAsiaTheme="minorEastAsia" w:hAnsi="Times New Roman" w:cs="Times New Roman"/>
          <w:sz w:val="24"/>
          <w:szCs w:val="24"/>
        </w:rPr>
        <w:t xml:space="preserve">możliwiono dostawcy usług </w:t>
      </w:r>
      <w:r w:rsidR="1590DD4F" w:rsidRPr="003A42FB">
        <w:rPr>
          <w:rFonts w:ascii="Times New Roman" w:eastAsiaTheme="minorEastAsia" w:hAnsi="Times New Roman" w:cs="Times New Roman"/>
          <w:sz w:val="24"/>
          <w:szCs w:val="24"/>
        </w:rPr>
        <w:t>poinformowanie abonenta przez</w:t>
      </w:r>
      <w:r w:rsidR="00026532" w:rsidRPr="003A42FB">
        <w:rPr>
          <w:rFonts w:ascii="Times New Roman" w:eastAsiaTheme="minorEastAsia" w:hAnsi="Times New Roman" w:cs="Times New Roman"/>
          <w:sz w:val="24"/>
          <w:szCs w:val="24"/>
        </w:rPr>
        <w:t xml:space="preserve"> </w:t>
      </w:r>
      <w:r w:rsidR="00026532" w:rsidRPr="003A42FB">
        <w:rPr>
          <w:rFonts w:ascii="Times New Roman" w:hAnsi="Times New Roman" w:cs="Times New Roman"/>
          <w:sz w:val="24"/>
          <w:szCs w:val="24"/>
        </w:rPr>
        <w:t xml:space="preserve">wysłanie wiadomości na wskazany przez </w:t>
      </w:r>
      <w:r w:rsidR="00DA5172" w:rsidRPr="003A42FB">
        <w:rPr>
          <w:rFonts w:ascii="Times New Roman" w:hAnsi="Times New Roman" w:cs="Times New Roman"/>
          <w:sz w:val="24"/>
          <w:szCs w:val="24"/>
        </w:rPr>
        <w:t xml:space="preserve">abonenta </w:t>
      </w:r>
      <w:r w:rsidR="00026532" w:rsidRPr="003A42FB">
        <w:rPr>
          <w:rFonts w:ascii="Times New Roman" w:hAnsi="Times New Roman" w:cs="Times New Roman"/>
          <w:sz w:val="24"/>
          <w:szCs w:val="24"/>
        </w:rPr>
        <w:t xml:space="preserve">w umowie adres poczty elektronicznej. </w:t>
      </w:r>
    </w:p>
    <w:p w14:paraId="01ABC314" w14:textId="77777777" w:rsidR="00731570" w:rsidRPr="003A42FB" w:rsidRDefault="37505D22" w:rsidP="00026532">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Dostawca usług ma również obowiązek doręczenia na trwałym nośniku w terminie 14 dni</w:t>
      </w:r>
      <w:r w:rsidR="2DA549A7" w:rsidRPr="003A42FB">
        <w:rPr>
          <w:rFonts w:ascii="Times New Roman" w:eastAsiaTheme="minorEastAsia" w:hAnsi="Times New Roman" w:cs="Times New Roman"/>
          <w:sz w:val="24"/>
          <w:szCs w:val="24"/>
        </w:rPr>
        <w:t xml:space="preserve"> od dnia złożenia przez abonenta oświadczenia woli o wypowiedzeniu umowy</w:t>
      </w:r>
      <w:r w:rsidRPr="003A42FB">
        <w:rPr>
          <w:rFonts w:ascii="Times New Roman" w:eastAsiaTheme="minorEastAsia" w:hAnsi="Times New Roman" w:cs="Times New Roman"/>
          <w:sz w:val="24"/>
          <w:szCs w:val="24"/>
        </w:rPr>
        <w:t xml:space="preserve"> potwierdzeni</w:t>
      </w:r>
      <w:r w:rsidR="26AD79A9"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otrzymania wypowiedzenia z informacją o dacie wpływu </w:t>
      </w:r>
      <w:r w:rsidR="266BFC75" w:rsidRPr="003A42FB">
        <w:rPr>
          <w:rFonts w:ascii="Times New Roman" w:eastAsiaTheme="minorEastAsia" w:hAnsi="Times New Roman" w:cs="Times New Roman"/>
          <w:sz w:val="24"/>
          <w:szCs w:val="24"/>
        </w:rPr>
        <w:t>wypowiedzenia,</w:t>
      </w:r>
      <w:r w:rsidRPr="003A42FB">
        <w:rPr>
          <w:rFonts w:ascii="Times New Roman" w:eastAsiaTheme="minorEastAsia" w:hAnsi="Times New Roman" w:cs="Times New Roman"/>
          <w:sz w:val="24"/>
          <w:szCs w:val="24"/>
        </w:rPr>
        <w:t xml:space="preserve"> nazwie usługi, której dotyczy wypowiedzenie</w:t>
      </w:r>
      <w:r w:rsidR="74014AB7" w:rsidRPr="003A42FB">
        <w:rPr>
          <w:rFonts w:ascii="Times New Roman" w:eastAsiaTheme="minorEastAsia" w:hAnsi="Times New Roman" w:cs="Times New Roman"/>
          <w:sz w:val="24"/>
          <w:szCs w:val="24"/>
        </w:rPr>
        <w:t xml:space="preserve"> oraz dacie </w:t>
      </w:r>
      <w:r w:rsidR="6BD58BB9" w:rsidRPr="003A42FB">
        <w:rPr>
          <w:rFonts w:ascii="Times New Roman" w:eastAsiaTheme="minorEastAsia" w:hAnsi="Times New Roman" w:cs="Times New Roman"/>
          <w:sz w:val="24"/>
          <w:szCs w:val="24"/>
        </w:rPr>
        <w:t>zakończenia świadczenia usługi</w:t>
      </w:r>
      <w:r w:rsidR="74014AB7" w:rsidRPr="003A42FB">
        <w:rPr>
          <w:rFonts w:ascii="Times New Roman" w:eastAsiaTheme="minorEastAsia" w:hAnsi="Times New Roman" w:cs="Times New Roman"/>
          <w:sz w:val="24"/>
          <w:szCs w:val="24"/>
        </w:rPr>
        <w:t>.</w:t>
      </w:r>
      <w:r w:rsidR="1670B52A" w:rsidRPr="003A42FB">
        <w:rPr>
          <w:rFonts w:ascii="Times New Roman" w:eastAsiaTheme="minorEastAsia" w:hAnsi="Times New Roman" w:cs="Times New Roman"/>
          <w:sz w:val="24"/>
          <w:szCs w:val="24"/>
        </w:rPr>
        <w:t xml:space="preserve"> </w:t>
      </w:r>
    </w:p>
    <w:p w14:paraId="0131C495" w14:textId="35677716" w:rsidR="00221330" w:rsidRPr="003A42FB" w:rsidRDefault="1670B52A" w:rsidP="00026532">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Kwestia formy wypowiedzenia umowy</w:t>
      </w:r>
      <w:r w:rsidR="5CBF4E9D"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nie była dotąd regulowana</w:t>
      </w:r>
      <w:r w:rsidR="7F27F65B" w:rsidRPr="003A42FB">
        <w:rPr>
          <w:rFonts w:ascii="Times New Roman" w:eastAsiaTheme="minorEastAsia" w:hAnsi="Times New Roman" w:cs="Times New Roman"/>
          <w:sz w:val="24"/>
          <w:szCs w:val="24"/>
        </w:rPr>
        <w:t>, nie jest również przedmiotem regulacji EKŁE. W</w:t>
      </w:r>
      <w:r w:rsidRPr="003A42FB">
        <w:rPr>
          <w:rFonts w:ascii="Times New Roman" w:eastAsiaTheme="minorEastAsia" w:hAnsi="Times New Roman" w:cs="Times New Roman"/>
          <w:sz w:val="24"/>
          <w:szCs w:val="24"/>
        </w:rPr>
        <w:t xml:space="preserve"> praktyce abonent mógł </w:t>
      </w:r>
      <w:r w:rsidR="3B6D7C17" w:rsidRPr="003A42FB">
        <w:rPr>
          <w:rFonts w:ascii="Times New Roman" w:eastAsiaTheme="minorEastAsia" w:hAnsi="Times New Roman" w:cs="Times New Roman"/>
          <w:sz w:val="24"/>
          <w:szCs w:val="24"/>
        </w:rPr>
        <w:t xml:space="preserve">wypowiedzieć </w:t>
      </w:r>
      <w:r w:rsidRPr="003A42FB">
        <w:rPr>
          <w:rFonts w:ascii="Times New Roman" w:eastAsiaTheme="minorEastAsia" w:hAnsi="Times New Roman" w:cs="Times New Roman"/>
          <w:sz w:val="24"/>
          <w:szCs w:val="24"/>
        </w:rPr>
        <w:t xml:space="preserve">umowę zwykle wyłącznie w formie pisemnej. Takie ograniczenie jest nieproporcjonalne do regulowanej obowiązującymi przepisami możliwości zawierania umowy w różnych formach: pisemnej, elektronicznej lub dokumentowej. </w:t>
      </w:r>
      <w:r w:rsidR="188BF503" w:rsidRPr="003A42FB">
        <w:rPr>
          <w:rFonts w:ascii="Times New Roman" w:eastAsiaTheme="minorEastAsia" w:hAnsi="Times New Roman" w:cs="Times New Roman"/>
          <w:sz w:val="24"/>
          <w:szCs w:val="24"/>
        </w:rPr>
        <w:t>Projektowana regulacja</w:t>
      </w:r>
      <w:r w:rsidRPr="003A42FB">
        <w:rPr>
          <w:rFonts w:ascii="Times New Roman" w:eastAsiaTheme="minorEastAsia" w:hAnsi="Times New Roman" w:cs="Times New Roman"/>
          <w:sz w:val="24"/>
          <w:szCs w:val="24"/>
        </w:rPr>
        <w:t xml:space="preserve"> umożliwi abonentom rozwiązani</w:t>
      </w:r>
      <w:r w:rsidR="4F14DEF6"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umowy bez konieczności wychodzenia z domu np. </w:t>
      </w:r>
      <w:r w:rsidR="3E2EC6AC" w:rsidRPr="003A42FB">
        <w:rPr>
          <w:rFonts w:ascii="Times New Roman" w:eastAsiaTheme="minorEastAsia" w:hAnsi="Times New Roman" w:cs="Times New Roman"/>
          <w:sz w:val="24"/>
          <w:szCs w:val="24"/>
        </w:rPr>
        <w:t xml:space="preserve">poprzez </w:t>
      </w:r>
      <w:r w:rsidRPr="003A42FB">
        <w:rPr>
          <w:rFonts w:ascii="Times New Roman" w:eastAsiaTheme="minorEastAsia" w:hAnsi="Times New Roman" w:cs="Times New Roman"/>
          <w:sz w:val="24"/>
          <w:szCs w:val="24"/>
        </w:rPr>
        <w:t xml:space="preserve">wiadomość e-mail. </w:t>
      </w:r>
      <w:r w:rsidR="3A8C3728" w:rsidRPr="003A42FB">
        <w:rPr>
          <w:rFonts w:ascii="Times New Roman" w:eastAsiaTheme="minorEastAsia" w:hAnsi="Times New Roman" w:cs="Times New Roman"/>
          <w:sz w:val="24"/>
          <w:szCs w:val="24"/>
        </w:rPr>
        <w:t>Jednocześnie w</w:t>
      </w:r>
      <w:r w:rsidRPr="003A42FB">
        <w:rPr>
          <w:rFonts w:ascii="Times New Roman" w:eastAsiaTheme="minorEastAsia" w:hAnsi="Times New Roman" w:cs="Times New Roman"/>
          <w:sz w:val="24"/>
          <w:szCs w:val="24"/>
        </w:rPr>
        <w:t xml:space="preserve"> celu zabezpieczenia interesów abonenta przed oszustwami związanymi z wprowadzeniem w błąd w celu doprowadzenia do zmiany dostawcy usług wbrew woli abonenta przewiduje się obowiązek </w:t>
      </w:r>
      <w:r w:rsidR="196ADF85" w:rsidRPr="003A42FB">
        <w:rPr>
          <w:rFonts w:ascii="Times New Roman" w:eastAsiaTheme="minorEastAsia" w:hAnsi="Times New Roman" w:cs="Times New Roman"/>
          <w:sz w:val="24"/>
          <w:szCs w:val="24"/>
        </w:rPr>
        <w:t xml:space="preserve">niezwłocznego </w:t>
      </w:r>
      <w:r w:rsidRPr="003A42FB">
        <w:rPr>
          <w:rFonts w:ascii="Times New Roman" w:eastAsiaTheme="minorEastAsia" w:hAnsi="Times New Roman" w:cs="Times New Roman"/>
          <w:sz w:val="24"/>
          <w:szCs w:val="24"/>
        </w:rPr>
        <w:t>zawiadomienia abonenta o otrzymaniu oświadczenia o wypowiedzeniu umowy oraz</w:t>
      </w:r>
      <w:r w:rsidR="4F284D6D" w:rsidRPr="003A42FB">
        <w:rPr>
          <w:rFonts w:ascii="Times New Roman" w:eastAsiaTheme="minorEastAsia" w:hAnsi="Times New Roman" w:cs="Times New Roman"/>
          <w:sz w:val="24"/>
          <w:szCs w:val="24"/>
        </w:rPr>
        <w:t xml:space="preserve"> późniejszego potwierdzenia</w:t>
      </w:r>
      <w:r w:rsidR="3A82C21C" w:rsidRPr="003A42FB">
        <w:rPr>
          <w:rFonts w:ascii="Times New Roman" w:eastAsiaTheme="minorEastAsia" w:hAnsi="Times New Roman" w:cs="Times New Roman"/>
          <w:sz w:val="24"/>
          <w:szCs w:val="24"/>
        </w:rPr>
        <w:t xml:space="preserve"> tego </w:t>
      </w:r>
      <w:r w:rsidR="4F284D6D" w:rsidRPr="003A42FB">
        <w:rPr>
          <w:rFonts w:ascii="Times New Roman" w:eastAsiaTheme="minorEastAsia" w:hAnsi="Times New Roman" w:cs="Times New Roman"/>
          <w:sz w:val="24"/>
          <w:szCs w:val="24"/>
        </w:rPr>
        <w:t>wypowiedzenia na trwałym nośniku</w:t>
      </w:r>
      <w:r w:rsidRPr="003A42FB">
        <w:rPr>
          <w:rFonts w:ascii="Times New Roman" w:eastAsiaTheme="minorEastAsia" w:hAnsi="Times New Roman" w:cs="Times New Roman"/>
          <w:sz w:val="24"/>
          <w:szCs w:val="24"/>
        </w:rPr>
        <w:t>.</w:t>
      </w:r>
      <w:r w:rsidR="245F8CCF" w:rsidRPr="003A42FB">
        <w:rPr>
          <w:rFonts w:ascii="Times New Roman" w:eastAsiaTheme="minorEastAsia" w:hAnsi="Times New Roman" w:cs="Times New Roman"/>
          <w:sz w:val="24"/>
          <w:szCs w:val="24"/>
        </w:rPr>
        <w:t xml:space="preserve"> </w:t>
      </w:r>
    </w:p>
    <w:p w14:paraId="6A65DA7A" w14:textId="049301D3" w:rsidR="00221330" w:rsidRPr="003A42FB" w:rsidRDefault="7D3FEF1B" w:rsidP="769631E7">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E3A8BA6" w:rsidRPr="003A42FB">
        <w:rPr>
          <w:rFonts w:ascii="Times New Roman" w:eastAsiaTheme="minorEastAsia" w:hAnsi="Times New Roman" w:cs="Times New Roman"/>
          <w:b/>
          <w:bCs/>
          <w:sz w:val="24"/>
          <w:szCs w:val="24"/>
        </w:rPr>
        <w:t xml:space="preserve"> </w:t>
      </w:r>
      <w:r w:rsidR="00262036">
        <w:rPr>
          <w:rFonts w:ascii="Times New Roman" w:eastAsiaTheme="minorEastAsia" w:hAnsi="Times New Roman" w:cs="Times New Roman"/>
          <w:b/>
          <w:bCs/>
          <w:sz w:val="24"/>
          <w:szCs w:val="24"/>
        </w:rPr>
        <w:t>291</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w:t>
      </w:r>
      <w:r w:rsidR="73217437" w:rsidRPr="003A42FB">
        <w:rPr>
          <w:rFonts w:ascii="Times New Roman" w:eastAsiaTheme="minorEastAsia" w:hAnsi="Times New Roman" w:cs="Times New Roman"/>
          <w:b/>
          <w:bCs/>
          <w:sz w:val="24"/>
          <w:szCs w:val="24"/>
        </w:rPr>
        <w:t xml:space="preserve"> </w:t>
      </w:r>
      <w:r w:rsidR="6A3DF05F" w:rsidRPr="003A42FB">
        <w:rPr>
          <w:rFonts w:ascii="Times New Roman" w:eastAsiaTheme="minorEastAsia" w:hAnsi="Times New Roman" w:cs="Times New Roman"/>
          <w:b/>
          <w:bCs/>
          <w:sz w:val="24"/>
          <w:szCs w:val="24"/>
        </w:rPr>
        <w:t>r</w:t>
      </w:r>
      <w:r w:rsidR="566EAACD" w:rsidRPr="003A42FB">
        <w:rPr>
          <w:rFonts w:ascii="Times New Roman" w:eastAsiaTheme="minorEastAsia" w:hAnsi="Times New Roman" w:cs="Times New Roman"/>
          <w:b/>
          <w:bCs/>
          <w:sz w:val="24"/>
          <w:szCs w:val="24"/>
        </w:rPr>
        <w:t>ejestracja usług</w:t>
      </w:r>
    </w:p>
    <w:p w14:paraId="05055043" w14:textId="65A91EA5" w:rsidR="61AAE057" w:rsidRPr="003A42FB" w:rsidRDefault="7633F715" w:rsidP="769631E7">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t>
      </w:r>
      <w:r w:rsidR="5610A5D6" w:rsidRPr="003A42FB">
        <w:rPr>
          <w:rFonts w:ascii="Times New Roman" w:eastAsiaTheme="minorEastAsia" w:hAnsi="Times New Roman" w:cs="Times New Roman"/>
          <w:sz w:val="24"/>
          <w:szCs w:val="24"/>
        </w:rPr>
        <w:t xml:space="preserve"> </w:t>
      </w:r>
    </w:p>
    <w:p w14:paraId="62121A75" w14:textId="25244FB8"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Artykuł 291 dotyczy obowiązku rejestracji abonentów, wprowadzonego pierwotnie do ustawy Pt przepisami ustawy z dnia 10 czerwca 2016 r. o działaniach antyterrorystycznych (Dz. U. z 2019 r. poz. 796). Obowiązek podania danych w celu rejestracji obejmuje wszystkich abonentów z wyjątkiem abonentów korzystających z usług komunikacji interpersonalnej niewykorzystujących numerów, usług świadczonych za pomocą aparatu publicznego, korzystających z usług przez wybranie numeru dostępu do sieci dostawcy usług i abonentów usług przedpłaconych polegających na rozpowszechnianiu lub rozprowadzaniu programów drogą naziemną, kablową lub satelitarną.</w:t>
      </w:r>
    </w:p>
    <w:p w14:paraId="4A00799A" w14:textId="3887E41C"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W ust. 1 pkt 1 wskazany został zakres danych, które powinny być przekazane w przypadku osób fizycznych tj. imię i nazwisko, numer PESEL albo nazwę, serię i numer dokumentu potwierdzającego tożsamość, a w przypadku cudzoziemca, który nie jest obywatelem państwa członkowskiego albo Konfederacji Szwajcarskiej - numer paszportu lub karty pobytu. W ust. 1 pkt 2 wskazane zostały dane, które są wymagane względem abonentów niebędących osobami fizycznymi tj. nazwa, numer identyfikacyjny REGON lub NIP lub numer w Krajowym Rejestrze Sądowym albo ewidencji działalności gospodarczej, lub innym właściwym rejestrze.</w:t>
      </w:r>
    </w:p>
    <w:p w14:paraId="0D9704E0" w14:textId="1C853DF3"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Należy wyraźnie podkreślić, że obowiązek rejestracji abonenta nie może stanowić samoistnej podstawy do kopiowania dokumentu tożsamości. Wskazane w Pke sposoby potwierdzania danych dają podstawy do weryfikowania i potwierdzania danych wyłącznie w zakresie i celu wynikającym z obowiązku rejestracji.</w:t>
      </w:r>
    </w:p>
    <w:p w14:paraId="481ACD56" w14:textId="50615E13"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Ustęp 2 wskazuje moment i sposób podania wymaganych danych – w przypadku abonenta będącego stroną umowy zawieranej w formie pisemnej, elektronicznej lub dokumentowej (abonent postpaid) dane powinny być podane bezpośrednio przy zawieraniu umowy, a w przypadku abonenta prepaid dane mogą być podane dostawcy usług również drogą elektroniczną albo w inny sposób określony przez dostawcę tych usług.</w:t>
      </w:r>
    </w:p>
    <w:p w14:paraId="77336C21" w14:textId="5A343F76"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lastRenderedPageBreak/>
        <w:t>Warunkiem rozpoczęcia świadczenia usług jest dokonanie autoryzacji abonenta. Zgodnie z ust. 3 rozpoczęcie świadczenia może nastąpić nie wcześniej niż po potwierdzeniu zgodności podanych przez abonenta danych z danymi zawartymi w dokumencie potwierdzającym tożsamość, również zaprezentowanym w publicznej aplikacji mobilnej o którem mowa w art. 19e ustawy o informatyzacji działalności podmiotów realizujących zadania publiczne lub zawartymi we właściwym rejestrze albo po podaniu przez abonenta wymaganych danych i potwierdzeniu ich drogą elektroniczną przy wykorzystaniu:</w:t>
      </w:r>
    </w:p>
    <w:p w14:paraId="5204B24C" w14:textId="30F96A87"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a) środków identyfikacji elektronicznej służących do uwierzytelniania w systemie teleinformatycznym banku krajowego, spółdzielczej kasy oszczędnościowo-kredytowej lub instytucji płatniczej,</w:t>
      </w:r>
    </w:p>
    <w:p w14:paraId="60FB1481" w14:textId="572D257C"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b) danych weryfikowanych za pomocą kwalifikowanego certyfikatu podpisu elektronicznego lub podpisu osobistego w rozumieniu ustawy z dnia 6 sierpnia 2010 r. o dowodach osobistych,</w:t>
      </w:r>
    </w:p>
    <w:p w14:paraId="61D7D68C" w14:textId="50622DFA"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c) środków identyfikacji elektronicznej służących do uwierzytelniania w systemie teleinformatycznym dostawcy usług telekomunikacyjnych, jeżeli dane abonenta zostały już zweryfikowane w związku z inną umową,</w:t>
      </w:r>
    </w:p>
    <w:p w14:paraId="18F2F3CE" w14:textId="7F2D667C"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d) środków komunikacji elektronicznej wykorzystując wideoidentyfikację abonenta,</w:t>
      </w:r>
    </w:p>
    <w:p w14:paraId="53920F2B" w14:textId="3096B31A"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e) danych weryfikowanych za pomocą podpisu zaufanego składanego za pomocą profilu zaufanego,</w:t>
      </w:r>
    </w:p>
    <w:p w14:paraId="3AD32E1E" w14:textId="240A04EE"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f) danych potwierdzonych za pomocą certyfikatu użytkownika publicznej aplikacji mobilnej o którym mowa w art. 19e ust. 2a ustawy o informatyzacji działalności podmiotów realizujących zadania publiczne, jeżeli użytkownik wyraził zgodę na tę formę podania danych.</w:t>
      </w:r>
    </w:p>
    <w:p w14:paraId="7CC13FEF" w14:textId="1B375121"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Możliwość weryfikacji tożsamości za pomocą środków identyfikacji elektronicznej służących do uwierzytelniania w systemie teleinformatycznym spółdzielczej kasy oszczędnościowo-kredytowej i instytucji płatniczej, za pomocą podpisu osobistego, za pomocą wiedoidentyfikacji, za pomocą podpisu zaufanego oraz za pomocą publicznej aplikacji mobilnej to nowe formy potwierdzania tożsamości abonenta usług przedpłaconych.</w:t>
      </w:r>
    </w:p>
    <w:p w14:paraId="12707EFA" w14:textId="1B1CCBC1"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t>Wideoweryfikacja polega na porównaniu wizerunku abonenta widocznego w czasie transmisji audiowizualnej ze zdjęciem w dokumencie tożsamości oraz przedstawienia przez abonenta danych zawartych w dokumencie tożsamości, które są określone w ust. 1.Wideoidentyfikacja może być prowadzona z wykorzystaniem automatycznej analizy danych lub przez porównanie danych, o których mowa w przepisie przez osobę fizyczną działającą w imieniu przedsiębiorcy telekomunikacyjnego. W związku z nową metodą weryfikacji abonenta przepisy przewidują nadanie uprawnień Prezesowi UKE w zakresie nadzoru nad procesem wideoidentyfikacji abonenta prowadzonym przez dostawcę usług. Prezes UKE może w drodze decyzji zawiesić ten rodzaj potwierdzania tożsamości abonenta w przypadku, gdy stwierdzi, że dostawca usług nie dokonuje go zgodnie z przepisami i z zachowaniem należytej staranności. Zawieszenie wideoidentyfikacji następuje w drodze decyzji, w której Prezes UKE wskazuje warunki wznowienia wideoidentyfikacji. Decyzji tej nadaje się rygor natychmiastowej wykonalności. Przed wznowieniem wideoidentyfikacji dostawca usług telekomunikacyjnych ma obowiązek poinformować Prezesa UKE o środkach wdrożonych w celu spełnienia warunków wznowienia wskazanych w decyzji.</w:t>
      </w:r>
    </w:p>
    <w:p w14:paraId="072945B3" w14:textId="78CE882B" w:rsidR="7B8D9FF7" w:rsidRDefault="7B8D9FF7" w:rsidP="005F69BF">
      <w:pPr>
        <w:jc w:val="both"/>
        <w:rPr>
          <w:rFonts w:ascii="Times New Roman" w:eastAsia="Times New Roman" w:hAnsi="Times New Roman" w:cs="Times New Roman"/>
          <w:color w:val="000000" w:themeColor="text1"/>
          <w:sz w:val="24"/>
          <w:szCs w:val="24"/>
        </w:rPr>
      </w:pPr>
      <w:r w:rsidRPr="385F2BE9">
        <w:rPr>
          <w:rFonts w:ascii="Times New Roman" w:eastAsia="Times New Roman" w:hAnsi="Times New Roman" w:cs="Times New Roman"/>
          <w:color w:val="000000" w:themeColor="text1"/>
          <w:sz w:val="24"/>
          <w:szCs w:val="24"/>
        </w:rPr>
        <w:lastRenderedPageBreak/>
        <w:t>Weryfikacja tożsamości za pomocą danych zawartych w złożonym przez abonenta podpisie zaufanym może być wykorzystana wyłącznie do potwierdzenia tożsamości abonenta. Weryfikacja ta może być dokonana tylko za pomocą narzędzia określonego w rozporządzeniu wydanym przez ministra właściwego do spraw informatyzacji na podstawie art. 20d ustawy z dnia 17 lutego 2005 r. o informatyzacji działalności podmiotów realizujących zadania publiczne. Potwierdzenie tożsamości abonenta drogą elektroniczną jest możliwe także za pomocą publicznej aplikacji mobilnej przy wykorzystaniu certyfikatu użytkownika, który stanowi potwierdzenie integralności danych użytkownika z danymi zgromadzonymi w rejestrach państwowych. Skutkiem tego będzie możliwość korzystania przez wszystkich przedsiębiorców telekomunikacyjnych z tych samych narzędzi przygotowanych przez ministra właściwego do spraw informatyzacji jako kompletnej i zupełnej usługi świadczonej online. Z przepisów tych nie wynika możliwość udostępnienia wybranym przedsiębiorcom telekomunikacyjnym przez ministra właściwego do spraw informatyzacji części ww. narzędzi w postaci np. interfejsu programistycznego aplikacji lub kodu źródłowego.</w:t>
      </w:r>
    </w:p>
    <w:p w14:paraId="7B1CE094" w14:textId="3C3B0FCB" w:rsidR="385F2BE9" w:rsidRDefault="385F2BE9" w:rsidP="385F2BE9">
      <w:pPr>
        <w:spacing w:after="120" w:line="240" w:lineRule="auto"/>
        <w:jc w:val="both"/>
        <w:rPr>
          <w:rFonts w:ascii="Times New Roman" w:eastAsiaTheme="minorEastAsia" w:hAnsi="Times New Roman" w:cs="Times New Roman"/>
          <w:sz w:val="24"/>
          <w:szCs w:val="24"/>
        </w:rPr>
      </w:pPr>
    </w:p>
    <w:p w14:paraId="0B602D19" w14:textId="24097D14" w:rsidR="00221330" w:rsidRPr="003A42FB" w:rsidRDefault="302C307F"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292</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427156BE" w:rsidRPr="003A42FB">
        <w:rPr>
          <w:rFonts w:ascii="Times New Roman" w:eastAsiaTheme="minorEastAsia" w:hAnsi="Times New Roman" w:cs="Times New Roman"/>
          <w:b/>
          <w:bCs/>
          <w:sz w:val="24"/>
          <w:szCs w:val="24"/>
        </w:rPr>
        <w:t>w</w:t>
      </w:r>
      <w:r w:rsidR="566EAACD" w:rsidRPr="003A42FB">
        <w:rPr>
          <w:rFonts w:ascii="Times New Roman" w:eastAsiaTheme="minorEastAsia" w:hAnsi="Times New Roman" w:cs="Times New Roman"/>
          <w:b/>
          <w:bCs/>
          <w:sz w:val="24"/>
          <w:szCs w:val="24"/>
        </w:rPr>
        <w:t>arunki umów</w:t>
      </w:r>
    </w:p>
    <w:p w14:paraId="697F363C" w14:textId="58800618"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292</w:t>
      </w:r>
      <w:r w:rsidRPr="003A42FB">
        <w:rPr>
          <w:rFonts w:ascii="Times New Roman" w:eastAsiaTheme="minorEastAsia" w:hAnsi="Times New Roman" w:cs="Times New Roman"/>
          <w:sz w:val="24"/>
          <w:szCs w:val="24"/>
        </w:rPr>
        <w:t xml:space="preserve"> ust. 1 stanowi implementację art. 99 EKŁE.</w:t>
      </w:r>
      <w:r w:rsidR="6FEC7E75" w:rsidRPr="003A42FB">
        <w:rPr>
          <w:rFonts w:ascii="Times New Roman" w:eastAsiaTheme="minorEastAsia" w:hAnsi="Times New Roman" w:cs="Times New Roman"/>
          <w:sz w:val="24"/>
          <w:szCs w:val="24"/>
        </w:rPr>
        <w:t xml:space="preserve"> Treść nowych przepisów pozostaje zbliżona do dotychczasowych regulacji Pt.</w:t>
      </w:r>
      <w:r w:rsidRPr="003A42FB">
        <w:rPr>
          <w:rFonts w:ascii="Times New Roman" w:eastAsiaTheme="minorEastAsia" w:hAnsi="Times New Roman" w:cs="Times New Roman"/>
          <w:sz w:val="24"/>
          <w:szCs w:val="24"/>
        </w:rPr>
        <w:t xml:space="preserve"> Przedmiotowy przepis zakazuje dyskryminacji użytkowników końcowych ze względu na obywatelstwo, miejsce zamieszkania lub miejsce ich siedziby. Wszelkie ewentualne odstępstwa od powyższego zakazu powinny być obiektywnie uzasadnione lub mieć podstawę w obowiązujących przepisach. Ustęp 2 przewiduje zakaz uzależniania zawarcia umowy od niezawierania umowy z innym dostawcą. </w:t>
      </w:r>
      <w:r w:rsidR="00B07528" w:rsidRPr="003A42FB">
        <w:rPr>
          <w:rFonts w:ascii="Times New Roman" w:eastAsiaTheme="minorEastAsia" w:hAnsi="Times New Roman" w:cs="Times New Roman"/>
          <w:sz w:val="24"/>
          <w:szCs w:val="24"/>
        </w:rPr>
        <w:t xml:space="preserve">Jest to zakaz żądania danych, które nie mają bezpośrednio znaczenia dla prawidłowego zawarcia i wykonywania umowy o świadczenie usługi </w:t>
      </w:r>
      <w:r w:rsidR="00A44CBF" w:rsidRPr="003A42FB">
        <w:rPr>
          <w:rFonts w:ascii="Times New Roman" w:eastAsiaTheme="minorEastAsia" w:hAnsi="Times New Roman" w:cs="Times New Roman"/>
          <w:sz w:val="24"/>
          <w:szCs w:val="24"/>
        </w:rPr>
        <w:t>komunikacji elektronicznej</w:t>
      </w:r>
      <w:r w:rsidR="00B0752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Celem przedmiotowego przepisu jest nie tylko ochrona interesów użytkowników końcowych, ale również ochrona równowagi konkurencyjnej na rynku. Dodatkowo ust. 6 zakazuje ustanawiania takich warunków umów, które zniechęcają lub uniemożliwiają abonentowi skorzystanie z uprawnienia do zmiany dostawcy usług.</w:t>
      </w:r>
      <w:r w:rsidR="00B07528" w:rsidRPr="003A42FB" w:rsidDel="00B07528">
        <w:rPr>
          <w:rFonts w:ascii="Times New Roman" w:eastAsiaTheme="minorEastAsia" w:hAnsi="Times New Roman" w:cs="Times New Roman"/>
          <w:sz w:val="24"/>
          <w:szCs w:val="24"/>
        </w:rPr>
        <w:t xml:space="preserve"> </w:t>
      </w:r>
    </w:p>
    <w:p w14:paraId="619A7E54" w14:textId="1098F831" w:rsidR="00256A2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Jednocześnie ust. 3 wskazuje w sposób enumeratywny warunki, od których dostawca usług może uzależniać zawarcie umowy tj. </w:t>
      </w:r>
      <w:r w:rsidR="00B07528" w:rsidRPr="003A42FB">
        <w:rPr>
          <w:rFonts w:ascii="Times New Roman" w:eastAsiaTheme="minorEastAsia" w:hAnsi="Times New Roman" w:cs="Times New Roman"/>
          <w:sz w:val="24"/>
          <w:szCs w:val="24"/>
        </w:rPr>
        <w:t xml:space="preserve">przedstawienia przez użytkownika końcowego </w:t>
      </w:r>
      <w:r w:rsidRPr="003A42FB">
        <w:rPr>
          <w:rFonts w:ascii="Times New Roman" w:eastAsiaTheme="minorEastAsia" w:hAnsi="Times New Roman" w:cs="Times New Roman"/>
          <w:sz w:val="24"/>
          <w:szCs w:val="24"/>
        </w:rPr>
        <w:t xml:space="preserve">dokumentów potwierdzających możliwość wykonania zobowiązania umownego, pozytywną ocenę wiarygodności płatniczej, zawarcie umowy o realizację przyłącza telekomunikacyjnego, o ile jest to niezbędne do świadczenia usług. </w:t>
      </w:r>
      <w:r w:rsidR="00256A20" w:rsidRPr="003A42FB">
        <w:rPr>
          <w:rFonts w:ascii="Times New Roman" w:eastAsiaTheme="minorEastAsia" w:hAnsi="Times New Roman" w:cs="Times New Roman"/>
          <w:sz w:val="24"/>
          <w:szCs w:val="24"/>
        </w:rPr>
        <w:t xml:space="preserve">Nie sposób określić zamkniętego katalogu tych dokumentów, jednak nie oznacza to zupełnej dowolności dostawcy usług. Pamiętać należy, że obowiązuje zasada minimalizacji przetwarzanych danych, która każdorazowo powinna być stosowana (również we wdrożonych procedurach) przez dostawcę usług. W przypadku zbierania przez dostawców usług danych nadmiarowych narażają się oni na zarzut naruszenia przepisów z zakresu ochrony danych osobowych. </w:t>
      </w:r>
    </w:p>
    <w:p w14:paraId="53465F45" w14:textId="4276A56E" w:rsidR="00221330" w:rsidRPr="003A42FB" w:rsidRDefault="25F18C97"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W wyniku negatywnej oceny wiarygodności płatniczej dostawca usług może odmówić zawarcia umowy lub zawrzeć ją na warunkach mniej korzystnych dla użytkownika końcowego. W ust. 5 zawarto wyłączenie stosowania ust. 3 i 4 względem umów prepaid</w:t>
      </w:r>
      <w:r w:rsidR="7276399E" w:rsidRPr="6BEADE18">
        <w:rPr>
          <w:rFonts w:ascii="Times New Roman" w:eastAsiaTheme="minorEastAsia" w:hAnsi="Times New Roman" w:cs="Times New Roman"/>
          <w:sz w:val="24"/>
          <w:szCs w:val="24"/>
        </w:rPr>
        <w:t>, korzystania z automatów publicznych oraz NDS.</w:t>
      </w:r>
      <w:r w:rsidRPr="6BEADE18">
        <w:rPr>
          <w:rFonts w:ascii="Times New Roman" w:eastAsiaTheme="minorEastAsia" w:hAnsi="Times New Roman" w:cs="Times New Roman"/>
          <w:sz w:val="24"/>
          <w:szCs w:val="24"/>
        </w:rPr>
        <w:t xml:space="preserve"> Z uwagi na specyfikę </w:t>
      </w:r>
      <w:r w:rsidR="7276399E" w:rsidRPr="6BEADE18">
        <w:rPr>
          <w:rFonts w:ascii="Times New Roman" w:eastAsiaTheme="minorEastAsia" w:hAnsi="Times New Roman" w:cs="Times New Roman"/>
          <w:sz w:val="24"/>
          <w:szCs w:val="24"/>
        </w:rPr>
        <w:t xml:space="preserve">ww. </w:t>
      </w:r>
      <w:r w:rsidRPr="6BEADE18">
        <w:rPr>
          <w:rFonts w:ascii="Times New Roman" w:eastAsiaTheme="minorEastAsia" w:hAnsi="Times New Roman" w:cs="Times New Roman"/>
          <w:sz w:val="24"/>
          <w:szCs w:val="24"/>
        </w:rPr>
        <w:t xml:space="preserve"> usług dostawca usług nie ponosi ryzyka związanego z niezapłaceniem przez abonenta za świadczone usługi, tak jak w przypadku usług płatnych okresowo po wykonaniu usługi. </w:t>
      </w:r>
    </w:p>
    <w:p w14:paraId="75089334" w14:textId="279B6043" w:rsidR="09764CAB" w:rsidRPr="003A42FB" w:rsidRDefault="09764CAB" w:rsidP="3C7EE111">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Nie ma wątpliwości, że zebranie dodatkowych informacji przez dostawcę wymaga spełnienia wymagań określonych w przepisa</w:t>
      </w:r>
      <w:r w:rsidR="58D69434" w:rsidRPr="003A42FB">
        <w:rPr>
          <w:rFonts w:ascii="Times New Roman" w:eastAsiaTheme="minorEastAsia" w:hAnsi="Times New Roman" w:cs="Times New Roman"/>
          <w:sz w:val="24"/>
          <w:szCs w:val="24"/>
        </w:rPr>
        <w:t xml:space="preserve">ch dotyczących danych osobowych, w szczególności RODO. </w:t>
      </w:r>
      <w:r w:rsidR="58D69434" w:rsidRPr="003A42FB">
        <w:rPr>
          <w:rFonts w:ascii="Times New Roman" w:eastAsiaTheme="minorEastAsia" w:hAnsi="Times New Roman" w:cs="Times New Roman"/>
          <w:sz w:val="24"/>
          <w:szCs w:val="24"/>
        </w:rPr>
        <w:lastRenderedPageBreak/>
        <w:t xml:space="preserve">Może to dotyczyć np. sytuacji, w której </w:t>
      </w:r>
      <w:r w:rsidR="1D5DDDA8" w:rsidRPr="003A42FB">
        <w:rPr>
          <w:rFonts w:ascii="Times New Roman" w:eastAsiaTheme="minorEastAsia" w:hAnsi="Times New Roman" w:cs="Times New Roman"/>
          <w:sz w:val="24"/>
          <w:szCs w:val="24"/>
        </w:rPr>
        <w:t xml:space="preserve">potencjalny klient będzie profilowany przez dostawcę usług. </w:t>
      </w:r>
    </w:p>
    <w:p w14:paraId="69F311B0" w14:textId="77777777" w:rsidR="007502A9" w:rsidRPr="003A42FB" w:rsidRDefault="007502A9" w:rsidP="3C7EE111">
      <w:pPr>
        <w:spacing w:after="120" w:line="240" w:lineRule="auto"/>
        <w:jc w:val="both"/>
        <w:rPr>
          <w:rFonts w:ascii="Times New Roman" w:eastAsiaTheme="minorEastAsia" w:hAnsi="Times New Roman" w:cs="Times New Roman"/>
          <w:sz w:val="24"/>
          <w:szCs w:val="24"/>
        </w:rPr>
      </w:pPr>
    </w:p>
    <w:p w14:paraId="4DEF00CB" w14:textId="5CB53737" w:rsidR="00221330" w:rsidRPr="003A42FB" w:rsidRDefault="5FBB4D29"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E248DB" w:rsidRPr="003A42FB">
        <w:rPr>
          <w:rFonts w:ascii="Times New Roman" w:eastAsiaTheme="minorEastAsia" w:hAnsi="Times New Roman" w:cs="Times New Roman"/>
          <w:b/>
          <w:bCs/>
          <w:sz w:val="24"/>
          <w:szCs w:val="24"/>
        </w:rPr>
        <w:t xml:space="preserve"> </w:t>
      </w:r>
      <w:r w:rsidR="00262036">
        <w:rPr>
          <w:rFonts w:ascii="Times New Roman" w:eastAsiaTheme="minorEastAsia" w:hAnsi="Times New Roman" w:cs="Times New Roman"/>
          <w:b/>
          <w:bCs/>
          <w:sz w:val="24"/>
          <w:szCs w:val="24"/>
        </w:rPr>
        <w:t>293</w:t>
      </w:r>
      <w:r w:rsidRPr="003A42FB">
        <w:rPr>
          <w:rFonts w:ascii="Times New Roman" w:eastAsiaTheme="minorEastAsia" w:hAnsi="Times New Roman" w:cs="Times New Roman"/>
          <w:b/>
          <w:bCs/>
          <w:sz w:val="24"/>
          <w:szCs w:val="24"/>
        </w:rPr>
        <w:t xml:space="preserve"> - </w:t>
      </w:r>
      <w:r w:rsidR="6C7CF6DF" w:rsidRPr="003A42FB">
        <w:rPr>
          <w:rFonts w:ascii="Times New Roman" w:eastAsiaTheme="minorEastAsia" w:hAnsi="Times New Roman" w:cs="Times New Roman"/>
          <w:b/>
          <w:bCs/>
          <w:sz w:val="24"/>
          <w:szCs w:val="24"/>
        </w:rPr>
        <w:t>u</w:t>
      </w:r>
      <w:r w:rsidR="566EAACD" w:rsidRPr="003A42FB">
        <w:rPr>
          <w:rFonts w:ascii="Times New Roman" w:eastAsiaTheme="minorEastAsia" w:hAnsi="Times New Roman" w:cs="Times New Roman"/>
          <w:b/>
          <w:bCs/>
          <w:sz w:val="24"/>
          <w:szCs w:val="24"/>
        </w:rPr>
        <w:t>mowa o realizację przyłącza telekomunikacyjnego</w:t>
      </w:r>
    </w:p>
    <w:p w14:paraId="6B9A669C" w14:textId="302B7393" w:rsidR="3C7EE111" w:rsidRPr="003A42FB" w:rsidRDefault="566EAACD" w:rsidP="3C7EE111">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293</w:t>
      </w:r>
      <w:r w:rsidRPr="003A42FB">
        <w:rPr>
          <w:rFonts w:ascii="Times New Roman" w:eastAsiaTheme="minorEastAsia" w:hAnsi="Times New Roman" w:cs="Times New Roman"/>
          <w:sz w:val="24"/>
          <w:szCs w:val="24"/>
        </w:rPr>
        <w:t xml:space="preserve"> przewiduje możliwość zawarcia umowy z użytkownikiem końcowym wyłącznie o realizację przyłącza telekomunikacyjnego do publicznej sieci telekomunikacyjnej</w:t>
      </w:r>
      <w:r w:rsidR="00D15855" w:rsidRPr="003A42FB">
        <w:rPr>
          <w:rFonts w:ascii="Times New Roman" w:eastAsiaTheme="minorEastAsia" w:hAnsi="Times New Roman" w:cs="Times New Roman"/>
          <w:sz w:val="24"/>
          <w:szCs w:val="24"/>
        </w:rPr>
        <w:t>, która w odróżnieniu od umowy o zapewnienie przyłączenia dotyczy budowy fizycznych elementów składających się na przyłącze telekomunikacyjne, nie zaś pozostawania przez abonenta w stanie przyłączenia do sieci</w:t>
      </w:r>
      <w:r w:rsidRPr="003A42FB">
        <w:rPr>
          <w:rFonts w:ascii="Times New Roman" w:eastAsiaTheme="minorEastAsia" w:hAnsi="Times New Roman" w:cs="Times New Roman"/>
          <w:sz w:val="24"/>
          <w:szCs w:val="24"/>
        </w:rPr>
        <w:t xml:space="preserve">. Umowa o realizację przyłącza telekomunikacyjnego nie stanowi umowy o świadczenie usług </w:t>
      </w:r>
      <w:r w:rsidR="00A44CBF"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i zgodnie z ust. 4 nie obejmuje zapewnienia telekomunikacyjnych urządzeń końcowych. Zgodnie z ust. 2 dostawca usług telekomunikacyjnych na żądanie konsumenta rozkłada na raty opłatę za realizację przyłącza telekomunikacyjnego</w:t>
      </w:r>
      <w:r w:rsidR="00D15855" w:rsidRPr="003A42FB">
        <w:rPr>
          <w:rFonts w:ascii="Times New Roman" w:eastAsiaTheme="minorEastAsia" w:hAnsi="Times New Roman" w:cs="Times New Roman"/>
          <w:sz w:val="24"/>
          <w:szCs w:val="24"/>
        </w:rPr>
        <w:t>, w sposób uzgodniony z tym konsumentem, jednak nie na więcej niż 60 miesięcznych rat</w:t>
      </w:r>
      <w:r w:rsidRPr="003A42FB">
        <w:rPr>
          <w:rFonts w:ascii="Times New Roman" w:eastAsiaTheme="minorEastAsia" w:hAnsi="Times New Roman" w:cs="Times New Roman"/>
          <w:sz w:val="24"/>
          <w:szCs w:val="24"/>
        </w:rPr>
        <w:t xml:space="preserve">. W ust. 3 wskazane zostały niezbędne elementy umowy. W przypadku braku realizacji przyłącza telekomunikacyjnego w terminie określonym w umowie, użytkownik końcowy jest uprawniony do </w:t>
      </w:r>
      <w:r w:rsidR="00D15855" w:rsidRPr="003A42FB">
        <w:rPr>
          <w:rFonts w:ascii="Times New Roman" w:eastAsiaTheme="minorEastAsia" w:hAnsi="Times New Roman" w:cs="Times New Roman"/>
          <w:sz w:val="24"/>
          <w:szCs w:val="24"/>
        </w:rPr>
        <w:t xml:space="preserve">odstąpienia od </w:t>
      </w:r>
      <w:r w:rsidRPr="003A42FB">
        <w:rPr>
          <w:rFonts w:ascii="Times New Roman" w:eastAsiaTheme="minorEastAsia" w:hAnsi="Times New Roman" w:cs="Times New Roman"/>
          <w:sz w:val="24"/>
          <w:szCs w:val="24"/>
        </w:rPr>
        <w:t xml:space="preserve">umowy o realizację przyłącza telekomunikacyjnego oraz związanej z nią umowy o świadczenie </w:t>
      </w:r>
      <w:r w:rsidR="00A44CBF" w:rsidRPr="003A42FB">
        <w:rPr>
          <w:rFonts w:ascii="Times New Roman" w:eastAsiaTheme="minorEastAsia" w:hAnsi="Times New Roman" w:cs="Times New Roman"/>
          <w:sz w:val="24"/>
          <w:szCs w:val="24"/>
        </w:rPr>
        <w:t>usług komunikacji elektronicznej</w:t>
      </w:r>
      <w:r w:rsidRPr="003A42FB">
        <w:rPr>
          <w:rFonts w:ascii="Times New Roman" w:eastAsiaTheme="minorEastAsia" w:hAnsi="Times New Roman" w:cs="Times New Roman"/>
          <w:sz w:val="24"/>
          <w:szCs w:val="24"/>
        </w:rPr>
        <w:t>, w tym o zapewnienie przyłączenia do sieci (ust. 6). W razie</w:t>
      </w:r>
      <w:r w:rsidR="37F81531" w:rsidRPr="003A42FB">
        <w:rPr>
          <w:rFonts w:ascii="Times New Roman" w:eastAsiaTheme="minorEastAsia" w:hAnsi="Times New Roman" w:cs="Times New Roman"/>
          <w:sz w:val="24"/>
          <w:szCs w:val="24"/>
        </w:rPr>
        <w:t xml:space="preserve"> braku </w:t>
      </w:r>
      <w:r w:rsidR="00E355FD" w:rsidRPr="003A42FB">
        <w:rPr>
          <w:rFonts w:ascii="Times New Roman" w:eastAsiaTheme="minorEastAsia" w:hAnsi="Times New Roman" w:cs="Times New Roman"/>
          <w:sz w:val="24"/>
          <w:szCs w:val="24"/>
        </w:rPr>
        <w:t>odrębnego</w:t>
      </w:r>
      <w:r w:rsidR="37F81531" w:rsidRPr="003A42FB">
        <w:rPr>
          <w:rFonts w:ascii="Times New Roman" w:eastAsiaTheme="minorEastAsia" w:hAnsi="Times New Roman" w:cs="Times New Roman"/>
          <w:sz w:val="24"/>
          <w:szCs w:val="24"/>
        </w:rPr>
        <w:t xml:space="preserve"> uregulowania w umowie, w przypadku</w:t>
      </w:r>
      <w:r w:rsidRPr="003A42FB">
        <w:rPr>
          <w:rFonts w:ascii="Times New Roman" w:eastAsiaTheme="minorEastAsia" w:hAnsi="Times New Roman" w:cs="Times New Roman"/>
          <w:sz w:val="24"/>
          <w:szCs w:val="24"/>
        </w:rPr>
        <w:t xml:space="preserve"> skorzystania z prawa do wypowiedzenia umowy, o którym mowa powyżej, dostawcy usług nie przysługuje określona w umowie opłata przyłączeniowa, a uiszczona do dnia wypowiedzenia umowy cześć opłaty przyłączeniowej podlega zwrotowi użytkownikowi końcowemu</w:t>
      </w:r>
      <w:r w:rsidR="0986351C" w:rsidRPr="003A42FB">
        <w:rPr>
          <w:rFonts w:ascii="Times New Roman" w:eastAsiaTheme="minorEastAsia" w:hAnsi="Times New Roman" w:cs="Times New Roman"/>
          <w:sz w:val="24"/>
          <w:szCs w:val="24"/>
        </w:rPr>
        <w:t xml:space="preserve">, chyba że przyłącze zostanie doprowadzone w bezpośrednie sąsiedztwo lokalizacji użytkownika końcowego (zapewnia to równowagę </w:t>
      </w:r>
      <w:r w:rsidR="76C98833" w:rsidRPr="003A42FB">
        <w:rPr>
          <w:rFonts w:ascii="Times New Roman" w:eastAsiaTheme="minorEastAsia" w:hAnsi="Times New Roman" w:cs="Times New Roman"/>
          <w:sz w:val="24"/>
          <w:szCs w:val="24"/>
        </w:rPr>
        <w:t>zaspokojenia</w:t>
      </w:r>
      <w:r w:rsidR="0986351C" w:rsidRPr="003A42FB">
        <w:rPr>
          <w:rFonts w:ascii="Times New Roman" w:eastAsiaTheme="minorEastAsia" w:hAnsi="Times New Roman" w:cs="Times New Roman"/>
          <w:sz w:val="24"/>
          <w:szCs w:val="24"/>
        </w:rPr>
        <w:t xml:space="preserve"> interesów ekonomicznych przedsiębiorcy i użytkownika)</w:t>
      </w:r>
      <w:r w:rsidRPr="003A42FB">
        <w:rPr>
          <w:rFonts w:ascii="Times New Roman" w:eastAsiaTheme="minorEastAsia" w:hAnsi="Times New Roman" w:cs="Times New Roman"/>
          <w:sz w:val="24"/>
          <w:szCs w:val="24"/>
        </w:rPr>
        <w:t>.</w:t>
      </w:r>
      <w:r w:rsidR="00D15855" w:rsidRPr="003A42FB">
        <w:rPr>
          <w:rFonts w:ascii="Times New Roman" w:eastAsiaTheme="minorEastAsia" w:hAnsi="Times New Roman" w:cs="Times New Roman"/>
          <w:sz w:val="24"/>
          <w:szCs w:val="24"/>
        </w:rPr>
        <w:t xml:space="preserve"> Strony mogą przy tym rozróżnić prawo własności wykonywanego przyłącza i to odrębnie dla odcinka poza oraz na nieruchomości użytkownika końcowego. Ponadto proponuje się doprecyzować, że w braku odrębnego uregulowania to dostawca usług jako podmiot profesjonalny odpowiadać ma za zebranie wszelkich zgód i zezwoleń niezbędnych do zrealizowania przyłącza.</w:t>
      </w:r>
      <w:r w:rsidRPr="003A42FB">
        <w:rPr>
          <w:rFonts w:ascii="Times New Roman" w:eastAsiaTheme="minorEastAsia" w:hAnsi="Times New Roman" w:cs="Times New Roman"/>
          <w:sz w:val="24"/>
          <w:szCs w:val="24"/>
        </w:rPr>
        <w:t xml:space="preserve"> Warunki świadczenia usług w zakresie realizacji przyłącza telekomunikacyjnego publikowane są na stronie internetowej dostawcy usług.</w:t>
      </w:r>
      <w:r w:rsidR="0646EA3A" w:rsidRPr="003A42FB">
        <w:rPr>
          <w:rFonts w:ascii="Times New Roman" w:eastAsiaTheme="minorEastAsia" w:hAnsi="Times New Roman" w:cs="Times New Roman"/>
          <w:sz w:val="24"/>
          <w:szCs w:val="24"/>
        </w:rPr>
        <w:t xml:space="preserve"> Możliwość zawarcia umowy o realizację przyłącza telekomunikacyjnego wynika również z obowiązujących przepisów Pt. </w:t>
      </w:r>
    </w:p>
    <w:p w14:paraId="4D20B89C" w14:textId="0DFD9B6F" w:rsidR="00221330" w:rsidRPr="003A42FB" w:rsidRDefault="7657E40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294</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0C9EEB85" w:rsidRPr="003A42FB">
        <w:rPr>
          <w:rFonts w:ascii="Times New Roman" w:eastAsiaTheme="minorEastAsia" w:hAnsi="Times New Roman" w:cs="Times New Roman"/>
          <w:b/>
          <w:bCs/>
          <w:sz w:val="24"/>
          <w:szCs w:val="24"/>
        </w:rPr>
        <w:t>p</w:t>
      </w:r>
      <w:r w:rsidR="566EAACD" w:rsidRPr="003A42FB">
        <w:rPr>
          <w:rFonts w:ascii="Times New Roman" w:eastAsiaTheme="minorEastAsia" w:hAnsi="Times New Roman" w:cs="Times New Roman"/>
          <w:b/>
          <w:bCs/>
          <w:sz w:val="24"/>
          <w:szCs w:val="24"/>
        </w:rPr>
        <w:t>ublikacja informacji o warunkach usług</w:t>
      </w:r>
    </w:p>
    <w:p w14:paraId="6C43FA63" w14:textId="2A6CB040" w:rsidR="007502A9"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294</w:t>
      </w:r>
      <w:r w:rsidRPr="003A42FB">
        <w:rPr>
          <w:rFonts w:ascii="Times New Roman" w:eastAsiaTheme="minorEastAsia" w:hAnsi="Times New Roman" w:cs="Times New Roman"/>
          <w:sz w:val="24"/>
          <w:szCs w:val="24"/>
        </w:rPr>
        <w:t xml:space="preserve"> dotyczy obowiązku publikowania przez dostawcę usługi dostępu do internetu lub publicznie dostępnej usługi komunikacji interpersonalnej aktualnych informacji dotyczących świadczonych przez </w:t>
      </w:r>
      <w:r w:rsidR="00F57F4E" w:rsidRPr="003A42FB">
        <w:rPr>
          <w:rFonts w:ascii="Times New Roman" w:eastAsiaTheme="minorEastAsia" w:hAnsi="Times New Roman" w:cs="Times New Roman"/>
          <w:sz w:val="24"/>
          <w:szCs w:val="24"/>
        </w:rPr>
        <w:t xml:space="preserve">siebie </w:t>
      </w:r>
      <w:r w:rsidRPr="003A42FB">
        <w:rPr>
          <w:rFonts w:ascii="Times New Roman" w:eastAsiaTheme="minorEastAsia" w:hAnsi="Times New Roman" w:cs="Times New Roman"/>
          <w:sz w:val="24"/>
          <w:szCs w:val="24"/>
        </w:rPr>
        <w:t xml:space="preserve">usług. Przepis ten stanowi implementację art. 103 ust. 1 EKŁE. Informacje o warunkach świadczenia usług powinny obejmować katalog wskazany w przedmiotowym przepisie i powinny być publikowane w jasny, zrozumiały, nadający się do odczytu maszynowego sposób i w formie dostępnej dla użytkowników końcowych z niepełnosprawnościami. Dostęp do informacji o ofertach i usługach ma kluczowe znaczenie dla łatwego porównywania cen i innych warunków świadczenia usług oferowanych na rynku. </w:t>
      </w:r>
      <w:r w:rsidR="003203FB">
        <w:rPr>
          <w:rFonts w:ascii="Times New Roman" w:eastAsiaTheme="minorEastAsia" w:hAnsi="Times New Roman" w:cs="Times New Roman"/>
          <w:sz w:val="24"/>
          <w:szCs w:val="24"/>
        </w:rPr>
        <w:t>P</w:t>
      </w:r>
      <w:r w:rsidR="003203FB" w:rsidRPr="003203FB">
        <w:rPr>
          <w:rFonts w:ascii="Times New Roman" w:eastAsiaTheme="minorEastAsia" w:hAnsi="Times New Roman" w:cs="Times New Roman"/>
          <w:sz w:val="24"/>
          <w:szCs w:val="24"/>
        </w:rPr>
        <w:t xml:space="preserve">rzepisy dotyczące </w:t>
      </w:r>
      <w:r w:rsidR="003203FB">
        <w:rPr>
          <w:rFonts w:ascii="Times New Roman" w:eastAsiaTheme="minorEastAsia" w:hAnsi="Times New Roman" w:cs="Times New Roman"/>
          <w:sz w:val="24"/>
          <w:szCs w:val="24"/>
        </w:rPr>
        <w:t xml:space="preserve">publikowania </w:t>
      </w:r>
      <w:r w:rsidR="003203FB" w:rsidRPr="003203FB">
        <w:rPr>
          <w:rFonts w:ascii="Times New Roman" w:eastAsiaTheme="minorEastAsia" w:hAnsi="Times New Roman" w:cs="Times New Roman"/>
          <w:sz w:val="24"/>
          <w:szCs w:val="24"/>
        </w:rPr>
        <w:t xml:space="preserve">informacji nie wyłączają obowiązków </w:t>
      </w:r>
      <w:r w:rsidR="003203FB">
        <w:rPr>
          <w:rFonts w:ascii="Times New Roman" w:eastAsiaTheme="minorEastAsia" w:hAnsi="Times New Roman" w:cs="Times New Roman"/>
          <w:sz w:val="24"/>
          <w:szCs w:val="24"/>
        </w:rPr>
        <w:t>informacyjnych z zakresu</w:t>
      </w:r>
      <w:r w:rsidR="003203FB" w:rsidRPr="003203FB">
        <w:rPr>
          <w:rFonts w:ascii="Times New Roman" w:eastAsiaTheme="minorEastAsia" w:hAnsi="Times New Roman" w:cs="Times New Roman"/>
          <w:sz w:val="24"/>
          <w:szCs w:val="24"/>
        </w:rPr>
        <w:t xml:space="preserve"> ochrony danych osobowych, w szczególności wynikających z RODO</w:t>
      </w:r>
      <w:r w:rsidR="003203FB">
        <w:rPr>
          <w:rFonts w:ascii="Times New Roman" w:eastAsiaTheme="minorEastAsia" w:hAnsi="Times New Roman" w:cs="Times New Roman"/>
          <w:sz w:val="24"/>
          <w:szCs w:val="24"/>
        </w:rPr>
        <w:t>.</w:t>
      </w:r>
    </w:p>
    <w:p w14:paraId="671B3749" w14:textId="26B26224" w:rsidR="00221330" w:rsidRPr="003A42FB" w:rsidRDefault="1BD900A0"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62036">
        <w:rPr>
          <w:rFonts w:ascii="Times New Roman" w:eastAsiaTheme="minorEastAsia" w:hAnsi="Times New Roman" w:cs="Times New Roman"/>
          <w:b/>
          <w:bCs/>
          <w:sz w:val="24"/>
          <w:szCs w:val="24"/>
        </w:rPr>
        <w:t>295</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13DF9E96" w:rsidRPr="003A42FB">
        <w:rPr>
          <w:rFonts w:ascii="Times New Roman" w:eastAsiaTheme="minorEastAsia" w:hAnsi="Times New Roman" w:cs="Times New Roman"/>
          <w:b/>
          <w:bCs/>
          <w:sz w:val="24"/>
          <w:szCs w:val="24"/>
        </w:rPr>
        <w:t>o</w:t>
      </w:r>
      <w:r w:rsidR="566EAACD" w:rsidRPr="003A42FB">
        <w:rPr>
          <w:rFonts w:ascii="Times New Roman" w:eastAsiaTheme="minorEastAsia" w:hAnsi="Times New Roman" w:cs="Times New Roman"/>
          <w:b/>
          <w:bCs/>
          <w:sz w:val="24"/>
          <w:szCs w:val="24"/>
        </w:rPr>
        <w:t>kres obowiązywania umowy</w:t>
      </w:r>
    </w:p>
    <w:p w14:paraId="79A5A09E" w14:textId="30319AA4" w:rsidR="00221330" w:rsidRPr="003A42FB" w:rsidRDefault="25F18C97"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 xml:space="preserve">Artykuł </w:t>
      </w:r>
      <w:r w:rsidR="00262036">
        <w:rPr>
          <w:rFonts w:ascii="Times New Roman" w:eastAsiaTheme="minorEastAsia" w:hAnsi="Times New Roman" w:cs="Times New Roman"/>
          <w:sz w:val="24"/>
          <w:szCs w:val="24"/>
        </w:rPr>
        <w:t>295</w:t>
      </w:r>
      <w:r w:rsidRPr="6BEADE18">
        <w:rPr>
          <w:rFonts w:ascii="Times New Roman" w:eastAsiaTheme="minorEastAsia" w:hAnsi="Times New Roman" w:cs="Times New Roman"/>
          <w:sz w:val="24"/>
          <w:szCs w:val="24"/>
        </w:rPr>
        <w:t xml:space="preserve"> w ust. 1 wskazuje maksymalny okres obowiązywania umowy zawieranej z konsumentem. </w:t>
      </w:r>
      <w:r w:rsidR="13095236" w:rsidRPr="6BEADE18">
        <w:rPr>
          <w:rFonts w:ascii="Times New Roman" w:eastAsiaTheme="minorEastAsia" w:hAnsi="Times New Roman" w:cs="Times New Roman"/>
          <w:sz w:val="24"/>
          <w:szCs w:val="24"/>
        </w:rPr>
        <w:t xml:space="preserve">Dotyczy to zarówno sytuacji, w których umowa została zawarta na czas określony, jak i umowy na czas nieokreślony z okresem promocji. Bez znaczenia pozostaje również kwestia czy jest to pierwsza czy kolejna umowa z tym samym dostawcą usług </w:t>
      </w:r>
      <w:r w:rsidR="13095236" w:rsidRPr="6BEADE18">
        <w:rPr>
          <w:rFonts w:ascii="Times New Roman" w:eastAsiaTheme="minorEastAsia" w:hAnsi="Times New Roman" w:cs="Times New Roman"/>
          <w:sz w:val="24"/>
          <w:szCs w:val="24"/>
        </w:rPr>
        <w:lastRenderedPageBreak/>
        <w:t xml:space="preserve">komunikacji elektronicznej. </w:t>
      </w:r>
      <w:r w:rsidRPr="6BEADE18">
        <w:rPr>
          <w:rFonts w:ascii="Times New Roman" w:eastAsiaTheme="minorEastAsia" w:hAnsi="Times New Roman" w:cs="Times New Roman"/>
          <w:sz w:val="24"/>
          <w:szCs w:val="24"/>
        </w:rPr>
        <w:t xml:space="preserve">Przepis ten stanowi implementację art. 105 ust. 1 EKŁE. Termin 24 miesięcy dotyczy usług telekomunikacyjnych innych niż usługi transmisji </w:t>
      </w:r>
      <w:r w:rsidR="785FCE3E" w:rsidRPr="6BEADE18">
        <w:rPr>
          <w:rFonts w:ascii="Times New Roman" w:eastAsiaTheme="minorEastAsia" w:hAnsi="Times New Roman" w:cs="Times New Roman"/>
          <w:sz w:val="24"/>
          <w:szCs w:val="24"/>
        </w:rPr>
        <w:t>na potrzeby</w:t>
      </w:r>
      <w:r w:rsidRPr="6BEADE18">
        <w:rPr>
          <w:rFonts w:ascii="Times New Roman" w:eastAsiaTheme="minorEastAsia" w:hAnsi="Times New Roman" w:cs="Times New Roman"/>
          <w:sz w:val="24"/>
          <w:szCs w:val="24"/>
        </w:rPr>
        <w:t xml:space="preserve"> </w:t>
      </w:r>
      <w:r w:rsidR="469B821D" w:rsidRPr="6BEADE18">
        <w:rPr>
          <w:rFonts w:ascii="Times New Roman" w:eastAsiaTheme="minorEastAsia" w:hAnsi="Times New Roman" w:cs="Times New Roman"/>
          <w:sz w:val="24"/>
          <w:szCs w:val="24"/>
        </w:rPr>
        <w:t>komunikacji</w:t>
      </w:r>
      <w:r w:rsidR="7FC7490B" w:rsidRPr="6BEADE18">
        <w:rPr>
          <w:rFonts w:ascii="Times New Roman" w:eastAsiaTheme="minorEastAsia" w:hAnsi="Times New Roman" w:cs="Times New Roman"/>
          <w:sz w:val="24"/>
          <w:szCs w:val="24"/>
        </w:rPr>
        <w:t xml:space="preserve"> M2M</w:t>
      </w:r>
      <w:r w:rsidRPr="6BEADE18">
        <w:rPr>
          <w:rFonts w:ascii="Times New Roman" w:eastAsiaTheme="minorEastAsia" w:hAnsi="Times New Roman" w:cs="Times New Roman"/>
          <w:sz w:val="24"/>
          <w:szCs w:val="24"/>
        </w:rPr>
        <w:t>. Uprawnienie w zakresie maksymalnego terminu obowiązywania umowy obejmuje również mikroprzedsiębiorców, małych przedsiębiorców w rozumieniu ustawy z dnia 6 marca 2018 r. Prawo przedsiębiorców oraz organizacje pozarządowe w rozumieniu art. 3 ust. 2 ustawy z dnia 24 kwietnia 2003 r. o działalności pożytku publicznego i o wolontariacie, chyba że podmioty te wyraźnie zgodziły się, aby przepisy nie miały w całości lub w części zastosowania do nich.</w:t>
      </w:r>
    </w:p>
    <w:p w14:paraId="63976A1B" w14:textId="000B1757"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w ust. 2 wskazano, że dostawca usług jest obowiązany do umożliwienia użytkownikowi końcowemu zawarcia umowy na okres nie dłuższy niż 12 miesięcy.</w:t>
      </w:r>
    </w:p>
    <w:p w14:paraId="42FA4164" w14:textId="7A0663FC" w:rsidR="00221330" w:rsidRPr="003A42FB" w:rsidRDefault="1E3B532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296</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a</w:t>
      </w:r>
      <w:r w:rsidR="566EAACD" w:rsidRPr="003A42FB">
        <w:rPr>
          <w:rFonts w:ascii="Times New Roman" w:eastAsiaTheme="minorEastAsia" w:hAnsi="Times New Roman" w:cs="Times New Roman"/>
          <w:b/>
          <w:bCs/>
          <w:sz w:val="24"/>
          <w:szCs w:val="24"/>
        </w:rPr>
        <w:t>utomatyczne przedłużanie umowy</w:t>
      </w:r>
    </w:p>
    <w:p w14:paraId="686DD436" w14:textId="7522EA7C" w:rsidR="00221330" w:rsidRPr="003A42FB" w:rsidRDefault="25F18C97"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 xml:space="preserve">Artykuł </w:t>
      </w:r>
      <w:r w:rsidR="00AD1DA0">
        <w:rPr>
          <w:rFonts w:ascii="Times New Roman" w:eastAsiaTheme="minorEastAsia" w:hAnsi="Times New Roman" w:cs="Times New Roman"/>
          <w:sz w:val="24"/>
          <w:szCs w:val="24"/>
        </w:rPr>
        <w:t>296</w:t>
      </w:r>
      <w:r w:rsidRPr="6BEADE18">
        <w:rPr>
          <w:rFonts w:ascii="Times New Roman" w:eastAsiaTheme="minorEastAsia" w:hAnsi="Times New Roman" w:cs="Times New Roman"/>
          <w:sz w:val="24"/>
          <w:szCs w:val="24"/>
        </w:rPr>
        <w:t xml:space="preserve"> reguluje zasady automatycznego przedłużania umów i stanowi implementację art. 105 ust. 3 EKŁE. Dotychczas kwestia ta nie była przedmiotem regulacji zarówno krajowej, jaki i unijnej. Przepisy z art. </w:t>
      </w:r>
      <w:r w:rsidR="00AD1DA0">
        <w:rPr>
          <w:rFonts w:ascii="Times New Roman" w:eastAsiaTheme="minorEastAsia" w:hAnsi="Times New Roman" w:cs="Times New Roman"/>
          <w:sz w:val="24"/>
          <w:szCs w:val="24"/>
        </w:rPr>
        <w:t>296</w:t>
      </w:r>
      <w:r w:rsidRPr="6BEADE18">
        <w:rPr>
          <w:rFonts w:ascii="Times New Roman" w:eastAsiaTheme="minorEastAsia" w:hAnsi="Times New Roman" w:cs="Times New Roman"/>
          <w:sz w:val="24"/>
          <w:szCs w:val="24"/>
        </w:rPr>
        <w:t xml:space="preserve"> dotyczą umów o świadczenie usług </w:t>
      </w:r>
      <w:r w:rsidR="13095236" w:rsidRPr="6BEADE18">
        <w:rPr>
          <w:rFonts w:ascii="Times New Roman" w:eastAsiaTheme="minorEastAsia" w:hAnsi="Times New Roman" w:cs="Times New Roman"/>
          <w:sz w:val="24"/>
          <w:szCs w:val="24"/>
        </w:rPr>
        <w:t xml:space="preserve">komunikacji elektronicznej w zakresie </w:t>
      </w:r>
      <w:r w:rsidRPr="6BEADE18">
        <w:rPr>
          <w:rFonts w:ascii="Times New Roman" w:eastAsiaTheme="minorEastAsia" w:hAnsi="Times New Roman" w:cs="Times New Roman"/>
          <w:sz w:val="24"/>
          <w:szCs w:val="24"/>
        </w:rPr>
        <w:t xml:space="preserve">usług telekomunikacyjnych innych niż usługi transmisji </w:t>
      </w:r>
      <w:r w:rsidR="002718AC" w:rsidRPr="6BEADE18">
        <w:rPr>
          <w:rFonts w:ascii="Times New Roman" w:eastAsiaTheme="minorEastAsia" w:hAnsi="Times New Roman" w:cs="Times New Roman"/>
          <w:sz w:val="24"/>
          <w:szCs w:val="24"/>
        </w:rPr>
        <w:t xml:space="preserve">na potrzeby </w:t>
      </w:r>
      <w:r w:rsidRPr="6BEADE18">
        <w:rPr>
          <w:rFonts w:ascii="Times New Roman" w:eastAsiaTheme="minorEastAsia" w:hAnsi="Times New Roman" w:cs="Times New Roman"/>
          <w:sz w:val="24"/>
          <w:szCs w:val="24"/>
        </w:rPr>
        <w:t>komunikacji</w:t>
      </w:r>
      <w:r w:rsidR="1CEAC76C" w:rsidRPr="6BEADE18">
        <w:rPr>
          <w:rFonts w:ascii="Times New Roman" w:eastAsiaTheme="minorEastAsia" w:hAnsi="Times New Roman" w:cs="Times New Roman"/>
          <w:sz w:val="24"/>
          <w:szCs w:val="24"/>
        </w:rPr>
        <w:t xml:space="preserve"> M2M</w:t>
      </w:r>
      <w:r w:rsidRPr="6BEADE18">
        <w:rPr>
          <w:rFonts w:ascii="Times New Roman" w:eastAsiaTheme="minorEastAsia" w:hAnsi="Times New Roman" w:cs="Times New Roman"/>
          <w:sz w:val="24"/>
          <w:szCs w:val="24"/>
        </w:rPr>
        <w:t>.</w:t>
      </w:r>
    </w:p>
    <w:p w14:paraId="643B5BDB" w14:textId="5F309996" w:rsidR="00221330" w:rsidRPr="003A42FB" w:rsidRDefault="29E338FA"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 xml:space="preserve">W ust. 1 uregulowane zostały zasady i termin wypowiedzenia automatycznie przedłużonej umowy. Użytkownik końcowy może wypowiedzieć taką umowę z zachowaniem miesięcznego okresu wypowiedzenia. W okresie wypowiedzenia abonent zobowiązany jest jedynie do ponoszenia opłat za świadczenie usług wynikających z umowy. Zastrzeżenie to ma chronić abonenta </w:t>
      </w:r>
      <w:r w:rsidR="39A6DFC1" w:rsidRPr="6BEADE18">
        <w:rPr>
          <w:rFonts w:ascii="Times New Roman" w:eastAsiaTheme="minorEastAsia" w:hAnsi="Times New Roman" w:cs="Times New Roman"/>
          <w:sz w:val="24"/>
          <w:szCs w:val="24"/>
        </w:rPr>
        <w:t xml:space="preserve">przed poniesieniem przez niego jakichkolwiek konsekwencji finansowych związanych z przedłużeniem umowy, takich jak </w:t>
      </w:r>
      <w:r w:rsidR="00AD1DA0">
        <w:rPr>
          <w:rFonts w:ascii="Times New Roman" w:eastAsiaTheme="minorEastAsia" w:hAnsi="Times New Roman" w:cs="Times New Roman"/>
          <w:sz w:val="24"/>
          <w:szCs w:val="24"/>
        </w:rPr>
        <w:t>odszkodowanie</w:t>
      </w:r>
      <w:r w:rsidR="1C342CD8" w:rsidRPr="6BEADE18">
        <w:rPr>
          <w:rFonts w:ascii="Times New Roman" w:eastAsiaTheme="minorEastAsia" w:hAnsi="Times New Roman" w:cs="Times New Roman"/>
          <w:sz w:val="24"/>
          <w:szCs w:val="24"/>
        </w:rPr>
        <w:t xml:space="preserve">, o którym mowa w art. </w:t>
      </w:r>
      <w:r w:rsidR="00AD1DA0">
        <w:rPr>
          <w:rFonts w:ascii="Times New Roman" w:eastAsiaTheme="minorEastAsia" w:hAnsi="Times New Roman" w:cs="Times New Roman"/>
          <w:sz w:val="24"/>
          <w:szCs w:val="24"/>
        </w:rPr>
        <w:t>298</w:t>
      </w:r>
      <w:r w:rsidR="54E62E03" w:rsidRPr="6BEADE18">
        <w:rPr>
          <w:rFonts w:ascii="Times New Roman" w:eastAsiaTheme="minorEastAsia" w:hAnsi="Times New Roman" w:cs="Times New Roman"/>
          <w:sz w:val="24"/>
          <w:szCs w:val="24"/>
        </w:rPr>
        <w:t xml:space="preserve"> ust. 1</w:t>
      </w:r>
      <w:r w:rsidR="1C342CD8" w:rsidRPr="6BEADE18">
        <w:rPr>
          <w:rFonts w:ascii="Times New Roman" w:eastAsiaTheme="minorEastAsia" w:hAnsi="Times New Roman" w:cs="Times New Roman"/>
          <w:sz w:val="24"/>
          <w:szCs w:val="24"/>
        </w:rPr>
        <w:t xml:space="preserve">. </w:t>
      </w:r>
    </w:p>
    <w:p w14:paraId="39DB5C1C" w14:textId="5596E62A"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Jednocześnie ust. 2 wprowadza ważny wymóg informacyjny wobec abonenta dotyczący zawiadomienia w sposób jasny i zrozumiały na trwałym nośniku, w terminie nie później niż 30 dni przed upływem okresu na jaki umowa została zawarta, o automatycznym przedłużeniu umowy, sposobach jej rozwiązania, a także najkorzystniejszych oferowanych pakietach taryfowych. Przepis ten ma za zadanie umożliwić abonentowi świadome podjęcie decyzji czy nadal chce korzystać z usług dotychczasowego dostawcy, a jeśli nie, to rozpocząć odpowiednio wcześnie działania zmierzające do rozwiązania umowy. </w:t>
      </w:r>
    </w:p>
    <w:p w14:paraId="336913D4" w14:textId="01127CFA" w:rsidR="00221330" w:rsidRPr="003A42FB" w:rsidRDefault="6914E62F"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Ust</w:t>
      </w:r>
      <w:r w:rsidR="0A59C1CC" w:rsidRPr="6BEADE18">
        <w:rPr>
          <w:rFonts w:ascii="Times New Roman" w:eastAsiaTheme="minorEastAsia" w:hAnsi="Times New Roman" w:cs="Times New Roman"/>
          <w:sz w:val="24"/>
          <w:szCs w:val="24"/>
        </w:rPr>
        <w:t xml:space="preserve">ęp </w:t>
      </w:r>
      <w:r w:rsidRPr="6BEADE18">
        <w:rPr>
          <w:rFonts w:ascii="Times New Roman" w:eastAsiaTheme="minorEastAsia" w:hAnsi="Times New Roman" w:cs="Times New Roman"/>
          <w:sz w:val="24"/>
          <w:szCs w:val="24"/>
        </w:rPr>
        <w:t>3 wprowadza nowy obowiązek dla dostawców usług telekomunikacyjnych</w:t>
      </w:r>
      <w:r w:rsidR="35956733" w:rsidRPr="6BEADE18">
        <w:rPr>
          <w:rFonts w:ascii="Times New Roman" w:eastAsiaTheme="minorEastAsia" w:hAnsi="Times New Roman" w:cs="Times New Roman"/>
          <w:sz w:val="24"/>
          <w:szCs w:val="24"/>
        </w:rPr>
        <w:t>,</w:t>
      </w:r>
      <w:r w:rsidRPr="6BEADE18">
        <w:rPr>
          <w:rFonts w:ascii="Times New Roman" w:eastAsiaTheme="minorEastAsia" w:hAnsi="Times New Roman" w:cs="Times New Roman"/>
          <w:sz w:val="24"/>
          <w:szCs w:val="24"/>
        </w:rPr>
        <w:t xml:space="preserve"> innych niż usługi transmisji </w:t>
      </w:r>
      <w:r w:rsidR="6C0CC796" w:rsidRPr="6BEADE18">
        <w:rPr>
          <w:rFonts w:ascii="Times New Roman" w:eastAsiaTheme="minorEastAsia" w:hAnsi="Times New Roman" w:cs="Times New Roman"/>
          <w:sz w:val="24"/>
          <w:szCs w:val="24"/>
        </w:rPr>
        <w:t>na potrzeby komunikacji M2M</w:t>
      </w:r>
      <w:r w:rsidR="3FDEBF1B" w:rsidRPr="6BEADE18">
        <w:rPr>
          <w:rFonts w:ascii="Times New Roman" w:eastAsiaTheme="minorEastAsia" w:hAnsi="Times New Roman" w:cs="Times New Roman"/>
          <w:sz w:val="24"/>
          <w:szCs w:val="24"/>
        </w:rPr>
        <w:t>,</w:t>
      </w:r>
      <w:r w:rsidRPr="6BEADE18">
        <w:rPr>
          <w:rFonts w:ascii="Times New Roman" w:eastAsiaTheme="minorEastAsia" w:hAnsi="Times New Roman" w:cs="Times New Roman"/>
          <w:sz w:val="24"/>
          <w:szCs w:val="24"/>
        </w:rPr>
        <w:t xml:space="preserve"> polegający na informowaniu abonentów, który</w:t>
      </w:r>
      <w:r w:rsidR="209D4CFF" w:rsidRPr="6BEADE18">
        <w:rPr>
          <w:rFonts w:ascii="Times New Roman" w:eastAsiaTheme="minorEastAsia" w:hAnsi="Times New Roman" w:cs="Times New Roman"/>
          <w:sz w:val="24"/>
          <w:szCs w:val="24"/>
        </w:rPr>
        <w:t>ch</w:t>
      </w:r>
      <w:r w:rsidRPr="6BEADE18">
        <w:rPr>
          <w:rFonts w:ascii="Times New Roman" w:eastAsiaTheme="minorEastAsia" w:hAnsi="Times New Roman" w:cs="Times New Roman"/>
          <w:sz w:val="24"/>
          <w:szCs w:val="24"/>
        </w:rPr>
        <w:t xml:space="preserve"> umowa o świadczenie usług komunikacji elektronicznej uległa automatycznemu przedłużeniu o najkorzystniejszych dla nich pakietach taryfowych. Przepis z art. </w:t>
      </w:r>
      <w:r w:rsidR="00AD1DA0">
        <w:rPr>
          <w:rFonts w:ascii="Times New Roman" w:eastAsiaTheme="minorEastAsia" w:hAnsi="Times New Roman" w:cs="Times New Roman"/>
          <w:sz w:val="24"/>
          <w:szCs w:val="24"/>
        </w:rPr>
        <w:t>296</w:t>
      </w:r>
      <w:r w:rsidRPr="6BEADE18">
        <w:rPr>
          <w:rFonts w:ascii="Times New Roman" w:eastAsiaTheme="minorEastAsia" w:hAnsi="Times New Roman" w:cs="Times New Roman"/>
          <w:sz w:val="24"/>
          <w:szCs w:val="24"/>
        </w:rPr>
        <w:t xml:space="preserve"> stanowi implementację art. 105 ust. 3 EKŁE.</w:t>
      </w:r>
    </w:p>
    <w:p w14:paraId="2E2D698C" w14:textId="3D513B04" w:rsidR="471FD3B7" w:rsidRPr="003A42FB" w:rsidRDefault="471FD3B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297</w:t>
      </w:r>
      <w:r w:rsidR="009507D8" w:rsidRPr="003A42FB">
        <w:rPr>
          <w:rFonts w:ascii="Times New Roman" w:eastAsiaTheme="minorEastAsia" w:hAnsi="Times New Roman" w:cs="Times New Roman"/>
          <w:b/>
          <w:bCs/>
          <w:sz w:val="24"/>
          <w:szCs w:val="24"/>
        </w:rPr>
        <w:t xml:space="preserve"> – połączenie z konsultantem</w:t>
      </w:r>
    </w:p>
    <w:p w14:paraId="0EF9D193" w14:textId="77777777" w:rsidR="00BD5A4D" w:rsidRPr="003A42FB" w:rsidRDefault="471FD3B7"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W celu uzyskania informacji dotyczących alternatywnych taryf, jeżeli są one dostępne, abonent ma możliwość uzyskania połączenia głosowego z konsultantem dostawcy usług.</w:t>
      </w:r>
    </w:p>
    <w:p w14:paraId="2C261F67" w14:textId="7051EB22" w:rsidR="00221330" w:rsidRPr="003A42FB" w:rsidRDefault="60C158A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298</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o</w:t>
      </w:r>
      <w:r w:rsidR="649FF41D" w:rsidRPr="003A42FB">
        <w:rPr>
          <w:rFonts w:ascii="Times New Roman" w:eastAsiaTheme="minorEastAsia" w:hAnsi="Times New Roman" w:cs="Times New Roman"/>
          <w:b/>
          <w:bCs/>
          <w:sz w:val="24"/>
          <w:szCs w:val="24"/>
        </w:rPr>
        <w:t xml:space="preserve">dszkodowanie </w:t>
      </w:r>
      <w:r w:rsidR="00814D38" w:rsidRPr="003A42FB">
        <w:rPr>
          <w:rFonts w:ascii="Times New Roman" w:eastAsiaTheme="minorEastAsia" w:hAnsi="Times New Roman" w:cs="Times New Roman"/>
          <w:b/>
          <w:bCs/>
          <w:sz w:val="24"/>
          <w:szCs w:val="24"/>
        </w:rPr>
        <w:t>w przypadku przedterminowego rozwiązania umowy</w:t>
      </w:r>
    </w:p>
    <w:p w14:paraId="3ECD5C45" w14:textId="75A76021" w:rsidR="00221330" w:rsidRPr="003A42FB" w:rsidRDefault="1C586B8F"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Artykuł </w:t>
      </w:r>
      <w:r w:rsidR="00AD1DA0">
        <w:rPr>
          <w:rFonts w:ascii="Times New Roman" w:eastAsia="Times New Roman" w:hAnsi="Times New Roman" w:cs="Times New Roman"/>
          <w:sz w:val="24"/>
          <w:szCs w:val="24"/>
        </w:rPr>
        <w:t>298</w:t>
      </w:r>
      <w:r w:rsidRPr="003A42FB">
        <w:rPr>
          <w:rFonts w:ascii="Times New Roman" w:eastAsia="Times New Roman" w:hAnsi="Times New Roman" w:cs="Times New Roman"/>
          <w:sz w:val="24"/>
          <w:szCs w:val="24"/>
        </w:rPr>
        <w:t xml:space="preserve"> dotyczy zakresu uprawnień dostawcy usług w przypadku wypowiedzenia umowy przed końcem okresu jej obowiązywania przez abonenta lub przez tego dostawcę z winy abonenta. W takiej sytuacji dostawca usług może dochodzić odszkodowa</w:t>
      </w:r>
      <w:r w:rsidR="5815375C" w:rsidRPr="003A42FB">
        <w:rPr>
          <w:rFonts w:ascii="Times New Roman" w:eastAsia="Times New Roman" w:hAnsi="Times New Roman" w:cs="Times New Roman"/>
          <w:sz w:val="24"/>
          <w:szCs w:val="24"/>
        </w:rPr>
        <w:t xml:space="preserve">nia na podstawie przepisów </w:t>
      </w:r>
      <w:r w:rsidR="43404BD5" w:rsidRPr="003A42FB">
        <w:rPr>
          <w:rFonts w:ascii="Times New Roman" w:eastAsia="Times New Roman" w:hAnsi="Times New Roman" w:cs="Times New Roman"/>
          <w:sz w:val="24"/>
          <w:szCs w:val="24"/>
        </w:rPr>
        <w:t>Pke</w:t>
      </w:r>
      <w:r w:rsidR="5815375C" w:rsidRPr="003A42FB">
        <w:rPr>
          <w:rFonts w:ascii="Times New Roman" w:eastAsia="Times New Roman" w:hAnsi="Times New Roman" w:cs="Times New Roman"/>
          <w:sz w:val="24"/>
          <w:szCs w:val="24"/>
        </w:rPr>
        <w:t>.</w:t>
      </w:r>
      <w:r w:rsidRPr="003A42FB">
        <w:rPr>
          <w:rFonts w:ascii="Times New Roman" w:eastAsia="Times New Roman" w:hAnsi="Times New Roman" w:cs="Times New Roman"/>
          <w:sz w:val="24"/>
          <w:szCs w:val="24"/>
        </w:rPr>
        <w:t xml:space="preserve"> Odszkodowanie nie przysługuje w przypadku wypowiedzenia przez konsumenta umowy przed rozpoczęciem </w:t>
      </w:r>
      <w:r w:rsidR="0091388F" w:rsidRPr="003A42FB">
        <w:rPr>
          <w:rFonts w:ascii="Times New Roman" w:eastAsia="Times New Roman" w:hAnsi="Times New Roman" w:cs="Times New Roman"/>
          <w:sz w:val="24"/>
          <w:szCs w:val="24"/>
        </w:rPr>
        <w:t xml:space="preserve">przyłączenia go do publicznej sieci telekomunikacyjnej, a w przypadku gdy przyłączenie nie jest wykonywane </w:t>
      </w:r>
      <w:r w:rsidRPr="003A42FB">
        <w:rPr>
          <w:rFonts w:ascii="Times New Roman" w:eastAsia="Times New Roman" w:hAnsi="Times New Roman" w:cs="Times New Roman"/>
          <w:sz w:val="24"/>
          <w:szCs w:val="24"/>
        </w:rPr>
        <w:t xml:space="preserve">przed rozpoczęciem świadczenia usług, chyba że przedmiotem roszczenia jest </w:t>
      </w:r>
      <w:r w:rsidR="004233FC" w:rsidRPr="003A42FB">
        <w:rPr>
          <w:rFonts w:ascii="Times New Roman" w:eastAsia="Times New Roman" w:hAnsi="Times New Roman" w:cs="Times New Roman"/>
          <w:sz w:val="24"/>
          <w:szCs w:val="24"/>
        </w:rPr>
        <w:t>promocyjne</w:t>
      </w:r>
      <w:r w:rsidRPr="003A42FB">
        <w:rPr>
          <w:rFonts w:ascii="Times New Roman" w:eastAsia="Times New Roman" w:hAnsi="Times New Roman" w:cs="Times New Roman"/>
          <w:sz w:val="24"/>
          <w:szCs w:val="24"/>
        </w:rPr>
        <w:t xml:space="preserve"> urządzenie końcowe</w:t>
      </w:r>
      <w:r w:rsidR="05B15DAF" w:rsidRPr="003A42FB">
        <w:rPr>
          <w:rFonts w:ascii="Times New Roman" w:eastAsia="Times New Roman" w:hAnsi="Times New Roman" w:cs="Times New Roman"/>
          <w:sz w:val="24"/>
          <w:szCs w:val="24"/>
        </w:rPr>
        <w:t xml:space="preserve"> oraz </w:t>
      </w:r>
      <w:r w:rsidR="05B15DAF" w:rsidRPr="003A42FB">
        <w:rPr>
          <w:rFonts w:ascii="Times New Roman" w:eastAsia="Times New Roman" w:hAnsi="Times New Roman" w:cs="Times New Roman"/>
          <w:sz w:val="24"/>
          <w:szCs w:val="24"/>
        </w:rPr>
        <w:lastRenderedPageBreak/>
        <w:t xml:space="preserve">w przypadku przeniesienia numeru </w:t>
      </w:r>
      <w:r w:rsidR="5F1CD795" w:rsidRPr="003A42FB">
        <w:rPr>
          <w:rFonts w:ascii="Times New Roman" w:eastAsia="Times New Roman" w:hAnsi="Times New Roman" w:cs="Times New Roman"/>
          <w:sz w:val="24"/>
          <w:szCs w:val="24"/>
        </w:rPr>
        <w:t xml:space="preserve">od </w:t>
      </w:r>
      <w:r w:rsidR="05B15DAF" w:rsidRPr="003A42FB">
        <w:rPr>
          <w:rFonts w:ascii="Times New Roman" w:eastAsia="Times New Roman" w:hAnsi="Times New Roman" w:cs="Times New Roman"/>
          <w:sz w:val="24"/>
          <w:szCs w:val="24"/>
        </w:rPr>
        <w:t>dostawcy usług</w:t>
      </w:r>
      <w:r w:rsidR="2C13820A" w:rsidRPr="003A42FB">
        <w:rPr>
          <w:rFonts w:ascii="Times New Roman" w:eastAsia="Times New Roman" w:hAnsi="Times New Roman" w:cs="Times New Roman"/>
          <w:sz w:val="24"/>
          <w:szCs w:val="24"/>
        </w:rPr>
        <w:t>, który przejął zobowiązania</w:t>
      </w:r>
      <w:r w:rsidR="449C2D43" w:rsidRPr="003A42FB">
        <w:rPr>
          <w:rFonts w:ascii="Times New Roman" w:eastAsia="Times New Roman" w:hAnsi="Times New Roman" w:cs="Times New Roman"/>
          <w:sz w:val="24"/>
          <w:szCs w:val="24"/>
        </w:rPr>
        <w:t xml:space="preserve"> dotychczasowego</w:t>
      </w:r>
      <w:r w:rsidR="7F2BDD79" w:rsidRPr="003A42FB">
        <w:rPr>
          <w:rFonts w:ascii="Times New Roman" w:eastAsia="Times New Roman" w:hAnsi="Times New Roman" w:cs="Times New Roman"/>
          <w:sz w:val="24"/>
          <w:szCs w:val="24"/>
        </w:rPr>
        <w:t xml:space="preserve"> dostawcy usług, który ogłosił upadłość</w:t>
      </w:r>
      <w:r w:rsidRPr="003A42FB">
        <w:rPr>
          <w:rFonts w:ascii="Times New Roman" w:eastAsia="Times New Roman" w:hAnsi="Times New Roman" w:cs="Times New Roman"/>
          <w:sz w:val="24"/>
          <w:szCs w:val="24"/>
        </w:rPr>
        <w:t xml:space="preserve">. </w:t>
      </w:r>
      <w:r w:rsidR="009F082A" w:rsidRPr="003A42FB">
        <w:rPr>
          <w:rFonts w:ascii="Times New Roman" w:eastAsia="Times New Roman" w:hAnsi="Times New Roman" w:cs="Times New Roman"/>
          <w:sz w:val="24"/>
          <w:szCs w:val="24"/>
        </w:rPr>
        <w:t>Przez promocyjne urządzenie końcowe należy rozumieć telekomunikacyjne urządzenie końcowe zakupione w ramach umowy o świadczenie usług komunikacji elektronicznej.</w:t>
      </w:r>
    </w:p>
    <w:p w14:paraId="2FE639B7" w14:textId="5A9E647F"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imes New Roman" w:hAnsi="Times New Roman" w:cs="Times New Roman"/>
          <w:sz w:val="24"/>
          <w:szCs w:val="24"/>
        </w:rPr>
        <w:t xml:space="preserve">W ust. </w:t>
      </w:r>
      <w:r w:rsidR="00A16CE6" w:rsidRPr="003A42FB">
        <w:rPr>
          <w:rFonts w:ascii="Times New Roman" w:eastAsia="Times New Roman" w:hAnsi="Times New Roman" w:cs="Times New Roman"/>
          <w:sz w:val="24"/>
          <w:szCs w:val="24"/>
        </w:rPr>
        <w:t>3</w:t>
      </w:r>
      <w:r w:rsidRPr="003A42FB">
        <w:rPr>
          <w:rFonts w:ascii="Times New Roman" w:eastAsia="Times New Roman" w:hAnsi="Times New Roman" w:cs="Times New Roman"/>
          <w:sz w:val="24"/>
          <w:szCs w:val="24"/>
        </w:rPr>
        <w:t xml:space="preserve"> wskazane zostało ograniczenie, co do wysokości odszkodowania jakie dostawca usług może mieć względem abonenta. Wysokość odszkodowania nie może przekroczyć:</w:t>
      </w:r>
    </w:p>
    <w:p w14:paraId="6C8ECE8B" w14:textId="07F857B9" w:rsidR="0091388F" w:rsidRPr="003A42FB" w:rsidRDefault="35E36E7E" w:rsidP="0001231E">
      <w:pPr>
        <w:spacing w:after="120" w:line="240" w:lineRule="auto"/>
        <w:jc w:val="both"/>
        <w:rPr>
          <w:rFonts w:ascii="Times New Roman" w:eastAsia="Times New Roman" w:hAnsi="Times New Roman" w:cs="Times New Roman"/>
          <w:sz w:val="24"/>
          <w:szCs w:val="24"/>
        </w:rPr>
      </w:pPr>
      <w:r w:rsidRPr="6BEADE18">
        <w:rPr>
          <w:rFonts w:ascii="Times New Roman" w:hAnsi="Times New Roman" w:cs="Times New Roman"/>
          <w:sz w:val="24"/>
          <w:szCs w:val="24"/>
        </w:rPr>
        <w:t xml:space="preserve">1) </w:t>
      </w:r>
      <w:r w:rsidR="3A3D9FF2" w:rsidRPr="6BEADE18">
        <w:rPr>
          <w:rFonts w:ascii="Times New Roman" w:eastAsia="Times New Roman" w:hAnsi="Times New Roman" w:cs="Times New Roman"/>
          <w:sz w:val="24"/>
          <w:szCs w:val="24"/>
        </w:rPr>
        <w:t xml:space="preserve">z tytułu usługi telekomunikacyjnej - połowy sumy części opłaty abonamentowej lub innej okresowej opłaty stanowiącej opłatę za tę usługę wskazanej w art. </w:t>
      </w:r>
      <w:r w:rsidR="00AD1DA0">
        <w:rPr>
          <w:rFonts w:ascii="Times New Roman" w:eastAsia="Times New Roman" w:hAnsi="Times New Roman" w:cs="Times New Roman"/>
          <w:sz w:val="24"/>
          <w:szCs w:val="24"/>
        </w:rPr>
        <w:t>282</w:t>
      </w:r>
      <w:r w:rsidR="3A3D9FF2" w:rsidRPr="6BEADE18">
        <w:rPr>
          <w:rFonts w:ascii="Times New Roman" w:eastAsia="Times New Roman" w:hAnsi="Times New Roman" w:cs="Times New Roman"/>
          <w:sz w:val="24"/>
          <w:szCs w:val="24"/>
        </w:rPr>
        <w:t xml:space="preserve"> ust. 1 pkt 6 lit a lub art. </w:t>
      </w:r>
      <w:r w:rsidR="00AD1DA0">
        <w:rPr>
          <w:rFonts w:ascii="Times New Roman" w:eastAsia="Times New Roman" w:hAnsi="Times New Roman" w:cs="Times New Roman"/>
          <w:sz w:val="24"/>
          <w:szCs w:val="24"/>
        </w:rPr>
        <w:t>288</w:t>
      </w:r>
      <w:r w:rsidR="3A3D9FF2" w:rsidRPr="6BEADE18">
        <w:rPr>
          <w:rFonts w:ascii="Times New Roman" w:eastAsia="Times New Roman" w:hAnsi="Times New Roman" w:cs="Times New Roman"/>
          <w:sz w:val="24"/>
          <w:szCs w:val="24"/>
        </w:rPr>
        <w:t xml:space="preserve"> ust. 1 pkt 3 lit a, które abonent powinien uiścić do czasu zakończenia obowiązywania umowy</w:t>
      </w:r>
      <w:r w:rsidR="73389948" w:rsidRPr="6BEADE18">
        <w:rPr>
          <w:rFonts w:ascii="Times New Roman" w:eastAsia="Times New Roman" w:hAnsi="Times New Roman" w:cs="Times New Roman"/>
          <w:sz w:val="24"/>
          <w:szCs w:val="24"/>
        </w:rPr>
        <w:t xml:space="preserve">; </w:t>
      </w:r>
    </w:p>
    <w:p w14:paraId="303D7AB6" w14:textId="7F1DB353" w:rsidR="0091388F" w:rsidRPr="003A42FB" w:rsidRDefault="0091388F" w:rsidP="0001231E">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2)</w:t>
      </w:r>
      <w:r w:rsidR="0001231E" w:rsidRPr="003A42FB">
        <w:rPr>
          <w:rFonts w:ascii="Times New Roman" w:eastAsia="Times New Roman" w:hAnsi="Times New Roman" w:cs="Times New Roman"/>
          <w:sz w:val="24"/>
          <w:szCs w:val="24"/>
        </w:rPr>
        <w:t xml:space="preserve"> </w:t>
      </w:r>
      <w:r w:rsidRPr="003A42FB">
        <w:rPr>
          <w:rFonts w:ascii="Times New Roman" w:eastAsia="Times New Roman" w:hAnsi="Times New Roman" w:cs="Times New Roman"/>
          <w:sz w:val="24"/>
          <w:szCs w:val="24"/>
        </w:rPr>
        <w:t xml:space="preserve">z tytułu promocyjnego urządzenia końcowego - sumy części opłaty abonamentowej lub innej okresowej opłaty stanowiącej opłatę za to urządzenie wskazanej w art. </w:t>
      </w:r>
      <w:r w:rsidR="00AD1DA0">
        <w:rPr>
          <w:rFonts w:ascii="Times New Roman" w:eastAsia="Times New Roman" w:hAnsi="Times New Roman" w:cs="Times New Roman"/>
          <w:sz w:val="24"/>
          <w:szCs w:val="24"/>
        </w:rPr>
        <w:t>282</w:t>
      </w:r>
      <w:r w:rsidRPr="003A42FB">
        <w:rPr>
          <w:rFonts w:ascii="Times New Roman" w:eastAsia="Times New Roman" w:hAnsi="Times New Roman" w:cs="Times New Roman"/>
          <w:sz w:val="24"/>
          <w:szCs w:val="24"/>
        </w:rPr>
        <w:t xml:space="preserve"> ust. 1 pkt 6 lit c lub art. </w:t>
      </w:r>
      <w:r w:rsidR="00AD1DA0">
        <w:rPr>
          <w:rFonts w:ascii="Times New Roman" w:eastAsia="Times New Roman" w:hAnsi="Times New Roman" w:cs="Times New Roman"/>
          <w:sz w:val="24"/>
          <w:szCs w:val="24"/>
        </w:rPr>
        <w:t>288</w:t>
      </w:r>
      <w:r w:rsidRPr="003A42FB">
        <w:rPr>
          <w:rFonts w:ascii="Times New Roman" w:eastAsia="Times New Roman" w:hAnsi="Times New Roman" w:cs="Times New Roman"/>
          <w:sz w:val="24"/>
          <w:szCs w:val="24"/>
        </w:rPr>
        <w:t xml:space="preserve"> ust. 1 pkt 3 lit c, które abonent powinien uiścić do czasu zakończenia obowiązywania umowy.</w:t>
      </w:r>
    </w:p>
    <w:p w14:paraId="01204E60" w14:textId="11E00A55" w:rsidR="00221330" w:rsidRPr="003A42FB" w:rsidRDefault="566EAACD"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Przykład:</w:t>
      </w:r>
    </w:p>
    <w:p w14:paraId="3AACFAF4" w14:textId="317576C2" w:rsidR="00221330" w:rsidRPr="003A42FB" w:rsidRDefault="35E36E7E" w:rsidP="00C53EAB">
      <w:pPr>
        <w:spacing w:after="120" w:line="240" w:lineRule="auto"/>
        <w:jc w:val="both"/>
        <w:rPr>
          <w:rFonts w:ascii="Times New Roman" w:eastAsia="Times New Roman" w:hAnsi="Times New Roman" w:cs="Times New Roman"/>
          <w:sz w:val="24"/>
          <w:szCs w:val="24"/>
        </w:rPr>
      </w:pPr>
      <w:r w:rsidRPr="6BEADE18">
        <w:rPr>
          <w:rFonts w:ascii="Times New Roman" w:eastAsia="Times New Roman" w:hAnsi="Times New Roman" w:cs="Times New Roman"/>
          <w:sz w:val="24"/>
          <w:szCs w:val="24"/>
        </w:rPr>
        <w:t>U</w:t>
      </w:r>
      <w:r w:rsidR="25F18C97" w:rsidRPr="6BEADE18">
        <w:rPr>
          <w:rFonts w:ascii="Times New Roman" w:eastAsia="Times New Roman" w:hAnsi="Times New Roman" w:cs="Times New Roman"/>
          <w:sz w:val="24"/>
          <w:szCs w:val="24"/>
        </w:rPr>
        <w:t xml:space="preserve">mowa została zawarta na 24 miesiące, </w:t>
      </w:r>
      <w:r w:rsidR="623C76B1" w:rsidRPr="6BEADE18">
        <w:rPr>
          <w:rFonts w:ascii="Times New Roman" w:eastAsia="Times New Roman" w:hAnsi="Times New Roman" w:cs="Times New Roman"/>
          <w:sz w:val="24"/>
          <w:szCs w:val="24"/>
        </w:rPr>
        <w:t xml:space="preserve">opłata abonamentowa </w:t>
      </w:r>
      <w:r w:rsidR="25F18C97" w:rsidRPr="6BEADE18">
        <w:rPr>
          <w:rFonts w:ascii="Times New Roman" w:eastAsia="Times New Roman" w:hAnsi="Times New Roman" w:cs="Times New Roman"/>
          <w:sz w:val="24"/>
          <w:szCs w:val="24"/>
        </w:rPr>
        <w:t>została określona przez dostawcę na kwotę 100 zł,</w:t>
      </w:r>
      <w:r w:rsidR="623C76B1" w:rsidRPr="6BEADE18">
        <w:rPr>
          <w:rFonts w:ascii="Times New Roman" w:eastAsia="Times New Roman" w:hAnsi="Times New Roman" w:cs="Times New Roman"/>
          <w:sz w:val="24"/>
          <w:szCs w:val="24"/>
        </w:rPr>
        <w:t xml:space="preserve"> z czego</w:t>
      </w:r>
      <w:r w:rsidR="3A3D9FF2" w:rsidRPr="6BEADE18">
        <w:rPr>
          <w:rFonts w:ascii="Times New Roman" w:eastAsia="Times New Roman" w:hAnsi="Times New Roman" w:cs="Times New Roman"/>
          <w:sz w:val="24"/>
          <w:szCs w:val="24"/>
        </w:rPr>
        <w:t xml:space="preserve"> 40 zł stanowi opłata za usługę, 10 zł </w:t>
      </w:r>
      <w:r w:rsidR="623C76B1" w:rsidRPr="6BEADE18">
        <w:rPr>
          <w:rFonts w:ascii="Times New Roman" w:eastAsia="Times New Roman" w:hAnsi="Times New Roman" w:cs="Times New Roman"/>
          <w:sz w:val="24"/>
          <w:szCs w:val="24"/>
        </w:rPr>
        <w:t xml:space="preserve">za </w:t>
      </w:r>
      <w:r w:rsidR="3A3D9FF2" w:rsidRPr="6BEADE18">
        <w:rPr>
          <w:rFonts w:ascii="Times New Roman" w:eastAsia="Times New Roman" w:hAnsi="Times New Roman" w:cs="Times New Roman"/>
          <w:sz w:val="24"/>
          <w:szCs w:val="24"/>
        </w:rPr>
        <w:t xml:space="preserve">przyłączenie i 50 zł </w:t>
      </w:r>
      <w:r w:rsidR="623C76B1" w:rsidRPr="6BEADE18">
        <w:rPr>
          <w:rFonts w:ascii="Times New Roman" w:eastAsia="Times New Roman" w:hAnsi="Times New Roman" w:cs="Times New Roman"/>
          <w:sz w:val="24"/>
          <w:szCs w:val="24"/>
        </w:rPr>
        <w:t xml:space="preserve">za </w:t>
      </w:r>
      <w:r w:rsidR="3A3D9FF2" w:rsidRPr="6BEADE18">
        <w:rPr>
          <w:rFonts w:ascii="Times New Roman" w:eastAsia="Times New Roman" w:hAnsi="Times New Roman" w:cs="Times New Roman"/>
          <w:sz w:val="24"/>
          <w:szCs w:val="24"/>
        </w:rPr>
        <w:t xml:space="preserve">promocyjne urządzenie końcowe. </w:t>
      </w:r>
      <w:r w:rsidR="25F18C97" w:rsidRPr="6BEADE18">
        <w:rPr>
          <w:rFonts w:ascii="Times New Roman" w:eastAsia="Times New Roman" w:hAnsi="Times New Roman" w:cs="Times New Roman"/>
          <w:sz w:val="24"/>
          <w:szCs w:val="24"/>
        </w:rPr>
        <w:t xml:space="preserve"> </w:t>
      </w:r>
    </w:p>
    <w:p w14:paraId="6F041A7D" w14:textId="7B2D190A"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Jeżeli abonent zdecyduje się rozwiązać umowę po upływie 14 miesięcy maksymalna wysokość roszczenia będzie obliczana w następujący sposób:</w:t>
      </w:r>
    </w:p>
    <w:p w14:paraId="562E7F88" w14:textId="6B71EFB2" w:rsidR="003A3E8F" w:rsidRPr="003A42FB" w:rsidRDefault="0091388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10 x [(½ x 40) + 50</w:t>
      </w:r>
      <w:r w:rsidR="002C3E5A" w:rsidRPr="003A42FB">
        <w:rPr>
          <w:rFonts w:ascii="Times New Roman" w:eastAsiaTheme="minorEastAsia" w:hAnsi="Times New Roman" w:cs="Times New Roman"/>
          <w:sz w:val="24"/>
          <w:szCs w:val="24"/>
        </w:rPr>
        <w:t>] = 700</w:t>
      </w:r>
      <w:r w:rsidR="003A3E8F" w:rsidRPr="003A42FB">
        <w:rPr>
          <w:rFonts w:ascii="Times New Roman" w:eastAsiaTheme="minorEastAsia" w:hAnsi="Times New Roman" w:cs="Times New Roman"/>
          <w:sz w:val="24"/>
          <w:szCs w:val="24"/>
        </w:rPr>
        <w:t xml:space="preserve"> zł</w:t>
      </w:r>
    </w:p>
    <w:p w14:paraId="7573C456" w14:textId="0259B0D8" w:rsidR="00ED571C" w:rsidRPr="003A42FB" w:rsidRDefault="1D8478C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299</w:t>
      </w:r>
      <w:r w:rsidR="00E248DB" w:rsidRPr="003A42FB">
        <w:rPr>
          <w:rFonts w:ascii="Times New Roman" w:eastAsiaTheme="minorEastAsia" w:hAnsi="Times New Roman" w:cs="Times New Roman"/>
          <w:b/>
          <w:bCs/>
          <w:sz w:val="24"/>
          <w:szCs w:val="24"/>
        </w:rPr>
        <w:t xml:space="preserve"> </w:t>
      </w:r>
      <w:r w:rsidR="071F1F7F" w:rsidRPr="003A42FB">
        <w:rPr>
          <w:rFonts w:ascii="Times New Roman" w:eastAsiaTheme="minorEastAsia" w:hAnsi="Times New Roman" w:cs="Times New Roman"/>
          <w:b/>
          <w:bCs/>
          <w:sz w:val="24"/>
          <w:szCs w:val="24"/>
        </w:rPr>
        <w:t>- o</w:t>
      </w:r>
      <w:r w:rsidR="00ED571C" w:rsidRPr="003A42FB">
        <w:rPr>
          <w:rFonts w:ascii="Times New Roman" w:eastAsiaTheme="minorEastAsia" w:hAnsi="Times New Roman" w:cs="Times New Roman"/>
          <w:b/>
          <w:bCs/>
          <w:sz w:val="24"/>
          <w:szCs w:val="24"/>
        </w:rPr>
        <w:t>ferty wiązane</w:t>
      </w:r>
    </w:p>
    <w:p w14:paraId="7540121F" w14:textId="6C7D80AA" w:rsidR="00ED571C" w:rsidRPr="003A42FB" w:rsidRDefault="511D604D"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 xml:space="preserve">Artykuł </w:t>
      </w:r>
      <w:r w:rsidR="00AD1DA0">
        <w:rPr>
          <w:rFonts w:ascii="Times New Roman" w:eastAsiaTheme="minorEastAsia" w:hAnsi="Times New Roman" w:cs="Times New Roman"/>
          <w:sz w:val="24"/>
          <w:szCs w:val="24"/>
        </w:rPr>
        <w:t>299</w:t>
      </w:r>
      <w:r w:rsidRPr="6BEADE18">
        <w:rPr>
          <w:rFonts w:ascii="Times New Roman" w:eastAsiaTheme="minorEastAsia" w:hAnsi="Times New Roman" w:cs="Times New Roman"/>
          <w:sz w:val="24"/>
          <w:szCs w:val="24"/>
        </w:rPr>
        <w:t xml:space="preserve"> dotyczy kwestii dotąd nieregulowanych</w:t>
      </w:r>
      <w:r w:rsidR="2A2F6C4B" w:rsidRPr="6BEADE18">
        <w:rPr>
          <w:rFonts w:ascii="Times New Roman" w:eastAsiaTheme="minorEastAsia" w:hAnsi="Times New Roman" w:cs="Times New Roman"/>
          <w:sz w:val="24"/>
          <w:szCs w:val="24"/>
        </w:rPr>
        <w:t xml:space="preserve"> w Pt</w:t>
      </w:r>
      <w:r w:rsidRPr="6BEADE18">
        <w:rPr>
          <w:rFonts w:ascii="Times New Roman" w:eastAsiaTheme="minorEastAsia" w:hAnsi="Times New Roman" w:cs="Times New Roman"/>
          <w:sz w:val="24"/>
          <w:szCs w:val="24"/>
        </w:rPr>
        <w:t xml:space="preserve">, obejmujących świadczenie usług w ramach ofert wiązanych tzw. ofert pakietowych. Przepisy z art. </w:t>
      </w:r>
      <w:r w:rsidR="00AD1DA0">
        <w:rPr>
          <w:rFonts w:ascii="Times New Roman" w:eastAsiaTheme="minorEastAsia" w:hAnsi="Times New Roman" w:cs="Times New Roman"/>
          <w:sz w:val="24"/>
          <w:szCs w:val="24"/>
        </w:rPr>
        <w:t>299</w:t>
      </w:r>
      <w:r w:rsidRPr="6BEADE18">
        <w:rPr>
          <w:rFonts w:ascii="Times New Roman" w:eastAsiaTheme="minorEastAsia" w:hAnsi="Times New Roman" w:cs="Times New Roman"/>
          <w:sz w:val="24"/>
          <w:szCs w:val="24"/>
        </w:rPr>
        <w:t xml:space="preserve"> stanowią implementację art. 107 EKŁE. Należy podkreślić, że projektowane przepisy regulują wyłącznie te oferty pakietowe, które obejmują co najmniej usługę dostępu do internetu lub publicznie dostępną usługę komunikacji interpersonalnej wykorzystującą numery. Umowa może obejmować poza powyżej wskazanymi usługami inne usługi komunikacji elektronicznej</w:t>
      </w:r>
      <w:r w:rsidR="6D2242CE" w:rsidRPr="6BEADE18">
        <w:rPr>
          <w:rFonts w:ascii="Times New Roman" w:eastAsiaTheme="minorEastAsia" w:hAnsi="Times New Roman" w:cs="Times New Roman"/>
          <w:sz w:val="24"/>
          <w:szCs w:val="24"/>
        </w:rPr>
        <w:t xml:space="preserve"> (np.</w:t>
      </w:r>
      <w:r w:rsidR="7E6F0C35" w:rsidRPr="6BEADE18">
        <w:rPr>
          <w:rFonts w:ascii="Times New Roman" w:eastAsiaTheme="minorEastAsia" w:hAnsi="Times New Roman" w:cs="Times New Roman"/>
          <w:sz w:val="24"/>
          <w:szCs w:val="24"/>
        </w:rPr>
        <w:t xml:space="preserve"> </w:t>
      </w:r>
      <w:r w:rsidRPr="6BEADE18">
        <w:rPr>
          <w:rFonts w:ascii="Times New Roman" w:eastAsiaTheme="minorEastAsia" w:hAnsi="Times New Roman" w:cs="Times New Roman"/>
          <w:sz w:val="24"/>
          <w:szCs w:val="24"/>
        </w:rPr>
        <w:t>linearne usługi medialne</w:t>
      </w:r>
      <w:r w:rsidR="6D2242CE" w:rsidRPr="6BEADE18">
        <w:rPr>
          <w:rFonts w:ascii="Times New Roman" w:eastAsiaTheme="minorEastAsia" w:hAnsi="Times New Roman" w:cs="Times New Roman"/>
          <w:sz w:val="24"/>
          <w:szCs w:val="24"/>
        </w:rPr>
        <w:t>)</w:t>
      </w:r>
      <w:r w:rsidRPr="6BEADE18">
        <w:rPr>
          <w:rFonts w:ascii="Times New Roman" w:eastAsiaTheme="minorEastAsia" w:hAnsi="Times New Roman" w:cs="Times New Roman"/>
          <w:sz w:val="24"/>
          <w:szCs w:val="24"/>
        </w:rPr>
        <w:t xml:space="preserve"> lub </w:t>
      </w:r>
      <w:r w:rsidR="2483A3EC" w:rsidRPr="6BEADE18">
        <w:rPr>
          <w:rFonts w:ascii="Times New Roman" w:eastAsiaTheme="minorEastAsia" w:hAnsi="Times New Roman" w:cs="Times New Roman"/>
          <w:sz w:val="24"/>
          <w:szCs w:val="24"/>
        </w:rPr>
        <w:t xml:space="preserve">promocyjne </w:t>
      </w:r>
      <w:r w:rsidRPr="6BEADE18">
        <w:rPr>
          <w:rFonts w:ascii="Times New Roman" w:eastAsiaTheme="minorEastAsia" w:hAnsi="Times New Roman" w:cs="Times New Roman"/>
          <w:sz w:val="24"/>
          <w:szCs w:val="24"/>
        </w:rPr>
        <w:t>urządzenie końcowe. Przedmiotowa regulacja obejmuje świadczenie usług w oparciu o oferty wiązane użytkownikom końcowym będącym konsumentami. Zakres obowiązków dostawcy usług i uprawnień konsumenta został określony poprzez odwołanie do przepisów dotyczących</w:t>
      </w:r>
      <w:r w:rsidR="6D2242CE" w:rsidRPr="6BEADE18">
        <w:rPr>
          <w:rFonts w:ascii="Times New Roman" w:eastAsiaTheme="minorEastAsia" w:hAnsi="Times New Roman" w:cs="Times New Roman"/>
          <w:sz w:val="24"/>
          <w:szCs w:val="24"/>
        </w:rPr>
        <w:t>:</w:t>
      </w:r>
      <w:r w:rsidRPr="6BEADE18">
        <w:rPr>
          <w:rFonts w:ascii="Times New Roman" w:eastAsiaTheme="minorEastAsia" w:hAnsi="Times New Roman" w:cs="Times New Roman"/>
          <w:sz w:val="24"/>
          <w:szCs w:val="24"/>
        </w:rPr>
        <w:t xml:space="preserve"> doręczania </w:t>
      </w:r>
      <w:r w:rsidR="6D2242CE" w:rsidRPr="6BEADE18">
        <w:rPr>
          <w:rFonts w:ascii="Times New Roman" w:eastAsiaTheme="minorEastAsia" w:hAnsi="Times New Roman" w:cs="Times New Roman"/>
          <w:sz w:val="24"/>
          <w:szCs w:val="24"/>
        </w:rPr>
        <w:t>zwięzłego</w:t>
      </w:r>
      <w:r w:rsidRPr="6BEADE18">
        <w:rPr>
          <w:rFonts w:ascii="Times New Roman" w:eastAsiaTheme="minorEastAsia" w:hAnsi="Times New Roman" w:cs="Times New Roman"/>
          <w:sz w:val="24"/>
          <w:szCs w:val="24"/>
        </w:rPr>
        <w:t xml:space="preserve"> podsumowania warunków umowy, </w:t>
      </w:r>
      <w:r w:rsidR="37B2F25E" w:rsidRPr="6BEADE18">
        <w:rPr>
          <w:rFonts w:ascii="Times New Roman" w:eastAsiaTheme="minorEastAsia" w:hAnsi="Times New Roman" w:cs="Times New Roman"/>
          <w:sz w:val="24"/>
          <w:szCs w:val="24"/>
        </w:rPr>
        <w:t xml:space="preserve">publikowania informacji na temat oferowanych usług, </w:t>
      </w:r>
      <w:r w:rsidRPr="6BEADE18">
        <w:rPr>
          <w:rFonts w:ascii="Times New Roman" w:eastAsiaTheme="minorEastAsia" w:hAnsi="Times New Roman" w:cs="Times New Roman"/>
          <w:sz w:val="24"/>
          <w:szCs w:val="24"/>
        </w:rPr>
        <w:t>maksymalnego okresu obowiązywania umowy</w:t>
      </w:r>
      <w:r w:rsidR="37B2F25E" w:rsidRPr="6BEADE18">
        <w:rPr>
          <w:rFonts w:ascii="Times New Roman" w:eastAsiaTheme="minorEastAsia" w:hAnsi="Times New Roman" w:cs="Times New Roman"/>
          <w:sz w:val="24"/>
          <w:szCs w:val="24"/>
        </w:rPr>
        <w:t>, automatycznego przedłużania umowy,</w:t>
      </w:r>
      <w:r w:rsidR="35E36E7E" w:rsidRPr="6BEADE18">
        <w:rPr>
          <w:rFonts w:ascii="Times New Roman" w:eastAsiaTheme="minorEastAsia" w:hAnsi="Times New Roman" w:cs="Times New Roman"/>
          <w:sz w:val="24"/>
          <w:szCs w:val="24"/>
        </w:rPr>
        <w:t xml:space="preserve"> </w:t>
      </w:r>
      <w:r w:rsidRPr="6BEADE18">
        <w:rPr>
          <w:rFonts w:ascii="Times New Roman" w:eastAsiaTheme="minorEastAsia" w:hAnsi="Times New Roman" w:cs="Times New Roman"/>
          <w:sz w:val="24"/>
          <w:szCs w:val="24"/>
        </w:rPr>
        <w:t xml:space="preserve">zmiany </w:t>
      </w:r>
      <w:r w:rsidR="37B2F25E" w:rsidRPr="6BEADE18">
        <w:rPr>
          <w:rFonts w:ascii="Times New Roman" w:eastAsiaTheme="minorEastAsia" w:hAnsi="Times New Roman" w:cs="Times New Roman"/>
          <w:sz w:val="24"/>
          <w:szCs w:val="24"/>
        </w:rPr>
        <w:t xml:space="preserve">umowy, </w:t>
      </w:r>
      <w:r w:rsidRPr="6BEADE18">
        <w:rPr>
          <w:rFonts w:ascii="Times New Roman" w:eastAsiaTheme="minorEastAsia" w:hAnsi="Times New Roman" w:cs="Times New Roman"/>
          <w:sz w:val="24"/>
          <w:szCs w:val="24"/>
        </w:rPr>
        <w:t>zmiany dostawcy usługi dostępu do internetu</w:t>
      </w:r>
      <w:r w:rsidR="37B2F25E" w:rsidRPr="6BEADE18">
        <w:rPr>
          <w:rFonts w:ascii="Times New Roman" w:eastAsiaTheme="minorEastAsia" w:hAnsi="Times New Roman" w:cs="Times New Roman"/>
          <w:sz w:val="24"/>
          <w:szCs w:val="24"/>
        </w:rPr>
        <w:t xml:space="preserve"> i występowania stałych i znaczących rozbieżności między umową a wykonaniem usługi</w:t>
      </w:r>
      <w:r w:rsidRPr="6BEADE18">
        <w:rPr>
          <w:rFonts w:ascii="Times New Roman" w:eastAsiaTheme="minorEastAsia" w:hAnsi="Times New Roman" w:cs="Times New Roman"/>
          <w:sz w:val="24"/>
          <w:szCs w:val="24"/>
        </w:rPr>
        <w:t xml:space="preserve">. Wskazane przepisy mają zastosowanie do wszystkich usług objętych umową. W przypadku, gdy abonent ma prawo do wypowiedzenia umowy </w:t>
      </w:r>
      <w:r w:rsidR="37B2F25E" w:rsidRPr="6BEADE18">
        <w:rPr>
          <w:rFonts w:ascii="Times New Roman" w:eastAsiaTheme="minorEastAsia" w:hAnsi="Times New Roman" w:cs="Times New Roman"/>
          <w:sz w:val="24"/>
          <w:szCs w:val="24"/>
        </w:rPr>
        <w:t xml:space="preserve">z uwagi na jej niewykonanie lub nienależyte wykonanie </w:t>
      </w:r>
      <w:r w:rsidRPr="6BEADE18">
        <w:rPr>
          <w:rFonts w:ascii="Times New Roman" w:eastAsiaTheme="minorEastAsia" w:hAnsi="Times New Roman" w:cs="Times New Roman"/>
          <w:sz w:val="24"/>
          <w:szCs w:val="24"/>
        </w:rPr>
        <w:t>w odniesieniu do którejkolwiek usługi wchodzących w skład pakietu, ma on również prawo do wypowiedzenia umowy w odniesieniu do wszystkich elementów pakietu.</w:t>
      </w:r>
    </w:p>
    <w:p w14:paraId="36042B45" w14:textId="346B00DC" w:rsidR="00ED571C" w:rsidRPr="003A42FB" w:rsidRDefault="00ED571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3 projektowane przepisy zawierają zastrzeżenie, że złożenie zamówienia na dodatkowe usługi lub </w:t>
      </w:r>
      <w:r w:rsidR="00A30947" w:rsidRPr="003A42FB">
        <w:rPr>
          <w:rFonts w:ascii="Times New Roman" w:eastAsiaTheme="minorEastAsia" w:hAnsi="Times New Roman" w:cs="Times New Roman"/>
          <w:sz w:val="24"/>
          <w:szCs w:val="24"/>
        </w:rPr>
        <w:t>promocyjne urządzenie końcowe</w:t>
      </w:r>
      <w:r w:rsidRPr="003A42FB">
        <w:rPr>
          <w:rFonts w:ascii="Times New Roman" w:eastAsiaTheme="minorEastAsia" w:hAnsi="Times New Roman" w:cs="Times New Roman"/>
          <w:sz w:val="24"/>
          <w:szCs w:val="24"/>
        </w:rPr>
        <w:t>, co do zasady, nie może powodować wydłużenia pierwotnego okresu obowiązywania umowy, chyba że konsument wyrazi na to zgodę.</w:t>
      </w:r>
    </w:p>
    <w:p w14:paraId="58FCC138" w14:textId="080CBFEF" w:rsidR="00ED571C" w:rsidRPr="003A42FB" w:rsidRDefault="00ED571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z ust. 1 i 2 mają zastosowanie również do użytkowników końcowych będących mikroprzedsiębiorcami, małymi przedsiębiorcami lub organizacjami pozarządowymi w </w:t>
      </w:r>
      <w:r w:rsidRPr="003A42FB">
        <w:rPr>
          <w:rFonts w:ascii="Times New Roman" w:eastAsiaTheme="minorEastAsia" w:hAnsi="Times New Roman" w:cs="Times New Roman"/>
          <w:sz w:val="24"/>
          <w:szCs w:val="24"/>
        </w:rPr>
        <w:lastRenderedPageBreak/>
        <w:t>rozumieniu art. 3 ust. 2 ustawy z dnia 24 kwietnia 2003 r. o działalności pożytku publicznego i o wolontariacie, chyba że wyraźnie zgodzili się</w:t>
      </w:r>
      <w:r w:rsidR="6AE94F11"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aby te przepisy nie miały do nich zastosowania.</w:t>
      </w:r>
    </w:p>
    <w:p w14:paraId="3A949ADB" w14:textId="25BDDE3D" w:rsidR="00221330" w:rsidRPr="003A42FB" w:rsidRDefault="00DA66D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300</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025FB616" w:rsidRPr="003A42FB">
        <w:rPr>
          <w:rFonts w:ascii="Times New Roman" w:eastAsiaTheme="minorEastAsia" w:hAnsi="Times New Roman" w:cs="Times New Roman"/>
          <w:b/>
          <w:bCs/>
          <w:sz w:val="24"/>
          <w:szCs w:val="24"/>
        </w:rPr>
        <w:t>z</w:t>
      </w:r>
      <w:r w:rsidR="566EAACD" w:rsidRPr="003A42FB">
        <w:rPr>
          <w:rFonts w:ascii="Times New Roman" w:eastAsiaTheme="minorEastAsia" w:hAnsi="Times New Roman" w:cs="Times New Roman"/>
          <w:b/>
          <w:bCs/>
          <w:sz w:val="24"/>
          <w:szCs w:val="24"/>
        </w:rPr>
        <w:t>miana warunków umowy</w:t>
      </w:r>
      <w:r w:rsidR="00C25310" w:rsidRPr="003A42FB">
        <w:rPr>
          <w:rFonts w:ascii="Times New Roman" w:eastAsiaTheme="minorEastAsia" w:hAnsi="Times New Roman" w:cs="Times New Roman"/>
          <w:b/>
          <w:bCs/>
          <w:sz w:val="24"/>
          <w:szCs w:val="24"/>
        </w:rPr>
        <w:t xml:space="preserve"> wynikająca z przepisów prawa</w:t>
      </w:r>
    </w:p>
    <w:p w14:paraId="31D1F883" w14:textId="000393F8"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AD1DA0">
        <w:rPr>
          <w:rFonts w:ascii="Times New Roman" w:eastAsiaTheme="minorEastAsia" w:hAnsi="Times New Roman" w:cs="Times New Roman"/>
          <w:sz w:val="24"/>
          <w:szCs w:val="24"/>
        </w:rPr>
        <w:t>300</w:t>
      </w:r>
      <w:r w:rsidRPr="003A42FB">
        <w:rPr>
          <w:rFonts w:ascii="Times New Roman" w:eastAsiaTheme="minorEastAsia" w:hAnsi="Times New Roman" w:cs="Times New Roman"/>
          <w:sz w:val="24"/>
          <w:szCs w:val="24"/>
        </w:rPr>
        <w:t xml:space="preserve"> reguluje zasady i sposób informowania abonentów o</w:t>
      </w:r>
      <w:r w:rsidR="6A8FD90E" w:rsidRPr="003A42FB">
        <w:rPr>
          <w:rFonts w:ascii="Times New Roman" w:eastAsiaTheme="minorEastAsia" w:hAnsi="Times New Roman" w:cs="Times New Roman"/>
          <w:sz w:val="24"/>
          <w:szCs w:val="24"/>
        </w:rPr>
        <w:t xml:space="preserve"> dokonanych przez dostawcę publ</w:t>
      </w:r>
      <w:r w:rsidR="7C04D1B4" w:rsidRPr="003A42FB">
        <w:rPr>
          <w:rFonts w:ascii="Times New Roman" w:eastAsiaTheme="minorEastAsia" w:hAnsi="Times New Roman" w:cs="Times New Roman"/>
          <w:sz w:val="24"/>
          <w:szCs w:val="24"/>
        </w:rPr>
        <w:t xml:space="preserve">icznie dostępnych </w:t>
      </w:r>
      <w:r w:rsidR="6A8FD90E" w:rsidRPr="003A42FB">
        <w:rPr>
          <w:rFonts w:ascii="Times New Roman" w:eastAsiaTheme="minorEastAsia" w:hAnsi="Times New Roman" w:cs="Times New Roman"/>
          <w:sz w:val="24"/>
          <w:szCs w:val="24"/>
        </w:rPr>
        <w:t>usług komunikacji elektronicznej</w:t>
      </w:r>
      <w:r w:rsidR="007E5DAF" w:rsidRPr="003A42FB">
        <w:rPr>
          <w:rFonts w:ascii="Times New Roman" w:eastAsiaTheme="minorEastAsia" w:hAnsi="Times New Roman" w:cs="Times New Roman"/>
          <w:sz w:val="24"/>
          <w:szCs w:val="24"/>
        </w:rPr>
        <w:t xml:space="preserve"> jednostronnych</w:t>
      </w:r>
      <w:r w:rsidRPr="003A42FB">
        <w:rPr>
          <w:rFonts w:ascii="Times New Roman" w:eastAsiaTheme="minorEastAsia" w:hAnsi="Times New Roman" w:cs="Times New Roman"/>
          <w:sz w:val="24"/>
          <w:szCs w:val="24"/>
        </w:rPr>
        <w:t xml:space="preserve"> zmianach warunków umów o świadczenie usług komunikacji elektronicznej oraz uprawnienia abonentów w przypadku braku akceptacji wprowadzanych zmian. </w:t>
      </w:r>
      <w:r w:rsidR="06CD7466" w:rsidRPr="003A42FB">
        <w:rPr>
          <w:rFonts w:ascii="Times New Roman" w:eastAsiaTheme="minorEastAsia" w:hAnsi="Times New Roman" w:cs="Times New Roman"/>
          <w:sz w:val="24"/>
          <w:szCs w:val="24"/>
        </w:rPr>
        <w:t>Projektowane przepisy stanowią implementację art. 105 ust. 4 EKŁE</w:t>
      </w:r>
      <w:r w:rsidR="0D4EDB71" w:rsidRPr="003A42FB">
        <w:rPr>
          <w:rFonts w:ascii="Times New Roman" w:eastAsiaTheme="minorEastAsia" w:hAnsi="Times New Roman" w:cs="Times New Roman"/>
          <w:sz w:val="24"/>
          <w:szCs w:val="24"/>
        </w:rPr>
        <w:t>.</w:t>
      </w:r>
    </w:p>
    <w:p w14:paraId="4387A49A" w14:textId="24504159"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w:t>
      </w:r>
      <w:r w:rsidR="0A87C5F5" w:rsidRPr="003A42FB">
        <w:rPr>
          <w:rFonts w:ascii="Times New Roman" w:eastAsiaTheme="minorEastAsia" w:hAnsi="Times New Roman" w:cs="Times New Roman"/>
          <w:sz w:val="24"/>
          <w:szCs w:val="24"/>
        </w:rPr>
        <w:t>ęp</w:t>
      </w:r>
      <w:r w:rsidRPr="003A42FB">
        <w:rPr>
          <w:rFonts w:ascii="Times New Roman" w:eastAsiaTheme="minorEastAsia" w:hAnsi="Times New Roman" w:cs="Times New Roman"/>
          <w:sz w:val="24"/>
          <w:szCs w:val="24"/>
        </w:rPr>
        <w:t xml:space="preserve"> </w:t>
      </w:r>
      <w:r w:rsidR="1ECA9CD7"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wskazuje okoliczności, w których abonent może wypowiedzieć umowę licząc się z konsekwencjami zapłaty odszkodowania za przedterminowe rozwiązanie umowy.  Należą do nich </w:t>
      </w:r>
      <w:r w:rsidR="62E96733" w:rsidRPr="003A42FB">
        <w:rPr>
          <w:rFonts w:ascii="Times New Roman" w:eastAsiaTheme="minorEastAsia" w:hAnsi="Times New Roman" w:cs="Times New Roman"/>
          <w:sz w:val="24"/>
          <w:szCs w:val="24"/>
        </w:rPr>
        <w:t xml:space="preserve">przypadki </w:t>
      </w:r>
      <w:r w:rsidRPr="003A42FB">
        <w:rPr>
          <w:rFonts w:ascii="Times New Roman" w:eastAsiaTheme="minorEastAsia" w:hAnsi="Times New Roman" w:cs="Times New Roman"/>
          <w:sz w:val="24"/>
          <w:szCs w:val="24"/>
        </w:rPr>
        <w:t>zmian</w:t>
      </w:r>
      <w:r w:rsidR="2F24D80A" w:rsidRPr="003A42FB">
        <w:rPr>
          <w:rFonts w:ascii="Times New Roman" w:eastAsiaTheme="minorEastAsia" w:hAnsi="Times New Roman" w:cs="Times New Roman"/>
          <w:sz w:val="24"/>
          <w:szCs w:val="24"/>
        </w:rPr>
        <w:t xml:space="preserve"> </w:t>
      </w:r>
      <w:r w:rsidR="50C4B36E" w:rsidRPr="003A42FB">
        <w:rPr>
          <w:rFonts w:ascii="Times New Roman" w:eastAsiaTheme="minorEastAsia" w:hAnsi="Times New Roman" w:cs="Times New Roman"/>
          <w:sz w:val="24"/>
          <w:szCs w:val="24"/>
        </w:rPr>
        <w:t>warunków umowy</w:t>
      </w:r>
      <w:r w:rsidR="6A9406A3"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które nie są wynikiem decyzji dostawcy usług – konieczność wprowadzenia zmian wynika bezpośrednio ze zmiany przepisów prawa, w szczególności ze zmiany stawek podatku od towarów i usług lub decyzji Prezesa UKE lub zaproponowane zmiany są wyłącznie na korzyść użytkowników końcowych lub mają charakter wyłącznie administracyjny, nie powodując negatywnych skutków dla abonentów. O zmianach dostawca usług informuje</w:t>
      </w:r>
      <w:r w:rsidR="457AD59C" w:rsidRPr="003A42FB">
        <w:rPr>
          <w:rFonts w:ascii="Times New Roman" w:eastAsiaTheme="minorEastAsia" w:hAnsi="Times New Roman" w:cs="Times New Roman"/>
          <w:sz w:val="24"/>
          <w:szCs w:val="24"/>
        </w:rPr>
        <w:t xml:space="preserve"> abonentów</w:t>
      </w:r>
      <w:r w:rsidRPr="003A42FB">
        <w:rPr>
          <w:rFonts w:ascii="Times New Roman" w:eastAsiaTheme="minorEastAsia" w:hAnsi="Times New Roman" w:cs="Times New Roman"/>
          <w:sz w:val="24"/>
          <w:szCs w:val="24"/>
        </w:rPr>
        <w:t xml:space="preserve"> poprzez podanie do publicznej wiadomości </w:t>
      </w:r>
      <w:r w:rsidR="005D7631" w:rsidRPr="003A42FB">
        <w:rPr>
          <w:rFonts w:ascii="Times New Roman" w:eastAsiaTheme="minorEastAsia" w:hAnsi="Times New Roman" w:cs="Times New Roman"/>
          <w:sz w:val="24"/>
          <w:szCs w:val="24"/>
        </w:rPr>
        <w:t xml:space="preserve">na swojej stronie internetowej </w:t>
      </w:r>
      <w:r w:rsidRPr="003A42FB">
        <w:rPr>
          <w:rFonts w:ascii="Times New Roman" w:eastAsiaTheme="minorEastAsia" w:hAnsi="Times New Roman" w:cs="Times New Roman"/>
          <w:sz w:val="24"/>
          <w:szCs w:val="24"/>
        </w:rPr>
        <w:t>treści proponowanych zmian, z wyprzedzeniem co najmniej jednego miesiąca przed wprowadzeniem ich w życie.</w:t>
      </w:r>
      <w:r w:rsidR="007E5DAF" w:rsidRPr="003A42FB">
        <w:rPr>
          <w:rFonts w:ascii="Times New Roman" w:eastAsiaTheme="minorEastAsia" w:hAnsi="Times New Roman" w:cs="Times New Roman"/>
          <w:sz w:val="24"/>
          <w:szCs w:val="24"/>
        </w:rPr>
        <w:t xml:space="preserve"> Jednocześnie abonent powinien zostać poinformowany o konieczności zapłaty odszkodowania, o którym mowa w art. </w:t>
      </w:r>
      <w:r w:rsidR="00AD1DA0">
        <w:rPr>
          <w:rFonts w:ascii="Times New Roman" w:eastAsiaTheme="minorEastAsia" w:hAnsi="Times New Roman" w:cs="Times New Roman"/>
          <w:sz w:val="24"/>
          <w:szCs w:val="24"/>
        </w:rPr>
        <w:t>298</w:t>
      </w:r>
      <w:r w:rsidR="007E5DAF" w:rsidRPr="003A42FB">
        <w:rPr>
          <w:rFonts w:ascii="Times New Roman" w:eastAsiaTheme="minorEastAsia" w:hAnsi="Times New Roman" w:cs="Times New Roman"/>
          <w:sz w:val="24"/>
          <w:szCs w:val="24"/>
        </w:rPr>
        <w:t xml:space="preserve"> ust. </w:t>
      </w:r>
      <w:r w:rsidR="00DE13CF" w:rsidRPr="003A42FB">
        <w:rPr>
          <w:rFonts w:ascii="Times New Roman" w:eastAsiaTheme="minorEastAsia" w:hAnsi="Times New Roman" w:cs="Times New Roman"/>
          <w:sz w:val="24"/>
          <w:szCs w:val="24"/>
        </w:rPr>
        <w:t>1</w:t>
      </w:r>
      <w:r w:rsidR="005D7631" w:rsidRPr="003A42FB">
        <w:rPr>
          <w:rFonts w:ascii="Times New Roman" w:eastAsiaTheme="minorEastAsia" w:hAnsi="Times New Roman" w:cs="Times New Roman"/>
          <w:sz w:val="24"/>
          <w:szCs w:val="24"/>
        </w:rPr>
        <w:t xml:space="preserve">, w przypadku skorzystania z prawa do wypowiedzenia umowy, </w:t>
      </w:r>
      <w:r w:rsidR="00DE13CF" w:rsidRPr="003A42FB">
        <w:rPr>
          <w:rFonts w:ascii="Times New Roman" w:eastAsiaTheme="minorEastAsia" w:hAnsi="Times New Roman" w:cs="Times New Roman"/>
          <w:sz w:val="24"/>
          <w:szCs w:val="24"/>
        </w:rPr>
        <w:t>przy czym termin na realizację tego prawa nie może być krótszy niż do dnia wejścia tych zmian w życie.</w:t>
      </w:r>
    </w:p>
    <w:p w14:paraId="58B93469" w14:textId="35E7CC46" w:rsidR="00C25310" w:rsidRPr="003A42FB" w:rsidRDefault="4CF0B718" w:rsidP="6BEADE18">
      <w:pPr>
        <w:spacing w:after="120" w:line="240" w:lineRule="auto"/>
        <w:jc w:val="both"/>
        <w:rPr>
          <w:rFonts w:ascii="Times New Roman" w:eastAsiaTheme="minorEastAsia" w:hAnsi="Times New Roman" w:cs="Times New Roman"/>
          <w:sz w:val="24"/>
          <w:szCs w:val="24"/>
        </w:rPr>
      </w:pPr>
      <w:r w:rsidRPr="6BEADE18">
        <w:rPr>
          <w:rFonts w:ascii="Times New Roman" w:eastAsiaTheme="minorEastAsia" w:hAnsi="Times New Roman" w:cs="Times New Roman"/>
          <w:sz w:val="24"/>
          <w:szCs w:val="24"/>
        </w:rPr>
        <w:t xml:space="preserve">Przepisy ust. 4 </w:t>
      </w:r>
      <w:r w:rsidR="4BE3C054" w:rsidRPr="6BEADE18">
        <w:rPr>
          <w:rFonts w:ascii="Times New Roman" w:eastAsiaTheme="minorEastAsia" w:hAnsi="Times New Roman" w:cs="Times New Roman"/>
          <w:sz w:val="24"/>
          <w:szCs w:val="24"/>
        </w:rPr>
        <w:t>i 5</w:t>
      </w:r>
      <w:r w:rsidRPr="6BEADE18">
        <w:rPr>
          <w:rFonts w:ascii="Times New Roman" w:eastAsiaTheme="minorEastAsia" w:hAnsi="Times New Roman" w:cs="Times New Roman"/>
          <w:sz w:val="24"/>
          <w:szCs w:val="24"/>
        </w:rPr>
        <w:t xml:space="preserve"> precyzują dodatkowo, że zmiana danych identyfikujących lub kontaktowych przedsiębiorcy nie stanowi zmiany warunków umowy, zatem nie może być podstawą skorzystania z możliwości wypowiedzenia umowy bez konieczności zapłaty odszkodowania, o którym mowa w art. </w:t>
      </w:r>
      <w:r w:rsidR="00AD1DA0">
        <w:rPr>
          <w:rFonts w:ascii="Times New Roman" w:eastAsiaTheme="minorEastAsia" w:hAnsi="Times New Roman" w:cs="Times New Roman"/>
          <w:sz w:val="24"/>
          <w:szCs w:val="24"/>
        </w:rPr>
        <w:t>298</w:t>
      </w:r>
      <w:r w:rsidRPr="6BEADE18">
        <w:rPr>
          <w:rFonts w:ascii="Times New Roman" w:eastAsiaTheme="minorEastAsia" w:hAnsi="Times New Roman" w:cs="Times New Roman"/>
          <w:sz w:val="24"/>
          <w:szCs w:val="24"/>
        </w:rPr>
        <w:t xml:space="preserve"> ust. 1. W przypadku umów zawartych w formie pisemnej, elektronicznej lub dokumentowej dostawca przekazuje informacje na trwałym nośniku w postaci odpowiadającej formie, w jakiej została zawarta umowa, chyba że abonent złożył żądanie otrzymywania tych informacji w inny sposób, natomiast w przypadku umów prepaid informacje te dostawca usług publikuje na swojej stronie internetowej.</w:t>
      </w:r>
    </w:p>
    <w:p w14:paraId="264EEDE1" w14:textId="18947209" w:rsidR="00C25310" w:rsidRPr="003A42FB" w:rsidRDefault="00C25310" w:rsidP="00C53EAB">
      <w:pPr>
        <w:spacing w:after="120" w:line="240" w:lineRule="auto"/>
        <w:jc w:val="both"/>
        <w:rPr>
          <w:rFonts w:ascii="Times New Roman" w:eastAsiaTheme="minorEastAsia" w:hAnsi="Times New Roman" w:cs="Times New Roman"/>
          <w:sz w:val="24"/>
          <w:szCs w:val="24"/>
        </w:rPr>
      </w:pPr>
      <w:r w:rsidRPr="002E232D">
        <w:rPr>
          <w:rFonts w:ascii="Times New Roman" w:eastAsiaTheme="minorEastAsia" w:hAnsi="Times New Roman" w:cs="Times New Roman"/>
          <w:b/>
          <w:sz w:val="24"/>
          <w:szCs w:val="24"/>
        </w:rPr>
        <w:t xml:space="preserve">Art. </w:t>
      </w:r>
      <w:r w:rsidR="00AD1DA0">
        <w:rPr>
          <w:rFonts w:ascii="Times New Roman" w:eastAsiaTheme="minorEastAsia" w:hAnsi="Times New Roman" w:cs="Times New Roman"/>
          <w:b/>
          <w:sz w:val="24"/>
          <w:szCs w:val="24"/>
        </w:rPr>
        <w:t>301</w:t>
      </w:r>
      <w:r w:rsidRPr="002E232D">
        <w:rPr>
          <w:rFonts w:ascii="Times New Roman" w:eastAsiaTheme="minorEastAsia" w:hAnsi="Times New Roman" w:cs="Times New Roman"/>
          <w:b/>
          <w:sz w:val="24"/>
          <w:szCs w:val="24"/>
        </w:rPr>
        <w:t xml:space="preserve"> -</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
          <w:bCs/>
          <w:sz w:val="24"/>
          <w:szCs w:val="24"/>
        </w:rPr>
        <w:t>zmiana warunków umowy na czas określony</w:t>
      </w:r>
    </w:p>
    <w:p w14:paraId="3C29FE37" w14:textId="11E781EA" w:rsidR="00DA0F12" w:rsidRPr="003A42FB" w:rsidRDefault="566EAACD" w:rsidP="4AE3D04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w:t>
      </w:r>
      <w:r w:rsidR="04C1642D" w:rsidRPr="003A42FB">
        <w:rPr>
          <w:rFonts w:ascii="Times New Roman" w:eastAsiaTheme="minorEastAsia" w:hAnsi="Times New Roman" w:cs="Times New Roman"/>
          <w:sz w:val="24"/>
          <w:szCs w:val="24"/>
        </w:rPr>
        <w:t>ęp</w:t>
      </w:r>
      <w:r w:rsidRPr="003A42FB">
        <w:rPr>
          <w:rFonts w:ascii="Times New Roman" w:eastAsiaTheme="minorEastAsia" w:hAnsi="Times New Roman" w:cs="Times New Roman"/>
          <w:sz w:val="24"/>
          <w:szCs w:val="24"/>
        </w:rPr>
        <w:t xml:space="preserve"> </w:t>
      </w:r>
      <w:r w:rsidR="00C25310"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w:t>
      </w:r>
      <w:r w:rsidR="365C90BD" w:rsidRPr="003A42FB">
        <w:rPr>
          <w:rFonts w:ascii="Times New Roman" w:eastAsiaTheme="minorEastAsia" w:hAnsi="Times New Roman" w:cs="Times New Roman"/>
          <w:sz w:val="24"/>
          <w:szCs w:val="24"/>
        </w:rPr>
        <w:t>wskazuje na możliwość dokonania jednostronnej zmiany warunków umowy</w:t>
      </w:r>
      <w:r w:rsidR="007E5DAF" w:rsidRPr="003A42FB">
        <w:rPr>
          <w:rFonts w:ascii="Times New Roman" w:eastAsiaTheme="minorEastAsia" w:hAnsi="Times New Roman" w:cs="Times New Roman"/>
          <w:sz w:val="24"/>
          <w:szCs w:val="24"/>
        </w:rPr>
        <w:t xml:space="preserve"> zawartej na czas określony</w:t>
      </w:r>
      <w:r w:rsidR="365C90BD" w:rsidRPr="003A42FB">
        <w:rPr>
          <w:rFonts w:ascii="Times New Roman" w:eastAsiaTheme="minorEastAsia" w:hAnsi="Times New Roman" w:cs="Times New Roman"/>
          <w:sz w:val="24"/>
          <w:szCs w:val="24"/>
        </w:rPr>
        <w:t xml:space="preserve"> z powodu innych </w:t>
      </w:r>
      <w:r w:rsidR="00DE13CF" w:rsidRPr="003A42FB">
        <w:rPr>
          <w:rFonts w:ascii="Times New Roman" w:eastAsiaTheme="minorEastAsia" w:hAnsi="Times New Roman" w:cs="Times New Roman"/>
          <w:sz w:val="24"/>
          <w:szCs w:val="24"/>
        </w:rPr>
        <w:t>obiektywnych</w:t>
      </w:r>
      <w:r w:rsidR="365C90BD" w:rsidRPr="003A42FB">
        <w:rPr>
          <w:rFonts w:ascii="Times New Roman" w:eastAsiaTheme="minorEastAsia" w:hAnsi="Times New Roman" w:cs="Times New Roman"/>
          <w:sz w:val="24"/>
          <w:szCs w:val="24"/>
        </w:rPr>
        <w:t xml:space="preserve"> okoliczności niż wskazane w </w:t>
      </w:r>
      <w:r w:rsidR="00C25310" w:rsidRPr="003A42FB">
        <w:rPr>
          <w:rFonts w:ascii="Times New Roman" w:eastAsiaTheme="minorEastAsia" w:hAnsi="Times New Roman" w:cs="Times New Roman"/>
          <w:sz w:val="24"/>
          <w:szCs w:val="24"/>
        </w:rPr>
        <w:t xml:space="preserve">art. </w:t>
      </w:r>
      <w:r w:rsidR="00AD1DA0">
        <w:rPr>
          <w:rFonts w:ascii="Times New Roman" w:eastAsiaTheme="minorEastAsia" w:hAnsi="Times New Roman" w:cs="Times New Roman"/>
          <w:sz w:val="24"/>
          <w:szCs w:val="24"/>
        </w:rPr>
        <w:t>300</w:t>
      </w:r>
      <w:r w:rsidR="00C25310" w:rsidRPr="003A42FB">
        <w:rPr>
          <w:rFonts w:ascii="Times New Roman" w:eastAsiaTheme="minorEastAsia" w:hAnsi="Times New Roman" w:cs="Times New Roman"/>
          <w:sz w:val="24"/>
          <w:szCs w:val="24"/>
        </w:rPr>
        <w:t xml:space="preserve"> </w:t>
      </w:r>
      <w:r w:rsidR="365C90BD" w:rsidRPr="003A42FB">
        <w:rPr>
          <w:rFonts w:ascii="Times New Roman" w:eastAsiaTheme="minorEastAsia" w:hAnsi="Times New Roman" w:cs="Times New Roman"/>
          <w:sz w:val="24"/>
          <w:szCs w:val="24"/>
        </w:rPr>
        <w:t xml:space="preserve">ust. 1, na które dostawca usług nie miał wpływu. </w:t>
      </w:r>
      <w:r w:rsidR="512DC65A" w:rsidRPr="003A42FB">
        <w:rPr>
          <w:rFonts w:ascii="Times New Roman" w:eastAsiaTheme="minorEastAsia" w:hAnsi="Times New Roman" w:cs="Times New Roman"/>
          <w:sz w:val="24"/>
          <w:szCs w:val="24"/>
        </w:rPr>
        <w:t>Przykładem takich okoliczności może być stan pandemii, który może wymuszać wprowadzenie zmian w dotychczasowych warunkach świadczenia usług</w:t>
      </w:r>
      <w:r w:rsidR="5985C7C2" w:rsidRPr="003A42FB">
        <w:rPr>
          <w:rFonts w:ascii="Times New Roman" w:eastAsiaTheme="minorEastAsia" w:hAnsi="Times New Roman" w:cs="Times New Roman"/>
          <w:sz w:val="24"/>
          <w:szCs w:val="24"/>
        </w:rPr>
        <w:t xml:space="preserve">. </w:t>
      </w:r>
    </w:p>
    <w:p w14:paraId="718D005B" w14:textId="5A16335A" w:rsidR="00221330" w:rsidRPr="003A42FB" w:rsidRDefault="5985C7C2" w:rsidP="4AE3D04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w:t>
      </w:r>
      <w:r w:rsidR="566EAACD" w:rsidRPr="003A42FB">
        <w:rPr>
          <w:rFonts w:ascii="Times New Roman" w:eastAsiaTheme="minorEastAsia" w:hAnsi="Times New Roman" w:cs="Times New Roman"/>
          <w:sz w:val="24"/>
          <w:szCs w:val="24"/>
        </w:rPr>
        <w:t xml:space="preserve">asady informowania abonenta o zmianie warunków umowy </w:t>
      </w:r>
      <w:r w:rsidR="12A7E7C5" w:rsidRPr="003A42FB">
        <w:rPr>
          <w:rFonts w:ascii="Times New Roman" w:eastAsiaTheme="minorEastAsia" w:hAnsi="Times New Roman" w:cs="Times New Roman"/>
          <w:sz w:val="24"/>
          <w:szCs w:val="24"/>
        </w:rPr>
        <w:t xml:space="preserve">w takim wypadku określa ust. </w:t>
      </w:r>
      <w:r w:rsidR="00DE13CF" w:rsidRPr="003A42FB">
        <w:rPr>
          <w:rFonts w:ascii="Times New Roman" w:eastAsiaTheme="minorEastAsia" w:hAnsi="Times New Roman" w:cs="Times New Roman"/>
          <w:sz w:val="24"/>
          <w:szCs w:val="24"/>
        </w:rPr>
        <w:t>3</w:t>
      </w:r>
      <w:r w:rsidR="566EAACD" w:rsidRPr="003A42FB">
        <w:rPr>
          <w:rFonts w:ascii="Times New Roman" w:eastAsiaTheme="minorEastAsia" w:hAnsi="Times New Roman" w:cs="Times New Roman"/>
          <w:sz w:val="24"/>
          <w:szCs w:val="24"/>
        </w:rPr>
        <w:t xml:space="preserve">. Forma informowania abonenta o zmianie warunków umowy, determinowana jest formą zawarcia umowy – obowiązki informacyjne powinny być realizowane w takiej samej formie w jakiej zawarta została umowa. Natomiast w przypadku abonenta usług przedpłaconych informacja o zmianie warunków umowy powinna być doręczona </w:t>
      </w:r>
      <w:r w:rsidR="00D21D6B" w:rsidRPr="003A42FB">
        <w:rPr>
          <w:rFonts w:ascii="Times New Roman" w:eastAsiaTheme="minorEastAsia" w:hAnsi="Times New Roman" w:cs="Times New Roman"/>
          <w:sz w:val="24"/>
          <w:szCs w:val="24"/>
        </w:rPr>
        <w:t xml:space="preserve">na piśmie </w:t>
      </w:r>
      <w:r w:rsidR="566EAACD" w:rsidRPr="003A42FB">
        <w:rPr>
          <w:rFonts w:ascii="Times New Roman" w:eastAsiaTheme="minorEastAsia" w:hAnsi="Times New Roman" w:cs="Times New Roman"/>
          <w:sz w:val="24"/>
          <w:szCs w:val="24"/>
        </w:rPr>
        <w:t xml:space="preserve">na udostępniony, zgodnie z art. </w:t>
      </w:r>
      <w:r w:rsidR="00AD1DA0">
        <w:rPr>
          <w:rFonts w:ascii="Times New Roman" w:eastAsiaTheme="minorEastAsia" w:hAnsi="Times New Roman" w:cs="Times New Roman"/>
          <w:sz w:val="24"/>
          <w:szCs w:val="24"/>
        </w:rPr>
        <w:t>284</w:t>
      </w:r>
      <w:r w:rsidR="566EAACD" w:rsidRPr="003A42FB">
        <w:rPr>
          <w:rFonts w:ascii="Times New Roman" w:eastAsiaTheme="minorEastAsia" w:hAnsi="Times New Roman" w:cs="Times New Roman"/>
          <w:sz w:val="24"/>
          <w:szCs w:val="24"/>
        </w:rPr>
        <w:t xml:space="preserve"> ust. </w:t>
      </w:r>
      <w:r w:rsidR="000079AA" w:rsidRPr="003A42FB">
        <w:rPr>
          <w:rFonts w:ascii="Times New Roman" w:eastAsiaTheme="minorEastAsia" w:hAnsi="Times New Roman" w:cs="Times New Roman"/>
          <w:sz w:val="24"/>
          <w:szCs w:val="24"/>
        </w:rPr>
        <w:t xml:space="preserve">2 lub art. </w:t>
      </w:r>
      <w:r w:rsidR="00AD1DA0">
        <w:rPr>
          <w:rFonts w:ascii="Times New Roman" w:eastAsiaTheme="minorEastAsia" w:hAnsi="Times New Roman" w:cs="Times New Roman"/>
          <w:sz w:val="24"/>
          <w:szCs w:val="24"/>
        </w:rPr>
        <w:t>285</w:t>
      </w:r>
      <w:r w:rsidR="000079AA" w:rsidRPr="003A42FB">
        <w:rPr>
          <w:rFonts w:ascii="Times New Roman" w:eastAsiaTheme="minorEastAsia" w:hAnsi="Times New Roman" w:cs="Times New Roman"/>
          <w:sz w:val="24"/>
          <w:szCs w:val="24"/>
        </w:rPr>
        <w:t xml:space="preserve"> ust. 2</w:t>
      </w:r>
      <w:r w:rsidR="566EAACD" w:rsidRPr="003A42FB">
        <w:rPr>
          <w:rFonts w:ascii="Times New Roman" w:eastAsiaTheme="minorEastAsia" w:hAnsi="Times New Roman" w:cs="Times New Roman"/>
          <w:sz w:val="24"/>
          <w:szCs w:val="24"/>
        </w:rPr>
        <w:t xml:space="preserve">, adres korespondencyjny. </w:t>
      </w:r>
      <w:r w:rsidR="00367FD3" w:rsidRPr="003A42FB">
        <w:rPr>
          <w:rFonts w:ascii="Times New Roman" w:eastAsiaTheme="minorEastAsia" w:hAnsi="Times New Roman" w:cs="Times New Roman"/>
          <w:sz w:val="24"/>
          <w:szCs w:val="24"/>
        </w:rPr>
        <w:t>Jednocześnie dostawca usług jest obowiązany do publikowania treści zmian na swojej stronie internetowej.</w:t>
      </w:r>
    </w:p>
    <w:p w14:paraId="785FB655" w14:textId="0AD04852" w:rsidR="001A5C9D" w:rsidRPr="003A42FB" w:rsidRDefault="001A5C9D" w:rsidP="001A5C9D">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Powyższe obowiązki informacyjne powinny być realizowane na co najmniej miesiąc przed wprowadzeniem zmian w życie, chyba, że publikacja aktu prawnego, z którego wynika konieczność zmian następuje w terminie krótszym niż miesiąc przed jego wyjściem w życie lub taki okres wynika z decyzji Prezesa UKE. Wraz z informacją o planowanych zmianach abonent powinien otrzymać informację o prawie do wypowiedzenia umowy w przypadku braku </w:t>
      </w:r>
      <w:r w:rsidRPr="003A42FB">
        <w:rPr>
          <w:rFonts w:ascii="Times New Roman" w:eastAsiaTheme="minorEastAsia" w:hAnsi="Times New Roman" w:cs="Times New Roman"/>
          <w:sz w:val="24"/>
          <w:szCs w:val="24"/>
        </w:rPr>
        <w:lastRenderedPageBreak/>
        <w:t xml:space="preserve">akceptacji tych zmian. W przypadku skorzystania z tego prawa abonent nie jest zobowiązany do zapłaty odszkodowania, o którym mowa w art. </w:t>
      </w:r>
      <w:r w:rsidR="00AD1DA0">
        <w:rPr>
          <w:rFonts w:ascii="Times New Roman" w:eastAsiaTheme="minorEastAsia" w:hAnsi="Times New Roman" w:cs="Times New Roman"/>
          <w:sz w:val="24"/>
          <w:szCs w:val="24"/>
        </w:rPr>
        <w:t>298</w:t>
      </w:r>
      <w:r w:rsidRPr="003A42FB">
        <w:rPr>
          <w:rFonts w:ascii="Times New Roman" w:eastAsiaTheme="minorEastAsia" w:hAnsi="Times New Roman" w:cs="Times New Roman"/>
          <w:sz w:val="24"/>
          <w:szCs w:val="24"/>
        </w:rPr>
        <w:t xml:space="preserve"> ust. 1 Pke. Natomiast do abonenta, który zdecyduje się na zachowanie telekomunikacyjnego urządze</w:t>
      </w:r>
      <w:r w:rsidR="000079AA" w:rsidRPr="003A42FB">
        <w:rPr>
          <w:rFonts w:ascii="Times New Roman" w:eastAsiaTheme="minorEastAsia" w:hAnsi="Times New Roman" w:cs="Times New Roman"/>
          <w:sz w:val="24"/>
          <w:szCs w:val="24"/>
        </w:rPr>
        <w:t xml:space="preserve">nia końcowego stosuje się art. </w:t>
      </w:r>
      <w:r w:rsidR="00AD1DA0">
        <w:rPr>
          <w:rFonts w:ascii="Times New Roman" w:eastAsiaTheme="minorEastAsia" w:hAnsi="Times New Roman" w:cs="Times New Roman"/>
          <w:sz w:val="24"/>
          <w:szCs w:val="24"/>
        </w:rPr>
        <w:t>303</w:t>
      </w:r>
      <w:r w:rsidRPr="003A42FB">
        <w:rPr>
          <w:rFonts w:ascii="Times New Roman" w:eastAsiaTheme="minorEastAsia" w:hAnsi="Times New Roman" w:cs="Times New Roman"/>
          <w:sz w:val="24"/>
          <w:szCs w:val="24"/>
        </w:rPr>
        <w:t xml:space="preserve"> ust. 1</w:t>
      </w:r>
      <w:r w:rsidR="002050AC" w:rsidRPr="003A42FB">
        <w:rPr>
          <w:rFonts w:ascii="Times New Roman" w:eastAsiaTheme="minorEastAsia" w:hAnsi="Times New Roman" w:cs="Times New Roman"/>
          <w:sz w:val="24"/>
          <w:szCs w:val="24"/>
        </w:rPr>
        <w:t xml:space="preserve"> Pke</w:t>
      </w:r>
      <w:r w:rsidRPr="003A42FB">
        <w:rPr>
          <w:rFonts w:ascii="Times New Roman" w:eastAsiaTheme="minorEastAsia" w:hAnsi="Times New Roman" w:cs="Times New Roman"/>
          <w:sz w:val="24"/>
          <w:szCs w:val="24"/>
        </w:rPr>
        <w:t>.</w:t>
      </w:r>
    </w:p>
    <w:p w14:paraId="5600AFD2" w14:textId="021B324F" w:rsidR="00221330" w:rsidRPr="003A42FB" w:rsidRDefault="566EAACD" w:rsidP="4AE3D04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Niezależnie od powyższego, zgodnie ust. </w:t>
      </w:r>
      <w:r w:rsidR="00D21D6B"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abonent może złożyć żądanie doręcz</w:t>
      </w:r>
      <w:r w:rsidR="7C75C4B8"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nia treści zmian we wskazanej przez siebie formie</w:t>
      </w:r>
      <w:r w:rsidR="00367FD3" w:rsidRPr="003A42FB">
        <w:rPr>
          <w:rFonts w:ascii="Times New Roman" w:eastAsiaTheme="minorEastAsia" w:hAnsi="Times New Roman" w:cs="Times New Roman"/>
          <w:sz w:val="24"/>
          <w:szCs w:val="24"/>
        </w:rPr>
        <w:t>, innej niż związana z formą zawarcia umowy</w:t>
      </w:r>
      <w:r w:rsidRPr="003A42FB">
        <w:rPr>
          <w:rFonts w:ascii="Times New Roman" w:eastAsiaTheme="minorEastAsia" w:hAnsi="Times New Roman" w:cs="Times New Roman"/>
          <w:sz w:val="24"/>
          <w:szCs w:val="24"/>
        </w:rPr>
        <w:t xml:space="preserve"> </w:t>
      </w:r>
      <w:r w:rsidR="00367FD3" w:rsidRPr="003A42FB">
        <w:rPr>
          <w:rFonts w:ascii="Times New Roman" w:eastAsiaTheme="minorEastAsia" w:hAnsi="Times New Roman" w:cs="Times New Roman"/>
          <w:sz w:val="24"/>
          <w:szCs w:val="24"/>
        </w:rPr>
        <w:t>np</w:t>
      </w:r>
      <w:r w:rsidRPr="003A42FB">
        <w:rPr>
          <w:rFonts w:ascii="Times New Roman" w:eastAsiaTheme="minorEastAsia" w:hAnsi="Times New Roman" w:cs="Times New Roman"/>
          <w:sz w:val="24"/>
          <w:szCs w:val="24"/>
        </w:rPr>
        <w:t>. na adres korespondencyjny,</w:t>
      </w:r>
      <w:r w:rsidR="00367FD3" w:rsidRPr="003A42FB">
        <w:rPr>
          <w:rFonts w:ascii="Times New Roman" w:eastAsiaTheme="minorEastAsia" w:hAnsi="Times New Roman" w:cs="Times New Roman"/>
          <w:sz w:val="24"/>
          <w:szCs w:val="24"/>
        </w:rPr>
        <w:t xml:space="preserve"> jeśli umowa zawarta jest w formie dokumentowej lub na</w:t>
      </w:r>
      <w:r w:rsidRPr="003A42FB">
        <w:rPr>
          <w:rFonts w:ascii="Times New Roman" w:eastAsiaTheme="minorEastAsia" w:hAnsi="Times New Roman" w:cs="Times New Roman"/>
          <w:sz w:val="24"/>
          <w:szCs w:val="24"/>
        </w:rPr>
        <w:t xml:space="preserve"> adres poczty elektronicznej lub innego środka komunikacji elektronicznej, jeżeli dostawca umożliwia korzystanie z takiego środka</w:t>
      </w:r>
      <w:r w:rsidR="00367FD3" w:rsidRPr="003A42FB">
        <w:rPr>
          <w:rFonts w:ascii="Times New Roman" w:eastAsiaTheme="minorEastAsia" w:hAnsi="Times New Roman" w:cs="Times New Roman"/>
          <w:sz w:val="24"/>
          <w:szCs w:val="24"/>
        </w:rPr>
        <w:t xml:space="preserve"> w przypadku umowy zawartej w formie pisemnej</w:t>
      </w:r>
      <w:r w:rsidRPr="003A42FB">
        <w:rPr>
          <w:rFonts w:ascii="Times New Roman" w:eastAsiaTheme="minorEastAsia" w:hAnsi="Times New Roman" w:cs="Times New Roman"/>
          <w:sz w:val="24"/>
          <w:szCs w:val="24"/>
        </w:rPr>
        <w:t xml:space="preserve">. </w:t>
      </w:r>
    </w:p>
    <w:p w14:paraId="5202624D" w14:textId="7373305A" w:rsidR="00367FD3" w:rsidRPr="003A42FB" w:rsidRDefault="00367FD3" w:rsidP="4AE3D04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 xml:space="preserve">Izby zrzeszające przedsiębiorców telekomunikacyjnych wskazują, że “większość abonentów, mimo usilnych starań dostawców usług, wciąż zawiera umowy w formie pisemnej.” Choć niejednokrotnie oznacza to konieczność informowania o zmianach również w formie pisemnej, </w:t>
      </w:r>
      <w:r w:rsidR="00D21D6B" w:rsidRPr="003A42FB">
        <w:rPr>
          <w:rFonts w:ascii="Times New Roman" w:eastAsiaTheme="minorEastAsia" w:hAnsi="Times New Roman" w:cs="Times New Roman"/>
          <w:sz w:val="24"/>
          <w:szCs w:val="24"/>
        </w:rPr>
        <w:t xml:space="preserve">Projektodawca </w:t>
      </w:r>
      <w:r w:rsidRPr="003A42FB">
        <w:rPr>
          <w:rFonts w:ascii="Times New Roman" w:eastAsiaTheme="minorEastAsia" w:hAnsi="Times New Roman" w:cs="Times New Roman"/>
          <w:sz w:val="24"/>
          <w:szCs w:val="24"/>
        </w:rPr>
        <w:t xml:space="preserve">odbiera tą okoliczność obecnie jako brak zaufania abonentów do innych form komunikacji ze swoim dostawcą usług. </w:t>
      </w:r>
      <w:r w:rsidRPr="003A42FB">
        <w:rPr>
          <w:rFonts w:ascii="Times New Roman" w:eastAsia="Times New Roman" w:hAnsi="Times New Roman" w:cs="Times New Roman"/>
          <w:sz w:val="24"/>
          <w:szCs w:val="24"/>
        </w:rPr>
        <w:t xml:space="preserve"> </w:t>
      </w:r>
      <w:r w:rsidRPr="003A42FB">
        <w:rPr>
          <w:rFonts w:ascii="Times New Roman" w:eastAsiaTheme="minorEastAsia" w:hAnsi="Times New Roman" w:cs="Times New Roman"/>
          <w:sz w:val="24"/>
          <w:szCs w:val="24"/>
        </w:rPr>
        <w:t>Nie budzi wątpliwości, że w</w:t>
      </w:r>
      <w:r w:rsidRPr="003A42FB">
        <w:rPr>
          <w:rFonts w:ascii="Times New Roman" w:eastAsia="Times New Roman" w:hAnsi="Times New Roman" w:cs="Times New Roman"/>
          <w:sz w:val="24"/>
          <w:szCs w:val="24"/>
        </w:rPr>
        <w:t xml:space="preserve"> perspektywie najbliższych kilkunastu lat wszyscy powinni mieć możliwość całkowitej rezygnacji z papierowego obrotu dokumentów i przejścia na komunikację zdalną, także w relacji między przedsiębiorcami a konsumentami. Jednak obecnie nie można całkowicie wykluczyć formy pisemnej jako podstawowej formy komunikowania, głównie ze względu na osoby, nieposiadające dostępu do internetu, szczególnie osoby starsze lub</w:t>
      </w:r>
      <w:r w:rsidR="002E232D">
        <w:rPr>
          <w:rFonts w:ascii="Times New Roman" w:eastAsia="Times New Roman" w:hAnsi="Times New Roman" w:cs="Times New Roman"/>
          <w:sz w:val="24"/>
          <w:szCs w:val="24"/>
        </w:rPr>
        <w:t xml:space="preserve"> te</w:t>
      </w:r>
      <w:r w:rsidRPr="003A42FB">
        <w:rPr>
          <w:rFonts w:ascii="Times New Roman" w:eastAsia="Times New Roman" w:hAnsi="Times New Roman" w:cs="Times New Roman"/>
          <w:sz w:val="24"/>
          <w:szCs w:val="24"/>
        </w:rPr>
        <w:t xml:space="preserve"> które zwyczajnie preferują taki sposób kontaktu z </w:t>
      </w:r>
      <w:r w:rsidR="002E232D">
        <w:rPr>
          <w:rFonts w:ascii="Times New Roman" w:eastAsia="Times New Roman" w:hAnsi="Times New Roman" w:cs="Times New Roman"/>
          <w:sz w:val="24"/>
          <w:szCs w:val="24"/>
        </w:rPr>
        <w:t>dostawcą</w:t>
      </w:r>
      <w:r w:rsidRPr="003A42FB">
        <w:rPr>
          <w:rFonts w:ascii="Times New Roman" w:eastAsia="Times New Roman" w:hAnsi="Times New Roman" w:cs="Times New Roman"/>
          <w:sz w:val="24"/>
          <w:szCs w:val="24"/>
        </w:rPr>
        <w:t>.</w:t>
      </w:r>
    </w:p>
    <w:p w14:paraId="21767564" w14:textId="7B85DF8F" w:rsidR="00DE13CF" w:rsidRPr="003A42FB" w:rsidRDefault="00DE13CF" w:rsidP="00DE13CF">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Ostatnie miesiące pokazały jak przydatnym narzędziem w komunikacji jest </w:t>
      </w:r>
      <w:r w:rsidR="002E232D">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nternet, po który coraz częściej sięgają również osoby starsze. Wciąż nie jest to jednak jeszcze zjawisko na skalę globalną. Potwierdzają to badania przeprowadzone przez Główny Urząd Statystyczny odnośnie sytuacji osób starszych w Polsce. W 2018 roku z komputerów korzystało tylko 31,7 % osób w wieku 65-74 lata, a ponad połowa osób z tego przedziału wiekowego nigdy nie korzystała z komputera. Podobnie statystyki wyglądają jeśli chodzi o używanie </w:t>
      </w:r>
      <w:r w:rsidR="002E232D">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nternetu. Jeśli natomiast weźmiemy pod uwagę jeszcze starszych Polaków, 75+, to okazuje się, że jest ich w sieci jeszcze mniej, ok. 12-15%.</w:t>
      </w:r>
    </w:p>
    <w:p w14:paraId="402770CA" w14:textId="2512E03D" w:rsidR="00EC4773" w:rsidRPr="003A42FB" w:rsidRDefault="001930F5" w:rsidP="4AE3D04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ust. 5 w</w:t>
      </w:r>
      <w:r w:rsidR="00EC4773" w:rsidRPr="003A42FB">
        <w:rPr>
          <w:rFonts w:ascii="Times New Roman" w:eastAsiaTheme="minorEastAsia" w:hAnsi="Times New Roman" w:cs="Times New Roman"/>
          <w:sz w:val="24"/>
          <w:szCs w:val="24"/>
        </w:rPr>
        <w:t xml:space="preserve"> przypadku usług transmisji </w:t>
      </w:r>
      <w:r w:rsidR="002E232D">
        <w:rPr>
          <w:rFonts w:ascii="Times New Roman" w:eastAsiaTheme="minorEastAsia" w:hAnsi="Times New Roman" w:cs="Times New Roman"/>
          <w:sz w:val="24"/>
          <w:szCs w:val="24"/>
        </w:rPr>
        <w:t xml:space="preserve">na potrzeby </w:t>
      </w:r>
      <w:r w:rsidR="00EC4773" w:rsidRPr="003A42FB">
        <w:rPr>
          <w:rFonts w:ascii="Times New Roman" w:eastAsiaTheme="minorEastAsia" w:hAnsi="Times New Roman" w:cs="Times New Roman"/>
          <w:sz w:val="24"/>
          <w:szCs w:val="24"/>
        </w:rPr>
        <w:t xml:space="preserve">komunikacji </w:t>
      </w:r>
      <w:r w:rsidR="002E232D">
        <w:rPr>
          <w:rFonts w:ascii="Times New Roman" w:eastAsiaTheme="minorEastAsia" w:hAnsi="Times New Roman" w:cs="Times New Roman"/>
          <w:sz w:val="24"/>
          <w:szCs w:val="24"/>
        </w:rPr>
        <w:t>M2M</w:t>
      </w:r>
      <w:r w:rsidR="00EC4773" w:rsidRPr="003A42FB">
        <w:rPr>
          <w:rFonts w:ascii="Times New Roman" w:eastAsiaTheme="minorEastAsia" w:hAnsi="Times New Roman" w:cs="Times New Roman"/>
          <w:sz w:val="24"/>
          <w:szCs w:val="24"/>
        </w:rPr>
        <w:t xml:space="preserve"> prawo wypowiedzenia umowy bez konieczności zwrotu odszkodowania, o którym mowa ust. 268 ust. 1, przysługuje wyłącznie konsumentom oraz pozostałym podmiotom z art. </w:t>
      </w:r>
      <w:r w:rsidR="00AD1DA0">
        <w:rPr>
          <w:rFonts w:ascii="Times New Roman" w:eastAsiaTheme="minorEastAsia" w:hAnsi="Times New Roman" w:cs="Times New Roman"/>
          <w:sz w:val="24"/>
          <w:szCs w:val="24"/>
        </w:rPr>
        <w:t>287</w:t>
      </w:r>
      <w:r w:rsidR="00EC4773" w:rsidRPr="003A42FB">
        <w:rPr>
          <w:rFonts w:ascii="Times New Roman" w:eastAsiaTheme="minorEastAsia" w:hAnsi="Times New Roman" w:cs="Times New Roman"/>
          <w:sz w:val="24"/>
          <w:szCs w:val="24"/>
        </w:rPr>
        <w:t xml:space="preserve"> Pke, które mogą skorzystać z przepisów konsumenckich w przypadku braku sprzeciwu przeciwko zastosowaniu wobec nich tych przepisów.</w:t>
      </w:r>
    </w:p>
    <w:p w14:paraId="3537D3D7" w14:textId="60313B3B" w:rsidR="00C25310" w:rsidRPr="003A42FB" w:rsidRDefault="00C25310" w:rsidP="00C25310">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sz w:val="24"/>
          <w:szCs w:val="24"/>
        </w:rPr>
        <w:t xml:space="preserve">Art. </w:t>
      </w:r>
      <w:r w:rsidR="00AD1DA0">
        <w:rPr>
          <w:rFonts w:ascii="Times New Roman" w:eastAsiaTheme="minorEastAsia" w:hAnsi="Times New Roman" w:cs="Times New Roman"/>
          <w:b/>
          <w:sz w:val="24"/>
          <w:szCs w:val="24"/>
        </w:rPr>
        <w:t>302</w:t>
      </w:r>
      <w:r w:rsidRPr="003A42FB">
        <w:rPr>
          <w:rFonts w:ascii="Times New Roman" w:eastAsiaTheme="minorEastAsia" w:hAnsi="Times New Roman" w:cs="Times New Roman"/>
          <w:b/>
          <w:sz w:val="24"/>
          <w:szCs w:val="24"/>
        </w:rPr>
        <w:t xml:space="preserve"> -</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
          <w:bCs/>
          <w:sz w:val="24"/>
          <w:szCs w:val="24"/>
        </w:rPr>
        <w:t>zmiana warunków umowy na czas nieokreślony</w:t>
      </w:r>
    </w:p>
    <w:p w14:paraId="4B95EE9D" w14:textId="4842B384" w:rsidR="008D5024" w:rsidRPr="003A42FB" w:rsidRDefault="001A5C9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w:t>
      </w:r>
      <w:r w:rsidR="00C25310" w:rsidRPr="003A42FB">
        <w:rPr>
          <w:rFonts w:ascii="Times New Roman" w:eastAsiaTheme="minorEastAsia" w:hAnsi="Times New Roman" w:cs="Times New Roman"/>
          <w:sz w:val="24"/>
          <w:szCs w:val="24"/>
        </w:rPr>
        <w:t xml:space="preserve"> 1 </w:t>
      </w:r>
      <w:r w:rsidRPr="003A42FB">
        <w:rPr>
          <w:rFonts w:ascii="Times New Roman" w:eastAsiaTheme="minorEastAsia" w:hAnsi="Times New Roman" w:cs="Times New Roman"/>
          <w:sz w:val="24"/>
          <w:szCs w:val="24"/>
        </w:rPr>
        <w:t xml:space="preserve">wskazuje na możliwość dokonania jednostronnej zmiany warunków umowy zawartej na czas nieokreślony </w:t>
      </w:r>
      <w:r w:rsidR="00DE13CF" w:rsidRPr="003A42FB">
        <w:rPr>
          <w:rFonts w:ascii="Times New Roman" w:eastAsiaTheme="minorEastAsia" w:hAnsi="Times New Roman" w:cs="Times New Roman"/>
          <w:sz w:val="24"/>
          <w:szCs w:val="24"/>
        </w:rPr>
        <w:t>lub umowy, która automatycznie przedłużyła się na czas nieokreślony,</w:t>
      </w:r>
      <w:r w:rsidRPr="003A42FB">
        <w:rPr>
          <w:rFonts w:ascii="Times New Roman" w:eastAsiaTheme="minorEastAsia" w:hAnsi="Times New Roman" w:cs="Times New Roman"/>
          <w:sz w:val="24"/>
          <w:szCs w:val="24"/>
        </w:rPr>
        <w:t xml:space="preserve"> z powodu</w:t>
      </w:r>
      <w:r w:rsidR="00DE13CF" w:rsidRPr="003A42FB">
        <w:rPr>
          <w:rFonts w:ascii="Times New Roman" w:eastAsiaTheme="minorEastAsia" w:hAnsi="Times New Roman" w:cs="Times New Roman"/>
          <w:sz w:val="24"/>
          <w:szCs w:val="24"/>
        </w:rPr>
        <w:t xml:space="preserve"> wystąpienia</w:t>
      </w:r>
      <w:r w:rsidRPr="003A42FB">
        <w:rPr>
          <w:rFonts w:ascii="Times New Roman" w:eastAsiaTheme="minorEastAsia" w:hAnsi="Times New Roman" w:cs="Times New Roman"/>
          <w:sz w:val="24"/>
          <w:szCs w:val="24"/>
        </w:rPr>
        <w:t xml:space="preserve"> innych okoliczności niż wskazane w </w:t>
      </w:r>
      <w:r w:rsidR="00C25310" w:rsidRPr="003A42FB">
        <w:rPr>
          <w:rFonts w:ascii="Times New Roman" w:eastAsiaTheme="minorEastAsia" w:hAnsi="Times New Roman" w:cs="Times New Roman"/>
          <w:sz w:val="24"/>
          <w:szCs w:val="24"/>
        </w:rPr>
        <w:t xml:space="preserve">art. </w:t>
      </w:r>
      <w:r w:rsidR="00AD1DA0">
        <w:rPr>
          <w:rFonts w:ascii="Times New Roman" w:eastAsiaTheme="minorEastAsia" w:hAnsi="Times New Roman" w:cs="Times New Roman"/>
          <w:sz w:val="24"/>
          <w:szCs w:val="24"/>
        </w:rPr>
        <w:t>300</w:t>
      </w:r>
      <w:r w:rsidR="00C25310"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ust. 1</w:t>
      </w:r>
      <w:r w:rsidR="00C25310" w:rsidRPr="003A42FB">
        <w:rPr>
          <w:rFonts w:ascii="Times New Roman" w:eastAsiaTheme="minorEastAsia" w:hAnsi="Times New Roman" w:cs="Times New Roman"/>
          <w:sz w:val="24"/>
          <w:szCs w:val="24"/>
        </w:rPr>
        <w:t xml:space="preserve">. </w:t>
      </w:r>
      <w:r w:rsidR="001930F5" w:rsidRPr="003A42FB">
        <w:rPr>
          <w:rFonts w:ascii="Times New Roman" w:eastAsiaTheme="minorEastAsia" w:hAnsi="Times New Roman" w:cs="Times New Roman"/>
          <w:sz w:val="24"/>
          <w:szCs w:val="24"/>
        </w:rPr>
        <w:t>Dostawca usług może dokonywać takich zmian jeżeli możliwość wprowadzania zmiany przewidziano w treści umowy, określając w umowie okoliczności</w:t>
      </w:r>
      <w:r w:rsidR="002E232D">
        <w:rPr>
          <w:rFonts w:ascii="Times New Roman" w:eastAsiaTheme="minorEastAsia" w:hAnsi="Times New Roman" w:cs="Times New Roman"/>
          <w:sz w:val="24"/>
          <w:szCs w:val="24"/>
        </w:rPr>
        <w:t>,</w:t>
      </w:r>
      <w:r w:rsidR="001930F5" w:rsidRPr="003A42FB">
        <w:rPr>
          <w:rFonts w:ascii="Times New Roman" w:eastAsiaTheme="minorEastAsia" w:hAnsi="Times New Roman" w:cs="Times New Roman"/>
          <w:sz w:val="24"/>
          <w:szCs w:val="24"/>
        </w:rPr>
        <w:t xml:space="preserve"> w których zmiana może nastąpić.</w:t>
      </w:r>
      <w:r w:rsidR="00C25310" w:rsidRPr="003A42FB">
        <w:rPr>
          <w:rFonts w:ascii="Times New Roman" w:eastAsiaTheme="minorEastAsia" w:hAnsi="Times New Roman" w:cs="Times New Roman"/>
          <w:sz w:val="24"/>
          <w:szCs w:val="24"/>
        </w:rPr>
        <w:t xml:space="preserve"> Sposób</w:t>
      </w:r>
      <w:r w:rsidRPr="003A42FB">
        <w:rPr>
          <w:rFonts w:ascii="Times New Roman" w:eastAsiaTheme="minorEastAsia" w:hAnsi="Times New Roman" w:cs="Times New Roman"/>
          <w:sz w:val="24"/>
          <w:szCs w:val="24"/>
        </w:rPr>
        <w:t xml:space="preserve"> komunikowania o zmianach </w:t>
      </w:r>
      <w:r w:rsidR="00C25310" w:rsidRPr="003A42FB">
        <w:rPr>
          <w:rFonts w:ascii="Times New Roman" w:eastAsiaTheme="minorEastAsia" w:hAnsi="Times New Roman" w:cs="Times New Roman"/>
          <w:sz w:val="24"/>
          <w:szCs w:val="24"/>
        </w:rPr>
        <w:t xml:space="preserve">zbliżony jest do art. </w:t>
      </w:r>
      <w:r w:rsidR="00AD1DA0">
        <w:rPr>
          <w:rFonts w:ascii="Times New Roman" w:eastAsiaTheme="minorEastAsia" w:hAnsi="Times New Roman" w:cs="Times New Roman"/>
          <w:sz w:val="24"/>
          <w:szCs w:val="24"/>
        </w:rPr>
        <w:t>301</w:t>
      </w:r>
      <w:r w:rsidR="00C25310" w:rsidRPr="003A42FB">
        <w:rPr>
          <w:rFonts w:ascii="Times New Roman" w:eastAsiaTheme="minorEastAsia" w:hAnsi="Times New Roman" w:cs="Times New Roman"/>
          <w:sz w:val="24"/>
          <w:szCs w:val="24"/>
        </w:rPr>
        <w:t xml:space="preserve"> ust. 2, jednak w przypadku umów zawartych na czas nieokreślony nie ma </w:t>
      </w:r>
      <w:r w:rsidR="00EC4773" w:rsidRPr="003A42FB">
        <w:rPr>
          <w:rFonts w:ascii="Times New Roman" w:eastAsiaTheme="minorEastAsia" w:hAnsi="Times New Roman" w:cs="Times New Roman"/>
          <w:sz w:val="24"/>
          <w:szCs w:val="24"/>
        </w:rPr>
        <w:t>zastosowania</w:t>
      </w:r>
      <w:r w:rsidR="00C25310" w:rsidRPr="003A42FB">
        <w:rPr>
          <w:rFonts w:ascii="Times New Roman" w:eastAsiaTheme="minorEastAsia" w:hAnsi="Times New Roman" w:cs="Times New Roman"/>
          <w:sz w:val="24"/>
          <w:szCs w:val="24"/>
        </w:rPr>
        <w:t xml:space="preserve"> przepis o odszkodowaniu z art. </w:t>
      </w:r>
      <w:r w:rsidR="00AD1DA0">
        <w:rPr>
          <w:rFonts w:ascii="Times New Roman" w:eastAsiaTheme="minorEastAsia" w:hAnsi="Times New Roman" w:cs="Times New Roman"/>
          <w:sz w:val="24"/>
          <w:szCs w:val="24"/>
        </w:rPr>
        <w:t>298</w:t>
      </w:r>
      <w:r w:rsidR="00C25310" w:rsidRPr="003A42FB">
        <w:rPr>
          <w:rFonts w:ascii="Times New Roman" w:eastAsiaTheme="minorEastAsia" w:hAnsi="Times New Roman" w:cs="Times New Roman"/>
          <w:sz w:val="24"/>
          <w:szCs w:val="24"/>
        </w:rPr>
        <w:t xml:space="preserve"> ust. 1</w:t>
      </w:r>
      <w:r w:rsidR="00EC4773" w:rsidRPr="003A42FB">
        <w:rPr>
          <w:rFonts w:ascii="Times New Roman" w:eastAsiaTheme="minorEastAsia" w:hAnsi="Times New Roman" w:cs="Times New Roman"/>
          <w:sz w:val="24"/>
          <w:szCs w:val="24"/>
        </w:rPr>
        <w:t>, w związku z tym dostawca informuje jedynie o możliwości wypowiedzenia umowy w przypadku braku akceptacji zmian</w:t>
      </w:r>
      <w:r w:rsidR="00DE13CF" w:rsidRPr="003A42FB">
        <w:rPr>
          <w:rFonts w:ascii="Times New Roman" w:eastAsiaTheme="minorEastAsia" w:hAnsi="Times New Roman" w:cs="Times New Roman"/>
          <w:sz w:val="24"/>
          <w:szCs w:val="24"/>
        </w:rPr>
        <w:t>, przy czym termin na realizację tego prawa nie może być krótszy niż do dnia wejścia tych zmian w życie</w:t>
      </w:r>
      <w:r w:rsidR="00EC4773" w:rsidRPr="003A42FB">
        <w:rPr>
          <w:rFonts w:ascii="Times New Roman" w:eastAsiaTheme="minorEastAsia" w:hAnsi="Times New Roman" w:cs="Times New Roman"/>
          <w:sz w:val="24"/>
          <w:szCs w:val="24"/>
        </w:rPr>
        <w:t>.</w:t>
      </w:r>
    </w:p>
    <w:p w14:paraId="46D15C02" w14:textId="41EDB17C" w:rsidR="002C3E5A" w:rsidRPr="003A42FB" w:rsidRDefault="511785E3" w:rsidP="002C3E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sz w:val="24"/>
          <w:szCs w:val="24"/>
        </w:rPr>
        <w:t>303</w:t>
      </w:r>
      <w:r w:rsidR="002C3E5A" w:rsidRPr="003A42FB">
        <w:rPr>
          <w:rFonts w:ascii="Times New Roman" w:eastAsiaTheme="minorEastAsia" w:hAnsi="Times New Roman" w:cs="Times New Roman"/>
          <w:sz w:val="24"/>
          <w:szCs w:val="24"/>
        </w:rPr>
        <w:t xml:space="preserve"> </w:t>
      </w:r>
      <w:r w:rsidR="00E72A20" w:rsidRPr="003A42FB">
        <w:rPr>
          <w:rFonts w:ascii="Times New Roman" w:eastAsiaTheme="minorEastAsia" w:hAnsi="Times New Roman" w:cs="Times New Roman"/>
          <w:b/>
          <w:bCs/>
          <w:sz w:val="24"/>
          <w:szCs w:val="24"/>
        </w:rPr>
        <w:t>- z</w:t>
      </w:r>
      <w:r w:rsidR="002C3E5A" w:rsidRPr="003A42FB">
        <w:rPr>
          <w:rFonts w:ascii="Times New Roman" w:eastAsiaTheme="minorEastAsia" w:hAnsi="Times New Roman" w:cs="Times New Roman"/>
          <w:b/>
          <w:bCs/>
          <w:sz w:val="24"/>
          <w:szCs w:val="24"/>
        </w:rPr>
        <w:t>wrot kosztu urządzenia</w:t>
      </w:r>
    </w:p>
    <w:p w14:paraId="22B1C449" w14:textId="6D957715" w:rsidR="00743F94" w:rsidRPr="003A42FB" w:rsidRDefault="002C3E5A" w:rsidP="0001231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1 odnosi się do sytuacji odmiennej niż określona w art. </w:t>
      </w:r>
      <w:r w:rsidR="00AD1DA0">
        <w:rPr>
          <w:rFonts w:ascii="Times New Roman" w:eastAsiaTheme="minorEastAsia" w:hAnsi="Times New Roman" w:cs="Times New Roman"/>
          <w:sz w:val="24"/>
          <w:szCs w:val="24"/>
        </w:rPr>
        <w:t>298</w:t>
      </w:r>
      <w:r w:rsidRPr="003A42FB">
        <w:rPr>
          <w:rFonts w:ascii="Times New Roman" w:eastAsiaTheme="minorEastAsia" w:hAnsi="Times New Roman" w:cs="Times New Roman"/>
          <w:sz w:val="24"/>
          <w:szCs w:val="24"/>
        </w:rPr>
        <w:t xml:space="preserve"> czyli tj. takiej, w której abonent, na mocy przepisów, jest uprawniony do wypowiedzenia umowy bez konieczności </w:t>
      </w:r>
      <w:r w:rsidRPr="003A42FB">
        <w:rPr>
          <w:rFonts w:ascii="Times New Roman" w:eastAsiaTheme="minorEastAsia" w:hAnsi="Times New Roman" w:cs="Times New Roman"/>
          <w:sz w:val="24"/>
          <w:szCs w:val="24"/>
        </w:rPr>
        <w:lastRenderedPageBreak/>
        <w:t xml:space="preserve">zwrotu odszkodowania tj. w przypadku: jednostronnej zmiany warunków umowy przez dostawcę usług z zastrzeżeniem art. </w:t>
      </w:r>
      <w:r w:rsidR="00AD1DA0">
        <w:rPr>
          <w:rFonts w:ascii="Times New Roman" w:eastAsiaTheme="minorEastAsia" w:hAnsi="Times New Roman" w:cs="Times New Roman"/>
          <w:sz w:val="24"/>
          <w:szCs w:val="24"/>
        </w:rPr>
        <w:t>301</w:t>
      </w:r>
      <w:r w:rsidRPr="003A42FB">
        <w:rPr>
          <w:rFonts w:ascii="Times New Roman" w:eastAsiaTheme="minorEastAsia" w:hAnsi="Times New Roman" w:cs="Times New Roman"/>
          <w:sz w:val="24"/>
          <w:szCs w:val="24"/>
        </w:rPr>
        <w:t xml:space="preserve"> ust. 1</w:t>
      </w:r>
      <w:r w:rsidR="00DE13C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lub występowania istotnych rozbieżności między wykonaniem umowy a jej postanowieniami. W sytuacji, gdy abonent korzystając z uprawnienia do rozwiązania umowy chce zatrzymać telekomunikacyjne urządzenie końcowe wydane w ramach umowy przenoszącej własność urządzenia na abonenta (promocyjne urządzenie końcowe), dostawca usług może żądać zapłaty </w:t>
      </w:r>
      <w:r w:rsidR="00743F94" w:rsidRPr="003A42FB">
        <w:rPr>
          <w:rFonts w:ascii="Times New Roman" w:eastAsiaTheme="minorEastAsia" w:hAnsi="Times New Roman" w:cs="Times New Roman"/>
          <w:sz w:val="24"/>
          <w:szCs w:val="24"/>
        </w:rPr>
        <w:t>odszkodowania w wysokości sumy części opłaty abonamentowej lub innej okresowej opłaty stanowiącej opłatę za:</w:t>
      </w:r>
    </w:p>
    <w:p w14:paraId="5B9E17BB" w14:textId="01A69E2A" w:rsidR="00743F94" w:rsidRPr="003A42FB" w:rsidRDefault="00743F94" w:rsidP="0001231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  usługę wskazanej w art. </w:t>
      </w:r>
      <w:r w:rsidR="00AD1DA0">
        <w:rPr>
          <w:rFonts w:ascii="Times New Roman" w:eastAsiaTheme="minorEastAsia" w:hAnsi="Times New Roman" w:cs="Times New Roman"/>
          <w:sz w:val="24"/>
          <w:szCs w:val="24"/>
        </w:rPr>
        <w:t>282</w:t>
      </w:r>
      <w:r w:rsidRPr="003A42FB">
        <w:rPr>
          <w:rFonts w:ascii="Times New Roman" w:eastAsiaTheme="minorEastAsia" w:hAnsi="Times New Roman" w:cs="Times New Roman"/>
          <w:sz w:val="24"/>
          <w:szCs w:val="24"/>
        </w:rPr>
        <w:t xml:space="preserve"> ust. 1 pkt 6 lit a lub art. </w:t>
      </w:r>
      <w:r w:rsidR="00AD1DA0">
        <w:rPr>
          <w:rFonts w:ascii="Times New Roman" w:eastAsiaTheme="minorEastAsia" w:hAnsi="Times New Roman" w:cs="Times New Roman"/>
          <w:sz w:val="24"/>
          <w:szCs w:val="24"/>
        </w:rPr>
        <w:t>288</w:t>
      </w:r>
      <w:r w:rsidRPr="003A42FB">
        <w:rPr>
          <w:rFonts w:ascii="Times New Roman" w:eastAsiaTheme="minorEastAsia" w:hAnsi="Times New Roman" w:cs="Times New Roman"/>
          <w:sz w:val="24"/>
          <w:szCs w:val="24"/>
        </w:rPr>
        <w:t xml:space="preserve"> ust. 1 pkt 3 lit a, które abonent powinien</w:t>
      </w:r>
      <w:r w:rsidRPr="003A42FB" w:rsidDel="00B95C4A">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uiścić do czasu zakończenia obowiązywania umowy lub</w:t>
      </w:r>
    </w:p>
    <w:p w14:paraId="19AF7346" w14:textId="73667007" w:rsidR="00743F94" w:rsidRPr="003A42FB" w:rsidRDefault="00743F94" w:rsidP="0001231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 b)  urządzenie wskazanej w art. </w:t>
      </w:r>
      <w:r w:rsidR="00AD1DA0">
        <w:rPr>
          <w:rFonts w:ascii="Times New Roman" w:eastAsiaTheme="minorEastAsia" w:hAnsi="Times New Roman" w:cs="Times New Roman"/>
          <w:sz w:val="24"/>
          <w:szCs w:val="24"/>
        </w:rPr>
        <w:t>282</w:t>
      </w:r>
      <w:r w:rsidRPr="003A42FB">
        <w:rPr>
          <w:rFonts w:ascii="Times New Roman" w:eastAsiaTheme="minorEastAsia" w:hAnsi="Times New Roman" w:cs="Times New Roman"/>
          <w:sz w:val="24"/>
          <w:szCs w:val="24"/>
        </w:rPr>
        <w:t xml:space="preserve"> ust. 1 pkt 6 lit c lub art. </w:t>
      </w:r>
      <w:r w:rsidR="00AD1DA0">
        <w:rPr>
          <w:rFonts w:ascii="Times New Roman" w:eastAsiaTheme="minorEastAsia" w:hAnsi="Times New Roman" w:cs="Times New Roman"/>
          <w:sz w:val="24"/>
          <w:szCs w:val="24"/>
        </w:rPr>
        <w:t>288</w:t>
      </w:r>
      <w:r w:rsidRPr="003A42FB">
        <w:rPr>
          <w:rFonts w:ascii="Times New Roman" w:eastAsiaTheme="minorEastAsia" w:hAnsi="Times New Roman" w:cs="Times New Roman"/>
          <w:sz w:val="24"/>
          <w:szCs w:val="24"/>
        </w:rPr>
        <w:t xml:space="preserve"> ust. 1 pkt 3 lit c, które abonent powinien uiścić do czasu zakończenia obowiązywania umowy.</w:t>
      </w:r>
    </w:p>
    <w:p w14:paraId="788DD19A" w14:textId="03981956" w:rsidR="006A510B" w:rsidRPr="003A42FB" w:rsidRDefault="002C3E5A" w:rsidP="002C3E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 w zależności od tego, która kwota będzie niższa. </w:t>
      </w:r>
    </w:p>
    <w:p w14:paraId="68C3944A" w14:textId="73AEED4A" w:rsidR="002C3E5A" w:rsidRPr="003A42FB" w:rsidRDefault="002C3E5A" w:rsidP="002C3E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Taki sposób uregulowania zakresu roszczeń stanowi kompromis między ochroną uzasadnionych interesów abonentów oraz zapewnieniem dostawcy usług możliwości uzyskania proporcjonalnego zwrotu części kosztu urządzenia. </w:t>
      </w:r>
    </w:p>
    <w:p w14:paraId="156ABD45" w14:textId="77777777" w:rsidR="00F9654F" w:rsidRPr="003A42FB" w:rsidRDefault="00F9654F" w:rsidP="00F9654F">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stanowi implementację art. 105 ust. 6 EKŁE.</w:t>
      </w:r>
    </w:p>
    <w:p w14:paraId="48662ADE" w14:textId="3BE4B075" w:rsidR="00F9654F" w:rsidRPr="003A42FB" w:rsidRDefault="00F9654F" w:rsidP="002C3E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przypadku usług transmisji danych używanych do świadczenia usług komunikacji maszyna-maszyna uprawnienie, o którym mowa ust. 1-2, przysługuje wyłącznie konsumentom oraz pozostałym podmiotom z art. </w:t>
      </w:r>
      <w:r w:rsidR="00AD1DA0">
        <w:rPr>
          <w:rFonts w:ascii="Times New Roman" w:eastAsiaTheme="minorEastAsia" w:hAnsi="Times New Roman" w:cs="Times New Roman"/>
          <w:sz w:val="24"/>
          <w:szCs w:val="24"/>
        </w:rPr>
        <w:t>287</w:t>
      </w:r>
      <w:r w:rsidRPr="003A42FB">
        <w:rPr>
          <w:rFonts w:ascii="Times New Roman" w:eastAsiaTheme="minorEastAsia" w:hAnsi="Times New Roman" w:cs="Times New Roman"/>
          <w:sz w:val="24"/>
          <w:szCs w:val="24"/>
        </w:rPr>
        <w:t xml:space="preserve"> Pke, które mogą skorzystać z przepisów konsumenckich w przypadku braku sprzeciwu przeciwko zastosowaniu wobec nich tych przepisów.</w:t>
      </w:r>
    </w:p>
    <w:p w14:paraId="71DFF460" w14:textId="4F525258" w:rsidR="00FB66B0" w:rsidRPr="003A42FB" w:rsidRDefault="00FB66B0" w:rsidP="002C3E5A">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AD1DA0">
        <w:rPr>
          <w:rFonts w:ascii="Times New Roman" w:eastAsiaTheme="minorEastAsia" w:hAnsi="Times New Roman" w:cs="Times New Roman"/>
          <w:b/>
          <w:sz w:val="24"/>
          <w:szCs w:val="24"/>
        </w:rPr>
        <w:t>304</w:t>
      </w:r>
      <w:r w:rsidR="006A510B" w:rsidRPr="003A42FB">
        <w:rPr>
          <w:rFonts w:ascii="Times New Roman" w:eastAsiaTheme="minorEastAsia" w:hAnsi="Times New Roman" w:cs="Times New Roman"/>
          <w:b/>
          <w:sz w:val="24"/>
          <w:szCs w:val="24"/>
        </w:rPr>
        <w:t xml:space="preserve"> – zniesienie ograniczeń w korzystaniu z urządzenia</w:t>
      </w:r>
    </w:p>
    <w:p w14:paraId="321CCA61" w14:textId="31A59752" w:rsidR="002C3E5A" w:rsidRPr="003A42FB" w:rsidRDefault="00F9654F" w:rsidP="002C3E5A">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 xml:space="preserve">Przepis art. </w:t>
      </w:r>
      <w:r w:rsidR="00AD1DA0">
        <w:rPr>
          <w:rFonts w:ascii="Times New Roman" w:eastAsiaTheme="minorEastAsia" w:hAnsi="Times New Roman" w:cs="Times New Roman"/>
          <w:sz w:val="24"/>
          <w:szCs w:val="24"/>
        </w:rPr>
        <w:t>304</w:t>
      </w:r>
      <w:r w:rsidR="002C3E5A" w:rsidRPr="003A42FB">
        <w:rPr>
          <w:rFonts w:ascii="Times New Roman" w:eastAsiaTheme="minorEastAsia" w:hAnsi="Times New Roman" w:cs="Times New Roman"/>
          <w:sz w:val="24"/>
          <w:szCs w:val="24"/>
        </w:rPr>
        <w:t xml:space="preserve"> wskazuje, że dostawca usług jest zobowiązany do bezpłatnego usunięcia wszelkich ograniczeń w zakresie korzystania z </w:t>
      </w:r>
      <w:r w:rsidR="006A510B" w:rsidRPr="003A42FB">
        <w:rPr>
          <w:rFonts w:ascii="Times New Roman" w:eastAsiaTheme="minorEastAsia" w:hAnsi="Times New Roman" w:cs="Times New Roman"/>
          <w:sz w:val="24"/>
          <w:szCs w:val="24"/>
        </w:rPr>
        <w:t xml:space="preserve">promocyjnego </w:t>
      </w:r>
      <w:r w:rsidR="002C3E5A" w:rsidRPr="003A42FB">
        <w:rPr>
          <w:rFonts w:ascii="Times New Roman" w:eastAsiaTheme="minorEastAsia" w:hAnsi="Times New Roman" w:cs="Times New Roman"/>
          <w:sz w:val="24"/>
          <w:szCs w:val="24"/>
        </w:rPr>
        <w:t xml:space="preserve">urządzenia końcowego, takich jak blokada SIM lock w każdym wypadku, w którym abonent uregulował wszystkie opłaty za to urządzenie. </w:t>
      </w:r>
      <w:r w:rsidR="006A510B" w:rsidRPr="003A42FB">
        <w:rPr>
          <w:rFonts w:ascii="Times New Roman" w:eastAsiaTheme="minorEastAsia" w:hAnsi="Times New Roman" w:cs="Times New Roman"/>
          <w:sz w:val="24"/>
          <w:szCs w:val="24"/>
        </w:rPr>
        <w:t xml:space="preserve">Obowiązek ten będzie się aktualizował zatem w przypadku: </w:t>
      </w:r>
      <w:r w:rsidR="006A510B" w:rsidRPr="003A42FB">
        <w:rPr>
          <w:rFonts w:ascii="Times New Roman" w:eastAsiaTheme="minorEastAsia" w:hAnsi="Times New Roman" w:cs="Times New Roman"/>
          <w:bCs/>
          <w:sz w:val="24"/>
          <w:szCs w:val="24"/>
        </w:rPr>
        <w:t>upływu okresu na jaki została zawarta umowa o świadczenie usług komunikacji elektronicznej</w:t>
      </w:r>
      <w:r w:rsidR="002935CC">
        <w:rPr>
          <w:rFonts w:ascii="Times New Roman" w:eastAsiaTheme="minorEastAsia" w:hAnsi="Times New Roman" w:cs="Times New Roman"/>
          <w:bCs/>
          <w:sz w:val="24"/>
          <w:szCs w:val="24"/>
        </w:rPr>
        <w:t>,</w:t>
      </w:r>
      <w:r w:rsidR="006A510B" w:rsidRPr="003A42FB">
        <w:rPr>
          <w:rFonts w:ascii="Times New Roman" w:eastAsiaTheme="minorEastAsia" w:hAnsi="Times New Roman" w:cs="Times New Roman"/>
          <w:bCs/>
          <w:sz w:val="24"/>
          <w:szCs w:val="24"/>
        </w:rPr>
        <w:t xml:space="preserve"> w ramach której sprzedano urządzenie, zapłaty odszkodowania, o którym mowa w art. </w:t>
      </w:r>
      <w:r w:rsidR="00AD1DA0">
        <w:rPr>
          <w:rFonts w:ascii="Times New Roman" w:eastAsiaTheme="minorEastAsia" w:hAnsi="Times New Roman" w:cs="Times New Roman"/>
          <w:bCs/>
          <w:sz w:val="24"/>
          <w:szCs w:val="24"/>
        </w:rPr>
        <w:t>298</w:t>
      </w:r>
      <w:r w:rsidR="006A510B" w:rsidRPr="003A42FB">
        <w:rPr>
          <w:rFonts w:ascii="Times New Roman" w:eastAsiaTheme="minorEastAsia" w:hAnsi="Times New Roman" w:cs="Times New Roman"/>
          <w:bCs/>
          <w:sz w:val="24"/>
          <w:szCs w:val="24"/>
        </w:rPr>
        <w:t xml:space="preserve"> ust. 1 albo zapłaty odszkodowania, o którym mowa w art. </w:t>
      </w:r>
      <w:r w:rsidR="00AD1DA0">
        <w:rPr>
          <w:rFonts w:ascii="Times New Roman" w:eastAsiaTheme="minorEastAsia" w:hAnsi="Times New Roman" w:cs="Times New Roman"/>
          <w:bCs/>
          <w:sz w:val="24"/>
          <w:szCs w:val="24"/>
        </w:rPr>
        <w:t>303</w:t>
      </w:r>
      <w:r w:rsidR="006A510B" w:rsidRPr="003A42FB">
        <w:rPr>
          <w:rFonts w:ascii="Times New Roman" w:eastAsiaTheme="minorEastAsia" w:hAnsi="Times New Roman" w:cs="Times New Roman"/>
          <w:bCs/>
          <w:sz w:val="24"/>
          <w:szCs w:val="24"/>
        </w:rPr>
        <w:t xml:space="preserve"> ust. 1.</w:t>
      </w:r>
    </w:p>
    <w:p w14:paraId="158CA982" w14:textId="454451A4" w:rsidR="002C3E5A" w:rsidRPr="003A42FB" w:rsidRDefault="002C3E5A" w:rsidP="002C3E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stanowi </w:t>
      </w:r>
      <w:r w:rsidR="00F9654F" w:rsidRPr="003A42FB">
        <w:rPr>
          <w:rFonts w:ascii="Times New Roman" w:eastAsiaTheme="minorEastAsia" w:hAnsi="Times New Roman" w:cs="Times New Roman"/>
          <w:sz w:val="24"/>
          <w:szCs w:val="24"/>
        </w:rPr>
        <w:t>częściową</w:t>
      </w:r>
      <w:r w:rsidRPr="003A42FB">
        <w:rPr>
          <w:rFonts w:ascii="Times New Roman" w:eastAsiaTheme="minorEastAsia" w:hAnsi="Times New Roman" w:cs="Times New Roman"/>
          <w:sz w:val="24"/>
          <w:szCs w:val="24"/>
        </w:rPr>
        <w:t xml:space="preserve"> implementację art. 105 ust. 6 EKŁE.</w:t>
      </w:r>
    </w:p>
    <w:p w14:paraId="504F9187" w14:textId="10DAD07A" w:rsidR="002C3E5A" w:rsidRPr="003A42FB" w:rsidRDefault="002C3E5A" w:rsidP="002C3E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przypadku usług transmisji </w:t>
      </w:r>
      <w:r w:rsidR="002935CC">
        <w:rPr>
          <w:rFonts w:ascii="Times New Roman" w:eastAsiaTheme="minorEastAsia" w:hAnsi="Times New Roman" w:cs="Times New Roman"/>
          <w:sz w:val="24"/>
          <w:szCs w:val="24"/>
        </w:rPr>
        <w:t>na potrzeby</w:t>
      </w:r>
      <w:r w:rsidRPr="003A42FB">
        <w:rPr>
          <w:rFonts w:ascii="Times New Roman" w:eastAsiaTheme="minorEastAsia" w:hAnsi="Times New Roman" w:cs="Times New Roman"/>
          <w:sz w:val="24"/>
          <w:szCs w:val="24"/>
        </w:rPr>
        <w:t xml:space="preserve"> komunikacji </w:t>
      </w:r>
      <w:r w:rsidR="002935CC">
        <w:rPr>
          <w:rFonts w:ascii="Times New Roman" w:eastAsiaTheme="minorEastAsia" w:hAnsi="Times New Roman" w:cs="Times New Roman"/>
          <w:sz w:val="24"/>
          <w:szCs w:val="24"/>
        </w:rPr>
        <w:t>M2M</w:t>
      </w:r>
      <w:r w:rsidRPr="003A42FB">
        <w:rPr>
          <w:rFonts w:ascii="Times New Roman" w:eastAsiaTheme="minorEastAsia" w:hAnsi="Times New Roman" w:cs="Times New Roman"/>
          <w:sz w:val="24"/>
          <w:szCs w:val="24"/>
        </w:rPr>
        <w:t xml:space="preserve"> uprawnienie, o którym mowa ust. 1-2, przysługuje wyłącznie konsumentom oraz pozostałym podmiotom z art. </w:t>
      </w:r>
      <w:r w:rsidR="00AD1DA0">
        <w:rPr>
          <w:rFonts w:ascii="Times New Roman" w:eastAsiaTheme="minorEastAsia" w:hAnsi="Times New Roman" w:cs="Times New Roman"/>
          <w:sz w:val="24"/>
          <w:szCs w:val="24"/>
        </w:rPr>
        <w:t>287</w:t>
      </w:r>
      <w:r w:rsidRPr="003A42FB">
        <w:rPr>
          <w:rFonts w:ascii="Times New Roman" w:eastAsiaTheme="minorEastAsia" w:hAnsi="Times New Roman" w:cs="Times New Roman"/>
          <w:sz w:val="24"/>
          <w:szCs w:val="24"/>
        </w:rPr>
        <w:t xml:space="preserve"> Pke, które mogą skorzystać z przepisów konsumenckich </w:t>
      </w:r>
      <w:r w:rsidR="002935CC">
        <w:rPr>
          <w:rFonts w:ascii="Times New Roman" w:eastAsiaTheme="minorEastAsia" w:hAnsi="Times New Roman" w:cs="Times New Roman"/>
          <w:sz w:val="24"/>
          <w:szCs w:val="24"/>
        </w:rPr>
        <w:t>i nie zrzekły się tego prawa</w:t>
      </w:r>
      <w:r w:rsidRPr="003A42FB">
        <w:rPr>
          <w:rFonts w:ascii="Times New Roman" w:eastAsiaTheme="minorEastAsia" w:hAnsi="Times New Roman" w:cs="Times New Roman"/>
          <w:sz w:val="24"/>
          <w:szCs w:val="24"/>
        </w:rPr>
        <w:t>.</w:t>
      </w:r>
    </w:p>
    <w:p w14:paraId="77DF4A6D" w14:textId="357C92D7" w:rsidR="00221330" w:rsidRPr="003A42FB" w:rsidRDefault="511785E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305</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58BD522B" w:rsidRPr="003A42FB">
        <w:rPr>
          <w:rFonts w:ascii="Times New Roman" w:eastAsiaTheme="minorEastAsia" w:hAnsi="Times New Roman" w:cs="Times New Roman"/>
          <w:b/>
          <w:bCs/>
          <w:sz w:val="24"/>
          <w:szCs w:val="24"/>
        </w:rPr>
        <w:t>i</w:t>
      </w:r>
      <w:r w:rsidR="566EAACD" w:rsidRPr="003A42FB">
        <w:rPr>
          <w:rFonts w:ascii="Times New Roman" w:eastAsiaTheme="minorEastAsia" w:hAnsi="Times New Roman" w:cs="Times New Roman"/>
          <w:b/>
          <w:bCs/>
          <w:sz w:val="24"/>
          <w:szCs w:val="24"/>
        </w:rPr>
        <w:t>nformacje publikowane przez Prezesa UKE</w:t>
      </w:r>
    </w:p>
    <w:p w14:paraId="41060180" w14:textId="0EE2CDC5"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AD1DA0">
        <w:rPr>
          <w:rFonts w:ascii="Times New Roman" w:eastAsiaTheme="minorEastAsia" w:hAnsi="Times New Roman" w:cs="Times New Roman"/>
          <w:sz w:val="24"/>
          <w:szCs w:val="24"/>
        </w:rPr>
        <w:t>305</w:t>
      </w:r>
      <w:r w:rsidRPr="003A42FB">
        <w:rPr>
          <w:rFonts w:ascii="Times New Roman" w:eastAsiaTheme="minorEastAsia" w:hAnsi="Times New Roman" w:cs="Times New Roman"/>
          <w:sz w:val="24"/>
          <w:szCs w:val="24"/>
        </w:rPr>
        <w:t xml:space="preserve"> dotyczy publikowania przez Prezesa UKE, na swojej stronie</w:t>
      </w:r>
      <w:r w:rsidR="00AA1056" w:rsidRPr="003A42FB">
        <w:rPr>
          <w:rFonts w:ascii="Times New Roman" w:eastAsiaTheme="minorEastAsia" w:hAnsi="Times New Roman" w:cs="Times New Roman"/>
          <w:sz w:val="24"/>
          <w:szCs w:val="24"/>
        </w:rPr>
        <w:t xml:space="preserve"> BIP</w:t>
      </w:r>
      <w:r w:rsidRPr="003A42FB">
        <w:rPr>
          <w:rFonts w:ascii="Times New Roman" w:eastAsiaTheme="minorEastAsia" w:hAnsi="Times New Roman" w:cs="Times New Roman"/>
          <w:sz w:val="24"/>
          <w:szCs w:val="24"/>
        </w:rPr>
        <w:t xml:space="preserve">, katalogu informacji istotnych z punktu widzenia użytkowników końcowych, dotyczących ich podstawowych praw i obowiązków. Publikacji podlegać będą informacje m.in. o: usłudze powszechnej, standardowych warunkach umów, sposobach ochrony bezpieczeństwa, prywatności i danych osobowych podczas korzystania z usług, sposobach pozasądowego rozwiązywania sporów między konsumentami a przedsiębiorcami telekomunikacyjnymi. W ust. 2 </w:t>
      </w:r>
      <w:r w:rsidR="00AA1056" w:rsidRPr="003A42FB">
        <w:rPr>
          <w:rFonts w:ascii="Times New Roman" w:eastAsiaTheme="minorEastAsia" w:hAnsi="Times New Roman" w:cs="Times New Roman"/>
          <w:sz w:val="24"/>
          <w:szCs w:val="24"/>
        </w:rPr>
        <w:t>wskazano, że</w:t>
      </w:r>
      <w:r w:rsidRPr="003A42FB">
        <w:rPr>
          <w:rFonts w:ascii="Times New Roman" w:eastAsiaTheme="minorEastAsia" w:hAnsi="Times New Roman" w:cs="Times New Roman"/>
          <w:sz w:val="24"/>
          <w:szCs w:val="24"/>
        </w:rPr>
        <w:t xml:space="preserve"> Prezes UKE może zobligować dostawców usług do publikowania ww. informacji na ich stronach internetowych lub w punktach obsługi klienta.</w:t>
      </w:r>
      <w:r w:rsidR="41B4F520" w:rsidRPr="003A42FB">
        <w:rPr>
          <w:rFonts w:ascii="Times New Roman" w:eastAsiaTheme="minorEastAsia" w:hAnsi="Times New Roman" w:cs="Times New Roman"/>
          <w:sz w:val="24"/>
          <w:szCs w:val="24"/>
        </w:rPr>
        <w:t xml:space="preserve"> Przepis ten pozostaje tożsamy z regulacjami wynikającymi z Pt.</w:t>
      </w:r>
    </w:p>
    <w:p w14:paraId="5D991B05" w14:textId="2DFCC9A5" w:rsidR="00221330" w:rsidRPr="003A42FB" w:rsidRDefault="7A110AB9"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306</w:t>
      </w:r>
      <w:r w:rsidRPr="003A42FB">
        <w:rPr>
          <w:rFonts w:ascii="Times New Roman" w:eastAsiaTheme="minorEastAsia" w:hAnsi="Times New Roman" w:cs="Times New Roman"/>
          <w:b/>
          <w:bCs/>
          <w:sz w:val="24"/>
          <w:szCs w:val="24"/>
        </w:rPr>
        <w:t xml:space="preserve"> -</w:t>
      </w:r>
      <w:r w:rsidR="42344B0E" w:rsidRPr="003A42FB">
        <w:rPr>
          <w:rFonts w:ascii="Times New Roman" w:eastAsiaTheme="minorEastAsia" w:hAnsi="Times New Roman" w:cs="Times New Roman"/>
          <w:b/>
          <w:bCs/>
          <w:sz w:val="24"/>
          <w:szCs w:val="24"/>
        </w:rPr>
        <w:t xml:space="preserve"> i</w:t>
      </w:r>
      <w:r w:rsidR="566EAACD" w:rsidRPr="003A42FB">
        <w:rPr>
          <w:rFonts w:ascii="Times New Roman" w:eastAsiaTheme="minorEastAsia" w:hAnsi="Times New Roman" w:cs="Times New Roman"/>
          <w:b/>
          <w:bCs/>
          <w:sz w:val="24"/>
          <w:szCs w:val="24"/>
        </w:rPr>
        <w:t>nformacja o metodzie pomiaru prędkości usługi dostępu do internetu</w:t>
      </w:r>
    </w:p>
    <w:p w14:paraId="6C44046A" w14:textId="3E87C212"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Artykuł </w:t>
      </w:r>
      <w:r w:rsidR="00AD1DA0">
        <w:rPr>
          <w:rFonts w:ascii="Times New Roman" w:eastAsiaTheme="minorEastAsia" w:hAnsi="Times New Roman" w:cs="Times New Roman"/>
          <w:sz w:val="24"/>
          <w:szCs w:val="24"/>
        </w:rPr>
        <w:t>306</w:t>
      </w:r>
      <w:r w:rsidRPr="003A42FB">
        <w:rPr>
          <w:rFonts w:ascii="Times New Roman" w:eastAsiaTheme="minorEastAsia" w:hAnsi="Times New Roman" w:cs="Times New Roman"/>
          <w:sz w:val="24"/>
          <w:szCs w:val="24"/>
        </w:rPr>
        <w:t xml:space="preserve"> przewiduje obowiązek informowania Prezesa UKE, na jego żądanie, o metodzie pomiaru prędkości usługi dostępu do internetu. Obowiązek ten dotyczy dostawców usług dostępu do internetu, którzy podają do publicznej wiadomości lub określają w umowie prędkość transmisji danych. Prezes UKE może w terminie 14 dni od dnia przekazania informacji o stosowanej przez dostawcę usługi metodzie pomiaru, zgłosić w formie decyzji sprzeciw co do tej metody, jeżeli uznał, że nie gwarantuje ona użytkownikom końcowym przejrzystych informacji o parametrach usługi lub nie zapewnia rzetelnego pomiaru.  W decyzji tej Prezes UKE nakłada obowiązek stosowania określonej metody pomiaru prędkości transmisji danych. Brak sprzeciwu w ww. terminie uznawany jest za akceptację metody pomiaru. W przypadku nieprzekazania informacji o metodzie pomiaru Prezes UKE wydaje decyzję, w której nakłada na przedsiębiorcę obowiązek stosowania określonej metody pomiaru (ust. 6).</w:t>
      </w:r>
    </w:p>
    <w:p w14:paraId="4FB6B5A0" w14:textId="61C5242B"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 podstawie ust. 4 Prezes UKE jest uprawniony do przeprowadzania </w:t>
      </w:r>
      <w:r w:rsidR="238979C5" w:rsidRPr="003A42FB">
        <w:rPr>
          <w:rFonts w:ascii="Times New Roman" w:eastAsiaTheme="minorEastAsia" w:hAnsi="Times New Roman" w:cs="Times New Roman"/>
          <w:sz w:val="24"/>
          <w:szCs w:val="24"/>
        </w:rPr>
        <w:t>badania</w:t>
      </w:r>
      <w:r w:rsidRPr="003A42FB">
        <w:rPr>
          <w:rFonts w:ascii="Times New Roman" w:eastAsiaTheme="minorEastAsia" w:hAnsi="Times New Roman" w:cs="Times New Roman"/>
          <w:sz w:val="24"/>
          <w:szCs w:val="24"/>
        </w:rPr>
        <w:t xml:space="preserve"> czy prędkość mierzona za pomocą metody, co do której Prezes UKE nie zgłosił sprzeciwu, nie jest mniejsza niż prędkość wynikająca z materiałów promocyjnych lub umów. Jeżeli w wyniku tego badania Prezes UKE ustali, że mierzona prędkość jest mniejsza niż deklarowana przez przedsiębiorcę, Prezes UKE nakłada w drodze decyzji obowiązek dostosowania tej prędkości, w terminie 30 dni od dnia doręczenia decyzji (ust.5).</w:t>
      </w:r>
    </w:p>
    <w:p w14:paraId="248FBE48" w14:textId="11DBF247" w:rsidR="2C6ECB62" w:rsidRPr="003A42FB" w:rsidRDefault="2C6ECB6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Przepisy te pozostają tożsame z regulacjami wynikającymi z</w:t>
      </w:r>
      <w:r w:rsidR="10D5E5C3" w:rsidRPr="003A42FB">
        <w:rPr>
          <w:rFonts w:ascii="Times New Roman" w:eastAsiaTheme="minorEastAsia" w:hAnsi="Times New Roman" w:cs="Times New Roman"/>
          <w:sz w:val="24"/>
          <w:szCs w:val="24"/>
        </w:rPr>
        <w:t xml:space="preserve"> ustawy</w:t>
      </w:r>
      <w:r w:rsidRPr="003A42FB">
        <w:rPr>
          <w:rFonts w:ascii="Times New Roman" w:eastAsiaTheme="minorEastAsia" w:hAnsi="Times New Roman" w:cs="Times New Roman"/>
          <w:sz w:val="24"/>
          <w:szCs w:val="24"/>
        </w:rPr>
        <w:t xml:space="preserve"> Pt.</w:t>
      </w:r>
    </w:p>
    <w:p w14:paraId="00BE86BB" w14:textId="792CFDAF" w:rsidR="00221330" w:rsidRPr="003A42FB" w:rsidRDefault="788AF25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AD1DA0">
        <w:rPr>
          <w:rFonts w:ascii="Times New Roman" w:eastAsiaTheme="minorEastAsia" w:hAnsi="Times New Roman" w:cs="Times New Roman"/>
          <w:b/>
          <w:bCs/>
          <w:sz w:val="24"/>
          <w:szCs w:val="24"/>
        </w:rPr>
        <w:t>307</w:t>
      </w:r>
      <w:r w:rsidRPr="003A42FB">
        <w:rPr>
          <w:rFonts w:ascii="Times New Roman" w:eastAsiaTheme="minorEastAsia" w:hAnsi="Times New Roman" w:cs="Times New Roman"/>
          <w:b/>
          <w:bCs/>
          <w:sz w:val="24"/>
          <w:szCs w:val="24"/>
        </w:rPr>
        <w:t xml:space="preserve"> - </w:t>
      </w:r>
      <w:r w:rsidR="4571488E" w:rsidRPr="003A42FB">
        <w:rPr>
          <w:rFonts w:ascii="Times New Roman" w:eastAsiaTheme="minorEastAsia" w:hAnsi="Times New Roman" w:cs="Times New Roman"/>
          <w:b/>
          <w:bCs/>
          <w:sz w:val="24"/>
          <w:szCs w:val="24"/>
        </w:rPr>
        <w:t>n</w:t>
      </w:r>
      <w:r w:rsidR="566EAACD" w:rsidRPr="003A42FB">
        <w:rPr>
          <w:rFonts w:ascii="Times New Roman" w:eastAsiaTheme="minorEastAsia" w:hAnsi="Times New Roman" w:cs="Times New Roman"/>
          <w:b/>
          <w:bCs/>
          <w:sz w:val="24"/>
          <w:szCs w:val="24"/>
        </w:rPr>
        <w:t>iezależne narzędzie porównawcze</w:t>
      </w:r>
    </w:p>
    <w:p w14:paraId="71C838AF" w14:textId="675B30DD"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AD1DA0">
        <w:rPr>
          <w:rFonts w:ascii="Times New Roman" w:eastAsiaTheme="minorEastAsia" w:hAnsi="Times New Roman" w:cs="Times New Roman"/>
          <w:sz w:val="24"/>
          <w:szCs w:val="24"/>
        </w:rPr>
        <w:t>307</w:t>
      </w:r>
      <w:r w:rsidRPr="003A42FB">
        <w:rPr>
          <w:rFonts w:ascii="Times New Roman" w:eastAsiaTheme="minorEastAsia" w:hAnsi="Times New Roman" w:cs="Times New Roman"/>
          <w:sz w:val="24"/>
          <w:szCs w:val="24"/>
        </w:rPr>
        <w:t xml:space="preserve"> dotyczy nowego uprawnienia dla użytkowników końcowych w postaci możliwości korzystania z niezależnego narzędzia porównawczego. Artykuł ten stanowi implementację art. 103 ust. 2 i 3 EKŁE, który zobowiązuje państwa członkowskie do zapewnienia na swoim terytorium, aby użytkownicy końcowi mieli swobodny dostęp do co najmniej jednego takiego narzędzi</w:t>
      </w:r>
      <w:r w:rsidR="00454484">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w:t>
      </w:r>
    </w:p>
    <w:p w14:paraId="12215A15" w14:textId="4418E3FF"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Narzędzie porównawcze ma umożliwiać porównanie warunków świadczenia usług dostępu do internetu oraz publicznie dostępnych usług komunikacji interpersonalnej, w zakresie ceny i jakości – czyli tych parametrów, które z punktu widzenia użytkownika końcowego są najważniejsze i decydujące przy wyborze oferty. Ustęp 2 precyzuje warunki jakie narzędzie porównawcze powinno spełniać. Narzędzie porównawcze powinno być m.in. funkcjonalnie niezależne od dostawców usług, stosować jasne i obiektywne kryteria porównania, zapewniać dokładne i aktualne informacje zapisane prostym i jednoznacznym językiem. Zgodnie z ust. 1 zadaniem Prezesa UKE będzie dokonywanie analizy czy użytkownicy końcowi mają dostęp do przynajmniej jednego narzędzia porównawczego, które spełnia określone ustawowo wymogi. W celu skutecznej realizacji powyższego obowiązku projektowane przepisy w ust. 3 przyznają Prezesowi UKE uprawnienie do żądania od podmiotu udostępniającego na rynku bezpłatne narzędzie służące do porównywania ofert przekazania informacji niezbędnych do oceny tego narzędzia. Wyniki analizy publikowane będą na stronie </w:t>
      </w:r>
      <w:r w:rsidR="41855157" w:rsidRPr="003A42FB">
        <w:rPr>
          <w:rFonts w:ascii="Times New Roman" w:eastAsiaTheme="minorEastAsia" w:hAnsi="Times New Roman" w:cs="Times New Roman"/>
          <w:sz w:val="24"/>
          <w:szCs w:val="24"/>
        </w:rPr>
        <w:t xml:space="preserve">podmiotowej </w:t>
      </w:r>
      <w:r w:rsidRPr="003A42FB">
        <w:rPr>
          <w:rFonts w:ascii="Times New Roman" w:eastAsiaTheme="minorEastAsia" w:hAnsi="Times New Roman" w:cs="Times New Roman"/>
          <w:sz w:val="24"/>
          <w:szCs w:val="24"/>
        </w:rPr>
        <w:t xml:space="preserve">BIP UKE (ust. 4). </w:t>
      </w:r>
    </w:p>
    <w:p w14:paraId="6E9D8759" w14:textId="306E8BB7" w:rsidR="00221330" w:rsidRPr="003A42FB" w:rsidRDefault="0179DA5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E248DB" w:rsidRPr="003A42FB">
        <w:rPr>
          <w:rFonts w:ascii="Times New Roman" w:eastAsiaTheme="minorEastAsia" w:hAnsi="Times New Roman" w:cs="Times New Roman"/>
          <w:b/>
          <w:bCs/>
          <w:sz w:val="24"/>
          <w:szCs w:val="24"/>
        </w:rPr>
        <w:t xml:space="preserve"> </w:t>
      </w:r>
      <w:r w:rsidR="00D23CC1">
        <w:rPr>
          <w:rFonts w:ascii="Times New Roman" w:eastAsiaTheme="minorEastAsia" w:hAnsi="Times New Roman" w:cs="Times New Roman"/>
          <w:b/>
          <w:bCs/>
          <w:sz w:val="24"/>
          <w:szCs w:val="24"/>
        </w:rPr>
        <w:t>308</w:t>
      </w:r>
      <w:r w:rsidR="00AA1056" w:rsidRPr="003A42FB">
        <w:rPr>
          <w:rFonts w:ascii="Times New Roman" w:eastAsiaTheme="minorEastAsia" w:hAnsi="Times New Roman" w:cs="Times New Roman"/>
          <w:b/>
          <w:bCs/>
          <w:sz w:val="24"/>
          <w:szCs w:val="24"/>
        </w:rPr>
        <w:t xml:space="preserve"> – certyfikacja narzędzia porównawczego</w:t>
      </w:r>
    </w:p>
    <w:p w14:paraId="10F48386" w14:textId="1BF2C7DF"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Projektowane przepisy w art. </w:t>
      </w:r>
      <w:r w:rsidR="00D23CC1">
        <w:rPr>
          <w:rFonts w:ascii="Times New Roman" w:eastAsiaTheme="minorEastAsia" w:hAnsi="Times New Roman" w:cs="Times New Roman"/>
          <w:sz w:val="24"/>
          <w:szCs w:val="24"/>
        </w:rPr>
        <w:t>308</w:t>
      </w:r>
      <w:r w:rsidRPr="003A42FB">
        <w:rPr>
          <w:rFonts w:ascii="Times New Roman" w:eastAsiaTheme="minorEastAsia" w:hAnsi="Times New Roman" w:cs="Times New Roman"/>
          <w:sz w:val="24"/>
          <w:szCs w:val="24"/>
        </w:rPr>
        <w:t xml:space="preserve"> przewidują </w:t>
      </w:r>
      <w:r w:rsidR="3A1EA019" w:rsidRPr="003A42FB">
        <w:rPr>
          <w:rFonts w:ascii="Times New Roman" w:eastAsiaTheme="minorEastAsia" w:hAnsi="Times New Roman" w:cs="Times New Roman"/>
          <w:sz w:val="24"/>
          <w:szCs w:val="24"/>
        </w:rPr>
        <w:t xml:space="preserve">możliwość wnioskowania przez dostawcę narzędzia porównawczego do Prezesa UKE o przyznanie </w:t>
      </w:r>
      <w:r w:rsidR="0CFDB0A7" w:rsidRPr="003A42FB">
        <w:rPr>
          <w:rFonts w:ascii="Times New Roman" w:eastAsiaTheme="minorEastAsia" w:hAnsi="Times New Roman" w:cs="Times New Roman"/>
          <w:sz w:val="24"/>
          <w:szCs w:val="24"/>
        </w:rPr>
        <w:t>prowadzonemu przez niego</w:t>
      </w:r>
      <w:r w:rsidR="3A1EA019" w:rsidRPr="003A42FB">
        <w:rPr>
          <w:rFonts w:ascii="Times New Roman" w:eastAsiaTheme="minorEastAsia" w:hAnsi="Times New Roman" w:cs="Times New Roman"/>
          <w:sz w:val="24"/>
          <w:szCs w:val="24"/>
        </w:rPr>
        <w:t xml:space="preserve"> narzędziu certyfikatu </w:t>
      </w:r>
      <w:r w:rsidR="3ABF0C94" w:rsidRPr="003A42FB">
        <w:rPr>
          <w:rFonts w:ascii="Times New Roman" w:eastAsiaTheme="minorEastAsia" w:hAnsi="Times New Roman" w:cs="Times New Roman"/>
          <w:sz w:val="24"/>
          <w:szCs w:val="24"/>
        </w:rPr>
        <w:t>Prezesa UKE</w:t>
      </w:r>
      <w:r w:rsidR="76DF237A" w:rsidRPr="003A42FB">
        <w:rPr>
          <w:rFonts w:ascii="Times New Roman" w:eastAsiaTheme="minorEastAsia" w:hAnsi="Times New Roman" w:cs="Times New Roman"/>
          <w:sz w:val="24"/>
          <w:szCs w:val="24"/>
        </w:rPr>
        <w:t>. Procedura certyfikacji określana jest przez Prezesa UKE i publikowana w postaci regulaminu na jego stronie podmiotowej BIP.</w:t>
      </w:r>
      <w:r w:rsidRPr="003A42FB">
        <w:rPr>
          <w:rFonts w:ascii="Times New Roman" w:eastAsiaTheme="minorEastAsia" w:hAnsi="Times New Roman" w:cs="Times New Roman"/>
          <w:sz w:val="24"/>
          <w:szCs w:val="24"/>
        </w:rPr>
        <w:t xml:space="preserve"> Jednocześnie ust. </w:t>
      </w:r>
      <w:r w:rsidR="009098B3" w:rsidRPr="003A42FB">
        <w:rPr>
          <w:rFonts w:ascii="Times New Roman" w:eastAsiaTheme="minorEastAsia" w:hAnsi="Times New Roman" w:cs="Times New Roman"/>
          <w:sz w:val="24"/>
          <w:szCs w:val="24"/>
        </w:rPr>
        <w:t>3</w:t>
      </w:r>
      <w:r w:rsidRPr="003A42FB">
        <w:rPr>
          <w:rFonts w:ascii="Times New Roman" w:eastAsiaTheme="minorEastAsia" w:hAnsi="Times New Roman" w:cs="Times New Roman"/>
          <w:sz w:val="24"/>
          <w:szCs w:val="24"/>
        </w:rPr>
        <w:t xml:space="preserve"> stanowi, że dostawcy narzędzia porównawczego mogą, do celów udostępniania narzędzi porównawczych, korzystać bezpłatnie z informacji publikowanych przez dostawców usług. Wymóg ten oznacza obowiązek udostępniania przez dostawców usług podmiotom prowadzącym narzędzia porównawcze danych niezbędnych do zasilenia narzędzia.</w:t>
      </w:r>
    </w:p>
    <w:p w14:paraId="30E89006" w14:textId="4BEA6810" w:rsidR="00221330" w:rsidRPr="003A42FB" w:rsidRDefault="720DA39E"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E248DB" w:rsidRPr="003A42FB">
        <w:rPr>
          <w:rFonts w:ascii="Times New Roman" w:eastAsiaTheme="minorEastAsia" w:hAnsi="Times New Roman" w:cs="Times New Roman"/>
          <w:b/>
          <w:bCs/>
          <w:sz w:val="24"/>
          <w:szCs w:val="24"/>
        </w:rPr>
        <w:t xml:space="preserve"> </w:t>
      </w:r>
      <w:r w:rsidR="00D23CC1">
        <w:rPr>
          <w:rFonts w:ascii="Times New Roman" w:eastAsiaTheme="minorEastAsia" w:hAnsi="Times New Roman" w:cs="Times New Roman"/>
          <w:b/>
          <w:bCs/>
          <w:sz w:val="24"/>
          <w:szCs w:val="24"/>
        </w:rPr>
        <w:t>309</w:t>
      </w:r>
      <w:r w:rsidR="00AA1056" w:rsidRPr="003A42FB">
        <w:rPr>
          <w:rFonts w:ascii="Times New Roman" w:eastAsiaTheme="minorEastAsia" w:hAnsi="Times New Roman" w:cs="Times New Roman"/>
          <w:b/>
          <w:bCs/>
          <w:sz w:val="24"/>
          <w:szCs w:val="24"/>
        </w:rPr>
        <w:t xml:space="preserve"> – narzędzie porównawcze zapewniane przez Prezesa UKE</w:t>
      </w:r>
    </w:p>
    <w:p w14:paraId="05EED16E" w14:textId="37C62628" w:rsidR="00221330" w:rsidRPr="003A42FB" w:rsidRDefault="566EAACD"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lastRenderedPageBreak/>
        <w:t xml:space="preserve">Zgodnie z art. </w:t>
      </w:r>
      <w:r w:rsidR="00D23CC1">
        <w:rPr>
          <w:rFonts w:ascii="Times New Roman" w:eastAsiaTheme="minorEastAsia" w:hAnsi="Times New Roman" w:cs="Times New Roman"/>
          <w:sz w:val="24"/>
          <w:szCs w:val="24"/>
        </w:rPr>
        <w:t>309</w:t>
      </w:r>
      <w:r w:rsidRPr="003A42FB">
        <w:rPr>
          <w:rFonts w:ascii="Times New Roman" w:eastAsiaTheme="minorEastAsia" w:hAnsi="Times New Roman" w:cs="Times New Roman"/>
          <w:sz w:val="24"/>
          <w:szCs w:val="24"/>
        </w:rPr>
        <w:t xml:space="preserve"> ust. 1 w sytuacji</w:t>
      </w:r>
      <w:r w:rsidR="508636E4"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gdy z przeprowadzonej analizy wynika, że brak jest rynkowych narzędzi umożliwiających porównanie ofert lub żadne z rynkowych narzędzi nie spełnia określonych ustawowo kryteriów, wówczas to Prezes UKE zapewnia narzędzie porównawcze w ramach prowadzonego przez siebie systemu teleinformatycznego. Projektowane przepisy w art. </w:t>
      </w:r>
      <w:r w:rsidR="00D23CC1">
        <w:rPr>
          <w:rFonts w:ascii="Times New Roman" w:eastAsiaTheme="minorEastAsia" w:hAnsi="Times New Roman" w:cs="Times New Roman"/>
          <w:sz w:val="24"/>
          <w:szCs w:val="24"/>
        </w:rPr>
        <w:t>309</w:t>
      </w:r>
      <w:r w:rsidRPr="003A42FB">
        <w:rPr>
          <w:rFonts w:ascii="Times New Roman" w:eastAsiaTheme="minorEastAsia" w:hAnsi="Times New Roman" w:cs="Times New Roman"/>
          <w:sz w:val="24"/>
          <w:szCs w:val="24"/>
        </w:rPr>
        <w:t xml:space="preserve"> ust. 2 </w:t>
      </w:r>
      <w:r w:rsidR="0CE258FD" w:rsidRPr="003A42FB">
        <w:rPr>
          <w:rFonts w:ascii="Times New Roman" w:eastAsiaTheme="minorEastAsia" w:hAnsi="Times New Roman" w:cs="Times New Roman"/>
          <w:sz w:val="24"/>
          <w:szCs w:val="24"/>
        </w:rPr>
        <w:t xml:space="preserve">wprowadzają </w:t>
      </w:r>
      <w:r w:rsidR="014A2FC1" w:rsidRPr="003A42FB">
        <w:rPr>
          <w:rFonts w:ascii="Times New Roman" w:eastAsia="Times New Roman" w:hAnsi="Times New Roman" w:cs="Times New Roman"/>
          <w:sz w:val="24"/>
          <w:szCs w:val="24"/>
        </w:rPr>
        <w:t xml:space="preserve">obowiązek aktualizacji </w:t>
      </w:r>
      <w:r w:rsidR="000079AA" w:rsidRPr="003A42FB">
        <w:rPr>
          <w:rFonts w:ascii="Times New Roman" w:hAnsi="Times New Roman" w:cs="Times New Roman"/>
          <w:sz w:val="24"/>
          <w:szCs w:val="24"/>
        </w:rPr>
        <w:t xml:space="preserve">informacji o cenie i jakości, o których mowa w art. </w:t>
      </w:r>
      <w:r w:rsidR="00D23CC1">
        <w:rPr>
          <w:rFonts w:ascii="Times New Roman" w:hAnsi="Times New Roman" w:cs="Times New Roman"/>
          <w:sz w:val="24"/>
          <w:szCs w:val="24"/>
        </w:rPr>
        <w:t>307</w:t>
      </w:r>
      <w:r w:rsidR="000079AA" w:rsidRPr="003A42FB">
        <w:rPr>
          <w:rFonts w:ascii="Times New Roman" w:hAnsi="Times New Roman" w:cs="Times New Roman"/>
          <w:sz w:val="24"/>
          <w:szCs w:val="24"/>
        </w:rPr>
        <w:t xml:space="preserve"> ust. 1, </w:t>
      </w:r>
      <w:r w:rsidR="4D799434" w:rsidRPr="003A42FB">
        <w:rPr>
          <w:rFonts w:ascii="Times New Roman" w:eastAsia="Times New Roman" w:hAnsi="Times New Roman" w:cs="Times New Roman"/>
          <w:sz w:val="24"/>
          <w:szCs w:val="24"/>
        </w:rPr>
        <w:t xml:space="preserve"> przekazanych do narzędzia porównawczego. </w:t>
      </w:r>
      <w:r w:rsidR="008319CF" w:rsidRPr="003A42FB">
        <w:rPr>
          <w:rFonts w:ascii="Times New Roman" w:eastAsia="Times New Roman" w:hAnsi="Times New Roman" w:cs="Times New Roman"/>
          <w:sz w:val="24"/>
          <w:szCs w:val="24"/>
        </w:rPr>
        <w:t xml:space="preserve">W pojęciu aktualizacji </w:t>
      </w:r>
      <w:r w:rsidR="00AA1056" w:rsidRPr="003A42FB">
        <w:rPr>
          <w:rFonts w:ascii="Times New Roman" w:eastAsia="Times New Roman" w:hAnsi="Times New Roman" w:cs="Times New Roman"/>
          <w:sz w:val="24"/>
          <w:szCs w:val="24"/>
        </w:rPr>
        <w:t>informacji</w:t>
      </w:r>
      <w:r w:rsidR="008319CF" w:rsidRPr="003A42FB">
        <w:rPr>
          <w:rFonts w:ascii="Times New Roman" w:eastAsia="Times New Roman" w:hAnsi="Times New Roman" w:cs="Times New Roman"/>
          <w:sz w:val="24"/>
          <w:szCs w:val="24"/>
        </w:rPr>
        <w:t xml:space="preserve"> mieści się zarówno wprowadzenie informacji o nowej ofercie, zmiana dotychczasowej oferty jak i wycofanie dotychczasowej oferty (w przypadku zmiany danych związanej z wycofaniem oferty </w:t>
      </w:r>
      <w:r w:rsidR="00CF6475" w:rsidRPr="003A42FB">
        <w:rPr>
          <w:rFonts w:ascii="Times New Roman" w:eastAsia="Times New Roman" w:hAnsi="Times New Roman" w:cs="Times New Roman"/>
          <w:sz w:val="24"/>
          <w:szCs w:val="24"/>
        </w:rPr>
        <w:t xml:space="preserve">– wówczas </w:t>
      </w:r>
      <w:r w:rsidR="008319CF" w:rsidRPr="003A42FB">
        <w:rPr>
          <w:rFonts w:ascii="Times New Roman" w:eastAsia="Times New Roman" w:hAnsi="Times New Roman" w:cs="Times New Roman"/>
          <w:sz w:val="24"/>
          <w:szCs w:val="24"/>
        </w:rPr>
        <w:t>dniem wejścia w życie zmiany jest dzień zaprzestania obowiązywania oferty).</w:t>
      </w:r>
    </w:p>
    <w:p w14:paraId="0876CA66" w14:textId="0D75E310" w:rsidR="00221330" w:rsidRPr="003A42FB" w:rsidRDefault="33A52411"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 xml:space="preserve">Z kolei ust. 3 precyzuje, których podmiotów dotyczył będzie obowiązek przekazywania </w:t>
      </w:r>
      <w:r w:rsidR="000079AA" w:rsidRPr="003A42FB">
        <w:rPr>
          <w:rFonts w:ascii="Times New Roman" w:eastAsiaTheme="minorEastAsia" w:hAnsi="Times New Roman" w:cs="Times New Roman"/>
          <w:sz w:val="24"/>
          <w:szCs w:val="24"/>
        </w:rPr>
        <w:t xml:space="preserve">informacji o cenie i jakości, o których mowa w art. </w:t>
      </w:r>
      <w:r w:rsidR="00D23CC1">
        <w:rPr>
          <w:rFonts w:ascii="Times New Roman" w:eastAsiaTheme="minorEastAsia" w:hAnsi="Times New Roman" w:cs="Times New Roman"/>
          <w:sz w:val="24"/>
          <w:szCs w:val="24"/>
        </w:rPr>
        <w:t>307</w:t>
      </w:r>
      <w:r w:rsidR="000079AA" w:rsidRPr="003A42FB">
        <w:rPr>
          <w:rFonts w:ascii="Times New Roman" w:eastAsiaTheme="minorEastAsia" w:hAnsi="Times New Roman" w:cs="Times New Roman"/>
          <w:sz w:val="24"/>
          <w:szCs w:val="24"/>
        </w:rPr>
        <w:t xml:space="preserve"> ust. 1</w:t>
      </w:r>
      <w:r w:rsidRPr="003A42FB">
        <w:rPr>
          <w:rFonts w:ascii="Times New Roman" w:eastAsiaTheme="minorEastAsia" w:hAnsi="Times New Roman" w:cs="Times New Roman"/>
          <w:sz w:val="24"/>
          <w:szCs w:val="24"/>
        </w:rPr>
        <w:t>, wskazując na kry</w:t>
      </w:r>
      <w:r w:rsidR="72D587B4" w:rsidRPr="003A42FB">
        <w:rPr>
          <w:rFonts w:ascii="Times New Roman" w:eastAsiaTheme="minorEastAsia" w:hAnsi="Times New Roman" w:cs="Times New Roman"/>
          <w:sz w:val="24"/>
          <w:szCs w:val="24"/>
        </w:rPr>
        <w:t>terium</w:t>
      </w:r>
      <w:r w:rsidR="566EAACD" w:rsidRPr="003A42FB">
        <w:rPr>
          <w:rFonts w:ascii="Times New Roman" w:eastAsiaTheme="minorEastAsia" w:hAnsi="Times New Roman" w:cs="Times New Roman"/>
          <w:sz w:val="24"/>
          <w:szCs w:val="24"/>
        </w:rPr>
        <w:t xml:space="preserve"> </w:t>
      </w:r>
      <w:r w:rsidR="11547256" w:rsidRPr="003A42FB">
        <w:rPr>
          <w:rFonts w:ascii="Times New Roman" w:eastAsiaTheme="minorEastAsia" w:hAnsi="Times New Roman" w:cs="Times New Roman"/>
          <w:sz w:val="24"/>
          <w:szCs w:val="24"/>
        </w:rPr>
        <w:t xml:space="preserve">osiągnięcia </w:t>
      </w:r>
      <w:r w:rsidR="566EAACD" w:rsidRPr="003A42FB">
        <w:rPr>
          <w:rFonts w:ascii="Times New Roman" w:eastAsiaTheme="minorEastAsia" w:hAnsi="Times New Roman" w:cs="Times New Roman"/>
          <w:sz w:val="24"/>
          <w:szCs w:val="24"/>
        </w:rPr>
        <w:t>w poprzednim roku kalendarzowym przych</w:t>
      </w:r>
      <w:r w:rsidR="0CA64B71" w:rsidRPr="003A42FB">
        <w:rPr>
          <w:rFonts w:ascii="Times New Roman" w:eastAsiaTheme="minorEastAsia" w:hAnsi="Times New Roman" w:cs="Times New Roman"/>
          <w:sz w:val="24"/>
          <w:szCs w:val="24"/>
        </w:rPr>
        <w:t>odu</w:t>
      </w:r>
      <w:r w:rsidR="566EAACD" w:rsidRPr="003A42FB">
        <w:rPr>
          <w:rFonts w:ascii="Times New Roman" w:eastAsiaTheme="minorEastAsia" w:hAnsi="Times New Roman" w:cs="Times New Roman"/>
          <w:sz w:val="24"/>
          <w:szCs w:val="24"/>
        </w:rPr>
        <w:t xml:space="preserve"> z tytułu wykonywania działalności telekomunikacyjnej w wysokości co najmniej 10 mln złotych. W przypadku dostawców usług, których przychód z tytułu wykonywania działalności telekomunikacyjnej nie przekroczył 10 milionów złotych przekazanie </w:t>
      </w:r>
      <w:r w:rsidR="000079AA" w:rsidRPr="003A42FB">
        <w:rPr>
          <w:rFonts w:ascii="Times New Roman" w:eastAsiaTheme="minorEastAsia" w:hAnsi="Times New Roman" w:cs="Times New Roman"/>
          <w:sz w:val="24"/>
          <w:szCs w:val="24"/>
        </w:rPr>
        <w:t xml:space="preserve">informacji o cenie i jakości, o których mowa w art. </w:t>
      </w:r>
      <w:r w:rsidR="00D23CC1">
        <w:rPr>
          <w:rFonts w:ascii="Times New Roman" w:eastAsiaTheme="minorEastAsia" w:hAnsi="Times New Roman" w:cs="Times New Roman"/>
          <w:sz w:val="24"/>
          <w:szCs w:val="24"/>
        </w:rPr>
        <w:t>307</w:t>
      </w:r>
      <w:r w:rsidR="000079AA" w:rsidRPr="003A42FB">
        <w:rPr>
          <w:rFonts w:ascii="Times New Roman" w:eastAsiaTheme="minorEastAsia" w:hAnsi="Times New Roman" w:cs="Times New Roman"/>
          <w:sz w:val="24"/>
          <w:szCs w:val="24"/>
        </w:rPr>
        <w:t xml:space="preserve"> ust. 1, </w:t>
      </w:r>
      <w:r w:rsidR="566EAACD" w:rsidRPr="003A42FB">
        <w:rPr>
          <w:rFonts w:ascii="Times New Roman" w:eastAsiaTheme="minorEastAsia" w:hAnsi="Times New Roman" w:cs="Times New Roman"/>
          <w:sz w:val="24"/>
          <w:szCs w:val="24"/>
        </w:rPr>
        <w:t xml:space="preserve"> </w:t>
      </w:r>
      <w:r w:rsidR="566EAACD" w:rsidRPr="003A42FB">
        <w:rPr>
          <w:rFonts w:ascii="Times New Roman" w:eastAsia="Times New Roman" w:hAnsi="Times New Roman" w:cs="Times New Roman"/>
          <w:sz w:val="24"/>
          <w:szCs w:val="24"/>
        </w:rPr>
        <w:t xml:space="preserve">do narzędzia porównawczego będzie </w:t>
      </w:r>
      <w:r w:rsidR="00CF6475" w:rsidRPr="003A42FB">
        <w:rPr>
          <w:rFonts w:ascii="Times New Roman" w:eastAsia="Times New Roman" w:hAnsi="Times New Roman" w:cs="Times New Roman"/>
          <w:sz w:val="24"/>
          <w:szCs w:val="24"/>
        </w:rPr>
        <w:t>dobrowolne</w:t>
      </w:r>
      <w:r w:rsidR="566EAACD" w:rsidRPr="003A42FB">
        <w:rPr>
          <w:rFonts w:ascii="Times New Roman" w:eastAsia="Times New Roman" w:hAnsi="Times New Roman" w:cs="Times New Roman"/>
          <w:sz w:val="24"/>
          <w:szCs w:val="24"/>
        </w:rPr>
        <w:t xml:space="preserve">. </w:t>
      </w:r>
    </w:p>
    <w:p w14:paraId="60BF7EB3" w14:textId="75DA38FB" w:rsidR="00221330" w:rsidRPr="003A42FB" w:rsidRDefault="566EAACD"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Jednocześnie każda zmiana przychodu skutkująca aktualizacją ww. obowiązku obliguje dostawcę do przekazania </w:t>
      </w:r>
      <w:r w:rsidR="000079AA" w:rsidRPr="003A42FB">
        <w:rPr>
          <w:rFonts w:ascii="Times New Roman" w:eastAsia="Times New Roman" w:hAnsi="Times New Roman" w:cs="Times New Roman"/>
          <w:sz w:val="24"/>
          <w:szCs w:val="24"/>
        </w:rPr>
        <w:t xml:space="preserve">informacji o cenie i jakości, o których mowa w art. </w:t>
      </w:r>
      <w:r w:rsidR="00D23CC1">
        <w:rPr>
          <w:rFonts w:ascii="Times New Roman" w:eastAsia="Times New Roman" w:hAnsi="Times New Roman" w:cs="Times New Roman"/>
          <w:sz w:val="24"/>
          <w:szCs w:val="24"/>
        </w:rPr>
        <w:t>307</w:t>
      </w:r>
      <w:r w:rsidR="000079AA" w:rsidRPr="003A42FB">
        <w:rPr>
          <w:rFonts w:ascii="Times New Roman" w:eastAsia="Times New Roman" w:hAnsi="Times New Roman" w:cs="Times New Roman"/>
          <w:sz w:val="24"/>
          <w:szCs w:val="24"/>
        </w:rPr>
        <w:t xml:space="preserve"> ust. 1, </w:t>
      </w:r>
      <w:r w:rsidRPr="003A42FB">
        <w:rPr>
          <w:rFonts w:ascii="Times New Roman" w:eastAsia="Times New Roman" w:hAnsi="Times New Roman" w:cs="Times New Roman"/>
          <w:sz w:val="24"/>
          <w:szCs w:val="24"/>
        </w:rPr>
        <w:t xml:space="preserve"> w terminie do dnia 31 marca. Obowiązek dostawcy obejmuje przekazanie aktualnych i kompletnych </w:t>
      </w:r>
      <w:r w:rsidR="000079AA" w:rsidRPr="003A42FB">
        <w:rPr>
          <w:rFonts w:ascii="Times New Roman" w:eastAsia="Times New Roman" w:hAnsi="Times New Roman" w:cs="Times New Roman"/>
          <w:sz w:val="24"/>
          <w:szCs w:val="24"/>
        </w:rPr>
        <w:t xml:space="preserve">informacji </w:t>
      </w:r>
      <w:r w:rsidRPr="003A42FB">
        <w:rPr>
          <w:rFonts w:ascii="Times New Roman" w:eastAsia="Times New Roman" w:hAnsi="Times New Roman" w:cs="Times New Roman"/>
          <w:sz w:val="24"/>
          <w:szCs w:val="24"/>
        </w:rPr>
        <w:t xml:space="preserve">o cenie i jakości dotyczących wszystkich oferowanych przez siebie usług dostępu do internetu oraz publicznie dostępnych usług komunikacji interpersonalnej oraz ich aktualizację najpóźniej w dniu wejścia w życie zmiany tych </w:t>
      </w:r>
      <w:r w:rsidR="00C35543" w:rsidRPr="003A42FB">
        <w:rPr>
          <w:rFonts w:ascii="Times New Roman" w:eastAsia="Times New Roman" w:hAnsi="Times New Roman" w:cs="Times New Roman"/>
          <w:sz w:val="24"/>
          <w:szCs w:val="24"/>
        </w:rPr>
        <w:t>informacji</w:t>
      </w:r>
      <w:r w:rsidRPr="003A42FB">
        <w:rPr>
          <w:rFonts w:ascii="Times New Roman" w:eastAsia="Times New Roman" w:hAnsi="Times New Roman" w:cs="Times New Roman"/>
          <w:sz w:val="24"/>
          <w:szCs w:val="24"/>
        </w:rPr>
        <w:t xml:space="preserve">. Dostawcy usług, którzy przekazywali </w:t>
      </w:r>
      <w:r w:rsidR="00C35543" w:rsidRPr="003A42FB">
        <w:rPr>
          <w:rFonts w:ascii="Times New Roman" w:eastAsia="Times New Roman" w:hAnsi="Times New Roman" w:cs="Times New Roman"/>
          <w:sz w:val="24"/>
          <w:szCs w:val="24"/>
        </w:rPr>
        <w:t xml:space="preserve">informacje o cenie i jakości, o których mowa w art. </w:t>
      </w:r>
      <w:r w:rsidR="00D23CC1">
        <w:rPr>
          <w:rFonts w:ascii="Times New Roman" w:eastAsia="Times New Roman" w:hAnsi="Times New Roman" w:cs="Times New Roman"/>
          <w:sz w:val="24"/>
          <w:szCs w:val="24"/>
        </w:rPr>
        <w:t>307</w:t>
      </w:r>
      <w:r w:rsidR="00C35543" w:rsidRPr="003A42FB">
        <w:rPr>
          <w:rFonts w:ascii="Times New Roman" w:eastAsia="Times New Roman" w:hAnsi="Times New Roman" w:cs="Times New Roman"/>
          <w:sz w:val="24"/>
          <w:szCs w:val="24"/>
        </w:rPr>
        <w:t xml:space="preserve"> ust. 1,</w:t>
      </w:r>
      <w:r w:rsidRPr="003A42FB">
        <w:rPr>
          <w:rFonts w:ascii="Times New Roman" w:eastAsia="Times New Roman" w:hAnsi="Times New Roman" w:cs="Times New Roman"/>
          <w:sz w:val="24"/>
          <w:szCs w:val="24"/>
        </w:rPr>
        <w:t xml:space="preserve"> do narzędzia porównawczego, czy to w związku z ciążącym na nich obowiązkiem czy też dobrowolnie, a których przychód w poprzednim roku nie przekroczył 10 mln złotych mogą wnioskować o usunięcie swoich danych z narzędzia porównawczego (ust. 5). </w:t>
      </w:r>
    </w:p>
    <w:p w14:paraId="0DD896AD" w14:textId="68F9A579" w:rsidR="00221330" w:rsidRPr="003A42FB" w:rsidRDefault="00C35543"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Informacje o cenie i jakości, o których mowa w art. </w:t>
      </w:r>
      <w:r w:rsidR="00D23CC1">
        <w:rPr>
          <w:rFonts w:ascii="Times New Roman" w:eastAsia="Times New Roman" w:hAnsi="Times New Roman" w:cs="Times New Roman"/>
          <w:sz w:val="24"/>
          <w:szCs w:val="24"/>
        </w:rPr>
        <w:t>307</w:t>
      </w:r>
      <w:r w:rsidRPr="003A42FB">
        <w:rPr>
          <w:rFonts w:ascii="Times New Roman" w:eastAsia="Times New Roman" w:hAnsi="Times New Roman" w:cs="Times New Roman"/>
          <w:sz w:val="24"/>
          <w:szCs w:val="24"/>
        </w:rPr>
        <w:t xml:space="preserve"> ust. 1,</w:t>
      </w:r>
      <w:r w:rsidR="60864330" w:rsidRPr="003A42FB">
        <w:rPr>
          <w:rFonts w:ascii="Times New Roman" w:eastAsia="Times New Roman" w:hAnsi="Times New Roman" w:cs="Times New Roman"/>
          <w:sz w:val="24"/>
          <w:szCs w:val="24"/>
        </w:rPr>
        <w:t xml:space="preserve"> przekazywane będą na elektroniczną skrzynkę podawczą Prezesa UKE, przy użyciu formularza elektronicznego, w formie dokumentu elektronicznego opatrzonego kwalifikowanym podpisem elektronicznym, podpisem osobistym albo podpisem zaufanym. </w:t>
      </w:r>
    </w:p>
    <w:p w14:paraId="7D7CF845" w14:textId="4C4E10FC" w:rsidR="00221330" w:rsidRPr="003A42FB" w:rsidRDefault="6660A075"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Prezes UKE poinformuje, na stronie podmiotowej BIP UKE, o adresie elektronicznym, pod którym udostępniony jest ten formularz. Określi również wzór </w:t>
      </w:r>
      <w:r w:rsidR="34B348BF" w:rsidRPr="003A42FB">
        <w:rPr>
          <w:rFonts w:ascii="Times New Roman" w:eastAsia="Times New Roman" w:hAnsi="Times New Roman" w:cs="Times New Roman"/>
          <w:sz w:val="24"/>
          <w:szCs w:val="24"/>
        </w:rPr>
        <w:t xml:space="preserve">przekazywanych </w:t>
      </w:r>
      <w:r w:rsidRPr="003A42FB">
        <w:rPr>
          <w:rFonts w:ascii="Times New Roman" w:eastAsia="Times New Roman" w:hAnsi="Times New Roman" w:cs="Times New Roman"/>
          <w:sz w:val="24"/>
          <w:szCs w:val="24"/>
        </w:rPr>
        <w:t>informacji, w formie dokumentu elektronicznego w rozumieniu ustawy z dnia 17 lutego 2005 r. o informatyzacji działalności podmiotów realizujących zadania publiczne.</w:t>
      </w:r>
      <w:r w:rsidR="00BD5A4D" w:rsidRPr="003A42FB">
        <w:rPr>
          <w:rFonts w:ascii="Times New Roman" w:eastAsia="Times New Roman" w:hAnsi="Times New Roman" w:cs="Times New Roman"/>
          <w:sz w:val="24"/>
          <w:szCs w:val="24"/>
        </w:rPr>
        <w:t xml:space="preserve"> </w:t>
      </w:r>
      <w:r w:rsidR="566EAACD" w:rsidRPr="003A42FB">
        <w:rPr>
          <w:rFonts w:ascii="Times New Roman" w:eastAsia="Times New Roman" w:hAnsi="Times New Roman" w:cs="Times New Roman"/>
          <w:sz w:val="24"/>
          <w:szCs w:val="24"/>
        </w:rPr>
        <w:t xml:space="preserve">Uruchomienie narzędzia porównawczego poprzedza obwieszczenie Prezesa UKE, a dostawcy usług objęci obowiązkiem dostarczenia danych do narzędzia porównawczego przekazują te dane w terminie 3 miesięcy od obwieszczenia. </w:t>
      </w:r>
    </w:p>
    <w:p w14:paraId="06B2C99C" w14:textId="14560009" w:rsidR="00221330" w:rsidRPr="003A42FB" w:rsidRDefault="566EAACD"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Brak realizacji obowiązku w zakresie przekazania danych lub ich aktualizacji w ustawowym terminie podlega karze.</w:t>
      </w:r>
    </w:p>
    <w:p w14:paraId="2D68695A" w14:textId="69EE8151" w:rsidR="00221330" w:rsidRPr="003A42FB" w:rsidRDefault="50CFD2E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310</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w:t>
      </w:r>
      <w:r w:rsidR="6F166A72" w:rsidRPr="003A42FB">
        <w:rPr>
          <w:rFonts w:ascii="Times New Roman" w:eastAsiaTheme="minorEastAsia" w:hAnsi="Times New Roman" w:cs="Times New Roman"/>
          <w:b/>
          <w:bCs/>
          <w:sz w:val="24"/>
          <w:szCs w:val="24"/>
        </w:rPr>
        <w:t xml:space="preserve"> i</w:t>
      </w:r>
      <w:r w:rsidR="566EAACD" w:rsidRPr="003A42FB">
        <w:rPr>
          <w:rFonts w:ascii="Times New Roman" w:eastAsiaTheme="minorEastAsia" w:hAnsi="Times New Roman" w:cs="Times New Roman"/>
          <w:b/>
          <w:bCs/>
          <w:sz w:val="24"/>
          <w:szCs w:val="24"/>
        </w:rPr>
        <w:t>nformowanie o jakości świadczonych usług</w:t>
      </w:r>
    </w:p>
    <w:p w14:paraId="2ECA0EEE" w14:textId="29D18D86"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BF4CC5">
        <w:rPr>
          <w:rFonts w:ascii="Times New Roman" w:eastAsiaTheme="minorEastAsia" w:hAnsi="Times New Roman" w:cs="Times New Roman"/>
          <w:sz w:val="24"/>
          <w:szCs w:val="24"/>
        </w:rPr>
        <w:t>310</w:t>
      </w:r>
      <w:r w:rsidRPr="003A42FB">
        <w:rPr>
          <w:rFonts w:ascii="Times New Roman" w:eastAsiaTheme="minorEastAsia" w:hAnsi="Times New Roman" w:cs="Times New Roman"/>
          <w:sz w:val="24"/>
          <w:szCs w:val="24"/>
        </w:rPr>
        <w:t xml:space="preserve"> dotyczy publikowania informacji na temat jakości usług i stanowi implementację art. 104 EKŁE. Informacje o jakości usług mają istotne znaczenie dla użytkowników końcowych, którzy dokonując wyboru usługi i jej dostawcy kierują się m.in. informacjami o jakości usługi. Celem przedmiotowego przepisu jest przyznanie Prezesowi UKE uprawnienia do nakładania wymogu publikacji informacji o jakości usług, jeżeli informacje takie nie są dostępne dla użytkowników końcowych. Zakres podmiotowy przepisu obejmuje dostawców </w:t>
      </w:r>
      <w:r w:rsidRPr="003A42FB">
        <w:rPr>
          <w:rFonts w:ascii="Times New Roman" w:eastAsiaTheme="minorEastAsia" w:hAnsi="Times New Roman" w:cs="Times New Roman"/>
          <w:sz w:val="24"/>
          <w:szCs w:val="24"/>
        </w:rPr>
        <w:lastRenderedPageBreak/>
        <w:t>usług dostępu do internetu i publicznie dostępnych usług komunikacji interpersonalnej, którzy kontrolują co najmniej kilka elementów sieci czy to bezpośrednio czy w sposób pośredni w oparciu o stosowną umowę o gwarantowanym poziomie jakości usług. Zgodnie z ust. 3 obowiązek publikacji informacji na temat jakości nakłada Prezes UKE, w drodze decyzji, w której określa termin publikacji informacji. W odniesieniu do usług komunikacji interpersonalnej, których jakość zależy od czynników zewnętrznych np. stosowanej kontroli transmisji sygnału</w:t>
      </w:r>
      <w:r w:rsidR="00454484">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Prezes UKE może w decyzji zobowiązać dostawcę usług do informowania konsumenta o wpływie czynników zewnętrznych na jakość świadczonych przez niego usług (ust. 2). Jednocześnie Prezes UKE może zażądać przekazania, przed opublikowaniem, informacji podlegających publikacji na podstawie decyzji (ust. 3 pkt 2). W ust. 4 przewidziana została fakultatywna delegacja ustawowa dla ministra właściwego do spraw informatyzacji do wydania rozporządzenia określającego wskaźniki jakości, metody pomiaru oraz treść, formę i sposób publikowania informacji o jakości usług. </w:t>
      </w:r>
    </w:p>
    <w:p w14:paraId="5FB8B66A" w14:textId="672F0C8B" w:rsidR="00221330" w:rsidRPr="003A42FB" w:rsidRDefault="73AE1C2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311</w:t>
      </w:r>
      <w:r w:rsidR="00E248DB"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n</w:t>
      </w:r>
      <w:r w:rsidR="566EAACD" w:rsidRPr="003A42FB">
        <w:rPr>
          <w:rFonts w:ascii="Times New Roman" w:eastAsiaTheme="minorEastAsia" w:hAnsi="Times New Roman" w:cs="Times New Roman"/>
          <w:b/>
          <w:bCs/>
          <w:sz w:val="24"/>
          <w:szCs w:val="24"/>
        </w:rPr>
        <w:t>arzędzie monitorowania wykorzystania usług</w:t>
      </w:r>
    </w:p>
    <w:p w14:paraId="1B9D80FC" w14:textId="2FAB3871" w:rsidR="00221330"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BF4CC5">
        <w:rPr>
          <w:rFonts w:ascii="Times New Roman" w:eastAsiaTheme="minorEastAsia" w:hAnsi="Times New Roman" w:cs="Times New Roman"/>
          <w:sz w:val="24"/>
          <w:szCs w:val="24"/>
        </w:rPr>
        <w:t>311</w:t>
      </w:r>
      <w:r w:rsidRPr="003A42FB">
        <w:rPr>
          <w:rFonts w:ascii="Times New Roman" w:eastAsiaTheme="minorEastAsia" w:hAnsi="Times New Roman" w:cs="Times New Roman"/>
          <w:sz w:val="24"/>
          <w:szCs w:val="24"/>
        </w:rPr>
        <w:t xml:space="preserve"> stanowi implementację art. 102 ust. 5 EKŁE dotyczącego zapewniania konsumentom narzędzia monitorowania i kontrolowania wykorzystania usług obejmującego dostęp do aktualnych informacji w tym zakresie. Zakres podmiotowy przepisu obejmuje dostawców usług dostępu do internetu i publicznie dostępnych usług komunikacji interpersonalnej, które są rozliczane w oparciu o czas albo ilość zużytych danych lub jednostek taryfikacyjnych. Dostawca ww. usług obowiązany jest zapewnić konsumentowi narzędzie monitorujące poziom wykorzystania usług oraz powiadamiać go przed osiągnieciem limitu zużycia usługi w ramach wybranego przez niego pakietu taryfowego i po całkowitym osiągnięciu określonych pułapów zużycia (ust. 2). Uprawnienie z art. </w:t>
      </w:r>
      <w:r w:rsidR="00BF4CC5">
        <w:rPr>
          <w:rFonts w:ascii="Times New Roman" w:eastAsiaTheme="minorEastAsia" w:hAnsi="Times New Roman" w:cs="Times New Roman"/>
          <w:sz w:val="24"/>
          <w:szCs w:val="24"/>
        </w:rPr>
        <w:t>311</w:t>
      </w:r>
      <w:r w:rsidRPr="003A42FB">
        <w:rPr>
          <w:rFonts w:ascii="Times New Roman" w:eastAsiaTheme="minorEastAsia" w:hAnsi="Times New Roman" w:cs="Times New Roman"/>
          <w:sz w:val="24"/>
          <w:szCs w:val="24"/>
        </w:rPr>
        <w:t xml:space="preserve"> znajduje zastosowanie również do mikroprzedsiębiorców, małych przedsiębiorców w rozumieniu ustawy z dnia 6 marca 2018 r. - Prawo przedsiębiorców oraz organizacji pozarządowych w rozumieniu art. 3 ust. 2 ustawy z dnia 24 kwietnia 2003 r. o działalności pożytku publicznego i o wolontariacie</w:t>
      </w:r>
      <w:r w:rsidR="57AF4C5E"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3C19D034" w:rsidRPr="003A42FB">
        <w:rPr>
          <w:rFonts w:ascii="Times New Roman" w:eastAsiaTheme="minorEastAsia" w:hAnsi="Times New Roman" w:cs="Times New Roman"/>
          <w:sz w:val="24"/>
          <w:szCs w:val="24"/>
        </w:rPr>
        <w:t xml:space="preserve">Dotychczasowe przepisy Pt przewidywały zbliżony obowiązek dostawcy usług </w:t>
      </w:r>
      <w:r w:rsidR="238D2D83" w:rsidRPr="003A42FB">
        <w:rPr>
          <w:rFonts w:ascii="Times New Roman" w:eastAsiaTheme="minorEastAsia" w:hAnsi="Times New Roman" w:cs="Times New Roman"/>
          <w:sz w:val="24"/>
          <w:szCs w:val="24"/>
        </w:rPr>
        <w:t xml:space="preserve">w postaci </w:t>
      </w:r>
      <w:r w:rsidR="6437DA86" w:rsidRPr="003A42FB">
        <w:rPr>
          <w:rFonts w:ascii="Times New Roman" w:eastAsiaTheme="minorEastAsia" w:hAnsi="Times New Roman" w:cs="Times New Roman"/>
          <w:sz w:val="24"/>
          <w:szCs w:val="24"/>
        </w:rPr>
        <w:t>informowania abonenta o przekroczeniu limitu transmisji danych w ramach wykupionego pakietu.</w:t>
      </w:r>
    </w:p>
    <w:p w14:paraId="1533AA2A" w14:textId="21941ED1" w:rsidR="5322C0BD" w:rsidRPr="003A42FB" w:rsidRDefault="5322C0B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ust</w:t>
      </w:r>
      <w:r w:rsidR="00CF6475" w:rsidRPr="003A42FB">
        <w:rPr>
          <w:rFonts w:ascii="Times New Roman" w:eastAsiaTheme="minorEastAsia" w:hAnsi="Times New Roman" w:cs="Times New Roman"/>
          <w:sz w:val="24"/>
          <w:szCs w:val="24"/>
        </w:rPr>
        <w:t>. 3</w:t>
      </w:r>
      <w:r w:rsidRPr="003A42FB">
        <w:rPr>
          <w:rFonts w:ascii="Times New Roman" w:eastAsiaTheme="minorEastAsia" w:hAnsi="Times New Roman" w:cs="Times New Roman"/>
          <w:sz w:val="24"/>
          <w:szCs w:val="24"/>
        </w:rPr>
        <w:t xml:space="preserve"> wskazuje się wyjątek od naliczania zużycia danych przy korzystaniu z usługi dostępu do inter</w:t>
      </w:r>
      <w:r w:rsidR="02B749E8" w:rsidRPr="003A42FB">
        <w:rPr>
          <w:rFonts w:ascii="Times New Roman" w:eastAsiaTheme="minorEastAsia" w:hAnsi="Times New Roman" w:cs="Times New Roman"/>
          <w:sz w:val="24"/>
          <w:szCs w:val="24"/>
        </w:rPr>
        <w:t>ne</w:t>
      </w:r>
      <w:r w:rsidRPr="003A42FB">
        <w:rPr>
          <w:rFonts w:ascii="Times New Roman" w:eastAsiaTheme="minorEastAsia" w:hAnsi="Times New Roman" w:cs="Times New Roman"/>
          <w:sz w:val="24"/>
          <w:szCs w:val="24"/>
        </w:rPr>
        <w:t>tu w sieci ruchomej. Wyjątek ten dotyczy</w:t>
      </w:r>
      <w:r w:rsidR="4C71D811" w:rsidRPr="003A42FB">
        <w:rPr>
          <w:rFonts w:ascii="Times New Roman" w:eastAsiaTheme="minorEastAsia" w:hAnsi="Times New Roman" w:cs="Times New Roman"/>
          <w:sz w:val="24"/>
          <w:szCs w:val="24"/>
        </w:rPr>
        <w:t xml:space="preserve"> dos</w:t>
      </w:r>
      <w:r w:rsidR="02B8A906" w:rsidRPr="003A42FB">
        <w:rPr>
          <w:rFonts w:ascii="Times New Roman" w:eastAsiaTheme="minorEastAsia" w:hAnsi="Times New Roman" w:cs="Times New Roman"/>
          <w:sz w:val="24"/>
          <w:szCs w:val="24"/>
        </w:rPr>
        <w:t>tępu do stron internetowych jednostek sektora finansów publicznych. Minister właściwy do spraw informatyzacji jest uprawniony do publikowania wykazu takich s</w:t>
      </w:r>
      <w:r w:rsidR="4DB6CDB9" w:rsidRPr="003A42FB">
        <w:rPr>
          <w:rFonts w:ascii="Times New Roman" w:eastAsiaTheme="minorEastAsia" w:hAnsi="Times New Roman" w:cs="Times New Roman"/>
          <w:sz w:val="24"/>
          <w:szCs w:val="24"/>
        </w:rPr>
        <w:t>tron. Zmiana w</w:t>
      </w:r>
      <w:r w:rsidR="69243DCF" w:rsidRPr="003A42FB">
        <w:rPr>
          <w:rFonts w:ascii="Times New Roman" w:eastAsiaTheme="minorEastAsia" w:hAnsi="Times New Roman" w:cs="Times New Roman"/>
          <w:sz w:val="24"/>
          <w:szCs w:val="24"/>
        </w:rPr>
        <w:t xml:space="preserve"> zasadach świadczenia usług </w:t>
      </w:r>
      <w:r w:rsidR="4DB6CDB9" w:rsidRPr="003A42FB">
        <w:rPr>
          <w:rFonts w:ascii="Times New Roman" w:eastAsiaTheme="minorEastAsia" w:hAnsi="Times New Roman" w:cs="Times New Roman"/>
          <w:sz w:val="24"/>
          <w:szCs w:val="24"/>
        </w:rPr>
        <w:t>wynikająca ze zmian w wykazie stron, które nie s</w:t>
      </w:r>
      <w:r w:rsidR="4263731B" w:rsidRPr="003A42FB">
        <w:rPr>
          <w:rFonts w:ascii="Times New Roman" w:eastAsiaTheme="minorEastAsia" w:hAnsi="Times New Roman" w:cs="Times New Roman"/>
          <w:sz w:val="24"/>
          <w:szCs w:val="24"/>
        </w:rPr>
        <w:t>ą</w:t>
      </w:r>
      <w:r w:rsidR="4DB6CDB9" w:rsidRPr="003A42FB">
        <w:rPr>
          <w:rFonts w:ascii="Times New Roman" w:eastAsiaTheme="minorEastAsia" w:hAnsi="Times New Roman" w:cs="Times New Roman"/>
          <w:sz w:val="24"/>
          <w:szCs w:val="24"/>
        </w:rPr>
        <w:t xml:space="preserve"> rozl</w:t>
      </w:r>
      <w:r w:rsidR="0228708F" w:rsidRPr="003A42FB">
        <w:rPr>
          <w:rFonts w:ascii="Times New Roman" w:eastAsiaTheme="minorEastAsia" w:hAnsi="Times New Roman" w:cs="Times New Roman"/>
          <w:sz w:val="24"/>
          <w:szCs w:val="24"/>
        </w:rPr>
        <w:t>iczane w ramach pakietów</w:t>
      </w:r>
      <w:r w:rsidR="4F0BAA06" w:rsidRPr="003A42FB">
        <w:rPr>
          <w:rFonts w:ascii="Times New Roman" w:eastAsiaTheme="minorEastAsia" w:hAnsi="Times New Roman" w:cs="Times New Roman"/>
          <w:sz w:val="24"/>
          <w:szCs w:val="24"/>
        </w:rPr>
        <w:t xml:space="preserve"> taryfowych nie jest zmianą w</w:t>
      </w:r>
      <w:r w:rsidR="0248A365" w:rsidRPr="003A42FB">
        <w:rPr>
          <w:rFonts w:ascii="Times New Roman" w:eastAsiaTheme="minorEastAsia" w:hAnsi="Times New Roman" w:cs="Times New Roman"/>
          <w:sz w:val="24"/>
          <w:szCs w:val="24"/>
        </w:rPr>
        <w:t>arunków umowy, stąd dostawca usług nie jest zobowiązany do w</w:t>
      </w:r>
      <w:r w:rsidR="03F9494A" w:rsidRPr="003A42FB">
        <w:rPr>
          <w:rFonts w:ascii="Times New Roman" w:eastAsiaTheme="minorEastAsia" w:hAnsi="Times New Roman" w:cs="Times New Roman"/>
          <w:sz w:val="24"/>
          <w:szCs w:val="24"/>
        </w:rPr>
        <w:t>ypełniania wymogów związanych z informowaniem abonentów.</w:t>
      </w:r>
    </w:p>
    <w:p w14:paraId="58640E40" w14:textId="56A120D0" w:rsidR="00C35543" w:rsidRPr="003A42FB" w:rsidRDefault="00C3554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312-315</w:t>
      </w:r>
      <w:r w:rsidRPr="003A42FB">
        <w:rPr>
          <w:rFonts w:ascii="Times New Roman" w:eastAsiaTheme="minorEastAsia" w:hAnsi="Times New Roman" w:cs="Times New Roman"/>
          <w:b/>
          <w:bCs/>
          <w:sz w:val="24"/>
          <w:szCs w:val="24"/>
        </w:rPr>
        <w:t xml:space="preserve"> zachowanie ciągłości internetu w związku ze zmianą dostawcy usług</w:t>
      </w:r>
    </w:p>
    <w:p w14:paraId="1CD68BAF" w14:textId="7E74BCA0" w:rsidR="0069287E" w:rsidRPr="003A42FB" w:rsidRDefault="0069287E" w:rsidP="0069287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312</w:t>
      </w:r>
      <w:r w:rsidR="00CF6475" w:rsidRPr="003A42FB">
        <w:rPr>
          <w:rFonts w:ascii="Times New Roman" w:eastAsiaTheme="minorEastAsia" w:hAnsi="Times New Roman" w:cs="Times New Roman"/>
          <w:b/>
          <w:bCs/>
          <w:sz w:val="24"/>
          <w:szCs w:val="24"/>
        </w:rPr>
        <w:t xml:space="preserve"> – ciągłość usługi dostępu do internetu</w:t>
      </w:r>
    </w:p>
    <w:p w14:paraId="3F71962A" w14:textId="5F7549FF" w:rsidR="00CF6475" w:rsidRPr="003A42FB" w:rsidRDefault="0069287E" w:rsidP="001A5F92">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BF4CC5">
        <w:rPr>
          <w:rFonts w:ascii="Times New Roman" w:eastAsiaTheme="minorEastAsia" w:hAnsi="Times New Roman" w:cs="Times New Roman"/>
          <w:sz w:val="24"/>
          <w:szCs w:val="24"/>
        </w:rPr>
        <w:t>312</w:t>
      </w:r>
      <w:r w:rsidRPr="003A42FB">
        <w:rPr>
          <w:rFonts w:ascii="Times New Roman" w:eastAsiaTheme="minorEastAsia" w:hAnsi="Times New Roman" w:cs="Times New Roman"/>
          <w:sz w:val="24"/>
          <w:szCs w:val="24"/>
        </w:rPr>
        <w:t xml:space="preserve"> dotyczy nowych uprawnień abonentów związanych ze zmianą dostawcy usługi internetu i stanowi implementację art. 106 ust. 1 EKŁE. Dotychczasowe przepisy regulowały jedynie przypadek zmiany numeru i przeniesienia numeru do innej lokalizacji lub do innej sieci w związku ze zmianą dostawcy usług głosowych. Mając na uwadze konieczność zagwarantowania ochrony praw abonentów usług dostępu do internetu wprowadza się nowe obowiązki względem dotychczasowego i nowego dostawcy usługi dostępu do internetu. </w:t>
      </w:r>
    </w:p>
    <w:p w14:paraId="34E77A57" w14:textId="5DCE8311" w:rsidR="001A5F92" w:rsidRPr="003A42FB" w:rsidRDefault="0069287E" w:rsidP="001A5F92">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 xml:space="preserve">W ustępie 1 wskazane jest uprawnienie abonenta do zachowania ciągłości usługi, za wyjątkiem sytuacji, gdy byłoby to technicznie niemożliwe do zrealizowania. Obowiązkiem nowego </w:t>
      </w:r>
      <w:r w:rsidRPr="003A42FB">
        <w:rPr>
          <w:rFonts w:ascii="Times New Roman" w:eastAsiaTheme="minorEastAsia" w:hAnsi="Times New Roman" w:cs="Times New Roman"/>
          <w:sz w:val="24"/>
          <w:szCs w:val="24"/>
        </w:rPr>
        <w:lastRenderedPageBreak/>
        <w:t>dostawcy jest rozpoczęcie świadczenia usługi w uzgodnionym z abonentem terminie</w:t>
      </w:r>
      <w:r w:rsidR="00454484">
        <w:rPr>
          <w:rFonts w:ascii="Times New Roman" w:eastAsiaTheme="minorEastAsia" w:hAnsi="Times New Roman" w:cs="Times New Roman"/>
          <w:sz w:val="24"/>
          <w:szCs w:val="24"/>
        </w:rPr>
        <w:t>,</w:t>
      </w:r>
      <w:r w:rsidR="00F9583A" w:rsidRPr="003A42FB">
        <w:rPr>
          <w:rFonts w:ascii="Times New Roman" w:eastAsiaTheme="minorEastAsia" w:hAnsi="Times New Roman" w:cs="Times New Roman"/>
          <w:sz w:val="24"/>
          <w:szCs w:val="24"/>
        </w:rPr>
        <w:t xml:space="preserve"> wskazanym w umowie (ust. 2)</w:t>
      </w:r>
      <w:r w:rsidRPr="003A42FB">
        <w:rPr>
          <w:rFonts w:ascii="Times New Roman" w:eastAsiaTheme="minorEastAsia" w:hAnsi="Times New Roman" w:cs="Times New Roman"/>
          <w:sz w:val="24"/>
          <w:szCs w:val="24"/>
        </w:rPr>
        <w:t xml:space="preserve">. </w:t>
      </w:r>
    </w:p>
    <w:p w14:paraId="614BC469" w14:textId="31A4AFDA" w:rsidR="00F9583A" w:rsidRPr="003A42FB" w:rsidRDefault="00F9583A" w:rsidP="001A5F92">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Zgodnie z ust. 3 abonent żądając zmiany dostawcy usługi może wypowiedzieć umowę z dotychczasowym dostawcą usługi bez konieczności zachowania terminów wypowiedzenia określonych w rozwiązywanej umowie. W takim przypadku abonent uiszcza dotychczasowemu dostawcy usług opłatę w wysokości nieprzekraczającej opłaty abonamentowej za okres wypowiedzenia, nie wyższą niż opłata abonamentowa za jeden o</w:t>
      </w:r>
      <w:r w:rsidR="00EB1269" w:rsidRPr="003A42FB">
        <w:rPr>
          <w:rFonts w:ascii="Times New Roman" w:eastAsiaTheme="minorEastAsia" w:hAnsi="Times New Roman" w:cs="Times New Roman"/>
          <w:sz w:val="24"/>
          <w:szCs w:val="24"/>
        </w:rPr>
        <w:t>kres rozliczeniowy, powiększona</w:t>
      </w:r>
      <w:r w:rsidRPr="003A42FB">
        <w:rPr>
          <w:rFonts w:ascii="Times New Roman" w:eastAsiaTheme="minorEastAsia" w:hAnsi="Times New Roman" w:cs="Times New Roman"/>
          <w:sz w:val="24"/>
          <w:szCs w:val="24"/>
        </w:rPr>
        <w:t xml:space="preserve"> o odszkodowanie, o którym mowa w</w:t>
      </w:r>
      <w:r w:rsidRPr="003A42FB" w:rsidDel="00960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art. </w:t>
      </w:r>
      <w:r w:rsidR="00BF4CC5">
        <w:rPr>
          <w:rFonts w:ascii="Times New Roman" w:eastAsiaTheme="minorEastAsia" w:hAnsi="Times New Roman" w:cs="Times New Roman"/>
          <w:sz w:val="24"/>
          <w:szCs w:val="24"/>
        </w:rPr>
        <w:t>298</w:t>
      </w:r>
      <w:r w:rsidRPr="003A42FB">
        <w:rPr>
          <w:rFonts w:ascii="Times New Roman" w:eastAsiaTheme="minorEastAsia" w:hAnsi="Times New Roman" w:cs="Times New Roman"/>
          <w:sz w:val="24"/>
          <w:szCs w:val="24"/>
        </w:rPr>
        <w:t>.</w:t>
      </w:r>
    </w:p>
    <w:p w14:paraId="79B9E8FF" w14:textId="77777777" w:rsidR="00454484" w:rsidRDefault="0069287E" w:rsidP="006E1D06">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w:t>
      </w:r>
      <w:r w:rsidR="00FE0299"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w:t>
      </w:r>
      <w:r w:rsidR="001A5F92" w:rsidRPr="003A42FB">
        <w:rPr>
          <w:rFonts w:ascii="Times New Roman" w:eastAsiaTheme="minorEastAsia" w:hAnsi="Times New Roman" w:cs="Times New Roman"/>
          <w:sz w:val="24"/>
          <w:szCs w:val="24"/>
        </w:rPr>
        <w:t xml:space="preserve">wskazane zostały tryby zmiany dostawcy usługi dostępu do internetu, które wskazać może abonent, tj. </w:t>
      </w:r>
      <w:r w:rsidR="001A5F92" w:rsidRPr="003A42FB">
        <w:rPr>
          <w:rFonts w:ascii="Times New Roman" w:eastAsiaTheme="minorEastAsia" w:hAnsi="Times New Roman" w:cs="Times New Roman"/>
          <w:bCs/>
          <w:sz w:val="24"/>
          <w:szCs w:val="24"/>
        </w:rPr>
        <w:t>z zachowaniem okresu wypowiedzenia przewidzianego umową z dotychczasowym dostawcą usługi</w:t>
      </w:r>
      <w:r w:rsidR="00FE0299" w:rsidRPr="003A42FB">
        <w:rPr>
          <w:rFonts w:ascii="Times New Roman" w:eastAsiaTheme="minorEastAsia" w:hAnsi="Times New Roman" w:cs="Times New Roman"/>
          <w:bCs/>
          <w:sz w:val="24"/>
          <w:szCs w:val="24"/>
        </w:rPr>
        <w:t>, bez zachowania okresu wypowiedzenia ze wskazaniem dnia zmiany dostawcy</w:t>
      </w:r>
      <w:r w:rsidR="001A5F92" w:rsidRPr="003A42FB">
        <w:rPr>
          <w:rFonts w:ascii="Times New Roman" w:eastAsiaTheme="minorEastAsia" w:hAnsi="Times New Roman" w:cs="Times New Roman"/>
          <w:bCs/>
          <w:sz w:val="24"/>
          <w:szCs w:val="24"/>
        </w:rPr>
        <w:t xml:space="preserve"> lub na koniec okresu </w:t>
      </w:r>
      <w:r w:rsidR="00FE0299" w:rsidRPr="003A42FB">
        <w:rPr>
          <w:rFonts w:ascii="Times New Roman" w:eastAsiaTheme="minorEastAsia" w:hAnsi="Times New Roman" w:cs="Times New Roman"/>
          <w:bCs/>
          <w:sz w:val="24"/>
          <w:szCs w:val="24"/>
        </w:rPr>
        <w:t>promocyjnego</w:t>
      </w:r>
      <w:r w:rsidR="001A5F92" w:rsidRPr="003A42FB">
        <w:rPr>
          <w:rFonts w:ascii="Times New Roman" w:eastAsiaTheme="minorEastAsia" w:hAnsi="Times New Roman" w:cs="Times New Roman"/>
          <w:bCs/>
          <w:sz w:val="24"/>
          <w:szCs w:val="24"/>
        </w:rPr>
        <w:t xml:space="preserve"> wynikającego z umowy z dotychczasowym dostawcą usługi. </w:t>
      </w:r>
      <w:r w:rsidRPr="003A42FB">
        <w:rPr>
          <w:rFonts w:ascii="Times New Roman" w:eastAsiaTheme="minorEastAsia" w:hAnsi="Times New Roman" w:cs="Times New Roman"/>
          <w:sz w:val="24"/>
          <w:szCs w:val="24"/>
        </w:rPr>
        <w:t xml:space="preserve"> </w:t>
      </w:r>
    </w:p>
    <w:p w14:paraId="7DB02637" w14:textId="6C2C87D4" w:rsidR="006E1D06" w:rsidRPr="003A42FB" w:rsidRDefault="00FE0299" w:rsidP="006E1D06">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Ustęp 5</w:t>
      </w:r>
      <w:r w:rsidR="001A5F92" w:rsidRPr="003A42FB">
        <w:rPr>
          <w:rFonts w:ascii="Times New Roman" w:eastAsiaTheme="minorEastAsia" w:hAnsi="Times New Roman" w:cs="Times New Roman"/>
          <w:sz w:val="24"/>
          <w:szCs w:val="24"/>
        </w:rPr>
        <w:t xml:space="preserve"> </w:t>
      </w:r>
      <w:r w:rsidR="00712B52" w:rsidRPr="003A42FB">
        <w:rPr>
          <w:rFonts w:ascii="Times New Roman" w:eastAsiaTheme="minorEastAsia" w:hAnsi="Times New Roman" w:cs="Times New Roman"/>
          <w:sz w:val="24"/>
          <w:szCs w:val="24"/>
        </w:rPr>
        <w:t>przewiduje zawieszenie skuteczności złożonego przez abonenta wypowiedzenia umowy z dotychczasowym dostawcą do czasu rozpoczęcia świadczenia usług przez nowego dostawcę. Zapis taki gwarantuje abonentowi zachowanie ciągłości usługi.</w:t>
      </w:r>
      <w:r w:rsidR="00712B52" w:rsidRPr="003A42FB">
        <w:rPr>
          <w:rFonts w:ascii="Times New Roman" w:eastAsiaTheme="minorEastAsia" w:hAnsi="Times New Roman" w:cs="Times New Roman"/>
          <w:bCs/>
          <w:sz w:val="24"/>
          <w:szCs w:val="24"/>
        </w:rPr>
        <w:t xml:space="preserve"> Niezwłocznie po rozpoczęciu świadczenia usługi abonent </w:t>
      </w:r>
      <w:r w:rsidR="00C1393C" w:rsidRPr="003A42FB">
        <w:rPr>
          <w:rFonts w:ascii="Times New Roman" w:eastAsiaTheme="minorEastAsia" w:hAnsi="Times New Roman" w:cs="Times New Roman"/>
          <w:bCs/>
          <w:sz w:val="24"/>
          <w:szCs w:val="24"/>
        </w:rPr>
        <w:t>otrzymuje potwierdzenie rozpoczęcia świadczenia usług</w:t>
      </w:r>
      <w:r w:rsidR="00791907" w:rsidRPr="003A42FB">
        <w:rPr>
          <w:rFonts w:ascii="Times New Roman" w:eastAsiaTheme="minorEastAsia" w:hAnsi="Times New Roman" w:cs="Times New Roman"/>
          <w:bCs/>
          <w:sz w:val="24"/>
          <w:szCs w:val="24"/>
        </w:rPr>
        <w:t>i</w:t>
      </w:r>
      <w:r w:rsidR="00993FAD" w:rsidRPr="003A42FB">
        <w:rPr>
          <w:rFonts w:ascii="Times New Roman" w:eastAsiaTheme="minorEastAsia" w:hAnsi="Times New Roman" w:cs="Times New Roman"/>
          <w:bCs/>
          <w:sz w:val="24"/>
          <w:szCs w:val="24"/>
        </w:rPr>
        <w:t xml:space="preserve"> (</w:t>
      </w:r>
      <w:r w:rsidR="00791907" w:rsidRPr="003A42FB">
        <w:rPr>
          <w:rFonts w:ascii="Times New Roman" w:eastAsiaTheme="minorEastAsia" w:hAnsi="Times New Roman" w:cs="Times New Roman"/>
          <w:bCs/>
          <w:sz w:val="24"/>
          <w:szCs w:val="24"/>
        </w:rPr>
        <w:t>ust. 6</w:t>
      </w:r>
      <w:r w:rsidR="00993FAD" w:rsidRPr="003A42FB">
        <w:rPr>
          <w:rFonts w:ascii="Times New Roman" w:eastAsiaTheme="minorEastAsia" w:hAnsi="Times New Roman" w:cs="Times New Roman"/>
          <w:bCs/>
          <w:sz w:val="24"/>
          <w:szCs w:val="24"/>
        </w:rPr>
        <w:t>)</w:t>
      </w:r>
      <w:r w:rsidR="00712B52" w:rsidRPr="003A42FB">
        <w:rPr>
          <w:rFonts w:ascii="Times New Roman" w:eastAsiaTheme="minorEastAsia" w:hAnsi="Times New Roman" w:cs="Times New Roman"/>
          <w:bCs/>
          <w:sz w:val="24"/>
          <w:szCs w:val="24"/>
        </w:rPr>
        <w:t>.</w:t>
      </w:r>
      <w:r w:rsidR="006E1D06" w:rsidRPr="003A42FB">
        <w:rPr>
          <w:rFonts w:ascii="Times New Roman" w:eastAsiaTheme="minorEastAsia" w:hAnsi="Times New Roman" w:cs="Times New Roman"/>
          <w:bCs/>
          <w:sz w:val="24"/>
          <w:szCs w:val="24"/>
        </w:rPr>
        <w:t xml:space="preserve"> </w:t>
      </w:r>
      <w:r w:rsidR="00791907" w:rsidRPr="003A42FB">
        <w:rPr>
          <w:rFonts w:ascii="Times New Roman" w:eastAsiaTheme="minorEastAsia" w:hAnsi="Times New Roman" w:cs="Times New Roman"/>
          <w:bCs/>
          <w:sz w:val="24"/>
          <w:szCs w:val="24"/>
        </w:rPr>
        <w:t xml:space="preserve">Zgodnie z ust. 7 zmiana dostawcy usługi dostępu do internetu nie może powodować przerwy w świadczeniu usługi przekraczającej 1 dzień roboczy. </w:t>
      </w:r>
      <w:r w:rsidR="006E1D06" w:rsidRPr="003A42FB">
        <w:rPr>
          <w:rFonts w:ascii="Times New Roman" w:eastAsiaTheme="minorEastAsia" w:hAnsi="Times New Roman" w:cs="Times New Roman"/>
          <w:bCs/>
          <w:sz w:val="24"/>
          <w:szCs w:val="24"/>
        </w:rPr>
        <w:t>Czynności związane z realizacją uprawnienia do zachowania ciągłości usługi w przypadku zmiany dostawcy usługi s</w:t>
      </w:r>
      <w:r w:rsidR="00791907" w:rsidRPr="003A42FB">
        <w:rPr>
          <w:rFonts w:ascii="Times New Roman" w:eastAsiaTheme="minorEastAsia" w:hAnsi="Times New Roman" w:cs="Times New Roman"/>
          <w:bCs/>
          <w:sz w:val="24"/>
          <w:szCs w:val="24"/>
        </w:rPr>
        <w:t>ą dla abonenta bezpłatne (ust. 8</w:t>
      </w:r>
      <w:r w:rsidR="006E1D06" w:rsidRPr="003A42FB">
        <w:rPr>
          <w:rFonts w:ascii="Times New Roman" w:eastAsiaTheme="minorEastAsia" w:hAnsi="Times New Roman" w:cs="Times New Roman"/>
          <w:bCs/>
          <w:sz w:val="24"/>
          <w:szCs w:val="24"/>
        </w:rPr>
        <w:t>).</w:t>
      </w:r>
    </w:p>
    <w:p w14:paraId="69B6FAA6" w14:textId="6867DA3D" w:rsidR="006E1D06" w:rsidRPr="003A42FB" w:rsidRDefault="00791907" w:rsidP="006E1D06">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bCs/>
          <w:sz w:val="24"/>
          <w:szCs w:val="24"/>
        </w:rPr>
        <w:t>W ust. 9</w:t>
      </w:r>
      <w:r w:rsidR="006E1D06" w:rsidRPr="003A42FB">
        <w:rPr>
          <w:rFonts w:ascii="Times New Roman" w:eastAsiaTheme="minorEastAsia" w:hAnsi="Times New Roman" w:cs="Times New Roman"/>
          <w:bCs/>
          <w:sz w:val="24"/>
          <w:szCs w:val="24"/>
        </w:rPr>
        <w:t xml:space="preserve"> sformułowany został nakaz współpracy nowego i dotychczasowego dostawcy usług podczas procesu zmiany dostawcy usługi dostępu do internetu, tak aby zapewnić zachowanie ciągłości usługi dostępu internetu. Jednocześnie doprecyzowano, że procesem tym kieruje nowy dostawca usługi. Wymiana informacji pomiędzy operatorami lub dostawcami usługi dostępu do internetu ma się odbywać drogą elektroniczną za pośrednictwem</w:t>
      </w:r>
      <w:r w:rsidR="0080392B" w:rsidRPr="003A42FB">
        <w:rPr>
          <w:rFonts w:ascii="Times New Roman" w:eastAsiaTheme="minorEastAsia" w:hAnsi="Times New Roman" w:cs="Times New Roman"/>
          <w:bCs/>
          <w:sz w:val="24"/>
          <w:szCs w:val="24"/>
        </w:rPr>
        <w:t xml:space="preserve"> systemu zapewnianego przez Prezesa UKE</w:t>
      </w:r>
      <w:r w:rsidR="006E1D06" w:rsidRPr="003A42FB">
        <w:rPr>
          <w:rFonts w:ascii="Times New Roman" w:eastAsiaTheme="minorEastAsia" w:hAnsi="Times New Roman" w:cs="Times New Roman"/>
          <w:bCs/>
          <w:sz w:val="24"/>
          <w:szCs w:val="24"/>
        </w:rPr>
        <w:t xml:space="preserve">. </w:t>
      </w:r>
    </w:p>
    <w:p w14:paraId="4DB1578F" w14:textId="420EFFF3" w:rsidR="0080392B" w:rsidRPr="003A42FB" w:rsidRDefault="0080392B" w:rsidP="0080392B">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bCs/>
          <w:sz w:val="24"/>
          <w:szCs w:val="24"/>
        </w:rPr>
        <w:t xml:space="preserve">W ust. </w:t>
      </w:r>
      <w:r w:rsidR="00791907" w:rsidRPr="003A42FB">
        <w:rPr>
          <w:rFonts w:ascii="Times New Roman" w:eastAsiaTheme="minorEastAsia" w:hAnsi="Times New Roman" w:cs="Times New Roman"/>
          <w:bCs/>
          <w:sz w:val="24"/>
          <w:szCs w:val="24"/>
        </w:rPr>
        <w:t>10</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Cs/>
          <w:sz w:val="24"/>
          <w:szCs w:val="24"/>
        </w:rPr>
        <w:t>przewidziane zostało uprawnienie abonenta do zachowania, na jego żądanie, dostępu przez okres 6 miesięcy do poczty elektronicznej zapewnianej przez dotychczasowego dostawcę usług</w:t>
      </w:r>
      <w:r w:rsidR="00B01DAE">
        <w:rPr>
          <w:rFonts w:ascii="Times New Roman" w:eastAsiaTheme="minorEastAsia" w:hAnsi="Times New Roman" w:cs="Times New Roman"/>
          <w:bCs/>
          <w:sz w:val="24"/>
          <w:szCs w:val="24"/>
        </w:rPr>
        <w:t>i</w:t>
      </w:r>
      <w:r w:rsidRPr="003A42FB">
        <w:rPr>
          <w:rFonts w:ascii="Times New Roman" w:eastAsiaTheme="minorEastAsia" w:hAnsi="Times New Roman" w:cs="Times New Roman"/>
          <w:bCs/>
          <w:sz w:val="24"/>
          <w:szCs w:val="24"/>
        </w:rPr>
        <w:t xml:space="preserve"> dostępu do internetu. Uprawnienie to dotyczy sytuacji, gdy abonent korzysta z poczty elektronicznej, której adres związany jest z nazwą handlową lub znakiem towarowym tego dostawcy usług. </w:t>
      </w:r>
    </w:p>
    <w:p w14:paraId="5C5D152D" w14:textId="15FB0D79" w:rsidR="006E1D06" w:rsidRPr="003A42FB" w:rsidRDefault="0080392B" w:rsidP="00712B52">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313</w:t>
      </w:r>
      <w:r w:rsidRPr="003A42FB">
        <w:rPr>
          <w:rFonts w:ascii="Times New Roman" w:eastAsiaTheme="minorEastAsia" w:hAnsi="Times New Roman" w:cs="Times New Roman"/>
          <w:b/>
          <w:bCs/>
          <w:sz w:val="24"/>
          <w:szCs w:val="24"/>
        </w:rPr>
        <w:t xml:space="preserve"> – opóźnienie lub nieskuteczna zmiana dostawcy internetu</w:t>
      </w:r>
    </w:p>
    <w:p w14:paraId="0B623AAE" w14:textId="6780AABB" w:rsidR="00993FAD" w:rsidRPr="003A42FB" w:rsidRDefault="00993FAD" w:rsidP="00993FAD">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W przepisie tym uregulowana została sytuacja, w której nie doszło do rozpoczęcia świadczenia usługi dostępu do internetu w uzgodnionym z abonentem terminie wynikającym z umowy.</w:t>
      </w:r>
      <w:r w:rsidRPr="003A42FB">
        <w:rPr>
          <w:rFonts w:ascii="Times New Roman" w:eastAsiaTheme="minorEastAsia" w:hAnsi="Times New Roman" w:cs="Times New Roman"/>
          <w:bCs/>
          <w:sz w:val="24"/>
          <w:szCs w:val="24"/>
        </w:rPr>
        <w:t xml:space="preserve"> W takim przypadku dotychczasowy dostawca usługi kontynuuje jej świadczenie na dotychczasowych warunkach do czasu rozpoczęcia świadczenia usługi przez nowego dostawcę. Sytuacja nieskutecznej zmiany dostawcy usług, w której dotychczasowy dostawca świadczy usługę niejako w zastępstwie nowego dostawcy usług powinna być tymczasowa. W związku z tym w ust. 2 wskazano, że brak rozpoczęcia świadczenia usługi przez nowego dostawcę usług</w:t>
      </w:r>
      <w:r w:rsidR="00436C3F" w:rsidRPr="003A42FB">
        <w:rPr>
          <w:rFonts w:ascii="Times New Roman" w:eastAsiaTheme="minorEastAsia" w:hAnsi="Times New Roman" w:cs="Times New Roman"/>
          <w:bCs/>
          <w:sz w:val="24"/>
          <w:szCs w:val="24"/>
        </w:rPr>
        <w:t>i</w:t>
      </w:r>
      <w:r w:rsidRPr="003A42FB">
        <w:rPr>
          <w:rFonts w:ascii="Times New Roman" w:eastAsiaTheme="minorEastAsia" w:hAnsi="Times New Roman" w:cs="Times New Roman"/>
          <w:bCs/>
          <w:sz w:val="24"/>
          <w:szCs w:val="24"/>
        </w:rPr>
        <w:t xml:space="preserve"> w terminie 30 dni od terminu, w którym </w:t>
      </w:r>
      <w:r w:rsidR="00436C3F" w:rsidRPr="003A42FB">
        <w:rPr>
          <w:rFonts w:ascii="Times New Roman" w:eastAsiaTheme="minorEastAsia" w:hAnsi="Times New Roman" w:cs="Times New Roman"/>
          <w:bCs/>
          <w:sz w:val="24"/>
          <w:szCs w:val="24"/>
        </w:rPr>
        <w:t>rozpoczęcie świadczenia usług miało nastąpić będzie wywoływać konkretne skutki prawne. W</w:t>
      </w:r>
      <w:r w:rsidRPr="003A42FB">
        <w:rPr>
          <w:rFonts w:ascii="Times New Roman" w:eastAsiaTheme="minorEastAsia" w:hAnsi="Times New Roman" w:cs="Times New Roman"/>
          <w:bCs/>
          <w:sz w:val="24"/>
          <w:szCs w:val="24"/>
        </w:rPr>
        <w:t>ypowiedzenie umowy z</w:t>
      </w:r>
      <w:r w:rsidR="00436C3F" w:rsidRPr="003A42FB">
        <w:rPr>
          <w:rFonts w:ascii="Times New Roman" w:eastAsiaTheme="minorEastAsia" w:hAnsi="Times New Roman" w:cs="Times New Roman"/>
          <w:bCs/>
          <w:sz w:val="24"/>
          <w:szCs w:val="24"/>
        </w:rPr>
        <w:t xml:space="preserve"> dotychczasowym dostawcą usługi, w przypadku </w:t>
      </w:r>
      <w:r w:rsidRPr="003A42FB">
        <w:rPr>
          <w:rFonts w:ascii="Times New Roman" w:eastAsiaTheme="minorEastAsia" w:hAnsi="Times New Roman" w:cs="Times New Roman"/>
          <w:bCs/>
          <w:sz w:val="24"/>
          <w:szCs w:val="24"/>
        </w:rPr>
        <w:t>brak</w:t>
      </w:r>
      <w:r w:rsidR="00436C3F" w:rsidRPr="003A42FB">
        <w:rPr>
          <w:rFonts w:ascii="Times New Roman" w:eastAsiaTheme="minorEastAsia" w:hAnsi="Times New Roman" w:cs="Times New Roman"/>
          <w:bCs/>
          <w:sz w:val="24"/>
          <w:szCs w:val="24"/>
        </w:rPr>
        <w:t>u</w:t>
      </w:r>
      <w:r w:rsidRPr="003A42FB">
        <w:rPr>
          <w:rFonts w:ascii="Times New Roman" w:eastAsiaTheme="minorEastAsia" w:hAnsi="Times New Roman" w:cs="Times New Roman"/>
          <w:bCs/>
          <w:sz w:val="24"/>
          <w:szCs w:val="24"/>
        </w:rPr>
        <w:t xml:space="preserve"> przeciwnego oświadczenia abonenta</w:t>
      </w:r>
      <w:r w:rsidR="00436C3F" w:rsidRPr="003A42FB">
        <w:rPr>
          <w:rFonts w:ascii="Times New Roman" w:eastAsiaTheme="minorEastAsia" w:hAnsi="Times New Roman" w:cs="Times New Roman"/>
          <w:bCs/>
          <w:sz w:val="24"/>
          <w:szCs w:val="24"/>
        </w:rPr>
        <w:t>,</w:t>
      </w:r>
      <w:r w:rsidRPr="003A42FB">
        <w:rPr>
          <w:rFonts w:ascii="Times New Roman" w:eastAsiaTheme="minorEastAsia" w:hAnsi="Times New Roman" w:cs="Times New Roman"/>
          <w:bCs/>
          <w:sz w:val="24"/>
          <w:szCs w:val="24"/>
        </w:rPr>
        <w:t xml:space="preserve"> </w:t>
      </w:r>
      <w:r w:rsidR="00436C3F" w:rsidRPr="003A42FB">
        <w:rPr>
          <w:rFonts w:ascii="Times New Roman" w:eastAsiaTheme="minorEastAsia" w:hAnsi="Times New Roman" w:cs="Times New Roman"/>
          <w:bCs/>
          <w:sz w:val="24"/>
          <w:szCs w:val="24"/>
        </w:rPr>
        <w:t>stanie</w:t>
      </w:r>
      <w:r w:rsidRPr="003A42FB">
        <w:rPr>
          <w:rFonts w:ascii="Times New Roman" w:eastAsiaTheme="minorEastAsia" w:hAnsi="Times New Roman" w:cs="Times New Roman"/>
          <w:bCs/>
          <w:sz w:val="24"/>
          <w:szCs w:val="24"/>
        </w:rPr>
        <w:t xml:space="preserve"> się bezskuteczne</w:t>
      </w:r>
      <w:r w:rsidR="00436C3F" w:rsidRPr="003A42FB">
        <w:rPr>
          <w:rFonts w:ascii="Times New Roman" w:eastAsiaTheme="minorEastAsia" w:hAnsi="Times New Roman" w:cs="Times New Roman"/>
          <w:bCs/>
          <w:sz w:val="24"/>
          <w:szCs w:val="24"/>
        </w:rPr>
        <w:t xml:space="preserve">, a </w:t>
      </w:r>
      <w:r w:rsidRPr="003A42FB">
        <w:rPr>
          <w:rFonts w:ascii="Times New Roman" w:eastAsiaTheme="minorEastAsia" w:hAnsi="Times New Roman" w:cs="Times New Roman"/>
          <w:bCs/>
          <w:sz w:val="24"/>
          <w:szCs w:val="24"/>
        </w:rPr>
        <w:t>umow</w:t>
      </w:r>
      <w:r w:rsidR="00436C3F" w:rsidRPr="003A42FB">
        <w:rPr>
          <w:rFonts w:ascii="Times New Roman" w:eastAsiaTheme="minorEastAsia" w:hAnsi="Times New Roman" w:cs="Times New Roman"/>
          <w:bCs/>
          <w:sz w:val="24"/>
          <w:szCs w:val="24"/>
        </w:rPr>
        <w:t>a</w:t>
      </w:r>
      <w:r w:rsidRPr="003A42FB">
        <w:rPr>
          <w:rFonts w:ascii="Times New Roman" w:eastAsiaTheme="minorEastAsia" w:hAnsi="Times New Roman" w:cs="Times New Roman"/>
          <w:bCs/>
          <w:sz w:val="24"/>
          <w:szCs w:val="24"/>
        </w:rPr>
        <w:t xml:space="preserve"> z nowym dostawcą usługi dostępu do internetu uważa</w:t>
      </w:r>
      <w:r w:rsidR="00436C3F" w:rsidRPr="003A42FB">
        <w:rPr>
          <w:rFonts w:ascii="Times New Roman" w:eastAsiaTheme="minorEastAsia" w:hAnsi="Times New Roman" w:cs="Times New Roman"/>
          <w:bCs/>
          <w:sz w:val="24"/>
          <w:szCs w:val="24"/>
        </w:rPr>
        <w:t>na będzie</w:t>
      </w:r>
      <w:r w:rsidRPr="003A42FB">
        <w:rPr>
          <w:rFonts w:ascii="Times New Roman" w:eastAsiaTheme="minorEastAsia" w:hAnsi="Times New Roman" w:cs="Times New Roman"/>
          <w:bCs/>
          <w:sz w:val="24"/>
          <w:szCs w:val="24"/>
        </w:rPr>
        <w:t xml:space="preserve"> za niezawartą</w:t>
      </w:r>
      <w:r w:rsidR="00436C3F" w:rsidRPr="003A42FB">
        <w:rPr>
          <w:rFonts w:ascii="Times New Roman" w:eastAsiaTheme="minorEastAsia" w:hAnsi="Times New Roman" w:cs="Times New Roman"/>
          <w:bCs/>
          <w:sz w:val="24"/>
          <w:szCs w:val="24"/>
        </w:rPr>
        <w:t xml:space="preserve">. O ww. skutkach </w:t>
      </w:r>
      <w:r w:rsidRPr="003A42FB">
        <w:rPr>
          <w:rFonts w:ascii="Times New Roman" w:eastAsiaTheme="minorEastAsia" w:hAnsi="Times New Roman" w:cs="Times New Roman"/>
          <w:bCs/>
          <w:sz w:val="24"/>
          <w:szCs w:val="24"/>
        </w:rPr>
        <w:t xml:space="preserve"> dotychczasowy dostawca usługi informuje abonenta.</w:t>
      </w:r>
    </w:p>
    <w:p w14:paraId="5DAD2BE8" w14:textId="0D2A0253" w:rsidR="0054485A" w:rsidRPr="003A42FB" w:rsidRDefault="0054485A" w:rsidP="005448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Kolejne ustępy – 3-5 regulują zasady odpowiedzialności odszkodowawczej w przypadku naruszenia ciągłości usługi dostępu do internetu. </w:t>
      </w:r>
      <w:r w:rsidRPr="003A42FB" w:rsidDel="00296114">
        <w:rPr>
          <w:rFonts w:ascii="Times New Roman" w:eastAsiaTheme="minorEastAsia" w:hAnsi="Times New Roman" w:cs="Times New Roman"/>
          <w:sz w:val="24"/>
          <w:szCs w:val="24"/>
        </w:rPr>
        <w:t xml:space="preserve">Jeżeli nie doszło do zmiany dostawcy usługi </w:t>
      </w:r>
      <w:r w:rsidRPr="003A42FB">
        <w:rPr>
          <w:rFonts w:ascii="Times New Roman" w:eastAsiaTheme="minorEastAsia" w:hAnsi="Times New Roman" w:cs="Times New Roman"/>
          <w:sz w:val="24"/>
          <w:szCs w:val="24"/>
        </w:rPr>
        <w:lastRenderedPageBreak/>
        <w:t xml:space="preserve">w uzgodnionym terminie, abonentowi przysługuje jednorazowe odszkodowanie od  nowego dostawcy usługi za każdy rozpoczęty dzień opóźnienia w wysokości 1/4 sumy opłat miesięcznych za usługi komunikacji elektronicznej liczonej według rachunków z ostatnich trzech okresów rozliczeniowych. Odszkodowanie nie będzie przysługiwało abonentowi w przypadku gdy opóźnienie w dostępie do usługi nie przekroczyło 1 dnia roboczego. </w:t>
      </w:r>
    </w:p>
    <w:p w14:paraId="4DE292B2" w14:textId="4F701D32" w:rsidR="0054485A" w:rsidRPr="003A42FB" w:rsidRDefault="0054485A" w:rsidP="0054485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Jednocześnie w przypadku gdy opóźnienie nastąpiło z przyczyn nieleżących po stronie nowego  dostawcy usługi dostępu do internetu, dostawcy temu przysługuje zwrot wypłaconego odszkodowania lub jego części od podmiotu, po którego stronie leżały przyczyny opóźnienia.</w:t>
      </w:r>
    </w:p>
    <w:p w14:paraId="7990EE1A" w14:textId="00246869" w:rsidR="0069287E" w:rsidRPr="003A42FB" w:rsidRDefault="0054485A" w:rsidP="0069287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Kwota odszkodowania obliczana jest na podstawie liczby rozpoczętych dni, które upłynęły </w:t>
      </w:r>
      <w:r w:rsidRPr="003A42FB" w:rsidDel="006074E5">
        <w:rPr>
          <w:rFonts w:ascii="Times New Roman" w:eastAsiaTheme="minorEastAsia" w:hAnsi="Times New Roman" w:cs="Times New Roman"/>
          <w:sz w:val="24"/>
          <w:szCs w:val="24"/>
        </w:rPr>
        <w:t xml:space="preserve">od </w:t>
      </w:r>
      <w:r w:rsidRPr="003A42FB">
        <w:rPr>
          <w:rFonts w:ascii="Times New Roman" w:eastAsiaTheme="minorEastAsia" w:hAnsi="Times New Roman" w:cs="Times New Roman"/>
          <w:sz w:val="24"/>
          <w:szCs w:val="24"/>
        </w:rPr>
        <w:t xml:space="preserve">terminu, w którym miało nastąpić rozpoczęcie świadczenia usługi </w:t>
      </w:r>
      <w:r w:rsidRPr="003A42FB" w:rsidDel="00745341">
        <w:rPr>
          <w:rFonts w:ascii="Times New Roman" w:eastAsiaTheme="minorEastAsia" w:hAnsi="Times New Roman" w:cs="Times New Roman"/>
          <w:sz w:val="24"/>
          <w:szCs w:val="24"/>
        </w:rPr>
        <w:t>do dnia</w:t>
      </w:r>
      <w:r w:rsidRPr="003A42FB">
        <w:rPr>
          <w:rFonts w:ascii="Times New Roman" w:eastAsiaTheme="minorEastAsia" w:hAnsi="Times New Roman" w:cs="Times New Roman"/>
          <w:sz w:val="24"/>
          <w:szCs w:val="24"/>
        </w:rPr>
        <w:t xml:space="preserve"> rozpoczęcia świadczenia usług</w:t>
      </w:r>
      <w:r w:rsidR="00B879C3"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przez nowego dostawcę lub upływu </w:t>
      </w:r>
      <w:r w:rsidR="00B879C3" w:rsidRPr="003A42FB">
        <w:rPr>
          <w:rFonts w:ascii="Times New Roman" w:eastAsiaTheme="minorEastAsia" w:hAnsi="Times New Roman" w:cs="Times New Roman"/>
          <w:sz w:val="24"/>
          <w:szCs w:val="24"/>
        </w:rPr>
        <w:t xml:space="preserve">30- dniowego </w:t>
      </w:r>
      <w:r w:rsidRPr="003A42FB">
        <w:rPr>
          <w:rFonts w:ascii="Times New Roman" w:eastAsiaTheme="minorEastAsia" w:hAnsi="Times New Roman" w:cs="Times New Roman"/>
          <w:sz w:val="24"/>
          <w:szCs w:val="24"/>
        </w:rPr>
        <w:t>terminu</w:t>
      </w:r>
      <w:r w:rsidR="00B879C3" w:rsidRPr="003A42FB">
        <w:rPr>
          <w:rFonts w:ascii="Times New Roman" w:eastAsiaTheme="minorEastAsia" w:hAnsi="Times New Roman" w:cs="Times New Roman"/>
          <w:sz w:val="24"/>
          <w:szCs w:val="24"/>
        </w:rPr>
        <w:t>, o którym mowa wyżej</w:t>
      </w:r>
      <w:r w:rsidRPr="003A42FB">
        <w:rPr>
          <w:rFonts w:ascii="Times New Roman" w:eastAsiaTheme="minorEastAsia" w:hAnsi="Times New Roman" w:cs="Times New Roman"/>
          <w:sz w:val="24"/>
          <w:szCs w:val="24"/>
        </w:rPr>
        <w:t xml:space="preserve">. </w:t>
      </w:r>
    </w:p>
    <w:p w14:paraId="68F3B993" w14:textId="5B40952D" w:rsidR="0069287E" w:rsidRPr="003A42FB" w:rsidRDefault="0069287E" w:rsidP="0069287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Artykuł </w:t>
      </w:r>
      <w:r w:rsidR="00BF4CC5">
        <w:rPr>
          <w:rFonts w:ascii="Times New Roman" w:eastAsiaTheme="minorEastAsia" w:hAnsi="Times New Roman" w:cs="Times New Roman"/>
          <w:b/>
          <w:bCs/>
          <w:sz w:val="24"/>
          <w:szCs w:val="24"/>
        </w:rPr>
        <w:t>314</w:t>
      </w:r>
      <w:r w:rsidR="006B4BE3" w:rsidRPr="003A42FB">
        <w:rPr>
          <w:rFonts w:ascii="Times New Roman" w:eastAsiaTheme="minorEastAsia" w:hAnsi="Times New Roman" w:cs="Times New Roman"/>
          <w:b/>
          <w:bCs/>
          <w:sz w:val="24"/>
          <w:szCs w:val="24"/>
        </w:rPr>
        <w:t xml:space="preserve"> – realizacja uprawnień w zakresie ciągłości internetu oraz jej zawieszenie</w:t>
      </w:r>
    </w:p>
    <w:p w14:paraId="0A7C17C5" w14:textId="57A7BE5B" w:rsidR="0001231E" w:rsidRPr="003A42FB" w:rsidRDefault="0069287E" w:rsidP="0069287E">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Artykuł ten przewiduje obowiązki dotychczasowego i nowego dostawcy usług</w:t>
      </w:r>
      <w:r w:rsidR="006B4BE3"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w:t>
      </w:r>
      <w:r w:rsidR="006B4BE3" w:rsidRPr="003A42FB">
        <w:rPr>
          <w:rFonts w:ascii="Times New Roman" w:eastAsiaTheme="minorEastAsia" w:hAnsi="Times New Roman" w:cs="Times New Roman"/>
          <w:sz w:val="24"/>
          <w:szCs w:val="24"/>
        </w:rPr>
        <w:t xml:space="preserve">dostępu do internetu </w:t>
      </w:r>
      <w:r w:rsidRPr="003A42FB">
        <w:rPr>
          <w:rFonts w:ascii="Times New Roman" w:eastAsiaTheme="minorEastAsia" w:hAnsi="Times New Roman" w:cs="Times New Roman"/>
          <w:sz w:val="24"/>
          <w:szCs w:val="24"/>
        </w:rPr>
        <w:t>oraz operatora</w:t>
      </w:r>
      <w:r w:rsidR="006B4BE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w zakresie zapewnienia możliwości realizacji uprawnienia do zachowania ciągłości świadczenia usługi dostępu do internetu. Obowiązki te obejmują stworzenie odpowiednich warunków organizacyjnych i technicznych, a jeżeli możliwości takie istnieją – zapewnienie ich praktycznej realizacji.  Na wniosek dostawcy usługi dostępu do internetu albo operatora</w:t>
      </w:r>
      <w:r w:rsidR="006B4BE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Prezes UKE może, w drodze decyzji, zawiesić na czas określony realizację lub ograniczyć zakres realizacji uprawnienia do zachowania ciągłości usługi, jeżeli techniczne możliwości sieci wnioskodawcy nie pozwalają na realizację uprawnienia w całości lub części. Prezes UKE określa w decyzji również harmonogram przystosowania sieci do realizacji uprawnienia objętego wnioskiem. Zgodnie z ust. 3 </w:t>
      </w:r>
      <w:r w:rsidRPr="003A42FB">
        <w:rPr>
          <w:rFonts w:ascii="Times New Roman" w:eastAsia="Times New Roman" w:hAnsi="Times New Roman" w:cs="Times New Roman"/>
          <w:sz w:val="24"/>
          <w:szCs w:val="24"/>
        </w:rPr>
        <w:t>Prezes UKE może z urzędu w drodze decyzji zawiesić realizację lub ograniczyć zakres realizacji uprawnienia do zachowania ciągłości dostępu do internetu dostawcy usług oraz operatorowi, który uporczywie w sposób wadliwy lub niezgodnie z wolą abonenta realizuje proces zmiany dostawcy usługi dostępu do internetu. Zawieszenie lub ograniczenie uprawnień pozostaje bez wpływu na proces zmiany dostawcy usługi dostępu do internetu, w który</w:t>
      </w:r>
      <w:r w:rsidR="00B01DAE">
        <w:rPr>
          <w:rFonts w:ascii="Times New Roman" w:eastAsia="Times New Roman" w:hAnsi="Times New Roman" w:cs="Times New Roman"/>
          <w:sz w:val="24"/>
          <w:szCs w:val="24"/>
        </w:rPr>
        <w:t>m</w:t>
      </w:r>
      <w:r w:rsidRPr="003A42FB">
        <w:rPr>
          <w:rFonts w:ascii="Times New Roman" w:eastAsia="Times New Roman" w:hAnsi="Times New Roman" w:cs="Times New Roman"/>
          <w:sz w:val="24"/>
          <w:szCs w:val="24"/>
        </w:rPr>
        <w:t xml:space="preserve"> dany dostawca jest dawcą.</w:t>
      </w:r>
    </w:p>
    <w:p w14:paraId="046C1F6E" w14:textId="593E8F2F" w:rsidR="0069287E" w:rsidRPr="003A42FB" w:rsidRDefault="0069287E" w:rsidP="0069287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315</w:t>
      </w:r>
      <w:r w:rsidR="00FA5D2D" w:rsidRPr="003A42FB">
        <w:rPr>
          <w:rFonts w:ascii="Times New Roman" w:eastAsiaTheme="minorEastAsia" w:hAnsi="Times New Roman" w:cs="Times New Roman"/>
          <w:b/>
          <w:bCs/>
          <w:sz w:val="24"/>
          <w:szCs w:val="24"/>
        </w:rPr>
        <w:t xml:space="preserve"> – system do wymiany komunikatów w zakresie zmiany dostawcy usługi dostępu do internetu</w:t>
      </w:r>
    </w:p>
    <w:p w14:paraId="075822C7" w14:textId="266BF24D" w:rsidR="0001231E" w:rsidRPr="003A42FB" w:rsidRDefault="0069287E" w:rsidP="0069287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FA5D2D" w:rsidRPr="003A42FB">
        <w:rPr>
          <w:rFonts w:ascii="Times New Roman" w:eastAsiaTheme="minorEastAsia" w:hAnsi="Times New Roman" w:cs="Times New Roman"/>
          <w:sz w:val="24"/>
          <w:szCs w:val="24"/>
        </w:rPr>
        <w:t>ten</w:t>
      </w:r>
      <w:r w:rsidRPr="003A42FB">
        <w:rPr>
          <w:rFonts w:ascii="Times New Roman" w:eastAsiaTheme="minorEastAsia" w:hAnsi="Times New Roman" w:cs="Times New Roman"/>
          <w:sz w:val="24"/>
          <w:szCs w:val="24"/>
        </w:rPr>
        <w:t xml:space="preserve"> przewiduje utworzenie i prowadzenie przez Prezesa UKE systemu teleinformatycznego wymiany komunikatów pomiędzy operatorami lub dostawcami usługi dostępu do internetu na potrzeby realizacji uprawnienia do zachowania ciągłości świadczenia usługi dostępu do internetu. </w:t>
      </w:r>
      <w:r w:rsidR="001C16F8" w:rsidRPr="003A42FB">
        <w:rPr>
          <w:rFonts w:ascii="Times New Roman" w:eastAsiaTheme="minorEastAsia" w:hAnsi="Times New Roman" w:cs="Times New Roman"/>
          <w:sz w:val="24"/>
          <w:szCs w:val="24"/>
        </w:rPr>
        <w:t xml:space="preserve">System ten może być zintegrowany z systemem PLI CBD. </w:t>
      </w:r>
      <w:r w:rsidRPr="003A42FB">
        <w:rPr>
          <w:rFonts w:ascii="Times New Roman" w:eastAsiaTheme="minorEastAsia" w:hAnsi="Times New Roman" w:cs="Times New Roman"/>
          <w:sz w:val="24"/>
          <w:szCs w:val="24"/>
        </w:rPr>
        <w:t>W związku z zarządzaniem systemem</w:t>
      </w:r>
      <w:r w:rsidR="00B01DAE">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Prezes UKE jest uprawniony do przetwarzania zgromadzonych w nim informacji i danych w celach związanych z zapewnieniem funkcjonalności systemu. Prezes UKE zapewnia przystępność systemu poprzez udostępnienie interfejsu dostępu.  Ustęp </w:t>
      </w:r>
      <w:r w:rsidR="00FA5D2D" w:rsidRPr="003A42FB">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 xml:space="preserve"> przewiduje delegację ustawową dla Rady Ministrów do określenia w drodze rozporządzenia, organizacji i funkcjonowania systemu oraz spos</w:t>
      </w:r>
      <w:r w:rsidR="00B01DAE">
        <w:rPr>
          <w:rFonts w:ascii="Times New Roman" w:eastAsiaTheme="minorEastAsia" w:hAnsi="Times New Roman" w:cs="Times New Roman"/>
          <w:sz w:val="24"/>
          <w:szCs w:val="24"/>
        </w:rPr>
        <w:t>obu</w:t>
      </w:r>
      <w:r w:rsidRPr="003A42FB">
        <w:rPr>
          <w:rFonts w:ascii="Times New Roman" w:eastAsiaTheme="minorEastAsia" w:hAnsi="Times New Roman" w:cs="Times New Roman"/>
          <w:sz w:val="24"/>
          <w:szCs w:val="24"/>
        </w:rPr>
        <w:t xml:space="preserve"> wymiany informacji pomiędzy operatorami lub dostawcami usługi dostępu do internetu w zakresie obsługi wniosków o zachowanie ciągłości świadczenia usług w związku ze zmianą dostawcy usługi dostępu do internetu.</w:t>
      </w:r>
    </w:p>
    <w:p w14:paraId="25BACFE2" w14:textId="5007EE04" w:rsidR="001C16F8" w:rsidRPr="003A42FB" w:rsidRDefault="001C16F8" w:rsidP="0069287E">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BF4CC5">
        <w:rPr>
          <w:rFonts w:ascii="Times New Roman" w:eastAsiaTheme="minorEastAsia" w:hAnsi="Times New Roman" w:cs="Times New Roman"/>
          <w:b/>
          <w:sz w:val="24"/>
          <w:szCs w:val="24"/>
        </w:rPr>
        <w:t>316</w:t>
      </w:r>
    </w:p>
    <w:p w14:paraId="3AA84B57" w14:textId="5B42F787" w:rsidR="0069287E" w:rsidRPr="003A42FB" w:rsidRDefault="001C16F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artykule tym sprecyzowane zostało, które przepisy, a tym samym którą procedurę należy zastosować w sytuacji, gdy abonent korzysta jednocześnie z uprawnienia do </w:t>
      </w:r>
      <w:r w:rsidR="006C6293">
        <w:rPr>
          <w:rFonts w:ascii="Times New Roman" w:eastAsiaTheme="minorEastAsia" w:hAnsi="Times New Roman" w:cs="Times New Roman"/>
          <w:sz w:val="24"/>
          <w:szCs w:val="24"/>
        </w:rPr>
        <w:t xml:space="preserve">zachowania ciągłości usługi przy </w:t>
      </w:r>
      <w:r w:rsidRPr="003A42FB">
        <w:rPr>
          <w:rFonts w:ascii="Times New Roman" w:eastAsiaTheme="minorEastAsia" w:hAnsi="Times New Roman" w:cs="Times New Roman"/>
          <w:sz w:val="24"/>
          <w:szCs w:val="24"/>
        </w:rPr>
        <w:t>zmian</w:t>
      </w:r>
      <w:r w:rsidR="006C6293">
        <w:rPr>
          <w:rFonts w:ascii="Times New Roman" w:eastAsiaTheme="minorEastAsia" w:hAnsi="Times New Roman" w:cs="Times New Roman"/>
          <w:sz w:val="24"/>
          <w:szCs w:val="24"/>
        </w:rPr>
        <w:t>ie</w:t>
      </w:r>
      <w:r w:rsidRPr="003A42FB">
        <w:rPr>
          <w:rFonts w:ascii="Times New Roman" w:eastAsiaTheme="minorEastAsia" w:hAnsi="Times New Roman" w:cs="Times New Roman"/>
          <w:sz w:val="24"/>
          <w:szCs w:val="24"/>
        </w:rPr>
        <w:t xml:space="preserve"> dostawcy usługi dostępu do internetu</w:t>
      </w:r>
      <w:r w:rsidR="006C6293">
        <w:rPr>
          <w:rFonts w:ascii="Times New Roman" w:eastAsiaTheme="minorEastAsia" w:hAnsi="Times New Roman" w:cs="Times New Roman"/>
          <w:sz w:val="24"/>
          <w:szCs w:val="24"/>
        </w:rPr>
        <w:t xml:space="preserve"> świadczonego w technologii </w:t>
      </w:r>
      <w:r w:rsidR="006C6293">
        <w:rPr>
          <w:rFonts w:ascii="Times New Roman" w:eastAsiaTheme="minorEastAsia" w:hAnsi="Times New Roman" w:cs="Times New Roman"/>
          <w:sz w:val="24"/>
          <w:szCs w:val="24"/>
        </w:rPr>
        <w:lastRenderedPageBreak/>
        <w:t>mobilnej</w:t>
      </w:r>
      <w:r w:rsidRPr="003A42FB">
        <w:rPr>
          <w:rFonts w:ascii="Times New Roman" w:eastAsiaTheme="minorEastAsia" w:hAnsi="Times New Roman" w:cs="Times New Roman"/>
          <w:sz w:val="24"/>
          <w:szCs w:val="24"/>
        </w:rPr>
        <w:t xml:space="preserve"> i dostawcy usług głosowych z przeniesieniem numeru</w:t>
      </w:r>
      <w:r w:rsidR="006C6293">
        <w:rPr>
          <w:rFonts w:ascii="Times New Roman" w:eastAsiaTheme="minorEastAsia" w:hAnsi="Times New Roman" w:cs="Times New Roman"/>
          <w:sz w:val="24"/>
          <w:szCs w:val="24"/>
        </w:rPr>
        <w:t xml:space="preserve"> niegeograficznego</w:t>
      </w:r>
      <w:r w:rsidR="00181E05" w:rsidRPr="003A42FB">
        <w:rPr>
          <w:rFonts w:ascii="Times New Roman" w:eastAsiaTheme="minorEastAsia" w:hAnsi="Times New Roman" w:cs="Times New Roman"/>
          <w:sz w:val="24"/>
          <w:szCs w:val="24"/>
        </w:rPr>
        <w:t>. W takim wypadku zastosowanie powinna znaleźć procedura przeniesienia numeru.</w:t>
      </w:r>
    </w:p>
    <w:p w14:paraId="3D3072AC" w14:textId="5580ABA9" w:rsidR="00221330" w:rsidRPr="003A42FB" w:rsidRDefault="56028FE2" w:rsidP="2284D859">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317-321</w:t>
      </w:r>
      <w:r w:rsidRPr="003A42FB">
        <w:rPr>
          <w:rFonts w:ascii="Times New Roman" w:eastAsiaTheme="minorEastAsia" w:hAnsi="Times New Roman" w:cs="Times New Roman"/>
          <w:b/>
          <w:bCs/>
          <w:sz w:val="24"/>
          <w:szCs w:val="24"/>
        </w:rPr>
        <w:t xml:space="preserve"> </w:t>
      </w:r>
      <w:r w:rsidR="12727ED0" w:rsidRPr="003A42FB">
        <w:rPr>
          <w:rFonts w:ascii="Times New Roman" w:eastAsiaTheme="minorEastAsia" w:hAnsi="Times New Roman" w:cs="Times New Roman"/>
          <w:b/>
          <w:bCs/>
          <w:sz w:val="24"/>
          <w:szCs w:val="24"/>
        </w:rPr>
        <w:t>z</w:t>
      </w:r>
      <w:r w:rsidR="566EAACD" w:rsidRPr="003A42FB">
        <w:rPr>
          <w:rFonts w:ascii="Times New Roman" w:eastAsiaTheme="minorEastAsia" w:hAnsi="Times New Roman" w:cs="Times New Roman"/>
          <w:b/>
          <w:bCs/>
          <w:sz w:val="24"/>
          <w:szCs w:val="24"/>
        </w:rPr>
        <w:t>miana numeru, przeniesienie numeru do innej lokalizacji, przeniesienie numeru w związku ze zmianą dostawcy usług</w:t>
      </w:r>
    </w:p>
    <w:p w14:paraId="7DABAFAA" w14:textId="5A8DCCF2" w:rsidR="004D4ADD" w:rsidRPr="003A42FB" w:rsidRDefault="0001231E" w:rsidP="2284D859">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317</w:t>
      </w:r>
      <w:r w:rsidR="004D4ADD" w:rsidRPr="003A42FB">
        <w:rPr>
          <w:rFonts w:ascii="Times New Roman" w:eastAsiaTheme="minorEastAsia" w:hAnsi="Times New Roman" w:cs="Times New Roman"/>
          <w:b/>
          <w:bCs/>
          <w:sz w:val="24"/>
          <w:szCs w:val="24"/>
        </w:rPr>
        <w:t xml:space="preserve"> – zmiana przydzielonego numeru</w:t>
      </w:r>
    </w:p>
    <w:p w14:paraId="765E1DBC" w14:textId="46E988A0" w:rsidR="00221330" w:rsidRPr="003A42FB" w:rsidRDefault="004D4AD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Cs/>
          <w:sz w:val="24"/>
          <w:szCs w:val="24"/>
        </w:rPr>
        <w:t>Artykuł ten</w:t>
      </w:r>
      <w:r w:rsidR="566EAACD" w:rsidRPr="003A42FB">
        <w:rPr>
          <w:rFonts w:ascii="Times New Roman" w:eastAsiaTheme="minorEastAsia" w:hAnsi="Times New Roman" w:cs="Times New Roman"/>
          <w:sz w:val="24"/>
          <w:szCs w:val="24"/>
        </w:rPr>
        <w:t xml:space="preserve"> przewiduje uprawnienie abonenta do zmiany przydzielonego numeru w przypadku, gdy dalsze korzystanie z dotychczasowego numeru jest dla niego uciążliwe. Przedmiotowe uprawnienie przysługuje abonentowi, któremu w ramach umowy przydzielony został numer. Szczegółowe warunki korzystania z tego uprawnienia uregulowane są w rozporządzeniu przewidzianym w art. </w:t>
      </w:r>
      <w:r w:rsidR="00BF4CC5">
        <w:rPr>
          <w:rFonts w:ascii="Times New Roman" w:eastAsiaTheme="minorEastAsia" w:hAnsi="Times New Roman" w:cs="Times New Roman"/>
          <w:sz w:val="24"/>
          <w:szCs w:val="24"/>
        </w:rPr>
        <w:t>324</w:t>
      </w:r>
      <w:r w:rsidR="00EC04D8" w:rsidRPr="003A42FB">
        <w:rPr>
          <w:rFonts w:ascii="Times New Roman" w:eastAsiaTheme="minorEastAsia" w:hAnsi="Times New Roman" w:cs="Times New Roman"/>
          <w:sz w:val="24"/>
          <w:szCs w:val="24"/>
        </w:rPr>
        <w:t>.</w:t>
      </w:r>
      <w:r w:rsidR="67D451B8" w:rsidRPr="003A42FB">
        <w:rPr>
          <w:rFonts w:ascii="Times New Roman" w:eastAsiaTheme="minorEastAsia" w:hAnsi="Times New Roman" w:cs="Times New Roman"/>
          <w:sz w:val="24"/>
          <w:szCs w:val="24"/>
        </w:rPr>
        <w:t xml:space="preserve"> Uprawnienie to podobnie jak uprawnienia w zakresie przeniesienia numeru występują również na gruncie Pt.</w:t>
      </w:r>
    </w:p>
    <w:p w14:paraId="79F114C6" w14:textId="082B3AC5" w:rsidR="00221330" w:rsidRPr="003A42FB" w:rsidRDefault="264F414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E248DB" w:rsidRPr="003A42FB">
        <w:rPr>
          <w:rFonts w:ascii="Times New Roman" w:eastAsiaTheme="minorEastAsia" w:hAnsi="Times New Roman" w:cs="Times New Roman"/>
          <w:b/>
          <w:bCs/>
          <w:sz w:val="24"/>
          <w:szCs w:val="24"/>
        </w:rPr>
        <w:t xml:space="preserve"> </w:t>
      </w:r>
      <w:r w:rsidR="00BF4CC5">
        <w:rPr>
          <w:rFonts w:ascii="Times New Roman" w:eastAsiaTheme="minorEastAsia" w:hAnsi="Times New Roman" w:cs="Times New Roman"/>
          <w:b/>
          <w:bCs/>
          <w:sz w:val="24"/>
          <w:szCs w:val="24"/>
        </w:rPr>
        <w:t>318</w:t>
      </w:r>
      <w:r w:rsidR="004D4ADD" w:rsidRPr="003A42FB">
        <w:rPr>
          <w:rFonts w:ascii="Times New Roman" w:eastAsiaTheme="minorEastAsia" w:hAnsi="Times New Roman" w:cs="Times New Roman"/>
          <w:b/>
          <w:bCs/>
          <w:sz w:val="24"/>
          <w:szCs w:val="24"/>
        </w:rPr>
        <w:t xml:space="preserve"> – przeniesienie numeru do nowej lokalizacji</w:t>
      </w:r>
    </w:p>
    <w:p w14:paraId="756CF0F8" w14:textId="56EE5E8E"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BF4CC5">
        <w:rPr>
          <w:rFonts w:ascii="Times New Roman" w:eastAsiaTheme="minorEastAsia" w:hAnsi="Times New Roman" w:cs="Times New Roman"/>
          <w:sz w:val="24"/>
          <w:szCs w:val="24"/>
        </w:rPr>
        <w:t>318</w:t>
      </w:r>
      <w:r w:rsidRPr="003A42FB">
        <w:rPr>
          <w:rFonts w:ascii="Times New Roman" w:eastAsiaTheme="minorEastAsia" w:hAnsi="Times New Roman" w:cs="Times New Roman"/>
          <w:sz w:val="24"/>
          <w:szCs w:val="24"/>
        </w:rPr>
        <w:t xml:space="preserve"> reguluje kwestię przeniesienia numeru do nowej lokalizacji w związku ze zmianą przez abonenta miejsca zamieszkania, siedziby lub miejsca wykonywania działalności. Uprawnienie do przeniesienia numeru obejmuje w takim przypadku przeniesienie numeru w ramach istniejącej sieci tego samego operatora na obszarze całego kraju w przypadku numerów niegeograficznych, a w przypadku numerów geograficznych na obszarze o tym samym wskaźniku obszaru geograficznego. </w:t>
      </w:r>
    </w:p>
    <w:p w14:paraId="79119F53" w14:textId="11AE5C42" w:rsidR="05CA8F55" w:rsidRPr="003A42FB" w:rsidRDefault="05CA8F55"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BF4CC5">
        <w:rPr>
          <w:rFonts w:ascii="Times New Roman" w:eastAsiaTheme="minorEastAsia" w:hAnsi="Times New Roman" w:cs="Times New Roman"/>
          <w:b/>
          <w:bCs/>
          <w:sz w:val="24"/>
          <w:szCs w:val="24"/>
        </w:rPr>
        <w:t>319</w:t>
      </w:r>
      <w:r w:rsidR="004D4ADD" w:rsidRPr="003A42FB">
        <w:rPr>
          <w:rFonts w:ascii="Times New Roman" w:eastAsiaTheme="minorEastAsia" w:hAnsi="Times New Roman" w:cs="Times New Roman"/>
          <w:b/>
          <w:bCs/>
          <w:sz w:val="24"/>
          <w:szCs w:val="24"/>
        </w:rPr>
        <w:t xml:space="preserve"> – przeniesienie numeru w związku ze zmianą dostawcy usług</w:t>
      </w:r>
    </w:p>
    <w:p w14:paraId="044CC381" w14:textId="0E301810"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BF4CC5">
        <w:rPr>
          <w:rFonts w:ascii="Times New Roman" w:eastAsiaTheme="minorEastAsia" w:hAnsi="Times New Roman" w:cs="Times New Roman"/>
          <w:sz w:val="24"/>
          <w:szCs w:val="24"/>
        </w:rPr>
        <w:t>319</w:t>
      </w:r>
      <w:r w:rsidRPr="003A42FB">
        <w:rPr>
          <w:rFonts w:ascii="Times New Roman" w:eastAsiaTheme="minorEastAsia" w:hAnsi="Times New Roman" w:cs="Times New Roman"/>
          <w:sz w:val="24"/>
          <w:szCs w:val="24"/>
        </w:rPr>
        <w:t xml:space="preserve"> dotyczy uprawnienia do zachowania numeru w przypadku zmiany dostawcy publicznie dostępnych usług komunikacji głosowej i stanowi implementację art. 106 ust. 2 EKŁE. Przeniesienie numeru może nastąpić do istniejącej sieci operatora na obszarze geograficznym – w przypadku numerów geograficznych, a w przypadku numerów niegeograficznych – na terenie całego kraju. Uprawnienie to nie obejmuje przenoszenia numerów między sieciami stacjonarnymi i ruchomymi (ust. 3). </w:t>
      </w:r>
    </w:p>
    <w:p w14:paraId="7318B38D" w14:textId="7B2C60A0" w:rsidR="00221330"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ust. 2 abonent zachowuje prawo do przeniesienia numeru przez okres 1 miesiąc</w:t>
      </w:r>
      <w:r w:rsidR="32118734"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od daty rozwiązania umowy</w:t>
      </w:r>
      <w:r w:rsidR="18CCC896" w:rsidRPr="003A42FB">
        <w:rPr>
          <w:rFonts w:ascii="Times New Roman" w:eastAsiaTheme="minorEastAsia" w:hAnsi="Times New Roman" w:cs="Times New Roman"/>
          <w:sz w:val="24"/>
          <w:szCs w:val="24"/>
        </w:rPr>
        <w:t xml:space="preserve"> lub doręczenia informacji o przejęciu przez innego dostawcę usług zobowiązań dostawcy usług, któremu Prezes UKE cofnął przydział zasobów numeracji</w:t>
      </w:r>
      <w:r w:rsidRPr="003A42FB">
        <w:rPr>
          <w:rFonts w:ascii="Times New Roman" w:eastAsiaTheme="minorEastAsia" w:hAnsi="Times New Roman" w:cs="Times New Roman"/>
          <w:sz w:val="24"/>
          <w:szCs w:val="24"/>
        </w:rPr>
        <w:t xml:space="preserve">. Jest to nowe uprawnienie wynikające z art. 106 ust. 3 EKŁE. </w:t>
      </w:r>
      <w:r w:rsidR="101249F5" w:rsidRPr="003A42FB">
        <w:rPr>
          <w:rFonts w:ascii="Times New Roman" w:eastAsiaTheme="minorEastAsia" w:hAnsi="Times New Roman" w:cs="Times New Roman"/>
          <w:sz w:val="24"/>
          <w:szCs w:val="24"/>
        </w:rPr>
        <w:t>Jednocześnie podobnie jak w EKŁE, w Pke zastrzeżono, że abonent może zrzec się prawa do zachowania dotychczasowego numeru.</w:t>
      </w:r>
    </w:p>
    <w:p w14:paraId="0E1C31AD" w14:textId="77777777" w:rsidR="0001231E" w:rsidRPr="003A42FB" w:rsidRDefault="004D4ADD" w:rsidP="00896EAA">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 xml:space="preserve">Zgodnie z ust. 4 abonent może przenosząc numer wypowiedzieć dotychczasową umowę bez zachowania terminów wypowiedzenia określonych w tej umowie, jednak w takim przypadku dostawcy usług przysługuje </w:t>
      </w:r>
      <w:r w:rsidR="00791907" w:rsidRPr="003A42FB">
        <w:rPr>
          <w:rFonts w:ascii="Times New Roman" w:eastAsiaTheme="minorEastAsia" w:hAnsi="Times New Roman" w:cs="Times New Roman"/>
          <w:bCs/>
          <w:sz w:val="24"/>
          <w:szCs w:val="24"/>
        </w:rPr>
        <w:t>opłata w wysokości nieprzekraczającej opłaty abonamentowej za okres wypowiedzenia, nie wyższej jednak niż opłata abonamentowa za jeden okres rozliczeniowy, powiększona o odszkodowanie, o którym  mowa w art. 268.</w:t>
      </w:r>
    </w:p>
    <w:p w14:paraId="75E631DB" w14:textId="77777777" w:rsidR="0001231E" w:rsidRPr="003A42FB" w:rsidRDefault="00896EAA" w:rsidP="00896EA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ust. 5 a</w:t>
      </w:r>
      <w:r w:rsidR="566EAACD" w:rsidRPr="003A42FB">
        <w:rPr>
          <w:rFonts w:ascii="Times New Roman" w:eastAsiaTheme="minorEastAsia" w:hAnsi="Times New Roman" w:cs="Times New Roman"/>
          <w:sz w:val="24"/>
          <w:szCs w:val="24"/>
        </w:rPr>
        <w:t>bonent żądając przeniesienia numeru może wypowiedzieć umowę z dotychczasowym dostawcą</w:t>
      </w:r>
      <w:r w:rsidR="56E0F331" w:rsidRPr="003A42FB">
        <w:rPr>
          <w:rFonts w:ascii="Times New Roman" w:eastAsiaTheme="minorEastAsia" w:hAnsi="Times New Roman" w:cs="Times New Roman"/>
          <w:sz w:val="24"/>
          <w:szCs w:val="24"/>
        </w:rPr>
        <w:t xml:space="preserve">: </w:t>
      </w:r>
    </w:p>
    <w:p w14:paraId="57E73161" w14:textId="6617E119" w:rsidR="0001231E" w:rsidRPr="003A42FB" w:rsidRDefault="56E0F331" w:rsidP="00896EAA">
      <w:pPr>
        <w:spacing w:after="120" w:line="240" w:lineRule="auto"/>
        <w:jc w:val="both"/>
        <w:rPr>
          <w:rFonts w:ascii="Times New Roman" w:eastAsia="Times" w:hAnsi="Times New Roman" w:cs="Times New Roman"/>
          <w:sz w:val="24"/>
          <w:szCs w:val="24"/>
        </w:rPr>
      </w:pPr>
      <w:r w:rsidRPr="003A42FB">
        <w:rPr>
          <w:rFonts w:ascii="Times New Roman" w:eastAsia="Times" w:hAnsi="Times New Roman" w:cs="Times New Roman"/>
          <w:sz w:val="24"/>
          <w:szCs w:val="24"/>
        </w:rPr>
        <w:t>1) z zachowaniem okresu wypowiedzenia wynikającego z umowy</w:t>
      </w:r>
      <w:r w:rsidR="00B01DAE">
        <w:rPr>
          <w:rFonts w:ascii="Times New Roman" w:eastAsia="Times" w:hAnsi="Times New Roman" w:cs="Times New Roman"/>
          <w:sz w:val="24"/>
          <w:szCs w:val="24"/>
        </w:rPr>
        <w:t>;</w:t>
      </w:r>
      <w:r w:rsidRPr="003A42FB">
        <w:rPr>
          <w:rFonts w:ascii="Times New Roman" w:eastAsia="Times" w:hAnsi="Times New Roman" w:cs="Times New Roman"/>
          <w:sz w:val="24"/>
          <w:szCs w:val="24"/>
        </w:rPr>
        <w:t xml:space="preserve"> </w:t>
      </w:r>
    </w:p>
    <w:p w14:paraId="5A6E7357" w14:textId="3D235A44" w:rsidR="00221330" w:rsidRPr="003A42FB" w:rsidRDefault="56E0F331" w:rsidP="00896EAA">
      <w:pPr>
        <w:spacing w:after="120" w:line="240" w:lineRule="auto"/>
        <w:jc w:val="both"/>
        <w:rPr>
          <w:rFonts w:ascii="Times New Roman" w:eastAsia="Times" w:hAnsi="Times New Roman" w:cs="Times New Roman"/>
          <w:sz w:val="24"/>
          <w:szCs w:val="24"/>
        </w:rPr>
      </w:pPr>
      <w:r w:rsidRPr="003A42FB">
        <w:rPr>
          <w:rFonts w:ascii="Times New Roman" w:eastAsia="Times" w:hAnsi="Times New Roman" w:cs="Times New Roman"/>
          <w:sz w:val="24"/>
          <w:szCs w:val="24"/>
        </w:rPr>
        <w:t>2) bez zachowania okresu wypowiedzenia, ze wskazaniem konkretnego terminu przeniesienia</w:t>
      </w:r>
      <w:r w:rsidR="00B01DAE">
        <w:rPr>
          <w:rFonts w:ascii="Times New Roman" w:eastAsia="Times" w:hAnsi="Times New Roman" w:cs="Times New Roman"/>
          <w:sz w:val="24"/>
          <w:szCs w:val="24"/>
        </w:rPr>
        <w:t>;</w:t>
      </w:r>
      <w:r w:rsidRPr="003A42FB">
        <w:rPr>
          <w:rFonts w:ascii="Times New Roman" w:eastAsia="Times" w:hAnsi="Times New Roman" w:cs="Times New Roman"/>
          <w:sz w:val="24"/>
          <w:szCs w:val="24"/>
        </w:rPr>
        <w:t xml:space="preserve"> 3) na koniec okresu obowiązywania umowy wymaganego do skorzystania z warunków promocyjnych wynikającego z umowy z dotychczasowym dostawcą usług.</w:t>
      </w:r>
      <w:r w:rsidR="0AA8A545" w:rsidRPr="003A42FB">
        <w:rPr>
          <w:rFonts w:ascii="Times New Roman" w:eastAsia="Times" w:hAnsi="Times New Roman" w:cs="Times New Roman"/>
          <w:sz w:val="24"/>
          <w:szCs w:val="24"/>
        </w:rPr>
        <w:t xml:space="preserve"> </w:t>
      </w:r>
    </w:p>
    <w:p w14:paraId="01359C53" w14:textId="41BAAB15" w:rsidR="00221330" w:rsidRPr="003A42FB" w:rsidRDefault="155986DF" w:rsidP="00896EAA">
      <w:pPr>
        <w:spacing w:after="120" w:line="240" w:lineRule="auto"/>
        <w:jc w:val="both"/>
        <w:rPr>
          <w:rFonts w:ascii="Times New Roman" w:eastAsiaTheme="minorEastAsia" w:hAnsi="Times New Roman" w:cs="Times New Roman"/>
          <w:sz w:val="24"/>
          <w:szCs w:val="24"/>
        </w:rPr>
      </w:pPr>
      <w:r w:rsidRPr="003A42FB">
        <w:rPr>
          <w:rFonts w:ascii="Times New Roman" w:eastAsia="Times New Roman" w:hAnsi="Times New Roman" w:cs="Times New Roman"/>
          <w:sz w:val="24"/>
          <w:szCs w:val="24"/>
        </w:rPr>
        <w:t xml:space="preserve">Zgodnie z ust. </w:t>
      </w:r>
      <w:r w:rsidR="00896EAA" w:rsidRPr="003A42FB">
        <w:rPr>
          <w:rFonts w:ascii="Times New Roman" w:eastAsia="Times New Roman" w:hAnsi="Times New Roman" w:cs="Times New Roman"/>
          <w:sz w:val="24"/>
          <w:szCs w:val="24"/>
        </w:rPr>
        <w:t>6</w:t>
      </w:r>
      <w:r w:rsidRPr="003A42FB">
        <w:rPr>
          <w:rFonts w:ascii="Times New Roman" w:eastAsia="Times New Roman" w:hAnsi="Times New Roman" w:cs="Times New Roman"/>
          <w:sz w:val="24"/>
          <w:szCs w:val="24"/>
        </w:rPr>
        <w:t xml:space="preserve"> przeniesienie przydzielonego numeru następuje nie później niż w terminie 1 dnia roboczego od uzgodnionego z abonentem dnia rozpoczęcia świadczenia usług</w:t>
      </w:r>
      <w:r w:rsidR="00791907" w:rsidRPr="003A42FB">
        <w:rPr>
          <w:rFonts w:ascii="Times New Roman" w:eastAsia="Times New Roman" w:hAnsi="Times New Roman" w:cs="Times New Roman"/>
          <w:sz w:val="24"/>
          <w:szCs w:val="24"/>
        </w:rPr>
        <w:t>i</w:t>
      </w:r>
      <w:r w:rsidRPr="003A42FB">
        <w:rPr>
          <w:rFonts w:ascii="Times New Roman" w:eastAsia="Times New Roman" w:hAnsi="Times New Roman" w:cs="Times New Roman"/>
          <w:sz w:val="24"/>
          <w:szCs w:val="24"/>
        </w:rPr>
        <w:t xml:space="preserve"> przez nowego dostawcę, wskazanego umowie o świadczenie usług komunikacji ele</w:t>
      </w:r>
      <w:r w:rsidRPr="003A42FB">
        <w:rPr>
          <w:rFonts w:ascii="Times New Roman" w:eastAsiaTheme="minorEastAsia" w:hAnsi="Times New Roman" w:cs="Times New Roman"/>
          <w:sz w:val="24"/>
          <w:szCs w:val="24"/>
        </w:rPr>
        <w:t>ktronicznej.</w:t>
      </w:r>
      <w:r w:rsidR="66B067A8" w:rsidRPr="003A42FB">
        <w:rPr>
          <w:rFonts w:ascii="Times New Roman" w:eastAsiaTheme="minorEastAsia" w:hAnsi="Times New Roman" w:cs="Times New Roman"/>
          <w:sz w:val="24"/>
          <w:szCs w:val="24"/>
        </w:rPr>
        <w:t xml:space="preserve"> Jednocześnie doprecyzowano, że </w:t>
      </w:r>
      <w:r w:rsidR="00791907" w:rsidRPr="003A42FB">
        <w:rPr>
          <w:rFonts w:ascii="Times New Roman" w:eastAsiaTheme="minorEastAsia" w:hAnsi="Times New Roman" w:cs="Times New Roman"/>
          <w:sz w:val="24"/>
          <w:szCs w:val="24"/>
        </w:rPr>
        <w:t xml:space="preserve">termin rozpoczęcia świadczenia usługi przez nowego </w:t>
      </w:r>
      <w:r w:rsidR="00791907" w:rsidRPr="003A42FB">
        <w:rPr>
          <w:rFonts w:ascii="Times New Roman" w:eastAsiaTheme="minorEastAsia" w:hAnsi="Times New Roman" w:cs="Times New Roman"/>
          <w:sz w:val="24"/>
          <w:szCs w:val="24"/>
        </w:rPr>
        <w:lastRenderedPageBreak/>
        <w:t>dostawcę usługi powinien być zgodny z terminem rozwiązania umowy z dotychczasowym dostawcą usługi, tak aby możliwe było zachowanie ciągłości usługi.</w:t>
      </w:r>
    </w:p>
    <w:p w14:paraId="194CB192" w14:textId="693E2A92" w:rsidR="005F6940" w:rsidRPr="003A42FB" w:rsidRDefault="005F6940" w:rsidP="00896EA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Przeniesienie numeru jest potwierdzane abonentowi przez nowego dostawcę na trwałym nośniku (ust. 7).</w:t>
      </w:r>
    </w:p>
    <w:p w14:paraId="2E1FB10F" w14:textId="5D9F1584" w:rsidR="00221330" w:rsidRPr="003A42FB" w:rsidRDefault="6B3D1834" w:rsidP="00896EAA">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ustępie </w:t>
      </w:r>
      <w:r w:rsidR="00896EAA" w:rsidRPr="003A42FB">
        <w:rPr>
          <w:rFonts w:ascii="Times New Roman" w:eastAsiaTheme="minorEastAsia" w:hAnsi="Times New Roman" w:cs="Times New Roman"/>
          <w:sz w:val="24"/>
          <w:szCs w:val="24"/>
        </w:rPr>
        <w:t>8</w:t>
      </w:r>
      <w:r w:rsidRPr="003A42FB">
        <w:rPr>
          <w:rFonts w:ascii="Times New Roman" w:eastAsiaTheme="minorEastAsia" w:hAnsi="Times New Roman" w:cs="Times New Roman"/>
          <w:sz w:val="24"/>
          <w:szCs w:val="24"/>
        </w:rPr>
        <w:t xml:space="preserve"> określono zasady współpracy nowego i dotychczasowego dostawcy usług. Nowy dostawca usług oraz dotychczasowy dostawca usług współpracują ze sobą w dobrej wierze podczas procedury przeniesienia numeru, przy czym procesem przeniesienia numeru kieruje nowy dostawca usług. Wymiana informacji pomiędzy dostawcami usług w zakresie obsługi wniosków o przeniesienie numeru odbywa się drogą elektroniczną za pośrednictwem systemu</w:t>
      </w:r>
      <w:r w:rsidR="250D5D39" w:rsidRPr="003A42FB">
        <w:rPr>
          <w:rFonts w:ascii="Times New Roman" w:eastAsiaTheme="minorEastAsia" w:hAnsi="Times New Roman" w:cs="Times New Roman"/>
          <w:sz w:val="24"/>
          <w:szCs w:val="24"/>
        </w:rPr>
        <w:t xml:space="preserve"> PLI CBD</w:t>
      </w:r>
      <w:r w:rsidR="40616976" w:rsidRPr="003A42FB">
        <w:rPr>
          <w:rFonts w:ascii="Times New Roman" w:eastAsiaTheme="minorEastAsia" w:hAnsi="Times New Roman" w:cs="Times New Roman"/>
          <w:sz w:val="24"/>
          <w:szCs w:val="24"/>
        </w:rPr>
        <w:t>. W ramach PLI CBD Prezes UKE prowadzi Bazę numerów przeniesionych. Operator publicznej sieci telekomunikacyjnej, który posiada przydział numeracji z P</w:t>
      </w:r>
      <w:r w:rsidR="00B01DAE">
        <w:rPr>
          <w:rFonts w:ascii="Times New Roman" w:eastAsiaTheme="minorEastAsia" w:hAnsi="Times New Roman" w:cs="Times New Roman"/>
          <w:sz w:val="24"/>
          <w:szCs w:val="24"/>
        </w:rPr>
        <w:t>NK</w:t>
      </w:r>
      <w:r w:rsidR="40616976" w:rsidRPr="003A42FB">
        <w:rPr>
          <w:rFonts w:ascii="Times New Roman" w:eastAsiaTheme="minorEastAsia" w:hAnsi="Times New Roman" w:cs="Times New Roman"/>
          <w:sz w:val="24"/>
          <w:szCs w:val="24"/>
        </w:rPr>
        <w:t xml:space="preserve"> lub któremu udostępniono taką numerację na podstawie umowy ma obowiązek połączenia sieci z PLI CBD i aktualizacji danych dostępnych w </w:t>
      </w:r>
      <w:r w:rsidR="005F6940" w:rsidRPr="003A42FB">
        <w:rPr>
          <w:rFonts w:ascii="Times New Roman" w:eastAsiaTheme="minorEastAsia" w:hAnsi="Times New Roman" w:cs="Times New Roman"/>
          <w:sz w:val="24"/>
          <w:szCs w:val="24"/>
        </w:rPr>
        <w:t>B</w:t>
      </w:r>
      <w:r w:rsidR="40616976" w:rsidRPr="003A42FB">
        <w:rPr>
          <w:rFonts w:ascii="Times New Roman" w:eastAsiaTheme="minorEastAsia" w:hAnsi="Times New Roman" w:cs="Times New Roman"/>
          <w:sz w:val="24"/>
          <w:szCs w:val="24"/>
        </w:rPr>
        <w:t xml:space="preserve">azie. Za przeniesienie numeru nie pobiera się opłat od abonenta. </w:t>
      </w:r>
    </w:p>
    <w:p w14:paraId="6D341AF4" w14:textId="7291B676" w:rsidR="008E5640" w:rsidRPr="003A42FB" w:rsidRDefault="250D5D39"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w:t>
      </w:r>
      <w:r w:rsidR="008E5640" w:rsidRPr="003A42FB">
        <w:rPr>
          <w:rFonts w:ascii="Times New Roman" w:eastAsiaTheme="minorEastAsia" w:hAnsi="Times New Roman" w:cs="Times New Roman"/>
          <w:sz w:val="24"/>
          <w:szCs w:val="24"/>
        </w:rPr>
        <w:t>10</w:t>
      </w:r>
      <w:r w:rsidRPr="003A42FB">
        <w:rPr>
          <w:rFonts w:ascii="Times New Roman" w:eastAsiaTheme="minorEastAsia" w:hAnsi="Times New Roman" w:cs="Times New Roman"/>
          <w:sz w:val="24"/>
          <w:szCs w:val="24"/>
        </w:rPr>
        <w:t xml:space="preserve"> wprowadzono dodatkową regulację dotyczącą przenoszenia numerów w przypadku upad</w:t>
      </w:r>
      <w:r w:rsidR="58103C7E" w:rsidRPr="003A42FB">
        <w:rPr>
          <w:rFonts w:ascii="Times New Roman" w:eastAsiaTheme="minorEastAsia" w:hAnsi="Times New Roman" w:cs="Times New Roman"/>
          <w:sz w:val="24"/>
          <w:szCs w:val="24"/>
        </w:rPr>
        <w:t>łości przedsiębiorcy telekomunikacyjnego stanowiącą, że w takiej sytuacji wymiana informacji następuje</w:t>
      </w:r>
      <w:r w:rsidR="6B3D1834" w:rsidRPr="003A42FB">
        <w:rPr>
          <w:rFonts w:ascii="Times New Roman" w:eastAsiaTheme="minorEastAsia" w:hAnsi="Times New Roman" w:cs="Times New Roman"/>
          <w:sz w:val="24"/>
          <w:szCs w:val="24"/>
        </w:rPr>
        <w:t xml:space="preserve"> pomiędzy Prezesem UKE a dostawcą usług, któremu przydzielone zostały zasoby numeracji.</w:t>
      </w:r>
      <w:r w:rsidR="005F6940" w:rsidRPr="003A42FB">
        <w:rPr>
          <w:rFonts w:ascii="Times New Roman" w:eastAsiaTheme="minorEastAsia" w:hAnsi="Times New Roman" w:cs="Times New Roman"/>
          <w:sz w:val="24"/>
          <w:szCs w:val="24"/>
        </w:rPr>
        <w:t xml:space="preserve"> </w:t>
      </w:r>
    </w:p>
    <w:p w14:paraId="0A26C438" w14:textId="104AC8E9" w:rsidR="0074403E" w:rsidRPr="003A42FB" w:rsidRDefault="09086FD6" w:rsidP="2284D859">
      <w:pPr>
        <w:spacing w:after="120" w:line="240" w:lineRule="auto"/>
        <w:jc w:val="both"/>
        <w:rPr>
          <w:rFonts w:ascii="Times New Roman" w:eastAsia="Times New Roman" w:hAnsi="Times New Roman" w:cs="Times New Roman"/>
          <w:b/>
          <w:sz w:val="24"/>
          <w:szCs w:val="24"/>
        </w:rPr>
      </w:pPr>
      <w:r w:rsidRPr="003A42FB">
        <w:rPr>
          <w:rFonts w:ascii="Times New Roman" w:eastAsia="Times New Roman" w:hAnsi="Times New Roman" w:cs="Times New Roman"/>
          <w:b/>
          <w:sz w:val="24"/>
          <w:szCs w:val="24"/>
        </w:rPr>
        <w:t xml:space="preserve">Art. </w:t>
      </w:r>
      <w:r w:rsidR="00BF4CC5">
        <w:rPr>
          <w:rFonts w:ascii="Times New Roman" w:eastAsia="Times New Roman" w:hAnsi="Times New Roman" w:cs="Times New Roman"/>
          <w:b/>
          <w:sz w:val="24"/>
          <w:szCs w:val="24"/>
        </w:rPr>
        <w:t>320</w:t>
      </w:r>
      <w:r w:rsidR="007952CC" w:rsidRPr="003A42FB">
        <w:rPr>
          <w:rFonts w:ascii="Times New Roman" w:eastAsia="Times New Roman" w:hAnsi="Times New Roman" w:cs="Times New Roman"/>
          <w:b/>
          <w:sz w:val="24"/>
          <w:szCs w:val="24"/>
        </w:rPr>
        <w:t xml:space="preserve"> – nieskuteczne przeniesienie numeru</w:t>
      </w:r>
      <w:r w:rsidR="00C65A17" w:rsidRPr="003A42FB">
        <w:rPr>
          <w:rFonts w:ascii="Times New Roman" w:eastAsia="Times New Roman" w:hAnsi="Times New Roman" w:cs="Times New Roman"/>
          <w:b/>
          <w:sz w:val="24"/>
          <w:szCs w:val="24"/>
        </w:rPr>
        <w:t xml:space="preserve"> i odszkodowanie</w:t>
      </w:r>
    </w:p>
    <w:p w14:paraId="3033EB71" w14:textId="200A3CD5" w:rsidR="0001231E" w:rsidRPr="003A42FB" w:rsidRDefault="389049ED" w:rsidP="2284D859">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t xml:space="preserve">Przepisy art. </w:t>
      </w:r>
      <w:r w:rsidR="00BF4CC5">
        <w:rPr>
          <w:rFonts w:ascii="Times New Roman" w:eastAsia="Times New Roman" w:hAnsi="Times New Roman" w:cs="Times New Roman"/>
          <w:sz w:val="24"/>
          <w:szCs w:val="24"/>
        </w:rPr>
        <w:t>320</w:t>
      </w:r>
      <w:r w:rsidRPr="003A42FB">
        <w:rPr>
          <w:rFonts w:ascii="Times New Roman" w:eastAsia="Times New Roman" w:hAnsi="Times New Roman" w:cs="Times New Roman"/>
          <w:sz w:val="24"/>
          <w:szCs w:val="24"/>
        </w:rPr>
        <w:t xml:space="preserve"> regulują sytuację, w której nie doszło do przeniesienia numeru zgodnie z żądaniem abonenta.</w:t>
      </w:r>
      <w:r w:rsidR="570E1321" w:rsidRPr="003A42FB">
        <w:rPr>
          <w:rFonts w:ascii="Times New Roman" w:eastAsia="Times New Roman" w:hAnsi="Times New Roman" w:cs="Times New Roman"/>
          <w:sz w:val="24"/>
          <w:szCs w:val="24"/>
        </w:rPr>
        <w:t xml:space="preserve"> W takim wypadku dotychczasowy dostawca </w:t>
      </w:r>
      <w:r w:rsidR="0001231E" w:rsidRPr="003A42FB">
        <w:rPr>
          <w:rFonts w:ascii="Times New Roman" w:eastAsia="Times New Roman" w:hAnsi="Times New Roman" w:cs="Times New Roman"/>
          <w:sz w:val="24"/>
          <w:szCs w:val="24"/>
        </w:rPr>
        <w:t>usługi</w:t>
      </w:r>
      <w:r w:rsidR="0074403E" w:rsidRPr="003A42FB">
        <w:rPr>
          <w:rFonts w:ascii="Times New Roman" w:eastAsia="Times New Roman" w:hAnsi="Times New Roman" w:cs="Times New Roman"/>
          <w:sz w:val="24"/>
          <w:szCs w:val="24"/>
        </w:rPr>
        <w:t xml:space="preserve"> </w:t>
      </w:r>
      <w:r w:rsidR="570E1321" w:rsidRPr="003A42FB">
        <w:rPr>
          <w:rFonts w:ascii="Times New Roman" w:eastAsia="Times New Roman" w:hAnsi="Times New Roman" w:cs="Times New Roman"/>
          <w:sz w:val="24"/>
          <w:szCs w:val="24"/>
        </w:rPr>
        <w:t>wznawia lub kontynuuje świadczenie usług</w:t>
      </w:r>
      <w:r w:rsidR="0074403E" w:rsidRPr="003A42FB">
        <w:rPr>
          <w:rFonts w:ascii="Times New Roman" w:eastAsia="Times New Roman" w:hAnsi="Times New Roman" w:cs="Times New Roman"/>
          <w:sz w:val="24"/>
          <w:szCs w:val="24"/>
        </w:rPr>
        <w:t>i</w:t>
      </w:r>
      <w:r w:rsidR="570E1321" w:rsidRPr="003A42FB">
        <w:rPr>
          <w:rFonts w:ascii="Times New Roman" w:eastAsia="Times New Roman" w:hAnsi="Times New Roman" w:cs="Times New Roman"/>
          <w:sz w:val="24"/>
          <w:szCs w:val="24"/>
        </w:rPr>
        <w:t xml:space="preserve"> na dotychczasowych warunkach do czasu przeniesienia numeru. Wznowienie świadczenia usług</w:t>
      </w:r>
      <w:r w:rsidR="0074403E" w:rsidRPr="003A42FB">
        <w:rPr>
          <w:rFonts w:ascii="Times New Roman" w:eastAsia="Times New Roman" w:hAnsi="Times New Roman" w:cs="Times New Roman"/>
          <w:sz w:val="24"/>
          <w:szCs w:val="24"/>
        </w:rPr>
        <w:t>i</w:t>
      </w:r>
      <w:r w:rsidR="570E1321" w:rsidRPr="003A42FB">
        <w:rPr>
          <w:rFonts w:ascii="Times New Roman" w:eastAsia="Times New Roman" w:hAnsi="Times New Roman" w:cs="Times New Roman"/>
          <w:sz w:val="24"/>
          <w:szCs w:val="24"/>
        </w:rPr>
        <w:t xml:space="preserve"> następuje w takim terminie, aby utrata dostępu do usług</w:t>
      </w:r>
      <w:r w:rsidR="0074403E" w:rsidRPr="003A42FB">
        <w:rPr>
          <w:rFonts w:ascii="Times New Roman" w:eastAsia="Times New Roman" w:hAnsi="Times New Roman" w:cs="Times New Roman"/>
          <w:sz w:val="24"/>
          <w:szCs w:val="24"/>
        </w:rPr>
        <w:t>i</w:t>
      </w:r>
      <w:r w:rsidR="570E1321" w:rsidRPr="003A42FB">
        <w:rPr>
          <w:rFonts w:ascii="Times New Roman" w:eastAsia="Times New Roman" w:hAnsi="Times New Roman" w:cs="Times New Roman"/>
          <w:sz w:val="24"/>
          <w:szCs w:val="24"/>
        </w:rPr>
        <w:t xml:space="preserve"> nie przekroczyła 1 dnia roboczego</w:t>
      </w:r>
      <w:r w:rsidR="6797D71A" w:rsidRPr="003A42FB">
        <w:rPr>
          <w:rFonts w:ascii="Times New Roman" w:eastAsia="Times New Roman" w:hAnsi="Times New Roman" w:cs="Times New Roman"/>
          <w:sz w:val="24"/>
          <w:szCs w:val="24"/>
        </w:rPr>
        <w:t xml:space="preserve">. </w:t>
      </w:r>
      <w:r w:rsidR="06194E25" w:rsidRPr="003A42FB">
        <w:rPr>
          <w:rFonts w:ascii="Times New Roman" w:eastAsia="Times New Roman" w:hAnsi="Times New Roman" w:cs="Times New Roman"/>
          <w:sz w:val="24"/>
          <w:szCs w:val="24"/>
        </w:rPr>
        <w:t>Maksymalny wymiar przerwy w świadczeniu usług</w:t>
      </w:r>
      <w:r w:rsidR="0074403E" w:rsidRPr="003A42FB">
        <w:rPr>
          <w:rFonts w:ascii="Times New Roman" w:eastAsia="Times New Roman" w:hAnsi="Times New Roman" w:cs="Times New Roman"/>
          <w:sz w:val="24"/>
          <w:szCs w:val="24"/>
        </w:rPr>
        <w:t>i</w:t>
      </w:r>
      <w:r w:rsidR="06194E25" w:rsidRPr="003A42FB">
        <w:rPr>
          <w:rFonts w:ascii="Times New Roman" w:eastAsia="Times New Roman" w:hAnsi="Times New Roman" w:cs="Times New Roman"/>
          <w:sz w:val="24"/>
          <w:szCs w:val="24"/>
        </w:rPr>
        <w:t xml:space="preserve"> wynika z art. 106 ust. 5 EKŁE. </w:t>
      </w:r>
      <w:r w:rsidR="6797D71A" w:rsidRPr="003A42FB">
        <w:rPr>
          <w:rFonts w:ascii="Times New Roman" w:eastAsia="Times New Roman" w:hAnsi="Times New Roman" w:cs="Times New Roman"/>
          <w:sz w:val="24"/>
          <w:szCs w:val="24"/>
        </w:rPr>
        <w:t>W przypadku skorzystania przez abonenta z uprawnienia do przeniesienia numeru rozwiązanie umowy następuje pod warunkiem zawieszającym tj. umowa nie ul</w:t>
      </w:r>
      <w:r w:rsidR="0074403E" w:rsidRPr="003A42FB">
        <w:rPr>
          <w:rFonts w:ascii="Times New Roman" w:eastAsia="Times New Roman" w:hAnsi="Times New Roman" w:cs="Times New Roman"/>
          <w:sz w:val="24"/>
          <w:szCs w:val="24"/>
        </w:rPr>
        <w:t>e</w:t>
      </w:r>
      <w:r w:rsidR="6797D71A" w:rsidRPr="003A42FB">
        <w:rPr>
          <w:rFonts w:ascii="Times New Roman" w:eastAsia="Times New Roman" w:hAnsi="Times New Roman" w:cs="Times New Roman"/>
          <w:sz w:val="24"/>
          <w:szCs w:val="24"/>
        </w:rPr>
        <w:t>ga rozwiązaniu, a usługi są nadal świadczone przez dotychczasowego dostawcę usług</w:t>
      </w:r>
      <w:r w:rsidR="0074403E" w:rsidRPr="003A42FB">
        <w:rPr>
          <w:rFonts w:ascii="Times New Roman" w:eastAsia="Times New Roman" w:hAnsi="Times New Roman" w:cs="Times New Roman"/>
          <w:sz w:val="24"/>
          <w:szCs w:val="24"/>
        </w:rPr>
        <w:t>i</w:t>
      </w:r>
      <w:r w:rsidR="6797D71A" w:rsidRPr="003A42FB">
        <w:rPr>
          <w:rFonts w:ascii="Times New Roman" w:eastAsia="Times New Roman" w:hAnsi="Times New Roman" w:cs="Times New Roman"/>
          <w:sz w:val="24"/>
          <w:szCs w:val="24"/>
        </w:rPr>
        <w:t xml:space="preserve"> do czasu rozpoczęcia świadczenia usług</w:t>
      </w:r>
      <w:r w:rsidR="0074403E" w:rsidRPr="003A42FB">
        <w:rPr>
          <w:rFonts w:ascii="Times New Roman" w:eastAsia="Times New Roman" w:hAnsi="Times New Roman" w:cs="Times New Roman"/>
          <w:sz w:val="24"/>
          <w:szCs w:val="24"/>
        </w:rPr>
        <w:t>i</w:t>
      </w:r>
      <w:r w:rsidR="6797D71A" w:rsidRPr="003A42FB">
        <w:rPr>
          <w:rFonts w:ascii="Times New Roman" w:eastAsia="Times New Roman" w:hAnsi="Times New Roman" w:cs="Times New Roman"/>
          <w:sz w:val="24"/>
          <w:szCs w:val="24"/>
        </w:rPr>
        <w:t xml:space="preserve"> przez nowego dostawcę. Jednocześnie przepisy przewidują ograniczenie skutku zawieszającego w czasie </w:t>
      </w:r>
      <w:r w:rsidR="0074403E" w:rsidRPr="003A42FB">
        <w:rPr>
          <w:rFonts w:ascii="Times New Roman" w:eastAsia="Times New Roman" w:hAnsi="Times New Roman" w:cs="Times New Roman"/>
          <w:sz w:val="24"/>
          <w:szCs w:val="24"/>
        </w:rPr>
        <w:t xml:space="preserve"> do 30 dni </w:t>
      </w:r>
      <w:r w:rsidR="6797D71A" w:rsidRPr="003A42FB">
        <w:rPr>
          <w:rFonts w:ascii="Times New Roman" w:eastAsia="Times New Roman" w:hAnsi="Times New Roman" w:cs="Times New Roman"/>
          <w:sz w:val="24"/>
          <w:szCs w:val="24"/>
        </w:rPr>
        <w:t>od dnia, w którym nastąpić miało przeniesienie numeru. Świadczenie usług przez dotychczasowego dostawcę usług odbywa się na dotychczasowych warunkach zarówno w odniesieniu do zakresu usług oraz ich cen.</w:t>
      </w:r>
    </w:p>
    <w:p w14:paraId="54535B94" w14:textId="684CF9B5" w:rsidR="00221330"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ust. 3 wskazane jest uprawnienie abonenta do otrzymania odszkodowania od dotychczasowego dostawcy usług</w:t>
      </w:r>
      <w:r w:rsidR="004B6E12"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w przypadku, gdy nie został dotrzymany termin przeniesienie numeru. Odszkodowanie w takich wypadkach wynosi ¼ sumy opłat miesięcznych </w:t>
      </w:r>
      <w:r w:rsidR="232A38FE" w:rsidRPr="003A42FB">
        <w:rPr>
          <w:rFonts w:ascii="Times New Roman" w:eastAsiaTheme="minorEastAsia" w:hAnsi="Times New Roman" w:cs="Times New Roman"/>
          <w:sz w:val="24"/>
          <w:szCs w:val="24"/>
        </w:rPr>
        <w:t xml:space="preserve">za usługi telekomunikacyjne </w:t>
      </w:r>
      <w:r w:rsidRPr="003A42FB">
        <w:rPr>
          <w:rFonts w:ascii="Times New Roman" w:eastAsiaTheme="minorEastAsia" w:hAnsi="Times New Roman" w:cs="Times New Roman"/>
          <w:sz w:val="24"/>
          <w:szCs w:val="24"/>
        </w:rPr>
        <w:t>liczonych według rachunków z ostatnich 3 miesięcy lub ¼ sumy wartości doładowań konta w przypadku usług przedpłaconych. W przypadku gdy naruszenie terminu przeniesienia numeru nastąpiło z przyczyn nieleżących po stronie dotychczasowego dostawcy</w:t>
      </w:r>
      <w:r w:rsidR="004B6E12"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004B6E12" w:rsidRPr="003A42FB">
        <w:rPr>
          <w:rFonts w:ascii="Times New Roman" w:eastAsiaTheme="minorEastAsia" w:hAnsi="Times New Roman" w:cs="Times New Roman"/>
          <w:sz w:val="24"/>
          <w:szCs w:val="24"/>
        </w:rPr>
        <w:t>dostawcy temu</w:t>
      </w:r>
      <w:r w:rsidRPr="003A42FB">
        <w:rPr>
          <w:rFonts w:ascii="Times New Roman" w:eastAsiaTheme="minorEastAsia" w:hAnsi="Times New Roman" w:cs="Times New Roman"/>
          <w:sz w:val="24"/>
          <w:szCs w:val="24"/>
        </w:rPr>
        <w:t xml:space="preserve"> przysługuje zwrot </w:t>
      </w:r>
      <w:r w:rsidR="004B6E12" w:rsidRPr="003A42FB">
        <w:rPr>
          <w:rFonts w:ascii="Times New Roman" w:eastAsiaTheme="minorEastAsia" w:hAnsi="Times New Roman" w:cs="Times New Roman"/>
          <w:sz w:val="24"/>
          <w:szCs w:val="24"/>
        </w:rPr>
        <w:t xml:space="preserve">odszkodowania </w:t>
      </w:r>
      <w:r w:rsidRPr="003A42FB">
        <w:rPr>
          <w:rFonts w:ascii="Times New Roman" w:eastAsiaTheme="minorEastAsia" w:hAnsi="Times New Roman" w:cs="Times New Roman"/>
          <w:sz w:val="24"/>
          <w:szCs w:val="24"/>
        </w:rPr>
        <w:t>od podmiotu</w:t>
      </w:r>
      <w:r w:rsidR="0C0A039C"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 winy którego nastąpiło opóźnienie (ust. 4). Ustęp 5 odnosi się do uprawnienia do uzyskania od nowego dostawcy usług</w:t>
      </w:r>
      <w:r w:rsidR="004B6E12"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odszkodowania w przypadku przeniesienia numeru bez zgody abonenta. Wysokość odszkodowania wynosi ½ średniej opłaty miesięcznej liczonej według rachunków z ostatnich 3 okresów rozliczeniowych, a w przypadku usług przedpłaconych - w wysokości ½ sumy wartości doładowań konta z ostatnich 3 miesięcy. Ustęp 6 wskazuje daty graniczne, które należy uwzględniać przy obliczaniu kwoty odszkodowania tj. dzień przeniesienia numeru lub</w:t>
      </w:r>
      <w:r w:rsidR="588D24C5" w:rsidRPr="003A42FB">
        <w:rPr>
          <w:rFonts w:ascii="Times New Roman" w:eastAsiaTheme="minorEastAsia" w:hAnsi="Times New Roman" w:cs="Times New Roman"/>
          <w:sz w:val="24"/>
          <w:szCs w:val="24"/>
        </w:rPr>
        <w:t xml:space="preserve"> </w:t>
      </w:r>
      <w:r w:rsidR="677DFE51" w:rsidRPr="003A42FB">
        <w:rPr>
          <w:rFonts w:ascii="Times New Roman" w:eastAsia="Times New Roman" w:hAnsi="Times New Roman" w:cs="Times New Roman"/>
          <w:sz w:val="24"/>
          <w:szCs w:val="24"/>
        </w:rPr>
        <w:t>d</w:t>
      </w:r>
      <w:r w:rsidR="3D20F0AB" w:rsidRPr="003A42FB">
        <w:rPr>
          <w:rFonts w:ascii="Times New Roman" w:eastAsia="Times New Roman" w:hAnsi="Times New Roman" w:cs="Times New Roman"/>
          <w:sz w:val="24"/>
          <w:szCs w:val="24"/>
        </w:rPr>
        <w:t>zień</w:t>
      </w:r>
      <w:r w:rsidR="677DFE51" w:rsidRPr="003A42FB">
        <w:rPr>
          <w:rFonts w:ascii="Times New Roman" w:eastAsia="Times New Roman" w:hAnsi="Times New Roman" w:cs="Times New Roman"/>
          <w:sz w:val="24"/>
          <w:szCs w:val="24"/>
        </w:rPr>
        <w:t xml:space="preserve"> zakończenia obowiązywania kontynuowanej lub wznowionej umowy z dotychczasowym dostawcą usług</w:t>
      </w:r>
      <w:r w:rsidR="004B6E12" w:rsidRPr="003A42FB">
        <w:rPr>
          <w:rFonts w:ascii="Times New Roman" w:eastAsia="Times New Roman" w:hAnsi="Times New Roman" w:cs="Times New Roman"/>
          <w:sz w:val="24"/>
          <w:szCs w:val="24"/>
        </w:rPr>
        <w:t xml:space="preserve">i, a </w:t>
      </w:r>
      <w:r w:rsidR="22EFD684" w:rsidRPr="003A42FB">
        <w:rPr>
          <w:rFonts w:ascii="Times New Roman" w:eastAsia="Times New Roman" w:hAnsi="Times New Roman" w:cs="Times New Roman"/>
          <w:sz w:val="24"/>
          <w:szCs w:val="24"/>
        </w:rPr>
        <w:t xml:space="preserve">w przypadku przeniesienia numeru bez zgody abonenta - </w:t>
      </w:r>
      <w:r w:rsidRPr="003A42FB">
        <w:rPr>
          <w:rFonts w:ascii="Times New Roman" w:eastAsiaTheme="minorEastAsia" w:hAnsi="Times New Roman" w:cs="Times New Roman"/>
          <w:sz w:val="24"/>
          <w:szCs w:val="24"/>
        </w:rPr>
        <w:t>dzień przeniesienia numeru z powrotem do dotychczasowego dostawcy usług</w:t>
      </w:r>
      <w:r w:rsidR="004B6E12"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albo uzyskania zgody abonenta na świadczenie usług</w:t>
      </w:r>
      <w:r w:rsidR="004B6E12" w:rsidRPr="003A42FB">
        <w:rPr>
          <w:rFonts w:ascii="Times New Roman" w:eastAsiaTheme="minorEastAsia" w:hAnsi="Times New Roman" w:cs="Times New Roman"/>
          <w:sz w:val="24"/>
          <w:szCs w:val="24"/>
        </w:rPr>
        <w:t>i</w:t>
      </w:r>
      <w:r w:rsidRPr="003A42FB">
        <w:rPr>
          <w:rFonts w:ascii="Times New Roman" w:eastAsiaTheme="minorEastAsia" w:hAnsi="Times New Roman" w:cs="Times New Roman"/>
          <w:sz w:val="24"/>
          <w:szCs w:val="24"/>
        </w:rPr>
        <w:t xml:space="preserve"> przez nowego dostawcę.</w:t>
      </w:r>
    </w:p>
    <w:p w14:paraId="55A04C5D" w14:textId="43CC74F8" w:rsidR="7E3B5A87" w:rsidRPr="003A42FB" w:rsidRDefault="7E3B5A87" w:rsidP="2284D859">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lastRenderedPageBreak/>
        <w:t xml:space="preserve">Art. </w:t>
      </w:r>
      <w:r w:rsidR="00BF4CC5">
        <w:rPr>
          <w:rFonts w:ascii="Times New Roman" w:eastAsiaTheme="minorEastAsia" w:hAnsi="Times New Roman" w:cs="Times New Roman"/>
          <w:b/>
          <w:bCs/>
          <w:sz w:val="24"/>
          <w:szCs w:val="24"/>
        </w:rPr>
        <w:t>321</w:t>
      </w:r>
      <w:r w:rsidR="00C65A17" w:rsidRPr="003A42FB">
        <w:rPr>
          <w:rFonts w:ascii="Times New Roman" w:eastAsiaTheme="minorEastAsia" w:hAnsi="Times New Roman" w:cs="Times New Roman"/>
          <w:b/>
          <w:bCs/>
          <w:sz w:val="24"/>
          <w:szCs w:val="24"/>
        </w:rPr>
        <w:t xml:space="preserve"> – Baza numerów przeniesionych PLI CBD</w:t>
      </w:r>
    </w:p>
    <w:p w14:paraId="1BE08A5D" w14:textId="3A293522" w:rsidR="2284D859" w:rsidRPr="003A42FB" w:rsidRDefault="7E3B5A87"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tym przepisem w ramach PLI CBD Prezes UKE prowadzi Bazę numerów przeniesionych</w:t>
      </w:r>
      <w:r w:rsidR="00FA1C9C" w:rsidRPr="003A42FB">
        <w:rPr>
          <w:rFonts w:ascii="Times New Roman" w:eastAsiaTheme="minorEastAsia" w:hAnsi="Times New Roman" w:cs="Times New Roman"/>
          <w:sz w:val="24"/>
          <w:szCs w:val="24"/>
        </w:rPr>
        <w:t xml:space="preserve"> zawierającą informację o aktualnym dostawcy usługi komunikacji głosowej</w:t>
      </w:r>
      <w:r w:rsidRPr="003A42FB">
        <w:rPr>
          <w:rFonts w:ascii="Times New Roman" w:eastAsiaTheme="minorEastAsia" w:hAnsi="Times New Roman" w:cs="Times New Roman"/>
          <w:sz w:val="24"/>
          <w:szCs w:val="24"/>
        </w:rPr>
        <w:t>. Operator publicznej sieci telekomunikacyjnej, który posiada przydział numeracji z P</w:t>
      </w:r>
      <w:r w:rsidR="00EE1C30">
        <w:rPr>
          <w:rFonts w:ascii="Times New Roman" w:eastAsiaTheme="minorEastAsia" w:hAnsi="Times New Roman" w:cs="Times New Roman"/>
          <w:sz w:val="24"/>
          <w:szCs w:val="24"/>
        </w:rPr>
        <w:t>NK</w:t>
      </w:r>
      <w:r w:rsidRPr="003A42FB">
        <w:rPr>
          <w:rFonts w:ascii="Times New Roman" w:eastAsiaTheme="minorEastAsia" w:hAnsi="Times New Roman" w:cs="Times New Roman"/>
          <w:sz w:val="24"/>
          <w:szCs w:val="24"/>
        </w:rPr>
        <w:t xml:space="preserve"> lub któremu udostępniono taką numerację na podstawie umowy ma obowiązek połączenia sieci z PLI CBD i aktualizacji danych dostępnych w bazie.</w:t>
      </w:r>
      <w:r w:rsidR="007E68AF" w:rsidRPr="003A42FB">
        <w:rPr>
          <w:rFonts w:ascii="Times New Roman" w:eastAsiaTheme="minorEastAsia" w:hAnsi="Times New Roman" w:cs="Times New Roman"/>
          <w:sz w:val="24"/>
          <w:szCs w:val="24"/>
        </w:rPr>
        <w:t xml:space="preserve"> Na podstawie ust. 3 </w:t>
      </w:r>
      <w:r w:rsidR="007E68AF" w:rsidRPr="003A42FB">
        <w:rPr>
          <w:rFonts w:ascii="Times New Roman" w:eastAsiaTheme="minorEastAsia" w:hAnsi="Times New Roman" w:cs="Times New Roman"/>
          <w:bCs/>
          <w:sz w:val="24"/>
          <w:szCs w:val="24"/>
        </w:rPr>
        <w:t xml:space="preserve">Prezes UKE może umożliwić, na stronie podmiotowej BIP UKE, identyfikację dostawcy usług dla danego numeru publicznej sieci telekomunikacyjnej. </w:t>
      </w:r>
    </w:p>
    <w:p w14:paraId="517E4222" w14:textId="15B033C6" w:rsidR="00221330" w:rsidRPr="003A42FB" w:rsidRDefault="706E4C83" w:rsidP="2284D859">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322</w:t>
      </w:r>
      <w:r w:rsidR="00C65A17" w:rsidRPr="003A42FB">
        <w:rPr>
          <w:rFonts w:ascii="Times New Roman" w:eastAsiaTheme="minorEastAsia" w:hAnsi="Times New Roman" w:cs="Times New Roman"/>
          <w:b/>
          <w:bCs/>
          <w:sz w:val="24"/>
          <w:szCs w:val="24"/>
        </w:rPr>
        <w:t xml:space="preserve"> – NDS i preselekcja</w:t>
      </w:r>
    </w:p>
    <w:p w14:paraId="4F566FFA" w14:textId="23BEF911" w:rsidR="0001231E" w:rsidRPr="003A42FB" w:rsidRDefault="191274AA" w:rsidP="0069287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322</w:t>
      </w:r>
      <w:r w:rsidRPr="003A42FB">
        <w:rPr>
          <w:rFonts w:ascii="Times New Roman" w:eastAsiaTheme="minorEastAsia" w:hAnsi="Times New Roman" w:cs="Times New Roman"/>
          <w:sz w:val="24"/>
          <w:szCs w:val="24"/>
        </w:rPr>
        <w:t xml:space="preserve"> dotyczy uprawnienia abonenta, który korzysta z dostępu do sieci operatora o znaczącej pozycji rynkowej, do wyboru dostawcy usług. Wybór dostawcy może nastąpić każdorazowo przez wybranie numeru dostępu dostawcy usług (NDS) lub przez stałe zlecenie preselekcji (zlecenie kierowania połączeń do wybranego dostawcy usług). W ust. 2 wskazuje się, że dokonanie wyboru dostawcy usług, skutkujące zmianą dostawcy usług, nie może wiązać się z możliwością występowania przez dostawców usług z roszczeniami wobec abonenta</w:t>
      </w:r>
    </w:p>
    <w:p w14:paraId="4BD734D4" w14:textId="7065B540" w:rsidR="0069287E" w:rsidRPr="003A42FB" w:rsidRDefault="0069287E" w:rsidP="0069287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Art</w:t>
      </w:r>
      <w:r w:rsidRPr="003A42FB">
        <w:rPr>
          <w:rFonts w:ascii="Times New Roman" w:eastAsiaTheme="minorEastAsia" w:hAnsi="Times New Roman" w:cs="Times New Roman"/>
          <w:sz w:val="24"/>
          <w:szCs w:val="24"/>
        </w:rPr>
        <w:t xml:space="preserve">. </w:t>
      </w:r>
      <w:r w:rsidR="008B57F0">
        <w:rPr>
          <w:rFonts w:ascii="Times New Roman" w:eastAsiaTheme="minorEastAsia" w:hAnsi="Times New Roman" w:cs="Times New Roman"/>
          <w:b/>
          <w:sz w:val="24"/>
          <w:szCs w:val="24"/>
        </w:rPr>
        <w:t>323</w:t>
      </w:r>
      <w:r w:rsidR="006E5912" w:rsidRPr="003A42FB">
        <w:rPr>
          <w:rFonts w:ascii="Times New Roman" w:eastAsiaTheme="minorEastAsia" w:hAnsi="Times New Roman" w:cs="Times New Roman"/>
          <w:b/>
          <w:sz w:val="24"/>
          <w:szCs w:val="24"/>
        </w:rPr>
        <w:t xml:space="preserve"> – realizacja uprawnienia do przeniesienia numeru oraz jej zawieszenie</w:t>
      </w:r>
    </w:p>
    <w:p w14:paraId="1282918E" w14:textId="51597C39" w:rsidR="0001231E" w:rsidRPr="003A42FB" w:rsidRDefault="0069287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323</w:t>
      </w:r>
      <w:r w:rsidRPr="003A42FB">
        <w:rPr>
          <w:rFonts w:ascii="Times New Roman" w:eastAsiaTheme="minorEastAsia" w:hAnsi="Times New Roman" w:cs="Times New Roman"/>
          <w:sz w:val="24"/>
          <w:szCs w:val="24"/>
        </w:rPr>
        <w:t xml:space="preserve"> dotyczy obowiązków w zakresie tworzenia warunków do realizacji uprawnień abonenckich związanych ze zmianą numeru, przeniesieniem numeru do innej lokalizacji lub do innego dostawcy usłu</w:t>
      </w:r>
      <w:r w:rsidR="00FC72AE" w:rsidRPr="003A42FB">
        <w:rPr>
          <w:rFonts w:ascii="Times New Roman" w:eastAsiaTheme="minorEastAsia" w:hAnsi="Times New Roman" w:cs="Times New Roman"/>
          <w:sz w:val="24"/>
          <w:szCs w:val="24"/>
        </w:rPr>
        <w:t>g</w:t>
      </w:r>
      <w:r w:rsidRPr="003A42FB">
        <w:rPr>
          <w:rFonts w:ascii="Times New Roman" w:eastAsiaTheme="minorEastAsia" w:hAnsi="Times New Roman" w:cs="Times New Roman"/>
          <w:sz w:val="24"/>
          <w:szCs w:val="24"/>
        </w:rPr>
        <w:t xml:space="preserve">. Na wniosek dostawcy usług lub operatora Prezes UKE </w:t>
      </w:r>
      <w:r w:rsidR="00EE1C30">
        <w:rPr>
          <w:rFonts w:ascii="Times New Roman" w:eastAsiaTheme="minorEastAsia" w:hAnsi="Times New Roman" w:cs="Times New Roman"/>
          <w:sz w:val="24"/>
          <w:szCs w:val="24"/>
        </w:rPr>
        <w:t xml:space="preserve">może </w:t>
      </w:r>
      <w:r w:rsidRPr="003A42FB">
        <w:rPr>
          <w:rFonts w:ascii="Times New Roman" w:eastAsiaTheme="minorEastAsia" w:hAnsi="Times New Roman" w:cs="Times New Roman"/>
          <w:sz w:val="24"/>
          <w:szCs w:val="24"/>
        </w:rPr>
        <w:t>zawiesić realizację lub ograniczyć zakres realizacji uprawnienia, jeżeli nie pozwalają na to możliwości techniczne. W takim wypadku Prezes UKE w decyzji określa harmonogram przystosowania sieci do realizacji uprawnień (ust. 2). Jednocześnie w związku z wprowadzeniem do Pke narzędzi służących do przeciwdziałania nadużyciom telekomunikacyjnym należy wprowadzić odpowiednie przepisy zawieszające realizację lub ograniczające zakres realizacji uprawnień, o który</w:t>
      </w:r>
      <w:r w:rsidR="00EE1C30">
        <w:rPr>
          <w:rFonts w:ascii="Times New Roman" w:eastAsiaTheme="minorEastAsia" w:hAnsi="Times New Roman" w:cs="Times New Roman"/>
          <w:sz w:val="24"/>
          <w:szCs w:val="24"/>
        </w:rPr>
        <w:t>ch</w:t>
      </w:r>
      <w:r w:rsidRPr="003A42FB">
        <w:rPr>
          <w:rFonts w:ascii="Times New Roman" w:eastAsiaTheme="minorEastAsia" w:hAnsi="Times New Roman" w:cs="Times New Roman"/>
          <w:sz w:val="24"/>
          <w:szCs w:val="24"/>
        </w:rPr>
        <w:t xml:space="preserve"> mowa w art. </w:t>
      </w:r>
      <w:r w:rsidR="008B57F0">
        <w:rPr>
          <w:rFonts w:ascii="Times New Roman" w:eastAsiaTheme="minorEastAsia" w:hAnsi="Times New Roman" w:cs="Times New Roman"/>
          <w:sz w:val="24"/>
          <w:szCs w:val="24"/>
        </w:rPr>
        <w:t>318</w:t>
      </w:r>
      <w:r w:rsidRPr="003A42FB">
        <w:rPr>
          <w:rFonts w:ascii="Times New Roman" w:eastAsiaTheme="minorEastAsia" w:hAnsi="Times New Roman" w:cs="Times New Roman"/>
          <w:sz w:val="24"/>
          <w:szCs w:val="24"/>
        </w:rPr>
        <w:t>-</w:t>
      </w:r>
      <w:r w:rsidR="008B57F0">
        <w:rPr>
          <w:rFonts w:ascii="Times New Roman" w:eastAsiaTheme="minorEastAsia" w:hAnsi="Times New Roman" w:cs="Times New Roman"/>
          <w:sz w:val="24"/>
          <w:szCs w:val="24"/>
        </w:rPr>
        <w:t>322</w:t>
      </w:r>
      <w:r w:rsidRPr="003A42FB">
        <w:rPr>
          <w:rFonts w:ascii="Times New Roman" w:eastAsiaTheme="minorEastAsia" w:hAnsi="Times New Roman" w:cs="Times New Roman"/>
          <w:sz w:val="24"/>
          <w:szCs w:val="24"/>
        </w:rPr>
        <w:t xml:space="preserve"> dostawcom oraz operatorom, którzy uporczywie w sposób wadliwy lub niezgodnie z wolą abonenta realizują proces przeniesienia numeru. Zawieszenie lub ograniczenie uprawnień pozostaje bez wpływu na procesy przeniesienia numeru</w:t>
      </w:r>
      <w:r w:rsidR="00EE1C30">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 których dany dostawca jest dawcą.</w:t>
      </w:r>
      <w:r w:rsidR="006E5912" w:rsidRPr="003A42FB">
        <w:rPr>
          <w:rFonts w:ascii="Times New Roman" w:eastAsiaTheme="minorEastAsia" w:hAnsi="Times New Roman" w:cs="Times New Roman"/>
          <w:sz w:val="24"/>
          <w:szCs w:val="24"/>
        </w:rPr>
        <w:t xml:space="preserve"> </w:t>
      </w:r>
    </w:p>
    <w:p w14:paraId="6294207E" w14:textId="70FF8AC5" w:rsidR="3FE3D91A" w:rsidRPr="003A42FB" w:rsidRDefault="3FE3D91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324</w:t>
      </w:r>
      <w:r w:rsidR="006E5912" w:rsidRPr="003A42FB">
        <w:rPr>
          <w:rFonts w:ascii="Times New Roman" w:eastAsiaTheme="minorEastAsia" w:hAnsi="Times New Roman" w:cs="Times New Roman"/>
          <w:b/>
          <w:bCs/>
          <w:sz w:val="24"/>
          <w:szCs w:val="24"/>
        </w:rPr>
        <w:t xml:space="preserve"> – procedowanie wniosków o realizację uprawnień abonenckich</w:t>
      </w:r>
    </w:p>
    <w:p w14:paraId="5BD1728A" w14:textId="17756FF2" w:rsidR="00991C3D" w:rsidRPr="003A42FB" w:rsidRDefault="566EAACD" w:rsidP="00991C3D">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324</w:t>
      </w:r>
      <w:r w:rsidRPr="003A42FB">
        <w:rPr>
          <w:rFonts w:ascii="Times New Roman" w:eastAsiaTheme="minorEastAsia" w:hAnsi="Times New Roman" w:cs="Times New Roman"/>
          <w:sz w:val="24"/>
          <w:szCs w:val="24"/>
        </w:rPr>
        <w:t xml:space="preserve"> </w:t>
      </w:r>
      <w:r w:rsidR="00991C3D" w:rsidRPr="003A42FB">
        <w:rPr>
          <w:rFonts w:ascii="Times New Roman" w:eastAsiaTheme="minorEastAsia" w:hAnsi="Times New Roman" w:cs="Times New Roman"/>
          <w:sz w:val="24"/>
          <w:szCs w:val="24"/>
        </w:rPr>
        <w:t xml:space="preserve">wskazuje dopuszczalne formy składania wniosków o realizację uprawnień, o których mowa w art. </w:t>
      </w:r>
      <w:r w:rsidR="008B57F0">
        <w:rPr>
          <w:rFonts w:ascii="Times New Roman" w:eastAsiaTheme="minorEastAsia" w:hAnsi="Times New Roman" w:cs="Times New Roman"/>
          <w:sz w:val="24"/>
          <w:szCs w:val="24"/>
        </w:rPr>
        <w:t>312</w:t>
      </w:r>
      <w:r w:rsidR="00991C3D" w:rsidRPr="003A42FB">
        <w:rPr>
          <w:rFonts w:ascii="Times New Roman" w:eastAsiaTheme="minorEastAsia" w:hAnsi="Times New Roman" w:cs="Times New Roman"/>
          <w:sz w:val="24"/>
          <w:szCs w:val="24"/>
        </w:rPr>
        <w:t xml:space="preserve"> i art. </w:t>
      </w:r>
      <w:r w:rsidR="008B57F0">
        <w:rPr>
          <w:rFonts w:ascii="Times New Roman" w:eastAsiaTheme="minorEastAsia" w:hAnsi="Times New Roman" w:cs="Times New Roman"/>
          <w:sz w:val="24"/>
          <w:szCs w:val="24"/>
        </w:rPr>
        <w:t>317</w:t>
      </w:r>
      <w:r w:rsidR="00991C3D" w:rsidRPr="003A42FB">
        <w:rPr>
          <w:rFonts w:ascii="Times New Roman" w:eastAsiaTheme="minorEastAsia" w:hAnsi="Times New Roman" w:cs="Times New Roman"/>
          <w:sz w:val="24"/>
          <w:szCs w:val="24"/>
        </w:rPr>
        <w:t xml:space="preserve"> – </w:t>
      </w:r>
      <w:r w:rsidR="008B57F0">
        <w:rPr>
          <w:rFonts w:ascii="Times New Roman" w:eastAsiaTheme="minorEastAsia" w:hAnsi="Times New Roman" w:cs="Times New Roman"/>
          <w:sz w:val="24"/>
          <w:szCs w:val="24"/>
        </w:rPr>
        <w:t>319</w:t>
      </w:r>
      <w:r w:rsidR="00991C3D" w:rsidRPr="003A42FB">
        <w:rPr>
          <w:rFonts w:ascii="Times New Roman" w:eastAsiaTheme="minorEastAsia" w:hAnsi="Times New Roman" w:cs="Times New Roman"/>
          <w:sz w:val="24"/>
          <w:szCs w:val="24"/>
        </w:rPr>
        <w:t xml:space="preserve"> - formę pisemną, elektroniczną lub dokumentową. Abonent może wybrać formę złożenia wniosku spośród form oferowanych przez dostawcę usługi. Ustęp 2 zawiera zastrzeżenie, że w przypadku gdy wniosek o zmianę dostawcy usługi komunikacji głosowej wraz z przeniesieniem numeru lub wniosek o zmianę dostawcy usługi dostępu do internetu składany jest w formie dokumentowej, nowy dostawca usługi utrwala i doręcza abonentowi treść złożonego wniosku na trwałym nośniku.</w:t>
      </w:r>
    </w:p>
    <w:p w14:paraId="0AD6EB57" w14:textId="74F74B63" w:rsidR="00221330" w:rsidRPr="003A42FB" w:rsidRDefault="00991C3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3 </w:t>
      </w:r>
      <w:r w:rsidR="566EAACD" w:rsidRPr="003A42FB">
        <w:rPr>
          <w:rFonts w:ascii="Times New Roman" w:eastAsiaTheme="minorEastAsia" w:hAnsi="Times New Roman" w:cs="Times New Roman"/>
          <w:sz w:val="24"/>
          <w:szCs w:val="24"/>
        </w:rPr>
        <w:t xml:space="preserve">zawiera delegację ustawową dla ministra właściwego do spraw informatyzacji do wydania rozporządzenia określającego </w:t>
      </w:r>
      <w:r w:rsidRPr="003A42FB">
        <w:rPr>
          <w:rFonts w:ascii="Times New Roman" w:eastAsiaTheme="minorEastAsia" w:hAnsi="Times New Roman" w:cs="Times New Roman"/>
          <w:sz w:val="24"/>
          <w:szCs w:val="24"/>
        </w:rPr>
        <w:t xml:space="preserve">szczegółowe wymagania dla wniosków o realizację uprawnień, o których mowa </w:t>
      </w:r>
      <w:r w:rsidR="566EAACD" w:rsidRPr="003A42FB">
        <w:rPr>
          <w:rFonts w:ascii="Times New Roman" w:eastAsiaTheme="minorEastAsia" w:hAnsi="Times New Roman" w:cs="Times New Roman"/>
          <w:sz w:val="24"/>
          <w:szCs w:val="24"/>
        </w:rPr>
        <w:t xml:space="preserve">w art. </w:t>
      </w:r>
      <w:r w:rsidR="008B57F0">
        <w:rPr>
          <w:rFonts w:ascii="Times New Roman" w:eastAsiaTheme="minorEastAsia" w:hAnsi="Times New Roman" w:cs="Times New Roman"/>
          <w:sz w:val="24"/>
          <w:szCs w:val="24"/>
        </w:rPr>
        <w:t>312</w:t>
      </w:r>
      <w:r w:rsidR="00C35543" w:rsidRPr="003A42FB">
        <w:rPr>
          <w:rFonts w:ascii="Times New Roman" w:eastAsiaTheme="minorEastAsia" w:hAnsi="Times New Roman" w:cs="Times New Roman"/>
          <w:sz w:val="24"/>
          <w:szCs w:val="24"/>
        </w:rPr>
        <w:t xml:space="preserve">, art. </w:t>
      </w:r>
      <w:r w:rsidR="008B57F0">
        <w:rPr>
          <w:rFonts w:ascii="Times New Roman" w:eastAsiaTheme="minorEastAsia" w:hAnsi="Times New Roman" w:cs="Times New Roman"/>
          <w:sz w:val="24"/>
          <w:szCs w:val="24"/>
        </w:rPr>
        <w:t>317</w:t>
      </w:r>
      <w:r w:rsidR="00865AE9" w:rsidRPr="003A42FB">
        <w:rPr>
          <w:rFonts w:ascii="Times New Roman" w:eastAsiaTheme="minorEastAsia" w:hAnsi="Times New Roman" w:cs="Times New Roman"/>
          <w:sz w:val="24"/>
          <w:szCs w:val="24"/>
        </w:rPr>
        <w:t>-</w:t>
      </w:r>
      <w:r w:rsidR="008B57F0">
        <w:rPr>
          <w:rFonts w:ascii="Times New Roman" w:eastAsiaTheme="minorEastAsia" w:hAnsi="Times New Roman" w:cs="Times New Roman"/>
          <w:sz w:val="24"/>
          <w:szCs w:val="24"/>
        </w:rPr>
        <w:t>319</w:t>
      </w:r>
      <w:r w:rsidR="566EAACD" w:rsidRPr="003A42FB">
        <w:rPr>
          <w:rFonts w:ascii="Times New Roman" w:eastAsiaTheme="minorEastAsia" w:hAnsi="Times New Roman" w:cs="Times New Roman"/>
          <w:sz w:val="24"/>
          <w:szCs w:val="24"/>
        </w:rPr>
        <w:t xml:space="preserve"> i art.</w:t>
      </w:r>
      <w:r w:rsidR="00865AE9" w:rsidRPr="003A42FB">
        <w:rPr>
          <w:rFonts w:ascii="Times New Roman" w:eastAsiaTheme="minorEastAsia" w:hAnsi="Times New Roman" w:cs="Times New Roman"/>
          <w:sz w:val="24"/>
          <w:szCs w:val="24"/>
        </w:rPr>
        <w:t xml:space="preserve"> </w:t>
      </w:r>
      <w:r w:rsidR="008B57F0">
        <w:rPr>
          <w:rFonts w:ascii="Times New Roman" w:eastAsiaTheme="minorEastAsia" w:hAnsi="Times New Roman" w:cs="Times New Roman"/>
          <w:sz w:val="24"/>
          <w:szCs w:val="24"/>
        </w:rPr>
        <w:t>322</w:t>
      </w:r>
      <w:r w:rsidRPr="003A42FB">
        <w:rPr>
          <w:rFonts w:ascii="Times New Roman" w:eastAsiaTheme="minorEastAsia" w:hAnsi="Times New Roman" w:cs="Times New Roman"/>
          <w:sz w:val="24"/>
          <w:szCs w:val="24"/>
        </w:rPr>
        <w:t xml:space="preserve"> oraz szczegółowy sposób składania i procedowania tych wniosków</w:t>
      </w:r>
      <w:r w:rsidR="566EAACD" w:rsidRPr="003A42FB">
        <w:rPr>
          <w:rFonts w:ascii="Times New Roman" w:eastAsiaTheme="minorEastAsia" w:hAnsi="Times New Roman" w:cs="Times New Roman"/>
          <w:sz w:val="24"/>
          <w:szCs w:val="24"/>
        </w:rPr>
        <w:t xml:space="preserve"> uwzględniając dostępność publicznie dostępnych usług telekomunikacyjnych, możliwości techniczne publicznych sieci telekomunikacyjnych oraz istniejące zasoby numeracji.</w:t>
      </w:r>
    </w:p>
    <w:p w14:paraId="7F6F1997" w14:textId="4E1408BB" w:rsidR="0069287E" w:rsidRPr="003A42FB" w:rsidRDefault="0069287E" w:rsidP="0069287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325</w:t>
      </w:r>
      <w:r w:rsidR="00FB6019" w:rsidRPr="003A42FB">
        <w:rPr>
          <w:rFonts w:ascii="Times New Roman" w:eastAsiaTheme="minorEastAsia" w:hAnsi="Times New Roman" w:cs="Times New Roman"/>
          <w:b/>
          <w:bCs/>
          <w:sz w:val="24"/>
          <w:szCs w:val="24"/>
        </w:rPr>
        <w:t xml:space="preserve"> – zwrot środków pre paid </w:t>
      </w:r>
    </w:p>
    <w:p w14:paraId="6435AAE5" w14:textId="17A920A9" w:rsidR="0069287E" w:rsidRPr="003A42FB" w:rsidRDefault="0069287E" w:rsidP="0069287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325</w:t>
      </w:r>
      <w:r w:rsidRPr="003A42FB">
        <w:rPr>
          <w:rFonts w:ascii="Times New Roman" w:eastAsiaTheme="minorEastAsia" w:hAnsi="Times New Roman" w:cs="Times New Roman"/>
          <w:sz w:val="24"/>
          <w:szCs w:val="24"/>
        </w:rPr>
        <w:t xml:space="preserve"> wprowadza nowe uprawnienie dla konsumentów korzystających z usług przedpłaconych w postaci możliwości otrzymania zwrotu pozostałych na koncie środków z doładowań w przypadku</w:t>
      </w:r>
      <w:r w:rsidRPr="003A42FB">
        <w:rPr>
          <w:rFonts w:ascii="Times New Roman" w:eastAsiaTheme="minorEastAsia" w:hAnsi="Times New Roman" w:cs="Times New Roman"/>
          <w:sz w:val="24"/>
          <w:szCs w:val="24"/>
          <w:lang w:eastAsia="ar-SA"/>
        </w:rPr>
        <w:t xml:space="preserve"> </w:t>
      </w:r>
      <w:r w:rsidR="00FB6019" w:rsidRPr="003A42FB">
        <w:rPr>
          <w:rFonts w:ascii="Times New Roman" w:eastAsiaTheme="minorEastAsia" w:hAnsi="Times New Roman" w:cs="Times New Roman"/>
          <w:sz w:val="24"/>
          <w:szCs w:val="24"/>
        </w:rPr>
        <w:t xml:space="preserve">wygaśnięcia ważności konta rozumianej jako utrata możliwości </w:t>
      </w:r>
      <w:r w:rsidR="00FB6019" w:rsidRPr="003A42FB">
        <w:rPr>
          <w:rFonts w:ascii="Times New Roman" w:eastAsiaTheme="minorEastAsia" w:hAnsi="Times New Roman" w:cs="Times New Roman"/>
          <w:sz w:val="24"/>
          <w:szCs w:val="24"/>
        </w:rPr>
        <w:lastRenderedPageBreak/>
        <w:t>odbierania połączeń przychodzących w ramach  umowy o świadczenie usług przedpłaconych</w:t>
      </w:r>
      <w:r w:rsidRPr="003A42FB">
        <w:rPr>
          <w:rFonts w:ascii="Times New Roman" w:eastAsiaTheme="minorEastAsia" w:hAnsi="Times New Roman" w:cs="Times New Roman"/>
          <w:sz w:val="24"/>
          <w:szCs w:val="24"/>
        </w:rPr>
        <w:t xml:space="preserve"> </w:t>
      </w:r>
      <w:r w:rsidR="00FB6019" w:rsidRPr="003A42FB">
        <w:rPr>
          <w:rFonts w:ascii="Times New Roman" w:eastAsiaTheme="minorEastAsia" w:hAnsi="Times New Roman" w:cs="Times New Roman"/>
          <w:sz w:val="24"/>
          <w:szCs w:val="24"/>
        </w:rPr>
        <w:t>oraz w przypadku</w:t>
      </w:r>
      <w:r w:rsidRPr="003A42FB">
        <w:rPr>
          <w:rFonts w:ascii="Times New Roman" w:eastAsiaTheme="minorEastAsia" w:hAnsi="Times New Roman" w:cs="Times New Roman"/>
          <w:sz w:val="24"/>
          <w:szCs w:val="24"/>
        </w:rPr>
        <w:t xml:space="preserve"> zmiany dostawcy usług. Przepis ten w zakresie zwrotu środków w przypadku zmiany dostawcy usług stanowi implementację art. 106 ust. 6 EKŁE. Zwrot środków </w:t>
      </w:r>
      <w:r w:rsidR="00FB6019" w:rsidRPr="003A42FB">
        <w:rPr>
          <w:rFonts w:ascii="Times New Roman" w:eastAsiaTheme="minorEastAsia" w:hAnsi="Times New Roman" w:cs="Times New Roman"/>
          <w:sz w:val="24"/>
          <w:szCs w:val="24"/>
        </w:rPr>
        <w:t>odbywa się na wniosek konsumenta i</w:t>
      </w:r>
      <w:r w:rsidRPr="003A42FB">
        <w:rPr>
          <w:rFonts w:ascii="Times New Roman" w:eastAsiaTheme="minorEastAsia" w:hAnsi="Times New Roman" w:cs="Times New Roman"/>
          <w:sz w:val="24"/>
          <w:szCs w:val="24"/>
        </w:rPr>
        <w:t xml:space="preserve"> może podlegać opłacie tylko jeżeli wynika to z umowy. Opłata taka powinna być proporcjonalna i </w:t>
      </w:r>
      <w:r w:rsidR="00FB6019" w:rsidRPr="003A42FB">
        <w:rPr>
          <w:rFonts w:ascii="Times New Roman" w:eastAsiaTheme="minorEastAsia" w:hAnsi="Times New Roman" w:cs="Times New Roman"/>
          <w:sz w:val="24"/>
          <w:szCs w:val="24"/>
        </w:rPr>
        <w:t>odpowiadać rzeczywistym kosztom</w:t>
      </w:r>
      <w:r w:rsidRPr="003A42FB">
        <w:rPr>
          <w:rFonts w:ascii="Times New Roman" w:eastAsiaTheme="minorEastAsia" w:hAnsi="Times New Roman" w:cs="Times New Roman"/>
          <w:sz w:val="24"/>
          <w:szCs w:val="24"/>
        </w:rPr>
        <w:t xml:space="preserve"> zwrotu i </w:t>
      </w:r>
      <w:r w:rsidR="00FB6019" w:rsidRPr="003A42FB">
        <w:rPr>
          <w:rFonts w:ascii="Times New Roman" w:eastAsiaTheme="minorEastAsia" w:hAnsi="Times New Roman" w:cs="Times New Roman"/>
          <w:sz w:val="24"/>
          <w:szCs w:val="24"/>
        </w:rPr>
        <w:t>może być</w:t>
      </w:r>
      <w:r w:rsidRPr="003A42FB">
        <w:rPr>
          <w:rFonts w:ascii="Times New Roman" w:eastAsiaTheme="minorEastAsia" w:hAnsi="Times New Roman" w:cs="Times New Roman"/>
          <w:sz w:val="24"/>
          <w:szCs w:val="24"/>
        </w:rPr>
        <w:t xml:space="preserve"> potrącana ze środków podlegających zwrotowi. Zgodnie z ust. 3 konsument dokonuje wyboru sposobu uzyskania zwrotu spośród form dostępnych u danego dostawcy usług. Jednocześnie dostawca usług zobowiązany jest do umożliwienia konsumentowi uzyskania zwrotu na konto bankowe lub konto w SKOK. </w:t>
      </w:r>
      <w:r w:rsidR="00FB6019" w:rsidRPr="003A42FB">
        <w:rPr>
          <w:rFonts w:ascii="Times New Roman" w:eastAsiaTheme="minorEastAsia" w:hAnsi="Times New Roman" w:cs="Times New Roman"/>
          <w:sz w:val="24"/>
          <w:szCs w:val="24"/>
        </w:rPr>
        <w:t>Zgodnie z ust. 4 w przypadku zmiany dostawcy usług zwrot środków nastąpić może po przeniesieniu numeru. Taki zapis uwzględnia sytuacje, w których konsument rezygnuje z przeniesienia numeru lub gdy z innych przyczyn do przeniesienia numeru nie dochodzi.</w:t>
      </w:r>
      <w:r w:rsidRPr="003A42FB">
        <w:rPr>
          <w:rFonts w:ascii="Times New Roman" w:eastAsiaTheme="minorEastAsia" w:hAnsi="Times New Roman" w:cs="Times New Roman"/>
          <w:sz w:val="24"/>
          <w:szCs w:val="24"/>
        </w:rPr>
        <w:t xml:space="preserve"> Ustęp </w:t>
      </w:r>
      <w:r w:rsidR="00FB6019" w:rsidRPr="003A42FB">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 xml:space="preserve"> limituje możliwość uzyskania zwrotu środków wskazując, że uprawnienie to wygasa po upływie 6 miesięcy od rozwiązania umowy o świadczenie usług.</w:t>
      </w:r>
    </w:p>
    <w:p w14:paraId="15DC01B6" w14:textId="4E56A5AC" w:rsidR="0069287E" w:rsidRPr="003A42FB" w:rsidRDefault="0069287E" w:rsidP="0069287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326</w:t>
      </w:r>
      <w:r w:rsidRPr="003A42FB">
        <w:rPr>
          <w:rFonts w:ascii="Times New Roman" w:eastAsiaTheme="minorEastAsia" w:hAnsi="Times New Roman" w:cs="Times New Roman"/>
          <w:b/>
          <w:bCs/>
          <w:sz w:val="24"/>
          <w:szCs w:val="24"/>
        </w:rPr>
        <w:t xml:space="preserve"> - </w:t>
      </w:r>
      <w:r w:rsidR="00E821C9" w:rsidRPr="003A42FB">
        <w:rPr>
          <w:rFonts w:ascii="Times New Roman" w:eastAsiaTheme="minorEastAsia" w:hAnsi="Times New Roman" w:cs="Times New Roman"/>
          <w:b/>
          <w:bCs/>
          <w:sz w:val="24"/>
          <w:szCs w:val="24"/>
        </w:rPr>
        <w:t>spis abonentów</w:t>
      </w:r>
    </w:p>
    <w:p w14:paraId="343A5F36" w14:textId="480A96B7" w:rsidR="0069287E" w:rsidRPr="003A42FB" w:rsidRDefault="0069287E" w:rsidP="0069287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6E5912" w:rsidRPr="003A42FB">
        <w:rPr>
          <w:rFonts w:ascii="Times New Roman" w:eastAsiaTheme="minorEastAsia" w:hAnsi="Times New Roman" w:cs="Times New Roman"/>
          <w:sz w:val="24"/>
          <w:szCs w:val="24"/>
        </w:rPr>
        <w:t>ten</w:t>
      </w:r>
      <w:r w:rsidRPr="003A42FB">
        <w:rPr>
          <w:rFonts w:ascii="Times New Roman" w:eastAsiaTheme="minorEastAsia" w:hAnsi="Times New Roman" w:cs="Times New Roman"/>
          <w:sz w:val="24"/>
          <w:szCs w:val="24"/>
        </w:rPr>
        <w:t xml:space="preserve"> dotyczy świadczenia abonentom usług spisu abonentów i biura numerów.  Zgodnie z ust. 1 dostawca publicznie dostępnych usług komunikacji głosowej świadczonych w stacjonarnej publicznej sieci telekomunikacyjnej może udostępniać swoim abonentom spis abonentów z obszaru strefy numeracyjnej, w której znajduje się zakończenie sieci abonenta.  Ustęp 2 przedmiotowego przepisu dotyczy świadczenia usługi informacji o numerach. Mając na uwadze fakt, że EKŁE, w porównaniu do dotychczasowego pakietu dyrektyw, nie przewiduje już w ramach usługi powszechnej obowiązku świadczenia usługi ogólnokrajowej informacji o numerach telefonicznych oraz usługi ogólnokrajowego spisu abonentów oraz mając na uwadze coraz mniejsze zainteresowanie korzystaniem z tych usług, nie jest zasadne utrzymywanie obowiązków oferowania ww. usług. Dostawca usług będzie mógł zdecydować czy chce oferować te usługi. Dotychczas na gruncie Pt dostawca usług telefonicznych świadczonych w sieci stacjonarnej miał obowiązek udostępniania swoim abonentom spisu abonentów oraz informacji o numerach telefonicznych.</w:t>
      </w:r>
      <w:r w:rsidR="00A753BE" w:rsidRPr="003A42FB">
        <w:rPr>
          <w:rFonts w:ascii="Times New Roman" w:eastAsia="Calibri" w:hAnsi="Times New Roman" w:cs="Times New Roman"/>
          <w:bCs/>
          <w:sz w:val="24"/>
          <w:szCs w:val="24"/>
          <w:lang w:eastAsia="ar-SA"/>
        </w:rPr>
        <w:t xml:space="preserve"> </w:t>
      </w:r>
      <w:r w:rsidR="00A753BE" w:rsidRPr="003A42FB">
        <w:rPr>
          <w:rFonts w:ascii="Times New Roman" w:eastAsiaTheme="minorEastAsia" w:hAnsi="Times New Roman" w:cs="Times New Roman"/>
          <w:bCs/>
          <w:sz w:val="24"/>
          <w:szCs w:val="24"/>
        </w:rPr>
        <w:t xml:space="preserve">Zakres danych niezbędnych dla celów prowadzenia spisów abonentów wynika z art. </w:t>
      </w:r>
      <w:r w:rsidR="008B57F0">
        <w:rPr>
          <w:rFonts w:ascii="Times New Roman" w:eastAsiaTheme="minorEastAsia" w:hAnsi="Times New Roman" w:cs="Times New Roman"/>
          <w:bCs/>
          <w:sz w:val="24"/>
          <w:szCs w:val="24"/>
        </w:rPr>
        <w:t>390</w:t>
      </w:r>
      <w:r w:rsidR="00A753BE" w:rsidRPr="003A42FB">
        <w:rPr>
          <w:rFonts w:ascii="Times New Roman" w:eastAsiaTheme="minorEastAsia" w:hAnsi="Times New Roman" w:cs="Times New Roman"/>
          <w:bCs/>
          <w:sz w:val="24"/>
          <w:szCs w:val="24"/>
        </w:rPr>
        <w:t xml:space="preserve"> regulującego zasady funkcjonowania takich spisów.</w:t>
      </w:r>
    </w:p>
    <w:p w14:paraId="3E636805" w14:textId="3B8BADB9" w:rsidR="0069287E" w:rsidRPr="003A42FB" w:rsidRDefault="0069287E" w:rsidP="0069287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327</w:t>
      </w:r>
      <w:r w:rsidR="00E821C9" w:rsidRPr="003A42FB">
        <w:rPr>
          <w:rFonts w:ascii="Times New Roman" w:eastAsiaTheme="minorEastAsia" w:hAnsi="Times New Roman" w:cs="Times New Roman"/>
          <w:b/>
          <w:bCs/>
          <w:sz w:val="24"/>
          <w:szCs w:val="24"/>
        </w:rPr>
        <w:t xml:space="preserve"> – udostępnianie danych do spisu abonentów</w:t>
      </w:r>
    </w:p>
    <w:p w14:paraId="4C7A3EE3" w14:textId="789470D7" w:rsidR="0069287E" w:rsidRPr="003A42FB" w:rsidRDefault="0069287E"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327</w:t>
      </w:r>
      <w:r w:rsidRPr="003A42FB">
        <w:rPr>
          <w:rFonts w:ascii="Times New Roman" w:eastAsiaTheme="minorEastAsia" w:hAnsi="Times New Roman" w:cs="Times New Roman"/>
          <w:sz w:val="24"/>
          <w:szCs w:val="24"/>
        </w:rPr>
        <w:t xml:space="preserve"> dotyczy obowiązku udostępniania przez dostawcę publicznie dostępnych usług komunikacji głosowej innym przedsiębiorcom telekomunikacyjnym danych niezbędnych dla celów prowadzenia spisów abonentów i informacji o numerach. Udostępnianie danych ma się odbywać z uwzględnieniem przepisów dotyczących umowy o połączeniu sieci, trybu postępowania prowadzącego do ustalenia warunków współpracy w przypadku braku porozumienia między stronami oraz z poszanowaniem przepisów o ochronie danych osobowych.</w:t>
      </w:r>
    </w:p>
    <w:p w14:paraId="106F9537" w14:textId="00B0B774" w:rsidR="69AF32FC" w:rsidRPr="003A42FB" w:rsidRDefault="69AF32FC"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E248DB" w:rsidRPr="003A42FB">
        <w:rPr>
          <w:rFonts w:ascii="Times New Roman" w:eastAsiaTheme="minorEastAsia" w:hAnsi="Times New Roman" w:cs="Times New Roman"/>
          <w:b/>
          <w:bCs/>
          <w:sz w:val="24"/>
          <w:szCs w:val="24"/>
        </w:rPr>
        <w:t xml:space="preserve">. </w:t>
      </w:r>
      <w:r w:rsidR="008B57F0">
        <w:rPr>
          <w:rFonts w:ascii="Times New Roman" w:eastAsiaTheme="minorEastAsia" w:hAnsi="Times New Roman" w:cs="Times New Roman"/>
          <w:b/>
          <w:bCs/>
          <w:sz w:val="24"/>
          <w:szCs w:val="24"/>
        </w:rPr>
        <w:t>328</w:t>
      </w:r>
      <w:r w:rsidR="00D81F08" w:rsidRPr="003A42FB">
        <w:rPr>
          <w:rFonts w:ascii="Times New Roman" w:eastAsiaTheme="minorEastAsia" w:hAnsi="Times New Roman" w:cs="Times New Roman"/>
          <w:b/>
          <w:bCs/>
          <w:sz w:val="24"/>
          <w:szCs w:val="24"/>
        </w:rPr>
        <w:t xml:space="preserve"> </w:t>
      </w:r>
      <w:r w:rsidR="002B68AB" w:rsidRPr="003A42FB">
        <w:rPr>
          <w:rFonts w:ascii="Times New Roman" w:eastAsiaTheme="minorEastAsia" w:hAnsi="Times New Roman" w:cs="Times New Roman"/>
          <w:b/>
          <w:bCs/>
          <w:sz w:val="24"/>
          <w:szCs w:val="24"/>
        </w:rPr>
        <w:t>–</w:t>
      </w:r>
      <w:r w:rsidR="00D81F08" w:rsidRPr="003A42FB">
        <w:rPr>
          <w:rFonts w:ascii="Times New Roman" w:eastAsiaTheme="minorEastAsia" w:hAnsi="Times New Roman" w:cs="Times New Roman"/>
          <w:b/>
          <w:bCs/>
          <w:sz w:val="24"/>
          <w:szCs w:val="24"/>
        </w:rPr>
        <w:t xml:space="preserve"> </w:t>
      </w:r>
      <w:r w:rsidR="008B57F0">
        <w:rPr>
          <w:rFonts w:ascii="Times New Roman" w:eastAsiaTheme="minorEastAsia" w:hAnsi="Times New Roman" w:cs="Times New Roman"/>
          <w:b/>
          <w:bCs/>
          <w:sz w:val="24"/>
          <w:szCs w:val="24"/>
        </w:rPr>
        <w:t>329</w:t>
      </w:r>
      <w:r w:rsidR="002B68AB" w:rsidRPr="003A42FB">
        <w:rPr>
          <w:rFonts w:ascii="Times New Roman" w:eastAsiaTheme="minorEastAsia" w:hAnsi="Times New Roman" w:cs="Times New Roman"/>
          <w:b/>
          <w:bCs/>
          <w:sz w:val="24"/>
          <w:szCs w:val="24"/>
        </w:rPr>
        <w:t xml:space="preserve"> – wybieranie </w:t>
      </w:r>
      <w:r w:rsidR="006E5912" w:rsidRPr="003A42FB">
        <w:rPr>
          <w:rFonts w:ascii="Times New Roman" w:eastAsiaTheme="minorEastAsia" w:hAnsi="Times New Roman" w:cs="Times New Roman"/>
          <w:b/>
          <w:bCs/>
          <w:sz w:val="24"/>
          <w:szCs w:val="24"/>
        </w:rPr>
        <w:t>wieloczęstotliwo</w:t>
      </w:r>
      <w:r w:rsidR="002B68AB" w:rsidRPr="003A42FB">
        <w:rPr>
          <w:rFonts w:ascii="Times New Roman" w:eastAsiaTheme="minorEastAsia" w:hAnsi="Times New Roman" w:cs="Times New Roman"/>
          <w:b/>
          <w:bCs/>
          <w:sz w:val="24"/>
          <w:szCs w:val="24"/>
        </w:rPr>
        <w:t>ś</w:t>
      </w:r>
      <w:r w:rsidR="00344FBE" w:rsidRPr="003A42FB">
        <w:rPr>
          <w:rFonts w:ascii="Times New Roman" w:eastAsiaTheme="minorEastAsia" w:hAnsi="Times New Roman" w:cs="Times New Roman"/>
          <w:b/>
          <w:bCs/>
          <w:sz w:val="24"/>
          <w:szCs w:val="24"/>
        </w:rPr>
        <w:t>c</w:t>
      </w:r>
      <w:r w:rsidR="002B68AB" w:rsidRPr="003A42FB">
        <w:rPr>
          <w:rFonts w:ascii="Times New Roman" w:eastAsiaTheme="minorEastAsia" w:hAnsi="Times New Roman" w:cs="Times New Roman"/>
          <w:b/>
          <w:bCs/>
          <w:sz w:val="24"/>
          <w:szCs w:val="24"/>
        </w:rPr>
        <w:t>iowe</w:t>
      </w:r>
    </w:p>
    <w:p w14:paraId="2D03A4A8" w14:textId="13CE9A82"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328</w:t>
      </w:r>
      <w:r w:rsidRPr="003A42FB">
        <w:rPr>
          <w:rFonts w:ascii="Times New Roman" w:eastAsiaTheme="minorEastAsia" w:hAnsi="Times New Roman" w:cs="Times New Roman"/>
          <w:sz w:val="24"/>
          <w:szCs w:val="24"/>
        </w:rPr>
        <w:t xml:space="preserve"> zapewnia użytkownikom usług w publicznych sieci telekomunikacyjnych możliwość wybierania wieloczęstotliwościowego DTMF. W art. </w:t>
      </w:r>
      <w:r w:rsidR="008B57F0">
        <w:rPr>
          <w:rFonts w:ascii="Times New Roman" w:eastAsiaTheme="minorEastAsia" w:hAnsi="Times New Roman" w:cs="Times New Roman"/>
          <w:sz w:val="24"/>
          <w:szCs w:val="24"/>
        </w:rPr>
        <w:t>329</w:t>
      </w:r>
      <w:r w:rsidRPr="003A42FB">
        <w:rPr>
          <w:rFonts w:ascii="Times New Roman" w:eastAsiaTheme="minorEastAsia" w:hAnsi="Times New Roman" w:cs="Times New Roman"/>
          <w:sz w:val="24"/>
          <w:szCs w:val="24"/>
        </w:rPr>
        <w:t xml:space="preserve"> określony zostały obowiązek zapewnienia przez operatorów publicznych sieci telekomunikacyjnych przekazywania danych i sygnałów w celu zapewnienia prezentacji linii wywołującej i wybierania wieloczęstotliwościowego DTMF pomiędzy sieciami państw członkowskich.</w:t>
      </w:r>
    </w:p>
    <w:p w14:paraId="58F98B0C" w14:textId="780A24AC" w:rsidR="00221330" w:rsidRPr="003A42FB" w:rsidRDefault="5E47E380"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330</w:t>
      </w:r>
      <w:r w:rsidR="00D81F0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lo</w:t>
      </w:r>
      <w:r w:rsidR="566EAACD" w:rsidRPr="003A42FB">
        <w:rPr>
          <w:rFonts w:ascii="Times New Roman" w:eastAsiaTheme="minorEastAsia" w:hAnsi="Times New Roman" w:cs="Times New Roman"/>
          <w:b/>
          <w:bCs/>
          <w:sz w:val="24"/>
          <w:szCs w:val="24"/>
        </w:rPr>
        <w:t>kalizacja wywołań alarmowych</w:t>
      </w:r>
    </w:p>
    <w:p w14:paraId="1B851F06" w14:textId="4ECD0A7B"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art. </w:t>
      </w:r>
      <w:r w:rsidR="008B57F0">
        <w:rPr>
          <w:rFonts w:ascii="Times New Roman" w:eastAsiaTheme="minorEastAsia" w:hAnsi="Times New Roman" w:cs="Times New Roman"/>
          <w:sz w:val="24"/>
          <w:szCs w:val="24"/>
        </w:rPr>
        <w:t>330</w:t>
      </w:r>
      <w:r w:rsidRPr="003A42FB">
        <w:rPr>
          <w:rFonts w:ascii="Times New Roman" w:eastAsiaTheme="minorEastAsia" w:hAnsi="Times New Roman" w:cs="Times New Roman"/>
          <w:sz w:val="24"/>
          <w:szCs w:val="24"/>
        </w:rPr>
        <w:t xml:space="preserve"> zamieszczono przepisy regulujące sprawy zapewnienia centrom powiadamiania ratunkowego informacji o lokalizacji zakończenia sieci, z którego zostało wykonane połączenie do numeru alarmowego. Ustęp 1 definiuje informację o lokalizacji zakończenia sieci w </w:t>
      </w:r>
      <w:r w:rsidRPr="003A42FB">
        <w:rPr>
          <w:rFonts w:ascii="Times New Roman" w:eastAsiaTheme="minorEastAsia" w:hAnsi="Times New Roman" w:cs="Times New Roman"/>
          <w:sz w:val="24"/>
          <w:szCs w:val="24"/>
        </w:rPr>
        <w:lastRenderedPageBreak/>
        <w:t>zależności od rodzaju</w:t>
      </w:r>
      <w:r w:rsidR="006E5912" w:rsidRPr="003A42FB">
        <w:rPr>
          <w:rFonts w:ascii="Times New Roman" w:eastAsiaTheme="minorEastAsia" w:hAnsi="Times New Roman" w:cs="Times New Roman"/>
          <w:sz w:val="24"/>
          <w:szCs w:val="24"/>
        </w:rPr>
        <w:t xml:space="preserve"> sieci</w:t>
      </w:r>
      <w:r w:rsidRPr="003A42FB">
        <w:rPr>
          <w:rFonts w:ascii="Times New Roman" w:eastAsiaTheme="minorEastAsia" w:hAnsi="Times New Roman" w:cs="Times New Roman"/>
          <w:sz w:val="24"/>
          <w:szCs w:val="24"/>
        </w:rPr>
        <w:t>. W przypadku stacjonarnej publicznej sieci telekomunikacyjnej jest to adres zainstalowania zakończenia sieci, natomiast dla publicznych sieci ruchomych jest to geograficzne położenie urządzenia końcowego ustalane w oparciu o dane pochodzące z sieci telekomunikacyjnej oraz w celu zwiększenia dokładności lokalizacji o dane pochodzące z urządzenia końcowego, jeżeli zapewnia ono taką możliwość. Informacja o lokalizacji pochodząca z sieci, zgodnie z ust. 2, powinna być przekazywana przez operatorów do systemu gromadzącego i udostępniającego informacje i dane od przedsiębiorców telekomunikacyjnych (PLI CBD). Natomiast dane o lokalizacji pochodzące z urządzenia końcowego, zgodnie z ust. 3, powinny być przekazywane do systemu powiadamiania ratunkowego.</w:t>
      </w:r>
      <w:r w:rsidR="34423F8A" w:rsidRPr="003A42FB">
        <w:rPr>
          <w:rFonts w:ascii="Times New Roman" w:eastAsiaTheme="minorEastAsia" w:hAnsi="Times New Roman" w:cs="Times New Roman"/>
          <w:sz w:val="24"/>
          <w:szCs w:val="24"/>
        </w:rPr>
        <w:t xml:space="preserve"> Istotną zmianą w</w:t>
      </w:r>
      <w:r w:rsidR="1F517764" w:rsidRPr="003A42FB">
        <w:rPr>
          <w:rFonts w:ascii="Times New Roman" w:eastAsiaTheme="minorEastAsia" w:hAnsi="Times New Roman" w:cs="Times New Roman"/>
          <w:sz w:val="24"/>
          <w:szCs w:val="24"/>
        </w:rPr>
        <w:t>z</w:t>
      </w:r>
      <w:r w:rsidR="34423F8A" w:rsidRPr="003A42FB">
        <w:rPr>
          <w:rFonts w:ascii="Times New Roman" w:eastAsiaTheme="minorEastAsia" w:hAnsi="Times New Roman" w:cs="Times New Roman"/>
          <w:sz w:val="24"/>
          <w:szCs w:val="24"/>
        </w:rPr>
        <w:t>ględem przepisów Pt jest uwzględnienie kodeksowego wymogu zapewnienia lokalizacji osoby wykonującej zgłoszenie alarmow</w:t>
      </w:r>
      <w:r w:rsidR="60B89095" w:rsidRPr="003A42FB">
        <w:rPr>
          <w:rFonts w:ascii="Times New Roman" w:eastAsiaTheme="minorEastAsia" w:hAnsi="Times New Roman" w:cs="Times New Roman"/>
          <w:sz w:val="24"/>
          <w:szCs w:val="24"/>
        </w:rPr>
        <w:t>e nie tylko</w:t>
      </w:r>
      <w:r w:rsidR="006E5912" w:rsidRPr="003A42FB">
        <w:rPr>
          <w:rFonts w:ascii="Times New Roman" w:eastAsiaTheme="minorEastAsia" w:hAnsi="Times New Roman" w:cs="Times New Roman"/>
          <w:sz w:val="24"/>
          <w:szCs w:val="24"/>
        </w:rPr>
        <w:t>,</w:t>
      </w:r>
      <w:r w:rsidR="60B89095" w:rsidRPr="003A42FB">
        <w:rPr>
          <w:rFonts w:ascii="Times New Roman" w:eastAsiaTheme="minorEastAsia" w:hAnsi="Times New Roman" w:cs="Times New Roman"/>
          <w:sz w:val="24"/>
          <w:szCs w:val="24"/>
        </w:rPr>
        <w:t xml:space="preserve"> tak jak dotychczas</w:t>
      </w:r>
      <w:r w:rsidR="006E5912" w:rsidRPr="003A42FB">
        <w:rPr>
          <w:rFonts w:ascii="Times New Roman" w:eastAsiaTheme="minorEastAsia" w:hAnsi="Times New Roman" w:cs="Times New Roman"/>
          <w:sz w:val="24"/>
          <w:szCs w:val="24"/>
        </w:rPr>
        <w:t>,</w:t>
      </w:r>
      <w:r w:rsidR="60B89095" w:rsidRPr="003A42FB">
        <w:rPr>
          <w:rFonts w:ascii="Times New Roman" w:eastAsiaTheme="minorEastAsia" w:hAnsi="Times New Roman" w:cs="Times New Roman"/>
          <w:sz w:val="24"/>
          <w:szCs w:val="24"/>
        </w:rPr>
        <w:t xml:space="preserve"> w oparciu o sieć, ale również w oparciu o dane z urządzenia końcowego. </w:t>
      </w:r>
    </w:p>
    <w:p w14:paraId="6895D479" w14:textId="124712BE"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ustępie 4 </w:t>
      </w:r>
      <w:r w:rsidR="005F5E77" w:rsidRPr="003A42FB">
        <w:rPr>
          <w:rFonts w:ascii="Times New Roman" w:eastAsiaTheme="minorEastAsia" w:hAnsi="Times New Roman" w:cs="Times New Roman"/>
          <w:sz w:val="24"/>
          <w:szCs w:val="24"/>
        </w:rPr>
        <w:t>wskazano uprawnienie Prezes UKE do określenia, w drodze decyzji, dla danego operatora, szczegółowych wymagań dotyczących dokładności i niezawodności lokalizacji zakończenia sieci dla ruchomej publicznej sieci telekomunikacyjnej. Określając te wymagania Prezes UKE bierze pod uwagę możliwości techniczne i perspektywy rozwoju sieci danego operatora oraz potrzebę dokładnego lokalizowania zakończenia sieci w celu efektywnego niesienia pomocy przez służby ustawowo do tego powołane. W decyzji określa się także harmonogram dostosowania sieci do określonych w decyzji wymagań w zakresie dokładności i niezawodności lokalizacji zakończenia sieci.</w:t>
      </w:r>
    </w:p>
    <w:p w14:paraId="5BD36077" w14:textId="2B17F9BC" w:rsidR="00221330" w:rsidRPr="003A42FB" w:rsidRDefault="7DD7ACF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D81F08" w:rsidRPr="003A42FB">
        <w:rPr>
          <w:rFonts w:ascii="Times New Roman" w:eastAsiaTheme="minorEastAsia" w:hAnsi="Times New Roman" w:cs="Times New Roman"/>
          <w:b/>
          <w:bCs/>
          <w:sz w:val="24"/>
          <w:szCs w:val="24"/>
        </w:rPr>
        <w:t xml:space="preserve"> </w:t>
      </w:r>
      <w:r w:rsidR="008B57F0">
        <w:rPr>
          <w:rFonts w:ascii="Times New Roman" w:eastAsiaTheme="minorEastAsia" w:hAnsi="Times New Roman" w:cs="Times New Roman"/>
          <w:b/>
          <w:bCs/>
          <w:sz w:val="24"/>
          <w:szCs w:val="24"/>
        </w:rPr>
        <w:t>331</w:t>
      </w:r>
      <w:r w:rsidR="00C650A1">
        <w:rPr>
          <w:rFonts w:ascii="Times New Roman" w:eastAsiaTheme="minorEastAsia" w:hAnsi="Times New Roman" w:cs="Times New Roman"/>
          <w:b/>
          <w:bCs/>
          <w:sz w:val="24"/>
          <w:szCs w:val="24"/>
        </w:rPr>
        <w:t xml:space="preserve"> – przekazywanie informacji przy wywołaniach alarmowych </w:t>
      </w:r>
    </w:p>
    <w:p w14:paraId="17D69BE6" w14:textId="5D9095E3" w:rsidR="00504FF6"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331</w:t>
      </w:r>
      <w:r w:rsidRPr="003A42FB">
        <w:rPr>
          <w:rFonts w:ascii="Times New Roman" w:eastAsiaTheme="minorEastAsia" w:hAnsi="Times New Roman" w:cs="Times New Roman"/>
          <w:sz w:val="24"/>
          <w:szCs w:val="24"/>
        </w:rPr>
        <w:t xml:space="preserve"> określa wymagania jakie nałożono na operatorów publicznych sieci telekomunikacyjnych w związku z obowiązkiem zapewnienia informacji o lokalizacji przy powiadomieniach alarmowych. W przypadku operatorów sieci ruchomych są to dane lokalizacyjne </w:t>
      </w:r>
      <w:r w:rsidR="7738DFA4" w:rsidRPr="003A42FB">
        <w:rPr>
          <w:rFonts w:ascii="Times New Roman" w:eastAsiaTheme="minorEastAsia" w:hAnsi="Times New Roman" w:cs="Times New Roman"/>
          <w:sz w:val="24"/>
          <w:szCs w:val="24"/>
        </w:rPr>
        <w:t xml:space="preserve">pochodzące z sieci telekomunikacyjnej </w:t>
      </w:r>
      <w:r w:rsidRPr="003A42FB">
        <w:rPr>
          <w:rFonts w:ascii="Times New Roman" w:eastAsiaTheme="minorEastAsia" w:hAnsi="Times New Roman" w:cs="Times New Roman"/>
          <w:sz w:val="24"/>
          <w:szCs w:val="24"/>
        </w:rPr>
        <w:t xml:space="preserve">udostępniane w czasie rzeczywistym, a dla operatorów sieci stacjonarnych - w trybie wsadowym. </w:t>
      </w:r>
    </w:p>
    <w:p w14:paraId="5A00A89F" w14:textId="58826E94" w:rsidR="00504FF6" w:rsidRPr="00504FF6" w:rsidRDefault="566EAACD" w:rsidP="00504FF6">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ust. 2 wskazano pozostałe informacje obok lokalizacyjnych</w:t>
      </w:r>
      <w:r w:rsidR="0A5144DD" w:rsidRPr="003A42FB">
        <w:rPr>
          <w:rFonts w:ascii="Times New Roman" w:eastAsiaTheme="minorEastAsia" w:hAnsi="Times New Roman" w:cs="Times New Roman"/>
          <w:sz w:val="24"/>
          <w:szCs w:val="24"/>
        </w:rPr>
        <w:t xml:space="preserve"> pochodzących z sieci telekomunikacyjnej</w:t>
      </w:r>
      <w:r w:rsidRPr="003A42FB">
        <w:rPr>
          <w:rFonts w:ascii="Times New Roman" w:eastAsiaTheme="minorEastAsia" w:hAnsi="Times New Roman" w:cs="Times New Roman"/>
          <w:sz w:val="24"/>
          <w:szCs w:val="24"/>
        </w:rPr>
        <w:t xml:space="preserve">, które operatorzy są zobowiązani przekazać do omawianego systemu w celu zapewnienia jego prawidłowego funkcjonowania. </w:t>
      </w:r>
      <w:r w:rsidR="00504FF6" w:rsidRPr="00504FF6">
        <w:rPr>
          <w:rFonts w:ascii="Times New Roman" w:eastAsiaTheme="minorEastAsia" w:hAnsi="Times New Roman" w:cs="Times New Roman"/>
          <w:sz w:val="24"/>
          <w:szCs w:val="24"/>
        </w:rPr>
        <w:t>Wskazany zakres danych obejmuje dane niezbędne służbom ustawowo powołanym do niesienia pomocy do realizacji ich obowiązk</w:t>
      </w:r>
      <w:r w:rsidR="00504FF6">
        <w:rPr>
          <w:rFonts w:ascii="Times New Roman" w:eastAsiaTheme="minorEastAsia" w:hAnsi="Times New Roman" w:cs="Times New Roman"/>
          <w:sz w:val="24"/>
          <w:szCs w:val="24"/>
        </w:rPr>
        <w:t xml:space="preserve">ów. W przepisie wskazano osobne </w:t>
      </w:r>
      <w:r w:rsidR="00504FF6" w:rsidRPr="00504FF6">
        <w:rPr>
          <w:rFonts w:ascii="Times New Roman" w:eastAsiaTheme="minorEastAsia" w:hAnsi="Times New Roman" w:cs="Times New Roman"/>
          <w:sz w:val="24"/>
          <w:szCs w:val="24"/>
        </w:rPr>
        <w:t>katalog</w:t>
      </w:r>
      <w:r w:rsidR="00504FF6">
        <w:rPr>
          <w:rFonts w:ascii="Times New Roman" w:eastAsiaTheme="minorEastAsia" w:hAnsi="Times New Roman" w:cs="Times New Roman"/>
          <w:sz w:val="24"/>
          <w:szCs w:val="24"/>
        </w:rPr>
        <w:t>i</w:t>
      </w:r>
      <w:r w:rsidR="00504FF6" w:rsidRPr="00504FF6">
        <w:rPr>
          <w:rFonts w:ascii="Times New Roman" w:eastAsiaTheme="minorEastAsia" w:hAnsi="Times New Roman" w:cs="Times New Roman"/>
          <w:sz w:val="24"/>
          <w:szCs w:val="24"/>
        </w:rPr>
        <w:t xml:space="preserve"> przekazywanych danych </w:t>
      </w:r>
      <w:r w:rsidR="00504FF6">
        <w:rPr>
          <w:rFonts w:ascii="Times New Roman" w:eastAsiaTheme="minorEastAsia" w:hAnsi="Times New Roman" w:cs="Times New Roman"/>
          <w:sz w:val="24"/>
          <w:szCs w:val="24"/>
        </w:rPr>
        <w:t xml:space="preserve">w przypadku </w:t>
      </w:r>
      <w:r w:rsidR="00504FF6" w:rsidRPr="00504FF6">
        <w:rPr>
          <w:rFonts w:ascii="Times New Roman" w:eastAsiaTheme="minorEastAsia" w:hAnsi="Times New Roman" w:cs="Times New Roman"/>
          <w:sz w:val="24"/>
          <w:szCs w:val="24"/>
        </w:rPr>
        <w:t>abonentów będących konsumentami oraz abonentów niebędących konsumentami. Rozróżnienie między dwoma kategoriami abonentów wynika z fa</w:t>
      </w:r>
      <w:r w:rsidR="00504FF6">
        <w:rPr>
          <w:rFonts w:ascii="Times New Roman" w:eastAsiaTheme="minorEastAsia" w:hAnsi="Times New Roman" w:cs="Times New Roman"/>
          <w:sz w:val="24"/>
          <w:szCs w:val="24"/>
        </w:rPr>
        <w:t xml:space="preserve">ktu, że w przypadku, gdy połączenie wykonuje </w:t>
      </w:r>
      <w:r w:rsidR="00504FF6" w:rsidRPr="00504FF6">
        <w:rPr>
          <w:rFonts w:ascii="Times New Roman" w:eastAsiaTheme="minorEastAsia" w:hAnsi="Times New Roman" w:cs="Times New Roman"/>
          <w:sz w:val="24"/>
          <w:szCs w:val="24"/>
        </w:rPr>
        <w:t>abonent będący konsumentem można założyć, że zgłoszenie dotyczy tej osoby. W przypadku abonenta niebędącego konsumentem np. gdy połączenie jest wykonywane z miejsca pracy/firmy nie jest istotne wskazanie danych takich jak PESEL abonenta, gdyż istnieje duże prawdopodobieństwo, że zgłoszenie może dotyczyć innej osoby, niekoniecznie tego abonenta.</w:t>
      </w:r>
    </w:p>
    <w:p w14:paraId="0FCB6F3F" w14:textId="31A4BC3F" w:rsidR="00504FF6"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3 reguluje sprawy przekazywania informacji lokalizacyjnych do systemu powiadamiania ratunkowego, a w ust. </w:t>
      </w:r>
      <w:r w:rsidR="00864AD6"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określony został 24 - godzinny termin aktualizacji danych</w:t>
      </w:r>
      <w:r w:rsidR="3882A8ED"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o których mowa w ust. 2 w przypadku pojawienia się zmian.</w:t>
      </w:r>
    </w:p>
    <w:p w14:paraId="0662630C" w14:textId="25BCE68F" w:rsidR="00864AD6" w:rsidRPr="003A42FB" w:rsidRDefault="00864AD6"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ust. 5 systemem PLI CBD </w:t>
      </w:r>
      <w:r w:rsidR="00962622" w:rsidRPr="003A42FB">
        <w:rPr>
          <w:rFonts w:ascii="Times New Roman" w:eastAsiaTheme="minorEastAsia" w:hAnsi="Times New Roman" w:cs="Times New Roman"/>
          <w:sz w:val="24"/>
          <w:szCs w:val="24"/>
        </w:rPr>
        <w:t xml:space="preserve">zarządza Prezes UKE </w:t>
      </w:r>
      <w:r w:rsidRPr="003A42FB">
        <w:rPr>
          <w:rFonts w:ascii="Times New Roman" w:eastAsiaTheme="minorEastAsia" w:hAnsi="Times New Roman" w:cs="Times New Roman"/>
          <w:sz w:val="24"/>
          <w:szCs w:val="24"/>
        </w:rPr>
        <w:t>oraz jest uprawniony do przetwarzania zgromadzonych w nim informacji i danych w celach związanych z zapewnieniem funkcjonalności systemu.</w:t>
      </w:r>
    </w:p>
    <w:p w14:paraId="545D8EF7" w14:textId="5388BABD"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6 zawiera delegację ustawową do wydania przez Radę Ministrów rozporządzenia w sprawie systemu gromadzącego i udostępniającego informacje i dane od przedsiębiorców telekomunikacyjnych. Rozporządzenie określa organizację i funkcjonowanie systemu oraz warunki dla gromadzenia danych związanych z powiadomieniami alarmowymi i </w:t>
      </w:r>
      <w:r w:rsidRPr="003A42FB">
        <w:rPr>
          <w:rFonts w:ascii="Times New Roman" w:eastAsiaTheme="minorEastAsia" w:hAnsi="Times New Roman" w:cs="Times New Roman"/>
          <w:sz w:val="24"/>
          <w:szCs w:val="24"/>
        </w:rPr>
        <w:lastRenderedPageBreak/>
        <w:t>udostępnianiem tych danych centrom powiadamiania ratunkowego, a także gromadzonych w celu wsparcia obsługi przenoszenia numerów.</w:t>
      </w:r>
    </w:p>
    <w:p w14:paraId="76949F6B" w14:textId="466B4B66" w:rsidR="00221330" w:rsidRPr="003A42FB" w:rsidRDefault="566EAAC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sytuacji powiadomień alarmowych zgodnie z ust. </w:t>
      </w:r>
      <w:r w:rsidR="2DA450E0" w:rsidRPr="003A42FB">
        <w:rPr>
          <w:rFonts w:ascii="Times New Roman" w:eastAsiaTheme="minorEastAsia" w:hAnsi="Times New Roman" w:cs="Times New Roman"/>
          <w:sz w:val="24"/>
          <w:szCs w:val="24"/>
        </w:rPr>
        <w:t>7</w:t>
      </w:r>
      <w:r w:rsidRPr="003A42FB">
        <w:rPr>
          <w:rFonts w:ascii="Times New Roman" w:eastAsiaTheme="minorEastAsia" w:hAnsi="Times New Roman" w:cs="Times New Roman"/>
          <w:sz w:val="24"/>
          <w:szCs w:val="24"/>
        </w:rPr>
        <w:t xml:space="preserve"> przetwarzanie danych, o których mowa w ust. 2 nie wymaga zgody abonenta.</w:t>
      </w:r>
    </w:p>
    <w:p w14:paraId="68B4E9FB" w14:textId="0ED31962" w:rsidR="00221330" w:rsidRPr="003A42FB" w:rsidRDefault="32E0CAF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332</w:t>
      </w:r>
      <w:r w:rsidR="3687CC81"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6B7DF8B6" w:rsidRPr="003A42FB">
        <w:rPr>
          <w:rFonts w:ascii="Times New Roman" w:eastAsiaTheme="minorEastAsia" w:hAnsi="Times New Roman" w:cs="Times New Roman"/>
          <w:b/>
          <w:bCs/>
          <w:sz w:val="24"/>
          <w:szCs w:val="24"/>
        </w:rPr>
        <w:t>d</w:t>
      </w:r>
      <w:r w:rsidR="566EAACD" w:rsidRPr="003A42FB">
        <w:rPr>
          <w:rFonts w:ascii="Times New Roman" w:eastAsiaTheme="minorEastAsia" w:hAnsi="Times New Roman" w:cs="Times New Roman"/>
          <w:b/>
          <w:bCs/>
          <w:sz w:val="24"/>
          <w:szCs w:val="24"/>
        </w:rPr>
        <w:t>ostęp do usług</w:t>
      </w:r>
    </w:p>
    <w:p w14:paraId="1287C5B8" w14:textId="28E58912"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art. </w:t>
      </w:r>
      <w:r w:rsidR="008B57F0">
        <w:rPr>
          <w:rFonts w:ascii="Times New Roman" w:eastAsiaTheme="minorEastAsia" w:hAnsi="Times New Roman" w:cs="Times New Roman"/>
          <w:sz w:val="24"/>
          <w:szCs w:val="24"/>
        </w:rPr>
        <w:t>332</w:t>
      </w:r>
      <w:r w:rsidRPr="003A42FB">
        <w:rPr>
          <w:rFonts w:ascii="Times New Roman" w:eastAsiaTheme="minorEastAsia" w:hAnsi="Times New Roman" w:cs="Times New Roman"/>
          <w:sz w:val="24"/>
          <w:szCs w:val="24"/>
        </w:rPr>
        <w:t xml:space="preserve"> nakazują operatorom publicznej sieci telekomunikacyjnej zapewnienie użytkownikom własnej sieci oraz użytkownikom z innych państw członkowskich możliwość dostępu do wszystkich numerów w UE, w tym do międzynarodowej sieci bezpłatnych numerów komunikacji głosowej niezależnie od stosowanej technologii i urządzeń oraz możliwość dostępu do usług wykorzystujących numery niegeograficzne. Obowiązek ten jest uzależniony od przesłanek technicznej i ekonomicznej wykonalności. W ust. 2 zawarte zostało wyłączenie ww. obowiązku obejmujące sytuację, gdy abonent zdecydował się ograniczyć połączenia przychodzące z poszczególnych obszarów geograficznych. Obowiązek z ust. 1 nie ma charakteru bezwzględnego, gdyż na wniosek operatora Prezesa UKE może zawiesić realizację lub ograniczyć zakres realizacji obowiązków z uwagi na ograniczenia techniczne lub ekonomiczne po stronie operatora. Prezes UKE określi harmonogram przystosowania sieci wnioskodawcy do realizacji obowiązku objętego wnioskiem. </w:t>
      </w:r>
      <w:r w:rsidR="3E6EB618" w:rsidRPr="003A42FB">
        <w:rPr>
          <w:rFonts w:ascii="Times New Roman" w:eastAsiaTheme="minorEastAsia" w:hAnsi="Times New Roman" w:cs="Times New Roman"/>
          <w:sz w:val="24"/>
          <w:szCs w:val="24"/>
        </w:rPr>
        <w:t>Powyższe obowiązki przewidziane były również na gruncie Pt.</w:t>
      </w:r>
    </w:p>
    <w:p w14:paraId="54A53675" w14:textId="08C82EB1" w:rsidR="007B5A76" w:rsidRPr="003A42FB" w:rsidRDefault="007B5A7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333</w:t>
      </w:r>
      <w:r w:rsidRPr="003A42FB">
        <w:rPr>
          <w:rFonts w:ascii="Times New Roman" w:eastAsiaTheme="minorEastAsia" w:hAnsi="Times New Roman" w:cs="Times New Roman"/>
          <w:b/>
          <w:sz w:val="24"/>
          <w:szCs w:val="24"/>
        </w:rPr>
        <w:t xml:space="preserve"> – blokowanie skradzionych lub zgubionych urządzeń</w:t>
      </w:r>
    </w:p>
    <w:p w14:paraId="5E058080" w14:textId="5B8CA0B7" w:rsidR="007B5A76" w:rsidRPr="003A42FB" w:rsidRDefault="007B5A7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Cs/>
          <w:sz w:val="24"/>
          <w:szCs w:val="24"/>
        </w:rPr>
        <w:t>Zgodnie z tym przepisem operator ruchomej publicznej sieci telekomunikacyjnej ma obowiązek podejmowania działań zmierzających do uniemożliwienia używania w jego sieci skradzionych albo zgubionych telekomunikacyjnych urządzeń końcowych. Ponadto operator ten jest zobowiązany do przekazywania informacji identyfikujących skradzione lub zgubione telekomunikacyjne urządzenia końcowe innym operatorom ruchomych publicznych sieci telekomunikacyjnych, w celu realizacji przez nich powyższego obowiązku. Zgodnie z ust. 2 termin na realizację obowiązku wynosi 1 dzień roboczy od dnia przedstawienia przez abonenta oświadczenia o kradzieży lub o zgubieniu telekomunikacyjnego urządzenia końcowego będącego jego własnością, numeru identyfikacyjnego tego urządzenia i dowodu jego nabycia lub innych danych jednoznacznie identyfikujących właściciela tego urządzenia. Jeśli informacja o urządzeniu pochodzi od innego operatora wówczas termin 1 dnia roboczego liczy się od daty otrzymania tej informacji. Abonent składając oświadczenie o zgubieniu lub kradzieży urządzenia jest obowiązany w tym oświadczeniu zawrzeć klauzulę o świadomości odpowiedzialności karnej za złożenie fałszywego oświadczenia.</w:t>
      </w:r>
    </w:p>
    <w:p w14:paraId="78A5438E" w14:textId="02B3E3CB" w:rsidR="00221330" w:rsidRPr="003A42FB" w:rsidRDefault="7FD4495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334</w:t>
      </w:r>
      <w:r w:rsidR="00D81F0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307018A9" w:rsidRPr="003A42FB">
        <w:rPr>
          <w:rFonts w:ascii="Times New Roman" w:eastAsiaTheme="minorEastAsia" w:hAnsi="Times New Roman" w:cs="Times New Roman"/>
          <w:b/>
          <w:bCs/>
          <w:sz w:val="24"/>
          <w:szCs w:val="24"/>
        </w:rPr>
        <w:t>d</w:t>
      </w:r>
      <w:r w:rsidR="566EAACD" w:rsidRPr="003A42FB">
        <w:rPr>
          <w:rFonts w:ascii="Times New Roman" w:eastAsiaTheme="minorEastAsia" w:hAnsi="Times New Roman" w:cs="Times New Roman"/>
          <w:b/>
          <w:bCs/>
          <w:sz w:val="24"/>
          <w:szCs w:val="24"/>
        </w:rPr>
        <w:t>ostęp dla osób z niepełnosprawnościami</w:t>
      </w:r>
    </w:p>
    <w:p w14:paraId="33CA83CD" w14:textId="5C57590C"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8B57F0">
        <w:rPr>
          <w:rFonts w:ascii="Times New Roman" w:eastAsiaTheme="minorEastAsia" w:hAnsi="Times New Roman" w:cs="Times New Roman"/>
          <w:sz w:val="24"/>
          <w:szCs w:val="24"/>
        </w:rPr>
        <w:t>334</w:t>
      </w:r>
      <w:r w:rsidRPr="003A42FB">
        <w:rPr>
          <w:rFonts w:ascii="Times New Roman" w:eastAsiaTheme="minorEastAsia" w:hAnsi="Times New Roman" w:cs="Times New Roman"/>
          <w:sz w:val="24"/>
          <w:szCs w:val="24"/>
        </w:rPr>
        <w:t xml:space="preserve"> reguluje kwestię warunków dostępu osób z niepełnosprawnościami do usług komunikacji elektronicznej. Podstawowa zmiana względem dotychczasowych przepisów polega na rozszerzeniu zakresu podmiotowego adresatów obowiązków związanych z zapewnieniem dostępności osobom z niepełnosprawnościami na poziomie równoważnym dostępowi do usług z jakiego korzysta większość użytkowników końcowych. Dotychczas obowiązki te adresowane były do dostawców publicznie dostępnych usług telefonicznych, zgodnie z projektowaną ustawą obowiązki te obejmą wszystkich dostawców usług komunikacji elektronicznej, co odpowiada wymogom z art. 111 EKŁE. </w:t>
      </w:r>
    </w:p>
    <w:p w14:paraId="2E883E3E" w14:textId="534EBD52"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Szczegółowe wymagania i zakres udogodnień dla osób z niepełnosprawnościami określać będzie akt wykonawczy wydany na podstawie upoważnienia ustawowego z ust. 3.</w:t>
      </w:r>
    </w:p>
    <w:p w14:paraId="573F80A4" w14:textId="3C5F9780"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2 przewidziany jest obowiązek Prezesa UKE publikowania na swojej stronie podmiotowej BIP informacji o normach i specyfikacjach publikowanych przez Komisję </w:t>
      </w:r>
      <w:r w:rsidRPr="003A42FB">
        <w:rPr>
          <w:rFonts w:ascii="Times New Roman" w:eastAsiaTheme="minorEastAsia" w:hAnsi="Times New Roman" w:cs="Times New Roman"/>
          <w:sz w:val="24"/>
          <w:szCs w:val="24"/>
        </w:rPr>
        <w:lastRenderedPageBreak/>
        <w:t xml:space="preserve">Europejską w Dzienniku Urzędowym Unii Europejskiej, dotyczących udogodnień dla użytkowników końcowych z niepełnosprawnościami. Obowiązek ten zastępuje dotychczasowy obowiązek Prezesa UKE dotyczący publikowania informacji o urządzeniach końcowych przystosowanych do wykorzystywania przez osoby z niepełnosprawnościami. Większość dostępnych na rynku urządzeń końcowych typu smartfon jest dostosowanych dla użytkowników z niepełnosprawnościami, gdyż umożliwia indywidualne zmiany ustawień oprogramowania w zakresie dostępności, stąd dotychczasowy obowiązek stał się bezprzedmiotowy. </w:t>
      </w:r>
    </w:p>
    <w:p w14:paraId="3012CEFA" w14:textId="1DFFFE6C" w:rsidR="00221330" w:rsidRPr="003A42FB" w:rsidRDefault="60179903"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8B57F0">
        <w:rPr>
          <w:rFonts w:ascii="Times New Roman" w:eastAsiaTheme="minorEastAsia" w:hAnsi="Times New Roman" w:cs="Times New Roman"/>
          <w:b/>
          <w:bCs/>
          <w:sz w:val="24"/>
          <w:szCs w:val="24"/>
        </w:rPr>
        <w:t>335</w:t>
      </w:r>
      <w:r w:rsidR="00D81F0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2772CC6E" w:rsidRPr="003A42FB">
        <w:rPr>
          <w:rFonts w:ascii="Times New Roman" w:eastAsiaTheme="minorEastAsia" w:hAnsi="Times New Roman" w:cs="Times New Roman"/>
          <w:b/>
          <w:bCs/>
          <w:sz w:val="24"/>
          <w:szCs w:val="24"/>
        </w:rPr>
        <w:t>u</w:t>
      </w:r>
      <w:r w:rsidR="566EAACD" w:rsidRPr="003A42FB">
        <w:rPr>
          <w:rFonts w:ascii="Times New Roman" w:eastAsiaTheme="minorEastAsia" w:hAnsi="Times New Roman" w:cs="Times New Roman"/>
          <w:b/>
          <w:bCs/>
          <w:sz w:val="24"/>
          <w:szCs w:val="24"/>
        </w:rPr>
        <w:t>sługi z dodatkowym świadczeniem</w:t>
      </w:r>
    </w:p>
    <w:p w14:paraId="52097C49" w14:textId="50263837" w:rsidR="00221330" w:rsidRPr="003A42FB" w:rsidRDefault="566EAACD" w:rsidP="141B1C1F">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 xml:space="preserve">Artykuł </w:t>
      </w:r>
      <w:r w:rsidR="0004715E" w:rsidRPr="003A42FB">
        <w:rPr>
          <w:rFonts w:ascii="Times New Roman" w:eastAsiaTheme="minorEastAsia" w:hAnsi="Times New Roman" w:cs="Times New Roman"/>
          <w:sz w:val="24"/>
          <w:szCs w:val="24"/>
        </w:rPr>
        <w:t>ten</w:t>
      </w:r>
      <w:r w:rsidR="49290AA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wskazuje obowiązki jakie ciążą na dostawcy usługi</w:t>
      </w:r>
      <w:r w:rsidR="31C05A92" w:rsidRPr="003A42FB">
        <w:rPr>
          <w:rFonts w:ascii="Times New Roman" w:eastAsiaTheme="minorEastAsia" w:hAnsi="Times New Roman" w:cs="Times New Roman"/>
          <w:sz w:val="24"/>
          <w:szCs w:val="24"/>
        </w:rPr>
        <w:t xml:space="preserve"> z dodatkowym świadczeniem</w:t>
      </w:r>
      <w:r w:rsidRPr="003A42FB">
        <w:rPr>
          <w:rFonts w:ascii="Times New Roman" w:eastAsiaTheme="minorEastAsia" w:hAnsi="Times New Roman" w:cs="Times New Roman"/>
          <w:sz w:val="24"/>
          <w:szCs w:val="24"/>
        </w:rPr>
        <w:t xml:space="preserve">. Usługa </w:t>
      </w:r>
      <w:r w:rsidR="7589118E" w:rsidRPr="003A42FB">
        <w:rPr>
          <w:rFonts w:ascii="Times New Roman" w:eastAsiaTheme="minorEastAsia" w:hAnsi="Times New Roman" w:cs="Times New Roman"/>
          <w:sz w:val="24"/>
          <w:szCs w:val="24"/>
        </w:rPr>
        <w:t>ta została zdefiniowana w art. 2 pkt 8</w:t>
      </w:r>
      <w:r w:rsidR="008B57F0">
        <w:rPr>
          <w:rFonts w:ascii="Times New Roman" w:eastAsiaTheme="minorEastAsia" w:hAnsi="Times New Roman" w:cs="Times New Roman"/>
          <w:sz w:val="24"/>
          <w:szCs w:val="24"/>
        </w:rPr>
        <w:t>2</w:t>
      </w:r>
      <w:r w:rsidR="7589118E" w:rsidRPr="003A42FB">
        <w:rPr>
          <w:rFonts w:ascii="Times New Roman" w:eastAsiaTheme="minorEastAsia" w:hAnsi="Times New Roman" w:cs="Times New Roman"/>
          <w:sz w:val="24"/>
          <w:szCs w:val="24"/>
        </w:rPr>
        <w:t>.</w:t>
      </w:r>
      <w:r w:rsidR="5CC35A0C" w:rsidRPr="003A42FB">
        <w:rPr>
          <w:rFonts w:ascii="Times New Roman" w:eastAsiaTheme="minorEastAsia" w:hAnsi="Times New Roman" w:cs="Times New Roman"/>
          <w:sz w:val="24"/>
          <w:szCs w:val="24"/>
        </w:rPr>
        <w:t xml:space="preserve"> </w:t>
      </w:r>
      <w:r w:rsidR="78052631" w:rsidRPr="003A42FB">
        <w:rPr>
          <w:rFonts w:ascii="Times New Roman" w:eastAsiaTheme="minorEastAsia" w:hAnsi="Times New Roman" w:cs="Times New Roman"/>
          <w:sz w:val="24"/>
          <w:szCs w:val="24"/>
        </w:rPr>
        <w:t>Jest</w:t>
      </w:r>
      <w:r w:rsidRPr="003A42FB">
        <w:rPr>
          <w:rFonts w:ascii="Times New Roman" w:eastAsiaTheme="minorEastAsia" w:hAnsi="Times New Roman" w:cs="Times New Roman"/>
          <w:sz w:val="24"/>
          <w:szCs w:val="24"/>
        </w:rPr>
        <w:t xml:space="preserve"> to usługa telekomunikacyjna wzbogacona o dodatkowe świadczenie, które może być realizowane przez dostawcę usługi telekomunikacyjnej lub inny podmiot organizacyjnie i funkcjonalnie niezależny od tego dostawcy, niekoniecznie będący przedsiębiorcą telekomunikacyjnym. Dostawcą usługi z dodatkowym świadczeniem jest przedsiębiorca telekomunikacyjny, który świadczy abonentowi tę usługę i ją rozlicza. Usługa z dodatkowym świadczeniem jest świadczona na podstawie umowy zawartej w drodze czynności faktycznych. Dotychczas ustawa Pt posługiwała się pojęciem usługi o podwyższonej opłacie, jednak pojęcie to nie oddaje w pełni istoty tego rodzaju usług, których cechą charakterystyczną jest świadczenie dodatkowe, nie zaś wyższa, względem standardowych usług telekomunikacyjnych, opłata. Na rynku są bowiem dostępne usługi, które choć oferują dodatkowe świadczenie to nie ma ono odzwierciedlenia w cenie końcowej usługi. W związku z tym celem uniknięcia wątpliwości interpretacyjnych i praktycznych zasadne jest dokonanie powyżej opisanej zmiany definicyjnej. </w:t>
      </w:r>
      <w:r w:rsidR="75CE30AA" w:rsidRPr="003A42FB">
        <w:rPr>
          <w:rFonts w:ascii="Times New Roman" w:eastAsia="Times New Roman" w:hAnsi="Times New Roman" w:cs="Times New Roman"/>
          <w:sz w:val="24"/>
          <w:szCs w:val="24"/>
        </w:rPr>
        <w:t>Na podstawie analizy dotychczasowych zgłoszeń do rejestru numerów usług o podwyższonej opłacie prowadzonego przez Prezesa UKE, które obejmują m.in. wskazanie rodzaju usługi, można stwierdzić, iż ze względu na przedmiot świadczenia wyróżniane są</w:t>
      </w:r>
      <w:r w:rsidR="00C650A1">
        <w:rPr>
          <w:rFonts w:ascii="Times New Roman" w:eastAsia="Times New Roman" w:hAnsi="Times New Roman" w:cs="Times New Roman"/>
          <w:sz w:val="24"/>
          <w:szCs w:val="24"/>
        </w:rPr>
        <w:t xml:space="preserve"> następujące usługi</w:t>
      </w:r>
      <w:r w:rsidR="00822463" w:rsidRPr="003A42FB">
        <w:rPr>
          <w:rFonts w:ascii="Times New Roman" w:eastAsia="Times New Roman" w:hAnsi="Times New Roman" w:cs="Times New Roman"/>
          <w:sz w:val="24"/>
          <w:szCs w:val="24"/>
        </w:rPr>
        <w:t>:</w:t>
      </w:r>
      <w:r w:rsidR="75CE30AA" w:rsidRPr="003A42FB">
        <w:rPr>
          <w:rFonts w:ascii="Times New Roman" w:eastAsia="Times New Roman" w:hAnsi="Times New Roman" w:cs="Times New Roman"/>
          <w:sz w:val="24"/>
          <w:szCs w:val="24"/>
        </w:rPr>
        <w:t xml:space="preserve"> konkursy i gry, kody dostępu do usług telekomunikacyjnych i płatnych stron internetowych, serwisy informacyjne, głosowania, plebiscyty, sondy, programy lojalnościowe, elementy multimedialne do telefonów komórkowych, horoskopy, czaty, komentarze do programów telewizyjnych, krzyżówki, mikropłatności, usługi rozrywkowe, erotyczne, połączenia telekomunikacyjne w różnych relacjach, usługi wróżbiarskie, drobne ogłoszenia, życzenia, dostęp do wersji elektronicznej materiałów drukowanych, usługi informacji o numerach itp</w:t>
      </w:r>
      <w:r w:rsidR="2A2DE47F" w:rsidRPr="003A42FB">
        <w:rPr>
          <w:rFonts w:ascii="Times New Roman" w:eastAsia="Times New Roman" w:hAnsi="Times New Roman" w:cs="Times New Roman"/>
          <w:sz w:val="24"/>
          <w:szCs w:val="24"/>
        </w:rPr>
        <w:t>.</w:t>
      </w:r>
    </w:p>
    <w:p w14:paraId="20DCF8DD" w14:textId="3A9E6489" w:rsidR="00822463" w:rsidRPr="003A42FB" w:rsidRDefault="566EAACD" w:rsidP="1E17D6F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w:t>
      </w:r>
      <w:r w:rsidR="00822463" w:rsidRPr="003A42FB">
        <w:rPr>
          <w:rFonts w:ascii="Times New Roman" w:eastAsiaTheme="minorEastAsia" w:hAnsi="Times New Roman" w:cs="Times New Roman"/>
          <w:sz w:val="24"/>
          <w:szCs w:val="24"/>
        </w:rPr>
        <w:t>2</w:t>
      </w:r>
      <w:r w:rsidRPr="003A42FB">
        <w:rPr>
          <w:rFonts w:ascii="Times New Roman" w:eastAsiaTheme="minorEastAsia" w:hAnsi="Times New Roman" w:cs="Times New Roman"/>
          <w:sz w:val="24"/>
          <w:szCs w:val="24"/>
        </w:rPr>
        <w:t xml:space="preserve"> wskazany został obowiązek informacyjny względem abonentów dotyczący bezpośredniego przekazywania informacji o usłudze z dodatkowym świadczeniem. W przypadku gdy informacja o numerze usługi jest przekazywana bezpośrednio abonentom, dostawca jest zobowiązany podać również cenę za jednostkę rozliczeniową albo cenę za połączenie (w przypadku usług rozlicznych za całe połączenie) ze wskazaniem ceny brutto oraz nazwę podmiotu realizującego świadczenie dodatkowe. Informacja o cenie jest kluczowa z punktu widzenia abonenta ponieważ usługi z dodatkowym świadczeniem nie są rozliczane w oparciu o </w:t>
      </w:r>
      <w:r w:rsidR="6C3D8FF3" w:rsidRPr="003A42FB">
        <w:rPr>
          <w:rFonts w:ascii="Times New Roman" w:eastAsiaTheme="minorEastAsia" w:hAnsi="Times New Roman" w:cs="Times New Roman"/>
          <w:sz w:val="24"/>
          <w:szCs w:val="24"/>
        </w:rPr>
        <w:t>warunki cenowe</w:t>
      </w:r>
      <w:r w:rsidRPr="003A42FB">
        <w:rPr>
          <w:rFonts w:ascii="Times New Roman" w:eastAsiaTheme="minorEastAsia" w:hAnsi="Times New Roman" w:cs="Times New Roman"/>
          <w:sz w:val="24"/>
          <w:szCs w:val="24"/>
        </w:rPr>
        <w:t xml:space="preserve"> obejmując</w:t>
      </w:r>
      <w:r w:rsidR="06374225"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typowe usługi transmisyjne takie jak połączenie głosowe, SMS czy MMS. Z kolei informacja o nazwie podmiotu realizującego świadczenie dodatkowe jest istotna dla abonenta w przypadku nieprawidłowości w świadczeniu usługi i składania reklamacji. </w:t>
      </w:r>
      <w:r w:rsidR="00822463" w:rsidRPr="003A42FB">
        <w:rPr>
          <w:rFonts w:ascii="Times New Roman" w:eastAsiaTheme="minorEastAsia" w:hAnsi="Times New Roman" w:cs="Times New Roman"/>
          <w:sz w:val="24"/>
          <w:szCs w:val="24"/>
        </w:rPr>
        <w:t>Dodatkowe wymogi informacyjne zawarte zostały w ust.  3 dotyczącym informowania o cenie każdorazowo przed rozpoczęciem naliczania opłaty oraz w przypadku zmiany ceny w trakcie trwającego połączenia głosowego.</w:t>
      </w:r>
    </w:p>
    <w:p w14:paraId="294F5B68" w14:textId="57C9A614" w:rsidR="00822463" w:rsidRPr="003A42FB" w:rsidRDefault="00822463" w:rsidP="1E17D6F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w ust. 4 wprowadzają dodatkowe wymagania względem dostawcy usług z dodatkowym świadczeniem świadczonych w sposób powtarzalny na podstawie uprzedniego oświadczenia woli abonenta, czyli tzw. subskrypcji. Obok informacj</w:t>
      </w:r>
      <w:r w:rsidR="00897456" w:rsidRPr="003A42FB">
        <w:rPr>
          <w:rFonts w:ascii="Times New Roman" w:eastAsiaTheme="minorEastAsia" w:hAnsi="Times New Roman" w:cs="Times New Roman"/>
          <w:sz w:val="24"/>
          <w:szCs w:val="24"/>
        </w:rPr>
        <w:t>i wymaganych na podstawie ust. 2</w:t>
      </w:r>
      <w:r w:rsidRPr="003A42FB">
        <w:rPr>
          <w:rFonts w:ascii="Times New Roman" w:eastAsiaTheme="minorEastAsia" w:hAnsi="Times New Roman" w:cs="Times New Roman"/>
          <w:sz w:val="24"/>
          <w:szCs w:val="24"/>
        </w:rPr>
        <w:t xml:space="preserve"> dostawca usług ma obowiązek podać w sposób przejrzysty i czytelny </w:t>
      </w:r>
      <w:r w:rsidRPr="003A42FB">
        <w:rPr>
          <w:rFonts w:ascii="Times New Roman" w:eastAsiaTheme="minorEastAsia" w:hAnsi="Times New Roman" w:cs="Times New Roman"/>
          <w:sz w:val="24"/>
          <w:szCs w:val="24"/>
        </w:rPr>
        <w:lastRenderedPageBreak/>
        <w:t xml:space="preserve">informację o zasadach korzystania z usługi. Dostawca usługi ma obowiązek uzyskać zgodę abonenta na świadczenie usługi bezpośrednio przed rozpoczęciem jej świadczenia oraz umożliwić łatwą, bezpłatną i skuteczną rezygnację z usługi w każdym czasie, zgodnie z wolą abonenta. Powyższy wymóg stanowi mechanizm ochronny dla abonenta przed nieświadomym uruchomieniem usługi świadczonej na zasadzie subskrypcji. </w:t>
      </w:r>
    </w:p>
    <w:p w14:paraId="23C8FE43" w14:textId="36001E07" w:rsidR="00221330" w:rsidRPr="003A42FB" w:rsidRDefault="566EAACD" w:rsidP="1E17D6FE">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Również w przypadku podawania informacji o usłudze z dodatkowym świadczeniem do publicznej wiadomości jej dostawca zobowiązany jest do podawania obok numeru usługi informacji o cenie i nazwie podmiotu realizującego świadczenie dodatkowe (ust. </w:t>
      </w:r>
      <w:r w:rsidR="00897456" w:rsidRPr="003A42FB">
        <w:rPr>
          <w:rFonts w:ascii="Times New Roman" w:eastAsiaTheme="minorEastAsia" w:hAnsi="Times New Roman" w:cs="Times New Roman"/>
          <w:sz w:val="24"/>
          <w:szCs w:val="24"/>
        </w:rPr>
        <w:t>6</w:t>
      </w:r>
      <w:r w:rsidRPr="003A42FB">
        <w:rPr>
          <w:rFonts w:ascii="Times New Roman" w:eastAsiaTheme="minorEastAsia" w:hAnsi="Times New Roman" w:cs="Times New Roman"/>
          <w:sz w:val="24"/>
          <w:szCs w:val="24"/>
        </w:rPr>
        <w:t xml:space="preserve">). W przypadku podawania informacji o usłudze o z dodatkowym świadczeniem do publicznej wiadomości w sposób graficzny przewiduje </w:t>
      </w:r>
      <w:r w:rsidR="00897456" w:rsidRPr="003A42FB">
        <w:rPr>
          <w:rFonts w:ascii="Times New Roman" w:eastAsiaTheme="minorEastAsia" w:hAnsi="Times New Roman" w:cs="Times New Roman"/>
          <w:sz w:val="24"/>
          <w:szCs w:val="24"/>
        </w:rPr>
        <w:t>się</w:t>
      </w:r>
      <w:r w:rsidRPr="003A42FB">
        <w:rPr>
          <w:rFonts w:ascii="Times New Roman" w:eastAsiaTheme="minorEastAsia" w:hAnsi="Times New Roman" w:cs="Times New Roman"/>
          <w:sz w:val="24"/>
          <w:szCs w:val="24"/>
        </w:rPr>
        <w:t xml:space="preserve"> dodatkowe wymagania dotyczące informacji o cenie odnoszące się do tła takiej informacji, rozmiaru czcionki i czasu jej prezentacji. Celem powyższych wymogów dotyczących wizualnej prezentacji informacji jest zapewnienie abonentowi jasnej i czytelnej informacji o kosztach korzystania z usługi. </w:t>
      </w:r>
    </w:p>
    <w:p w14:paraId="5C13E373" w14:textId="0F7DD560" w:rsidR="00221330" w:rsidRPr="003A42FB" w:rsidRDefault="00221330" w:rsidP="00C53EAB">
      <w:pPr>
        <w:spacing w:after="120" w:line="240" w:lineRule="auto"/>
        <w:jc w:val="both"/>
        <w:rPr>
          <w:rFonts w:ascii="Times New Roman" w:eastAsiaTheme="minorEastAsia" w:hAnsi="Times New Roman" w:cs="Times New Roman"/>
          <w:sz w:val="24"/>
          <w:szCs w:val="24"/>
        </w:rPr>
      </w:pPr>
    </w:p>
    <w:p w14:paraId="757EBB23" w14:textId="65477450" w:rsidR="0001231E" w:rsidRPr="003A42FB" w:rsidRDefault="0089745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336</w:t>
      </w:r>
      <w:r w:rsidRPr="003A42FB">
        <w:rPr>
          <w:rFonts w:ascii="Times New Roman" w:eastAsiaTheme="minorEastAsia" w:hAnsi="Times New Roman" w:cs="Times New Roman"/>
          <w:b/>
          <w:sz w:val="24"/>
          <w:szCs w:val="24"/>
        </w:rPr>
        <w:t xml:space="preserve"> – progi kwotowe dla usług z dodatkowym świadczeniem</w:t>
      </w:r>
    </w:p>
    <w:p w14:paraId="4E42D4A1" w14:textId="7A600068"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celu umożliwienia abonentom lepszej kontroli nad swoim wydatkami ponoszonymi z tytułu korzystania z usług z dodatkowym świadczeniem w art. </w:t>
      </w:r>
      <w:r w:rsidR="008B57F0">
        <w:rPr>
          <w:rFonts w:ascii="Times New Roman" w:eastAsiaTheme="minorEastAsia" w:hAnsi="Times New Roman" w:cs="Times New Roman"/>
          <w:sz w:val="24"/>
          <w:szCs w:val="24"/>
        </w:rPr>
        <w:t>336</w:t>
      </w:r>
      <w:r w:rsidRPr="003A42FB">
        <w:rPr>
          <w:rFonts w:ascii="Times New Roman" w:eastAsiaTheme="minorEastAsia" w:hAnsi="Times New Roman" w:cs="Times New Roman"/>
          <w:sz w:val="24"/>
          <w:szCs w:val="24"/>
        </w:rPr>
        <w:t xml:space="preserve"> projektowanej ustawy przewidziana została możliwość określenia progu kwotowego dla tego typu usług, dla każdego okresu rozliczeniowego. W przypadku osiągnięcia wskazanego przez abonenta progu kwotowego dostawca usługi ma obowiązek natychmiast poinformować o tym abonenta oraz zablokować możliwości wykonywania połączeń na numery usług z dodatkowym świadczeniem i odbierania połączeń, które powodują obowiązek zapłaty</w:t>
      </w:r>
      <w:r w:rsidR="00897456" w:rsidRPr="003A42FB">
        <w:rPr>
          <w:rFonts w:ascii="Times New Roman" w:eastAsiaTheme="minorEastAsia" w:hAnsi="Times New Roman" w:cs="Times New Roman"/>
          <w:sz w:val="24"/>
          <w:szCs w:val="24"/>
        </w:rPr>
        <w:t xml:space="preserve"> (ust. 4)</w:t>
      </w:r>
      <w:r w:rsidRPr="003A42FB">
        <w:rPr>
          <w:rFonts w:ascii="Times New Roman" w:eastAsiaTheme="minorEastAsia" w:hAnsi="Times New Roman" w:cs="Times New Roman"/>
          <w:sz w:val="24"/>
          <w:szCs w:val="24"/>
        </w:rPr>
        <w:t xml:space="preserve">. Zasady informowania abonenta doprecyzowuje ust. </w:t>
      </w:r>
      <w:r w:rsidR="00897456" w:rsidRPr="003A42FB">
        <w:rPr>
          <w:rFonts w:ascii="Times New Roman" w:eastAsiaTheme="minorEastAsia" w:hAnsi="Times New Roman" w:cs="Times New Roman"/>
          <w:sz w:val="24"/>
          <w:szCs w:val="24"/>
        </w:rPr>
        <w:t>6</w:t>
      </w:r>
      <w:r w:rsidR="002F017D">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zgodnie z którym w przypadku usług głosowych świadczonych w sieci stacjonarnej obowiązek informacyjny uważa się za zrealizowany, w przypadku gdy dostawca usługi wykonał co najmniej 3 próby połączenia z abonentem w ciągu 24 godzin od osiągnięcia progu kwotowego.</w:t>
      </w:r>
    </w:p>
    <w:p w14:paraId="3AD09506" w14:textId="27328BEC"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ust. 2 dostawca usługi ma obowiązek oferowania abonentom co najmniej 4 progów kwotowych w wysokości: 0 (całkowita blokada płatnych usług z dodatkowym świadczeniem), 35, 100, 200 zł. W przypadku gdy abonent nie określił progu kwotowego, progiem domyślnym będzie próg wynoszący 35 zł. Po osiągnięciu wybranego lub domyślnego progu kwotowego abonent może dalej korzystać z usług z dodatkowym świadczeniem po określeniu wyższego progu (ust. </w:t>
      </w:r>
      <w:r w:rsidR="00897456" w:rsidRPr="003A42FB">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w:t>
      </w:r>
    </w:p>
    <w:p w14:paraId="48CFD49A" w14:textId="592EA437" w:rsidR="00897456" w:rsidRPr="003A42FB" w:rsidRDefault="0089745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337</w:t>
      </w:r>
      <w:r w:rsidRPr="003A42FB">
        <w:rPr>
          <w:rFonts w:ascii="Times New Roman" w:eastAsiaTheme="minorEastAsia" w:hAnsi="Times New Roman" w:cs="Times New Roman"/>
          <w:b/>
          <w:sz w:val="24"/>
          <w:szCs w:val="24"/>
        </w:rPr>
        <w:t xml:space="preserve"> – blokowanie usług z dodatkowym świadczeniem</w:t>
      </w:r>
    </w:p>
    <w:p w14:paraId="07D4E39A" w14:textId="6D5EB6C2" w:rsidR="00897456" w:rsidRPr="003A42FB" w:rsidRDefault="00897456" w:rsidP="00897456">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przepisie tym została przewidziana istotna z punktu widzenia abonenta możliwość zablokowania wszystkich połączeń zarówno wychodzących jak i przychodzących. Taka możliwość jest szczególnie użyteczna w przypadku korzystania z telefonu przez dziecko, ponieważ pozwala uchronić je przed kontaktem z treściami dla niego nieodpowiednimi. </w:t>
      </w:r>
    </w:p>
    <w:p w14:paraId="3EF2EB91" w14:textId="21B23B59"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w:t>
      </w:r>
      <w:r w:rsidR="00897456" w:rsidRPr="003A42FB">
        <w:rPr>
          <w:rFonts w:ascii="Times New Roman" w:eastAsiaTheme="minorEastAsia" w:hAnsi="Times New Roman" w:cs="Times New Roman"/>
          <w:sz w:val="24"/>
          <w:szCs w:val="24"/>
        </w:rPr>
        <w:t>tym przepisem</w:t>
      </w:r>
      <w:r w:rsidRPr="003A42FB">
        <w:rPr>
          <w:rFonts w:ascii="Times New Roman" w:eastAsiaTheme="minorEastAsia" w:hAnsi="Times New Roman" w:cs="Times New Roman"/>
          <w:sz w:val="24"/>
          <w:szCs w:val="24"/>
        </w:rPr>
        <w:t xml:space="preserve"> blokowanie połączeń odbywa się na żądanie abonenta i może dotyczyć wszystkich połączeń wychodzących lub przychodzących albo poszczególnych rodzajów usług lub też połączeń powyżej maksymalnej ceny jednostkowej określonej przez abonenta. </w:t>
      </w:r>
    </w:p>
    <w:p w14:paraId="6F1C68DC" w14:textId="65961614" w:rsidR="00897456" w:rsidRPr="003A42FB" w:rsidRDefault="0089745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338</w:t>
      </w:r>
      <w:r w:rsidRPr="003A42FB">
        <w:rPr>
          <w:rFonts w:ascii="Times New Roman" w:eastAsiaTheme="minorEastAsia" w:hAnsi="Times New Roman" w:cs="Times New Roman"/>
          <w:b/>
          <w:sz w:val="24"/>
          <w:szCs w:val="24"/>
        </w:rPr>
        <w:t xml:space="preserve"> – brak możliwości pobrania opłaty za usługę z dodatkowym świadczeniem</w:t>
      </w:r>
    </w:p>
    <w:p w14:paraId="38396B59" w14:textId="78ACFF3B" w:rsidR="00897456" w:rsidRPr="003A42FB" w:rsidRDefault="00897456" w:rsidP="00897456">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przepisie tym wprowadzono quasi sankcję za naruszenie przepisów regulujących zasady świadczenia usług z dodatkowym świadczeniem. Dostawca usług telekomunikacyjnych (który w świetle przepisów świadczy usługę z dodatkowym świadczeniem i rozlicza się z dostawcą dodatkowego świadczenia), w przypadku braku realizacji ciążących na nim obowiązków nie </w:t>
      </w:r>
      <w:r w:rsidRPr="003A42FB">
        <w:rPr>
          <w:rFonts w:ascii="Times New Roman" w:eastAsiaTheme="minorEastAsia" w:hAnsi="Times New Roman" w:cs="Times New Roman"/>
          <w:sz w:val="24"/>
          <w:szCs w:val="24"/>
        </w:rPr>
        <w:lastRenderedPageBreak/>
        <w:t>będzie mógł żądać od abonenta opłat za nieprawidłowo świadczone usługi. Przepis będzie motywował przedsiębiorców telekomunikacyjnych do szczegółowego i zgodnego z prawem i dobrymi obyczajami ustalania zasad współpracy z dostawcami dodatkowych świadczeń, a dla abonenta stanowił będzie zabezpieczenie przed nieprawidłowym świadczeniem usług.</w:t>
      </w:r>
    </w:p>
    <w:p w14:paraId="7130ABE1" w14:textId="49D9E2CB" w:rsidR="00897456" w:rsidRPr="003A42FB" w:rsidRDefault="0089745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339</w:t>
      </w:r>
      <w:r w:rsidRPr="003A42FB">
        <w:rPr>
          <w:rFonts w:ascii="Times New Roman" w:eastAsiaTheme="minorEastAsia" w:hAnsi="Times New Roman" w:cs="Times New Roman"/>
          <w:b/>
          <w:sz w:val="24"/>
          <w:szCs w:val="24"/>
        </w:rPr>
        <w:t xml:space="preserve"> – rejestr usług z dodatkowym świadczeniem</w:t>
      </w:r>
    </w:p>
    <w:p w14:paraId="4113CA83" w14:textId="430D977B" w:rsidR="00344C67" w:rsidRPr="003A42FB" w:rsidRDefault="12C698C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celu zapewnienia kontroli regulatora nad rynkiem świadczenia usług z dodatkowym świadczeniem wprowadza się instytucję rejestru numerów wykorzystywanych do usług z dodatkowym świadczeniem, zwanego dalej “rejestrem numerów”. Obowiązkiem wpisu do rejestru numerów objęte są podmioty realizujące dodatkowe świadczenie. Rejestr numerów prowadzony jest przez Prezesa UKE w systemie teleinformatycznym i publikowany</w:t>
      </w:r>
      <w:r w:rsidR="002F017D">
        <w:rPr>
          <w:rFonts w:ascii="Times New Roman" w:eastAsiaTheme="minorEastAsia" w:hAnsi="Times New Roman" w:cs="Times New Roman"/>
          <w:sz w:val="24"/>
          <w:szCs w:val="24"/>
        </w:rPr>
        <w:t xml:space="preserve"> jest</w:t>
      </w:r>
      <w:r w:rsidRPr="003A42FB">
        <w:rPr>
          <w:rFonts w:ascii="Times New Roman" w:eastAsiaTheme="minorEastAsia" w:hAnsi="Times New Roman" w:cs="Times New Roman"/>
          <w:sz w:val="24"/>
          <w:szCs w:val="24"/>
        </w:rPr>
        <w:t xml:space="preserve"> na stronie </w:t>
      </w:r>
      <w:r w:rsidR="0201FABB" w:rsidRPr="003A42FB">
        <w:rPr>
          <w:rFonts w:ascii="Times New Roman" w:eastAsiaTheme="minorEastAsia" w:hAnsi="Times New Roman" w:cs="Times New Roman"/>
          <w:sz w:val="24"/>
          <w:szCs w:val="24"/>
        </w:rPr>
        <w:t xml:space="preserve">podmiotowej </w:t>
      </w:r>
      <w:r w:rsidRPr="003A42FB">
        <w:rPr>
          <w:rFonts w:ascii="Times New Roman" w:eastAsiaTheme="minorEastAsia" w:hAnsi="Times New Roman" w:cs="Times New Roman"/>
          <w:sz w:val="24"/>
          <w:szCs w:val="24"/>
        </w:rPr>
        <w:t xml:space="preserve">BIP UKE. </w:t>
      </w:r>
    </w:p>
    <w:p w14:paraId="41C956D1" w14:textId="46DE644E" w:rsidR="00991CB2" w:rsidRPr="003A42FB" w:rsidRDefault="00991CB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z ust. 3 w przeciwieństwie do innych przepisów dotyczących świadczenia usług z dodatkowym świadczeniem jest adresowany do operatora, w którego sieci tego rodzaju usługi mogą być świadczone przez dostawców publicznie dostępnych usług telekomunikacyjnych. W celu zabezpieczenia interesów abonentów przed nadużyciami występującymi na rynku premium rate przewiduje się, że operator ponosi odpowiedzialność w przypadku gdy w jego sieci dostępne będą usługi, które nie będą uwidocznione w rejestrze. Oznacza to, że operator będzie obowiązany do zablokowania usług z dodatkowym świadczeniem, jeśli nie będą one zgłoszone do rejestru numerów. </w:t>
      </w:r>
    </w:p>
    <w:p w14:paraId="1AEDC2FC" w14:textId="5CBAE704" w:rsidR="00344C67" w:rsidRPr="003A42FB" w:rsidRDefault="00344C67"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340</w:t>
      </w:r>
      <w:r w:rsidRPr="003A42FB">
        <w:rPr>
          <w:rFonts w:ascii="Times New Roman" w:eastAsiaTheme="minorEastAsia" w:hAnsi="Times New Roman" w:cs="Times New Roman"/>
          <w:b/>
          <w:sz w:val="24"/>
          <w:szCs w:val="24"/>
        </w:rPr>
        <w:t xml:space="preserve"> – zgłoszenie do rejestru</w:t>
      </w:r>
    </w:p>
    <w:p w14:paraId="3A45E177" w14:textId="0548173D" w:rsidR="00344C67" w:rsidRPr="003A42FB" w:rsidRDefault="12C698C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Informacje, które powinny być zawarte w </w:t>
      </w:r>
      <w:r w:rsidR="00344C67" w:rsidRPr="003A42FB">
        <w:rPr>
          <w:rFonts w:ascii="Times New Roman" w:eastAsiaTheme="minorEastAsia" w:hAnsi="Times New Roman" w:cs="Times New Roman"/>
          <w:sz w:val="24"/>
          <w:szCs w:val="24"/>
        </w:rPr>
        <w:t>zgłoszeniu</w:t>
      </w:r>
      <w:r w:rsidR="002F017D">
        <w:rPr>
          <w:rFonts w:ascii="Times New Roman" w:eastAsiaTheme="minorEastAsia" w:hAnsi="Times New Roman" w:cs="Times New Roman"/>
          <w:sz w:val="24"/>
          <w:szCs w:val="24"/>
        </w:rPr>
        <w:t xml:space="preserve"> do rejestru</w:t>
      </w:r>
      <w:r w:rsidRPr="003A42FB">
        <w:rPr>
          <w:rFonts w:ascii="Times New Roman" w:eastAsiaTheme="minorEastAsia" w:hAnsi="Times New Roman" w:cs="Times New Roman"/>
          <w:sz w:val="24"/>
          <w:szCs w:val="24"/>
        </w:rPr>
        <w:t xml:space="preserve"> określa ust. </w:t>
      </w:r>
      <w:r w:rsidR="00344C67"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Zgłoszenia składane do rejestru numerów powinny zawierać także podpisane przez uprawnioną osobę oświadczenie określonej ustawowo treści, składane pod rygorem odpowiedzialności karnej za składanie fałszywych oświadczeń. Wprowadzenie powyższego wymogu ma charakter dyscyplinujący dla podmiotów realizujących świadczenie dodatkowe. Termin składania zgłoszeń wynosi co najmniej 14 dni przed rozpoczęciem świadczenia usługi. Wyjątek od tej zasady przewidziany został dla usług świadczonych w imieniu organu administracji publicznej lub organizacji pozarządowej lub innego podmiotu prowadzącego działalność pożytku publicznego na cele charytatywne (ust. 3). W takim wypadku zgłoszenie może być przekazane w terminie nie krótszym niż 2 dni robocze przed rozpoczęciem świadczenia. </w:t>
      </w:r>
    </w:p>
    <w:p w14:paraId="0D104A99" w14:textId="3F467B63" w:rsidR="00344C67" w:rsidRPr="003A42FB" w:rsidRDefault="00344C67" w:rsidP="00344C67">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Projektowane przepisy regulują również wymóg aktualizacji zgłoszeń w przypadku zmian w informacjach podlegających zgłoszeniu (ust. 4). W przypadku zgłoszenia aktualizacyjnego termin składania zgłoszeń zależny jest od rodzaju danych podlegających zmianie i wynosi 7 dni od dnia dokonania zmiany lub 14 dni przed dniem rozpoczęcia świadczenia na nowych warunkach – w przypadku danych mających istotne znaczenie z punktu widzenia abonenta takich jak np. przedmiot świadczenia dodatkowego czy cena. </w:t>
      </w:r>
    </w:p>
    <w:p w14:paraId="4197316D" w14:textId="048DFF07" w:rsidR="00344C67" w:rsidRPr="003A42FB" w:rsidDel="00872F8A" w:rsidRDefault="00344C67" w:rsidP="00344C67">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w:t>
      </w:r>
      <w:r w:rsidR="003E31B3">
        <w:rPr>
          <w:rFonts w:ascii="Times New Roman" w:eastAsiaTheme="minorEastAsia" w:hAnsi="Times New Roman" w:cs="Times New Roman"/>
          <w:sz w:val="24"/>
          <w:szCs w:val="24"/>
        </w:rPr>
        <w:t>godnie z ust. 5 z</w:t>
      </w:r>
      <w:r w:rsidRPr="003A42FB">
        <w:rPr>
          <w:rFonts w:ascii="Times New Roman" w:eastAsiaTheme="minorEastAsia" w:hAnsi="Times New Roman" w:cs="Times New Roman"/>
          <w:sz w:val="24"/>
          <w:szCs w:val="24"/>
        </w:rPr>
        <w:t xml:space="preserve">głoszenie do rejestru numerów oraz wzór zgłoszenia aktualizacyjnego wnoszone są na </w:t>
      </w:r>
      <w:r w:rsidR="00E013CA">
        <w:rPr>
          <w:rFonts w:ascii="Times New Roman" w:eastAsiaTheme="minorEastAsia" w:hAnsi="Times New Roman" w:cs="Times New Roman"/>
          <w:sz w:val="24"/>
          <w:szCs w:val="24"/>
        </w:rPr>
        <w:t xml:space="preserve">PUE </w:t>
      </w:r>
      <w:r w:rsidRPr="003A42FB">
        <w:rPr>
          <w:rFonts w:ascii="Times New Roman" w:eastAsiaTheme="minorEastAsia" w:hAnsi="Times New Roman" w:cs="Times New Roman"/>
          <w:sz w:val="24"/>
          <w:szCs w:val="24"/>
        </w:rPr>
        <w:t xml:space="preserve"> UKE,, w formie dokumentu elektronicznego opatrzonego kwalifikowanym podpisem elektronicznym, podpisem osobistym albo podpisem zaufanym. </w:t>
      </w:r>
      <w:r w:rsidR="003E31B3">
        <w:rPr>
          <w:rFonts w:ascii="Times New Roman" w:eastAsiaTheme="minorEastAsia" w:hAnsi="Times New Roman" w:cs="Times New Roman"/>
          <w:sz w:val="24"/>
          <w:szCs w:val="24"/>
        </w:rPr>
        <w:t>Ustęp 6 precyzuje moment, który należy uznać za moment wniesienia zgłoszenia, tj. datę</w:t>
      </w:r>
      <w:r w:rsidR="003E31B3" w:rsidRPr="003E31B3">
        <w:rPr>
          <w:rFonts w:ascii="Times New Roman" w:eastAsiaTheme="minorEastAsia" w:hAnsi="Times New Roman" w:cs="Times New Roman"/>
          <w:sz w:val="24"/>
          <w:szCs w:val="24"/>
        </w:rPr>
        <w:t xml:space="preserve"> wysłania dokumentu w urzędowym poświadczeniu odbioru, które jest automatycznie tworzone i udostępniane przez</w:t>
      </w:r>
      <w:r w:rsidR="003E31B3">
        <w:rPr>
          <w:rFonts w:ascii="Times New Roman" w:eastAsiaTheme="minorEastAsia" w:hAnsi="Times New Roman" w:cs="Times New Roman"/>
          <w:sz w:val="24"/>
          <w:szCs w:val="24"/>
        </w:rPr>
        <w:t xml:space="preserve"> PUE UKE podmiotowi wnoszącemu</w:t>
      </w:r>
      <w:r w:rsidR="003E31B3" w:rsidRPr="003E31B3">
        <w:rPr>
          <w:rFonts w:ascii="Times New Roman" w:eastAsiaTheme="minorEastAsia" w:hAnsi="Times New Roman" w:cs="Times New Roman"/>
          <w:sz w:val="24"/>
          <w:szCs w:val="24"/>
        </w:rPr>
        <w:t xml:space="preserve"> zgłoszenie.</w:t>
      </w:r>
      <w:r w:rsidR="003E31B3">
        <w:rPr>
          <w:rFonts w:ascii="Times New Roman" w:eastAsiaTheme="minorEastAsia" w:hAnsi="Times New Roman" w:cs="Times New Roman"/>
          <w:sz w:val="24"/>
          <w:szCs w:val="24"/>
        </w:rPr>
        <w:t xml:space="preserve"> Wzór dokumentu elektronicznego dla zgłoszenia do rejestru numerów i zgłoszenia aktualizacyjnego </w:t>
      </w:r>
      <w:r w:rsidR="00AE1406">
        <w:rPr>
          <w:rFonts w:ascii="Times New Roman" w:eastAsiaTheme="minorEastAsia" w:hAnsi="Times New Roman" w:cs="Times New Roman"/>
          <w:sz w:val="24"/>
          <w:szCs w:val="24"/>
        </w:rPr>
        <w:t xml:space="preserve">określa </w:t>
      </w:r>
      <w:r w:rsidR="003E31B3">
        <w:rPr>
          <w:rFonts w:ascii="Times New Roman" w:eastAsiaTheme="minorEastAsia" w:hAnsi="Times New Roman" w:cs="Times New Roman"/>
          <w:sz w:val="24"/>
          <w:szCs w:val="24"/>
        </w:rPr>
        <w:t xml:space="preserve">Prezes UKE </w:t>
      </w:r>
      <w:r w:rsidR="00AE1406">
        <w:rPr>
          <w:rFonts w:ascii="Times New Roman" w:eastAsiaTheme="minorEastAsia" w:hAnsi="Times New Roman" w:cs="Times New Roman"/>
          <w:sz w:val="24"/>
          <w:szCs w:val="24"/>
        </w:rPr>
        <w:t xml:space="preserve">i </w:t>
      </w:r>
      <w:r w:rsidR="003E31B3" w:rsidRPr="003E31B3">
        <w:rPr>
          <w:rFonts w:ascii="Times New Roman" w:eastAsiaTheme="minorEastAsia" w:hAnsi="Times New Roman" w:cs="Times New Roman"/>
          <w:sz w:val="24"/>
          <w:szCs w:val="24"/>
        </w:rPr>
        <w:t xml:space="preserve">udostępnia </w:t>
      </w:r>
      <w:r w:rsidR="00AE1406">
        <w:rPr>
          <w:rFonts w:ascii="Times New Roman" w:eastAsiaTheme="minorEastAsia" w:hAnsi="Times New Roman" w:cs="Times New Roman"/>
          <w:sz w:val="24"/>
          <w:szCs w:val="24"/>
        </w:rPr>
        <w:t xml:space="preserve">go </w:t>
      </w:r>
      <w:r w:rsidR="003E31B3" w:rsidRPr="003E31B3">
        <w:rPr>
          <w:rFonts w:ascii="Times New Roman" w:eastAsiaTheme="minorEastAsia" w:hAnsi="Times New Roman" w:cs="Times New Roman"/>
          <w:sz w:val="24"/>
          <w:szCs w:val="24"/>
        </w:rPr>
        <w:t>na stronie podmiotowej BIP UK</w:t>
      </w:r>
      <w:r w:rsidR="003E31B3">
        <w:rPr>
          <w:rFonts w:ascii="Times New Roman" w:eastAsiaTheme="minorEastAsia" w:hAnsi="Times New Roman" w:cs="Times New Roman"/>
          <w:sz w:val="24"/>
          <w:szCs w:val="24"/>
        </w:rPr>
        <w:t>E. Ustęp 9 zawiera delegację ust</w:t>
      </w:r>
      <w:r w:rsidR="001C310F">
        <w:rPr>
          <w:rFonts w:ascii="Times New Roman" w:eastAsiaTheme="minorEastAsia" w:hAnsi="Times New Roman" w:cs="Times New Roman"/>
          <w:sz w:val="24"/>
          <w:szCs w:val="24"/>
        </w:rPr>
        <w:t xml:space="preserve">awową do wydania rozporządzenia określającego </w:t>
      </w:r>
      <w:r w:rsidR="003E31B3" w:rsidRPr="003E31B3">
        <w:rPr>
          <w:rFonts w:ascii="Times New Roman" w:eastAsiaTheme="minorEastAsia" w:hAnsi="Times New Roman" w:cs="Times New Roman"/>
          <w:sz w:val="24"/>
          <w:szCs w:val="24"/>
        </w:rPr>
        <w:t>szczeg</w:t>
      </w:r>
      <w:r w:rsidR="001C310F">
        <w:rPr>
          <w:rFonts w:ascii="Times New Roman" w:eastAsiaTheme="minorEastAsia" w:hAnsi="Times New Roman" w:cs="Times New Roman"/>
          <w:sz w:val="24"/>
          <w:szCs w:val="24"/>
        </w:rPr>
        <w:t xml:space="preserve">ółowy zakres danych zgłoszenia oraz zgłoszenia aktualizacyjnego do rejestru </w:t>
      </w:r>
      <w:r w:rsidR="001C310F" w:rsidRPr="001C310F">
        <w:rPr>
          <w:rFonts w:ascii="Times New Roman" w:eastAsiaTheme="minorEastAsia" w:hAnsi="Times New Roman" w:cs="Times New Roman"/>
          <w:sz w:val="24"/>
          <w:szCs w:val="24"/>
        </w:rPr>
        <w:t>numerów wykorzystywanych do świadczenia usługi z dodatkowym świadczeniem</w:t>
      </w:r>
      <w:r w:rsidR="001C310F">
        <w:rPr>
          <w:rFonts w:ascii="Times New Roman" w:eastAsiaTheme="minorEastAsia" w:hAnsi="Times New Roman" w:cs="Times New Roman"/>
          <w:sz w:val="24"/>
          <w:szCs w:val="24"/>
        </w:rPr>
        <w:t>.</w:t>
      </w:r>
    </w:p>
    <w:p w14:paraId="4F02C887" w14:textId="567D62DE" w:rsidR="00344C67" w:rsidRPr="003A42FB" w:rsidRDefault="00344C67"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lastRenderedPageBreak/>
        <w:t xml:space="preserve">Art. </w:t>
      </w:r>
      <w:r w:rsidR="008B57F0">
        <w:rPr>
          <w:rFonts w:ascii="Times New Roman" w:eastAsiaTheme="minorEastAsia" w:hAnsi="Times New Roman" w:cs="Times New Roman"/>
          <w:b/>
          <w:sz w:val="24"/>
          <w:szCs w:val="24"/>
        </w:rPr>
        <w:t>341</w:t>
      </w:r>
      <w:r w:rsidRPr="003A42FB">
        <w:rPr>
          <w:rFonts w:ascii="Times New Roman" w:eastAsiaTheme="minorEastAsia" w:hAnsi="Times New Roman" w:cs="Times New Roman"/>
          <w:b/>
          <w:sz w:val="24"/>
          <w:szCs w:val="24"/>
        </w:rPr>
        <w:t xml:space="preserve"> – wezwanie do uzupełnienia zgłoszenia</w:t>
      </w:r>
    </w:p>
    <w:p w14:paraId="0DF84C3A" w14:textId="7D2065CA" w:rsidR="00344C67" w:rsidRPr="003A42FB" w:rsidRDefault="00344C67" w:rsidP="00C53EAB">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Projektowane przepisy przewidują również procedurę wezwania przez Prezesa UKE do uzupełni</w:t>
      </w:r>
      <w:r w:rsidR="00E46BF4" w:rsidRPr="003A42FB">
        <w:rPr>
          <w:rFonts w:ascii="Times New Roman" w:eastAsiaTheme="minorEastAsia" w:hAnsi="Times New Roman" w:cs="Times New Roman"/>
          <w:sz w:val="24"/>
          <w:szCs w:val="24"/>
        </w:rPr>
        <w:t xml:space="preserve">enia braków zgłoszenia oraz </w:t>
      </w:r>
      <w:r w:rsidRPr="003A42FB">
        <w:rPr>
          <w:rFonts w:ascii="Times New Roman" w:eastAsiaTheme="minorEastAsia" w:hAnsi="Times New Roman" w:cs="Times New Roman"/>
          <w:sz w:val="24"/>
          <w:szCs w:val="24"/>
        </w:rPr>
        <w:t>pozostawienia zgłoszenia bez rozpoznania</w:t>
      </w:r>
      <w:r w:rsidR="00E46BF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W przypadku braków w zgłoszeniu Prezes UKE wzywa podmiot dokonujący tego zgłoszenia do uzupełnienia braków w terminie 7 dni od dnia otrzymania wezwania pod rygorem pozostawienia zgłoszenia bez rozpoznania. Wskazani</w:t>
      </w:r>
      <w:r w:rsidR="002F017D">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bCs/>
          <w:sz w:val="24"/>
          <w:szCs w:val="24"/>
        </w:rPr>
        <w:t>terminu rozpoczęcia świadczenia usługi z dodatkowym świadczeniem, krótszego niż termin ustawowy skutkuje pozostawieniem zgłoszenia bez rozpoznania, o czym Prezes UKE niezwłocznie informuje podmiot realizujący dodatkowe świadczenie.</w:t>
      </w:r>
    </w:p>
    <w:p w14:paraId="1F8A71D9" w14:textId="2346C8C0" w:rsidR="00D21A93" w:rsidRPr="003A42FB" w:rsidRDefault="12C698C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Wpis do rejestru numerów dokonywany jest przez Prezesa UKE w terminie 3 dni roboczych od otrzymania kompletnego zgłoszenia lub zgłoszenia aktualizacyjnego</w:t>
      </w:r>
      <w:r w:rsidR="00D21A93"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p>
    <w:p w14:paraId="12278093" w14:textId="6D902904" w:rsidR="00D21A93" w:rsidRPr="003A42FB" w:rsidRDefault="00D21A93"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342</w:t>
      </w:r>
      <w:r w:rsidRPr="003A42FB">
        <w:rPr>
          <w:rFonts w:ascii="Times New Roman" w:eastAsiaTheme="minorEastAsia" w:hAnsi="Times New Roman" w:cs="Times New Roman"/>
          <w:b/>
          <w:sz w:val="24"/>
          <w:szCs w:val="24"/>
        </w:rPr>
        <w:t xml:space="preserve"> – termin zakończenia świadczenia usługi z dodatkowym świadczeniem</w:t>
      </w:r>
      <w:r w:rsidR="004452BF" w:rsidRPr="003A42FB">
        <w:rPr>
          <w:rFonts w:ascii="Times New Roman" w:eastAsiaTheme="minorEastAsia" w:hAnsi="Times New Roman" w:cs="Times New Roman"/>
          <w:b/>
          <w:sz w:val="24"/>
          <w:szCs w:val="24"/>
        </w:rPr>
        <w:t xml:space="preserve"> i wykreślenie z rejestru</w:t>
      </w:r>
    </w:p>
    <w:p w14:paraId="080A8FDD" w14:textId="4B54A528" w:rsidR="00B256AB" w:rsidRPr="003A42FB" w:rsidRDefault="12C698C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celu zachowania aktualności rejestru numerów, w przypadku gdy podmiot zobowiązany nie przekazał w zgłoszeniu terminu zakończenia świadczenia usługi, ma </w:t>
      </w:r>
      <w:r w:rsidR="004452BF" w:rsidRPr="003A42FB">
        <w:rPr>
          <w:rFonts w:ascii="Times New Roman" w:eastAsiaTheme="minorEastAsia" w:hAnsi="Times New Roman" w:cs="Times New Roman"/>
          <w:sz w:val="24"/>
          <w:szCs w:val="24"/>
        </w:rPr>
        <w:t>on</w:t>
      </w:r>
      <w:r w:rsidRPr="003A42FB">
        <w:rPr>
          <w:rFonts w:ascii="Times New Roman" w:eastAsiaTheme="minorEastAsia" w:hAnsi="Times New Roman" w:cs="Times New Roman"/>
          <w:sz w:val="24"/>
          <w:szCs w:val="24"/>
        </w:rPr>
        <w:t xml:space="preserve"> obowiązek poinformować Prezesa UKE o terminie zakończenia świadczenia usługi w terminie maksymalnie 7 dni od dnia kiedy to zakończenie nastąpiło. </w:t>
      </w:r>
    </w:p>
    <w:p w14:paraId="71235547" w14:textId="724CEC90" w:rsidR="004452BF" w:rsidRDefault="004452BF" w:rsidP="0001231E">
      <w:pPr>
        <w:pStyle w:val="USTustnpkodeksu"/>
        <w:keepNext/>
        <w:spacing w:line="240" w:lineRule="auto"/>
        <w:ind w:firstLine="0"/>
        <w:rPr>
          <w:rFonts w:ascii="Times New Roman" w:hAnsi="Times New Roman" w:cs="Times New Roman"/>
          <w:bCs w:val="0"/>
          <w:szCs w:val="24"/>
          <w:lang w:eastAsia="en-US"/>
        </w:rPr>
      </w:pPr>
      <w:r w:rsidRPr="003A42FB">
        <w:rPr>
          <w:rFonts w:ascii="Times New Roman" w:hAnsi="Times New Roman" w:cs="Times New Roman"/>
          <w:bCs w:val="0"/>
          <w:szCs w:val="24"/>
          <w:lang w:eastAsia="en-US"/>
        </w:rPr>
        <w:t>Zgodnie z ust. 2 Prezes UKE wykreśla z rejestru numerów informacje dotyczące usługi z doda</w:t>
      </w:r>
      <w:r w:rsidR="00126EC6" w:rsidRPr="003A42FB">
        <w:rPr>
          <w:rFonts w:ascii="Times New Roman" w:hAnsi="Times New Roman" w:cs="Times New Roman"/>
          <w:bCs w:val="0"/>
          <w:szCs w:val="24"/>
          <w:lang w:eastAsia="en-US"/>
        </w:rPr>
        <w:t xml:space="preserve">tkowym świadczeniem w przypadku </w:t>
      </w:r>
      <w:r w:rsidRPr="003A42FB">
        <w:rPr>
          <w:rFonts w:ascii="Times New Roman" w:hAnsi="Times New Roman" w:cs="Times New Roman"/>
          <w:bCs w:val="0"/>
          <w:szCs w:val="24"/>
          <w:lang w:eastAsia="en-US"/>
        </w:rPr>
        <w:t>upływu terminu za</w:t>
      </w:r>
      <w:r w:rsidR="00126EC6" w:rsidRPr="003A42FB">
        <w:rPr>
          <w:rFonts w:ascii="Times New Roman" w:hAnsi="Times New Roman" w:cs="Times New Roman"/>
          <w:bCs w:val="0"/>
          <w:szCs w:val="24"/>
          <w:lang w:eastAsia="en-US"/>
        </w:rPr>
        <w:t xml:space="preserve">kończenia świadczenia usługi, </w:t>
      </w:r>
      <w:r w:rsidRPr="003A42FB">
        <w:rPr>
          <w:rFonts w:ascii="Times New Roman" w:hAnsi="Times New Roman" w:cs="Times New Roman"/>
          <w:bCs w:val="0"/>
          <w:szCs w:val="24"/>
          <w:lang w:eastAsia="en-US"/>
        </w:rPr>
        <w:t>przekazania przez podmiot realizujący dodatkowe świadczenie in</w:t>
      </w:r>
      <w:r w:rsidR="00126EC6" w:rsidRPr="003A42FB">
        <w:rPr>
          <w:rFonts w:ascii="Times New Roman" w:hAnsi="Times New Roman" w:cs="Times New Roman"/>
          <w:bCs w:val="0"/>
          <w:szCs w:val="24"/>
          <w:lang w:eastAsia="en-US"/>
        </w:rPr>
        <w:t>formacji o terminie zakończenia świadczenia usługi lub wydania decyzji nakazującej zablokowanie dostępu do usług lub zaprzestanie ich świadczenia.</w:t>
      </w:r>
    </w:p>
    <w:p w14:paraId="3A6600AE" w14:textId="77777777" w:rsidR="002F017D" w:rsidRPr="003A42FB" w:rsidRDefault="002F017D" w:rsidP="0001231E">
      <w:pPr>
        <w:pStyle w:val="USTustnpkodeksu"/>
        <w:keepNext/>
        <w:spacing w:line="240" w:lineRule="auto"/>
        <w:ind w:firstLine="0"/>
        <w:rPr>
          <w:rFonts w:ascii="Times New Roman" w:hAnsi="Times New Roman" w:cs="Times New Roman"/>
          <w:szCs w:val="24"/>
        </w:rPr>
      </w:pPr>
    </w:p>
    <w:p w14:paraId="680F4821" w14:textId="4E82724B" w:rsidR="00991CB2" w:rsidRPr="003A42FB" w:rsidRDefault="00991CB2"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8B57F0">
        <w:rPr>
          <w:rFonts w:ascii="Times New Roman" w:eastAsiaTheme="minorEastAsia" w:hAnsi="Times New Roman" w:cs="Times New Roman"/>
          <w:b/>
          <w:sz w:val="24"/>
          <w:szCs w:val="24"/>
        </w:rPr>
        <w:t>343</w:t>
      </w:r>
      <w:r w:rsidRPr="003A42FB">
        <w:rPr>
          <w:rFonts w:ascii="Times New Roman" w:eastAsiaTheme="minorEastAsia" w:hAnsi="Times New Roman" w:cs="Times New Roman"/>
          <w:b/>
          <w:sz w:val="24"/>
          <w:szCs w:val="24"/>
        </w:rPr>
        <w:t xml:space="preserve"> – nadużycia związane ze świadczeniem usług</w:t>
      </w:r>
    </w:p>
    <w:p w14:paraId="54C706B6" w14:textId="5E500590" w:rsidR="00991CB2" w:rsidRPr="003A42FB" w:rsidRDefault="00991CB2" w:rsidP="00991CB2">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artykule tym uregulowana została kwestia ochrony użytkowników końcowych przed nadużyciami z wykorzystaniem sieci telekomunikacyjnej poprzez określenie warunków dla zablokowania dostępu do numeru lub usługi, wstrzymania pobierania opłat za połączenia, zaprzestania świadczenia usługi oraz usunięcia informacji promujących numer lub usługę z dodatkowym świadczeniem. Powyższe obowiązki nakładane są w drodze decyzji Prezesa UKE, której nadaje się rygor natychmiastowej wykonalności. </w:t>
      </w:r>
    </w:p>
    <w:p w14:paraId="683083A0" w14:textId="64769DB4" w:rsidR="466E0063" w:rsidRPr="003A42FB" w:rsidRDefault="466E0063" w:rsidP="00C53EAB">
      <w:pPr>
        <w:spacing w:after="120" w:line="240" w:lineRule="auto"/>
        <w:jc w:val="both"/>
        <w:rPr>
          <w:rFonts w:ascii="Times New Roman" w:eastAsiaTheme="minorEastAsia" w:hAnsi="Times New Roman" w:cs="Times New Roman"/>
          <w:sz w:val="24"/>
          <w:szCs w:val="24"/>
        </w:rPr>
      </w:pPr>
    </w:p>
    <w:p w14:paraId="51C7664B" w14:textId="7D677A30" w:rsidR="008163DE" w:rsidRPr="003A42FB" w:rsidRDefault="61764510"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223B5">
        <w:rPr>
          <w:rFonts w:ascii="Times New Roman" w:eastAsiaTheme="minorEastAsia" w:hAnsi="Times New Roman" w:cs="Times New Roman"/>
          <w:b/>
          <w:bCs/>
          <w:sz w:val="24"/>
          <w:szCs w:val="24"/>
        </w:rPr>
        <w:t>344</w:t>
      </w:r>
      <w:r w:rsidRPr="003A42FB">
        <w:rPr>
          <w:rFonts w:ascii="Times New Roman" w:eastAsiaTheme="minorEastAsia" w:hAnsi="Times New Roman" w:cs="Times New Roman"/>
          <w:b/>
          <w:bCs/>
          <w:sz w:val="24"/>
          <w:szCs w:val="24"/>
        </w:rPr>
        <w:t xml:space="preserve"> </w:t>
      </w:r>
      <w:r w:rsidR="4191FD54" w:rsidRPr="003A42FB">
        <w:rPr>
          <w:rFonts w:ascii="Times New Roman" w:eastAsiaTheme="minorEastAsia" w:hAnsi="Times New Roman" w:cs="Times New Roman"/>
          <w:b/>
          <w:bCs/>
          <w:sz w:val="24"/>
          <w:szCs w:val="24"/>
        </w:rPr>
        <w:t xml:space="preserve">- </w:t>
      </w:r>
      <w:r w:rsidR="2B1C6231" w:rsidRPr="003A42FB">
        <w:rPr>
          <w:rFonts w:ascii="Times New Roman" w:eastAsiaTheme="minorEastAsia" w:hAnsi="Times New Roman" w:cs="Times New Roman"/>
          <w:b/>
          <w:bCs/>
          <w:sz w:val="24"/>
          <w:szCs w:val="24"/>
        </w:rPr>
        <w:t>u</w:t>
      </w:r>
      <w:r w:rsidR="008163DE" w:rsidRPr="003A42FB">
        <w:rPr>
          <w:rFonts w:ascii="Times New Roman" w:eastAsiaTheme="minorEastAsia" w:hAnsi="Times New Roman" w:cs="Times New Roman"/>
          <w:b/>
          <w:bCs/>
          <w:sz w:val="24"/>
          <w:szCs w:val="24"/>
        </w:rPr>
        <w:t xml:space="preserve">sługa </w:t>
      </w:r>
      <w:r w:rsidR="3D70EBB3" w:rsidRPr="003A42FB">
        <w:rPr>
          <w:rFonts w:ascii="Times New Roman" w:eastAsiaTheme="minorEastAsia" w:hAnsi="Times New Roman" w:cs="Times New Roman"/>
          <w:b/>
          <w:bCs/>
          <w:sz w:val="24"/>
          <w:szCs w:val="24"/>
        </w:rPr>
        <w:t>fakultatywnego</w:t>
      </w:r>
      <w:r w:rsidR="008163DE" w:rsidRPr="003A42FB">
        <w:rPr>
          <w:rFonts w:ascii="Times New Roman" w:eastAsiaTheme="minorEastAsia" w:hAnsi="Times New Roman" w:cs="Times New Roman"/>
          <w:b/>
          <w:bCs/>
          <w:sz w:val="24"/>
          <w:szCs w:val="24"/>
        </w:rPr>
        <w:t xml:space="preserve"> obcią</w:t>
      </w:r>
      <w:r w:rsidR="60384AC1" w:rsidRPr="003A42FB">
        <w:rPr>
          <w:rFonts w:ascii="Times New Roman" w:eastAsiaTheme="minorEastAsia" w:hAnsi="Times New Roman" w:cs="Times New Roman"/>
          <w:b/>
          <w:bCs/>
          <w:sz w:val="24"/>
          <w:szCs w:val="24"/>
        </w:rPr>
        <w:t>żania rachunku (direct billing)</w:t>
      </w:r>
    </w:p>
    <w:p w14:paraId="5C726EEE" w14:textId="5282175B" w:rsidR="000221CF" w:rsidRDefault="3DC48BF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9223B5">
        <w:rPr>
          <w:rFonts w:ascii="Times New Roman" w:eastAsiaTheme="minorEastAsia" w:hAnsi="Times New Roman" w:cs="Times New Roman"/>
          <w:sz w:val="24"/>
          <w:szCs w:val="24"/>
        </w:rPr>
        <w:t>344</w:t>
      </w:r>
      <w:r w:rsidRPr="003A42FB">
        <w:rPr>
          <w:rFonts w:ascii="Times New Roman" w:eastAsiaTheme="minorEastAsia" w:hAnsi="Times New Roman" w:cs="Times New Roman"/>
          <w:sz w:val="24"/>
          <w:szCs w:val="24"/>
        </w:rPr>
        <w:t xml:space="preserve"> dotyczy usługi</w:t>
      </w:r>
      <w:r w:rsidR="34EEDB76" w:rsidRPr="003A42FB">
        <w:rPr>
          <w:rFonts w:ascii="Times New Roman" w:eastAsiaTheme="minorEastAsia" w:hAnsi="Times New Roman" w:cs="Times New Roman"/>
          <w:sz w:val="24"/>
          <w:szCs w:val="24"/>
        </w:rPr>
        <w:t xml:space="preserve"> </w:t>
      </w:r>
      <w:r w:rsidR="37EE8B68" w:rsidRPr="003A42FB">
        <w:rPr>
          <w:rFonts w:ascii="Times New Roman" w:eastAsiaTheme="minorEastAsia" w:hAnsi="Times New Roman" w:cs="Times New Roman"/>
          <w:sz w:val="24"/>
          <w:szCs w:val="24"/>
        </w:rPr>
        <w:t>fakultatywnego</w:t>
      </w:r>
      <w:r w:rsidR="3400219B" w:rsidRPr="003A42FB">
        <w:rPr>
          <w:rFonts w:ascii="Times New Roman" w:eastAsiaTheme="minorEastAsia" w:hAnsi="Times New Roman" w:cs="Times New Roman"/>
          <w:sz w:val="24"/>
          <w:szCs w:val="24"/>
        </w:rPr>
        <w:t xml:space="preserve"> obciążenia rachunku, </w:t>
      </w:r>
      <w:r w:rsidRPr="003A42FB">
        <w:rPr>
          <w:rFonts w:ascii="Times New Roman" w:eastAsiaTheme="minorEastAsia" w:hAnsi="Times New Roman" w:cs="Times New Roman"/>
          <w:sz w:val="24"/>
          <w:szCs w:val="24"/>
        </w:rPr>
        <w:t xml:space="preserve">która dotychczas nie była regulowana w obowiązujących przepisach </w:t>
      </w:r>
      <w:r w:rsidR="5F590B22"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w:t>
      </w:r>
      <w:r w:rsidR="7B02E055" w:rsidRPr="003A42FB">
        <w:rPr>
          <w:rFonts w:ascii="Times New Roman" w:eastAsiaTheme="minorEastAsia" w:hAnsi="Times New Roman" w:cs="Times New Roman"/>
          <w:sz w:val="24"/>
          <w:szCs w:val="24"/>
        </w:rPr>
        <w:t xml:space="preserve">Usługa ta polega na umożliwieniu </w:t>
      </w:r>
      <w:r w:rsidR="7A7E5EAF" w:rsidRPr="003A42FB">
        <w:rPr>
          <w:rFonts w:ascii="Times New Roman" w:eastAsiaTheme="minorEastAsia" w:hAnsi="Times New Roman" w:cs="Times New Roman"/>
          <w:sz w:val="24"/>
          <w:szCs w:val="24"/>
        </w:rPr>
        <w:t xml:space="preserve">przez dostawcę usług </w:t>
      </w:r>
      <w:r w:rsidR="7B02E055" w:rsidRPr="003A42FB">
        <w:rPr>
          <w:rFonts w:ascii="Times New Roman" w:eastAsiaTheme="minorEastAsia" w:hAnsi="Times New Roman" w:cs="Times New Roman"/>
          <w:sz w:val="24"/>
          <w:szCs w:val="24"/>
        </w:rPr>
        <w:t>dokonywania płatności za aktywowane w sieci usługi, poprzez ich bezpośrednie doliczanie do rachunku</w:t>
      </w:r>
      <w:r w:rsidR="380247A7" w:rsidRPr="003A42FB">
        <w:rPr>
          <w:rFonts w:ascii="Times New Roman" w:eastAsiaTheme="minorEastAsia" w:hAnsi="Times New Roman" w:cs="Times New Roman"/>
          <w:sz w:val="24"/>
          <w:szCs w:val="24"/>
        </w:rPr>
        <w:t xml:space="preserve"> za świadczenie usług komunikacji elektronicznej</w:t>
      </w:r>
      <w:r w:rsidR="7B02E055" w:rsidRPr="003A42FB">
        <w:rPr>
          <w:rFonts w:ascii="Times New Roman" w:eastAsiaTheme="minorEastAsia" w:hAnsi="Times New Roman" w:cs="Times New Roman"/>
          <w:sz w:val="24"/>
          <w:szCs w:val="24"/>
        </w:rPr>
        <w:t xml:space="preserve">. </w:t>
      </w:r>
      <w:r w:rsidR="0F841BF0"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Direct billing pozwala zarówno na jednorazowy, jak i cykliczny dostęp do różnego rodzaju płatnych treści czy usług. Taka forma płatności jest dla użytkowników wygodnym rozwiązaniem pod warunkiem, że gwarantuje odpowiedni poziom bezpieczeństwa. W przypadku korzystania z internetu mobilnego zdarza się, że informacja </w:t>
      </w:r>
      <w:r w:rsidR="002F017D">
        <w:rPr>
          <w:rFonts w:ascii="Times New Roman" w:eastAsiaTheme="minorEastAsia" w:hAnsi="Times New Roman" w:cs="Times New Roman"/>
          <w:sz w:val="24"/>
          <w:szCs w:val="24"/>
        </w:rPr>
        <w:t>SMS</w:t>
      </w:r>
      <w:r w:rsidRPr="003A42FB">
        <w:rPr>
          <w:rFonts w:ascii="Times New Roman" w:eastAsiaTheme="minorEastAsia" w:hAnsi="Times New Roman" w:cs="Times New Roman"/>
          <w:sz w:val="24"/>
          <w:szCs w:val="24"/>
        </w:rPr>
        <w:t xml:space="preserve"> o rozpoczęciu korzystaniu z usług direct biling oraz odpłatności za usługi jest wysyłana na numer (kartę SIM), który jest zainstalowany w urządzeniu, które nie odczytuje wiadomości </w:t>
      </w:r>
      <w:r w:rsidR="002F017D">
        <w:rPr>
          <w:rFonts w:ascii="Times New Roman" w:eastAsiaTheme="minorEastAsia" w:hAnsi="Times New Roman" w:cs="Times New Roman"/>
          <w:sz w:val="24"/>
          <w:szCs w:val="24"/>
        </w:rPr>
        <w:t>SMS</w:t>
      </w:r>
      <w:r w:rsidRPr="003A42FB">
        <w:rPr>
          <w:rFonts w:ascii="Times New Roman" w:eastAsiaTheme="minorEastAsia" w:hAnsi="Times New Roman" w:cs="Times New Roman"/>
          <w:sz w:val="24"/>
          <w:szCs w:val="24"/>
        </w:rPr>
        <w:t>. Skutkiem takiej sytuacji jest obciążenie użytkownika kosztami usługi bez jego wiedzy.</w:t>
      </w:r>
      <w:r w:rsidR="002F017D">
        <w:rPr>
          <w:rFonts w:ascii="Times New Roman" w:eastAsiaTheme="minorEastAsia" w:hAnsi="Times New Roman" w:cs="Times New Roman"/>
          <w:sz w:val="24"/>
          <w:szCs w:val="24"/>
        </w:rPr>
        <w:t xml:space="preserve"> Jednocześnie zdarzają się również inne sytuacje, w których zgoda abonenta pozyskiwana jest w sposób niewłaściwy, gdzie abonent nie ma świadomości</w:t>
      </w:r>
      <w:r w:rsidR="00425222">
        <w:rPr>
          <w:rFonts w:ascii="Times New Roman" w:eastAsiaTheme="minorEastAsia" w:hAnsi="Times New Roman" w:cs="Times New Roman"/>
          <w:sz w:val="24"/>
          <w:szCs w:val="24"/>
        </w:rPr>
        <w:t>,</w:t>
      </w:r>
      <w:r w:rsidR="002F017D">
        <w:rPr>
          <w:rFonts w:ascii="Times New Roman" w:eastAsiaTheme="minorEastAsia" w:hAnsi="Times New Roman" w:cs="Times New Roman"/>
          <w:sz w:val="24"/>
          <w:szCs w:val="24"/>
        </w:rPr>
        <w:t xml:space="preserve"> z uwagi na brak odpowiednich informacji, że </w:t>
      </w:r>
      <w:r w:rsidR="00425222">
        <w:rPr>
          <w:rFonts w:ascii="Times New Roman" w:eastAsiaTheme="minorEastAsia" w:hAnsi="Times New Roman" w:cs="Times New Roman"/>
          <w:sz w:val="24"/>
          <w:szCs w:val="24"/>
        </w:rPr>
        <w:t>określone działanie poczytywane jest jako zgoda na płatność.</w:t>
      </w:r>
      <w:r w:rsidRPr="003A42FB">
        <w:rPr>
          <w:rFonts w:ascii="Times New Roman" w:eastAsiaTheme="minorEastAsia" w:hAnsi="Times New Roman" w:cs="Times New Roman"/>
          <w:sz w:val="24"/>
          <w:szCs w:val="24"/>
        </w:rPr>
        <w:t xml:space="preserve"> Mając na uwadze konieczność zabezpieczenia interesów </w:t>
      </w:r>
      <w:r w:rsidRPr="003A42FB">
        <w:rPr>
          <w:rFonts w:ascii="Times New Roman" w:eastAsiaTheme="minorEastAsia" w:hAnsi="Times New Roman" w:cs="Times New Roman"/>
          <w:sz w:val="24"/>
          <w:szCs w:val="24"/>
        </w:rPr>
        <w:lastRenderedPageBreak/>
        <w:t xml:space="preserve">abonentów projektowane przepisy przewidują wprowadzenie </w:t>
      </w:r>
      <w:r w:rsidR="007D3F36" w:rsidRPr="003A42FB">
        <w:rPr>
          <w:rFonts w:ascii="Times New Roman" w:eastAsiaTheme="minorEastAsia" w:hAnsi="Times New Roman" w:cs="Times New Roman"/>
          <w:sz w:val="24"/>
          <w:szCs w:val="24"/>
        </w:rPr>
        <w:t>obowiązku uzyskania zgody</w:t>
      </w:r>
      <w:r w:rsidRPr="003A42FB">
        <w:rPr>
          <w:rFonts w:ascii="Times New Roman" w:eastAsiaTheme="minorEastAsia" w:hAnsi="Times New Roman" w:cs="Times New Roman"/>
          <w:sz w:val="24"/>
          <w:szCs w:val="24"/>
        </w:rPr>
        <w:t xml:space="preserve"> dla świadczenia usług direct billing</w:t>
      </w:r>
      <w:r w:rsidR="007D3F36" w:rsidRPr="003A42FB">
        <w:rPr>
          <w:rFonts w:ascii="Times New Roman" w:eastAsiaTheme="minorEastAsia" w:hAnsi="Times New Roman" w:cs="Times New Roman"/>
          <w:sz w:val="24"/>
          <w:szCs w:val="24"/>
        </w:rPr>
        <w:t xml:space="preserve"> przed jej rozpoczęciem</w:t>
      </w:r>
      <w:r w:rsidRPr="003A42FB">
        <w:rPr>
          <w:rFonts w:ascii="Times New Roman" w:eastAsiaTheme="minorEastAsia" w:hAnsi="Times New Roman" w:cs="Times New Roman"/>
          <w:sz w:val="24"/>
          <w:szCs w:val="24"/>
        </w:rPr>
        <w:t xml:space="preserve">. Oznacza to, że uruchomienie tej usługi możliwe jest jedynie w przypadku wyrażenia przez abonenta uprzedniej zgody na trwałym nośniku. </w:t>
      </w:r>
      <w:r w:rsidR="007D3F36" w:rsidRPr="003A42FB">
        <w:rPr>
          <w:rFonts w:ascii="Times New Roman" w:eastAsiaTheme="minorEastAsia" w:hAnsi="Times New Roman" w:cs="Times New Roman"/>
          <w:sz w:val="24"/>
          <w:szCs w:val="24"/>
        </w:rPr>
        <w:t xml:space="preserve">Zgoda może być wyrażona poprzez wskazanie progu kwotowego spośród oferowanych przez dostawcę usług </w:t>
      </w:r>
      <w:r w:rsidRPr="003A42FB">
        <w:rPr>
          <w:rFonts w:ascii="Times New Roman" w:eastAsiaTheme="minorEastAsia" w:hAnsi="Times New Roman" w:cs="Times New Roman"/>
          <w:sz w:val="24"/>
          <w:szCs w:val="24"/>
        </w:rPr>
        <w:t xml:space="preserve">dla każdego okresu rozliczeniowego, a w przypadku jego braku - dla każdego miesiąca kalendarzowego. Dostawca usług ma obowiązek zaoferować co najmniej </w:t>
      </w:r>
      <w:r w:rsidR="007D3F36"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takie progi: </w:t>
      </w:r>
      <w:r w:rsidR="007D3F36" w:rsidRPr="003A42FB">
        <w:rPr>
          <w:rFonts w:ascii="Times New Roman" w:eastAsiaTheme="minorEastAsia" w:hAnsi="Times New Roman" w:cs="Times New Roman"/>
          <w:sz w:val="24"/>
          <w:szCs w:val="24"/>
        </w:rPr>
        <w:t xml:space="preserve">0, </w:t>
      </w:r>
      <w:r w:rsidRPr="003A42FB">
        <w:rPr>
          <w:rFonts w:ascii="Times New Roman" w:eastAsiaTheme="minorEastAsia" w:hAnsi="Times New Roman" w:cs="Times New Roman"/>
          <w:sz w:val="24"/>
          <w:szCs w:val="24"/>
        </w:rPr>
        <w:t>35,</w:t>
      </w:r>
      <w:r w:rsidR="007D3F36" w:rsidRPr="003A42FB">
        <w:rPr>
          <w:rFonts w:ascii="Times New Roman" w:eastAsiaTheme="minorEastAsia" w:hAnsi="Times New Roman" w:cs="Times New Roman"/>
          <w:sz w:val="24"/>
          <w:szCs w:val="24"/>
        </w:rPr>
        <w:t xml:space="preserve"> 70 i</w:t>
      </w:r>
      <w:r w:rsidRPr="003A42FB">
        <w:rPr>
          <w:rFonts w:ascii="Times New Roman" w:eastAsiaTheme="minorEastAsia" w:hAnsi="Times New Roman" w:cs="Times New Roman"/>
          <w:sz w:val="24"/>
          <w:szCs w:val="24"/>
        </w:rPr>
        <w:t xml:space="preserve"> 100  złotych. W przypadku gdy abonent nie określi progu kwotowego wyniesie on </w:t>
      </w:r>
      <w:r w:rsidR="007D3F36" w:rsidRPr="003A42FB">
        <w:rPr>
          <w:rFonts w:ascii="Times New Roman" w:eastAsiaTheme="minorEastAsia" w:hAnsi="Times New Roman" w:cs="Times New Roman"/>
          <w:sz w:val="24"/>
          <w:szCs w:val="24"/>
        </w:rPr>
        <w:t>70</w:t>
      </w:r>
      <w:r w:rsidRPr="003A42FB">
        <w:rPr>
          <w:rFonts w:ascii="Times New Roman" w:eastAsiaTheme="minorEastAsia" w:hAnsi="Times New Roman" w:cs="Times New Roman"/>
          <w:sz w:val="24"/>
          <w:szCs w:val="24"/>
        </w:rPr>
        <w:t xml:space="preserve"> złotych. Jednocześnie w momencie osiągnięcia progu kwotowego abonent otrzyma informację o tym fakcie, a możliwość dalszego nabycia towarów i usług, które miałyby być objęte usługą </w:t>
      </w:r>
      <w:r w:rsidR="00F07FD5" w:rsidRPr="003A42FB">
        <w:rPr>
          <w:rFonts w:ascii="Times New Roman" w:eastAsiaTheme="minorEastAsia" w:hAnsi="Times New Roman" w:cs="Times New Roman"/>
          <w:sz w:val="24"/>
          <w:szCs w:val="24"/>
        </w:rPr>
        <w:t>fakultatywnego</w:t>
      </w:r>
      <w:r w:rsidRPr="003A42FB">
        <w:rPr>
          <w:rFonts w:ascii="Times New Roman" w:eastAsiaTheme="minorEastAsia" w:hAnsi="Times New Roman" w:cs="Times New Roman"/>
          <w:sz w:val="24"/>
          <w:szCs w:val="24"/>
        </w:rPr>
        <w:t xml:space="preserve"> obciążania rachunku zostanie zablokowana. Mechanizm informowania o przekroczeniu progu w przypadku abonentów stacjonarnych usług głosowych został przyjęty na wzór mechanizmu funkcjonującego już w przypadku usług premium rate - obowiązek informowania uważa się za zrealizowany, jeżeli dostawca wykonał co najmniej trzy próby połączenia z abonentem w ciągu 24 godzin od momentu osiągnięcia progu kwotowego. </w:t>
      </w:r>
      <w:r w:rsidR="000221CF" w:rsidRPr="003A42FB">
        <w:rPr>
          <w:rFonts w:ascii="Times New Roman" w:eastAsiaTheme="minorEastAsia" w:hAnsi="Times New Roman" w:cs="Times New Roman"/>
          <w:sz w:val="24"/>
          <w:szCs w:val="24"/>
        </w:rPr>
        <w:t xml:space="preserve">Abonent w celu odblokowania usług w danym okresie </w:t>
      </w:r>
      <w:r w:rsidR="0046748A" w:rsidRPr="003A42FB">
        <w:rPr>
          <w:rFonts w:ascii="Times New Roman" w:eastAsiaTheme="minorEastAsia" w:hAnsi="Times New Roman" w:cs="Times New Roman"/>
          <w:sz w:val="24"/>
          <w:szCs w:val="24"/>
        </w:rPr>
        <w:t>rozliczeniowym</w:t>
      </w:r>
      <w:r w:rsidR="000221CF" w:rsidRPr="003A42FB">
        <w:rPr>
          <w:rFonts w:ascii="Times New Roman" w:eastAsiaTheme="minorEastAsia" w:hAnsi="Times New Roman" w:cs="Times New Roman"/>
          <w:sz w:val="24"/>
          <w:szCs w:val="24"/>
        </w:rPr>
        <w:t xml:space="preserve"> musi okre</w:t>
      </w:r>
      <w:r w:rsidR="0046748A" w:rsidRPr="003A42FB">
        <w:rPr>
          <w:rFonts w:ascii="Times New Roman" w:eastAsiaTheme="minorEastAsia" w:hAnsi="Times New Roman" w:cs="Times New Roman"/>
          <w:sz w:val="24"/>
          <w:szCs w:val="24"/>
        </w:rPr>
        <w:t>ślić wyższy próg.</w:t>
      </w:r>
    </w:p>
    <w:p w14:paraId="1D8F4741" w14:textId="7D850C4D" w:rsidR="00821038" w:rsidRPr="00821038" w:rsidRDefault="00615B9B"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Nale</w:t>
      </w:r>
      <w:r w:rsidR="0021373F">
        <w:rPr>
          <w:rFonts w:ascii="Times New Roman" w:eastAsiaTheme="minorEastAsia" w:hAnsi="Times New Roman" w:cs="Times New Roman"/>
          <w:sz w:val="24"/>
          <w:szCs w:val="24"/>
        </w:rPr>
        <w:t>ży zaznaczyć, że Pke pozostaje bez uszczerbku</w:t>
      </w:r>
      <w:r w:rsidR="00C62317">
        <w:rPr>
          <w:rFonts w:ascii="Times New Roman" w:eastAsiaTheme="minorEastAsia" w:hAnsi="Times New Roman" w:cs="Times New Roman"/>
          <w:sz w:val="24"/>
          <w:szCs w:val="24"/>
        </w:rPr>
        <w:t xml:space="preserve"> dla obowiązujących przepisów regulujących kwestie podatkowe. </w:t>
      </w:r>
    </w:p>
    <w:p w14:paraId="7A1D3EE8" w14:textId="5F43F97E" w:rsidR="0001231E" w:rsidRPr="003A42FB" w:rsidRDefault="00A24D71" w:rsidP="001A60C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9223B5">
        <w:rPr>
          <w:rFonts w:ascii="Times New Roman" w:eastAsiaTheme="minorEastAsia" w:hAnsi="Times New Roman" w:cs="Times New Roman"/>
          <w:b/>
          <w:sz w:val="24"/>
          <w:szCs w:val="24"/>
        </w:rPr>
        <w:t>345</w:t>
      </w:r>
      <w:r w:rsidR="0001231E" w:rsidRPr="003A42FB">
        <w:rPr>
          <w:rFonts w:ascii="Times New Roman" w:eastAsiaTheme="minorEastAsia" w:hAnsi="Times New Roman" w:cs="Times New Roman"/>
          <w:b/>
          <w:sz w:val="24"/>
          <w:szCs w:val="24"/>
        </w:rPr>
        <w:t xml:space="preserve"> uwierzytelnianie </w:t>
      </w:r>
      <w:r w:rsidR="0001231E" w:rsidRPr="003A42FB">
        <w:rPr>
          <w:rFonts w:ascii="Times New Roman" w:eastAsiaTheme="minorEastAsia" w:hAnsi="Times New Roman" w:cs="Times New Roman"/>
          <w:b/>
          <w:bCs/>
          <w:sz w:val="24"/>
          <w:szCs w:val="24"/>
        </w:rPr>
        <w:t>usług</w:t>
      </w:r>
      <w:r w:rsidR="0058175A" w:rsidRPr="003A42FB">
        <w:rPr>
          <w:rFonts w:ascii="Times New Roman" w:eastAsiaTheme="minorEastAsia" w:hAnsi="Times New Roman" w:cs="Times New Roman"/>
          <w:b/>
          <w:bCs/>
          <w:sz w:val="24"/>
          <w:szCs w:val="24"/>
        </w:rPr>
        <w:t>i</w:t>
      </w:r>
      <w:r w:rsidR="0001231E" w:rsidRPr="003A42FB">
        <w:rPr>
          <w:rFonts w:ascii="Times New Roman" w:eastAsiaTheme="minorEastAsia" w:hAnsi="Times New Roman" w:cs="Times New Roman"/>
          <w:b/>
          <w:bCs/>
          <w:sz w:val="24"/>
          <w:szCs w:val="24"/>
        </w:rPr>
        <w:t xml:space="preserve"> fakultatywnego obciążania rachunku </w:t>
      </w:r>
    </w:p>
    <w:p w14:paraId="7648122C" w14:textId="4DC73362" w:rsidR="001A60CB" w:rsidRPr="003A42FB" w:rsidRDefault="3DC48BFF" w:rsidP="001A60C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 xml:space="preserve">Niezależnie od uzyskania generalnej zgody na rozliczanie usług w oparciu o usługę </w:t>
      </w:r>
      <w:r w:rsidR="00F07FD5" w:rsidRPr="003A42FB">
        <w:rPr>
          <w:rFonts w:ascii="Times New Roman" w:eastAsiaTheme="minorEastAsia" w:hAnsi="Times New Roman" w:cs="Times New Roman"/>
          <w:sz w:val="24"/>
          <w:szCs w:val="24"/>
        </w:rPr>
        <w:t>fakultatywnego</w:t>
      </w:r>
      <w:r w:rsidRPr="003A42FB">
        <w:rPr>
          <w:rFonts w:ascii="Times New Roman" w:eastAsiaTheme="minorEastAsia" w:hAnsi="Times New Roman" w:cs="Times New Roman"/>
          <w:sz w:val="24"/>
          <w:szCs w:val="24"/>
        </w:rPr>
        <w:t xml:space="preserve"> obciążania rachunku dostawca usług ma obowiązek </w:t>
      </w:r>
      <w:r w:rsidR="42E9FE28" w:rsidRPr="003A42FB">
        <w:rPr>
          <w:rFonts w:ascii="Times New Roman" w:eastAsia="Times New Roman" w:hAnsi="Times New Roman" w:cs="Times New Roman"/>
          <w:sz w:val="24"/>
          <w:szCs w:val="24"/>
        </w:rPr>
        <w:t xml:space="preserve">stosować </w:t>
      </w:r>
      <w:r w:rsidR="00F07FD5" w:rsidRPr="003A42FB">
        <w:rPr>
          <w:rFonts w:ascii="Times New Roman" w:eastAsia="Times New Roman" w:hAnsi="Times New Roman" w:cs="Times New Roman"/>
          <w:sz w:val="24"/>
          <w:szCs w:val="24"/>
        </w:rPr>
        <w:t xml:space="preserve">dla każdego fakultatywnego obciążania rachunku autoryzację transakcji w oparciu o </w:t>
      </w:r>
      <w:r w:rsidR="00BB7AA4" w:rsidRPr="003A42FB">
        <w:rPr>
          <w:rFonts w:ascii="Times New Roman" w:eastAsia="Times New Roman" w:hAnsi="Times New Roman" w:cs="Times New Roman"/>
          <w:sz w:val="24"/>
          <w:szCs w:val="24"/>
        </w:rPr>
        <w:t>jeden</w:t>
      </w:r>
      <w:r w:rsidR="00F07FD5" w:rsidRPr="003A42FB">
        <w:rPr>
          <w:rFonts w:ascii="Times New Roman" w:eastAsia="Times New Roman" w:hAnsi="Times New Roman" w:cs="Times New Roman"/>
          <w:sz w:val="24"/>
          <w:szCs w:val="24"/>
        </w:rPr>
        <w:t xml:space="preserve"> spośród następujących elementów: </w:t>
      </w:r>
      <w:r w:rsidR="00F07FD5" w:rsidRPr="003A42FB">
        <w:rPr>
          <w:rFonts w:ascii="Times New Roman" w:eastAsia="Times New Roman" w:hAnsi="Times New Roman" w:cs="Times New Roman"/>
          <w:bCs/>
          <w:sz w:val="24"/>
          <w:szCs w:val="24"/>
        </w:rPr>
        <w:t xml:space="preserve">a) </w:t>
      </w:r>
      <w:r w:rsidR="00F07FD5" w:rsidRPr="003A42FB">
        <w:rPr>
          <w:rFonts w:ascii="Times New Roman" w:eastAsia="Times New Roman" w:hAnsi="Times New Roman" w:cs="Times New Roman"/>
          <w:sz w:val="24"/>
          <w:szCs w:val="24"/>
        </w:rPr>
        <w:t>wiedza o czymś, o czym wie wyłącznie abonent;</w:t>
      </w:r>
      <w:r w:rsidR="00F07FD5" w:rsidRPr="003A42FB">
        <w:rPr>
          <w:rFonts w:ascii="Times New Roman" w:eastAsia="Times New Roman" w:hAnsi="Times New Roman" w:cs="Times New Roman"/>
          <w:bCs/>
          <w:sz w:val="24"/>
          <w:szCs w:val="24"/>
        </w:rPr>
        <w:t xml:space="preserve"> b) </w:t>
      </w:r>
      <w:r w:rsidR="00F07FD5" w:rsidRPr="003A42FB">
        <w:rPr>
          <w:rFonts w:ascii="Times New Roman" w:eastAsia="Times New Roman" w:hAnsi="Times New Roman" w:cs="Times New Roman"/>
          <w:sz w:val="24"/>
          <w:szCs w:val="24"/>
        </w:rPr>
        <w:t xml:space="preserve">posiadanie czegoś, co posiada wyłącznie abonent; </w:t>
      </w:r>
      <w:r w:rsidR="00F07FD5" w:rsidRPr="003A42FB">
        <w:rPr>
          <w:rFonts w:ascii="Times New Roman" w:eastAsia="Times New Roman" w:hAnsi="Times New Roman" w:cs="Times New Roman"/>
          <w:bCs/>
          <w:sz w:val="24"/>
          <w:szCs w:val="24"/>
        </w:rPr>
        <w:t>c)</w:t>
      </w:r>
      <w:r w:rsidR="00F07FD5" w:rsidRPr="003A42FB">
        <w:rPr>
          <w:rFonts w:ascii="Times New Roman" w:eastAsia="Times New Roman" w:hAnsi="Times New Roman" w:cs="Times New Roman"/>
          <w:b/>
          <w:bCs/>
          <w:sz w:val="24"/>
          <w:szCs w:val="24"/>
        </w:rPr>
        <w:t xml:space="preserve"> </w:t>
      </w:r>
      <w:r w:rsidR="00F07FD5" w:rsidRPr="003A42FB">
        <w:rPr>
          <w:rFonts w:ascii="Times New Roman" w:eastAsia="Times New Roman" w:hAnsi="Times New Roman" w:cs="Times New Roman"/>
          <w:sz w:val="24"/>
          <w:szCs w:val="24"/>
        </w:rPr>
        <w:t xml:space="preserve">cechy charakterystyczne abonenta. Przepis ten pozostaje bez uszczerbku dla innych ustaw, które przewidują wyższy poziom autoryzacji. </w:t>
      </w:r>
      <w:r w:rsidR="45ED7A68" w:rsidRPr="003A42FB">
        <w:rPr>
          <w:rFonts w:ascii="Times New Roman" w:eastAsia="Times New Roman" w:hAnsi="Times New Roman" w:cs="Times New Roman"/>
          <w:sz w:val="24"/>
          <w:szCs w:val="24"/>
        </w:rPr>
        <w:t xml:space="preserve"> </w:t>
      </w:r>
      <w:r w:rsidR="00F07FD5" w:rsidRPr="003A42FB">
        <w:rPr>
          <w:rFonts w:ascii="Times New Roman" w:eastAsia="Times New Roman" w:hAnsi="Times New Roman" w:cs="Times New Roman"/>
          <w:sz w:val="24"/>
          <w:szCs w:val="24"/>
        </w:rPr>
        <w:t>Przykładem autoryzacji we wskazany wyżej sposób jest</w:t>
      </w:r>
      <w:r w:rsidR="45ED7A68" w:rsidRPr="003A42FB">
        <w:rPr>
          <w:rFonts w:ascii="Times New Roman" w:eastAsia="Times New Roman" w:hAnsi="Times New Roman" w:cs="Times New Roman"/>
          <w:sz w:val="24"/>
          <w:szCs w:val="24"/>
        </w:rPr>
        <w:t xml:space="preserve"> wpisanie przez abonenta otrzymanego kodu weryfikacyjnego. </w:t>
      </w:r>
      <w:r w:rsidR="42E9FE28" w:rsidRPr="003A42FB">
        <w:rPr>
          <w:rFonts w:ascii="Times New Roman" w:eastAsia="Times New Roman" w:hAnsi="Times New Roman" w:cs="Times New Roman"/>
          <w:sz w:val="24"/>
          <w:szCs w:val="24"/>
        </w:rPr>
        <w:t>W przypadku subskrypcji uwierzytelnienie może dotyczyć więcej niż jednego dodatkowego obciążenia rachunku.</w:t>
      </w:r>
      <w:r w:rsidR="0046748A" w:rsidRPr="003A42FB">
        <w:rPr>
          <w:rFonts w:ascii="Times New Roman" w:eastAsia="Times New Roman" w:hAnsi="Times New Roman" w:cs="Times New Roman"/>
          <w:sz w:val="24"/>
          <w:szCs w:val="24"/>
        </w:rPr>
        <w:t xml:space="preserve"> </w:t>
      </w:r>
      <w:r w:rsidR="001A60CB" w:rsidRPr="003A42FB">
        <w:rPr>
          <w:rFonts w:ascii="Times New Roman" w:eastAsiaTheme="minorEastAsia" w:hAnsi="Times New Roman" w:cs="Times New Roman"/>
          <w:sz w:val="24"/>
          <w:szCs w:val="24"/>
        </w:rPr>
        <w:t>Jednocześnie dostawca usług umożliwia bezpłatn</w:t>
      </w:r>
      <w:r w:rsidR="0046748A" w:rsidRPr="003A42FB">
        <w:rPr>
          <w:rFonts w:ascii="Times New Roman" w:eastAsiaTheme="minorEastAsia" w:hAnsi="Times New Roman" w:cs="Times New Roman"/>
          <w:sz w:val="24"/>
          <w:szCs w:val="24"/>
        </w:rPr>
        <w:t>ą,</w:t>
      </w:r>
      <w:r w:rsidR="001A60CB" w:rsidRPr="003A42FB">
        <w:rPr>
          <w:rFonts w:ascii="Times New Roman" w:eastAsiaTheme="minorEastAsia" w:hAnsi="Times New Roman" w:cs="Times New Roman"/>
          <w:sz w:val="24"/>
          <w:szCs w:val="24"/>
        </w:rPr>
        <w:t xml:space="preserve"> skuteczn</w:t>
      </w:r>
      <w:r w:rsidR="0046748A" w:rsidRPr="003A42FB">
        <w:rPr>
          <w:rFonts w:ascii="Times New Roman" w:eastAsiaTheme="minorEastAsia" w:hAnsi="Times New Roman" w:cs="Times New Roman"/>
          <w:sz w:val="24"/>
          <w:szCs w:val="24"/>
        </w:rPr>
        <w:t>ą</w:t>
      </w:r>
      <w:r w:rsidR="001A60CB" w:rsidRPr="003A42FB">
        <w:rPr>
          <w:rFonts w:ascii="Times New Roman" w:eastAsiaTheme="minorEastAsia" w:hAnsi="Times New Roman" w:cs="Times New Roman"/>
          <w:sz w:val="24"/>
          <w:szCs w:val="24"/>
        </w:rPr>
        <w:t xml:space="preserve"> i natychmiastow</w:t>
      </w:r>
      <w:r w:rsidR="0046748A" w:rsidRPr="003A42FB">
        <w:rPr>
          <w:rFonts w:ascii="Times New Roman" w:eastAsiaTheme="minorEastAsia" w:hAnsi="Times New Roman" w:cs="Times New Roman"/>
          <w:sz w:val="24"/>
          <w:szCs w:val="24"/>
        </w:rPr>
        <w:t>ą rezygnację</w:t>
      </w:r>
      <w:r w:rsidR="00A24D71" w:rsidRPr="003A42FB">
        <w:rPr>
          <w:rFonts w:ascii="Times New Roman" w:eastAsiaTheme="minorEastAsia" w:hAnsi="Times New Roman" w:cs="Times New Roman"/>
          <w:sz w:val="24"/>
          <w:szCs w:val="24"/>
        </w:rPr>
        <w:t xml:space="preserve"> z konkretnej </w:t>
      </w:r>
      <w:r w:rsidR="001A60CB" w:rsidRPr="003A42FB">
        <w:rPr>
          <w:rFonts w:ascii="Times New Roman" w:eastAsiaTheme="minorEastAsia" w:hAnsi="Times New Roman" w:cs="Times New Roman"/>
          <w:sz w:val="24"/>
          <w:szCs w:val="24"/>
        </w:rPr>
        <w:t xml:space="preserve">usługi </w:t>
      </w:r>
      <w:r w:rsidR="00F07FD5" w:rsidRPr="003A42FB">
        <w:rPr>
          <w:rFonts w:ascii="Times New Roman" w:eastAsiaTheme="minorEastAsia" w:hAnsi="Times New Roman" w:cs="Times New Roman"/>
          <w:sz w:val="24"/>
          <w:szCs w:val="24"/>
        </w:rPr>
        <w:t xml:space="preserve">fakultatywnego </w:t>
      </w:r>
      <w:r w:rsidR="001A60CB" w:rsidRPr="003A42FB">
        <w:rPr>
          <w:rFonts w:ascii="Times New Roman" w:eastAsiaTheme="minorEastAsia" w:hAnsi="Times New Roman" w:cs="Times New Roman"/>
          <w:sz w:val="24"/>
          <w:szCs w:val="24"/>
        </w:rPr>
        <w:t>obciążania rachunku.</w:t>
      </w:r>
    </w:p>
    <w:p w14:paraId="3FC1DE75" w14:textId="6E0B23EB" w:rsidR="00221330" w:rsidRPr="003A42FB" w:rsidRDefault="0B9150D4"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223B5">
        <w:rPr>
          <w:rFonts w:ascii="Times New Roman" w:eastAsiaTheme="minorEastAsia" w:hAnsi="Times New Roman" w:cs="Times New Roman"/>
          <w:b/>
          <w:bCs/>
          <w:sz w:val="24"/>
          <w:szCs w:val="24"/>
        </w:rPr>
        <w:t>346</w:t>
      </w:r>
      <w:r w:rsidR="00D81F0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3C4F69C5" w:rsidRPr="003A42FB">
        <w:rPr>
          <w:rFonts w:ascii="Times New Roman" w:eastAsiaTheme="minorEastAsia" w:hAnsi="Times New Roman" w:cs="Times New Roman"/>
          <w:b/>
          <w:bCs/>
          <w:sz w:val="24"/>
          <w:szCs w:val="24"/>
        </w:rPr>
        <w:t>w</w:t>
      </w:r>
      <w:r w:rsidR="566EAACD" w:rsidRPr="003A42FB">
        <w:rPr>
          <w:rFonts w:ascii="Times New Roman" w:eastAsiaTheme="minorEastAsia" w:hAnsi="Times New Roman" w:cs="Times New Roman"/>
          <w:b/>
          <w:bCs/>
          <w:sz w:val="24"/>
          <w:szCs w:val="24"/>
        </w:rPr>
        <w:t>ykaz wykonanych usług</w:t>
      </w:r>
    </w:p>
    <w:p w14:paraId="03E35899" w14:textId="607A6E51"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9223B5">
        <w:rPr>
          <w:rFonts w:ascii="Times New Roman" w:eastAsiaTheme="minorEastAsia" w:hAnsi="Times New Roman" w:cs="Times New Roman"/>
          <w:sz w:val="24"/>
          <w:szCs w:val="24"/>
        </w:rPr>
        <w:t>346</w:t>
      </w:r>
      <w:r w:rsidRPr="003A42FB">
        <w:rPr>
          <w:rFonts w:ascii="Times New Roman" w:eastAsiaTheme="minorEastAsia" w:hAnsi="Times New Roman" w:cs="Times New Roman"/>
          <w:sz w:val="24"/>
          <w:szCs w:val="24"/>
        </w:rPr>
        <w:t xml:space="preserve"> dotyczy uprawnienia abonenta do otrzymania podstawowego wykazu usług i stanowi implementację lit. a części A załącznika VI EKŁE. </w:t>
      </w:r>
      <w:r w:rsidR="3C62AAB9" w:rsidRPr="003A42FB">
        <w:rPr>
          <w:rFonts w:ascii="Times New Roman" w:eastAsiaTheme="minorEastAsia" w:hAnsi="Times New Roman" w:cs="Times New Roman"/>
          <w:sz w:val="24"/>
          <w:szCs w:val="24"/>
        </w:rPr>
        <w:t xml:space="preserve">Uprawnienie do otrzymania wykazu wykonanych usług jest zawarte również w Pt. </w:t>
      </w:r>
    </w:p>
    <w:p w14:paraId="66A82E3A" w14:textId="6E7150D0"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Obowiązek ten dotyczy dostawców usług dostępu do internetu i publicznie dostępnych usług komunikacji interpersonalnej wykorzystujących numery. Przedmiotem obowiązku jest nieodpłatne doręczania z każdą fakturą podstawowego wykazu wykonanych usług obejmującego informację o liczbie jednostek rozliczeniowych odpowiadającej wartości usług wykorzystanych przez abonenta. W wykazie uwzględniane są wyłącznie płatne usługi.</w:t>
      </w:r>
    </w:p>
    <w:p w14:paraId="2AC1238D" w14:textId="53E70A44"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2 reguluje kwestię doręczania wykazu abonentowi usługi przedpłaconej świadczonej w ruchomej publicznej sieci telekomunikacyjnej. Warunkiem otrzymania wykazu, odmiennie niż w przypadku abonentów postpaid, jest złożenie żądania oraz udostępnienie danych kontaktowych. Obowiązek dotyczy wyłącznie usługi wykonanej po złożeniu żądania. Pierwszy wykaz jest doręczany abonentowi w terminie 14 dni od dnia złożenia przez niego żądania, a każdy kolejny w terminie do 10. dnia miesiąca kalendarzowego. </w:t>
      </w:r>
    </w:p>
    <w:p w14:paraId="3E8E8A41" w14:textId="5A6DB482" w:rsidR="001A60CB"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3 obejmuje obowiązek uwzględniania w podstawowym wykazie wykonanych usług, w odniesieniu do usług świadczonych konsumentom, również informacji o usługach z </w:t>
      </w:r>
      <w:r w:rsidRPr="003A42FB">
        <w:rPr>
          <w:rFonts w:ascii="Times New Roman" w:eastAsiaTheme="minorEastAsia" w:hAnsi="Times New Roman" w:cs="Times New Roman"/>
          <w:sz w:val="24"/>
          <w:szCs w:val="24"/>
        </w:rPr>
        <w:lastRenderedPageBreak/>
        <w:t>dodatkowym świadczeniem. Informacje te dotyczą numeru wykorzystywanego do świadczenia usługi, strony BIP UKE, na której zamieszczony jest rejestr usług z dodatkowym świadczeniem, pouczenia o możliwości złożenia żądania zablokowania usług z dodatkowym świadczeniem.</w:t>
      </w:r>
    </w:p>
    <w:p w14:paraId="49343DC2" w14:textId="6181C1AC" w:rsidR="001A60CB" w:rsidRPr="003A42FB" w:rsidRDefault="006547EC" w:rsidP="00C53EAB">
      <w:pPr>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Zgodnie z ust.</w:t>
      </w:r>
      <w:r w:rsidR="001A60CB" w:rsidRPr="003A42FB">
        <w:rPr>
          <w:rFonts w:ascii="Times New Roman" w:eastAsiaTheme="minorEastAsia" w:hAnsi="Times New Roman" w:cs="Times New Roman"/>
          <w:sz w:val="24"/>
          <w:szCs w:val="24"/>
        </w:rPr>
        <w:t xml:space="preserve"> 4 w celu zapewnienia abonentowi informacji o kosztach korzystania z usług nabywanych w drodze usługi </w:t>
      </w:r>
      <w:r w:rsidR="00F07FD5" w:rsidRPr="003A42FB">
        <w:rPr>
          <w:rFonts w:ascii="Times New Roman" w:eastAsiaTheme="minorEastAsia" w:hAnsi="Times New Roman" w:cs="Times New Roman"/>
          <w:sz w:val="24"/>
          <w:szCs w:val="24"/>
        </w:rPr>
        <w:t>fakultatywnego</w:t>
      </w:r>
      <w:r w:rsidR="001A60CB" w:rsidRPr="003A42FB">
        <w:rPr>
          <w:rFonts w:ascii="Times New Roman" w:eastAsiaTheme="minorEastAsia" w:hAnsi="Times New Roman" w:cs="Times New Roman"/>
          <w:sz w:val="24"/>
          <w:szCs w:val="24"/>
        </w:rPr>
        <w:t xml:space="preserve"> obciążania rachunku dostawca usług zamieszcza na fakturze informację o wartości nabytych poszczególnych towarów lub usług. Natomiast w celu umożliwienia identyfikacji podmiotu będącego dostawcą nabywanych towarów i usług np. na potrzeby składania reklamacji, na fakturze ma być również wskazana nazwa lub firma podmiotu, od którego abonent nabył towary lub usługi.</w:t>
      </w:r>
    </w:p>
    <w:p w14:paraId="22549B93" w14:textId="69238B7E" w:rsidR="00221330" w:rsidRPr="003A42FB" w:rsidRDefault="7BF3B578"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223B5">
        <w:rPr>
          <w:rFonts w:ascii="Times New Roman" w:eastAsiaTheme="minorEastAsia" w:hAnsi="Times New Roman" w:cs="Times New Roman"/>
          <w:b/>
          <w:bCs/>
          <w:sz w:val="24"/>
          <w:szCs w:val="24"/>
        </w:rPr>
        <w:t>347</w:t>
      </w:r>
      <w:r w:rsidRPr="003A42FB">
        <w:rPr>
          <w:rFonts w:ascii="Times New Roman" w:eastAsiaTheme="minorEastAsia" w:hAnsi="Times New Roman" w:cs="Times New Roman"/>
          <w:b/>
          <w:bCs/>
          <w:sz w:val="24"/>
          <w:szCs w:val="24"/>
        </w:rPr>
        <w:t xml:space="preserve"> - </w:t>
      </w:r>
      <w:r w:rsidR="46A0C9B1" w:rsidRPr="003A42FB">
        <w:rPr>
          <w:rFonts w:ascii="Times New Roman" w:eastAsiaTheme="minorEastAsia" w:hAnsi="Times New Roman" w:cs="Times New Roman"/>
          <w:b/>
          <w:bCs/>
          <w:sz w:val="24"/>
          <w:szCs w:val="24"/>
        </w:rPr>
        <w:t>s</w:t>
      </w:r>
      <w:r w:rsidR="566EAACD" w:rsidRPr="003A42FB">
        <w:rPr>
          <w:rFonts w:ascii="Times New Roman" w:eastAsiaTheme="minorEastAsia" w:hAnsi="Times New Roman" w:cs="Times New Roman"/>
          <w:b/>
          <w:bCs/>
          <w:sz w:val="24"/>
          <w:szCs w:val="24"/>
        </w:rPr>
        <w:t>zczegółowy wykaz wykonanych usług</w:t>
      </w:r>
    </w:p>
    <w:p w14:paraId="7E0DFA44" w14:textId="0AC07D61"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9223B5">
        <w:rPr>
          <w:rFonts w:ascii="Times New Roman" w:eastAsiaTheme="minorEastAsia" w:hAnsi="Times New Roman" w:cs="Times New Roman"/>
          <w:sz w:val="24"/>
          <w:szCs w:val="24"/>
        </w:rPr>
        <w:t>347</w:t>
      </w:r>
      <w:r w:rsidRPr="003A42FB">
        <w:rPr>
          <w:rFonts w:ascii="Times New Roman" w:eastAsiaTheme="minorEastAsia" w:hAnsi="Times New Roman" w:cs="Times New Roman"/>
          <w:sz w:val="24"/>
          <w:szCs w:val="24"/>
        </w:rPr>
        <w:t xml:space="preserve"> dotyczy uprawnienia abonenta korzystającego z publicznie dostępnych usług komunikacji interpersonalnej do żądania doręczenia mu szczegółowego wykazu wykonanych usług i stanowi implementację lit. a części A załącznika VI. </w:t>
      </w:r>
      <w:r w:rsidR="4A671990" w:rsidRPr="003A42FB">
        <w:rPr>
          <w:rFonts w:ascii="Times New Roman" w:eastAsiaTheme="minorEastAsia" w:hAnsi="Times New Roman" w:cs="Times New Roman"/>
          <w:sz w:val="24"/>
          <w:szCs w:val="24"/>
        </w:rPr>
        <w:t xml:space="preserve">Uprawnienie to wynika również z obowiązującego Pt. </w:t>
      </w:r>
      <w:r w:rsidRPr="003A42FB">
        <w:rPr>
          <w:rFonts w:ascii="Times New Roman" w:eastAsiaTheme="minorEastAsia" w:hAnsi="Times New Roman" w:cs="Times New Roman"/>
          <w:sz w:val="24"/>
          <w:szCs w:val="24"/>
        </w:rPr>
        <w:t xml:space="preserve">W przeciwieństwie do wykazu podstawowego, o którym mowa w art. </w:t>
      </w:r>
      <w:r w:rsidR="5BAB6C51" w:rsidRPr="003A42FB">
        <w:rPr>
          <w:rFonts w:ascii="Times New Roman" w:eastAsiaTheme="minorEastAsia" w:hAnsi="Times New Roman" w:cs="Times New Roman"/>
          <w:sz w:val="24"/>
          <w:szCs w:val="24"/>
        </w:rPr>
        <w:t>30</w:t>
      </w:r>
      <w:r w:rsidR="009B17D0" w:rsidRPr="003A42FB">
        <w:rPr>
          <w:rFonts w:ascii="Times New Roman" w:eastAsiaTheme="minorEastAsia" w:hAnsi="Times New Roman" w:cs="Times New Roman"/>
          <w:sz w:val="24"/>
          <w:szCs w:val="24"/>
        </w:rPr>
        <w:t>9</w:t>
      </w:r>
      <w:r w:rsidRPr="003A42FB">
        <w:rPr>
          <w:rFonts w:ascii="Times New Roman" w:eastAsiaTheme="minorEastAsia" w:hAnsi="Times New Roman" w:cs="Times New Roman"/>
          <w:sz w:val="24"/>
          <w:szCs w:val="24"/>
        </w:rPr>
        <w:t>, za doręczenie wykazu szczegółowego może być pobierana opłata</w:t>
      </w:r>
      <w:r w:rsidR="006126DB"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Szczegółowy wykaz wykonanych usług zawiera informację o numerze wywoływanym, dacie oraz godzinie rozpoczęcia realizacji usługi, czasie jej trwania oraz wysokości opłaty za usługę z wyszczególnieniem ceny brutto i netto. Wykaz ten obejmuje wyłącznie płatne usługi.</w:t>
      </w:r>
    </w:p>
    <w:p w14:paraId="0485D6E0" w14:textId="42F677E9"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3 wskazuje jaki zakres czasowy obejmuje obowiązek doręczenia szczegółowego wykazu wykonanych usług, w zależności od tego jakiego rodzaju usług żądanie dotyczy. W przypadku usług postpaid zakres ten liczony jest z uwzględnieniem okresów rozliczeniowych, natomiast w przypadku abonentów prepaid z uwzględnieniem miesiąca. Ustęp 4 dotyczy terminu doręczenia wykazu, z rozróżnieniem na abonentów postpaid i prepaid. </w:t>
      </w:r>
    </w:p>
    <w:p w14:paraId="4D665A29" w14:textId="650708AF"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5 uregulowane zostało dodatkowe uprawnienie w postaci możliwości żądania przez abonenta doręczenia szczegółowego wykazu obejmującego wykonane już uprzednio usługi (żądanie o charakterze wstecznym). Termin realizacji takiego żądania wynosi 14 dni. Maksymalny zakres czasowy takiego żądania obejmuje w przypadku usług postpaid okresy rozliczeniowe poprzedzające nie więcej niż 12 miesięcy okres rozliczeniowy, w którym abonent złożył żądanie, a w przypadku abonenta prepaid - okres nie dłuższy niż 12 miesięcy poprzedzających termin złożenia przez abonenta żądania. </w:t>
      </w:r>
    </w:p>
    <w:p w14:paraId="6F5D01D9" w14:textId="414B9AA5" w:rsidR="00221330" w:rsidRPr="003A42FB" w:rsidRDefault="566EAACD"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9223B5">
        <w:rPr>
          <w:rFonts w:ascii="Times New Roman" w:eastAsiaTheme="minorEastAsia" w:hAnsi="Times New Roman" w:cs="Times New Roman"/>
          <w:b/>
          <w:bCs/>
          <w:sz w:val="24"/>
          <w:szCs w:val="24"/>
        </w:rPr>
        <w:t>348</w:t>
      </w:r>
    </w:p>
    <w:p w14:paraId="70359EAF" w14:textId="061BA20F" w:rsidR="00221330" w:rsidRPr="003A42FB" w:rsidRDefault="566EAAC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art. </w:t>
      </w:r>
      <w:r w:rsidR="009223B5">
        <w:rPr>
          <w:rFonts w:ascii="Times New Roman" w:eastAsiaTheme="minorEastAsia" w:hAnsi="Times New Roman" w:cs="Times New Roman"/>
          <w:sz w:val="24"/>
          <w:szCs w:val="24"/>
        </w:rPr>
        <w:t>348</w:t>
      </w:r>
      <w:r w:rsidRPr="003A42FB">
        <w:rPr>
          <w:rFonts w:ascii="Times New Roman" w:eastAsiaTheme="minorEastAsia" w:hAnsi="Times New Roman" w:cs="Times New Roman"/>
          <w:sz w:val="24"/>
          <w:szCs w:val="24"/>
        </w:rPr>
        <w:t xml:space="preserve"> przesądza, iż w przypadku gdy dostęp do publicznej sieci telekomunikacyjnej za pośrednictwem lokalnej sieci radiowej może być świadczony przez dostawcę usługi dostępu do internetu przy użyciu urządzeń zlokalizowanych u tego użytkownika, niezbędna jest uprzednia zgoda tego użytkownika. Przepis ten stanowi transpozycję art. 56 ust. 3 EKŁE.</w:t>
      </w:r>
      <w:r w:rsidR="4F5303AC" w:rsidRPr="003A42FB">
        <w:rPr>
          <w:rFonts w:ascii="Times New Roman" w:eastAsiaTheme="minorEastAsia" w:hAnsi="Times New Roman" w:cs="Times New Roman"/>
          <w:sz w:val="24"/>
          <w:szCs w:val="24"/>
        </w:rPr>
        <w:t xml:space="preserve"> Przedmiotowa kwestia nie była dotychczas regulowana w Pt.</w:t>
      </w:r>
    </w:p>
    <w:p w14:paraId="53918632" w14:textId="3563CDF7" w:rsidR="00221330" w:rsidRPr="003A42FB" w:rsidRDefault="566EAACD"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9223B5">
        <w:rPr>
          <w:rFonts w:ascii="Times New Roman" w:eastAsiaTheme="minorEastAsia" w:hAnsi="Times New Roman" w:cs="Times New Roman"/>
          <w:b/>
          <w:bCs/>
          <w:sz w:val="24"/>
          <w:szCs w:val="24"/>
        </w:rPr>
        <w:t>349</w:t>
      </w:r>
    </w:p>
    <w:p w14:paraId="06FCC518" w14:textId="30FB90BF" w:rsidR="00221330" w:rsidRPr="003A42FB" w:rsidRDefault="566EAACD"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Zgodnie z projektowanym</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 xml:space="preserve">art. </w:t>
      </w:r>
      <w:r w:rsidR="009223B5">
        <w:rPr>
          <w:rFonts w:ascii="Times New Roman" w:eastAsiaTheme="minorEastAsia" w:hAnsi="Times New Roman" w:cs="Times New Roman"/>
          <w:sz w:val="24"/>
          <w:szCs w:val="24"/>
        </w:rPr>
        <w:t>349</w:t>
      </w:r>
      <w:r w:rsidRPr="003A42FB">
        <w:rPr>
          <w:rFonts w:ascii="Times New Roman" w:eastAsiaTheme="minorEastAsia" w:hAnsi="Times New Roman" w:cs="Times New Roman"/>
          <w:sz w:val="24"/>
          <w:szCs w:val="24"/>
        </w:rPr>
        <w:t>, przedsiębiorca telekomunikacyjny nie może ograniczać ani uniemożliwiać, po pierwsze, korzystania z dostępu do publicznej sieci telekomunikacyjnej za pośrednictwem lokalnej sieci radiowej wybranej przez użytkownika końcowego, w przypadku gdy lokalna sieć radiowa została udostępniona. Po drugie, ww. podmiot nie może ograniczać ani umożliwiać udostępnienia lokalnej sieci radiowej na potrzeby korzystania z dostępu do sieci telekomunikacyjnej na rzecz innych użytkowników końcowych. Zakazy te wynikają z art. 56 ust. 4 EKŁE.</w:t>
      </w:r>
      <w:r w:rsidR="1F0BDD64" w:rsidRPr="003A42FB">
        <w:rPr>
          <w:rFonts w:ascii="Times New Roman" w:eastAsiaTheme="minorEastAsia" w:hAnsi="Times New Roman" w:cs="Times New Roman"/>
          <w:sz w:val="24"/>
          <w:szCs w:val="24"/>
        </w:rPr>
        <w:t xml:space="preserve"> </w:t>
      </w:r>
      <w:r w:rsidR="00AD4E47">
        <w:rPr>
          <w:rFonts w:ascii="Times New Roman" w:eastAsia="Times New Roman" w:hAnsi="Times New Roman" w:cs="Times New Roman"/>
          <w:sz w:val="24"/>
          <w:szCs w:val="24"/>
        </w:rPr>
        <w:t>Kwestia ta</w:t>
      </w:r>
      <w:r w:rsidR="1F0BDD64" w:rsidRPr="003A42FB">
        <w:rPr>
          <w:rFonts w:ascii="Times New Roman" w:eastAsia="Times New Roman" w:hAnsi="Times New Roman" w:cs="Times New Roman"/>
          <w:sz w:val="24"/>
          <w:szCs w:val="24"/>
        </w:rPr>
        <w:t xml:space="preserve"> nie była dotychczas regulowana w Pt.</w:t>
      </w:r>
      <w:r w:rsidR="00AD4E47">
        <w:rPr>
          <w:rFonts w:ascii="Times New Roman" w:eastAsia="Times New Roman" w:hAnsi="Times New Roman" w:cs="Times New Roman"/>
          <w:sz w:val="24"/>
          <w:szCs w:val="24"/>
        </w:rPr>
        <w:t xml:space="preserve"> </w:t>
      </w:r>
    </w:p>
    <w:p w14:paraId="3EA35DF3" w14:textId="1404F5D4" w:rsidR="00696205" w:rsidRPr="003A42FB" w:rsidRDefault="0FAB14F6"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Calibri" w:hAnsi="Times New Roman" w:cs="Times New Roman"/>
          <w:sz w:val="24"/>
          <w:szCs w:val="24"/>
        </w:rPr>
        <w:t xml:space="preserve"> </w:t>
      </w:r>
    </w:p>
    <w:p w14:paraId="352CC361" w14:textId="39803FC4" w:rsidR="005042E8" w:rsidRPr="003A42FB" w:rsidRDefault="005042E8" w:rsidP="00C53EAB">
      <w:pPr>
        <w:spacing w:after="120" w:line="240" w:lineRule="auto"/>
        <w:jc w:val="both"/>
        <w:rPr>
          <w:rFonts w:ascii="Times New Roman" w:eastAsiaTheme="minorEastAsia" w:hAnsi="Times New Roman" w:cs="Times New Roman"/>
          <w:sz w:val="24"/>
          <w:szCs w:val="24"/>
        </w:rPr>
      </w:pPr>
      <w:r w:rsidRPr="003A42FB">
        <w:rPr>
          <w:rFonts w:ascii="Times New Roman" w:hAnsi="Times New Roman" w:cs="Times New Roman"/>
          <w:b/>
          <w:sz w:val="24"/>
          <w:szCs w:val="24"/>
        </w:rPr>
        <w:lastRenderedPageBreak/>
        <w:t xml:space="preserve">ROZDZIAŁ </w:t>
      </w:r>
      <w:r w:rsidR="00667B64" w:rsidRPr="003A42FB">
        <w:rPr>
          <w:rFonts w:ascii="Times New Roman" w:hAnsi="Times New Roman" w:cs="Times New Roman"/>
          <w:b/>
          <w:sz w:val="24"/>
          <w:szCs w:val="24"/>
        </w:rPr>
        <w:t>2</w:t>
      </w:r>
      <w:r w:rsidRPr="003A42FB">
        <w:rPr>
          <w:rFonts w:ascii="Times New Roman" w:hAnsi="Times New Roman" w:cs="Times New Roman"/>
          <w:b/>
          <w:sz w:val="24"/>
          <w:szCs w:val="24"/>
        </w:rPr>
        <w:t xml:space="preserve"> Usługa powszechna</w:t>
      </w:r>
    </w:p>
    <w:p w14:paraId="66EAF61E" w14:textId="3DECBEE3" w:rsidR="00805650" w:rsidRPr="003A42FB" w:rsidRDefault="7A4C35CF"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9223B5">
        <w:rPr>
          <w:rFonts w:ascii="Times New Roman" w:eastAsiaTheme="minorEastAsia" w:hAnsi="Times New Roman" w:cs="Times New Roman"/>
          <w:b/>
          <w:bCs/>
          <w:sz w:val="24"/>
          <w:szCs w:val="24"/>
        </w:rPr>
        <w:t>350</w:t>
      </w:r>
      <w:r w:rsidR="00D81F0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465C6A17" w:rsidRPr="003A42FB">
        <w:rPr>
          <w:rFonts w:ascii="Times New Roman" w:eastAsiaTheme="minorEastAsia" w:hAnsi="Times New Roman" w:cs="Times New Roman"/>
          <w:b/>
          <w:bCs/>
          <w:sz w:val="24"/>
          <w:szCs w:val="24"/>
        </w:rPr>
        <w:t>u</w:t>
      </w:r>
      <w:r w:rsidR="00805650" w:rsidRPr="003A42FB">
        <w:rPr>
          <w:rFonts w:ascii="Times New Roman" w:eastAsiaTheme="minorEastAsia" w:hAnsi="Times New Roman" w:cs="Times New Roman"/>
          <w:b/>
          <w:bCs/>
          <w:sz w:val="24"/>
          <w:szCs w:val="24"/>
        </w:rPr>
        <w:t>sługa powszechna - zakres</w:t>
      </w:r>
    </w:p>
    <w:p w14:paraId="2A6C467D" w14:textId="5044C748"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Artykuł 3</w:t>
      </w:r>
      <w:r w:rsidR="00DE2E29" w:rsidRPr="003A42FB">
        <w:rPr>
          <w:rFonts w:ascii="Times New Roman" w:eastAsiaTheme="minorEastAsia" w:hAnsi="Times New Roman" w:cs="Times New Roman"/>
          <w:sz w:val="24"/>
          <w:szCs w:val="24"/>
        </w:rPr>
        <w:t>1</w:t>
      </w:r>
      <w:r w:rsidR="009B17D0"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definiuje usługę powszechną i stanowi implementację art. 84 ust. 1 EKŁE. Zgodnie z tym przepisem usługa powszechna obejmuje zestaw usług kluczowych z punktu widzenia użytkowników końcowych tj. usługę adekwatnego szerokopasmowego dostępu do internetu oraz</w:t>
      </w:r>
      <w:r w:rsidR="64AC1377" w:rsidRPr="003A42FB">
        <w:rPr>
          <w:rFonts w:ascii="Times New Roman" w:eastAsiaTheme="minorEastAsia" w:hAnsi="Times New Roman" w:cs="Times New Roman"/>
          <w:sz w:val="24"/>
          <w:szCs w:val="24"/>
        </w:rPr>
        <w:t xml:space="preserve"> publicznie dostępne</w:t>
      </w:r>
      <w:r w:rsidRPr="003A42FB">
        <w:rPr>
          <w:rFonts w:ascii="Times New Roman" w:eastAsiaTheme="minorEastAsia" w:hAnsi="Times New Roman" w:cs="Times New Roman"/>
          <w:sz w:val="24"/>
          <w:szCs w:val="24"/>
        </w:rPr>
        <w:t xml:space="preserve"> usługi komunikacji głosowej. </w:t>
      </w:r>
    </w:p>
    <w:p w14:paraId="35FA5A90" w14:textId="57E5667A"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Dostęp do szerokopasmowego internetu ma istotne znaczenie dla społeczeństwa i szeroko rozumianej gospodarki. Stanowi on fundament uczestnictwa w gospodarce cyfrowej i życiu społecznym ze względu na różnorodne usługi świadczone przez internet. Podstawowy dostęp do szerokopasmowego internetu jest masowo wykorzystywany do </w:t>
      </w:r>
      <w:r w:rsidR="006547EC">
        <w:rPr>
          <w:rFonts w:ascii="Times New Roman" w:eastAsiaTheme="minorEastAsia" w:hAnsi="Times New Roman" w:cs="Times New Roman"/>
          <w:sz w:val="24"/>
          <w:szCs w:val="24"/>
        </w:rPr>
        <w:t xml:space="preserve">różnego rodzaju </w:t>
      </w:r>
      <w:r w:rsidRPr="003A42FB">
        <w:rPr>
          <w:rFonts w:ascii="Times New Roman" w:eastAsiaTheme="minorEastAsia" w:hAnsi="Times New Roman" w:cs="Times New Roman"/>
          <w:sz w:val="24"/>
          <w:szCs w:val="24"/>
        </w:rPr>
        <w:t xml:space="preserve">działalności, w związku z czym jego zapewnienie jest jedną z podstawowych funkcji usługi powszechnej. </w:t>
      </w:r>
    </w:p>
    <w:p w14:paraId="7121123F" w14:textId="2E3C7421"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Usługi adekwatnego szerokopasmowego dostępu do internetu oraz</w:t>
      </w:r>
      <w:r w:rsidR="2420EA69" w:rsidRPr="003A42FB">
        <w:rPr>
          <w:rFonts w:ascii="Times New Roman" w:eastAsiaTheme="minorEastAsia" w:hAnsi="Times New Roman" w:cs="Times New Roman"/>
          <w:sz w:val="24"/>
          <w:szCs w:val="24"/>
        </w:rPr>
        <w:t xml:space="preserve"> publicznie dostępne usługi</w:t>
      </w:r>
      <w:r w:rsidRPr="003A42FB">
        <w:rPr>
          <w:rFonts w:ascii="Times New Roman" w:eastAsiaTheme="minorEastAsia" w:hAnsi="Times New Roman" w:cs="Times New Roman"/>
          <w:sz w:val="24"/>
          <w:szCs w:val="24"/>
        </w:rPr>
        <w:t xml:space="preserve"> komunikacji głosowej powinny być dostępne dla wszystkich użytkowników końcowych oraz w cenach przystępnych dla konsumentów. Powyższe rozróżnienie</w:t>
      </w:r>
      <w:r w:rsidR="00BB6A86" w:rsidRPr="003A42FB">
        <w:rPr>
          <w:rFonts w:ascii="Times New Roman" w:eastAsiaTheme="minorEastAsia" w:hAnsi="Times New Roman" w:cs="Times New Roman"/>
          <w:sz w:val="24"/>
          <w:szCs w:val="24"/>
        </w:rPr>
        <w:t xml:space="preserve"> podmiotowe jest konsekwencją prze</w:t>
      </w:r>
      <w:r w:rsidRPr="003A42FB">
        <w:rPr>
          <w:rFonts w:ascii="Times New Roman" w:eastAsiaTheme="minorEastAsia" w:hAnsi="Times New Roman" w:cs="Times New Roman"/>
          <w:sz w:val="24"/>
          <w:szCs w:val="24"/>
        </w:rPr>
        <w:t xml:space="preserve">pisów EKŁE, które osobno regulują kwestię dostępności usług i ich przystępności cenowej. Usługi wchodzące w skład usługi powszechnej obejmują usługi świadczone w stałej lokalizacji z wykorzystaniem dowolnej technologii (przewodowej lub bezprzewodowej) z poszanowaniem reguł neutralności technologicznej. </w:t>
      </w:r>
    </w:p>
    <w:p w14:paraId="4AB47FAE" w14:textId="2661D9F8"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Definiując usługę powszechną projektowane przepisy precyzują wymóg dobrej jakości usług. Wymóg ten wiąże się z zakresem usług, które adekwatny szerokopasmowy dostęp do internetu powinien zapewniać. W ust. 2 wskazany został minimalny katalog aplikacji, które w ramach korzystania z adekwatnego szerokopasmowego dostępu do internetu powinny być dostępne. Katalog ten obejmuje aplikacje powszechnie wykorzystywane w bieżących sprawach życia codziennego takie jak: zakupy przez internet, poszukiwanie pracy czy bankowość elektroniczna.</w:t>
      </w:r>
      <w:r w:rsidR="00211DA7">
        <w:rPr>
          <w:rFonts w:ascii="Times New Roman" w:eastAsiaTheme="minorEastAsia" w:hAnsi="Times New Roman" w:cs="Times New Roman"/>
          <w:sz w:val="24"/>
          <w:szCs w:val="24"/>
        </w:rPr>
        <w:t xml:space="preserve"> </w:t>
      </w:r>
      <w:r w:rsidR="3DE94A57" w:rsidRPr="003A42FB">
        <w:rPr>
          <w:rFonts w:ascii="Times New Roman" w:eastAsiaTheme="minorEastAsia" w:hAnsi="Times New Roman" w:cs="Times New Roman"/>
          <w:sz w:val="24"/>
          <w:szCs w:val="24"/>
        </w:rPr>
        <w:t xml:space="preserve">Zakres usługi powszechnej na gruncie Pt różni się od katalogu usług wskazanych w </w:t>
      </w:r>
      <w:r w:rsidR="43404BD5" w:rsidRPr="003A42FB">
        <w:rPr>
          <w:rFonts w:ascii="Times New Roman" w:eastAsiaTheme="minorEastAsia" w:hAnsi="Times New Roman" w:cs="Times New Roman"/>
          <w:sz w:val="24"/>
          <w:szCs w:val="24"/>
        </w:rPr>
        <w:t>Pke</w:t>
      </w:r>
      <w:r w:rsidR="3DE94A57" w:rsidRPr="003A42FB">
        <w:rPr>
          <w:rFonts w:ascii="Times New Roman" w:eastAsiaTheme="minorEastAsia" w:hAnsi="Times New Roman" w:cs="Times New Roman"/>
          <w:sz w:val="24"/>
          <w:szCs w:val="24"/>
        </w:rPr>
        <w:t>. Z z</w:t>
      </w:r>
      <w:r w:rsidR="1FDF424E" w:rsidRPr="003A42FB">
        <w:rPr>
          <w:rFonts w:ascii="Times New Roman" w:eastAsiaTheme="minorEastAsia" w:hAnsi="Times New Roman" w:cs="Times New Roman"/>
          <w:sz w:val="24"/>
          <w:szCs w:val="24"/>
        </w:rPr>
        <w:t xml:space="preserve">akresu usługi powszechnej wyłączone zostały usługi, których znaczenie dla użytkowników końcowych </w:t>
      </w:r>
      <w:r w:rsidR="0D49D3B1" w:rsidRPr="003A42FB">
        <w:rPr>
          <w:rFonts w:ascii="Times New Roman" w:eastAsiaTheme="minorEastAsia" w:hAnsi="Times New Roman" w:cs="Times New Roman"/>
          <w:sz w:val="24"/>
          <w:szCs w:val="24"/>
        </w:rPr>
        <w:t xml:space="preserve">jest obecnie marginalne tj. </w:t>
      </w:r>
      <w:r w:rsidR="0546555A" w:rsidRPr="003A42FB">
        <w:rPr>
          <w:rFonts w:ascii="Times New Roman" w:eastAsiaTheme="minorEastAsia" w:hAnsi="Times New Roman" w:cs="Times New Roman"/>
          <w:sz w:val="24"/>
          <w:szCs w:val="24"/>
        </w:rPr>
        <w:t>usługa informacji o numerach, usługa ogólnokrajowego spisu abonentów, świadczenie usług za pomocą aparatów publicznych.</w:t>
      </w:r>
    </w:p>
    <w:p w14:paraId="7FF3BB29" w14:textId="1526D422"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Mając na celu ochronę interesów konsumentów projektowane przepisy w ust. 3 gwarantują możliwość ograniczenia zakresu usług do minimum zgodnego z preferencjami konsumenta. W szczególności konsument ma możliwość ograniczenia usługi powszechnej wyłącznie do </w:t>
      </w:r>
      <w:r w:rsidR="0B651A4E" w:rsidRPr="003A42FB">
        <w:rPr>
          <w:rFonts w:ascii="Times New Roman" w:eastAsiaTheme="minorEastAsia" w:hAnsi="Times New Roman" w:cs="Times New Roman"/>
          <w:sz w:val="24"/>
          <w:szCs w:val="24"/>
        </w:rPr>
        <w:t xml:space="preserve">publicznie dostępnych </w:t>
      </w:r>
      <w:r w:rsidRPr="003A42FB">
        <w:rPr>
          <w:rFonts w:ascii="Times New Roman" w:eastAsiaTheme="minorEastAsia" w:hAnsi="Times New Roman" w:cs="Times New Roman"/>
          <w:sz w:val="24"/>
          <w:szCs w:val="24"/>
        </w:rPr>
        <w:t xml:space="preserve">usług komunikacji głosowej. W takim wypadku konsument nie jest zobligowany do ponoszenia dodatkowych opłat, ponad te z tytułu świadczenia </w:t>
      </w:r>
      <w:r w:rsidR="2A573FD2" w:rsidRPr="003A42FB">
        <w:rPr>
          <w:rFonts w:ascii="Times New Roman" w:eastAsiaTheme="minorEastAsia" w:hAnsi="Times New Roman" w:cs="Times New Roman"/>
          <w:sz w:val="24"/>
          <w:szCs w:val="24"/>
        </w:rPr>
        <w:t xml:space="preserve">publicznie dostępnych </w:t>
      </w:r>
      <w:r w:rsidRPr="003A42FB">
        <w:rPr>
          <w:rFonts w:ascii="Times New Roman" w:eastAsiaTheme="minorEastAsia" w:hAnsi="Times New Roman" w:cs="Times New Roman"/>
          <w:sz w:val="24"/>
          <w:szCs w:val="24"/>
        </w:rPr>
        <w:t xml:space="preserve">usług komunikacji głosowej. Jednocześnie projektowane przepisy precyzują skutki finansowe złożenia żądania ograniczenia zakresu usługi powszechnej w trakcie trwającego zobowiązania umownego odsyłając bezpośrednio do art. </w:t>
      </w:r>
      <w:r w:rsidR="0024099B">
        <w:rPr>
          <w:rFonts w:ascii="Times New Roman" w:eastAsiaTheme="minorEastAsia" w:hAnsi="Times New Roman" w:cs="Times New Roman"/>
          <w:sz w:val="24"/>
          <w:szCs w:val="24"/>
        </w:rPr>
        <w:t>298</w:t>
      </w:r>
      <w:r w:rsidR="5EB04EA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dotyczącego ograniczenia wysokości roszczenia z tytułu jednostronnego rozwiązania umowy przez abonenta. Dodatkowy mechanizm ochronny wynika z ust. 4, który obliguje przedsiębiorcę świadczącego usługę powszechną do określenia warunków świadczenia usług, w tym usług dodatkowych, w taki sposób</w:t>
      </w:r>
      <w:r w:rsidR="4E478DAA"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aby konsument nie miał obowiązku ponoszenia opłat za usługi, które nie są wymagane dla świadczenia zamówionej usługi podstawowej. </w:t>
      </w:r>
      <w:r w:rsidR="44906CC7" w:rsidRPr="003A42FB">
        <w:rPr>
          <w:rFonts w:ascii="Times New Roman" w:eastAsiaTheme="minorEastAsia" w:hAnsi="Times New Roman" w:cs="Times New Roman"/>
          <w:sz w:val="24"/>
          <w:szCs w:val="24"/>
        </w:rPr>
        <w:t>Projektowane przepisy z uwagi na konieczność ochrony interesów konsumentów zawierają dalej idące rozwiązania niż EKŁE, tak a</w:t>
      </w:r>
      <w:r w:rsidR="5786FA94" w:rsidRPr="003A42FB">
        <w:rPr>
          <w:rFonts w:ascii="Times New Roman" w:eastAsiaTheme="minorEastAsia" w:hAnsi="Times New Roman" w:cs="Times New Roman"/>
          <w:sz w:val="24"/>
          <w:szCs w:val="24"/>
        </w:rPr>
        <w:t>by dostawca usług nie mógł</w:t>
      </w:r>
      <w:r w:rsidR="7FFD8980" w:rsidRPr="003A42FB">
        <w:rPr>
          <w:rFonts w:ascii="Times New Roman" w:eastAsiaTheme="minorEastAsia" w:hAnsi="Times New Roman" w:cs="Times New Roman"/>
          <w:sz w:val="24"/>
          <w:szCs w:val="24"/>
        </w:rPr>
        <w:t xml:space="preserve"> warunkować świadczenia </w:t>
      </w:r>
      <w:r w:rsidR="1FB3035F" w:rsidRPr="003A42FB">
        <w:rPr>
          <w:rFonts w:ascii="Times New Roman" w:eastAsiaTheme="minorEastAsia" w:hAnsi="Times New Roman" w:cs="Times New Roman"/>
          <w:sz w:val="24"/>
          <w:szCs w:val="24"/>
        </w:rPr>
        <w:t xml:space="preserve">publicznie dostępnej </w:t>
      </w:r>
      <w:r w:rsidR="7FFD8980" w:rsidRPr="003A42FB">
        <w:rPr>
          <w:rFonts w:ascii="Times New Roman" w:eastAsiaTheme="minorEastAsia" w:hAnsi="Times New Roman" w:cs="Times New Roman"/>
          <w:sz w:val="24"/>
          <w:szCs w:val="24"/>
        </w:rPr>
        <w:t xml:space="preserve">usługi </w:t>
      </w:r>
      <w:r w:rsidR="76EF48CE" w:rsidRPr="003A42FB">
        <w:rPr>
          <w:rFonts w:ascii="Times New Roman" w:eastAsiaTheme="minorEastAsia" w:hAnsi="Times New Roman" w:cs="Times New Roman"/>
          <w:sz w:val="24"/>
          <w:szCs w:val="24"/>
        </w:rPr>
        <w:t xml:space="preserve">komunikacji głosowej </w:t>
      </w:r>
      <w:r w:rsidR="7FFD8980" w:rsidRPr="003A42FB">
        <w:rPr>
          <w:rFonts w:ascii="Times New Roman" w:eastAsiaTheme="minorEastAsia" w:hAnsi="Times New Roman" w:cs="Times New Roman"/>
          <w:sz w:val="24"/>
          <w:szCs w:val="24"/>
        </w:rPr>
        <w:t>nab</w:t>
      </w:r>
      <w:r w:rsidR="73DC4610" w:rsidRPr="003A42FB">
        <w:rPr>
          <w:rFonts w:ascii="Times New Roman" w:eastAsiaTheme="minorEastAsia" w:hAnsi="Times New Roman" w:cs="Times New Roman"/>
          <w:sz w:val="24"/>
          <w:szCs w:val="24"/>
        </w:rPr>
        <w:t>ycie</w:t>
      </w:r>
      <w:r w:rsidR="5C804C63" w:rsidRPr="003A42FB">
        <w:rPr>
          <w:rFonts w:ascii="Times New Roman" w:eastAsiaTheme="minorEastAsia" w:hAnsi="Times New Roman" w:cs="Times New Roman"/>
          <w:sz w:val="24"/>
          <w:szCs w:val="24"/>
        </w:rPr>
        <w:t>m</w:t>
      </w:r>
      <w:r w:rsidR="73DC4610" w:rsidRPr="003A42FB">
        <w:rPr>
          <w:rFonts w:ascii="Times New Roman" w:eastAsiaTheme="minorEastAsia" w:hAnsi="Times New Roman" w:cs="Times New Roman"/>
          <w:sz w:val="24"/>
          <w:szCs w:val="24"/>
        </w:rPr>
        <w:t xml:space="preserve"> innej usługi np. w ramach oferty wiązanej.</w:t>
      </w:r>
    </w:p>
    <w:p w14:paraId="4E62B123" w14:textId="0DA4C69D" w:rsidR="009B17D0" w:rsidRPr="003A42FB" w:rsidRDefault="7F5B4CF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4099B">
        <w:rPr>
          <w:rFonts w:ascii="Times New Roman" w:eastAsiaTheme="minorEastAsia" w:hAnsi="Times New Roman" w:cs="Times New Roman"/>
          <w:b/>
          <w:bCs/>
          <w:sz w:val="24"/>
          <w:szCs w:val="24"/>
        </w:rPr>
        <w:t>351</w:t>
      </w:r>
      <w:r w:rsidR="00B05BF0" w:rsidRPr="003A42FB">
        <w:rPr>
          <w:rFonts w:ascii="Times New Roman" w:eastAsiaTheme="minorEastAsia" w:hAnsi="Times New Roman" w:cs="Times New Roman"/>
          <w:b/>
          <w:bCs/>
          <w:sz w:val="24"/>
          <w:szCs w:val="24"/>
        </w:rPr>
        <w:t xml:space="preserve"> – delegacja ustawowa</w:t>
      </w:r>
    </w:p>
    <w:p w14:paraId="5B60A369" w14:textId="02D461CE" w:rsidR="009F6CE6" w:rsidRPr="003A42FB" w:rsidRDefault="009F6CE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Art</w:t>
      </w:r>
      <w:r w:rsidR="00211DA7">
        <w:rPr>
          <w:rFonts w:ascii="Times New Roman" w:eastAsiaTheme="minorEastAsia" w:hAnsi="Times New Roman" w:cs="Times New Roman"/>
          <w:sz w:val="24"/>
          <w:szCs w:val="24"/>
        </w:rPr>
        <w:t>ykuł</w:t>
      </w:r>
      <w:r w:rsidRPr="003A42FB">
        <w:rPr>
          <w:rFonts w:ascii="Times New Roman" w:eastAsiaTheme="minorEastAsia" w:hAnsi="Times New Roman" w:cs="Times New Roman"/>
          <w:sz w:val="24"/>
          <w:szCs w:val="24"/>
        </w:rPr>
        <w:t xml:space="preserve"> </w:t>
      </w:r>
      <w:r w:rsidR="0024099B">
        <w:rPr>
          <w:rFonts w:ascii="Times New Roman" w:eastAsiaTheme="minorEastAsia" w:hAnsi="Times New Roman" w:cs="Times New Roman"/>
          <w:sz w:val="24"/>
          <w:szCs w:val="24"/>
        </w:rPr>
        <w:t>351</w:t>
      </w:r>
      <w:r w:rsidRPr="003A42FB">
        <w:rPr>
          <w:rFonts w:ascii="Times New Roman" w:eastAsiaTheme="minorEastAsia" w:hAnsi="Times New Roman" w:cs="Times New Roman"/>
          <w:sz w:val="24"/>
          <w:szCs w:val="24"/>
        </w:rPr>
        <w:t xml:space="preserve"> stanowi delegacj</w:t>
      </w:r>
      <w:r w:rsidR="00211DA7">
        <w:rPr>
          <w:rFonts w:ascii="Times New Roman" w:eastAsiaTheme="minorEastAsia" w:hAnsi="Times New Roman" w:cs="Times New Roman"/>
          <w:sz w:val="24"/>
          <w:szCs w:val="24"/>
        </w:rPr>
        <w:t>ę</w:t>
      </w:r>
      <w:r w:rsidRPr="003A42FB">
        <w:rPr>
          <w:rFonts w:ascii="Times New Roman" w:eastAsiaTheme="minorEastAsia" w:hAnsi="Times New Roman" w:cs="Times New Roman"/>
          <w:sz w:val="24"/>
          <w:szCs w:val="24"/>
        </w:rPr>
        <w:t xml:space="preserve"> dla ministra właściwego do spraw informatyzacji do określenia, w drodze rozporządzenia, </w:t>
      </w:r>
      <w:r w:rsidR="000C4611" w:rsidRPr="003A42FB">
        <w:rPr>
          <w:rFonts w:ascii="Times New Roman" w:eastAsiaTheme="minorEastAsia" w:hAnsi="Times New Roman" w:cs="Times New Roman"/>
          <w:sz w:val="24"/>
          <w:szCs w:val="24"/>
        </w:rPr>
        <w:t xml:space="preserve">minimalnej </w:t>
      </w:r>
      <w:r w:rsidRPr="003A42FB">
        <w:rPr>
          <w:rFonts w:ascii="Times New Roman" w:eastAsiaTheme="minorEastAsia" w:hAnsi="Times New Roman" w:cs="Times New Roman"/>
          <w:sz w:val="24"/>
          <w:szCs w:val="24"/>
        </w:rPr>
        <w:t xml:space="preserve">wymaganej </w:t>
      </w:r>
      <w:r w:rsidR="000C4611" w:rsidRPr="003A42FB">
        <w:rPr>
          <w:rFonts w:ascii="Times New Roman" w:eastAsiaTheme="minorEastAsia" w:hAnsi="Times New Roman" w:cs="Times New Roman"/>
          <w:sz w:val="24"/>
          <w:szCs w:val="24"/>
        </w:rPr>
        <w:t xml:space="preserve">przepustowości </w:t>
      </w:r>
      <w:r w:rsidRPr="003A42FB">
        <w:rPr>
          <w:rFonts w:ascii="Times New Roman" w:eastAsiaTheme="minorEastAsia" w:hAnsi="Times New Roman" w:cs="Times New Roman"/>
          <w:sz w:val="24"/>
          <w:szCs w:val="24"/>
        </w:rPr>
        <w:t xml:space="preserve">łącza dla usługi adekwatnego szerokopasmowego dostępu do internetu, </w:t>
      </w:r>
      <w:r w:rsidR="00BD5A4D" w:rsidRPr="003A42FB">
        <w:rPr>
          <w:rFonts w:ascii="Times New Roman" w:eastAsiaTheme="minorEastAsia" w:hAnsi="Times New Roman" w:cs="Times New Roman"/>
          <w:sz w:val="24"/>
          <w:szCs w:val="24"/>
        </w:rPr>
        <w:t>uwzględniając</w:t>
      </w:r>
      <w:r w:rsidRPr="003A42FB">
        <w:rPr>
          <w:rFonts w:ascii="Times New Roman" w:eastAsiaTheme="minorEastAsia" w:hAnsi="Times New Roman" w:cs="Times New Roman"/>
          <w:sz w:val="24"/>
          <w:szCs w:val="24"/>
        </w:rPr>
        <w:t xml:space="preserve"> konieczność zapewnienia konsumentom udziału w życiu społecznym i gospodarczym poprzez możliwość korzystania z aplikacji, o których mowa w art. </w:t>
      </w:r>
      <w:r w:rsidR="0024099B">
        <w:rPr>
          <w:rFonts w:ascii="Times New Roman" w:eastAsiaTheme="minorEastAsia" w:hAnsi="Times New Roman" w:cs="Times New Roman"/>
          <w:sz w:val="24"/>
          <w:szCs w:val="24"/>
        </w:rPr>
        <w:t>350</w:t>
      </w:r>
      <w:r w:rsidRPr="003A42FB">
        <w:rPr>
          <w:rFonts w:ascii="Times New Roman" w:eastAsiaTheme="minorEastAsia" w:hAnsi="Times New Roman" w:cs="Times New Roman"/>
          <w:sz w:val="24"/>
          <w:szCs w:val="24"/>
        </w:rPr>
        <w:t xml:space="preserve"> ust. 2.</w:t>
      </w:r>
    </w:p>
    <w:p w14:paraId="1DBFB0C7" w14:textId="28B8CC77" w:rsidR="19B20717" w:rsidRPr="003A42FB" w:rsidRDefault="287EED8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D602C">
        <w:rPr>
          <w:rFonts w:ascii="Times New Roman" w:eastAsiaTheme="minorEastAsia" w:hAnsi="Times New Roman" w:cs="Times New Roman"/>
          <w:b/>
          <w:bCs/>
          <w:sz w:val="24"/>
          <w:szCs w:val="24"/>
        </w:rPr>
        <w:t>352</w:t>
      </w:r>
      <w:r w:rsidR="00D81F08"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274314C9" w:rsidRPr="003A42FB">
        <w:rPr>
          <w:rFonts w:ascii="Times New Roman" w:eastAsiaTheme="minorEastAsia" w:hAnsi="Times New Roman" w:cs="Times New Roman"/>
          <w:b/>
          <w:bCs/>
          <w:sz w:val="24"/>
          <w:szCs w:val="24"/>
        </w:rPr>
        <w:t>d</w:t>
      </w:r>
      <w:r w:rsidR="19B20717" w:rsidRPr="003A42FB">
        <w:rPr>
          <w:rFonts w:ascii="Times New Roman" w:eastAsiaTheme="minorEastAsia" w:hAnsi="Times New Roman" w:cs="Times New Roman"/>
          <w:b/>
          <w:bCs/>
          <w:sz w:val="24"/>
          <w:szCs w:val="24"/>
        </w:rPr>
        <w:t xml:space="preserve">ostępność usługi powszechnej </w:t>
      </w:r>
    </w:p>
    <w:p w14:paraId="59E2DC2E" w14:textId="011B1CEF" w:rsidR="19B20717" w:rsidRPr="003A42FB" w:rsidRDefault="54F7B96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w:t>
      </w:r>
      <w:r w:rsidR="5E0C3E4B" w:rsidRPr="003A42FB">
        <w:rPr>
          <w:rFonts w:ascii="Times New Roman" w:eastAsiaTheme="minorEastAsia" w:hAnsi="Times New Roman" w:cs="Times New Roman"/>
          <w:sz w:val="24"/>
          <w:szCs w:val="24"/>
        </w:rPr>
        <w:t>ł ten</w:t>
      </w:r>
      <w:r w:rsidRPr="003A42FB">
        <w:rPr>
          <w:rFonts w:ascii="Times New Roman" w:eastAsiaTheme="minorEastAsia" w:hAnsi="Times New Roman" w:cs="Times New Roman"/>
          <w:sz w:val="24"/>
          <w:szCs w:val="24"/>
        </w:rPr>
        <w:t xml:space="preserve"> stanowi implementację art. 86 EKŁE. </w:t>
      </w:r>
      <w:r w:rsidR="28C3C90D" w:rsidRPr="003A42FB">
        <w:rPr>
          <w:rFonts w:ascii="Times New Roman" w:eastAsiaTheme="minorEastAsia" w:hAnsi="Times New Roman" w:cs="Times New Roman"/>
          <w:sz w:val="24"/>
          <w:szCs w:val="24"/>
        </w:rPr>
        <w:t>Projektowane regulacje w zakresie dostępności usługi powszechnej</w:t>
      </w:r>
      <w:r w:rsidR="4B782246" w:rsidRPr="003A42FB">
        <w:rPr>
          <w:rFonts w:ascii="Times New Roman" w:eastAsiaTheme="minorEastAsia" w:hAnsi="Times New Roman" w:cs="Times New Roman"/>
          <w:sz w:val="24"/>
          <w:szCs w:val="24"/>
        </w:rPr>
        <w:t>, w tym w zakresie wyznaczania przedsiębiorcy zobowiązanego do św</w:t>
      </w:r>
      <w:r w:rsidR="6BB7107C" w:rsidRPr="003A42FB">
        <w:rPr>
          <w:rFonts w:ascii="Times New Roman" w:eastAsiaTheme="minorEastAsia" w:hAnsi="Times New Roman" w:cs="Times New Roman"/>
          <w:sz w:val="24"/>
          <w:szCs w:val="24"/>
        </w:rPr>
        <w:t>iadczenia usługi powszechnej</w:t>
      </w:r>
      <w:r w:rsidR="115AE28D" w:rsidRPr="003A42FB">
        <w:rPr>
          <w:rFonts w:ascii="Times New Roman" w:eastAsiaTheme="minorEastAsia" w:hAnsi="Times New Roman" w:cs="Times New Roman"/>
          <w:sz w:val="24"/>
          <w:szCs w:val="24"/>
        </w:rPr>
        <w:t xml:space="preserve"> </w:t>
      </w:r>
      <w:r w:rsidR="4EDF51BE" w:rsidRPr="003A42FB">
        <w:rPr>
          <w:rFonts w:ascii="Times New Roman" w:eastAsiaTheme="minorEastAsia" w:hAnsi="Times New Roman" w:cs="Times New Roman"/>
          <w:sz w:val="24"/>
          <w:szCs w:val="24"/>
        </w:rPr>
        <w:t>pr</w:t>
      </w:r>
      <w:r w:rsidR="28C3C90D" w:rsidRPr="003A42FB">
        <w:rPr>
          <w:rFonts w:ascii="Times New Roman" w:eastAsiaTheme="minorEastAsia" w:hAnsi="Times New Roman" w:cs="Times New Roman"/>
          <w:sz w:val="24"/>
          <w:szCs w:val="24"/>
        </w:rPr>
        <w:t xml:space="preserve">zewidują bardzo zbliżone rozwiązania do obowiązujących na gruncie Pt. </w:t>
      </w:r>
    </w:p>
    <w:p w14:paraId="10D0BC7F" w14:textId="70AE0778" w:rsidR="19B20717" w:rsidRPr="003A42FB" w:rsidRDefault="1678A93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w:t>
      </w:r>
      <w:r w:rsidR="6BA15C66" w:rsidRPr="003A42FB">
        <w:rPr>
          <w:rFonts w:ascii="Times New Roman" w:eastAsiaTheme="minorEastAsia" w:hAnsi="Times New Roman" w:cs="Times New Roman"/>
          <w:sz w:val="24"/>
          <w:szCs w:val="24"/>
        </w:rPr>
        <w:t xml:space="preserve">projektowanym </w:t>
      </w:r>
      <w:r w:rsidR="6C7C7474" w:rsidRPr="003A42FB">
        <w:rPr>
          <w:rFonts w:ascii="Times New Roman" w:eastAsiaTheme="minorEastAsia" w:hAnsi="Times New Roman" w:cs="Times New Roman"/>
          <w:sz w:val="24"/>
          <w:szCs w:val="24"/>
        </w:rPr>
        <w:t>artykułem</w:t>
      </w:r>
      <w:r w:rsidRPr="003A42FB">
        <w:rPr>
          <w:rFonts w:ascii="Times New Roman" w:eastAsiaTheme="minorEastAsia" w:hAnsi="Times New Roman" w:cs="Times New Roman"/>
          <w:sz w:val="24"/>
          <w:szCs w:val="24"/>
        </w:rPr>
        <w:t xml:space="preserve"> </w:t>
      </w:r>
      <w:r w:rsidR="5E605B80" w:rsidRPr="003A42FB">
        <w:rPr>
          <w:rFonts w:ascii="Times New Roman" w:eastAsiaTheme="minorEastAsia" w:hAnsi="Times New Roman" w:cs="Times New Roman"/>
          <w:sz w:val="24"/>
          <w:szCs w:val="24"/>
        </w:rPr>
        <w:t xml:space="preserve">Prezes UKE dokonuje analizy dostępności dla użytkowników końcowych usług wchodzących w skład usługi powszechnej i ich jakości. Zgodnie z art. </w:t>
      </w:r>
      <w:r w:rsidR="002D602C">
        <w:rPr>
          <w:rFonts w:ascii="Times New Roman" w:eastAsiaTheme="minorEastAsia" w:hAnsi="Times New Roman" w:cs="Times New Roman"/>
          <w:sz w:val="24"/>
          <w:szCs w:val="24"/>
        </w:rPr>
        <w:t>352</w:t>
      </w:r>
      <w:r w:rsidR="5E605B80" w:rsidRPr="003A42FB">
        <w:rPr>
          <w:rFonts w:ascii="Times New Roman" w:eastAsiaTheme="minorEastAsia" w:hAnsi="Times New Roman" w:cs="Times New Roman"/>
          <w:sz w:val="24"/>
          <w:szCs w:val="24"/>
        </w:rPr>
        <w:t xml:space="preserve"> ust. 1 projektowanych przepisów punktem odniesienia w procesie analizy ma być nie tylko aktualny na chwilę przeprowadzania analizy stan rynku telekomunikacyjnego, ale również stan przyszły tj. planowane i realizowane inwestycje. Takie podejście pozwoli na uwzględnienie również przyszłych inwestycji, które będą mieć wpływ na poprawę dostępności usług na określonym obszarze geograficznym kraju. P</w:t>
      </w:r>
      <w:r w:rsidR="7F52541A" w:rsidRPr="003A42FB">
        <w:rPr>
          <w:rFonts w:ascii="Times New Roman" w:eastAsiaTheme="minorEastAsia" w:hAnsi="Times New Roman" w:cs="Times New Roman"/>
          <w:sz w:val="24"/>
          <w:szCs w:val="24"/>
        </w:rPr>
        <w:t>o przeprowadzeniu analizy P</w:t>
      </w:r>
      <w:r w:rsidR="5E605B80" w:rsidRPr="003A42FB">
        <w:rPr>
          <w:rFonts w:ascii="Times New Roman" w:eastAsiaTheme="minorEastAsia" w:hAnsi="Times New Roman" w:cs="Times New Roman"/>
          <w:sz w:val="24"/>
          <w:szCs w:val="24"/>
        </w:rPr>
        <w:t xml:space="preserve">rezes UKE jest zobligowany do publikacji wyników analizy, celem skonsultowania ich z zainteresowanymi podmiotami. W przypadku stwierdzenia w wyniku analizy lub konsultacji braku dostępności lub braku odpowiedniej jakości którejkolwiek z usług składających się na usługę powszechną Prezes UKE przeprowadza konkurs, o którym mowa w art. </w:t>
      </w:r>
      <w:r w:rsidR="002D602C">
        <w:rPr>
          <w:rFonts w:ascii="Times New Roman" w:eastAsiaTheme="minorEastAsia" w:hAnsi="Times New Roman" w:cs="Times New Roman"/>
          <w:sz w:val="24"/>
          <w:szCs w:val="24"/>
        </w:rPr>
        <w:t>355</w:t>
      </w:r>
      <w:r w:rsidR="5E605B80" w:rsidRPr="003A42FB">
        <w:rPr>
          <w:rFonts w:ascii="Times New Roman" w:eastAsiaTheme="minorEastAsia" w:hAnsi="Times New Roman" w:cs="Times New Roman"/>
          <w:sz w:val="24"/>
          <w:szCs w:val="24"/>
        </w:rPr>
        <w:t>, w przedmiocie nałożenia obowiązku świadczenia usługi na wskazanym obszarze. Obowiązek w zakresie dostępności określany jest w projektowanej ustawie</w:t>
      </w:r>
      <w:r w:rsidR="12E27CB4" w:rsidRPr="003A42FB">
        <w:rPr>
          <w:rFonts w:ascii="Times New Roman" w:eastAsiaTheme="minorEastAsia" w:hAnsi="Times New Roman" w:cs="Times New Roman"/>
          <w:sz w:val="24"/>
          <w:szCs w:val="24"/>
        </w:rPr>
        <w:t>, na potrzeby rozdziału 2,</w:t>
      </w:r>
      <w:r w:rsidR="5E605B80" w:rsidRPr="003A42FB">
        <w:rPr>
          <w:rFonts w:ascii="Times New Roman" w:eastAsiaTheme="minorEastAsia" w:hAnsi="Times New Roman" w:cs="Times New Roman"/>
          <w:sz w:val="24"/>
          <w:szCs w:val="24"/>
        </w:rPr>
        <w:t xml:space="preserve"> jako </w:t>
      </w:r>
      <w:r w:rsidR="1758E07A" w:rsidRPr="003A42FB">
        <w:rPr>
          <w:rFonts w:ascii="Times New Roman" w:eastAsiaTheme="minorEastAsia" w:hAnsi="Times New Roman" w:cs="Times New Roman"/>
          <w:sz w:val="24"/>
          <w:szCs w:val="24"/>
        </w:rPr>
        <w:t>“</w:t>
      </w:r>
      <w:r w:rsidR="5E605B80" w:rsidRPr="003A42FB">
        <w:rPr>
          <w:rFonts w:ascii="Times New Roman" w:eastAsiaTheme="minorEastAsia" w:hAnsi="Times New Roman" w:cs="Times New Roman"/>
          <w:sz w:val="24"/>
          <w:szCs w:val="24"/>
        </w:rPr>
        <w:t>obowiązek świadczenia usługi</w:t>
      </w:r>
      <w:r w:rsidR="7D9660A5" w:rsidRPr="003A42FB">
        <w:rPr>
          <w:rFonts w:ascii="Times New Roman" w:eastAsiaTheme="minorEastAsia" w:hAnsi="Times New Roman" w:cs="Times New Roman"/>
          <w:sz w:val="24"/>
          <w:szCs w:val="24"/>
        </w:rPr>
        <w:t>”</w:t>
      </w:r>
      <w:r w:rsidR="5E605B80" w:rsidRPr="003A42FB">
        <w:rPr>
          <w:rFonts w:ascii="Times New Roman" w:eastAsiaTheme="minorEastAsia" w:hAnsi="Times New Roman" w:cs="Times New Roman"/>
          <w:sz w:val="24"/>
          <w:szCs w:val="24"/>
        </w:rPr>
        <w:t xml:space="preserve">. </w:t>
      </w:r>
    </w:p>
    <w:p w14:paraId="4A50B820" w14:textId="5F61702B" w:rsidR="00805650" w:rsidRPr="003A42FB" w:rsidRDefault="3E05AE4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2D602C">
        <w:rPr>
          <w:rFonts w:ascii="Times New Roman" w:eastAsiaTheme="minorEastAsia" w:hAnsi="Times New Roman" w:cs="Times New Roman"/>
          <w:b/>
          <w:bCs/>
          <w:sz w:val="24"/>
          <w:szCs w:val="24"/>
        </w:rPr>
        <w:t>353</w:t>
      </w:r>
      <w:r w:rsidR="002B7874"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4129620D" w:rsidRPr="003A42FB">
        <w:rPr>
          <w:rFonts w:ascii="Times New Roman" w:eastAsiaTheme="minorEastAsia" w:hAnsi="Times New Roman" w:cs="Times New Roman"/>
          <w:b/>
          <w:bCs/>
          <w:sz w:val="24"/>
          <w:szCs w:val="24"/>
        </w:rPr>
        <w:t>p</w:t>
      </w:r>
      <w:r w:rsidR="746DA444" w:rsidRPr="003A42FB">
        <w:rPr>
          <w:rFonts w:ascii="Times New Roman" w:eastAsiaTheme="minorEastAsia" w:hAnsi="Times New Roman" w:cs="Times New Roman"/>
          <w:b/>
          <w:bCs/>
          <w:sz w:val="24"/>
          <w:szCs w:val="24"/>
        </w:rPr>
        <w:t>rzystępność cenowa usługi powszechnej</w:t>
      </w:r>
      <w:r w:rsidR="746DA444" w:rsidRPr="003A42FB">
        <w:rPr>
          <w:rFonts w:ascii="Times New Roman" w:eastAsiaTheme="minorEastAsia" w:hAnsi="Times New Roman" w:cs="Times New Roman"/>
          <w:sz w:val="24"/>
          <w:szCs w:val="24"/>
        </w:rPr>
        <w:t xml:space="preserve"> </w:t>
      </w:r>
    </w:p>
    <w:p w14:paraId="17BC6FF1" w14:textId="7498B98B" w:rsidR="00805650" w:rsidRPr="003A42FB" w:rsidRDefault="4F99F75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Projektowane przepisy </w:t>
      </w:r>
      <w:r w:rsidR="0F322AFF" w:rsidRPr="003A42FB">
        <w:rPr>
          <w:rFonts w:ascii="Times New Roman" w:eastAsiaTheme="minorEastAsia" w:hAnsi="Times New Roman" w:cs="Times New Roman"/>
          <w:sz w:val="24"/>
          <w:szCs w:val="24"/>
        </w:rPr>
        <w:t xml:space="preserve">stanowią implementację art. 85 EKŁE. Przepisy </w:t>
      </w:r>
      <w:r w:rsidR="43404BD5" w:rsidRPr="003A42FB">
        <w:rPr>
          <w:rFonts w:ascii="Times New Roman" w:eastAsiaTheme="minorEastAsia" w:hAnsi="Times New Roman" w:cs="Times New Roman"/>
          <w:sz w:val="24"/>
          <w:szCs w:val="24"/>
        </w:rPr>
        <w:t>Pke</w:t>
      </w:r>
      <w:r w:rsidR="0F322AFF"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kładą szczególny nacisk na zapewnienie konsumentom przystępności cenowej usług wchodzących w skład usługi powszechnej. </w:t>
      </w:r>
      <w:r w:rsidR="1D9570F5" w:rsidRPr="003A42FB">
        <w:rPr>
          <w:rFonts w:ascii="Times New Roman" w:eastAsiaTheme="minorEastAsia" w:hAnsi="Times New Roman" w:cs="Times New Roman"/>
          <w:sz w:val="24"/>
          <w:szCs w:val="24"/>
        </w:rPr>
        <w:t xml:space="preserve">W odróżnieniu od Pt przepisy </w:t>
      </w:r>
      <w:r w:rsidR="43404BD5" w:rsidRPr="003A42FB">
        <w:rPr>
          <w:rFonts w:ascii="Times New Roman" w:eastAsiaTheme="minorEastAsia" w:hAnsi="Times New Roman" w:cs="Times New Roman"/>
          <w:sz w:val="24"/>
          <w:szCs w:val="24"/>
        </w:rPr>
        <w:t>Pke</w:t>
      </w:r>
      <w:r w:rsidR="1D9570F5" w:rsidRPr="003A42FB">
        <w:rPr>
          <w:rFonts w:ascii="Times New Roman" w:eastAsiaTheme="minorEastAsia" w:hAnsi="Times New Roman" w:cs="Times New Roman"/>
          <w:sz w:val="24"/>
          <w:szCs w:val="24"/>
        </w:rPr>
        <w:t xml:space="preserve"> różnicują adresatów uprawnień w zakresie przystępności c</w:t>
      </w:r>
      <w:r w:rsidR="2E6FB5F4" w:rsidRPr="003A42FB">
        <w:rPr>
          <w:rFonts w:ascii="Times New Roman" w:eastAsiaTheme="minorEastAsia" w:hAnsi="Times New Roman" w:cs="Times New Roman"/>
          <w:sz w:val="24"/>
          <w:szCs w:val="24"/>
        </w:rPr>
        <w:t xml:space="preserve">enowej oraz w zakresie dostępności usług, w ten sposób, że </w:t>
      </w:r>
      <w:r w:rsidR="7D6BF057" w:rsidRPr="003A42FB">
        <w:rPr>
          <w:rFonts w:ascii="Times New Roman" w:eastAsiaTheme="minorEastAsia" w:hAnsi="Times New Roman" w:cs="Times New Roman"/>
          <w:sz w:val="24"/>
          <w:szCs w:val="24"/>
        </w:rPr>
        <w:t>przystępność cenowa dotyczyć ma wyłącznie konsumentów.</w:t>
      </w:r>
      <w:r w:rsidR="5373EF51" w:rsidRPr="003A42FB">
        <w:rPr>
          <w:rFonts w:ascii="Times New Roman" w:eastAsiaTheme="minorEastAsia" w:hAnsi="Times New Roman" w:cs="Times New Roman"/>
          <w:sz w:val="24"/>
          <w:szCs w:val="24"/>
        </w:rPr>
        <w:t xml:space="preserve"> Punktem odniesienia dla oceny przystępności cenowej mają być grupy konsumentów o niskich dochodach lub szczególnych potrze</w:t>
      </w:r>
      <w:r w:rsidR="1E0BBD31" w:rsidRPr="003A42FB">
        <w:rPr>
          <w:rFonts w:ascii="Times New Roman" w:eastAsiaTheme="minorEastAsia" w:hAnsi="Times New Roman" w:cs="Times New Roman"/>
          <w:sz w:val="24"/>
          <w:szCs w:val="24"/>
        </w:rPr>
        <w:t xml:space="preserve">bach społecznych (np. </w:t>
      </w:r>
      <w:r w:rsidR="36CF1560" w:rsidRPr="003A42FB">
        <w:rPr>
          <w:rFonts w:ascii="Times New Roman" w:eastAsiaTheme="minorEastAsia" w:hAnsi="Times New Roman" w:cs="Times New Roman"/>
          <w:sz w:val="24"/>
          <w:szCs w:val="24"/>
        </w:rPr>
        <w:t>o</w:t>
      </w:r>
      <w:r w:rsidR="1E0BBD31" w:rsidRPr="003A42FB">
        <w:rPr>
          <w:rFonts w:ascii="Times New Roman" w:eastAsiaTheme="minorEastAsia" w:hAnsi="Times New Roman" w:cs="Times New Roman"/>
          <w:sz w:val="24"/>
          <w:szCs w:val="24"/>
        </w:rPr>
        <w:t>soby z niep</w:t>
      </w:r>
      <w:r w:rsidR="79974572" w:rsidRPr="003A42FB">
        <w:rPr>
          <w:rFonts w:ascii="Times New Roman" w:eastAsiaTheme="minorEastAsia" w:hAnsi="Times New Roman" w:cs="Times New Roman"/>
          <w:sz w:val="24"/>
          <w:szCs w:val="24"/>
        </w:rPr>
        <w:t>e</w:t>
      </w:r>
      <w:r w:rsidR="1E0BBD31" w:rsidRPr="003A42FB">
        <w:rPr>
          <w:rFonts w:ascii="Times New Roman" w:eastAsiaTheme="minorEastAsia" w:hAnsi="Times New Roman" w:cs="Times New Roman"/>
          <w:sz w:val="24"/>
          <w:szCs w:val="24"/>
        </w:rPr>
        <w:t xml:space="preserve">łosprawnościami, </w:t>
      </w:r>
      <w:r w:rsidR="78BC2C39" w:rsidRPr="003A42FB">
        <w:rPr>
          <w:rFonts w:ascii="Times New Roman" w:eastAsiaTheme="minorEastAsia" w:hAnsi="Times New Roman" w:cs="Times New Roman"/>
          <w:sz w:val="24"/>
          <w:szCs w:val="24"/>
        </w:rPr>
        <w:t>osoby starsze lub zamieszkujące obszary wiejskie</w:t>
      </w:r>
      <w:r w:rsidR="1E0BBD31" w:rsidRPr="003A42FB">
        <w:rPr>
          <w:rFonts w:ascii="Times New Roman" w:eastAsiaTheme="minorEastAsia" w:hAnsi="Times New Roman" w:cs="Times New Roman"/>
          <w:sz w:val="24"/>
          <w:szCs w:val="24"/>
        </w:rPr>
        <w:t xml:space="preserve">). </w:t>
      </w:r>
    </w:p>
    <w:p w14:paraId="1771EDA8" w14:textId="18C80A3E" w:rsidR="00805650" w:rsidRPr="003A42FB" w:rsidRDefault="102DC13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w:t>
      </w:r>
      <w:r w:rsidR="0558368B" w:rsidRPr="003A42FB">
        <w:rPr>
          <w:rFonts w:ascii="Times New Roman" w:eastAsiaTheme="minorEastAsia" w:hAnsi="Times New Roman" w:cs="Times New Roman"/>
          <w:sz w:val="24"/>
          <w:szCs w:val="24"/>
        </w:rPr>
        <w:t xml:space="preserve">godnie z art. </w:t>
      </w:r>
      <w:r w:rsidR="002D602C">
        <w:rPr>
          <w:rFonts w:ascii="Times New Roman" w:eastAsiaTheme="minorEastAsia" w:hAnsi="Times New Roman" w:cs="Times New Roman"/>
          <w:sz w:val="24"/>
          <w:szCs w:val="24"/>
        </w:rPr>
        <w:t>353</w:t>
      </w:r>
      <w:r w:rsidR="0558368B" w:rsidRPr="003A42FB">
        <w:rPr>
          <w:rFonts w:ascii="Times New Roman" w:eastAsiaTheme="minorEastAsia" w:hAnsi="Times New Roman" w:cs="Times New Roman"/>
          <w:sz w:val="24"/>
          <w:szCs w:val="24"/>
        </w:rPr>
        <w:t xml:space="preserve"> ust. 1 Prezes UKE analizuje ceny detaliczne </w:t>
      </w:r>
      <w:r w:rsidR="1F8E3207" w:rsidRPr="003A42FB">
        <w:rPr>
          <w:rFonts w:ascii="Times New Roman" w:eastAsiaTheme="minorEastAsia" w:hAnsi="Times New Roman" w:cs="Times New Roman"/>
          <w:sz w:val="24"/>
          <w:szCs w:val="24"/>
        </w:rPr>
        <w:t xml:space="preserve">publicznie dostępnych </w:t>
      </w:r>
      <w:r w:rsidR="0558368B" w:rsidRPr="003A42FB">
        <w:rPr>
          <w:rFonts w:ascii="Times New Roman" w:eastAsiaTheme="minorEastAsia" w:hAnsi="Times New Roman" w:cs="Times New Roman"/>
          <w:sz w:val="24"/>
          <w:szCs w:val="24"/>
        </w:rPr>
        <w:t xml:space="preserve">usług komunikacji głosowej i adekwatnego szerokopasmowego dostępu do internetu pod względem ich przystępności z uwzględnieniem dochodów konsumentów i cen krajowych. Celem analizy jest ocena czy ceny usług są na poziomie dostępnym dla konsumentów i czy w rezultacie nie zachodzi potrzeba nałożenia obowiązku oferowania przez dostawców usług specjalnych pakietów cenowych. Specjalny pakiet cenowy oznacza pakiet cenowy oferowany na warunkach innych niż zwykłe warunki komercyjne np. obejmujący podstawowy zakres usługi dostępnej w niższym abonamencie. </w:t>
      </w:r>
    </w:p>
    <w:p w14:paraId="07C31206" w14:textId="67C6866D" w:rsidR="00805650" w:rsidRPr="003A42FB" w:rsidRDefault="2ABA945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Procedura nakładania obowiązku w zakresie przystępności cenowej różni się od procedury nakładania obowi</w:t>
      </w:r>
      <w:r w:rsidR="4405D000" w:rsidRPr="003A42FB">
        <w:rPr>
          <w:rFonts w:ascii="Times New Roman" w:eastAsiaTheme="minorEastAsia" w:hAnsi="Times New Roman" w:cs="Times New Roman"/>
          <w:sz w:val="24"/>
          <w:szCs w:val="24"/>
        </w:rPr>
        <w:t xml:space="preserve">ązku w zakresie dostępności usługi oraz obowiązujących w Pt rozwiązań. </w:t>
      </w:r>
      <w:r w:rsidR="3D7C1706" w:rsidRPr="003A42FB">
        <w:rPr>
          <w:rFonts w:ascii="Times New Roman" w:eastAsiaTheme="minorEastAsia" w:hAnsi="Times New Roman" w:cs="Times New Roman"/>
          <w:sz w:val="24"/>
          <w:szCs w:val="24"/>
        </w:rPr>
        <w:t>Zgodnie z projektowanymi przepisami</w:t>
      </w:r>
      <w:r w:rsidR="7C1A7A07" w:rsidRPr="003A42FB">
        <w:rPr>
          <w:rFonts w:ascii="Times New Roman" w:eastAsiaTheme="minorEastAsia" w:hAnsi="Times New Roman" w:cs="Times New Roman"/>
          <w:sz w:val="24"/>
          <w:szCs w:val="24"/>
        </w:rPr>
        <w:t>,</w:t>
      </w:r>
      <w:r w:rsidR="3D7C1706" w:rsidRPr="003A42FB">
        <w:rPr>
          <w:rFonts w:ascii="Times New Roman" w:eastAsiaTheme="minorEastAsia" w:hAnsi="Times New Roman" w:cs="Times New Roman"/>
          <w:sz w:val="24"/>
          <w:szCs w:val="24"/>
        </w:rPr>
        <w:t xml:space="preserve"> j</w:t>
      </w:r>
      <w:r w:rsidR="57D6516C" w:rsidRPr="003A42FB">
        <w:rPr>
          <w:rFonts w:ascii="Times New Roman" w:eastAsiaTheme="minorEastAsia" w:hAnsi="Times New Roman" w:cs="Times New Roman"/>
          <w:sz w:val="24"/>
          <w:szCs w:val="24"/>
        </w:rPr>
        <w:t>eżeli analiza cen wykazała, że usługi nie są dostępne dla konsumentów</w:t>
      </w:r>
      <w:r w:rsidR="1F68C452" w:rsidRPr="003A42FB">
        <w:rPr>
          <w:rFonts w:ascii="Times New Roman" w:eastAsiaTheme="minorEastAsia" w:hAnsi="Times New Roman" w:cs="Times New Roman"/>
          <w:sz w:val="24"/>
          <w:szCs w:val="24"/>
        </w:rPr>
        <w:t xml:space="preserve"> o niskich dochodach lub szczególnych potrzebach</w:t>
      </w:r>
      <w:r w:rsidR="57D6516C" w:rsidRPr="003A42FB">
        <w:rPr>
          <w:rFonts w:ascii="Times New Roman" w:eastAsiaTheme="minorEastAsia" w:hAnsi="Times New Roman" w:cs="Times New Roman"/>
          <w:sz w:val="24"/>
          <w:szCs w:val="24"/>
        </w:rPr>
        <w:t xml:space="preserve"> </w:t>
      </w:r>
      <w:r w:rsidR="0558368B" w:rsidRPr="003A42FB">
        <w:rPr>
          <w:rFonts w:ascii="Times New Roman" w:eastAsiaTheme="minorEastAsia" w:hAnsi="Times New Roman" w:cs="Times New Roman"/>
          <w:sz w:val="24"/>
          <w:szCs w:val="24"/>
        </w:rPr>
        <w:t xml:space="preserve">Prezes UKE analizuje  czy nałożenie obowiązku oferowania specjalnych pakietów cenowych na wszystkich dostawców usług wchodzących w skład usługi powszechnej nie będzie stanowić nadmiernego obciążenia </w:t>
      </w:r>
      <w:r w:rsidR="0558368B" w:rsidRPr="003A42FB">
        <w:rPr>
          <w:rFonts w:ascii="Times New Roman" w:eastAsiaTheme="minorEastAsia" w:hAnsi="Times New Roman" w:cs="Times New Roman"/>
          <w:sz w:val="24"/>
          <w:szCs w:val="24"/>
        </w:rPr>
        <w:lastRenderedPageBreak/>
        <w:t>administracyjnego lub finansowego dla przedsiębiorców</w:t>
      </w:r>
      <w:r w:rsidR="00597450" w:rsidRPr="003A42FB">
        <w:rPr>
          <w:rFonts w:ascii="Times New Roman" w:eastAsiaTheme="minorEastAsia" w:hAnsi="Times New Roman" w:cs="Times New Roman"/>
          <w:sz w:val="24"/>
          <w:szCs w:val="24"/>
        </w:rPr>
        <w:t xml:space="preserve"> lub dla samego Prezesa UKE</w:t>
      </w:r>
      <w:r w:rsidR="0558368B" w:rsidRPr="003A42FB">
        <w:rPr>
          <w:rFonts w:ascii="Times New Roman" w:eastAsiaTheme="minorEastAsia" w:hAnsi="Times New Roman" w:cs="Times New Roman"/>
          <w:sz w:val="24"/>
          <w:szCs w:val="24"/>
        </w:rPr>
        <w:t>. Wyniki analizy są konsultowane z zainteresowanymi podmiotami. Dalsze postępowanie Prezesa UKE jest ściśle uzależnione od wyników analizy i konsultacji. W przypadku</w:t>
      </w:r>
      <w:r w:rsidR="0DDAFF42" w:rsidRPr="003A42FB">
        <w:rPr>
          <w:rFonts w:ascii="Times New Roman" w:eastAsiaTheme="minorEastAsia" w:hAnsi="Times New Roman" w:cs="Times New Roman"/>
          <w:sz w:val="24"/>
          <w:szCs w:val="24"/>
        </w:rPr>
        <w:t>,</w:t>
      </w:r>
      <w:r w:rsidR="0558368B" w:rsidRPr="003A42FB">
        <w:rPr>
          <w:rFonts w:ascii="Times New Roman" w:eastAsiaTheme="minorEastAsia" w:hAnsi="Times New Roman" w:cs="Times New Roman"/>
          <w:sz w:val="24"/>
          <w:szCs w:val="24"/>
        </w:rPr>
        <w:t xml:space="preserve"> gdy w wyniku analizy i konsultacji wykazane zostało, że ceny detaliczne którejkolwiek z usług wchodzących w skład usługi powszechnej nie są przystępne tj. uniemożliwiają konsumentom o niskich dochodach lub szczególnych potrzebach społecznych (np. osoby z niepełnosprawnościami lub zamieszkujące tereny o ograniczonej dostępności usług) korzystanie z tych usług, Prezes UKE nakłada obowiązek oferowania specjalnych pakietów cenowych. </w:t>
      </w:r>
      <w:r w:rsidR="417A95C2" w:rsidRPr="003A42FB">
        <w:rPr>
          <w:rFonts w:ascii="Times New Roman" w:eastAsiaTheme="minorEastAsia" w:hAnsi="Times New Roman" w:cs="Times New Roman"/>
          <w:sz w:val="24"/>
          <w:szCs w:val="24"/>
        </w:rPr>
        <w:t xml:space="preserve">Ustalając adresatów obowiązku Prezes UKE bierze pod uwagę </w:t>
      </w:r>
      <w:r w:rsidR="57D251E4" w:rsidRPr="003A42FB">
        <w:rPr>
          <w:rFonts w:ascii="Times New Roman" w:eastAsiaTheme="minorEastAsia" w:hAnsi="Times New Roman" w:cs="Times New Roman"/>
          <w:sz w:val="24"/>
          <w:szCs w:val="24"/>
        </w:rPr>
        <w:t xml:space="preserve">wpływ przedmiotowego obowiązku na obciążenia przedsiębiorców świadczących usługi wchodzące w skład usługi powszechnej. </w:t>
      </w:r>
      <w:r w:rsidR="0558368B" w:rsidRPr="003A42FB">
        <w:rPr>
          <w:rFonts w:ascii="Times New Roman" w:eastAsiaTheme="minorEastAsia" w:hAnsi="Times New Roman" w:cs="Times New Roman"/>
          <w:sz w:val="24"/>
          <w:szCs w:val="24"/>
        </w:rPr>
        <w:t>W zależności od</w:t>
      </w:r>
      <w:r w:rsidR="5AEAC6B9" w:rsidRPr="003A42FB">
        <w:rPr>
          <w:rFonts w:ascii="Times New Roman" w:eastAsiaTheme="minorEastAsia" w:hAnsi="Times New Roman" w:cs="Times New Roman"/>
          <w:sz w:val="24"/>
          <w:szCs w:val="24"/>
        </w:rPr>
        <w:t xml:space="preserve"> wyników</w:t>
      </w:r>
      <w:r w:rsidR="3C611606" w:rsidRPr="003A42FB">
        <w:rPr>
          <w:rFonts w:ascii="Times New Roman" w:eastAsiaTheme="minorEastAsia" w:hAnsi="Times New Roman" w:cs="Times New Roman"/>
          <w:sz w:val="24"/>
          <w:szCs w:val="24"/>
        </w:rPr>
        <w:t xml:space="preserve"> </w:t>
      </w:r>
      <w:r w:rsidR="0558368B" w:rsidRPr="003A42FB">
        <w:rPr>
          <w:rFonts w:ascii="Times New Roman" w:eastAsiaTheme="minorEastAsia" w:hAnsi="Times New Roman" w:cs="Times New Roman"/>
          <w:sz w:val="24"/>
          <w:szCs w:val="24"/>
        </w:rPr>
        <w:t>analizy i konsultacji</w:t>
      </w:r>
      <w:r w:rsidR="4FD2EF62" w:rsidRPr="003A42FB">
        <w:rPr>
          <w:rFonts w:ascii="Times New Roman" w:eastAsiaTheme="minorEastAsia" w:hAnsi="Times New Roman" w:cs="Times New Roman"/>
          <w:sz w:val="24"/>
          <w:szCs w:val="24"/>
        </w:rPr>
        <w:t xml:space="preserve"> </w:t>
      </w:r>
      <w:r w:rsidR="0558368B" w:rsidRPr="003A42FB">
        <w:rPr>
          <w:rFonts w:ascii="Times New Roman" w:eastAsiaTheme="minorEastAsia" w:hAnsi="Times New Roman" w:cs="Times New Roman"/>
          <w:sz w:val="24"/>
          <w:szCs w:val="24"/>
        </w:rPr>
        <w:t>Prezes UKE nakłada obowiązek oferowania specjalnego pakietu cenowego na</w:t>
      </w:r>
      <w:r w:rsidR="6E4B6E70" w:rsidRPr="003A42FB">
        <w:rPr>
          <w:rFonts w:ascii="Times New Roman" w:eastAsiaTheme="minorEastAsia" w:hAnsi="Times New Roman" w:cs="Times New Roman"/>
          <w:sz w:val="24"/>
          <w:szCs w:val="24"/>
        </w:rPr>
        <w:t>:</w:t>
      </w:r>
      <w:r w:rsidR="0558368B" w:rsidRPr="003A42FB">
        <w:rPr>
          <w:rFonts w:ascii="Times New Roman" w:eastAsiaTheme="minorEastAsia" w:hAnsi="Times New Roman" w:cs="Times New Roman"/>
          <w:sz w:val="24"/>
          <w:szCs w:val="24"/>
        </w:rPr>
        <w:t xml:space="preserve"> wszystkich przedsiębiorców świadczących usługi, o których mowa w art. </w:t>
      </w:r>
      <w:r w:rsidR="002D602C">
        <w:rPr>
          <w:rFonts w:ascii="Times New Roman" w:eastAsiaTheme="minorEastAsia" w:hAnsi="Times New Roman" w:cs="Times New Roman"/>
          <w:sz w:val="24"/>
          <w:szCs w:val="24"/>
        </w:rPr>
        <w:t>350</w:t>
      </w:r>
      <w:r w:rsidR="0558368B" w:rsidRPr="003A42FB">
        <w:rPr>
          <w:rFonts w:ascii="Times New Roman" w:eastAsiaTheme="minorEastAsia" w:hAnsi="Times New Roman" w:cs="Times New Roman"/>
          <w:sz w:val="24"/>
          <w:szCs w:val="24"/>
        </w:rPr>
        <w:t xml:space="preserve"> ust. 1 – w przypadku, gdy nie stwierdza zaistnienia przesłanki nadmiernego obciążenia lub nakłada ten obowiązek na wybranych </w:t>
      </w:r>
      <w:r w:rsidR="58FBE41F" w:rsidRPr="003A42FB">
        <w:rPr>
          <w:rFonts w:ascii="Times New Roman" w:eastAsiaTheme="minorEastAsia" w:hAnsi="Times New Roman" w:cs="Times New Roman"/>
          <w:sz w:val="24"/>
          <w:szCs w:val="24"/>
        </w:rPr>
        <w:t xml:space="preserve">w drodze konkursu </w:t>
      </w:r>
      <w:r w:rsidR="0558368B" w:rsidRPr="003A42FB">
        <w:rPr>
          <w:rFonts w:ascii="Times New Roman" w:eastAsiaTheme="minorEastAsia" w:hAnsi="Times New Roman" w:cs="Times New Roman"/>
          <w:sz w:val="24"/>
          <w:szCs w:val="24"/>
        </w:rPr>
        <w:t>przedsiębiorców – w przypadku stwierdzenia zaistnienia przesłanki nadmiernego obciążenia dla przedsiębiorców</w:t>
      </w:r>
      <w:r w:rsidR="00597450" w:rsidRPr="003A42FB">
        <w:rPr>
          <w:rFonts w:ascii="Times New Roman" w:eastAsiaTheme="minorEastAsia" w:hAnsi="Times New Roman" w:cs="Times New Roman"/>
          <w:sz w:val="24"/>
          <w:szCs w:val="24"/>
        </w:rPr>
        <w:t xml:space="preserve"> lub Prezesa UKE</w:t>
      </w:r>
      <w:r w:rsidR="0558368B" w:rsidRPr="003A42FB">
        <w:rPr>
          <w:rFonts w:ascii="Times New Roman" w:eastAsiaTheme="minorEastAsia" w:hAnsi="Times New Roman" w:cs="Times New Roman"/>
          <w:sz w:val="24"/>
          <w:szCs w:val="24"/>
        </w:rPr>
        <w:t xml:space="preserve">. Przedsiębiorca może być wyznaczony do zapewnienia przystępności cenowej w odniesieniu do pełnego zakresu usługi powszechnej lub jednej z usług wchodzących w jej skład. W decyzji nakładające obowiązek oferowania specjalnego pakietu cenowego Prezes UKE może dodatkowo zobowiązać jej adresata do stosowania jednolitych cen w ramach specjalnego pakietu cenowego na obszarze geograficznym, na którym usługa objęta pakietem jest świadczona. </w:t>
      </w:r>
    </w:p>
    <w:p w14:paraId="187BC084" w14:textId="461FF184" w:rsidR="0B71D24F" w:rsidRPr="003A42FB" w:rsidRDefault="0B71D24F"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D602C">
        <w:rPr>
          <w:rFonts w:ascii="Times New Roman" w:eastAsiaTheme="minorEastAsia" w:hAnsi="Times New Roman" w:cs="Times New Roman"/>
          <w:b/>
          <w:bCs/>
          <w:sz w:val="24"/>
          <w:szCs w:val="24"/>
        </w:rPr>
        <w:t>354</w:t>
      </w:r>
      <w:r w:rsidR="00B05BF0" w:rsidRPr="003A42FB">
        <w:rPr>
          <w:rFonts w:ascii="Times New Roman" w:eastAsiaTheme="minorEastAsia" w:hAnsi="Times New Roman" w:cs="Times New Roman"/>
          <w:b/>
          <w:bCs/>
          <w:sz w:val="24"/>
          <w:szCs w:val="24"/>
        </w:rPr>
        <w:t xml:space="preserve"> – przedsiębiorca wyznaczony</w:t>
      </w:r>
    </w:p>
    <w:p w14:paraId="68CEDC44" w14:textId="006E7E4B" w:rsidR="0B71D24F" w:rsidRPr="003A42FB" w:rsidRDefault="0B71D24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precyzuje kogo należy rozumieć przez przedsiębiorcę wyznaczonego.</w:t>
      </w:r>
    </w:p>
    <w:p w14:paraId="7DAB258C" w14:textId="528140B3" w:rsidR="00805650" w:rsidRPr="003A42FB" w:rsidRDefault="657E505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D602C">
        <w:rPr>
          <w:rFonts w:ascii="Times New Roman" w:eastAsiaTheme="minorEastAsia" w:hAnsi="Times New Roman" w:cs="Times New Roman"/>
          <w:b/>
          <w:bCs/>
          <w:sz w:val="24"/>
          <w:szCs w:val="24"/>
        </w:rPr>
        <w:t>355</w:t>
      </w:r>
      <w:r w:rsidR="002B7874"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7A85751F" w:rsidRPr="003A42FB">
        <w:rPr>
          <w:rFonts w:ascii="Times New Roman" w:eastAsiaTheme="minorEastAsia" w:hAnsi="Times New Roman" w:cs="Times New Roman"/>
          <w:b/>
          <w:bCs/>
          <w:sz w:val="24"/>
          <w:szCs w:val="24"/>
        </w:rPr>
        <w:t>k</w:t>
      </w:r>
      <w:r w:rsidR="477CBA7C" w:rsidRPr="003A42FB">
        <w:rPr>
          <w:rFonts w:ascii="Times New Roman" w:eastAsiaTheme="minorEastAsia" w:hAnsi="Times New Roman" w:cs="Times New Roman"/>
          <w:b/>
          <w:bCs/>
          <w:sz w:val="24"/>
          <w:szCs w:val="24"/>
        </w:rPr>
        <w:t xml:space="preserve">onkurs na przedsiębiorcę wyznaczonego </w:t>
      </w:r>
    </w:p>
    <w:p w14:paraId="2F8DF3EF" w14:textId="57586DAA" w:rsidR="00805650" w:rsidRPr="003A42FB" w:rsidRDefault="09FAA91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wykazania braku dostępności usług oraz braku przystępności cenowej usług dla konsumentów, gdy nałożenie obowiązku oferowania specjaln</w:t>
      </w:r>
      <w:r w:rsidR="62132DEA" w:rsidRPr="003A42FB">
        <w:rPr>
          <w:rFonts w:ascii="Times New Roman" w:eastAsiaTheme="minorEastAsia" w:hAnsi="Times New Roman" w:cs="Times New Roman"/>
          <w:sz w:val="24"/>
          <w:szCs w:val="24"/>
        </w:rPr>
        <w:t>ego</w:t>
      </w:r>
      <w:r w:rsidRPr="003A42FB">
        <w:rPr>
          <w:rFonts w:ascii="Times New Roman" w:eastAsiaTheme="minorEastAsia" w:hAnsi="Times New Roman" w:cs="Times New Roman"/>
          <w:sz w:val="24"/>
          <w:szCs w:val="24"/>
        </w:rPr>
        <w:t xml:space="preserve"> pakiet</w:t>
      </w:r>
      <w:r w:rsidR="181462D5" w:rsidRPr="003A42FB">
        <w:rPr>
          <w:rFonts w:ascii="Times New Roman" w:eastAsiaTheme="minorEastAsia" w:hAnsi="Times New Roman" w:cs="Times New Roman"/>
          <w:sz w:val="24"/>
          <w:szCs w:val="24"/>
        </w:rPr>
        <w:t xml:space="preserve">u </w:t>
      </w:r>
      <w:r w:rsidRPr="003A42FB">
        <w:rPr>
          <w:rFonts w:ascii="Times New Roman" w:eastAsiaTheme="minorEastAsia" w:hAnsi="Times New Roman" w:cs="Times New Roman"/>
          <w:sz w:val="24"/>
          <w:szCs w:val="24"/>
        </w:rPr>
        <w:t>cenow</w:t>
      </w:r>
      <w:r w:rsidR="55651FD3" w:rsidRPr="003A42FB">
        <w:rPr>
          <w:rFonts w:ascii="Times New Roman" w:eastAsiaTheme="minorEastAsia" w:hAnsi="Times New Roman" w:cs="Times New Roman"/>
          <w:sz w:val="24"/>
          <w:szCs w:val="24"/>
        </w:rPr>
        <w:t>ego</w:t>
      </w:r>
      <w:r w:rsidRPr="003A42FB">
        <w:rPr>
          <w:rFonts w:ascii="Times New Roman" w:eastAsiaTheme="minorEastAsia" w:hAnsi="Times New Roman" w:cs="Times New Roman"/>
          <w:sz w:val="24"/>
          <w:szCs w:val="24"/>
        </w:rPr>
        <w:t xml:space="preserve"> na wszystkich przedsiębiorców stanowiłoby nadmierne obciążenie, Prezes UKE ogłasza konkurs na przedsiębiorcę wyznaczonego do realizacji obowiązku oferowania specjalnego pakietu cenowego lub obowiązku świadczenia usługi. Projektowana ustawa w art. </w:t>
      </w:r>
      <w:r w:rsidR="002D602C">
        <w:rPr>
          <w:rFonts w:ascii="Times New Roman" w:eastAsiaTheme="minorEastAsia" w:hAnsi="Times New Roman" w:cs="Times New Roman"/>
          <w:sz w:val="24"/>
          <w:szCs w:val="24"/>
        </w:rPr>
        <w:t>354</w:t>
      </w:r>
      <w:r w:rsidRPr="003A42FB">
        <w:rPr>
          <w:rFonts w:ascii="Times New Roman" w:eastAsiaTheme="minorEastAsia" w:hAnsi="Times New Roman" w:cs="Times New Roman"/>
          <w:sz w:val="24"/>
          <w:szCs w:val="24"/>
        </w:rPr>
        <w:t xml:space="preserve"> precyzuje, że przez przedsiębiorcę wyznaczonego należy rozumieć tego przedsiębiorcę, który został wyznaczony do świadczenia usługi </w:t>
      </w:r>
      <w:r w:rsidR="38F176FC" w:rsidRPr="003A42FB">
        <w:rPr>
          <w:rFonts w:ascii="Times New Roman" w:eastAsiaTheme="minorEastAsia" w:hAnsi="Times New Roman" w:cs="Times New Roman"/>
          <w:sz w:val="24"/>
          <w:szCs w:val="24"/>
        </w:rPr>
        <w:t xml:space="preserve">(obowiązek w zakresie dostępności) </w:t>
      </w:r>
      <w:r w:rsidRPr="003A42FB">
        <w:rPr>
          <w:rFonts w:ascii="Times New Roman" w:eastAsiaTheme="minorEastAsia" w:hAnsi="Times New Roman" w:cs="Times New Roman"/>
          <w:sz w:val="24"/>
          <w:szCs w:val="24"/>
        </w:rPr>
        <w:t xml:space="preserve">lub oferowania specjalnego pakietu cenowego, w </w:t>
      </w:r>
      <w:r w:rsidR="0BA35A25" w:rsidRPr="003A42FB">
        <w:rPr>
          <w:rFonts w:ascii="Times New Roman" w:eastAsiaTheme="minorEastAsia" w:hAnsi="Times New Roman" w:cs="Times New Roman"/>
          <w:sz w:val="24"/>
          <w:szCs w:val="24"/>
        </w:rPr>
        <w:t xml:space="preserve">konkursie, o którym mowa w </w:t>
      </w:r>
      <w:r w:rsidRPr="003A42FB">
        <w:rPr>
          <w:rFonts w:ascii="Times New Roman" w:eastAsiaTheme="minorEastAsia" w:hAnsi="Times New Roman" w:cs="Times New Roman"/>
          <w:sz w:val="24"/>
          <w:szCs w:val="24"/>
        </w:rPr>
        <w:t xml:space="preserve">art. </w:t>
      </w:r>
      <w:r w:rsidR="002D602C">
        <w:rPr>
          <w:rFonts w:ascii="Times New Roman" w:eastAsiaTheme="minorEastAsia" w:hAnsi="Times New Roman" w:cs="Times New Roman"/>
          <w:sz w:val="24"/>
          <w:szCs w:val="24"/>
        </w:rPr>
        <w:t>355</w:t>
      </w:r>
      <w:r w:rsidR="3C611606"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albo </w:t>
      </w:r>
      <w:r w:rsidR="5B65A5EB" w:rsidRPr="003A42FB">
        <w:rPr>
          <w:rFonts w:ascii="Times New Roman" w:eastAsiaTheme="minorEastAsia" w:hAnsi="Times New Roman" w:cs="Times New Roman"/>
          <w:sz w:val="24"/>
          <w:szCs w:val="24"/>
        </w:rPr>
        <w:t xml:space="preserve">w trybie pozakonkursowym, o którym mowa w </w:t>
      </w:r>
      <w:r w:rsidRPr="003A42FB">
        <w:rPr>
          <w:rFonts w:ascii="Times New Roman" w:eastAsiaTheme="minorEastAsia" w:hAnsi="Times New Roman" w:cs="Times New Roman"/>
          <w:sz w:val="24"/>
          <w:szCs w:val="24"/>
        </w:rPr>
        <w:t xml:space="preserve">art. </w:t>
      </w:r>
      <w:r w:rsidR="002D602C">
        <w:rPr>
          <w:rFonts w:ascii="Times New Roman" w:eastAsiaTheme="minorEastAsia" w:hAnsi="Times New Roman" w:cs="Times New Roman"/>
          <w:sz w:val="24"/>
          <w:szCs w:val="24"/>
        </w:rPr>
        <w:t>356</w:t>
      </w:r>
      <w:r w:rsidRPr="003A42FB">
        <w:rPr>
          <w:rFonts w:ascii="Times New Roman" w:eastAsiaTheme="minorEastAsia" w:hAnsi="Times New Roman" w:cs="Times New Roman"/>
          <w:sz w:val="24"/>
          <w:szCs w:val="24"/>
        </w:rPr>
        <w:t xml:space="preserve">. </w:t>
      </w:r>
      <w:r w:rsidR="10C53651" w:rsidRPr="003A42FB">
        <w:rPr>
          <w:rFonts w:ascii="Times New Roman" w:eastAsiaTheme="minorEastAsia" w:hAnsi="Times New Roman" w:cs="Times New Roman"/>
          <w:sz w:val="24"/>
          <w:szCs w:val="24"/>
        </w:rPr>
        <w:t xml:space="preserve">Zasady wyłaniania przedsiębiorcy wyznaczonego pozostają, co do zasady, tożsame z tymi wynikającymi z obowiązujących przepisów ustawy Pt. W pierwszej kolejności </w:t>
      </w:r>
      <w:r w:rsidR="74A82CC9" w:rsidRPr="003A42FB">
        <w:rPr>
          <w:rFonts w:ascii="Times New Roman" w:eastAsiaTheme="minorEastAsia" w:hAnsi="Times New Roman" w:cs="Times New Roman"/>
          <w:sz w:val="24"/>
          <w:szCs w:val="24"/>
        </w:rPr>
        <w:t xml:space="preserve">przedsiębiorcy mogą na zasadzie dobrowolności brać udział w ogłaszanym przez Prezesa UKE konkursie. Dopiero gdy w tym trybie </w:t>
      </w:r>
      <w:r w:rsidR="6AC6B1D8" w:rsidRPr="003A42FB">
        <w:rPr>
          <w:rFonts w:ascii="Times New Roman" w:eastAsiaTheme="minorEastAsia" w:hAnsi="Times New Roman" w:cs="Times New Roman"/>
          <w:sz w:val="24"/>
          <w:szCs w:val="24"/>
        </w:rPr>
        <w:t xml:space="preserve">nie dojdzie do wyznaczenia przedsiębiorcy Prezes UKE wyznacza przedsiębiorcę poza procedurą konkursową. </w:t>
      </w:r>
    </w:p>
    <w:p w14:paraId="533BDEBA" w14:textId="44604F77" w:rsidR="00805650" w:rsidRPr="003A42FB" w:rsidRDefault="477CBA7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art. </w:t>
      </w:r>
      <w:r w:rsidR="002D602C">
        <w:rPr>
          <w:rFonts w:ascii="Times New Roman" w:eastAsiaTheme="minorEastAsia" w:hAnsi="Times New Roman" w:cs="Times New Roman"/>
          <w:sz w:val="24"/>
          <w:szCs w:val="24"/>
        </w:rPr>
        <w:t>355</w:t>
      </w:r>
      <w:r w:rsidRPr="003A42FB">
        <w:rPr>
          <w:rFonts w:ascii="Times New Roman" w:eastAsiaTheme="minorEastAsia" w:hAnsi="Times New Roman" w:cs="Times New Roman"/>
          <w:sz w:val="24"/>
          <w:szCs w:val="24"/>
        </w:rPr>
        <w:t xml:space="preserve"> ust. 2 warunki konkursu określane są z uwzględnieniem stopnia rozwoju usług telekomunikacyjnych, potrzeb użytkowników końcowych oraz potrzeb minimalizacji zniekształceń lub ograniczeń konkurencji na danym obszarze. W ust. 3 określone zostały obligatoryjne elementy ogłoszenia konkursowego tj. wskazanie usługi objętej obowiązkiem świadczenia, ogólnych wymagań i obszaru realizacji obowiązku. </w:t>
      </w:r>
      <w:r w:rsidR="00B05BF0" w:rsidRPr="003A42FB">
        <w:rPr>
          <w:rFonts w:ascii="Times New Roman" w:eastAsiaTheme="minorEastAsia" w:hAnsi="Times New Roman" w:cs="Times New Roman"/>
          <w:bCs/>
          <w:sz w:val="24"/>
          <w:szCs w:val="24"/>
        </w:rPr>
        <w:t xml:space="preserve">Do przeprowadzenia postępowania konkursowego Prezes UKE powołuje Komisję konkursową składającą się z pracowników UKE posiadających wiedzę i doświadczenie niezbędne do przeprowadzenia konkursu. Komisja dokonuje badania ofert w dwóch etapach. </w:t>
      </w:r>
      <w:r w:rsidRPr="003A42FB">
        <w:rPr>
          <w:rFonts w:ascii="Times New Roman" w:eastAsiaTheme="minorEastAsia" w:hAnsi="Times New Roman" w:cs="Times New Roman"/>
          <w:sz w:val="24"/>
          <w:szCs w:val="24"/>
        </w:rPr>
        <w:t xml:space="preserve">Kryteriami wyboru przedsiębiorcy są najniższy prognozowany koszt netto realizacji obowiązku oraz zdolność ekonomiczna i techniczna do realizacji tego obowiązku. Wyznaczenie przedsiębiorcy następuje </w:t>
      </w:r>
      <w:r w:rsidRPr="003A42FB">
        <w:rPr>
          <w:rFonts w:ascii="Times New Roman" w:eastAsiaTheme="minorEastAsia" w:hAnsi="Times New Roman" w:cs="Times New Roman"/>
          <w:sz w:val="24"/>
          <w:szCs w:val="24"/>
        </w:rPr>
        <w:lastRenderedPageBreak/>
        <w:t xml:space="preserve">w drodze decyzji Prezesa UKE. Zakres ogłoszenia, dokumentacji oraz tryb postępowania jest określany w akcie wykonawczym wydanym na podstawie ust. 6.  </w:t>
      </w:r>
    </w:p>
    <w:p w14:paraId="5A68753C" w14:textId="5EA9CA59" w:rsidR="123AA909" w:rsidRPr="003A42FB" w:rsidRDefault="123AA90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Przepisy dotyczące konkursu na przedsiębiorc</w:t>
      </w:r>
      <w:r w:rsidR="65AACCE4" w:rsidRPr="003A42FB">
        <w:rPr>
          <w:rFonts w:ascii="Times New Roman" w:eastAsiaTheme="minorEastAsia" w:hAnsi="Times New Roman" w:cs="Times New Roman"/>
          <w:sz w:val="24"/>
          <w:szCs w:val="24"/>
        </w:rPr>
        <w:t xml:space="preserve">ę wyznaczonego w dużej mierze powtarzają rozwiązania obowiązujące </w:t>
      </w:r>
      <w:r w:rsidR="7AFEA88B" w:rsidRPr="003A42FB">
        <w:rPr>
          <w:rFonts w:ascii="Times New Roman" w:eastAsiaTheme="minorEastAsia" w:hAnsi="Times New Roman" w:cs="Times New Roman"/>
          <w:sz w:val="24"/>
          <w:szCs w:val="24"/>
        </w:rPr>
        <w:t>j</w:t>
      </w:r>
      <w:r w:rsidR="65AACCE4" w:rsidRPr="003A42FB">
        <w:rPr>
          <w:rFonts w:ascii="Times New Roman" w:eastAsiaTheme="minorEastAsia" w:hAnsi="Times New Roman" w:cs="Times New Roman"/>
          <w:sz w:val="24"/>
          <w:szCs w:val="24"/>
        </w:rPr>
        <w:t xml:space="preserve">uż </w:t>
      </w:r>
      <w:r w:rsidRPr="003A42FB">
        <w:rPr>
          <w:rFonts w:ascii="Times New Roman" w:eastAsiaTheme="minorEastAsia" w:hAnsi="Times New Roman" w:cs="Times New Roman"/>
          <w:sz w:val="24"/>
          <w:szCs w:val="24"/>
        </w:rPr>
        <w:t xml:space="preserve">na gruncie Pt. </w:t>
      </w:r>
    </w:p>
    <w:p w14:paraId="785248A8" w14:textId="7339D82D" w:rsidR="00805650" w:rsidRPr="003A42FB" w:rsidRDefault="13E9547E"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2D602C">
        <w:rPr>
          <w:rFonts w:ascii="Times New Roman" w:eastAsiaTheme="minorEastAsia" w:hAnsi="Times New Roman" w:cs="Times New Roman"/>
          <w:b/>
          <w:bCs/>
          <w:sz w:val="24"/>
          <w:szCs w:val="24"/>
        </w:rPr>
        <w:t>356-358</w:t>
      </w:r>
      <w:r w:rsidRPr="003A42FB">
        <w:rPr>
          <w:rFonts w:ascii="Times New Roman" w:eastAsiaTheme="minorEastAsia" w:hAnsi="Times New Roman" w:cs="Times New Roman"/>
          <w:b/>
          <w:bCs/>
          <w:sz w:val="24"/>
          <w:szCs w:val="24"/>
        </w:rPr>
        <w:t xml:space="preserve"> </w:t>
      </w:r>
      <w:r w:rsidR="3544D354" w:rsidRPr="003A42FB">
        <w:rPr>
          <w:rFonts w:ascii="Times New Roman" w:eastAsiaTheme="minorEastAsia" w:hAnsi="Times New Roman" w:cs="Times New Roman"/>
          <w:b/>
          <w:bCs/>
          <w:sz w:val="24"/>
          <w:szCs w:val="24"/>
        </w:rPr>
        <w:t>w</w:t>
      </w:r>
      <w:r w:rsidR="09FAA91C" w:rsidRPr="003A42FB">
        <w:rPr>
          <w:rFonts w:ascii="Times New Roman" w:eastAsiaTheme="minorEastAsia" w:hAnsi="Times New Roman" w:cs="Times New Roman"/>
          <w:b/>
          <w:bCs/>
          <w:sz w:val="24"/>
          <w:szCs w:val="24"/>
        </w:rPr>
        <w:t xml:space="preserve">yznaczenie przedsiębiorcy </w:t>
      </w:r>
    </w:p>
    <w:p w14:paraId="19653539" w14:textId="310637C5" w:rsidR="00805650" w:rsidRPr="003A42FB" w:rsidRDefault="477CBA7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pierwszej kolejności, w przypadku gdy zachodzi konieczność nałożenia obowiązku w zakresie dostępności lub przystępności cenowej usługi powszechnej, Prezes UKE przeprowadza konkurs na przedsiębiorcę wyznaczonego. Sposób postępowania w przypadku, gdy konkurs nie zakończył się nałożeniem obowiązku określa art. </w:t>
      </w:r>
      <w:r w:rsidR="002D602C">
        <w:rPr>
          <w:rFonts w:ascii="Times New Roman" w:eastAsiaTheme="minorEastAsia" w:hAnsi="Times New Roman" w:cs="Times New Roman"/>
          <w:sz w:val="24"/>
          <w:szCs w:val="24"/>
        </w:rPr>
        <w:t>356</w:t>
      </w:r>
      <w:r w:rsidRPr="003A42FB">
        <w:rPr>
          <w:rFonts w:ascii="Times New Roman" w:eastAsiaTheme="minorEastAsia" w:hAnsi="Times New Roman" w:cs="Times New Roman"/>
          <w:sz w:val="24"/>
          <w:szCs w:val="24"/>
        </w:rPr>
        <w:t xml:space="preserve">. Przepis ten dotyczy sytuacji, gdy żaden przedsiębiorca nie przystąpił do konkursu lub żaden z uczestników nie spełnił warunków konkursu lub nie daje rękojmi zapewnienia realizacji obowiązku będącego przedmiotem konkursu. W przypadku zaistnienia powyższych sytuacji Prezes UKE wyznacza przedsiębiorcę w drodze decyzji z uwzględnieniem zdolności tego przedsiębiorcy do realizacji obowiązku na wskazanym obszarze. W przypadku wyznaczenia przez Prezesa UKE przedsiębiorcy przewidziany jest mechanizm zwrotu kosztów wynikających z nieuzasadnionych obciążeń związanych ze świadczeniem usługi powszechnej. </w:t>
      </w:r>
    </w:p>
    <w:p w14:paraId="0A29A199" w14:textId="333A8051" w:rsidR="00805650" w:rsidRPr="003A42FB" w:rsidRDefault="477CBA7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art. </w:t>
      </w:r>
      <w:r w:rsidR="002D602C">
        <w:rPr>
          <w:rFonts w:ascii="Times New Roman" w:eastAsiaTheme="minorEastAsia" w:hAnsi="Times New Roman" w:cs="Times New Roman"/>
          <w:sz w:val="24"/>
          <w:szCs w:val="24"/>
        </w:rPr>
        <w:t>358</w:t>
      </w:r>
      <w:r w:rsidRPr="003A42FB">
        <w:rPr>
          <w:rFonts w:ascii="Times New Roman" w:eastAsiaTheme="minorEastAsia" w:hAnsi="Times New Roman" w:cs="Times New Roman"/>
          <w:sz w:val="24"/>
          <w:szCs w:val="24"/>
        </w:rPr>
        <w:t xml:space="preserve"> informacja o wyznaczeniu przedsiębiorcy jest niezwłocznie przekazywana przez Prezesa UKE do Komisji Europejskiej oraz publikowana na stronie </w:t>
      </w:r>
      <w:r w:rsidR="007864B2" w:rsidRPr="003A42FB">
        <w:rPr>
          <w:rFonts w:ascii="Times New Roman" w:eastAsiaTheme="minorEastAsia" w:hAnsi="Times New Roman" w:cs="Times New Roman"/>
          <w:sz w:val="24"/>
          <w:szCs w:val="24"/>
        </w:rPr>
        <w:t xml:space="preserve">podmiotowej </w:t>
      </w:r>
      <w:r w:rsidRPr="003A42FB">
        <w:rPr>
          <w:rFonts w:ascii="Times New Roman" w:eastAsiaTheme="minorEastAsia" w:hAnsi="Times New Roman" w:cs="Times New Roman"/>
          <w:sz w:val="24"/>
          <w:szCs w:val="24"/>
        </w:rPr>
        <w:t xml:space="preserve">BIP UKE.  </w:t>
      </w:r>
    </w:p>
    <w:p w14:paraId="48CDB455" w14:textId="10500096" w:rsidR="00805650" w:rsidRPr="003A42FB" w:rsidRDefault="6950D893" w:rsidP="1E17D6FE">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82AB816" w:rsidRPr="003A42FB">
        <w:rPr>
          <w:rFonts w:ascii="Times New Roman" w:eastAsiaTheme="minorEastAsia" w:hAnsi="Times New Roman" w:cs="Times New Roman"/>
          <w:b/>
          <w:bCs/>
          <w:sz w:val="24"/>
          <w:szCs w:val="24"/>
        </w:rPr>
        <w:t xml:space="preserve"> </w:t>
      </w:r>
      <w:r w:rsidR="0039356C">
        <w:rPr>
          <w:rFonts w:ascii="Times New Roman" w:eastAsiaTheme="minorEastAsia" w:hAnsi="Times New Roman" w:cs="Times New Roman"/>
          <w:b/>
          <w:bCs/>
          <w:sz w:val="24"/>
          <w:szCs w:val="24"/>
        </w:rPr>
        <w:t>359</w:t>
      </w:r>
      <w:r w:rsidR="71409549" w:rsidRPr="003A42FB">
        <w:rPr>
          <w:rFonts w:ascii="Times New Roman" w:eastAsiaTheme="minorEastAsia" w:hAnsi="Times New Roman" w:cs="Times New Roman"/>
          <w:b/>
          <w:bCs/>
          <w:sz w:val="24"/>
          <w:szCs w:val="24"/>
        </w:rPr>
        <w:t>-</w:t>
      </w:r>
      <w:r w:rsidR="0039356C">
        <w:rPr>
          <w:rFonts w:ascii="Times New Roman" w:eastAsiaTheme="minorEastAsia" w:hAnsi="Times New Roman" w:cs="Times New Roman"/>
          <w:b/>
          <w:bCs/>
          <w:sz w:val="24"/>
          <w:szCs w:val="24"/>
        </w:rPr>
        <w:t>362</w:t>
      </w:r>
      <w:r w:rsidRPr="003A42FB">
        <w:rPr>
          <w:rFonts w:ascii="Times New Roman" w:eastAsiaTheme="minorEastAsia" w:hAnsi="Times New Roman" w:cs="Times New Roman"/>
          <w:b/>
          <w:bCs/>
          <w:sz w:val="24"/>
          <w:szCs w:val="24"/>
        </w:rPr>
        <w:t xml:space="preserve"> - </w:t>
      </w:r>
      <w:r w:rsidR="6CE8FC8F" w:rsidRPr="003A42FB">
        <w:rPr>
          <w:rFonts w:ascii="Times New Roman" w:eastAsiaTheme="minorEastAsia" w:hAnsi="Times New Roman" w:cs="Times New Roman"/>
          <w:b/>
          <w:bCs/>
          <w:sz w:val="24"/>
          <w:szCs w:val="24"/>
        </w:rPr>
        <w:t>o</w:t>
      </w:r>
      <w:r w:rsidR="09FAA91C" w:rsidRPr="003A42FB">
        <w:rPr>
          <w:rFonts w:ascii="Times New Roman" w:eastAsiaTheme="minorEastAsia" w:hAnsi="Times New Roman" w:cs="Times New Roman"/>
          <w:b/>
          <w:bCs/>
          <w:sz w:val="24"/>
          <w:szCs w:val="24"/>
        </w:rPr>
        <w:t xml:space="preserve">bowiązki dotyczące </w:t>
      </w:r>
      <w:r w:rsidR="6C92B18C" w:rsidRPr="003A42FB">
        <w:rPr>
          <w:rFonts w:ascii="Times New Roman" w:eastAsiaTheme="minorEastAsia" w:hAnsi="Times New Roman" w:cs="Times New Roman"/>
          <w:b/>
          <w:bCs/>
          <w:sz w:val="24"/>
          <w:szCs w:val="24"/>
        </w:rPr>
        <w:t xml:space="preserve">określania warunków świadczenia usług </w:t>
      </w:r>
      <w:r w:rsidR="09FAA91C" w:rsidRPr="003A42FB">
        <w:rPr>
          <w:rFonts w:ascii="Times New Roman" w:eastAsiaTheme="minorEastAsia" w:hAnsi="Times New Roman" w:cs="Times New Roman"/>
          <w:b/>
          <w:bCs/>
          <w:sz w:val="24"/>
          <w:szCs w:val="24"/>
        </w:rPr>
        <w:t xml:space="preserve"> składających się na usługę powszechną </w:t>
      </w:r>
    </w:p>
    <w:p w14:paraId="3503E430" w14:textId="5CE8004D" w:rsidR="001A032F" w:rsidRDefault="09FAA91C">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art. </w:t>
      </w:r>
      <w:r w:rsidR="0039356C">
        <w:rPr>
          <w:rFonts w:ascii="Times New Roman" w:eastAsiaTheme="minorEastAsia" w:hAnsi="Times New Roman" w:cs="Times New Roman"/>
          <w:sz w:val="24"/>
          <w:szCs w:val="24"/>
        </w:rPr>
        <w:t>359</w:t>
      </w:r>
      <w:r w:rsidRPr="003A42FB">
        <w:rPr>
          <w:rFonts w:ascii="Times New Roman" w:eastAsiaTheme="minorEastAsia" w:hAnsi="Times New Roman" w:cs="Times New Roman"/>
          <w:sz w:val="24"/>
          <w:szCs w:val="24"/>
        </w:rPr>
        <w:t xml:space="preserve"> przedsiębiorca, na którego nałożony został obowiązek świadczenia usługi lub oferowania specjalnego pakietu cenowego informuje Prezesa UKE o wejściu w życie </w:t>
      </w:r>
      <w:r w:rsidR="65C1662C" w:rsidRPr="001A032F">
        <w:rPr>
          <w:rFonts w:ascii="Times New Roman" w:eastAsia="Times" w:hAnsi="Times New Roman" w:cs="Times New Roman"/>
          <w:sz w:val="24"/>
          <w:szCs w:val="24"/>
        </w:rPr>
        <w:t>informacji przedumownych w zakresie cen i opłat</w:t>
      </w:r>
      <w:r w:rsidR="65C1662C" w:rsidRPr="003A42FB">
        <w:rPr>
          <w:rFonts w:ascii="Times New Roman" w:eastAsia="Times New Roman" w:hAnsi="Times New Roman" w:cs="Times New Roman"/>
          <w:sz w:val="24"/>
          <w:szCs w:val="24"/>
        </w:rPr>
        <w:t xml:space="preserve"> </w:t>
      </w:r>
      <w:r w:rsidRPr="003A42FB">
        <w:rPr>
          <w:rFonts w:ascii="Times New Roman" w:eastAsiaTheme="minorEastAsia" w:hAnsi="Times New Roman" w:cs="Times New Roman"/>
          <w:sz w:val="24"/>
          <w:szCs w:val="24"/>
        </w:rPr>
        <w:t xml:space="preserve"> oraz warunków świadczenia specjalnego pakietu cenowego </w:t>
      </w:r>
      <w:r w:rsidR="00B169B5" w:rsidRPr="003A42FB">
        <w:rPr>
          <w:rFonts w:ascii="Times New Roman" w:eastAsiaTheme="minorEastAsia" w:hAnsi="Times New Roman" w:cs="Times New Roman"/>
          <w:sz w:val="24"/>
          <w:szCs w:val="24"/>
        </w:rPr>
        <w:t>lub obowiązku</w:t>
      </w:r>
      <w:r w:rsidRPr="003A42FB">
        <w:rPr>
          <w:rFonts w:ascii="Times New Roman" w:eastAsiaTheme="minorEastAsia" w:hAnsi="Times New Roman" w:cs="Times New Roman"/>
          <w:sz w:val="24"/>
          <w:szCs w:val="24"/>
        </w:rPr>
        <w:t xml:space="preserve"> świadczenia usługi, najpóźniej 7 dni przed ich wejściem w życie. Obowiązek ten dotyczy także zmian warunków świadczenia ww. usług i </w:t>
      </w:r>
      <w:r w:rsidR="106ADD43" w:rsidRPr="001A032F">
        <w:rPr>
          <w:rFonts w:ascii="Times New Roman" w:eastAsia="Times" w:hAnsi="Times New Roman" w:cs="Times New Roman"/>
          <w:sz w:val="24"/>
          <w:szCs w:val="24"/>
        </w:rPr>
        <w:t>informacji przedumownych w zakresie cen i opłat</w:t>
      </w:r>
      <w:r w:rsidRPr="001A032F">
        <w:rPr>
          <w:rFonts w:ascii="Times New Roman" w:eastAsiaTheme="minorEastAsia" w:hAnsi="Times New Roman" w:cs="Times New Roman"/>
          <w:sz w:val="24"/>
          <w:szCs w:val="24"/>
        </w:rPr>
        <w:t xml:space="preserve">. Informacja przekazywana przez przedsiębiorcę powinna wskazywać dokładne miejsce publikacji dokumentów. Z powyższym obowiązkiem wiąże się uprawnienie Prezesa UKE wskazane w ust. 2 dotyczące możliwości weryfikacji </w:t>
      </w:r>
      <w:r w:rsidR="630C9412" w:rsidRPr="001A032F">
        <w:rPr>
          <w:rFonts w:ascii="Times New Roman" w:eastAsia="Times" w:hAnsi="Times New Roman" w:cs="Times New Roman"/>
          <w:sz w:val="24"/>
          <w:szCs w:val="24"/>
        </w:rPr>
        <w:t>informacji przedumownych w zakresie cen i opłat</w:t>
      </w:r>
      <w:r w:rsidR="630C9412" w:rsidRPr="001A032F">
        <w:rPr>
          <w:rFonts w:ascii="Times New Roman" w:eastAsia="Times New Roman" w:hAnsi="Times New Roman" w:cs="Times New Roman"/>
          <w:sz w:val="24"/>
          <w:szCs w:val="24"/>
        </w:rPr>
        <w:t xml:space="preserve"> </w:t>
      </w:r>
      <w:r w:rsidRPr="001A032F">
        <w:rPr>
          <w:rFonts w:ascii="Times New Roman" w:eastAsiaTheme="minorEastAsia" w:hAnsi="Times New Roman" w:cs="Times New Roman"/>
          <w:sz w:val="24"/>
          <w:szCs w:val="24"/>
        </w:rPr>
        <w:t xml:space="preserve"> i warunków świadczenia usług. W przypadku, gdy postanowienia zawarte w warunkach świadczenia usług lub </w:t>
      </w:r>
      <w:r w:rsidR="0F7BB7DB" w:rsidRPr="001A032F">
        <w:rPr>
          <w:rFonts w:ascii="Times New Roman" w:eastAsia="Times" w:hAnsi="Times New Roman" w:cs="Times New Roman"/>
          <w:sz w:val="24"/>
          <w:szCs w:val="24"/>
        </w:rPr>
        <w:t>informacji przedumownych w zakresie cen i opłat</w:t>
      </w:r>
      <w:r w:rsidR="0F7BB7DB" w:rsidRPr="001A032F">
        <w:rPr>
          <w:rFonts w:ascii="Times New Roman" w:eastAsia="Times New Roman" w:hAnsi="Times New Roman" w:cs="Times New Roman"/>
          <w:sz w:val="24"/>
          <w:szCs w:val="24"/>
        </w:rPr>
        <w:t xml:space="preserve"> </w:t>
      </w:r>
      <w:r w:rsidRPr="001A032F">
        <w:rPr>
          <w:rFonts w:ascii="Times New Roman" w:eastAsiaTheme="minorEastAsia" w:hAnsi="Times New Roman" w:cs="Times New Roman"/>
          <w:sz w:val="24"/>
          <w:szCs w:val="24"/>
        </w:rPr>
        <w:t xml:space="preserve"> są sprzeczne z </w:t>
      </w:r>
      <w:r w:rsidR="00ED534C">
        <w:rPr>
          <w:rFonts w:ascii="Times New Roman" w:eastAsiaTheme="minorEastAsia" w:hAnsi="Times New Roman" w:cs="Times New Roman"/>
          <w:sz w:val="24"/>
          <w:szCs w:val="24"/>
        </w:rPr>
        <w:t xml:space="preserve">ustawą lub </w:t>
      </w:r>
      <w:r w:rsidRPr="001A032F">
        <w:rPr>
          <w:rFonts w:ascii="Times New Roman" w:eastAsiaTheme="minorEastAsia" w:hAnsi="Times New Roman" w:cs="Times New Roman"/>
          <w:sz w:val="24"/>
          <w:szCs w:val="24"/>
        </w:rPr>
        <w:t>decyzją nakładającą obowiązek świadczenia usługi lub oferowania specjalnego pakietu cenowego Prezes UKE wydaje decyzję</w:t>
      </w:r>
      <w:r w:rsidRPr="003A42FB">
        <w:rPr>
          <w:rFonts w:ascii="Times New Roman" w:eastAsiaTheme="minorEastAsia" w:hAnsi="Times New Roman" w:cs="Times New Roman"/>
          <w:sz w:val="24"/>
          <w:szCs w:val="24"/>
        </w:rPr>
        <w:t xml:space="preserve"> wskazując w niej zakres zmian, które powinny być dokonane oraz termin wprowadzenia ich w życie. Decyzja Prezesa UKE ma rygor natychmiastowej wykonalności. </w:t>
      </w:r>
    </w:p>
    <w:p w14:paraId="609A98F1" w14:textId="28BA32DF" w:rsidR="00805650" w:rsidRPr="003A42FB" w:rsidRDefault="001A032F">
      <w:pPr>
        <w:spacing w:after="120" w:line="240" w:lineRule="auto"/>
        <w:jc w:val="both"/>
        <w:rPr>
          <w:rFonts w:ascii="Times New Roman" w:eastAsiaTheme="minorEastAsia" w:hAnsi="Times New Roman" w:cs="Times New Roman"/>
          <w:sz w:val="24"/>
          <w:szCs w:val="24"/>
        </w:rPr>
      </w:pPr>
      <w:r w:rsidRPr="001A032F">
        <w:rPr>
          <w:rFonts w:ascii="Times New Roman" w:eastAsiaTheme="minorEastAsia" w:hAnsi="Times New Roman" w:cs="Times New Roman"/>
          <w:sz w:val="24"/>
          <w:szCs w:val="24"/>
        </w:rPr>
        <w:t xml:space="preserve">Przedsiębiorca wyznaczony do realizacji obowiązku świadczenia usługi nie może odmówić zawarcia umowy o świadczenie tej usługi, pod warunkiem, że użytkownik końcowy spełnia warunki świadczenia tej usługi (art. </w:t>
      </w:r>
      <w:r w:rsidR="0039356C">
        <w:rPr>
          <w:rFonts w:ascii="Times New Roman" w:eastAsiaTheme="minorEastAsia" w:hAnsi="Times New Roman" w:cs="Times New Roman"/>
          <w:sz w:val="24"/>
          <w:szCs w:val="24"/>
        </w:rPr>
        <w:t>360</w:t>
      </w:r>
      <w:r w:rsidRPr="001A032F">
        <w:rPr>
          <w:rFonts w:ascii="Times New Roman" w:eastAsiaTheme="minorEastAsia" w:hAnsi="Times New Roman" w:cs="Times New Roman"/>
          <w:sz w:val="24"/>
          <w:szCs w:val="24"/>
        </w:rPr>
        <w:t>). Umowa z użytkownikiem końcowym powinna być zawarta najpóźniej w terminie 30 dni od dnia złożenia wniosku i określać termin rozpoczęcia świadczenia usługi.</w:t>
      </w:r>
      <w:r w:rsidRPr="001A032F">
        <w:rPr>
          <w:rFonts w:ascii="Times" w:eastAsiaTheme="minorEastAsia" w:hAnsi="Times" w:cs="Arial"/>
          <w:b/>
          <w:sz w:val="24"/>
          <w:lang w:eastAsia="pl-PL"/>
        </w:rPr>
        <w:t xml:space="preserve"> </w:t>
      </w:r>
      <w:r w:rsidRPr="001A032F">
        <w:rPr>
          <w:rFonts w:ascii="Times New Roman" w:eastAsiaTheme="minorEastAsia" w:hAnsi="Times New Roman" w:cs="Times New Roman"/>
          <w:sz w:val="24"/>
          <w:szCs w:val="24"/>
        </w:rPr>
        <w:t xml:space="preserve">Zgodnie z art. </w:t>
      </w:r>
      <w:r w:rsidR="0039356C">
        <w:rPr>
          <w:rFonts w:ascii="Times New Roman" w:eastAsiaTheme="minorEastAsia" w:hAnsi="Times New Roman" w:cs="Times New Roman"/>
          <w:sz w:val="24"/>
          <w:szCs w:val="24"/>
        </w:rPr>
        <w:t>361</w:t>
      </w:r>
      <w:r w:rsidRPr="001A032F">
        <w:rPr>
          <w:rFonts w:ascii="Times New Roman" w:eastAsiaTheme="minorEastAsia" w:hAnsi="Times New Roman" w:cs="Times New Roman"/>
          <w:sz w:val="24"/>
          <w:szCs w:val="24"/>
        </w:rPr>
        <w:t xml:space="preserve"> przedsiębiorca wyznaczony do realizacji obowiązku świadczenia usługi zawiera, w terminie 30 dni od dnia złożenia wniosku, umowę, w której określa w szczególności termin rozpoczęcia świadczenia usługi.</w:t>
      </w:r>
    </w:p>
    <w:p w14:paraId="740CECED" w14:textId="0A3E61E4" w:rsidR="001A032F" w:rsidRPr="001A032F" w:rsidRDefault="001A032F" w:rsidP="001A032F">
      <w:pPr>
        <w:spacing w:after="120" w:line="240" w:lineRule="auto"/>
        <w:jc w:val="both"/>
        <w:rPr>
          <w:rFonts w:ascii="Times New Roman" w:eastAsiaTheme="minorEastAsia" w:hAnsi="Times New Roman" w:cs="Times New Roman"/>
          <w:sz w:val="24"/>
          <w:szCs w:val="24"/>
        </w:rPr>
      </w:pPr>
      <w:r w:rsidRPr="001A032F">
        <w:rPr>
          <w:rFonts w:ascii="Times New Roman" w:eastAsiaTheme="minorEastAsia" w:hAnsi="Times New Roman" w:cs="Times New Roman"/>
          <w:sz w:val="24"/>
          <w:szCs w:val="24"/>
        </w:rPr>
        <w:t xml:space="preserve">Z art. </w:t>
      </w:r>
      <w:r w:rsidR="0039356C">
        <w:rPr>
          <w:rFonts w:ascii="Times New Roman" w:eastAsiaTheme="minorEastAsia" w:hAnsi="Times New Roman" w:cs="Times New Roman"/>
          <w:sz w:val="24"/>
          <w:szCs w:val="24"/>
        </w:rPr>
        <w:t>362</w:t>
      </w:r>
      <w:r w:rsidRPr="001A032F">
        <w:rPr>
          <w:rFonts w:ascii="Times New Roman" w:eastAsiaTheme="minorEastAsia" w:hAnsi="Times New Roman" w:cs="Times New Roman"/>
          <w:sz w:val="24"/>
          <w:szCs w:val="24"/>
        </w:rPr>
        <w:t xml:space="preserve"> wynika istotne uprawnienie dla konsumentów dotyczące zawarcia umowy o świadczenie usług w oparciu o specjalny pakiet cenowy. Przedsiębiorca zobowiązany, na mocy decyzji Prezesa UKE, do oferowania specjalnego pakietu cenowego nie może odmówić konsumentowi zawarcia umowy po cenach wynikających z tego pakietu, jeżeli spełnia on warunki świadczenia usługi oraz warunki świadczenia specjalnego pakietu cenowego. </w:t>
      </w:r>
      <w:r w:rsidRPr="001A032F">
        <w:rPr>
          <w:rFonts w:ascii="Times New Roman" w:eastAsiaTheme="minorEastAsia" w:hAnsi="Times New Roman" w:cs="Times New Roman"/>
          <w:sz w:val="24"/>
          <w:szCs w:val="24"/>
        </w:rPr>
        <w:lastRenderedPageBreak/>
        <w:t xml:space="preserve">Uzależnienie zawarcia umowy od spełnienia warunków świadczenia usługi zabezpiecza dostawcę usług przed koniecznością realizacji nieracjonalnych wniosków abonentów względem których świadczenie usługi byłoby niemożliwe np. ze względów technicznych. W celu zagwarantowania odpowiedniej realizacji obowiązku oferowania specjalnego pakietu cenowego – umożliwienia dostępu do usług osobom, które ze względów finansowych nie mogłyby korzystać z nich na zwykłych warunkach rynkowych, przedsiębiorca jest uprawniony do żądania wglądu do dokumentów uprawniających korzystanie ze specjalnego pakietu cenowego. Dokumentami takimi są dokumenty potwierdzające niskie dochody lub szczególne potrzeby np. zaświadczenie o niepełnosprawności. Możliwość weryfikacji uprawnienia konsumenta do skorzystania ze specjalnego pakietu cenowego chroni dostawcę usług przed koniecznością uwzględniania nieuzasadnionych lub nieracjonalnych wniosków. Zgodnie z ust. 3 zawarcie umowy powinno nastąpić nie później niż w terminie 30 dni od dnia złożenia wniosku przez konsumenta. Umowa powinna określać termin rozpoczęcia świadczenia usługi. </w:t>
      </w:r>
    </w:p>
    <w:p w14:paraId="44EF73F7" w14:textId="5B6579E2" w:rsidR="7E2376E7" w:rsidRPr="003A42FB" w:rsidRDefault="0A6625E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t>
      </w:r>
    </w:p>
    <w:p w14:paraId="193D6954" w14:textId="163E293E" w:rsidR="00805650" w:rsidRPr="003A42FB" w:rsidRDefault="75721C3E"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363</w:t>
      </w:r>
      <w:r w:rsidRPr="003A42FB">
        <w:rPr>
          <w:rFonts w:ascii="Times New Roman" w:eastAsiaTheme="minorEastAsia" w:hAnsi="Times New Roman" w:cs="Times New Roman"/>
          <w:b/>
          <w:bCs/>
          <w:sz w:val="24"/>
          <w:szCs w:val="24"/>
        </w:rPr>
        <w:t xml:space="preserve"> - </w:t>
      </w:r>
      <w:r w:rsidR="2891BD2E" w:rsidRPr="003A42FB">
        <w:rPr>
          <w:rFonts w:ascii="Times New Roman" w:eastAsiaTheme="minorEastAsia" w:hAnsi="Times New Roman" w:cs="Times New Roman"/>
          <w:b/>
          <w:bCs/>
          <w:sz w:val="24"/>
          <w:szCs w:val="24"/>
        </w:rPr>
        <w:t>z</w:t>
      </w:r>
      <w:r w:rsidR="477CBA7C" w:rsidRPr="003A42FB">
        <w:rPr>
          <w:rFonts w:ascii="Times New Roman" w:eastAsiaTheme="minorEastAsia" w:hAnsi="Times New Roman" w:cs="Times New Roman"/>
          <w:b/>
          <w:bCs/>
          <w:sz w:val="24"/>
          <w:szCs w:val="24"/>
        </w:rPr>
        <w:t xml:space="preserve">bycie środków majątkowych sieci dostępu przez przedsiębiorcę wyznaczonego </w:t>
      </w:r>
    </w:p>
    <w:p w14:paraId="5AB71A94" w14:textId="5974F9D6" w:rsidR="00805650" w:rsidRPr="003A42FB" w:rsidRDefault="477CBA7C"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39356C">
        <w:rPr>
          <w:rFonts w:ascii="Times New Roman" w:eastAsiaTheme="minorEastAsia" w:hAnsi="Times New Roman" w:cs="Times New Roman"/>
          <w:sz w:val="24"/>
          <w:szCs w:val="24"/>
        </w:rPr>
        <w:t>363</w:t>
      </w:r>
      <w:r w:rsidRPr="003A42FB">
        <w:rPr>
          <w:rFonts w:ascii="Times New Roman" w:eastAsiaTheme="minorEastAsia" w:hAnsi="Times New Roman" w:cs="Times New Roman"/>
          <w:sz w:val="24"/>
          <w:szCs w:val="24"/>
        </w:rPr>
        <w:t xml:space="preserve"> reguluje sytuację zbycia przez przedsiębiorcę wyznaczonego środków majątkowych lokalnej sieci dostępu lub ich znacznej części, na rzecz odrębnego podmiotu. W takim wypadku przedsiębiorca wyznaczony ma obowiązek zawiadomić Prezesa UKE, najpóźniej na sześć miesięcy przed planowanym zbyciem, o zamiarze zbycia. Powziąwszy informację o zbyciu Prezes UKE może w drodze decyzji nałożyć, zmienić lub uchylić obowiązek świadczenia usługi biorąc pod uwagę wpływ zbycia środków na realizację tego obowiązku, stan rynku telekomunikacyjnego w zakresie dostępności i jakości świadczenia tej usługi, planowane i realizowane przedsięwzięcia inwestycyjne, a także zdolność przedsiębiorcy telekomunikacyjnego do realizacji tego obowiązku na danym obszarze.  </w:t>
      </w:r>
    </w:p>
    <w:p w14:paraId="479167B9" w14:textId="6F8A94C5" w:rsidR="3D71DDF3" w:rsidRPr="003A42FB" w:rsidRDefault="3D71DDF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Artykuł ten stanowi implementację art. 86 ust. 5 EKŁE</w:t>
      </w:r>
      <w:r w:rsidR="0F37F08B" w:rsidRPr="003A42FB">
        <w:rPr>
          <w:rFonts w:ascii="Times New Roman" w:eastAsiaTheme="minorEastAsia" w:hAnsi="Times New Roman" w:cs="Times New Roman"/>
          <w:sz w:val="24"/>
          <w:szCs w:val="24"/>
        </w:rPr>
        <w:t xml:space="preserve"> i pozostaje tożsamy z przepisami Pt w tym zakresie.</w:t>
      </w:r>
    </w:p>
    <w:p w14:paraId="249A15C4" w14:textId="7D348A2F" w:rsidR="00805650" w:rsidRPr="003A42FB" w:rsidRDefault="00805650" w:rsidP="00C53EAB">
      <w:pPr>
        <w:spacing w:after="120" w:line="240" w:lineRule="auto"/>
        <w:jc w:val="both"/>
        <w:rPr>
          <w:rFonts w:ascii="Times New Roman" w:eastAsiaTheme="minorEastAsia" w:hAnsi="Times New Roman" w:cs="Times New Roman"/>
          <w:b/>
          <w:bCs/>
          <w:sz w:val="24"/>
          <w:szCs w:val="24"/>
        </w:rPr>
      </w:pPr>
      <w:bookmarkStart w:id="5" w:name="mip44758158"/>
      <w:bookmarkStart w:id="6" w:name="mip44758159"/>
      <w:bookmarkStart w:id="7" w:name="mip44758160"/>
      <w:bookmarkStart w:id="8" w:name="mip44758161"/>
      <w:bookmarkStart w:id="9" w:name="mip44758162"/>
      <w:bookmarkEnd w:id="5"/>
      <w:bookmarkEnd w:id="6"/>
      <w:bookmarkEnd w:id="7"/>
      <w:bookmarkEnd w:id="8"/>
      <w:bookmarkEnd w:id="9"/>
      <w:r w:rsidRPr="003A42FB">
        <w:rPr>
          <w:rFonts w:ascii="Times New Roman" w:eastAsiaTheme="minorEastAsia" w:hAnsi="Times New Roman" w:cs="Times New Roman"/>
          <w:b/>
          <w:bCs/>
          <w:sz w:val="24"/>
          <w:szCs w:val="24"/>
        </w:rPr>
        <w:t xml:space="preserve">Dopłata w zakresie realizacji obowiązków dotyczących usługi powszechnej – art. </w:t>
      </w:r>
      <w:r w:rsidR="00351B53" w:rsidRPr="003A42FB">
        <w:rPr>
          <w:rFonts w:ascii="Times New Roman" w:eastAsiaTheme="minorEastAsia" w:hAnsi="Times New Roman" w:cs="Times New Roman"/>
          <w:b/>
          <w:bCs/>
          <w:sz w:val="24"/>
          <w:szCs w:val="24"/>
        </w:rPr>
        <w:t>3</w:t>
      </w:r>
      <w:r w:rsidR="00351B53">
        <w:rPr>
          <w:rFonts w:ascii="Times New Roman" w:eastAsiaTheme="minorEastAsia" w:hAnsi="Times New Roman" w:cs="Times New Roman"/>
          <w:b/>
          <w:bCs/>
          <w:sz w:val="24"/>
          <w:szCs w:val="24"/>
        </w:rPr>
        <w:t>64</w:t>
      </w:r>
      <w:r w:rsidRPr="003A42FB">
        <w:rPr>
          <w:rFonts w:ascii="Times New Roman" w:eastAsiaTheme="minorEastAsia" w:hAnsi="Times New Roman" w:cs="Times New Roman"/>
          <w:b/>
          <w:bCs/>
          <w:sz w:val="24"/>
          <w:szCs w:val="24"/>
        </w:rPr>
        <w:t>-</w:t>
      </w:r>
      <w:r w:rsidR="00351B53" w:rsidRPr="003A42FB">
        <w:rPr>
          <w:rFonts w:ascii="Times New Roman" w:eastAsiaTheme="minorEastAsia" w:hAnsi="Times New Roman" w:cs="Times New Roman"/>
          <w:b/>
          <w:bCs/>
          <w:sz w:val="24"/>
          <w:szCs w:val="24"/>
        </w:rPr>
        <w:t>3</w:t>
      </w:r>
      <w:r w:rsidR="00351B53">
        <w:rPr>
          <w:rFonts w:ascii="Times New Roman" w:eastAsiaTheme="minorEastAsia" w:hAnsi="Times New Roman" w:cs="Times New Roman"/>
          <w:b/>
          <w:bCs/>
          <w:sz w:val="24"/>
          <w:szCs w:val="24"/>
        </w:rPr>
        <w:t>68</w:t>
      </w:r>
    </w:p>
    <w:p w14:paraId="448E85CB" w14:textId="46A8D6A6" w:rsidR="6DFF40C5" w:rsidRPr="003A42FB" w:rsidRDefault="705C9EF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64</w:t>
      </w:r>
      <w:r w:rsidRPr="003A42FB">
        <w:rPr>
          <w:rFonts w:ascii="Times New Roman" w:eastAsiaTheme="minorEastAsia" w:hAnsi="Times New Roman" w:cs="Times New Roman"/>
          <w:sz w:val="24"/>
          <w:szCs w:val="24"/>
        </w:rPr>
        <w:t>-</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68</w:t>
      </w:r>
      <w:r w:rsidR="00351B5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jest odpowiednikiem art. 95-99 Pt ze zmianami wynikającymi </w:t>
      </w:r>
      <w:r w:rsidR="7BBCA43D" w:rsidRPr="003A42FB">
        <w:rPr>
          <w:rFonts w:ascii="Times New Roman" w:eastAsiaTheme="minorEastAsia" w:hAnsi="Times New Roman" w:cs="Times New Roman"/>
          <w:sz w:val="24"/>
          <w:szCs w:val="24"/>
        </w:rPr>
        <w:t>m.in. ze zmian w EKŁE dotyczących regulacji usługi powszechnej.</w:t>
      </w:r>
    </w:p>
    <w:p w14:paraId="5E6929C1" w14:textId="6B38B294"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64</w:t>
      </w:r>
      <w:r w:rsidR="00351B5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 w projekcie przewiduje się ustanowienie dopłat w zakresie realizacji obowiązków dotyczących świadczenia usług stanowiących usługę powszechną. W projektowanym przepisie przyjęto mechanizm wspólnego finansowania przez określonych przedsiębiorców telekomunikacyjnych kosztu netto realizacji ww. obowiązków. Kalkulacja kosztu netto realizacji obowiązku powinna uwzględniać przychody z tytułu </w:t>
      </w:r>
      <w:r w:rsidR="00923F09" w:rsidRPr="003A42FB">
        <w:rPr>
          <w:rFonts w:ascii="Times New Roman" w:eastAsiaTheme="minorEastAsia" w:hAnsi="Times New Roman" w:cs="Times New Roman"/>
          <w:sz w:val="24"/>
          <w:szCs w:val="24"/>
        </w:rPr>
        <w:t>realizacji danego</w:t>
      </w:r>
      <w:r w:rsidRPr="003A42FB">
        <w:rPr>
          <w:rFonts w:ascii="Times New Roman" w:eastAsiaTheme="minorEastAsia" w:hAnsi="Times New Roman" w:cs="Times New Roman"/>
          <w:sz w:val="24"/>
          <w:szCs w:val="24"/>
        </w:rPr>
        <w:t xml:space="preserve"> </w:t>
      </w:r>
      <w:r w:rsidR="00923F09" w:rsidRPr="003A42FB">
        <w:rPr>
          <w:rFonts w:ascii="Times New Roman" w:eastAsiaTheme="minorEastAsia" w:hAnsi="Times New Roman" w:cs="Times New Roman"/>
          <w:sz w:val="24"/>
          <w:szCs w:val="24"/>
        </w:rPr>
        <w:t>obowiązku</w:t>
      </w:r>
      <w:r w:rsidRPr="003A42FB">
        <w:rPr>
          <w:rFonts w:ascii="Times New Roman" w:eastAsiaTheme="minorEastAsia" w:hAnsi="Times New Roman" w:cs="Times New Roman"/>
          <w:sz w:val="24"/>
          <w:szCs w:val="24"/>
        </w:rPr>
        <w:t xml:space="preserve">, koszty bezpośrednio związane </w:t>
      </w:r>
      <w:r w:rsidR="00351B53">
        <w:rPr>
          <w:rFonts w:ascii="Times New Roman" w:eastAsiaTheme="minorEastAsia" w:hAnsi="Times New Roman" w:cs="Times New Roman"/>
          <w:sz w:val="24"/>
          <w:szCs w:val="24"/>
        </w:rPr>
        <w:t xml:space="preserve">z </w:t>
      </w:r>
      <w:r w:rsidR="00923F09" w:rsidRPr="003A42FB">
        <w:rPr>
          <w:rFonts w:ascii="Times New Roman" w:eastAsiaTheme="minorEastAsia" w:hAnsi="Times New Roman" w:cs="Times New Roman"/>
          <w:sz w:val="24"/>
          <w:szCs w:val="24"/>
        </w:rPr>
        <w:t xml:space="preserve">realizacją tego obowiązku oraz </w:t>
      </w:r>
      <w:r w:rsidRPr="003A42FB">
        <w:rPr>
          <w:rFonts w:ascii="Times New Roman" w:eastAsiaTheme="minorEastAsia" w:hAnsi="Times New Roman" w:cs="Times New Roman"/>
          <w:sz w:val="24"/>
          <w:szCs w:val="24"/>
        </w:rPr>
        <w:t xml:space="preserve">korzyści pośrednie, jakie uzyskuje przedsiębiorca w związku </w:t>
      </w:r>
      <w:r w:rsidR="00923F09" w:rsidRPr="003A42FB">
        <w:rPr>
          <w:rFonts w:ascii="Times New Roman" w:eastAsiaTheme="minorEastAsia" w:hAnsi="Times New Roman" w:cs="Times New Roman"/>
          <w:sz w:val="24"/>
          <w:szCs w:val="24"/>
        </w:rPr>
        <w:t>z jego realizacją</w:t>
      </w:r>
      <w:r w:rsidRPr="003A42FB">
        <w:rPr>
          <w:rFonts w:ascii="Times New Roman" w:eastAsiaTheme="minorEastAsia" w:hAnsi="Times New Roman" w:cs="Times New Roman"/>
          <w:sz w:val="24"/>
          <w:szCs w:val="24"/>
        </w:rPr>
        <w:t>. Szczegółowe zasady kalkulacji kosztu netto zostaną określone w rozporządzeniu ministra właściwego ds. informatyzacji. Zasady dotyczące finansowania obowiązku usługi powszechnej stanowią wdrożenie art. 89-91 EKŁE oraz Załącznika VII.</w:t>
      </w:r>
    </w:p>
    <w:p w14:paraId="30EC9DFC" w14:textId="68479A98"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65</w:t>
      </w:r>
      <w:r w:rsidR="00351B5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przedsiębiorca wyznaczony w przypadku wystąpienia kosztu netto związanego ze świadczeniem usługi objętej obowiązkiem, może złożyć wniosek</w:t>
      </w:r>
      <w:r w:rsidR="00351B53">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 terminie 6 m-cy od zakończenia roku kalendarzowego, do Prezesa UKE o przyznanie dopłaty do poniesionego kosztu netto. Dopłata może być przyznana wyłącznie w przypadku</w:t>
      </w:r>
      <w:r w:rsidR="144DD204"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jeśli realizacja obowiązku stanowi niesprawiedliwe obciążenie dla przedsiębiorcy. Prezes UKE weryfikuje sposób kalkulacji kosztu netto, na podstawie</w:t>
      </w:r>
      <w:r w:rsidR="00C44753">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dostarczonych przez przedsiębiorcę wyznaczonego</w:t>
      </w:r>
      <w:r w:rsidR="00C44753">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dokumentów. W tym celu powołuje biegłego</w:t>
      </w:r>
      <w:r w:rsidR="00416CA2" w:rsidRPr="003A42FB">
        <w:rPr>
          <w:rFonts w:ascii="Times New Roman" w:eastAsiaTheme="minorEastAsia" w:hAnsi="Times New Roman" w:cs="Times New Roman"/>
          <w:sz w:val="24"/>
          <w:szCs w:val="24"/>
        </w:rPr>
        <w:t xml:space="preserve"> rewidenta</w:t>
      </w:r>
      <w:r w:rsidRPr="003A42FB">
        <w:rPr>
          <w:rFonts w:ascii="Times New Roman" w:eastAsiaTheme="minorEastAsia" w:hAnsi="Times New Roman" w:cs="Times New Roman"/>
          <w:sz w:val="24"/>
          <w:szCs w:val="24"/>
        </w:rPr>
        <w:t xml:space="preserve">. Prezes UKE w drodze decyzji </w:t>
      </w:r>
      <w:r w:rsidRPr="003A42FB">
        <w:rPr>
          <w:rFonts w:ascii="Times New Roman" w:eastAsiaTheme="minorEastAsia" w:hAnsi="Times New Roman" w:cs="Times New Roman"/>
          <w:sz w:val="24"/>
          <w:szCs w:val="24"/>
        </w:rPr>
        <w:lastRenderedPageBreak/>
        <w:t>p</w:t>
      </w:r>
      <w:r w:rsidR="006D1401" w:rsidRPr="003A42FB">
        <w:rPr>
          <w:rFonts w:ascii="Times New Roman" w:eastAsiaTheme="minorEastAsia" w:hAnsi="Times New Roman" w:cs="Times New Roman"/>
          <w:sz w:val="24"/>
          <w:szCs w:val="24"/>
        </w:rPr>
        <w:t>rzyznaje ustaloną kwotę dopłaty</w:t>
      </w:r>
      <w:r w:rsidR="6919D596" w:rsidRPr="003A42FB">
        <w:rPr>
          <w:rFonts w:ascii="Times New Roman" w:eastAsiaTheme="minorEastAsia" w:hAnsi="Times New Roman" w:cs="Times New Roman"/>
          <w:sz w:val="24"/>
          <w:szCs w:val="24"/>
        </w:rPr>
        <w:t>,</w:t>
      </w:r>
      <w:r w:rsidR="006D140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jeśli zweryfikowany koszt netto stanowi nieuzasadnione obciążeni</w:t>
      </w:r>
      <w:r w:rsidR="6B5F5139" w:rsidRPr="003A42FB">
        <w:rPr>
          <w:rFonts w:ascii="Times New Roman" w:eastAsiaTheme="minorEastAsia" w:hAnsi="Times New Roman" w:cs="Times New Roman"/>
          <w:sz w:val="24"/>
          <w:szCs w:val="24"/>
        </w:rPr>
        <w:t>e</w:t>
      </w:r>
      <w:r w:rsidRPr="003A42FB">
        <w:rPr>
          <w:rFonts w:ascii="Times New Roman" w:eastAsiaTheme="minorEastAsia" w:hAnsi="Times New Roman" w:cs="Times New Roman"/>
          <w:sz w:val="24"/>
          <w:szCs w:val="24"/>
        </w:rPr>
        <w:t xml:space="preserve"> dla przedsiębiorcy wyznaczonego.</w:t>
      </w:r>
    </w:p>
    <w:p w14:paraId="512FFBF6" w14:textId="0E2D3032"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66</w:t>
      </w:r>
      <w:r w:rsidR="00351B5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zgodnie z projektowanym przepisem, do finansowania dopłaty do poniesionego przez przedsiębiorcę wyznaczonego kosztu netto zobligowani będą przedsiębiorcy telekomunikacyjni, których przychód w danym roku przekroczy 10 mln złotych. Określenie progu dochodowego ma na celu zwolnienie przedsiębiorców, których skala prowadzonej działalności jest nieduża.</w:t>
      </w:r>
    </w:p>
    <w:p w14:paraId="1A1A07CB" w14:textId="6D1FBFEA" w:rsidR="009D530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67</w:t>
      </w:r>
      <w:r w:rsidR="00351B5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 projektowany przepis reguluje sposób pozyskiwania środków finansowych w celu sfinansowania </w:t>
      </w:r>
      <w:r w:rsidR="009D5300" w:rsidRPr="003A42FB">
        <w:rPr>
          <w:rFonts w:ascii="Times New Roman" w:eastAsiaTheme="minorEastAsia" w:hAnsi="Times New Roman" w:cs="Times New Roman"/>
          <w:sz w:val="24"/>
          <w:szCs w:val="24"/>
        </w:rPr>
        <w:t>dopłaty</w:t>
      </w:r>
      <w:r w:rsidRPr="003A42FB">
        <w:rPr>
          <w:rFonts w:ascii="Times New Roman" w:eastAsiaTheme="minorEastAsia" w:hAnsi="Times New Roman" w:cs="Times New Roman"/>
          <w:sz w:val="24"/>
          <w:szCs w:val="24"/>
        </w:rPr>
        <w:t>. Prezes UKE</w:t>
      </w:r>
      <w:r w:rsidR="00C44753">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 drodze decyzji</w:t>
      </w:r>
      <w:r w:rsidR="00C44753">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określa przedsiębiorców obowiązanych do udziału w finansowaniu dopłaty związanej z realizacją obowiązku w zakresie usługi powszechnej oraz jednolity wskaźnik procentowy </w:t>
      </w:r>
      <w:r w:rsidR="342C479A" w:rsidRPr="003A42FB">
        <w:rPr>
          <w:rFonts w:ascii="Times New Roman" w:eastAsiaTheme="minorEastAsia" w:hAnsi="Times New Roman" w:cs="Times New Roman"/>
          <w:sz w:val="24"/>
          <w:szCs w:val="24"/>
        </w:rPr>
        <w:t xml:space="preserve">ich </w:t>
      </w:r>
      <w:r w:rsidRPr="003A42FB">
        <w:rPr>
          <w:rFonts w:ascii="Times New Roman" w:eastAsiaTheme="minorEastAsia" w:hAnsi="Times New Roman" w:cs="Times New Roman"/>
          <w:sz w:val="24"/>
          <w:szCs w:val="24"/>
        </w:rPr>
        <w:t xml:space="preserve">udziału w finansowaniu </w:t>
      </w:r>
      <w:r w:rsidR="160851C0" w:rsidRPr="003A42FB">
        <w:rPr>
          <w:rFonts w:ascii="Times New Roman" w:eastAsiaTheme="minorEastAsia" w:hAnsi="Times New Roman" w:cs="Times New Roman"/>
          <w:sz w:val="24"/>
          <w:szCs w:val="24"/>
        </w:rPr>
        <w:t>dopłat</w:t>
      </w:r>
      <w:r w:rsidR="7A22330E" w:rsidRPr="003A42FB">
        <w:rPr>
          <w:rFonts w:ascii="Times New Roman" w:eastAsiaTheme="minorEastAsia" w:hAnsi="Times New Roman" w:cs="Times New Roman"/>
          <w:sz w:val="24"/>
          <w:szCs w:val="24"/>
        </w:rPr>
        <w:t>y oraz sposób ustalenia kwoty udziału poszczególnych przedsiębiorców telekomunikacyjnych w pokryciu dopłaty</w:t>
      </w:r>
      <w:r w:rsidRPr="003A42FB">
        <w:rPr>
          <w:rFonts w:ascii="Times New Roman" w:eastAsiaTheme="minorEastAsia" w:hAnsi="Times New Roman" w:cs="Times New Roman"/>
          <w:sz w:val="24"/>
          <w:szCs w:val="24"/>
        </w:rPr>
        <w:t xml:space="preserve">. Stronami w prowadzonym przez Prezesa UKE postępowaniu administracyjnym jest każdy przedsiębiorca telekomunikacyjny obowiązany do </w:t>
      </w:r>
      <w:r w:rsidR="7CA947AC" w:rsidRPr="003A42FB">
        <w:rPr>
          <w:rFonts w:ascii="Times New Roman" w:eastAsiaTheme="minorEastAsia" w:hAnsi="Times New Roman" w:cs="Times New Roman"/>
          <w:sz w:val="24"/>
          <w:szCs w:val="24"/>
        </w:rPr>
        <w:t>udziału w finansowaniu</w:t>
      </w:r>
      <w:r w:rsidRPr="003A42FB">
        <w:rPr>
          <w:rFonts w:ascii="Times New Roman" w:eastAsiaTheme="minorEastAsia" w:hAnsi="Times New Roman" w:cs="Times New Roman"/>
          <w:sz w:val="24"/>
          <w:szCs w:val="24"/>
        </w:rPr>
        <w:t xml:space="preserve"> dopłaty. </w:t>
      </w:r>
      <w:r w:rsidR="0E447643" w:rsidRPr="003A42FB">
        <w:rPr>
          <w:rFonts w:ascii="Times New Roman" w:eastAsiaTheme="minorEastAsia" w:hAnsi="Times New Roman" w:cs="Times New Roman"/>
          <w:sz w:val="24"/>
          <w:szCs w:val="24"/>
        </w:rPr>
        <w:t>Mechanizm finansowania kosztu netto spełnia zapisan</w:t>
      </w:r>
      <w:r w:rsidR="2370D87D" w:rsidRPr="003A42FB">
        <w:rPr>
          <w:rFonts w:ascii="Times New Roman" w:eastAsiaTheme="minorEastAsia" w:hAnsi="Times New Roman" w:cs="Times New Roman"/>
          <w:sz w:val="24"/>
          <w:szCs w:val="24"/>
        </w:rPr>
        <w:t>e w art. 90 ust.2 EKŁE</w:t>
      </w:r>
      <w:r w:rsidR="0E447643" w:rsidRPr="003A42FB">
        <w:rPr>
          <w:rFonts w:ascii="Times New Roman" w:eastAsiaTheme="minorEastAsia" w:hAnsi="Times New Roman" w:cs="Times New Roman"/>
          <w:sz w:val="24"/>
          <w:szCs w:val="24"/>
        </w:rPr>
        <w:t xml:space="preserve"> zasady przejrzystości, jak najmniejszego zakłócania rynku, niedyskryminacji i </w:t>
      </w:r>
      <w:r w:rsidR="716F30D4" w:rsidRPr="003A42FB">
        <w:rPr>
          <w:rFonts w:ascii="Times New Roman" w:eastAsiaTheme="minorEastAsia" w:hAnsi="Times New Roman" w:cs="Times New Roman"/>
          <w:sz w:val="24"/>
          <w:szCs w:val="24"/>
        </w:rPr>
        <w:t xml:space="preserve">proporcjonalności m.in. poprzez </w:t>
      </w:r>
      <w:r w:rsidR="73BD66C4" w:rsidRPr="003A42FB">
        <w:rPr>
          <w:rFonts w:ascii="Times New Roman" w:eastAsiaTheme="minorEastAsia" w:hAnsi="Times New Roman" w:cs="Times New Roman"/>
          <w:sz w:val="24"/>
          <w:szCs w:val="24"/>
        </w:rPr>
        <w:t>ograniczenie wysokości ud</w:t>
      </w:r>
      <w:r w:rsidR="73F83E63" w:rsidRPr="003A42FB">
        <w:rPr>
          <w:rFonts w:ascii="Times New Roman" w:eastAsiaTheme="minorEastAsia" w:hAnsi="Times New Roman" w:cs="Times New Roman"/>
          <w:sz w:val="24"/>
          <w:szCs w:val="24"/>
        </w:rPr>
        <w:t>ziału danego przedsiębiorcy w pokryciu dopłaty czy zależność udziału danego przedsiębiorcy od jego przychodó</w:t>
      </w:r>
      <w:r w:rsidR="474610A8" w:rsidRPr="003A42FB">
        <w:rPr>
          <w:rFonts w:ascii="Times New Roman" w:eastAsiaTheme="minorEastAsia" w:hAnsi="Times New Roman" w:cs="Times New Roman"/>
          <w:sz w:val="24"/>
          <w:szCs w:val="24"/>
        </w:rPr>
        <w:t>w</w:t>
      </w:r>
      <w:r w:rsidR="73F83E63" w:rsidRPr="003A42FB">
        <w:rPr>
          <w:rFonts w:ascii="Times New Roman" w:eastAsiaTheme="minorEastAsia" w:hAnsi="Times New Roman" w:cs="Times New Roman"/>
          <w:sz w:val="24"/>
          <w:szCs w:val="24"/>
        </w:rPr>
        <w:t xml:space="preserve"> z działal</w:t>
      </w:r>
      <w:r w:rsidR="7BF14E28" w:rsidRPr="003A42FB">
        <w:rPr>
          <w:rFonts w:ascii="Times New Roman" w:eastAsiaTheme="minorEastAsia" w:hAnsi="Times New Roman" w:cs="Times New Roman"/>
          <w:sz w:val="24"/>
          <w:szCs w:val="24"/>
        </w:rPr>
        <w:t>ności telekomunikacyjnej</w:t>
      </w:r>
      <w:r w:rsidR="009D5300" w:rsidRPr="003A42FB">
        <w:rPr>
          <w:rFonts w:ascii="Times New Roman" w:eastAsiaTheme="minorEastAsia" w:hAnsi="Times New Roman" w:cs="Times New Roman"/>
          <w:sz w:val="24"/>
          <w:szCs w:val="24"/>
        </w:rPr>
        <w:t>.</w:t>
      </w:r>
    </w:p>
    <w:p w14:paraId="304B37DF" w14:textId="37AECBBD" w:rsidR="3748E28E" w:rsidRPr="003A42FB" w:rsidRDefault="3748E28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Projektodawca wprowadza nowy sposób liczenia udziału danego przedsiębiorcy telekomunikacyjnego w pokryciu dopłaty jako iloczyn jednolitego wskaźnika procentowego, oraz kwoty przychodów tego przedsiębiorcy z działalności telekomunikacyjnej w danym roku kalendarzowym, w części przekraczającej 10 milionów złotych</w:t>
      </w:r>
      <w:r w:rsidR="3E7E1D4A" w:rsidRPr="003A42FB">
        <w:rPr>
          <w:rFonts w:ascii="Times New Roman" w:eastAsiaTheme="minorEastAsia" w:hAnsi="Times New Roman" w:cs="Times New Roman"/>
          <w:sz w:val="24"/>
          <w:szCs w:val="24"/>
        </w:rPr>
        <w:t xml:space="preserve">. Jest to zasada </w:t>
      </w:r>
      <w:r w:rsidR="63AB6F1A" w:rsidRPr="003A42FB">
        <w:rPr>
          <w:rFonts w:ascii="Times New Roman" w:eastAsiaTheme="minorEastAsia" w:hAnsi="Times New Roman" w:cs="Times New Roman"/>
          <w:sz w:val="24"/>
          <w:szCs w:val="24"/>
        </w:rPr>
        <w:t xml:space="preserve">analogiczna </w:t>
      </w:r>
      <w:r w:rsidR="2F460313" w:rsidRPr="003A42FB">
        <w:rPr>
          <w:rFonts w:ascii="Times New Roman" w:eastAsiaTheme="minorEastAsia" w:hAnsi="Times New Roman" w:cs="Times New Roman"/>
          <w:sz w:val="24"/>
          <w:szCs w:val="24"/>
        </w:rPr>
        <w:t>do tej</w:t>
      </w:r>
      <w:r w:rsidR="63AB6F1A" w:rsidRPr="003A42FB">
        <w:rPr>
          <w:rFonts w:ascii="Times New Roman" w:eastAsiaTheme="minorEastAsia" w:hAnsi="Times New Roman" w:cs="Times New Roman"/>
          <w:sz w:val="24"/>
          <w:szCs w:val="24"/>
        </w:rPr>
        <w:t xml:space="preserve"> </w:t>
      </w:r>
      <w:r w:rsidR="736A0583" w:rsidRPr="003A42FB">
        <w:rPr>
          <w:rFonts w:ascii="Times New Roman" w:eastAsiaTheme="minorEastAsia" w:hAnsi="Times New Roman" w:cs="Times New Roman"/>
          <w:sz w:val="24"/>
          <w:szCs w:val="24"/>
        </w:rPr>
        <w:t xml:space="preserve">obecnie </w:t>
      </w:r>
      <w:r w:rsidR="3E7E1D4A" w:rsidRPr="003A42FB">
        <w:rPr>
          <w:rFonts w:ascii="Times New Roman" w:eastAsiaTheme="minorEastAsia" w:hAnsi="Times New Roman" w:cs="Times New Roman"/>
          <w:sz w:val="24"/>
          <w:szCs w:val="24"/>
        </w:rPr>
        <w:t>s</w:t>
      </w:r>
      <w:r w:rsidR="3D3B1BA1" w:rsidRPr="003A42FB">
        <w:rPr>
          <w:rFonts w:ascii="Times New Roman" w:eastAsiaTheme="minorEastAsia" w:hAnsi="Times New Roman" w:cs="Times New Roman"/>
          <w:sz w:val="24"/>
          <w:szCs w:val="24"/>
        </w:rPr>
        <w:t>t</w:t>
      </w:r>
      <w:r w:rsidR="3E7E1D4A" w:rsidRPr="003A42FB">
        <w:rPr>
          <w:rFonts w:ascii="Times New Roman" w:eastAsiaTheme="minorEastAsia" w:hAnsi="Times New Roman" w:cs="Times New Roman"/>
          <w:sz w:val="24"/>
          <w:szCs w:val="24"/>
        </w:rPr>
        <w:t>osowan</w:t>
      </w:r>
      <w:r w:rsidR="03557512" w:rsidRPr="003A42FB">
        <w:rPr>
          <w:rFonts w:ascii="Times New Roman" w:eastAsiaTheme="minorEastAsia" w:hAnsi="Times New Roman" w:cs="Times New Roman"/>
          <w:sz w:val="24"/>
          <w:szCs w:val="24"/>
        </w:rPr>
        <w:t>ej</w:t>
      </w:r>
      <w:r w:rsidR="3E7E1D4A" w:rsidRPr="003A42FB">
        <w:rPr>
          <w:rFonts w:ascii="Times New Roman" w:eastAsiaTheme="minorEastAsia" w:hAnsi="Times New Roman" w:cs="Times New Roman"/>
          <w:sz w:val="24"/>
          <w:szCs w:val="24"/>
        </w:rPr>
        <w:t xml:space="preserve"> w przypadku </w:t>
      </w:r>
      <w:r w:rsidR="34168306" w:rsidRPr="003A42FB">
        <w:rPr>
          <w:rFonts w:ascii="Times New Roman" w:eastAsiaTheme="minorEastAsia" w:hAnsi="Times New Roman" w:cs="Times New Roman"/>
          <w:sz w:val="24"/>
          <w:szCs w:val="24"/>
        </w:rPr>
        <w:t>finansowania obowiązku świadczenia usług powszechnych</w:t>
      </w:r>
      <w:r w:rsidR="006E29A6" w:rsidRPr="003A42FB">
        <w:rPr>
          <w:rFonts w:ascii="Times New Roman" w:eastAsiaTheme="minorEastAsia" w:hAnsi="Times New Roman" w:cs="Times New Roman"/>
          <w:sz w:val="24"/>
          <w:szCs w:val="24"/>
        </w:rPr>
        <w:t xml:space="preserve"> na podstawie</w:t>
      </w:r>
      <w:r w:rsidR="2E5D6429" w:rsidRPr="003A42FB">
        <w:rPr>
          <w:rFonts w:ascii="Times New Roman" w:eastAsiaTheme="minorEastAsia" w:hAnsi="Times New Roman" w:cs="Times New Roman"/>
          <w:sz w:val="24"/>
          <w:szCs w:val="24"/>
        </w:rPr>
        <w:t xml:space="preserve"> ustawy z dnia 23 listopada 2012 r. - Prawo pocztowe (Dz. U. </w:t>
      </w:r>
      <w:r w:rsidR="007864B2" w:rsidRPr="003A42FB">
        <w:rPr>
          <w:rFonts w:ascii="Times New Roman" w:eastAsiaTheme="minorEastAsia" w:hAnsi="Times New Roman" w:cs="Times New Roman"/>
          <w:sz w:val="24"/>
          <w:szCs w:val="24"/>
        </w:rPr>
        <w:t>2020 r. poz. 1041</w:t>
      </w:r>
      <w:r w:rsidR="0761EE75" w:rsidRPr="003A42FB">
        <w:rPr>
          <w:rFonts w:ascii="Times New Roman" w:eastAsiaTheme="minorEastAsia" w:hAnsi="Times New Roman" w:cs="Times New Roman"/>
          <w:sz w:val="24"/>
          <w:szCs w:val="24"/>
        </w:rPr>
        <w:t>)</w:t>
      </w:r>
      <w:r w:rsidR="0FC5234A" w:rsidRPr="003A42FB">
        <w:rPr>
          <w:rFonts w:ascii="Times New Roman" w:eastAsiaTheme="minorEastAsia" w:hAnsi="Times New Roman" w:cs="Times New Roman"/>
          <w:sz w:val="24"/>
          <w:szCs w:val="24"/>
        </w:rPr>
        <w:t>.</w:t>
      </w:r>
    </w:p>
    <w:p w14:paraId="3A430097" w14:textId="4555610F" w:rsidR="009D5300" w:rsidRPr="003A42FB" w:rsidRDefault="009D5300" w:rsidP="0058175A">
      <w:pPr>
        <w:spacing w:after="120" w:line="240" w:lineRule="auto"/>
        <w:jc w:val="both"/>
        <w:rPr>
          <w:rFonts w:ascii="Times New Roman" w:hAnsi="Times New Roman" w:cs="Times New Roman"/>
          <w:sz w:val="24"/>
          <w:szCs w:val="24"/>
        </w:rPr>
      </w:pPr>
      <w:r w:rsidRPr="003A42FB">
        <w:rPr>
          <w:rFonts w:ascii="Times New Roman" w:eastAsiaTheme="minorEastAsia" w:hAnsi="Times New Roman" w:cs="Times New Roman"/>
          <w:sz w:val="24"/>
          <w:szCs w:val="24"/>
        </w:rPr>
        <w:t>W związku z tym, że dotychczasowe postępowania administracyjne</w:t>
      </w:r>
      <w:r w:rsidR="00C44753">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dotyczące dopłaty w ramach usługi powszechnej, były bardzo długotrwałe</w:t>
      </w:r>
      <w:r w:rsidR="00381661"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co wynikało m.in. z dużej ilości stron w postępowaniu (ponad 100) wprowadzono ustęp 3, który umożliwia w postępowaniu dotyczącym wydania decyzji w sprawie dopłaty nie zawieszać postępowania </w:t>
      </w:r>
      <w:r w:rsidRPr="003A42FB">
        <w:rPr>
          <w:rFonts w:ascii="Times New Roman" w:hAnsi="Times New Roman" w:cs="Times New Roman"/>
          <w:sz w:val="24"/>
          <w:szCs w:val="24"/>
        </w:rPr>
        <w:t>w przypadkach określonych w art. 97 § 1 pkt 1-3a ustawy z dnia 14 czerwca 1960 r. Kodeks postępowania administracyjnego oraz daje możliwość</w:t>
      </w:r>
      <w:r w:rsidR="00381661" w:rsidRPr="003A42FB">
        <w:rPr>
          <w:rFonts w:ascii="Times New Roman" w:hAnsi="Times New Roman" w:cs="Times New Roman"/>
          <w:sz w:val="24"/>
          <w:szCs w:val="24"/>
        </w:rPr>
        <w:t>,</w:t>
      </w:r>
      <w:r w:rsidRPr="003A42FB">
        <w:rPr>
          <w:rFonts w:ascii="Times New Roman" w:hAnsi="Times New Roman" w:cs="Times New Roman"/>
          <w:sz w:val="24"/>
          <w:szCs w:val="24"/>
        </w:rPr>
        <w:t xml:space="preserve"> </w:t>
      </w:r>
      <w:r w:rsidR="00381661" w:rsidRPr="003A42FB">
        <w:rPr>
          <w:rFonts w:ascii="Times New Roman" w:hAnsi="Times New Roman" w:cs="Times New Roman"/>
          <w:sz w:val="24"/>
          <w:szCs w:val="24"/>
        </w:rPr>
        <w:t xml:space="preserve">w ściśle określonych w </w:t>
      </w:r>
      <w:r w:rsidR="008F7011" w:rsidRPr="003A42FB">
        <w:rPr>
          <w:rFonts w:ascii="Times New Roman" w:hAnsi="Times New Roman" w:cs="Times New Roman"/>
          <w:sz w:val="24"/>
          <w:szCs w:val="24"/>
        </w:rPr>
        <w:t>tym ustępie</w:t>
      </w:r>
      <w:r w:rsidR="00381661" w:rsidRPr="003A42FB">
        <w:rPr>
          <w:rFonts w:ascii="Times New Roman" w:hAnsi="Times New Roman" w:cs="Times New Roman"/>
          <w:sz w:val="24"/>
          <w:szCs w:val="24"/>
        </w:rPr>
        <w:t xml:space="preserve"> przypadkach, wyznaczenie przez Prezesa </w:t>
      </w:r>
      <w:r w:rsidRPr="003A42FB">
        <w:rPr>
          <w:rFonts w:ascii="Times New Roman" w:hAnsi="Times New Roman" w:cs="Times New Roman"/>
          <w:sz w:val="24"/>
          <w:szCs w:val="24"/>
        </w:rPr>
        <w:t>UKE</w:t>
      </w:r>
      <w:r w:rsidR="00C44753">
        <w:rPr>
          <w:rFonts w:ascii="Times New Roman" w:hAnsi="Times New Roman" w:cs="Times New Roman"/>
          <w:sz w:val="24"/>
          <w:szCs w:val="24"/>
        </w:rPr>
        <w:t>,</w:t>
      </w:r>
      <w:r w:rsidRPr="003A42FB">
        <w:rPr>
          <w:rFonts w:ascii="Times New Roman" w:hAnsi="Times New Roman" w:cs="Times New Roman"/>
          <w:sz w:val="24"/>
          <w:szCs w:val="24"/>
        </w:rPr>
        <w:t xml:space="preserve"> z urzędu</w:t>
      </w:r>
      <w:r w:rsidR="00C44753">
        <w:rPr>
          <w:rFonts w:ascii="Times New Roman" w:hAnsi="Times New Roman" w:cs="Times New Roman"/>
          <w:sz w:val="24"/>
          <w:szCs w:val="24"/>
        </w:rPr>
        <w:t>,</w:t>
      </w:r>
      <w:r w:rsidRPr="003A42FB">
        <w:rPr>
          <w:rFonts w:ascii="Times New Roman" w:hAnsi="Times New Roman" w:cs="Times New Roman"/>
          <w:sz w:val="24"/>
          <w:szCs w:val="24"/>
        </w:rPr>
        <w:t xml:space="preserve"> przedstawiciela uprawnionego do działania w postępowaniu do czasu wyznaczenia przedstawiciela lub kuratora przez sąd.</w:t>
      </w:r>
    </w:p>
    <w:p w14:paraId="554BDEE9" w14:textId="1967EB73" w:rsidR="00381661" w:rsidRPr="003A42FB" w:rsidRDefault="00381661" w:rsidP="0058175A">
      <w:pPr>
        <w:spacing w:after="120" w:line="240" w:lineRule="auto"/>
        <w:jc w:val="both"/>
        <w:rPr>
          <w:rFonts w:ascii="Times New Roman" w:hAnsi="Times New Roman" w:cs="Times New Roman"/>
          <w:sz w:val="24"/>
          <w:szCs w:val="24"/>
        </w:rPr>
      </w:pPr>
      <w:r w:rsidRPr="003A42FB">
        <w:rPr>
          <w:rFonts w:ascii="Times New Roman" w:hAnsi="Times New Roman" w:cs="Times New Roman"/>
          <w:sz w:val="24"/>
          <w:szCs w:val="24"/>
        </w:rPr>
        <w:t>Podobne rozwiązania funkcjonują już w:</w:t>
      </w:r>
    </w:p>
    <w:p w14:paraId="5D9A3B7A" w14:textId="4DB9CDC0" w:rsidR="00807BE6" w:rsidRPr="003A42FB" w:rsidRDefault="00381661" w:rsidP="0058175A">
      <w:pPr>
        <w:pStyle w:val="Akapitzlist"/>
        <w:numPr>
          <w:ilvl w:val="1"/>
          <w:numId w:val="77"/>
        </w:numPr>
        <w:ind w:left="1276" w:hanging="567"/>
        <w:rPr>
          <w:rFonts w:ascii="Times New Roman" w:hAnsi="Times New Roman" w:cs="Times New Roman"/>
          <w:i/>
          <w:sz w:val="24"/>
          <w:szCs w:val="24"/>
        </w:rPr>
      </w:pPr>
      <w:r w:rsidRPr="005F69BF">
        <w:rPr>
          <w:rFonts w:ascii="Times New Roman" w:hAnsi="Times New Roman" w:cs="Times New Roman"/>
          <w:bCs/>
          <w:i/>
          <w:sz w:val="24"/>
          <w:szCs w:val="24"/>
        </w:rPr>
        <w:t>Ustawie z dnia 8 lipca 2010 r. o szczególnych zasadach przygotowania do realizacji inwestycji w zakresie bu</w:t>
      </w:r>
      <w:r w:rsidR="00E71649" w:rsidRPr="005F69BF">
        <w:rPr>
          <w:rFonts w:ascii="Times New Roman" w:hAnsi="Times New Roman" w:cs="Times New Roman"/>
          <w:bCs/>
          <w:i/>
          <w:sz w:val="24"/>
          <w:szCs w:val="24"/>
        </w:rPr>
        <w:t>dowli przeciwpowodziowych (t.j.</w:t>
      </w:r>
      <w:r w:rsidR="0082540E" w:rsidRPr="005F69BF">
        <w:rPr>
          <w:rFonts w:ascii="Times New Roman" w:hAnsi="Times New Roman" w:cs="Times New Roman"/>
          <w:bCs/>
          <w:i/>
          <w:sz w:val="24"/>
          <w:szCs w:val="24"/>
        </w:rPr>
        <w:t xml:space="preserve"> </w:t>
      </w:r>
      <w:r w:rsidRPr="005F69BF">
        <w:rPr>
          <w:rFonts w:ascii="Times New Roman" w:hAnsi="Times New Roman" w:cs="Times New Roman"/>
          <w:bCs/>
          <w:i/>
          <w:sz w:val="24"/>
          <w:szCs w:val="24"/>
        </w:rPr>
        <w:t>Dz.U. z 2019 r. poz. 933, z późn. zm.)</w:t>
      </w:r>
      <w:r w:rsidRPr="003A42FB">
        <w:rPr>
          <w:rFonts w:ascii="Times New Roman" w:hAnsi="Times New Roman" w:cs="Times New Roman"/>
          <w:b/>
          <w:bCs/>
          <w:sz w:val="24"/>
          <w:szCs w:val="24"/>
        </w:rPr>
        <w:t xml:space="preserve"> </w:t>
      </w:r>
      <w:r w:rsidR="00C221E7" w:rsidRPr="003A42FB">
        <w:rPr>
          <w:rFonts w:ascii="Times New Roman" w:hAnsi="Times New Roman" w:cs="Times New Roman"/>
          <w:b/>
          <w:bCs/>
          <w:sz w:val="24"/>
          <w:szCs w:val="24"/>
        </w:rPr>
        <w:t xml:space="preserve">─ </w:t>
      </w:r>
      <w:r w:rsidR="00C221E7" w:rsidRPr="003A42FB">
        <w:rPr>
          <w:rFonts w:ascii="Times New Roman" w:hAnsi="Times New Roman" w:cs="Times New Roman"/>
          <w:bCs/>
          <w:sz w:val="24"/>
          <w:szCs w:val="24"/>
        </w:rPr>
        <w:t xml:space="preserve">art. 8 dotyczący postępowań </w:t>
      </w:r>
      <w:r w:rsidRPr="003A42FB">
        <w:rPr>
          <w:rFonts w:ascii="Times New Roman" w:hAnsi="Times New Roman" w:cs="Times New Roman"/>
          <w:sz w:val="24"/>
          <w:szCs w:val="24"/>
        </w:rPr>
        <w:t>w sprawie wydania decyzji o pozwoleniu na realizację inwestycj</w:t>
      </w:r>
      <w:r w:rsidR="004F68C3" w:rsidRPr="003A42FB">
        <w:rPr>
          <w:rFonts w:ascii="Times New Roman" w:hAnsi="Times New Roman" w:cs="Times New Roman"/>
          <w:sz w:val="24"/>
          <w:szCs w:val="24"/>
        </w:rPr>
        <w:t>i</w:t>
      </w:r>
      <w:r w:rsidR="00C221E7" w:rsidRPr="003A42FB">
        <w:rPr>
          <w:rFonts w:ascii="Times New Roman" w:hAnsi="Times New Roman" w:cs="Times New Roman"/>
          <w:i/>
          <w:sz w:val="24"/>
          <w:szCs w:val="24"/>
        </w:rPr>
        <w:t>;</w:t>
      </w:r>
    </w:p>
    <w:p w14:paraId="429B35D3" w14:textId="76127422" w:rsidR="00351B53" w:rsidRPr="005F69BF" w:rsidRDefault="00381661" w:rsidP="0058175A">
      <w:pPr>
        <w:pStyle w:val="Akapitzlist"/>
        <w:numPr>
          <w:ilvl w:val="0"/>
          <w:numId w:val="75"/>
        </w:numPr>
        <w:spacing w:after="120" w:line="240" w:lineRule="auto"/>
        <w:ind w:left="1276" w:hanging="567"/>
        <w:jc w:val="both"/>
        <w:rPr>
          <w:rFonts w:ascii="Times New Roman" w:hAnsi="Times New Roman" w:cs="Times New Roman"/>
          <w:i/>
          <w:sz w:val="24"/>
          <w:szCs w:val="24"/>
        </w:rPr>
      </w:pPr>
      <w:r w:rsidRPr="005F69BF">
        <w:rPr>
          <w:rFonts w:ascii="Times New Roman" w:hAnsi="Times New Roman" w:cs="Times New Roman"/>
          <w:bCs/>
          <w:i/>
          <w:sz w:val="24"/>
          <w:szCs w:val="24"/>
          <w:shd w:val="clear" w:color="auto" w:fill="FBFBFB"/>
        </w:rPr>
        <w:t>Ustawie z dnia 24 kwietnia 2009 r. o inwestycjach w zakresie terminalu regazyfikacyjnego skroplonego gazu ziemnego w Świnoujściu (t.j. Dz.U. z 2020 r. poz. 1866</w:t>
      </w:r>
      <w:r w:rsidR="0082540E" w:rsidRPr="005F69BF">
        <w:rPr>
          <w:rFonts w:ascii="Times New Roman" w:hAnsi="Times New Roman" w:cs="Times New Roman"/>
          <w:bCs/>
          <w:i/>
          <w:sz w:val="24"/>
          <w:szCs w:val="24"/>
          <w:shd w:val="clear" w:color="auto" w:fill="FBFBFB"/>
        </w:rPr>
        <w:t xml:space="preserve"> z późn.zm.</w:t>
      </w:r>
      <w:r w:rsidRPr="005F69BF">
        <w:rPr>
          <w:rFonts w:ascii="Times New Roman" w:hAnsi="Times New Roman" w:cs="Times New Roman"/>
          <w:bCs/>
          <w:i/>
          <w:sz w:val="24"/>
          <w:szCs w:val="24"/>
          <w:shd w:val="clear" w:color="auto" w:fill="FBFBFB"/>
        </w:rPr>
        <w:t>)</w:t>
      </w:r>
      <w:r w:rsidRPr="003A42FB">
        <w:rPr>
          <w:rFonts w:ascii="Times New Roman" w:hAnsi="Times New Roman" w:cs="Times New Roman"/>
          <w:b/>
          <w:bCs/>
          <w:sz w:val="24"/>
          <w:szCs w:val="24"/>
          <w:shd w:val="clear" w:color="auto" w:fill="FBFBFB"/>
        </w:rPr>
        <w:t xml:space="preserve"> </w:t>
      </w:r>
      <w:r w:rsidR="00E71649" w:rsidRPr="003A42FB">
        <w:rPr>
          <w:rFonts w:ascii="Times New Roman" w:hAnsi="Times New Roman" w:cs="Times New Roman"/>
          <w:b/>
          <w:bCs/>
          <w:sz w:val="24"/>
          <w:szCs w:val="24"/>
          <w:shd w:val="clear" w:color="auto" w:fill="FBFBFB"/>
        </w:rPr>
        <w:t xml:space="preserve">─ </w:t>
      </w:r>
      <w:r w:rsidR="00E71649" w:rsidRPr="003A42FB">
        <w:rPr>
          <w:rFonts w:ascii="Times New Roman" w:hAnsi="Times New Roman" w:cs="Times New Roman"/>
          <w:sz w:val="24"/>
          <w:szCs w:val="24"/>
        </w:rPr>
        <w:t>a</w:t>
      </w:r>
      <w:r w:rsidRPr="003A42FB">
        <w:rPr>
          <w:rFonts w:ascii="Times New Roman" w:hAnsi="Times New Roman" w:cs="Times New Roman"/>
          <w:sz w:val="24"/>
          <w:szCs w:val="24"/>
        </w:rPr>
        <w:t>rt. 9</w:t>
      </w:r>
      <w:r w:rsidR="00E71649" w:rsidRPr="003A42FB">
        <w:rPr>
          <w:rFonts w:ascii="Times New Roman" w:hAnsi="Times New Roman" w:cs="Times New Roman"/>
          <w:sz w:val="24"/>
          <w:szCs w:val="24"/>
        </w:rPr>
        <w:t xml:space="preserve"> dotyczący postępowań</w:t>
      </w:r>
      <w:r w:rsidRPr="003A42FB">
        <w:rPr>
          <w:rFonts w:ascii="Times New Roman" w:hAnsi="Times New Roman" w:cs="Times New Roman"/>
          <w:sz w:val="24"/>
          <w:szCs w:val="24"/>
        </w:rPr>
        <w:t xml:space="preserve"> o ustalenie lokalizacji inwestycji w zakresie terminalu</w:t>
      </w:r>
      <w:r w:rsidR="00E71649" w:rsidRPr="00351B53">
        <w:rPr>
          <w:rFonts w:ascii="Times New Roman" w:hAnsi="Times New Roman" w:cs="Times New Roman"/>
          <w:sz w:val="24"/>
          <w:szCs w:val="24"/>
        </w:rPr>
        <w:t>;</w:t>
      </w:r>
    </w:p>
    <w:p w14:paraId="6CB2E1B6" w14:textId="576CA9E8" w:rsidR="00807BE6" w:rsidRPr="003A42FB" w:rsidRDefault="0082540E" w:rsidP="0058175A">
      <w:pPr>
        <w:pStyle w:val="Akapitzlist"/>
        <w:numPr>
          <w:ilvl w:val="0"/>
          <w:numId w:val="75"/>
        </w:numPr>
        <w:spacing w:after="120" w:line="240" w:lineRule="auto"/>
        <w:ind w:left="1276" w:hanging="567"/>
        <w:jc w:val="both"/>
        <w:rPr>
          <w:rFonts w:ascii="Times New Roman" w:hAnsi="Times New Roman" w:cs="Times New Roman"/>
          <w:i/>
          <w:sz w:val="24"/>
          <w:szCs w:val="24"/>
        </w:rPr>
      </w:pPr>
      <w:r w:rsidRPr="005F69BF">
        <w:rPr>
          <w:rFonts w:ascii="Times New Roman" w:hAnsi="Times New Roman" w:cs="Times New Roman"/>
          <w:bCs/>
          <w:i/>
          <w:sz w:val="24"/>
          <w:szCs w:val="24"/>
        </w:rPr>
        <w:t xml:space="preserve">Ustawie </w:t>
      </w:r>
      <w:r w:rsidRPr="005F69BF">
        <w:rPr>
          <w:rFonts w:ascii="Times New Roman" w:hAnsi="Times New Roman" w:cs="Times New Roman"/>
          <w:i/>
          <w:sz w:val="24"/>
          <w:szCs w:val="24"/>
          <w:lang w:eastAsia="pl-PL"/>
        </w:rPr>
        <w:t>z dnia 7 maja 2010 r.</w:t>
      </w:r>
      <w:r w:rsidRPr="005F69BF">
        <w:rPr>
          <w:rFonts w:ascii="Times New Roman" w:hAnsi="Times New Roman" w:cs="Times New Roman"/>
          <w:bCs/>
          <w:i/>
          <w:sz w:val="24"/>
          <w:szCs w:val="24"/>
          <w:lang w:eastAsia="pl-PL"/>
        </w:rPr>
        <w:t xml:space="preserve"> </w:t>
      </w:r>
      <w:r w:rsidRPr="005F69BF">
        <w:rPr>
          <w:rFonts w:ascii="Times New Roman" w:hAnsi="Times New Roman" w:cs="Times New Roman"/>
          <w:bCs/>
          <w:i/>
          <w:sz w:val="24"/>
          <w:szCs w:val="24"/>
          <w:shd w:val="clear" w:color="auto" w:fill="FFFFFF"/>
        </w:rPr>
        <w:t xml:space="preserve">o wspieraniu rozwoju usług i sieci telekomunikacyjnych </w:t>
      </w:r>
      <w:hyperlink r:id="rId25" w:history="1">
        <w:r w:rsidRPr="005F69BF">
          <w:rPr>
            <w:rStyle w:val="Hipercze"/>
            <w:rFonts w:ascii="Times New Roman" w:hAnsi="Times New Roman" w:cs="Times New Roman"/>
            <w:bCs/>
            <w:i/>
            <w:color w:val="auto"/>
            <w:sz w:val="24"/>
            <w:szCs w:val="24"/>
            <w:lang w:eastAsia="pl-PL"/>
          </w:rPr>
          <w:t>(t.j. Dz.U. z 2019 r. poz. 2410 z późn. zm.)</w:t>
        </w:r>
      </w:hyperlink>
      <w:r w:rsidRPr="003A42FB">
        <w:rPr>
          <w:rFonts w:ascii="Times New Roman" w:hAnsi="Times New Roman" w:cs="Times New Roman"/>
          <w:sz w:val="24"/>
          <w:szCs w:val="24"/>
        </w:rPr>
        <w:t xml:space="preserve"> ─ art. 50 ust. 5 dotyczący </w:t>
      </w:r>
      <w:r w:rsidRPr="003A42FB">
        <w:rPr>
          <w:rFonts w:ascii="Times New Roman" w:hAnsi="Times New Roman" w:cs="Times New Roman"/>
          <w:sz w:val="24"/>
          <w:szCs w:val="24"/>
          <w:lang w:eastAsia="pl-PL"/>
        </w:rPr>
        <w:t>postępowań w sprawach o ustalenie lokalizacji regionalnej sieci szerokopasmowej.</w:t>
      </w:r>
    </w:p>
    <w:p w14:paraId="460AD555" w14:textId="7820D94F" w:rsidR="00805650" w:rsidRPr="003A42FB" w:rsidRDefault="00590310" w:rsidP="0058175A">
      <w:pPr>
        <w:pStyle w:val="Akapitzlist"/>
        <w:ind w:left="0"/>
        <w:rPr>
          <w:rFonts w:ascii="Times New Roman" w:hAnsi="Times New Roman" w:cs="Times New Roman"/>
          <w:sz w:val="24"/>
          <w:szCs w:val="24"/>
        </w:rPr>
      </w:pPr>
      <w:r w:rsidRPr="003A42FB">
        <w:rPr>
          <w:rFonts w:ascii="Times New Roman" w:hAnsi="Times New Roman" w:cs="Times New Roman"/>
          <w:sz w:val="24"/>
          <w:szCs w:val="24"/>
        </w:rPr>
        <w:lastRenderedPageBreak/>
        <w:t xml:space="preserve">W celu uproszczenia i skrócenia procedury pokrycia dopłaty, </w:t>
      </w:r>
      <w:r w:rsidR="00382341" w:rsidRPr="003A42FB">
        <w:rPr>
          <w:rFonts w:ascii="Times New Roman" w:hAnsi="Times New Roman" w:cs="Times New Roman"/>
          <w:sz w:val="24"/>
          <w:szCs w:val="24"/>
        </w:rPr>
        <w:t>wprowadzono jeszcze zmianę</w:t>
      </w:r>
      <w:r w:rsidR="00C221E7" w:rsidRPr="003A42FB">
        <w:rPr>
          <w:rFonts w:ascii="Times New Roman" w:hAnsi="Times New Roman" w:cs="Times New Roman"/>
          <w:sz w:val="24"/>
          <w:szCs w:val="24"/>
        </w:rPr>
        <w:t xml:space="preserve"> polegającą na tym, że </w:t>
      </w:r>
      <w:r w:rsidRPr="003A42FB">
        <w:rPr>
          <w:rFonts w:ascii="Times New Roman" w:hAnsi="Times New Roman" w:cs="Times New Roman"/>
          <w:sz w:val="24"/>
          <w:szCs w:val="24"/>
        </w:rPr>
        <w:t xml:space="preserve">Prezes UKE nie będzie wydawał jak dotychczas decyzji dla poszczególnych przedsiębiorców obowiązanych do udziału w finansowaniu dopłaty określającej kwotę ich udziału w pokryciu dopłaty. Decyzja, o której mowa w art. 331 ust. 1, będzie bowiem zawierała wszystkie niezbędne informacje umożliwiające każdemu przedsiębiorcy obowiązanemu samodzielne obliczenie tej kwoty. </w:t>
      </w:r>
      <w:r w:rsidR="4924B162" w:rsidRPr="003A42FB">
        <w:rPr>
          <w:rFonts w:ascii="Times New Roman" w:eastAsia="Times New Roman" w:hAnsi="Times New Roman" w:cs="Times New Roman"/>
          <w:sz w:val="24"/>
          <w:szCs w:val="24"/>
        </w:rPr>
        <w:t xml:space="preserve">Prezes UKE będzie </w:t>
      </w:r>
      <w:r w:rsidR="005954FA" w:rsidRPr="003A42FB">
        <w:rPr>
          <w:rFonts w:ascii="Times New Roman" w:eastAsia="Times New Roman" w:hAnsi="Times New Roman" w:cs="Times New Roman"/>
          <w:sz w:val="24"/>
          <w:szCs w:val="24"/>
        </w:rPr>
        <w:t>tylko</w:t>
      </w:r>
      <w:r w:rsidR="00C44753">
        <w:rPr>
          <w:rFonts w:ascii="Times New Roman" w:eastAsia="Times New Roman" w:hAnsi="Times New Roman" w:cs="Times New Roman"/>
          <w:sz w:val="24"/>
          <w:szCs w:val="24"/>
        </w:rPr>
        <w:t>,</w:t>
      </w:r>
      <w:r w:rsidR="005954FA" w:rsidRPr="003A42FB">
        <w:rPr>
          <w:rFonts w:ascii="Times New Roman" w:eastAsia="Times New Roman" w:hAnsi="Times New Roman" w:cs="Times New Roman"/>
          <w:sz w:val="24"/>
          <w:szCs w:val="24"/>
        </w:rPr>
        <w:t xml:space="preserve"> </w:t>
      </w:r>
      <w:r w:rsidR="4924B162" w:rsidRPr="003A42FB">
        <w:rPr>
          <w:rFonts w:ascii="Times New Roman" w:eastAsia="Times New Roman" w:hAnsi="Times New Roman" w:cs="Times New Roman"/>
          <w:sz w:val="24"/>
          <w:szCs w:val="24"/>
        </w:rPr>
        <w:t>z urzędu</w:t>
      </w:r>
      <w:r w:rsidR="00C44753">
        <w:rPr>
          <w:rFonts w:ascii="Times New Roman" w:eastAsia="Times New Roman" w:hAnsi="Times New Roman" w:cs="Times New Roman"/>
          <w:sz w:val="24"/>
          <w:szCs w:val="24"/>
        </w:rPr>
        <w:t>,</w:t>
      </w:r>
      <w:r w:rsidR="4924B162" w:rsidRPr="003A42FB">
        <w:rPr>
          <w:rFonts w:ascii="Times New Roman" w:eastAsia="Times New Roman" w:hAnsi="Times New Roman" w:cs="Times New Roman"/>
          <w:sz w:val="24"/>
          <w:szCs w:val="24"/>
        </w:rPr>
        <w:t xml:space="preserve"> wydawał dla każdego przedsiębiorcy </w:t>
      </w:r>
      <w:r w:rsidRPr="003A42FB">
        <w:rPr>
          <w:rFonts w:ascii="Times New Roman" w:eastAsia="Times New Roman" w:hAnsi="Times New Roman" w:cs="Times New Roman"/>
          <w:sz w:val="24"/>
          <w:szCs w:val="24"/>
        </w:rPr>
        <w:t xml:space="preserve">obowiązanego zaświadczenie </w:t>
      </w:r>
      <w:r w:rsidR="4924B162" w:rsidRPr="003A42FB">
        <w:rPr>
          <w:rFonts w:ascii="Times New Roman" w:eastAsia="Times New Roman" w:hAnsi="Times New Roman" w:cs="Times New Roman"/>
          <w:sz w:val="24"/>
          <w:szCs w:val="24"/>
        </w:rPr>
        <w:t>o kwocie udziału w pokryciu dopłaty</w:t>
      </w:r>
      <w:r w:rsidR="005954FA" w:rsidRPr="003A42FB">
        <w:rPr>
          <w:rFonts w:ascii="Times New Roman" w:eastAsia="Times New Roman" w:hAnsi="Times New Roman" w:cs="Times New Roman"/>
          <w:sz w:val="24"/>
          <w:szCs w:val="24"/>
        </w:rPr>
        <w:t>,</w:t>
      </w:r>
      <w:r w:rsidR="4924B162" w:rsidRPr="003A42FB">
        <w:rPr>
          <w:rFonts w:ascii="Times New Roman" w:eastAsia="Times New Roman" w:hAnsi="Times New Roman" w:cs="Times New Roman"/>
          <w:sz w:val="24"/>
          <w:szCs w:val="24"/>
        </w:rPr>
        <w:t xml:space="preserve"> ustalonej zgodnie z decyzją</w:t>
      </w:r>
      <w:r w:rsidR="55EEDDDF" w:rsidRPr="003A42FB">
        <w:rPr>
          <w:rFonts w:ascii="Times New Roman" w:eastAsia="Times New Roman" w:hAnsi="Times New Roman" w:cs="Times New Roman"/>
          <w:sz w:val="24"/>
          <w:szCs w:val="24"/>
        </w:rPr>
        <w:t xml:space="preserve"> z art.</w:t>
      </w:r>
      <w:r w:rsidR="2F76DB55" w:rsidRPr="003A42FB">
        <w:rPr>
          <w:rFonts w:ascii="Times New Roman" w:eastAsia="Times New Roman" w:hAnsi="Times New Roman" w:cs="Times New Roman"/>
          <w:sz w:val="24"/>
          <w:szCs w:val="24"/>
        </w:rPr>
        <w:t xml:space="preserve"> </w:t>
      </w:r>
      <w:r w:rsidR="7923E72C" w:rsidRPr="003A42FB">
        <w:rPr>
          <w:rFonts w:ascii="Times New Roman" w:eastAsia="Times New Roman" w:hAnsi="Times New Roman" w:cs="Times New Roman"/>
          <w:sz w:val="24"/>
          <w:szCs w:val="24"/>
        </w:rPr>
        <w:t>331</w:t>
      </w:r>
      <w:r w:rsidRPr="003A42FB">
        <w:rPr>
          <w:rFonts w:ascii="Times New Roman" w:eastAsia="Times New Roman" w:hAnsi="Times New Roman" w:cs="Times New Roman"/>
          <w:sz w:val="24"/>
          <w:szCs w:val="24"/>
        </w:rPr>
        <w:t xml:space="preserve"> ust.1, </w:t>
      </w:r>
      <w:r w:rsidRPr="003A42FB">
        <w:rPr>
          <w:rFonts w:ascii="Times New Roman" w:hAnsi="Times New Roman" w:cs="Times New Roman"/>
          <w:sz w:val="24"/>
          <w:szCs w:val="24"/>
        </w:rPr>
        <w:t>w sytuacji gdy ta decyzja będzie już ostateczna</w:t>
      </w:r>
      <w:r w:rsidR="4924B162" w:rsidRPr="003A42FB">
        <w:rPr>
          <w:rFonts w:ascii="Times New Roman" w:eastAsia="Times New Roman" w:hAnsi="Times New Roman" w:cs="Times New Roman"/>
          <w:sz w:val="24"/>
          <w:szCs w:val="24"/>
        </w:rPr>
        <w:t xml:space="preserve">. </w:t>
      </w:r>
      <w:r w:rsidR="17BE69D0" w:rsidRPr="003A42FB">
        <w:rPr>
          <w:rFonts w:ascii="Times New Roman" w:eastAsia="Times New Roman" w:hAnsi="Times New Roman" w:cs="Times New Roman"/>
          <w:sz w:val="24"/>
          <w:szCs w:val="24"/>
        </w:rPr>
        <w:t xml:space="preserve">Zaświadczenie </w:t>
      </w:r>
      <w:r w:rsidR="3315B679" w:rsidRPr="003A42FB">
        <w:rPr>
          <w:rFonts w:ascii="Times New Roman" w:eastAsia="Times New Roman" w:hAnsi="Times New Roman" w:cs="Times New Roman"/>
          <w:sz w:val="24"/>
          <w:szCs w:val="24"/>
        </w:rPr>
        <w:t>służy głównie</w:t>
      </w:r>
      <w:r w:rsidR="17BE69D0" w:rsidRPr="003A42FB">
        <w:rPr>
          <w:rFonts w:ascii="Times New Roman" w:eastAsia="Times New Roman" w:hAnsi="Times New Roman" w:cs="Times New Roman"/>
          <w:sz w:val="24"/>
          <w:szCs w:val="24"/>
        </w:rPr>
        <w:t xml:space="preserve"> </w:t>
      </w:r>
      <w:r w:rsidR="64060285" w:rsidRPr="003A42FB">
        <w:rPr>
          <w:rFonts w:ascii="Times New Roman" w:eastAsia="Times New Roman" w:hAnsi="Times New Roman" w:cs="Times New Roman"/>
          <w:sz w:val="24"/>
          <w:szCs w:val="24"/>
        </w:rPr>
        <w:t xml:space="preserve">informacji </w:t>
      </w:r>
      <w:r w:rsidR="17BE69D0" w:rsidRPr="003A42FB">
        <w:rPr>
          <w:rFonts w:ascii="Times New Roman" w:eastAsia="Times New Roman" w:hAnsi="Times New Roman" w:cs="Times New Roman"/>
          <w:sz w:val="24"/>
          <w:szCs w:val="24"/>
        </w:rPr>
        <w:t>przedsiębiorcy, że decyzja z art. 3</w:t>
      </w:r>
      <w:r w:rsidR="082AB816" w:rsidRPr="003A42FB">
        <w:rPr>
          <w:rFonts w:ascii="Times New Roman" w:eastAsia="Times New Roman" w:hAnsi="Times New Roman" w:cs="Times New Roman"/>
          <w:sz w:val="24"/>
          <w:szCs w:val="24"/>
        </w:rPr>
        <w:t>31</w:t>
      </w:r>
      <w:r w:rsidR="17BE69D0" w:rsidRPr="003A42FB">
        <w:rPr>
          <w:rFonts w:ascii="Times New Roman" w:eastAsia="Times New Roman" w:hAnsi="Times New Roman" w:cs="Times New Roman"/>
          <w:sz w:val="24"/>
          <w:szCs w:val="24"/>
        </w:rPr>
        <w:t xml:space="preserve"> </w:t>
      </w:r>
      <w:r w:rsidR="008A1CBD" w:rsidRPr="003A42FB">
        <w:rPr>
          <w:rFonts w:ascii="Times New Roman" w:eastAsia="Times New Roman" w:hAnsi="Times New Roman" w:cs="Times New Roman"/>
          <w:sz w:val="24"/>
          <w:szCs w:val="24"/>
        </w:rPr>
        <w:t xml:space="preserve">określająca </w:t>
      </w:r>
      <w:r w:rsidR="21AAC887" w:rsidRPr="003A42FB">
        <w:rPr>
          <w:rFonts w:ascii="Times New Roman" w:eastAsia="Times New Roman" w:hAnsi="Times New Roman" w:cs="Times New Roman"/>
          <w:sz w:val="24"/>
          <w:szCs w:val="24"/>
        </w:rPr>
        <w:t>wysokość jego udziału w pokryciu dopłaty jest ostateczna</w:t>
      </w:r>
      <w:r w:rsidR="404BE61B" w:rsidRPr="003A42FB">
        <w:rPr>
          <w:rFonts w:ascii="Times New Roman" w:eastAsia="Times New Roman" w:hAnsi="Times New Roman" w:cs="Times New Roman"/>
          <w:sz w:val="24"/>
          <w:szCs w:val="24"/>
        </w:rPr>
        <w:t>.</w:t>
      </w:r>
      <w:r w:rsidR="10C175AD" w:rsidRPr="003A42FB">
        <w:rPr>
          <w:rFonts w:ascii="Times New Roman" w:eastAsia="Times New Roman" w:hAnsi="Times New Roman" w:cs="Times New Roman"/>
          <w:sz w:val="24"/>
          <w:szCs w:val="24"/>
        </w:rPr>
        <w:t>.</w:t>
      </w:r>
      <w:r w:rsidR="3C611606" w:rsidRPr="003A42FB">
        <w:rPr>
          <w:rFonts w:ascii="Times New Roman" w:eastAsiaTheme="minorEastAsia" w:hAnsi="Times New Roman" w:cs="Times New Roman"/>
          <w:sz w:val="24"/>
          <w:szCs w:val="24"/>
        </w:rPr>
        <w:t xml:space="preserve"> </w:t>
      </w:r>
      <w:r w:rsidR="355D2EB1" w:rsidRPr="003A42FB">
        <w:rPr>
          <w:rFonts w:ascii="Times New Roman" w:eastAsiaTheme="minorEastAsia" w:hAnsi="Times New Roman" w:cs="Times New Roman"/>
          <w:sz w:val="24"/>
          <w:szCs w:val="24"/>
        </w:rPr>
        <w:t>Do zaświadczenia</w:t>
      </w:r>
      <w:r w:rsidR="588A0414" w:rsidRPr="003A42FB">
        <w:rPr>
          <w:rFonts w:ascii="Times New Roman" w:eastAsiaTheme="minorEastAsia" w:hAnsi="Times New Roman" w:cs="Times New Roman"/>
          <w:sz w:val="24"/>
          <w:szCs w:val="24"/>
        </w:rPr>
        <w:t xml:space="preserve"> </w:t>
      </w:r>
      <w:r w:rsidR="7FD4BCC4" w:rsidRPr="003A42FB">
        <w:rPr>
          <w:rFonts w:ascii="Times New Roman" w:eastAsiaTheme="minorEastAsia" w:hAnsi="Times New Roman" w:cs="Times New Roman"/>
          <w:sz w:val="24"/>
          <w:szCs w:val="24"/>
        </w:rPr>
        <w:t xml:space="preserve">wydawanego przez Prezesa UKE będą stosować się </w:t>
      </w:r>
      <w:r w:rsidR="51153152" w:rsidRPr="003A42FB">
        <w:rPr>
          <w:rFonts w:ascii="Times New Roman" w:eastAsiaTheme="minorEastAsia" w:hAnsi="Times New Roman" w:cs="Times New Roman"/>
          <w:sz w:val="24"/>
          <w:szCs w:val="24"/>
        </w:rPr>
        <w:t xml:space="preserve">odpowiednio </w:t>
      </w:r>
      <w:r w:rsidR="7FD4BCC4" w:rsidRPr="003A42FB">
        <w:rPr>
          <w:rFonts w:ascii="Times New Roman" w:eastAsiaTheme="minorEastAsia" w:hAnsi="Times New Roman" w:cs="Times New Roman"/>
          <w:sz w:val="24"/>
          <w:szCs w:val="24"/>
        </w:rPr>
        <w:t xml:space="preserve">przepisy </w:t>
      </w:r>
      <w:r w:rsidR="26503972" w:rsidRPr="003A42FB">
        <w:rPr>
          <w:rFonts w:ascii="Times New Roman" w:eastAsia="Times New Roman" w:hAnsi="Times New Roman" w:cs="Times New Roman"/>
          <w:sz w:val="24"/>
          <w:szCs w:val="24"/>
        </w:rPr>
        <w:t>K</w:t>
      </w:r>
      <w:r w:rsidR="16233EBB" w:rsidRPr="003A42FB">
        <w:rPr>
          <w:rFonts w:ascii="Times New Roman" w:eastAsia="Times New Roman" w:hAnsi="Times New Roman" w:cs="Times New Roman"/>
          <w:sz w:val="24"/>
          <w:szCs w:val="24"/>
        </w:rPr>
        <w:t>pa,</w:t>
      </w:r>
      <w:r w:rsidR="2FDB0AD5" w:rsidRPr="003A42FB">
        <w:rPr>
          <w:rFonts w:ascii="Times New Roman" w:eastAsiaTheme="minorEastAsia" w:hAnsi="Times New Roman" w:cs="Times New Roman"/>
          <w:sz w:val="24"/>
          <w:szCs w:val="24"/>
        </w:rPr>
        <w:t xml:space="preserve"> który zawiera przepisy dotyczące </w:t>
      </w:r>
      <w:r w:rsidR="7D85323A" w:rsidRPr="003A42FB">
        <w:rPr>
          <w:rFonts w:ascii="Times New Roman" w:eastAsiaTheme="minorEastAsia" w:hAnsi="Times New Roman" w:cs="Times New Roman"/>
          <w:sz w:val="24"/>
          <w:szCs w:val="24"/>
        </w:rPr>
        <w:t>zaświadczenia wydawanego na żądanie.</w:t>
      </w:r>
    </w:p>
    <w:p w14:paraId="7D909277" w14:textId="4185C354" w:rsidR="00805650"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Należności z tytułu dopłat do kosztu netto podlegają egzekucji zgodnie z przepisami ustawy o postępowaniu egzekucyjnym w administracji.</w:t>
      </w:r>
    </w:p>
    <w:p w14:paraId="7871B2E4" w14:textId="68F9BB59" w:rsidR="00E835A1" w:rsidRDefault="00E835A1" w:rsidP="005F69BF">
      <w:pPr>
        <w:spacing w:after="0" w:line="240" w:lineRule="auto"/>
        <w:jc w:val="both"/>
        <w:rPr>
          <w:rFonts w:ascii="Times New Roman" w:hAnsi="Times New Roman" w:cs="Times New Roman"/>
          <w:sz w:val="24"/>
          <w:szCs w:val="24"/>
        </w:rPr>
      </w:pPr>
      <w:r w:rsidRPr="005F69BF">
        <w:rPr>
          <w:rFonts w:ascii="Times New Roman" w:hAnsi="Times New Roman" w:cs="Times New Roman"/>
          <w:sz w:val="24"/>
          <w:szCs w:val="24"/>
        </w:rPr>
        <w:t xml:space="preserve">Art. 367 ust. </w:t>
      </w:r>
      <w:r w:rsidR="00502441">
        <w:rPr>
          <w:rFonts w:ascii="Times New Roman" w:hAnsi="Times New Roman" w:cs="Times New Roman"/>
          <w:sz w:val="24"/>
          <w:szCs w:val="24"/>
        </w:rPr>
        <w:t>7</w:t>
      </w:r>
      <w:r w:rsidRPr="005F69BF">
        <w:rPr>
          <w:rFonts w:ascii="Times New Roman" w:hAnsi="Times New Roman" w:cs="Times New Roman"/>
          <w:sz w:val="24"/>
          <w:szCs w:val="24"/>
        </w:rPr>
        <w:t xml:space="preserve"> został zapisany w brzmieniu, które uwzględnia zmiany wynikające z art. 4 ustawy z dnia 4 lipca 2019 r. o zmianie ustawy o postępowaniu egzekucyjnym w administracji oraz niektórych innych ustaw (Dz. U. z 2019 r. poz. 1553, z późn. zm.), wprowadzone w związku z </w:t>
      </w:r>
      <w:r>
        <w:rPr>
          <w:rFonts w:ascii="Times New Roman" w:hAnsi="Times New Roman" w:cs="Times New Roman"/>
          <w:sz w:val="24"/>
          <w:szCs w:val="24"/>
        </w:rPr>
        <w:t xml:space="preserve">planowanym </w:t>
      </w:r>
      <w:r w:rsidRPr="005F69BF">
        <w:rPr>
          <w:rFonts w:ascii="Times New Roman" w:hAnsi="Times New Roman" w:cs="Times New Roman"/>
          <w:sz w:val="24"/>
          <w:szCs w:val="24"/>
        </w:rPr>
        <w:t xml:space="preserve">uchyleniem przepisów dotyczących opłaty komorniczej od dnia 1 stycznia 2022 r., i w takiej treści ma obowiązywać dopiero od 1 stycznia 2022 r. Jednakże w związku z tym, że ustawa Pke wejdzie w życie przed 1 stycznia 2022 r., </w:t>
      </w:r>
      <w:r>
        <w:rPr>
          <w:rFonts w:ascii="Times New Roman" w:hAnsi="Times New Roman" w:cs="Times New Roman"/>
          <w:sz w:val="24"/>
          <w:szCs w:val="24"/>
        </w:rPr>
        <w:t>w</w:t>
      </w:r>
      <w:r w:rsidRPr="005F69BF">
        <w:rPr>
          <w:rFonts w:ascii="Times New Roman" w:hAnsi="Times New Roman" w:cs="Times New Roman"/>
          <w:sz w:val="24"/>
          <w:szCs w:val="24"/>
        </w:rPr>
        <w:t xml:space="preserve"> </w:t>
      </w:r>
      <w:r w:rsidRPr="003A42FB">
        <w:rPr>
          <w:rFonts w:ascii="Times New Roman" w:eastAsiaTheme="minorEastAsia" w:hAnsi="Times New Roman" w:cs="Times New Roman"/>
          <w:sz w:val="24"/>
          <w:szCs w:val="24"/>
        </w:rPr>
        <w:t>ustawie wprowadzającej Pke</w:t>
      </w:r>
      <w:r w:rsidRPr="005F69BF">
        <w:rPr>
          <w:rFonts w:ascii="Times New Roman" w:hAnsi="Times New Roman" w:cs="Times New Roman"/>
          <w:sz w:val="24"/>
          <w:szCs w:val="24"/>
        </w:rPr>
        <w:t xml:space="preserve"> </w:t>
      </w:r>
      <w:r>
        <w:rPr>
          <w:rFonts w:ascii="Times New Roman" w:hAnsi="Times New Roman" w:cs="Times New Roman"/>
          <w:sz w:val="24"/>
          <w:szCs w:val="24"/>
        </w:rPr>
        <w:t xml:space="preserve">wprowadzono przepis przejściowy </w:t>
      </w:r>
      <w:r w:rsidRPr="005F69BF">
        <w:rPr>
          <w:rFonts w:ascii="Times New Roman" w:hAnsi="Times New Roman" w:cs="Times New Roman"/>
          <w:sz w:val="24"/>
          <w:szCs w:val="24"/>
        </w:rPr>
        <w:t>regulu</w:t>
      </w:r>
      <w:r>
        <w:rPr>
          <w:rFonts w:ascii="Times New Roman" w:hAnsi="Times New Roman" w:cs="Times New Roman"/>
          <w:sz w:val="24"/>
          <w:szCs w:val="24"/>
        </w:rPr>
        <w:t xml:space="preserve">jący </w:t>
      </w:r>
      <w:r w:rsidRPr="005F69BF">
        <w:rPr>
          <w:rFonts w:ascii="Times New Roman" w:hAnsi="Times New Roman" w:cs="Times New Roman"/>
          <w:sz w:val="24"/>
          <w:szCs w:val="24"/>
        </w:rPr>
        <w:t>sytuacje dotyczące toczących się wcześniej postępowań egzekucyjnych przeciwko przedsiębiorcy telekomunikacyjnemu, obowiązanemu do udziału w pokryciu dopłaty, w sprawie kwoty jego udziału w pokryciu dopłaty i wynikających z tych postępowań konsekwencji, czyli m.in. konieczności zapłaty opłaty komorniczej.</w:t>
      </w:r>
    </w:p>
    <w:p w14:paraId="6955A68C" w14:textId="77777777" w:rsidR="00E835A1" w:rsidRPr="005F69BF" w:rsidRDefault="00E835A1" w:rsidP="005F69BF">
      <w:pPr>
        <w:spacing w:after="0" w:line="240" w:lineRule="auto"/>
        <w:jc w:val="both"/>
        <w:rPr>
          <w:rFonts w:ascii="Times New Roman" w:hAnsi="Times New Roman" w:cs="Times New Roman"/>
          <w:sz w:val="24"/>
          <w:szCs w:val="24"/>
        </w:rPr>
      </w:pPr>
    </w:p>
    <w:p w14:paraId="1E1A560E" w14:textId="34AAAEC6" w:rsidR="00B731B3" w:rsidRPr="003A42FB" w:rsidRDefault="00805650" w:rsidP="0058175A">
      <w:pPr>
        <w:spacing w:after="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 </w:t>
      </w:r>
      <w:r w:rsidR="00351B53" w:rsidRPr="003A42FB">
        <w:rPr>
          <w:rFonts w:ascii="Times New Roman" w:eastAsiaTheme="minorEastAsia" w:hAnsi="Times New Roman" w:cs="Times New Roman"/>
          <w:sz w:val="24"/>
          <w:szCs w:val="24"/>
        </w:rPr>
        <w:t>3</w:t>
      </w:r>
      <w:r w:rsidR="00351B53">
        <w:rPr>
          <w:rFonts w:ascii="Times New Roman" w:eastAsiaTheme="minorEastAsia" w:hAnsi="Times New Roman" w:cs="Times New Roman"/>
          <w:sz w:val="24"/>
          <w:szCs w:val="24"/>
        </w:rPr>
        <w:t>68</w:t>
      </w:r>
      <w:r w:rsidR="00351B53"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sz w:val="24"/>
          <w:szCs w:val="24"/>
        </w:rPr>
        <w:t>Prezes UKE gromadzi środki na dopłatę do kosztu netto na wyodrębnionym rachunku. Przedsiębiorcy telekomunikacyjni zobowiązani do</w:t>
      </w:r>
      <w:r w:rsidR="2A0B8804" w:rsidRPr="003A42FB">
        <w:rPr>
          <w:rFonts w:ascii="Times New Roman" w:eastAsiaTheme="minorEastAsia" w:hAnsi="Times New Roman" w:cs="Times New Roman"/>
          <w:sz w:val="24"/>
          <w:szCs w:val="24"/>
        </w:rPr>
        <w:t xml:space="preserve"> udzi</w:t>
      </w:r>
      <w:r w:rsidR="7B529488" w:rsidRPr="003A42FB">
        <w:rPr>
          <w:rFonts w:ascii="Times New Roman" w:eastAsiaTheme="minorEastAsia" w:hAnsi="Times New Roman" w:cs="Times New Roman"/>
          <w:sz w:val="24"/>
          <w:szCs w:val="24"/>
        </w:rPr>
        <w:t>a</w:t>
      </w:r>
      <w:r w:rsidR="2A0B8804" w:rsidRPr="003A42FB">
        <w:rPr>
          <w:rFonts w:ascii="Times New Roman" w:eastAsiaTheme="minorEastAsia" w:hAnsi="Times New Roman" w:cs="Times New Roman"/>
          <w:sz w:val="24"/>
          <w:szCs w:val="24"/>
        </w:rPr>
        <w:t>łu w pokryciu</w:t>
      </w:r>
      <w:r w:rsidRPr="003A42FB">
        <w:rPr>
          <w:rFonts w:ascii="Times New Roman" w:eastAsiaTheme="minorEastAsia" w:hAnsi="Times New Roman" w:cs="Times New Roman"/>
          <w:sz w:val="24"/>
          <w:szCs w:val="24"/>
        </w:rPr>
        <w:t xml:space="preserve"> dopłaty wpłacają należności w terminie </w:t>
      </w:r>
      <w:r w:rsidR="4947055C" w:rsidRPr="003A42FB">
        <w:rPr>
          <w:rFonts w:ascii="Times New Roman" w:eastAsiaTheme="minorEastAsia" w:hAnsi="Times New Roman" w:cs="Times New Roman"/>
          <w:sz w:val="24"/>
          <w:szCs w:val="24"/>
        </w:rPr>
        <w:t>30 dni</w:t>
      </w:r>
      <w:r w:rsidRPr="003A42FB">
        <w:rPr>
          <w:rFonts w:ascii="Times New Roman" w:eastAsiaTheme="minorEastAsia" w:hAnsi="Times New Roman" w:cs="Times New Roman"/>
          <w:sz w:val="24"/>
          <w:szCs w:val="24"/>
        </w:rPr>
        <w:t xml:space="preserve"> od d</w:t>
      </w:r>
      <w:r w:rsidR="517745DB" w:rsidRPr="003A42FB">
        <w:rPr>
          <w:rFonts w:ascii="Times New Roman" w:eastAsiaTheme="minorEastAsia" w:hAnsi="Times New Roman" w:cs="Times New Roman"/>
          <w:sz w:val="24"/>
          <w:szCs w:val="24"/>
        </w:rPr>
        <w:t>nia</w:t>
      </w:r>
      <w:r w:rsidRPr="003A42FB">
        <w:rPr>
          <w:rFonts w:ascii="Times New Roman" w:eastAsiaTheme="minorEastAsia" w:hAnsi="Times New Roman" w:cs="Times New Roman"/>
          <w:sz w:val="24"/>
          <w:szCs w:val="24"/>
        </w:rPr>
        <w:t xml:space="preserve"> otrzymania zaświadczenia </w:t>
      </w:r>
      <w:r w:rsidR="04845182" w:rsidRPr="003A42FB">
        <w:rPr>
          <w:rFonts w:ascii="Times New Roman" w:eastAsiaTheme="minorEastAsia" w:hAnsi="Times New Roman" w:cs="Times New Roman"/>
          <w:sz w:val="24"/>
          <w:szCs w:val="24"/>
        </w:rPr>
        <w:t>o</w:t>
      </w:r>
      <w:r w:rsidRPr="003A42FB">
        <w:rPr>
          <w:rFonts w:ascii="Times New Roman" w:eastAsiaTheme="minorEastAsia" w:hAnsi="Times New Roman" w:cs="Times New Roman"/>
          <w:sz w:val="24"/>
          <w:szCs w:val="24"/>
        </w:rPr>
        <w:t xml:space="preserve"> kwo</w:t>
      </w:r>
      <w:r w:rsidR="367BBAFA" w:rsidRPr="003A42FB">
        <w:rPr>
          <w:rFonts w:ascii="Times New Roman" w:eastAsiaTheme="minorEastAsia" w:hAnsi="Times New Roman" w:cs="Times New Roman"/>
          <w:sz w:val="24"/>
          <w:szCs w:val="24"/>
        </w:rPr>
        <w:t xml:space="preserve">cie </w:t>
      </w:r>
      <w:r w:rsidR="6D43090E" w:rsidRPr="003A42FB">
        <w:rPr>
          <w:rFonts w:ascii="Times New Roman" w:eastAsiaTheme="minorEastAsia" w:hAnsi="Times New Roman" w:cs="Times New Roman"/>
          <w:sz w:val="24"/>
          <w:szCs w:val="24"/>
        </w:rPr>
        <w:t>udziału</w:t>
      </w:r>
      <w:r w:rsidR="367BBAFA" w:rsidRPr="003A42FB">
        <w:rPr>
          <w:rFonts w:ascii="Times New Roman" w:eastAsiaTheme="minorEastAsia" w:hAnsi="Times New Roman" w:cs="Times New Roman"/>
          <w:sz w:val="24"/>
          <w:szCs w:val="24"/>
        </w:rPr>
        <w:t xml:space="preserve"> w pokryciu</w:t>
      </w:r>
      <w:r w:rsidRPr="003A42FB">
        <w:rPr>
          <w:rFonts w:ascii="Times New Roman" w:eastAsiaTheme="minorEastAsia" w:hAnsi="Times New Roman" w:cs="Times New Roman"/>
          <w:sz w:val="24"/>
          <w:szCs w:val="24"/>
        </w:rPr>
        <w:t xml:space="preserve"> dopłaty. Zgodnie z ust. 2, przedsiębiorca uprawniony do otrzymania dopłaty nie uczestniczy w procesie przekazywania środków na rachunek UKE</w:t>
      </w:r>
      <w:r w:rsidR="2273972B" w:rsidRPr="003A42FB">
        <w:rPr>
          <w:rFonts w:ascii="Times New Roman" w:eastAsiaTheme="minorEastAsia" w:hAnsi="Times New Roman" w:cs="Times New Roman"/>
          <w:sz w:val="24"/>
          <w:szCs w:val="24"/>
        </w:rPr>
        <w:t>, co nie znaczy że nie uczestniczy w finansowaniu dopłaty</w:t>
      </w:r>
      <w:r w:rsidRPr="003A42FB">
        <w:rPr>
          <w:rFonts w:ascii="Times New Roman" w:eastAsiaTheme="minorEastAsia" w:hAnsi="Times New Roman" w:cs="Times New Roman"/>
          <w:sz w:val="24"/>
          <w:szCs w:val="24"/>
        </w:rPr>
        <w:t xml:space="preserve">. Otrzymywana przez niego dopłata jest </w:t>
      </w:r>
      <w:r w:rsidR="03DC40CA" w:rsidRPr="003A42FB">
        <w:rPr>
          <w:rFonts w:ascii="Times New Roman" w:eastAsiaTheme="minorEastAsia" w:hAnsi="Times New Roman" w:cs="Times New Roman"/>
          <w:sz w:val="24"/>
          <w:szCs w:val="24"/>
        </w:rPr>
        <w:t xml:space="preserve">po prostu </w:t>
      </w:r>
      <w:r w:rsidRPr="003A42FB">
        <w:rPr>
          <w:rFonts w:ascii="Times New Roman" w:eastAsiaTheme="minorEastAsia" w:hAnsi="Times New Roman" w:cs="Times New Roman"/>
          <w:sz w:val="24"/>
          <w:szCs w:val="24"/>
        </w:rPr>
        <w:t xml:space="preserve">pomniejszona o kwotę wynikającą z udziału tego przedsiębiorcy w finansowaniu </w:t>
      </w:r>
      <w:r w:rsidR="51F68A01" w:rsidRPr="003A42FB">
        <w:rPr>
          <w:rFonts w:ascii="Times New Roman" w:eastAsiaTheme="minorEastAsia" w:hAnsi="Times New Roman" w:cs="Times New Roman"/>
          <w:sz w:val="24"/>
          <w:szCs w:val="24"/>
        </w:rPr>
        <w:t>dopłaty</w:t>
      </w:r>
      <w:r w:rsidRPr="003A42FB">
        <w:rPr>
          <w:rFonts w:ascii="Times New Roman" w:eastAsiaTheme="minorEastAsia" w:hAnsi="Times New Roman" w:cs="Times New Roman"/>
          <w:sz w:val="24"/>
          <w:szCs w:val="24"/>
        </w:rPr>
        <w:t>.</w:t>
      </w:r>
      <w:r w:rsidR="00B731B3" w:rsidRPr="003A42FB">
        <w:rPr>
          <w:rFonts w:ascii="Times New Roman" w:eastAsiaTheme="minorEastAsia" w:hAnsi="Times New Roman" w:cs="Times New Roman"/>
          <w:sz w:val="24"/>
          <w:szCs w:val="24"/>
        </w:rPr>
        <w:t xml:space="preserve"> </w:t>
      </w:r>
      <w:r w:rsidR="005954FA" w:rsidRPr="003A42FB">
        <w:rPr>
          <w:rFonts w:ascii="Times New Roman" w:hAnsi="Times New Roman" w:cs="Times New Roman"/>
          <w:sz w:val="24"/>
          <w:szCs w:val="24"/>
        </w:rPr>
        <w:t xml:space="preserve">Ust. 3 reguluje </w:t>
      </w:r>
      <w:r w:rsidR="00384801" w:rsidRPr="003A42FB">
        <w:rPr>
          <w:rFonts w:ascii="Times New Roman" w:hAnsi="Times New Roman" w:cs="Times New Roman"/>
          <w:sz w:val="24"/>
          <w:szCs w:val="24"/>
        </w:rPr>
        <w:t>sytuację dotyczącą naliczania odsetek ustawowych w przypadku opóźnień we wpłatach przez przedsiębiorcę telekomunikacyjnego kwot udziału w pokryciu dopłaty.</w:t>
      </w:r>
      <w:r w:rsidR="00351B53">
        <w:rPr>
          <w:rFonts w:ascii="Times New Roman" w:hAnsi="Times New Roman" w:cs="Times New Roman"/>
          <w:sz w:val="24"/>
          <w:szCs w:val="24"/>
        </w:rPr>
        <w:t xml:space="preserve"> </w:t>
      </w:r>
      <w:r w:rsidRPr="003A42FB">
        <w:rPr>
          <w:rFonts w:ascii="Times New Roman" w:eastAsiaTheme="minorEastAsia" w:hAnsi="Times New Roman" w:cs="Times New Roman"/>
          <w:sz w:val="24"/>
          <w:szCs w:val="24"/>
        </w:rPr>
        <w:t>Zgodnie z obowiązkiem zapewnienia przejrzystości procesu finansowania usługi powszechnej, nakłada się na Prezesa UKE obowiązki w zakresie sprawozdawczości dotyczącej procesu ustalania oraz przyznawania dopłaty do kosztu netto realizacji obowiązku w zakresie świadczenia usługi powszechnej. W termi</w:t>
      </w:r>
      <w:r w:rsidR="7A610918" w:rsidRPr="003A42FB">
        <w:rPr>
          <w:rFonts w:ascii="Times New Roman" w:eastAsiaTheme="minorEastAsia" w:hAnsi="Times New Roman" w:cs="Times New Roman"/>
          <w:sz w:val="24"/>
          <w:szCs w:val="24"/>
        </w:rPr>
        <w:t>ni</w:t>
      </w:r>
      <w:r w:rsidRPr="003A42FB">
        <w:rPr>
          <w:rFonts w:ascii="Times New Roman" w:eastAsiaTheme="minorEastAsia" w:hAnsi="Times New Roman" w:cs="Times New Roman"/>
          <w:sz w:val="24"/>
          <w:szCs w:val="24"/>
        </w:rPr>
        <w:t xml:space="preserve">e 6 miesięcy od dnia uprawomocnienia się decyzji Prezesa UKE dotyczącej wyznaczenia przedsiębiorców obowiązanych do dopłaty, Prezes UKE </w:t>
      </w:r>
      <w:r w:rsidR="17CFF17A" w:rsidRPr="003A42FB">
        <w:rPr>
          <w:rFonts w:ascii="Times New Roman" w:eastAsiaTheme="minorEastAsia" w:hAnsi="Times New Roman" w:cs="Times New Roman"/>
          <w:sz w:val="24"/>
          <w:szCs w:val="24"/>
        </w:rPr>
        <w:t>udostępnia</w:t>
      </w:r>
      <w:r w:rsidRPr="003A42FB">
        <w:rPr>
          <w:rFonts w:ascii="Times New Roman" w:eastAsiaTheme="minorEastAsia" w:hAnsi="Times New Roman" w:cs="Times New Roman"/>
          <w:sz w:val="24"/>
          <w:szCs w:val="24"/>
        </w:rPr>
        <w:t xml:space="preserve"> na stronie </w:t>
      </w:r>
      <w:r w:rsidR="007864B2" w:rsidRPr="003A42FB">
        <w:rPr>
          <w:rFonts w:ascii="Times New Roman" w:eastAsiaTheme="minorEastAsia" w:hAnsi="Times New Roman" w:cs="Times New Roman"/>
          <w:sz w:val="24"/>
          <w:szCs w:val="24"/>
        </w:rPr>
        <w:t xml:space="preserve">podmiotowej </w:t>
      </w:r>
      <w:r w:rsidRPr="003A42FB">
        <w:rPr>
          <w:rFonts w:ascii="Times New Roman" w:eastAsiaTheme="minorEastAsia" w:hAnsi="Times New Roman" w:cs="Times New Roman"/>
          <w:sz w:val="24"/>
          <w:szCs w:val="24"/>
        </w:rPr>
        <w:t>BIP UKE sprawozdanie</w:t>
      </w:r>
      <w:r w:rsidR="3D1A27D0" w:rsidRPr="003A42FB">
        <w:rPr>
          <w:rFonts w:ascii="Times New Roman" w:eastAsiaTheme="minorEastAsia" w:hAnsi="Times New Roman" w:cs="Times New Roman"/>
          <w:sz w:val="24"/>
          <w:szCs w:val="24"/>
        </w:rPr>
        <w:t>, którego zakres z ust.</w:t>
      </w:r>
      <w:r w:rsidR="00C44753">
        <w:rPr>
          <w:rFonts w:ascii="Times New Roman" w:eastAsiaTheme="minorEastAsia" w:hAnsi="Times New Roman" w:cs="Times New Roman"/>
          <w:sz w:val="24"/>
          <w:szCs w:val="24"/>
        </w:rPr>
        <w:t xml:space="preserve"> </w:t>
      </w:r>
      <w:r w:rsidR="3D1A27D0" w:rsidRPr="003A42FB">
        <w:rPr>
          <w:rFonts w:ascii="Times New Roman" w:eastAsiaTheme="minorEastAsia" w:hAnsi="Times New Roman" w:cs="Times New Roman"/>
          <w:sz w:val="24"/>
          <w:szCs w:val="24"/>
        </w:rPr>
        <w:t xml:space="preserve">6 </w:t>
      </w:r>
      <w:r w:rsidR="6DA38D99" w:rsidRPr="003A42FB">
        <w:rPr>
          <w:rFonts w:ascii="Times New Roman" w:eastAsiaTheme="minorEastAsia" w:hAnsi="Times New Roman" w:cs="Times New Roman"/>
          <w:sz w:val="24"/>
          <w:szCs w:val="24"/>
        </w:rPr>
        <w:t>implementuje</w:t>
      </w:r>
      <w:r w:rsidR="3D1A27D0" w:rsidRPr="003A42FB">
        <w:rPr>
          <w:rFonts w:ascii="Times New Roman" w:eastAsiaTheme="minorEastAsia" w:hAnsi="Times New Roman" w:cs="Times New Roman"/>
          <w:sz w:val="24"/>
          <w:szCs w:val="24"/>
        </w:rPr>
        <w:t xml:space="preserve"> art.</w:t>
      </w:r>
      <w:r w:rsidR="006D1401" w:rsidRPr="003A42FB">
        <w:rPr>
          <w:rFonts w:ascii="Times New Roman" w:eastAsiaTheme="minorEastAsia" w:hAnsi="Times New Roman" w:cs="Times New Roman"/>
          <w:sz w:val="24"/>
          <w:szCs w:val="24"/>
        </w:rPr>
        <w:t xml:space="preserve"> </w:t>
      </w:r>
      <w:r w:rsidR="3E5846CD" w:rsidRPr="003A42FB">
        <w:rPr>
          <w:rFonts w:ascii="Times New Roman" w:eastAsiaTheme="minorEastAsia" w:hAnsi="Times New Roman" w:cs="Times New Roman"/>
          <w:sz w:val="24"/>
          <w:szCs w:val="24"/>
        </w:rPr>
        <w:t>91 ust. 2 EKŁE.</w:t>
      </w:r>
    </w:p>
    <w:p w14:paraId="699FE52F" w14:textId="01AC919C" w:rsidR="00805650" w:rsidRPr="003A42FB" w:rsidRDefault="00805650" w:rsidP="0058175A">
      <w:pPr>
        <w:spacing w:after="0" w:line="240" w:lineRule="auto"/>
        <w:jc w:val="both"/>
        <w:rPr>
          <w:rFonts w:ascii="Times New Roman" w:eastAsiaTheme="minorEastAsia" w:hAnsi="Times New Roman" w:cs="Times New Roman"/>
          <w:sz w:val="24"/>
          <w:szCs w:val="24"/>
        </w:rPr>
      </w:pPr>
    </w:p>
    <w:p w14:paraId="24287B0E" w14:textId="77777777" w:rsidR="00805650" w:rsidRPr="003A42FB" w:rsidRDefault="00805650" w:rsidP="00C53EAB">
      <w:pPr>
        <w:spacing w:after="120" w:line="240" w:lineRule="auto"/>
        <w:jc w:val="both"/>
        <w:rPr>
          <w:rFonts w:ascii="Times New Roman" w:eastAsiaTheme="minorEastAsia" w:hAnsi="Times New Roman" w:cs="Times New Roman"/>
          <w:b/>
          <w:sz w:val="24"/>
          <w:szCs w:val="24"/>
        </w:rPr>
      </w:pPr>
      <w:bookmarkStart w:id="10" w:name="mip44758172"/>
      <w:bookmarkStart w:id="11" w:name="mip44758173"/>
      <w:bookmarkStart w:id="12" w:name="mip44758174"/>
      <w:bookmarkStart w:id="13" w:name="mip44758175"/>
      <w:bookmarkStart w:id="14" w:name="mip44758176"/>
      <w:bookmarkEnd w:id="10"/>
      <w:bookmarkEnd w:id="11"/>
      <w:bookmarkEnd w:id="12"/>
      <w:bookmarkEnd w:id="13"/>
      <w:bookmarkEnd w:id="14"/>
      <w:r w:rsidRPr="003A42FB">
        <w:rPr>
          <w:rFonts w:ascii="Times New Roman" w:eastAsiaTheme="minorEastAsia" w:hAnsi="Times New Roman" w:cs="Times New Roman"/>
          <w:b/>
          <w:sz w:val="24"/>
          <w:szCs w:val="24"/>
        </w:rPr>
        <w:t>Przerwanie, ograniczenie lub zaprzestanie świadczenia usługi przez przedsiębiorcę wyznaczonego</w:t>
      </w:r>
    </w:p>
    <w:p w14:paraId="00944030" w14:textId="12FFB255" w:rsidR="00805650" w:rsidRPr="003A42FB" w:rsidRDefault="216E017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AA2F7E" w:rsidRPr="003A42FB">
        <w:rPr>
          <w:rFonts w:ascii="Times New Roman" w:eastAsiaTheme="minorEastAsia" w:hAnsi="Times New Roman" w:cs="Times New Roman"/>
          <w:b/>
          <w:bCs/>
          <w:sz w:val="24"/>
          <w:szCs w:val="24"/>
        </w:rPr>
        <w:t xml:space="preserve"> </w:t>
      </w:r>
      <w:r w:rsidR="0039356C">
        <w:rPr>
          <w:rFonts w:ascii="Times New Roman" w:eastAsiaTheme="minorEastAsia" w:hAnsi="Times New Roman" w:cs="Times New Roman"/>
          <w:b/>
          <w:bCs/>
          <w:sz w:val="24"/>
          <w:szCs w:val="24"/>
        </w:rPr>
        <w:t>369</w:t>
      </w:r>
    </w:p>
    <w:p w14:paraId="16EC7E11" w14:textId="5FAD54F9"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Zgodnie z art. </w:t>
      </w:r>
      <w:r w:rsidR="0039356C">
        <w:rPr>
          <w:rFonts w:ascii="Times New Roman" w:eastAsiaTheme="minorEastAsia" w:hAnsi="Times New Roman" w:cs="Times New Roman"/>
          <w:sz w:val="24"/>
          <w:szCs w:val="24"/>
        </w:rPr>
        <w:t>369</w:t>
      </w:r>
      <w:r w:rsidRPr="003A42FB">
        <w:rPr>
          <w:rFonts w:ascii="Times New Roman" w:eastAsiaTheme="minorEastAsia" w:hAnsi="Times New Roman" w:cs="Times New Roman"/>
          <w:sz w:val="24"/>
          <w:szCs w:val="24"/>
        </w:rPr>
        <w:t xml:space="preserve"> przedsiębiorca wyznaczony może przerwać albo w istotnym zakresie ograniczyć realizację obowiązku świadczenia usługi lub oferowania specjalnego pakietu cenowego lub zmienić warunki realizacji tego obowiązku jedynie w przypadkach wskazanych w ustawie. Dotyczą one sytuacji</w:t>
      </w:r>
      <w:r w:rsidR="38CF8765" w:rsidRPr="003A42FB">
        <w:rPr>
          <w:rFonts w:ascii="Times New Roman" w:eastAsiaTheme="minorEastAsia" w:hAnsi="Times New Roman" w:cs="Times New Roman"/>
          <w:sz w:val="24"/>
          <w:szCs w:val="24"/>
        </w:rPr>
        <w:t>,</w:t>
      </w:r>
      <w:r w:rsidR="006D140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gdy zachodzą uzasadnione okoliczności uniemożliwiające spełnienie wymagań dotyczących zachowania ciągłości świadczenia usług w przypadku awarii sieci lub w sytuacjach szczególnego zagrożenia, zachowania ochrony integralności sieci, interoperacyjności usług, zachowania tajemnicy telekomunikacyjnej lub ochrony danych w sieci, spełniania wymagań dotyczących kompatybilności elektromagnetycznej. O zaistnieniu powyższych okoliczności i czasie ich trwania przedsiębiorca obowiązany jest poinformować Prezesa UKE. </w:t>
      </w:r>
    </w:p>
    <w:p w14:paraId="02FEEEBC" w14:textId="1B9AEBA7" w:rsidR="3F2B2C65" w:rsidRPr="003A42FB" w:rsidRDefault="3F2B2C6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ten </w:t>
      </w:r>
      <w:r w:rsidR="49AD14FD" w:rsidRPr="003A42FB">
        <w:rPr>
          <w:rFonts w:ascii="Times New Roman" w:eastAsiaTheme="minorEastAsia" w:hAnsi="Times New Roman" w:cs="Times New Roman"/>
          <w:sz w:val="24"/>
          <w:szCs w:val="24"/>
        </w:rPr>
        <w:t>jest w swej treści zbliżony do regulacji</w:t>
      </w:r>
      <w:r w:rsidR="7657F539" w:rsidRPr="003A42FB">
        <w:rPr>
          <w:rFonts w:ascii="Times New Roman" w:eastAsiaTheme="minorEastAsia" w:hAnsi="Times New Roman" w:cs="Times New Roman"/>
          <w:sz w:val="24"/>
          <w:szCs w:val="24"/>
        </w:rPr>
        <w:t xml:space="preserve"> zawartej w</w:t>
      </w:r>
      <w:r w:rsidR="49AD14FD" w:rsidRPr="003A42FB">
        <w:rPr>
          <w:rFonts w:ascii="Times New Roman" w:eastAsiaTheme="minorEastAsia" w:hAnsi="Times New Roman" w:cs="Times New Roman"/>
          <w:sz w:val="24"/>
          <w:szCs w:val="24"/>
        </w:rPr>
        <w:t xml:space="preserve"> Pt</w:t>
      </w:r>
      <w:r w:rsidR="525446CD" w:rsidRPr="003A42FB">
        <w:rPr>
          <w:rFonts w:ascii="Times New Roman" w:eastAsiaTheme="minorEastAsia" w:hAnsi="Times New Roman" w:cs="Times New Roman"/>
          <w:sz w:val="24"/>
          <w:szCs w:val="24"/>
        </w:rPr>
        <w:t>.</w:t>
      </w:r>
    </w:p>
    <w:p w14:paraId="2EEBEC75" w14:textId="17A1BCE9" w:rsidR="00805650" w:rsidRPr="003A42FB" w:rsidRDefault="5FF9E8E0"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AA2F7E" w:rsidRPr="003A42FB">
        <w:rPr>
          <w:rFonts w:ascii="Times New Roman" w:eastAsiaTheme="minorEastAsia" w:hAnsi="Times New Roman" w:cs="Times New Roman"/>
          <w:b/>
          <w:bCs/>
          <w:sz w:val="24"/>
          <w:szCs w:val="24"/>
        </w:rPr>
        <w:t xml:space="preserve"> </w:t>
      </w:r>
      <w:r w:rsidR="0039356C">
        <w:rPr>
          <w:rFonts w:ascii="Times New Roman" w:eastAsiaTheme="minorEastAsia" w:hAnsi="Times New Roman" w:cs="Times New Roman"/>
          <w:b/>
          <w:bCs/>
          <w:sz w:val="24"/>
          <w:szCs w:val="24"/>
        </w:rPr>
        <w:t>370</w:t>
      </w:r>
    </w:p>
    <w:p w14:paraId="7C088E04" w14:textId="58461A9F"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39356C">
        <w:rPr>
          <w:rFonts w:ascii="Times New Roman" w:eastAsiaTheme="minorEastAsia" w:hAnsi="Times New Roman" w:cs="Times New Roman"/>
          <w:sz w:val="24"/>
          <w:szCs w:val="24"/>
        </w:rPr>
        <w:t>370</w:t>
      </w:r>
      <w:r w:rsidRPr="003A42FB">
        <w:rPr>
          <w:rFonts w:ascii="Times New Roman" w:eastAsiaTheme="minorEastAsia" w:hAnsi="Times New Roman" w:cs="Times New Roman"/>
          <w:sz w:val="24"/>
          <w:szCs w:val="24"/>
        </w:rPr>
        <w:t xml:space="preserve"> reguluje sytuację</w:t>
      </w:r>
      <w:r w:rsidR="3D53F569"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kiedy przedsiębiorca wyznaczony z przyczyn od siebie niezależnych nie może realizować obowiązku świadczenia usługi lub oferowania specjalnego pakietu cenowego. W takim wypadku przedsiębiorca ma obowiązek poinformować Prezesa UKE o zamiarze zaprzestania świadczenia usługi, wskazując jednocześnie jakie działania podejmie w celu zapewnienia ciągłości świadczenia usługi. Mając na uwadze konieczność ochrony abonentów przed nagłym odłączeniem ich od usług przedsiębiorca wyznaczony nie może zaprzestać realizacji nałożonego na niego obowiązku do czasu przejęcia tego obowiązku przez innego wyznaczonego przedsiębiorcę. </w:t>
      </w:r>
    </w:p>
    <w:p w14:paraId="61C217D0" w14:textId="03A44399" w:rsidR="028B19F7" w:rsidRPr="003A42FB" w:rsidRDefault="028B19F7"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ten jest w swej treści zbliżony do regulacji zawartej w Pt.</w:t>
      </w:r>
    </w:p>
    <w:p w14:paraId="1C5801CE"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rPr>
      </w:pPr>
    </w:p>
    <w:p w14:paraId="28C89160" w14:textId="77777777" w:rsidR="005042E8" w:rsidRPr="003A42FB" w:rsidRDefault="005042E8"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rPr>
        <w:t>ROZDZIAŁ 3. Odpowiedzialność za niewykonanie lub nienależyte wykonanie usług komunikacji elektronicznej</w:t>
      </w:r>
    </w:p>
    <w:p w14:paraId="630A9252" w14:textId="14783BB4" w:rsidR="00805650" w:rsidRPr="003A42FB" w:rsidRDefault="4DE2B26A"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Art.</w:t>
      </w:r>
      <w:r w:rsidR="00AA2F7E" w:rsidRPr="003A42FB">
        <w:rPr>
          <w:rFonts w:ascii="Times New Roman" w:eastAsiaTheme="minorEastAsia" w:hAnsi="Times New Roman" w:cs="Times New Roman"/>
          <w:b/>
          <w:bCs/>
          <w:sz w:val="24"/>
          <w:szCs w:val="24"/>
        </w:rPr>
        <w:t xml:space="preserve"> </w:t>
      </w:r>
      <w:r w:rsidR="0039356C">
        <w:rPr>
          <w:rFonts w:ascii="Times New Roman" w:eastAsiaTheme="minorEastAsia" w:hAnsi="Times New Roman" w:cs="Times New Roman"/>
          <w:b/>
          <w:bCs/>
          <w:sz w:val="24"/>
          <w:szCs w:val="24"/>
        </w:rPr>
        <w:t>371</w:t>
      </w:r>
      <w:r w:rsidR="00207C20" w:rsidRPr="003A42FB">
        <w:rPr>
          <w:rFonts w:ascii="Times New Roman" w:eastAsiaTheme="minorEastAsia" w:hAnsi="Times New Roman" w:cs="Times New Roman"/>
          <w:b/>
          <w:bCs/>
          <w:sz w:val="24"/>
          <w:szCs w:val="24"/>
        </w:rPr>
        <w:t xml:space="preserve"> – niewykonanie i nienależyte wykonanie usługi</w:t>
      </w:r>
    </w:p>
    <w:p w14:paraId="7AA1BB80" w14:textId="36852BCA"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700D5E" w:rsidRPr="003A42FB">
        <w:rPr>
          <w:rFonts w:ascii="Times New Roman" w:eastAsiaTheme="minorEastAsia" w:hAnsi="Times New Roman" w:cs="Times New Roman"/>
          <w:sz w:val="24"/>
          <w:szCs w:val="24"/>
        </w:rPr>
        <w:t>ten</w:t>
      </w:r>
      <w:r w:rsidRPr="003A42FB">
        <w:rPr>
          <w:rFonts w:ascii="Times New Roman" w:eastAsiaTheme="minorEastAsia" w:hAnsi="Times New Roman" w:cs="Times New Roman"/>
          <w:sz w:val="24"/>
          <w:szCs w:val="24"/>
        </w:rPr>
        <w:t xml:space="preserve"> dotyczy kwestii odpowiedzialności przedsiębiorcy komunikacji elektronicznej za niewykonanie lub nienależyte wykonanie usługi. Odpowiedzialność ta jest uregulowana odrębnie w stosunku do usług wchodzących w skład usługi powszechnej i w stosunku do innych usług. Zgodnie z ust. 1 w odniesieniu do usług innych niż wchodzące w skład usługi powszechnej stosuje się ogólne zasady odpowiedzialności kontraktowej wynikające z przepisów Kodeksu cywilnego, z zastrzeżeniem art. </w:t>
      </w:r>
      <w:r w:rsidR="0039356C">
        <w:rPr>
          <w:rFonts w:ascii="Times New Roman" w:eastAsiaTheme="minorEastAsia" w:hAnsi="Times New Roman" w:cs="Times New Roman"/>
          <w:sz w:val="24"/>
          <w:szCs w:val="24"/>
        </w:rPr>
        <w:t>374</w:t>
      </w:r>
      <w:r w:rsidRPr="003A42FB">
        <w:rPr>
          <w:rFonts w:ascii="Times New Roman" w:eastAsiaTheme="minorEastAsia" w:hAnsi="Times New Roman" w:cs="Times New Roman"/>
          <w:sz w:val="24"/>
          <w:szCs w:val="24"/>
        </w:rPr>
        <w:t>, który uzależnia możliwość dochodzenia roszczeń na drodze sądowej lub pozasądowej od wyczerpania drogi postępowania reklamacyjnego.</w:t>
      </w:r>
      <w:r w:rsidR="51CF1F2C" w:rsidRPr="003A42FB">
        <w:rPr>
          <w:rFonts w:ascii="Times New Roman" w:eastAsiaTheme="minorEastAsia" w:hAnsi="Times New Roman" w:cs="Times New Roman"/>
          <w:sz w:val="24"/>
          <w:szCs w:val="24"/>
        </w:rPr>
        <w:t xml:space="preserve"> </w:t>
      </w:r>
    </w:p>
    <w:p w14:paraId="1FE625A2" w14:textId="2A3E507E" w:rsidR="00805650" w:rsidRPr="003A42FB" w:rsidRDefault="43B19A01"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372</w:t>
      </w:r>
      <w:r w:rsidR="000C7E4A">
        <w:rPr>
          <w:rFonts w:ascii="Times New Roman" w:eastAsiaTheme="minorEastAsia" w:hAnsi="Times New Roman" w:cs="Times New Roman"/>
          <w:b/>
          <w:bCs/>
          <w:sz w:val="24"/>
          <w:szCs w:val="24"/>
        </w:rPr>
        <w:t xml:space="preserve"> – odpowiedzialność w przypadku usługi powszechnej</w:t>
      </w:r>
    </w:p>
    <w:p w14:paraId="5EEC3196" w14:textId="77777777" w:rsidR="0058175A" w:rsidRPr="003A42FB" w:rsidRDefault="518E4B0D"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Artykuł te</w:t>
      </w:r>
      <w:r w:rsidR="2BFDD535" w:rsidRPr="003A42FB">
        <w:rPr>
          <w:rFonts w:ascii="Times New Roman" w:eastAsiaTheme="minorEastAsia" w:hAnsi="Times New Roman" w:cs="Times New Roman"/>
          <w:sz w:val="24"/>
          <w:szCs w:val="24"/>
        </w:rPr>
        <w:t>n</w:t>
      </w:r>
      <w:r w:rsidR="43B19A01" w:rsidRPr="003A42FB">
        <w:rPr>
          <w:rFonts w:ascii="Times New Roman" w:eastAsiaTheme="minorEastAsia" w:hAnsi="Times New Roman" w:cs="Times New Roman"/>
          <w:sz w:val="24"/>
          <w:szCs w:val="24"/>
        </w:rPr>
        <w:t xml:space="preserve"> stanowi, że w</w:t>
      </w:r>
      <w:r w:rsidR="00805650" w:rsidRPr="003A42FB">
        <w:rPr>
          <w:rFonts w:ascii="Times New Roman" w:eastAsiaTheme="minorEastAsia" w:hAnsi="Times New Roman" w:cs="Times New Roman"/>
          <w:sz w:val="24"/>
          <w:szCs w:val="24"/>
        </w:rPr>
        <w:t xml:space="preserve"> przypadku usług wchodzących w skład usługi powszechnej do odpowiedzialności przedsiębiorcy zastosowanie mają jedynie zasady wskazane w projektowanej ustawie, z wyłączeniem zasad ogólnych wynikających z przepisów Kodeksu cywilnego. </w:t>
      </w:r>
    </w:p>
    <w:p w14:paraId="3067991D" w14:textId="77777777" w:rsidR="0058175A" w:rsidRPr="003A42FB" w:rsidRDefault="00700D5E"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2 przewiduje jednak wyjątek od powyższego ograniczenia odpowiedzialności w przypadku, gdy niewykonanie lub nienależyte wykonanie usługi wchodzącej w skład usługi powszechnej nastąpiło w wyniku umyślnej winy, rażącego niedbalstwa lub było następstwem czynu niedozwolonego. </w:t>
      </w:r>
    </w:p>
    <w:p w14:paraId="0AE374C2" w14:textId="67E7D200" w:rsidR="00805650" w:rsidRPr="003A42FB" w:rsidRDefault="25685886"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Ustęp 3</w:t>
      </w:r>
      <w:r w:rsidR="0058175A" w:rsidRPr="003A42FB">
        <w:rPr>
          <w:rFonts w:ascii="Times New Roman" w:eastAsiaTheme="minorEastAsia" w:hAnsi="Times New Roman" w:cs="Times New Roman"/>
          <w:sz w:val="24"/>
          <w:szCs w:val="24"/>
        </w:rPr>
        <w:t xml:space="preserve"> </w:t>
      </w:r>
      <w:r w:rsidR="00805650" w:rsidRPr="003A42FB">
        <w:rPr>
          <w:rFonts w:ascii="Times New Roman" w:eastAsiaTheme="minorEastAsia" w:hAnsi="Times New Roman" w:cs="Times New Roman"/>
          <w:sz w:val="24"/>
          <w:szCs w:val="24"/>
        </w:rPr>
        <w:t xml:space="preserve">określa zasady wypłaty odszkodowania i jego wysokość w przypadku przerwy w świadczeniu usługi powszechnej. Odszkodowanie przysługuje za każdy dzień przerwy w wysokości 1/15 średniej opłaty miesięcznej liczonej według rachunków z ostatnich trzech </w:t>
      </w:r>
      <w:r w:rsidR="00805650" w:rsidRPr="003A42FB">
        <w:rPr>
          <w:rFonts w:ascii="Times New Roman" w:eastAsiaTheme="minorEastAsia" w:hAnsi="Times New Roman" w:cs="Times New Roman"/>
          <w:sz w:val="24"/>
          <w:szCs w:val="24"/>
        </w:rPr>
        <w:lastRenderedPageBreak/>
        <w:t xml:space="preserve">okresów rozliczeniowych, jednak za okres nie dłuższy niż ostatnie 12 miesięcy. Wypłata odszkodowania nie jest możliwa w przypadku, gdy w danym okresie rozliczeniowym łączny czas przerw nie przekroczył 36 godzin. Ustęp </w:t>
      </w:r>
      <w:r w:rsidR="5F2D26D2" w:rsidRPr="003A42FB">
        <w:rPr>
          <w:rFonts w:ascii="Times New Roman" w:eastAsiaTheme="minorEastAsia" w:hAnsi="Times New Roman" w:cs="Times New Roman"/>
          <w:sz w:val="24"/>
          <w:szCs w:val="24"/>
        </w:rPr>
        <w:t>5</w:t>
      </w:r>
      <w:r w:rsidR="00805650" w:rsidRPr="003A42FB">
        <w:rPr>
          <w:rFonts w:ascii="Times New Roman" w:eastAsiaTheme="minorEastAsia" w:hAnsi="Times New Roman" w:cs="Times New Roman"/>
          <w:sz w:val="24"/>
          <w:szCs w:val="24"/>
        </w:rPr>
        <w:t xml:space="preserve"> obok odszkodowania przewiduje również zwrot opłaty abonamentowej w przypadkach, gdy przerwa trwała dłużej niż 12 godzin. W takim wypadku abonent za każdy dzień przerwy jest uprawniony do otrzymania zwrotu 1/30 miesięcznej opłaty abonamentowej. </w:t>
      </w:r>
    </w:p>
    <w:p w14:paraId="411015C9" w14:textId="77777777" w:rsidR="0058175A" w:rsidRPr="003A42FB" w:rsidRDefault="00805650"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ust. </w:t>
      </w:r>
      <w:r w:rsidR="687EA48E" w:rsidRPr="003A42FB">
        <w:rPr>
          <w:rFonts w:ascii="Times New Roman" w:eastAsiaTheme="minorEastAsia" w:hAnsi="Times New Roman" w:cs="Times New Roman"/>
          <w:sz w:val="24"/>
          <w:szCs w:val="24"/>
        </w:rPr>
        <w:t>6</w:t>
      </w:r>
      <w:r w:rsidRPr="003A42FB">
        <w:rPr>
          <w:rFonts w:ascii="Times New Roman" w:eastAsiaTheme="minorEastAsia" w:hAnsi="Times New Roman" w:cs="Times New Roman"/>
          <w:sz w:val="24"/>
          <w:szCs w:val="24"/>
        </w:rPr>
        <w:t xml:space="preserve"> odszkodowanie przysługuje również abonentowi, któremu przedsiębiorca wyznaczony z własnej winy nie rozpoczął świadczenia usługi. Przepis ten dotyczy dwóch sytuacji: gdy nie doszło do zawarcia umowy w terminie wynikającym z art. 3</w:t>
      </w:r>
      <w:r w:rsidR="00202D77" w:rsidRPr="003A42FB">
        <w:rPr>
          <w:rFonts w:ascii="Times New Roman" w:eastAsiaTheme="minorEastAsia" w:hAnsi="Times New Roman" w:cs="Times New Roman"/>
          <w:sz w:val="24"/>
          <w:szCs w:val="24"/>
        </w:rPr>
        <w:t>2</w:t>
      </w:r>
      <w:r w:rsidR="00AA2F7E" w:rsidRPr="003A42FB">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 xml:space="preserve"> lub </w:t>
      </w:r>
      <w:r w:rsidR="00202D77" w:rsidRPr="003A42FB">
        <w:rPr>
          <w:rFonts w:ascii="Times New Roman" w:eastAsiaTheme="minorEastAsia" w:hAnsi="Times New Roman" w:cs="Times New Roman"/>
          <w:sz w:val="24"/>
          <w:szCs w:val="24"/>
        </w:rPr>
        <w:t xml:space="preserve">art. </w:t>
      </w:r>
      <w:r w:rsidRPr="003A42FB">
        <w:rPr>
          <w:rFonts w:ascii="Times New Roman" w:eastAsiaTheme="minorEastAsia" w:hAnsi="Times New Roman" w:cs="Times New Roman"/>
          <w:sz w:val="24"/>
          <w:szCs w:val="24"/>
        </w:rPr>
        <w:t>3</w:t>
      </w:r>
      <w:r w:rsidR="00202D77" w:rsidRPr="003A42FB">
        <w:rPr>
          <w:rFonts w:ascii="Times New Roman" w:eastAsiaTheme="minorEastAsia" w:hAnsi="Times New Roman" w:cs="Times New Roman"/>
          <w:sz w:val="24"/>
          <w:szCs w:val="24"/>
        </w:rPr>
        <w:t>2</w:t>
      </w:r>
      <w:r w:rsidR="00AA2F7E" w:rsidRPr="003A42FB">
        <w:rPr>
          <w:rFonts w:ascii="Times New Roman" w:eastAsiaTheme="minorEastAsia" w:hAnsi="Times New Roman" w:cs="Times New Roman"/>
          <w:sz w:val="24"/>
          <w:szCs w:val="24"/>
        </w:rPr>
        <w:t>6</w:t>
      </w:r>
      <w:r w:rsidRPr="003A42FB">
        <w:rPr>
          <w:rFonts w:ascii="Times New Roman" w:eastAsiaTheme="minorEastAsia" w:hAnsi="Times New Roman" w:cs="Times New Roman"/>
          <w:sz w:val="24"/>
          <w:szCs w:val="24"/>
        </w:rPr>
        <w:t xml:space="preserve"> ust. 2 (termin 30 dni od złożenia przez abonenta wniosku o zawarcie umowy) oraz gdy nie rozpoczęto świadczenia usług w terminie określonym w umowie o świadczenie usługi powszechnej. W powyższych wypadkach za każdy dzień przekroczenia terminu użytkownikowi końcowemu przysługuje odszkodowanie w wysokości 1/30 określonej w umowie miesięcznej opłaty abonamentowej.</w:t>
      </w:r>
      <w:r w:rsidR="2FF268E1" w:rsidRPr="003A42FB">
        <w:rPr>
          <w:rFonts w:ascii="Times New Roman" w:eastAsiaTheme="minorEastAsia" w:hAnsi="Times New Roman" w:cs="Times New Roman"/>
          <w:sz w:val="24"/>
          <w:szCs w:val="24"/>
        </w:rPr>
        <w:t xml:space="preserve"> </w:t>
      </w:r>
    </w:p>
    <w:p w14:paraId="461EE695" w14:textId="21209464" w:rsidR="00805650" w:rsidRPr="003A42FB" w:rsidRDefault="2FF268E1"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Ustęp 7 wskazuje termin przedawniania roszczeń wynikających ze świadczenia usługi powszechnej.</w:t>
      </w:r>
    </w:p>
    <w:p w14:paraId="7892C12B" w14:textId="6F316C18" w:rsidR="2A436E4F" w:rsidRPr="003A42FB" w:rsidRDefault="2A436E4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Powyższy przepis pozostaje zbliżony do dotychczasowych regulacji Pt w tym zakresie.</w:t>
      </w:r>
    </w:p>
    <w:p w14:paraId="3FF6133F" w14:textId="33A2B835" w:rsidR="00805650" w:rsidRPr="003A42FB" w:rsidRDefault="7EC8794E"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373</w:t>
      </w:r>
      <w:r w:rsidRPr="003A42FB">
        <w:rPr>
          <w:rFonts w:ascii="Times New Roman" w:eastAsiaTheme="minorEastAsia" w:hAnsi="Times New Roman" w:cs="Times New Roman"/>
          <w:b/>
          <w:bCs/>
          <w:sz w:val="24"/>
          <w:szCs w:val="24"/>
        </w:rPr>
        <w:t xml:space="preserve"> - </w:t>
      </w:r>
      <w:r w:rsidR="57C03A4A" w:rsidRPr="003A42FB">
        <w:rPr>
          <w:rFonts w:ascii="Times New Roman" w:eastAsiaTheme="minorEastAsia" w:hAnsi="Times New Roman" w:cs="Times New Roman"/>
          <w:b/>
          <w:bCs/>
          <w:sz w:val="24"/>
          <w:szCs w:val="24"/>
        </w:rPr>
        <w:t>r</w:t>
      </w:r>
      <w:r w:rsidR="00805650" w:rsidRPr="003A42FB">
        <w:rPr>
          <w:rFonts w:ascii="Times New Roman" w:eastAsiaTheme="minorEastAsia" w:hAnsi="Times New Roman" w:cs="Times New Roman"/>
          <w:b/>
          <w:bCs/>
          <w:sz w:val="24"/>
          <w:szCs w:val="24"/>
        </w:rPr>
        <w:t>eklamacje</w:t>
      </w:r>
    </w:p>
    <w:p w14:paraId="5609D8B2" w14:textId="5F9FB926" w:rsidR="0058175A" w:rsidRPr="003A42FB" w:rsidRDefault="00805650" w:rsidP="00B169B5">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39356C">
        <w:rPr>
          <w:rFonts w:ascii="Times New Roman" w:eastAsiaTheme="minorEastAsia" w:hAnsi="Times New Roman" w:cs="Times New Roman"/>
          <w:sz w:val="24"/>
          <w:szCs w:val="24"/>
        </w:rPr>
        <w:t>373</w:t>
      </w:r>
      <w:r w:rsidRPr="003A42FB">
        <w:rPr>
          <w:rFonts w:ascii="Times New Roman" w:eastAsiaTheme="minorEastAsia" w:hAnsi="Times New Roman" w:cs="Times New Roman"/>
          <w:sz w:val="24"/>
          <w:szCs w:val="24"/>
        </w:rPr>
        <w:t xml:space="preserve"> reguluje uprawnienie abonenta do dochodzenia roszczeń na drodze postępowania reklamacyjnego</w:t>
      </w:r>
      <w:r w:rsidR="49A05F07" w:rsidRPr="003A42FB">
        <w:rPr>
          <w:rFonts w:ascii="Times New Roman" w:eastAsiaTheme="minorEastAsia" w:hAnsi="Times New Roman" w:cs="Times New Roman"/>
          <w:sz w:val="24"/>
          <w:szCs w:val="24"/>
        </w:rPr>
        <w:t xml:space="preserve"> usługi komunikacji elektronicznej lub usługi </w:t>
      </w:r>
      <w:r w:rsidR="00F07FD5" w:rsidRPr="003A42FB">
        <w:rPr>
          <w:rFonts w:ascii="Times New Roman" w:eastAsiaTheme="minorEastAsia" w:hAnsi="Times New Roman" w:cs="Times New Roman"/>
          <w:sz w:val="24"/>
          <w:szCs w:val="24"/>
        </w:rPr>
        <w:t>fakultatywnego</w:t>
      </w:r>
      <w:r w:rsidR="62473525" w:rsidRPr="003A42FB">
        <w:rPr>
          <w:rFonts w:ascii="Times New Roman" w:eastAsiaTheme="minorEastAsia" w:hAnsi="Times New Roman" w:cs="Times New Roman"/>
          <w:sz w:val="24"/>
          <w:szCs w:val="24"/>
        </w:rPr>
        <w:t xml:space="preserve"> obciążania rachunku</w:t>
      </w:r>
      <w:r w:rsidRPr="003A42FB">
        <w:rPr>
          <w:rFonts w:ascii="Times New Roman" w:eastAsiaTheme="minorEastAsia" w:hAnsi="Times New Roman" w:cs="Times New Roman"/>
          <w:sz w:val="24"/>
          <w:szCs w:val="24"/>
        </w:rPr>
        <w:t xml:space="preserve">. Tryb postępowania reklamacyjnego oraz warunki jakim powinna odpowiadać reklamacja zostały określone w rozporządzeniu wydanym na podstawie delegacji ustawowej zawartej w ust. </w:t>
      </w:r>
      <w:r w:rsidR="00B169B5" w:rsidRPr="003A42FB">
        <w:rPr>
          <w:rFonts w:ascii="Times New Roman" w:eastAsiaTheme="minorEastAsia" w:hAnsi="Times New Roman" w:cs="Times New Roman"/>
          <w:sz w:val="24"/>
          <w:szCs w:val="24"/>
        </w:rPr>
        <w:t>7</w:t>
      </w:r>
      <w:r w:rsidRPr="003A42FB">
        <w:rPr>
          <w:rFonts w:ascii="Times New Roman" w:eastAsiaTheme="minorEastAsia" w:hAnsi="Times New Roman" w:cs="Times New Roman"/>
          <w:sz w:val="24"/>
          <w:szCs w:val="24"/>
        </w:rPr>
        <w:t xml:space="preserve">. </w:t>
      </w:r>
      <w:r w:rsidR="53FD234D" w:rsidRPr="003A42FB">
        <w:rPr>
          <w:rFonts w:ascii="Times New Roman" w:eastAsiaTheme="minorEastAsia" w:hAnsi="Times New Roman" w:cs="Times New Roman"/>
          <w:sz w:val="24"/>
          <w:szCs w:val="24"/>
        </w:rPr>
        <w:t xml:space="preserve">Ustęp 1 określa podstawy składania reklamacji, natomiast w </w:t>
      </w:r>
      <w:r w:rsidRPr="003A42FB">
        <w:rPr>
          <w:rFonts w:ascii="Times New Roman" w:eastAsiaTheme="minorEastAsia" w:hAnsi="Times New Roman" w:cs="Times New Roman"/>
          <w:sz w:val="24"/>
          <w:szCs w:val="24"/>
        </w:rPr>
        <w:t xml:space="preserve"> </w:t>
      </w:r>
      <w:r w:rsidR="5FA2108B" w:rsidRPr="003A42FB">
        <w:rPr>
          <w:rFonts w:ascii="Times New Roman" w:eastAsiaTheme="minorEastAsia" w:hAnsi="Times New Roman" w:cs="Times New Roman"/>
          <w:sz w:val="24"/>
          <w:szCs w:val="24"/>
        </w:rPr>
        <w:t>ust. 2 wskazano maksymalny termin, w którym możliwe jest złożenie rek</w:t>
      </w:r>
      <w:r w:rsidR="3BE2D1A9" w:rsidRPr="003A42FB">
        <w:rPr>
          <w:rFonts w:ascii="Times New Roman" w:eastAsiaTheme="minorEastAsia" w:hAnsi="Times New Roman" w:cs="Times New Roman"/>
          <w:sz w:val="24"/>
          <w:szCs w:val="24"/>
        </w:rPr>
        <w:t>l</w:t>
      </w:r>
      <w:r w:rsidR="5FA2108B" w:rsidRPr="003A42FB">
        <w:rPr>
          <w:rFonts w:ascii="Times New Roman" w:eastAsiaTheme="minorEastAsia" w:hAnsi="Times New Roman" w:cs="Times New Roman"/>
          <w:sz w:val="24"/>
          <w:szCs w:val="24"/>
        </w:rPr>
        <w:t>a</w:t>
      </w:r>
      <w:r w:rsidR="57CC4034" w:rsidRPr="003A42FB">
        <w:rPr>
          <w:rFonts w:ascii="Times New Roman" w:eastAsiaTheme="minorEastAsia" w:hAnsi="Times New Roman" w:cs="Times New Roman"/>
          <w:sz w:val="24"/>
          <w:szCs w:val="24"/>
        </w:rPr>
        <w:t>ma</w:t>
      </w:r>
      <w:r w:rsidR="5FA2108B" w:rsidRPr="003A42FB">
        <w:rPr>
          <w:rFonts w:ascii="Times New Roman" w:eastAsiaTheme="minorEastAsia" w:hAnsi="Times New Roman" w:cs="Times New Roman"/>
          <w:sz w:val="24"/>
          <w:szCs w:val="24"/>
        </w:rPr>
        <w:t>cji usług</w:t>
      </w:r>
      <w:r w:rsidR="51FD25C8" w:rsidRPr="003A42FB">
        <w:rPr>
          <w:rFonts w:ascii="Times New Roman" w:eastAsiaTheme="minorEastAsia" w:hAnsi="Times New Roman" w:cs="Times New Roman"/>
          <w:sz w:val="24"/>
          <w:szCs w:val="24"/>
        </w:rPr>
        <w:t xml:space="preserve">i - tj. 12 miesięcy od końca okresu rozliczeniowego, w którym zakończyła się przerwa w świadczeniu usługi, lub od dnia, w którym usługa została nienależycie wykonana lub miała być wykonana, lub od dnia doręczenia faktury zawierającej nieprawidłowe obliczenie należności z tytułu świadczenia usługi komunikacji elektronicznej lub usługi </w:t>
      </w:r>
      <w:r w:rsidR="00F07FD5" w:rsidRPr="003A42FB">
        <w:rPr>
          <w:rFonts w:ascii="Times New Roman" w:eastAsiaTheme="minorEastAsia" w:hAnsi="Times New Roman" w:cs="Times New Roman"/>
          <w:sz w:val="24"/>
          <w:szCs w:val="24"/>
        </w:rPr>
        <w:t>fakultatywnego</w:t>
      </w:r>
      <w:r w:rsidR="51FD25C8" w:rsidRPr="003A42FB">
        <w:rPr>
          <w:rFonts w:ascii="Times New Roman" w:eastAsiaTheme="minorEastAsia" w:hAnsi="Times New Roman" w:cs="Times New Roman"/>
          <w:sz w:val="24"/>
          <w:szCs w:val="24"/>
        </w:rPr>
        <w:t xml:space="preserve"> obciążania rachunku.</w:t>
      </w:r>
      <w:r w:rsidR="51FD25C8" w:rsidRPr="003A42FB" w:rsidDel="00B169B5">
        <w:rPr>
          <w:rFonts w:ascii="Times New Roman" w:eastAsiaTheme="minorEastAsia" w:hAnsi="Times New Roman" w:cs="Times New Roman"/>
          <w:sz w:val="24"/>
          <w:szCs w:val="24"/>
        </w:rPr>
        <w:t xml:space="preserve"> </w:t>
      </w:r>
    </w:p>
    <w:p w14:paraId="64727F91" w14:textId="53C8878C" w:rsidR="00B169B5" w:rsidRPr="003A42FB" w:rsidRDefault="363B3F32" w:rsidP="00B169B5">
      <w:pPr>
        <w:spacing w:after="120" w:line="240" w:lineRule="auto"/>
        <w:jc w:val="both"/>
        <w:rPr>
          <w:rFonts w:ascii="Times New Roman" w:eastAsiaTheme="minorEastAsia" w:hAnsi="Times New Roman" w:cs="Times New Roman"/>
          <w:bCs/>
          <w:sz w:val="24"/>
          <w:szCs w:val="24"/>
        </w:rPr>
      </w:pPr>
      <w:r w:rsidRPr="003A42FB">
        <w:rPr>
          <w:rFonts w:ascii="Times New Roman" w:eastAsiaTheme="minorEastAsia" w:hAnsi="Times New Roman" w:cs="Times New Roman"/>
          <w:sz w:val="24"/>
          <w:szCs w:val="24"/>
        </w:rPr>
        <w:t xml:space="preserve">W </w:t>
      </w:r>
      <w:r w:rsidR="00805650" w:rsidRPr="003A42FB">
        <w:rPr>
          <w:rFonts w:ascii="Times New Roman" w:eastAsiaTheme="minorEastAsia" w:hAnsi="Times New Roman" w:cs="Times New Roman"/>
          <w:sz w:val="24"/>
          <w:szCs w:val="24"/>
        </w:rPr>
        <w:t xml:space="preserve">ustępie </w:t>
      </w:r>
      <w:r w:rsidR="4127C834" w:rsidRPr="003A42FB">
        <w:rPr>
          <w:rFonts w:ascii="Times New Roman" w:eastAsiaTheme="minorEastAsia" w:hAnsi="Times New Roman" w:cs="Times New Roman"/>
          <w:sz w:val="24"/>
          <w:szCs w:val="24"/>
        </w:rPr>
        <w:t>3</w:t>
      </w:r>
      <w:r w:rsidR="00805650" w:rsidRPr="003A42FB">
        <w:rPr>
          <w:rFonts w:ascii="Times New Roman" w:eastAsiaTheme="minorEastAsia" w:hAnsi="Times New Roman" w:cs="Times New Roman"/>
          <w:sz w:val="24"/>
          <w:szCs w:val="24"/>
        </w:rPr>
        <w:t xml:space="preserve"> </w:t>
      </w:r>
      <w:r w:rsidR="00B169B5" w:rsidRPr="003A42FB">
        <w:rPr>
          <w:rFonts w:ascii="Times New Roman" w:eastAsiaTheme="minorEastAsia" w:hAnsi="Times New Roman" w:cs="Times New Roman"/>
          <w:sz w:val="24"/>
          <w:szCs w:val="24"/>
        </w:rPr>
        <w:t xml:space="preserve">wskazano sposoby składania reklamacji - </w:t>
      </w:r>
      <w:r w:rsidR="00B169B5" w:rsidRPr="003A42FB">
        <w:rPr>
          <w:rFonts w:ascii="Times New Roman" w:eastAsiaTheme="minorEastAsia" w:hAnsi="Times New Roman" w:cs="Times New Roman"/>
          <w:bCs/>
          <w:sz w:val="24"/>
          <w:szCs w:val="24"/>
        </w:rPr>
        <w:t xml:space="preserve">w formie pisemnej, dokumentowej lub elektronicznej lub ustnie do protokołu lub telefonicznie albo w inny sposób dopuszczony przez dostawcę usług, który ujawnia w sposób dostateczny wolę reklamującego. Ustęp 4 wskazuje niezbędne elementy, które powinna zawierać reklamacja usługi. </w:t>
      </w:r>
    </w:p>
    <w:p w14:paraId="7B01F25D" w14:textId="31542F0C" w:rsidR="00805650" w:rsidRPr="003A42FB" w:rsidRDefault="00B169B5"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5 </w:t>
      </w:r>
      <w:r w:rsidR="00805650" w:rsidRPr="003A42FB">
        <w:rPr>
          <w:rFonts w:ascii="Times New Roman" w:eastAsiaTheme="minorEastAsia" w:hAnsi="Times New Roman" w:cs="Times New Roman"/>
          <w:sz w:val="24"/>
          <w:szCs w:val="24"/>
        </w:rPr>
        <w:t>wskazany został termin rozpatrzenia reklamacji oraz sformułowane zostało ważne dla abonenta domniemanie</w:t>
      </w:r>
      <w:r w:rsidR="6F77B22D" w:rsidRPr="003A42FB">
        <w:rPr>
          <w:rFonts w:ascii="Times New Roman" w:eastAsiaTheme="minorEastAsia" w:hAnsi="Times New Roman" w:cs="Times New Roman"/>
          <w:sz w:val="24"/>
          <w:szCs w:val="24"/>
        </w:rPr>
        <w:t xml:space="preserve"> faktyczne</w:t>
      </w:r>
      <w:r w:rsidR="00805650" w:rsidRPr="003A42FB">
        <w:rPr>
          <w:rFonts w:ascii="Times New Roman" w:eastAsiaTheme="minorEastAsia" w:hAnsi="Times New Roman" w:cs="Times New Roman"/>
          <w:sz w:val="24"/>
          <w:szCs w:val="24"/>
        </w:rPr>
        <w:t xml:space="preserve">, z którego wynika, że </w:t>
      </w:r>
      <w:r w:rsidR="175A13A5" w:rsidRPr="003A42FB">
        <w:rPr>
          <w:rFonts w:ascii="Times New Roman" w:eastAsiaTheme="minorEastAsia" w:hAnsi="Times New Roman" w:cs="Times New Roman"/>
          <w:sz w:val="24"/>
          <w:szCs w:val="24"/>
        </w:rPr>
        <w:t xml:space="preserve">bezskuteczny upływ terminu </w:t>
      </w:r>
      <w:r w:rsidRPr="003A42FB">
        <w:rPr>
          <w:rFonts w:ascii="Times New Roman" w:eastAsiaTheme="minorEastAsia" w:hAnsi="Times New Roman" w:cs="Times New Roman"/>
          <w:sz w:val="24"/>
          <w:szCs w:val="24"/>
        </w:rPr>
        <w:t xml:space="preserve">30 </w:t>
      </w:r>
      <w:r w:rsidR="175A13A5" w:rsidRPr="003A42FB">
        <w:rPr>
          <w:rFonts w:ascii="Times New Roman" w:eastAsiaTheme="minorEastAsia" w:hAnsi="Times New Roman" w:cs="Times New Roman"/>
          <w:sz w:val="24"/>
          <w:szCs w:val="24"/>
        </w:rPr>
        <w:t xml:space="preserve">dni oznacza, że dostawca usług </w:t>
      </w:r>
      <w:r w:rsidR="5D07A6C8" w:rsidRPr="003A42FB">
        <w:rPr>
          <w:rFonts w:ascii="Times New Roman" w:eastAsiaTheme="minorEastAsia" w:hAnsi="Times New Roman" w:cs="Times New Roman"/>
          <w:sz w:val="24"/>
          <w:szCs w:val="24"/>
        </w:rPr>
        <w:t xml:space="preserve">uznał okoliczności wskazane w reklamacji i zaakceptował żądanie </w:t>
      </w:r>
      <w:r w:rsidRPr="003A42FB">
        <w:rPr>
          <w:rFonts w:ascii="Times New Roman" w:eastAsiaTheme="minorEastAsia" w:hAnsi="Times New Roman" w:cs="Times New Roman"/>
          <w:sz w:val="24"/>
          <w:szCs w:val="24"/>
        </w:rPr>
        <w:t>reklamującego</w:t>
      </w:r>
      <w:r w:rsidR="175A13A5" w:rsidRPr="003A42FB">
        <w:rPr>
          <w:rFonts w:ascii="Times New Roman" w:eastAsiaTheme="minorEastAsia" w:hAnsi="Times New Roman" w:cs="Times New Roman"/>
          <w:sz w:val="24"/>
          <w:szCs w:val="24"/>
        </w:rPr>
        <w:t xml:space="preserve">. </w:t>
      </w:r>
      <w:r w:rsidR="00805650" w:rsidRPr="003A42FB">
        <w:rPr>
          <w:rFonts w:ascii="Times New Roman" w:eastAsiaTheme="minorEastAsia" w:hAnsi="Times New Roman" w:cs="Times New Roman"/>
          <w:sz w:val="24"/>
          <w:szCs w:val="24"/>
        </w:rPr>
        <w:t>Przyjęcie powyższego założenia chroni abonenta przed skutkami nadmiernie długotrwałego rozpatrywania reklamacji przez dostawcę usług.</w:t>
      </w:r>
      <w:r w:rsidR="0058175A" w:rsidRPr="003A42FB">
        <w:rPr>
          <w:rFonts w:ascii="Times New Roman" w:eastAsiaTheme="minorEastAsia" w:hAnsi="Times New Roman" w:cs="Times New Roman"/>
          <w:sz w:val="24"/>
          <w:szCs w:val="24"/>
        </w:rPr>
        <w:t xml:space="preserve"> </w:t>
      </w:r>
      <w:r w:rsidR="00805650" w:rsidRPr="003A42FB">
        <w:rPr>
          <w:rFonts w:ascii="Times New Roman" w:eastAsiaTheme="minorEastAsia" w:hAnsi="Times New Roman" w:cs="Times New Roman"/>
          <w:sz w:val="24"/>
          <w:szCs w:val="24"/>
        </w:rPr>
        <w:t xml:space="preserve">W przypadku gdy reklamacja zostaje uwzględniona abonent otrzymuje zwrot opłaty poniesionej z tytułu doręczenia szczegółowego wykazu wykonanych usług telekomunikacyjnych. </w:t>
      </w:r>
      <w:r w:rsidR="00A53629" w:rsidRPr="003A42FB">
        <w:rPr>
          <w:rFonts w:ascii="Times New Roman" w:eastAsiaTheme="minorEastAsia" w:hAnsi="Times New Roman" w:cs="Times New Roman"/>
          <w:sz w:val="24"/>
          <w:szCs w:val="24"/>
        </w:rPr>
        <w:t xml:space="preserve">Ustęp 7 zawiera </w:t>
      </w:r>
      <w:r w:rsidR="00A53629" w:rsidRPr="003A42FB">
        <w:rPr>
          <w:rFonts w:ascii="Times New Roman" w:eastAsiaTheme="minorEastAsia" w:hAnsi="Times New Roman" w:cs="Times New Roman"/>
          <w:bCs/>
          <w:sz w:val="24"/>
          <w:szCs w:val="24"/>
        </w:rPr>
        <w:t xml:space="preserve">upoważnienie do wydania rozporządzenia określającego tryb postępowania reklamacyjnego oraz </w:t>
      </w:r>
      <w:r w:rsidR="00A53629" w:rsidRPr="003A42FB">
        <w:rPr>
          <w:rFonts w:ascii="Times New Roman" w:eastAsiaTheme="minorEastAsia" w:hAnsi="Times New Roman" w:cs="Times New Roman"/>
          <w:sz w:val="24"/>
          <w:szCs w:val="24"/>
        </w:rPr>
        <w:t>warunki, jakim powinna odpowiadać reklamacja</w:t>
      </w:r>
      <w:r w:rsidR="00A53629" w:rsidRPr="003A42FB">
        <w:rPr>
          <w:rFonts w:ascii="Times New Roman" w:eastAsiaTheme="minorEastAsia" w:hAnsi="Times New Roman" w:cs="Times New Roman"/>
          <w:bCs/>
          <w:sz w:val="24"/>
          <w:szCs w:val="24"/>
        </w:rPr>
        <w:t xml:space="preserve"> usługi komunikacji elektronicznej lub usługi fakultatywnego obciążania rachunku mając na uwadze niezbędną ochronę interesu użytkownika końcowego.</w:t>
      </w:r>
    </w:p>
    <w:p w14:paraId="542DE4A3" w14:textId="0D8ED062" w:rsidR="00805650" w:rsidRPr="003A42FB" w:rsidRDefault="0B8F096D"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374</w:t>
      </w:r>
      <w:r w:rsidR="00AA2F7E"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37A1DBFC" w:rsidRPr="003A42FB">
        <w:rPr>
          <w:rFonts w:ascii="Times New Roman" w:eastAsiaTheme="minorEastAsia" w:hAnsi="Times New Roman" w:cs="Times New Roman"/>
          <w:b/>
          <w:bCs/>
          <w:sz w:val="24"/>
          <w:szCs w:val="24"/>
        </w:rPr>
        <w:t>d</w:t>
      </w:r>
      <w:r w:rsidR="00805650" w:rsidRPr="003A42FB">
        <w:rPr>
          <w:rFonts w:ascii="Times New Roman" w:eastAsiaTheme="minorEastAsia" w:hAnsi="Times New Roman" w:cs="Times New Roman"/>
          <w:b/>
          <w:bCs/>
          <w:sz w:val="24"/>
          <w:szCs w:val="24"/>
        </w:rPr>
        <w:t>ochodzenie roszczeń</w:t>
      </w:r>
    </w:p>
    <w:p w14:paraId="3926D0C4" w14:textId="5910B167"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39356C">
        <w:rPr>
          <w:rFonts w:ascii="Times New Roman" w:eastAsiaTheme="minorEastAsia" w:hAnsi="Times New Roman" w:cs="Times New Roman"/>
          <w:sz w:val="24"/>
          <w:szCs w:val="24"/>
        </w:rPr>
        <w:t>374</w:t>
      </w:r>
      <w:r w:rsidRPr="003A42FB">
        <w:rPr>
          <w:rFonts w:ascii="Times New Roman" w:eastAsiaTheme="minorEastAsia" w:hAnsi="Times New Roman" w:cs="Times New Roman"/>
          <w:sz w:val="24"/>
          <w:szCs w:val="24"/>
        </w:rPr>
        <w:t xml:space="preserve"> wprowadza obowiązek wyczerpania drogi postępowania reklamacyjnego przez użytkownika końcowego przed dochodzeniem roszczeń na drodze postępowania sądowego lub </w:t>
      </w:r>
      <w:r w:rsidRPr="003A42FB">
        <w:rPr>
          <w:rFonts w:ascii="Times New Roman" w:eastAsiaTheme="minorEastAsia" w:hAnsi="Times New Roman" w:cs="Times New Roman"/>
          <w:sz w:val="24"/>
          <w:szCs w:val="24"/>
        </w:rPr>
        <w:lastRenderedPageBreak/>
        <w:t xml:space="preserve">postępowania w sprawie pozasądowego rozwiązywania sporów konsumenckich prowadzonego przez Prezesa UKE. W celu uniknięcia wątpliwości czy i kiedy użytkownik końcowy może skorzystać z powyższych sposobów dochodzenia roszczeń ustęp 2 precyzuje jak należy rozumieć wyczerpanie drogi postępowania reklamacyjnego. Wyczerpanie drogi postępowania reklamacyjnego oznacza nieuwzględnienie reklamacji lub w przypadku uwzględnienia reklamacji brak zapłaty dochodzonej należności w terminie 30 dni od dnia jej uwzględnienia . </w:t>
      </w:r>
    </w:p>
    <w:p w14:paraId="2F3E90F6" w14:textId="3DE91571" w:rsidR="7AE3FDB8" w:rsidRPr="003A42FB" w:rsidRDefault="7AE3FDB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Powyższy przepis pozostaje zbliżony do dotychczasowych regulacji Pt w tym zakresie.</w:t>
      </w:r>
    </w:p>
    <w:p w14:paraId="187855AB" w14:textId="7072A3E4" w:rsidR="091948D3" w:rsidRPr="003A42FB" w:rsidRDefault="2091EBD4"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375</w:t>
      </w:r>
      <w:r w:rsidR="00BF77EE"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2ECB1CAA" w:rsidRPr="003A42FB">
        <w:rPr>
          <w:rFonts w:ascii="Times New Roman" w:eastAsiaTheme="minorEastAsia" w:hAnsi="Times New Roman" w:cs="Times New Roman"/>
          <w:b/>
          <w:bCs/>
          <w:sz w:val="24"/>
          <w:szCs w:val="24"/>
        </w:rPr>
        <w:t>z</w:t>
      </w:r>
      <w:r w:rsidR="091948D3" w:rsidRPr="003A42FB">
        <w:rPr>
          <w:rFonts w:ascii="Times New Roman" w:eastAsiaTheme="minorEastAsia" w:hAnsi="Times New Roman" w:cs="Times New Roman"/>
          <w:b/>
          <w:bCs/>
          <w:sz w:val="24"/>
          <w:szCs w:val="24"/>
        </w:rPr>
        <w:t>naczące rozbieżności</w:t>
      </w:r>
    </w:p>
    <w:p w14:paraId="0290E09B" w14:textId="5674BFDE" w:rsidR="091948D3" w:rsidRPr="003A42FB" w:rsidRDefault="091948D3"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w:t>
      </w:r>
      <w:r w:rsidR="006C34F8" w:rsidRPr="003A42FB">
        <w:rPr>
          <w:rFonts w:ascii="Times New Roman" w:eastAsiaTheme="minorEastAsia" w:hAnsi="Times New Roman" w:cs="Times New Roman"/>
          <w:sz w:val="24"/>
          <w:szCs w:val="24"/>
        </w:rPr>
        <w:t>ykuł ten</w:t>
      </w:r>
      <w:r w:rsidRPr="003A42FB">
        <w:rPr>
          <w:rFonts w:ascii="Times New Roman" w:eastAsiaTheme="minorEastAsia" w:hAnsi="Times New Roman" w:cs="Times New Roman"/>
          <w:sz w:val="24"/>
          <w:szCs w:val="24"/>
        </w:rPr>
        <w:t xml:space="preserve"> przewiduje szczególny zakres odpowiedzialności w przypadku świadczenia usług konsumentom. Występowanie znaczących, stałych lub częstych, rozbieżności między rzeczywistym wykonaniem usługi telekomunikacyjnej a warunkami określonymi w umowie, uprawnia konsumenta po</w:t>
      </w:r>
      <w:r w:rsidR="41592DF1" w:rsidRPr="003A42FB">
        <w:rPr>
          <w:rFonts w:ascii="Times New Roman" w:eastAsiaTheme="minorEastAsia" w:hAnsi="Times New Roman" w:cs="Times New Roman"/>
          <w:sz w:val="24"/>
          <w:szCs w:val="24"/>
        </w:rPr>
        <w:t xml:space="preserve"> wyczerpaniu drogi reklamacyjnej</w:t>
      </w:r>
      <w:r w:rsidRPr="003A42FB">
        <w:rPr>
          <w:rFonts w:ascii="Times New Roman" w:eastAsiaTheme="minorEastAsia" w:hAnsi="Times New Roman" w:cs="Times New Roman"/>
          <w:sz w:val="24"/>
          <w:szCs w:val="24"/>
        </w:rPr>
        <w:t xml:space="preserve">, poza możliwością dochodzenia roszczeń </w:t>
      </w:r>
      <w:r w:rsidR="2AD4B7F2" w:rsidRPr="003A42FB">
        <w:rPr>
          <w:rFonts w:ascii="Times New Roman" w:eastAsiaTheme="minorEastAsia" w:hAnsi="Times New Roman" w:cs="Times New Roman"/>
          <w:sz w:val="24"/>
          <w:szCs w:val="24"/>
        </w:rPr>
        <w:t>z nienależytego wykonania umowy</w:t>
      </w:r>
      <w:r w:rsidR="003A42FB" w:rsidRPr="003A42FB">
        <w:rPr>
          <w:rFonts w:ascii="Times New Roman" w:eastAsiaTheme="minorEastAsia" w:hAnsi="Times New Roman" w:cs="Times New Roman"/>
          <w:sz w:val="24"/>
          <w:szCs w:val="24"/>
        </w:rPr>
        <w:t xml:space="preserve"> </w:t>
      </w:r>
      <w:r w:rsidR="3FB76DAD" w:rsidRPr="003A42FB">
        <w:rPr>
          <w:rFonts w:ascii="Times New Roman" w:eastAsiaTheme="minorEastAsia" w:hAnsi="Times New Roman" w:cs="Times New Roman"/>
          <w:sz w:val="24"/>
          <w:szCs w:val="24"/>
        </w:rPr>
        <w:t xml:space="preserve">również </w:t>
      </w:r>
      <w:r w:rsidRPr="003A42FB">
        <w:rPr>
          <w:rFonts w:ascii="Times New Roman" w:eastAsiaTheme="minorEastAsia" w:hAnsi="Times New Roman" w:cs="Times New Roman"/>
          <w:sz w:val="24"/>
          <w:szCs w:val="24"/>
        </w:rPr>
        <w:t xml:space="preserve">do wypowiedzenia umowy, bez konieczności zapłaty roszczenia, o którym mowa w art. </w:t>
      </w:r>
      <w:r w:rsidR="0039356C">
        <w:rPr>
          <w:rFonts w:ascii="Times New Roman" w:eastAsiaTheme="minorEastAsia" w:hAnsi="Times New Roman" w:cs="Times New Roman"/>
          <w:sz w:val="24"/>
          <w:szCs w:val="24"/>
        </w:rPr>
        <w:t>298</w:t>
      </w:r>
      <w:r w:rsidRPr="003A42FB">
        <w:rPr>
          <w:rFonts w:ascii="Times New Roman" w:eastAsiaTheme="minorEastAsia" w:hAnsi="Times New Roman" w:cs="Times New Roman"/>
          <w:sz w:val="24"/>
          <w:szCs w:val="24"/>
        </w:rPr>
        <w:t xml:space="preserve"> ust. 1.</w:t>
      </w:r>
      <w:r w:rsidR="31DF1DC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Przykładem znaczących rozbieżności między rzeczywistym wykonaniem usług a warunkami określonymi w umowie mogą być np. brak zasięgu dla usług głosowych w miejscu zamieszkania, słaba jakość połączeń lub ich przerywanie uniemożliwiające korzystanie z usług.</w:t>
      </w:r>
    </w:p>
    <w:p w14:paraId="37C52158" w14:textId="5EDE2027" w:rsidR="71BCE408" w:rsidRPr="003A42FB" w:rsidRDefault="091948D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Uprawnienie to nie ma zastosowania w przypadku usług dostępu do internetu. Przepis ten stanowi implementację art. 105 ust. 5 EKŁE</w:t>
      </w:r>
      <w:r w:rsidR="22D30B8F" w:rsidRPr="003A42FB">
        <w:rPr>
          <w:rFonts w:ascii="Times New Roman" w:eastAsiaTheme="minorEastAsia" w:hAnsi="Times New Roman" w:cs="Times New Roman"/>
          <w:sz w:val="24"/>
          <w:szCs w:val="24"/>
        </w:rPr>
        <w:t xml:space="preserve"> i nie ma swojego odpowiednika w Pt.</w:t>
      </w:r>
    </w:p>
    <w:p w14:paraId="00E0FE4F" w14:textId="57F1859B" w:rsidR="00805650" w:rsidRPr="003A42FB" w:rsidRDefault="08106A95" w:rsidP="2284D859">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376</w:t>
      </w:r>
      <w:r w:rsidRPr="003A42FB">
        <w:rPr>
          <w:rFonts w:ascii="Times New Roman" w:eastAsiaTheme="minorEastAsia" w:hAnsi="Times New Roman" w:cs="Times New Roman"/>
          <w:b/>
          <w:bCs/>
          <w:sz w:val="24"/>
          <w:szCs w:val="24"/>
        </w:rPr>
        <w:t xml:space="preserve"> - </w:t>
      </w:r>
      <w:r w:rsidR="3290F7F8" w:rsidRPr="003A42FB">
        <w:rPr>
          <w:rFonts w:ascii="Times New Roman" w:eastAsiaTheme="minorEastAsia" w:hAnsi="Times New Roman" w:cs="Times New Roman"/>
          <w:b/>
          <w:bCs/>
          <w:sz w:val="24"/>
          <w:szCs w:val="24"/>
        </w:rPr>
        <w:t>p</w:t>
      </w:r>
      <w:r w:rsidR="1730E85F" w:rsidRPr="003A42FB">
        <w:rPr>
          <w:rFonts w:ascii="Times New Roman" w:eastAsiaTheme="minorEastAsia" w:hAnsi="Times New Roman" w:cs="Times New Roman"/>
          <w:b/>
          <w:bCs/>
          <w:sz w:val="24"/>
          <w:szCs w:val="24"/>
        </w:rPr>
        <w:t>rzerwanie biegu przedawnienia</w:t>
      </w:r>
    </w:p>
    <w:p w14:paraId="3D595E90" w14:textId="7AC1A606" w:rsidR="00805650" w:rsidRPr="003A42FB" w:rsidRDefault="00202D77"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w:t>
      </w:r>
      <w:r w:rsidR="006C34F8" w:rsidRPr="003A42FB">
        <w:rPr>
          <w:rFonts w:ascii="Times New Roman" w:eastAsiaTheme="minorEastAsia" w:hAnsi="Times New Roman" w:cs="Times New Roman"/>
          <w:sz w:val="24"/>
          <w:szCs w:val="24"/>
        </w:rPr>
        <w:t>ykuł ten</w:t>
      </w:r>
      <w:r w:rsidRPr="003A42FB">
        <w:rPr>
          <w:rFonts w:ascii="Times New Roman" w:eastAsiaTheme="minorEastAsia" w:hAnsi="Times New Roman" w:cs="Times New Roman"/>
          <w:sz w:val="24"/>
          <w:szCs w:val="24"/>
        </w:rPr>
        <w:t xml:space="preserve"> </w:t>
      </w:r>
      <w:r w:rsidR="00805650" w:rsidRPr="003A42FB">
        <w:rPr>
          <w:rFonts w:ascii="Times New Roman" w:eastAsiaTheme="minorEastAsia" w:hAnsi="Times New Roman" w:cs="Times New Roman"/>
          <w:sz w:val="24"/>
          <w:szCs w:val="24"/>
        </w:rPr>
        <w:t xml:space="preserve">dookreśla zasady obliczania terminu przedawnienia </w:t>
      </w:r>
      <w:r w:rsidR="581AC2D9" w:rsidRPr="003A42FB">
        <w:rPr>
          <w:rFonts w:ascii="Times New Roman" w:eastAsiaTheme="minorEastAsia" w:hAnsi="Times New Roman" w:cs="Times New Roman"/>
          <w:sz w:val="24"/>
          <w:szCs w:val="24"/>
        </w:rPr>
        <w:t>roszczeń z zakresu usł</w:t>
      </w:r>
      <w:r w:rsidRPr="003A42FB">
        <w:rPr>
          <w:rFonts w:ascii="Times New Roman" w:eastAsiaTheme="minorEastAsia" w:hAnsi="Times New Roman" w:cs="Times New Roman"/>
          <w:sz w:val="24"/>
          <w:szCs w:val="24"/>
        </w:rPr>
        <w:t>u</w:t>
      </w:r>
      <w:r w:rsidR="581AC2D9" w:rsidRPr="003A42FB">
        <w:rPr>
          <w:rFonts w:ascii="Times New Roman" w:eastAsiaTheme="minorEastAsia" w:hAnsi="Times New Roman" w:cs="Times New Roman"/>
          <w:sz w:val="24"/>
          <w:szCs w:val="24"/>
        </w:rPr>
        <w:t xml:space="preserve">g komunikacji elektronicznej lub usług </w:t>
      </w:r>
      <w:r w:rsidR="00F07FD5" w:rsidRPr="003A42FB">
        <w:rPr>
          <w:rFonts w:ascii="Times New Roman" w:eastAsiaTheme="minorEastAsia" w:hAnsi="Times New Roman" w:cs="Times New Roman"/>
          <w:sz w:val="24"/>
          <w:szCs w:val="24"/>
        </w:rPr>
        <w:t>fakultatywnego</w:t>
      </w:r>
      <w:r w:rsidR="0F7A3EAE" w:rsidRPr="003A42FB">
        <w:rPr>
          <w:rFonts w:ascii="Times New Roman" w:eastAsiaTheme="minorEastAsia" w:hAnsi="Times New Roman" w:cs="Times New Roman"/>
          <w:sz w:val="24"/>
          <w:szCs w:val="24"/>
        </w:rPr>
        <w:t xml:space="preserve"> obciążania rachunku</w:t>
      </w:r>
      <w:r w:rsidR="581AC2D9" w:rsidRPr="003A42FB">
        <w:rPr>
          <w:rFonts w:ascii="Times New Roman" w:eastAsiaTheme="minorEastAsia" w:hAnsi="Times New Roman" w:cs="Times New Roman"/>
          <w:sz w:val="24"/>
          <w:szCs w:val="24"/>
        </w:rPr>
        <w:t xml:space="preserve"> </w:t>
      </w:r>
      <w:r w:rsidR="00805650" w:rsidRPr="003A42FB">
        <w:rPr>
          <w:rFonts w:ascii="Times New Roman" w:eastAsiaTheme="minorEastAsia" w:hAnsi="Times New Roman" w:cs="Times New Roman"/>
          <w:sz w:val="24"/>
          <w:szCs w:val="24"/>
        </w:rPr>
        <w:t xml:space="preserve">wskazując warunki w jakich termin ten ulega zawieszeniu, tj. w przypadku wniesienia reklamacji – od dnia jej wniesienia do dnia </w:t>
      </w:r>
      <w:r w:rsidR="06C4158C" w:rsidRPr="003A42FB">
        <w:rPr>
          <w:rFonts w:ascii="Times New Roman" w:eastAsiaTheme="minorEastAsia" w:hAnsi="Times New Roman" w:cs="Times New Roman"/>
          <w:sz w:val="24"/>
          <w:szCs w:val="24"/>
        </w:rPr>
        <w:t>wyczerpania drogi postępowania reklamacyjnego</w:t>
      </w:r>
      <w:r w:rsidR="00805650" w:rsidRPr="003A42FB">
        <w:rPr>
          <w:rFonts w:ascii="Times New Roman" w:eastAsiaTheme="minorEastAsia" w:hAnsi="Times New Roman" w:cs="Times New Roman"/>
          <w:sz w:val="24"/>
          <w:szCs w:val="24"/>
        </w:rPr>
        <w:t>.</w:t>
      </w:r>
    </w:p>
    <w:p w14:paraId="7E038848" w14:textId="679F82F8" w:rsidR="00805650" w:rsidRPr="003A42FB" w:rsidRDefault="1B04E807"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377</w:t>
      </w:r>
      <w:r w:rsidRPr="003A42FB">
        <w:rPr>
          <w:rFonts w:ascii="Times New Roman" w:eastAsiaTheme="minorEastAsia" w:hAnsi="Times New Roman" w:cs="Times New Roman"/>
          <w:b/>
          <w:bCs/>
          <w:sz w:val="24"/>
          <w:szCs w:val="24"/>
        </w:rPr>
        <w:t xml:space="preserve"> - </w:t>
      </w:r>
      <w:r w:rsidR="27BE0787" w:rsidRPr="003A42FB">
        <w:rPr>
          <w:rFonts w:ascii="Times New Roman" w:eastAsiaTheme="minorEastAsia" w:hAnsi="Times New Roman" w:cs="Times New Roman"/>
          <w:b/>
          <w:bCs/>
          <w:sz w:val="24"/>
          <w:szCs w:val="24"/>
        </w:rPr>
        <w:t>z</w:t>
      </w:r>
      <w:r w:rsidR="00805650" w:rsidRPr="003A42FB">
        <w:rPr>
          <w:rFonts w:ascii="Times New Roman" w:eastAsiaTheme="minorEastAsia" w:hAnsi="Times New Roman" w:cs="Times New Roman"/>
          <w:b/>
          <w:bCs/>
          <w:sz w:val="24"/>
          <w:szCs w:val="24"/>
        </w:rPr>
        <w:t>aprzestanie świadczenia usług</w:t>
      </w:r>
    </w:p>
    <w:p w14:paraId="6B6A074F" w14:textId="5D1D1FB1" w:rsidR="00805650" w:rsidRPr="003A42FB" w:rsidRDefault="00805650" w:rsidP="2284D859">
      <w:pPr>
        <w:spacing w:after="120" w:line="240" w:lineRule="auto"/>
        <w:jc w:val="both"/>
        <w:rPr>
          <w:rFonts w:ascii="Times New Roman" w:eastAsiaTheme="minorEastAsia" w:hAnsi="Times New Roman" w:cs="Times New Roman"/>
          <w:sz w:val="24"/>
          <w:szCs w:val="24"/>
        </w:rPr>
      </w:pPr>
      <w:bookmarkStart w:id="15" w:name="mip48671538"/>
      <w:bookmarkStart w:id="16" w:name="mip48671542"/>
      <w:bookmarkEnd w:id="15"/>
      <w:bookmarkEnd w:id="16"/>
      <w:r w:rsidRPr="003A42FB">
        <w:rPr>
          <w:rFonts w:ascii="Times New Roman" w:eastAsiaTheme="minorEastAsia" w:hAnsi="Times New Roman" w:cs="Times New Roman"/>
          <w:sz w:val="24"/>
          <w:szCs w:val="24"/>
        </w:rPr>
        <w:t xml:space="preserve">Artykuł </w:t>
      </w:r>
      <w:r w:rsidR="006C34F8" w:rsidRPr="003A42FB">
        <w:rPr>
          <w:rFonts w:ascii="Times New Roman" w:eastAsiaTheme="minorEastAsia" w:hAnsi="Times New Roman" w:cs="Times New Roman"/>
          <w:sz w:val="24"/>
          <w:szCs w:val="24"/>
        </w:rPr>
        <w:t>ten</w:t>
      </w:r>
      <w:r w:rsidRPr="003A42FB">
        <w:rPr>
          <w:rFonts w:ascii="Times New Roman" w:eastAsiaTheme="minorEastAsia" w:hAnsi="Times New Roman" w:cs="Times New Roman"/>
          <w:sz w:val="24"/>
          <w:szCs w:val="24"/>
        </w:rPr>
        <w:t xml:space="preserve"> reguluje kwestię niepłacenia przez abonentów rachunków oraz warunków zaprzestania w takim przypadku świadczenia usług przez dostawcę usług telekomunikacyjnych. Artykuł ten stanowi implementację litery e</w:t>
      </w:r>
      <w:r w:rsidR="006C34F8"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części A załącznika VI do EKŁE. </w:t>
      </w:r>
      <w:r w:rsidR="1505A3C1" w:rsidRPr="003A42FB">
        <w:rPr>
          <w:rFonts w:ascii="Times New Roman" w:eastAsiaTheme="minorEastAsia" w:hAnsi="Times New Roman" w:cs="Times New Roman"/>
          <w:sz w:val="24"/>
          <w:szCs w:val="24"/>
        </w:rPr>
        <w:t>K</w:t>
      </w:r>
      <w:r w:rsidR="0579C912" w:rsidRPr="003A42FB">
        <w:rPr>
          <w:rFonts w:ascii="Times New Roman" w:eastAsiaTheme="minorEastAsia" w:hAnsi="Times New Roman" w:cs="Times New Roman"/>
          <w:sz w:val="24"/>
          <w:szCs w:val="24"/>
        </w:rPr>
        <w:t>w</w:t>
      </w:r>
      <w:r w:rsidR="0D872137" w:rsidRPr="003A42FB">
        <w:rPr>
          <w:rFonts w:ascii="Times New Roman" w:eastAsiaTheme="minorEastAsia" w:hAnsi="Times New Roman" w:cs="Times New Roman"/>
          <w:sz w:val="24"/>
          <w:szCs w:val="24"/>
        </w:rPr>
        <w:t xml:space="preserve">estia zaprzestania świadczenia usług </w:t>
      </w:r>
      <w:r w:rsidR="717C02BB" w:rsidRPr="003A42FB">
        <w:rPr>
          <w:rFonts w:ascii="Times New Roman" w:eastAsiaTheme="minorEastAsia" w:hAnsi="Times New Roman" w:cs="Times New Roman"/>
          <w:sz w:val="24"/>
          <w:szCs w:val="24"/>
        </w:rPr>
        <w:t>i rozwiązania umowy z winy abonenta</w:t>
      </w:r>
      <w:r w:rsidR="04C8E7D1" w:rsidRPr="003A42FB">
        <w:rPr>
          <w:rFonts w:ascii="Times New Roman" w:eastAsiaTheme="minorEastAsia" w:hAnsi="Times New Roman" w:cs="Times New Roman"/>
          <w:sz w:val="24"/>
          <w:szCs w:val="24"/>
        </w:rPr>
        <w:t xml:space="preserve"> </w:t>
      </w:r>
      <w:r w:rsidR="0D872137" w:rsidRPr="003A42FB">
        <w:rPr>
          <w:rFonts w:ascii="Times New Roman" w:eastAsiaTheme="minorEastAsia" w:hAnsi="Times New Roman" w:cs="Times New Roman"/>
          <w:sz w:val="24"/>
          <w:szCs w:val="24"/>
        </w:rPr>
        <w:t xml:space="preserve">regulowana była dotychczas w Pt jedynie w odniesieniu do usługi powszechnej. </w:t>
      </w:r>
      <w:bookmarkStart w:id="17" w:name="mip48671544"/>
      <w:bookmarkStart w:id="18" w:name="mip48671545"/>
      <w:bookmarkEnd w:id="17"/>
      <w:bookmarkEnd w:id="18"/>
    </w:p>
    <w:p w14:paraId="2EDBA5D9" w14:textId="23C0B2FE" w:rsidR="14109BEF" w:rsidRPr="003A42FB" w:rsidRDefault="14109BEF" w:rsidP="00451B10">
      <w:pPr>
        <w:spacing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projektowaną regulacją</w:t>
      </w:r>
      <w:r w:rsidR="7F8F914E" w:rsidRPr="003A42FB">
        <w:rPr>
          <w:rFonts w:ascii="Times New Roman" w:eastAsiaTheme="minorEastAsia" w:hAnsi="Times New Roman" w:cs="Times New Roman"/>
          <w:sz w:val="24"/>
          <w:szCs w:val="24"/>
        </w:rPr>
        <w:t xml:space="preserve"> d</w:t>
      </w:r>
      <w:r w:rsidR="3C611606" w:rsidRPr="003A42FB">
        <w:rPr>
          <w:rFonts w:ascii="Times New Roman" w:eastAsiaTheme="minorEastAsia" w:hAnsi="Times New Roman" w:cs="Times New Roman"/>
          <w:sz w:val="24"/>
          <w:szCs w:val="24"/>
        </w:rPr>
        <w:t>ostawca usług w przypadku</w:t>
      </w:r>
      <w:r w:rsidR="3328F3FF" w:rsidRPr="003A42FB">
        <w:rPr>
          <w:rFonts w:ascii="Times New Roman" w:eastAsiaTheme="minorEastAsia" w:hAnsi="Times New Roman" w:cs="Times New Roman"/>
          <w:sz w:val="24"/>
          <w:szCs w:val="24"/>
        </w:rPr>
        <w:t xml:space="preserve"> opóźni</w:t>
      </w:r>
      <w:r w:rsidR="4FC92EB3" w:rsidRPr="003A42FB">
        <w:rPr>
          <w:rFonts w:ascii="Times New Roman" w:eastAsiaTheme="minorEastAsia" w:hAnsi="Times New Roman" w:cs="Times New Roman"/>
          <w:sz w:val="24"/>
          <w:szCs w:val="24"/>
        </w:rPr>
        <w:t>a</w:t>
      </w:r>
      <w:r w:rsidR="3328F3FF" w:rsidRPr="003A42FB">
        <w:rPr>
          <w:rFonts w:ascii="Times New Roman" w:eastAsiaTheme="minorEastAsia" w:hAnsi="Times New Roman" w:cs="Times New Roman"/>
          <w:sz w:val="24"/>
          <w:szCs w:val="24"/>
        </w:rPr>
        <w:t>nia</w:t>
      </w:r>
      <w:r w:rsidR="3C611606" w:rsidRPr="003A42FB">
        <w:rPr>
          <w:rFonts w:ascii="Times New Roman" w:eastAsiaTheme="minorEastAsia" w:hAnsi="Times New Roman" w:cs="Times New Roman"/>
          <w:sz w:val="24"/>
          <w:szCs w:val="24"/>
        </w:rPr>
        <w:t xml:space="preserve"> </w:t>
      </w:r>
      <w:r w:rsidR="017B1BCB" w:rsidRPr="003A42FB">
        <w:rPr>
          <w:rFonts w:ascii="Times New Roman" w:eastAsiaTheme="minorEastAsia" w:hAnsi="Times New Roman" w:cs="Times New Roman"/>
          <w:sz w:val="24"/>
          <w:szCs w:val="24"/>
        </w:rPr>
        <w:t xml:space="preserve">się </w:t>
      </w:r>
      <w:r w:rsidR="3C611606" w:rsidRPr="003A42FB">
        <w:rPr>
          <w:rFonts w:ascii="Times New Roman" w:eastAsiaTheme="minorEastAsia" w:hAnsi="Times New Roman" w:cs="Times New Roman"/>
          <w:sz w:val="24"/>
          <w:szCs w:val="24"/>
        </w:rPr>
        <w:t xml:space="preserve">abonenta z zapłatą obowiązany jest w pierwszej kolejności do powiadamia tego abonenta o zamiarze </w:t>
      </w:r>
      <w:r w:rsidR="006C34F8" w:rsidRPr="003A42FB">
        <w:rPr>
          <w:rFonts w:ascii="Times New Roman" w:eastAsiaTheme="minorEastAsia" w:hAnsi="Times New Roman" w:cs="Times New Roman"/>
          <w:sz w:val="24"/>
          <w:szCs w:val="24"/>
        </w:rPr>
        <w:t>zawieszenia</w:t>
      </w:r>
      <w:r w:rsidR="3C611606" w:rsidRPr="003A42FB">
        <w:rPr>
          <w:rFonts w:ascii="Times New Roman" w:eastAsiaTheme="minorEastAsia" w:hAnsi="Times New Roman" w:cs="Times New Roman"/>
          <w:sz w:val="24"/>
          <w:szCs w:val="24"/>
        </w:rPr>
        <w:t xml:space="preserve"> świadczenia usługi, jeżeli abonent ten nie ureguluje zaległych należności w terminie 14 dni od dnia </w:t>
      </w:r>
      <w:r w:rsidR="63342976" w:rsidRPr="003A42FB">
        <w:rPr>
          <w:rFonts w:ascii="Times New Roman" w:eastAsiaTheme="minorEastAsia" w:hAnsi="Times New Roman" w:cs="Times New Roman"/>
          <w:sz w:val="24"/>
          <w:szCs w:val="24"/>
        </w:rPr>
        <w:t>doręczenia abonentowi</w:t>
      </w:r>
      <w:r w:rsidR="3C611606" w:rsidRPr="003A42FB">
        <w:rPr>
          <w:rFonts w:ascii="Times New Roman" w:eastAsiaTheme="minorEastAsia" w:hAnsi="Times New Roman" w:cs="Times New Roman"/>
          <w:sz w:val="24"/>
          <w:szCs w:val="24"/>
        </w:rPr>
        <w:t xml:space="preserve"> tego powiadomienia. Regulacja taka ma chronić abonenta przed nagłą i niespodziewaną utratą </w:t>
      </w:r>
      <w:r w:rsidR="006C34F8" w:rsidRPr="003A42FB">
        <w:rPr>
          <w:rFonts w:ascii="Times New Roman" w:eastAsiaTheme="minorEastAsia" w:hAnsi="Times New Roman" w:cs="Times New Roman"/>
          <w:sz w:val="24"/>
          <w:szCs w:val="24"/>
        </w:rPr>
        <w:t xml:space="preserve">dostępu do </w:t>
      </w:r>
      <w:r w:rsidR="3C611606" w:rsidRPr="003A42FB">
        <w:rPr>
          <w:rFonts w:ascii="Times New Roman" w:eastAsiaTheme="minorEastAsia" w:hAnsi="Times New Roman" w:cs="Times New Roman"/>
          <w:sz w:val="24"/>
          <w:szCs w:val="24"/>
        </w:rPr>
        <w:t xml:space="preserve">usługi. Dopiero po bezskutecznym upływie wyżej wskazanego terminu dostawca usług może </w:t>
      </w:r>
      <w:r w:rsidR="006C34F8" w:rsidRPr="003A42FB">
        <w:rPr>
          <w:rFonts w:ascii="Times New Roman" w:eastAsiaTheme="minorEastAsia" w:hAnsi="Times New Roman" w:cs="Times New Roman"/>
          <w:sz w:val="24"/>
          <w:szCs w:val="24"/>
        </w:rPr>
        <w:t>zawiesić</w:t>
      </w:r>
      <w:r w:rsidR="3C611606" w:rsidRPr="003A42FB">
        <w:rPr>
          <w:rFonts w:ascii="Times New Roman" w:eastAsiaTheme="minorEastAsia" w:hAnsi="Times New Roman" w:cs="Times New Roman"/>
          <w:sz w:val="24"/>
          <w:szCs w:val="24"/>
        </w:rPr>
        <w:t xml:space="preserve"> świadczenia usługi (ust. 2). </w:t>
      </w:r>
      <w:r w:rsidR="084CB53A" w:rsidRPr="003A42FB">
        <w:rPr>
          <w:rFonts w:ascii="Times New Roman" w:eastAsiaTheme="minorEastAsia" w:hAnsi="Times New Roman" w:cs="Times New Roman"/>
          <w:sz w:val="24"/>
          <w:szCs w:val="24"/>
        </w:rPr>
        <w:t xml:space="preserve">Zgodnie z ust. 3 </w:t>
      </w:r>
      <w:r w:rsidR="435A50F2" w:rsidRPr="003A42FB">
        <w:rPr>
          <w:rFonts w:ascii="Times New Roman" w:eastAsiaTheme="minorEastAsia" w:hAnsi="Times New Roman" w:cs="Times New Roman"/>
          <w:sz w:val="24"/>
          <w:szCs w:val="24"/>
        </w:rPr>
        <w:t>w</w:t>
      </w:r>
      <w:r w:rsidR="084CB53A" w:rsidRPr="003A42FB">
        <w:rPr>
          <w:rFonts w:ascii="Times New Roman" w:eastAsiaTheme="minorEastAsia" w:hAnsi="Times New Roman" w:cs="Times New Roman"/>
          <w:sz w:val="24"/>
          <w:szCs w:val="24"/>
        </w:rPr>
        <w:t xml:space="preserve"> przypadku złożenia reklamacji co do wysokości należności zawieszenie świadczenia usługi nie może nastąpić </w:t>
      </w:r>
      <w:r w:rsidR="006C34F8" w:rsidRPr="003A42FB">
        <w:rPr>
          <w:rFonts w:ascii="Times New Roman" w:eastAsiaTheme="minorEastAsia" w:hAnsi="Times New Roman" w:cs="Times New Roman"/>
          <w:sz w:val="24"/>
          <w:szCs w:val="24"/>
        </w:rPr>
        <w:t>wcześniej niż po upływie 7 dni od dnia</w:t>
      </w:r>
      <w:r w:rsidR="084CB53A" w:rsidRPr="003A42FB">
        <w:rPr>
          <w:rFonts w:ascii="Times New Roman" w:eastAsiaTheme="minorEastAsia" w:hAnsi="Times New Roman" w:cs="Times New Roman"/>
          <w:sz w:val="24"/>
          <w:szCs w:val="24"/>
        </w:rPr>
        <w:t xml:space="preserve"> wyczerpania drogi postępowania reklamacyjnego, pod warunkiem zapłaty bezspornych należności. </w:t>
      </w:r>
    </w:p>
    <w:p w14:paraId="06AA427E" w14:textId="6D704101" w:rsidR="3C611606" w:rsidRPr="003A42FB" w:rsidRDefault="3C611606" w:rsidP="2284D859">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przypadku uregulowania zaległości z tytułu świadczenia usług przez abonenta dostawca usług ma obowiązek niezwłocznie</w:t>
      </w:r>
      <w:r w:rsidR="35894BD1" w:rsidRPr="003A42FB">
        <w:rPr>
          <w:rFonts w:ascii="Times New Roman" w:eastAsiaTheme="minorEastAsia" w:hAnsi="Times New Roman" w:cs="Times New Roman"/>
          <w:sz w:val="24"/>
          <w:szCs w:val="24"/>
        </w:rPr>
        <w:t>, jednak nie później w terminie 3 dni roboczych,</w:t>
      </w:r>
      <w:r w:rsidR="1BCEA18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wznowić świadczenie usług (ust. </w:t>
      </w:r>
      <w:r w:rsidR="2E1C22C0"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xml:space="preserve">). </w:t>
      </w:r>
      <w:r w:rsidR="4D709B15" w:rsidRPr="003A42FB">
        <w:rPr>
          <w:rFonts w:ascii="Times New Roman" w:eastAsiaTheme="minorEastAsia" w:hAnsi="Times New Roman" w:cs="Times New Roman"/>
          <w:sz w:val="24"/>
          <w:szCs w:val="24"/>
        </w:rPr>
        <w:t>Ustęp 5 limituje wysokość opłaty za wznowienie świadczenia usług odnosząc się do rzeczywistych kosztów ponoszonych przez dostawce usług.</w:t>
      </w:r>
      <w:r w:rsidR="4A5C958D" w:rsidRPr="003A42FB">
        <w:rPr>
          <w:rFonts w:ascii="Times New Roman" w:eastAsiaTheme="minorEastAsia" w:hAnsi="Times New Roman" w:cs="Times New Roman"/>
          <w:sz w:val="24"/>
          <w:szCs w:val="24"/>
        </w:rPr>
        <w:t xml:space="preserve"> Ustęp </w:t>
      </w:r>
      <w:r w:rsidR="006C34F8" w:rsidRPr="003A42FB">
        <w:rPr>
          <w:rFonts w:ascii="Times New Roman" w:eastAsiaTheme="minorEastAsia" w:hAnsi="Times New Roman" w:cs="Times New Roman"/>
          <w:sz w:val="24"/>
          <w:szCs w:val="24"/>
        </w:rPr>
        <w:t>6</w:t>
      </w:r>
      <w:r w:rsidR="4A5C958D" w:rsidRPr="003A42FB">
        <w:rPr>
          <w:rFonts w:ascii="Times New Roman" w:eastAsiaTheme="minorEastAsia" w:hAnsi="Times New Roman" w:cs="Times New Roman"/>
          <w:sz w:val="24"/>
          <w:szCs w:val="24"/>
        </w:rPr>
        <w:t xml:space="preserve"> odnosi się do sytuacji, gdy abonent pomimo wezwania nie ureguluje zaległych należności</w:t>
      </w:r>
      <w:r w:rsidR="5DA61BF5" w:rsidRPr="003A42FB">
        <w:rPr>
          <w:rFonts w:ascii="Times New Roman" w:eastAsiaTheme="minorEastAsia" w:hAnsi="Times New Roman" w:cs="Times New Roman"/>
          <w:sz w:val="24"/>
          <w:szCs w:val="24"/>
        </w:rPr>
        <w:t>. W takiej sytuacji dostawca usług może zawiadomić abonenta o zamiarze wypowiedzenia umowy z winy abonenta</w:t>
      </w:r>
      <w:r w:rsidR="006C34F8" w:rsidRPr="003A42FB">
        <w:rPr>
          <w:rFonts w:ascii="Times New Roman" w:eastAsiaTheme="minorEastAsia" w:hAnsi="Times New Roman" w:cs="Times New Roman"/>
          <w:sz w:val="24"/>
          <w:szCs w:val="24"/>
        </w:rPr>
        <w:t>, które nastąpić może</w:t>
      </w:r>
      <w:r w:rsidR="5DA61BF5" w:rsidRPr="003A42FB">
        <w:rPr>
          <w:rFonts w:ascii="Times New Roman" w:eastAsiaTheme="minorEastAsia" w:hAnsi="Times New Roman" w:cs="Times New Roman"/>
          <w:sz w:val="24"/>
          <w:szCs w:val="24"/>
        </w:rPr>
        <w:t xml:space="preserve"> </w:t>
      </w:r>
      <w:r w:rsidR="41BBB49B" w:rsidRPr="003A42FB">
        <w:rPr>
          <w:rFonts w:ascii="Times New Roman" w:eastAsiaTheme="minorEastAsia" w:hAnsi="Times New Roman" w:cs="Times New Roman"/>
          <w:sz w:val="24"/>
          <w:szCs w:val="24"/>
        </w:rPr>
        <w:t>po upływie 7 dni od dnia doręczenia powiadomienia.</w:t>
      </w:r>
    </w:p>
    <w:p w14:paraId="7CB05653" w14:textId="77777777" w:rsidR="003A42FB" w:rsidRPr="003A42FB" w:rsidRDefault="66314863" w:rsidP="00C53EAB">
      <w:pPr>
        <w:spacing w:after="120" w:line="240" w:lineRule="auto"/>
        <w:jc w:val="both"/>
        <w:rPr>
          <w:rFonts w:ascii="Times New Roman" w:eastAsia="Times New Roman" w:hAnsi="Times New Roman" w:cs="Times New Roman"/>
          <w:sz w:val="24"/>
          <w:szCs w:val="24"/>
        </w:rPr>
      </w:pPr>
      <w:r w:rsidRPr="003A42FB">
        <w:rPr>
          <w:rFonts w:ascii="Times New Roman" w:eastAsia="Times New Roman" w:hAnsi="Times New Roman" w:cs="Times New Roman"/>
          <w:sz w:val="24"/>
          <w:szCs w:val="24"/>
        </w:rPr>
        <w:lastRenderedPageBreak/>
        <w:t>Powiadomienia w zakresie zamiaru zawieszenia świadczenia usług oraz wypowiedzenia umowy z winy abonenta dostawca usług doręcza bezpłatnie na trwałym nośniku na wskazany do kontaktu adres korespondencyjny</w:t>
      </w:r>
      <w:r w:rsidR="00E51653" w:rsidRPr="003A42FB">
        <w:rPr>
          <w:rFonts w:ascii="Times New Roman" w:eastAsia="Times New Roman" w:hAnsi="Times New Roman" w:cs="Times New Roman"/>
          <w:sz w:val="24"/>
          <w:szCs w:val="24"/>
        </w:rPr>
        <w:t xml:space="preserve">, </w:t>
      </w:r>
      <w:r w:rsidRPr="003A42FB">
        <w:rPr>
          <w:rFonts w:ascii="Times New Roman" w:eastAsia="Times New Roman" w:hAnsi="Times New Roman" w:cs="Times New Roman"/>
          <w:sz w:val="24"/>
          <w:szCs w:val="24"/>
        </w:rPr>
        <w:t>adres poczty elektronicznej</w:t>
      </w:r>
      <w:r w:rsidR="00E51653" w:rsidRPr="003A42FB">
        <w:rPr>
          <w:rFonts w:ascii="Times New Roman" w:eastAsia="Times New Roman" w:hAnsi="Times New Roman" w:cs="Times New Roman"/>
          <w:sz w:val="24"/>
          <w:szCs w:val="24"/>
        </w:rPr>
        <w:t xml:space="preserve"> lub adres innego środka komunikacji elektronicznej</w:t>
      </w:r>
      <w:r w:rsidRPr="003A42FB">
        <w:rPr>
          <w:rFonts w:ascii="Times New Roman" w:eastAsia="Times New Roman" w:hAnsi="Times New Roman" w:cs="Times New Roman"/>
          <w:sz w:val="24"/>
          <w:szCs w:val="24"/>
        </w:rPr>
        <w:t>.</w:t>
      </w:r>
      <w:r w:rsidR="00E51653" w:rsidRPr="003A42FB">
        <w:rPr>
          <w:rFonts w:ascii="Times New Roman" w:eastAsia="Times New Roman" w:hAnsi="Times New Roman" w:cs="Times New Roman"/>
          <w:sz w:val="24"/>
          <w:szCs w:val="24"/>
        </w:rPr>
        <w:t xml:space="preserve"> </w:t>
      </w:r>
      <w:bookmarkStart w:id="19" w:name="mip48671546"/>
      <w:bookmarkStart w:id="20" w:name="mip48671547"/>
      <w:bookmarkStart w:id="21" w:name="mip48671555"/>
      <w:bookmarkEnd w:id="19"/>
      <w:bookmarkEnd w:id="20"/>
      <w:bookmarkEnd w:id="21"/>
    </w:p>
    <w:p w14:paraId="4AAEDEE4" w14:textId="067AA633" w:rsidR="00805650" w:rsidRPr="003A42FB" w:rsidRDefault="37F6474C"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39356C">
        <w:rPr>
          <w:rFonts w:ascii="Times New Roman" w:eastAsiaTheme="minorEastAsia" w:hAnsi="Times New Roman" w:cs="Times New Roman"/>
          <w:b/>
          <w:bCs/>
          <w:sz w:val="24"/>
          <w:szCs w:val="24"/>
        </w:rPr>
        <w:t>378</w:t>
      </w:r>
      <w:r w:rsidRPr="003A42FB">
        <w:rPr>
          <w:rFonts w:ascii="Times New Roman" w:eastAsiaTheme="minorEastAsia" w:hAnsi="Times New Roman" w:cs="Times New Roman"/>
          <w:b/>
          <w:bCs/>
          <w:sz w:val="24"/>
          <w:szCs w:val="24"/>
        </w:rPr>
        <w:t xml:space="preserve"> - </w:t>
      </w:r>
      <w:r w:rsidR="7155D449" w:rsidRPr="003A42FB">
        <w:rPr>
          <w:rFonts w:ascii="Times New Roman" w:eastAsiaTheme="minorEastAsia" w:hAnsi="Times New Roman" w:cs="Times New Roman"/>
          <w:b/>
          <w:bCs/>
          <w:sz w:val="24"/>
          <w:szCs w:val="24"/>
        </w:rPr>
        <w:t>p</w:t>
      </w:r>
      <w:r w:rsidR="00805650" w:rsidRPr="003A42FB">
        <w:rPr>
          <w:rFonts w:ascii="Times New Roman" w:eastAsiaTheme="minorEastAsia" w:hAnsi="Times New Roman" w:cs="Times New Roman"/>
          <w:b/>
          <w:bCs/>
          <w:sz w:val="24"/>
          <w:szCs w:val="24"/>
        </w:rPr>
        <w:t>ostępowanie w sprawie pozasądowego rozwiązywania sporów konsumenckich</w:t>
      </w:r>
      <w:r w:rsidR="68843A8C" w:rsidRPr="003A42FB">
        <w:rPr>
          <w:rFonts w:ascii="Times New Roman" w:eastAsiaTheme="minorEastAsia" w:hAnsi="Times New Roman" w:cs="Times New Roman"/>
          <w:b/>
          <w:bCs/>
          <w:sz w:val="24"/>
          <w:szCs w:val="24"/>
        </w:rPr>
        <w:t xml:space="preserve"> (ADR)</w:t>
      </w:r>
    </w:p>
    <w:p w14:paraId="36DA4618" w14:textId="3D4AEFD7"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39356C">
        <w:rPr>
          <w:rFonts w:ascii="Times New Roman" w:eastAsiaTheme="minorEastAsia" w:hAnsi="Times New Roman" w:cs="Times New Roman"/>
          <w:sz w:val="24"/>
          <w:szCs w:val="24"/>
        </w:rPr>
        <w:t>378</w:t>
      </w:r>
      <w:r w:rsidRPr="003A42FB">
        <w:rPr>
          <w:rFonts w:ascii="Times New Roman" w:eastAsiaTheme="minorEastAsia" w:hAnsi="Times New Roman" w:cs="Times New Roman"/>
          <w:sz w:val="24"/>
          <w:szCs w:val="24"/>
        </w:rPr>
        <w:t xml:space="preserve"> reguluje postępowanie w sprawie pozasądowego rozwiązywania sporów konsumenckich (postępowanie ADR). Postępowanie ADR może być wszczęte w przypadku zaistnienia sporu cywilnoprawnego między konsumentem a dostawcą usług telekomunikacyjnych. Celem postępowania jest polubowne zakończenie sporu. </w:t>
      </w:r>
      <w:r w:rsidR="41F8B0E7" w:rsidRPr="003A42FB">
        <w:rPr>
          <w:rFonts w:ascii="Times New Roman" w:eastAsiaTheme="minorEastAsia" w:hAnsi="Times New Roman" w:cs="Times New Roman"/>
          <w:sz w:val="24"/>
          <w:szCs w:val="24"/>
        </w:rPr>
        <w:t>Przepisy regulujące postępowani</w:t>
      </w:r>
      <w:r w:rsidR="1F8C008C" w:rsidRPr="003A42FB">
        <w:rPr>
          <w:rFonts w:ascii="Times New Roman" w:eastAsiaTheme="minorEastAsia" w:hAnsi="Times New Roman" w:cs="Times New Roman"/>
          <w:sz w:val="24"/>
          <w:szCs w:val="24"/>
        </w:rPr>
        <w:t>e</w:t>
      </w:r>
      <w:r w:rsidR="41F8B0E7" w:rsidRPr="003A42FB">
        <w:rPr>
          <w:rFonts w:ascii="Times New Roman" w:eastAsiaTheme="minorEastAsia" w:hAnsi="Times New Roman" w:cs="Times New Roman"/>
          <w:sz w:val="24"/>
          <w:szCs w:val="24"/>
        </w:rPr>
        <w:t xml:space="preserve"> ADR zawarte są również w Pt. </w:t>
      </w:r>
      <w:r w:rsidR="43404BD5" w:rsidRPr="003A42FB">
        <w:rPr>
          <w:rFonts w:ascii="Times New Roman" w:eastAsiaTheme="minorEastAsia" w:hAnsi="Times New Roman" w:cs="Times New Roman"/>
          <w:sz w:val="24"/>
          <w:szCs w:val="24"/>
        </w:rPr>
        <w:t>Pke</w:t>
      </w:r>
      <w:r w:rsidR="1D7CD54D" w:rsidRPr="003A42FB">
        <w:rPr>
          <w:rFonts w:ascii="Times New Roman" w:eastAsiaTheme="minorEastAsia" w:hAnsi="Times New Roman" w:cs="Times New Roman"/>
          <w:sz w:val="24"/>
          <w:szCs w:val="24"/>
        </w:rPr>
        <w:t xml:space="preserve"> nie wprowadza zmian względem obowiązujących regulacji</w:t>
      </w:r>
      <w:r w:rsidR="00EB01DC" w:rsidRPr="003A42FB">
        <w:rPr>
          <w:rFonts w:ascii="Times New Roman" w:eastAsiaTheme="minorEastAsia" w:hAnsi="Times New Roman" w:cs="Times New Roman"/>
          <w:sz w:val="24"/>
          <w:szCs w:val="24"/>
        </w:rPr>
        <w:t xml:space="preserve">, poza przeniesieniem części regulacji zawartych w rozporządzeniu wydawanym dotychczas na podstawie art. 109 ust. </w:t>
      </w:r>
      <w:r w:rsidR="00AE08A8" w:rsidRPr="003A42FB">
        <w:rPr>
          <w:rFonts w:ascii="Times New Roman" w:eastAsiaTheme="minorEastAsia" w:hAnsi="Times New Roman" w:cs="Times New Roman"/>
          <w:sz w:val="24"/>
          <w:szCs w:val="24"/>
        </w:rPr>
        <w:t>12 Pt do treści ustawy.</w:t>
      </w:r>
    </w:p>
    <w:p w14:paraId="758004F5" w14:textId="70BB17BC" w:rsidR="00AE08A8" w:rsidRPr="003A42FB" w:rsidRDefault="00AE08A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ust. 2 p</w:t>
      </w:r>
      <w:r w:rsidR="00805650" w:rsidRPr="003A42FB">
        <w:rPr>
          <w:rFonts w:ascii="Times New Roman" w:eastAsiaTheme="minorEastAsia" w:hAnsi="Times New Roman" w:cs="Times New Roman"/>
          <w:sz w:val="24"/>
          <w:szCs w:val="24"/>
        </w:rPr>
        <w:t>ostępowanie ADR prowadzi Prezes UKE, który w tym zakresie jest podmiotem uprawnionym do prowadzenia postępowania w sprawie pozasądowego rozwiązywania sporów konsumenckich w rozumieniu ustawy z dnia 23 września 2016 r. o pozasądowym rozwiązywaniu sporów konsumenckich (Dz.</w:t>
      </w:r>
      <w:r w:rsidR="00BD5A4D" w:rsidRPr="003A42FB">
        <w:rPr>
          <w:rFonts w:ascii="Times New Roman" w:eastAsiaTheme="minorEastAsia" w:hAnsi="Times New Roman" w:cs="Times New Roman"/>
          <w:sz w:val="24"/>
          <w:szCs w:val="24"/>
        </w:rPr>
        <w:t xml:space="preserve"> </w:t>
      </w:r>
      <w:r w:rsidR="00805650" w:rsidRPr="003A42FB">
        <w:rPr>
          <w:rFonts w:ascii="Times New Roman" w:eastAsiaTheme="minorEastAsia" w:hAnsi="Times New Roman" w:cs="Times New Roman"/>
          <w:sz w:val="24"/>
          <w:szCs w:val="24"/>
        </w:rPr>
        <w:t xml:space="preserve">U. poz. 1823). Do postępowania ADR stosuje się w zakresie nieuregulowanym ustawą przepisy ustawy z dnia 23 września 2016 r. o pozasądowym rozwiązywaniu sporów konsumenckich. </w:t>
      </w:r>
    </w:p>
    <w:p w14:paraId="69EE8E0E" w14:textId="7EDFD6B4" w:rsidR="00AE08A8" w:rsidRPr="003A42FB" w:rsidRDefault="00AE08A8"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39356C">
        <w:rPr>
          <w:rFonts w:ascii="Times New Roman" w:eastAsiaTheme="minorEastAsia" w:hAnsi="Times New Roman" w:cs="Times New Roman"/>
          <w:b/>
          <w:sz w:val="24"/>
          <w:szCs w:val="24"/>
        </w:rPr>
        <w:t>379</w:t>
      </w:r>
      <w:r w:rsidRPr="003A42FB">
        <w:rPr>
          <w:rFonts w:ascii="Times New Roman" w:eastAsiaTheme="minorEastAsia" w:hAnsi="Times New Roman" w:cs="Times New Roman"/>
          <w:b/>
          <w:sz w:val="24"/>
          <w:szCs w:val="24"/>
        </w:rPr>
        <w:t xml:space="preserve"> – wszczęcie postępowania</w:t>
      </w:r>
      <w:r w:rsidR="002656D2" w:rsidRPr="003A42FB">
        <w:rPr>
          <w:rFonts w:ascii="Times New Roman" w:eastAsiaTheme="minorEastAsia" w:hAnsi="Times New Roman" w:cs="Times New Roman"/>
          <w:b/>
          <w:sz w:val="24"/>
          <w:szCs w:val="24"/>
        </w:rPr>
        <w:t xml:space="preserve"> ADR</w:t>
      </w:r>
      <w:r w:rsidRPr="003A42FB">
        <w:rPr>
          <w:rFonts w:ascii="Times New Roman" w:eastAsiaTheme="minorEastAsia" w:hAnsi="Times New Roman" w:cs="Times New Roman"/>
          <w:b/>
          <w:sz w:val="24"/>
          <w:szCs w:val="24"/>
        </w:rPr>
        <w:t xml:space="preserve"> </w:t>
      </w:r>
    </w:p>
    <w:p w14:paraId="27164A49" w14:textId="2098A54A" w:rsidR="00805650" w:rsidRPr="003A42FB" w:rsidRDefault="127B94B8" w:rsidP="77AC97E8">
      <w:pPr>
        <w:spacing w:after="120" w:line="240" w:lineRule="auto"/>
        <w:jc w:val="both"/>
        <w:rPr>
          <w:rFonts w:ascii="Times New Roman" w:eastAsiaTheme="minorEastAsia" w:hAnsi="Times New Roman" w:cs="Times New Roman"/>
          <w:sz w:val="24"/>
          <w:szCs w:val="24"/>
        </w:rPr>
      </w:pPr>
      <w:r w:rsidRPr="77AC97E8">
        <w:rPr>
          <w:rFonts w:ascii="Times New Roman" w:eastAsiaTheme="minorEastAsia" w:hAnsi="Times New Roman" w:cs="Times New Roman"/>
          <w:sz w:val="24"/>
          <w:szCs w:val="24"/>
        </w:rPr>
        <w:t xml:space="preserve">Zgodnie z ust. </w:t>
      </w:r>
      <w:r w:rsidR="22A8401C" w:rsidRPr="77AC97E8">
        <w:rPr>
          <w:rFonts w:ascii="Times New Roman" w:eastAsiaTheme="minorEastAsia" w:hAnsi="Times New Roman" w:cs="Times New Roman"/>
          <w:sz w:val="24"/>
          <w:szCs w:val="24"/>
        </w:rPr>
        <w:t>1</w:t>
      </w:r>
      <w:r w:rsidRPr="77AC97E8">
        <w:rPr>
          <w:rFonts w:ascii="Times New Roman" w:eastAsiaTheme="minorEastAsia" w:hAnsi="Times New Roman" w:cs="Times New Roman"/>
          <w:sz w:val="24"/>
          <w:szCs w:val="24"/>
        </w:rPr>
        <w:t xml:space="preserve"> postępowanie może być wszczęte na wniosek konsumenta albo z urzędu, jeżeli wymaga tego ochrona interesu konsumenta. Niezbędne elementy wniosku określone zostały w art. 33 ust. 2 ustawy o pozasądowym rozwiązywaniu sporów konsumenckich, z tym zastrzeżeniem, że wnioskodawca może wnosić o przedstawienie stronom propozycji rozwiązania sporu. Prezes UKE ma obowiązek odmówić rozpatrzenia sporu w przypadku, gdy jego przedmiot wykracza poza kategorie sporów objęte właściwością Prezesa UKE (ust. </w:t>
      </w:r>
      <w:r w:rsidR="22A8401C" w:rsidRPr="77AC97E8">
        <w:rPr>
          <w:rFonts w:ascii="Times New Roman" w:eastAsiaTheme="minorEastAsia" w:hAnsi="Times New Roman" w:cs="Times New Roman"/>
          <w:sz w:val="24"/>
          <w:szCs w:val="24"/>
        </w:rPr>
        <w:t>4</w:t>
      </w:r>
      <w:r w:rsidRPr="77AC97E8">
        <w:rPr>
          <w:rFonts w:ascii="Times New Roman" w:eastAsiaTheme="minorEastAsia" w:hAnsi="Times New Roman" w:cs="Times New Roman"/>
          <w:sz w:val="24"/>
          <w:szCs w:val="24"/>
        </w:rPr>
        <w:t xml:space="preserve">). Jednocześnie ust. </w:t>
      </w:r>
      <w:r w:rsidR="22A8401C" w:rsidRPr="77AC97E8">
        <w:rPr>
          <w:rFonts w:ascii="Times New Roman" w:eastAsiaTheme="minorEastAsia" w:hAnsi="Times New Roman" w:cs="Times New Roman"/>
          <w:sz w:val="24"/>
          <w:szCs w:val="24"/>
        </w:rPr>
        <w:t>5</w:t>
      </w:r>
      <w:r w:rsidRPr="77AC97E8">
        <w:rPr>
          <w:rFonts w:ascii="Times New Roman" w:eastAsiaTheme="minorEastAsia" w:hAnsi="Times New Roman" w:cs="Times New Roman"/>
          <w:sz w:val="24"/>
          <w:szCs w:val="24"/>
        </w:rPr>
        <w:t xml:space="preserve"> wskazuje katalog przypadków</w:t>
      </w:r>
      <w:r w:rsidR="111449BD" w:rsidRPr="77AC97E8">
        <w:rPr>
          <w:rFonts w:ascii="Times New Roman" w:eastAsiaTheme="minorEastAsia" w:hAnsi="Times New Roman" w:cs="Times New Roman"/>
          <w:sz w:val="24"/>
          <w:szCs w:val="24"/>
        </w:rPr>
        <w:t>,</w:t>
      </w:r>
      <w:r w:rsidRPr="77AC97E8">
        <w:rPr>
          <w:rFonts w:ascii="Times New Roman" w:eastAsiaTheme="minorEastAsia" w:hAnsi="Times New Roman" w:cs="Times New Roman"/>
          <w:sz w:val="24"/>
          <w:szCs w:val="24"/>
        </w:rPr>
        <w:t xml:space="preserve"> kiedy Prezes UKE może odmówić rozpatrzenia sporu, a więc pozostawia się regulatorowi pewien margines swobody w przedmiocie odmowy wszczęcia postępowania. W ust. </w:t>
      </w:r>
      <w:r w:rsidR="22A8401C" w:rsidRPr="77AC97E8">
        <w:rPr>
          <w:rFonts w:ascii="Times New Roman" w:eastAsiaTheme="minorEastAsia" w:hAnsi="Times New Roman" w:cs="Times New Roman"/>
          <w:sz w:val="24"/>
          <w:szCs w:val="24"/>
        </w:rPr>
        <w:t xml:space="preserve">6 wskazano termin </w:t>
      </w:r>
      <w:r w:rsidR="00805650" w:rsidRPr="77AC97E8">
        <w:rPr>
          <w:rFonts w:ascii="Times New Roman" w:eastAsiaTheme="minorEastAsia" w:hAnsi="Times New Roman" w:cs="Times New Roman"/>
          <w:sz w:val="24"/>
          <w:szCs w:val="24"/>
        </w:rPr>
        <w:t xml:space="preserve">jaki </w:t>
      </w:r>
      <w:r w:rsidR="22A8401C" w:rsidRPr="77AC97E8">
        <w:rPr>
          <w:rFonts w:ascii="Times New Roman" w:eastAsiaTheme="minorEastAsia" w:hAnsi="Times New Roman" w:cs="Times New Roman"/>
          <w:sz w:val="24"/>
          <w:szCs w:val="24"/>
        </w:rPr>
        <w:t xml:space="preserve">Prezes UKE </w:t>
      </w:r>
      <w:r w:rsidR="00805650" w:rsidRPr="77AC97E8">
        <w:rPr>
          <w:rFonts w:ascii="Times New Roman" w:eastAsiaTheme="minorEastAsia" w:hAnsi="Times New Roman" w:cs="Times New Roman"/>
          <w:sz w:val="24"/>
          <w:szCs w:val="24"/>
        </w:rPr>
        <w:t>wyznacza na wyrażenie zgody na przedstawioną propozycję lub na zastosowanie się do nie</w:t>
      </w:r>
      <w:r w:rsidR="22A8401C" w:rsidRPr="77AC97E8">
        <w:rPr>
          <w:rFonts w:ascii="Times New Roman" w:eastAsiaTheme="minorEastAsia" w:hAnsi="Times New Roman" w:cs="Times New Roman"/>
          <w:sz w:val="24"/>
          <w:szCs w:val="24"/>
        </w:rPr>
        <w:t xml:space="preserve">j. </w:t>
      </w:r>
    </w:p>
    <w:p w14:paraId="33F72F99" w14:textId="6673F109" w:rsidR="003A42FB" w:rsidRPr="003A42FB" w:rsidRDefault="127B94B8" w:rsidP="77AC97E8">
      <w:pPr>
        <w:spacing w:after="120" w:line="240" w:lineRule="auto"/>
        <w:jc w:val="both"/>
        <w:rPr>
          <w:rFonts w:ascii="Times New Roman" w:eastAsiaTheme="minorEastAsia" w:hAnsi="Times New Roman" w:cs="Times New Roman"/>
          <w:sz w:val="24"/>
          <w:szCs w:val="24"/>
        </w:rPr>
      </w:pPr>
      <w:r w:rsidRPr="77AC97E8">
        <w:rPr>
          <w:rFonts w:ascii="Times New Roman" w:eastAsiaTheme="minorEastAsia" w:hAnsi="Times New Roman" w:cs="Times New Roman"/>
          <w:sz w:val="24"/>
          <w:szCs w:val="24"/>
        </w:rPr>
        <w:t xml:space="preserve">W ust. </w:t>
      </w:r>
      <w:r w:rsidR="00805650" w:rsidRPr="77AC97E8">
        <w:rPr>
          <w:rFonts w:ascii="Times New Roman" w:eastAsiaTheme="minorEastAsia" w:hAnsi="Times New Roman" w:cs="Times New Roman"/>
          <w:sz w:val="24"/>
          <w:szCs w:val="24"/>
        </w:rPr>
        <w:t>7</w:t>
      </w:r>
      <w:r w:rsidRPr="77AC97E8">
        <w:rPr>
          <w:rFonts w:ascii="Times New Roman" w:eastAsiaTheme="minorEastAsia" w:hAnsi="Times New Roman" w:cs="Times New Roman"/>
          <w:sz w:val="24"/>
          <w:szCs w:val="24"/>
        </w:rPr>
        <w:t xml:space="preserve"> zawarta jest delegacja ustawowa do wydania rozporządzenia określającego tryb postępowania, sposób wnoszenia wniosków o wszczęcie postępowania</w:t>
      </w:r>
      <w:r w:rsidR="22A8401C" w:rsidRPr="77AC97E8">
        <w:rPr>
          <w:rFonts w:ascii="Times New Roman" w:eastAsiaTheme="minorEastAsia" w:hAnsi="Times New Roman" w:cs="Times New Roman"/>
          <w:sz w:val="24"/>
          <w:szCs w:val="24"/>
        </w:rPr>
        <w:t xml:space="preserve"> oraz</w:t>
      </w:r>
      <w:r w:rsidRPr="77AC97E8">
        <w:rPr>
          <w:rFonts w:ascii="Times New Roman" w:eastAsiaTheme="minorEastAsia" w:hAnsi="Times New Roman" w:cs="Times New Roman"/>
          <w:sz w:val="24"/>
          <w:szCs w:val="24"/>
        </w:rPr>
        <w:t xml:space="preserve"> sposób wymiany informacji między stronami postępowania</w:t>
      </w:r>
      <w:r w:rsidR="22A8401C" w:rsidRPr="77AC97E8">
        <w:rPr>
          <w:rFonts w:ascii="Times New Roman" w:eastAsiaTheme="minorEastAsia" w:hAnsi="Times New Roman" w:cs="Times New Roman"/>
          <w:sz w:val="24"/>
          <w:szCs w:val="24"/>
        </w:rPr>
        <w:t>.</w:t>
      </w:r>
    </w:p>
    <w:p w14:paraId="184A2565" w14:textId="6C3CC228" w:rsidR="00AE08A8" w:rsidRPr="003A42FB" w:rsidRDefault="00AE08A8"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39356C">
        <w:rPr>
          <w:rFonts w:ascii="Times New Roman" w:eastAsiaTheme="minorEastAsia" w:hAnsi="Times New Roman" w:cs="Times New Roman"/>
          <w:b/>
          <w:sz w:val="24"/>
          <w:szCs w:val="24"/>
        </w:rPr>
        <w:t>380</w:t>
      </w:r>
      <w:r w:rsidRPr="003A42FB">
        <w:rPr>
          <w:rFonts w:ascii="Times New Roman" w:eastAsiaTheme="minorEastAsia" w:hAnsi="Times New Roman" w:cs="Times New Roman"/>
          <w:b/>
          <w:sz w:val="24"/>
          <w:szCs w:val="24"/>
        </w:rPr>
        <w:t xml:space="preserve"> – pracownicy upoważnieni do prowadzenia postępowań ADR</w:t>
      </w:r>
    </w:p>
    <w:p w14:paraId="589F9842" w14:textId="51B2A249" w:rsidR="00AE08A8" w:rsidRPr="003A42FB" w:rsidRDefault="002656D2"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sz w:val="24"/>
          <w:szCs w:val="24"/>
        </w:rPr>
        <w:t>W przepisie tym</w:t>
      </w:r>
      <w:r w:rsidR="00AE08A8" w:rsidRPr="003A42FB">
        <w:rPr>
          <w:rFonts w:ascii="Times New Roman" w:eastAsiaTheme="minorEastAsia" w:hAnsi="Times New Roman" w:cs="Times New Roman"/>
          <w:sz w:val="24"/>
          <w:szCs w:val="24"/>
        </w:rPr>
        <w:t xml:space="preserve"> </w:t>
      </w:r>
      <w:r w:rsidR="005D7631" w:rsidRPr="003A42FB">
        <w:rPr>
          <w:rFonts w:ascii="Times New Roman" w:eastAsiaTheme="minorEastAsia" w:hAnsi="Times New Roman" w:cs="Times New Roman"/>
          <w:sz w:val="24"/>
          <w:szCs w:val="24"/>
        </w:rPr>
        <w:t>w ust.</w:t>
      </w:r>
      <w:r w:rsidR="00AE08A8"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1 wskazano okres upoważnienia dla pracownika UKE oraz niezbędne wymagania, które powinien spełniać pracownik UKE, aby móc prowadzić postępowania ADR. W ust. 2 określono warunki, których zaistnienie skutkuje cofnięciem przez Prezesa UKE upoważnienia do prowadzenia postępowań ADR.</w:t>
      </w:r>
    </w:p>
    <w:p w14:paraId="0FB78278" w14:textId="73234FDA" w:rsidR="005042E8" w:rsidRPr="003A42FB" w:rsidRDefault="005042E8" w:rsidP="003A42FB">
      <w:pPr>
        <w:spacing w:after="120" w:line="240" w:lineRule="auto"/>
        <w:jc w:val="both"/>
        <w:rPr>
          <w:rFonts w:ascii="Times New Roman" w:hAnsi="Times New Roman" w:cs="Times New Roman"/>
          <w:sz w:val="24"/>
          <w:szCs w:val="24"/>
        </w:rPr>
      </w:pPr>
    </w:p>
    <w:p w14:paraId="142824E8" w14:textId="58A75E1A" w:rsidR="00A669CF" w:rsidRPr="003A42FB" w:rsidRDefault="005042E8" w:rsidP="60BA7677">
      <w:pPr>
        <w:pStyle w:val="ROZDZODDZOZNoznaczenierozdziauluboddziau"/>
        <w:spacing w:before="0" w:after="120" w:line="240" w:lineRule="auto"/>
        <w:jc w:val="both"/>
        <w:rPr>
          <w:rFonts w:ascii="Times New Roman" w:hAnsi="Times New Roman" w:cs="Times New Roman"/>
          <w:b/>
        </w:rPr>
      </w:pPr>
      <w:r w:rsidRPr="60BA7677">
        <w:rPr>
          <w:rFonts w:ascii="Times New Roman" w:hAnsi="Times New Roman" w:cs="Times New Roman"/>
          <w:b/>
          <w:lang w:eastAsia="en-US"/>
        </w:rPr>
        <w:t xml:space="preserve">ROZDZIAŁ </w:t>
      </w:r>
      <w:r w:rsidRPr="60BA7677">
        <w:rPr>
          <w:rFonts w:ascii="Times New Roman" w:hAnsi="Times New Roman" w:cs="Times New Roman"/>
          <w:b/>
        </w:rPr>
        <w:t xml:space="preserve">4. </w:t>
      </w:r>
      <w:r w:rsidRPr="60BA7677">
        <w:rPr>
          <w:rFonts w:ascii="Times New Roman" w:hAnsi="Times New Roman" w:cs="Times New Roman"/>
          <w:b/>
          <w:lang w:eastAsia="en-US"/>
        </w:rPr>
        <w:t xml:space="preserve">Tajemnica </w:t>
      </w:r>
      <w:r w:rsidRPr="60BA7677">
        <w:rPr>
          <w:rFonts w:ascii="Times New Roman" w:hAnsi="Times New Roman" w:cs="Times New Roman"/>
          <w:b/>
        </w:rPr>
        <w:t>komunikacji elektronicznej</w:t>
      </w:r>
      <w:r w:rsidR="0B90730D" w:rsidRPr="60BA7677">
        <w:rPr>
          <w:rFonts w:ascii="Times New Roman" w:hAnsi="Times New Roman" w:cs="Times New Roman"/>
          <w:b/>
        </w:rPr>
        <w:t xml:space="preserve"> oraz dane użytkowników końcowych</w:t>
      </w:r>
    </w:p>
    <w:p w14:paraId="094479E1" w14:textId="71F161A7" w:rsidR="533CBF9D" w:rsidRPr="003A42FB" w:rsidRDefault="300285AE"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 xml:space="preserve">Zgodnie z ogólną regułą przyjętą w art. </w:t>
      </w:r>
      <w:r w:rsidR="0AE7FFFD" w:rsidRPr="60BA7677">
        <w:rPr>
          <w:rFonts w:ascii="Times New Roman" w:eastAsiaTheme="minorEastAsia" w:hAnsi="Times New Roman" w:cs="Times New Roman"/>
          <w:sz w:val="24"/>
          <w:szCs w:val="24"/>
        </w:rPr>
        <w:t>277</w:t>
      </w:r>
      <w:r w:rsidRPr="60BA7677">
        <w:rPr>
          <w:rFonts w:ascii="Times New Roman" w:eastAsiaTheme="minorEastAsia" w:hAnsi="Times New Roman" w:cs="Times New Roman"/>
          <w:sz w:val="24"/>
          <w:szCs w:val="24"/>
        </w:rPr>
        <w:t xml:space="preserve"> stawy, niniejszy rozdział odnosi się wyłącznie do publicznie dostępnych usług komunikacji elektronicznej. </w:t>
      </w:r>
      <w:r w:rsidR="7BEFF84A" w:rsidRPr="60BA7677">
        <w:rPr>
          <w:rFonts w:ascii="Times New Roman" w:eastAsiaTheme="minorEastAsia" w:hAnsi="Times New Roman" w:cs="Times New Roman"/>
          <w:sz w:val="24"/>
          <w:szCs w:val="24"/>
        </w:rPr>
        <w:t xml:space="preserve">Zatem za każdym razem, gdy w przepisie jest mowa o usłudze komunikacji elektronicznej – chodzi o publicznie dostępną </w:t>
      </w:r>
      <w:r w:rsidR="7BEFF84A" w:rsidRPr="60BA7677">
        <w:rPr>
          <w:rFonts w:ascii="Times New Roman" w:eastAsiaTheme="minorEastAsia" w:hAnsi="Times New Roman" w:cs="Times New Roman"/>
          <w:sz w:val="24"/>
          <w:szCs w:val="24"/>
        </w:rPr>
        <w:lastRenderedPageBreak/>
        <w:t xml:space="preserve">usługę komunikacji elektronicznej, usłudze telekomunikacyjnej – publicznie dostępną </w:t>
      </w:r>
      <w:r w:rsidR="71F59AF5" w:rsidRPr="60BA7677">
        <w:rPr>
          <w:rFonts w:ascii="Times New Roman" w:eastAsiaTheme="minorEastAsia" w:hAnsi="Times New Roman" w:cs="Times New Roman"/>
          <w:sz w:val="24"/>
          <w:szCs w:val="24"/>
        </w:rPr>
        <w:t>usługę telekomunikacyjną</w:t>
      </w:r>
    </w:p>
    <w:p w14:paraId="4CDFD6F7" w14:textId="261E9E1B"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5DDE8A0E" w:rsidRPr="60BA7677">
        <w:rPr>
          <w:rFonts w:ascii="Times New Roman" w:eastAsiaTheme="minorEastAsia" w:hAnsi="Times New Roman" w:cs="Times New Roman"/>
          <w:b/>
          <w:bCs/>
          <w:sz w:val="24"/>
          <w:szCs w:val="24"/>
        </w:rPr>
        <w:t>81</w:t>
      </w:r>
    </w:p>
    <w:p w14:paraId="5E369A2E" w14:textId="3A39E11F" w:rsidR="00A669CF" w:rsidRPr="003A42FB" w:rsidRDefault="3FD24F3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Artykuł jest implementacją art. 5 dyrektywy 58/2002/WE.</w:t>
      </w:r>
      <w:r w:rsidR="6AF77E15" w:rsidRPr="003A42FB">
        <w:rPr>
          <w:rFonts w:ascii="Times New Roman" w:eastAsiaTheme="minorEastAsia" w:hAnsi="Times New Roman" w:cs="Times New Roman"/>
          <w:sz w:val="24"/>
          <w:szCs w:val="24"/>
        </w:rPr>
        <w:t xml:space="preserve"> Artykuł jest zasadniczo odpowiednikiem art. 159 Pt.</w:t>
      </w:r>
      <w:r w:rsidRPr="003A42FB">
        <w:rPr>
          <w:rFonts w:ascii="Times New Roman" w:eastAsiaTheme="minorEastAsia" w:hAnsi="Times New Roman" w:cs="Times New Roman"/>
          <w:sz w:val="24"/>
          <w:szCs w:val="24"/>
        </w:rPr>
        <w:t xml:space="preserve"> W przepisie tym jest mowa o poufności komunikacji i związanych z nią danych o ruchu za pośrednictwem publicznie dostępnej sieci łączności i publicznie dostępnych usług łączności elektronicznej. Konsekwentnie, przepisy powinny chronić komunikację elektroniczną. Tajemnica telekomunikacyjna odnosi się nie tylko do usług świadczonych przez przedsiębiorców telekomunikacyjnych, ale również przez dostawców usług komunikacji interpersonalnej niewykorzystującej numeracji. </w:t>
      </w:r>
    </w:p>
    <w:p w14:paraId="58881CE5" w14:textId="7A1D03C7" w:rsidR="3FD24F33" w:rsidRPr="003A42FB" w:rsidRDefault="3FD24F33" w:rsidP="57B83108">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Tajemnica komunikacji elektronicznej obejmuje dane użytkownika, treść indywidualnych komunikatów</w:t>
      </w:r>
      <w:r w:rsidR="3C85247E" w:rsidRPr="003A42FB">
        <w:rPr>
          <w:rFonts w:ascii="Times New Roman" w:eastAsiaTheme="minorEastAsia" w:hAnsi="Times New Roman" w:cs="Times New Roman"/>
          <w:sz w:val="24"/>
          <w:szCs w:val="24"/>
        </w:rPr>
        <w:t xml:space="preserve"> elektronicznych</w:t>
      </w:r>
      <w:r w:rsidRPr="003A42FB">
        <w:rPr>
          <w:rFonts w:ascii="Times New Roman" w:eastAsiaTheme="minorEastAsia" w:hAnsi="Times New Roman" w:cs="Times New Roman"/>
          <w:sz w:val="24"/>
          <w:szCs w:val="24"/>
        </w:rPr>
        <w:t xml:space="preserve">, dane transmisyjne, dane o lokalizacji oraz, jeżeli dotyczy, dane o próbach połączenia. Co do zasady, ujawnianie lub przetwarzanie treści albo danych objętych tajemnicą komunikacji elektronicznej narusza obowiązek zachowania tajemnicy komunikacji elektronicznej, chyba że przepisy szczególne, w tym ustawy, wskazują inaczej. </w:t>
      </w:r>
    </w:p>
    <w:p w14:paraId="3669BA4E" w14:textId="67CD7987" w:rsidR="3FD24F33" w:rsidRPr="003A42FB" w:rsidRDefault="3FD24F3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dotyczące tajemnicy telekomunikacyjnej nie mają zastosowania do informacji ze swej istoty jawnych. </w:t>
      </w:r>
    </w:p>
    <w:p w14:paraId="2C5ADCD0" w14:textId="1F204007" w:rsidR="3FD24F33" w:rsidRPr="003A42FB" w:rsidRDefault="3FD24F3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Zaznaczyć należy, że przepisy Rozdziału 4 co do zasady odnoszą się do użytkowników końcowych. Zgodnie z definicjami przyjętymi w projekcie, każdy abonent jest użytkownikiem końcowym (abonent - użytkownik końcowy, który jest stroną umowy o świadczenie usług komunikacji elektronicznej zawartej z dostawcą publicznie dostępnych usług komunikacji elektronicznej), zatem wszystkie regulacje dotyczące użytkownika końcowego odnoszą się do abonenta. </w:t>
      </w:r>
    </w:p>
    <w:p w14:paraId="076C877C" w14:textId="12D39055" w:rsidR="3FD24F33" w:rsidRPr="003A42FB" w:rsidRDefault="3FD24F3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 ustawy przetwarzanie danych odnoszących się do konkretnych podmiotów, w tym osób fizycznych. Zatem dane zanonimizowane nie zostaną objęte regulacjami Rozdziału 4.</w:t>
      </w:r>
    </w:p>
    <w:p w14:paraId="46798B76" w14:textId="5B9B20A0"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379DF21D" w:rsidRPr="60BA7677">
        <w:rPr>
          <w:rFonts w:ascii="Times New Roman" w:eastAsiaTheme="minorEastAsia" w:hAnsi="Times New Roman" w:cs="Times New Roman"/>
          <w:b/>
          <w:bCs/>
          <w:sz w:val="24"/>
          <w:szCs w:val="24"/>
        </w:rPr>
        <w:t>82</w:t>
      </w:r>
    </w:p>
    <w:p w14:paraId="487000E8" w14:textId="423F5D2E"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W art. 3</w:t>
      </w:r>
      <w:r w:rsidR="0312E2BD" w:rsidRPr="60BA7677">
        <w:rPr>
          <w:rFonts w:ascii="Times New Roman" w:eastAsiaTheme="minorEastAsia" w:hAnsi="Times New Roman" w:cs="Times New Roman"/>
          <w:sz w:val="24"/>
          <w:szCs w:val="24"/>
        </w:rPr>
        <w:t>82</w:t>
      </w:r>
      <w:r w:rsidRPr="60BA7677">
        <w:rPr>
          <w:rFonts w:ascii="Times New Roman" w:eastAsiaTheme="minorEastAsia" w:hAnsi="Times New Roman" w:cs="Times New Roman"/>
          <w:sz w:val="24"/>
          <w:szCs w:val="24"/>
        </w:rPr>
        <w:t xml:space="preserve"> ustawy wskazano podmioty zobowiązane do zachowania tajemnicy komunikacji elektronicznej. </w:t>
      </w:r>
      <w:r w:rsidR="600C5232" w:rsidRPr="60BA7677">
        <w:rPr>
          <w:rFonts w:ascii="Times New Roman" w:eastAsiaTheme="minorEastAsia" w:hAnsi="Times New Roman" w:cs="Times New Roman"/>
          <w:sz w:val="24"/>
          <w:szCs w:val="24"/>
        </w:rPr>
        <w:t xml:space="preserve">Przepis jest odpowiednikiem art. 160 Pt. </w:t>
      </w:r>
      <w:r w:rsidRPr="60BA7677">
        <w:rPr>
          <w:rFonts w:ascii="Times New Roman" w:eastAsiaTheme="minorEastAsia" w:hAnsi="Times New Roman" w:cs="Times New Roman"/>
          <w:sz w:val="24"/>
          <w:szCs w:val="24"/>
        </w:rPr>
        <w:t xml:space="preserve">Są to wszystkie podmioty uczestniczące w świadczeniu usług komunikacji elektronicznej. Katalog ten nie jest ograniczony do przedsiębiorców komunikacji elektronicznej, lecz rozszerzony o wszystkie podmioty z nimi współpracujące. </w:t>
      </w:r>
    </w:p>
    <w:p w14:paraId="3DE16A1F" w14:textId="4F49AA1A" w:rsidR="00A669CF" w:rsidRPr="003A42FB" w:rsidRDefault="00A669CF" w:rsidP="57B83108">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przepisie wprowadzone zostało wyłączenie naruszenia tajemnicy telekomunikacyjnej, jeżeli komunikat</w:t>
      </w:r>
      <w:r w:rsidR="06317D4A" w:rsidRPr="003A42FB">
        <w:rPr>
          <w:rFonts w:ascii="Times New Roman" w:eastAsiaTheme="minorEastAsia" w:hAnsi="Times New Roman" w:cs="Times New Roman"/>
          <w:sz w:val="24"/>
          <w:szCs w:val="24"/>
        </w:rPr>
        <w:t xml:space="preserve"> elektroniczny</w:t>
      </w:r>
      <w:r w:rsidRPr="003A42FB">
        <w:rPr>
          <w:rFonts w:ascii="Times New Roman" w:eastAsiaTheme="minorEastAsia" w:hAnsi="Times New Roman" w:cs="Times New Roman"/>
          <w:sz w:val="24"/>
          <w:szCs w:val="24"/>
        </w:rPr>
        <w:t xml:space="preserve"> został uzyskany w celu dokumentowania naruszenia ustawy. </w:t>
      </w:r>
    </w:p>
    <w:p w14:paraId="317F9C8B" w14:textId="14765E6C" w:rsidR="6215DEFE" w:rsidRPr="003A42FB" w:rsidRDefault="530EFA3D"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sz w:val="24"/>
          <w:szCs w:val="24"/>
        </w:rPr>
        <w:t xml:space="preserve">Zgodnie z regulacją ust. </w:t>
      </w:r>
      <w:r w:rsidR="1F801F51" w:rsidRPr="60BA7677">
        <w:rPr>
          <w:rFonts w:ascii="Times New Roman" w:eastAsiaTheme="minorEastAsia" w:hAnsi="Times New Roman" w:cs="Times New Roman"/>
          <w:sz w:val="24"/>
          <w:szCs w:val="24"/>
        </w:rPr>
        <w:t>5</w:t>
      </w:r>
      <w:r w:rsidRPr="60BA7677">
        <w:rPr>
          <w:rFonts w:ascii="Times New Roman" w:eastAsiaTheme="minorEastAsia" w:hAnsi="Times New Roman" w:cs="Times New Roman"/>
          <w:sz w:val="24"/>
          <w:szCs w:val="24"/>
        </w:rPr>
        <w:t xml:space="preserve">, przedsiębiorcy komunikacji elektronicznej są uprawnieni, działając na </w:t>
      </w:r>
      <w:r w:rsidR="5FA61881" w:rsidRPr="60BA7677">
        <w:rPr>
          <w:rFonts w:ascii="Times New Roman" w:eastAsiaTheme="minorEastAsia" w:hAnsi="Times New Roman" w:cs="Times New Roman"/>
          <w:sz w:val="24"/>
          <w:szCs w:val="24"/>
        </w:rPr>
        <w:t>zlecenie organów administracji publicznej, do wysyłania komunikatów w interesie publicznym do użytkowników końcowych. Wysyłanie komunikatów w interesie publicznym nie jest marketingiem lub niezamówioną informacją handlową</w:t>
      </w:r>
      <w:r w:rsidR="69BCBC5F" w:rsidRPr="60BA7677">
        <w:rPr>
          <w:rFonts w:ascii="Times New Roman" w:eastAsiaTheme="minorEastAsia" w:hAnsi="Times New Roman" w:cs="Times New Roman"/>
          <w:sz w:val="24"/>
          <w:szCs w:val="24"/>
        </w:rPr>
        <w:t xml:space="preserve">. Wysyłanie nie wymaga zbierania odrębnych zgód - dotyczących wysyłania komunikatów lub przetwarzania danych osobowych. Komunikaty w interesie publicznym mogą dotyczyć takich spraw jak nowe </w:t>
      </w:r>
      <w:r w:rsidR="181B3B7F" w:rsidRPr="60BA7677">
        <w:rPr>
          <w:rFonts w:ascii="Times New Roman" w:eastAsiaTheme="minorEastAsia" w:hAnsi="Times New Roman" w:cs="Times New Roman"/>
          <w:sz w:val="24"/>
          <w:szCs w:val="24"/>
        </w:rPr>
        <w:t xml:space="preserve">e-usługi administracji publicznej lub ich nowe funkcjonalności, </w:t>
      </w:r>
      <w:r w:rsidR="7020DEBD" w:rsidRPr="60BA7677">
        <w:rPr>
          <w:rFonts w:ascii="Times New Roman" w:eastAsiaTheme="minorEastAsia" w:hAnsi="Times New Roman" w:cs="Times New Roman"/>
          <w:sz w:val="24"/>
          <w:szCs w:val="24"/>
        </w:rPr>
        <w:t xml:space="preserve">jak również np. </w:t>
      </w:r>
      <w:r w:rsidR="2632FBBD" w:rsidRPr="60BA7677">
        <w:rPr>
          <w:rFonts w:ascii="Times New Roman" w:eastAsiaTheme="minorEastAsia" w:hAnsi="Times New Roman" w:cs="Times New Roman"/>
          <w:sz w:val="24"/>
          <w:szCs w:val="24"/>
        </w:rPr>
        <w:t>upływających terminów do podjęcia określonych działań (np. podatkowych</w:t>
      </w:r>
      <w:r w:rsidR="590DD636" w:rsidRPr="60BA7677">
        <w:rPr>
          <w:rFonts w:ascii="Times New Roman" w:eastAsiaTheme="minorEastAsia" w:hAnsi="Times New Roman" w:cs="Times New Roman"/>
          <w:sz w:val="24"/>
          <w:szCs w:val="24"/>
        </w:rPr>
        <w:t xml:space="preserve">). </w:t>
      </w:r>
      <w:r w:rsidR="79F8D8E0" w:rsidRPr="60BA7677">
        <w:rPr>
          <w:rFonts w:ascii="Times New Roman" w:eastAsia="Times New Roman" w:hAnsi="Times New Roman" w:cs="Times New Roman"/>
          <w:sz w:val="24"/>
          <w:szCs w:val="24"/>
        </w:rPr>
        <w:t xml:space="preserve">Przedmiotowy przepis rozstrzyga pojawiające się wątpliwości przedsiębiorców komunikacji elektronicznej dotyczące podstawy prawnej przetwarzania danych użytkowników końcowych przez podmioty uczestniczące w wykonywaniu działalności komunikacji elektronicznej w sieciach publicznych oraz podmioty z nim współpracujące w celu wysyłania komunikatów w interesie publicznym do użytkowników końcowych. Dzięki przedmiotowemu przepisowi nie ma wątpliwości, iż </w:t>
      </w:r>
      <w:r w:rsidR="79F8D8E0" w:rsidRPr="60BA7677">
        <w:rPr>
          <w:rFonts w:ascii="Times New Roman" w:eastAsia="Times New Roman" w:hAnsi="Times New Roman" w:cs="Times New Roman"/>
          <w:sz w:val="24"/>
          <w:szCs w:val="24"/>
        </w:rPr>
        <w:lastRenderedPageBreak/>
        <w:t xml:space="preserve">działania takie na zlecenie organów administracji publicznej jest dopuszczalne na gruncie przepisów ochrony danych osobowych. </w:t>
      </w:r>
    </w:p>
    <w:p w14:paraId="15245E39" w14:textId="13E67977" w:rsidR="6215DEFE" w:rsidRPr="003A42FB" w:rsidRDefault="6215DEFE"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184D8894" w:rsidRPr="60BA7677">
        <w:rPr>
          <w:rFonts w:ascii="Times New Roman" w:eastAsiaTheme="minorEastAsia" w:hAnsi="Times New Roman" w:cs="Times New Roman"/>
          <w:b/>
          <w:bCs/>
          <w:sz w:val="24"/>
          <w:szCs w:val="24"/>
        </w:rPr>
        <w:t>83</w:t>
      </w:r>
    </w:p>
    <w:p w14:paraId="425592CB" w14:textId="0BCE9636" w:rsidR="6215DEFE" w:rsidRPr="003A42FB" w:rsidRDefault="6215DEFE"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Wyłączenie odpowiedzialności podmiotu, o którym mowa w art. 5 ust. 3 dyrektywy 58/2002, za treści przesyłane z i do publicznej sieci telekomunikacyjnej w przypadku gdy podmiot ten nie jest inicjatorem przekazu tych danych (nie podejmuje decyzji o rozpoczęciu transmisji danych), nie wybiera odbiorców lub nie wybiera lub nie przekształca określonej informacji, która jest zawarta w przekazie, jest przewidziane</w:t>
      </w:r>
      <w:r w:rsidR="5134DDD8" w:rsidRPr="60BA7677">
        <w:rPr>
          <w:rFonts w:ascii="Times New Roman" w:eastAsiaTheme="minorEastAsia" w:hAnsi="Times New Roman" w:cs="Times New Roman"/>
          <w:sz w:val="24"/>
          <w:szCs w:val="24"/>
        </w:rPr>
        <w:t xml:space="preserve"> w art.</w:t>
      </w:r>
      <w:r w:rsidR="751B1125" w:rsidRPr="60BA7677">
        <w:rPr>
          <w:rFonts w:ascii="Times New Roman" w:eastAsiaTheme="minorEastAsia" w:hAnsi="Times New Roman" w:cs="Times New Roman"/>
          <w:sz w:val="24"/>
          <w:szCs w:val="24"/>
        </w:rPr>
        <w:t xml:space="preserve"> </w:t>
      </w:r>
      <w:r w:rsidR="5134DDD8" w:rsidRPr="60BA7677">
        <w:rPr>
          <w:rFonts w:ascii="Times New Roman" w:eastAsiaTheme="minorEastAsia" w:hAnsi="Times New Roman" w:cs="Times New Roman"/>
          <w:sz w:val="24"/>
          <w:szCs w:val="24"/>
        </w:rPr>
        <w:t>3</w:t>
      </w:r>
      <w:r w:rsidR="2744E8A3" w:rsidRPr="60BA7677">
        <w:rPr>
          <w:rFonts w:ascii="Times New Roman" w:eastAsiaTheme="minorEastAsia" w:hAnsi="Times New Roman" w:cs="Times New Roman"/>
          <w:sz w:val="24"/>
          <w:szCs w:val="24"/>
        </w:rPr>
        <w:t>83</w:t>
      </w:r>
      <w:r w:rsidR="5134DDD8" w:rsidRPr="60BA7677">
        <w:rPr>
          <w:rFonts w:ascii="Times New Roman" w:eastAsiaTheme="minorEastAsia" w:hAnsi="Times New Roman" w:cs="Times New Roman"/>
          <w:sz w:val="24"/>
          <w:szCs w:val="24"/>
        </w:rPr>
        <w:t>.</w:t>
      </w:r>
    </w:p>
    <w:p w14:paraId="2D94BB38" w14:textId="304E1A60" w:rsidR="6215DEFE" w:rsidRPr="003A42FB" w:rsidRDefault="6215DEF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Przepis ten stanowi transpozycję art. 56 ust. 2 EKŁE, który odwołuje się do stosowania art. 12 dyrektywy 2000/31/WE Parlamentu Europejskiego i Rady z dnia 8 czerwca 2000 r. w sprawie niektórych aspektów prawnych usług społeczeństwa informacyjnego, w szczególności handlu elektronicznego w ramach rynku wewnętrznego (dyrektywa o handlu elektronicznym).</w:t>
      </w:r>
    </w:p>
    <w:p w14:paraId="73711F11" w14:textId="413AC31D" w:rsidR="6215DEFE" w:rsidRPr="003A42FB" w:rsidRDefault="07B48368"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Jednocześnie do projektowanego przepisu wprowadzono wyłączenie odpowiedzialności dostawcy usług komunikacji elektronicznej, do tej pory regulowane w ustawie o świadczeniu usług drogą elektroniczną. Z tego powodu w ustawie wprowadzającej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przewidziana została zmiana brzmienia art. 12 ustawy o świadczeniu usług drogą elektroniczną.</w:t>
      </w:r>
    </w:p>
    <w:p w14:paraId="36E5B67D" w14:textId="3CC0233C"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29E6B6BA" w:rsidRPr="60BA7677">
        <w:rPr>
          <w:rFonts w:ascii="Times New Roman" w:eastAsiaTheme="minorEastAsia" w:hAnsi="Times New Roman" w:cs="Times New Roman"/>
          <w:b/>
          <w:bCs/>
          <w:sz w:val="24"/>
          <w:szCs w:val="24"/>
        </w:rPr>
        <w:t>84</w:t>
      </w:r>
    </w:p>
    <w:p w14:paraId="66D2A129" w14:textId="15A984FD"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Art. 3</w:t>
      </w:r>
      <w:r w:rsidR="00E14F29" w:rsidRPr="003A42FB">
        <w:rPr>
          <w:rFonts w:ascii="Times New Roman" w:eastAsiaTheme="minorEastAsia" w:hAnsi="Times New Roman" w:cs="Times New Roman"/>
          <w:sz w:val="24"/>
          <w:szCs w:val="24"/>
        </w:rPr>
        <w:t>5</w:t>
      </w:r>
      <w:r w:rsidR="00BF77EE"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ust. 1 jest implementacją art. 5 ust. 1 zd. 3 dyrektywy 58/2002. Zgodnie z tym przepisem, przetwarzanie danych objętych tajemnicą komunikacji elektronicznej, w tym danych osobowych, jest dopuszczalne wyłącznie w sytuacji, w której przetwarzanie dotyczy świadczonej usługi lub jest niezbędne do jej wykonania. </w:t>
      </w:r>
      <w:r w:rsidR="236B0E71" w:rsidRPr="003A42FB">
        <w:rPr>
          <w:rFonts w:ascii="Times New Roman" w:eastAsiaTheme="minorEastAsia" w:hAnsi="Times New Roman" w:cs="Times New Roman"/>
          <w:sz w:val="24"/>
          <w:szCs w:val="24"/>
        </w:rPr>
        <w:t>Przepis odpowiada art. 161 Pt.</w:t>
      </w:r>
    </w:p>
    <w:p w14:paraId="3730145E" w14:textId="4EB65A15" w:rsidR="2CBDD60E" w:rsidRPr="003A42FB" w:rsidRDefault="2CBDD60E" w:rsidP="056B04B7">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Proponuje się wyjaśnienie wątpliwości przez wskazanie, że dopuszczalna jest anonimizacja posiadanych przez operatorów i dostawców </w:t>
      </w:r>
      <w:r w:rsidR="71FB6DDA" w:rsidRPr="63DD69F0">
        <w:rPr>
          <w:rFonts w:ascii="Times New Roman" w:eastAsiaTheme="minorEastAsia" w:hAnsi="Times New Roman" w:cs="Times New Roman"/>
          <w:sz w:val="24"/>
          <w:szCs w:val="24"/>
        </w:rPr>
        <w:t>usług</w:t>
      </w:r>
      <w:r w:rsidRPr="63DD69F0">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r w:rsidR="0558B067" w:rsidRPr="003A42FB">
        <w:rPr>
          <w:rFonts w:ascii="Times New Roman" w:eastAsiaTheme="minorEastAsia" w:hAnsi="Times New Roman" w:cs="Times New Roman"/>
          <w:sz w:val="24"/>
          <w:szCs w:val="24"/>
        </w:rPr>
        <w:t>Dzięki wprowadzeniu tego rozwiązaniu, przedsiębiorcy będą mogli dokonywać operacji na zanonimizowanych danych.</w:t>
      </w:r>
    </w:p>
    <w:p w14:paraId="4C2EA58A" w14:textId="0E36B102" w:rsidR="2CBDD60E" w:rsidRPr="003A42FB" w:rsidRDefault="2CBDD60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W art. 3</w:t>
      </w:r>
      <w:r w:rsidR="00E14F29" w:rsidRPr="003A42FB">
        <w:rPr>
          <w:rFonts w:ascii="Times New Roman" w:eastAsiaTheme="minorEastAsia" w:hAnsi="Times New Roman" w:cs="Times New Roman"/>
          <w:sz w:val="24"/>
          <w:szCs w:val="24"/>
        </w:rPr>
        <w:t>5</w:t>
      </w:r>
      <w:r w:rsidR="00BF77EE" w:rsidRPr="003A42FB">
        <w:rPr>
          <w:rFonts w:ascii="Times New Roman" w:eastAsiaTheme="minorEastAsia" w:hAnsi="Times New Roman" w:cs="Times New Roman"/>
          <w:sz w:val="24"/>
          <w:szCs w:val="24"/>
        </w:rPr>
        <w:t>1</w:t>
      </w:r>
      <w:r w:rsidRPr="003A42FB">
        <w:rPr>
          <w:rFonts w:ascii="Times New Roman" w:eastAsiaTheme="minorEastAsia" w:hAnsi="Times New Roman" w:cs="Times New Roman"/>
          <w:sz w:val="24"/>
          <w:szCs w:val="24"/>
        </w:rPr>
        <w:t xml:space="preserve"> wprost wskazano, że operator jest uprawniony do przetwarzania danych osobowych w celu realizacji obowiązków, o których mowa w art. 21a ustawy z dnia 26 kwietnia 2007 r. o zarządzaniu kryzysowym (Dz. U. z 2019 r. poz. 1398 oraz z 2020 r. poz. 148</w:t>
      </w:r>
      <w:r w:rsidR="007864B2" w:rsidRPr="003A42FB">
        <w:rPr>
          <w:rFonts w:ascii="Times New Roman" w:eastAsiaTheme="minorEastAsia" w:hAnsi="Times New Roman" w:cs="Times New Roman"/>
          <w:sz w:val="24"/>
          <w:szCs w:val="24"/>
        </w:rPr>
        <w:t>,284, 374 i 695</w:t>
      </w:r>
      <w:r w:rsidRPr="003A42FB">
        <w:rPr>
          <w:rFonts w:ascii="Times New Roman" w:eastAsiaTheme="minorEastAsia" w:hAnsi="Times New Roman" w:cs="Times New Roman"/>
          <w:sz w:val="24"/>
          <w:szCs w:val="24"/>
        </w:rPr>
        <w:t>).</w:t>
      </w:r>
    </w:p>
    <w:p w14:paraId="199A1FE9" w14:textId="650507A4"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76026F94" w:rsidRPr="60BA7677">
        <w:rPr>
          <w:rFonts w:ascii="Times New Roman" w:eastAsiaTheme="minorEastAsia" w:hAnsi="Times New Roman" w:cs="Times New Roman"/>
          <w:b/>
          <w:bCs/>
          <w:sz w:val="24"/>
          <w:szCs w:val="24"/>
        </w:rPr>
        <w:t>85</w:t>
      </w:r>
    </w:p>
    <w:p w14:paraId="7366EE3E" w14:textId="48FD9024"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W art. 3</w:t>
      </w:r>
      <w:r w:rsidR="7D357093" w:rsidRPr="60BA7677">
        <w:rPr>
          <w:rFonts w:ascii="Times New Roman" w:eastAsiaTheme="minorEastAsia" w:hAnsi="Times New Roman" w:cs="Times New Roman"/>
          <w:sz w:val="24"/>
          <w:szCs w:val="24"/>
        </w:rPr>
        <w:t>85</w:t>
      </w:r>
      <w:r w:rsidRPr="60BA7677">
        <w:rPr>
          <w:rFonts w:ascii="Times New Roman" w:eastAsiaTheme="minorEastAsia" w:hAnsi="Times New Roman" w:cs="Times New Roman"/>
          <w:sz w:val="24"/>
          <w:szCs w:val="24"/>
        </w:rPr>
        <w:t xml:space="preserve"> ust. 1wskazano, że przedsiębiorca komunikacji elektronicznej, dysponujący danymi objętymi tajemnicą komunikacji elektronicznej, jest odpowiedzialny za jej ewentualne naruszenie tajemnicy przez podmioty działającego w jego imieniu, niezależnie od winy w wyborze. W ust. 2 wskazano, że przedsiębiorca komunikacji elektronicznej świadczący usługi na rzecz innego przedsiębiorcy komunikacji elektronicznej jest uprawniony do przetwarzania danych użytkownika tego innego przedsiębiorcy komunikacji elektronicznej, lecz tylko w zakresie w jakim jest to niezbędne do świadczonych przez niego usług.</w:t>
      </w:r>
      <w:r w:rsidR="2CCB63BD" w:rsidRPr="60BA7677">
        <w:rPr>
          <w:rFonts w:ascii="Times New Roman" w:eastAsiaTheme="minorEastAsia" w:hAnsi="Times New Roman" w:cs="Times New Roman"/>
          <w:sz w:val="24"/>
          <w:szCs w:val="24"/>
        </w:rPr>
        <w:t xml:space="preserve"> Dotychczas przedmiotowe regulacje znajdowały się w art. 162 Pt.</w:t>
      </w:r>
    </w:p>
    <w:p w14:paraId="35ECB36C" w14:textId="1ACC03A1"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6E699376" w:rsidRPr="60BA7677">
        <w:rPr>
          <w:rFonts w:ascii="Times New Roman" w:eastAsiaTheme="minorEastAsia" w:hAnsi="Times New Roman" w:cs="Times New Roman"/>
          <w:b/>
          <w:bCs/>
          <w:sz w:val="24"/>
          <w:szCs w:val="24"/>
        </w:rPr>
        <w:t>86</w:t>
      </w:r>
    </w:p>
    <w:p w14:paraId="267CC3E8" w14:textId="121AE3C9"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Przepisy art. 3</w:t>
      </w:r>
      <w:r w:rsidR="0597BA1E" w:rsidRPr="60BA7677">
        <w:rPr>
          <w:rFonts w:ascii="Times New Roman" w:eastAsiaTheme="minorEastAsia" w:hAnsi="Times New Roman" w:cs="Times New Roman"/>
          <w:sz w:val="24"/>
          <w:szCs w:val="24"/>
        </w:rPr>
        <w:t>86</w:t>
      </w:r>
      <w:r w:rsidRPr="60BA7677">
        <w:rPr>
          <w:rFonts w:ascii="Times New Roman" w:eastAsiaTheme="minorEastAsia" w:hAnsi="Times New Roman" w:cs="Times New Roman"/>
          <w:sz w:val="24"/>
          <w:szCs w:val="24"/>
        </w:rPr>
        <w:t xml:space="preserve"> są implementacją art. 6 dyrektywy 58/2002. Wskazane w nim zostały zasady, na jakich przedsiębiorca komunikacji elektronicznej może przetwarzać dane transmisyjne. W szczególności dostawca usług komunikacji elektronicznej jest obowiązany do informowania użytkowników </w:t>
      </w:r>
      <w:r w:rsidR="3367E704" w:rsidRPr="60BA7677">
        <w:rPr>
          <w:rFonts w:ascii="Times New Roman" w:eastAsiaTheme="minorEastAsia" w:hAnsi="Times New Roman" w:cs="Times New Roman"/>
          <w:sz w:val="24"/>
          <w:szCs w:val="24"/>
        </w:rPr>
        <w:t xml:space="preserve">końcowych </w:t>
      </w:r>
      <w:r w:rsidRPr="60BA7677">
        <w:rPr>
          <w:rFonts w:ascii="Times New Roman" w:eastAsiaTheme="minorEastAsia" w:hAnsi="Times New Roman" w:cs="Times New Roman"/>
          <w:sz w:val="24"/>
          <w:szCs w:val="24"/>
        </w:rPr>
        <w:t xml:space="preserve">o celu przetwarzania danych transmisyjnych, jak również o zakresie tego przetwarzania. Zgodnie z ust. 3 należy również poinformować o okresie przetwarzania, jeżeli dane mają być przetwarzane dla celów marketingu usług komunikacji elektronicznej lub świadczenia usług o wartości wzbogaconej, niezbędna jest zgoda użytkownika. W tym ostatnim przypadku podstawą prawną przetwarzania jest zgoda użytkownika. W ust. </w:t>
      </w:r>
      <w:r w:rsidR="6A85DF89" w:rsidRPr="60BA7677">
        <w:rPr>
          <w:rFonts w:ascii="Times New Roman" w:eastAsiaTheme="minorEastAsia" w:hAnsi="Times New Roman" w:cs="Times New Roman"/>
          <w:sz w:val="24"/>
          <w:szCs w:val="24"/>
        </w:rPr>
        <w:t>4</w:t>
      </w:r>
      <w:r w:rsidRPr="60BA7677">
        <w:rPr>
          <w:rFonts w:ascii="Times New Roman" w:eastAsiaTheme="minorEastAsia" w:hAnsi="Times New Roman" w:cs="Times New Roman"/>
          <w:sz w:val="24"/>
          <w:szCs w:val="24"/>
        </w:rPr>
        <w:t xml:space="preserve"> ograniczony </w:t>
      </w:r>
      <w:r w:rsidRPr="60BA7677">
        <w:rPr>
          <w:rFonts w:ascii="Times New Roman" w:eastAsiaTheme="minorEastAsia" w:hAnsi="Times New Roman" w:cs="Times New Roman"/>
          <w:sz w:val="24"/>
          <w:szCs w:val="24"/>
        </w:rPr>
        <w:lastRenderedPageBreak/>
        <w:t xml:space="preserve">został katalog podmiotów, jakie mogą przetwarzać dane w imieniu dostawców usług komunikacji elektronicznej. </w:t>
      </w:r>
      <w:r w:rsidR="608DCB55" w:rsidRPr="60BA7677">
        <w:rPr>
          <w:rFonts w:ascii="Times New Roman" w:eastAsiaTheme="minorEastAsia" w:hAnsi="Times New Roman" w:cs="Times New Roman"/>
          <w:sz w:val="24"/>
          <w:szCs w:val="24"/>
        </w:rPr>
        <w:t>Zagadnienia te uprzednio były regulowane w art. 163 oraz art. 165 Pt.</w:t>
      </w:r>
    </w:p>
    <w:p w14:paraId="68598844" w14:textId="413D0DF1"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6DD81EC3" w:rsidRPr="60BA7677">
        <w:rPr>
          <w:rFonts w:ascii="Times New Roman" w:eastAsiaTheme="minorEastAsia" w:hAnsi="Times New Roman" w:cs="Times New Roman"/>
          <w:b/>
          <w:bCs/>
          <w:sz w:val="24"/>
          <w:szCs w:val="24"/>
        </w:rPr>
        <w:t>87</w:t>
      </w:r>
    </w:p>
    <w:p w14:paraId="6EA7CE25" w14:textId="3C8B3B5C"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Art. 3</w:t>
      </w:r>
      <w:r w:rsidR="0FFA47E4" w:rsidRPr="60BA7677">
        <w:rPr>
          <w:rFonts w:ascii="Times New Roman" w:eastAsiaTheme="minorEastAsia" w:hAnsi="Times New Roman" w:cs="Times New Roman"/>
          <w:sz w:val="24"/>
          <w:szCs w:val="24"/>
        </w:rPr>
        <w:t>87</w:t>
      </w:r>
      <w:r w:rsidRPr="60BA7677">
        <w:rPr>
          <w:rFonts w:ascii="Times New Roman" w:eastAsiaTheme="minorEastAsia" w:hAnsi="Times New Roman" w:cs="Times New Roman"/>
          <w:sz w:val="24"/>
          <w:szCs w:val="24"/>
        </w:rPr>
        <w:t xml:space="preserve"> jest implementacją art. 9 dyrektywy 58/2002. W przepisie tym uregulowano zasady przetwarzania danych o lokalizacji przez dostawców usług komunikacji elektronicznej. Aby przetwarzać dane o lokalizacji, przedsiębiorca komunikacji elektronicznej jest obowiązany uzyskać zgodę użytkownika. Niezależnie od zgody, dopuszczalne jest przetwarzanie danych zanonimi</w:t>
      </w:r>
      <w:r w:rsidR="0050275B" w:rsidRPr="60BA7677">
        <w:rPr>
          <w:rFonts w:ascii="Times New Roman" w:eastAsiaTheme="minorEastAsia" w:hAnsi="Times New Roman" w:cs="Times New Roman"/>
          <w:sz w:val="24"/>
          <w:szCs w:val="24"/>
        </w:rPr>
        <w:t xml:space="preserve">zowanych. </w:t>
      </w:r>
      <w:r w:rsidRPr="60BA7677">
        <w:rPr>
          <w:rFonts w:ascii="Times New Roman" w:eastAsiaTheme="minorEastAsia" w:hAnsi="Times New Roman" w:cs="Times New Roman"/>
          <w:sz w:val="24"/>
          <w:szCs w:val="24"/>
        </w:rPr>
        <w:t xml:space="preserve">W związku z podwyższonym poziomem prywatności danych lokalizacyjnych, przedmiotowe przetwarzanie związane jest z szczególnymi obowiązkami informacyjnymi. Dane lokalizacyjne mogą być przetwarzane wyłącznie w celu świadczenia usług o wartości wzbogaconej. </w:t>
      </w:r>
      <w:r w:rsidR="66049253" w:rsidRPr="60BA7677">
        <w:rPr>
          <w:rFonts w:ascii="Times New Roman" w:eastAsiaTheme="minorEastAsia" w:hAnsi="Times New Roman" w:cs="Times New Roman"/>
          <w:sz w:val="24"/>
          <w:szCs w:val="24"/>
        </w:rPr>
        <w:t>Regulacja uprzednio znajdowała się w art. 166 Pt.</w:t>
      </w:r>
    </w:p>
    <w:p w14:paraId="00BC2FD6" w14:textId="3D3BAF87"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23C5623D" w:rsidRPr="60BA7677">
        <w:rPr>
          <w:rFonts w:ascii="Times New Roman" w:eastAsiaTheme="minorEastAsia" w:hAnsi="Times New Roman" w:cs="Times New Roman"/>
          <w:b/>
          <w:bCs/>
          <w:sz w:val="24"/>
          <w:szCs w:val="24"/>
        </w:rPr>
        <w:t>88</w:t>
      </w:r>
    </w:p>
    <w:p w14:paraId="0FBE2207" w14:textId="0F7F3B26"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Przedmiotowa regulacja uprawnia podmioty działające w imieniu przedsiębiorców komunikacji elektronicznej do włączenia się do trwających połączeń, jeżeli jest to niezbędne do usunięcia awarii, zakłóceń lub w innym celu związanym z utrzymaniem sieci telekomunikacyjnej lub świadczeniem usługi komunikacji elektronicznej. Podmiot włączający się do połączenia jest obowiązany – w momencie włączenia – do poinformowania o tym fakcie osoby biorące udział w komunikacji. </w:t>
      </w:r>
      <w:r w:rsidR="40820B6F" w:rsidRPr="003A42FB">
        <w:rPr>
          <w:rFonts w:ascii="Times New Roman" w:eastAsiaTheme="minorEastAsia" w:hAnsi="Times New Roman" w:cs="Times New Roman"/>
          <w:sz w:val="24"/>
          <w:szCs w:val="24"/>
        </w:rPr>
        <w:t>Regulacja uprzednio znajdowała się w art. 167 Pt.</w:t>
      </w:r>
    </w:p>
    <w:p w14:paraId="465D6B13" w14:textId="112F5DD3"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27B8E4EE" w:rsidRPr="60BA7677">
        <w:rPr>
          <w:rFonts w:ascii="Times New Roman" w:eastAsiaTheme="minorEastAsia" w:hAnsi="Times New Roman" w:cs="Times New Roman"/>
          <w:b/>
          <w:bCs/>
          <w:sz w:val="24"/>
          <w:szCs w:val="24"/>
        </w:rPr>
        <w:t>89</w:t>
      </w:r>
    </w:p>
    <w:p w14:paraId="3DCEE4DA" w14:textId="612F1EF3"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W art. 3</w:t>
      </w:r>
      <w:r w:rsidR="6A2043A7" w:rsidRPr="60BA7677">
        <w:rPr>
          <w:rFonts w:ascii="Times New Roman" w:eastAsiaTheme="minorEastAsia" w:hAnsi="Times New Roman" w:cs="Times New Roman"/>
          <w:sz w:val="24"/>
          <w:szCs w:val="24"/>
        </w:rPr>
        <w:t>89</w:t>
      </w:r>
      <w:r w:rsidRPr="60BA7677">
        <w:rPr>
          <w:rFonts w:ascii="Times New Roman" w:eastAsiaTheme="minorEastAsia" w:hAnsi="Times New Roman" w:cs="Times New Roman"/>
          <w:sz w:val="24"/>
          <w:szCs w:val="24"/>
        </w:rPr>
        <w:t xml:space="preserve"> ust. 1 wskazano obowiązek dostawców publicznie dostępnych usług komunikacji elektronicznej do rejestracji i przetwarzania danych o świadczonych usługach komunikacji elektronicznej, jeżeli jest to niezbędne do rozliczenia płatności za te usługi lub rozpatrzenia reklamacji. Okres retencji przedmiotowych danych został ustalony na 12 miesięcy. </w:t>
      </w:r>
      <w:r w:rsidR="480D24BA" w:rsidRPr="60BA7677">
        <w:rPr>
          <w:rFonts w:ascii="Times New Roman" w:eastAsiaTheme="minorEastAsia" w:hAnsi="Times New Roman" w:cs="Times New Roman"/>
          <w:sz w:val="24"/>
          <w:szCs w:val="24"/>
        </w:rPr>
        <w:t>Regulacja uprzednio znajdowała się w art. 168 Pt.</w:t>
      </w:r>
    </w:p>
    <w:p w14:paraId="3473C335" w14:textId="457E4F35"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4B897512" w:rsidRPr="60BA7677">
        <w:rPr>
          <w:rFonts w:ascii="Times New Roman" w:eastAsiaTheme="minorEastAsia" w:hAnsi="Times New Roman" w:cs="Times New Roman"/>
          <w:b/>
          <w:bCs/>
          <w:sz w:val="24"/>
          <w:szCs w:val="24"/>
        </w:rPr>
        <w:t>90</w:t>
      </w:r>
    </w:p>
    <w:p w14:paraId="4DD33C72" w14:textId="4DEC0288"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dotyczące spisu abonentów są implementacją art. 12 dyrektywy 58/2002. Są one również implementacją art. 112 EKŁE oraz postanowień Załącznika VII pkt 2 EKŁE. </w:t>
      </w:r>
      <w:r w:rsidR="0C6211B8" w:rsidRPr="003A42FB">
        <w:rPr>
          <w:rFonts w:ascii="Times New Roman" w:eastAsiaTheme="minorEastAsia" w:hAnsi="Times New Roman" w:cs="Times New Roman"/>
          <w:sz w:val="24"/>
          <w:szCs w:val="24"/>
        </w:rPr>
        <w:t>Odpowiednikiem przepisu w Pt jest art. 169.</w:t>
      </w:r>
    </w:p>
    <w:p w14:paraId="67A2ADE4" w14:textId="77777777"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Dane przetwarzane przez przedsiębiorcę telekomunikacyjnego w celu umieszczenia ich w publicznie dostępnym spisie abonentów. Ze względu na ochronę prywatności, zamieszczenie danych abonenta w spisie może nastąpić wyłącznie po uzyskaniu zgody od tego abonenta. </w:t>
      </w:r>
    </w:p>
    <w:p w14:paraId="780ED275" w14:textId="4A5EA375"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19143D70" w:rsidRPr="60BA7677">
        <w:rPr>
          <w:rFonts w:ascii="Times New Roman" w:eastAsiaTheme="minorEastAsia" w:hAnsi="Times New Roman" w:cs="Times New Roman"/>
          <w:b/>
          <w:bCs/>
          <w:sz w:val="24"/>
          <w:szCs w:val="24"/>
        </w:rPr>
        <w:t>91</w:t>
      </w:r>
    </w:p>
    <w:p w14:paraId="366BA65F" w14:textId="421802F6" w:rsidR="00A669CF" w:rsidRPr="003A42FB" w:rsidRDefault="1BE576D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wprowadza uprawnienie przedsiębiorca telekomunikacyjnego do prowadzenia biura numerów. Prowadzenie biura numerów może zostać powierzone innemu podmiotowi, który nie musi być przedsiębiorcą telekomunikacyjnym. </w:t>
      </w:r>
      <w:r w:rsidR="69D7E688" w:rsidRPr="003A42FB">
        <w:rPr>
          <w:rFonts w:ascii="Times New Roman" w:eastAsiaTheme="minorEastAsia" w:hAnsi="Times New Roman" w:cs="Times New Roman"/>
          <w:sz w:val="24"/>
          <w:szCs w:val="24"/>
        </w:rPr>
        <w:t xml:space="preserve">Poprzednio przedmiotowa kwestia była regulowana w art. 170 Pt. </w:t>
      </w:r>
    </w:p>
    <w:p w14:paraId="6D911E1B" w14:textId="2BB1A2C9" w:rsidR="008427B7" w:rsidRPr="003A42FB" w:rsidRDefault="67BA08CC"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03462F37" w:rsidRPr="60BA7677">
        <w:rPr>
          <w:rFonts w:ascii="Times New Roman" w:eastAsiaTheme="minorEastAsia" w:hAnsi="Times New Roman" w:cs="Times New Roman"/>
          <w:b/>
          <w:bCs/>
          <w:sz w:val="24"/>
          <w:szCs w:val="24"/>
        </w:rPr>
        <w:t>92</w:t>
      </w:r>
    </w:p>
    <w:p w14:paraId="25477706" w14:textId="58BEC658" w:rsidR="7E0E8E63" w:rsidRPr="003A42FB" w:rsidRDefault="7323D8B3"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 xml:space="preserve">Art. 359 ustawy jest odpowiednikiem art. 171 Pt. </w:t>
      </w:r>
      <w:r w:rsidR="198D3CE0" w:rsidRPr="60BA7677">
        <w:rPr>
          <w:rFonts w:ascii="Times New Roman" w:eastAsiaTheme="minorEastAsia" w:hAnsi="Times New Roman" w:cs="Times New Roman"/>
          <w:sz w:val="24"/>
          <w:szCs w:val="24"/>
        </w:rPr>
        <w:t xml:space="preserve">Jest jednocześnie implementacją art. 8 dyrektywy 2002/58. </w:t>
      </w:r>
      <w:r w:rsidR="1B8DF456" w:rsidRPr="60BA7677">
        <w:rPr>
          <w:rFonts w:ascii="Times New Roman" w:eastAsiaTheme="minorEastAsia" w:hAnsi="Times New Roman" w:cs="Times New Roman"/>
          <w:sz w:val="24"/>
          <w:szCs w:val="24"/>
        </w:rPr>
        <w:t xml:space="preserve">Przepisy stanowią również implementację art. 115 w zw. </w:t>
      </w:r>
      <w:r w:rsidR="420DC125" w:rsidRPr="60BA7677">
        <w:rPr>
          <w:rFonts w:ascii="Times New Roman" w:eastAsiaTheme="minorEastAsia" w:hAnsi="Times New Roman" w:cs="Times New Roman"/>
          <w:sz w:val="24"/>
          <w:szCs w:val="24"/>
        </w:rPr>
        <w:t>z</w:t>
      </w:r>
      <w:r w:rsidR="1B8DF456" w:rsidRPr="60BA7677">
        <w:rPr>
          <w:rFonts w:ascii="Times New Roman" w:eastAsiaTheme="minorEastAsia" w:hAnsi="Times New Roman" w:cs="Times New Roman"/>
          <w:sz w:val="24"/>
          <w:szCs w:val="24"/>
        </w:rPr>
        <w:t xml:space="preserve"> Załącznikiem VI Część </w:t>
      </w:r>
      <w:r w:rsidR="4BAE6DB1" w:rsidRPr="60BA7677">
        <w:rPr>
          <w:rFonts w:ascii="Times New Roman" w:eastAsiaTheme="minorEastAsia" w:hAnsi="Times New Roman" w:cs="Times New Roman"/>
          <w:sz w:val="24"/>
          <w:szCs w:val="24"/>
        </w:rPr>
        <w:t>B</w:t>
      </w:r>
      <w:r w:rsidR="62856EC7" w:rsidRPr="60BA7677">
        <w:rPr>
          <w:rFonts w:ascii="Times New Roman" w:eastAsiaTheme="minorEastAsia" w:hAnsi="Times New Roman" w:cs="Times New Roman"/>
          <w:sz w:val="24"/>
          <w:szCs w:val="24"/>
        </w:rPr>
        <w:t xml:space="preserve"> lit. a </w:t>
      </w:r>
      <w:r w:rsidR="1B8DF456" w:rsidRPr="60BA7677">
        <w:rPr>
          <w:rFonts w:ascii="Times New Roman" w:eastAsiaTheme="minorEastAsia" w:hAnsi="Times New Roman" w:cs="Times New Roman"/>
          <w:sz w:val="24"/>
          <w:szCs w:val="24"/>
        </w:rPr>
        <w:t xml:space="preserve"> </w:t>
      </w:r>
      <w:r w:rsidR="18F94228" w:rsidRPr="60BA7677">
        <w:rPr>
          <w:rFonts w:ascii="Times New Roman" w:eastAsiaTheme="minorEastAsia" w:hAnsi="Times New Roman" w:cs="Times New Roman"/>
          <w:sz w:val="24"/>
          <w:szCs w:val="24"/>
        </w:rPr>
        <w:t>EKŁE w zakresie identyfikacji linii wywołującej</w:t>
      </w:r>
      <w:r w:rsidR="4A676A8F" w:rsidRPr="60BA7677">
        <w:rPr>
          <w:rFonts w:ascii="Times New Roman" w:eastAsiaTheme="minorEastAsia" w:hAnsi="Times New Roman" w:cs="Times New Roman"/>
          <w:sz w:val="24"/>
          <w:szCs w:val="24"/>
        </w:rPr>
        <w:t xml:space="preserve">. </w:t>
      </w:r>
    </w:p>
    <w:p w14:paraId="00969519" w14:textId="687DD181" w:rsidR="7E0E8E63" w:rsidRPr="003A42FB" w:rsidRDefault="4A676A8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przedmiotową regulacją, operator publicznej sieci telekomunikacyjnej, w której świadczone są publicznie dostępne usługi komunikacji głosowej zapewnia użytkownikom </w:t>
      </w:r>
      <w:r w:rsidRPr="003A42FB">
        <w:rPr>
          <w:rFonts w:ascii="Times New Roman" w:eastAsiaTheme="minorEastAsia" w:hAnsi="Times New Roman" w:cs="Times New Roman"/>
          <w:sz w:val="24"/>
          <w:szCs w:val="24"/>
        </w:rPr>
        <w:lastRenderedPageBreak/>
        <w:t>końcowym możliwość prezentacji identyfikacji zakończenia sieci, z którego inicjowane jest połączenie</w:t>
      </w:r>
      <w:r w:rsidR="74F60D45" w:rsidRPr="003A42FB">
        <w:rPr>
          <w:rFonts w:ascii="Times New Roman" w:eastAsiaTheme="minorEastAsia" w:hAnsi="Times New Roman" w:cs="Times New Roman"/>
          <w:sz w:val="24"/>
          <w:szCs w:val="24"/>
        </w:rPr>
        <w:t xml:space="preserve">. </w:t>
      </w:r>
    </w:p>
    <w:p w14:paraId="3A4C9A32" w14:textId="57D558C6" w:rsidR="7E0E8E63" w:rsidRPr="003A42FB" w:rsidRDefault="347439C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 kolei dostawca usług komunikacji głosowej jest obowiązany zapewnić:</w:t>
      </w:r>
    </w:p>
    <w:p w14:paraId="3A12637F" w14:textId="2A834993" w:rsidR="7E0E8E63" w:rsidRPr="003A42FB" w:rsidRDefault="347439C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1) użytkownikowi wywołującemu - możliwość jednorazowego wyeliminowania prezentacji identyfikacji linii wywołującej u użytkownika wywoływanego podczas wywołania i połączenia;</w:t>
      </w:r>
    </w:p>
    <w:p w14:paraId="0A007EFB" w14:textId="307291C1" w:rsidR="7E0E8E63" w:rsidRPr="003A42FB" w:rsidRDefault="347439C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2) abonentowi wywołującemu - możliwość stałego wyeliminowania prezentacji identyfikacji linii wywołującej u użytkownika wywoływanego podczas wywołania i połączenia, u operatora, do którego sieci jest przyłączony abonent będący stroną umowy z dostawcą usług;</w:t>
      </w:r>
    </w:p>
    <w:p w14:paraId="464B2057" w14:textId="6DD371B1" w:rsidR="7E0E8E63" w:rsidRPr="003A42FB" w:rsidRDefault="347439C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3) abonentowi wywoływanemu - możliwość eliminacji dla połączeń przychodzących prezentacji identyfikacji linii wywołującej, a jeżeli taka prezentacja jest dostępna przed rozpoczęciem połączenia przychodzącego, także możliwość blokady połączeń przychodzących od użytkownika stosującego eliminację prezentacji identyfikacji linii wywołującej.</w:t>
      </w:r>
    </w:p>
    <w:p w14:paraId="3CFC31DD" w14:textId="2CEF1787" w:rsidR="7E0E8E63" w:rsidRPr="003A42FB" w:rsidRDefault="347439C1" w:rsidP="00C53EAB">
      <w:pPr>
        <w:spacing w:after="120" w:line="240" w:lineRule="auto"/>
        <w:jc w:val="both"/>
        <w:rPr>
          <w:rFonts w:ascii="Times New Roman" w:eastAsia="Times New Roman" w:hAnsi="Times New Roman" w:cs="Times New Roman"/>
          <w:sz w:val="24"/>
          <w:szCs w:val="24"/>
        </w:rPr>
      </w:pPr>
      <w:r w:rsidRPr="003A42FB">
        <w:rPr>
          <w:rFonts w:ascii="Times New Roman" w:eastAsiaTheme="minorEastAsia" w:hAnsi="Times New Roman" w:cs="Times New Roman"/>
          <w:sz w:val="24"/>
          <w:szCs w:val="24"/>
        </w:rPr>
        <w:t xml:space="preserve">Ponadto, dostawca publicznie dostępnych usług komunikacji głosowej </w:t>
      </w:r>
      <w:r w:rsidRPr="003A42FB">
        <w:rPr>
          <w:rFonts w:ascii="Times New Roman" w:eastAsia="Times New Roman" w:hAnsi="Times New Roman" w:cs="Times New Roman"/>
          <w:sz w:val="24"/>
          <w:szCs w:val="24"/>
        </w:rPr>
        <w:t>świadczonych w publicznej sieci telekomunikacyjnej zapewniającej automatyczne przekazywanie wywołań jest obowiązany zapewnić abonentowi możliwość zablokowania, za pomocą prostych środków, automatycznego przekazywania przez osobę trzecią wywołań do telekomunikacyjnego urządzenia końcowego tego abonenta. Dostawca ten jest obowiązany informować abonentów o ww.</w:t>
      </w:r>
      <w:r w:rsidR="42047B13" w:rsidRPr="003A42FB">
        <w:rPr>
          <w:rFonts w:ascii="Times New Roman" w:eastAsia="Times New Roman" w:hAnsi="Times New Roman" w:cs="Times New Roman"/>
          <w:sz w:val="24"/>
          <w:szCs w:val="24"/>
        </w:rPr>
        <w:t xml:space="preserve"> uprawnieniach, zaś za ich realizowanie nie może pobierać opłat. </w:t>
      </w:r>
    </w:p>
    <w:p w14:paraId="50D40844" w14:textId="29CC0931"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2B621557" w:rsidRPr="60BA7677">
        <w:rPr>
          <w:rFonts w:ascii="Times New Roman" w:eastAsiaTheme="minorEastAsia" w:hAnsi="Times New Roman" w:cs="Times New Roman"/>
          <w:b/>
          <w:bCs/>
          <w:sz w:val="24"/>
          <w:szCs w:val="24"/>
        </w:rPr>
        <w:t>93</w:t>
      </w:r>
    </w:p>
    <w:p w14:paraId="49B2FF32" w14:textId="1B2EE80A"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Postanowienia art. 3</w:t>
      </w:r>
      <w:r w:rsidR="2D01C97B" w:rsidRPr="60BA7677">
        <w:rPr>
          <w:rFonts w:ascii="Times New Roman" w:eastAsiaTheme="minorEastAsia" w:hAnsi="Times New Roman" w:cs="Times New Roman"/>
          <w:sz w:val="24"/>
          <w:szCs w:val="24"/>
        </w:rPr>
        <w:t>93</w:t>
      </w:r>
      <w:r w:rsidRPr="60BA7677">
        <w:rPr>
          <w:rFonts w:ascii="Times New Roman" w:eastAsiaTheme="minorEastAsia" w:hAnsi="Times New Roman" w:cs="Times New Roman"/>
          <w:sz w:val="24"/>
          <w:szCs w:val="24"/>
        </w:rPr>
        <w:t xml:space="preserve"> stanowią o ochronie użytkowników końcowych przed nękaniem w związku z marketingiem bezpośrednim lub przesyłaniem niezamówionej informacji handlowej. </w:t>
      </w:r>
      <w:r w:rsidR="22E3B14D" w:rsidRPr="60BA7677">
        <w:rPr>
          <w:rFonts w:ascii="Times New Roman" w:eastAsiaTheme="minorEastAsia" w:hAnsi="Times New Roman" w:cs="Times New Roman"/>
          <w:sz w:val="24"/>
          <w:szCs w:val="24"/>
        </w:rPr>
        <w:t xml:space="preserve">Przepisy zastąpią obowiązujące regulacje art. 10 ustawy </w:t>
      </w:r>
      <w:r w:rsidR="00F6284A" w:rsidRPr="60BA7677">
        <w:rPr>
          <w:rFonts w:ascii="Times New Roman" w:eastAsiaTheme="minorEastAsia" w:hAnsi="Times New Roman" w:cs="Times New Roman"/>
          <w:sz w:val="24"/>
          <w:szCs w:val="24"/>
        </w:rPr>
        <w:t xml:space="preserve">z dnia 18 lipca 2002 r. </w:t>
      </w:r>
      <w:r w:rsidR="22E3B14D" w:rsidRPr="60BA7677">
        <w:rPr>
          <w:rFonts w:ascii="Times New Roman" w:eastAsiaTheme="minorEastAsia" w:hAnsi="Times New Roman" w:cs="Times New Roman"/>
          <w:sz w:val="24"/>
          <w:szCs w:val="24"/>
        </w:rPr>
        <w:t xml:space="preserve">o świadczeniu usług drogą elektroniczną </w:t>
      </w:r>
      <w:r w:rsidR="00F6284A" w:rsidRPr="60BA7677">
        <w:rPr>
          <w:rFonts w:ascii="Times New Roman" w:eastAsiaTheme="minorEastAsia" w:hAnsi="Times New Roman" w:cs="Times New Roman"/>
          <w:sz w:val="24"/>
          <w:szCs w:val="24"/>
        </w:rPr>
        <w:t xml:space="preserve">(Dz. U. z 2020 r. poz. 344) </w:t>
      </w:r>
      <w:r w:rsidR="22E3B14D" w:rsidRPr="60BA7677">
        <w:rPr>
          <w:rFonts w:ascii="Times New Roman" w:eastAsiaTheme="minorEastAsia" w:hAnsi="Times New Roman" w:cs="Times New Roman"/>
          <w:sz w:val="24"/>
          <w:szCs w:val="24"/>
        </w:rPr>
        <w:t>oraz art. 172 Pt. Wraz z wprowadzeniem art. 3</w:t>
      </w:r>
      <w:r w:rsidR="15C2C2AE" w:rsidRPr="60BA7677">
        <w:rPr>
          <w:rFonts w:ascii="Times New Roman" w:eastAsiaTheme="minorEastAsia" w:hAnsi="Times New Roman" w:cs="Times New Roman"/>
          <w:sz w:val="24"/>
          <w:szCs w:val="24"/>
        </w:rPr>
        <w:t>93</w:t>
      </w:r>
      <w:r w:rsidR="22E3B14D" w:rsidRPr="60BA7677">
        <w:rPr>
          <w:rFonts w:ascii="Times New Roman" w:eastAsiaTheme="minorEastAsia" w:hAnsi="Times New Roman" w:cs="Times New Roman"/>
          <w:sz w:val="24"/>
          <w:szCs w:val="24"/>
        </w:rPr>
        <w:t xml:space="preserve"> uchylany jest art. 10 ustawy o świadczeniu usług drogą elektroniczną.</w:t>
      </w:r>
    </w:p>
    <w:p w14:paraId="396BD105" w14:textId="77777777"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Automatyczne systemy wywołujące są to zautomatyzowane połączenia komunikacji głosowej, które łączą się z użytkownikiem końcowym i przekazują przygotowane uprzednio nagranie. </w:t>
      </w:r>
      <w:r w:rsidR="00FF684B" w:rsidRPr="003A42FB">
        <w:rPr>
          <w:rFonts w:ascii="Times New Roman" w:eastAsiaTheme="minorEastAsia" w:hAnsi="Times New Roman" w:cs="Times New Roman"/>
          <w:sz w:val="24"/>
          <w:szCs w:val="24"/>
        </w:rPr>
        <w:t>Analogicznie mogą to być inne komunikaty.</w:t>
      </w:r>
    </w:p>
    <w:p w14:paraId="3FA29F64" w14:textId="77777777"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Marketing bezpośredni oraz przesyłanie niezamówionej informacji handlowej mogą odbywać się w różnej formie, w szczególności: wiadomości poczty elektronicznej, telefony do użytkowników końcowych, wiadomości SMS lub MMS, jak również wszelkie inne formy komunikacji. </w:t>
      </w:r>
    </w:p>
    <w:p w14:paraId="5A12EE53" w14:textId="57F9C22A" w:rsidR="00A669CF" w:rsidRPr="003A42FB" w:rsidRDefault="00A669CF" w:rsidP="5698F2C8">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Co do zasady, zakazany jest marketing bezpośredni oraz przesyłanie niezamówionej informacji handlowej. Regulacja dotyczy wszystkich, nie tylko przedsiębiorców komunikacji elektronicznej. Marketing elektroniczny lub przesyłanie niezamówionej informacji handlowej są dopuszczalne, jeżeli użytkownik wyrazili zgodę na ich otrzymywanie. Zgoda może nie być wyraźna, jeżeli </w:t>
      </w:r>
      <w:r w:rsidR="153ED488" w:rsidRPr="003A42FB">
        <w:rPr>
          <w:rFonts w:ascii="Times New Roman" w:eastAsiaTheme="minorEastAsia" w:hAnsi="Times New Roman" w:cs="Times New Roman"/>
          <w:sz w:val="24"/>
          <w:szCs w:val="24"/>
        </w:rPr>
        <w:t xml:space="preserve">abonent lub </w:t>
      </w:r>
      <w:r w:rsidRPr="003A42FB">
        <w:rPr>
          <w:rFonts w:ascii="Times New Roman" w:eastAsiaTheme="minorEastAsia" w:hAnsi="Times New Roman" w:cs="Times New Roman"/>
          <w:sz w:val="24"/>
          <w:szCs w:val="24"/>
        </w:rPr>
        <w:t xml:space="preserve">użytkownik końcowy udostępnili w ww. celach identyfikujący go adres elektroniczny. Komunikacja nie może odbywać się na </w:t>
      </w:r>
      <w:r w:rsidR="2FAFF8BB" w:rsidRPr="003A42FB">
        <w:rPr>
          <w:rFonts w:ascii="Times New Roman" w:eastAsiaTheme="minorEastAsia" w:hAnsi="Times New Roman" w:cs="Times New Roman"/>
          <w:sz w:val="24"/>
          <w:szCs w:val="24"/>
        </w:rPr>
        <w:t xml:space="preserve">koszt </w:t>
      </w:r>
      <w:r w:rsidRPr="003A42FB">
        <w:rPr>
          <w:rFonts w:ascii="Times New Roman" w:eastAsiaTheme="minorEastAsia" w:hAnsi="Times New Roman" w:cs="Times New Roman"/>
          <w:sz w:val="24"/>
          <w:szCs w:val="24"/>
        </w:rPr>
        <w:t xml:space="preserve">użytkownika końcowego. </w:t>
      </w:r>
      <w:r w:rsidR="34AEA7AD" w:rsidRPr="003A42FB">
        <w:rPr>
          <w:rFonts w:ascii="Times New Roman" w:eastAsiaTheme="minorEastAsia" w:hAnsi="Times New Roman" w:cs="Times New Roman"/>
          <w:sz w:val="24"/>
          <w:szCs w:val="24"/>
        </w:rPr>
        <w:t>Należy podkreślić, że zgoda powinna być zebrana na każdy kanał komunikacji</w:t>
      </w:r>
      <w:r w:rsidR="0E27561E" w:rsidRPr="003A42FB">
        <w:rPr>
          <w:rFonts w:ascii="Times New Roman" w:eastAsiaTheme="minorEastAsia" w:hAnsi="Times New Roman" w:cs="Times New Roman"/>
          <w:sz w:val="24"/>
          <w:szCs w:val="24"/>
        </w:rPr>
        <w:t xml:space="preserve"> marketingowej</w:t>
      </w:r>
      <w:r w:rsidR="34AEA7AD" w:rsidRPr="003A42FB">
        <w:rPr>
          <w:rFonts w:ascii="Times New Roman" w:eastAsiaTheme="minorEastAsia" w:hAnsi="Times New Roman" w:cs="Times New Roman"/>
          <w:sz w:val="24"/>
          <w:szCs w:val="24"/>
        </w:rPr>
        <w:t>.</w:t>
      </w:r>
    </w:p>
    <w:p w14:paraId="5FF3E559" w14:textId="1BB1154E" w:rsidR="13E3C469" w:rsidRPr="003A42FB" w:rsidRDefault="13E3C469" w:rsidP="003A42FB">
      <w:pPr>
        <w:spacing w:after="120" w:line="240" w:lineRule="auto"/>
        <w:jc w:val="both"/>
        <w:rPr>
          <w:rFonts w:ascii="Times New Roman" w:eastAsia="Times New Roman" w:hAnsi="Times New Roman" w:cs="Times New Roman"/>
          <w:sz w:val="24"/>
          <w:szCs w:val="24"/>
        </w:rPr>
      </w:pPr>
      <w:r w:rsidRPr="60BA7677">
        <w:rPr>
          <w:rFonts w:ascii="Times New Roman" w:eastAsia="Times New Roman" w:hAnsi="Times New Roman" w:cs="Times New Roman"/>
          <w:sz w:val="24"/>
          <w:szCs w:val="24"/>
        </w:rPr>
        <w:t xml:space="preserve">Komunikaty marketingu bezpośredniego muszą być odróżniane od komunikatów technicznych lub obsługowych. Tym samym nie ma wątpliwości, że kontakt z klientem w </w:t>
      </w:r>
      <w:r w:rsidR="6F959C7A" w:rsidRPr="60BA7677">
        <w:rPr>
          <w:rFonts w:ascii="Times New Roman" w:eastAsia="Times New Roman" w:hAnsi="Times New Roman" w:cs="Times New Roman"/>
          <w:sz w:val="24"/>
          <w:szCs w:val="24"/>
        </w:rPr>
        <w:t xml:space="preserve">tych </w:t>
      </w:r>
      <w:r w:rsidRPr="60BA7677">
        <w:rPr>
          <w:rFonts w:ascii="Times New Roman" w:eastAsia="Times New Roman" w:hAnsi="Times New Roman" w:cs="Times New Roman"/>
          <w:sz w:val="24"/>
          <w:szCs w:val="24"/>
        </w:rPr>
        <w:t xml:space="preserve">celach </w:t>
      </w:r>
      <w:r w:rsidR="06584662" w:rsidRPr="60BA7677">
        <w:rPr>
          <w:rFonts w:ascii="Times New Roman" w:eastAsia="Times New Roman" w:hAnsi="Times New Roman" w:cs="Times New Roman"/>
          <w:sz w:val="24"/>
          <w:szCs w:val="24"/>
        </w:rPr>
        <w:t>(tj. technicznych, obsługowych itp.) nie jest objęty regulacją art. 3</w:t>
      </w:r>
      <w:r w:rsidR="195BD4BF" w:rsidRPr="60BA7677">
        <w:rPr>
          <w:rFonts w:ascii="Times New Roman" w:eastAsia="Times New Roman" w:hAnsi="Times New Roman" w:cs="Times New Roman"/>
          <w:sz w:val="24"/>
          <w:szCs w:val="24"/>
        </w:rPr>
        <w:t>93</w:t>
      </w:r>
      <w:r w:rsidR="06584662" w:rsidRPr="60BA7677">
        <w:rPr>
          <w:rFonts w:ascii="Times New Roman" w:eastAsia="Times New Roman" w:hAnsi="Times New Roman" w:cs="Times New Roman"/>
          <w:sz w:val="24"/>
          <w:szCs w:val="24"/>
        </w:rPr>
        <w:t xml:space="preserve"> Pke.</w:t>
      </w:r>
    </w:p>
    <w:p w14:paraId="6A20417F" w14:textId="2B0F81C8" w:rsidR="27E0F101" w:rsidRPr="003A42FB" w:rsidRDefault="27E0F101" w:rsidP="4A30B936">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Przedmiotowy przepis jest implementacją </w:t>
      </w:r>
      <w:r w:rsidR="49C2E412" w:rsidRPr="003A42FB">
        <w:rPr>
          <w:rFonts w:ascii="Times New Roman" w:eastAsiaTheme="minorEastAsia" w:hAnsi="Times New Roman" w:cs="Times New Roman"/>
          <w:sz w:val="24"/>
          <w:szCs w:val="24"/>
        </w:rPr>
        <w:t xml:space="preserve">przepisów </w:t>
      </w:r>
      <w:r w:rsidR="50D73C45" w:rsidRPr="003A42FB">
        <w:rPr>
          <w:rFonts w:ascii="Times New Roman" w:eastAsiaTheme="minorEastAsia" w:hAnsi="Times New Roman" w:cs="Times New Roman"/>
          <w:sz w:val="24"/>
          <w:szCs w:val="24"/>
        </w:rPr>
        <w:t>dwó</w:t>
      </w:r>
      <w:r w:rsidRPr="003A42FB">
        <w:rPr>
          <w:rFonts w:ascii="Times New Roman" w:eastAsiaTheme="minorEastAsia" w:hAnsi="Times New Roman" w:cs="Times New Roman"/>
          <w:sz w:val="24"/>
          <w:szCs w:val="24"/>
        </w:rPr>
        <w:t xml:space="preserve">ch </w:t>
      </w:r>
      <w:r w:rsidR="41927527" w:rsidRPr="003A42FB">
        <w:rPr>
          <w:rFonts w:ascii="Times New Roman" w:eastAsiaTheme="minorEastAsia" w:hAnsi="Times New Roman" w:cs="Times New Roman"/>
          <w:sz w:val="24"/>
          <w:szCs w:val="24"/>
        </w:rPr>
        <w:t>dyrektyw</w:t>
      </w:r>
      <w:r w:rsidR="0C7CC7CF" w:rsidRPr="003A42FB">
        <w:rPr>
          <w:rFonts w:ascii="Times New Roman" w:eastAsiaTheme="minorEastAsia" w:hAnsi="Times New Roman" w:cs="Times New Roman"/>
          <w:sz w:val="24"/>
          <w:szCs w:val="24"/>
        </w:rPr>
        <w:t>. Pierwszą jest</w:t>
      </w:r>
      <w:r w:rsidR="33654BDE" w:rsidRPr="003A42FB">
        <w:rPr>
          <w:rFonts w:ascii="Times New Roman" w:eastAsiaTheme="minorEastAsia" w:hAnsi="Times New Roman" w:cs="Times New Roman"/>
          <w:sz w:val="24"/>
          <w:szCs w:val="24"/>
        </w:rPr>
        <w:t xml:space="preserve"> art. 13 ust. </w:t>
      </w:r>
      <w:r w:rsidR="4FCB3B75" w:rsidRPr="003A42FB">
        <w:rPr>
          <w:rFonts w:ascii="Times New Roman" w:eastAsiaTheme="minorEastAsia" w:hAnsi="Times New Roman" w:cs="Times New Roman"/>
          <w:sz w:val="24"/>
          <w:szCs w:val="24"/>
        </w:rPr>
        <w:t xml:space="preserve">1 </w:t>
      </w:r>
      <w:r w:rsidR="1815ECEA" w:rsidRPr="003A42FB">
        <w:rPr>
          <w:rFonts w:ascii="Times New Roman" w:eastAsiaTheme="minorEastAsia" w:hAnsi="Times New Roman" w:cs="Times New Roman"/>
          <w:sz w:val="24"/>
          <w:szCs w:val="24"/>
        </w:rPr>
        <w:t xml:space="preserve">i 3 </w:t>
      </w:r>
      <w:r w:rsidR="33654BDE" w:rsidRPr="003A42FB">
        <w:rPr>
          <w:rFonts w:ascii="Times New Roman" w:eastAsiaTheme="minorEastAsia" w:hAnsi="Times New Roman" w:cs="Times New Roman"/>
          <w:sz w:val="24"/>
          <w:szCs w:val="24"/>
        </w:rPr>
        <w:t xml:space="preserve">dyrektywy </w:t>
      </w:r>
      <w:r w:rsidR="212B7743" w:rsidRPr="003A42FB">
        <w:rPr>
          <w:rFonts w:ascii="Times New Roman" w:eastAsiaTheme="minorEastAsia" w:hAnsi="Times New Roman" w:cs="Times New Roman"/>
          <w:sz w:val="24"/>
          <w:szCs w:val="24"/>
        </w:rPr>
        <w:t xml:space="preserve">2002/58, zgodnie z którym </w:t>
      </w:r>
      <w:r w:rsidR="06F4D583" w:rsidRPr="003A42FB">
        <w:rPr>
          <w:rFonts w:ascii="Times New Roman" w:eastAsiaTheme="minorEastAsia" w:hAnsi="Times New Roman" w:cs="Times New Roman"/>
          <w:sz w:val="24"/>
          <w:szCs w:val="24"/>
        </w:rPr>
        <w:t xml:space="preserve">automatycznych systemów wywołujących i systemów łączności bez ludzkiej ingerencji (automatyczne urządzenia wywołujące), faksów </w:t>
      </w:r>
      <w:r w:rsidR="06F4D583" w:rsidRPr="003A42FB">
        <w:rPr>
          <w:rFonts w:ascii="Times New Roman" w:eastAsiaTheme="minorEastAsia" w:hAnsi="Times New Roman" w:cs="Times New Roman"/>
          <w:sz w:val="24"/>
          <w:szCs w:val="24"/>
        </w:rPr>
        <w:lastRenderedPageBreak/>
        <w:t xml:space="preserve">lub poczty elektronicznej do celów marketingu bezpośredniego może być dozwolone jedynie wobec użytkowników końcowych, którzy uprzednio wyrazili na to zgodę. </w:t>
      </w:r>
      <w:r w:rsidR="428E1D85" w:rsidRPr="003A42FB">
        <w:rPr>
          <w:rFonts w:ascii="Times New Roman" w:eastAsiaTheme="minorEastAsia" w:hAnsi="Times New Roman" w:cs="Times New Roman"/>
          <w:sz w:val="24"/>
          <w:szCs w:val="24"/>
        </w:rPr>
        <w:t xml:space="preserve">Przepisy te równolegle implementują </w:t>
      </w:r>
      <w:r w:rsidR="16F601B9" w:rsidRPr="003A42FB">
        <w:rPr>
          <w:rFonts w:ascii="Times New Roman" w:eastAsiaTheme="minorEastAsia" w:hAnsi="Times New Roman" w:cs="Times New Roman"/>
          <w:sz w:val="24"/>
          <w:szCs w:val="24"/>
        </w:rPr>
        <w:t xml:space="preserve">art. 10 dyrektywy 2002/65/WE Parlamentu Europejskiego I Rady z dnia 23 września 2002 r. </w:t>
      </w:r>
      <w:hyperlink r:id="rId26">
        <w:r w:rsidR="16F601B9" w:rsidRPr="003A42FB">
          <w:rPr>
            <w:rFonts w:ascii="Times New Roman" w:eastAsiaTheme="minorEastAsia" w:hAnsi="Times New Roman" w:cs="Times New Roman"/>
            <w:sz w:val="24"/>
            <w:szCs w:val="24"/>
          </w:rPr>
          <w:t>dotyczącej sprzedaży konsumentom usług finansowych na odległość oraz zmieniającej dyrektywę Rady 90/619/EWG oraz dyrektywy 97/7/WE i 98/27/WE</w:t>
        </w:r>
      </w:hyperlink>
      <w:r w:rsidR="16F601B9" w:rsidRPr="003A42FB">
        <w:rPr>
          <w:rFonts w:ascii="Times New Roman" w:eastAsiaTheme="minorEastAsia" w:hAnsi="Times New Roman" w:cs="Times New Roman"/>
          <w:sz w:val="24"/>
          <w:szCs w:val="24"/>
        </w:rPr>
        <w:t xml:space="preserve">. Zgodnie z tą dyrektywą </w:t>
      </w:r>
      <w:r w:rsidR="7F70DC57" w:rsidRPr="003A42FB">
        <w:rPr>
          <w:rFonts w:ascii="Times New Roman" w:eastAsiaTheme="minorEastAsia" w:hAnsi="Times New Roman" w:cs="Times New Roman"/>
          <w:sz w:val="24"/>
          <w:szCs w:val="24"/>
        </w:rPr>
        <w:t>Warto zwrócić uwagę, że zgodnie z dyrektywą 2002/65/WE (art. 2 lit. e) “środki porozumiewania się na odległość” oznaczają</w:t>
      </w:r>
      <w:r w:rsidR="1793DB03" w:rsidRPr="003A42FB">
        <w:rPr>
          <w:rFonts w:ascii="Times New Roman" w:eastAsiaTheme="minorEastAsia" w:hAnsi="Times New Roman" w:cs="Times New Roman"/>
          <w:sz w:val="24"/>
          <w:szCs w:val="24"/>
        </w:rPr>
        <w:t xml:space="preserve"> wszelkie środki, które bez jednoczesnej fizycznej obecności dostawcy i konsumenta mogą być wykorzystywane do sprzedaży na odległość usługi pomiędzy tymi stronami. </w:t>
      </w:r>
    </w:p>
    <w:p w14:paraId="05C4663A" w14:textId="37726F2A"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6913FFBC" w:rsidRPr="60BA7677">
        <w:rPr>
          <w:rFonts w:ascii="Times New Roman" w:eastAsiaTheme="minorEastAsia" w:hAnsi="Times New Roman" w:cs="Times New Roman"/>
          <w:b/>
          <w:bCs/>
          <w:sz w:val="24"/>
          <w:szCs w:val="24"/>
        </w:rPr>
        <w:t>94</w:t>
      </w:r>
    </w:p>
    <w:p w14:paraId="54071E17" w14:textId="1FE196A7"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W art. 3</w:t>
      </w:r>
      <w:r w:rsidR="651A81B8" w:rsidRPr="60BA7677">
        <w:rPr>
          <w:rFonts w:ascii="Times New Roman" w:eastAsiaTheme="minorEastAsia" w:hAnsi="Times New Roman" w:cs="Times New Roman"/>
          <w:sz w:val="24"/>
          <w:szCs w:val="24"/>
        </w:rPr>
        <w:t>94</w:t>
      </w:r>
      <w:r w:rsidRPr="60BA7677">
        <w:rPr>
          <w:rFonts w:ascii="Times New Roman" w:eastAsiaTheme="minorEastAsia" w:hAnsi="Times New Roman" w:cs="Times New Roman"/>
          <w:sz w:val="24"/>
          <w:szCs w:val="24"/>
        </w:rPr>
        <w:t xml:space="preserve"> regulowane jest pozyskiwanie informacji z urządzeń końcowych. </w:t>
      </w:r>
      <w:r w:rsidR="30D5BEFF" w:rsidRPr="60BA7677">
        <w:rPr>
          <w:rFonts w:ascii="Times New Roman" w:eastAsiaTheme="minorEastAsia" w:hAnsi="Times New Roman" w:cs="Times New Roman"/>
          <w:sz w:val="24"/>
          <w:szCs w:val="24"/>
        </w:rPr>
        <w:t xml:space="preserve">Uprzednio regulacja znajdowała się w art. 173 Pt. </w:t>
      </w:r>
      <w:r w:rsidRPr="60BA7677">
        <w:rPr>
          <w:rFonts w:ascii="Times New Roman" w:eastAsiaTheme="minorEastAsia" w:hAnsi="Times New Roman" w:cs="Times New Roman"/>
          <w:sz w:val="24"/>
          <w:szCs w:val="24"/>
        </w:rPr>
        <w:t xml:space="preserve">Pozyskiwanie informacji oraz uzyskiwanie dostępu do informacji przechowywanej na urządzeniach końcowych jest dopuszczalne po uprzednim przekazaniu informacji do użytkownika końcowego oraz pozyskaniu zgody na takie działania. Zgoda może być wyrażona przez odpowiednie ustawienia oprogramowania na urządzeniu końcowym. </w:t>
      </w:r>
    </w:p>
    <w:p w14:paraId="47F97155" w14:textId="77777777"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 przewiduje wyjątek, tj. jeżeli przechowywanie lub uzyskanie informacji jest niezbędne do świadczenia transmisji komunikatu za pośrednictwem publicznej sieci telekomunikacyjnej lub świadczenia usług komunikacji elektronicznej. </w:t>
      </w:r>
    </w:p>
    <w:p w14:paraId="7917CAF1" w14:textId="0EF4F87B"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2D17170E" w:rsidRPr="60BA7677">
        <w:rPr>
          <w:rFonts w:ascii="Times New Roman" w:eastAsiaTheme="minorEastAsia" w:hAnsi="Times New Roman" w:cs="Times New Roman"/>
          <w:b/>
          <w:bCs/>
          <w:sz w:val="24"/>
          <w:szCs w:val="24"/>
        </w:rPr>
        <w:t>95</w:t>
      </w:r>
    </w:p>
    <w:p w14:paraId="11CECEA8" w14:textId="773E6C8A" w:rsidR="00A669CF" w:rsidRPr="003A42FB" w:rsidRDefault="00A669C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Zgodnie z ogólną regulacją</w:t>
      </w:r>
      <w:r w:rsidR="3B3A76A9" w:rsidRPr="003A42FB">
        <w:rPr>
          <w:rFonts w:ascii="Times New Roman" w:eastAsiaTheme="minorEastAsia" w:hAnsi="Times New Roman" w:cs="Times New Roman"/>
          <w:sz w:val="24"/>
          <w:szCs w:val="24"/>
        </w:rPr>
        <w:t xml:space="preserve"> do zgód zbieranych od użytkowników końcowych w ustawie</w:t>
      </w:r>
      <w:r w:rsidR="006D1401"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stosuje się przepisy </w:t>
      </w:r>
      <w:r w:rsidR="72CF1034" w:rsidRPr="003A42FB">
        <w:rPr>
          <w:rFonts w:ascii="Times New Roman" w:eastAsiaTheme="minorEastAsia" w:hAnsi="Times New Roman" w:cs="Times New Roman"/>
          <w:sz w:val="24"/>
          <w:szCs w:val="24"/>
        </w:rPr>
        <w:t xml:space="preserve">ochrony danych osobowych, a więc przede wszystkim </w:t>
      </w:r>
      <w:r w:rsidRPr="003A42FB">
        <w:rPr>
          <w:rFonts w:ascii="Times New Roman" w:eastAsiaTheme="minorEastAsia" w:hAnsi="Times New Roman" w:cs="Times New Roman"/>
          <w:sz w:val="24"/>
          <w:szCs w:val="24"/>
        </w:rPr>
        <w:t>RODO</w:t>
      </w:r>
      <w:r w:rsidR="25F7BB8F" w:rsidRPr="003A42FB">
        <w:rPr>
          <w:rFonts w:ascii="Times New Roman" w:eastAsiaTheme="minorEastAsia" w:hAnsi="Times New Roman" w:cs="Times New Roman"/>
          <w:sz w:val="24"/>
          <w:szCs w:val="24"/>
        </w:rPr>
        <w:t xml:space="preserve"> i </w:t>
      </w:r>
      <w:r w:rsidRPr="003A42FB">
        <w:rPr>
          <w:rFonts w:ascii="Times New Roman" w:eastAsiaTheme="minorEastAsia" w:hAnsi="Times New Roman" w:cs="Times New Roman"/>
          <w:sz w:val="24"/>
          <w:szCs w:val="24"/>
        </w:rPr>
        <w:t xml:space="preserve">art. 7 RODO. Oznacza to w szczególności, że każda zgoda musi być konkretna, dobrowolna, świadoma i jednoznaczna. Podmiotowi wyrażającemu </w:t>
      </w:r>
      <w:r w:rsidR="51014085" w:rsidRPr="003A42FB">
        <w:rPr>
          <w:rFonts w:ascii="Times New Roman" w:eastAsiaTheme="minorEastAsia" w:hAnsi="Times New Roman" w:cs="Times New Roman"/>
          <w:sz w:val="24"/>
          <w:szCs w:val="24"/>
        </w:rPr>
        <w:t xml:space="preserve">zgodę </w:t>
      </w:r>
      <w:r w:rsidRPr="003A42FB">
        <w:rPr>
          <w:rFonts w:ascii="Times New Roman" w:eastAsiaTheme="minorEastAsia" w:hAnsi="Times New Roman" w:cs="Times New Roman"/>
          <w:sz w:val="24"/>
          <w:szCs w:val="24"/>
        </w:rPr>
        <w:t xml:space="preserve">przysługuje również prawo do odwołania zgody. Podmiot zbierający zgody jest obowiązany do zapewnienia rozliczalności. </w:t>
      </w:r>
      <w:r w:rsidR="099B8990" w:rsidRPr="003A42FB">
        <w:rPr>
          <w:rFonts w:ascii="Times New Roman" w:eastAsiaTheme="minorEastAsia" w:hAnsi="Times New Roman" w:cs="Times New Roman"/>
          <w:sz w:val="24"/>
          <w:szCs w:val="24"/>
        </w:rPr>
        <w:t>Regulacja odpowiada art. 174 Pt.</w:t>
      </w:r>
    </w:p>
    <w:p w14:paraId="11C928C3" w14:textId="349B170D"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Art. 3</w:t>
      </w:r>
      <w:r w:rsidR="1457DC20" w:rsidRPr="60BA7677">
        <w:rPr>
          <w:rFonts w:ascii="Times New Roman" w:eastAsiaTheme="minorEastAsia" w:hAnsi="Times New Roman" w:cs="Times New Roman"/>
          <w:b/>
          <w:bCs/>
          <w:sz w:val="24"/>
          <w:szCs w:val="24"/>
        </w:rPr>
        <w:t>96</w:t>
      </w:r>
    </w:p>
    <w:p w14:paraId="189C81D1" w14:textId="18A74FB2"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Art. 3</w:t>
      </w:r>
      <w:r w:rsidR="75664D06" w:rsidRPr="60BA7677">
        <w:rPr>
          <w:rFonts w:ascii="Times New Roman" w:eastAsiaTheme="minorEastAsia" w:hAnsi="Times New Roman" w:cs="Times New Roman"/>
          <w:sz w:val="24"/>
          <w:szCs w:val="24"/>
        </w:rPr>
        <w:t>96</w:t>
      </w:r>
      <w:r w:rsidRPr="60BA7677">
        <w:rPr>
          <w:rFonts w:ascii="Times New Roman" w:eastAsiaTheme="minorEastAsia" w:hAnsi="Times New Roman" w:cs="Times New Roman"/>
          <w:sz w:val="24"/>
          <w:szCs w:val="24"/>
        </w:rPr>
        <w:t xml:space="preserve"> jest implementacją art. 4 ust. 1a dyrektywy 58/2002. Wskazane zostały, ponad wymogi określone w Rozporządzeniu RODO, środki, jakie powinni wdrożyć dostawcy publicznie dostępnych usług komunikacji elektronicznej. </w:t>
      </w:r>
      <w:r w:rsidR="4934812E" w:rsidRPr="60BA7677">
        <w:rPr>
          <w:rFonts w:ascii="Times New Roman" w:eastAsiaTheme="minorEastAsia" w:hAnsi="Times New Roman" w:cs="Times New Roman"/>
          <w:sz w:val="24"/>
          <w:szCs w:val="24"/>
        </w:rPr>
        <w:t>Regulacja odpowiada art. 174</w:t>
      </w:r>
      <w:r w:rsidR="4934812E" w:rsidRPr="60BA7677">
        <w:rPr>
          <w:rFonts w:ascii="Times New Roman" w:eastAsiaTheme="minorEastAsia" w:hAnsi="Times New Roman" w:cs="Times New Roman"/>
          <w:sz w:val="24"/>
          <w:szCs w:val="24"/>
          <w:vertAlign w:val="superscript"/>
        </w:rPr>
        <w:t>1</w:t>
      </w:r>
      <w:r w:rsidR="4934812E" w:rsidRPr="60BA7677">
        <w:rPr>
          <w:rFonts w:ascii="Times New Roman" w:eastAsiaTheme="minorEastAsia" w:hAnsi="Times New Roman" w:cs="Times New Roman"/>
          <w:sz w:val="24"/>
          <w:szCs w:val="24"/>
        </w:rPr>
        <w:t xml:space="preserve"> Pt.</w:t>
      </w:r>
    </w:p>
    <w:p w14:paraId="522FA45C" w14:textId="21707B51" w:rsidR="00A669CF" w:rsidRPr="003A42FB" w:rsidRDefault="00A669CF" w:rsidP="00C53EAB">
      <w:pPr>
        <w:spacing w:after="120" w:line="240" w:lineRule="auto"/>
        <w:jc w:val="both"/>
        <w:rPr>
          <w:rFonts w:ascii="Times New Roman" w:eastAsiaTheme="minorEastAsia" w:hAnsi="Times New Roman" w:cs="Times New Roman"/>
          <w:sz w:val="24"/>
          <w:szCs w:val="24"/>
        </w:rPr>
      </w:pPr>
    </w:p>
    <w:p w14:paraId="4F8712C9" w14:textId="4EFCF262" w:rsidR="00A669CF" w:rsidRPr="003A42FB" w:rsidRDefault="1BE576D5"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 xml:space="preserve">Art. </w:t>
      </w:r>
      <w:r w:rsidR="043FCD4C" w:rsidRPr="60BA7677">
        <w:rPr>
          <w:rFonts w:ascii="Times New Roman" w:eastAsiaTheme="minorEastAsia" w:hAnsi="Times New Roman" w:cs="Times New Roman"/>
          <w:b/>
          <w:bCs/>
          <w:sz w:val="24"/>
          <w:szCs w:val="24"/>
        </w:rPr>
        <w:t>3</w:t>
      </w:r>
      <w:r w:rsidR="49091549" w:rsidRPr="60BA7677">
        <w:rPr>
          <w:rFonts w:ascii="Times New Roman" w:eastAsiaTheme="minorEastAsia" w:hAnsi="Times New Roman" w:cs="Times New Roman"/>
          <w:b/>
          <w:bCs/>
          <w:sz w:val="24"/>
          <w:szCs w:val="24"/>
        </w:rPr>
        <w:t>97</w:t>
      </w:r>
      <w:r w:rsidR="16937FAA" w:rsidRPr="60BA7677">
        <w:rPr>
          <w:rFonts w:ascii="Times New Roman" w:eastAsiaTheme="minorEastAsia" w:hAnsi="Times New Roman" w:cs="Times New Roman"/>
          <w:b/>
          <w:bCs/>
          <w:sz w:val="24"/>
          <w:szCs w:val="24"/>
        </w:rPr>
        <w:t>-</w:t>
      </w:r>
      <w:r w:rsidRPr="60BA7677">
        <w:rPr>
          <w:rFonts w:ascii="Times New Roman" w:eastAsiaTheme="minorEastAsia" w:hAnsi="Times New Roman" w:cs="Times New Roman"/>
          <w:b/>
          <w:bCs/>
          <w:sz w:val="24"/>
          <w:szCs w:val="24"/>
        </w:rPr>
        <w:t>3</w:t>
      </w:r>
      <w:r w:rsidR="3571D361" w:rsidRPr="60BA7677">
        <w:rPr>
          <w:rFonts w:ascii="Times New Roman" w:eastAsiaTheme="minorEastAsia" w:hAnsi="Times New Roman" w:cs="Times New Roman"/>
          <w:b/>
          <w:bCs/>
          <w:sz w:val="24"/>
          <w:szCs w:val="24"/>
        </w:rPr>
        <w:t>99</w:t>
      </w:r>
    </w:p>
    <w:p w14:paraId="09C8AA1F" w14:textId="59D5B473"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Art. 36</w:t>
      </w:r>
      <w:r w:rsidR="00441117" w:rsidRPr="60BA7677">
        <w:rPr>
          <w:rFonts w:ascii="Times New Roman" w:eastAsiaTheme="minorEastAsia" w:hAnsi="Times New Roman" w:cs="Times New Roman"/>
          <w:sz w:val="24"/>
          <w:szCs w:val="24"/>
        </w:rPr>
        <w:t>4</w:t>
      </w:r>
      <w:r w:rsidRPr="60BA7677">
        <w:rPr>
          <w:rFonts w:ascii="Times New Roman" w:eastAsiaTheme="minorEastAsia" w:hAnsi="Times New Roman" w:cs="Times New Roman"/>
          <w:sz w:val="24"/>
          <w:szCs w:val="24"/>
        </w:rPr>
        <w:t xml:space="preserve"> jest implementacją art. 4 dyrektywy 58/2002 oraz uzupełnia regulacje rozporządzenie Komisji (UE) Nr </w:t>
      </w:r>
      <w:hyperlink r:id="rId27">
        <w:r w:rsidRPr="60BA7677">
          <w:rPr>
            <w:rFonts w:ascii="Times New Roman" w:eastAsiaTheme="minorEastAsia" w:hAnsi="Times New Roman" w:cs="Times New Roman"/>
            <w:sz w:val="24"/>
            <w:szCs w:val="24"/>
          </w:rPr>
          <w:t>611/2013</w:t>
        </w:r>
      </w:hyperlink>
      <w:r w:rsidRPr="60BA7677">
        <w:rPr>
          <w:rFonts w:ascii="Times New Roman" w:eastAsiaTheme="minorEastAsia" w:hAnsi="Times New Roman" w:cs="Times New Roman"/>
          <w:sz w:val="24"/>
          <w:szCs w:val="24"/>
        </w:rPr>
        <w:t xml:space="preserve"> z 24.6.2013 r. w sprawie środków mających zastosowanie przy powiadamianiu o przypadkach naruszenia danych osobowych, na mocy dyrektywy </w:t>
      </w:r>
      <w:hyperlink r:id="rId28">
        <w:r w:rsidRPr="60BA7677">
          <w:rPr>
            <w:rFonts w:ascii="Times New Roman" w:eastAsiaTheme="minorEastAsia" w:hAnsi="Times New Roman" w:cs="Times New Roman"/>
            <w:sz w:val="24"/>
            <w:szCs w:val="24"/>
          </w:rPr>
          <w:t>2002/58/WE</w:t>
        </w:r>
      </w:hyperlink>
      <w:r w:rsidRPr="60BA7677">
        <w:rPr>
          <w:rFonts w:ascii="Times New Roman" w:eastAsiaTheme="minorEastAsia" w:hAnsi="Times New Roman" w:cs="Times New Roman"/>
          <w:sz w:val="24"/>
          <w:szCs w:val="24"/>
        </w:rPr>
        <w:t xml:space="preserve"> Parlamentu Europejskiego i Rady o prywatności i łączności elektronicznej. Wskazana została procedura obowiązująca dostawców usług komunikacji elektronicznej w przypadku naruszenia ochrony danych osobowych. W art. 3</w:t>
      </w:r>
      <w:r w:rsidR="00197017" w:rsidRPr="60BA7677">
        <w:rPr>
          <w:rFonts w:ascii="Times New Roman" w:eastAsiaTheme="minorEastAsia" w:hAnsi="Times New Roman" w:cs="Times New Roman"/>
          <w:sz w:val="24"/>
          <w:szCs w:val="24"/>
        </w:rPr>
        <w:t>65</w:t>
      </w:r>
      <w:r w:rsidRPr="60BA7677">
        <w:rPr>
          <w:rFonts w:ascii="Times New Roman" w:eastAsiaTheme="minorEastAsia" w:hAnsi="Times New Roman" w:cs="Times New Roman"/>
          <w:sz w:val="24"/>
          <w:szCs w:val="24"/>
        </w:rPr>
        <w:t xml:space="preserve"> wskazane zostało, że Prezes UODO kierując do dostawcy powszechnie dostępnych usług komunikacji elektronicznej wystąpienia zmierzające do zapewnienia skutecznej ochrony danych osobowych uwzględnia wytyczne Komisji Europejskiej dotyczące realizacji obowiązku powiadomienia użytkownika końcowego będącego osobą fizyczną o naruszeniu jego danych osobowych i wskazuje okoliczności, formę i sposób takiego powiadomienia.</w:t>
      </w:r>
      <w:r w:rsidR="3F49718A" w:rsidRPr="60BA7677">
        <w:rPr>
          <w:rFonts w:ascii="Times New Roman" w:eastAsiaTheme="minorEastAsia" w:hAnsi="Times New Roman" w:cs="Times New Roman"/>
          <w:sz w:val="24"/>
          <w:szCs w:val="24"/>
        </w:rPr>
        <w:t xml:space="preserve"> Zaznaczyć należy, że wypełnienie obowiązku informowania Prezesa UODO o naruszeniu danych osobowych, o którym mowa w art. 3</w:t>
      </w:r>
      <w:r w:rsidR="15763951" w:rsidRPr="60BA7677">
        <w:rPr>
          <w:rFonts w:ascii="Times New Roman" w:eastAsiaTheme="minorEastAsia" w:hAnsi="Times New Roman" w:cs="Times New Roman"/>
          <w:sz w:val="24"/>
          <w:szCs w:val="24"/>
        </w:rPr>
        <w:t>97</w:t>
      </w:r>
      <w:r w:rsidR="3F49718A" w:rsidRPr="60BA7677">
        <w:rPr>
          <w:rFonts w:ascii="Times New Roman" w:eastAsiaTheme="minorEastAsia" w:hAnsi="Times New Roman" w:cs="Times New Roman"/>
          <w:sz w:val="24"/>
          <w:szCs w:val="24"/>
        </w:rPr>
        <w:t xml:space="preserve"> ust. 4, zgodnie z art. 95 RODO, wypełnia obowiązek zgłaszania naruszenia do Prezesa </w:t>
      </w:r>
      <w:r w:rsidR="3F49718A" w:rsidRPr="60BA7677">
        <w:rPr>
          <w:rFonts w:ascii="Times New Roman" w:eastAsiaTheme="minorEastAsia" w:hAnsi="Times New Roman" w:cs="Times New Roman"/>
          <w:sz w:val="24"/>
          <w:szCs w:val="24"/>
        </w:rPr>
        <w:lastRenderedPageBreak/>
        <w:t>UODO o naruszeniu, o którym mowa w art. 33 RODO.</w:t>
      </w:r>
      <w:r w:rsidR="22FB2163" w:rsidRPr="60BA7677">
        <w:rPr>
          <w:rFonts w:ascii="Times New Roman" w:eastAsiaTheme="minorEastAsia" w:hAnsi="Times New Roman" w:cs="Times New Roman"/>
          <w:sz w:val="24"/>
          <w:szCs w:val="24"/>
        </w:rPr>
        <w:t xml:space="preserve"> Przepisy odpowiadają art. 174a – 174c Pt. </w:t>
      </w:r>
    </w:p>
    <w:p w14:paraId="007DD8F7" w14:textId="4D96DD49" w:rsidR="00A669CF" w:rsidRPr="003A42FB" w:rsidRDefault="00A669CF" w:rsidP="60BA7677">
      <w:pPr>
        <w:spacing w:after="120" w:line="240" w:lineRule="auto"/>
        <w:jc w:val="both"/>
        <w:rPr>
          <w:rFonts w:ascii="Times New Roman" w:eastAsiaTheme="minorEastAsia" w:hAnsi="Times New Roman" w:cs="Times New Roman"/>
          <w:b/>
          <w:bCs/>
          <w:sz w:val="24"/>
          <w:szCs w:val="24"/>
        </w:rPr>
      </w:pPr>
      <w:r w:rsidRPr="60BA7677">
        <w:rPr>
          <w:rFonts w:ascii="Times New Roman" w:eastAsiaTheme="minorEastAsia" w:hAnsi="Times New Roman" w:cs="Times New Roman"/>
          <w:b/>
          <w:bCs/>
          <w:sz w:val="24"/>
          <w:szCs w:val="24"/>
        </w:rPr>
        <w:t xml:space="preserve">Art. </w:t>
      </w:r>
      <w:r w:rsidR="08856A52" w:rsidRPr="60BA7677">
        <w:rPr>
          <w:rFonts w:ascii="Times New Roman" w:eastAsiaTheme="minorEastAsia" w:hAnsi="Times New Roman" w:cs="Times New Roman"/>
          <w:b/>
          <w:bCs/>
          <w:sz w:val="24"/>
          <w:szCs w:val="24"/>
        </w:rPr>
        <w:t>400</w:t>
      </w:r>
    </w:p>
    <w:p w14:paraId="5A588F67" w14:textId="10CB71E7" w:rsidR="00A669CF" w:rsidRPr="003A42FB" w:rsidRDefault="00A669CF" w:rsidP="60BA7677">
      <w:pPr>
        <w:spacing w:after="120" w:line="240" w:lineRule="auto"/>
        <w:jc w:val="both"/>
        <w:rPr>
          <w:rFonts w:ascii="Times New Roman" w:eastAsiaTheme="minorEastAsia" w:hAnsi="Times New Roman" w:cs="Times New Roman"/>
          <w:sz w:val="24"/>
          <w:szCs w:val="24"/>
        </w:rPr>
      </w:pPr>
      <w:r w:rsidRPr="60BA7677">
        <w:rPr>
          <w:rFonts w:ascii="Times New Roman" w:eastAsiaTheme="minorEastAsia" w:hAnsi="Times New Roman" w:cs="Times New Roman"/>
          <w:sz w:val="24"/>
          <w:szCs w:val="24"/>
        </w:rPr>
        <w:t xml:space="preserve">Art. </w:t>
      </w:r>
      <w:r w:rsidR="0116A427" w:rsidRPr="60BA7677">
        <w:rPr>
          <w:rFonts w:ascii="Times New Roman" w:eastAsiaTheme="minorEastAsia" w:hAnsi="Times New Roman" w:cs="Times New Roman"/>
          <w:sz w:val="24"/>
          <w:szCs w:val="24"/>
        </w:rPr>
        <w:t>400</w:t>
      </w:r>
      <w:r w:rsidRPr="60BA7677">
        <w:rPr>
          <w:rFonts w:ascii="Times New Roman" w:eastAsiaTheme="minorEastAsia" w:hAnsi="Times New Roman" w:cs="Times New Roman"/>
          <w:sz w:val="24"/>
          <w:szCs w:val="24"/>
        </w:rPr>
        <w:t xml:space="preserve"> jest implementacją art. 4 ust. 4 zdanie ostatnie dyrektywy 58/2002. </w:t>
      </w:r>
      <w:r w:rsidR="7570DA55" w:rsidRPr="60BA7677">
        <w:rPr>
          <w:rFonts w:ascii="Times New Roman" w:eastAsiaTheme="minorEastAsia" w:hAnsi="Times New Roman" w:cs="Times New Roman"/>
          <w:sz w:val="24"/>
          <w:szCs w:val="24"/>
        </w:rPr>
        <w:t xml:space="preserve">Regulacja uprzednio znajdowała się w art. 174d Pt. </w:t>
      </w:r>
      <w:r w:rsidRPr="60BA7677">
        <w:rPr>
          <w:rFonts w:ascii="Times New Roman" w:eastAsiaTheme="minorEastAsia" w:hAnsi="Times New Roman" w:cs="Times New Roman"/>
          <w:sz w:val="24"/>
          <w:szCs w:val="24"/>
        </w:rPr>
        <w:t xml:space="preserve">Wskazany został szczególny, niezależny od postanowień Rozporządzenia RODO, obowiązek prowadzenia przez dostawców publicznie dostępnych usług komunikacji elektronicznej rejestru naruszeń ochrony danych osobowych, wraz z jego minimalnym zakresem. Nie można wykluczyć sytuacji, że rozszerzony rejestr prowadzony przez dostawców na podstawie Rozporządzenia RODO spełnia wymagania art. </w:t>
      </w:r>
      <w:r w:rsidR="5561578F" w:rsidRPr="60BA7677">
        <w:rPr>
          <w:rFonts w:ascii="Times New Roman" w:eastAsiaTheme="minorEastAsia" w:hAnsi="Times New Roman" w:cs="Times New Roman"/>
          <w:sz w:val="24"/>
          <w:szCs w:val="24"/>
        </w:rPr>
        <w:t>400</w:t>
      </w:r>
      <w:r w:rsidRPr="60BA7677">
        <w:rPr>
          <w:rFonts w:ascii="Times New Roman" w:eastAsiaTheme="minorEastAsia" w:hAnsi="Times New Roman" w:cs="Times New Roman"/>
          <w:sz w:val="24"/>
          <w:szCs w:val="24"/>
        </w:rPr>
        <w:t xml:space="preserve">. Powierzenie prowadzenia rejestru może zostać powierzone innemu podmiotowi, w szczególności prowadzącemu profesjonalne usługi w przedmiotowym zakresie. </w:t>
      </w:r>
    </w:p>
    <w:p w14:paraId="7749FD18"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rPr>
      </w:pPr>
    </w:p>
    <w:p w14:paraId="6879B499" w14:textId="77777777" w:rsidR="005042E8" w:rsidRPr="003A42FB" w:rsidRDefault="005042E8" w:rsidP="00C53EAB">
      <w:pPr>
        <w:pStyle w:val="ROZDZODDZOZNoznaczenierozdziauluboddziau"/>
        <w:spacing w:before="0" w:after="120" w:line="240" w:lineRule="auto"/>
        <w:jc w:val="both"/>
        <w:rPr>
          <w:rFonts w:ascii="Times New Roman" w:hAnsi="Times New Roman" w:cs="Times New Roman"/>
          <w:b/>
          <w:lang w:eastAsia="en-US"/>
        </w:rPr>
      </w:pPr>
      <w:r w:rsidRPr="003A42FB">
        <w:rPr>
          <w:rFonts w:ascii="Times New Roman" w:hAnsi="Times New Roman" w:cs="Times New Roman"/>
          <w:b/>
        </w:rPr>
        <w:t xml:space="preserve">ROZDZIAŁ 5. </w:t>
      </w:r>
      <w:r w:rsidRPr="003A42FB">
        <w:rPr>
          <w:rFonts w:ascii="Times New Roman" w:hAnsi="Times New Roman" w:cs="Times New Roman"/>
          <w:b/>
          <w:lang w:eastAsia="en-US"/>
        </w:rPr>
        <w:t xml:space="preserve">Cyfrowe transmisje radiofoniczne i telewizyjne </w:t>
      </w:r>
    </w:p>
    <w:p w14:paraId="4E32BD14" w14:textId="30F14C15" w:rsidR="005042E8" w:rsidRPr="003A42FB" w:rsidRDefault="2F529E1D" w:rsidP="00C53EAB">
      <w:pPr>
        <w:spacing w:after="120" w:line="240" w:lineRule="auto"/>
        <w:jc w:val="both"/>
        <w:rPr>
          <w:rFonts w:ascii="Times New Roman" w:eastAsiaTheme="minorEastAsia" w:hAnsi="Times New Roman" w:cs="Times New Roman"/>
          <w:b/>
          <w:bCs/>
          <w:sz w:val="24"/>
          <w:szCs w:val="24"/>
          <w:u w:val="single"/>
        </w:rPr>
      </w:pPr>
      <w:r w:rsidRPr="003A42FB">
        <w:rPr>
          <w:rFonts w:ascii="Times New Roman" w:eastAsiaTheme="minorEastAsia" w:hAnsi="Times New Roman" w:cs="Times New Roman"/>
          <w:b/>
          <w:bCs/>
          <w:sz w:val="24"/>
          <w:szCs w:val="24"/>
        </w:rPr>
        <w:t xml:space="preserve">Art. </w:t>
      </w:r>
      <w:r w:rsidR="00856AAC">
        <w:rPr>
          <w:rFonts w:ascii="Times New Roman" w:eastAsiaTheme="minorEastAsia" w:hAnsi="Times New Roman" w:cs="Times New Roman"/>
          <w:b/>
          <w:bCs/>
          <w:sz w:val="24"/>
          <w:szCs w:val="24"/>
        </w:rPr>
        <w:t>401</w:t>
      </w:r>
      <w:r w:rsidR="00856AAC"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244EB6F6" w:rsidRPr="003A42FB">
        <w:rPr>
          <w:rFonts w:ascii="Times New Roman" w:eastAsiaTheme="minorEastAsia" w:hAnsi="Times New Roman" w:cs="Times New Roman"/>
          <w:b/>
          <w:bCs/>
          <w:sz w:val="24"/>
          <w:szCs w:val="24"/>
        </w:rPr>
        <w:t>r</w:t>
      </w:r>
      <w:r w:rsidR="00805650" w:rsidRPr="003A42FB">
        <w:rPr>
          <w:rFonts w:ascii="Times New Roman" w:eastAsiaTheme="minorEastAsia" w:hAnsi="Times New Roman" w:cs="Times New Roman"/>
          <w:b/>
          <w:bCs/>
          <w:sz w:val="24"/>
          <w:szCs w:val="24"/>
        </w:rPr>
        <w:t>adiodyfuzja cyfrowa</w:t>
      </w:r>
    </w:p>
    <w:p w14:paraId="16CCB74A" w14:textId="258AB654"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art. </w:t>
      </w:r>
      <w:r w:rsidR="00856AAC">
        <w:rPr>
          <w:rFonts w:ascii="Times New Roman" w:eastAsiaTheme="minorEastAsia" w:hAnsi="Times New Roman" w:cs="Times New Roman"/>
          <w:sz w:val="24"/>
          <w:szCs w:val="24"/>
        </w:rPr>
        <w:t>401</w:t>
      </w:r>
      <w:r w:rsidR="00856AAC"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projektowanej ustawy regulują zagadnienia związane z telewizją i radiofonią cyfrową i są one konsekwencją szczegółowych wymagań zawartych w EKŁE.  Zgodnie z ust. 1, który stanowi implementację art. 113 ust. 3 EKŁE, konieczne jest zapewnienie pełnej interoperacyjności poprzez wyposażenie </w:t>
      </w:r>
      <w:r w:rsidR="00360062" w:rsidRPr="003A42FB">
        <w:rPr>
          <w:rFonts w:ascii="Times New Roman" w:eastAsiaTheme="minorEastAsia" w:hAnsi="Times New Roman" w:cs="Times New Roman"/>
          <w:sz w:val="24"/>
          <w:szCs w:val="24"/>
        </w:rPr>
        <w:t>odbiorników cyfrowych i odbiorników radiofonii cyfrowej</w:t>
      </w:r>
      <w:r w:rsidRPr="003A42FB">
        <w:rPr>
          <w:rFonts w:ascii="Times New Roman" w:eastAsiaTheme="minorEastAsia" w:hAnsi="Times New Roman" w:cs="Times New Roman"/>
          <w:sz w:val="24"/>
          <w:szCs w:val="24"/>
        </w:rPr>
        <w:t xml:space="preserve"> w złącza zdolne do przesyłania wszystkich koniecznych składników sygnału cyfrowego, włączając strumienie audio</w:t>
      </w:r>
      <w:r w:rsidR="00360062"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wideo, , informacje o API</w:t>
      </w:r>
      <w:r w:rsidR="00360062" w:rsidRPr="003A42FB">
        <w:rPr>
          <w:rFonts w:ascii="Times New Roman" w:eastAsiaTheme="minorEastAsia" w:hAnsi="Times New Roman" w:cs="Times New Roman"/>
          <w:sz w:val="24"/>
          <w:szCs w:val="24"/>
        </w:rPr>
        <w:t xml:space="preserve"> – w przypadku odbiorników cyfrowych</w:t>
      </w:r>
      <w:r w:rsidRPr="003A42FB">
        <w:rPr>
          <w:rFonts w:ascii="Times New Roman" w:eastAsiaTheme="minorEastAsia" w:hAnsi="Times New Roman" w:cs="Times New Roman"/>
          <w:sz w:val="24"/>
          <w:szCs w:val="24"/>
        </w:rPr>
        <w:t xml:space="preserve">. </w:t>
      </w:r>
    </w:p>
    <w:p w14:paraId="620FEE3D" w14:textId="39CF7F3A" w:rsidR="00360062" w:rsidRPr="003A42FB" w:rsidRDefault="0036006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w:t>
      </w:r>
      <w:r w:rsidR="00894659" w:rsidRPr="003A42FB">
        <w:rPr>
          <w:rFonts w:ascii="Times New Roman" w:eastAsiaTheme="minorEastAsia" w:hAnsi="Times New Roman" w:cs="Times New Roman"/>
          <w:sz w:val="24"/>
          <w:szCs w:val="24"/>
        </w:rPr>
        <w:t>2</w:t>
      </w:r>
      <w:r w:rsidRPr="003A42FB">
        <w:rPr>
          <w:rFonts w:ascii="Times New Roman" w:eastAsiaTheme="minorEastAsia" w:hAnsi="Times New Roman" w:cs="Times New Roman"/>
          <w:sz w:val="24"/>
          <w:szCs w:val="24"/>
        </w:rPr>
        <w:t xml:space="preserve"> stanowi, iż stosowanie API nie jest konieczne w przypadku samochodowych odbiorników radiofonicznych.</w:t>
      </w:r>
      <w:r w:rsidR="00A16015" w:rsidRPr="003A42FB">
        <w:rPr>
          <w:rFonts w:ascii="Times New Roman" w:eastAsiaTheme="minorEastAsia" w:hAnsi="Times New Roman" w:cs="Times New Roman"/>
          <w:sz w:val="24"/>
          <w:szCs w:val="24"/>
        </w:rPr>
        <w:t xml:space="preserve"> Odbiorniki samochodowe fabrycznie montowane w pojazdach są fizycznie i systemowo zintegrowane z systemami pojazdu. Utworzenie otwartego interfejsu mogłoby stworzyć zagrożenie wykorzystania API do przejęcia kontroli nad kluczowymi systemami pojazdu, co w praktyce może prowadzić do przejęcia kontroli nad poruszającym się pojazdem, co stanowi istotne zagrożenie dla znajdujących się w pojeździe i innych uczestników ruchu. </w:t>
      </w:r>
    </w:p>
    <w:p w14:paraId="74736EAA" w14:textId="6850B194"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w:t>
      </w:r>
      <w:r w:rsidR="00894659" w:rsidRPr="003A42FB">
        <w:rPr>
          <w:rFonts w:ascii="Times New Roman" w:eastAsiaTheme="minorEastAsia" w:hAnsi="Times New Roman" w:cs="Times New Roman"/>
          <w:sz w:val="24"/>
          <w:szCs w:val="24"/>
        </w:rPr>
        <w:t>3</w:t>
      </w:r>
      <w:r w:rsidRPr="003A42FB">
        <w:rPr>
          <w:rFonts w:ascii="Times New Roman" w:eastAsiaTheme="minorEastAsia" w:hAnsi="Times New Roman" w:cs="Times New Roman"/>
          <w:sz w:val="24"/>
          <w:szCs w:val="24"/>
        </w:rPr>
        <w:t xml:space="preserve"> stanowi implementację art. 113 EKŁE, w którym zobowiązuje się dostawców usług telewizji cyfrowej do zapewnienia możliwości bezpłatnego zwrotu sprzętu po zakończonej umowie pod warunkiem, iż nie jest on w pełni inter</w:t>
      </w:r>
      <w:r w:rsidR="0B20538C" w:rsidRPr="003A42FB">
        <w:rPr>
          <w:rFonts w:ascii="Times New Roman" w:eastAsiaTheme="minorEastAsia" w:hAnsi="Times New Roman" w:cs="Times New Roman"/>
          <w:sz w:val="24"/>
          <w:szCs w:val="24"/>
        </w:rPr>
        <w:t>operacyjny</w:t>
      </w:r>
      <w:r w:rsidRPr="003A42FB">
        <w:rPr>
          <w:rFonts w:ascii="Times New Roman" w:eastAsiaTheme="minorEastAsia" w:hAnsi="Times New Roman" w:cs="Times New Roman"/>
          <w:sz w:val="24"/>
          <w:szCs w:val="24"/>
        </w:rPr>
        <w:t xml:space="preserve"> z usługami telewizji cyfrowej innych dostawców, w tym tych, na które przeszedł użytkownik końcowy. </w:t>
      </w:r>
    </w:p>
    <w:p w14:paraId="581F21C2" w14:textId="7AB96EFA"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ust. </w:t>
      </w:r>
      <w:r w:rsidR="00894659" w:rsidRPr="003A42FB">
        <w:rPr>
          <w:rFonts w:ascii="Times New Roman" w:eastAsiaTheme="minorEastAsia" w:hAnsi="Times New Roman" w:cs="Times New Roman"/>
          <w:sz w:val="24"/>
          <w:szCs w:val="24"/>
        </w:rPr>
        <w:t>4</w:t>
      </w:r>
      <w:r w:rsidRPr="003A42FB">
        <w:rPr>
          <w:rFonts w:ascii="Times New Roman" w:eastAsiaTheme="minorEastAsia" w:hAnsi="Times New Roman" w:cs="Times New Roman"/>
          <w:sz w:val="24"/>
          <w:szCs w:val="24"/>
        </w:rPr>
        <w:t>, który stanowi implementację art. 113 EKŁE, wskazano, że odbiorniki telewizyjne i pozostałe urządzenia używane do odbioru transmisji cyfrowych powinny umożliwiać odbiór niekodowanych cyfrowych transmisji telewizyjnych. Drugi wymóg dotyczy przystosowania odbiorników do dekodowania transmisji za pomocą jednolitego algorytmu kodowania (skramblowania), określonego w przepisach wykonawczych. Algorytm ten jest oparty na odpowiednim raporcie technicznym ETSI. Stosowanie jednolitego systemu kodowania ma zapobiegać wytworzeniu różnych systemów kodowania sygnału, które mogłyby zagrozić jednolitości rynku telewizyjnego. System kodowania ma stanowić podstawowe zabezpieczenie transmisji przed nieuprawnionym dostępem.</w:t>
      </w:r>
    </w:p>
    <w:p w14:paraId="7294E851" w14:textId="36E36275"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Ustęp </w:t>
      </w:r>
      <w:r w:rsidR="00894659" w:rsidRPr="003A42FB">
        <w:rPr>
          <w:rFonts w:ascii="Times New Roman" w:eastAsiaTheme="minorEastAsia" w:hAnsi="Times New Roman" w:cs="Times New Roman"/>
          <w:sz w:val="24"/>
          <w:szCs w:val="24"/>
        </w:rPr>
        <w:t>5</w:t>
      </w:r>
      <w:r w:rsidRPr="003A42FB">
        <w:rPr>
          <w:rFonts w:ascii="Times New Roman" w:eastAsiaTheme="minorEastAsia" w:hAnsi="Times New Roman" w:cs="Times New Roman"/>
          <w:sz w:val="24"/>
          <w:szCs w:val="24"/>
        </w:rPr>
        <w:t xml:space="preserve"> stanowi implementację art. 113 EKŁE. W ustępie tym określono, że użytkownicy końcowi powinni mieć możliwość korzystania z gwarancji interoperacyjności wszelkiego sprzętu do odbioru sygnału radio</w:t>
      </w:r>
      <w:r w:rsidR="5C55F3EC" w:rsidRPr="003A42FB">
        <w:rPr>
          <w:rFonts w:ascii="Times New Roman" w:eastAsiaTheme="minorEastAsia" w:hAnsi="Times New Roman" w:cs="Times New Roman"/>
          <w:sz w:val="24"/>
          <w:szCs w:val="24"/>
        </w:rPr>
        <w:t>fonicznego</w:t>
      </w:r>
      <w:r w:rsidRPr="003A42FB">
        <w:rPr>
          <w:rFonts w:ascii="Times New Roman" w:eastAsiaTheme="minorEastAsia" w:hAnsi="Times New Roman" w:cs="Times New Roman"/>
          <w:sz w:val="24"/>
          <w:szCs w:val="24"/>
        </w:rPr>
        <w:t xml:space="preserve"> w nowych pojazdach kategorii M. Zgodnie z EKŁE odbiorniki samochodowe, w które wyposażane są pojazdy kategorii M udostępniane na rynku do sprzedaży lub wynajmu w Unii od dnia 21 grudnia 2020 r., powinny umożliwiać co </w:t>
      </w:r>
      <w:r w:rsidRPr="003A42FB">
        <w:rPr>
          <w:rFonts w:ascii="Times New Roman" w:eastAsiaTheme="minorEastAsia" w:hAnsi="Times New Roman" w:cs="Times New Roman"/>
          <w:sz w:val="24"/>
          <w:szCs w:val="24"/>
        </w:rPr>
        <w:lastRenderedPageBreak/>
        <w:t>najmniej odbiór niekodowanych transmisji radiofonicznych. Niemniej przepisy nie stoją na przeszkodzie, by samochodowe urządzenia radiowe w nowych pojazdach kategorii M były w stanie odbierać i odtwarzać usługi radio</w:t>
      </w:r>
      <w:r w:rsidR="68BB2A25" w:rsidRPr="003A42FB">
        <w:rPr>
          <w:rFonts w:ascii="Times New Roman" w:eastAsiaTheme="minorEastAsia" w:hAnsi="Times New Roman" w:cs="Times New Roman"/>
          <w:sz w:val="24"/>
          <w:szCs w:val="24"/>
        </w:rPr>
        <w:t>foniczne</w:t>
      </w:r>
      <w:r w:rsidRPr="003A42FB">
        <w:rPr>
          <w:rFonts w:ascii="Times New Roman" w:eastAsiaTheme="minorEastAsia" w:hAnsi="Times New Roman" w:cs="Times New Roman"/>
          <w:sz w:val="24"/>
          <w:szCs w:val="24"/>
        </w:rPr>
        <w:t xml:space="preserve"> świadczone za pomocą analogowych naziemnych programów radio</w:t>
      </w:r>
      <w:r w:rsidR="6141F69C" w:rsidRPr="003A42FB">
        <w:rPr>
          <w:rFonts w:ascii="Times New Roman" w:eastAsiaTheme="minorEastAsia" w:hAnsi="Times New Roman" w:cs="Times New Roman"/>
          <w:sz w:val="24"/>
          <w:szCs w:val="24"/>
        </w:rPr>
        <w:t>fonicznych</w:t>
      </w:r>
      <w:r w:rsidRPr="003A42FB">
        <w:rPr>
          <w:rFonts w:ascii="Times New Roman" w:eastAsiaTheme="minorEastAsia" w:hAnsi="Times New Roman" w:cs="Times New Roman"/>
          <w:sz w:val="24"/>
          <w:szCs w:val="24"/>
        </w:rPr>
        <w:t xml:space="preserve">. </w:t>
      </w:r>
    </w:p>
    <w:p w14:paraId="08C84305" w14:textId="55817AF2" w:rsidR="00805650" w:rsidRPr="003A42FB" w:rsidRDefault="778B4DA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 uwagi na fakt, iż zapisy EKŁE odnoszą się do odbiornika radiofonicznego i nie mają bezpośredniego przełożenia na pojazdy kategorii M nie znajduje uzasadnienia konieczność weryfikacji tego wymagania w toku procedury homologacji. Dlatego też wymóg ten pozostaje poza zakresem przedmiotowym przepisów ustawy - Prawo o ruchu drogowym pozostającej we właściwości Ministerstwa Infrastruktury. W związku powyższym obowiązek kontroli realizacji ww. obowiązku i sankcjonowania jego naruszenia zostanie wdrożony do ustawy</w:t>
      </w:r>
      <w:r w:rsidR="1581700A" w:rsidRPr="003A42FB">
        <w:rPr>
          <w:rFonts w:ascii="Times New Roman" w:eastAsiaTheme="minorEastAsia" w:hAnsi="Times New Roman" w:cs="Times New Roman"/>
          <w:sz w:val="24"/>
          <w:szCs w:val="24"/>
        </w:rPr>
        <w:t xml:space="preserve"> </w:t>
      </w:r>
      <w:r w:rsidR="7F0C4941"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u w:val="single"/>
        </w:rPr>
        <w:t xml:space="preserve"> </w:t>
      </w:r>
      <w:r w:rsidR="3C611606" w:rsidRPr="003A42FB">
        <w:rPr>
          <w:rFonts w:ascii="Times New Roman" w:eastAsiaTheme="minorEastAsia" w:hAnsi="Times New Roman" w:cs="Times New Roman"/>
          <w:sz w:val="24"/>
          <w:szCs w:val="24"/>
        </w:rPr>
        <w:t xml:space="preserve">Kontrolę przystosowania odbiorników samochodowych do odbioru cyfrowych transmisji będzie prowadził Prezes UKE. Nabywcy wewnątrzwspólnotowi, jak również najemcy pojazdów kategorii M oferujący najem długoterminowy, którzy nie będą przestrzegać powyższego obowiązku, obciążeni zostaną przez Prezesa UKE </w:t>
      </w:r>
      <w:r w:rsidR="00472713" w:rsidRPr="003A42FB">
        <w:rPr>
          <w:rFonts w:ascii="Times New Roman" w:eastAsiaTheme="minorEastAsia" w:hAnsi="Times New Roman" w:cs="Times New Roman"/>
          <w:sz w:val="24"/>
          <w:szCs w:val="24"/>
        </w:rPr>
        <w:t>kar</w:t>
      </w:r>
      <w:r w:rsidR="00472713">
        <w:rPr>
          <w:rFonts w:ascii="Times New Roman" w:eastAsiaTheme="minorEastAsia" w:hAnsi="Times New Roman" w:cs="Times New Roman"/>
          <w:sz w:val="24"/>
          <w:szCs w:val="24"/>
        </w:rPr>
        <w:t>ą</w:t>
      </w:r>
      <w:r w:rsidR="00472713" w:rsidRPr="003A42FB">
        <w:rPr>
          <w:rFonts w:ascii="Times New Roman" w:eastAsiaTheme="minorEastAsia" w:hAnsi="Times New Roman" w:cs="Times New Roman"/>
          <w:sz w:val="24"/>
          <w:szCs w:val="24"/>
        </w:rPr>
        <w:t xml:space="preserve"> </w:t>
      </w:r>
      <w:r w:rsidR="3C611606" w:rsidRPr="003A42FB">
        <w:rPr>
          <w:rFonts w:ascii="Times New Roman" w:eastAsiaTheme="minorEastAsia" w:hAnsi="Times New Roman" w:cs="Times New Roman"/>
          <w:sz w:val="24"/>
          <w:szCs w:val="24"/>
        </w:rPr>
        <w:t xml:space="preserve">pieniężną w wysokości do 3% uzyskanego przychodu. </w:t>
      </w:r>
    </w:p>
    <w:p w14:paraId="3B7BE307" w14:textId="77777777"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uwzględniają delegacje zmierzające do wydania wymagań technicznych dotyczących sprzętu naziemnej telewizji cyfrowej oraz naziemnej radiofonii cyfrowej, tak aby przygotować konsumentów do nowej techniki nadawania naziemnego oraz uniknąć podaży sprzętu, który nie byłby zgodny z wymaganiami technicznymi, które mają zostać wprowadzone.</w:t>
      </w:r>
    </w:p>
    <w:p w14:paraId="005F9377" w14:textId="3C6C7721" w:rsidR="00805650" w:rsidRPr="003A42FB" w:rsidRDefault="4CA46A56" w:rsidP="00C53EAB">
      <w:pPr>
        <w:spacing w:after="120" w:line="240" w:lineRule="auto"/>
        <w:jc w:val="both"/>
        <w:rPr>
          <w:rFonts w:ascii="Times New Roman" w:eastAsiaTheme="minorEastAsia" w:hAnsi="Times New Roman" w:cs="Times New Roman"/>
          <w:b/>
          <w:bCs/>
          <w:sz w:val="24"/>
          <w:szCs w:val="24"/>
        </w:rPr>
      </w:pPr>
      <w:r w:rsidRPr="003A42FB">
        <w:rPr>
          <w:rFonts w:ascii="Times New Roman" w:eastAsiaTheme="minorEastAsia" w:hAnsi="Times New Roman" w:cs="Times New Roman"/>
          <w:b/>
          <w:bCs/>
          <w:sz w:val="24"/>
          <w:szCs w:val="24"/>
        </w:rPr>
        <w:t xml:space="preserve">Art. </w:t>
      </w:r>
      <w:r w:rsidR="00472713">
        <w:rPr>
          <w:rFonts w:ascii="Times New Roman" w:eastAsiaTheme="minorEastAsia" w:hAnsi="Times New Roman" w:cs="Times New Roman"/>
          <w:b/>
          <w:bCs/>
          <w:sz w:val="24"/>
          <w:szCs w:val="24"/>
        </w:rPr>
        <w:t>402</w:t>
      </w:r>
      <w:r w:rsidR="00472713" w:rsidRPr="003A42FB">
        <w:rPr>
          <w:rFonts w:ascii="Times New Roman" w:eastAsiaTheme="minorEastAsia" w:hAnsi="Times New Roman" w:cs="Times New Roman"/>
          <w:b/>
          <w:bCs/>
          <w:sz w:val="24"/>
          <w:szCs w:val="24"/>
        </w:rPr>
        <w:t xml:space="preserve"> </w:t>
      </w:r>
      <w:r w:rsidRPr="003A42FB">
        <w:rPr>
          <w:rFonts w:ascii="Times New Roman" w:eastAsiaTheme="minorEastAsia" w:hAnsi="Times New Roman" w:cs="Times New Roman"/>
          <w:b/>
          <w:bCs/>
          <w:sz w:val="24"/>
          <w:szCs w:val="24"/>
        </w:rPr>
        <w:t xml:space="preserve">– </w:t>
      </w:r>
      <w:r w:rsidR="00472713">
        <w:rPr>
          <w:rFonts w:ascii="Times New Roman" w:eastAsiaTheme="minorEastAsia" w:hAnsi="Times New Roman" w:cs="Times New Roman"/>
          <w:b/>
          <w:bCs/>
          <w:sz w:val="24"/>
          <w:szCs w:val="24"/>
        </w:rPr>
        <w:t>404</w:t>
      </w:r>
      <w:r w:rsidR="00472713" w:rsidRPr="003A42FB">
        <w:rPr>
          <w:rFonts w:ascii="Times New Roman" w:eastAsiaTheme="minorEastAsia" w:hAnsi="Times New Roman" w:cs="Times New Roman"/>
          <w:b/>
          <w:bCs/>
          <w:sz w:val="24"/>
          <w:szCs w:val="24"/>
        </w:rPr>
        <w:t xml:space="preserve"> </w:t>
      </w:r>
      <w:r w:rsidR="35C42CD5" w:rsidRPr="003A42FB">
        <w:rPr>
          <w:rFonts w:ascii="Times New Roman" w:eastAsiaTheme="minorEastAsia" w:hAnsi="Times New Roman" w:cs="Times New Roman"/>
          <w:b/>
          <w:bCs/>
          <w:sz w:val="24"/>
          <w:szCs w:val="24"/>
        </w:rPr>
        <w:t>– s</w:t>
      </w:r>
      <w:r w:rsidR="00805650" w:rsidRPr="003A42FB">
        <w:rPr>
          <w:rFonts w:ascii="Times New Roman" w:eastAsiaTheme="minorEastAsia" w:hAnsi="Times New Roman" w:cs="Times New Roman"/>
          <w:b/>
          <w:bCs/>
          <w:sz w:val="24"/>
          <w:szCs w:val="24"/>
        </w:rPr>
        <w:t>ystemy warunkowego dostępu</w:t>
      </w:r>
    </w:p>
    <w:p w14:paraId="1F7E3086" w14:textId="57584377"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Stosowanie systemów dostępu warunkowego zostało uregulowana w EKŁE i oznacza jakiekolwiek środki techniczne, które powodują, że dostęp do chronionych usług nadawania radio</w:t>
      </w:r>
      <w:r w:rsidR="1C4F4472" w:rsidRPr="003A42FB">
        <w:rPr>
          <w:rFonts w:ascii="Times New Roman" w:eastAsiaTheme="minorEastAsia" w:hAnsi="Times New Roman" w:cs="Times New Roman"/>
          <w:sz w:val="24"/>
          <w:szCs w:val="24"/>
        </w:rPr>
        <w:t>fonicznego</w:t>
      </w:r>
      <w:r w:rsidRPr="003A42FB">
        <w:rPr>
          <w:rFonts w:ascii="Times New Roman" w:eastAsiaTheme="minorEastAsia" w:hAnsi="Times New Roman" w:cs="Times New Roman"/>
          <w:sz w:val="24"/>
          <w:szCs w:val="24"/>
        </w:rPr>
        <w:t xml:space="preserve"> lub telewizyjnego w formie zrozumiałej jest uwarunkowany posiadaniem abonamentu lub innego, uprzednio uzyskanego indywidualnego zezwolenia. Innymi słowy, system warunkowego dostępu pozwala na pobieranie opłaty za dostęp do odkodowanego przekazu audiowizualnego. Usługa dostępu warunkowego obejmuje z reguły obsługę systemu uprawnień abonentów, kodowanie przekazu i obsługę urządzeń abonenckich pozwalających na odbiór. </w:t>
      </w:r>
    </w:p>
    <w:p w14:paraId="1145945B" w14:textId="38AFFFFB" w:rsidR="00805650" w:rsidRPr="003A42FB" w:rsidRDefault="0080565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art. </w:t>
      </w:r>
      <w:r w:rsidR="00472713">
        <w:rPr>
          <w:rFonts w:ascii="Times New Roman" w:eastAsiaTheme="minorEastAsia" w:hAnsi="Times New Roman" w:cs="Times New Roman"/>
          <w:sz w:val="24"/>
          <w:szCs w:val="24"/>
        </w:rPr>
        <w:t>402</w:t>
      </w:r>
      <w:r w:rsidRPr="003A42FB">
        <w:rPr>
          <w:rFonts w:ascii="Times New Roman" w:eastAsiaTheme="minorEastAsia" w:hAnsi="Times New Roman" w:cs="Times New Roman"/>
          <w:sz w:val="24"/>
          <w:szCs w:val="24"/>
        </w:rPr>
        <w:t>, który stanowi implementację art. 62 ust. 2 EKŁE, wskazano, iż po dokonaniu analizy wymogów dotyczących warunkowego dostępu do usług transmisji telewizji cyfrowej Prezes UKE może znieść albo zmienić wymogi nałożone na przedsiębiorstwa, które nie posiadają znaczącej pozycji na danym rynku. Takie zniesienie wymogów albo ich zmiana nie powinny negatywnie oddziaływać na dostęp użytkowników końcowych do takich usług ani na perspektywę efektywnej konkurencji.</w:t>
      </w:r>
    </w:p>
    <w:p w14:paraId="19089612" w14:textId="510D3B8D" w:rsidR="00805650" w:rsidRPr="003A42FB" w:rsidRDefault="00805650" w:rsidP="00472713">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Artykuł </w:t>
      </w:r>
      <w:r w:rsidR="00472713">
        <w:rPr>
          <w:rFonts w:ascii="Times New Roman" w:eastAsiaTheme="minorEastAsia" w:hAnsi="Times New Roman" w:cs="Times New Roman"/>
          <w:sz w:val="24"/>
          <w:szCs w:val="24"/>
        </w:rPr>
        <w:t>404</w:t>
      </w:r>
      <w:r w:rsidR="00472713"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implementuje art. 62 ust. 1 EKŁE i określa obowiązki skierowane do dysponentów praw własności przemysłowej do systemów dostępu warunkowego i usług świadczonych za ich pomocą. Rozróżnienie odnosi się do systemu warunkowego dostępu oraz usług polegających na dostępie warunkowym.</w:t>
      </w:r>
      <w:r w:rsidR="00472713">
        <w:rPr>
          <w:rFonts w:ascii="Times New Roman" w:eastAsiaTheme="minorEastAsia" w:hAnsi="Times New Roman" w:cs="Times New Roman"/>
          <w:sz w:val="24"/>
          <w:szCs w:val="24"/>
        </w:rPr>
        <w:t xml:space="preserve"> Ponadto</w:t>
      </w:r>
      <w:r w:rsidRPr="003A42FB">
        <w:rPr>
          <w:rFonts w:ascii="Times New Roman" w:eastAsiaTheme="minorEastAsia" w:hAnsi="Times New Roman" w:cs="Times New Roman"/>
          <w:sz w:val="24"/>
          <w:szCs w:val="24"/>
        </w:rPr>
        <w:t xml:space="preserve"> określono warunki przyznawania licencji producentom sprzętu konsumenckiego w odniesieniu do wspólnego interfejsu pozwalającego na połączenie wielu innych systemów dostępu, lub środków charakterystycznych dla innego systemu dostępu, pod warunkiem</w:t>
      </w:r>
      <w:r w:rsidR="4B0FA2A5"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że licencjobiorca spełnia odpowiednie i uzasadnione wymogi, zapewniając, w zakresie, w jakim go to dotyczy, bezpieczeństwo transakcji operatorów systemów warunkowego dostępu.</w:t>
      </w:r>
    </w:p>
    <w:p w14:paraId="0562CB0E" w14:textId="77777777" w:rsidR="005042E8" w:rsidRPr="003A42FB" w:rsidRDefault="005042E8" w:rsidP="00C53EAB">
      <w:pPr>
        <w:pStyle w:val="ROZDZODDZPRZEDMprzedmiotregulacjirozdziauluboddziau"/>
        <w:spacing w:before="0" w:after="120" w:line="240" w:lineRule="auto"/>
        <w:jc w:val="both"/>
        <w:rPr>
          <w:rFonts w:ascii="Times New Roman" w:hAnsi="Times New Roman"/>
          <w:lang w:eastAsia="en-US"/>
        </w:rPr>
      </w:pPr>
    </w:p>
    <w:p w14:paraId="05B23F5A" w14:textId="66508615" w:rsidR="005042E8" w:rsidRPr="003A42FB" w:rsidRDefault="005042E8" w:rsidP="00C53EAB">
      <w:pPr>
        <w:pStyle w:val="ROZDZODDZPRZEDMprzedmiotregulacjirozdziauluboddziau"/>
        <w:spacing w:before="0" w:after="120" w:line="240" w:lineRule="auto"/>
        <w:jc w:val="both"/>
        <w:rPr>
          <w:rFonts w:ascii="Times New Roman" w:hAnsi="Times New Roman"/>
          <w:lang w:eastAsia="en-US"/>
        </w:rPr>
      </w:pPr>
      <w:r w:rsidRPr="003A42FB">
        <w:rPr>
          <w:rFonts w:ascii="Times New Roman" w:hAnsi="Times New Roman"/>
          <w:lang w:eastAsia="en-US"/>
        </w:rPr>
        <w:t xml:space="preserve">Dział </w:t>
      </w:r>
      <w:r w:rsidRPr="003A42FB">
        <w:rPr>
          <w:rFonts w:ascii="Times New Roman" w:hAnsi="Times New Roman"/>
        </w:rPr>
        <w:t>VIII</w:t>
      </w:r>
      <w:r w:rsidRPr="003A42FB">
        <w:rPr>
          <w:rFonts w:ascii="Times New Roman" w:hAnsi="Times New Roman"/>
          <w:lang w:eastAsia="en-US"/>
        </w:rPr>
        <w:t xml:space="preserve">. </w:t>
      </w:r>
      <w:r w:rsidRPr="003A42FB">
        <w:rPr>
          <w:rFonts w:ascii="Times New Roman" w:hAnsi="Times New Roman"/>
        </w:rPr>
        <w:t>O</w:t>
      </w:r>
      <w:r w:rsidRPr="003A42FB">
        <w:rPr>
          <w:rFonts w:ascii="Times New Roman" w:hAnsi="Times New Roman"/>
          <w:lang w:eastAsia="en-US"/>
        </w:rPr>
        <w:t xml:space="preserve">rgany </w:t>
      </w:r>
      <w:r w:rsidRPr="003A42FB">
        <w:rPr>
          <w:rFonts w:ascii="Times New Roman" w:hAnsi="Times New Roman"/>
        </w:rPr>
        <w:t>właściwe w spra</w:t>
      </w:r>
      <w:r w:rsidR="006D1401" w:rsidRPr="003A42FB">
        <w:rPr>
          <w:rFonts w:ascii="Times New Roman" w:hAnsi="Times New Roman"/>
        </w:rPr>
        <w:t>wach komunikacji elektronicznej</w:t>
      </w:r>
      <w:r w:rsidRPr="003A42FB">
        <w:rPr>
          <w:rFonts w:ascii="Times New Roman" w:hAnsi="Times New Roman"/>
        </w:rPr>
        <w:t xml:space="preserve"> oraz postępowanie przed Prezesem UKE</w:t>
      </w:r>
    </w:p>
    <w:p w14:paraId="269DF8D4" w14:textId="3A34B171" w:rsidR="005C40F3" w:rsidRPr="003A42FB" w:rsidRDefault="005C40F3"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lang w:eastAsia="en-US"/>
        </w:rPr>
        <w:t>ROZDZIAŁ 1. Organy właściwe w sprawach komunikacji elektronicznej</w:t>
      </w:r>
      <w:r w:rsidR="00E0255F">
        <w:rPr>
          <w:rFonts w:ascii="Times New Roman" w:hAnsi="Times New Roman" w:cs="Times New Roman"/>
          <w:b/>
          <w:lang w:eastAsia="en-US"/>
        </w:rPr>
        <w:t xml:space="preserve"> (art. 406-415)</w:t>
      </w:r>
      <w:r w:rsidRPr="003A42FB">
        <w:rPr>
          <w:rFonts w:ascii="Times New Roman" w:hAnsi="Times New Roman" w:cs="Times New Roman"/>
          <w:b/>
          <w:lang w:eastAsia="en-US"/>
        </w:rPr>
        <w:t xml:space="preserve"> </w:t>
      </w:r>
    </w:p>
    <w:p w14:paraId="49788776" w14:textId="37B8F927" w:rsidR="00D16BD4" w:rsidRPr="003A42FB" w:rsidRDefault="00E3678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Projektowane przepisy utrzymują dotychczasowe regulacje </w:t>
      </w:r>
      <w:r w:rsidR="423A8CD9" w:rsidRPr="003A42FB">
        <w:rPr>
          <w:rFonts w:ascii="Times New Roman" w:eastAsiaTheme="minorEastAsia" w:hAnsi="Times New Roman" w:cs="Times New Roman"/>
          <w:sz w:val="24"/>
          <w:szCs w:val="24"/>
        </w:rPr>
        <w:t xml:space="preserve">zawarte w ustawie Pt </w:t>
      </w:r>
      <w:r w:rsidRPr="003A42FB">
        <w:rPr>
          <w:rFonts w:ascii="Times New Roman" w:eastAsiaTheme="minorEastAsia" w:hAnsi="Times New Roman" w:cs="Times New Roman"/>
          <w:sz w:val="24"/>
          <w:szCs w:val="24"/>
        </w:rPr>
        <w:t xml:space="preserve">w zakresie struktury instytucjonalnej. Organami właściwymi w sprawach telekomunikacji pozostaje minister właściwy do spraw informatyzacji i Prezes UKE. Przepisy uwzględniają zmiany wynikające z EKŁE odnoszące się do krajowych organów regulacyjnych (Prezesa UKE). </w:t>
      </w:r>
      <w:r w:rsidR="00520CF0" w:rsidRPr="003A42FB">
        <w:rPr>
          <w:rFonts w:ascii="Times New Roman" w:eastAsiaTheme="minorEastAsia" w:hAnsi="Times New Roman" w:cs="Times New Roman"/>
          <w:sz w:val="24"/>
          <w:szCs w:val="24"/>
        </w:rPr>
        <w:t xml:space="preserve">W tym zakresie </w:t>
      </w:r>
      <w:r w:rsidR="00D16BD4" w:rsidRPr="003A42FB">
        <w:rPr>
          <w:rFonts w:ascii="Times New Roman" w:eastAsiaTheme="minorEastAsia" w:hAnsi="Times New Roman" w:cs="Times New Roman"/>
          <w:sz w:val="24"/>
          <w:szCs w:val="24"/>
        </w:rPr>
        <w:t xml:space="preserve">projektowane przepisy </w:t>
      </w:r>
      <w:r w:rsidR="00520CF0" w:rsidRPr="003A42FB">
        <w:rPr>
          <w:rFonts w:ascii="Times New Roman" w:eastAsiaTheme="minorEastAsia" w:hAnsi="Times New Roman" w:cs="Times New Roman"/>
          <w:sz w:val="24"/>
          <w:szCs w:val="24"/>
        </w:rPr>
        <w:t>sta</w:t>
      </w:r>
      <w:r w:rsidR="00D16BD4" w:rsidRPr="003A42FB">
        <w:rPr>
          <w:rFonts w:ascii="Times New Roman" w:eastAsiaTheme="minorEastAsia" w:hAnsi="Times New Roman" w:cs="Times New Roman"/>
          <w:sz w:val="24"/>
          <w:szCs w:val="24"/>
        </w:rPr>
        <w:t>nowią wdrożenie art. 5-11 EKŁE, a ponadto w zakresie celów polityki regulacyjnej stanowią wdrożenie art. 3 EKŁE.</w:t>
      </w:r>
    </w:p>
    <w:p w14:paraId="67544A22" w14:textId="33A55352" w:rsidR="0041025C" w:rsidRDefault="00520CF0"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porównaniu do dotychczasowej regulacji </w:t>
      </w:r>
      <w:r w:rsidR="001C42FE" w:rsidRPr="003A42FB">
        <w:rPr>
          <w:rFonts w:ascii="Times New Roman" w:eastAsiaTheme="minorEastAsia" w:hAnsi="Times New Roman" w:cs="Times New Roman"/>
          <w:sz w:val="24"/>
          <w:szCs w:val="24"/>
        </w:rPr>
        <w:t>doprecyzowano katalog informacji jakie Prezes UKE powinien zawrzeć w corocznym sprawozdaniu ze swojej działalności regulacyjnej (dodano informacje na temat stanu rynku, decyzji wydanych przez Prezesa, zasobów ludzkich, finansowych i sposobu ich rozdysponowania oraz przyszłych planów).</w:t>
      </w:r>
      <w:r w:rsidR="007D0643" w:rsidRPr="003A42FB">
        <w:rPr>
          <w:rFonts w:ascii="Times New Roman" w:eastAsiaTheme="minorEastAsia" w:hAnsi="Times New Roman" w:cs="Times New Roman"/>
          <w:sz w:val="24"/>
          <w:szCs w:val="24"/>
        </w:rPr>
        <w:t xml:space="preserve"> Nowością wynikająca z EKŁE jest </w:t>
      </w:r>
      <w:r w:rsidR="4D45F682" w:rsidRPr="003A42FB">
        <w:rPr>
          <w:rFonts w:ascii="Times New Roman" w:eastAsiaTheme="minorEastAsia" w:hAnsi="Times New Roman" w:cs="Times New Roman"/>
          <w:sz w:val="24"/>
          <w:szCs w:val="24"/>
        </w:rPr>
        <w:t xml:space="preserve">wymóg przeprowadzenia konkursu na Prezesa UKE oraz </w:t>
      </w:r>
      <w:r w:rsidR="007D0643" w:rsidRPr="003A42FB">
        <w:rPr>
          <w:rFonts w:ascii="Times New Roman" w:eastAsiaTheme="minorEastAsia" w:hAnsi="Times New Roman" w:cs="Times New Roman"/>
          <w:sz w:val="24"/>
          <w:szCs w:val="24"/>
        </w:rPr>
        <w:t>konieczność zapewnienia, aby decyzja o odwołaniu P</w:t>
      </w:r>
      <w:r w:rsidR="00C5428A" w:rsidRPr="003A42FB">
        <w:rPr>
          <w:rFonts w:ascii="Times New Roman" w:eastAsiaTheme="minorEastAsia" w:hAnsi="Times New Roman" w:cs="Times New Roman"/>
          <w:sz w:val="24"/>
          <w:szCs w:val="24"/>
        </w:rPr>
        <w:t>rezesa UKE podlegała kontroli są</w:t>
      </w:r>
      <w:r w:rsidR="007D0643" w:rsidRPr="003A42FB">
        <w:rPr>
          <w:rFonts w:ascii="Times New Roman" w:eastAsiaTheme="minorEastAsia" w:hAnsi="Times New Roman" w:cs="Times New Roman"/>
          <w:sz w:val="24"/>
          <w:szCs w:val="24"/>
        </w:rPr>
        <w:t>dowej w zakresie stanu fakty</w:t>
      </w:r>
      <w:r w:rsidR="006D1401" w:rsidRPr="003A42FB">
        <w:rPr>
          <w:rFonts w:ascii="Times New Roman" w:eastAsiaTheme="minorEastAsia" w:hAnsi="Times New Roman" w:cs="Times New Roman"/>
          <w:sz w:val="24"/>
          <w:szCs w:val="24"/>
        </w:rPr>
        <w:t>cznego, jak i kwestii prawnych.</w:t>
      </w:r>
      <w:r w:rsidR="007D0643" w:rsidRPr="003A42FB">
        <w:rPr>
          <w:rFonts w:ascii="Times New Roman" w:eastAsiaTheme="minorEastAsia" w:hAnsi="Times New Roman" w:cs="Times New Roman"/>
          <w:sz w:val="24"/>
          <w:szCs w:val="24"/>
        </w:rPr>
        <w:t xml:space="preserve"> Art. 7 ust. 3 in fine, który dotyczy tej kwestii został wdrożony poprzez umożliwienie Prezesowi UKE odwołania się do sądu pracy w przypadku odwołania Prezesa UKE przed upływem kadencji. </w:t>
      </w:r>
      <w:r w:rsidR="00A95C3E" w:rsidRPr="003A42FB">
        <w:rPr>
          <w:rFonts w:ascii="Times New Roman" w:eastAsiaTheme="minorEastAsia" w:hAnsi="Times New Roman" w:cs="Times New Roman"/>
          <w:sz w:val="24"/>
          <w:szCs w:val="24"/>
        </w:rPr>
        <w:t>Przepisy tego rozdziału regulują również zakres działania Prezesa UKE.</w:t>
      </w:r>
      <w:r w:rsidR="007D0643" w:rsidRPr="003A42FB">
        <w:rPr>
          <w:rFonts w:ascii="Times New Roman" w:eastAsiaTheme="minorEastAsia" w:hAnsi="Times New Roman" w:cs="Times New Roman"/>
          <w:sz w:val="24"/>
          <w:szCs w:val="24"/>
        </w:rPr>
        <w:t xml:space="preserve"> </w:t>
      </w:r>
      <w:r w:rsidR="00A95C3E" w:rsidRPr="003A42FB">
        <w:rPr>
          <w:rFonts w:ascii="Times New Roman" w:eastAsiaTheme="minorEastAsia" w:hAnsi="Times New Roman" w:cs="Times New Roman"/>
          <w:sz w:val="24"/>
          <w:szCs w:val="24"/>
        </w:rPr>
        <w:t xml:space="preserve">Jednakże katalog zadań i czynności objętych </w:t>
      </w:r>
      <w:r w:rsidR="00CA5EDE" w:rsidRPr="003A42FB">
        <w:rPr>
          <w:rFonts w:ascii="Times New Roman" w:eastAsiaTheme="minorEastAsia" w:hAnsi="Times New Roman" w:cs="Times New Roman"/>
          <w:sz w:val="24"/>
          <w:szCs w:val="24"/>
        </w:rPr>
        <w:t xml:space="preserve">tym </w:t>
      </w:r>
      <w:r w:rsidR="00A95C3E" w:rsidRPr="003A42FB">
        <w:rPr>
          <w:rFonts w:ascii="Times New Roman" w:eastAsiaTheme="minorEastAsia" w:hAnsi="Times New Roman" w:cs="Times New Roman"/>
          <w:sz w:val="24"/>
          <w:szCs w:val="24"/>
        </w:rPr>
        <w:t>zakresem nie ma charakteru wyczerpującego</w:t>
      </w:r>
      <w:r w:rsidR="001322F0" w:rsidRPr="003A42FB">
        <w:rPr>
          <w:rFonts w:ascii="Times New Roman" w:eastAsiaTheme="minorEastAsia" w:hAnsi="Times New Roman" w:cs="Times New Roman"/>
          <w:sz w:val="24"/>
          <w:szCs w:val="24"/>
        </w:rPr>
        <w:t>. Dotyczy on</w:t>
      </w:r>
      <w:r w:rsidR="00A95C3E" w:rsidRPr="003A42FB">
        <w:rPr>
          <w:rFonts w:ascii="Times New Roman" w:eastAsiaTheme="minorEastAsia" w:hAnsi="Times New Roman" w:cs="Times New Roman"/>
          <w:sz w:val="24"/>
          <w:szCs w:val="24"/>
        </w:rPr>
        <w:t xml:space="preserve"> </w:t>
      </w:r>
      <w:r w:rsidR="00CA5EDE" w:rsidRPr="003A42FB">
        <w:rPr>
          <w:rFonts w:ascii="Times New Roman" w:eastAsiaTheme="minorEastAsia" w:hAnsi="Times New Roman" w:cs="Times New Roman"/>
          <w:sz w:val="24"/>
          <w:szCs w:val="24"/>
        </w:rPr>
        <w:t>m.in.</w:t>
      </w:r>
      <w:r w:rsidR="00A95C3E" w:rsidRPr="003A42FB">
        <w:rPr>
          <w:rFonts w:ascii="Times New Roman" w:eastAsiaTheme="minorEastAsia" w:hAnsi="Times New Roman" w:cs="Times New Roman"/>
          <w:sz w:val="24"/>
          <w:szCs w:val="24"/>
        </w:rPr>
        <w:t xml:space="preserve"> działań regulacyjnych i kontrolnych prowadzonych w odniesieniu do rynków usług telekomunikacyjnych, gospodarowania zasobami telekomunikacyjnymi i kontroli kompatybilności elektromagnetycznej. Na podstawie </w:t>
      </w:r>
      <w:r w:rsidR="001322F0" w:rsidRPr="003A42FB">
        <w:rPr>
          <w:rFonts w:ascii="Times New Roman" w:eastAsiaTheme="minorEastAsia" w:hAnsi="Times New Roman" w:cs="Times New Roman"/>
          <w:sz w:val="24"/>
          <w:szCs w:val="24"/>
        </w:rPr>
        <w:t xml:space="preserve">bowiem </w:t>
      </w:r>
      <w:hyperlink r:id="rId29">
        <w:r w:rsidR="00A95C3E" w:rsidRPr="003A42FB">
          <w:rPr>
            <w:rStyle w:val="Hipercze"/>
            <w:rFonts w:ascii="Times New Roman" w:eastAsiaTheme="minorEastAsia" w:hAnsi="Times New Roman" w:cs="Times New Roman"/>
            <w:color w:val="auto"/>
            <w:sz w:val="24"/>
            <w:szCs w:val="24"/>
            <w:u w:val="none"/>
          </w:rPr>
          <w:t>art. 21</w:t>
        </w:r>
      </w:hyperlink>
      <w:r w:rsidR="00A95C3E" w:rsidRPr="003A42FB">
        <w:rPr>
          <w:rFonts w:ascii="Times New Roman" w:eastAsiaTheme="minorEastAsia" w:hAnsi="Times New Roman" w:cs="Times New Roman"/>
          <w:sz w:val="24"/>
          <w:szCs w:val="24"/>
        </w:rPr>
        <w:t xml:space="preserve"> </w:t>
      </w:r>
      <w:r w:rsidR="001322F0" w:rsidRPr="003A42FB">
        <w:rPr>
          <w:rFonts w:ascii="Times New Roman" w:eastAsiaTheme="minorEastAsia" w:hAnsi="Times New Roman" w:cs="Times New Roman"/>
          <w:sz w:val="24"/>
          <w:szCs w:val="24"/>
        </w:rPr>
        <w:t xml:space="preserve">ustawy z dnia 13 kwietnia 2007 r. o kompatybilności elektromagnetycznej </w:t>
      </w:r>
      <w:r w:rsidR="00A95C3E" w:rsidRPr="003A42FB">
        <w:rPr>
          <w:rFonts w:ascii="Times New Roman" w:eastAsiaTheme="minorEastAsia" w:hAnsi="Times New Roman" w:cs="Times New Roman"/>
          <w:sz w:val="24"/>
          <w:szCs w:val="24"/>
        </w:rPr>
        <w:t>Prezes UKE jest organem uprawnionym do przeprowadzania kontroli spełniania przez urządzenia wymagań dotyczących kompa</w:t>
      </w:r>
      <w:r w:rsidR="006D1401" w:rsidRPr="003A42FB">
        <w:rPr>
          <w:rFonts w:ascii="Times New Roman" w:eastAsiaTheme="minorEastAsia" w:hAnsi="Times New Roman" w:cs="Times New Roman"/>
          <w:sz w:val="24"/>
          <w:szCs w:val="24"/>
        </w:rPr>
        <w:t>tybilności elektromagnetycznej.</w:t>
      </w:r>
      <w:r w:rsidR="00A95C3E" w:rsidRPr="003A42FB">
        <w:rPr>
          <w:rFonts w:ascii="Times New Roman" w:eastAsiaTheme="minorEastAsia" w:hAnsi="Times New Roman" w:cs="Times New Roman"/>
          <w:sz w:val="24"/>
          <w:szCs w:val="24"/>
        </w:rPr>
        <w:t xml:space="preserve"> </w:t>
      </w:r>
      <w:r w:rsidR="001322F0" w:rsidRPr="003A42FB">
        <w:rPr>
          <w:rFonts w:ascii="Times New Roman" w:eastAsiaTheme="minorEastAsia" w:hAnsi="Times New Roman" w:cs="Times New Roman"/>
          <w:sz w:val="24"/>
          <w:szCs w:val="24"/>
        </w:rPr>
        <w:t>Ponadto Prezes UKE wykonuje zadania z zakresu regulacji działalności pocztowej, określonych w ustawie z dnia 23 listopada 2012 r. - Prawo pocztowe oraz określonych w ustawie z dnia 7 maja 2010 r. o wspieraniu rozwoju usług i sieci telekomunikacyjnych</w:t>
      </w:r>
      <w:r w:rsidR="00220638" w:rsidRPr="003A42FB">
        <w:rPr>
          <w:rFonts w:ascii="Times New Roman" w:eastAsiaTheme="minorEastAsia" w:hAnsi="Times New Roman" w:cs="Times New Roman"/>
          <w:sz w:val="24"/>
          <w:szCs w:val="24"/>
          <w:lang w:eastAsia="pl-PL"/>
        </w:rPr>
        <w:t xml:space="preserve"> (</w:t>
      </w:r>
      <w:r w:rsidR="00415779" w:rsidRPr="003A42FB">
        <w:rPr>
          <w:rFonts w:ascii="Times New Roman" w:eastAsiaTheme="minorEastAsia" w:hAnsi="Times New Roman" w:cs="Times New Roman"/>
          <w:sz w:val="24"/>
          <w:szCs w:val="24"/>
        </w:rPr>
        <w:t>w sprawach warunków prowadzenia inwestycji telekomunikacyjnych)</w:t>
      </w:r>
      <w:r w:rsidR="001322F0" w:rsidRPr="003A42FB">
        <w:rPr>
          <w:rFonts w:ascii="Times New Roman" w:eastAsiaTheme="minorEastAsia" w:hAnsi="Times New Roman" w:cs="Times New Roman"/>
          <w:sz w:val="24"/>
          <w:szCs w:val="24"/>
        </w:rPr>
        <w:t xml:space="preserve">, </w:t>
      </w:r>
      <w:r w:rsidR="7B6CB855" w:rsidRPr="003A42FB">
        <w:rPr>
          <w:rFonts w:ascii="Times New Roman" w:eastAsiaTheme="minorEastAsia" w:hAnsi="Times New Roman" w:cs="Times New Roman"/>
          <w:sz w:val="24"/>
          <w:szCs w:val="24"/>
        </w:rPr>
        <w:t>ustaw</w:t>
      </w:r>
      <w:r w:rsidR="49ECF99A" w:rsidRPr="003A42FB">
        <w:rPr>
          <w:rFonts w:ascii="Times New Roman" w:eastAsiaTheme="minorEastAsia" w:hAnsi="Times New Roman" w:cs="Times New Roman"/>
          <w:sz w:val="24"/>
          <w:szCs w:val="24"/>
        </w:rPr>
        <w:t>ie</w:t>
      </w:r>
      <w:r w:rsidR="7B6CB855" w:rsidRPr="003A42FB">
        <w:rPr>
          <w:rFonts w:ascii="Times New Roman" w:eastAsiaTheme="minorEastAsia" w:hAnsi="Times New Roman" w:cs="Times New Roman"/>
          <w:sz w:val="24"/>
          <w:szCs w:val="24"/>
        </w:rPr>
        <w:t xml:space="preserve"> </w:t>
      </w:r>
      <w:r w:rsidR="001322F0" w:rsidRPr="003A42FB">
        <w:rPr>
          <w:rFonts w:ascii="Times New Roman" w:eastAsiaTheme="minorEastAsia" w:hAnsi="Times New Roman" w:cs="Times New Roman"/>
          <w:sz w:val="24"/>
          <w:szCs w:val="24"/>
        </w:rPr>
        <w:t>z dnia 21 marca 1985 r. o drogach publicznych</w:t>
      </w:r>
      <w:r w:rsidR="00CA7217" w:rsidRPr="003A42FB">
        <w:rPr>
          <w:rFonts w:ascii="Times New Roman" w:eastAsiaTheme="minorEastAsia" w:hAnsi="Times New Roman" w:cs="Times New Roman"/>
          <w:sz w:val="24"/>
          <w:szCs w:val="24"/>
        </w:rPr>
        <w:t xml:space="preserve"> (w sprawach związanych z budową i udostępnianiem kanałów technologicznych wzdłuż dróg publicznych)</w:t>
      </w:r>
      <w:r w:rsidR="001322F0" w:rsidRPr="003A42FB">
        <w:rPr>
          <w:rFonts w:ascii="Times New Roman" w:eastAsiaTheme="minorEastAsia" w:hAnsi="Times New Roman" w:cs="Times New Roman"/>
          <w:sz w:val="24"/>
          <w:szCs w:val="24"/>
        </w:rPr>
        <w:t xml:space="preserve">, </w:t>
      </w:r>
      <w:r w:rsidR="6FD77106" w:rsidRPr="003A42FB">
        <w:rPr>
          <w:rFonts w:ascii="Times New Roman" w:eastAsiaTheme="minorEastAsia" w:hAnsi="Times New Roman" w:cs="Times New Roman"/>
          <w:sz w:val="24"/>
          <w:szCs w:val="24"/>
        </w:rPr>
        <w:t>ustaw</w:t>
      </w:r>
      <w:r w:rsidR="4C676217" w:rsidRPr="003A42FB">
        <w:rPr>
          <w:rFonts w:ascii="Times New Roman" w:eastAsiaTheme="minorEastAsia" w:hAnsi="Times New Roman" w:cs="Times New Roman"/>
          <w:sz w:val="24"/>
          <w:szCs w:val="24"/>
        </w:rPr>
        <w:t>ie</w:t>
      </w:r>
      <w:r w:rsidR="6FD77106" w:rsidRPr="003A42FB">
        <w:rPr>
          <w:rFonts w:ascii="Times New Roman" w:eastAsiaTheme="minorEastAsia" w:hAnsi="Times New Roman" w:cs="Times New Roman"/>
          <w:sz w:val="24"/>
          <w:szCs w:val="24"/>
        </w:rPr>
        <w:t xml:space="preserve"> dnia 21 sierpnia 1997 r. o gospodarce nieruchomościami </w:t>
      </w:r>
      <w:r w:rsidR="00CA7217" w:rsidRPr="003A42FB">
        <w:rPr>
          <w:rFonts w:ascii="Times New Roman" w:eastAsiaTheme="minorEastAsia" w:hAnsi="Times New Roman" w:cs="Times New Roman"/>
          <w:sz w:val="24"/>
          <w:szCs w:val="24"/>
        </w:rPr>
        <w:t>(w sprawach współdziałania przy wydawaniu decyzji dotyczących ograniczania sposobu korzystania z nieruchomości przez udzielenie zezwolenia na zakładanie i przeprowadzenie na nieruchomości urządzeń łączności publicznej, jeżeli właściciel nie wyraża na to zgody)</w:t>
      </w:r>
      <w:r w:rsidR="4FE70F46" w:rsidRPr="003A42FB">
        <w:rPr>
          <w:rFonts w:ascii="Times New Roman" w:eastAsiaTheme="minorEastAsia" w:hAnsi="Times New Roman" w:cs="Times New Roman"/>
          <w:sz w:val="24"/>
          <w:szCs w:val="24"/>
        </w:rPr>
        <w:t>,</w:t>
      </w:r>
      <w:r w:rsidR="00220638" w:rsidRPr="003A42FB">
        <w:rPr>
          <w:rFonts w:ascii="Times New Roman" w:eastAsiaTheme="minorEastAsia" w:hAnsi="Times New Roman" w:cs="Times New Roman"/>
          <w:sz w:val="24"/>
          <w:szCs w:val="24"/>
        </w:rPr>
        <w:t xml:space="preserve"> </w:t>
      </w:r>
      <w:r w:rsidR="37369D08" w:rsidRPr="003A42FB">
        <w:rPr>
          <w:rFonts w:ascii="Times New Roman" w:eastAsiaTheme="minorEastAsia" w:hAnsi="Times New Roman" w:cs="Times New Roman"/>
          <w:sz w:val="24"/>
          <w:szCs w:val="24"/>
        </w:rPr>
        <w:t>oraz</w:t>
      </w:r>
      <w:r w:rsidR="00220638" w:rsidRPr="003A42FB">
        <w:rPr>
          <w:rFonts w:ascii="Times New Roman" w:eastAsiaTheme="minorEastAsia" w:hAnsi="Times New Roman" w:cs="Times New Roman"/>
          <w:sz w:val="24"/>
          <w:szCs w:val="24"/>
        </w:rPr>
        <w:t xml:space="preserve"> </w:t>
      </w:r>
      <w:r w:rsidR="21F651F0" w:rsidRPr="003A42FB">
        <w:rPr>
          <w:rFonts w:ascii="Times New Roman" w:eastAsiaTheme="minorEastAsia" w:hAnsi="Times New Roman" w:cs="Times New Roman"/>
          <w:sz w:val="24"/>
          <w:szCs w:val="24"/>
        </w:rPr>
        <w:t>ustawie</w:t>
      </w:r>
      <w:r w:rsidR="51F1E21F" w:rsidRPr="003A42FB">
        <w:rPr>
          <w:rFonts w:ascii="Times New Roman" w:eastAsiaTheme="minorEastAsia" w:hAnsi="Times New Roman" w:cs="Times New Roman"/>
          <w:sz w:val="24"/>
          <w:szCs w:val="24"/>
        </w:rPr>
        <w:t xml:space="preserve"> z dnia 27 marca 2003 r. o </w:t>
      </w:r>
      <w:r w:rsidR="1615E24E" w:rsidRPr="003A42FB">
        <w:rPr>
          <w:rFonts w:ascii="Times New Roman" w:eastAsiaTheme="minorEastAsia" w:hAnsi="Times New Roman" w:cs="Times New Roman"/>
          <w:sz w:val="24"/>
          <w:szCs w:val="24"/>
        </w:rPr>
        <w:t>planowaniu i zag</w:t>
      </w:r>
      <w:r w:rsidR="51F1E21F" w:rsidRPr="003A42FB">
        <w:rPr>
          <w:rFonts w:ascii="Times New Roman" w:eastAsiaTheme="minorEastAsia" w:hAnsi="Times New Roman" w:cs="Times New Roman"/>
          <w:sz w:val="24"/>
          <w:szCs w:val="24"/>
        </w:rPr>
        <w:t>ospodarowaniu przestrzennym (</w:t>
      </w:r>
      <w:r w:rsidR="00220638" w:rsidRPr="003A42FB">
        <w:rPr>
          <w:rFonts w:ascii="Times New Roman" w:eastAsiaTheme="minorEastAsia" w:hAnsi="Times New Roman" w:cs="Times New Roman"/>
          <w:sz w:val="24"/>
          <w:szCs w:val="24"/>
        </w:rPr>
        <w:t>występowani</w:t>
      </w:r>
      <w:r w:rsidR="2CD61520" w:rsidRPr="003A42FB">
        <w:rPr>
          <w:rFonts w:ascii="Times New Roman" w:eastAsiaTheme="minorEastAsia" w:hAnsi="Times New Roman" w:cs="Times New Roman"/>
          <w:sz w:val="24"/>
          <w:szCs w:val="24"/>
        </w:rPr>
        <w:t>e</w:t>
      </w:r>
      <w:r w:rsidR="00220638" w:rsidRPr="003A42FB">
        <w:rPr>
          <w:rFonts w:ascii="Times New Roman" w:eastAsiaTheme="minorEastAsia" w:hAnsi="Times New Roman" w:cs="Times New Roman"/>
          <w:sz w:val="24"/>
          <w:szCs w:val="24"/>
        </w:rPr>
        <w:t xml:space="preserve"> </w:t>
      </w:r>
      <w:r w:rsidR="36685B46" w:rsidRPr="003A42FB">
        <w:rPr>
          <w:rFonts w:ascii="Times New Roman" w:eastAsiaTheme="minorEastAsia" w:hAnsi="Times New Roman" w:cs="Times New Roman"/>
          <w:sz w:val="24"/>
          <w:szCs w:val="24"/>
        </w:rPr>
        <w:t xml:space="preserve">na prawach strony </w:t>
      </w:r>
      <w:r w:rsidR="00220638" w:rsidRPr="003A42FB">
        <w:rPr>
          <w:rFonts w:ascii="Times New Roman" w:eastAsiaTheme="minorEastAsia" w:hAnsi="Times New Roman" w:cs="Times New Roman"/>
          <w:sz w:val="24"/>
          <w:szCs w:val="24"/>
        </w:rPr>
        <w:t>w</w:t>
      </w:r>
      <w:r w:rsidR="00E46231" w:rsidRPr="003A42FB">
        <w:rPr>
          <w:rFonts w:ascii="Times New Roman" w:eastAsiaTheme="minorEastAsia" w:hAnsi="Times New Roman" w:cs="Times New Roman"/>
          <w:sz w:val="24"/>
          <w:szCs w:val="24"/>
        </w:rPr>
        <w:t xml:space="preserve"> postępowani</w:t>
      </w:r>
      <w:r w:rsidR="52B89B50" w:rsidRPr="003A42FB">
        <w:rPr>
          <w:rFonts w:ascii="Times New Roman" w:eastAsiaTheme="minorEastAsia" w:hAnsi="Times New Roman" w:cs="Times New Roman"/>
          <w:sz w:val="24"/>
          <w:szCs w:val="24"/>
        </w:rPr>
        <w:t>ach</w:t>
      </w:r>
      <w:r w:rsidR="00E46231" w:rsidRPr="003A42FB">
        <w:rPr>
          <w:rFonts w:ascii="Times New Roman" w:eastAsiaTheme="minorEastAsia" w:hAnsi="Times New Roman" w:cs="Times New Roman"/>
          <w:sz w:val="24"/>
          <w:szCs w:val="24"/>
        </w:rPr>
        <w:t xml:space="preserve"> w sprawie</w:t>
      </w:r>
      <w:r w:rsidR="00220638" w:rsidRPr="003A42FB">
        <w:rPr>
          <w:rFonts w:ascii="Times New Roman" w:eastAsiaTheme="minorEastAsia" w:hAnsi="Times New Roman" w:cs="Times New Roman"/>
          <w:sz w:val="24"/>
          <w:szCs w:val="24"/>
        </w:rPr>
        <w:t xml:space="preserve"> ustalenia lokalizacji inwestycji celu publicznego z zakresu łączności publicznej)</w:t>
      </w:r>
      <w:r w:rsidR="001322F0" w:rsidRPr="003A42FB">
        <w:rPr>
          <w:rFonts w:ascii="Times New Roman" w:eastAsiaTheme="minorEastAsia" w:hAnsi="Times New Roman" w:cs="Times New Roman"/>
          <w:sz w:val="24"/>
          <w:szCs w:val="24"/>
        </w:rPr>
        <w:t>.</w:t>
      </w:r>
    </w:p>
    <w:p w14:paraId="112FD404" w14:textId="697DAF67" w:rsidR="008865FD" w:rsidRPr="008865FD" w:rsidRDefault="004015C0" w:rsidP="008865FD">
      <w:pPr>
        <w:suppressAutoHyphens/>
        <w:autoSpaceDE w:val="0"/>
        <w:autoSpaceDN w:val="0"/>
        <w:adjustRightInd w:val="0"/>
        <w:spacing w:after="120" w:line="240" w:lineRule="auto"/>
        <w:jc w:val="both"/>
        <w:rPr>
          <w:rFonts w:ascii="Times New Roman" w:eastAsiaTheme="minorEastAsia" w:hAnsi="Times New Roman" w:cs="Times New Roman"/>
          <w:bCs/>
          <w:sz w:val="24"/>
          <w:szCs w:val="24"/>
        </w:rPr>
      </w:pPr>
      <w:r>
        <w:rPr>
          <w:rFonts w:ascii="Times New Roman" w:eastAsiaTheme="minorEastAsia" w:hAnsi="Times New Roman" w:cs="Times New Roman"/>
          <w:sz w:val="24"/>
          <w:szCs w:val="24"/>
        </w:rPr>
        <w:t xml:space="preserve">Art. </w:t>
      </w:r>
      <w:r w:rsidR="00F36DEC">
        <w:rPr>
          <w:rFonts w:ascii="Times New Roman" w:eastAsiaTheme="minorEastAsia" w:hAnsi="Times New Roman" w:cs="Times New Roman"/>
          <w:sz w:val="24"/>
          <w:szCs w:val="24"/>
        </w:rPr>
        <w:t>414</w:t>
      </w:r>
      <w:r w:rsidR="008865FD">
        <w:rPr>
          <w:rFonts w:ascii="Times New Roman" w:eastAsiaTheme="minorEastAsia" w:hAnsi="Times New Roman" w:cs="Times New Roman"/>
          <w:sz w:val="24"/>
          <w:szCs w:val="24"/>
        </w:rPr>
        <w:t xml:space="preserve"> rozszerza zakres działania Prezesa UKE względem uprzednio obowiązującej ustawy Pt poprzez nadanie Prezesowi UKE uprawnień do prowadzenia kontroli </w:t>
      </w:r>
      <w:r w:rsidR="008865FD" w:rsidRPr="008865FD">
        <w:rPr>
          <w:rFonts w:ascii="Times New Roman" w:eastAsiaTheme="minorEastAsia" w:hAnsi="Times New Roman" w:cs="Times New Roman"/>
          <w:sz w:val="24"/>
          <w:szCs w:val="24"/>
        </w:rPr>
        <w:t>obowiązku wyposażenia pojazdów kategorii M w samochodowe odbiorniki radiofoniczne zdolne do odbioru cyfrowych transmisji</w:t>
      </w:r>
      <w:r w:rsidR="008865FD">
        <w:rPr>
          <w:rFonts w:ascii="Times New Roman" w:eastAsiaTheme="minorEastAsia" w:hAnsi="Times New Roman" w:cs="Times New Roman"/>
          <w:sz w:val="24"/>
          <w:szCs w:val="24"/>
        </w:rPr>
        <w:t xml:space="preserve"> jak również </w:t>
      </w:r>
      <w:r w:rsidR="008865FD" w:rsidRPr="008865FD">
        <w:rPr>
          <w:rFonts w:ascii="Times New Roman" w:eastAsiaTheme="minorEastAsia" w:hAnsi="Times New Roman" w:cs="Times New Roman"/>
          <w:bCs/>
          <w:sz w:val="24"/>
          <w:szCs w:val="24"/>
        </w:rPr>
        <w:t xml:space="preserve">obowiązku sprzedaży odbiorników sygnału telewizyjnego </w:t>
      </w:r>
      <w:r w:rsidR="008865FD">
        <w:rPr>
          <w:rFonts w:ascii="Times New Roman" w:eastAsiaTheme="minorEastAsia" w:hAnsi="Times New Roman" w:cs="Times New Roman"/>
          <w:bCs/>
          <w:sz w:val="24"/>
          <w:szCs w:val="24"/>
        </w:rPr>
        <w:t xml:space="preserve">oraz odbiorników radiofonii cyfrowej </w:t>
      </w:r>
      <w:r w:rsidR="008865FD" w:rsidRPr="008865FD">
        <w:rPr>
          <w:rFonts w:ascii="Times New Roman" w:eastAsiaTheme="minorEastAsia" w:hAnsi="Times New Roman" w:cs="Times New Roman"/>
          <w:bCs/>
          <w:sz w:val="24"/>
          <w:szCs w:val="24"/>
        </w:rPr>
        <w:t>spełniających wymagania wynikające z  przepisów wykonawczych wydanych na podstawie art. 368;</w:t>
      </w:r>
    </w:p>
    <w:p w14:paraId="6432B931" w14:textId="4C7FCF31" w:rsidR="004015C0" w:rsidRPr="003A42FB" w:rsidRDefault="008865FD" w:rsidP="00C53EAB">
      <w:pPr>
        <w:suppressAutoHyphens/>
        <w:autoSpaceDE w:val="0"/>
        <w:autoSpaceDN w:val="0"/>
        <w:adjustRightInd w:val="0"/>
        <w:spacing w:after="12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14:paraId="6893AC86" w14:textId="67FAB4E2" w:rsidR="5AF01528" w:rsidRPr="003A42FB" w:rsidRDefault="5AF01528" w:rsidP="5AF01528">
      <w:pPr>
        <w:spacing w:after="120" w:line="240" w:lineRule="auto"/>
        <w:jc w:val="both"/>
        <w:rPr>
          <w:rFonts w:ascii="Times New Roman" w:hAnsi="Times New Roman" w:cs="Times New Roman"/>
          <w:b/>
          <w:bCs/>
          <w:sz w:val="24"/>
          <w:szCs w:val="24"/>
        </w:rPr>
      </w:pPr>
    </w:p>
    <w:p w14:paraId="51467969" w14:textId="616DCC39" w:rsidR="00194BBE" w:rsidRPr="003A42FB" w:rsidRDefault="006D1401" w:rsidP="00C53EAB">
      <w:pPr>
        <w:spacing w:after="120" w:line="240" w:lineRule="auto"/>
        <w:jc w:val="both"/>
        <w:rPr>
          <w:rFonts w:ascii="Times New Roman" w:eastAsiaTheme="minorEastAsia" w:hAnsi="Times New Roman" w:cs="Times New Roman"/>
          <w:b/>
          <w:bCs/>
          <w:sz w:val="24"/>
          <w:szCs w:val="24"/>
        </w:rPr>
      </w:pPr>
      <w:r w:rsidRPr="003A42FB">
        <w:rPr>
          <w:rFonts w:ascii="Times New Roman" w:hAnsi="Times New Roman" w:cs="Times New Roman"/>
          <w:b/>
          <w:sz w:val="24"/>
          <w:szCs w:val="24"/>
        </w:rPr>
        <w:t>ROZDZIAŁ</w:t>
      </w:r>
      <w:r w:rsidRPr="003A42FB">
        <w:rPr>
          <w:rFonts w:ascii="Times New Roman" w:eastAsiaTheme="minorEastAsia" w:hAnsi="Times New Roman" w:cs="Times New Roman"/>
          <w:b/>
          <w:bCs/>
          <w:sz w:val="24"/>
          <w:szCs w:val="24"/>
        </w:rPr>
        <w:t xml:space="preserve"> 2. </w:t>
      </w:r>
      <w:r w:rsidR="008C3C9F" w:rsidRPr="003A42FB">
        <w:rPr>
          <w:rFonts w:ascii="Times New Roman" w:eastAsiaTheme="minorEastAsia" w:hAnsi="Times New Roman" w:cs="Times New Roman"/>
          <w:b/>
          <w:bCs/>
          <w:sz w:val="24"/>
          <w:szCs w:val="24"/>
        </w:rPr>
        <w:t>Dział</w:t>
      </w:r>
      <w:r w:rsidRPr="003A42FB">
        <w:rPr>
          <w:rFonts w:ascii="Times New Roman" w:eastAsiaTheme="minorEastAsia" w:hAnsi="Times New Roman" w:cs="Times New Roman"/>
          <w:b/>
          <w:bCs/>
          <w:sz w:val="24"/>
          <w:szCs w:val="24"/>
        </w:rPr>
        <w:t>ania</w:t>
      </w:r>
      <w:r w:rsidR="008C3C9F" w:rsidRPr="003A42FB">
        <w:rPr>
          <w:rFonts w:ascii="Times New Roman" w:eastAsiaTheme="minorEastAsia" w:hAnsi="Times New Roman" w:cs="Times New Roman"/>
          <w:b/>
          <w:bCs/>
          <w:sz w:val="24"/>
          <w:szCs w:val="24"/>
        </w:rPr>
        <w:t xml:space="preserve"> k</w:t>
      </w:r>
      <w:r w:rsidR="007B3AE3" w:rsidRPr="003A42FB">
        <w:rPr>
          <w:rFonts w:ascii="Times New Roman" w:eastAsiaTheme="minorEastAsia" w:hAnsi="Times New Roman" w:cs="Times New Roman"/>
          <w:b/>
          <w:bCs/>
          <w:sz w:val="24"/>
          <w:szCs w:val="24"/>
        </w:rPr>
        <w:t>ontrol</w:t>
      </w:r>
      <w:r w:rsidR="00E0255F">
        <w:rPr>
          <w:rFonts w:ascii="Times New Roman" w:eastAsiaTheme="minorEastAsia" w:hAnsi="Times New Roman" w:cs="Times New Roman"/>
          <w:b/>
          <w:bCs/>
          <w:sz w:val="24"/>
          <w:szCs w:val="24"/>
        </w:rPr>
        <w:t>ne</w:t>
      </w:r>
      <w:r w:rsidR="007B3AE3" w:rsidRPr="003A42FB">
        <w:rPr>
          <w:rFonts w:ascii="Times New Roman" w:eastAsiaTheme="minorEastAsia" w:hAnsi="Times New Roman" w:cs="Times New Roman"/>
          <w:b/>
          <w:bCs/>
          <w:sz w:val="24"/>
          <w:szCs w:val="24"/>
        </w:rPr>
        <w:t xml:space="preserve"> </w:t>
      </w:r>
      <w:r w:rsidR="008C3C9F" w:rsidRPr="003A42FB">
        <w:rPr>
          <w:rFonts w:ascii="Times New Roman" w:eastAsiaTheme="minorEastAsia" w:hAnsi="Times New Roman" w:cs="Times New Roman"/>
          <w:b/>
          <w:bCs/>
          <w:sz w:val="24"/>
          <w:szCs w:val="24"/>
        </w:rPr>
        <w:t xml:space="preserve">Prezesa UKE </w:t>
      </w:r>
      <w:r w:rsidR="00E0255F">
        <w:rPr>
          <w:rFonts w:ascii="Times New Roman" w:eastAsiaTheme="minorEastAsia" w:hAnsi="Times New Roman" w:cs="Times New Roman"/>
          <w:b/>
          <w:bCs/>
          <w:sz w:val="24"/>
          <w:szCs w:val="24"/>
        </w:rPr>
        <w:t>(art. 416-434)</w:t>
      </w:r>
    </w:p>
    <w:p w14:paraId="4C00AB9D" w14:textId="76BFAE95" w:rsidR="00C17123" w:rsidRPr="003A42FB" w:rsidRDefault="2F5C347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Projektowane przepisy regul</w:t>
      </w:r>
      <w:r w:rsidR="046C9F04" w:rsidRPr="003A42FB">
        <w:rPr>
          <w:rFonts w:ascii="Times New Roman" w:eastAsiaTheme="minorEastAsia" w:hAnsi="Times New Roman" w:cs="Times New Roman"/>
          <w:sz w:val="24"/>
          <w:szCs w:val="24"/>
        </w:rPr>
        <w:t>ują</w:t>
      </w:r>
      <w:r w:rsidRPr="003A42FB">
        <w:rPr>
          <w:rFonts w:ascii="Times New Roman" w:eastAsiaTheme="minorEastAsia" w:hAnsi="Times New Roman" w:cs="Times New Roman"/>
          <w:sz w:val="24"/>
          <w:szCs w:val="24"/>
        </w:rPr>
        <w:t xml:space="preserve"> kwestie weryfikacji przez Prezesa UKE przestrzegani</w:t>
      </w:r>
      <w:r w:rsidR="0D4AA737" w:rsidRPr="003A42FB">
        <w:rPr>
          <w:rFonts w:ascii="Times New Roman" w:eastAsiaTheme="minorEastAsia" w:hAnsi="Times New Roman" w:cs="Times New Roman"/>
          <w:sz w:val="24"/>
          <w:szCs w:val="24"/>
        </w:rPr>
        <w:t>a</w:t>
      </w:r>
      <w:r w:rsidRPr="003A42FB">
        <w:rPr>
          <w:rFonts w:ascii="Times New Roman" w:eastAsiaTheme="minorEastAsia" w:hAnsi="Times New Roman" w:cs="Times New Roman"/>
          <w:sz w:val="24"/>
          <w:szCs w:val="24"/>
        </w:rPr>
        <w:t xml:space="preserve"> przepisów, decyzji oraz postanowień z zakresu </w:t>
      </w:r>
      <w:r w:rsidR="79015307" w:rsidRPr="003A42FB">
        <w:rPr>
          <w:rFonts w:ascii="Times New Roman" w:eastAsiaTheme="minorEastAsia" w:hAnsi="Times New Roman" w:cs="Times New Roman"/>
          <w:sz w:val="24"/>
          <w:szCs w:val="24"/>
        </w:rPr>
        <w:t>komunikacji elektronicznej</w:t>
      </w:r>
      <w:r w:rsidRPr="003A42FB">
        <w:rPr>
          <w:rFonts w:ascii="Times New Roman" w:eastAsiaTheme="minorEastAsia" w:hAnsi="Times New Roman" w:cs="Times New Roman"/>
          <w:sz w:val="24"/>
          <w:szCs w:val="24"/>
        </w:rPr>
        <w:t xml:space="preserve"> lub spełniania wymagań dotyczących kompatybilności elektromagnetycznej. </w:t>
      </w:r>
      <w:r w:rsidR="550F774E" w:rsidRPr="003A42FB">
        <w:rPr>
          <w:rFonts w:ascii="Times New Roman" w:eastAsiaTheme="minorEastAsia" w:hAnsi="Times New Roman" w:cs="Times New Roman"/>
          <w:sz w:val="24"/>
          <w:szCs w:val="24"/>
        </w:rPr>
        <w:t xml:space="preserve">Należy zwrócić uwagę, że zakres komunikacji elektronicznej obejmuje wszystkie regulacje wynikające z przepisów ustawy </w:t>
      </w:r>
      <w:r w:rsidR="43404BD5" w:rsidRPr="003A42FB">
        <w:rPr>
          <w:rFonts w:ascii="Times New Roman" w:eastAsiaTheme="minorEastAsia" w:hAnsi="Times New Roman" w:cs="Times New Roman"/>
          <w:sz w:val="24"/>
          <w:szCs w:val="24"/>
        </w:rPr>
        <w:t>Pke</w:t>
      </w:r>
      <w:r w:rsidR="550F774E" w:rsidRPr="003A42FB">
        <w:rPr>
          <w:rFonts w:ascii="Times New Roman" w:eastAsiaTheme="minorEastAsia" w:hAnsi="Times New Roman" w:cs="Times New Roman"/>
          <w:sz w:val="24"/>
          <w:szCs w:val="24"/>
        </w:rPr>
        <w:t xml:space="preserve">, </w:t>
      </w:r>
      <w:r w:rsidR="76D59F4F" w:rsidRPr="003A42FB">
        <w:rPr>
          <w:rFonts w:ascii="Times New Roman" w:eastAsiaTheme="minorEastAsia" w:hAnsi="Times New Roman" w:cs="Times New Roman"/>
          <w:sz w:val="24"/>
          <w:szCs w:val="24"/>
        </w:rPr>
        <w:t xml:space="preserve">czyli zarówno kwestie związane z regulacją rynków, gospodarowaniem częstotliwościami i numeracją, jak i </w:t>
      </w:r>
      <w:r w:rsidR="0DE56D36" w:rsidRPr="003A42FB">
        <w:rPr>
          <w:rFonts w:ascii="Times New Roman" w:eastAsiaTheme="minorEastAsia" w:hAnsi="Times New Roman" w:cs="Times New Roman"/>
          <w:sz w:val="24"/>
          <w:szCs w:val="24"/>
        </w:rPr>
        <w:t>regulacje dotyczące odbiorników samochodowych.</w:t>
      </w:r>
    </w:p>
    <w:p w14:paraId="40595002" w14:textId="08CD4E1B" w:rsidR="00C17123" w:rsidRPr="003A42FB" w:rsidRDefault="008D5A1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Zaproponowane regulacje nie odbiegają w sposób zasadniczy od dotychczasowych rozwiązań</w:t>
      </w:r>
      <w:r w:rsidR="00D615ED" w:rsidRPr="003A42FB">
        <w:rPr>
          <w:rFonts w:ascii="Times New Roman" w:eastAsiaTheme="minorEastAsia" w:hAnsi="Times New Roman" w:cs="Times New Roman"/>
          <w:sz w:val="24"/>
          <w:szCs w:val="24"/>
        </w:rPr>
        <w:t xml:space="preserve"> przyjętych w </w:t>
      </w:r>
      <w:r w:rsidR="38043886" w:rsidRPr="003A42FB">
        <w:rPr>
          <w:rFonts w:ascii="Times New Roman" w:eastAsiaTheme="minorEastAsia" w:hAnsi="Times New Roman" w:cs="Times New Roman"/>
          <w:sz w:val="24"/>
          <w:szCs w:val="24"/>
        </w:rPr>
        <w:t xml:space="preserve">Rozdziale 2. działu X </w:t>
      </w:r>
      <w:r w:rsidR="00D615ED" w:rsidRPr="003A42FB">
        <w:rPr>
          <w:rFonts w:ascii="Times New Roman" w:eastAsiaTheme="minorEastAsia" w:hAnsi="Times New Roman" w:cs="Times New Roman"/>
          <w:sz w:val="24"/>
          <w:szCs w:val="24"/>
        </w:rPr>
        <w:t>ustaw</w:t>
      </w:r>
      <w:r w:rsidR="62448AF6" w:rsidRPr="003A42FB">
        <w:rPr>
          <w:rFonts w:ascii="Times New Roman" w:eastAsiaTheme="minorEastAsia" w:hAnsi="Times New Roman" w:cs="Times New Roman"/>
          <w:sz w:val="24"/>
          <w:szCs w:val="24"/>
        </w:rPr>
        <w:t>y</w:t>
      </w:r>
      <w:r w:rsidR="00D615ED" w:rsidRPr="003A42FB">
        <w:rPr>
          <w:rFonts w:ascii="Times New Roman" w:eastAsiaTheme="minorEastAsia" w:hAnsi="Times New Roman" w:cs="Times New Roman"/>
          <w:sz w:val="24"/>
          <w:szCs w:val="24"/>
        </w:rPr>
        <w:t xml:space="preserve"> </w:t>
      </w:r>
      <w:r w:rsidR="57FDBE7E"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w:t>
      </w:r>
      <w:r w:rsidR="00783701" w:rsidRPr="003A42FB">
        <w:rPr>
          <w:rFonts w:ascii="Times New Roman" w:eastAsiaTheme="minorEastAsia" w:hAnsi="Times New Roman" w:cs="Times New Roman"/>
          <w:sz w:val="24"/>
          <w:szCs w:val="24"/>
        </w:rPr>
        <w:t>Dla większej jasności i przejrzystości projektowana ustawa wymienia przykładowe działania jakie w ramach w/w weryfikacji Prezes UKE może podejmować. Należy wymienić tu oprócz prowadzenia kontroli oraz postępowania kontrolnego, również monitorowanie widma radiowego oraz lokalizowanie źródła zakłóceń, które to działania są odrębne od postępowania kontrolnego i pokontrolnego.</w:t>
      </w:r>
      <w:r w:rsidR="00B069C7" w:rsidRPr="003A42FB">
        <w:rPr>
          <w:rFonts w:ascii="Times New Roman" w:eastAsiaTheme="minorEastAsia" w:hAnsi="Times New Roman" w:cs="Times New Roman"/>
          <w:sz w:val="24"/>
          <w:szCs w:val="24"/>
        </w:rPr>
        <w:t xml:space="preserve"> Należy tu wskazać, że kontrola jest skierowana przeciwko konkretnej osobie/podmiotowi, podczas gdy monitorowanie widma następuje w sytuacji, gdy nie jest jeszcze wiadome czy doszło w ogóle do naruszenia przepisów i pracownicy UKE badają (np. podczas objazdów </w:t>
      </w:r>
      <w:r w:rsidR="00A37084" w:rsidRPr="003A42FB">
        <w:rPr>
          <w:rFonts w:ascii="Times New Roman" w:eastAsiaTheme="minorEastAsia" w:hAnsi="Times New Roman" w:cs="Times New Roman"/>
          <w:sz w:val="24"/>
          <w:szCs w:val="24"/>
        </w:rPr>
        <w:t>samochodowych przy wykorzystaniu odpowiedniego sprzętu) czy na danym obszarze doszło do używania urządzeń radiowych, wykorzystania widma i następnie porównania wyników z wydanymi pozwoleniami, decyzjami.</w:t>
      </w:r>
    </w:p>
    <w:p w14:paraId="78922C1C" w14:textId="137F9D78" w:rsidR="0083596D" w:rsidRPr="003A42FB" w:rsidRDefault="0083596D"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E0255F">
        <w:rPr>
          <w:rFonts w:ascii="Times New Roman" w:eastAsiaTheme="minorEastAsia" w:hAnsi="Times New Roman" w:cs="Times New Roman"/>
          <w:b/>
          <w:bCs/>
          <w:sz w:val="24"/>
          <w:szCs w:val="24"/>
        </w:rPr>
        <w:t>416</w:t>
      </w:r>
      <w:r w:rsidR="0041025C" w:rsidRPr="003A42FB">
        <w:rPr>
          <w:rFonts w:ascii="Times New Roman" w:eastAsiaTheme="minorEastAsia" w:hAnsi="Times New Roman" w:cs="Times New Roman"/>
          <w:b/>
          <w:bCs/>
          <w:sz w:val="24"/>
          <w:szCs w:val="24"/>
        </w:rPr>
        <w:t>-</w:t>
      </w:r>
      <w:r w:rsidR="00E0255F">
        <w:rPr>
          <w:rFonts w:ascii="Times New Roman" w:eastAsiaTheme="minorEastAsia" w:hAnsi="Times New Roman" w:cs="Times New Roman"/>
          <w:b/>
          <w:bCs/>
          <w:sz w:val="24"/>
          <w:szCs w:val="24"/>
        </w:rPr>
        <w:t>427</w:t>
      </w:r>
    </w:p>
    <w:p w14:paraId="12C3CB7D" w14:textId="1CACE730" w:rsidR="008662BA" w:rsidRPr="003A42FB" w:rsidRDefault="008662B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Prezes UKE jest również organem uprawnionym do kontroli znajdujących się w obrocie lub oddanych do użytku wyrobów. Projektowana ustawa wymienia tu rozporządzenia Komisji Europejskiej, w zakresie których </w:t>
      </w:r>
      <w:r w:rsidR="003C2A8D" w:rsidRPr="003A42FB">
        <w:rPr>
          <w:rFonts w:ascii="Times New Roman" w:eastAsiaTheme="minorEastAsia" w:hAnsi="Times New Roman" w:cs="Times New Roman"/>
          <w:sz w:val="24"/>
          <w:szCs w:val="24"/>
        </w:rPr>
        <w:t>właściwy</w:t>
      </w:r>
      <w:r w:rsidR="00850100" w:rsidRPr="003A42FB">
        <w:rPr>
          <w:rFonts w:ascii="Times New Roman" w:eastAsiaTheme="minorEastAsia" w:hAnsi="Times New Roman" w:cs="Times New Roman"/>
          <w:sz w:val="24"/>
          <w:szCs w:val="24"/>
        </w:rPr>
        <w:t xml:space="preserve"> jest Prezes UKE i które stanowią środek wykonawczy do dyrektywy </w:t>
      </w:r>
      <w:r w:rsidR="00D755CE" w:rsidRPr="003A42FB">
        <w:rPr>
          <w:rFonts w:ascii="Times New Roman" w:eastAsiaTheme="minorEastAsia" w:hAnsi="Times New Roman" w:cs="Times New Roman"/>
          <w:sz w:val="24"/>
          <w:szCs w:val="24"/>
        </w:rPr>
        <w:t>2005/32/WE Parlamentu Europejskiego i Rady z dn</w:t>
      </w:r>
      <w:r w:rsidR="00673879" w:rsidRPr="003A42FB">
        <w:rPr>
          <w:rFonts w:ascii="Times New Roman" w:eastAsiaTheme="minorEastAsia" w:hAnsi="Times New Roman" w:cs="Times New Roman"/>
          <w:sz w:val="24"/>
          <w:szCs w:val="24"/>
        </w:rPr>
        <w:t>ia 6 lipca 2005 r. ustanawiającej</w:t>
      </w:r>
      <w:r w:rsidR="00D755CE" w:rsidRPr="003A42FB">
        <w:rPr>
          <w:rFonts w:ascii="Times New Roman" w:eastAsiaTheme="minorEastAsia" w:hAnsi="Times New Roman" w:cs="Times New Roman"/>
          <w:sz w:val="24"/>
          <w:szCs w:val="24"/>
        </w:rPr>
        <w:t xml:space="preserve"> ogólne zasady ustalania wymogów dotyczących ekoprojektu dla produktów wykorzystujących energię</w:t>
      </w:r>
      <w:r w:rsidR="00673879" w:rsidRPr="003A42FB">
        <w:rPr>
          <w:rFonts w:ascii="Times New Roman" w:eastAsiaTheme="minorEastAsia" w:hAnsi="Times New Roman" w:cs="Times New Roman"/>
          <w:sz w:val="24"/>
          <w:szCs w:val="24"/>
        </w:rPr>
        <w:t xml:space="preserve"> oraz dyrektywy Parlamentu Europejskiego i Rady 2009/125/WE z dnia 21 października 2009 r. ustanawiając</w:t>
      </w:r>
      <w:r w:rsidR="6AC1F1C0" w:rsidRPr="003A42FB">
        <w:rPr>
          <w:rFonts w:ascii="Times New Roman" w:eastAsiaTheme="minorEastAsia" w:hAnsi="Times New Roman" w:cs="Times New Roman"/>
          <w:sz w:val="24"/>
          <w:szCs w:val="24"/>
        </w:rPr>
        <w:t>ej</w:t>
      </w:r>
      <w:r w:rsidR="00673879" w:rsidRPr="003A42FB">
        <w:rPr>
          <w:rFonts w:ascii="Times New Roman" w:eastAsiaTheme="minorEastAsia" w:hAnsi="Times New Roman" w:cs="Times New Roman"/>
          <w:sz w:val="24"/>
          <w:szCs w:val="24"/>
        </w:rPr>
        <w:t xml:space="preserve"> ogólne zasady ustalania wymogów dotyczących ekoprojektu dla produktów związanych z energią.</w:t>
      </w:r>
      <w:r w:rsidR="006F1F97" w:rsidRPr="003A42FB">
        <w:rPr>
          <w:rFonts w:ascii="Times New Roman" w:eastAsiaTheme="minorEastAsia" w:hAnsi="Times New Roman" w:cs="Times New Roman"/>
          <w:sz w:val="24"/>
          <w:szCs w:val="24"/>
        </w:rPr>
        <w:t xml:space="preserve"> Prezes UKE posiada również kompetencje w zakresie kontroli produktów wykorzystujących energię i znakowania efektywności energetycznej, a także kontroli aparatury.</w:t>
      </w:r>
      <w:r w:rsidR="00CF3E66" w:rsidRPr="003A42FB">
        <w:rPr>
          <w:rFonts w:ascii="Times New Roman" w:eastAsiaTheme="minorEastAsia" w:hAnsi="Times New Roman" w:cs="Times New Roman"/>
          <w:sz w:val="24"/>
          <w:szCs w:val="24"/>
        </w:rPr>
        <w:t xml:space="preserve"> </w:t>
      </w:r>
      <w:r w:rsidR="00240DB1" w:rsidRPr="003A42FB">
        <w:rPr>
          <w:rFonts w:ascii="Times New Roman" w:eastAsiaTheme="minorEastAsia" w:hAnsi="Times New Roman" w:cs="Times New Roman"/>
          <w:sz w:val="24"/>
          <w:szCs w:val="24"/>
        </w:rPr>
        <w:t xml:space="preserve">Projektowane przepisy w powyższym zakresie zawierają aktualizację katalogu aktów unijnych, </w:t>
      </w:r>
      <w:r w:rsidR="37EA4AAE" w:rsidRPr="003A42FB">
        <w:rPr>
          <w:rFonts w:ascii="Times New Roman" w:eastAsiaTheme="minorEastAsia" w:hAnsi="Times New Roman" w:cs="Times New Roman"/>
          <w:sz w:val="24"/>
          <w:szCs w:val="24"/>
        </w:rPr>
        <w:t xml:space="preserve">który zawarty był również w ustawie Pt, </w:t>
      </w:r>
      <w:r w:rsidR="00240DB1" w:rsidRPr="003A42FB">
        <w:rPr>
          <w:rFonts w:ascii="Times New Roman" w:eastAsiaTheme="minorEastAsia" w:hAnsi="Times New Roman" w:cs="Times New Roman"/>
          <w:sz w:val="24"/>
          <w:szCs w:val="24"/>
        </w:rPr>
        <w:t xml:space="preserve">w odniesieniu do których Prezes UKE posiada uprawnienia kontrolne. </w:t>
      </w:r>
    </w:p>
    <w:p w14:paraId="005C0F6A" w14:textId="7B7CE4AA" w:rsidR="2D0BAE70" w:rsidRPr="003A42FB" w:rsidRDefault="4FDEDC8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Ponadto, Prezes jest organem kontrolującym w rozumieniu przepisów ustawy z dnia 14 września 2012 r. o etykietowaniu energetycznym produktów związanych z energią (Dz. U. z 2020 r. poz. 378 z późn. zm.) i jest uprawniony do kontroli wprowadzanych do obrotu lub oddawanych do użytku produktów związanych z energią. Jest również organem przeprowadzającym kontrolę realizacji programu znakowania efektywności energetycznej urządzeń biurowych w rozumieniu przepisów ustawy o etykietowaniu energetycznym produktów związanych z energią i jest uprawniony do kontroli realizacji programu znakowania efektywności energetycznej urządzeń biurowych.</w:t>
      </w:r>
    </w:p>
    <w:p w14:paraId="1E4A2DF5" w14:textId="707C8B98" w:rsidR="00287011" w:rsidRPr="003A42FB" w:rsidRDefault="00287011"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celu zapewnienia </w:t>
      </w:r>
      <w:r w:rsidR="00DE6EE5" w:rsidRPr="003A42FB">
        <w:rPr>
          <w:rFonts w:ascii="Times New Roman" w:eastAsiaTheme="minorEastAsia" w:hAnsi="Times New Roman" w:cs="Times New Roman"/>
          <w:sz w:val="24"/>
          <w:szCs w:val="24"/>
        </w:rPr>
        <w:t xml:space="preserve">pewności prawnej i rzetelności przeprowadzenia kontroli utrzymano </w:t>
      </w:r>
      <w:r w:rsidR="457AA922" w:rsidRPr="003A42FB">
        <w:rPr>
          <w:rFonts w:ascii="Times New Roman" w:eastAsiaTheme="minorEastAsia" w:hAnsi="Times New Roman" w:cs="Times New Roman"/>
          <w:sz w:val="24"/>
          <w:szCs w:val="24"/>
        </w:rPr>
        <w:t xml:space="preserve">zawarte w ustawie Pt </w:t>
      </w:r>
      <w:r w:rsidR="00DE6EE5" w:rsidRPr="003A42FB">
        <w:rPr>
          <w:rFonts w:ascii="Times New Roman" w:eastAsiaTheme="minorEastAsia" w:hAnsi="Times New Roman" w:cs="Times New Roman"/>
          <w:sz w:val="24"/>
          <w:szCs w:val="24"/>
        </w:rPr>
        <w:t>regulacje wymagające, aby kontrole przeprowadzali co do zasady pracownicy UKE (a zatem osoby pozostające w stosunku pracy) po okazaniu legitymacji służbowej oraz doręczeniu upoważnienia do przeprowadzenia kontroli. Minister właściwy do spraw informatyzacji okr</w:t>
      </w:r>
      <w:r w:rsidR="00EB5232" w:rsidRPr="003A42FB">
        <w:rPr>
          <w:rFonts w:ascii="Times New Roman" w:eastAsiaTheme="minorEastAsia" w:hAnsi="Times New Roman" w:cs="Times New Roman"/>
          <w:sz w:val="24"/>
          <w:szCs w:val="24"/>
        </w:rPr>
        <w:t>eśli przy tym wzór legitymacji.</w:t>
      </w:r>
      <w:r w:rsidR="00DE6EE5" w:rsidRPr="003A42FB">
        <w:rPr>
          <w:rFonts w:ascii="Times New Roman" w:eastAsiaTheme="minorEastAsia" w:hAnsi="Times New Roman" w:cs="Times New Roman"/>
          <w:sz w:val="24"/>
          <w:szCs w:val="24"/>
        </w:rPr>
        <w:t xml:space="preserve"> </w:t>
      </w:r>
    </w:p>
    <w:p w14:paraId="06B328BB" w14:textId="3043C481" w:rsidR="00EB5232" w:rsidRPr="003A42FB" w:rsidRDefault="00EB5232"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Projektowana ustawa </w:t>
      </w:r>
      <w:r w:rsidR="3A2B7E3B" w:rsidRPr="003A42FB">
        <w:rPr>
          <w:rFonts w:ascii="Times New Roman" w:eastAsiaTheme="minorEastAsia" w:hAnsi="Times New Roman" w:cs="Times New Roman"/>
          <w:sz w:val="24"/>
          <w:szCs w:val="24"/>
        </w:rPr>
        <w:t>przewiduje wprowadzenie now</w:t>
      </w:r>
      <w:r w:rsidR="1977D55E" w:rsidRPr="003A42FB">
        <w:rPr>
          <w:rFonts w:ascii="Times New Roman" w:eastAsiaTheme="minorEastAsia" w:hAnsi="Times New Roman" w:cs="Times New Roman"/>
          <w:sz w:val="24"/>
          <w:szCs w:val="24"/>
        </w:rPr>
        <w:t>ej</w:t>
      </w:r>
      <w:r w:rsidR="3A2B7E3B" w:rsidRPr="003A42FB">
        <w:rPr>
          <w:rFonts w:ascii="Times New Roman" w:eastAsiaTheme="minorEastAsia" w:hAnsi="Times New Roman" w:cs="Times New Roman"/>
          <w:sz w:val="24"/>
          <w:szCs w:val="24"/>
        </w:rPr>
        <w:t xml:space="preserve"> regulacji</w:t>
      </w:r>
      <w:r w:rsidRPr="003A42FB">
        <w:rPr>
          <w:rFonts w:ascii="Times New Roman" w:eastAsiaTheme="minorEastAsia" w:hAnsi="Times New Roman" w:cs="Times New Roman"/>
          <w:sz w:val="24"/>
          <w:szCs w:val="24"/>
        </w:rPr>
        <w:t xml:space="preserve"> </w:t>
      </w:r>
      <w:r w:rsidR="006A33C7" w:rsidRPr="003A42FB">
        <w:rPr>
          <w:rFonts w:ascii="Times New Roman" w:eastAsiaTheme="minorEastAsia" w:hAnsi="Times New Roman" w:cs="Times New Roman"/>
          <w:sz w:val="24"/>
          <w:szCs w:val="24"/>
        </w:rPr>
        <w:t>dotycząc</w:t>
      </w:r>
      <w:r w:rsidR="6D4BC722" w:rsidRPr="003A42FB">
        <w:rPr>
          <w:rFonts w:ascii="Times New Roman" w:eastAsiaTheme="minorEastAsia" w:hAnsi="Times New Roman" w:cs="Times New Roman"/>
          <w:sz w:val="24"/>
          <w:szCs w:val="24"/>
        </w:rPr>
        <w:t>ej</w:t>
      </w:r>
      <w:r w:rsidR="00E507A0" w:rsidRPr="003A42FB">
        <w:rPr>
          <w:rFonts w:ascii="Times New Roman" w:eastAsiaTheme="minorEastAsia" w:hAnsi="Times New Roman" w:cs="Times New Roman"/>
          <w:sz w:val="24"/>
          <w:szCs w:val="24"/>
        </w:rPr>
        <w:t>,</w:t>
      </w:r>
      <w:r w:rsidR="006A33C7" w:rsidRPr="003A42FB">
        <w:rPr>
          <w:rFonts w:ascii="Times New Roman" w:eastAsiaTheme="minorEastAsia" w:hAnsi="Times New Roman" w:cs="Times New Roman"/>
          <w:sz w:val="24"/>
          <w:szCs w:val="24"/>
        </w:rPr>
        <w:t xml:space="preserve"> </w:t>
      </w:r>
      <w:r w:rsidR="00E507A0" w:rsidRPr="003A42FB">
        <w:rPr>
          <w:rFonts w:ascii="Times New Roman" w:eastAsiaTheme="minorEastAsia" w:hAnsi="Times New Roman" w:cs="Times New Roman"/>
          <w:sz w:val="24"/>
          <w:szCs w:val="24"/>
        </w:rPr>
        <w:t xml:space="preserve">wymagającej podjęcia niezwłocznych działań, </w:t>
      </w:r>
      <w:r w:rsidR="006A33C7" w:rsidRPr="003A42FB">
        <w:rPr>
          <w:rFonts w:ascii="Times New Roman" w:eastAsiaTheme="minorEastAsia" w:hAnsi="Times New Roman" w:cs="Times New Roman"/>
          <w:sz w:val="24"/>
          <w:szCs w:val="24"/>
        </w:rPr>
        <w:t xml:space="preserve">kontroli </w:t>
      </w:r>
      <w:r w:rsidR="000D404D" w:rsidRPr="003A42FB">
        <w:rPr>
          <w:rFonts w:ascii="Times New Roman" w:eastAsiaTheme="minorEastAsia" w:hAnsi="Times New Roman" w:cs="Times New Roman"/>
          <w:sz w:val="24"/>
          <w:szCs w:val="24"/>
        </w:rPr>
        <w:t xml:space="preserve">u osoby fizycznej. W takich sytuacjach bowiem powinno być dopuszczalne rozpoczęcie kontroli jedynie po okazaniu legitymacji służbowej, natomiast </w:t>
      </w:r>
      <w:r w:rsidR="00CE71B5" w:rsidRPr="003A42FB">
        <w:rPr>
          <w:rFonts w:ascii="Times New Roman" w:eastAsiaTheme="minorEastAsia" w:hAnsi="Times New Roman" w:cs="Times New Roman"/>
          <w:sz w:val="24"/>
          <w:szCs w:val="24"/>
        </w:rPr>
        <w:t>upoważnienie do przeprowadzenia</w:t>
      </w:r>
      <w:r w:rsidR="00E507A0" w:rsidRPr="003A42FB">
        <w:rPr>
          <w:rFonts w:ascii="Times New Roman" w:eastAsiaTheme="minorEastAsia" w:hAnsi="Times New Roman" w:cs="Times New Roman"/>
          <w:sz w:val="24"/>
          <w:szCs w:val="24"/>
        </w:rPr>
        <w:t xml:space="preserve"> kontroli</w:t>
      </w:r>
      <w:r w:rsidR="00CE71B5" w:rsidRPr="003A42FB">
        <w:rPr>
          <w:rFonts w:ascii="Times New Roman" w:eastAsiaTheme="minorEastAsia" w:hAnsi="Times New Roman" w:cs="Times New Roman"/>
          <w:sz w:val="24"/>
          <w:szCs w:val="24"/>
        </w:rPr>
        <w:t xml:space="preserve"> będzie można doręczyć w terminie t</w:t>
      </w:r>
      <w:r w:rsidR="00E507A0" w:rsidRPr="003A42FB">
        <w:rPr>
          <w:rFonts w:ascii="Times New Roman" w:eastAsiaTheme="minorEastAsia" w:hAnsi="Times New Roman" w:cs="Times New Roman"/>
          <w:sz w:val="24"/>
          <w:szCs w:val="24"/>
        </w:rPr>
        <w:t xml:space="preserve">rzech </w:t>
      </w:r>
      <w:r w:rsidR="00E507A0" w:rsidRPr="003A42FB">
        <w:rPr>
          <w:rFonts w:ascii="Times New Roman" w:eastAsiaTheme="minorEastAsia" w:hAnsi="Times New Roman" w:cs="Times New Roman"/>
          <w:sz w:val="24"/>
          <w:szCs w:val="24"/>
        </w:rPr>
        <w:lastRenderedPageBreak/>
        <w:t>dni od podjęcia kontroli. Określono również elementy upoważnienia do przeprowadzenia kontroli osoby fizycznej</w:t>
      </w:r>
      <w:r w:rsidR="00FF305C" w:rsidRPr="003A42FB">
        <w:rPr>
          <w:rFonts w:ascii="Times New Roman" w:eastAsiaTheme="minorEastAsia" w:hAnsi="Times New Roman" w:cs="Times New Roman"/>
          <w:sz w:val="24"/>
          <w:szCs w:val="24"/>
        </w:rPr>
        <w:t xml:space="preserve"> wzorowane na analogicznym katalogu z art. 49 ust. 7 ustawy – Prawo przedsiębiorców.</w:t>
      </w:r>
      <w:r w:rsidR="00DE6EE5" w:rsidRPr="003A42FB">
        <w:rPr>
          <w:rFonts w:ascii="Times New Roman" w:eastAsiaTheme="minorEastAsia" w:hAnsi="Times New Roman" w:cs="Times New Roman"/>
          <w:sz w:val="24"/>
          <w:szCs w:val="24"/>
        </w:rPr>
        <w:t xml:space="preserve"> </w:t>
      </w:r>
      <w:r w:rsidR="1F0D7113" w:rsidRPr="003A42FB">
        <w:rPr>
          <w:rFonts w:ascii="Times New Roman" w:eastAsiaTheme="minorEastAsia" w:hAnsi="Times New Roman" w:cs="Times New Roman"/>
          <w:sz w:val="24"/>
          <w:szCs w:val="24"/>
        </w:rPr>
        <w:t xml:space="preserve">Należy podkreślić, że </w:t>
      </w:r>
      <w:r w:rsidR="1F6ACBD6" w:rsidRPr="003A42FB">
        <w:rPr>
          <w:rFonts w:ascii="Times New Roman" w:eastAsiaTheme="minorEastAsia" w:hAnsi="Times New Roman" w:cs="Times New Roman"/>
          <w:sz w:val="24"/>
          <w:szCs w:val="24"/>
        </w:rPr>
        <w:t xml:space="preserve">przepis ten będzie dotyczył </w:t>
      </w:r>
      <w:r w:rsidR="1F0D7113" w:rsidRPr="003A42FB">
        <w:rPr>
          <w:rFonts w:ascii="Times New Roman" w:eastAsiaTheme="minorEastAsia" w:hAnsi="Times New Roman" w:cs="Times New Roman"/>
          <w:sz w:val="24"/>
          <w:szCs w:val="24"/>
        </w:rPr>
        <w:t>kontrol</w:t>
      </w:r>
      <w:r w:rsidR="3D6F0C38" w:rsidRPr="003A42FB">
        <w:rPr>
          <w:rFonts w:ascii="Times New Roman" w:eastAsiaTheme="minorEastAsia" w:hAnsi="Times New Roman" w:cs="Times New Roman"/>
          <w:sz w:val="24"/>
          <w:szCs w:val="24"/>
        </w:rPr>
        <w:t xml:space="preserve">i w zakresie, który nie obejmuje prowadzonej przez tę osobę działalności gospodarczej. Przepis został </w:t>
      </w:r>
      <w:r w:rsidR="20A69E02" w:rsidRPr="003A42FB">
        <w:rPr>
          <w:rFonts w:ascii="Times New Roman" w:eastAsiaTheme="minorEastAsia" w:hAnsi="Times New Roman" w:cs="Times New Roman"/>
          <w:sz w:val="24"/>
          <w:szCs w:val="24"/>
        </w:rPr>
        <w:t>wprowadzony, gdyż istnieje potrzeba szybkiego</w:t>
      </w:r>
      <w:r w:rsidR="4A2A382A" w:rsidRPr="003A42FB">
        <w:rPr>
          <w:rFonts w:ascii="Times New Roman" w:eastAsiaTheme="minorEastAsia" w:hAnsi="Times New Roman" w:cs="Times New Roman"/>
          <w:sz w:val="24"/>
          <w:szCs w:val="24"/>
        </w:rPr>
        <w:t xml:space="preserve"> reagowania </w:t>
      </w:r>
      <w:r w:rsidR="753C9CF0" w:rsidRPr="003A42FB">
        <w:rPr>
          <w:rFonts w:ascii="Times New Roman" w:eastAsiaTheme="minorEastAsia" w:hAnsi="Times New Roman" w:cs="Times New Roman"/>
          <w:sz w:val="24"/>
          <w:szCs w:val="24"/>
        </w:rPr>
        <w:t xml:space="preserve">UKE </w:t>
      </w:r>
      <w:r w:rsidR="4A2A382A" w:rsidRPr="003A42FB">
        <w:rPr>
          <w:rFonts w:ascii="Times New Roman" w:eastAsiaTheme="minorEastAsia" w:hAnsi="Times New Roman" w:cs="Times New Roman"/>
          <w:sz w:val="24"/>
          <w:szCs w:val="24"/>
        </w:rPr>
        <w:t>w sytuacj</w:t>
      </w:r>
      <w:r w:rsidR="20C4C4AA" w:rsidRPr="003A42FB">
        <w:rPr>
          <w:rFonts w:ascii="Times New Roman" w:eastAsiaTheme="minorEastAsia" w:hAnsi="Times New Roman" w:cs="Times New Roman"/>
          <w:sz w:val="24"/>
          <w:szCs w:val="24"/>
        </w:rPr>
        <w:t xml:space="preserve">ach używania przez osoby fizyczne urządzeń powodujących zakłócenia, czy </w:t>
      </w:r>
      <w:r w:rsidR="0BF78A0E" w:rsidRPr="003A42FB">
        <w:rPr>
          <w:rFonts w:ascii="Times New Roman" w:eastAsiaTheme="minorEastAsia" w:hAnsi="Times New Roman" w:cs="Times New Roman"/>
          <w:sz w:val="24"/>
          <w:szCs w:val="24"/>
        </w:rPr>
        <w:t>dopuszczania się przez takie osoby oszustw czy nadużyć.</w:t>
      </w:r>
    </w:p>
    <w:p w14:paraId="0B67EFFD" w14:textId="3B35C974" w:rsidR="00D363C6" w:rsidRPr="003A42FB" w:rsidRDefault="00D363C6" w:rsidP="00C53EAB">
      <w:pPr>
        <w:spacing w:after="120" w:line="240" w:lineRule="auto"/>
        <w:jc w:val="both"/>
        <w:rPr>
          <w:rStyle w:val="articletitle"/>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 kontroli działalności gospodarczej przedsiębiorcy będzie, tak jak dotychczas, stosowany rozdział 5 ustawy – Prawo przedsiębiorców dotyczący ograniczeń</w:t>
      </w:r>
      <w:r w:rsidR="00491353" w:rsidRPr="003A42FB">
        <w:rPr>
          <w:rFonts w:ascii="Times New Roman" w:eastAsiaTheme="minorEastAsia" w:hAnsi="Times New Roman" w:cs="Times New Roman"/>
          <w:sz w:val="24"/>
          <w:szCs w:val="24"/>
        </w:rPr>
        <w:t xml:space="preserve"> kontroli. Rozdział ten określa m.in. </w:t>
      </w:r>
      <w:r w:rsidR="00491353" w:rsidRPr="003A42FB">
        <w:rPr>
          <w:rStyle w:val="highlight-disabled"/>
          <w:rFonts w:ascii="Times New Roman" w:eastAsiaTheme="minorEastAsia" w:hAnsi="Times New Roman" w:cs="Times New Roman"/>
          <w:sz w:val="24"/>
          <w:szCs w:val="24"/>
        </w:rPr>
        <w:t>prawo</w:t>
      </w:r>
      <w:r w:rsidR="00491353" w:rsidRPr="003A42FB">
        <w:rPr>
          <w:rStyle w:val="articletitle"/>
          <w:rFonts w:ascii="Times New Roman" w:eastAsiaTheme="minorEastAsia" w:hAnsi="Times New Roman" w:cs="Times New Roman"/>
          <w:sz w:val="24"/>
          <w:szCs w:val="24"/>
        </w:rPr>
        <w:t xml:space="preserve"> do odszkodowania za szkodę na skutek przeprowadzenia czynności kontrolnych z naruszeniem przepisów, reguły planowania kontroli, </w:t>
      </w:r>
      <w:r w:rsidR="003928B6" w:rsidRPr="003A42FB">
        <w:rPr>
          <w:rStyle w:val="articletitle"/>
          <w:rFonts w:ascii="Times New Roman" w:eastAsiaTheme="minorEastAsia" w:hAnsi="Times New Roman" w:cs="Times New Roman"/>
          <w:sz w:val="24"/>
          <w:szCs w:val="24"/>
        </w:rPr>
        <w:t>reguły uprzedniego powiadomienia przedsiębiorcy o kontroli. W tym ostatnim aspekcie</w:t>
      </w:r>
      <w:r w:rsidR="00155E13" w:rsidRPr="003A42FB">
        <w:rPr>
          <w:rStyle w:val="articletitle"/>
          <w:rFonts w:ascii="Times New Roman" w:eastAsiaTheme="minorEastAsia" w:hAnsi="Times New Roman" w:cs="Times New Roman"/>
          <w:sz w:val="24"/>
          <w:szCs w:val="24"/>
        </w:rPr>
        <w:t xml:space="preserve"> należy wskazać, że art. 48 ust. 11 ustawy – Prawo przedsiębiorców wymienione zostały przypadki, do których obowiązku zawiadomienia o zamiarze wszczęcia kontroli nie dokonuje się. Zasadne jest wyłączenie tego obowiązku również w przypadku </w:t>
      </w:r>
      <w:r w:rsidR="008919B7" w:rsidRPr="003A42FB">
        <w:rPr>
          <w:rStyle w:val="articletitle"/>
          <w:rFonts w:ascii="Times New Roman" w:eastAsiaTheme="minorEastAsia" w:hAnsi="Times New Roman" w:cs="Times New Roman"/>
          <w:sz w:val="24"/>
          <w:szCs w:val="24"/>
        </w:rPr>
        <w:t>kontroli przeprowadzanej przez Prezesa UKE, tak aby umożliwić s</w:t>
      </w:r>
      <w:r w:rsidR="00A462CB" w:rsidRPr="003A42FB">
        <w:rPr>
          <w:rStyle w:val="articletitle"/>
          <w:rFonts w:ascii="Times New Roman" w:eastAsiaTheme="minorEastAsia" w:hAnsi="Times New Roman" w:cs="Times New Roman"/>
          <w:sz w:val="24"/>
          <w:szCs w:val="24"/>
        </w:rPr>
        <w:t xml:space="preserve">prawne przeprowadzanie kontroli. Wyłączenie to znajdzie się w </w:t>
      </w:r>
      <w:r w:rsidR="0019361A" w:rsidRPr="003A42FB">
        <w:rPr>
          <w:rFonts w:ascii="Times New Roman" w:eastAsiaTheme="minorEastAsia" w:hAnsi="Times New Roman" w:cs="Times New Roman"/>
          <w:sz w:val="24"/>
          <w:szCs w:val="24"/>
        </w:rPr>
        <w:t xml:space="preserve">ustawie wprowadzającej ustawę –  Prawo </w:t>
      </w:r>
      <w:r w:rsidR="7525C274" w:rsidRPr="003A42FB">
        <w:rPr>
          <w:rStyle w:val="articletitle"/>
          <w:rFonts w:ascii="Times New Roman" w:eastAsiaTheme="minorEastAsia" w:hAnsi="Times New Roman" w:cs="Times New Roman"/>
          <w:sz w:val="24"/>
          <w:szCs w:val="24"/>
        </w:rPr>
        <w:t xml:space="preserve"> komunikacji elektronicznej.</w:t>
      </w:r>
    </w:p>
    <w:p w14:paraId="2E0A2CAE" w14:textId="329BCBDE" w:rsidR="000D404D" w:rsidRPr="003A42FB" w:rsidRDefault="00DE6EE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Ze względu na potrzebę zapewnienia efektywności, sprawności </w:t>
      </w:r>
      <w:r w:rsidR="006D1401" w:rsidRPr="003A42FB">
        <w:rPr>
          <w:rFonts w:ascii="Times New Roman" w:eastAsiaTheme="minorEastAsia" w:hAnsi="Times New Roman" w:cs="Times New Roman"/>
          <w:sz w:val="24"/>
          <w:szCs w:val="24"/>
        </w:rPr>
        <w:t>przeprowadzania kontroli</w:t>
      </w:r>
      <w:r w:rsidR="00A47296" w:rsidRPr="003A42FB">
        <w:rPr>
          <w:rFonts w:ascii="Times New Roman" w:eastAsiaTheme="minorEastAsia" w:hAnsi="Times New Roman" w:cs="Times New Roman"/>
          <w:sz w:val="24"/>
          <w:szCs w:val="24"/>
        </w:rPr>
        <w:t xml:space="preserve">, w szczególności w przypadku czynności wymagających eksperckiej wiedzy, utrzymano regulację dopuszczającą udział w czynnościach kontrolnych również innych osób – posiadających wiedzę specjalistyczną, które nie są pracownikami UKE. Osoby takie będą musiały również dysponować upoważnieniem udzielonym przez Prezesa UKE. </w:t>
      </w:r>
    </w:p>
    <w:p w14:paraId="0588D045" w14:textId="77777777" w:rsidR="009521ED" w:rsidRPr="003A42FB" w:rsidRDefault="009521E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Projektowane przepisy na wzór dotychczasowych regulacji zawierają katalog czynności, do których przeprowadzający kontrolę jest upoważniony. Są to uprawnienia w szczególności dotyczące dostępu do materiałów, dokumentów, wstępu do obiektów, nieruchomości, </w:t>
      </w:r>
      <w:r w:rsidR="0027212A" w:rsidRPr="003A42FB">
        <w:rPr>
          <w:rFonts w:ascii="Times New Roman" w:eastAsiaTheme="minorEastAsia" w:hAnsi="Times New Roman" w:cs="Times New Roman"/>
          <w:sz w:val="24"/>
          <w:szCs w:val="24"/>
        </w:rPr>
        <w:t>nieodpłatnego pobierania próbek, wykonywania czynności kontrolno-pomiarowych.</w:t>
      </w:r>
      <w:r w:rsidR="001519F9" w:rsidRPr="003A42FB">
        <w:rPr>
          <w:rFonts w:ascii="Times New Roman" w:eastAsiaTheme="minorEastAsia" w:hAnsi="Times New Roman" w:cs="Times New Roman"/>
          <w:sz w:val="24"/>
          <w:szCs w:val="24"/>
        </w:rPr>
        <w:t xml:space="preserve"> Z kontroli sporządza się protokół. </w:t>
      </w:r>
      <w:r w:rsidR="0071228C" w:rsidRPr="003A42FB">
        <w:rPr>
          <w:rFonts w:ascii="Times New Roman" w:eastAsiaTheme="minorEastAsia" w:hAnsi="Times New Roman" w:cs="Times New Roman"/>
          <w:sz w:val="24"/>
          <w:szCs w:val="24"/>
        </w:rPr>
        <w:t xml:space="preserve"> </w:t>
      </w:r>
    </w:p>
    <w:p w14:paraId="619DB693" w14:textId="77777777" w:rsidR="00C17123" w:rsidRPr="003A42FB" w:rsidRDefault="00CF3E66" w:rsidP="7F18E6D1">
      <w:pPr>
        <w:spacing w:after="120" w:line="240" w:lineRule="auto"/>
        <w:jc w:val="both"/>
        <w:rPr>
          <w:rFonts w:ascii="Times New Roman" w:eastAsiaTheme="minorEastAsia" w:hAnsi="Times New Roman" w:cs="Times New Roman"/>
          <w:sz w:val="24"/>
          <w:szCs w:val="24"/>
        </w:rPr>
      </w:pPr>
      <w:r w:rsidRPr="7F18E6D1">
        <w:rPr>
          <w:rFonts w:ascii="Times New Roman" w:eastAsiaTheme="minorEastAsia" w:hAnsi="Times New Roman" w:cs="Times New Roman"/>
          <w:sz w:val="24"/>
          <w:szCs w:val="24"/>
        </w:rPr>
        <w:t xml:space="preserve">Co do zasady kontrola może dotyczyć każdego podmiotu, który jest zobowiązany do przestrzegania przepisów, decyzji i postanowień z zakresu telekomunikacji. </w:t>
      </w:r>
      <w:r w:rsidR="006B1F33" w:rsidRPr="7F18E6D1">
        <w:rPr>
          <w:rFonts w:ascii="Times New Roman" w:eastAsiaTheme="minorEastAsia" w:hAnsi="Times New Roman" w:cs="Times New Roman"/>
          <w:sz w:val="24"/>
          <w:szCs w:val="24"/>
        </w:rPr>
        <w:t>Kontrolę</w:t>
      </w:r>
      <w:r w:rsidRPr="7F18E6D1">
        <w:rPr>
          <w:rFonts w:ascii="Times New Roman" w:eastAsiaTheme="minorEastAsia" w:hAnsi="Times New Roman" w:cs="Times New Roman"/>
          <w:sz w:val="24"/>
          <w:szCs w:val="24"/>
        </w:rPr>
        <w:t xml:space="preserve"> i postępowanie pokontrolne Prezes UKE wszczyna z urzędu. </w:t>
      </w:r>
    </w:p>
    <w:p w14:paraId="2982A623" w14:textId="55D1FE43" w:rsidR="66E92E14" w:rsidRDefault="66E92E14" w:rsidP="7F18E6D1">
      <w:pPr>
        <w:spacing w:after="120" w:line="240" w:lineRule="auto"/>
        <w:jc w:val="both"/>
        <w:rPr>
          <w:rFonts w:ascii="Times New Roman" w:eastAsiaTheme="minorEastAsia" w:hAnsi="Times New Roman" w:cs="Times New Roman"/>
          <w:sz w:val="24"/>
          <w:szCs w:val="24"/>
        </w:rPr>
      </w:pPr>
      <w:r w:rsidRPr="7F18E6D1">
        <w:rPr>
          <w:rFonts w:ascii="Times New Roman" w:eastAsiaTheme="minorEastAsia" w:hAnsi="Times New Roman" w:cs="Times New Roman"/>
          <w:sz w:val="24"/>
          <w:szCs w:val="24"/>
        </w:rPr>
        <w:t xml:space="preserve">Zakres kontroli prowadzonych przez Prezesa UKE dotyczy również szkodliwych zakłóceń elektromagnetycznych wpływających na PRS, w związku z wprowadzeniem do ustawy Pke </w:t>
      </w:r>
      <w:r w:rsidR="4EDB6AEA" w:rsidRPr="7F18E6D1">
        <w:rPr>
          <w:rFonts w:ascii="Times New Roman" w:eastAsiaTheme="minorEastAsia" w:hAnsi="Times New Roman" w:cs="Times New Roman"/>
          <w:sz w:val="24"/>
          <w:szCs w:val="24"/>
        </w:rPr>
        <w:t>przepisów</w:t>
      </w:r>
      <w:r w:rsidRPr="7F18E6D1">
        <w:rPr>
          <w:rFonts w:ascii="Times New Roman" w:eastAsiaTheme="minorEastAsia" w:hAnsi="Times New Roman" w:cs="Times New Roman"/>
          <w:sz w:val="24"/>
          <w:szCs w:val="24"/>
        </w:rPr>
        <w:t xml:space="preserve"> regulujących wykorzystanie tej usługi na terenie Polski.</w:t>
      </w:r>
    </w:p>
    <w:p w14:paraId="4760310B" w14:textId="21C8C662" w:rsidR="5AF01528" w:rsidRPr="003A42FB" w:rsidRDefault="49D3B543" w:rsidP="7F18E6D1">
      <w:pPr>
        <w:spacing w:after="120" w:line="240" w:lineRule="auto"/>
        <w:jc w:val="both"/>
        <w:rPr>
          <w:rFonts w:ascii="Times New Roman" w:eastAsiaTheme="minorEastAsia" w:hAnsi="Times New Roman" w:cs="Times New Roman"/>
          <w:sz w:val="24"/>
          <w:szCs w:val="24"/>
        </w:rPr>
      </w:pPr>
      <w:r w:rsidRPr="7F18E6D1">
        <w:rPr>
          <w:rFonts w:ascii="Times New Roman" w:eastAsiaTheme="minorEastAsia" w:hAnsi="Times New Roman" w:cs="Times New Roman"/>
          <w:sz w:val="24"/>
          <w:szCs w:val="24"/>
        </w:rPr>
        <w:t>Zgodnie z Decyzją PRS, organ odpowiedzialny za korzystanie z PRS zapewnia by ustanowiony został punkt kontaktowy udzielający w razie potrzeby wsparcia w zgłaszaniu wykrytych potencjalnie szkodliwych zakłóceń elektromagnetycznych wpływających na PRS. Biorąc pod uwagę profil działalności UKE oraz narzędzia, którymi może się posługiwać, zasadne jest by to on pełnił rolę ww. punktu kontaktowego. W ramach tego, CPA Polska będzie informować UKE o zidentyfikowanych zakłóceniach na podstawie zgłoszeń otrzymanych z grupowych punktów kontaktowych użytkowników PRS.</w:t>
      </w:r>
    </w:p>
    <w:p w14:paraId="765D9007" w14:textId="2F22EEB1" w:rsidR="00C17123" w:rsidRPr="003A42FB" w:rsidRDefault="00C5299A"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Do kontroli oraz zaleceń pokontrolnych</w:t>
      </w:r>
      <w:r w:rsidR="005622E0" w:rsidRPr="003A42FB">
        <w:rPr>
          <w:rFonts w:ascii="Times New Roman" w:eastAsiaTheme="minorEastAsia" w:hAnsi="Times New Roman" w:cs="Times New Roman"/>
          <w:sz w:val="24"/>
          <w:szCs w:val="24"/>
        </w:rPr>
        <w:t xml:space="preserve"> stosuje się przepisy </w:t>
      </w:r>
      <w:r w:rsidR="70DEFB5A" w:rsidRPr="003A42FB">
        <w:rPr>
          <w:rFonts w:ascii="Times New Roman" w:eastAsiaTheme="minorEastAsia" w:hAnsi="Times New Roman" w:cs="Times New Roman"/>
          <w:sz w:val="24"/>
          <w:szCs w:val="24"/>
        </w:rPr>
        <w:t>rozdziału 8 Działu I</w:t>
      </w:r>
      <w:r w:rsidRPr="003A42FB">
        <w:rPr>
          <w:rFonts w:ascii="Times New Roman" w:eastAsiaTheme="minorEastAsia" w:hAnsi="Times New Roman" w:cs="Times New Roman"/>
          <w:sz w:val="24"/>
          <w:szCs w:val="24"/>
        </w:rPr>
        <w:t xml:space="preserve"> ustawy z dnia 14 czerwca 1960 r. - Kodeksu postępowania administracyjnego. W ten sposób możliwe będzie korzystanie z przyjętych na gruncie kpa rozwiązań dotyczących doręczeń.</w:t>
      </w:r>
    </w:p>
    <w:p w14:paraId="732ADD11" w14:textId="53ACBAAE" w:rsidR="00C17123" w:rsidRPr="003A42FB" w:rsidRDefault="00C17123"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4F3FAD">
        <w:rPr>
          <w:rFonts w:ascii="Times New Roman" w:eastAsiaTheme="minorEastAsia" w:hAnsi="Times New Roman" w:cs="Times New Roman"/>
          <w:b/>
          <w:bCs/>
          <w:sz w:val="24"/>
          <w:szCs w:val="24"/>
        </w:rPr>
        <w:t>428</w:t>
      </w:r>
    </w:p>
    <w:p w14:paraId="08A9962B" w14:textId="447979AB" w:rsidR="00103B20" w:rsidRPr="003A42FB" w:rsidRDefault="2E40700F"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Projektowane przepisy określają skutki stwierdzenia nieprawidłowości w następstwie przeprowadzonej kontroli, tj. możliwość nałożenia kary lub wydanie zaleceń pokontrolnych. </w:t>
      </w:r>
      <w:r w:rsidR="1EF82614" w:rsidRPr="003A42FB">
        <w:rPr>
          <w:rFonts w:ascii="Times New Roman" w:eastAsiaTheme="minorEastAsia" w:hAnsi="Times New Roman" w:cs="Times New Roman"/>
          <w:sz w:val="24"/>
          <w:szCs w:val="24"/>
        </w:rPr>
        <w:lastRenderedPageBreak/>
        <w:t xml:space="preserve">W zaleceniach pokontrolnych Prezes wzywa podmiot kontrolowany do usunięcia nieprawidłowości lub udzielenia wyjaśnień oraz informuje o możliwości przedstawienia stanowiska odnośnie do stwierdzonych naruszeń. Dotychczas obowiązujące przepisy </w:t>
      </w:r>
      <w:r w:rsidR="3B9A9DA5" w:rsidRPr="003A42FB">
        <w:rPr>
          <w:rFonts w:ascii="Times New Roman" w:eastAsiaTheme="minorEastAsia" w:hAnsi="Times New Roman" w:cs="Times New Roman"/>
          <w:sz w:val="24"/>
          <w:szCs w:val="24"/>
        </w:rPr>
        <w:t>Pt</w:t>
      </w:r>
      <w:r w:rsidR="1EF82614" w:rsidRPr="003A42FB">
        <w:rPr>
          <w:rFonts w:ascii="Times New Roman" w:eastAsiaTheme="minorEastAsia" w:hAnsi="Times New Roman" w:cs="Times New Roman"/>
          <w:sz w:val="24"/>
          <w:szCs w:val="24"/>
        </w:rPr>
        <w:t xml:space="preserve"> nie zawierały analogicznego przepisu dotyczącego przedstawienia stanowisk. Projektowana ustawa </w:t>
      </w:r>
      <w:r w:rsidR="43404BD5" w:rsidRPr="003A42FB">
        <w:rPr>
          <w:rFonts w:ascii="Times New Roman" w:eastAsiaTheme="minorEastAsia" w:hAnsi="Times New Roman" w:cs="Times New Roman"/>
          <w:sz w:val="24"/>
          <w:szCs w:val="24"/>
        </w:rPr>
        <w:t>Pke</w:t>
      </w:r>
      <w:r w:rsidR="1EF82614" w:rsidRPr="003A42FB">
        <w:rPr>
          <w:rFonts w:ascii="Times New Roman" w:eastAsiaTheme="minorEastAsia" w:hAnsi="Times New Roman" w:cs="Times New Roman"/>
          <w:sz w:val="24"/>
          <w:szCs w:val="24"/>
        </w:rPr>
        <w:t xml:space="preserve"> w tym zakresie wdraża art. 30 ust. 2 EKŁE, </w:t>
      </w:r>
      <w:r w:rsidR="6F01610D" w:rsidRPr="003A42FB">
        <w:rPr>
          <w:rFonts w:ascii="Times New Roman" w:eastAsiaTheme="minorEastAsia" w:hAnsi="Times New Roman" w:cs="Times New Roman"/>
          <w:sz w:val="24"/>
          <w:szCs w:val="24"/>
        </w:rPr>
        <w:t>z którego</w:t>
      </w:r>
      <w:r w:rsidR="1EF82614" w:rsidRPr="003A42FB">
        <w:rPr>
          <w:rFonts w:ascii="Times New Roman" w:eastAsiaTheme="minorEastAsia" w:hAnsi="Times New Roman" w:cs="Times New Roman"/>
          <w:sz w:val="24"/>
          <w:szCs w:val="24"/>
        </w:rPr>
        <w:t xml:space="preserve"> to przepis</w:t>
      </w:r>
      <w:r w:rsidR="6F01610D" w:rsidRPr="003A42FB">
        <w:rPr>
          <w:rFonts w:ascii="Times New Roman" w:eastAsiaTheme="minorEastAsia" w:hAnsi="Times New Roman" w:cs="Times New Roman"/>
          <w:sz w:val="24"/>
          <w:szCs w:val="24"/>
        </w:rPr>
        <w:t>u wynika,</w:t>
      </w:r>
      <w:r w:rsidR="1EF82614" w:rsidRPr="003A42FB">
        <w:rPr>
          <w:rFonts w:ascii="Times New Roman" w:eastAsiaTheme="minorEastAsia" w:hAnsi="Times New Roman" w:cs="Times New Roman"/>
          <w:sz w:val="24"/>
          <w:szCs w:val="24"/>
        </w:rPr>
        <w:t xml:space="preserve"> że właściwy organ, w przypadku gdy stwierdzi że dane przedsiębiorstwo nie spełnia obowiązków </w:t>
      </w:r>
      <w:r w:rsidR="6F01610D" w:rsidRPr="003A42FB">
        <w:rPr>
          <w:rFonts w:ascii="Times New Roman" w:eastAsiaTheme="minorEastAsia" w:hAnsi="Times New Roman" w:cs="Times New Roman"/>
          <w:sz w:val="24"/>
          <w:szCs w:val="24"/>
        </w:rPr>
        <w:t>(wynikających z wpisu do rejestru przedsiębiorców, prawa użytkowania widma, zasobów numeracyjnych lub innych szczególnych obowiązków wynikających z EKŁE)</w:t>
      </w:r>
      <w:r w:rsidR="1EF82614" w:rsidRPr="003A42FB">
        <w:rPr>
          <w:rFonts w:ascii="Times New Roman" w:eastAsiaTheme="minorEastAsia" w:hAnsi="Times New Roman" w:cs="Times New Roman"/>
          <w:sz w:val="24"/>
          <w:szCs w:val="24"/>
        </w:rPr>
        <w:t xml:space="preserve"> </w:t>
      </w:r>
      <w:r w:rsidR="6F01610D" w:rsidRPr="003A42FB">
        <w:rPr>
          <w:rFonts w:ascii="Times New Roman" w:eastAsiaTheme="minorEastAsia" w:hAnsi="Times New Roman" w:cs="Times New Roman"/>
          <w:sz w:val="24"/>
          <w:szCs w:val="24"/>
        </w:rPr>
        <w:t>powiadamia o tym przedsiębiorstwo i zapewnia mu możliwość wypowiedzenia się w tej kwestii w rozsądnym terminie.</w:t>
      </w:r>
    </w:p>
    <w:p w14:paraId="04AD6D3D" w14:textId="2EBAE52F" w:rsidR="00A75946" w:rsidRPr="003A42FB" w:rsidRDefault="009B64F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Zasadne jest utrzymanie dotychczasowej regulacji,</w:t>
      </w:r>
      <w:r w:rsidR="6C57BEFA" w:rsidRPr="003A42FB">
        <w:rPr>
          <w:rFonts w:ascii="Times New Roman" w:eastAsiaTheme="minorEastAsia" w:hAnsi="Times New Roman" w:cs="Times New Roman"/>
          <w:sz w:val="24"/>
          <w:szCs w:val="24"/>
        </w:rPr>
        <w:t xml:space="preserve"> umożliwiającej</w:t>
      </w:r>
      <w:r w:rsidRPr="003A42FB">
        <w:rPr>
          <w:rFonts w:ascii="Times New Roman" w:eastAsiaTheme="minorEastAsia" w:hAnsi="Times New Roman" w:cs="Times New Roman"/>
          <w:sz w:val="24"/>
          <w:szCs w:val="24"/>
        </w:rPr>
        <w:t xml:space="preserve"> nałożenie kary na podstawie wyników kontroli, a nie dopiero po wydaniu zaleceń pokontrolnych (i braku usunięcia nieprawidłowości </w:t>
      </w:r>
      <w:r w:rsidR="005949F7" w:rsidRPr="003A42FB">
        <w:rPr>
          <w:rFonts w:ascii="Times New Roman" w:eastAsiaTheme="minorEastAsia" w:hAnsi="Times New Roman" w:cs="Times New Roman"/>
          <w:sz w:val="24"/>
          <w:szCs w:val="24"/>
        </w:rPr>
        <w:t xml:space="preserve">wskazanych w zaleceniu). </w:t>
      </w:r>
      <w:r w:rsidR="006B1F33" w:rsidRPr="003A42FB">
        <w:rPr>
          <w:rFonts w:ascii="Times New Roman" w:eastAsiaTheme="minorEastAsia" w:hAnsi="Times New Roman" w:cs="Times New Roman"/>
          <w:sz w:val="24"/>
          <w:szCs w:val="24"/>
        </w:rPr>
        <w:t xml:space="preserve">Przeciwna regulacja mogłaby stanowić zachętę do nieprzestrzegania przepisów, gdyż kara groziłaby dopiero za nieusunięcie nieprawidłowości wykazanych w zaleceniu pokontrolnym. </w:t>
      </w:r>
      <w:r w:rsidR="005949F7" w:rsidRPr="003A42FB">
        <w:rPr>
          <w:rFonts w:ascii="Times New Roman" w:eastAsiaTheme="minorEastAsia" w:hAnsi="Times New Roman" w:cs="Times New Roman"/>
          <w:sz w:val="24"/>
          <w:szCs w:val="24"/>
        </w:rPr>
        <w:t xml:space="preserve">Nie zdecydowano się </w:t>
      </w:r>
      <w:r w:rsidR="006B1F33" w:rsidRPr="003A42FB">
        <w:rPr>
          <w:rFonts w:ascii="Times New Roman" w:eastAsiaTheme="minorEastAsia" w:hAnsi="Times New Roman" w:cs="Times New Roman"/>
          <w:sz w:val="24"/>
          <w:szCs w:val="24"/>
        </w:rPr>
        <w:t xml:space="preserve">jednak </w:t>
      </w:r>
      <w:r w:rsidR="005949F7" w:rsidRPr="003A42FB">
        <w:rPr>
          <w:rFonts w:ascii="Times New Roman" w:eastAsiaTheme="minorEastAsia" w:hAnsi="Times New Roman" w:cs="Times New Roman"/>
          <w:sz w:val="24"/>
          <w:szCs w:val="24"/>
        </w:rPr>
        <w:t>na automatyczne nakładanie kary p</w:t>
      </w:r>
      <w:r w:rsidR="006B1F33" w:rsidRPr="003A42FB">
        <w:rPr>
          <w:rFonts w:ascii="Times New Roman" w:eastAsiaTheme="minorEastAsia" w:hAnsi="Times New Roman" w:cs="Times New Roman"/>
          <w:sz w:val="24"/>
          <w:szCs w:val="24"/>
        </w:rPr>
        <w:t>o</w:t>
      </w:r>
      <w:r w:rsidR="005949F7" w:rsidRPr="003A42FB">
        <w:rPr>
          <w:rFonts w:ascii="Times New Roman" w:eastAsiaTheme="minorEastAsia" w:hAnsi="Times New Roman" w:cs="Times New Roman"/>
          <w:sz w:val="24"/>
          <w:szCs w:val="24"/>
        </w:rPr>
        <w:t xml:space="preserve"> stwierdzeniu naruszenia, pozostawiając wybór środka </w:t>
      </w:r>
      <w:r w:rsidR="006B1F33" w:rsidRPr="003A42FB">
        <w:rPr>
          <w:rFonts w:ascii="Times New Roman" w:eastAsiaTheme="minorEastAsia" w:hAnsi="Times New Roman" w:cs="Times New Roman"/>
          <w:sz w:val="24"/>
          <w:szCs w:val="24"/>
        </w:rPr>
        <w:t xml:space="preserve">– nałożenie kary lub wydanie zaleceń pokontrolnych - </w:t>
      </w:r>
      <w:r w:rsidR="005949F7" w:rsidRPr="003A42FB">
        <w:rPr>
          <w:rFonts w:ascii="Times New Roman" w:eastAsiaTheme="minorEastAsia" w:hAnsi="Times New Roman" w:cs="Times New Roman"/>
          <w:sz w:val="24"/>
          <w:szCs w:val="24"/>
        </w:rPr>
        <w:t xml:space="preserve">do decyzji Prezesa UKE. Należy przy tym podkreślić, iż </w:t>
      </w:r>
      <w:r w:rsidR="006B1F33" w:rsidRPr="003A42FB">
        <w:rPr>
          <w:rFonts w:ascii="Times New Roman" w:eastAsiaTheme="minorEastAsia" w:hAnsi="Times New Roman" w:cs="Times New Roman"/>
          <w:sz w:val="24"/>
          <w:szCs w:val="24"/>
        </w:rPr>
        <w:t>Prezes UKE może również nakładać kary – w przypadku gdy nie przeprowadzono kontroli a naruszenie wykazano w inny sposób.</w:t>
      </w:r>
    </w:p>
    <w:p w14:paraId="1E540682" w14:textId="17147F8B" w:rsidR="00060834" w:rsidRPr="003A42FB" w:rsidRDefault="009C5C87" w:rsidP="00C53EAB">
      <w:pPr>
        <w:pStyle w:val="USTustnpkodeksu"/>
        <w:spacing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Projektowane przepisy </w:t>
      </w:r>
      <w:r w:rsidR="00C90BC1" w:rsidRPr="003A42FB">
        <w:rPr>
          <w:rFonts w:ascii="Times New Roman" w:hAnsi="Times New Roman" w:cs="Times New Roman"/>
          <w:szCs w:val="24"/>
        </w:rPr>
        <w:t>wskazują, iż Prezes UKE w zaleceniach pokontrolnych będzie wskazywał termin na usunięcie nieprawidłowości lub udzielenie wyjaśnień</w:t>
      </w:r>
      <w:r w:rsidR="008539F3" w:rsidRPr="003A42FB">
        <w:rPr>
          <w:rFonts w:ascii="Times New Roman" w:hAnsi="Times New Roman" w:cs="Times New Roman"/>
          <w:szCs w:val="24"/>
        </w:rPr>
        <w:t>, który co do zasady nie może być krótszy niż 30 dni</w:t>
      </w:r>
      <w:r w:rsidR="002641F6" w:rsidRPr="003A42FB">
        <w:rPr>
          <w:rFonts w:ascii="Times New Roman" w:hAnsi="Times New Roman" w:cs="Times New Roman"/>
          <w:szCs w:val="24"/>
        </w:rPr>
        <w:t xml:space="preserve"> (wyjątkiem są sytuacje gdy podm</w:t>
      </w:r>
      <w:r w:rsidR="00677E20" w:rsidRPr="003A42FB">
        <w:rPr>
          <w:rFonts w:ascii="Times New Roman" w:hAnsi="Times New Roman" w:cs="Times New Roman"/>
          <w:szCs w:val="24"/>
        </w:rPr>
        <w:t>iot kontrolowany wyraził zgodę lub gdy naruszenia wskazane w zaleceniach pokontrolnych powtarzały się w przeszłości)</w:t>
      </w:r>
      <w:r w:rsidR="008539F3" w:rsidRPr="003A42FB">
        <w:rPr>
          <w:rFonts w:ascii="Times New Roman" w:hAnsi="Times New Roman" w:cs="Times New Roman"/>
          <w:szCs w:val="24"/>
        </w:rPr>
        <w:t xml:space="preserve">. </w:t>
      </w:r>
      <w:r w:rsidR="00C90BC1" w:rsidRPr="003A42FB">
        <w:rPr>
          <w:rFonts w:ascii="Times New Roman" w:hAnsi="Times New Roman" w:cs="Times New Roman"/>
          <w:szCs w:val="24"/>
        </w:rPr>
        <w:t xml:space="preserve"> </w:t>
      </w:r>
      <w:r w:rsidR="002641F6" w:rsidRPr="003A42FB">
        <w:rPr>
          <w:rFonts w:ascii="Times New Roman" w:hAnsi="Times New Roman" w:cs="Times New Roman"/>
          <w:szCs w:val="24"/>
        </w:rPr>
        <w:t>Prezes UKE ustalając termin powinien w praktyce brać pod uwagę wszystkie czynnik</w:t>
      </w:r>
      <w:r w:rsidR="03182D30" w:rsidRPr="003A42FB">
        <w:rPr>
          <w:rFonts w:ascii="Times New Roman" w:hAnsi="Times New Roman" w:cs="Times New Roman"/>
          <w:szCs w:val="24"/>
        </w:rPr>
        <w:t>i</w:t>
      </w:r>
      <w:r w:rsidR="002641F6" w:rsidRPr="003A42FB">
        <w:rPr>
          <w:rFonts w:ascii="Times New Roman" w:hAnsi="Times New Roman" w:cs="Times New Roman"/>
          <w:szCs w:val="24"/>
        </w:rPr>
        <w:t xml:space="preserve">, które wpływają na możliwość wykonania zaleceń, takie jak m.in. rodzaj i stopień naruszeń. </w:t>
      </w:r>
      <w:r w:rsidR="00103B20" w:rsidRPr="003A42FB">
        <w:rPr>
          <w:rFonts w:ascii="Times New Roman" w:hAnsi="Times New Roman" w:cs="Times New Roman"/>
          <w:szCs w:val="24"/>
        </w:rPr>
        <w:t>Projekt przewiduje regulacje o charakterze dyscyplinującym podmiot kontrolowany w sytuacji niewykonania zaleceń. W takiej sytuacji Prezes UKE może wydać decyzję nakazującą usunięcie stwierdzonych nieprawidłowości.</w:t>
      </w:r>
      <w:r w:rsidR="000B7C66" w:rsidRPr="003A42FB">
        <w:rPr>
          <w:rFonts w:ascii="Times New Roman" w:hAnsi="Times New Roman" w:cs="Times New Roman"/>
          <w:szCs w:val="24"/>
        </w:rPr>
        <w:t xml:space="preserve"> A w przypadku gdy</w:t>
      </w:r>
      <w:r w:rsidR="00125BAC" w:rsidRPr="003A42FB">
        <w:rPr>
          <w:rFonts w:ascii="Times New Roman" w:hAnsi="Times New Roman" w:cs="Times New Roman"/>
          <w:szCs w:val="24"/>
        </w:rPr>
        <w:t xml:space="preserve"> nieprawidłowości </w:t>
      </w:r>
      <w:r w:rsidR="000B7C66" w:rsidRPr="003A42FB">
        <w:rPr>
          <w:rFonts w:ascii="Times New Roman" w:hAnsi="Times New Roman" w:cs="Times New Roman"/>
          <w:szCs w:val="24"/>
        </w:rPr>
        <w:t>występowały w przeszłości lub mają poważny charakter, a podmiot kontrolowany</w:t>
      </w:r>
      <w:r w:rsidR="00125BAC" w:rsidRPr="003A42FB">
        <w:rPr>
          <w:rFonts w:ascii="Times New Roman" w:hAnsi="Times New Roman" w:cs="Times New Roman"/>
          <w:szCs w:val="24"/>
        </w:rPr>
        <w:t xml:space="preserve"> nie zastosował się do decyzji</w:t>
      </w:r>
      <w:r w:rsidR="000B7C66" w:rsidRPr="003A42FB">
        <w:rPr>
          <w:rFonts w:ascii="Times New Roman" w:hAnsi="Times New Roman" w:cs="Times New Roman"/>
          <w:szCs w:val="24"/>
        </w:rPr>
        <w:t>, Prezes UKE</w:t>
      </w:r>
      <w:r w:rsidR="00125BAC" w:rsidRPr="003A42FB">
        <w:rPr>
          <w:rFonts w:ascii="Times New Roman" w:hAnsi="Times New Roman" w:cs="Times New Roman"/>
          <w:szCs w:val="24"/>
        </w:rPr>
        <w:t>, na podstawie projektowanych przepisów będzie mógł</w:t>
      </w:r>
      <w:r w:rsidR="000B7C66" w:rsidRPr="003A42FB">
        <w:rPr>
          <w:rFonts w:ascii="Times New Roman" w:hAnsi="Times New Roman" w:cs="Times New Roman"/>
          <w:szCs w:val="24"/>
        </w:rPr>
        <w:t xml:space="preserve">, w drodze decyzji, zakazać podmiotowi kontrolowanemu wykonywania działalności telekomunikacyjnej, </w:t>
      </w:r>
      <w:r w:rsidR="0041025C" w:rsidRPr="003A42FB">
        <w:rPr>
          <w:rFonts w:ascii="Times New Roman" w:hAnsi="Times New Roman" w:cs="Times New Roman"/>
          <w:szCs w:val="24"/>
        </w:rPr>
        <w:t>cofnąć pozwolenie</w:t>
      </w:r>
      <w:r w:rsidR="5ED88415" w:rsidRPr="003A42FB">
        <w:rPr>
          <w:rFonts w:ascii="Times New Roman" w:hAnsi="Times New Roman" w:cs="Times New Roman"/>
          <w:szCs w:val="24"/>
          <w:u w:val="single"/>
        </w:rPr>
        <w:t>,</w:t>
      </w:r>
      <w:r w:rsidR="000B7C66" w:rsidRPr="003A42FB">
        <w:rPr>
          <w:rFonts w:ascii="Times New Roman" w:hAnsi="Times New Roman" w:cs="Times New Roman"/>
          <w:szCs w:val="24"/>
        </w:rPr>
        <w:t xml:space="preserve"> zmienić lub cofnąć rezerwację częstotliwości, zasobów orbitalnych lub przydział numeracji.</w:t>
      </w:r>
      <w:r w:rsidR="00125BAC" w:rsidRPr="003A42FB">
        <w:rPr>
          <w:rFonts w:ascii="Times New Roman" w:hAnsi="Times New Roman" w:cs="Times New Roman"/>
          <w:szCs w:val="24"/>
        </w:rPr>
        <w:t xml:space="preserve"> W tym zakresie przeniesione zostały do projektowanej ustawy rozwiązania zawarte wcześniej w </w:t>
      </w:r>
      <w:r w:rsidR="00CB38CF" w:rsidRPr="003A42FB">
        <w:rPr>
          <w:rFonts w:ascii="Times New Roman" w:hAnsi="Times New Roman" w:cs="Times New Roman"/>
          <w:szCs w:val="24"/>
        </w:rPr>
        <w:t>Pt</w:t>
      </w:r>
      <w:r w:rsidR="00125BAC" w:rsidRPr="003A42FB">
        <w:rPr>
          <w:rFonts w:ascii="Times New Roman" w:hAnsi="Times New Roman" w:cs="Times New Roman"/>
          <w:szCs w:val="24"/>
        </w:rPr>
        <w:t>.</w:t>
      </w:r>
      <w:r w:rsidR="008B2797" w:rsidRPr="003A42FB">
        <w:rPr>
          <w:rFonts w:ascii="Times New Roman" w:hAnsi="Times New Roman" w:cs="Times New Roman"/>
          <w:szCs w:val="24"/>
        </w:rPr>
        <w:t xml:space="preserve"> Decyzja ta stanowić będzie podstawę do wykreślenia podmiotu kontrolowanego z rejestru przedsiębiorców.</w:t>
      </w:r>
    </w:p>
    <w:p w14:paraId="58B69235" w14:textId="5F4377CD" w:rsidR="00C17123" w:rsidRPr="003A42FB" w:rsidRDefault="00C17123"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4F3FAD">
        <w:rPr>
          <w:rFonts w:ascii="Times New Roman" w:eastAsiaTheme="minorEastAsia" w:hAnsi="Times New Roman" w:cs="Times New Roman"/>
          <w:b/>
          <w:bCs/>
          <w:sz w:val="24"/>
          <w:szCs w:val="24"/>
        </w:rPr>
        <w:t>429</w:t>
      </w:r>
    </w:p>
    <w:p w14:paraId="6852A2EB" w14:textId="73EB711D" w:rsidR="0081742E" w:rsidRPr="003A42FB" w:rsidRDefault="0055671D"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w:t>
      </w:r>
      <w:r w:rsidR="0081742E" w:rsidRPr="003A42FB">
        <w:rPr>
          <w:rFonts w:ascii="Times New Roman" w:eastAsiaTheme="minorEastAsia" w:hAnsi="Times New Roman" w:cs="Times New Roman"/>
          <w:sz w:val="24"/>
          <w:szCs w:val="24"/>
        </w:rPr>
        <w:t>zawiera analogiczne do</w:t>
      </w:r>
      <w:r w:rsidR="003D76FC" w:rsidRPr="003A42FB">
        <w:rPr>
          <w:rFonts w:ascii="Times New Roman" w:eastAsiaTheme="minorEastAsia" w:hAnsi="Times New Roman" w:cs="Times New Roman"/>
          <w:sz w:val="24"/>
          <w:szCs w:val="24"/>
        </w:rPr>
        <w:t xml:space="preserve"> dotychczas obowiązujących przepisów </w:t>
      </w:r>
      <w:r w:rsidR="00CB38CF" w:rsidRPr="003A42FB">
        <w:rPr>
          <w:rFonts w:ascii="Times New Roman" w:eastAsiaTheme="minorEastAsia" w:hAnsi="Times New Roman" w:cs="Times New Roman"/>
          <w:sz w:val="24"/>
          <w:szCs w:val="24"/>
        </w:rPr>
        <w:t>Pt</w:t>
      </w:r>
      <w:r w:rsidR="003D76FC" w:rsidRPr="003A42FB">
        <w:rPr>
          <w:rFonts w:ascii="Times New Roman" w:eastAsiaTheme="minorEastAsia" w:hAnsi="Times New Roman" w:cs="Times New Roman"/>
          <w:sz w:val="24"/>
          <w:szCs w:val="24"/>
        </w:rPr>
        <w:t xml:space="preserve"> regulacje odnośnie do </w:t>
      </w:r>
      <w:r w:rsidR="0081742E" w:rsidRPr="003A42FB">
        <w:rPr>
          <w:rFonts w:ascii="Times New Roman" w:eastAsiaTheme="minorEastAsia" w:hAnsi="Times New Roman" w:cs="Times New Roman"/>
          <w:sz w:val="24"/>
          <w:szCs w:val="24"/>
        </w:rPr>
        <w:t>stwierdzonych w wyniku</w:t>
      </w:r>
      <w:r w:rsidR="00EF7B17" w:rsidRPr="003A42FB">
        <w:rPr>
          <w:rFonts w:ascii="Times New Roman" w:eastAsiaTheme="minorEastAsia" w:hAnsi="Times New Roman" w:cs="Times New Roman"/>
          <w:sz w:val="24"/>
          <w:szCs w:val="24"/>
        </w:rPr>
        <w:t xml:space="preserve"> kontroli naruszeń</w:t>
      </w:r>
      <w:r w:rsidR="0081742E" w:rsidRPr="003A42FB">
        <w:rPr>
          <w:rFonts w:ascii="Times New Roman" w:eastAsiaTheme="minorEastAsia" w:hAnsi="Times New Roman" w:cs="Times New Roman"/>
          <w:sz w:val="24"/>
          <w:szCs w:val="24"/>
        </w:rPr>
        <w:t xml:space="preserve"> obowiązków </w:t>
      </w:r>
      <w:r w:rsidR="00EF7B17" w:rsidRPr="003A42FB">
        <w:rPr>
          <w:rFonts w:ascii="Times New Roman" w:eastAsiaTheme="minorEastAsia" w:hAnsi="Times New Roman" w:cs="Times New Roman"/>
          <w:sz w:val="24"/>
          <w:szCs w:val="24"/>
        </w:rPr>
        <w:t>w ten sposób, ż</w:t>
      </w:r>
      <w:r w:rsidR="0081742E" w:rsidRPr="003A42FB">
        <w:rPr>
          <w:rFonts w:ascii="Times New Roman" w:eastAsiaTheme="minorEastAsia" w:hAnsi="Times New Roman" w:cs="Times New Roman"/>
          <w:sz w:val="24"/>
          <w:szCs w:val="24"/>
        </w:rPr>
        <w:t xml:space="preserve">e powoduje to zagrożenie dla obronności, bezpieczeństwa państwa, życia lub zdrowia ludzi lub zagrożenie wywołania poważnej szkody majątkowej, poważnych utrudnień w funkcjonowaniu sieci telekomunikacyjnej lub usług komunikacji elektronicznej. </w:t>
      </w:r>
    </w:p>
    <w:p w14:paraId="2C79B1A0" w14:textId="795184AB" w:rsidR="00977822" w:rsidRPr="003A42FB" w:rsidRDefault="0081742E" w:rsidP="00C53EAB">
      <w:pPr>
        <w:pStyle w:val="ARTartustawynprozporzdzenia"/>
        <w:spacing w:before="0" w:after="120" w:line="240" w:lineRule="auto"/>
        <w:ind w:firstLine="0"/>
        <w:rPr>
          <w:rFonts w:ascii="Times New Roman" w:hAnsi="Times New Roman" w:cs="Times New Roman"/>
          <w:szCs w:val="24"/>
          <w:lang w:eastAsia="en-US"/>
        </w:rPr>
      </w:pPr>
      <w:r w:rsidRPr="003A42FB">
        <w:rPr>
          <w:rFonts w:ascii="Times New Roman" w:hAnsi="Times New Roman" w:cs="Times New Roman"/>
          <w:b/>
          <w:szCs w:val="24"/>
          <w:lang w:eastAsia="en-US"/>
        </w:rPr>
        <w:t xml:space="preserve">Art. </w:t>
      </w:r>
      <w:r w:rsidR="004F3FAD">
        <w:rPr>
          <w:rFonts w:ascii="Times New Roman" w:hAnsi="Times New Roman" w:cs="Times New Roman"/>
          <w:b/>
          <w:bCs/>
          <w:szCs w:val="24"/>
          <w:lang w:eastAsia="en-US"/>
        </w:rPr>
        <w:t>430</w:t>
      </w:r>
      <w:r w:rsidR="004F3FAD" w:rsidRPr="003A42FB">
        <w:rPr>
          <w:rFonts w:ascii="Times New Roman" w:hAnsi="Times New Roman" w:cs="Times New Roman"/>
          <w:b/>
          <w:szCs w:val="24"/>
        </w:rPr>
        <w:t xml:space="preserve"> </w:t>
      </w:r>
    </w:p>
    <w:p w14:paraId="0CACB4C3" w14:textId="77777777" w:rsidR="0081742E" w:rsidRPr="003A42FB" w:rsidRDefault="0081742E"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lang w:eastAsia="en-US"/>
        </w:rPr>
        <w:t>Projektowane przepis</w:t>
      </w:r>
      <w:r w:rsidR="00635794" w:rsidRPr="003A42FB">
        <w:rPr>
          <w:rFonts w:ascii="Times New Roman" w:hAnsi="Times New Roman" w:cs="Times New Roman"/>
          <w:szCs w:val="24"/>
          <w:lang w:eastAsia="en-US"/>
        </w:rPr>
        <w:t>y</w:t>
      </w:r>
      <w:r w:rsidRPr="003A42FB">
        <w:rPr>
          <w:rFonts w:ascii="Times New Roman" w:hAnsi="Times New Roman" w:cs="Times New Roman"/>
          <w:szCs w:val="24"/>
          <w:lang w:eastAsia="en-US"/>
        </w:rPr>
        <w:t xml:space="preserve"> </w:t>
      </w:r>
      <w:r w:rsidR="00635794" w:rsidRPr="003A42FB">
        <w:rPr>
          <w:rFonts w:ascii="Times New Roman" w:hAnsi="Times New Roman" w:cs="Times New Roman"/>
          <w:szCs w:val="24"/>
          <w:lang w:eastAsia="en-US"/>
        </w:rPr>
        <w:t xml:space="preserve">regulują kwestie </w:t>
      </w:r>
      <w:r w:rsidR="007C2885" w:rsidRPr="003A42FB">
        <w:rPr>
          <w:rFonts w:ascii="Times New Roman" w:hAnsi="Times New Roman" w:cs="Times New Roman"/>
          <w:szCs w:val="24"/>
          <w:lang w:eastAsia="en-US"/>
        </w:rPr>
        <w:t>używania urządzenia radiowego bez pozwolenia</w:t>
      </w:r>
      <w:r w:rsidR="00D51095" w:rsidRPr="003A42FB">
        <w:rPr>
          <w:rFonts w:ascii="Times New Roman" w:hAnsi="Times New Roman" w:cs="Times New Roman"/>
          <w:szCs w:val="24"/>
          <w:lang w:eastAsia="en-US"/>
        </w:rPr>
        <w:t xml:space="preserve">, a także bez określonych decyzji, wpisu do rejestru urządzeń radiowych używanych bez pozwolenia oraz </w:t>
      </w:r>
      <w:r w:rsidR="007C2885" w:rsidRPr="003A42FB">
        <w:rPr>
          <w:rFonts w:ascii="Times New Roman" w:hAnsi="Times New Roman" w:cs="Times New Roman"/>
          <w:szCs w:val="24"/>
          <w:lang w:eastAsia="en-US"/>
        </w:rPr>
        <w:t>przez osobę nieuprawnioną</w:t>
      </w:r>
      <w:r w:rsidR="00D51095" w:rsidRPr="003A42FB">
        <w:rPr>
          <w:rFonts w:ascii="Times New Roman" w:hAnsi="Times New Roman" w:cs="Times New Roman"/>
          <w:szCs w:val="24"/>
          <w:lang w:eastAsia="en-US"/>
        </w:rPr>
        <w:t>. Przepisy będą odnosiły się zatem</w:t>
      </w:r>
      <w:r w:rsidR="009B0851" w:rsidRPr="003A42FB">
        <w:rPr>
          <w:rFonts w:ascii="Times New Roman" w:hAnsi="Times New Roman" w:cs="Times New Roman"/>
          <w:szCs w:val="24"/>
          <w:lang w:eastAsia="en-US"/>
        </w:rPr>
        <w:t xml:space="preserve"> </w:t>
      </w:r>
      <w:r w:rsidR="00D51095" w:rsidRPr="003A42FB">
        <w:rPr>
          <w:rFonts w:ascii="Times New Roman" w:hAnsi="Times New Roman" w:cs="Times New Roman"/>
          <w:szCs w:val="24"/>
          <w:lang w:eastAsia="en-US"/>
        </w:rPr>
        <w:t xml:space="preserve">również do używania urządzeń radiowych bez uzyskania decyzji Prezesa UKE dopuszczającej czasowe używanie </w:t>
      </w:r>
      <w:r w:rsidR="00D51095" w:rsidRPr="003A42FB">
        <w:rPr>
          <w:rFonts w:ascii="Times New Roman" w:hAnsi="Times New Roman" w:cs="Times New Roman"/>
          <w:szCs w:val="24"/>
        </w:rPr>
        <w:t xml:space="preserve">urządzenia radiowego w celu zapewnienia przekazu informacji na okres nieprzekraczający 30 dni lub decyzji zezwalającej na czasowe używanie urządzenia radiowego </w:t>
      </w:r>
      <w:r w:rsidR="00D51095" w:rsidRPr="003A42FB">
        <w:rPr>
          <w:rFonts w:ascii="Times New Roman" w:hAnsi="Times New Roman" w:cs="Times New Roman"/>
          <w:szCs w:val="24"/>
        </w:rPr>
        <w:lastRenderedPageBreak/>
        <w:t>nadawczego lub nadawczo-odbiorczego w celu przeprowadzenia badań, testów lub eksperymentów.</w:t>
      </w:r>
      <w:r w:rsidR="009B0851" w:rsidRPr="003A42FB">
        <w:rPr>
          <w:rFonts w:ascii="Times New Roman" w:hAnsi="Times New Roman" w:cs="Times New Roman"/>
          <w:szCs w:val="24"/>
        </w:rPr>
        <w:t xml:space="preserve"> Regulacje w tym zakresie nie odbiegają od tych zawartych dotychczas w </w:t>
      </w:r>
      <w:r w:rsidR="00DA75A8" w:rsidRPr="003A42FB">
        <w:rPr>
          <w:rFonts w:ascii="Times New Roman" w:hAnsi="Times New Roman" w:cs="Times New Roman"/>
          <w:szCs w:val="24"/>
        </w:rPr>
        <w:t>Pt</w:t>
      </w:r>
      <w:r w:rsidR="009B0851" w:rsidRPr="003A42FB">
        <w:rPr>
          <w:rFonts w:ascii="Times New Roman" w:hAnsi="Times New Roman" w:cs="Times New Roman"/>
          <w:szCs w:val="24"/>
        </w:rPr>
        <w:t>.</w:t>
      </w:r>
    </w:p>
    <w:p w14:paraId="30E2FC79" w14:textId="6A0E3EDB" w:rsidR="00D737C1" w:rsidRPr="003A42FB" w:rsidRDefault="00D737C1"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Projektowane przepisy określą przysługujące Prezesowi UKE kompetencje mające na celu zakazanie bezprawnego używania urządzeń radiowych a także zabezpieczenie urządzeń przed dalszym ich używaniem czy obsługą</w:t>
      </w:r>
      <w:r w:rsidR="002D2A86" w:rsidRPr="003A42FB">
        <w:rPr>
          <w:rFonts w:ascii="Times New Roman" w:hAnsi="Times New Roman" w:cs="Times New Roman"/>
          <w:szCs w:val="24"/>
        </w:rPr>
        <w:t xml:space="preserve"> oraz przyjęcie urządzeń do depozytu. </w:t>
      </w:r>
    </w:p>
    <w:p w14:paraId="7946360C" w14:textId="384FEFF0" w:rsidR="00D737C1" w:rsidRPr="003A42FB" w:rsidRDefault="002D2A86"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W powyższych kwestiach Prezes UKE wydaje decyzje administracyjne. Decyzje odnoszą się ściśle do wskazanych w przepisie form bezprawnego używania czy obsługiwania urządzeń, nie dotyczą innych sytuacji, w szczególności naruszeń warunków </w:t>
      </w:r>
      <w:r w:rsidR="00DE0CB5" w:rsidRPr="003A42FB">
        <w:rPr>
          <w:rFonts w:ascii="Times New Roman" w:hAnsi="Times New Roman" w:cs="Times New Roman"/>
          <w:szCs w:val="24"/>
        </w:rPr>
        <w:t xml:space="preserve">wykorzystania częstotliwości, zalegania z opłatami. </w:t>
      </w:r>
    </w:p>
    <w:p w14:paraId="2F479678" w14:textId="77777777" w:rsidR="00977822" w:rsidRPr="003A42FB" w:rsidRDefault="00DE0CB5"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Prezes UKE, aby podjąć decyzję zakazującą bezprawne używanie urządzeń radiowych musi wykazać, iż faktycznie zaistniał ten bezprawny stan. Może to nastąpić w </w:t>
      </w:r>
      <w:r w:rsidR="00DA0528" w:rsidRPr="003A42FB">
        <w:rPr>
          <w:rFonts w:ascii="Times New Roman" w:hAnsi="Times New Roman" w:cs="Times New Roman"/>
          <w:szCs w:val="24"/>
        </w:rPr>
        <w:t xml:space="preserve">ramach kontroli lub monitorowania </w:t>
      </w:r>
      <w:r w:rsidR="00E727ED" w:rsidRPr="003A42FB">
        <w:rPr>
          <w:rFonts w:ascii="Times New Roman" w:hAnsi="Times New Roman" w:cs="Times New Roman"/>
          <w:szCs w:val="24"/>
        </w:rPr>
        <w:t xml:space="preserve">widma. </w:t>
      </w:r>
      <w:r w:rsidRPr="003A42FB">
        <w:rPr>
          <w:rFonts w:ascii="Times New Roman" w:hAnsi="Times New Roman" w:cs="Times New Roman"/>
          <w:szCs w:val="24"/>
        </w:rPr>
        <w:t xml:space="preserve">   </w:t>
      </w:r>
    </w:p>
    <w:p w14:paraId="46BC2146" w14:textId="1BD88337" w:rsidR="00977822" w:rsidRPr="003A42FB" w:rsidRDefault="711195A7" w:rsidP="00C53EAB">
      <w:pPr>
        <w:pStyle w:val="ARTartustawynprozporzdzenia"/>
        <w:spacing w:before="0" w:after="120" w:line="240" w:lineRule="auto"/>
        <w:ind w:firstLine="0"/>
        <w:rPr>
          <w:rFonts w:ascii="Times New Roman" w:hAnsi="Times New Roman" w:cs="Times New Roman"/>
          <w:b/>
          <w:bCs/>
          <w:szCs w:val="24"/>
        </w:rPr>
      </w:pPr>
      <w:r w:rsidRPr="003A42FB">
        <w:rPr>
          <w:rFonts w:ascii="Times New Roman" w:hAnsi="Times New Roman" w:cs="Times New Roman"/>
          <w:b/>
          <w:bCs/>
          <w:szCs w:val="24"/>
        </w:rPr>
        <w:t xml:space="preserve">Art. </w:t>
      </w:r>
      <w:r w:rsidR="004F3FAD">
        <w:rPr>
          <w:rFonts w:ascii="Times New Roman" w:hAnsi="Times New Roman" w:cs="Times New Roman"/>
          <w:b/>
          <w:bCs/>
          <w:szCs w:val="24"/>
        </w:rPr>
        <w:t>431</w:t>
      </w:r>
      <w:r w:rsidR="3BB9F0B1" w:rsidRPr="003A42FB">
        <w:rPr>
          <w:rFonts w:ascii="Times New Roman" w:hAnsi="Times New Roman" w:cs="Times New Roman"/>
          <w:b/>
          <w:bCs/>
          <w:szCs w:val="24"/>
        </w:rPr>
        <w:t>-</w:t>
      </w:r>
      <w:r w:rsidR="004F3FAD">
        <w:rPr>
          <w:rFonts w:ascii="Times New Roman" w:hAnsi="Times New Roman" w:cs="Times New Roman"/>
          <w:b/>
          <w:bCs/>
          <w:szCs w:val="24"/>
        </w:rPr>
        <w:t>433</w:t>
      </w:r>
      <w:r w:rsidR="004F3FAD" w:rsidRPr="003A42FB">
        <w:rPr>
          <w:rFonts w:ascii="Times New Roman" w:hAnsi="Times New Roman" w:cs="Times New Roman"/>
          <w:b/>
          <w:bCs/>
          <w:szCs w:val="24"/>
        </w:rPr>
        <w:t xml:space="preserve"> </w:t>
      </w:r>
    </w:p>
    <w:p w14:paraId="32A5D080" w14:textId="05BA6145" w:rsidR="00F607C9" w:rsidRPr="003A42FB" w:rsidRDefault="00444EC5"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przenoszą treść dotychczas obowiązując</w:t>
      </w:r>
      <w:r w:rsidR="00265BA3" w:rsidRPr="003A42FB">
        <w:rPr>
          <w:rFonts w:ascii="Times New Roman" w:eastAsiaTheme="minorEastAsia" w:hAnsi="Times New Roman" w:cs="Times New Roman"/>
          <w:sz w:val="24"/>
          <w:szCs w:val="24"/>
        </w:rPr>
        <w:t>ego</w:t>
      </w:r>
      <w:r w:rsidRPr="003A42FB">
        <w:rPr>
          <w:rFonts w:ascii="Times New Roman" w:eastAsiaTheme="minorEastAsia" w:hAnsi="Times New Roman" w:cs="Times New Roman"/>
          <w:sz w:val="24"/>
          <w:szCs w:val="24"/>
        </w:rPr>
        <w:t xml:space="preserve"> art.</w:t>
      </w:r>
      <w:r w:rsidR="005661D8" w:rsidRPr="003A42FB">
        <w:rPr>
          <w:rFonts w:ascii="Times New Roman" w:eastAsiaTheme="minorEastAsia" w:hAnsi="Times New Roman" w:cs="Times New Roman"/>
          <w:sz w:val="24"/>
          <w:szCs w:val="24"/>
        </w:rPr>
        <w:t xml:space="preserve"> 204 i 204</w:t>
      </w:r>
      <w:r w:rsidRPr="003A42FB">
        <w:rPr>
          <w:rFonts w:ascii="Times New Roman" w:eastAsiaTheme="minorEastAsia" w:hAnsi="Times New Roman" w:cs="Times New Roman"/>
          <w:sz w:val="24"/>
          <w:szCs w:val="24"/>
        </w:rPr>
        <w:t xml:space="preserve">a </w:t>
      </w:r>
      <w:r w:rsidR="00CB38CF" w:rsidRPr="003A42FB">
        <w:rPr>
          <w:rFonts w:ascii="Times New Roman" w:eastAsiaTheme="minorEastAsia" w:hAnsi="Times New Roman" w:cs="Times New Roman"/>
          <w:sz w:val="24"/>
          <w:szCs w:val="24"/>
        </w:rPr>
        <w:t>Pt</w:t>
      </w:r>
      <w:r w:rsidR="005661D8" w:rsidRPr="003A42FB">
        <w:rPr>
          <w:rFonts w:ascii="Times New Roman" w:eastAsiaTheme="minorEastAsia" w:hAnsi="Times New Roman" w:cs="Times New Roman"/>
          <w:sz w:val="24"/>
          <w:szCs w:val="24"/>
        </w:rPr>
        <w:t xml:space="preserve"> i regulują kwestie </w:t>
      </w:r>
      <w:r w:rsidR="00C2034D" w:rsidRPr="003A42FB">
        <w:rPr>
          <w:rFonts w:ascii="Times New Roman" w:eastAsiaTheme="minorEastAsia" w:hAnsi="Times New Roman" w:cs="Times New Roman"/>
          <w:sz w:val="24"/>
          <w:szCs w:val="24"/>
        </w:rPr>
        <w:t>wystąpienia lub możliwego</w:t>
      </w:r>
      <w:r w:rsidR="00265BA3" w:rsidRPr="003A42FB">
        <w:rPr>
          <w:rFonts w:ascii="Times New Roman" w:eastAsiaTheme="minorEastAsia" w:hAnsi="Times New Roman" w:cs="Times New Roman"/>
          <w:sz w:val="24"/>
          <w:szCs w:val="24"/>
        </w:rPr>
        <w:t xml:space="preserve"> </w:t>
      </w:r>
      <w:r w:rsidR="009A794C" w:rsidRPr="003A42FB">
        <w:rPr>
          <w:rFonts w:ascii="Times New Roman" w:eastAsiaTheme="minorEastAsia" w:hAnsi="Times New Roman" w:cs="Times New Roman"/>
          <w:sz w:val="24"/>
          <w:szCs w:val="24"/>
        </w:rPr>
        <w:t xml:space="preserve">wystąpienia szkodliwych zakłóceń pracy urządzenia powodowanych przez inne urządzenie wytwarzające pole elektromagnetyczne. </w:t>
      </w:r>
    </w:p>
    <w:p w14:paraId="23B55AF9" w14:textId="703CE1DE" w:rsidR="00881F09" w:rsidRPr="003A42FB" w:rsidRDefault="00AA0616"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odnoszą się do urządzeń w rozumieniu ustawy o kompatybilności elektromagnetycznej. Ustawa ta dotyczy urządzeń, w tym aparatury, instalacji stacjonarnej, komponentu oraz instalacji ruchomej w kontekście ich zdolności do zadowalającego działania w określonym środowisku </w:t>
      </w:r>
      <w:r w:rsidRPr="003A42FB">
        <w:rPr>
          <w:rStyle w:val="highlight-disabled"/>
          <w:rFonts w:ascii="Times New Roman" w:eastAsiaTheme="minorEastAsia" w:hAnsi="Times New Roman" w:cs="Times New Roman"/>
          <w:sz w:val="24"/>
          <w:szCs w:val="24"/>
        </w:rPr>
        <w:t>elektromagnetycznym</w:t>
      </w:r>
      <w:r w:rsidRPr="003A42FB">
        <w:rPr>
          <w:rFonts w:ascii="Times New Roman" w:eastAsiaTheme="minorEastAsia" w:hAnsi="Times New Roman" w:cs="Times New Roman"/>
          <w:sz w:val="24"/>
          <w:szCs w:val="24"/>
        </w:rPr>
        <w:t xml:space="preserve"> bez wprowadzania do tego środowiska niedopuszczalnych zaburzeń </w:t>
      </w:r>
      <w:r w:rsidRPr="003A42FB">
        <w:rPr>
          <w:rStyle w:val="highlight-disabled"/>
          <w:rFonts w:ascii="Times New Roman" w:eastAsiaTheme="minorEastAsia" w:hAnsi="Times New Roman" w:cs="Times New Roman"/>
          <w:sz w:val="24"/>
          <w:szCs w:val="24"/>
        </w:rPr>
        <w:t>elektromagnetycznych</w:t>
      </w:r>
      <w:r w:rsidRPr="003A42FB">
        <w:rPr>
          <w:rFonts w:ascii="Times New Roman" w:eastAsiaTheme="minorEastAsia" w:hAnsi="Times New Roman" w:cs="Times New Roman"/>
          <w:sz w:val="24"/>
          <w:szCs w:val="24"/>
        </w:rPr>
        <w:t xml:space="preserve"> (</w:t>
      </w:r>
      <w:r w:rsidRPr="003A42FB">
        <w:rPr>
          <w:rStyle w:val="highlight-disabled"/>
          <w:rFonts w:ascii="Times New Roman" w:eastAsiaTheme="minorEastAsia" w:hAnsi="Times New Roman" w:cs="Times New Roman"/>
          <w:sz w:val="24"/>
          <w:szCs w:val="24"/>
        </w:rPr>
        <w:t>kompatybilność</w:t>
      </w:r>
      <w:r w:rsidRPr="003A42FB">
        <w:rPr>
          <w:rFonts w:ascii="Times New Roman" w:eastAsiaTheme="minorEastAsia" w:hAnsi="Times New Roman" w:cs="Times New Roman"/>
          <w:sz w:val="24"/>
          <w:szCs w:val="24"/>
        </w:rPr>
        <w:t xml:space="preserve"> </w:t>
      </w:r>
      <w:r w:rsidRPr="003A42FB">
        <w:rPr>
          <w:rStyle w:val="highlight-disabled"/>
          <w:rFonts w:ascii="Times New Roman" w:eastAsiaTheme="minorEastAsia" w:hAnsi="Times New Roman" w:cs="Times New Roman"/>
          <w:sz w:val="24"/>
          <w:szCs w:val="24"/>
        </w:rPr>
        <w:t>elektromagnetyczna)</w:t>
      </w:r>
      <w:r w:rsidRPr="003A42FB">
        <w:rPr>
          <w:rFonts w:ascii="Times New Roman" w:eastAsiaTheme="minorEastAsia" w:hAnsi="Times New Roman" w:cs="Times New Roman"/>
          <w:sz w:val="24"/>
          <w:szCs w:val="24"/>
        </w:rPr>
        <w:t xml:space="preserve">. </w:t>
      </w:r>
      <w:r w:rsidR="00975FD9" w:rsidRPr="003A42FB">
        <w:rPr>
          <w:rFonts w:ascii="Times New Roman" w:eastAsiaTheme="minorEastAsia" w:hAnsi="Times New Roman" w:cs="Times New Roman"/>
          <w:sz w:val="24"/>
          <w:szCs w:val="24"/>
        </w:rPr>
        <w:t xml:space="preserve">Urządzenia powinny być kompatybilne elektromagnetycznie. </w:t>
      </w:r>
      <w:r w:rsidR="00D51037" w:rsidRPr="003A42FB">
        <w:rPr>
          <w:rFonts w:ascii="Times New Roman" w:eastAsiaTheme="minorEastAsia" w:hAnsi="Times New Roman" w:cs="Times New Roman"/>
          <w:sz w:val="24"/>
          <w:szCs w:val="24"/>
        </w:rPr>
        <w:t xml:space="preserve">W zakresie zakłócanych urządzeń </w:t>
      </w:r>
      <w:r w:rsidRPr="003A42FB">
        <w:rPr>
          <w:rFonts w:ascii="Times New Roman" w:eastAsiaTheme="minorEastAsia" w:hAnsi="Times New Roman" w:cs="Times New Roman"/>
          <w:sz w:val="24"/>
          <w:szCs w:val="24"/>
        </w:rPr>
        <w:t>projektowa</w:t>
      </w:r>
      <w:r w:rsidR="00881F09" w:rsidRPr="003A42FB">
        <w:rPr>
          <w:rFonts w:ascii="Times New Roman" w:eastAsiaTheme="minorEastAsia" w:hAnsi="Times New Roman" w:cs="Times New Roman"/>
          <w:sz w:val="24"/>
          <w:szCs w:val="24"/>
        </w:rPr>
        <w:t>ne</w:t>
      </w:r>
      <w:r w:rsidRPr="003A42FB">
        <w:rPr>
          <w:rFonts w:ascii="Times New Roman" w:eastAsiaTheme="minorEastAsia" w:hAnsi="Times New Roman" w:cs="Times New Roman"/>
          <w:sz w:val="24"/>
          <w:szCs w:val="24"/>
        </w:rPr>
        <w:t xml:space="preserve"> </w:t>
      </w:r>
      <w:r w:rsidR="00881F09" w:rsidRPr="003A42FB">
        <w:rPr>
          <w:rFonts w:ascii="Times New Roman" w:eastAsiaTheme="minorEastAsia" w:hAnsi="Times New Roman" w:cs="Times New Roman"/>
          <w:sz w:val="24"/>
          <w:szCs w:val="24"/>
        </w:rPr>
        <w:t>przepisy</w:t>
      </w:r>
      <w:r w:rsidR="00D51037" w:rsidRPr="003A42FB">
        <w:rPr>
          <w:rFonts w:ascii="Times New Roman" w:eastAsiaTheme="minorEastAsia" w:hAnsi="Times New Roman" w:cs="Times New Roman"/>
          <w:sz w:val="24"/>
          <w:szCs w:val="24"/>
        </w:rPr>
        <w:t xml:space="preserve"> odnoszą się do tych urządzeń, które spełniają zasadnicze wymagania</w:t>
      </w:r>
      <w:r w:rsidR="279121D6" w:rsidRPr="003A42FB">
        <w:rPr>
          <w:rFonts w:ascii="Times New Roman" w:eastAsia="Times New Roman" w:hAnsi="Times New Roman" w:cs="Times New Roman"/>
          <w:sz w:val="24"/>
          <w:szCs w:val="24"/>
        </w:rPr>
        <w:t xml:space="preserve"> </w:t>
      </w:r>
      <w:r w:rsidR="5B7832E8" w:rsidRPr="003A42FB">
        <w:rPr>
          <w:rFonts w:ascii="Times New Roman" w:eastAsiaTheme="minorEastAsia" w:hAnsi="Times New Roman" w:cs="Times New Roman"/>
          <w:sz w:val="24"/>
          <w:szCs w:val="24"/>
        </w:rPr>
        <w:t>w zakresie</w:t>
      </w:r>
      <w:r w:rsidR="00D51037" w:rsidRPr="003A42FB">
        <w:rPr>
          <w:rFonts w:ascii="Times New Roman" w:eastAsiaTheme="minorEastAsia" w:hAnsi="Times New Roman" w:cs="Times New Roman"/>
          <w:sz w:val="24"/>
          <w:szCs w:val="24"/>
        </w:rPr>
        <w:t xml:space="preserve"> kompatybilności</w:t>
      </w:r>
      <w:r w:rsidRPr="003A42FB">
        <w:rPr>
          <w:rFonts w:ascii="Times New Roman" w:eastAsiaTheme="minorEastAsia" w:hAnsi="Times New Roman" w:cs="Times New Roman"/>
          <w:sz w:val="24"/>
          <w:szCs w:val="24"/>
        </w:rPr>
        <w:t xml:space="preserve"> elektromagnetycznej.</w:t>
      </w:r>
      <w:r w:rsidR="00D51037"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rPr>
        <w:t xml:space="preserve">Są to </w:t>
      </w:r>
      <w:r w:rsidRPr="003A42FB">
        <w:rPr>
          <w:rFonts w:ascii="Times New Roman" w:eastAsiaTheme="minorEastAsia" w:hAnsi="Times New Roman" w:cs="Times New Roman"/>
          <w:sz w:val="24"/>
          <w:szCs w:val="24"/>
          <w:lang w:eastAsia="pl-PL"/>
        </w:rPr>
        <w:t>wymagania dotyczące</w:t>
      </w:r>
      <w:r w:rsidR="009E2C6E" w:rsidRPr="003A42FB">
        <w:rPr>
          <w:rFonts w:ascii="Times New Roman" w:eastAsiaTheme="minorEastAsia" w:hAnsi="Times New Roman" w:cs="Times New Roman"/>
          <w:sz w:val="24"/>
          <w:szCs w:val="24"/>
          <w:lang w:eastAsia="pl-PL"/>
        </w:rPr>
        <w:t xml:space="preserve"> </w:t>
      </w:r>
      <w:r w:rsidRPr="003A42FB">
        <w:rPr>
          <w:rFonts w:ascii="Times New Roman" w:eastAsiaTheme="minorEastAsia" w:hAnsi="Times New Roman" w:cs="Times New Roman"/>
          <w:sz w:val="24"/>
          <w:szCs w:val="24"/>
          <w:lang w:eastAsia="pl-PL"/>
        </w:rPr>
        <w:t>niewywoływania w swoim środowisku zaburzeń elektromagnetycznych o wartościach przekraczających odporność na te zaburzenia innego urządzenia występującego w tym środowisku oraz posiadania wymaganej odporności na zaburzenia elektromagnetyczne.</w:t>
      </w:r>
      <w:r w:rsidR="00C27BE6" w:rsidRPr="003A42FB">
        <w:rPr>
          <w:rFonts w:ascii="Times New Roman" w:eastAsiaTheme="minorEastAsia" w:hAnsi="Times New Roman" w:cs="Times New Roman"/>
          <w:sz w:val="24"/>
          <w:szCs w:val="24"/>
          <w:lang w:eastAsia="pl-PL"/>
        </w:rPr>
        <w:t xml:space="preserve"> Przez odporność na zaburzenia </w:t>
      </w:r>
      <w:r w:rsidR="00C27BE6" w:rsidRPr="003A42FB">
        <w:rPr>
          <w:rFonts w:ascii="Times New Roman" w:eastAsiaTheme="minorEastAsia" w:hAnsi="Times New Roman" w:cs="Times New Roman"/>
          <w:sz w:val="24"/>
          <w:szCs w:val="24"/>
        </w:rPr>
        <w:t>elektromagnetyczne należy rozumieć zdolność urządzeń do działania zgodnie z przeznaczeniem bez ograniczania wykonywanych funkcji w przypadku wystąpienia zaburzeń elektromagnetycznych. Zaburzeniem elektromagnetycznym jest natomiast dowolne zjawisko elektromagnetyczne, które może obniżyć jakość działania urządzeń albo niekorzystnie wpłynąć na materię ożywioną i nieożywioną.</w:t>
      </w:r>
      <w:r w:rsidR="00430A1B" w:rsidRPr="003A42FB">
        <w:rPr>
          <w:rFonts w:ascii="Times New Roman" w:eastAsiaTheme="minorEastAsia" w:hAnsi="Times New Roman" w:cs="Times New Roman"/>
          <w:sz w:val="24"/>
          <w:szCs w:val="24"/>
        </w:rPr>
        <w:t xml:space="preserve"> Należy zatem ustalić czy zakłócane urządzenie spełnia powyższe warunki i posiada odporność na zaburzenia elektromagnetyczne. Jeżeli urządzenie to nie spełnia wymagań wówczas nie podlega ochronie </w:t>
      </w:r>
      <w:r w:rsidR="00F607C9" w:rsidRPr="003A42FB">
        <w:rPr>
          <w:rFonts w:ascii="Times New Roman" w:eastAsiaTheme="minorEastAsia" w:hAnsi="Times New Roman" w:cs="Times New Roman"/>
          <w:sz w:val="24"/>
          <w:szCs w:val="24"/>
        </w:rPr>
        <w:t xml:space="preserve">przed szkodliwymi zakłóceniami </w:t>
      </w:r>
      <w:r w:rsidR="00430A1B" w:rsidRPr="003A42FB">
        <w:rPr>
          <w:rFonts w:ascii="Times New Roman" w:eastAsiaTheme="minorEastAsia" w:hAnsi="Times New Roman" w:cs="Times New Roman"/>
          <w:sz w:val="24"/>
          <w:szCs w:val="24"/>
        </w:rPr>
        <w:t>przewidzianej w projektowanych przepisach.</w:t>
      </w:r>
      <w:r w:rsidR="00DB47BB" w:rsidRPr="003A42FB">
        <w:rPr>
          <w:rFonts w:ascii="Times New Roman" w:eastAsiaTheme="minorEastAsia" w:hAnsi="Times New Roman" w:cs="Times New Roman"/>
          <w:sz w:val="24"/>
          <w:szCs w:val="24"/>
        </w:rPr>
        <w:t xml:space="preserve"> </w:t>
      </w:r>
      <w:r w:rsidR="00975FD9" w:rsidRPr="003A42FB">
        <w:rPr>
          <w:rFonts w:ascii="Times New Roman" w:eastAsiaTheme="minorEastAsia" w:hAnsi="Times New Roman" w:cs="Times New Roman"/>
          <w:sz w:val="24"/>
          <w:szCs w:val="24"/>
        </w:rPr>
        <w:t xml:space="preserve">Przepis nie wskazuje, iż urządzenie zakłócające musi również spełniać </w:t>
      </w:r>
      <w:r w:rsidR="002F6052" w:rsidRPr="003A42FB">
        <w:rPr>
          <w:rFonts w:ascii="Times New Roman" w:eastAsiaTheme="minorEastAsia" w:hAnsi="Times New Roman" w:cs="Times New Roman"/>
          <w:sz w:val="24"/>
          <w:szCs w:val="24"/>
        </w:rPr>
        <w:t>zasadnicze wymagania, co podyktowane jest tym, że przepis ma na celu ochronę urządzeń zakłócanych.</w:t>
      </w:r>
      <w:bookmarkStart w:id="22" w:name="highlightHit_5"/>
      <w:bookmarkStart w:id="23" w:name="highlightHit_6"/>
      <w:bookmarkStart w:id="24" w:name="highlightHit_7"/>
      <w:bookmarkStart w:id="25" w:name="highlightHit_8"/>
      <w:bookmarkEnd w:id="22"/>
      <w:bookmarkEnd w:id="23"/>
      <w:bookmarkEnd w:id="24"/>
      <w:bookmarkEnd w:id="25"/>
    </w:p>
    <w:p w14:paraId="521B306F" w14:textId="2EF87175" w:rsidR="00975FD9" w:rsidRPr="003A42FB" w:rsidRDefault="00881F0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w:t>
      </w:r>
      <w:r w:rsidR="00990239" w:rsidRPr="003A42FB">
        <w:rPr>
          <w:rFonts w:ascii="Times New Roman" w:eastAsiaTheme="minorEastAsia" w:hAnsi="Times New Roman" w:cs="Times New Roman"/>
          <w:sz w:val="24"/>
          <w:szCs w:val="24"/>
        </w:rPr>
        <w:t xml:space="preserve">art. </w:t>
      </w:r>
      <w:r w:rsidR="0080392E">
        <w:rPr>
          <w:rFonts w:ascii="Times New Roman" w:eastAsiaTheme="minorEastAsia" w:hAnsi="Times New Roman" w:cs="Times New Roman"/>
          <w:sz w:val="24"/>
          <w:szCs w:val="24"/>
        </w:rPr>
        <w:t>431</w:t>
      </w:r>
      <w:r w:rsidRPr="003A42FB">
        <w:rPr>
          <w:rFonts w:ascii="Times New Roman" w:eastAsiaTheme="minorEastAsia" w:hAnsi="Times New Roman" w:cs="Times New Roman"/>
          <w:sz w:val="24"/>
          <w:szCs w:val="24"/>
        </w:rPr>
        <w:t xml:space="preserve"> odnosi się do sytuacji stwierdzenia występowania szkodliwych zakłóceń. W takim przypadku Prezes UKE może wydać decyzję o, m.in. czasowym wstrzymaniu używania urządzenia powodującego szkodliwe zakłócenia, zmianie sposobu używania urządzenia, zastosowaniu środków technicznych, czasowym zajęciu urządzenia celem przeprowadzenia badań. </w:t>
      </w:r>
      <w:r w:rsidR="00BE49DF" w:rsidRPr="003A42FB">
        <w:rPr>
          <w:rFonts w:ascii="Times New Roman" w:eastAsiaTheme="minorEastAsia" w:hAnsi="Times New Roman" w:cs="Times New Roman"/>
          <w:sz w:val="24"/>
          <w:szCs w:val="24"/>
        </w:rPr>
        <w:t xml:space="preserve">Projektowany art. </w:t>
      </w:r>
      <w:r w:rsidR="004F3FAD">
        <w:rPr>
          <w:rFonts w:ascii="Times New Roman" w:eastAsiaTheme="minorEastAsia" w:hAnsi="Times New Roman" w:cs="Times New Roman"/>
          <w:sz w:val="24"/>
          <w:szCs w:val="24"/>
        </w:rPr>
        <w:t>432</w:t>
      </w:r>
      <w:r w:rsidR="00BE49DF" w:rsidRPr="003A42FB">
        <w:rPr>
          <w:rFonts w:ascii="Times New Roman" w:eastAsiaTheme="minorEastAsia" w:hAnsi="Times New Roman" w:cs="Times New Roman"/>
          <w:sz w:val="24"/>
          <w:szCs w:val="24"/>
        </w:rPr>
        <w:t xml:space="preserve"> </w:t>
      </w:r>
      <w:r w:rsidR="00D35531" w:rsidRPr="003A42FB">
        <w:rPr>
          <w:rFonts w:ascii="Times New Roman" w:eastAsiaTheme="minorEastAsia" w:hAnsi="Times New Roman" w:cs="Times New Roman"/>
          <w:sz w:val="24"/>
          <w:szCs w:val="24"/>
        </w:rPr>
        <w:t xml:space="preserve">dotyczy natomiast sytuacji, gdy Prezes UKE stwierdzi, że urządzenie może powodować szkodliwe zakłócenia i wymienia możliwe uprawnienia </w:t>
      </w:r>
      <w:r w:rsidR="7ABF0561" w:rsidRPr="003A42FB">
        <w:rPr>
          <w:rFonts w:ascii="Times New Roman" w:eastAsiaTheme="minorEastAsia" w:hAnsi="Times New Roman" w:cs="Times New Roman"/>
          <w:sz w:val="24"/>
          <w:szCs w:val="24"/>
        </w:rPr>
        <w:t>P</w:t>
      </w:r>
      <w:r w:rsidR="4C4738B9" w:rsidRPr="003A42FB">
        <w:rPr>
          <w:rFonts w:ascii="Times New Roman" w:eastAsiaTheme="minorEastAsia" w:hAnsi="Times New Roman" w:cs="Times New Roman"/>
          <w:sz w:val="24"/>
          <w:szCs w:val="24"/>
        </w:rPr>
        <w:t>rezesa</w:t>
      </w:r>
      <w:r w:rsidR="00D35531" w:rsidRPr="003A42FB">
        <w:rPr>
          <w:rFonts w:ascii="Times New Roman" w:eastAsiaTheme="minorEastAsia" w:hAnsi="Times New Roman" w:cs="Times New Roman"/>
          <w:sz w:val="24"/>
          <w:szCs w:val="24"/>
        </w:rPr>
        <w:t xml:space="preserve"> UKE w tym zakresie</w:t>
      </w:r>
      <w:r w:rsidR="008B4110" w:rsidRPr="003A42FB">
        <w:rPr>
          <w:rFonts w:ascii="Times New Roman" w:eastAsiaTheme="minorEastAsia" w:hAnsi="Times New Roman" w:cs="Times New Roman"/>
          <w:sz w:val="24"/>
          <w:szCs w:val="24"/>
        </w:rPr>
        <w:t xml:space="preserve">. </w:t>
      </w:r>
    </w:p>
    <w:p w14:paraId="4C60C0E6" w14:textId="77777777" w:rsidR="0045592B" w:rsidRPr="003A42FB" w:rsidRDefault="008B4110"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O podjętych działa</w:t>
      </w:r>
      <w:r w:rsidR="005622E0" w:rsidRPr="003A42FB">
        <w:rPr>
          <w:rFonts w:ascii="Times New Roman" w:eastAsiaTheme="minorEastAsia" w:hAnsi="Times New Roman" w:cs="Times New Roman"/>
          <w:sz w:val="24"/>
          <w:szCs w:val="24"/>
        </w:rPr>
        <w:t xml:space="preserve">nia na podstawie projektowanych przepisów </w:t>
      </w:r>
      <w:r w:rsidRPr="003A42FB">
        <w:rPr>
          <w:rFonts w:ascii="Times New Roman" w:eastAsiaTheme="minorEastAsia" w:hAnsi="Times New Roman" w:cs="Times New Roman"/>
          <w:sz w:val="24"/>
          <w:szCs w:val="24"/>
        </w:rPr>
        <w:t xml:space="preserve">Prezes UKE jest obowiązany powiadomić Komisję Europejską i państwa członkowskie Unii Europejskiej, co wynika z </w:t>
      </w:r>
      <w:r w:rsidR="004E0B22" w:rsidRPr="003A42FB">
        <w:rPr>
          <w:rFonts w:ascii="Times New Roman" w:eastAsiaTheme="minorEastAsia" w:hAnsi="Times New Roman" w:cs="Times New Roman"/>
          <w:sz w:val="24"/>
          <w:szCs w:val="24"/>
        </w:rPr>
        <w:t xml:space="preserve">dyrektywy Parlamentu Europejskiego i Rady 2014/30/UE z 26 lutego 2014 r. w sprawie </w:t>
      </w:r>
      <w:r w:rsidR="004E0B22" w:rsidRPr="003A42FB">
        <w:rPr>
          <w:rFonts w:ascii="Times New Roman" w:eastAsiaTheme="minorEastAsia" w:hAnsi="Times New Roman" w:cs="Times New Roman"/>
          <w:sz w:val="24"/>
          <w:szCs w:val="24"/>
        </w:rPr>
        <w:lastRenderedPageBreak/>
        <w:t xml:space="preserve">harmonizacji ustawodawstw państw członkowskich odnoszących się do kompatybilności elektromagnetycznej. </w:t>
      </w:r>
      <w:r w:rsidRPr="003A42FB">
        <w:rPr>
          <w:rFonts w:ascii="Times New Roman" w:eastAsiaTheme="minorEastAsia" w:hAnsi="Times New Roman" w:cs="Times New Roman"/>
          <w:sz w:val="24"/>
          <w:szCs w:val="24"/>
        </w:rPr>
        <w:t xml:space="preserve"> </w:t>
      </w:r>
    </w:p>
    <w:p w14:paraId="59E82B63" w14:textId="13E82C3D" w:rsidR="008B4110" w:rsidRPr="003A42FB" w:rsidRDefault="0045592B" w:rsidP="00C53EA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3C5F3B">
        <w:rPr>
          <w:rFonts w:ascii="Times New Roman" w:eastAsiaTheme="minorEastAsia" w:hAnsi="Times New Roman" w:cs="Times New Roman"/>
          <w:b/>
          <w:bCs/>
          <w:sz w:val="24"/>
          <w:szCs w:val="24"/>
        </w:rPr>
        <w:t>434</w:t>
      </w:r>
    </w:p>
    <w:p w14:paraId="671D2CAE" w14:textId="5439E2AF" w:rsidR="00725614" w:rsidRPr="003A42FB" w:rsidRDefault="003667B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Projektowany przepis analogicznie do dotychczas obowiązujących rozwiązań w </w:t>
      </w:r>
      <w:r w:rsidR="00CB38CF"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xml:space="preserve"> wyłącza zasadniczo stosowanie</w:t>
      </w:r>
      <w:r w:rsidR="005622E0" w:rsidRPr="003A42FB">
        <w:rPr>
          <w:rFonts w:ascii="Times New Roman" w:eastAsiaTheme="minorEastAsia" w:hAnsi="Times New Roman" w:cs="Times New Roman"/>
          <w:sz w:val="24"/>
          <w:szCs w:val="24"/>
        </w:rPr>
        <w:t xml:space="preserve"> przepisów dotyczących kontroli</w:t>
      </w:r>
      <w:r w:rsidRPr="003A42FB">
        <w:rPr>
          <w:rFonts w:ascii="Times New Roman" w:eastAsiaTheme="minorEastAsia" w:hAnsi="Times New Roman" w:cs="Times New Roman"/>
          <w:sz w:val="24"/>
          <w:szCs w:val="24"/>
        </w:rPr>
        <w:t xml:space="preserve"> w odniesieniu do użytkowników rządowych, co podyktowane jest specyfiką ich funkcjonowania.</w:t>
      </w:r>
      <w:r w:rsidR="00942BED" w:rsidRPr="003A42FB">
        <w:rPr>
          <w:rFonts w:ascii="Times New Roman" w:eastAsiaTheme="minorEastAsia" w:hAnsi="Times New Roman" w:cs="Times New Roman"/>
          <w:sz w:val="24"/>
          <w:szCs w:val="24"/>
        </w:rPr>
        <w:t xml:space="preserve"> Projektowany ust. 2 zawiera upoważnienie do wydania dla </w:t>
      </w:r>
      <w:r w:rsidR="0049727B" w:rsidRPr="003A42FB">
        <w:rPr>
          <w:rFonts w:ascii="Times New Roman" w:eastAsiaTheme="minorEastAsia" w:hAnsi="Times New Roman" w:cs="Times New Roman"/>
          <w:sz w:val="24"/>
          <w:szCs w:val="24"/>
        </w:rPr>
        <w:t>wskazanych w nim użytkowników rządowych</w:t>
      </w:r>
      <w:r w:rsidR="00942BED" w:rsidRPr="003A42FB">
        <w:rPr>
          <w:rFonts w:ascii="Times New Roman" w:eastAsiaTheme="minorEastAsia" w:hAnsi="Times New Roman" w:cs="Times New Roman"/>
          <w:sz w:val="24"/>
          <w:szCs w:val="24"/>
        </w:rPr>
        <w:t xml:space="preserve"> rozporządzenia Prezesa R</w:t>
      </w:r>
      <w:r w:rsidR="0049727B" w:rsidRPr="003A42FB">
        <w:rPr>
          <w:rFonts w:ascii="Times New Roman" w:eastAsiaTheme="minorEastAsia" w:hAnsi="Times New Roman" w:cs="Times New Roman"/>
          <w:sz w:val="24"/>
          <w:szCs w:val="24"/>
        </w:rPr>
        <w:t xml:space="preserve">ady </w:t>
      </w:r>
      <w:r w:rsidR="00942BED" w:rsidRPr="003A42FB">
        <w:rPr>
          <w:rFonts w:ascii="Times New Roman" w:eastAsiaTheme="minorEastAsia" w:hAnsi="Times New Roman" w:cs="Times New Roman"/>
          <w:sz w:val="24"/>
          <w:szCs w:val="24"/>
        </w:rPr>
        <w:t>M</w:t>
      </w:r>
      <w:r w:rsidR="0049727B" w:rsidRPr="003A42FB">
        <w:rPr>
          <w:rFonts w:ascii="Times New Roman" w:eastAsiaTheme="minorEastAsia" w:hAnsi="Times New Roman" w:cs="Times New Roman"/>
          <w:sz w:val="24"/>
          <w:szCs w:val="24"/>
        </w:rPr>
        <w:t>inistrów</w:t>
      </w:r>
      <w:r w:rsidR="00942BED" w:rsidRPr="003A42FB">
        <w:rPr>
          <w:rFonts w:ascii="Times New Roman" w:eastAsiaTheme="minorEastAsia" w:hAnsi="Times New Roman" w:cs="Times New Roman"/>
          <w:sz w:val="24"/>
          <w:szCs w:val="24"/>
        </w:rPr>
        <w:t xml:space="preserve"> w sprawie usuwania zakłóceń powodowanych przez urząd</w:t>
      </w:r>
      <w:r w:rsidR="0049727B" w:rsidRPr="003A42FB">
        <w:rPr>
          <w:rFonts w:ascii="Times New Roman" w:eastAsiaTheme="minorEastAsia" w:hAnsi="Times New Roman" w:cs="Times New Roman"/>
          <w:sz w:val="24"/>
          <w:szCs w:val="24"/>
        </w:rPr>
        <w:t>zenia używane przez tych użytkowników. Ponadto w ust. 3 zawarto upoważnienie do wydania przez Ministra Sprawiedliwości w porozumieniu z ministrem właściwym do spraw informatyzacji rozporządzenia określającego sposób przeprowadzania postępowania kontrolnego i pokontrolnego przez Prezesa UKE wobec jednostek organizacyjnych Służby Więziennej.</w:t>
      </w:r>
    </w:p>
    <w:p w14:paraId="6C7F89F0" w14:textId="77777777" w:rsidR="00696205" w:rsidRPr="003A42FB" w:rsidRDefault="00696205" w:rsidP="00C53EAB">
      <w:pPr>
        <w:pStyle w:val="ROZDZODDZOZNoznaczenierozdziauluboddziau"/>
        <w:spacing w:before="0" w:after="120" w:line="240" w:lineRule="auto"/>
        <w:jc w:val="both"/>
        <w:rPr>
          <w:rFonts w:ascii="Times New Roman" w:hAnsi="Times New Roman" w:cs="Times New Roman"/>
          <w:b/>
          <w:lang w:eastAsia="en-US"/>
        </w:rPr>
      </w:pPr>
    </w:p>
    <w:p w14:paraId="7FEFA9A1" w14:textId="77777777" w:rsidR="00983602" w:rsidRPr="003A42FB" w:rsidRDefault="00983602" w:rsidP="00C53EAB">
      <w:pPr>
        <w:pStyle w:val="ROZDZODDZOZNoznaczenierozdziauluboddziau"/>
        <w:spacing w:before="0" w:after="120" w:line="240" w:lineRule="auto"/>
        <w:jc w:val="both"/>
        <w:rPr>
          <w:rFonts w:ascii="Times New Roman" w:hAnsi="Times New Roman" w:cs="Times New Roman"/>
          <w:b/>
        </w:rPr>
      </w:pPr>
      <w:r w:rsidRPr="003A42FB">
        <w:rPr>
          <w:rFonts w:ascii="Times New Roman" w:hAnsi="Times New Roman" w:cs="Times New Roman"/>
          <w:b/>
          <w:lang w:eastAsia="en-US"/>
        </w:rPr>
        <w:t>ROZDZIAŁ 3. Postępowanie przed Prezesem UKE</w:t>
      </w:r>
    </w:p>
    <w:p w14:paraId="0E2DE534" w14:textId="761A18D4" w:rsidR="003A4E05" w:rsidRPr="003A42FB" w:rsidRDefault="003A4E05" w:rsidP="00C53EAB">
      <w:pPr>
        <w:pStyle w:val="Akapitzlist"/>
        <w:spacing w:after="120" w:line="240" w:lineRule="auto"/>
        <w:ind w:left="0"/>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Projektowane przepisy bazują na rozwiązaniach wypracowanych już na gruncie ustawy</w:t>
      </w:r>
      <w:r w:rsidR="15D44D29" w:rsidRPr="003A42FB">
        <w:rPr>
          <w:rFonts w:ascii="Times New Roman" w:eastAsiaTheme="minorEastAsia" w:hAnsi="Times New Roman" w:cs="Times New Roman"/>
          <w:sz w:val="24"/>
          <w:szCs w:val="24"/>
        </w:rPr>
        <w:t xml:space="preserve"> Pt</w:t>
      </w:r>
      <w:r w:rsidR="62301D6A" w:rsidRPr="003A42FB">
        <w:rPr>
          <w:rFonts w:ascii="Times New Roman" w:eastAsiaTheme="minorEastAsia" w:hAnsi="Times New Roman" w:cs="Times New Roman"/>
          <w:sz w:val="24"/>
          <w:szCs w:val="24"/>
        </w:rPr>
        <w:t>. R</w:t>
      </w:r>
      <w:r w:rsidR="4F15C54F" w:rsidRPr="003A42FB">
        <w:rPr>
          <w:rFonts w:ascii="Times New Roman" w:eastAsiaTheme="minorEastAsia" w:hAnsi="Times New Roman" w:cs="Times New Roman"/>
          <w:sz w:val="24"/>
          <w:szCs w:val="24"/>
        </w:rPr>
        <w:t>egulacje w tym zakresie zawiera Rozdział 3. działu X ustawy Pt</w:t>
      </w:r>
      <w:r w:rsidR="594B38B9" w:rsidRPr="003A42FB">
        <w:rPr>
          <w:rFonts w:ascii="Times New Roman" w:eastAsiaTheme="minorEastAsia" w:hAnsi="Times New Roman" w:cs="Times New Roman"/>
          <w:sz w:val="24"/>
          <w:szCs w:val="24"/>
        </w:rPr>
        <w:t xml:space="preserve"> (art. 206-207a</w:t>
      </w:r>
      <w:r w:rsidR="4F15C54F"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w:t>
      </w:r>
    </w:p>
    <w:p w14:paraId="78BEC25C" w14:textId="0DCD8581" w:rsidR="003A4E05" w:rsidRPr="003A42FB" w:rsidRDefault="00B6600D" w:rsidP="00C53EAB">
      <w:pPr>
        <w:pStyle w:val="Akapitzlist"/>
        <w:spacing w:after="120" w:line="240" w:lineRule="auto"/>
        <w:ind w:left="0"/>
        <w:contextualSpacing w:val="0"/>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3C5F3B">
        <w:rPr>
          <w:rFonts w:ascii="Times New Roman" w:eastAsiaTheme="minorEastAsia" w:hAnsi="Times New Roman" w:cs="Times New Roman"/>
          <w:b/>
          <w:sz w:val="24"/>
          <w:szCs w:val="24"/>
        </w:rPr>
        <w:t>435</w:t>
      </w:r>
      <w:r w:rsidR="003A4E05" w:rsidRPr="003A42FB">
        <w:rPr>
          <w:rFonts w:ascii="Times New Roman" w:eastAsiaTheme="minorEastAsia" w:hAnsi="Times New Roman" w:cs="Times New Roman"/>
          <w:b/>
          <w:sz w:val="24"/>
          <w:szCs w:val="24"/>
        </w:rPr>
        <w:t xml:space="preserve"> </w:t>
      </w:r>
    </w:p>
    <w:p w14:paraId="4918B95F" w14:textId="437DC9E0" w:rsidR="003A4E05" w:rsidRPr="003A42FB" w:rsidRDefault="789C0695" w:rsidP="00C53EAB">
      <w:pPr>
        <w:pStyle w:val="Akapitzlist"/>
        <w:spacing w:after="120" w:line="240" w:lineRule="auto"/>
        <w:ind w:left="0"/>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Zgodnie z proponowanym </w:t>
      </w:r>
      <w:r w:rsidR="216FC0CB" w:rsidRPr="003A42FB">
        <w:rPr>
          <w:rFonts w:ascii="Times New Roman" w:eastAsiaTheme="minorEastAsia" w:hAnsi="Times New Roman" w:cs="Times New Roman"/>
          <w:sz w:val="24"/>
          <w:szCs w:val="24"/>
        </w:rPr>
        <w:t>przepisem</w:t>
      </w:r>
      <w:r w:rsidRPr="003A42FB">
        <w:rPr>
          <w:rFonts w:ascii="Times New Roman" w:eastAsiaTheme="minorEastAsia" w:hAnsi="Times New Roman" w:cs="Times New Roman"/>
          <w:sz w:val="24"/>
          <w:szCs w:val="24"/>
        </w:rPr>
        <w:t xml:space="preserve"> postępowanie przed Prezesem UKE co do zasady toczy się na podstawie przepisów kpa. Odstępstwa od stosowania tej zasady będą wynikać z projektowanej ustawy </w:t>
      </w:r>
      <w:r w:rsidR="43404BD5"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lub z ustawy o wspieraniu rozwoju usług i sieci telekomunikacyjnych. Są to w szczególności przepisy dotyczące postępowania konsultacyjnego i konsolidacyjnego, odrębny tryb zaskarżania o</w:t>
      </w:r>
      <w:r w:rsidR="216FC0CB" w:rsidRPr="003A42FB">
        <w:rPr>
          <w:rFonts w:ascii="Times New Roman" w:eastAsiaTheme="minorEastAsia" w:hAnsi="Times New Roman" w:cs="Times New Roman"/>
          <w:sz w:val="24"/>
          <w:szCs w:val="24"/>
        </w:rPr>
        <w:t>kreślonych decyzji Prezesa UKE.</w:t>
      </w:r>
    </w:p>
    <w:p w14:paraId="4AB88221" w14:textId="77FA5232" w:rsidR="003A4E05" w:rsidRPr="003A42FB" w:rsidRDefault="003A4E05" w:rsidP="00C53EAB">
      <w:pPr>
        <w:pStyle w:val="Akapitzlist"/>
        <w:autoSpaceDN w:val="0"/>
        <w:spacing w:after="120" w:line="240" w:lineRule="auto"/>
        <w:ind w:left="0"/>
        <w:contextualSpacing w:val="0"/>
        <w:jc w:val="both"/>
        <w:rPr>
          <w:rFonts w:ascii="Times New Roman" w:eastAsiaTheme="minorEastAsia" w:hAnsi="Times New Roman" w:cs="Times New Roman"/>
          <w:sz w:val="24"/>
          <w:szCs w:val="24"/>
          <w:lang w:eastAsia="zh-CN"/>
        </w:rPr>
      </w:pPr>
      <w:r w:rsidRPr="003A42FB">
        <w:rPr>
          <w:rFonts w:ascii="Times New Roman" w:eastAsiaTheme="minorEastAsia" w:hAnsi="Times New Roman" w:cs="Times New Roman"/>
          <w:sz w:val="24"/>
          <w:szCs w:val="24"/>
        </w:rPr>
        <w:t xml:space="preserve">Projektowany </w:t>
      </w:r>
      <w:r w:rsidR="00983602" w:rsidRPr="003A42FB">
        <w:rPr>
          <w:rFonts w:ascii="Times New Roman" w:eastAsiaTheme="minorEastAsia" w:hAnsi="Times New Roman" w:cs="Times New Roman"/>
          <w:sz w:val="24"/>
          <w:szCs w:val="24"/>
        </w:rPr>
        <w:t>przepis</w:t>
      </w:r>
      <w:r w:rsidRPr="003A42FB">
        <w:rPr>
          <w:rFonts w:ascii="Times New Roman" w:eastAsiaTheme="minorEastAsia" w:hAnsi="Times New Roman" w:cs="Times New Roman"/>
          <w:sz w:val="24"/>
          <w:szCs w:val="24"/>
        </w:rPr>
        <w:t xml:space="preserve"> jest ko</w:t>
      </w:r>
      <w:r w:rsidR="00B6600D" w:rsidRPr="003A42FB">
        <w:rPr>
          <w:rFonts w:ascii="Times New Roman" w:eastAsiaTheme="minorEastAsia" w:hAnsi="Times New Roman" w:cs="Times New Roman"/>
          <w:sz w:val="24"/>
          <w:szCs w:val="24"/>
        </w:rPr>
        <w:t>nsekwencją brzmienia art. 31 EKŁ</w:t>
      </w:r>
      <w:r w:rsidRPr="003A42FB">
        <w:rPr>
          <w:rFonts w:ascii="Times New Roman" w:eastAsiaTheme="minorEastAsia" w:hAnsi="Times New Roman" w:cs="Times New Roman"/>
          <w:sz w:val="24"/>
          <w:szCs w:val="24"/>
        </w:rPr>
        <w:t>E, który reguluje prawo odwołania się. Zgodnie z tym przepisem państwa członkowskie</w:t>
      </w:r>
      <w:r w:rsidRPr="003A42FB">
        <w:rPr>
          <w:rFonts w:ascii="Times New Roman" w:eastAsiaTheme="minorEastAsia" w:hAnsi="Times New Roman" w:cs="Times New Roman"/>
          <w:sz w:val="24"/>
          <w:szCs w:val="24"/>
          <w:lang w:eastAsia="zh-CN"/>
        </w:rPr>
        <w:t xml:space="preserve"> zapewniają, aby na poziomie krajowym istniały skuteczne mechanizmy umożliwiające użytkownikom lub przedsiębiorstwom udostępniającym sieci lub świadczącym usługi łączności elektronicznej lub udostępniającym urządzenia towarzyszące, których dotyczy dana decyzja wydana przez właściwy organ, korzystanie z prawa odwołania się od takiej decyzji do organu odwoławczego niezależnego od zaangażowanych stron oraz od wszelkiej zewnętrznej interwencji lub presji politycznej, która mogłaby przeszkodzić mu w niezależnej ocenie zawisłych przed nim spraw. Organ taki, który może być sądem, dysponuje odpowiednią wiedzą specjalistyczną pozwalającą mu na skuteczne wypełnianie swoich funkcji. Jeżeli organ odwoławczy nie jest organem sądowym, musi on zawsze sporządzić na piśmie uzasadnienie swojej decyzji. Ponadto w takim przypadku decyzja takiego organu musi podlegać kontroli przez organ sądowy. Państwa członkowskie mają obowiązek zagwarantowania istnienia skutecznych środków odwoławczych.</w:t>
      </w:r>
    </w:p>
    <w:p w14:paraId="26490A70" w14:textId="4BB66340" w:rsidR="007919A2" w:rsidRPr="003A42FB" w:rsidRDefault="003A4E05" w:rsidP="00C53EAB">
      <w:pPr>
        <w:pStyle w:val="CZWSPPKTczwsplnapunktw"/>
        <w:spacing w:after="120"/>
        <w:rPr>
          <w:rFonts w:eastAsiaTheme="minorEastAsia" w:cs="Times New Roman"/>
          <w:sz w:val="24"/>
          <w:szCs w:val="24"/>
          <w:lang w:eastAsia="zh-CN"/>
        </w:rPr>
      </w:pPr>
      <w:r w:rsidRPr="003A42FB">
        <w:rPr>
          <w:rFonts w:eastAsiaTheme="minorEastAsia" w:cs="Times New Roman"/>
          <w:sz w:val="24"/>
          <w:szCs w:val="24"/>
          <w:lang w:eastAsia="zh-CN"/>
        </w:rPr>
        <w:t xml:space="preserve">Projektowany przepis przenosi w zakresie procedury odwoławczej regulacje zawarte w </w:t>
      </w:r>
      <w:r w:rsidR="00CB38CF" w:rsidRPr="003A42FB">
        <w:rPr>
          <w:rFonts w:eastAsiaTheme="minorEastAsia" w:cs="Times New Roman"/>
          <w:sz w:val="24"/>
          <w:szCs w:val="24"/>
          <w:lang w:eastAsia="zh-CN"/>
        </w:rPr>
        <w:t>Pt</w:t>
      </w:r>
      <w:r w:rsidRPr="003A42FB">
        <w:rPr>
          <w:rFonts w:eastAsiaTheme="minorEastAsia" w:cs="Times New Roman"/>
          <w:sz w:val="24"/>
          <w:szCs w:val="24"/>
          <w:lang w:eastAsia="zh-CN"/>
        </w:rPr>
        <w:t xml:space="preserve">, zatem można wyróżnić dwa tryby odwoławczego od decyzji Prezesa UKE. Pierwszy to tryb wynikający ze stosowania przepisów kpa oraz ustawy o postępowaniu przed sądami administracyjnymi. W trybie tym stronie, niezadowolonej z rozstrzygnięcia Prezesa UKE przysługuje wniosek o ponowne rozpatrzenie sprawy przez Prezesa UKE lub wniesienie skargi wprost do sądu administracyjnego. </w:t>
      </w:r>
      <w:r w:rsidRPr="003A42FB">
        <w:rPr>
          <w:rFonts w:eastAsiaTheme="minorEastAsia" w:cs="Times New Roman"/>
          <w:sz w:val="24"/>
          <w:szCs w:val="24"/>
        </w:rPr>
        <w:t>Na decyzję wydaną w wyniku ponownego rozpatrzenia sprawy stronie przysługuje skarga do wojewódzkiego sądu administracyjnego</w:t>
      </w:r>
      <w:r w:rsidRPr="003A42FB">
        <w:rPr>
          <w:rFonts w:eastAsiaTheme="minorEastAsia" w:cs="Times New Roman"/>
          <w:sz w:val="24"/>
          <w:szCs w:val="24"/>
          <w:lang w:eastAsia="zh-CN"/>
        </w:rPr>
        <w:t xml:space="preserve">. </w:t>
      </w:r>
    </w:p>
    <w:p w14:paraId="4EE6B96B" w14:textId="20874C87" w:rsidR="00D34BAF" w:rsidRPr="003A42FB" w:rsidRDefault="003A4E05" w:rsidP="0F7C0C7B">
      <w:pPr>
        <w:pStyle w:val="CZWSPPKTczwsplnapunktw"/>
        <w:spacing w:after="120"/>
        <w:rPr>
          <w:rFonts w:eastAsiaTheme="minorEastAsia" w:cs="Times New Roman"/>
          <w:sz w:val="24"/>
          <w:szCs w:val="24"/>
        </w:rPr>
      </w:pPr>
      <w:r w:rsidRPr="0F7C0C7B">
        <w:rPr>
          <w:rFonts w:eastAsiaTheme="minorEastAsia" w:cs="Times New Roman"/>
          <w:sz w:val="24"/>
          <w:szCs w:val="24"/>
          <w:lang w:eastAsia="zh-CN"/>
        </w:rPr>
        <w:t xml:space="preserve">Drugi tryb stanowi odstępstwo od zasad </w:t>
      </w:r>
      <w:r w:rsidR="007919A2" w:rsidRPr="0F7C0C7B">
        <w:rPr>
          <w:rFonts w:eastAsiaTheme="minorEastAsia" w:cs="Times New Roman"/>
          <w:sz w:val="24"/>
          <w:szCs w:val="24"/>
          <w:lang w:eastAsia="zh-CN"/>
        </w:rPr>
        <w:t>przewidzianych</w:t>
      </w:r>
      <w:r w:rsidRPr="0F7C0C7B">
        <w:rPr>
          <w:rFonts w:eastAsiaTheme="minorEastAsia" w:cs="Times New Roman"/>
          <w:sz w:val="24"/>
          <w:szCs w:val="24"/>
          <w:lang w:eastAsia="zh-CN"/>
        </w:rPr>
        <w:t xml:space="preserve"> w kpa i jak wskazuje projektowany </w:t>
      </w:r>
      <w:r w:rsidR="00983602" w:rsidRPr="0F7C0C7B">
        <w:rPr>
          <w:rFonts w:eastAsiaTheme="minorEastAsia" w:cs="Times New Roman"/>
          <w:sz w:val="24"/>
          <w:szCs w:val="24"/>
          <w:lang w:eastAsia="zh-CN"/>
        </w:rPr>
        <w:t>przepis</w:t>
      </w:r>
      <w:r w:rsidRPr="0F7C0C7B">
        <w:rPr>
          <w:rFonts w:eastAsiaTheme="minorEastAsia" w:cs="Times New Roman"/>
          <w:sz w:val="24"/>
          <w:szCs w:val="24"/>
          <w:lang w:eastAsia="zh-CN"/>
        </w:rPr>
        <w:t xml:space="preserve"> od decyzji </w:t>
      </w:r>
      <w:r w:rsidR="6BAFE2A6" w:rsidRPr="0F7C0C7B">
        <w:rPr>
          <w:rFonts w:eastAsiaTheme="minorEastAsia" w:cs="Times New Roman"/>
          <w:sz w:val="24"/>
          <w:szCs w:val="24"/>
          <w:lang w:eastAsia="zh-CN"/>
        </w:rPr>
        <w:t xml:space="preserve">i postanowień </w:t>
      </w:r>
      <w:r w:rsidRPr="0F7C0C7B">
        <w:rPr>
          <w:rFonts w:eastAsiaTheme="minorEastAsia" w:cs="Times New Roman"/>
          <w:sz w:val="24"/>
          <w:szCs w:val="24"/>
          <w:lang w:eastAsia="zh-CN"/>
        </w:rPr>
        <w:t xml:space="preserve">wymienionych w tym przepisie służy odwołanie do </w:t>
      </w:r>
      <w:r w:rsidRPr="0F7C0C7B">
        <w:rPr>
          <w:rFonts w:eastAsiaTheme="minorEastAsia" w:cs="Times New Roman"/>
          <w:sz w:val="24"/>
          <w:szCs w:val="24"/>
        </w:rPr>
        <w:t xml:space="preserve">Sądu </w:t>
      </w:r>
      <w:r w:rsidRPr="0F7C0C7B">
        <w:rPr>
          <w:rFonts w:eastAsiaTheme="minorEastAsia" w:cs="Times New Roman"/>
          <w:sz w:val="24"/>
          <w:szCs w:val="24"/>
        </w:rPr>
        <w:lastRenderedPageBreak/>
        <w:t xml:space="preserve">Okręgowego w Warszawie - Sądu Ochrony Konkurencji i Konsumentów. Przepis dotyczy </w:t>
      </w:r>
      <w:r w:rsidR="4396FF8C" w:rsidRPr="0F7C0C7B">
        <w:rPr>
          <w:rFonts w:eastAsiaTheme="minorEastAsia" w:cs="Times New Roman"/>
          <w:sz w:val="24"/>
          <w:szCs w:val="24"/>
        </w:rPr>
        <w:t xml:space="preserve">w szczególności </w:t>
      </w:r>
      <w:r w:rsidRPr="0F7C0C7B">
        <w:rPr>
          <w:rFonts w:eastAsiaTheme="minorEastAsia" w:cs="Times New Roman"/>
          <w:sz w:val="24"/>
          <w:szCs w:val="24"/>
        </w:rPr>
        <w:t xml:space="preserve">decyzji </w:t>
      </w:r>
      <w:r w:rsidR="007F413D" w:rsidRPr="0F7C0C7B">
        <w:rPr>
          <w:rFonts w:eastAsiaTheme="minorEastAsia" w:cs="Times New Roman"/>
          <w:sz w:val="24"/>
          <w:szCs w:val="24"/>
        </w:rPr>
        <w:t>o ustaleniu znaczącej pozycji rynkowej, w sprawie nałożenia, zniesienia, zmiany lub uchylenia obowiązków regulacyjnych</w:t>
      </w:r>
      <w:r w:rsidR="360C8831" w:rsidRPr="0F7C0C7B">
        <w:rPr>
          <w:rFonts w:eastAsiaTheme="minorEastAsia" w:cs="Times New Roman"/>
          <w:sz w:val="24"/>
          <w:szCs w:val="24"/>
        </w:rPr>
        <w:t xml:space="preserve"> oraz obowiązków dostępowych symetrycznych</w:t>
      </w:r>
      <w:r w:rsidRPr="0F7C0C7B">
        <w:rPr>
          <w:rFonts w:eastAsiaTheme="minorEastAsia" w:cs="Times New Roman"/>
          <w:sz w:val="24"/>
          <w:szCs w:val="24"/>
        </w:rPr>
        <w:t xml:space="preserve">, </w:t>
      </w:r>
      <w:r w:rsidR="007F413D" w:rsidRPr="0F7C0C7B">
        <w:rPr>
          <w:rFonts w:eastAsiaTheme="minorEastAsia" w:cs="Times New Roman"/>
          <w:sz w:val="24"/>
          <w:szCs w:val="24"/>
        </w:rPr>
        <w:t>w sprawie nałożenia kar, wydawanych w sprawach spornych</w:t>
      </w:r>
      <w:r w:rsidR="1929F84D" w:rsidRPr="0F7C0C7B">
        <w:rPr>
          <w:rFonts w:eastAsiaTheme="minorEastAsia" w:cs="Times New Roman"/>
          <w:sz w:val="24"/>
          <w:szCs w:val="24"/>
        </w:rPr>
        <w:t>, wydawanych w związku z działani</w:t>
      </w:r>
      <w:r w:rsidR="0E559ED9" w:rsidRPr="0F7C0C7B">
        <w:rPr>
          <w:rFonts w:eastAsiaTheme="minorEastAsia" w:cs="Times New Roman"/>
          <w:sz w:val="24"/>
          <w:szCs w:val="24"/>
        </w:rPr>
        <w:t>ami kontrolnymi Prezesa UKE</w:t>
      </w:r>
      <w:r w:rsidR="007F413D" w:rsidRPr="0F7C0C7B">
        <w:rPr>
          <w:rFonts w:eastAsiaTheme="minorEastAsia" w:cs="Times New Roman"/>
          <w:sz w:val="24"/>
          <w:szCs w:val="24"/>
        </w:rPr>
        <w:t>.</w:t>
      </w:r>
      <w:r w:rsidR="007919A2" w:rsidRPr="0F7C0C7B">
        <w:rPr>
          <w:rFonts w:eastAsiaTheme="minorEastAsia" w:cs="Times New Roman"/>
          <w:sz w:val="24"/>
          <w:szCs w:val="24"/>
        </w:rPr>
        <w:t xml:space="preserve"> </w:t>
      </w:r>
      <w:r w:rsidR="00C55F47" w:rsidRPr="0F7C0C7B">
        <w:rPr>
          <w:rFonts w:eastAsiaTheme="minorEastAsia" w:cs="Times New Roman"/>
          <w:sz w:val="24"/>
          <w:szCs w:val="24"/>
        </w:rPr>
        <w:t xml:space="preserve">Rozpatrywanie tych spraw przez SOKiK wynika </w:t>
      </w:r>
      <w:r w:rsidR="00AF68F3" w:rsidRPr="0F7C0C7B">
        <w:rPr>
          <w:rFonts w:eastAsiaTheme="minorEastAsia" w:cs="Times New Roman"/>
          <w:sz w:val="24"/>
          <w:szCs w:val="24"/>
        </w:rPr>
        <w:t xml:space="preserve">z ich specyfiki, </w:t>
      </w:r>
      <w:r w:rsidR="00C55F47" w:rsidRPr="0F7C0C7B">
        <w:rPr>
          <w:rFonts w:eastAsiaTheme="minorEastAsia" w:cs="Times New Roman"/>
          <w:sz w:val="24"/>
          <w:szCs w:val="24"/>
        </w:rPr>
        <w:t xml:space="preserve">potrzeby zagwarantowania, że odwołanie zostanie rozpatrzone również merytorycznie przez </w:t>
      </w:r>
      <w:r w:rsidR="00AF68F3" w:rsidRPr="0F7C0C7B">
        <w:rPr>
          <w:rFonts w:eastAsiaTheme="minorEastAsia" w:cs="Times New Roman"/>
          <w:sz w:val="24"/>
          <w:szCs w:val="24"/>
        </w:rPr>
        <w:t>organ</w:t>
      </w:r>
      <w:r w:rsidR="00922E6B" w:rsidRPr="0F7C0C7B">
        <w:rPr>
          <w:rFonts w:eastAsiaTheme="minorEastAsia" w:cs="Times New Roman"/>
          <w:sz w:val="24"/>
          <w:szCs w:val="24"/>
        </w:rPr>
        <w:t xml:space="preserve"> odwoławczy w rozumieniu przepisów EKŁE.</w:t>
      </w:r>
      <w:r w:rsidR="00C55F47" w:rsidRPr="0F7C0C7B">
        <w:rPr>
          <w:rFonts w:eastAsiaTheme="minorEastAsia" w:cs="Times New Roman"/>
          <w:sz w:val="24"/>
          <w:szCs w:val="24"/>
        </w:rPr>
        <w:t xml:space="preserve"> </w:t>
      </w:r>
      <w:r w:rsidR="00720DB3" w:rsidRPr="0F7C0C7B">
        <w:rPr>
          <w:rFonts w:eastAsiaTheme="minorEastAsia" w:cs="Times New Roman"/>
          <w:sz w:val="24"/>
          <w:szCs w:val="24"/>
        </w:rPr>
        <w:t>Postępowania w sprawach odwołań, o których mowa w ust. 2</w:t>
      </w:r>
      <w:r w:rsidR="6CF24C7B" w:rsidRPr="0F7C0C7B">
        <w:rPr>
          <w:rFonts w:eastAsiaTheme="minorEastAsia" w:cs="Times New Roman"/>
          <w:sz w:val="24"/>
          <w:szCs w:val="24"/>
        </w:rPr>
        <w:t xml:space="preserve"> i 3</w:t>
      </w:r>
      <w:r w:rsidR="00720DB3" w:rsidRPr="0F7C0C7B">
        <w:rPr>
          <w:rFonts w:eastAsiaTheme="minorEastAsia" w:cs="Times New Roman"/>
          <w:sz w:val="24"/>
          <w:szCs w:val="24"/>
        </w:rPr>
        <w:t xml:space="preserve">, toczą się według przepisów </w:t>
      </w:r>
      <w:r w:rsidR="00F6284A" w:rsidRPr="0F7C0C7B">
        <w:rPr>
          <w:rFonts w:eastAsiaTheme="minorEastAsia" w:cs="Times New Roman"/>
          <w:sz w:val="24"/>
          <w:szCs w:val="24"/>
        </w:rPr>
        <w:t>kpc</w:t>
      </w:r>
      <w:r w:rsidR="00720DB3" w:rsidRPr="0F7C0C7B">
        <w:rPr>
          <w:rFonts w:eastAsiaTheme="minorEastAsia" w:cs="Times New Roman"/>
          <w:sz w:val="24"/>
          <w:szCs w:val="24"/>
        </w:rPr>
        <w:t xml:space="preserve"> o postępowaniu w sprawach z zakresu regulacji telekomunikacji i poczty (</w:t>
      </w:r>
      <w:r w:rsidR="00720DB3" w:rsidRPr="0F7C0C7B">
        <w:rPr>
          <w:rStyle w:val="articletitle"/>
          <w:rFonts w:eastAsiaTheme="minorEastAsia" w:cs="Times New Roman"/>
          <w:sz w:val="24"/>
          <w:szCs w:val="24"/>
        </w:rPr>
        <w:t>479</w:t>
      </w:r>
      <w:r w:rsidR="00720DB3" w:rsidRPr="0F7C0C7B">
        <w:rPr>
          <w:rStyle w:val="articletitle"/>
          <w:rFonts w:eastAsiaTheme="minorEastAsia" w:cs="Times New Roman"/>
          <w:sz w:val="24"/>
          <w:szCs w:val="24"/>
          <w:vertAlign w:val="superscript"/>
        </w:rPr>
        <w:t>57</w:t>
      </w:r>
      <w:r w:rsidR="00720DB3" w:rsidRPr="0F7C0C7B">
        <w:rPr>
          <w:rStyle w:val="articletitle"/>
          <w:rFonts w:eastAsiaTheme="minorEastAsia" w:cs="Times New Roman"/>
          <w:sz w:val="24"/>
          <w:szCs w:val="24"/>
        </w:rPr>
        <w:t>–479</w:t>
      </w:r>
      <w:r w:rsidR="00720DB3" w:rsidRPr="0F7C0C7B">
        <w:rPr>
          <w:rStyle w:val="articletitle"/>
          <w:rFonts w:eastAsiaTheme="minorEastAsia" w:cs="Times New Roman"/>
          <w:sz w:val="24"/>
          <w:szCs w:val="24"/>
          <w:vertAlign w:val="superscript"/>
        </w:rPr>
        <w:t xml:space="preserve">67 </w:t>
      </w:r>
      <w:r w:rsidR="00B6600D" w:rsidRPr="0F7C0C7B">
        <w:rPr>
          <w:rStyle w:val="articletitle"/>
          <w:rFonts w:eastAsiaTheme="minorEastAsia" w:cs="Times New Roman"/>
          <w:sz w:val="24"/>
          <w:szCs w:val="24"/>
        </w:rPr>
        <w:t>kpc).</w:t>
      </w:r>
    </w:p>
    <w:p w14:paraId="0DADFC32" w14:textId="7EEF31E0" w:rsidR="00145DC4" w:rsidRPr="003A42FB" w:rsidRDefault="00145DC4" w:rsidP="00C53EAB">
      <w:pPr>
        <w:pStyle w:val="Akapitzlist"/>
        <w:autoSpaceDN w:val="0"/>
        <w:spacing w:after="120" w:line="240" w:lineRule="auto"/>
        <w:ind w:left="0"/>
        <w:contextualSpacing w:val="0"/>
        <w:jc w:val="both"/>
        <w:rPr>
          <w:rFonts w:ascii="Times New Roman" w:eastAsiaTheme="minorEastAsia" w:hAnsi="Times New Roman" w:cs="Times New Roman"/>
          <w:b/>
          <w:sz w:val="24"/>
          <w:szCs w:val="24"/>
          <w:lang w:eastAsia="zh-CN"/>
        </w:rPr>
      </w:pPr>
      <w:r w:rsidRPr="003A42FB">
        <w:rPr>
          <w:rFonts w:ascii="Times New Roman" w:eastAsiaTheme="minorEastAsia" w:hAnsi="Times New Roman" w:cs="Times New Roman"/>
          <w:b/>
          <w:sz w:val="24"/>
          <w:szCs w:val="24"/>
          <w:lang w:eastAsia="zh-CN"/>
        </w:rPr>
        <w:t xml:space="preserve">Art. </w:t>
      </w:r>
      <w:r w:rsidR="003C5F3B">
        <w:rPr>
          <w:rFonts w:ascii="Times New Roman" w:eastAsiaTheme="minorEastAsia" w:hAnsi="Times New Roman" w:cs="Times New Roman"/>
          <w:b/>
          <w:bCs/>
          <w:sz w:val="24"/>
          <w:szCs w:val="24"/>
          <w:lang w:eastAsia="zh-CN"/>
        </w:rPr>
        <w:t>436</w:t>
      </w:r>
    </w:p>
    <w:p w14:paraId="43E3447E" w14:textId="77777777" w:rsidR="00797D4B" w:rsidRPr="003A42FB" w:rsidRDefault="00145DC4" w:rsidP="00C53EAB">
      <w:pPr>
        <w:pStyle w:val="Akapitzlist"/>
        <w:autoSpaceDN w:val="0"/>
        <w:spacing w:after="120" w:line="240" w:lineRule="auto"/>
        <w:ind w:left="0"/>
        <w:contextualSpacing w:val="0"/>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lang w:eastAsia="zh-CN"/>
        </w:rPr>
        <w:t xml:space="preserve">Przepis stanowi wdrożenie art. 31 ust. 3 EKŁE, który dotyczy obowiązku państw członkowskich gromadzenia informacji </w:t>
      </w:r>
      <w:r w:rsidRPr="003A42FB">
        <w:rPr>
          <w:rFonts w:ascii="Times New Roman" w:eastAsiaTheme="minorEastAsia" w:hAnsi="Times New Roman" w:cs="Times New Roman"/>
          <w:sz w:val="24"/>
          <w:szCs w:val="24"/>
        </w:rPr>
        <w:t>na temat ogólnego przedmiotu odwołań, liczby wniosków odwoławczych, czasu trwania postępowań odwoławczych oraz liczby wydanych decyzji o zastoso</w:t>
      </w:r>
      <w:r w:rsidR="00C030EC" w:rsidRPr="003A42FB">
        <w:rPr>
          <w:rFonts w:ascii="Times New Roman" w:eastAsiaTheme="minorEastAsia" w:hAnsi="Times New Roman" w:cs="Times New Roman"/>
          <w:sz w:val="24"/>
          <w:szCs w:val="24"/>
        </w:rPr>
        <w:t>waniu środków tymczasowych. EKŁE</w:t>
      </w:r>
      <w:r w:rsidRPr="003A42FB">
        <w:rPr>
          <w:rFonts w:ascii="Times New Roman" w:eastAsiaTheme="minorEastAsia" w:hAnsi="Times New Roman" w:cs="Times New Roman"/>
          <w:sz w:val="24"/>
          <w:szCs w:val="24"/>
        </w:rPr>
        <w:t xml:space="preserve"> wskazuje również, iż państwa członkowskie powinny na uzasadniony wniosek Komisji oraz BEREC przekazywać powyższe informacje oraz decyzje i orzeczenia. </w:t>
      </w:r>
      <w:r w:rsidR="00C030EC" w:rsidRPr="003A42FB">
        <w:rPr>
          <w:rFonts w:ascii="Times New Roman" w:eastAsiaTheme="minorEastAsia" w:hAnsi="Times New Roman" w:cs="Times New Roman"/>
          <w:sz w:val="24"/>
          <w:szCs w:val="24"/>
        </w:rPr>
        <w:t>Obowiązki te znalazły odzwierciedlenie w projektowanym przepisie, którego a</w:t>
      </w:r>
      <w:r w:rsidR="00376423" w:rsidRPr="003A42FB">
        <w:rPr>
          <w:rFonts w:ascii="Times New Roman" w:eastAsiaTheme="minorEastAsia" w:hAnsi="Times New Roman" w:cs="Times New Roman"/>
          <w:sz w:val="24"/>
          <w:szCs w:val="24"/>
        </w:rPr>
        <w:t>dresatem jest Prezes UKE.</w:t>
      </w:r>
    </w:p>
    <w:p w14:paraId="7A1EA8B1" w14:textId="55D66980" w:rsidR="00D34BAF" w:rsidRPr="003A42FB" w:rsidRDefault="00376423" w:rsidP="00C53EAB">
      <w:pPr>
        <w:pStyle w:val="ARTartustawynprozporzdzenia"/>
        <w:spacing w:before="0" w:after="120" w:line="240" w:lineRule="auto"/>
        <w:ind w:firstLine="0"/>
        <w:rPr>
          <w:rFonts w:ascii="Times New Roman" w:hAnsi="Times New Roman" w:cs="Times New Roman"/>
          <w:b/>
          <w:szCs w:val="24"/>
        </w:rPr>
      </w:pPr>
      <w:r w:rsidRPr="003A42FB">
        <w:rPr>
          <w:rFonts w:ascii="Times New Roman" w:hAnsi="Times New Roman" w:cs="Times New Roman"/>
          <w:b/>
          <w:szCs w:val="24"/>
        </w:rPr>
        <w:t xml:space="preserve">Art. </w:t>
      </w:r>
      <w:r w:rsidR="002B4794">
        <w:rPr>
          <w:rFonts w:ascii="Times New Roman" w:hAnsi="Times New Roman" w:cs="Times New Roman"/>
          <w:b/>
          <w:bCs/>
          <w:szCs w:val="24"/>
        </w:rPr>
        <w:t>437</w:t>
      </w:r>
    </w:p>
    <w:p w14:paraId="07BE2BAD" w14:textId="271A81C4" w:rsidR="001E67DA" w:rsidRPr="003A42FB" w:rsidRDefault="006F1ADA"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Projektowany przepis reguluje kwestie</w:t>
      </w:r>
      <w:r w:rsidR="004C2CFC" w:rsidRPr="003A42FB">
        <w:rPr>
          <w:rFonts w:ascii="Times New Roman" w:hAnsi="Times New Roman" w:cs="Times New Roman"/>
          <w:szCs w:val="24"/>
        </w:rPr>
        <w:t xml:space="preserve"> ograniczeń wglądu do akt w </w:t>
      </w:r>
      <w:r w:rsidR="065C1486" w:rsidRPr="003A42FB">
        <w:rPr>
          <w:rFonts w:ascii="Times New Roman" w:hAnsi="Times New Roman" w:cs="Times New Roman"/>
          <w:szCs w:val="24"/>
        </w:rPr>
        <w:t>sytuacjach,</w:t>
      </w:r>
      <w:r w:rsidR="004C2CFC" w:rsidRPr="003A42FB">
        <w:rPr>
          <w:rFonts w:ascii="Times New Roman" w:hAnsi="Times New Roman" w:cs="Times New Roman"/>
          <w:szCs w:val="24"/>
        </w:rPr>
        <w:t xml:space="preserve"> gdy udostępnienie materiału dowodowego grozi ujawnieniem tajemnicy przedsiębiorstwa lub innych tajemnic prawnie chronionych.</w:t>
      </w:r>
      <w:r w:rsidR="001E67DA" w:rsidRPr="003A42FB">
        <w:rPr>
          <w:rFonts w:ascii="Times New Roman" w:hAnsi="Times New Roman" w:cs="Times New Roman"/>
          <w:szCs w:val="24"/>
        </w:rPr>
        <w:t xml:space="preserve"> Przepis odnosi się do postępowań, które dotyczą spraw spornych</w:t>
      </w:r>
      <w:r w:rsidR="00D75B3E" w:rsidRPr="003A42FB">
        <w:rPr>
          <w:rFonts w:ascii="Times New Roman" w:hAnsi="Times New Roman" w:cs="Times New Roman"/>
          <w:szCs w:val="24"/>
        </w:rPr>
        <w:t xml:space="preserve"> i w których zachodzi potrzeba uniemożliwienia dostępu pozostałych stron do wszystkich zgromadzonych w postępowaniu </w:t>
      </w:r>
      <w:r w:rsidR="003E486E" w:rsidRPr="003A42FB">
        <w:rPr>
          <w:rFonts w:ascii="Times New Roman" w:hAnsi="Times New Roman" w:cs="Times New Roman"/>
          <w:szCs w:val="24"/>
        </w:rPr>
        <w:t>materiałów</w:t>
      </w:r>
      <w:r w:rsidR="00D75B3E" w:rsidRPr="003A42FB">
        <w:rPr>
          <w:rFonts w:ascii="Times New Roman" w:hAnsi="Times New Roman" w:cs="Times New Roman"/>
          <w:szCs w:val="24"/>
        </w:rPr>
        <w:t xml:space="preserve">. </w:t>
      </w:r>
      <w:r w:rsidR="003E486E" w:rsidRPr="003A42FB">
        <w:rPr>
          <w:rFonts w:ascii="Times New Roman" w:hAnsi="Times New Roman" w:cs="Times New Roman"/>
          <w:szCs w:val="24"/>
        </w:rPr>
        <w:t>Regulacja ta u</w:t>
      </w:r>
      <w:r w:rsidR="00D75B3E" w:rsidRPr="003A42FB">
        <w:rPr>
          <w:rFonts w:ascii="Times New Roman" w:hAnsi="Times New Roman" w:cs="Times New Roman"/>
          <w:szCs w:val="24"/>
        </w:rPr>
        <w:t xml:space="preserve">zupełnia ogólne regulacje zawarte w </w:t>
      </w:r>
      <w:r w:rsidR="00F6284A" w:rsidRPr="003A42FB">
        <w:rPr>
          <w:rFonts w:ascii="Times New Roman" w:hAnsi="Times New Roman" w:cs="Times New Roman"/>
          <w:szCs w:val="24"/>
        </w:rPr>
        <w:t>kpa</w:t>
      </w:r>
      <w:r w:rsidR="003E486E" w:rsidRPr="003A42FB">
        <w:rPr>
          <w:rFonts w:ascii="Times New Roman" w:hAnsi="Times New Roman" w:cs="Times New Roman"/>
          <w:szCs w:val="24"/>
        </w:rPr>
        <w:t xml:space="preserve"> odnoszące się, m.in. do ograniczenia zasady jawności postępowania dla stron w odniesieniu do akt sprawy zawierających informacje niejawne o klauzuli tajności „tajne” lub „ściśle tajne”, a także do innych akt, które organ administracji publicznej wyłączy ze względu na ważny interes państwowy. Ograniczenie dostępu strony do akt ze względu na potrzebę zapewnienia ochrony pozostałych tajemnic, w tym ta</w:t>
      </w:r>
      <w:r w:rsidR="00EB51CF" w:rsidRPr="003A42FB">
        <w:rPr>
          <w:rFonts w:ascii="Times New Roman" w:hAnsi="Times New Roman" w:cs="Times New Roman"/>
          <w:szCs w:val="24"/>
        </w:rPr>
        <w:t>jemnicy telekomunikacyjnej czy</w:t>
      </w:r>
      <w:r w:rsidR="003E486E" w:rsidRPr="003A42FB">
        <w:rPr>
          <w:rFonts w:ascii="Times New Roman" w:hAnsi="Times New Roman" w:cs="Times New Roman"/>
          <w:szCs w:val="24"/>
        </w:rPr>
        <w:t xml:space="preserve"> tajemnic zawodowych odbywać się będzie w oparciu o projektowany przepis.</w:t>
      </w:r>
    </w:p>
    <w:p w14:paraId="495DFDE7" w14:textId="683AEE9A" w:rsidR="003E486E" w:rsidRPr="003A42FB" w:rsidRDefault="00D31EE0"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Ograniczenie wglądu do akt będzie następowało na wniosek lub z urzędu, przy czym </w:t>
      </w:r>
      <w:r w:rsidR="00C2400D" w:rsidRPr="003A42FB">
        <w:rPr>
          <w:rFonts w:ascii="Times New Roman" w:hAnsi="Times New Roman" w:cs="Times New Roman"/>
          <w:szCs w:val="24"/>
        </w:rPr>
        <w:t>działanie Prezesa UKE z urzędu</w:t>
      </w:r>
      <w:r w:rsidR="00802C44" w:rsidRPr="003A42FB">
        <w:rPr>
          <w:rFonts w:ascii="Times New Roman" w:hAnsi="Times New Roman" w:cs="Times New Roman"/>
          <w:szCs w:val="24"/>
        </w:rPr>
        <w:t xml:space="preserve"> dotyczy tajemnic, których obowiązek ochrony wynika z innych przepisów. W przypadku natomiast, złożenia wniosku o ograniczenie, strona wnioskująca powinna również przedłożyć wersję dokumentu niezawierającą informacji objętych ograniczeniem, która zostanie udostępniona stronom. Ograniczenie wglądu do materiały dowodowego następuje w drodze postanowienia.</w:t>
      </w:r>
    </w:p>
    <w:p w14:paraId="3CCADD9A" w14:textId="77777777" w:rsidR="00192BD2" w:rsidRPr="003A42FB" w:rsidRDefault="00192BD2"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Projektowany przepis umożliwia również zastrzeżenie informacji, dokumentów lub ich części zawierających tajemnicę przedsiębiorstwa, przedstawianych Prezesowi UKE.</w:t>
      </w:r>
    </w:p>
    <w:p w14:paraId="7C8D7AF3" w14:textId="1C8C98A2" w:rsidR="00974F28" w:rsidRPr="003A42FB" w:rsidRDefault="0AEFF4EF" w:rsidP="00C53EAB">
      <w:pPr>
        <w:pStyle w:val="ARTartustawynprozporzdzenia"/>
        <w:spacing w:before="0" w:after="120" w:line="240" w:lineRule="auto"/>
        <w:ind w:firstLine="0"/>
        <w:rPr>
          <w:rFonts w:ascii="Times New Roman" w:hAnsi="Times New Roman" w:cs="Times New Roman"/>
          <w:b/>
          <w:bCs/>
          <w:szCs w:val="24"/>
        </w:rPr>
      </w:pPr>
      <w:r w:rsidRPr="003A42FB">
        <w:rPr>
          <w:rFonts w:ascii="Times New Roman" w:hAnsi="Times New Roman" w:cs="Times New Roman"/>
          <w:szCs w:val="24"/>
        </w:rPr>
        <w:t xml:space="preserve">Przepis bazuje na treści art. 207 ustawy Pt jednak zawiera modyfikacje w zakresie kwestii zastrzegania </w:t>
      </w:r>
      <w:r w:rsidR="0BF35405" w:rsidRPr="003A42FB">
        <w:rPr>
          <w:rFonts w:ascii="Times New Roman" w:hAnsi="Times New Roman" w:cs="Times New Roman"/>
          <w:szCs w:val="24"/>
        </w:rPr>
        <w:t>informacji. Przepis</w:t>
      </w:r>
      <w:r w:rsidR="7730C54E" w:rsidRPr="003A42FB">
        <w:rPr>
          <w:rFonts w:ascii="Times New Roman" w:hAnsi="Times New Roman" w:cs="Times New Roman"/>
          <w:szCs w:val="24"/>
        </w:rPr>
        <w:t xml:space="preserve"> w przeciwieństwie do regulacji Pt będzie miał zastosowanie nie tylko do postępowań objętych ta ustawą ale również ustawą</w:t>
      </w:r>
      <w:r w:rsidR="7730C54E" w:rsidRPr="003A42FB">
        <w:rPr>
          <w:rFonts w:ascii="Times New Roman" w:eastAsia="Times New Roman" w:hAnsi="Times New Roman" w:cs="Times New Roman"/>
          <w:szCs w:val="24"/>
        </w:rPr>
        <w:t xml:space="preserve"> z dnia 7 maja 2010 r. o wspieraniu rozwoju usług i sieci telekomunikacyjnych.</w:t>
      </w:r>
    </w:p>
    <w:p w14:paraId="35EDAF9D" w14:textId="3FD8681F" w:rsidR="00974F28" w:rsidRPr="003A42FB" w:rsidRDefault="00974F28" w:rsidP="00C53EAB">
      <w:pPr>
        <w:pStyle w:val="ARTartustawynprozporzdzenia"/>
        <w:spacing w:before="0" w:after="120" w:line="240" w:lineRule="auto"/>
        <w:ind w:firstLine="0"/>
        <w:rPr>
          <w:rFonts w:ascii="Times New Roman" w:hAnsi="Times New Roman" w:cs="Times New Roman"/>
          <w:b/>
          <w:bCs/>
          <w:szCs w:val="24"/>
        </w:rPr>
      </w:pPr>
      <w:r w:rsidRPr="003A42FB">
        <w:rPr>
          <w:rFonts w:ascii="Times New Roman" w:hAnsi="Times New Roman" w:cs="Times New Roman"/>
          <w:b/>
          <w:bCs/>
          <w:szCs w:val="24"/>
        </w:rPr>
        <w:t xml:space="preserve">Art. </w:t>
      </w:r>
      <w:r w:rsidR="002B4794">
        <w:rPr>
          <w:rFonts w:ascii="Times New Roman" w:hAnsi="Times New Roman" w:cs="Times New Roman"/>
          <w:b/>
          <w:bCs/>
          <w:szCs w:val="24"/>
        </w:rPr>
        <w:t>438</w:t>
      </w:r>
    </w:p>
    <w:p w14:paraId="121A1D48" w14:textId="68334F7B" w:rsidR="00C17D1B" w:rsidRPr="003A42FB" w:rsidRDefault="00B20C43"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Projektowany przepis reguluje kwestie odstępstwa od przewidzianego w kpa sposobu doręczania decyzji czy informowania o innych czynnościach. W przypadku postępowań prowadzonych w sprawach dotyczących pozwoleń radiowych, rezerwacji częstotliwości oraz czasowego używania urządzenia radiowego w celu zapewnienia przekazu informacji </w:t>
      </w:r>
      <w:r w:rsidRPr="003A42FB">
        <w:rPr>
          <w:rFonts w:ascii="Times New Roman" w:hAnsi="Times New Roman" w:cs="Times New Roman"/>
          <w:szCs w:val="24"/>
        </w:rPr>
        <w:lastRenderedPageBreak/>
        <w:t xml:space="preserve">zawiadomienia można dokonać poprzez obwieszczenie na stronie podmiotowej BIP UKE. </w:t>
      </w:r>
      <w:r w:rsidR="00C17D1B" w:rsidRPr="003A42FB">
        <w:rPr>
          <w:rFonts w:ascii="Times New Roman" w:hAnsi="Times New Roman" w:cs="Times New Roman"/>
          <w:szCs w:val="24"/>
        </w:rPr>
        <w:t>Dokonywanie obwieszczenia zamiast doręczania stronie decyzji czy innych zawiadomień uzasadnione jest w sytuacjach</w:t>
      </w:r>
      <w:r w:rsidR="4B86164D" w:rsidRPr="003A42FB">
        <w:rPr>
          <w:rFonts w:ascii="Times New Roman" w:hAnsi="Times New Roman" w:cs="Times New Roman"/>
          <w:szCs w:val="24"/>
        </w:rPr>
        <w:t>,</w:t>
      </w:r>
      <w:r w:rsidR="00C17D1B" w:rsidRPr="003A42FB">
        <w:rPr>
          <w:rFonts w:ascii="Times New Roman" w:hAnsi="Times New Roman" w:cs="Times New Roman"/>
          <w:szCs w:val="24"/>
        </w:rPr>
        <w:t xml:space="preserve"> gdy niezbędne jest przyspieszenie postępowań, np. w przypadku organizacji dużych imprez masowych, na potrzeby których wydawane są m.in. pozwolenia radiowe, czy decyzje w sprawie czasowego używania urządzenia radiowego. </w:t>
      </w:r>
    </w:p>
    <w:p w14:paraId="3F59A785" w14:textId="4EFA7ABF" w:rsidR="00974F28" w:rsidRPr="003A42FB" w:rsidRDefault="00B20C43"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Warunkiem zastosowania takiego trybu zawiadamiania stron jest wystąpienie o to przez stronę albo wyrażenie przez stronę zgody na taki sposób zawiadamiania.</w:t>
      </w:r>
      <w:r w:rsidR="0092577F" w:rsidRPr="003A42FB">
        <w:rPr>
          <w:rFonts w:ascii="Times New Roman" w:hAnsi="Times New Roman" w:cs="Times New Roman"/>
          <w:szCs w:val="24"/>
        </w:rPr>
        <w:t xml:space="preserve"> </w:t>
      </w:r>
      <w:r w:rsidR="00C17D1B" w:rsidRPr="003A42FB">
        <w:rPr>
          <w:rFonts w:ascii="Times New Roman" w:hAnsi="Times New Roman" w:cs="Times New Roman"/>
          <w:szCs w:val="24"/>
        </w:rPr>
        <w:t>W sytuacji gdy warunek ten jest spełniony, domniemywa się, że doręczenie pisma zostało dokonane z dniem opublikowania na stronie podmiotowej BIP UKE obwieszczenia.</w:t>
      </w:r>
    </w:p>
    <w:p w14:paraId="16B13C04" w14:textId="62184506" w:rsidR="4197B68D" w:rsidRPr="003A42FB" w:rsidRDefault="4197B68D" w:rsidP="00C53EAB">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Przepis powtarza treść art. 207a ustawy Pt.</w:t>
      </w:r>
    </w:p>
    <w:p w14:paraId="73DB9EB7" w14:textId="77777777" w:rsidR="00696205" w:rsidRPr="003A42FB" w:rsidRDefault="00696205" w:rsidP="00C53EAB">
      <w:pPr>
        <w:pStyle w:val="ROZDZODDZPRZEDMprzedmiotregulacjirozdziauluboddziau"/>
        <w:spacing w:before="0" w:after="120" w:line="240" w:lineRule="auto"/>
        <w:jc w:val="both"/>
        <w:rPr>
          <w:rFonts w:ascii="Times New Roman" w:hAnsi="Times New Roman"/>
          <w:lang w:eastAsia="en-US"/>
        </w:rPr>
      </w:pPr>
    </w:p>
    <w:p w14:paraId="199FE22F" w14:textId="77777777" w:rsidR="0034315E" w:rsidRPr="003A42FB" w:rsidRDefault="0034315E" w:rsidP="00C53EAB">
      <w:pPr>
        <w:pStyle w:val="ROZDZODDZPRZEDMprzedmiotregulacjirozdziauluboddziau"/>
        <w:spacing w:before="0" w:after="120" w:line="240" w:lineRule="auto"/>
        <w:jc w:val="both"/>
        <w:rPr>
          <w:rFonts w:ascii="Times New Roman" w:hAnsi="Times New Roman"/>
          <w:lang w:eastAsia="en-US"/>
        </w:rPr>
      </w:pPr>
      <w:r w:rsidRPr="003A42FB">
        <w:rPr>
          <w:rFonts w:ascii="Times New Roman" w:hAnsi="Times New Roman"/>
          <w:lang w:eastAsia="en-US"/>
        </w:rPr>
        <w:t>Dział IX. Przepisy karne i kary pieniężne</w:t>
      </w:r>
    </w:p>
    <w:p w14:paraId="53D2CB7F" w14:textId="0656895D" w:rsidR="0034315E" w:rsidRPr="003A42FB" w:rsidRDefault="0034315E" w:rsidP="00C53EAB">
      <w:pPr>
        <w:pStyle w:val="ARTartustawynprozporzdzenia"/>
        <w:spacing w:before="0" w:after="120" w:line="240" w:lineRule="auto"/>
        <w:ind w:firstLine="0"/>
        <w:rPr>
          <w:rFonts w:ascii="Times New Roman" w:hAnsi="Times New Roman" w:cs="Times New Roman"/>
          <w:b/>
          <w:szCs w:val="24"/>
        </w:rPr>
      </w:pPr>
      <w:r w:rsidRPr="003A42FB">
        <w:rPr>
          <w:rFonts w:ascii="Times New Roman" w:hAnsi="Times New Roman" w:cs="Times New Roman"/>
          <w:b/>
          <w:szCs w:val="24"/>
          <w:lang w:eastAsia="en-US"/>
        </w:rPr>
        <w:t xml:space="preserve">Art. </w:t>
      </w:r>
      <w:r w:rsidR="002B4794">
        <w:rPr>
          <w:rFonts w:ascii="Times New Roman" w:hAnsi="Times New Roman" w:cs="Times New Roman"/>
          <w:b/>
          <w:bCs/>
          <w:szCs w:val="24"/>
          <w:lang w:eastAsia="en-US"/>
        </w:rPr>
        <w:t>439</w:t>
      </w:r>
    </w:p>
    <w:p w14:paraId="70B76E9D" w14:textId="40E06890" w:rsidR="003E7809" w:rsidRPr="003A42FB" w:rsidRDefault="2774B297" w:rsidP="00C53EAB">
      <w:pPr>
        <w:spacing w:after="120" w:line="240" w:lineRule="auto"/>
        <w:jc w:val="both"/>
        <w:rPr>
          <w:rFonts w:ascii="Times New Roman" w:eastAsiaTheme="minorEastAsia" w:hAnsi="Times New Roman" w:cs="Times New Roman"/>
          <w:sz w:val="24"/>
          <w:szCs w:val="24"/>
          <w:lang w:eastAsia="pl-PL"/>
        </w:rPr>
      </w:pPr>
      <w:r w:rsidRPr="003A42FB">
        <w:rPr>
          <w:rFonts w:ascii="Times New Roman" w:eastAsiaTheme="minorEastAsia" w:hAnsi="Times New Roman" w:cs="Times New Roman"/>
          <w:sz w:val="24"/>
          <w:szCs w:val="24"/>
        </w:rPr>
        <w:t xml:space="preserve">Projektowany przepis w ust. 1 wskazuje, że używanie urządzenia radiowego nadawczego lub nadawczo-odbiorczego bez wymaganego pozwolenia, o którym mowa w ust. </w:t>
      </w:r>
      <w:r w:rsidR="1A327D2D" w:rsidRPr="003A42FB">
        <w:rPr>
          <w:rFonts w:ascii="Times New Roman" w:eastAsiaTheme="minorEastAsia" w:hAnsi="Times New Roman" w:cs="Times New Roman"/>
          <w:sz w:val="24"/>
          <w:szCs w:val="24"/>
        </w:rPr>
        <w:t>122</w:t>
      </w:r>
      <w:r w:rsidRPr="003A42FB">
        <w:rPr>
          <w:rFonts w:ascii="Times New Roman" w:eastAsiaTheme="minorEastAsia" w:hAnsi="Times New Roman" w:cs="Times New Roman"/>
          <w:sz w:val="24"/>
          <w:szCs w:val="24"/>
        </w:rPr>
        <w:t xml:space="preserve"> </w:t>
      </w:r>
      <w:r w:rsidR="7F0C4941" w:rsidRPr="003A42FB">
        <w:rPr>
          <w:rFonts w:ascii="Times New Roman" w:eastAsiaTheme="minorEastAsia" w:hAnsi="Times New Roman" w:cs="Times New Roman"/>
          <w:sz w:val="24"/>
          <w:szCs w:val="24"/>
        </w:rPr>
        <w:t>Pke</w:t>
      </w:r>
      <w:r w:rsidRPr="003A42FB">
        <w:rPr>
          <w:rFonts w:ascii="Times New Roman" w:eastAsiaTheme="minorEastAsia" w:hAnsi="Times New Roman" w:cs="Times New Roman"/>
          <w:sz w:val="24"/>
          <w:szCs w:val="24"/>
        </w:rPr>
        <w:t xml:space="preserve">, stanowi wykroczenie. Przepis nie obejmuje swą dyspozycją przypadków, gdy do używania urządzenia nie jest wymagane pozwolenie np. urządzeń odbiorczych. W porównaniu do sankcji przewidzianych dotychczas </w:t>
      </w:r>
      <w:r w:rsidR="5BB1F6CF" w:rsidRPr="003A42FB">
        <w:rPr>
          <w:rFonts w:ascii="Times New Roman" w:eastAsiaTheme="minorEastAsia" w:hAnsi="Times New Roman" w:cs="Times New Roman"/>
          <w:sz w:val="24"/>
          <w:szCs w:val="24"/>
        </w:rPr>
        <w:t>w art. 208</w:t>
      </w:r>
      <w:r w:rsidRPr="003A42FB">
        <w:rPr>
          <w:rFonts w:ascii="Times New Roman" w:eastAsiaTheme="minorEastAsia" w:hAnsi="Times New Roman" w:cs="Times New Roman"/>
          <w:sz w:val="24"/>
          <w:szCs w:val="24"/>
        </w:rPr>
        <w:t xml:space="preserve"> </w:t>
      </w:r>
      <w:r w:rsidR="293000A0" w:rsidRPr="003A42FB">
        <w:rPr>
          <w:rFonts w:ascii="Times New Roman" w:eastAsiaTheme="minorEastAsia" w:hAnsi="Times New Roman" w:cs="Times New Roman"/>
          <w:sz w:val="24"/>
          <w:szCs w:val="24"/>
        </w:rPr>
        <w:t>Pt</w:t>
      </w:r>
      <w:r w:rsidRPr="003A42FB">
        <w:rPr>
          <w:rFonts w:ascii="Times New Roman" w:eastAsiaTheme="minorEastAsia" w:hAnsi="Times New Roman" w:cs="Times New Roman"/>
          <w:sz w:val="24"/>
          <w:szCs w:val="24"/>
        </w:rPr>
        <w:t>, tj. kary grzywny w wysokości do 1000 złotych, projektowana ustawa przewiduje surowszą karę grzywny wynoszącą do 5000 złotych</w:t>
      </w:r>
      <w:r w:rsidR="2940C685" w:rsidRPr="003A42FB">
        <w:rPr>
          <w:rFonts w:ascii="Times New Roman" w:eastAsiaTheme="minorEastAsia" w:hAnsi="Times New Roman" w:cs="Times New Roman"/>
          <w:sz w:val="24"/>
          <w:szCs w:val="24"/>
        </w:rPr>
        <w:t>, nie niższą jednak niż 500 złotych</w:t>
      </w:r>
      <w:r w:rsidRPr="003A42FB">
        <w:rPr>
          <w:rFonts w:ascii="Times New Roman" w:eastAsiaTheme="minorEastAsia" w:hAnsi="Times New Roman" w:cs="Times New Roman"/>
          <w:sz w:val="24"/>
          <w:szCs w:val="24"/>
        </w:rPr>
        <w:t xml:space="preserve">. Wyższa od obecnej górna granica kary grzywny podyktowane jest tym, aby kara ta była wystarczająco odstraszająca. Przepis ten chroni również podmioty, które same używają urządzenia radiowe w sposób legalny. Orzekanie w tych sprawach będzie następowało, tak jak i obecnie, w trybie przepisów Kodeksu postępowania w sprawach o wykroczenia. Projektowane przepisy w ust. 3 przewidują również, na wzór obecnych regulacji zawartych w </w:t>
      </w:r>
      <w:r w:rsidR="6AFDFF8F" w:rsidRPr="003A42FB">
        <w:rPr>
          <w:rFonts w:ascii="Times New Roman" w:eastAsiaTheme="minorEastAsia" w:hAnsi="Times New Roman" w:cs="Times New Roman"/>
          <w:sz w:val="24"/>
          <w:szCs w:val="24"/>
        </w:rPr>
        <w:t>ustawie Pt</w:t>
      </w:r>
      <w:r w:rsidRPr="003A42FB">
        <w:rPr>
          <w:rFonts w:ascii="Times New Roman" w:eastAsiaTheme="minorEastAsia" w:hAnsi="Times New Roman" w:cs="Times New Roman"/>
          <w:sz w:val="24"/>
          <w:szCs w:val="24"/>
        </w:rPr>
        <w:t xml:space="preserve">, karę grzywny, ograniczenia wolności czy pozbawienia wolności do lat 2 w przypadku działania w sposób uporczywy.  </w:t>
      </w:r>
    </w:p>
    <w:p w14:paraId="195983D7" w14:textId="77E79948" w:rsidR="003E7809" w:rsidRPr="003A42FB" w:rsidRDefault="003E7809"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Podobnie jak dotychczas, w ust. 4 i 5 wprowadzono zasadę przepadku urządzeń przeznaczonych lub służących do popełnienia czynu zabronionego, o którym mowa w ust. 1 i 3. Przedmiot objęty przepadkiem przechodzi na własność Skarbu Państwa z chwilą uprawomocnienia się wyroku. </w:t>
      </w:r>
      <w:r w:rsidRPr="003A42FB">
        <w:rPr>
          <w:rFonts w:ascii="Times New Roman" w:eastAsiaTheme="minorEastAsia" w:hAnsi="Times New Roman" w:cs="Times New Roman"/>
          <w:sz w:val="24"/>
          <w:szCs w:val="24"/>
          <w:shd w:val="clear" w:color="auto" w:fill="FFFFFF"/>
        </w:rPr>
        <w:t>Zasada stosuje się również do przedmiotów niestanowiących własności sprawcy mając na celu zabezpieczenie przed ich ponownym użyciem. Orzeczenie przepadku przedmiotów jest fakultatywne, chyba że wystąpią dodatkowe okoliczności wymienione w ust. 5.</w:t>
      </w:r>
    </w:p>
    <w:p w14:paraId="5EE787EC" w14:textId="693DF988" w:rsidR="003E7809" w:rsidRPr="003A42FB" w:rsidRDefault="6BDD0278" w:rsidP="01C5F9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Nowością tego przepisu, jest ust. 2, który penalizuje uniemożliwianie dostępu do materiałów, </w:t>
      </w:r>
      <w:r w:rsidRPr="003A42FB">
        <w:rPr>
          <w:rFonts w:ascii="Times New Roman" w:eastAsiaTheme="minorEastAsia" w:hAnsi="Times New Roman" w:cs="Times New Roman"/>
          <w:sz w:val="24"/>
          <w:szCs w:val="24"/>
          <w:shd w:val="clear" w:color="auto" w:fill="FFFFFF"/>
        </w:rPr>
        <w:t>dokumentów oraz innych danych niezbędnych do przeprowadzenia kontroli.</w:t>
      </w:r>
      <w:r w:rsidRPr="003A42FB">
        <w:rPr>
          <w:rFonts w:ascii="Times New Roman" w:eastAsiaTheme="minorEastAsia" w:hAnsi="Times New Roman" w:cs="Times New Roman"/>
          <w:sz w:val="24"/>
          <w:szCs w:val="24"/>
        </w:rPr>
        <w:t xml:space="preserve"> Czyn ten również jest zagrożony karą w wysokości </w:t>
      </w:r>
      <w:r w:rsidR="55F30D9D" w:rsidRPr="003A42FB">
        <w:rPr>
          <w:rFonts w:ascii="Times New Roman" w:eastAsia="Times New Roman" w:hAnsi="Times New Roman" w:cs="Times New Roman"/>
          <w:sz w:val="24"/>
          <w:szCs w:val="24"/>
        </w:rPr>
        <w:t>nie niższą niż 500 złotych</w:t>
      </w:r>
      <w:r w:rsidR="55F30D9D" w:rsidRPr="003A42FB">
        <w:rPr>
          <w:rFonts w:ascii="Times New Roman" w:eastAsiaTheme="minorEastAsia" w:hAnsi="Times New Roman" w:cs="Times New Roman"/>
          <w:sz w:val="24"/>
          <w:szCs w:val="24"/>
        </w:rPr>
        <w:t xml:space="preserve"> i nie wyższą niż </w:t>
      </w:r>
      <w:r w:rsidRPr="003A42FB">
        <w:rPr>
          <w:rFonts w:ascii="Times New Roman" w:eastAsiaTheme="minorEastAsia" w:hAnsi="Times New Roman" w:cs="Times New Roman"/>
          <w:sz w:val="24"/>
          <w:szCs w:val="24"/>
        </w:rPr>
        <w:t xml:space="preserve">5000 złotych. </w:t>
      </w:r>
    </w:p>
    <w:p w14:paraId="291208AD" w14:textId="7C18237E" w:rsidR="416DAE9E" w:rsidRPr="003A42FB" w:rsidRDefault="416DAE9E" w:rsidP="01C5F97B">
      <w:pPr>
        <w:spacing w:after="120" w:line="240" w:lineRule="auto"/>
        <w:jc w:val="both"/>
        <w:rPr>
          <w:rFonts w:ascii="Times New Roman" w:eastAsiaTheme="minorEastAsia" w:hAnsi="Times New Roman" w:cs="Times New Roman"/>
          <w:b/>
          <w:sz w:val="24"/>
          <w:szCs w:val="24"/>
        </w:rPr>
      </w:pPr>
      <w:r w:rsidRPr="003A42FB">
        <w:rPr>
          <w:rFonts w:ascii="Times New Roman" w:eastAsiaTheme="minorEastAsia" w:hAnsi="Times New Roman" w:cs="Times New Roman"/>
          <w:b/>
          <w:sz w:val="24"/>
          <w:szCs w:val="24"/>
        </w:rPr>
        <w:t xml:space="preserve">Art. </w:t>
      </w:r>
      <w:r w:rsidR="002B4794">
        <w:rPr>
          <w:rFonts w:ascii="Times New Roman" w:eastAsiaTheme="minorEastAsia" w:hAnsi="Times New Roman" w:cs="Times New Roman"/>
          <w:b/>
          <w:sz w:val="24"/>
          <w:szCs w:val="24"/>
        </w:rPr>
        <w:t>440</w:t>
      </w:r>
    </w:p>
    <w:p w14:paraId="3C2889D1" w14:textId="720D0E31" w:rsidR="416DAE9E" w:rsidRPr="003A42FB" w:rsidRDefault="416DAE9E" w:rsidP="01C5F97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związku z wprowadzeniem do projektu </w:t>
      </w:r>
      <w:r w:rsidR="2CD27192" w:rsidRPr="003A42FB">
        <w:rPr>
          <w:rFonts w:ascii="Times New Roman" w:eastAsiaTheme="minorEastAsia" w:hAnsi="Times New Roman" w:cs="Times New Roman"/>
          <w:sz w:val="24"/>
          <w:szCs w:val="24"/>
        </w:rPr>
        <w:t xml:space="preserve">PKE </w:t>
      </w:r>
      <w:r w:rsidRPr="003A42FB">
        <w:rPr>
          <w:rFonts w:ascii="Times New Roman" w:eastAsiaTheme="minorEastAsia" w:hAnsi="Times New Roman" w:cs="Times New Roman"/>
          <w:sz w:val="24"/>
          <w:szCs w:val="24"/>
        </w:rPr>
        <w:t xml:space="preserve">przepisów </w:t>
      </w:r>
      <w:r w:rsidR="60F7DC32" w:rsidRPr="003A42FB">
        <w:rPr>
          <w:rFonts w:ascii="Times New Roman" w:eastAsiaTheme="minorEastAsia" w:hAnsi="Times New Roman" w:cs="Times New Roman"/>
          <w:sz w:val="24"/>
          <w:szCs w:val="24"/>
        </w:rPr>
        <w:t>dotyczą</w:t>
      </w:r>
      <w:r w:rsidR="2C06DE82" w:rsidRPr="003A42FB">
        <w:rPr>
          <w:rFonts w:ascii="Times New Roman" w:eastAsiaTheme="minorEastAsia" w:hAnsi="Times New Roman" w:cs="Times New Roman"/>
          <w:sz w:val="24"/>
          <w:szCs w:val="24"/>
        </w:rPr>
        <w:t>cych przesyłania niezamówionej informacji handlowej (dotychczas znajdujących się w ustawie o świadczeniu usług drogą elektroniczną), zasadnym jest przeniesienie przepisów karnych z ustawy o świadczeniu usług drogą elektroniczną do ustawy Prawo komunikacji elektronicznej.</w:t>
      </w:r>
    </w:p>
    <w:p w14:paraId="5ABF4D99" w14:textId="0C6DDDCC" w:rsidR="00AA640E" w:rsidRPr="003A42FB" w:rsidRDefault="00AA640E" w:rsidP="00C53EAB">
      <w:pPr>
        <w:pStyle w:val="ARTartustawynprozporzdzenia"/>
        <w:spacing w:before="0" w:after="120" w:line="240" w:lineRule="auto"/>
        <w:ind w:firstLine="0"/>
        <w:rPr>
          <w:rFonts w:ascii="Times New Roman" w:hAnsi="Times New Roman" w:cs="Times New Roman"/>
          <w:b/>
          <w:bCs/>
          <w:szCs w:val="24"/>
        </w:rPr>
      </w:pPr>
      <w:r w:rsidRPr="003A42FB">
        <w:rPr>
          <w:rFonts w:ascii="Times New Roman" w:hAnsi="Times New Roman" w:cs="Times New Roman"/>
          <w:b/>
          <w:bCs/>
          <w:szCs w:val="24"/>
        </w:rPr>
        <w:t xml:space="preserve">Art. </w:t>
      </w:r>
      <w:r w:rsidR="00F36DEC" w:rsidRPr="003A42FB">
        <w:rPr>
          <w:rFonts w:ascii="Times New Roman" w:hAnsi="Times New Roman" w:cs="Times New Roman"/>
          <w:b/>
          <w:bCs/>
          <w:szCs w:val="24"/>
        </w:rPr>
        <w:t>4</w:t>
      </w:r>
      <w:r w:rsidR="00F36DEC">
        <w:rPr>
          <w:rFonts w:ascii="Times New Roman" w:hAnsi="Times New Roman" w:cs="Times New Roman"/>
          <w:b/>
          <w:bCs/>
          <w:szCs w:val="24"/>
        </w:rPr>
        <w:t>41</w:t>
      </w:r>
    </w:p>
    <w:p w14:paraId="4718D481" w14:textId="2E663907" w:rsidR="00AA640E" w:rsidRPr="003A42FB" w:rsidRDefault="00AA640E"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EKŁE zobowiązuje państwa członkowskie do ustanowienia sankcji za naruszenia przepisów prawa krajowego. W art. </w:t>
      </w:r>
      <w:r w:rsidR="007272FB" w:rsidRPr="003A42FB">
        <w:rPr>
          <w:rFonts w:ascii="Times New Roman" w:eastAsiaTheme="minorEastAsia" w:hAnsi="Times New Roman" w:cs="Times New Roman"/>
          <w:sz w:val="24"/>
          <w:szCs w:val="24"/>
        </w:rPr>
        <w:t>40</w:t>
      </w:r>
      <w:r w:rsidR="00433057" w:rsidRPr="003A42FB">
        <w:rPr>
          <w:rFonts w:ascii="Times New Roman" w:eastAsiaTheme="minorEastAsia" w:hAnsi="Times New Roman" w:cs="Times New Roman"/>
          <w:sz w:val="24"/>
          <w:szCs w:val="24"/>
        </w:rPr>
        <w:t>9</w:t>
      </w:r>
      <w:r w:rsidRPr="003A42FB">
        <w:rPr>
          <w:rFonts w:ascii="Times New Roman" w:eastAsiaTheme="minorEastAsia" w:hAnsi="Times New Roman" w:cs="Times New Roman"/>
          <w:sz w:val="24"/>
          <w:szCs w:val="24"/>
        </w:rPr>
        <w:t xml:space="preserve"> ust. 1 projektu zawarte zostały sankcje mające na celu zabezpieczenie wykonania obowiązków ciążących na przedsiębiorcach komunikacji </w:t>
      </w:r>
      <w:r w:rsidRPr="003A42FB">
        <w:rPr>
          <w:rFonts w:ascii="Times New Roman" w:eastAsiaTheme="minorEastAsia" w:hAnsi="Times New Roman" w:cs="Times New Roman"/>
          <w:sz w:val="24"/>
          <w:szCs w:val="24"/>
        </w:rPr>
        <w:lastRenderedPageBreak/>
        <w:t xml:space="preserve">elektronicznej oraz na innych podmiotach, które dopuściły się naruszeń. Dotyczą one m. in. naruszenia obowiązków w zakresie wpisu do rejestru, warunków dostępu, przekazywania Prezesowi UKE informacji, używania urządzenia radiowego bez wymaganego wpisu do rejestru urządzeń, niewykorzystywania częstotliwości przyznanych w rezerwacji częstotliwości czy wykorzystywania zasobów numeracji niezgodnie z przeznaczeniem. </w:t>
      </w:r>
      <w:r w:rsidR="20EEF21A" w:rsidRPr="003A42FB">
        <w:rPr>
          <w:rFonts w:ascii="Times New Roman" w:eastAsiaTheme="minorEastAsia" w:hAnsi="Times New Roman" w:cs="Times New Roman"/>
          <w:sz w:val="24"/>
          <w:szCs w:val="24"/>
        </w:rPr>
        <w:t xml:space="preserve">Katalog kar różni się od funkcjonującego na gruncie </w:t>
      </w:r>
      <w:r w:rsidR="42545A39" w:rsidRPr="003A42FB">
        <w:rPr>
          <w:rFonts w:ascii="Times New Roman" w:eastAsiaTheme="minorEastAsia" w:hAnsi="Times New Roman" w:cs="Times New Roman"/>
          <w:sz w:val="24"/>
          <w:szCs w:val="24"/>
        </w:rPr>
        <w:t>u</w:t>
      </w:r>
      <w:r w:rsidR="20EEF21A" w:rsidRPr="003A42FB">
        <w:rPr>
          <w:rFonts w:ascii="Times New Roman" w:eastAsiaTheme="minorEastAsia" w:hAnsi="Times New Roman" w:cs="Times New Roman"/>
          <w:sz w:val="24"/>
          <w:szCs w:val="24"/>
        </w:rPr>
        <w:t>stawy</w:t>
      </w:r>
      <w:r w:rsidR="65130BE2" w:rsidRPr="003A42FB">
        <w:rPr>
          <w:rFonts w:ascii="Times New Roman" w:eastAsiaTheme="minorEastAsia" w:hAnsi="Times New Roman" w:cs="Times New Roman"/>
          <w:sz w:val="24"/>
          <w:szCs w:val="24"/>
        </w:rPr>
        <w:t xml:space="preserve"> Pt</w:t>
      </w:r>
      <w:r w:rsidR="686DCBB4" w:rsidRPr="003A42FB">
        <w:rPr>
          <w:rFonts w:ascii="Times New Roman" w:eastAsiaTheme="minorEastAsia" w:hAnsi="Times New Roman" w:cs="Times New Roman"/>
          <w:sz w:val="24"/>
          <w:szCs w:val="24"/>
        </w:rPr>
        <w:t xml:space="preserve"> (art. 209 Pt)</w:t>
      </w:r>
      <w:r w:rsidR="65130BE2" w:rsidRPr="003A42FB">
        <w:rPr>
          <w:rFonts w:ascii="Times New Roman" w:eastAsiaTheme="minorEastAsia" w:hAnsi="Times New Roman" w:cs="Times New Roman"/>
          <w:sz w:val="24"/>
          <w:szCs w:val="24"/>
        </w:rPr>
        <w:t xml:space="preserve">. </w:t>
      </w:r>
      <w:r w:rsidR="6E6B7B7A" w:rsidRPr="003A42FB">
        <w:rPr>
          <w:rFonts w:ascii="Times New Roman" w:eastAsiaTheme="minorEastAsia" w:hAnsi="Times New Roman" w:cs="Times New Roman"/>
          <w:sz w:val="24"/>
          <w:szCs w:val="24"/>
        </w:rPr>
        <w:t>Projektowan</w:t>
      </w:r>
      <w:r w:rsidR="5F4362B0" w:rsidRPr="003A42FB">
        <w:rPr>
          <w:rFonts w:ascii="Times New Roman" w:eastAsiaTheme="minorEastAsia" w:hAnsi="Times New Roman" w:cs="Times New Roman"/>
          <w:sz w:val="24"/>
          <w:szCs w:val="24"/>
        </w:rPr>
        <w:t>y rozszerzony katalog kar</w:t>
      </w:r>
      <w:r w:rsidR="6E6B7B7A" w:rsidRPr="003A42FB">
        <w:rPr>
          <w:rFonts w:ascii="Times New Roman" w:eastAsiaTheme="minorEastAsia" w:hAnsi="Times New Roman" w:cs="Times New Roman"/>
          <w:sz w:val="24"/>
          <w:szCs w:val="24"/>
        </w:rPr>
        <w:t xml:space="preserve"> </w:t>
      </w:r>
      <w:r w:rsidR="782B9002" w:rsidRPr="003A42FB">
        <w:rPr>
          <w:rFonts w:ascii="Times New Roman" w:eastAsiaTheme="minorEastAsia" w:hAnsi="Times New Roman" w:cs="Times New Roman"/>
          <w:sz w:val="24"/>
          <w:szCs w:val="24"/>
        </w:rPr>
        <w:t>wynik</w:t>
      </w:r>
      <w:r w:rsidR="18B9DC0F" w:rsidRPr="003A42FB">
        <w:rPr>
          <w:rFonts w:ascii="Times New Roman" w:eastAsiaTheme="minorEastAsia" w:hAnsi="Times New Roman" w:cs="Times New Roman"/>
          <w:sz w:val="24"/>
          <w:szCs w:val="24"/>
        </w:rPr>
        <w:t xml:space="preserve">a z </w:t>
      </w:r>
      <w:r w:rsidR="782B9002" w:rsidRPr="003A42FB">
        <w:rPr>
          <w:rFonts w:ascii="Times New Roman" w:eastAsiaTheme="minorEastAsia" w:hAnsi="Times New Roman" w:cs="Times New Roman"/>
          <w:sz w:val="24"/>
          <w:szCs w:val="24"/>
        </w:rPr>
        <w:t xml:space="preserve">dotychczasowych doświadczeń regulatora </w:t>
      </w:r>
      <w:r w:rsidR="09BF685F" w:rsidRPr="003A42FB">
        <w:rPr>
          <w:rFonts w:ascii="Times New Roman" w:eastAsiaTheme="minorEastAsia" w:hAnsi="Times New Roman" w:cs="Times New Roman"/>
          <w:sz w:val="24"/>
          <w:szCs w:val="24"/>
        </w:rPr>
        <w:t>i</w:t>
      </w:r>
      <w:r w:rsidR="6E6B7B7A" w:rsidRPr="003A42FB">
        <w:rPr>
          <w:rFonts w:ascii="Times New Roman" w:eastAsiaTheme="minorEastAsia" w:hAnsi="Times New Roman" w:cs="Times New Roman"/>
          <w:sz w:val="24"/>
          <w:szCs w:val="24"/>
        </w:rPr>
        <w:t xml:space="preserve"> </w:t>
      </w:r>
      <w:r w:rsidR="1767EB1B" w:rsidRPr="003A42FB">
        <w:rPr>
          <w:rFonts w:ascii="Times New Roman" w:eastAsiaTheme="minorEastAsia" w:hAnsi="Times New Roman" w:cs="Times New Roman"/>
          <w:sz w:val="24"/>
          <w:szCs w:val="24"/>
        </w:rPr>
        <w:t>powinien</w:t>
      </w:r>
      <w:r w:rsidR="6E6B7B7A" w:rsidRPr="003A42FB">
        <w:rPr>
          <w:rFonts w:ascii="Times New Roman" w:eastAsiaTheme="minorEastAsia" w:hAnsi="Times New Roman" w:cs="Times New Roman"/>
          <w:sz w:val="24"/>
          <w:szCs w:val="24"/>
        </w:rPr>
        <w:t xml:space="preserve"> stać się skutecznym instrumentem służącym </w:t>
      </w:r>
      <w:r w:rsidR="13479C1A" w:rsidRPr="003A42FB">
        <w:rPr>
          <w:rFonts w:ascii="Times New Roman" w:eastAsiaTheme="minorEastAsia" w:hAnsi="Times New Roman" w:cs="Times New Roman"/>
          <w:sz w:val="24"/>
          <w:szCs w:val="24"/>
        </w:rPr>
        <w:t xml:space="preserve">mobilizowaniu do </w:t>
      </w:r>
      <w:r w:rsidR="45B61CA9" w:rsidRPr="003A42FB">
        <w:rPr>
          <w:rFonts w:ascii="Times New Roman" w:eastAsiaTheme="minorEastAsia" w:hAnsi="Times New Roman" w:cs="Times New Roman"/>
          <w:sz w:val="24"/>
          <w:szCs w:val="24"/>
        </w:rPr>
        <w:t xml:space="preserve">terminowego i prawidłowego wykonywania </w:t>
      </w:r>
      <w:r w:rsidR="6E6B7B7A" w:rsidRPr="003A42FB">
        <w:rPr>
          <w:rFonts w:ascii="Times New Roman" w:eastAsiaTheme="minorEastAsia" w:hAnsi="Times New Roman" w:cs="Times New Roman"/>
          <w:sz w:val="24"/>
          <w:szCs w:val="24"/>
        </w:rPr>
        <w:t xml:space="preserve">podstawowych obowiązków wynikających z </w:t>
      </w:r>
      <w:r w:rsidR="45C83CE5" w:rsidRPr="003A42FB">
        <w:rPr>
          <w:rFonts w:ascii="Times New Roman" w:eastAsiaTheme="minorEastAsia" w:hAnsi="Times New Roman" w:cs="Times New Roman"/>
          <w:sz w:val="24"/>
          <w:szCs w:val="24"/>
        </w:rPr>
        <w:t>nowych regulacji.</w:t>
      </w:r>
      <w:r w:rsidR="28F0FC94" w:rsidRPr="003A42FB">
        <w:rPr>
          <w:rFonts w:ascii="Times New Roman" w:eastAsiaTheme="minorEastAsia" w:hAnsi="Times New Roman" w:cs="Times New Roman"/>
          <w:sz w:val="24"/>
          <w:szCs w:val="24"/>
        </w:rPr>
        <w:t xml:space="preserve"> </w:t>
      </w:r>
      <w:r w:rsidRPr="003A42FB">
        <w:rPr>
          <w:rFonts w:ascii="Times New Roman" w:eastAsiaTheme="minorEastAsia" w:hAnsi="Times New Roman" w:cs="Times New Roman"/>
          <w:sz w:val="24"/>
          <w:szCs w:val="24"/>
          <w:shd w:val="clear" w:color="auto" w:fill="FFFFFF"/>
        </w:rPr>
        <w:t>Projektowane przepisy upoważniają Prezesa UKE do nakładania w stosownych przypadkach odstraszających sankcji finansowych. Postępowanie w sprawie nałożenia kary pieniężnej odbywa się w trybie administracyjnym i na Prezesie UKE ciąży obowiązek wykazania, że doszło do naruszenia przepisów prawa.</w:t>
      </w:r>
      <w:r w:rsidRPr="003A42FB">
        <w:rPr>
          <w:rFonts w:ascii="Times New Roman" w:eastAsiaTheme="minorEastAsia" w:hAnsi="Times New Roman" w:cs="Times New Roman"/>
          <w:sz w:val="24"/>
          <w:szCs w:val="24"/>
        </w:rPr>
        <w:t xml:space="preserve"> Nałożone kary</w:t>
      </w:r>
      <w:r w:rsidR="688589E0" w:rsidRPr="003A42FB">
        <w:rPr>
          <w:rFonts w:ascii="Times New Roman" w:eastAsiaTheme="minorEastAsia" w:hAnsi="Times New Roman" w:cs="Times New Roman"/>
          <w:sz w:val="24"/>
          <w:szCs w:val="24"/>
        </w:rPr>
        <w:t>, tak jak obecnie,</w:t>
      </w:r>
      <w:r w:rsidRPr="003A42FB">
        <w:rPr>
          <w:rFonts w:ascii="Times New Roman" w:eastAsiaTheme="minorEastAsia" w:hAnsi="Times New Roman" w:cs="Times New Roman"/>
          <w:sz w:val="24"/>
          <w:szCs w:val="24"/>
        </w:rPr>
        <w:t xml:space="preserve"> podlegają ściągnięciu w trybie przepisów o postępowaniu egzekucyjnym w administracji.</w:t>
      </w:r>
    </w:p>
    <w:p w14:paraId="4C025915" w14:textId="54E1F7AF" w:rsidR="001F1843" w:rsidRPr="003A42FB" w:rsidRDefault="001F1843" w:rsidP="00C53EAB">
      <w:pPr>
        <w:pStyle w:val="ARTartustawynprozporzdzenia"/>
        <w:spacing w:before="0" w:after="120" w:line="240" w:lineRule="auto"/>
        <w:ind w:firstLine="0"/>
        <w:rPr>
          <w:rFonts w:ascii="Times New Roman" w:hAnsi="Times New Roman" w:cs="Times New Roman"/>
          <w:b/>
          <w:bCs/>
          <w:szCs w:val="24"/>
          <w:lang w:eastAsia="en-US"/>
        </w:rPr>
      </w:pPr>
      <w:r w:rsidRPr="003A42FB">
        <w:rPr>
          <w:rFonts w:ascii="Times New Roman" w:hAnsi="Times New Roman" w:cs="Times New Roman"/>
          <w:b/>
          <w:bCs/>
          <w:szCs w:val="24"/>
          <w:lang w:eastAsia="en-US"/>
        </w:rPr>
        <w:t xml:space="preserve">Art. </w:t>
      </w:r>
      <w:r w:rsidR="0093679F">
        <w:rPr>
          <w:rFonts w:ascii="Times New Roman" w:hAnsi="Times New Roman" w:cs="Times New Roman"/>
          <w:b/>
          <w:bCs/>
          <w:szCs w:val="24"/>
          <w:lang w:eastAsia="en-US"/>
        </w:rPr>
        <w:t>442</w:t>
      </w:r>
    </w:p>
    <w:p w14:paraId="6FD39296" w14:textId="58A2CAA5" w:rsidR="001F1843" w:rsidRPr="003A42FB" w:rsidRDefault="001F184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W niniejszym przepisie zostały uregulowane kwestie dotyczące nakładania kar pieniężnych na przedsiębiorców komunikacji elektronicznej, którzy wbrew przepisom ustawy nie stosują się do nakazów i zakazów w niej określonych. </w:t>
      </w:r>
      <w:r w:rsidR="2FAE7A74" w:rsidRPr="003A42FB">
        <w:rPr>
          <w:rFonts w:ascii="Times New Roman" w:eastAsiaTheme="minorEastAsia" w:hAnsi="Times New Roman" w:cs="Times New Roman"/>
          <w:sz w:val="24"/>
          <w:szCs w:val="24"/>
        </w:rPr>
        <w:t xml:space="preserve">Odpowiednikiem tego przepisu </w:t>
      </w:r>
      <w:r w:rsidR="2B15D562" w:rsidRPr="003A42FB">
        <w:rPr>
          <w:rFonts w:ascii="Times New Roman" w:eastAsiaTheme="minorEastAsia" w:hAnsi="Times New Roman" w:cs="Times New Roman"/>
          <w:sz w:val="24"/>
          <w:szCs w:val="24"/>
        </w:rPr>
        <w:t>jest</w:t>
      </w:r>
      <w:r w:rsidR="2FAE7A74" w:rsidRPr="003A42FB">
        <w:rPr>
          <w:rFonts w:ascii="Times New Roman" w:eastAsiaTheme="minorEastAsia" w:hAnsi="Times New Roman" w:cs="Times New Roman"/>
          <w:sz w:val="24"/>
          <w:szCs w:val="24"/>
        </w:rPr>
        <w:t xml:space="preserve"> art. 210 Pt</w:t>
      </w:r>
      <w:r w:rsidR="4508CC43" w:rsidRPr="003A42FB">
        <w:rPr>
          <w:rFonts w:ascii="Times New Roman" w:eastAsiaTheme="minorEastAsia" w:hAnsi="Times New Roman" w:cs="Times New Roman"/>
          <w:sz w:val="24"/>
          <w:szCs w:val="24"/>
        </w:rPr>
        <w:t xml:space="preserve"> z modyfikacjami.</w:t>
      </w:r>
    </w:p>
    <w:p w14:paraId="0B20B869" w14:textId="36EE6F81" w:rsidR="001F1843" w:rsidRPr="003A42FB" w:rsidRDefault="001F184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Prezes UKE nakłada karę w formie decyzji administracyjnej. Jej wysokość nie może przekroczyć 3% przychodu ukaranego podmiotu, osiągniętego w poprzednim roku kalendarzowym, przy czym ustawa nie przewiduje dolnej granicy kary pieniężnej. </w:t>
      </w:r>
    </w:p>
    <w:p w14:paraId="479E8264" w14:textId="77777777" w:rsidR="001F1843" w:rsidRPr="003A42FB" w:rsidRDefault="001F184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Jeżeli podmiot w poprzednim roku kalendarzowym nie osiągnął przychodu lub osiągnął przychód w wysokości nieprzekraczającej 500 000 zł, Prezes UKE nakładając karę ustala przychód stanowiący podstawę wymiaru kary wg średniego przychodu podmiotu w trzech kolejnych latach kalendarzowych, poprzedzających rok nałożenia kary. Jeżeli zaś tak ustalony przychód nie przekroczy 500 000 zł, Prezes UKE będzie mógł wymierzyć karę do wysokości 15 000 zł.</w:t>
      </w:r>
    </w:p>
    <w:p w14:paraId="6DD289F7" w14:textId="558CAC60" w:rsidR="001F1843" w:rsidRPr="003A42FB" w:rsidRDefault="001F184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Prezes UKE ustalając wysokość kary pieniężnej musi wziąć pod uwagę okoliczności określone w ust. 7. W celu umożliwienia ustalenia kary, Prezes UKE może żądać przekazania odpowiednich danych od podmiotu będącego stroną postępowania o nałożenie kary pieniężnej. 30 dniowy termin do wykonania obowiązku dostarczenia danych określony ustawą i nie może być skracany przez Prezesa UKE. W przypadku odmowy dostarczenia danych, niedostarczenia ich w ustalonym terminie lub braku możliwości ustalenia podstawy wymiaru kary pieniężnej na podstawie dostarczonych danych, Prezes UKE jest uprawniony do szacunkowego ustalenia podstawy wymiaru kary pieniężnej. Przepis ust. 8 ustala minimalną wysokość przychodu przedsiębiorstwa</w:t>
      </w:r>
      <w:r w:rsidR="0022C0D4"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od którego wymierzana jest kara pieniężna na 500 000 złotych. </w:t>
      </w:r>
    </w:p>
    <w:p w14:paraId="45629BE2" w14:textId="08FADBB8" w:rsidR="008B5EBD" w:rsidRPr="00912B47" w:rsidRDefault="008B5EBD" w:rsidP="00C53EAB">
      <w:pPr>
        <w:spacing w:after="120" w:line="240" w:lineRule="auto"/>
        <w:jc w:val="both"/>
        <w:rPr>
          <w:rFonts w:ascii="Times New Roman" w:eastAsiaTheme="minorEastAsia" w:hAnsi="Times New Roman" w:cs="Times New Roman"/>
          <w:sz w:val="24"/>
          <w:szCs w:val="24"/>
        </w:rPr>
      </w:pPr>
      <w:r w:rsidRPr="008B5EBD">
        <w:rPr>
          <w:rFonts w:ascii="Times New Roman" w:eastAsiaTheme="minorEastAsia" w:hAnsi="Times New Roman" w:cs="Times New Roman"/>
          <w:sz w:val="24"/>
          <w:szCs w:val="24"/>
        </w:rPr>
        <w:t xml:space="preserve">Ust. </w:t>
      </w:r>
      <w:r w:rsidRPr="00912B47">
        <w:rPr>
          <w:rFonts w:ascii="Times New Roman" w:eastAsiaTheme="minorEastAsia" w:hAnsi="Times New Roman" w:cs="Times New Roman"/>
          <w:sz w:val="24"/>
          <w:szCs w:val="24"/>
        </w:rPr>
        <w:t>5 zawiera szczególn</w:t>
      </w:r>
      <w:r w:rsidRPr="008B5EBD">
        <w:rPr>
          <w:rFonts w:ascii="Times New Roman" w:eastAsiaTheme="minorEastAsia" w:hAnsi="Times New Roman" w:cs="Times New Roman"/>
          <w:sz w:val="24"/>
          <w:szCs w:val="24"/>
        </w:rPr>
        <w:t xml:space="preserve">ą regulację dotyczącą niewypełniania obowiązku uzyskania zgody marketingowej, o której mowa w art. 393. Prezes UKE w takim przypadku nakłada, </w:t>
      </w:r>
      <w:r w:rsidRPr="005F69BF">
        <w:rPr>
          <w:rFonts w:ascii="Times New Roman" w:hAnsi="Times New Roman" w:cs="Times New Roman"/>
          <w:sz w:val="24"/>
          <w:szCs w:val="24"/>
        </w:rPr>
        <w:t>biorąc pod uwagę charakter i zakres naruszenia, na podmiot karę pieniężną w wysokości do 3% przychodu ukaranego podmiotu, osiągniętego w poprzednim roku kalendarzowym lub do 1 mln zł, przy czym zastosowanie ma kwota wyższa.</w:t>
      </w:r>
    </w:p>
    <w:p w14:paraId="426825A4" w14:textId="7EE18F18" w:rsidR="00AA640E" w:rsidRPr="003A42FB" w:rsidRDefault="001F1843"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Przepisy ust. </w:t>
      </w:r>
      <w:r w:rsidR="008B5EBD">
        <w:rPr>
          <w:rFonts w:ascii="Times New Roman" w:eastAsiaTheme="minorEastAsia" w:hAnsi="Times New Roman" w:cs="Times New Roman"/>
          <w:sz w:val="24"/>
          <w:szCs w:val="24"/>
        </w:rPr>
        <w:t>9 i</w:t>
      </w:r>
      <w:r w:rsidRPr="003A42FB">
        <w:rPr>
          <w:rFonts w:ascii="Times New Roman" w:eastAsiaTheme="minorEastAsia" w:hAnsi="Times New Roman" w:cs="Times New Roman"/>
          <w:sz w:val="24"/>
          <w:szCs w:val="24"/>
        </w:rPr>
        <w:t xml:space="preserve"> 10 podobnie jak przepisy, które miały wejść w życie 1 stycznia 2021 r. w ramach ustawy z dnia 30 sierpnia 2019 r. o zmianie ustawy o wspieraniu rozwoju usług i sieci telekomunikacyjnych oraz niektórych innych ustaw (Dz. U. z 2019 r. poz. 1815) dookreślają, że administracyjne kary pieniężne, nakładane przez Prezesa UKE, stanowią przychód Funduszu Szerokopasmowego, a nie jak dotychczas dochód budżetu państwa.</w:t>
      </w:r>
    </w:p>
    <w:p w14:paraId="4FEA60BF" w14:textId="3B09AA36" w:rsidR="00941ECD" w:rsidRPr="003A42FB" w:rsidRDefault="00941ECD" w:rsidP="00C53EAB">
      <w:pPr>
        <w:pStyle w:val="ARTartustawynprozporzdzenia"/>
        <w:spacing w:before="0" w:after="120" w:line="240" w:lineRule="auto"/>
        <w:ind w:firstLine="0"/>
        <w:rPr>
          <w:rFonts w:ascii="Times New Roman" w:hAnsi="Times New Roman" w:cs="Times New Roman"/>
          <w:b/>
          <w:szCs w:val="24"/>
        </w:rPr>
      </w:pPr>
      <w:r w:rsidRPr="003A42FB">
        <w:rPr>
          <w:rFonts w:ascii="Times New Roman" w:hAnsi="Times New Roman" w:cs="Times New Roman"/>
          <w:b/>
          <w:szCs w:val="24"/>
        </w:rPr>
        <w:lastRenderedPageBreak/>
        <w:t xml:space="preserve">Art. </w:t>
      </w:r>
      <w:r w:rsidR="00615253">
        <w:rPr>
          <w:rFonts w:ascii="Times New Roman" w:hAnsi="Times New Roman" w:cs="Times New Roman"/>
          <w:b/>
          <w:bCs/>
          <w:szCs w:val="24"/>
        </w:rPr>
        <w:t>443</w:t>
      </w:r>
    </w:p>
    <w:p w14:paraId="4E1FBC79" w14:textId="411FC529" w:rsidR="5AF01528" w:rsidRPr="003A42FB" w:rsidRDefault="506DB1EE" w:rsidP="5AF01528">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Przepis stanowi powtórzenie regulacji zawartej w art. 210a Pt i reguluje kwestię sankcji za naruszenie obowiązków dotyczących bezpieczeństwa przetwarzania danych osobowych, w tym wdrożenia technicznych i organizacyjnych środków ochrony, obowiązków informacyjnych względem Prezesa Urzędu Ochrony Danych Osobowych oraz użytkownika (w przypadku naruszenia danych osobowych), a także obowiązków dotyczących prowadzenia rejestru naruszeń danych osobowych. Obowiązki te zostały nałożone na podstawie projektowanych art. 3</w:t>
      </w:r>
      <w:r w:rsidR="6D348AFE" w:rsidRPr="003A42FB">
        <w:rPr>
          <w:rFonts w:ascii="Times New Roman" w:hAnsi="Times New Roman" w:cs="Times New Roman"/>
          <w:szCs w:val="24"/>
        </w:rPr>
        <w:t>6</w:t>
      </w:r>
      <w:r w:rsidR="491A5546" w:rsidRPr="003A42FB">
        <w:rPr>
          <w:rFonts w:ascii="Times New Roman" w:hAnsi="Times New Roman" w:cs="Times New Roman"/>
          <w:szCs w:val="24"/>
        </w:rPr>
        <w:t>3</w:t>
      </w:r>
      <w:r w:rsidRPr="003A42FB">
        <w:rPr>
          <w:rFonts w:ascii="Times New Roman" w:hAnsi="Times New Roman" w:cs="Times New Roman"/>
          <w:szCs w:val="24"/>
        </w:rPr>
        <w:t>, 3</w:t>
      </w:r>
      <w:r w:rsidR="6D348AFE" w:rsidRPr="003A42FB">
        <w:rPr>
          <w:rFonts w:ascii="Times New Roman" w:hAnsi="Times New Roman" w:cs="Times New Roman"/>
          <w:szCs w:val="24"/>
        </w:rPr>
        <w:t>6</w:t>
      </w:r>
      <w:r w:rsidR="491A5546" w:rsidRPr="003A42FB">
        <w:rPr>
          <w:rFonts w:ascii="Times New Roman" w:hAnsi="Times New Roman" w:cs="Times New Roman"/>
          <w:szCs w:val="24"/>
        </w:rPr>
        <w:t>4</w:t>
      </w:r>
      <w:r w:rsidRPr="003A42FB">
        <w:rPr>
          <w:rFonts w:ascii="Times New Roman" w:hAnsi="Times New Roman" w:cs="Times New Roman"/>
          <w:szCs w:val="24"/>
        </w:rPr>
        <w:t xml:space="preserve"> </w:t>
      </w:r>
      <w:r w:rsidR="43404BD5" w:rsidRPr="003A42FB">
        <w:rPr>
          <w:rFonts w:ascii="Times New Roman" w:hAnsi="Times New Roman" w:cs="Times New Roman"/>
          <w:szCs w:val="24"/>
        </w:rPr>
        <w:t>Pke</w:t>
      </w:r>
      <w:r w:rsidR="4732F0F1" w:rsidRPr="003A42FB">
        <w:rPr>
          <w:rFonts w:ascii="Times New Roman" w:hAnsi="Times New Roman" w:cs="Times New Roman"/>
          <w:szCs w:val="24"/>
        </w:rPr>
        <w:t xml:space="preserve"> na dostawcę publicznie dostępnych usług komunikacji elektronicznej. Organem uprawnionym do nakładania kar jest Prezes Urzędu Ochrony Danych Osobowych. Zastosowanie znajdą tu odpowiednio przepis dotyczące nakładania kar przez Prezesa UKE (art. </w:t>
      </w:r>
      <w:r w:rsidR="6D348AFE" w:rsidRPr="003A42FB">
        <w:rPr>
          <w:rFonts w:ascii="Times New Roman" w:hAnsi="Times New Roman" w:cs="Times New Roman"/>
          <w:szCs w:val="24"/>
        </w:rPr>
        <w:t>40</w:t>
      </w:r>
      <w:r w:rsidR="491A5546" w:rsidRPr="003A42FB">
        <w:rPr>
          <w:rFonts w:ascii="Times New Roman" w:hAnsi="Times New Roman" w:cs="Times New Roman"/>
          <w:szCs w:val="24"/>
        </w:rPr>
        <w:t>9</w:t>
      </w:r>
      <w:r w:rsidR="4732F0F1" w:rsidRPr="003A42FB">
        <w:rPr>
          <w:rFonts w:ascii="Times New Roman" w:hAnsi="Times New Roman" w:cs="Times New Roman"/>
          <w:szCs w:val="24"/>
        </w:rPr>
        <w:t xml:space="preserve"> ust. 3-5 oraz art. </w:t>
      </w:r>
      <w:r w:rsidR="6D348AFE" w:rsidRPr="003A42FB">
        <w:rPr>
          <w:rFonts w:ascii="Times New Roman" w:hAnsi="Times New Roman" w:cs="Times New Roman"/>
          <w:szCs w:val="24"/>
        </w:rPr>
        <w:t>4</w:t>
      </w:r>
      <w:r w:rsidR="491A5546" w:rsidRPr="003A42FB">
        <w:rPr>
          <w:rFonts w:ascii="Times New Roman" w:hAnsi="Times New Roman" w:cs="Times New Roman"/>
          <w:szCs w:val="24"/>
        </w:rPr>
        <w:t>1</w:t>
      </w:r>
      <w:r w:rsidR="6D348AFE" w:rsidRPr="003A42FB">
        <w:rPr>
          <w:rFonts w:ascii="Times New Roman" w:hAnsi="Times New Roman" w:cs="Times New Roman"/>
          <w:szCs w:val="24"/>
        </w:rPr>
        <w:t>0</w:t>
      </w:r>
      <w:r w:rsidR="4732F0F1" w:rsidRPr="003A42FB">
        <w:rPr>
          <w:rFonts w:ascii="Times New Roman" w:hAnsi="Times New Roman" w:cs="Times New Roman"/>
          <w:szCs w:val="24"/>
        </w:rPr>
        <w:t>).</w:t>
      </w:r>
      <w:r w:rsidR="48E0F546" w:rsidRPr="003A42FB">
        <w:rPr>
          <w:rFonts w:ascii="Times New Roman" w:hAnsi="Times New Roman" w:cs="Times New Roman"/>
          <w:szCs w:val="24"/>
        </w:rPr>
        <w:t xml:space="preserve"> Obowiązki, których dotyczy kara pieniężna przewidziana w projektowanym przepisie oraz obowiązek ustanowienia sankcji wynika z wdrożenia </w:t>
      </w:r>
      <w:r w:rsidR="655466D0" w:rsidRPr="003A42FB">
        <w:rPr>
          <w:rFonts w:ascii="Times New Roman" w:hAnsi="Times New Roman" w:cs="Times New Roman"/>
          <w:szCs w:val="24"/>
        </w:rPr>
        <w:t xml:space="preserve">rozporządzenia Komisji (UE) nr </w:t>
      </w:r>
      <w:hyperlink r:id="rId30">
        <w:r w:rsidR="655466D0" w:rsidRPr="003A42FB">
          <w:rPr>
            <w:rStyle w:val="Hipercze"/>
            <w:rFonts w:ascii="Times New Roman" w:hAnsi="Times New Roman" w:cs="Times New Roman"/>
            <w:color w:val="auto"/>
            <w:szCs w:val="24"/>
            <w:u w:val="none"/>
          </w:rPr>
          <w:t>611/2013</w:t>
        </w:r>
      </w:hyperlink>
      <w:r w:rsidR="655466D0" w:rsidRPr="003A42FB">
        <w:rPr>
          <w:rFonts w:ascii="Times New Roman" w:hAnsi="Times New Roman" w:cs="Times New Roman"/>
          <w:szCs w:val="24"/>
        </w:rPr>
        <w:t xml:space="preserve"> z dnia 24 czerwca 2013 r. w sprawie środków mających zastosowanie przy powiadamianiu o przypadkach naruszenia danych osobowych, na mocy dyrektywy 2002/58/WE Parlamentu Europejskiego i Rady o prywatności i łączności elektronicznej oraz dyrektywy 2002/58/WE o prywatności.</w:t>
      </w:r>
    </w:p>
    <w:p w14:paraId="0821512A" w14:textId="7CD3B6AD" w:rsidR="0E5AFEB7" w:rsidRPr="003A42FB" w:rsidRDefault="0E5AFEB7" w:rsidP="5AF01528">
      <w:pPr>
        <w:pStyle w:val="ARTartustawynprozporzdzenia"/>
        <w:spacing w:before="0" w:after="120" w:line="240" w:lineRule="auto"/>
        <w:ind w:firstLine="0"/>
        <w:rPr>
          <w:rFonts w:ascii="Times New Roman" w:hAnsi="Times New Roman" w:cs="Times New Roman"/>
          <w:b/>
          <w:szCs w:val="24"/>
        </w:rPr>
      </w:pPr>
      <w:r w:rsidRPr="003A42FB">
        <w:rPr>
          <w:rFonts w:ascii="Times New Roman" w:hAnsi="Times New Roman" w:cs="Times New Roman"/>
          <w:b/>
          <w:szCs w:val="24"/>
        </w:rPr>
        <w:t xml:space="preserve">Art. </w:t>
      </w:r>
      <w:r w:rsidR="00D73BFE">
        <w:rPr>
          <w:rFonts w:ascii="Times New Roman" w:hAnsi="Times New Roman" w:cs="Times New Roman"/>
          <w:b/>
          <w:szCs w:val="24"/>
        </w:rPr>
        <w:t>444</w:t>
      </w:r>
    </w:p>
    <w:p w14:paraId="290C3CD9" w14:textId="66B2AA47" w:rsidR="5AF01528" w:rsidRPr="003A42FB" w:rsidRDefault="0E5AFEB7" w:rsidP="5AF01528">
      <w:pPr>
        <w:pStyle w:val="ARTartustawynprozporzdzenia"/>
        <w:spacing w:before="0" w:after="120" w:line="240" w:lineRule="auto"/>
        <w:ind w:firstLine="0"/>
        <w:rPr>
          <w:rFonts w:ascii="Times New Roman" w:hAnsi="Times New Roman" w:cs="Times New Roman"/>
          <w:szCs w:val="24"/>
        </w:rPr>
      </w:pPr>
      <w:r w:rsidRPr="003A42FB">
        <w:rPr>
          <w:rFonts w:ascii="Times New Roman" w:hAnsi="Times New Roman" w:cs="Times New Roman"/>
          <w:szCs w:val="24"/>
        </w:rPr>
        <w:t xml:space="preserve">Decyzja PRS zobowiązuje państwa członkowskie </w:t>
      </w:r>
      <w:r w:rsidR="009E7D3A">
        <w:rPr>
          <w:rFonts w:ascii="Times New Roman" w:hAnsi="Times New Roman" w:cs="Times New Roman"/>
          <w:szCs w:val="24"/>
        </w:rPr>
        <w:t xml:space="preserve">UE </w:t>
      </w:r>
      <w:r w:rsidRPr="003A42FB">
        <w:rPr>
          <w:rFonts w:ascii="Times New Roman" w:hAnsi="Times New Roman" w:cs="Times New Roman"/>
          <w:szCs w:val="24"/>
        </w:rPr>
        <w:t xml:space="preserve">do określenia sankcji mających zastosowanie w razie naruszenia obowiązków wynikających z Decyzji PRS oraz do zapewnienia stosowania tych sankcji. Sankcje te muszą być skuteczne, proporcjonalne i odstraszające. Dlatego też projekt ustawy przewiduje wprowadzenie kar za podejmowanie działalności bez pozwolenia </w:t>
      </w:r>
      <w:r w:rsidR="00FC269E">
        <w:rPr>
          <w:rFonts w:ascii="Times New Roman" w:hAnsi="Times New Roman" w:cs="Times New Roman"/>
          <w:szCs w:val="24"/>
        </w:rPr>
        <w:t xml:space="preserve">PRS </w:t>
      </w:r>
      <w:r w:rsidRPr="003A42FB">
        <w:rPr>
          <w:rFonts w:ascii="Times New Roman" w:hAnsi="Times New Roman" w:cs="Times New Roman"/>
          <w:szCs w:val="24"/>
        </w:rPr>
        <w:t>oraz podejmowanych bez przestrzegania warunków zawartych w pozwoleniu</w:t>
      </w:r>
      <w:r w:rsidR="00FC269E">
        <w:rPr>
          <w:rFonts w:ascii="Times New Roman" w:hAnsi="Times New Roman" w:cs="Times New Roman"/>
          <w:szCs w:val="24"/>
        </w:rPr>
        <w:t xml:space="preserve"> PRS</w:t>
      </w:r>
      <w:r w:rsidR="00737511">
        <w:rPr>
          <w:rFonts w:ascii="Times New Roman" w:hAnsi="Times New Roman" w:cs="Times New Roman"/>
          <w:szCs w:val="24"/>
        </w:rPr>
        <w:t>, a także</w:t>
      </w:r>
      <w:r w:rsidR="007D7FBD">
        <w:rPr>
          <w:rFonts w:ascii="Times New Roman" w:hAnsi="Times New Roman" w:cs="Times New Roman"/>
          <w:szCs w:val="24"/>
        </w:rPr>
        <w:t xml:space="preserve"> za w</w:t>
      </w:r>
      <w:r w:rsidR="007D7FBD" w:rsidRPr="007D7FBD">
        <w:rPr>
          <w:rFonts w:ascii="Times New Roman" w:hAnsi="Times New Roman" w:cs="Times New Roman"/>
          <w:szCs w:val="24"/>
        </w:rPr>
        <w:t>ywóz oraz transfer wewnątrzunijny sprzętu na potrzeby PRS i technologii PRS</w:t>
      </w:r>
      <w:r w:rsidR="000E0446">
        <w:rPr>
          <w:rFonts w:ascii="Times New Roman" w:hAnsi="Times New Roman" w:cs="Times New Roman"/>
          <w:szCs w:val="24"/>
        </w:rPr>
        <w:t xml:space="preserve"> bez odpowiednich </w:t>
      </w:r>
      <w:r w:rsidR="00AA5087">
        <w:rPr>
          <w:rFonts w:ascii="Times New Roman" w:hAnsi="Times New Roman" w:cs="Times New Roman"/>
          <w:szCs w:val="24"/>
        </w:rPr>
        <w:t xml:space="preserve">zezwoleń oraz </w:t>
      </w:r>
      <w:r w:rsidR="007E5C14">
        <w:rPr>
          <w:rFonts w:ascii="Times New Roman" w:hAnsi="Times New Roman" w:cs="Times New Roman"/>
          <w:szCs w:val="24"/>
        </w:rPr>
        <w:t xml:space="preserve">bez przestrzegania określonych </w:t>
      </w:r>
      <w:r w:rsidR="00DE530D">
        <w:rPr>
          <w:rFonts w:ascii="Times New Roman" w:hAnsi="Times New Roman" w:cs="Times New Roman"/>
          <w:szCs w:val="24"/>
        </w:rPr>
        <w:t xml:space="preserve">w nich </w:t>
      </w:r>
      <w:r w:rsidR="00B72FB9">
        <w:rPr>
          <w:rFonts w:ascii="Times New Roman" w:hAnsi="Times New Roman" w:cs="Times New Roman"/>
          <w:szCs w:val="24"/>
        </w:rPr>
        <w:t>warunków</w:t>
      </w:r>
      <w:r w:rsidRPr="003A42FB">
        <w:rPr>
          <w:rFonts w:ascii="Times New Roman" w:hAnsi="Times New Roman" w:cs="Times New Roman"/>
          <w:szCs w:val="24"/>
        </w:rPr>
        <w:t>. Sankcje mają charakter proporcjonalny i odstraszający. Określając wysokości kary grzywny wzorowano się na kwotach przyjętych w prawie francuskim dotyczącym PRS, mając na względzie potrzebę zachowania jednolitych rozwiązań w krajach członkowskich UE korzystających z PRS.</w:t>
      </w:r>
    </w:p>
    <w:p w14:paraId="1B23D2CE" w14:textId="6113FB9D" w:rsidR="0E5AFEB7" w:rsidRPr="003A42FB" w:rsidRDefault="0E5AFEB7" w:rsidP="5AF01528">
      <w:pPr>
        <w:pStyle w:val="ARTartustawynprozporzdzenia"/>
        <w:spacing w:before="0" w:after="120" w:line="240" w:lineRule="auto"/>
        <w:ind w:firstLine="0"/>
        <w:rPr>
          <w:rFonts w:ascii="Times New Roman" w:hAnsi="Times New Roman" w:cs="Times New Roman"/>
          <w:b/>
          <w:szCs w:val="24"/>
        </w:rPr>
      </w:pPr>
      <w:r w:rsidRPr="003A42FB">
        <w:rPr>
          <w:rFonts w:ascii="Times New Roman" w:hAnsi="Times New Roman" w:cs="Times New Roman"/>
          <w:b/>
          <w:szCs w:val="24"/>
        </w:rPr>
        <w:t xml:space="preserve">Art. </w:t>
      </w:r>
      <w:r w:rsidR="00D73BFE">
        <w:rPr>
          <w:rFonts w:ascii="Times New Roman" w:hAnsi="Times New Roman" w:cs="Times New Roman"/>
          <w:b/>
          <w:szCs w:val="24"/>
        </w:rPr>
        <w:t>445</w:t>
      </w:r>
    </w:p>
    <w:p w14:paraId="78C5E133" w14:textId="56A89E1C" w:rsidR="5AF01528" w:rsidRPr="003A42FB" w:rsidRDefault="0E5AFEB7" w:rsidP="00CB0727">
      <w:pPr>
        <w:spacing w:line="240" w:lineRule="auto"/>
        <w:jc w:val="both"/>
        <w:rPr>
          <w:rFonts w:ascii="Times New Roman" w:eastAsia="Calibri" w:hAnsi="Times New Roman" w:cs="Times New Roman"/>
          <w:sz w:val="24"/>
          <w:szCs w:val="24"/>
        </w:rPr>
      </w:pPr>
      <w:r w:rsidRPr="003A42FB">
        <w:rPr>
          <w:rFonts w:ascii="Times New Roman" w:eastAsiaTheme="minorEastAsia" w:hAnsi="Times New Roman" w:cs="Times New Roman"/>
          <w:sz w:val="24"/>
          <w:szCs w:val="24"/>
          <w:lang w:eastAsia="pl-PL"/>
        </w:rPr>
        <w:t>Decyzja</w:t>
      </w:r>
      <w:r w:rsidRPr="003A42FB">
        <w:rPr>
          <w:rFonts w:ascii="Times New Roman" w:eastAsia="Calibri" w:hAnsi="Times New Roman" w:cs="Times New Roman"/>
          <w:sz w:val="24"/>
          <w:szCs w:val="24"/>
        </w:rPr>
        <w:t xml:space="preserve"> PRS zobowiązuje państwa członkowskie </w:t>
      </w:r>
      <w:r w:rsidR="009E7D3A">
        <w:rPr>
          <w:rFonts w:ascii="Times New Roman" w:eastAsia="Calibri" w:hAnsi="Times New Roman" w:cs="Times New Roman"/>
          <w:sz w:val="24"/>
          <w:szCs w:val="24"/>
        </w:rPr>
        <w:t xml:space="preserve">UE </w:t>
      </w:r>
      <w:r w:rsidRPr="003A42FB">
        <w:rPr>
          <w:rFonts w:ascii="Times New Roman" w:eastAsia="Calibri" w:hAnsi="Times New Roman" w:cs="Times New Roman"/>
          <w:sz w:val="24"/>
          <w:szCs w:val="24"/>
        </w:rPr>
        <w:t xml:space="preserve">do określenia sankcji mających zastosowanie w razie naruszenia obowiązków </w:t>
      </w:r>
      <w:r w:rsidRPr="003A42FB">
        <w:rPr>
          <w:rFonts w:ascii="Times New Roman" w:eastAsiaTheme="minorEastAsia" w:hAnsi="Times New Roman" w:cs="Times New Roman"/>
          <w:sz w:val="24"/>
          <w:szCs w:val="24"/>
          <w:lang w:eastAsia="pl-PL"/>
        </w:rPr>
        <w:t>wynikających</w:t>
      </w:r>
      <w:r w:rsidRPr="003A42FB">
        <w:rPr>
          <w:rFonts w:ascii="Times New Roman" w:eastAsia="Calibri" w:hAnsi="Times New Roman" w:cs="Times New Roman"/>
          <w:sz w:val="24"/>
          <w:szCs w:val="24"/>
        </w:rPr>
        <w:t xml:space="preserve"> z Decyzji PRS oraz do zapewnienia stosowania tych sankcji. Sankcje te muszą być skuteczne, proporcjonalne i odstraszające. Dlatego też projekt ustawy przewiduje wprowadzenie kar za podejmowanie działalności bez pozwolenia oraz podejmowanych bez przestrzegania warunków zawartych w pozwoleniu</w:t>
      </w:r>
      <w:r w:rsidR="007334E0">
        <w:rPr>
          <w:rFonts w:ascii="Times New Roman" w:eastAsia="Calibri" w:hAnsi="Times New Roman" w:cs="Times New Roman"/>
          <w:sz w:val="24"/>
          <w:szCs w:val="24"/>
        </w:rPr>
        <w:t xml:space="preserve"> PRS</w:t>
      </w:r>
      <w:r w:rsidR="005A2945" w:rsidRPr="005A2945">
        <w:rPr>
          <w:rFonts w:ascii="Times New Roman" w:eastAsia="Calibri" w:hAnsi="Times New Roman" w:cs="Times New Roman"/>
          <w:sz w:val="24"/>
          <w:szCs w:val="24"/>
        </w:rPr>
        <w:t>, a także za wywóz oraz transfer wewnątrzunijny sprzętu na potrzeby PRS i technologii PRS bez odpowiednich zezwoleń oraz bez przestrzegania określonych w nich warunków.</w:t>
      </w:r>
      <w:r w:rsidR="00BA70FA">
        <w:rPr>
          <w:rFonts w:ascii="Times New Roman" w:eastAsia="Calibri" w:hAnsi="Times New Roman" w:cs="Times New Roman"/>
          <w:sz w:val="24"/>
          <w:szCs w:val="24"/>
        </w:rPr>
        <w:t xml:space="preserve"> </w:t>
      </w:r>
      <w:r w:rsidRPr="003A42FB">
        <w:rPr>
          <w:rFonts w:ascii="Times New Roman" w:eastAsia="Calibri" w:hAnsi="Times New Roman" w:cs="Times New Roman"/>
          <w:sz w:val="24"/>
          <w:szCs w:val="24"/>
        </w:rPr>
        <w:t>Sankcje mają charakter proporcjonalny i odstraszający. Określając kary dodatkowe wzorowano się na rozwiązaniach przyjętych w prawie francuskim dotyczącym PRS, mając na względzie potrzebę zachowania jednolitych rozwiązań w krajach członkowskich UE korzystających z PRS.</w:t>
      </w:r>
    </w:p>
    <w:p w14:paraId="7EDE4819" w14:textId="77777777" w:rsidR="006D1401" w:rsidRPr="003A42FB" w:rsidRDefault="006D1401" w:rsidP="00C53EAB">
      <w:pPr>
        <w:pStyle w:val="ARTartustawynprozporzdzenia"/>
        <w:spacing w:before="0" w:after="120" w:line="240" w:lineRule="auto"/>
        <w:ind w:firstLine="0"/>
        <w:rPr>
          <w:rFonts w:ascii="Times New Roman" w:hAnsi="Times New Roman" w:cs="Times New Roman"/>
          <w:szCs w:val="24"/>
          <w:lang w:eastAsia="en-US"/>
        </w:rPr>
      </w:pPr>
    </w:p>
    <w:p w14:paraId="5831E00B" w14:textId="77777777" w:rsidR="00EC475B" w:rsidRPr="003A42FB" w:rsidRDefault="00EC475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 xml:space="preserve">Projekt ustawy jest zgodny z prawem Unii Europejskiej. </w:t>
      </w:r>
    </w:p>
    <w:p w14:paraId="33BC84B1" w14:textId="77777777" w:rsidR="00EC475B" w:rsidRPr="003A42FB" w:rsidRDefault="00EC475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Projektowana regulacja nie zawiera przepisów technicznych w rozumieniu rozporządzenia Rady Ministrów z dnia 23 grudnia 2002 r. w sprawie sposobu funkcjonowania krajowego systemu notyfikacji norm i aktów prawnych (Dz. U. poz. 2039 oraz z 2004 r. poz. 597) i nie podlega notyfikacji Komisji Europejskiej.</w:t>
      </w:r>
    </w:p>
    <w:p w14:paraId="0FE5D210" w14:textId="77777777" w:rsidR="00EC475B" w:rsidRPr="003A42FB" w:rsidRDefault="00EC475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lastRenderedPageBreak/>
        <w:t xml:space="preserve">Projektowana regulacja nie będzie wymagała notyfikacji Komisji Europejskiej w trybie ustawy z dnia 30 kwietnia 2004 r. o postępowaniu w sprawach dotyczących pomocy publicznej </w:t>
      </w:r>
      <w:r w:rsidRPr="003A42FB">
        <w:rPr>
          <w:rFonts w:ascii="Times New Roman" w:hAnsi="Times New Roman" w:cs="Times New Roman"/>
          <w:sz w:val="24"/>
          <w:szCs w:val="24"/>
        </w:rPr>
        <w:br/>
      </w:r>
      <w:r w:rsidRPr="003A42FB">
        <w:rPr>
          <w:rFonts w:ascii="Times New Roman" w:eastAsiaTheme="minorEastAsia" w:hAnsi="Times New Roman" w:cs="Times New Roman"/>
          <w:sz w:val="24"/>
          <w:szCs w:val="24"/>
        </w:rPr>
        <w:t>(Dz. U. z 2018 r. poz. 362).</w:t>
      </w:r>
    </w:p>
    <w:p w14:paraId="67B086E1" w14:textId="77777777" w:rsidR="00EC475B" w:rsidRPr="003A42FB" w:rsidRDefault="00EC475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Projekt nie wymaga przedstawienia właściwym organom i instytucjom Unii Europejskiej, w tym Europejskiemu Bankowi Centralnemu, w celu uzyskania opinii, dokonania powiadomienia, konsultacji albo uzgodnienia. Ogłoszona w Dzienniku Ustaw ustawa zostanie przekazana do Komisji Europejskiej jako krajowy środek wykonawczy.</w:t>
      </w:r>
    </w:p>
    <w:p w14:paraId="08CE6F91" w14:textId="109BF4DE" w:rsidR="0055671D" w:rsidRPr="003A42FB" w:rsidRDefault="00EC475B" w:rsidP="00C53EAB">
      <w:pPr>
        <w:spacing w:after="120" w:line="240" w:lineRule="auto"/>
        <w:jc w:val="both"/>
        <w:rPr>
          <w:rFonts w:ascii="Times New Roman" w:eastAsiaTheme="minorEastAsia" w:hAnsi="Times New Roman" w:cs="Times New Roman"/>
          <w:sz w:val="24"/>
          <w:szCs w:val="24"/>
        </w:rPr>
      </w:pPr>
      <w:r w:rsidRPr="003A42FB">
        <w:rPr>
          <w:rFonts w:ascii="Times New Roman" w:eastAsiaTheme="minorEastAsia" w:hAnsi="Times New Roman" w:cs="Times New Roman"/>
          <w:sz w:val="24"/>
          <w:szCs w:val="24"/>
        </w:rPr>
        <w:t>Stosownie do postanowień art. 5 ustawy z dnia 7 lipca 2005 r. o działalności lobbingowej w procesie stanowienia prawa (Dz. U. z 2017 r. poz. 248), projekt zostanie udostępniony w Biuletynie Informacji Publicznej. Ponadto zgodnie z § 52 ust. 1 uchwały Nr 190 Rady Ministrów z dnia 29 października 2013 r. – Regulamin pracy Rady Ministrów (M.P. z 2016 r. poz. 1006 i 1024</w:t>
      </w:r>
      <w:r w:rsidR="00F6284A" w:rsidRPr="003A42FB">
        <w:rPr>
          <w:rFonts w:ascii="Times New Roman" w:eastAsiaTheme="minorEastAsia" w:hAnsi="Times New Roman" w:cs="Times New Roman"/>
          <w:sz w:val="24"/>
          <w:szCs w:val="24"/>
        </w:rPr>
        <w:t>,</w:t>
      </w:r>
      <w:r w:rsidRPr="003A42FB">
        <w:rPr>
          <w:rFonts w:ascii="Times New Roman" w:eastAsiaTheme="minorEastAsia" w:hAnsi="Times New Roman" w:cs="Times New Roman"/>
          <w:sz w:val="24"/>
          <w:szCs w:val="24"/>
        </w:rPr>
        <w:t xml:space="preserve"> z 2018 r. poz. 114 i 278</w:t>
      </w:r>
      <w:r w:rsidR="00F6284A" w:rsidRPr="003A42FB">
        <w:rPr>
          <w:rFonts w:ascii="Times New Roman" w:eastAsiaTheme="minorEastAsia" w:hAnsi="Times New Roman" w:cs="Times New Roman"/>
          <w:sz w:val="24"/>
          <w:szCs w:val="24"/>
        </w:rPr>
        <w:t xml:space="preserve"> oraz z 2019 r. poz. 137 i 1192</w:t>
      </w:r>
      <w:r w:rsidRPr="003A42FB">
        <w:rPr>
          <w:rFonts w:ascii="Times New Roman" w:eastAsiaTheme="minorEastAsia" w:hAnsi="Times New Roman" w:cs="Times New Roman"/>
          <w:sz w:val="24"/>
          <w:szCs w:val="24"/>
        </w:rPr>
        <w:t xml:space="preserve">), zostanie udostępniony w Biuletynie Informacji Publicznej na stronie podmiotowej Rządowego Centrum Legislacji, w serwisie Rządowy Proces Legislacyjny. </w:t>
      </w:r>
    </w:p>
    <w:sectPr w:rsidR="0055671D" w:rsidRPr="003A42FB">
      <w:headerReference w:type="default" r:id="rId31"/>
      <w:footerReference w:type="default" r:id="rId3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F3A3B7" w16cex:dateUtc="2021-01-26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BC694F" w16cid:durableId="23B3D8E7"/>
  <w16cid:commentId w16cid:paraId="7914F8A6" w16cid:durableId="23B3D8E8"/>
  <w16cid:commentId w16cid:paraId="3F18E66D" w16cid:durableId="2BF3A3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B7E43" w14:textId="77777777" w:rsidR="004D6447" w:rsidRDefault="004D6447" w:rsidP="004E7184">
      <w:pPr>
        <w:spacing w:after="0" w:line="240" w:lineRule="auto"/>
      </w:pPr>
      <w:r>
        <w:separator/>
      </w:r>
    </w:p>
  </w:endnote>
  <w:endnote w:type="continuationSeparator" w:id="0">
    <w:p w14:paraId="56AAAC1D" w14:textId="77777777" w:rsidR="004D6447" w:rsidRDefault="004D6447" w:rsidP="004E7184">
      <w:pPr>
        <w:spacing w:after="0" w:line="240" w:lineRule="auto"/>
      </w:pPr>
      <w:r>
        <w:continuationSeparator/>
      </w:r>
    </w:p>
  </w:endnote>
  <w:endnote w:type="continuationNotice" w:id="1">
    <w:p w14:paraId="5E842D64" w14:textId="77777777" w:rsidR="004D6447" w:rsidRDefault="004D6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978347"/>
      <w:docPartObj>
        <w:docPartGallery w:val="Page Numbers (Bottom of Page)"/>
        <w:docPartUnique/>
      </w:docPartObj>
    </w:sdtPr>
    <w:sdtEndPr/>
    <w:sdtContent>
      <w:p w14:paraId="407CE2FB" w14:textId="77777777" w:rsidR="00A27907" w:rsidRDefault="00A27907">
        <w:pPr>
          <w:pStyle w:val="Stopka"/>
        </w:pPr>
        <w:r>
          <w:fldChar w:fldCharType="begin"/>
        </w:r>
        <w:r>
          <w:instrText>PAGE   \* MERGEFORMAT</w:instrText>
        </w:r>
        <w:r>
          <w:fldChar w:fldCharType="separate"/>
        </w:r>
        <w:r w:rsidR="00AE38FA">
          <w:rPr>
            <w:noProof/>
          </w:rPr>
          <w:t>1</w:t>
        </w:r>
        <w:r>
          <w:fldChar w:fldCharType="end"/>
        </w:r>
      </w:p>
    </w:sdtContent>
  </w:sdt>
  <w:p w14:paraId="5043CB0F" w14:textId="77777777" w:rsidR="00A27907" w:rsidRDefault="00A279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99607" w14:textId="77777777" w:rsidR="004D6447" w:rsidRDefault="004D6447" w:rsidP="004E7184">
      <w:pPr>
        <w:spacing w:after="0" w:line="240" w:lineRule="auto"/>
      </w:pPr>
      <w:r>
        <w:separator/>
      </w:r>
    </w:p>
  </w:footnote>
  <w:footnote w:type="continuationSeparator" w:id="0">
    <w:p w14:paraId="44BEC2A7" w14:textId="77777777" w:rsidR="004D6447" w:rsidRDefault="004D6447" w:rsidP="004E7184">
      <w:pPr>
        <w:spacing w:after="0" w:line="240" w:lineRule="auto"/>
      </w:pPr>
      <w:r>
        <w:continuationSeparator/>
      </w:r>
    </w:p>
  </w:footnote>
  <w:footnote w:type="continuationNotice" w:id="1">
    <w:p w14:paraId="215FDEB7" w14:textId="77777777" w:rsidR="004D6447" w:rsidRDefault="004D6447">
      <w:pPr>
        <w:spacing w:after="0" w:line="240" w:lineRule="auto"/>
      </w:pPr>
    </w:p>
  </w:footnote>
  <w:footnote w:id="2">
    <w:p w14:paraId="3349E3A2" w14:textId="751127ED" w:rsidR="00A27907" w:rsidRPr="00C53EAB" w:rsidRDefault="00A27907" w:rsidP="003A753A">
      <w:pPr>
        <w:pStyle w:val="Tekstprzypisudolnego"/>
        <w:rPr>
          <w:rFonts w:ascii="Times New Roman" w:hAnsi="Times New Roman" w:cs="Times New Roman"/>
        </w:rPr>
      </w:pPr>
      <w:r w:rsidRPr="00C53EAB">
        <w:rPr>
          <w:rStyle w:val="Odwoanieprzypisudolnego"/>
          <w:rFonts w:ascii="Times New Roman" w:hAnsi="Times New Roman" w:cs="Times New Roman"/>
        </w:rPr>
        <w:footnoteRef/>
      </w:r>
      <w:r w:rsidRPr="00C53EAB">
        <w:rPr>
          <w:rFonts w:ascii="Times New Roman" w:hAnsi="Times New Roman" w:cs="Times New Roman"/>
        </w:rPr>
        <w:t xml:space="preserve"> Ustawa z dnia 7 maja 2010 r. o wspieraniu rozwoju usług i sieci telekomunikacyjnych (Dz. U. z 2019 r. poz. 2410).</w:t>
      </w:r>
    </w:p>
  </w:footnote>
  <w:footnote w:id="3">
    <w:p w14:paraId="5437AB60" w14:textId="77777777" w:rsidR="00A27907" w:rsidRPr="00C53EAB" w:rsidRDefault="00A27907" w:rsidP="00086786">
      <w:pPr>
        <w:pStyle w:val="Tekstprzypisudolnego"/>
        <w:jc w:val="both"/>
        <w:rPr>
          <w:rFonts w:ascii="Times New Roman" w:hAnsi="Times New Roman" w:cs="Times New Roman"/>
        </w:rPr>
      </w:pPr>
      <w:r w:rsidRPr="00C53EAB">
        <w:rPr>
          <w:rStyle w:val="Odwoanieprzypisudolnego"/>
          <w:rFonts w:ascii="Times New Roman" w:hAnsi="Times New Roman" w:cs="Times New Roman"/>
        </w:rPr>
        <w:footnoteRef/>
      </w:r>
      <w:r w:rsidRPr="00C53EAB">
        <w:rPr>
          <w:rFonts w:ascii="Times New Roman" w:hAnsi="Times New Roman" w:cs="Times New Roman"/>
        </w:rPr>
        <w:t xml:space="preserve"> wyr. SN z 6.11.1991 r., </w:t>
      </w:r>
      <w:hyperlink r:id="rId1" w:history="1">
        <w:r w:rsidRPr="00C53EAB">
          <w:rPr>
            <w:rStyle w:val="Hipercze"/>
            <w:rFonts w:ascii="Times New Roman" w:hAnsi="Times New Roman" w:cs="Times New Roman"/>
            <w:color w:val="auto"/>
            <w:u w:val="none"/>
          </w:rPr>
          <w:t>I PRN 47/91</w:t>
        </w:r>
      </w:hyperlink>
      <w:r w:rsidRPr="00C53EAB">
        <w:rPr>
          <w:rFonts w:ascii="Times New Roman" w:hAnsi="Times New Roman" w:cs="Times New Roman"/>
        </w:rPr>
        <w:t>, OSP 1992, Nr 7–8, poz. 151</w:t>
      </w:r>
    </w:p>
  </w:footnote>
  <w:footnote w:id="4">
    <w:p w14:paraId="5B259541" w14:textId="77777777" w:rsidR="00A27907" w:rsidRPr="00C53EAB" w:rsidRDefault="00A27907" w:rsidP="00086786">
      <w:pPr>
        <w:pStyle w:val="Tekstprzypisudolnego"/>
        <w:jc w:val="both"/>
        <w:rPr>
          <w:rFonts w:ascii="Times New Roman" w:hAnsi="Times New Roman" w:cs="Times New Roman"/>
        </w:rPr>
      </w:pPr>
      <w:r w:rsidRPr="00C53EAB">
        <w:rPr>
          <w:rStyle w:val="Odwoanieprzypisudolnego"/>
          <w:rFonts w:ascii="Times New Roman" w:hAnsi="Times New Roman" w:cs="Times New Roman"/>
        </w:rPr>
        <w:footnoteRef/>
      </w:r>
      <w:r w:rsidRPr="00C53EAB">
        <w:rPr>
          <w:rFonts w:ascii="Times New Roman" w:hAnsi="Times New Roman" w:cs="Times New Roman"/>
        </w:rPr>
        <w:t xml:space="preserve"> </w:t>
      </w:r>
      <w:r w:rsidRPr="00C53EAB">
        <w:rPr>
          <w:rFonts w:ascii="Times New Roman" w:eastAsia="Times New Roman" w:hAnsi="Times New Roman" w:cs="Times New Roman"/>
          <w:lang w:eastAsia="pl-PL"/>
        </w:rPr>
        <w:t xml:space="preserve">Kodeks pracy. Komentarz, red. prof. dr hab. Wojciech Muszalski, </w:t>
      </w:r>
      <w:r w:rsidRPr="00C53EAB">
        <w:rPr>
          <w:rFonts w:ascii="Times New Roman" w:hAnsi="Times New Roman" w:cs="Times New Roman"/>
        </w:rPr>
        <w:t>Wyd. 12, Warszawa 2019</w:t>
      </w:r>
    </w:p>
    <w:p w14:paraId="07547A01" w14:textId="77777777" w:rsidR="00A27907" w:rsidRPr="00C53EAB" w:rsidRDefault="00A27907" w:rsidP="00086786">
      <w:pPr>
        <w:pStyle w:val="Tekstprzypisudolnego"/>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0"/>
      <w:gridCol w:w="3020"/>
      <w:gridCol w:w="3020"/>
    </w:tblGrid>
    <w:tr w:rsidR="00A27907" w14:paraId="23482855" w14:textId="77777777" w:rsidTr="005F69BF">
      <w:tc>
        <w:tcPr>
          <w:tcW w:w="3020" w:type="dxa"/>
        </w:tcPr>
        <w:p w14:paraId="3C5A8B75" w14:textId="2E5F8F63" w:rsidR="00A27907" w:rsidRDefault="00A27907" w:rsidP="005F69BF">
          <w:pPr>
            <w:pStyle w:val="Nagwek"/>
            <w:ind w:left="-115"/>
          </w:pPr>
        </w:p>
      </w:tc>
      <w:tc>
        <w:tcPr>
          <w:tcW w:w="3020" w:type="dxa"/>
        </w:tcPr>
        <w:p w14:paraId="3DA655A1" w14:textId="142498D6" w:rsidR="00A27907" w:rsidRDefault="00A27907" w:rsidP="005F69BF">
          <w:pPr>
            <w:pStyle w:val="Nagwek"/>
            <w:jc w:val="center"/>
          </w:pPr>
        </w:p>
      </w:tc>
      <w:tc>
        <w:tcPr>
          <w:tcW w:w="3020" w:type="dxa"/>
        </w:tcPr>
        <w:p w14:paraId="13E40C86" w14:textId="6204896A" w:rsidR="00A27907" w:rsidRDefault="00A27907" w:rsidP="005F69BF">
          <w:pPr>
            <w:pStyle w:val="Nagwek"/>
            <w:ind w:right="-115"/>
            <w:jc w:val="right"/>
          </w:pPr>
        </w:p>
      </w:tc>
    </w:tr>
  </w:tbl>
  <w:p w14:paraId="0DF82979" w14:textId="034153BB" w:rsidR="00A27907" w:rsidRDefault="00A27907" w:rsidP="005F69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2"/>
      <w:numFmt w:val="decimal"/>
      <w:suff w:val="space"/>
      <w:lvlText w:val="%1."/>
      <w:lvlJc w:val="left"/>
    </w:lvl>
  </w:abstractNum>
  <w:abstractNum w:abstractNumId="1">
    <w:nsid w:val="00000010"/>
    <w:multiLevelType w:val="hybridMultilevel"/>
    <w:tmpl w:val="00000010"/>
    <w:lvl w:ilvl="0" w:tplc="150E3CD0">
      <w:start w:val="1"/>
      <w:numFmt w:val="decimal"/>
      <w:suff w:val="space"/>
      <w:lvlText w:val="%1."/>
      <w:lvlJc w:val="left"/>
    </w:lvl>
    <w:lvl w:ilvl="1" w:tplc="434635D8">
      <w:numFmt w:val="decimal"/>
      <w:lvlText w:val=""/>
      <w:lvlJc w:val="left"/>
    </w:lvl>
    <w:lvl w:ilvl="2" w:tplc="2E98D53C">
      <w:numFmt w:val="decimal"/>
      <w:lvlText w:val=""/>
      <w:lvlJc w:val="left"/>
    </w:lvl>
    <w:lvl w:ilvl="3" w:tplc="089A7C06">
      <w:numFmt w:val="decimal"/>
      <w:lvlText w:val=""/>
      <w:lvlJc w:val="left"/>
    </w:lvl>
    <w:lvl w:ilvl="4" w:tplc="7B5E24FE">
      <w:numFmt w:val="decimal"/>
      <w:lvlText w:val=""/>
      <w:lvlJc w:val="left"/>
    </w:lvl>
    <w:lvl w:ilvl="5" w:tplc="8788D0D8">
      <w:numFmt w:val="decimal"/>
      <w:lvlText w:val=""/>
      <w:lvlJc w:val="left"/>
    </w:lvl>
    <w:lvl w:ilvl="6" w:tplc="6CE0454E">
      <w:numFmt w:val="decimal"/>
      <w:lvlText w:val=""/>
      <w:lvlJc w:val="left"/>
    </w:lvl>
    <w:lvl w:ilvl="7" w:tplc="17B0FC9A">
      <w:numFmt w:val="decimal"/>
      <w:lvlText w:val=""/>
      <w:lvlJc w:val="left"/>
    </w:lvl>
    <w:lvl w:ilvl="8" w:tplc="4E6AA2EE">
      <w:numFmt w:val="decimal"/>
      <w:lvlText w:val=""/>
      <w:lvlJc w:val="left"/>
    </w:lvl>
  </w:abstractNum>
  <w:abstractNum w:abstractNumId="2">
    <w:nsid w:val="00000015"/>
    <w:multiLevelType w:val="hybridMultilevel"/>
    <w:tmpl w:val="00000015"/>
    <w:lvl w:ilvl="0" w:tplc="61CA1D86">
      <w:start w:val="1"/>
      <w:numFmt w:val="decimal"/>
      <w:lvlText w:val="%1)"/>
      <w:lvlJc w:val="left"/>
      <w:pPr>
        <w:ind w:left="1080" w:hanging="360"/>
      </w:pPr>
      <w:rPr>
        <w:rFonts w:hint="default"/>
      </w:rPr>
    </w:lvl>
    <w:lvl w:ilvl="1" w:tplc="0F96646C">
      <w:start w:val="1"/>
      <w:numFmt w:val="lowerLetter"/>
      <w:lvlText w:val="%2."/>
      <w:lvlJc w:val="left"/>
      <w:pPr>
        <w:ind w:left="1800" w:hanging="360"/>
      </w:pPr>
    </w:lvl>
    <w:lvl w:ilvl="2" w:tplc="EBFCE1E8">
      <w:start w:val="1"/>
      <w:numFmt w:val="lowerRoman"/>
      <w:lvlText w:val="%3."/>
      <w:lvlJc w:val="right"/>
      <w:pPr>
        <w:ind w:left="2520" w:hanging="180"/>
      </w:pPr>
    </w:lvl>
    <w:lvl w:ilvl="3" w:tplc="35C42D3A">
      <w:start w:val="1"/>
      <w:numFmt w:val="decimal"/>
      <w:lvlText w:val="%4."/>
      <w:lvlJc w:val="left"/>
      <w:pPr>
        <w:ind w:left="3240" w:hanging="360"/>
      </w:pPr>
    </w:lvl>
    <w:lvl w:ilvl="4" w:tplc="784A2C10">
      <w:start w:val="1"/>
      <w:numFmt w:val="lowerLetter"/>
      <w:lvlText w:val="%5."/>
      <w:lvlJc w:val="left"/>
      <w:pPr>
        <w:ind w:left="3960" w:hanging="360"/>
      </w:pPr>
    </w:lvl>
    <w:lvl w:ilvl="5" w:tplc="D6667E80">
      <w:start w:val="1"/>
      <w:numFmt w:val="lowerRoman"/>
      <w:lvlText w:val="%6."/>
      <w:lvlJc w:val="right"/>
      <w:pPr>
        <w:ind w:left="4680" w:hanging="180"/>
      </w:pPr>
    </w:lvl>
    <w:lvl w:ilvl="6" w:tplc="77E05AB2">
      <w:start w:val="1"/>
      <w:numFmt w:val="decimal"/>
      <w:lvlText w:val="%7."/>
      <w:lvlJc w:val="left"/>
      <w:pPr>
        <w:ind w:left="5400" w:hanging="360"/>
      </w:pPr>
    </w:lvl>
    <w:lvl w:ilvl="7" w:tplc="D2CC5782">
      <w:start w:val="1"/>
      <w:numFmt w:val="lowerLetter"/>
      <w:lvlText w:val="%8."/>
      <w:lvlJc w:val="left"/>
      <w:pPr>
        <w:ind w:left="6120" w:hanging="360"/>
      </w:pPr>
    </w:lvl>
    <w:lvl w:ilvl="8" w:tplc="6B1A318E">
      <w:start w:val="1"/>
      <w:numFmt w:val="lowerRoman"/>
      <w:lvlText w:val="%9."/>
      <w:lvlJc w:val="right"/>
      <w:pPr>
        <w:ind w:left="6840" w:hanging="180"/>
      </w:pPr>
    </w:lvl>
  </w:abstractNum>
  <w:abstractNum w:abstractNumId="3">
    <w:nsid w:val="000C6777"/>
    <w:multiLevelType w:val="hybridMultilevel"/>
    <w:tmpl w:val="26EA52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11234FA"/>
    <w:multiLevelType w:val="hybridMultilevel"/>
    <w:tmpl w:val="122C6790"/>
    <w:lvl w:ilvl="0" w:tplc="8CC28F1C">
      <w:start w:val="1"/>
      <w:numFmt w:val="bullet"/>
      <w:lvlText w:val=""/>
      <w:lvlJc w:val="left"/>
      <w:pPr>
        <w:ind w:left="720" w:hanging="360"/>
      </w:pPr>
      <w:rPr>
        <w:rFonts w:ascii="Symbol" w:hAnsi="Symbol" w:hint="default"/>
      </w:rPr>
    </w:lvl>
    <w:lvl w:ilvl="1" w:tplc="C6C2B9C4">
      <w:start w:val="1"/>
      <w:numFmt w:val="bullet"/>
      <w:lvlText w:val="o"/>
      <w:lvlJc w:val="left"/>
      <w:pPr>
        <w:ind w:left="1440" w:hanging="360"/>
      </w:pPr>
      <w:rPr>
        <w:rFonts w:ascii="Courier New" w:hAnsi="Courier New" w:hint="default"/>
      </w:rPr>
    </w:lvl>
    <w:lvl w:ilvl="2" w:tplc="1A54706E">
      <w:start w:val="1"/>
      <w:numFmt w:val="bullet"/>
      <w:lvlText w:val=""/>
      <w:lvlJc w:val="left"/>
      <w:pPr>
        <w:ind w:left="2160" w:hanging="360"/>
      </w:pPr>
      <w:rPr>
        <w:rFonts w:ascii="Wingdings" w:hAnsi="Wingdings" w:hint="default"/>
      </w:rPr>
    </w:lvl>
    <w:lvl w:ilvl="3" w:tplc="8834CD62">
      <w:start w:val="1"/>
      <w:numFmt w:val="bullet"/>
      <w:lvlText w:val=""/>
      <w:lvlJc w:val="left"/>
      <w:pPr>
        <w:ind w:left="2880" w:hanging="360"/>
      </w:pPr>
      <w:rPr>
        <w:rFonts w:ascii="Symbol" w:hAnsi="Symbol" w:hint="default"/>
      </w:rPr>
    </w:lvl>
    <w:lvl w:ilvl="4" w:tplc="B87CE0C6">
      <w:start w:val="1"/>
      <w:numFmt w:val="bullet"/>
      <w:lvlText w:val="o"/>
      <w:lvlJc w:val="left"/>
      <w:pPr>
        <w:ind w:left="3600" w:hanging="360"/>
      </w:pPr>
      <w:rPr>
        <w:rFonts w:ascii="Courier New" w:hAnsi="Courier New" w:hint="default"/>
      </w:rPr>
    </w:lvl>
    <w:lvl w:ilvl="5" w:tplc="8BEEC33E">
      <w:start w:val="1"/>
      <w:numFmt w:val="bullet"/>
      <w:lvlText w:val=""/>
      <w:lvlJc w:val="left"/>
      <w:pPr>
        <w:ind w:left="4320" w:hanging="360"/>
      </w:pPr>
      <w:rPr>
        <w:rFonts w:ascii="Wingdings" w:hAnsi="Wingdings" w:hint="default"/>
      </w:rPr>
    </w:lvl>
    <w:lvl w:ilvl="6" w:tplc="957C2574">
      <w:start w:val="1"/>
      <w:numFmt w:val="bullet"/>
      <w:lvlText w:val=""/>
      <w:lvlJc w:val="left"/>
      <w:pPr>
        <w:ind w:left="5040" w:hanging="360"/>
      </w:pPr>
      <w:rPr>
        <w:rFonts w:ascii="Symbol" w:hAnsi="Symbol" w:hint="default"/>
      </w:rPr>
    </w:lvl>
    <w:lvl w:ilvl="7" w:tplc="5752624A">
      <w:start w:val="1"/>
      <w:numFmt w:val="bullet"/>
      <w:lvlText w:val="o"/>
      <w:lvlJc w:val="left"/>
      <w:pPr>
        <w:ind w:left="5760" w:hanging="360"/>
      </w:pPr>
      <w:rPr>
        <w:rFonts w:ascii="Courier New" w:hAnsi="Courier New" w:hint="default"/>
      </w:rPr>
    </w:lvl>
    <w:lvl w:ilvl="8" w:tplc="4986F80C">
      <w:start w:val="1"/>
      <w:numFmt w:val="bullet"/>
      <w:lvlText w:val=""/>
      <w:lvlJc w:val="left"/>
      <w:pPr>
        <w:ind w:left="6480" w:hanging="360"/>
      </w:pPr>
      <w:rPr>
        <w:rFonts w:ascii="Wingdings" w:hAnsi="Wingdings" w:hint="default"/>
      </w:rPr>
    </w:lvl>
  </w:abstractNum>
  <w:abstractNum w:abstractNumId="5">
    <w:nsid w:val="02440D5E"/>
    <w:multiLevelType w:val="hybridMultilevel"/>
    <w:tmpl w:val="C68A2C40"/>
    <w:lvl w:ilvl="0" w:tplc="04150001">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24412F9"/>
    <w:multiLevelType w:val="hybridMultilevel"/>
    <w:tmpl w:val="1CF06A4A"/>
    <w:lvl w:ilvl="0" w:tplc="356A79A8">
      <w:start w:val="1"/>
      <w:numFmt w:val="bullet"/>
      <w:lvlText w:val=""/>
      <w:lvlJc w:val="left"/>
      <w:pPr>
        <w:ind w:left="720" w:hanging="360"/>
      </w:pPr>
      <w:rPr>
        <w:rFonts w:ascii="Symbol" w:hAnsi="Symbol" w:hint="default"/>
      </w:rPr>
    </w:lvl>
    <w:lvl w:ilvl="1" w:tplc="C1067A24">
      <w:start w:val="1"/>
      <w:numFmt w:val="bullet"/>
      <w:lvlText w:val=""/>
      <w:lvlJc w:val="left"/>
      <w:pPr>
        <w:ind w:left="1440" w:hanging="360"/>
      </w:pPr>
      <w:rPr>
        <w:rFonts w:ascii="Symbol" w:hAnsi="Symbol" w:hint="default"/>
      </w:rPr>
    </w:lvl>
    <w:lvl w:ilvl="2" w:tplc="222A0812">
      <w:start w:val="1"/>
      <w:numFmt w:val="bullet"/>
      <w:lvlText w:val=""/>
      <w:lvlJc w:val="left"/>
      <w:pPr>
        <w:ind w:left="2160" w:hanging="360"/>
      </w:pPr>
      <w:rPr>
        <w:rFonts w:ascii="Wingdings" w:hAnsi="Wingdings" w:hint="default"/>
      </w:rPr>
    </w:lvl>
    <w:lvl w:ilvl="3" w:tplc="EFD8C0EA">
      <w:start w:val="1"/>
      <w:numFmt w:val="bullet"/>
      <w:lvlText w:val=""/>
      <w:lvlJc w:val="left"/>
      <w:pPr>
        <w:ind w:left="2880" w:hanging="360"/>
      </w:pPr>
      <w:rPr>
        <w:rFonts w:ascii="Symbol" w:hAnsi="Symbol" w:hint="default"/>
      </w:rPr>
    </w:lvl>
    <w:lvl w:ilvl="4" w:tplc="654A4202">
      <w:start w:val="1"/>
      <w:numFmt w:val="bullet"/>
      <w:lvlText w:val="o"/>
      <w:lvlJc w:val="left"/>
      <w:pPr>
        <w:ind w:left="3600" w:hanging="360"/>
      </w:pPr>
      <w:rPr>
        <w:rFonts w:ascii="Courier New" w:hAnsi="Courier New" w:hint="default"/>
      </w:rPr>
    </w:lvl>
    <w:lvl w:ilvl="5" w:tplc="D9947EB0">
      <w:start w:val="1"/>
      <w:numFmt w:val="bullet"/>
      <w:lvlText w:val=""/>
      <w:lvlJc w:val="left"/>
      <w:pPr>
        <w:ind w:left="4320" w:hanging="360"/>
      </w:pPr>
      <w:rPr>
        <w:rFonts w:ascii="Wingdings" w:hAnsi="Wingdings" w:hint="default"/>
      </w:rPr>
    </w:lvl>
    <w:lvl w:ilvl="6" w:tplc="978C7996">
      <w:start w:val="1"/>
      <w:numFmt w:val="bullet"/>
      <w:lvlText w:val=""/>
      <w:lvlJc w:val="left"/>
      <w:pPr>
        <w:ind w:left="5040" w:hanging="360"/>
      </w:pPr>
      <w:rPr>
        <w:rFonts w:ascii="Symbol" w:hAnsi="Symbol" w:hint="default"/>
      </w:rPr>
    </w:lvl>
    <w:lvl w:ilvl="7" w:tplc="DE643BB0">
      <w:start w:val="1"/>
      <w:numFmt w:val="bullet"/>
      <w:lvlText w:val="o"/>
      <w:lvlJc w:val="left"/>
      <w:pPr>
        <w:ind w:left="5760" w:hanging="360"/>
      </w:pPr>
      <w:rPr>
        <w:rFonts w:ascii="Courier New" w:hAnsi="Courier New" w:hint="default"/>
      </w:rPr>
    </w:lvl>
    <w:lvl w:ilvl="8" w:tplc="36721800">
      <w:start w:val="1"/>
      <w:numFmt w:val="bullet"/>
      <w:lvlText w:val=""/>
      <w:lvlJc w:val="left"/>
      <w:pPr>
        <w:ind w:left="6480" w:hanging="360"/>
      </w:pPr>
      <w:rPr>
        <w:rFonts w:ascii="Wingdings" w:hAnsi="Wingdings" w:hint="default"/>
      </w:rPr>
    </w:lvl>
  </w:abstractNum>
  <w:abstractNum w:abstractNumId="7">
    <w:nsid w:val="03532912"/>
    <w:multiLevelType w:val="hybridMultilevel"/>
    <w:tmpl w:val="9E103E04"/>
    <w:lvl w:ilvl="0" w:tplc="8F60F3EE">
      <w:start w:val="1"/>
      <w:numFmt w:val="lowerLetter"/>
      <w:lvlText w:val="%1."/>
      <w:lvlJc w:val="left"/>
      <w:pPr>
        <w:ind w:left="720" w:hanging="360"/>
      </w:pPr>
    </w:lvl>
    <w:lvl w:ilvl="1" w:tplc="957E7F8C">
      <w:start w:val="1"/>
      <w:numFmt w:val="lowerLetter"/>
      <w:lvlText w:val="%2."/>
      <w:lvlJc w:val="left"/>
      <w:pPr>
        <w:ind w:left="1440" w:hanging="360"/>
      </w:pPr>
    </w:lvl>
    <w:lvl w:ilvl="2" w:tplc="7DA224FE">
      <w:start w:val="1"/>
      <w:numFmt w:val="lowerRoman"/>
      <w:lvlText w:val="%3."/>
      <w:lvlJc w:val="right"/>
      <w:pPr>
        <w:ind w:left="2160" w:hanging="180"/>
      </w:pPr>
    </w:lvl>
    <w:lvl w:ilvl="3" w:tplc="9C669086">
      <w:start w:val="1"/>
      <w:numFmt w:val="decimal"/>
      <w:lvlText w:val="%4."/>
      <w:lvlJc w:val="left"/>
      <w:pPr>
        <w:ind w:left="2880" w:hanging="360"/>
      </w:pPr>
    </w:lvl>
    <w:lvl w:ilvl="4" w:tplc="D9C4D636">
      <w:start w:val="1"/>
      <w:numFmt w:val="lowerLetter"/>
      <w:lvlText w:val="%5."/>
      <w:lvlJc w:val="left"/>
      <w:pPr>
        <w:ind w:left="3600" w:hanging="360"/>
      </w:pPr>
    </w:lvl>
    <w:lvl w:ilvl="5" w:tplc="9894D52E">
      <w:start w:val="1"/>
      <w:numFmt w:val="lowerRoman"/>
      <w:lvlText w:val="%6."/>
      <w:lvlJc w:val="right"/>
      <w:pPr>
        <w:ind w:left="4320" w:hanging="180"/>
      </w:pPr>
    </w:lvl>
    <w:lvl w:ilvl="6" w:tplc="BF301314">
      <w:start w:val="1"/>
      <w:numFmt w:val="decimal"/>
      <w:lvlText w:val="%7."/>
      <w:lvlJc w:val="left"/>
      <w:pPr>
        <w:ind w:left="5040" w:hanging="360"/>
      </w:pPr>
    </w:lvl>
    <w:lvl w:ilvl="7" w:tplc="38F0B398">
      <w:start w:val="1"/>
      <w:numFmt w:val="lowerLetter"/>
      <w:lvlText w:val="%8."/>
      <w:lvlJc w:val="left"/>
      <w:pPr>
        <w:ind w:left="5760" w:hanging="360"/>
      </w:pPr>
    </w:lvl>
    <w:lvl w:ilvl="8" w:tplc="3C6C6166">
      <w:start w:val="1"/>
      <w:numFmt w:val="lowerRoman"/>
      <w:lvlText w:val="%9."/>
      <w:lvlJc w:val="right"/>
      <w:pPr>
        <w:ind w:left="6480" w:hanging="180"/>
      </w:pPr>
    </w:lvl>
  </w:abstractNum>
  <w:abstractNum w:abstractNumId="8">
    <w:nsid w:val="046677C1"/>
    <w:multiLevelType w:val="hybridMultilevel"/>
    <w:tmpl w:val="E3BA0F4C"/>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4F0120A"/>
    <w:multiLevelType w:val="hybridMultilevel"/>
    <w:tmpl w:val="84F64DB0"/>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55965C3"/>
    <w:multiLevelType w:val="hybridMultilevel"/>
    <w:tmpl w:val="86B0845A"/>
    <w:lvl w:ilvl="0" w:tplc="1642584A">
      <w:start w:val="1"/>
      <w:numFmt w:val="bullet"/>
      <w:lvlText w:val=""/>
      <w:lvlJc w:val="left"/>
      <w:pPr>
        <w:ind w:left="720" w:hanging="360"/>
      </w:pPr>
      <w:rPr>
        <w:rFonts w:ascii="Symbol" w:hAnsi="Symbol" w:hint="default"/>
      </w:rPr>
    </w:lvl>
    <w:lvl w:ilvl="1" w:tplc="7652CB02">
      <w:start w:val="1"/>
      <w:numFmt w:val="bullet"/>
      <w:lvlText w:val="o"/>
      <w:lvlJc w:val="left"/>
      <w:pPr>
        <w:ind w:left="1440" w:hanging="360"/>
      </w:pPr>
      <w:rPr>
        <w:rFonts w:ascii="Courier New" w:hAnsi="Courier New" w:hint="default"/>
      </w:rPr>
    </w:lvl>
    <w:lvl w:ilvl="2" w:tplc="B4B8AD92">
      <w:start w:val="1"/>
      <w:numFmt w:val="bullet"/>
      <w:lvlText w:val=""/>
      <w:lvlJc w:val="left"/>
      <w:pPr>
        <w:ind w:left="2160" w:hanging="360"/>
      </w:pPr>
      <w:rPr>
        <w:rFonts w:ascii="Wingdings" w:hAnsi="Wingdings" w:hint="default"/>
      </w:rPr>
    </w:lvl>
    <w:lvl w:ilvl="3" w:tplc="3B7EADAE">
      <w:start w:val="1"/>
      <w:numFmt w:val="bullet"/>
      <w:lvlText w:val=""/>
      <w:lvlJc w:val="left"/>
      <w:pPr>
        <w:ind w:left="2880" w:hanging="360"/>
      </w:pPr>
      <w:rPr>
        <w:rFonts w:ascii="Symbol" w:hAnsi="Symbol" w:hint="default"/>
      </w:rPr>
    </w:lvl>
    <w:lvl w:ilvl="4" w:tplc="702E1508">
      <w:start w:val="1"/>
      <w:numFmt w:val="bullet"/>
      <w:lvlText w:val="o"/>
      <w:lvlJc w:val="left"/>
      <w:pPr>
        <w:ind w:left="3600" w:hanging="360"/>
      </w:pPr>
      <w:rPr>
        <w:rFonts w:ascii="Courier New" w:hAnsi="Courier New" w:hint="default"/>
      </w:rPr>
    </w:lvl>
    <w:lvl w:ilvl="5" w:tplc="1932D7E4">
      <w:start w:val="1"/>
      <w:numFmt w:val="bullet"/>
      <w:lvlText w:val=""/>
      <w:lvlJc w:val="left"/>
      <w:pPr>
        <w:ind w:left="4320" w:hanging="360"/>
      </w:pPr>
      <w:rPr>
        <w:rFonts w:ascii="Wingdings" w:hAnsi="Wingdings" w:hint="default"/>
      </w:rPr>
    </w:lvl>
    <w:lvl w:ilvl="6" w:tplc="C4B872DE">
      <w:start w:val="1"/>
      <w:numFmt w:val="bullet"/>
      <w:lvlText w:val=""/>
      <w:lvlJc w:val="left"/>
      <w:pPr>
        <w:ind w:left="5040" w:hanging="360"/>
      </w:pPr>
      <w:rPr>
        <w:rFonts w:ascii="Symbol" w:hAnsi="Symbol" w:hint="default"/>
      </w:rPr>
    </w:lvl>
    <w:lvl w:ilvl="7" w:tplc="13B44712">
      <w:start w:val="1"/>
      <w:numFmt w:val="bullet"/>
      <w:lvlText w:val="o"/>
      <w:lvlJc w:val="left"/>
      <w:pPr>
        <w:ind w:left="5760" w:hanging="360"/>
      </w:pPr>
      <w:rPr>
        <w:rFonts w:ascii="Courier New" w:hAnsi="Courier New" w:hint="default"/>
      </w:rPr>
    </w:lvl>
    <w:lvl w:ilvl="8" w:tplc="0CE03F9A">
      <w:start w:val="1"/>
      <w:numFmt w:val="bullet"/>
      <w:lvlText w:val=""/>
      <w:lvlJc w:val="left"/>
      <w:pPr>
        <w:ind w:left="6480" w:hanging="360"/>
      </w:pPr>
      <w:rPr>
        <w:rFonts w:ascii="Wingdings" w:hAnsi="Wingdings" w:hint="default"/>
      </w:rPr>
    </w:lvl>
  </w:abstractNum>
  <w:abstractNum w:abstractNumId="11">
    <w:nsid w:val="091A6DE6"/>
    <w:multiLevelType w:val="hybridMultilevel"/>
    <w:tmpl w:val="DBF49B54"/>
    <w:lvl w:ilvl="0" w:tplc="114035B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D7A3CD6"/>
    <w:multiLevelType w:val="hybridMultilevel"/>
    <w:tmpl w:val="5540D49C"/>
    <w:lvl w:ilvl="0" w:tplc="11403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0DCB5276"/>
    <w:multiLevelType w:val="hybridMultilevel"/>
    <w:tmpl w:val="8BDCD7C2"/>
    <w:lvl w:ilvl="0" w:tplc="CBCA79B6">
      <w:start w:val="1"/>
      <w:numFmt w:val="bullet"/>
      <w:lvlText w:val=""/>
      <w:lvlJc w:val="left"/>
      <w:pPr>
        <w:ind w:left="720" w:hanging="360"/>
      </w:pPr>
      <w:rPr>
        <w:rFonts w:ascii="Symbol" w:hAnsi="Symbol" w:hint="default"/>
      </w:rPr>
    </w:lvl>
    <w:lvl w:ilvl="1" w:tplc="98A6879C">
      <w:start w:val="1"/>
      <w:numFmt w:val="bullet"/>
      <w:lvlText w:val="o"/>
      <w:lvlJc w:val="left"/>
      <w:pPr>
        <w:ind w:left="1440" w:hanging="360"/>
      </w:pPr>
      <w:rPr>
        <w:rFonts w:ascii="Courier New" w:hAnsi="Courier New" w:hint="default"/>
      </w:rPr>
    </w:lvl>
    <w:lvl w:ilvl="2" w:tplc="098A65E8">
      <w:start w:val="1"/>
      <w:numFmt w:val="bullet"/>
      <w:lvlText w:val=""/>
      <w:lvlJc w:val="left"/>
      <w:pPr>
        <w:ind w:left="2160" w:hanging="360"/>
      </w:pPr>
      <w:rPr>
        <w:rFonts w:ascii="Wingdings" w:hAnsi="Wingdings" w:hint="default"/>
      </w:rPr>
    </w:lvl>
    <w:lvl w:ilvl="3" w:tplc="CE24F786">
      <w:start w:val="1"/>
      <w:numFmt w:val="bullet"/>
      <w:lvlText w:val=""/>
      <w:lvlJc w:val="left"/>
      <w:pPr>
        <w:ind w:left="2880" w:hanging="360"/>
      </w:pPr>
      <w:rPr>
        <w:rFonts w:ascii="Symbol" w:hAnsi="Symbol" w:hint="default"/>
      </w:rPr>
    </w:lvl>
    <w:lvl w:ilvl="4" w:tplc="66A2D542">
      <w:start w:val="1"/>
      <w:numFmt w:val="bullet"/>
      <w:lvlText w:val="o"/>
      <w:lvlJc w:val="left"/>
      <w:pPr>
        <w:ind w:left="3600" w:hanging="360"/>
      </w:pPr>
      <w:rPr>
        <w:rFonts w:ascii="Courier New" w:hAnsi="Courier New" w:hint="default"/>
      </w:rPr>
    </w:lvl>
    <w:lvl w:ilvl="5" w:tplc="D37A8028">
      <w:start w:val="1"/>
      <w:numFmt w:val="bullet"/>
      <w:lvlText w:val=""/>
      <w:lvlJc w:val="left"/>
      <w:pPr>
        <w:ind w:left="4320" w:hanging="360"/>
      </w:pPr>
      <w:rPr>
        <w:rFonts w:ascii="Wingdings" w:hAnsi="Wingdings" w:hint="default"/>
      </w:rPr>
    </w:lvl>
    <w:lvl w:ilvl="6" w:tplc="05EECA72">
      <w:start w:val="1"/>
      <w:numFmt w:val="bullet"/>
      <w:lvlText w:val=""/>
      <w:lvlJc w:val="left"/>
      <w:pPr>
        <w:ind w:left="5040" w:hanging="360"/>
      </w:pPr>
      <w:rPr>
        <w:rFonts w:ascii="Symbol" w:hAnsi="Symbol" w:hint="default"/>
      </w:rPr>
    </w:lvl>
    <w:lvl w:ilvl="7" w:tplc="0B2CDD42">
      <w:start w:val="1"/>
      <w:numFmt w:val="bullet"/>
      <w:lvlText w:val="o"/>
      <w:lvlJc w:val="left"/>
      <w:pPr>
        <w:ind w:left="5760" w:hanging="360"/>
      </w:pPr>
      <w:rPr>
        <w:rFonts w:ascii="Courier New" w:hAnsi="Courier New" w:hint="default"/>
      </w:rPr>
    </w:lvl>
    <w:lvl w:ilvl="8" w:tplc="E7F2C032">
      <w:start w:val="1"/>
      <w:numFmt w:val="bullet"/>
      <w:lvlText w:val=""/>
      <w:lvlJc w:val="left"/>
      <w:pPr>
        <w:ind w:left="6480" w:hanging="360"/>
      </w:pPr>
      <w:rPr>
        <w:rFonts w:ascii="Wingdings" w:hAnsi="Wingdings" w:hint="default"/>
      </w:rPr>
    </w:lvl>
  </w:abstractNum>
  <w:abstractNum w:abstractNumId="14">
    <w:nsid w:val="0EDF2C57"/>
    <w:multiLevelType w:val="hybridMultilevel"/>
    <w:tmpl w:val="6DFE400E"/>
    <w:lvl w:ilvl="0" w:tplc="B34CFF54">
      <w:start w:val="1"/>
      <w:numFmt w:val="lowerLetter"/>
      <w:lvlText w:val="%1."/>
      <w:lvlJc w:val="left"/>
      <w:pPr>
        <w:ind w:left="720" w:hanging="360"/>
      </w:pPr>
    </w:lvl>
    <w:lvl w:ilvl="1" w:tplc="F0CC6F50">
      <w:start w:val="1"/>
      <w:numFmt w:val="lowerLetter"/>
      <w:lvlText w:val="%2."/>
      <w:lvlJc w:val="left"/>
      <w:pPr>
        <w:ind w:left="1440" w:hanging="360"/>
      </w:pPr>
    </w:lvl>
    <w:lvl w:ilvl="2" w:tplc="DAA68E86">
      <w:start w:val="1"/>
      <w:numFmt w:val="lowerRoman"/>
      <w:lvlText w:val="%3."/>
      <w:lvlJc w:val="right"/>
      <w:pPr>
        <w:ind w:left="2160" w:hanging="180"/>
      </w:pPr>
    </w:lvl>
    <w:lvl w:ilvl="3" w:tplc="1082C30E">
      <w:start w:val="1"/>
      <w:numFmt w:val="decimal"/>
      <w:lvlText w:val="%4."/>
      <w:lvlJc w:val="left"/>
      <w:pPr>
        <w:ind w:left="2880" w:hanging="360"/>
      </w:pPr>
    </w:lvl>
    <w:lvl w:ilvl="4" w:tplc="751E68EA">
      <w:start w:val="1"/>
      <w:numFmt w:val="lowerLetter"/>
      <w:lvlText w:val="%5."/>
      <w:lvlJc w:val="left"/>
      <w:pPr>
        <w:ind w:left="3600" w:hanging="360"/>
      </w:pPr>
    </w:lvl>
    <w:lvl w:ilvl="5" w:tplc="3474BC64">
      <w:start w:val="1"/>
      <w:numFmt w:val="lowerRoman"/>
      <w:lvlText w:val="%6."/>
      <w:lvlJc w:val="right"/>
      <w:pPr>
        <w:ind w:left="4320" w:hanging="180"/>
      </w:pPr>
    </w:lvl>
    <w:lvl w:ilvl="6" w:tplc="EAC2A30E">
      <w:start w:val="1"/>
      <w:numFmt w:val="decimal"/>
      <w:lvlText w:val="%7."/>
      <w:lvlJc w:val="left"/>
      <w:pPr>
        <w:ind w:left="5040" w:hanging="360"/>
      </w:pPr>
    </w:lvl>
    <w:lvl w:ilvl="7" w:tplc="E3E2FCFA">
      <w:start w:val="1"/>
      <w:numFmt w:val="lowerLetter"/>
      <w:lvlText w:val="%8."/>
      <w:lvlJc w:val="left"/>
      <w:pPr>
        <w:ind w:left="5760" w:hanging="360"/>
      </w:pPr>
    </w:lvl>
    <w:lvl w:ilvl="8" w:tplc="945404A4">
      <w:start w:val="1"/>
      <w:numFmt w:val="lowerRoman"/>
      <w:lvlText w:val="%9."/>
      <w:lvlJc w:val="right"/>
      <w:pPr>
        <w:ind w:left="6480" w:hanging="180"/>
      </w:pPr>
    </w:lvl>
  </w:abstractNum>
  <w:abstractNum w:abstractNumId="15">
    <w:nsid w:val="11675CD7"/>
    <w:multiLevelType w:val="hybridMultilevel"/>
    <w:tmpl w:val="C4B6F7B6"/>
    <w:lvl w:ilvl="0" w:tplc="922E8370">
      <w:start w:val="1"/>
      <w:numFmt w:val="bullet"/>
      <w:lvlText w:val=""/>
      <w:lvlJc w:val="left"/>
      <w:pPr>
        <w:ind w:left="720" w:hanging="360"/>
      </w:pPr>
      <w:rPr>
        <w:rFonts w:ascii="Symbol" w:hAnsi="Symbol" w:hint="default"/>
      </w:rPr>
    </w:lvl>
    <w:lvl w:ilvl="1" w:tplc="C37C0826">
      <w:start w:val="1"/>
      <w:numFmt w:val="bullet"/>
      <w:lvlText w:val="o"/>
      <w:lvlJc w:val="left"/>
      <w:pPr>
        <w:ind w:left="1440" w:hanging="360"/>
      </w:pPr>
      <w:rPr>
        <w:rFonts w:ascii="Courier New" w:hAnsi="Courier New" w:hint="default"/>
      </w:rPr>
    </w:lvl>
    <w:lvl w:ilvl="2" w:tplc="FDAC6AF2">
      <w:start w:val="1"/>
      <w:numFmt w:val="bullet"/>
      <w:lvlText w:val=""/>
      <w:lvlJc w:val="left"/>
      <w:pPr>
        <w:ind w:left="2160" w:hanging="360"/>
      </w:pPr>
      <w:rPr>
        <w:rFonts w:ascii="Wingdings" w:hAnsi="Wingdings" w:hint="default"/>
      </w:rPr>
    </w:lvl>
    <w:lvl w:ilvl="3" w:tplc="50F646EC">
      <w:start w:val="1"/>
      <w:numFmt w:val="bullet"/>
      <w:lvlText w:val=""/>
      <w:lvlJc w:val="left"/>
      <w:pPr>
        <w:ind w:left="2880" w:hanging="360"/>
      </w:pPr>
      <w:rPr>
        <w:rFonts w:ascii="Symbol" w:hAnsi="Symbol" w:hint="default"/>
      </w:rPr>
    </w:lvl>
    <w:lvl w:ilvl="4" w:tplc="53C89540">
      <w:start w:val="1"/>
      <w:numFmt w:val="bullet"/>
      <w:lvlText w:val="o"/>
      <w:lvlJc w:val="left"/>
      <w:pPr>
        <w:ind w:left="3600" w:hanging="360"/>
      </w:pPr>
      <w:rPr>
        <w:rFonts w:ascii="Courier New" w:hAnsi="Courier New" w:hint="default"/>
      </w:rPr>
    </w:lvl>
    <w:lvl w:ilvl="5" w:tplc="38BC12AA">
      <w:start w:val="1"/>
      <w:numFmt w:val="bullet"/>
      <w:lvlText w:val=""/>
      <w:lvlJc w:val="left"/>
      <w:pPr>
        <w:ind w:left="4320" w:hanging="360"/>
      </w:pPr>
      <w:rPr>
        <w:rFonts w:ascii="Wingdings" w:hAnsi="Wingdings" w:hint="default"/>
      </w:rPr>
    </w:lvl>
    <w:lvl w:ilvl="6" w:tplc="80E2D506">
      <w:start w:val="1"/>
      <w:numFmt w:val="bullet"/>
      <w:lvlText w:val=""/>
      <w:lvlJc w:val="left"/>
      <w:pPr>
        <w:ind w:left="5040" w:hanging="360"/>
      </w:pPr>
      <w:rPr>
        <w:rFonts w:ascii="Symbol" w:hAnsi="Symbol" w:hint="default"/>
      </w:rPr>
    </w:lvl>
    <w:lvl w:ilvl="7" w:tplc="E73C9398">
      <w:start w:val="1"/>
      <w:numFmt w:val="bullet"/>
      <w:lvlText w:val="o"/>
      <w:lvlJc w:val="left"/>
      <w:pPr>
        <w:ind w:left="5760" w:hanging="360"/>
      </w:pPr>
      <w:rPr>
        <w:rFonts w:ascii="Courier New" w:hAnsi="Courier New" w:hint="default"/>
      </w:rPr>
    </w:lvl>
    <w:lvl w:ilvl="8" w:tplc="B40A79DC">
      <w:start w:val="1"/>
      <w:numFmt w:val="bullet"/>
      <w:lvlText w:val=""/>
      <w:lvlJc w:val="left"/>
      <w:pPr>
        <w:ind w:left="6480" w:hanging="360"/>
      </w:pPr>
      <w:rPr>
        <w:rFonts w:ascii="Wingdings" w:hAnsi="Wingdings" w:hint="default"/>
      </w:rPr>
    </w:lvl>
  </w:abstractNum>
  <w:abstractNum w:abstractNumId="16">
    <w:nsid w:val="117D2574"/>
    <w:multiLevelType w:val="hybridMultilevel"/>
    <w:tmpl w:val="1820D8FE"/>
    <w:lvl w:ilvl="0" w:tplc="38FC9854">
      <w:start w:val="1"/>
      <w:numFmt w:val="bullet"/>
      <w:lvlText w:val=""/>
      <w:lvlJc w:val="left"/>
      <w:pPr>
        <w:ind w:left="720" w:hanging="360"/>
      </w:pPr>
      <w:rPr>
        <w:rFonts w:ascii="Symbol" w:hAnsi="Symbol" w:hint="default"/>
      </w:rPr>
    </w:lvl>
    <w:lvl w:ilvl="1" w:tplc="6E52CE84">
      <w:start w:val="1"/>
      <w:numFmt w:val="bullet"/>
      <w:lvlText w:val="o"/>
      <w:lvlJc w:val="left"/>
      <w:pPr>
        <w:ind w:left="1440" w:hanging="360"/>
      </w:pPr>
      <w:rPr>
        <w:rFonts w:ascii="Courier New" w:hAnsi="Courier New" w:hint="default"/>
      </w:rPr>
    </w:lvl>
    <w:lvl w:ilvl="2" w:tplc="493C085E">
      <w:start w:val="1"/>
      <w:numFmt w:val="bullet"/>
      <w:lvlText w:val=""/>
      <w:lvlJc w:val="left"/>
      <w:pPr>
        <w:ind w:left="2160" w:hanging="360"/>
      </w:pPr>
      <w:rPr>
        <w:rFonts w:ascii="Wingdings" w:hAnsi="Wingdings" w:hint="default"/>
      </w:rPr>
    </w:lvl>
    <w:lvl w:ilvl="3" w:tplc="80B041B0">
      <w:start w:val="1"/>
      <w:numFmt w:val="bullet"/>
      <w:lvlText w:val=""/>
      <w:lvlJc w:val="left"/>
      <w:pPr>
        <w:ind w:left="2880" w:hanging="360"/>
      </w:pPr>
      <w:rPr>
        <w:rFonts w:ascii="Symbol" w:hAnsi="Symbol" w:hint="default"/>
      </w:rPr>
    </w:lvl>
    <w:lvl w:ilvl="4" w:tplc="626E7EC2">
      <w:start w:val="1"/>
      <w:numFmt w:val="bullet"/>
      <w:lvlText w:val="o"/>
      <w:lvlJc w:val="left"/>
      <w:pPr>
        <w:ind w:left="3600" w:hanging="360"/>
      </w:pPr>
      <w:rPr>
        <w:rFonts w:ascii="Courier New" w:hAnsi="Courier New" w:hint="default"/>
      </w:rPr>
    </w:lvl>
    <w:lvl w:ilvl="5" w:tplc="7E90E592">
      <w:start w:val="1"/>
      <w:numFmt w:val="bullet"/>
      <w:lvlText w:val=""/>
      <w:lvlJc w:val="left"/>
      <w:pPr>
        <w:ind w:left="4320" w:hanging="360"/>
      </w:pPr>
      <w:rPr>
        <w:rFonts w:ascii="Wingdings" w:hAnsi="Wingdings" w:hint="default"/>
      </w:rPr>
    </w:lvl>
    <w:lvl w:ilvl="6" w:tplc="8D9658F4">
      <w:start w:val="1"/>
      <w:numFmt w:val="bullet"/>
      <w:lvlText w:val=""/>
      <w:lvlJc w:val="left"/>
      <w:pPr>
        <w:ind w:left="5040" w:hanging="360"/>
      </w:pPr>
      <w:rPr>
        <w:rFonts w:ascii="Symbol" w:hAnsi="Symbol" w:hint="default"/>
      </w:rPr>
    </w:lvl>
    <w:lvl w:ilvl="7" w:tplc="13ECBCC2">
      <w:start w:val="1"/>
      <w:numFmt w:val="bullet"/>
      <w:lvlText w:val="o"/>
      <w:lvlJc w:val="left"/>
      <w:pPr>
        <w:ind w:left="5760" w:hanging="360"/>
      </w:pPr>
      <w:rPr>
        <w:rFonts w:ascii="Courier New" w:hAnsi="Courier New" w:hint="default"/>
      </w:rPr>
    </w:lvl>
    <w:lvl w:ilvl="8" w:tplc="1922AAFC">
      <w:start w:val="1"/>
      <w:numFmt w:val="bullet"/>
      <w:lvlText w:val=""/>
      <w:lvlJc w:val="left"/>
      <w:pPr>
        <w:ind w:left="6480" w:hanging="360"/>
      </w:pPr>
      <w:rPr>
        <w:rFonts w:ascii="Wingdings" w:hAnsi="Wingdings" w:hint="default"/>
      </w:rPr>
    </w:lvl>
  </w:abstractNum>
  <w:abstractNum w:abstractNumId="17">
    <w:nsid w:val="13CB132E"/>
    <w:multiLevelType w:val="hybridMultilevel"/>
    <w:tmpl w:val="A6FCAB82"/>
    <w:lvl w:ilvl="0" w:tplc="1D70C1FE">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8">
    <w:nsid w:val="172F0F9A"/>
    <w:multiLevelType w:val="hybridMultilevel"/>
    <w:tmpl w:val="999C6716"/>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8187873"/>
    <w:multiLevelType w:val="hybridMultilevel"/>
    <w:tmpl w:val="466E7A34"/>
    <w:lvl w:ilvl="0" w:tplc="BD6C8F92">
      <w:start w:val="1"/>
      <w:numFmt w:val="bullet"/>
      <w:lvlText w:val=""/>
      <w:lvlJc w:val="left"/>
      <w:pPr>
        <w:ind w:left="720" w:hanging="360"/>
      </w:pPr>
      <w:rPr>
        <w:rFonts w:ascii="Symbol" w:hAnsi="Symbol" w:hint="default"/>
      </w:rPr>
    </w:lvl>
    <w:lvl w:ilvl="1" w:tplc="5E404460">
      <w:start w:val="1"/>
      <w:numFmt w:val="bullet"/>
      <w:lvlText w:val="o"/>
      <w:lvlJc w:val="left"/>
      <w:pPr>
        <w:ind w:left="1440" w:hanging="360"/>
      </w:pPr>
      <w:rPr>
        <w:rFonts w:ascii="Courier New" w:hAnsi="Courier New" w:hint="default"/>
      </w:rPr>
    </w:lvl>
    <w:lvl w:ilvl="2" w:tplc="A1549008">
      <w:start w:val="1"/>
      <w:numFmt w:val="bullet"/>
      <w:lvlText w:val=""/>
      <w:lvlJc w:val="left"/>
      <w:pPr>
        <w:ind w:left="2160" w:hanging="360"/>
      </w:pPr>
      <w:rPr>
        <w:rFonts w:ascii="Wingdings" w:hAnsi="Wingdings" w:hint="default"/>
      </w:rPr>
    </w:lvl>
    <w:lvl w:ilvl="3" w:tplc="E5AEEA78">
      <w:start w:val="1"/>
      <w:numFmt w:val="bullet"/>
      <w:lvlText w:val=""/>
      <w:lvlJc w:val="left"/>
      <w:pPr>
        <w:ind w:left="2880" w:hanging="360"/>
      </w:pPr>
      <w:rPr>
        <w:rFonts w:ascii="Symbol" w:hAnsi="Symbol" w:hint="default"/>
      </w:rPr>
    </w:lvl>
    <w:lvl w:ilvl="4" w:tplc="B7EA2202">
      <w:start w:val="1"/>
      <w:numFmt w:val="bullet"/>
      <w:lvlText w:val="o"/>
      <w:lvlJc w:val="left"/>
      <w:pPr>
        <w:ind w:left="3600" w:hanging="360"/>
      </w:pPr>
      <w:rPr>
        <w:rFonts w:ascii="Courier New" w:hAnsi="Courier New" w:hint="default"/>
      </w:rPr>
    </w:lvl>
    <w:lvl w:ilvl="5" w:tplc="ED04679A">
      <w:start w:val="1"/>
      <w:numFmt w:val="bullet"/>
      <w:lvlText w:val=""/>
      <w:lvlJc w:val="left"/>
      <w:pPr>
        <w:ind w:left="4320" w:hanging="360"/>
      </w:pPr>
      <w:rPr>
        <w:rFonts w:ascii="Wingdings" w:hAnsi="Wingdings" w:hint="default"/>
      </w:rPr>
    </w:lvl>
    <w:lvl w:ilvl="6" w:tplc="0AC8E7AA">
      <w:start w:val="1"/>
      <w:numFmt w:val="bullet"/>
      <w:lvlText w:val=""/>
      <w:lvlJc w:val="left"/>
      <w:pPr>
        <w:ind w:left="5040" w:hanging="360"/>
      </w:pPr>
      <w:rPr>
        <w:rFonts w:ascii="Symbol" w:hAnsi="Symbol" w:hint="default"/>
      </w:rPr>
    </w:lvl>
    <w:lvl w:ilvl="7" w:tplc="FCA86F36">
      <w:start w:val="1"/>
      <w:numFmt w:val="bullet"/>
      <w:lvlText w:val="o"/>
      <w:lvlJc w:val="left"/>
      <w:pPr>
        <w:ind w:left="5760" w:hanging="360"/>
      </w:pPr>
      <w:rPr>
        <w:rFonts w:ascii="Courier New" w:hAnsi="Courier New" w:hint="default"/>
      </w:rPr>
    </w:lvl>
    <w:lvl w:ilvl="8" w:tplc="D826A4DE">
      <w:start w:val="1"/>
      <w:numFmt w:val="bullet"/>
      <w:lvlText w:val=""/>
      <w:lvlJc w:val="left"/>
      <w:pPr>
        <w:ind w:left="6480" w:hanging="360"/>
      </w:pPr>
      <w:rPr>
        <w:rFonts w:ascii="Wingdings" w:hAnsi="Wingdings" w:hint="default"/>
      </w:rPr>
    </w:lvl>
  </w:abstractNum>
  <w:abstractNum w:abstractNumId="20">
    <w:nsid w:val="18F07059"/>
    <w:multiLevelType w:val="hybridMultilevel"/>
    <w:tmpl w:val="95E2A31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90211D0"/>
    <w:multiLevelType w:val="hybridMultilevel"/>
    <w:tmpl w:val="8D4ACFFE"/>
    <w:lvl w:ilvl="0" w:tplc="99723D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A1A101F"/>
    <w:multiLevelType w:val="hybridMultilevel"/>
    <w:tmpl w:val="75D01C0C"/>
    <w:lvl w:ilvl="0" w:tplc="63B45E74">
      <w:start w:val="1"/>
      <w:numFmt w:val="bullet"/>
      <w:lvlText w:val=""/>
      <w:lvlJc w:val="left"/>
      <w:pPr>
        <w:ind w:left="720" w:hanging="360"/>
      </w:pPr>
      <w:rPr>
        <w:rFonts w:ascii="Symbol" w:hAnsi="Symbol" w:hint="default"/>
      </w:rPr>
    </w:lvl>
    <w:lvl w:ilvl="1" w:tplc="10644C1A">
      <w:start w:val="1"/>
      <w:numFmt w:val="bullet"/>
      <w:lvlText w:val="o"/>
      <w:lvlJc w:val="left"/>
      <w:pPr>
        <w:ind w:left="1440" w:hanging="360"/>
      </w:pPr>
      <w:rPr>
        <w:rFonts w:ascii="Courier New" w:hAnsi="Courier New" w:hint="default"/>
      </w:rPr>
    </w:lvl>
    <w:lvl w:ilvl="2" w:tplc="16A88E32">
      <w:start w:val="1"/>
      <w:numFmt w:val="bullet"/>
      <w:lvlText w:val=""/>
      <w:lvlJc w:val="left"/>
      <w:pPr>
        <w:ind w:left="2160" w:hanging="360"/>
      </w:pPr>
      <w:rPr>
        <w:rFonts w:ascii="Wingdings" w:hAnsi="Wingdings" w:hint="default"/>
      </w:rPr>
    </w:lvl>
    <w:lvl w:ilvl="3" w:tplc="A6DE149A">
      <w:start w:val="1"/>
      <w:numFmt w:val="bullet"/>
      <w:lvlText w:val=""/>
      <w:lvlJc w:val="left"/>
      <w:pPr>
        <w:ind w:left="2880" w:hanging="360"/>
      </w:pPr>
      <w:rPr>
        <w:rFonts w:ascii="Symbol" w:hAnsi="Symbol" w:hint="default"/>
      </w:rPr>
    </w:lvl>
    <w:lvl w:ilvl="4" w:tplc="A5C04464">
      <w:start w:val="1"/>
      <w:numFmt w:val="bullet"/>
      <w:lvlText w:val="o"/>
      <w:lvlJc w:val="left"/>
      <w:pPr>
        <w:ind w:left="3600" w:hanging="360"/>
      </w:pPr>
      <w:rPr>
        <w:rFonts w:ascii="Courier New" w:hAnsi="Courier New" w:hint="default"/>
      </w:rPr>
    </w:lvl>
    <w:lvl w:ilvl="5" w:tplc="0130FCCA">
      <w:start w:val="1"/>
      <w:numFmt w:val="bullet"/>
      <w:lvlText w:val=""/>
      <w:lvlJc w:val="left"/>
      <w:pPr>
        <w:ind w:left="4320" w:hanging="360"/>
      </w:pPr>
      <w:rPr>
        <w:rFonts w:ascii="Wingdings" w:hAnsi="Wingdings" w:hint="default"/>
      </w:rPr>
    </w:lvl>
    <w:lvl w:ilvl="6" w:tplc="9C307B36">
      <w:start w:val="1"/>
      <w:numFmt w:val="bullet"/>
      <w:lvlText w:val=""/>
      <w:lvlJc w:val="left"/>
      <w:pPr>
        <w:ind w:left="5040" w:hanging="360"/>
      </w:pPr>
      <w:rPr>
        <w:rFonts w:ascii="Symbol" w:hAnsi="Symbol" w:hint="default"/>
      </w:rPr>
    </w:lvl>
    <w:lvl w:ilvl="7" w:tplc="2B34BB8C">
      <w:start w:val="1"/>
      <w:numFmt w:val="bullet"/>
      <w:lvlText w:val="o"/>
      <w:lvlJc w:val="left"/>
      <w:pPr>
        <w:ind w:left="5760" w:hanging="360"/>
      </w:pPr>
      <w:rPr>
        <w:rFonts w:ascii="Courier New" w:hAnsi="Courier New" w:hint="default"/>
      </w:rPr>
    </w:lvl>
    <w:lvl w:ilvl="8" w:tplc="A20C5748">
      <w:start w:val="1"/>
      <w:numFmt w:val="bullet"/>
      <w:lvlText w:val=""/>
      <w:lvlJc w:val="left"/>
      <w:pPr>
        <w:ind w:left="6480" w:hanging="360"/>
      </w:pPr>
      <w:rPr>
        <w:rFonts w:ascii="Wingdings" w:hAnsi="Wingdings" w:hint="default"/>
      </w:rPr>
    </w:lvl>
  </w:abstractNum>
  <w:abstractNum w:abstractNumId="23">
    <w:nsid w:val="1B3F7973"/>
    <w:multiLevelType w:val="hybridMultilevel"/>
    <w:tmpl w:val="0AD84B74"/>
    <w:lvl w:ilvl="0" w:tplc="0C765A4C">
      <w:start w:val="1"/>
      <w:numFmt w:val="bullet"/>
      <w:lvlText w:val=""/>
      <w:lvlJc w:val="left"/>
      <w:pPr>
        <w:ind w:left="720" w:hanging="360"/>
      </w:pPr>
      <w:rPr>
        <w:rFonts w:ascii="Symbol" w:hAnsi="Symbol" w:hint="default"/>
      </w:rPr>
    </w:lvl>
    <w:lvl w:ilvl="1" w:tplc="807C97C6">
      <w:start w:val="1"/>
      <w:numFmt w:val="bullet"/>
      <w:lvlText w:val="o"/>
      <w:lvlJc w:val="left"/>
      <w:pPr>
        <w:ind w:left="1440" w:hanging="360"/>
      </w:pPr>
      <w:rPr>
        <w:rFonts w:ascii="Courier New" w:hAnsi="Courier New" w:hint="default"/>
      </w:rPr>
    </w:lvl>
    <w:lvl w:ilvl="2" w:tplc="F01890BC">
      <w:start w:val="1"/>
      <w:numFmt w:val="bullet"/>
      <w:lvlText w:val=""/>
      <w:lvlJc w:val="left"/>
      <w:pPr>
        <w:ind w:left="2160" w:hanging="360"/>
      </w:pPr>
      <w:rPr>
        <w:rFonts w:ascii="Wingdings" w:hAnsi="Wingdings" w:hint="default"/>
      </w:rPr>
    </w:lvl>
    <w:lvl w:ilvl="3" w:tplc="F39A02BA">
      <w:start w:val="1"/>
      <w:numFmt w:val="bullet"/>
      <w:lvlText w:val=""/>
      <w:lvlJc w:val="left"/>
      <w:pPr>
        <w:ind w:left="2880" w:hanging="360"/>
      </w:pPr>
      <w:rPr>
        <w:rFonts w:ascii="Symbol" w:hAnsi="Symbol" w:hint="default"/>
      </w:rPr>
    </w:lvl>
    <w:lvl w:ilvl="4" w:tplc="DB12D956">
      <w:start w:val="1"/>
      <w:numFmt w:val="bullet"/>
      <w:lvlText w:val="o"/>
      <w:lvlJc w:val="left"/>
      <w:pPr>
        <w:ind w:left="3600" w:hanging="360"/>
      </w:pPr>
      <w:rPr>
        <w:rFonts w:ascii="Courier New" w:hAnsi="Courier New" w:hint="default"/>
      </w:rPr>
    </w:lvl>
    <w:lvl w:ilvl="5" w:tplc="497A362A">
      <w:start w:val="1"/>
      <w:numFmt w:val="bullet"/>
      <w:lvlText w:val=""/>
      <w:lvlJc w:val="left"/>
      <w:pPr>
        <w:ind w:left="4320" w:hanging="360"/>
      </w:pPr>
      <w:rPr>
        <w:rFonts w:ascii="Wingdings" w:hAnsi="Wingdings" w:hint="default"/>
      </w:rPr>
    </w:lvl>
    <w:lvl w:ilvl="6" w:tplc="317CDA8A">
      <w:start w:val="1"/>
      <w:numFmt w:val="bullet"/>
      <w:lvlText w:val=""/>
      <w:lvlJc w:val="left"/>
      <w:pPr>
        <w:ind w:left="5040" w:hanging="360"/>
      </w:pPr>
      <w:rPr>
        <w:rFonts w:ascii="Symbol" w:hAnsi="Symbol" w:hint="default"/>
      </w:rPr>
    </w:lvl>
    <w:lvl w:ilvl="7" w:tplc="84542A54">
      <w:start w:val="1"/>
      <w:numFmt w:val="bullet"/>
      <w:lvlText w:val="o"/>
      <w:lvlJc w:val="left"/>
      <w:pPr>
        <w:ind w:left="5760" w:hanging="360"/>
      </w:pPr>
      <w:rPr>
        <w:rFonts w:ascii="Courier New" w:hAnsi="Courier New" w:hint="default"/>
      </w:rPr>
    </w:lvl>
    <w:lvl w:ilvl="8" w:tplc="526A3A74">
      <w:start w:val="1"/>
      <w:numFmt w:val="bullet"/>
      <w:lvlText w:val=""/>
      <w:lvlJc w:val="left"/>
      <w:pPr>
        <w:ind w:left="6480" w:hanging="360"/>
      </w:pPr>
      <w:rPr>
        <w:rFonts w:ascii="Wingdings" w:hAnsi="Wingdings" w:hint="default"/>
      </w:rPr>
    </w:lvl>
  </w:abstractNum>
  <w:abstractNum w:abstractNumId="24">
    <w:nsid w:val="1BAF4D7C"/>
    <w:multiLevelType w:val="hybridMultilevel"/>
    <w:tmpl w:val="9648ECC0"/>
    <w:lvl w:ilvl="0" w:tplc="114035B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C7E4B54"/>
    <w:multiLevelType w:val="hybridMultilevel"/>
    <w:tmpl w:val="5442E586"/>
    <w:lvl w:ilvl="0" w:tplc="11403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1C8722E8"/>
    <w:multiLevelType w:val="hybridMultilevel"/>
    <w:tmpl w:val="13EA7A58"/>
    <w:lvl w:ilvl="0" w:tplc="9888FD6E">
      <w:start w:val="1"/>
      <w:numFmt w:val="decimal"/>
      <w:lvlText w:val="%1)"/>
      <w:lvlJc w:val="left"/>
      <w:pPr>
        <w:ind w:left="1070" w:hanging="360"/>
      </w:pPr>
      <w:rPr>
        <w:rFonts w:hint="default"/>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27">
    <w:nsid w:val="1D061DF8"/>
    <w:multiLevelType w:val="hybridMultilevel"/>
    <w:tmpl w:val="B1AE16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1E666B56"/>
    <w:multiLevelType w:val="hybridMultilevel"/>
    <w:tmpl w:val="14AA43F8"/>
    <w:lvl w:ilvl="0" w:tplc="140C535C">
      <w:start w:val="1"/>
      <w:numFmt w:val="bullet"/>
      <w:lvlText w:val=""/>
      <w:lvlJc w:val="left"/>
      <w:pPr>
        <w:ind w:left="720" w:hanging="360"/>
      </w:pPr>
      <w:rPr>
        <w:rFonts w:ascii="Symbol" w:hAnsi="Symbol" w:hint="default"/>
      </w:rPr>
    </w:lvl>
    <w:lvl w:ilvl="1" w:tplc="4C5E2CC6">
      <w:start w:val="1"/>
      <w:numFmt w:val="bullet"/>
      <w:lvlText w:val=""/>
      <w:lvlJc w:val="left"/>
      <w:pPr>
        <w:ind w:left="1440" w:hanging="360"/>
      </w:pPr>
      <w:rPr>
        <w:rFonts w:ascii="Symbol" w:hAnsi="Symbol" w:hint="default"/>
      </w:rPr>
    </w:lvl>
    <w:lvl w:ilvl="2" w:tplc="15A81026">
      <w:start w:val="1"/>
      <w:numFmt w:val="bullet"/>
      <w:lvlText w:val=""/>
      <w:lvlJc w:val="left"/>
      <w:pPr>
        <w:ind w:left="2160" w:hanging="360"/>
      </w:pPr>
      <w:rPr>
        <w:rFonts w:ascii="Wingdings" w:hAnsi="Wingdings" w:hint="default"/>
      </w:rPr>
    </w:lvl>
    <w:lvl w:ilvl="3" w:tplc="D51E92A6">
      <w:start w:val="1"/>
      <w:numFmt w:val="bullet"/>
      <w:lvlText w:val=""/>
      <w:lvlJc w:val="left"/>
      <w:pPr>
        <w:ind w:left="2880" w:hanging="360"/>
      </w:pPr>
      <w:rPr>
        <w:rFonts w:ascii="Symbol" w:hAnsi="Symbol" w:hint="default"/>
      </w:rPr>
    </w:lvl>
    <w:lvl w:ilvl="4" w:tplc="7B7CDE8A">
      <w:start w:val="1"/>
      <w:numFmt w:val="bullet"/>
      <w:lvlText w:val="o"/>
      <w:lvlJc w:val="left"/>
      <w:pPr>
        <w:ind w:left="3600" w:hanging="360"/>
      </w:pPr>
      <w:rPr>
        <w:rFonts w:ascii="Courier New" w:hAnsi="Courier New" w:hint="default"/>
      </w:rPr>
    </w:lvl>
    <w:lvl w:ilvl="5" w:tplc="EFF635D6">
      <w:start w:val="1"/>
      <w:numFmt w:val="bullet"/>
      <w:lvlText w:val=""/>
      <w:lvlJc w:val="left"/>
      <w:pPr>
        <w:ind w:left="4320" w:hanging="360"/>
      </w:pPr>
      <w:rPr>
        <w:rFonts w:ascii="Wingdings" w:hAnsi="Wingdings" w:hint="default"/>
      </w:rPr>
    </w:lvl>
    <w:lvl w:ilvl="6" w:tplc="D6E4696A">
      <w:start w:val="1"/>
      <w:numFmt w:val="bullet"/>
      <w:lvlText w:val=""/>
      <w:lvlJc w:val="left"/>
      <w:pPr>
        <w:ind w:left="5040" w:hanging="360"/>
      </w:pPr>
      <w:rPr>
        <w:rFonts w:ascii="Symbol" w:hAnsi="Symbol" w:hint="default"/>
      </w:rPr>
    </w:lvl>
    <w:lvl w:ilvl="7" w:tplc="9D0A2E26">
      <w:start w:val="1"/>
      <w:numFmt w:val="bullet"/>
      <w:lvlText w:val="o"/>
      <w:lvlJc w:val="left"/>
      <w:pPr>
        <w:ind w:left="5760" w:hanging="360"/>
      </w:pPr>
      <w:rPr>
        <w:rFonts w:ascii="Courier New" w:hAnsi="Courier New" w:hint="default"/>
      </w:rPr>
    </w:lvl>
    <w:lvl w:ilvl="8" w:tplc="C9EAB208">
      <w:start w:val="1"/>
      <w:numFmt w:val="bullet"/>
      <w:lvlText w:val=""/>
      <w:lvlJc w:val="left"/>
      <w:pPr>
        <w:ind w:left="6480" w:hanging="360"/>
      </w:pPr>
      <w:rPr>
        <w:rFonts w:ascii="Wingdings" w:hAnsi="Wingdings" w:hint="default"/>
      </w:rPr>
    </w:lvl>
  </w:abstractNum>
  <w:abstractNum w:abstractNumId="29">
    <w:nsid w:val="22567BE0"/>
    <w:multiLevelType w:val="hybridMultilevel"/>
    <w:tmpl w:val="3BD0294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62A5140"/>
    <w:multiLevelType w:val="hybridMultilevel"/>
    <w:tmpl w:val="72140386"/>
    <w:lvl w:ilvl="0" w:tplc="6D6ADEF4">
      <w:start w:val="1"/>
      <w:numFmt w:val="bullet"/>
      <w:lvlText w:val=""/>
      <w:lvlJc w:val="left"/>
      <w:pPr>
        <w:ind w:left="720" w:hanging="360"/>
      </w:pPr>
      <w:rPr>
        <w:rFonts w:ascii="Symbol" w:hAnsi="Symbol" w:hint="default"/>
      </w:rPr>
    </w:lvl>
    <w:lvl w:ilvl="1" w:tplc="EFFAE576">
      <w:start w:val="1"/>
      <w:numFmt w:val="bullet"/>
      <w:lvlText w:val="o"/>
      <w:lvlJc w:val="left"/>
      <w:pPr>
        <w:ind w:left="1440" w:hanging="360"/>
      </w:pPr>
      <w:rPr>
        <w:rFonts w:ascii="Courier New" w:hAnsi="Courier New" w:hint="default"/>
      </w:rPr>
    </w:lvl>
    <w:lvl w:ilvl="2" w:tplc="8D9C28D0">
      <w:start w:val="1"/>
      <w:numFmt w:val="bullet"/>
      <w:lvlText w:val=""/>
      <w:lvlJc w:val="left"/>
      <w:pPr>
        <w:ind w:left="2160" w:hanging="360"/>
      </w:pPr>
      <w:rPr>
        <w:rFonts w:ascii="Wingdings" w:hAnsi="Wingdings" w:hint="default"/>
      </w:rPr>
    </w:lvl>
    <w:lvl w:ilvl="3" w:tplc="FA60BCEC">
      <w:start w:val="1"/>
      <w:numFmt w:val="bullet"/>
      <w:lvlText w:val=""/>
      <w:lvlJc w:val="left"/>
      <w:pPr>
        <w:ind w:left="2880" w:hanging="360"/>
      </w:pPr>
      <w:rPr>
        <w:rFonts w:ascii="Symbol" w:hAnsi="Symbol" w:hint="default"/>
      </w:rPr>
    </w:lvl>
    <w:lvl w:ilvl="4" w:tplc="522CD776">
      <w:start w:val="1"/>
      <w:numFmt w:val="bullet"/>
      <w:lvlText w:val="o"/>
      <w:lvlJc w:val="left"/>
      <w:pPr>
        <w:ind w:left="3600" w:hanging="360"/>
      </w:pPr>
      <w:rPr>
        <w:rFonts w:ascii="Courier New" w:hAnsi="Courier New" w:hint="default"/>
      </w:rPr>
    </w:lvl>
    <w:lvl w:ilvl="5" w:tplc="72B616C0">
      <w:start w:val="1"/>
      <w:numFmt w:val="bullet"/>
      <w:lvlText w:val=""/>
      <w:lvlJc w:val="left"/>
      <w:pPr>
        <w:ind w:left="4320" w:hanging="360"/>
      </w:pPr>
      <w:rPr>
        <w:rFonts w:ascii="Wingdings" w:hAnsi="Wingdings" w:hint="default"/>
      </w:rPr>
    </w:lvl>
    <w:lvl w:ilvl="6" w:tplc="3962D820">
      <w:start w:val="1"/>
      <w:numFmt w:val="bullet"/>
      <w:lvlText w:val=""/>
      <w:lvlJc w:val="left"/>
      <w:pPr>
        <w:ind w:left="5040" w:hanging="360"/>
      </w:pPr>
      <w:rPr>
        <w:rFonts w:ascii="Symbol" w:hAnsi="Symbol" w:hint="default"/>
      </w:rPr>
    </w:lvl>
    <w:lvl w:ilvl="7" w:tplc="F190C230">
      <w:start w:val="1"/>
      <w:numFmt w:val="bullet"/>
      <w:lvlText w:val="o"/>
      <w:lvlJc w:val="left"/>
      <w:pPr>
        <w:ind w:left="5760" w:hanging="360"/>
      </w:pPr>
      <w:rPr>
        <w:rFonts w:ascii="Courier New" w:hAnsi="Courier New" w:hint="default"/>
      </w:rPr>
    </w:lvl>
    <w:lvl w:ilvl="8" w:tplc="319C9466">
      <w:start w:val="1"/>
      <w:numFmt w:val="bullet"/>
      <w:lvlText w:val=""/>
      <w:lvlJc w:val="left"/>
      <w:pPr>
        <w:ind w:left="6480" w:hanging="360"/>
      </w:pPr>
      <w:rPr>
        <w:rFonts w:ascii="Wingdings" w:hAnsi="Wingdings" w:hint="default"/>
      </w:rPr>
    </w:lvl>
  </w:abstractNum>
  <w:abstractNum w:abstractNumId="31">
    <w:nsid w:val="26954C40"/>
    <w:multiLevelType w:val="hybridMultilevel"/>
    <w:tmpl w:val="DB365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8A91442"/>
    <w:multiLevelType w:val="hybridMultilevel"/>
    <w:tmpl w:val="B2B66482"/>
    <w:lvl w:ilvl="0" w:tplc="55AC393E">
      <w:start w:val="1"/>
      <w:numFmt w:val="bullet"/>
      <w:lvlText w:val=""/>
      <w:lvlJc w:val="left"/>
      <w:pPr>
        <w:ind w:left="720" w:hanging="360"/>
      </w:pPr>
      <w:rPr>
        <w:rFonts w:ascii="Symbol" w:hAnsi="Symbol" w:hint="default"/>
      </w:rPr>
    </w:lvl>
    <w:lvl w:ilvl="1" w:tplc="723C072E">
      <w:start w:val="1"/>
      <w:numFmt w:val="bullet"/>
      <w:lvlText w:val="o"/>
      <w:lvlJc w:val="left"/>
      <w:pPr>
        <w:ind w:left="1440" w:hanging="360"/>
      </w:pPr>
      <w:rPr>
        <w:rFonts w:ascii="Courier New" w:hAnsi="Courier New" w:hint="default"/>
      </w:rPr>
    </w:lvl>
    <w:lvl w:ilvl="2" w:tplc="AD5066C8">
      <w:start w:val="1"/>
      <w:numFmt w:val="bullet"/>
      <w:lvlText w:val=""/>
      <w:lvlJc w:val="left"/>
      <w:pPr>
        <w:ind w:left="2160" w:hanging="360"/>
      </w:pPr>
      <w:rPr>
        <w:rFonts w:ascii="Wingdings" w:hAnsi="Wingdings" w:hint="default"/>
      </w:rPr>
    </w:lvl>
    <w:lvl w:ilvl="3" w:tplc="62A4ABDC">
      <w:start w:val="1"/>
      <w:numFmt w:val="bullet"/>
      <w:lvlText w:val=""/>
      <w:lvlJc w:val="left"/>
      <w:pPr>
        <w:ind w:left="2880" w:hanging="360"/>
      </w:pPr>
      <w:rPr>
        <w:rFonts w:ascii="Symbol" w:hAnsi="Symbol" w:hint="default"/>
      </w:rPr>
    </w:lvl>
    <w:lvl w:ilvl="4" w:tplc="ADE6BD56">
      <w:start w:val="1"/>
      <w:numFmt w:val="bullet"/>
      <w:lvlText w:val="o"/>
      <w:lvlJc w:val="left"/>
      <w:pPr>
        <w:ind w:left="3600" w:hanging="360"/>
      </w:pPr>
      <w:rPr>
        <w:rFonts w:ascii="Courier New" w:hAnsi="Courier New" w:hint="default"/>
      </w:rPr>
    </w:lvl>
    <w:lvl w:ilvl="5" w:tplc="2EF6EA50">
      <w:start w:val="1"/>
      <w:numFmt w:val="bullet"/>
      <w:lvlText w:val=""/>
      <w:lvlJc w:val="left"/>
      <w:pPr>
        <w:ind w:left="4320" w:hanging="360"/>
      </w:pPr>
      <w:rPr>
        <w:rFonts w:ascii="Wingdings" w:hAnsi="Wingdings" w:hint="default"/>
      </w:rPr>
    </w:lvl>
    <w:lvl w:ilvl="6" w:tplc="A72A897E">
      <w:start w:val="1"/>
      <w:numFmt w:val="bullet"/>
      <w:lvlText w:val=""/>
      <w:lvlJc w:val="left"/>
      <w:pPr>
        <w:ind w:left="5040" w:hanging="360"/>
      </w:pPr>
      <w:rPr>
        <w:rFonts w:ascii="Symbol" w:hAnsi="Symbol" w:hint="default"/>
      </w:rPr>
    </w:lvl>
    <w:lvl w:ilvl="7" w:tplc="10341394">
      <w:start w:val="1"/>
      <w:numFmt w:val="bullet"/>
      <w:lvlText w:val="o"/>
      <w:lvlJc w:val="left"/>
      <w:pPr>
        <w:ind w:left="5760" w:hanging="360"/>
      </w:pPr>
      <w:rPr>
        <w:rFonts w:ascii="Courier New" w:hAnsi="Courier New" w:hint="default"/>
      </w:rPr>
    </w:lvl>
    <w:lvl w:ilvl="8" w:tplc="93CC80D8">
      <w:start w:val="1"/>
      <w:numFmt w:val="bullet"/>
      <w:lvlText w:val=""/>
      <w:lvlJc w:val="left"/>
      <w:pPr>
        <w:ind w:left="6480" w:hanging="360"/>
      </w:pPr>
      <w:rPr>
        <w:rFonts w:ascii="Wingdings" w:hAnsi="Wingdings" w:hint="default"/>
      </w:rPr>
    </w:lvl>
  </w:abstractNum>
  <w:abstractNum w:abstractNumId="33">
    <w:nsid w:val="2B29080D"/>
    <w:multiLevelType w:val="hybridMultilevel"/>
    <w:tmpl w:val="094288F2"/>
    <w:lvl w:ilvl="0" w:tplc="0EF428EC">
      <w:start w:val="1"/>
      <w:numFmt w:val="bullet"/>
      <w:lvlText w:val=""/>
      <w:lvlJc w:val="left"/>
      <w:pPr>
        <w:ind w:left="720" w:hanging="360"/>
      </w:pPr>
      <w:rPr>
        <w:rFonts w:ascii="Symbol" w:hAnsi="Symbol" w:hint="default"/>
      </w:rPr>
    </w:lvl>
    <w:lvl w:ilvl="1" w:tplc="49CA589C">
      <w:start w:val="1"/>
      <w:numFmt w:val="bullet"/>
      <w:lvlText w:val="o"/>
      <w:lvlJc w:val="left"/>
      <w:pPr>
        <w:ind w:left="1440" w:hanging="360"/>
      </w:pPr>
      <w:rPr>
        <w:rFonts w:ascii="Courier New" w:hAnsi="Courier New" w:hint="default"/>
      </w:rPr>
    </w:lvl>
    <w:lvl w:ilvl="2" w:tplc="C48A98D0">
      <w:start w:val="1"/>
      <w:numFmt w:val="bullet"/>
      <w:lvlText w:val=""/>
      <w:lvlJc w:val="left"/>
      <w:pPr>
        <w:ind w:left="2160" w:hanging="360"/>
      </w:pPr>
      <w:rPr>
        <w:rFonts w:ascii="Wingdings" w:hAnsi="Wingdings" w:hint="default"/>
      </w:rPr>
    </w:lvl>
    <w:lvl w:ilvl="3" w:tplc="103C3E8E">
      <w:start w:val="1"/>
      <w:numFmt w:val="bullet"/>
      <w:lvlText w:val=""/>
      <w:lvlJc w:val="left"/>
      <w:pPr>
        <w:ind w:left="2880" w:hanging="360"/>
      </w:pPr>
      <w:rPr>
        <w:rFonts w:ascii="Symbol" w:hAnsi="Symbol" w:hint="default"/>
      </w:rPr>
    </w:lvl>
    <w:lvl w:ilvl="4" w:tplc="3C42119C">
      <w:start w:val="1"/>
      <w:numFmt w:val="bullet"/>
      <w:lvlText w:val="o"/>
      <w:lvlJc w:val="left"/>
      <w:pPr>
        <w:ind w:left="3600" w:hanging="360"/>
      </w:pPr>
      <w:rPr>
        <w:rFonts w:ascii="Courier New" w:hAnsi="Courier New" w:hint="default"/>
      </w:rPr>
    </w:lvl>
    <w:lvl w:ilvl="5" w:tplc="DCD0C4D8">
      <w:start w:val="1"/>
      <w:numFmt w:val="bullet"/>
      <w:lvlText w:val=""/>
      <w:lvlJc w:val="left"/>
      <w:pPr>
        <w:ind w:left="4320" w:hanging="360"/>
      </w:pPr>
      <w:rPr>
        <w:rFonts w:ascii="Wingdings" w:hAnsi="Wingdings" w:hint="default"/>
      </w:rPr>
    </w:lvl>
    <w:lvl w:ilvl="6" w:tplc="3B046362">
      <w:start w:val="1"/>
      <w:numFmt w:val="bullet"/>
      <w:lvlText w:val=""/>
      <w:lvlJc w:val="left"/>
      <w:pPr>
        <w:ind w:left="5040" w:hanging="360"/>
      </w:pPr>
      <w:rPr>
        <w:rFonts w:ascii="Symbol" w:hAnsi="Symbol" w:hint="default"/>
      </w:rPr>
    </w:lvl>
    <w:lvl w:ilvl="7" w:tplc="10CA830A">
      <w:start w:val="1"/>
      <w:numFmt w:val="bullet"/>
      <w:lvlText w:val="o"/>
      <w:lvlJc w:val="left"/>
      <w:pPr>
        <w:ind w:left="5760" w:hanging="360"/>
      </w:pPr>
      <w:rPr>
        <w:rFonts w:ascii="Courier New" w:hAnsi="Courier New" w:hint="default"/>
      </w:rPr>
    </w:lvl>
    <w:lvl w:ilvl="8" w:tplc="91F4B718">
      <w:start w:val="1"/>
      <w:numFmt w:val="bullet"/>
      <w:lvlText w:val=""/>
      <w:lvlJc w:val="left"/>
      <w:pPr>
        <w:ind w:left="6480" w:hanging="360"/>
      </w:pPr>
      <w:rPr>
        <w:rFonts w:ascii="Wingdings" w:hAnsi="Wingdings" w:hint="default"/>
      </w:rPr>
    </w:lvl>
  </w:abstractNum>
  <w:abstractNum w:abstractNumId="34">
    <w:nsid w:val="2C91013E"/>
    <w:multiLevelType w:val="hybridMultilevel"/>
    <w:tmpl w:val="CE36ADF6"/>
    <w:lvl w:ilvl="0" w:tplc="38C8D984">
      <w:start w:val="1"/>
      <w:numFmt w:val="lowerLetter"/>
      <w:lvlText w:val="%1."/>
      <w:lvlJc w:val="left"/>
      <w:pPr>
        <w:ind w:left="720" w:hanging="360"/>
      </w:pPr>
    </w:lvl>
    <w:lvl w:ilvl="1" w:tplc="14902EB2">
      <w:start w:val="1"/>
      <w:numFmt w:val="lowerLetter"/>
      <w:lvlText w:val="%2."/>
      <w:lvlJc w:val="left"/>
      <w:pPr>
        <w:ind w:left="1440" w:hanging="360"/>
      </w:pPr>
    </w:lvl>
    <w:lvl w:ilvl="2" w:tplc="D570A78A">
      <w:start w:val="1"/>
      <w:numFmt w:val="lowerRoman"/>
      <w:lvlText w:val="%3."/>
      <w:lvlJc w:val="right"/>
      <w:pPr>
        <w:ind w:left="2160" w:hanging="180"/>
      </w:pPr>
    </w:lvl>
    <w:lvl w:ilvl="3" w:tplc="DF54443A">
      <w:start w:val="1"/>
      <w:numFmt w:val="decimal"/>
      <w:lvlText w:val="%4."/>
      <w:lvlJc w:val="left"/>
      <w:pPr>
        <w:ind w:left="2880" w:hanging="360"/>
      </w:pPr>
    </w:lvl>
    <w:lvl w:ilvl="4" w:tplc="E4DC8838">
      <w:start w:val="1"/>
      <w:numFmt w:val="lowerLetter"/>
      <w:lvlText w:val="%5."/>
      <w:lvlJc w:val="left"/>
      <w:pPr>
        <w:ind w:left="3600" w:hanging="360"/>
      </w:pPr>
    </w:lvl>
    <w:lvl w:ilvl="5" w:tplc="75FEFE6A">
      <w:start w:val="1"/>
      <w:numFmt w:val="lowerRoman"/>
      <w:lvlText w:val="%6."/>
      <w:lvlJc w:val="right"/>
      <w:pPr>
        <w:ind w:left="4320" w:hanging="180"/>
      </w:pPr>
    </w:lvl>
    <w:lvl w:ilvl="6" w:tplc="F0AA44C2">
      <w:start w:val="1"/>
      <w:numFmt w:val="decimal"/>
      <w:lvlText w:val="%7."/>
      <w:lvlJc w:val="left"/>
      <w:pPr>
        <w:ind w:left="5040" w:hanging="360"/>
      </w:pPr>
    </w:lvl>
    <w:lvl w:ilvl="7" w:tplc="2B7216F6">
      <w:start w:val="1"/>
      <w:numFmt w:val="lowerLetter"/>
      <w:lvlText w:val="%8."/>
      <w:lvlJc w:val="left"/>
      <w:pPr>
        <w:ind w:left="5760" w:hanging="360"/>
      </w:pPr>
    </w:lvl>
    <w:lvl w:ilvl="8" w:tplc="1A743824">
      <w:start w:val="1"/>
      <w:numFmt w:val="lowerRoman"/>
      <w:lvlText w:val="%9."/>
      <w:lvlJc w:val="right"/>
      <w:pPr>
        <w:ind w:left="6480" w:hanging="180"/>
      </w:pPr>
    </w:lvl>
  </w:abstractNum>
  <w:abstractNum w:abstractNumId="35">
    <w:nsid w:val="2DD61B75"/>
    <w:multiLevelType w:val="hybridMultilevel"/>
    <w:tmpl w:val="0E96F188"/>
    <w:lvl w:ilvl="0" w:tplc="818A3074">
      <w:start w:val="1"/>
      <w:numFmt w:val="bullet"/>
      <w:lvlText w:val=""/>
      <w:lvlJc w:val="left"/>
      <w:pPr>
        <w:ind w:left="720" w:hanging="360"/>
      </w:pPr>
      <w:rPr>
        <w:rFonts w:ascii="Symbol" w:hAnsi="Symbol" w:hint="default"/>
      </w:rPr>
    </w:lvl>
    <w:lvl w:ilvl="1" w:tplc="35101CFE">
      <w:start w:val="1"/>
      <w:numFmt w:val="bullet"/>
      <w:lvlText w:val="o"/>
      <w:lvlJc w:val="left"/>
      <w:pPr>
        <w:ind w:left="1440" w:hanging="360"/>
      </w:pPr>
      <w:rPr>
        <w:rFonts w:ascii="Courier New" w:hAnsi="Courier New" w:hint="default"/>
      </w:rPr>
    </w:lvl>
    <w:lvl w:ilvl="2" w:tplc="866A03DC">
      <w:start w:val="1"/>
      <w:numFmt w:val="bullet"/>
      <w:lvlText w:val=""/>
      <w:lvlJc w:val="left"/>
      <w:pPr>
        <w:ind w:left="2160" w:hanging="360"/>
      </w:pPr>
      <w:rPr>
        <w:rFonts w:ascii="Wingdings" w:hAnsi="Wingdings" w:hint="default"/>
      </w:rPr>
    </w:lvl>
    <w:lvl w:ilvl="3" w:tplc="8C843636">
      <w:start w:val="1"/>
      <w:numFmt w:val="bullet"/>
      <w:lvlText w:val=""/>
      <w:lvlJc w:val="left"/>
      <w:pPr>
        <w:ind w:left="2880" w:hanging="360"/>
      </w:pPr>
      <w:rPr>
        <w:rFonts w:ascii="Symbol" w:hAnsi="Symbol" w:hint="default"/>
      </w:rPr>
    </w:lvl>
    <w:lvl w:ilvl="4" w:tplc="18560002">
      <w:start w:val="1"/>
      <w:numFmt w:val="bullet"/>
      <w:lvlText w:val="o"/>
      <w:lvlJc w:val="left"/>
      <w:pPr>
        <w:ind w:left="3600" w:hanging="360"/>
      </w:pPr>
      <w:rPr>
        <w:rFonts w:ascii="Courier New" w:hAnsi="Courier New" w:hint="default"/>
      </w:rPr>
    </w:lvl>
    <w:lvl w:ilvl="5" w:tplc="A1CEEBC2">
      <w:start w:val="1"/>
      <w:numFmt w:val="bullet"/>
      <w:lvlText w:val=""/>
      <w:lvlJc w:val="left"/>
      <w:pPr>
        <w:ind w:left="4320" w:hanging="360"/>
      </w:pPr>
      <w:rPr>
        <w:rFonts w:ascii="Wingdings" w:hAnsi="Wingdings" w:hint="default"/>
      </w:rPr>
    </w:lvl>
    <w:lvl w:ilvl="6" w:tplc="2F6ED5C4">
      <w:start w:val="1"/>
      <w:numFmt w:val="bullet"/>
      <w:lvlText w:val=""/>
      <w:lvlJc w:val="left"/>
      <w:pPr>
        <w:ind w:left="5040" w:hanging="360"/>
      </w:pPr>
      <w:rPr>
        <w:rFonts w:ascii="Symbol" w:hAnsi="Symbol" w:hint="default"/>
      </w:rPr>
    </w:lvl>
    <w:lvl w:ilvl="7" w:tplc="587614B8">
      <w:start w:val="1"/>
      <w:numFmt w:val="bullet"/>
      <w:lvlText w:val="o"/>
      <w:lvlJc w:val="left"/>
      <w:pPr>
        <w:ind w:left="5760" w:hanging="360"/>
      </w:pPr>
      <w:rPr>
        <w:rFonts w:ascii="Courier New" w:hAnsi="Courier New" w:hint="default"/>
      </w:rPr>
    </w:lvl>
    <w:lvl w:ilvl="8" w:tplc="5FBAE910">
      <w:start w:val="1"/>
      <w:numFmt w:val="bullet"/>
      <w:lvlText w:val=""/>
      <w:lvlJc w:val="left"/>
      <w:pPr>
        <w:ind w:left="6480" w:hanging="360"/>
      </w:pPr>
      <w:rPr>
        <w:rFonts w:ascii="Wingdings" w:hAnsi="Wingdings" w:hint="default"/>
      </w:rPr>
    </w:lvl>
  </w:abstractNum>
  <w:abstractNum w:abstractNumId="36">
    <w:nsid w:val="301376A7"/>
    <w:multiLevelType w:val="hybridMultilevel"/>
    <w:tmpl w:val="7B8C1810"/>
    <w:lvl w:ilvl="0" w:tplc="A58C8DAC">
      <w:start w:val="1"/>
      <w:numFmt w:val="bullet"/>
      <w:lvlText w:val=""/>
      <w:lvlJc w:val="left"/>
      <w:pPr>
        <w:ind w:left="720" w:hanging="360"/>
      </w:pPr>
      <w:rPr>
        <w:rFonts w:ascii="Symbol" w:hAnsi="Symbol" w:hint="default"/>
      </w:rPr>
    </w:lvl>
    <w:lvl w:ilvl="1" w:tplc="79D8B238">
      <w:start w:val="1"/>
      <w:numFmt w:val="bullet"/>
      <w:lvlText w:val="o"/>
      <w:lvlJc w:val="left"/>
      <w:pPr>
        <w:ind w:left="1440" w:hanging="360"/>
      </w:pPr>
      <w:rPr>
        <w:rFonts w:ascii="Courier New" w:hAnsi="Courier New" w:hint="default"/>
      </w:rPr>
    </w:lvl>
    <w:lvl w:ilvl="2" w:tplc="952C3772">
      <w:start w:val="1"/>
      <w:numFmt w:val="bullet"/>
      <w:lvlText w:val=""/>
      <w:lvlJc w:val="left"/>
      <w:pPr>
        <w:ind w:left="2160" w:hanging="360"/>
      </w:pPr>
      <w:rPr>
        <w:rFonts w:ascii="Wingdings" w:hAnsi="Wingdings" w:hint="default"/>
      </w:rPr>
    </w:lvl>
    <w:lvl w:ilvl="3" w:tplc="653C31DA">
      <w:start w:val="1"/>
      <w:numFmt w:val="bullet"/>
      <w:lvlText w:val=""/>
      <w:lvlJc w:val="left"/>
      <w:pPr>
        <w:ind w:left="2880" w:hanging="360"/>
      </w:pPr>
      <w:rPr>
        <w:rFonts w:ascii="Symbol" w:hAnsi="Symbol" w:hint="default"/>
      </w:rPr>
    </w:lvl>
    <w:lvl w:ilvl="4" w:tplc="05FE4458">
      <w:start w:val="1"/>
      <w:numFmt w:val="bullet"/>
      <w:lvlText w:val="o"/>
      <w:lvlJc w:val="left"/>
      <w:pPr>
        <w:ind w:left="3600" w:hanging="360"/>
      </w:pPr>
      <w:rPr>
        <w:rFonts w:ascii="Courier New" w:hAnsi="Courier New" w:hint="default"/>
      </w:rPr>
    </w:lvl>
    <w:lvl w:ilvl="5" w:tplc="61520450">
      <w:start w:val="1"/>
      <w:numFmt w:val="bullet"/>
      <w:lvlText w:val=""/>
      <w:lvlJc w:val="left"/>
      <w:pPr>
        <w:ind w:left="4320" w:hanging="360"/>
      </w:pPr>
      <w:rPr>
        <w:rFonts w:ascii="Wingdings" w:hAnsi="Wingdings" w:hint="default"/>
      </w:rPr>
    </w:lvl>
    <w:lvl w:ilvl="6" w:tplc="C55E2AAC">
      <w:start w:val="1"/>
      <w:numFmt w:val="bullet"/>
      <w:lvlText w:val=""/>
      <w:lvlJc w:val="left"/>
      <w:pPr>
        <w:ind w:left="5040" w:hanging="360"/>
      </w:pPr>
      <w:rPr>
        <w:rFonts w:ascii="Symbol" w:hAnsi="Symbol" w:hint="default"/>
      </w:rPr>
    </w:lvl>
    <w:lvl w:ilvl="7" w:tplc="5F0E30D4">
      <w:start w:val="1"/>
      <w:numFmt w:val="bullet"/>
      <w:lvlText w:val="o"/>
      <w:lvlJc w:val="left"/>
      <w:pPr>
        <w:ind w:left="5760" w:hanging="360"/>
      </w:pPr>
      <w:rPr>
        <w:rFonts w:ascii="Courier New" w:hAnsi="Courier New" w:hint="default"/>
      </w:rPr>
    </w:lvl>
    <w:lvl w:ilvl="8" w:tplc="AE08F73E">
      <w:start w:val="1"/>
      <w:numFmt w:val="bullet"/>
      <w:lvlText w:val=""/>
      <w:lvlJc w:val="left"/>
      <w:pPr>
        <w:ind w:left="6480" w:hanging="360"/>
      </w:pPr>
      <w:rPr>
        <w:rFonts w:ascii="Wingdings" w:hAnsi="Wingdings" w:hint="default"/>
      </w:rPr>
    </w:lvl>
  </w:abstractNum>
  <w:abstractNum w:abstractNumId="37">
    <w:nsid w:val="30A90A9F"/>
    <w:multiLevelType w:val="hybridMultilevel"/>
    <w:tmpl w:val="7BB418F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31555922"/>
    <w:multiLevelType w:val="hybridMultilevel"/>
    <w:tmpl w:val="5EBCEAD8"/>
    <w:lvl w:ilvl="0" w:tplc="FDBE0386">
      <w:start w:val="1"/>
      <w:numFmt w:val="bullet"/>
      <w:lvlText w:val=""/>
      <w:lvlJc w:val="left"/>
      <w:pPr>
        <w:ind w:left="720" w:hanging="360"/>
      </w:pPr>
      <w:rPr>
        <w:rFonts w:ascii="Symbol" w:hAnsi="Symbol" w:hint="default"/>
      </w:rPr>
    </w:lvl>
    <w:lvl w:ilvl="1" w:tplc="715A0CEA">
      <w:start w:val="1"/>
      <w:numFmt w:val="bullet"/>
      <w:lvlText w:val="o"/>
      <w:lvlJc w:val="left"/>
      <w:pPr>
        <w:ind w:left="1440" w:hanging="360"/>
      </w:pPr>
      <w:rPr>
        <w:rFonts w:ascii="Courier New" w:hAnsi="Courier New" w:hint="default"/>
      </w:rPr>
    </w:lvl>
    <w:lvl w:ilvl="2" w:tplc="C71C3712">
      <w:start w:val="1"/>
      <w:numFmt w:val="bullet"/>
      <w:lvlText w:val=""/>
      <w:lvlJc w:val="left"/>
      <w:pPr>
        <w:ind w:left="2160" w:hanging="360"/>
      </w:pPr>
      <w:rPr>
        <w:rFonts w:ascii="Wingdings" w:hAnsi="Wingdings" w:hint="default"/>
      </w:rPr>
    </w:lvl>
    <w:lvl w:ilvl="3" w:tplc="3AD4624E">
      <w:start w:val="1"/>
      <w:numFmt w:val="bullet"/>
      <w:lvlText w:val=""/>
      <w:lvlJc w:val="left"/>
      <w:pPr>
        <w:ind w:left="2880" w:hanging="360"/>
      </w:pPr>
      <w:rPr>
        <w:rFonts w:ascii="Symbol" w:hAnsi="Symbol" w:hint="default"/>
      </w:rPr>
    </w:lvl>
    <w:lvl w:ilvl="4" w:tplc="DD8CC7DA">
      <w:start w:val="1"/>
      <w:numFmt w:val="bullet"/>
      <w:lvlText w:val="o"/>
      <w:lvlJc w:val="left"/>
      <w:pPr>
        <w:ind w:left="3600" w:hanging="360"/>
      </w:pPr>
      <w:rPr>
        <w:rFonts w:ascii="Courier New" w:hAnsi="Courier New" w:hint="default"/>
      </w:rPr>
    </w:lvl>
    <w:lvl w:ilvl="5" w:tplc="6B78387E">
      <w:start w:val="1"/>
      <w:numFmt w:val="bullet"/>
      <w:lvlText w:val=""/>
      <w:lvlJc w:val="left"/>
      <w:pPr>
        <w:ind w:left="4320" w:hanging="360"/>
      </w:pPr>
      <w:rPr>
        <w:rFonts w:ascii="Wingdings" w:hAnsi="Wingdings" w:hint="default"/>
      </w:rPr>
    </w:lvl>
    <w:lvl w:ilvl="6" w:tplc="8860717A">
      <w:start w:val="1"/>
      <w:numFmt w:val="bullet"/>
      <w:lvlText w:val=""/>
      <w:lvlJc w:val="left"/>
      <w:pPr>
        <w:ind w:left="5040" w:hanging="360"/>
      </w:pPr>
      <w:rPr>
        <w:rFonts w:ascii="Symbol" w:hAnsi="Symbol" w:hint="default"/>
      </w:rPr>
    </w:lvl>
    <w:lvl w:ilvl="7" w:tplc="E0A0159A">
      <w:start w:val="1"/>
      <w:numFmt w:val="bullet"/>
      <w:lvlText w:val="o"/>
      <w:lvlJc w:val="left"/>
      <w:pPr>
        <w:ind w:left="5760" w:hanging="360"/>
      </w:pPr>
      <w:rPr>
        <w:rFonts w:ascii="Courier New" w:hAnsi="Courier New" w:hint="default"/>
      </w:rPr>
    </w:lvl>
    <w:lvl w:ilvl="8" w:tplc="0A5015D6">
      <w:start w:val="1"/>
      <w:numFmt w:val="bullet"/>
      <w:lvlText w:val=""/>
      <w:lvlJc w:val="left"/>
      <w:pPr>
        <w:ind w:left="6480" w:hanging="360"/>
      </w:pPr>
      <w:rPr>
        <w:rFonts w:ascii="Wingdings" w:hAnsi="Wingdings" w:hint="default"/>
      </w:rPr>
    </w:lvl>
  </w:abstractNum>
  <w:abstractNum w:abstractNumId="39">
    <w:nsid w:val="328430F0"/>
    <w:multiLevelType w:val="hybridMultilevel"/>
    <w:tmpl w:val="32CE533E"/>
    <w:lvl w:ilvl="0" w:tplc="07D01020">
      <w:start w:val="1"/>
      <w:numFmt w:val="bullet"/>
      <w:lvlText w:val=""/>
      <w:lvlJc w:val="left"/>
      <w:pPr>
        <w:ind w:left="720" w:hanging="360"/>
      </w:pPr>
      <w:rPr>
        <w:rFonts w:ascii="Symbol" w:hAnsi="Symbol" w:hint="default"/>
      </w:rPr>
    </w:lvl>
    <w:lvl w:ilvl="1" w:tplc="ED66FD9C">
      <w:start w:val="1"/>
      <w:numFmt w:val="bullet"/>
      <w:lvlText w:val="o"/>
      <w:lvlJc w:val="left"/>
      <w:pPr>
        <w:ind w:left="1440" w:hanging="360"/>
      </w:pPr>
      <w:rPr>
        <w:rFonts w:ascii="Courier New" w:hAnsi="Courier New" w:hint="default"/>
      </w:rPr>
    </w:lvl>
    <w:lvl w:ilvl="2" w:tplc="FAE83B0E">
      <w:start w:val="1"/>
      <w:numFmt w:val="bullet"/>
      <w:lvlText w:val=""/>
      <w:lvlJc w:val="left"/>
      <w:pPr>
        <w:ind w:left="2160" w:hanging="360"/>
      </w:pPr>
      <w:rPr>
        <w:rFonts w:ascii="Wingdings" w:hAnsi="Wingdings" w:hint="default"/>
      </w:rPr>
    </w:lvl>
    <w:lvl w:ilvl="3" w:tplc="1B1C8998">
      <w:start w:val="1"/>
      <w:numFmt w:val="bullet"/>
      <w:lvlText w:val=""/>
      <w:lvlJc w:val="left"/>
      <w:pPr>
        <w:ind w:left="2880" w:hanging="360"/>
      </w:pPr>
      <w:rPr>
        <w:rFonts w:ascii="Symbol" w:hAnsi="Symbol" w:hint="default"/>
      </w:rPr>
    </w:lvl>
    <w:lvl w:ilvl="4" w:tplc="23F4B5A8">
      <w:start w:val="1"/>
      <w:numFmt w:val="bullet"/>
      <w:lvlText w:val="o"/>
      <w:lvlJc w:val="left"/>
      <w:pPr>
        <w:ind w:left="3600" w:hanging="360"/>
      </w:pPr>
      <w:rPr>
        <w:rFonts w:ascii="Courier New" w:hAnsi="Courier New" w:hint="default"/>
      </w:rPr>
    </w:lvl>
    <w:lvl w:ilvl="5" w:tplc="64B03D70">
      <w:start w:val="1"/>
      <w:numFmt w:val="bullet"/>
      <w:lvlText w:val=""/>
      <w:lvlJc w:val="left"/>
      <w:pPr>
        <w:ind w:left="4320" w:hanging="360"/>
      </w:pPr>
      <w:rPr>
        <w:rFonts w:ascii="Wingdings" w:hAnsi="Wingdings" w:hint="default"/>
      </w:rPr>
    </w:lvl>
    <w:lvl w:ilvl="6" w:tplc="68086DD0">
      <w:start w:val="1"/>
      <w:numFmt w:val="bullet"/>
      <w:lvlText w:val=""/>
      <w:lvlJc w:val="left"/>
      <w:pPr>
        <w:ind w:left="5040" w:hanging="360"/>
      </w:pPr>
      <w:rPr>
        <w:rFonts w:ascii="Symbol" w:hAnsi="Symbol" w:hint="default"/>
      </w:rPr>
    </w:lvl>
    <w:lvl w:ilvl="7" w:tplc="51C67D92">
      <w:start w:val="1"/>
      <w:numFmt w:val="bullet"/>
      <w:lvlText w:val="o"/>
      <w:lvlJc w:val="left"/>
      <w:pPr>
        <w:ind w:left="5760" w:hanging="360"/>
      </w:pPr>
      <w:rPr>
        <w:rFonts w:ascii="Courier New" w:hAnsi="Courier New" w:hint="default"/>
      </w:rPr>
    </w:lvl>
    <w:lvl w:ilvl="8" w:tplc="DD963D3A">
      <w:start w:val="1"/>
      <w:numFmt w:val="bullet"/>
      <w:lvlText w:val=""/>
      <w:lvlJc w:val="left"/>
      <w:pPr>
        <w:ind w:left="6480" w:hanging="360"/>
      </w:pPr>
      <w:rPr>
        <w:rFonts w:ascii="Wingdings" w:hAnsi="Wingdings" w:hint="default"/>
      </w:rPr>
    </w:lvl>
  </w:abstractNum>
  <w:abstractNum w:abstractNumId="40">
    <w:nsid w:val="33D062A4"/>
    <w:multiLevelType w:val="hybridMultilevel"/>
    <w:tmpl w:val="DA467092"/>
    <w:lvl w:ilvl="0" w:tplc="2D64AA14">
      <w:start w:val="1"/>
      <w:numFmt w:val="bullet"/>
      <w:lvlText w:val=""/>
      <w:lvlJc w:val="left"/>
      <w:pPr>
        <w:ind w:left="720" w:hanging="360"/>
      </w:pPr>
      <w:rPr>
        <w:rFonts w:ascii="Symbol" w:hAnsi="Symbol" w:hint="default"/>
      </w:rPr>
    </w:lvl>
    <w:lvl w:ilvl="1" w:tplc="71DA338E">
      <w:start w:val="1"/>
      <w:numFmt w:val="bullet"/>
      <w:lvlText w:val="o"/>
      <w:lvlJc w:val="left"/>
      <w:pPr>
        <w:ind w:left="1440" w:hanging="360"/>
      </w:pPr>
      <w:rPr>
        <w:rFonts w:ascii="Courier New" w:hAnsi="Courier New" w:hint="default"/>
      </w:rPr>
    </w:lvl>
    <w:lvl w:ilvl="2" w:tplc="5CEE7716">
      <w:start w:val="1"/>
      <w:numFmt w:val="bullet"/>
      <w:lvlText w:val=""/>
      <w:lvlJc w:val="left"/>
      <w:pPr>
        <w:ind w:left="2160" w:hanging="360"/>
      </w:pPr>
      <w:rPr>
        <w:rFonts w:ascii="Wingdings" w:hAnsi="Wingdings" w:hint="default"/>
      </w:rPr>
    </w:lvl>
    <w:lvl w:ilvl="3" w:tplc="E6725D16">
      <w:start w:val="1"/>
      <w:numFmt w:val="bullet"/>
      <w:lvlText w:val=""/>
      <w:lvlJc w:val="left"/>
      <w:pPr>
        <w:ind w:left="2880" w:hanging="360"/>
      </w:pPr>
      <w:rPr>
        <w:rFonts w:ascii="Symbol" w:hAnsi="Symbol" w:hint="default"/>
      </w:rPr>
    </w:lvl>
    <w:lvl w:ilvl="4" w:tplc="818C6FD4">
      <w:start w:val="1"/>
      <w:numFmt w:val="bullet"/>
      <w:lvlText w:val="o"/>
      <w:lvlJc w:val="left"/>
      <w:pPr>
        <w:ind w:left="3600" w:hanging="360"/>
      </w:pPr>
      <w:rPr>
        <w:rFonts w:ascii="Courier New" w:hAnsi="Courier New" w:hint="default"/>
      </w:rPr>
    </w:lvl>
    <w:lvl w:ilvl="5" w:tplc="85A6AFEC">
      <w:start w:val="1"/>
      <w:numFmt w:val="bullet"/>
      <w:lvlText w:val=""/>
      <w:lvlJc w:val="left"/>
      <w:pPr>
        <w:ind w:left="4320" w:hanging="360"/>
      </w:pPr>
      <w:rPr>
        <w:rFonts w:ascii="Wingdings" w:hAnsi="Wingdings" w:hint="default"/>
      </w:rPr>
    </w:lvl>
    <w:lvl w:ilvl="6" w:tplc="6890F7BA">
      <w:start w:val="1"/>
      <w:numFmt w:val="bullet"/>
      <w:lvlText w:val=""/>
      <w:lvlJc w:val="left"/>
      <w:pPr>
        <w:ind w:left="5040" w:hanging="360"/>
      </w:pPr>
      <w:rPr>
        <w:rFonts w:ascii="Symbol" w:hAnsi="Symbol" w:hint="default"/>
      </w:rPr>
    </w:lvl>
    <w:lvl w:ilvl="7" w:tplc="4670B066">
      <w:start w:val="1"/>
      <w:numFmt w:val="bullet"/>
      <w:lvlText w:val="o"/>
      <w:lvlJc w:val="left"/>
      <w:pPr>
        <w:ind w:left="5760" w:hanging="360"/>
      </w:pPr>
      <w:rPr>
        <w:rFonts w:ascii="Courier New" w:hAnsi="Courier New" w:hint="default"/>
      </w:rPr>
    </w:lvl>
    <w:lvl w:ilvl="8" w:tplc="CA5A652E">
      <w:start w:val="1"/>
      <w:numFmt w:val="bullet"/>
      <w:lvlText w:val=""/>
      <w:lvlJc w:val="left"/>
      <w:pPr>
        <w:ind w:left="6480" w:hanging="360"/>
      </w:pPr>
      <w:rPr>
        <w:rFonts w:ascii="Wingdings" w:hAnsi="Wingdings" w:hint="default"/>
      </w:rPr>
    </w:lvl>
  </w:abstractNum>
  <w:abstractNum w:abstractNumId="41">
    <w:nsid w:val="34F25307"/>
    <w:multiLevelType w:val="hybridMultilevel"/>
    <w:tmpl w:val="14D0CC54"/>
    <w:lvl w:ilvl="0" w:tplc="80827B88">
      <w:start w:val="1"/>
      <w:numFmt w:val="bullet"/>
      <w:lvlText w:val=""/>
      <w:lvlJc w:val="left"/>
      <w:pPr>
        <w:ind w:left="360" w:hanging="360"/>
      </w:pPr>
      <w:rPr>
        <w:rFonts w:ascii="Symbol" w:hAnsi="Symbol" w:hint="default"/>
      </w:rPr>
    </w:lvl>
    <w:lvl w:ilvl="1" w:tplc="8FD09E54">
      <w:start w:val="1"/>
      <w:numFmt w:val="bullet"/>
      <w:lvlText w:val="o"/>
      <w:lvlJc w:val="left"/>
      <w:pPr>
        <w:ind w:left="1080" w:hanging="360"/>
      </w:pPr>
      <w:rPr>
        <w:rFonts w:ascii="Courier New" w:hAnsi="Courier New" w:hint="default"/>
      </w:rPr>
    </w:lvl>
    <w:lvl w:ilvl="2" w:tplc="84726E7A">
      <w:start w:val="1"/>
      <w:numFmt w:val="bullet"/>
      <w:lvlText w:val=""/>
      <w:lvlJc w:val="left"/>
      <w:pPr>
        <w:ind w:left="1800" w:hanging="360"/>
      </w:pPr>
      <w:rPr>
        <w:rFonts w:ascii="Wingdings" w:hAnsi="Wingdings" w:hint="default"/>
      </w:rPr>
    </w:lvl>
    <w:lvl w:ilvl="3" w:tplc="DC7ACF3C">
      <w:start w:val="1"/>
      <w:numFmt w:val="bullet"/>
      <w:lvlText w:val=""/>
      <w:lvlJc w:val="left"/>
      <w:pPr>
        <w:ind w:left="2520" w:hanging="360"/>
      </w:pPr>
      <w:rPr>
        <w:rFonts w:ascii="Symbol" w:hAnsi="Symbol" w:hint="default"/>
      </w:rPr>
    </w:lvl>
    <w:lvl w:ilvl="4" w:tplc="D53C1284">
      <w:start w:val="1"/>
      <w:numFmt w:val="bullet"/>
      <w:lvlText w:val="o"/>
      <w:lvlJc w:val="left"/>
      <w:pPr>
        <w:ind w:left="3240" w:hanging="360"/>
      </w:pPr>
      <w:rPr>
        <w:rFonts w:ascii="Courier New" w:hAnsi="Courier New" w:hint="default"/>
      </w:rPr>
    </w:lvl>
    <w:lvl w:ilvl="5" w:tplc="C5D27E44">
      <w:start w:val="1"/>
      <w:numFmt w:val="bullet"/>
      <w:lvlText w:val=""/>
      <w:lvlJc w:val="left"/>
      <w:pPr>
        <w:ind w:left="3960" w:hanging="360"/>
      </w:pPr>
      <w:rPr>
        <w:rFonts w:ascii="Wingdings" w:hAnsi="Wingdings" w:hint="default"/>
      </w:rPr>
    </w:lvl>
    <w:lvl w:ilvl="6" w:tplc="9E4C42CC">
      <w:start w:val="1"/>
      <w:numFmt w:val="bullet"/>
      <w:lvlText w:val=""/>
      <w:lvlJc w:val="left"/>
      <w:pPr>
        <w:ind w:left="4680" w:hanging="360"/>
      </w:pPr>
      <w:rPr>
        <w:rFonts w:ascii="Symbol" w:hAnsi="Symbol" w:hint="default"/>
      </w:rPr>
    </w:lvl>
    <w:lvl w:ilvl="7" w:tplc="DABCF938">
      <w:start w:val="1"/>
      <w:numFmt w:val="bullet"/>
      <w:lvlText w:val="o"/>
      <w:lvlJc w:val="left"/>
      <w:pPr>
        <w:ind w:left="5400" w:hanging="360"/>
      </w:pPr>
      <w:rPr>
        <w:rFonts w:ascii="Courier New" w:hAnsi="Courier New" w:hint="default"/>
      </w:rPr>
    </w:lvl>
    <w:lvl w:ilvl="8" w:tplc="A4B09652">
      <w:start w:val="1"/>
      <w:numFmt w:val="bullet"/>
      <w:lvlText w:val=""/>
      <w:lvlJc w:val="left"/>
      <w:pPr>
        <w:ind w:left="6120" w:hanging="360"/>
      </w:pPr>
      <w:rPr>
        <w:rFonts w:ascii="Wingdings" w:hAnsi="Wingdings" w:hint="default"/>
      </w:rPr>
    </w:lvl>
  </w:abstractNum>
  <w:abstractNum w:abstractNumId="42">
    <w:nsid w:val="360A622D"/>
    <w:multiLevelType w:val="hybridMultilevel"/>
    <w:tmpl w:val="41387EE6"/>
    <w:lvl w:ilvl="0" w:tplc="DA1E322A">
      <w:start w:val="1"/>
      <w:numFmt w:val="bullet"/>
      <w:lvlText w:val=""/>
      <w:lvlJc w:val="left"/>
      <w:pPr>
        <w:ind w:left="720" w:hanging="360"/>
      </w:pPr>
      <w:rPr>
        <w:rFonts w:ascii="Symbol" w:hAnsi="Symbol" w:hint="default"/>
      </w:rPr>
    </w:lvl>
    <w:lvl w:ilvl="1" w:tplc="BE08A9D4">
      <w:start w:val="1"/>
      <w:numFmt w:val="bullet"/>
      <w:lvlText w:val=""/>
      <w:lvlJc w:val="left"/>
      <w:pPr>
        <w:ind w:left="1440" w:hanging="360"/>
      </w:pPr>
      <w:rPr>
        <w:rFonts w:ascii="Symbol" w:hAnsi="Symbol" w:hint="default"/>
      </w:rPr>
    </w:lvl>
    <w:lvl w:ilvl="2" w:tplc="DF848F38">
      <w:start w:val="1"/>
      <w:numFmt w:val="bullet"/>
      <w:lvlText w:val=""/>
      <w:lvlJc w:val="left"/>
      <w:pPr>
        <w:ind w:left="2160" w:hanging="360"/>
      </w:pPr>
      <w:rPr>
        <w:rFonts w:ascii="Wingdings" w:hAnsi="Wingdings" w:hint="default"/>
      </w:rPr>
    </w:lvl>
    <w:lvl w:ilvl="3" w:tplc="CF5A37C4">
      <w:start w:val="1"/>
      <w:numFmt w:val="bullet"/>
      <w:lvlText w:val=""/>
      <w:lvlJc w:val="left"/>
      <w:pPr>
        <w:ind w:left="2880" w:hanging="360"/>
      </w:pPr>
      <w:rPr>
        <w:rFonts w:ascii="Symbol" w:hAnsi="Symbol" w:hint="default"/>
      </w:rPr>
    </w:lvl>
    <w:lvl w:ilvl="4" w:tplc="A53221EE">
      <w:start w:val="1"/>
      <w:numFmt w:val="bullet"/>
      <w:lvlText w:val="o"/>
      <w:lvlJc w:val="left"/>
      <w:pPr>
        <w:ind w:left="3600" w:hanging="360"/>
      </w:pPr>
      <w:rPr>
        <w:rFonts w:ascii="Courier New" w:hAnsi="Courier New" w:hint="default"/>
      </w:rPr>
    </w:lvl>
    <w:lvl w:ilvl="5" w:tplc="F08022DE">
      <w:start w:val="1"/>
      <w:numFmt w:val="bullet"/>
      <w:lvlText w:val=""/>
      <w:lvlJc w:val="left"/>
      <w:pPr>
        <w:ind w:left="4320" w:hanging="360"/>
      </w:pPr>
      <w:rPr>
        <w:rFonts w:ascii="Wingdings" w:hAnsi="Wingdings" w:hint="default"/>
      </w:rPr>
    </w:lvl>
    <w:lvl w:ilvl="6" w:tplc="29200A74">
      <w:start w:val="1"/>
      <w:numFmt w:val="bullet"/>
      <w:lvlText w:val=""/>
      <w:lvlJc w:val="left"/>
      <w:pPr>
        <w:ind w:left="5040" w:hanging="360"/>
      </w:pPr>
      <w:rPr>
        <w:rFonts w:ascii="Symbol" w:hAnsi="Symbol" w:hint="default"/>
      </w:rPr>
    </w:lvl>
    <w:lvl w:ilvl="7" w:tplc="3ED28D3E">
      <w:start w:val="1"/>
      <w:numFmt w:val="bullet"/>
      <w:lvlText w:val="o"/>
      <w:lvlJc w:val="left"/>
      <w:pPr>
        <w:ind w:left="5760" w:hanging="360"/>
      </w:pPr>
      <w:rPr>
        <w:rFonts w:ascii="Courier New" w:hAnsi="Courier New" w:hint="default"/>
      </w:rPr>
    </w:lvl>
    <w:lvl w:ilvl="8" w:tplc="0108F6DA">
      <w:start w:val="1"/>
      <w:numFmt w:val="bullet"/>
      <w:lvlText w:val=""/>
      <w:lvlJc w:val="left"/>
      <w:pPr>
        <w:ind w:left="6480" w:hanging="360"/>
      </w:pPr>
      <w:rPr>
        <w:rFonts w:ascii="Wingdings" w:hAnsi="Wingdings" w:hint="default"/>
      </w:rPr>
    </w:lvl>
  </w:abstractNum>
  <w:abstractNum w:abstractNumId="43">
    <w:nsid w:val="37D52FD4"/>
    <w:multiLevelType w:val="hybridMultilevel"/>
    <w:tmpl w:val="306E6A7C"/>
    <w:lvl w:ilvl="0" w:tplc="2F18329C">
      <w:start w:val="1"/>
      <w:numFmt w:val="decimal"/>
      <w:lvlText w:val="%1)"/>
      <w:lvlJc w:val="left"/>
      <w:pPr>
        <w:ind w:left="720" w:hanging="360"/>
      </w:pPr>
      <w:rPr>
        <w:rFonts w:ascii="Calibri" w:hAnsi="Calibri"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C9C7BE1"/>
    <w:multiLevelType w:val="hybridMultilevel"/>
    <w:tmpl w:val="DB18E3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400F334F"/>
    <w:multiLevelType w:val="hybridMultilevel"/>
    <w:tmpl w:val="5A862934"/>
    <w:lvl w:ilvl="0" w:tplc="FDA694B6">
      <w:start w:val="1"/>
      <w:numFmt w:val="bullet"/>
      <w:lvlText w:val="-"/>
      <w:lvlJc w:val="left"/>
      <w:pPr>
        <w:ind w:left="720" w:hanging="360"/>
      </w:pPr>
      <w:rPr>
        <w:rFonts w:ascii="Symbol" w:hAnsi="Symbol" w:hint="default"/>
      </w:rPr>
    </w:lvl>
    <w:lvl w:ilvl="1" w:tplc="885A70A8">
      <w:start w:val="1"/>
      <w:numFmt w:val="bullet"/>
      <w:lvlText w:val="o"/>
      <w:lvlJc w:val="left"/>
      <w:pPr>
        <w:ind w:left="1440" w:hanging="360"/>
      </w:pPr>
      <w:rPr>
        <w:rFonts w:ascii="Courier New" w:hAnsi="Courier New" w:hint="default"/>
      </w:rPr>
    </w:lvl>
    <w:lvl w:ilvl="2" w:tplc="64F47776">
      <w:start w:val="1"/>
      <w:numFmt w:val="bullet"/>
      <w:lvlText w:val=""/>
      <w:lvlJc w:val="left"/>
      <w:pPr>
        <w:ind w:left="2160" w:hanging="360"/>
      </w:pPr>
      <w:rPr>
        <w:rFonts w:ascii="Wingdings" w:hAnsi="Wingdings" w:hint="default"/>
      </w:rPr>
    </w:lvl>
    <w:lvl w:ilvl="3" w:tplc="8D86C9A8">
      <w:start w:val="1"/>
      <w:numFmt w:val="bullet"/>
      <w:lvlText w:val=""/>
      <w:lvlJc w:val="left"/>
      <w:pPr>
        <w:ind w:left="2880" w:hanging="360"/>
      </w:pPr>
      <w:rPr>
        <w:rFonts w:ascii="Symbol" w:hAnsi="Symbol" w:hint="default"/>
      </w:rPr>
    </w:lvl>
    <w:lvl w:ilvl="4" w:tplc="D430DEFC">
      <w:start w:val="1"/>
      <w:numFmt w:val="bullet"/>
      <w:lvlText w:val="o"/>
      <w:lvlJc w:val="left"/>
      <w:pPr>
        <w:ind w:left="3600" w:hanging="360"/>
      </w:pPr>
      <w:rPr>
        <w:rFonts w:ascii="Courier New" w:hAnsi="Courier New" w:hint="default"/>
      </w:rPr>
    </w:lvl>
    <w:lvl w:ilvl="5" w:tplc="149CF39E">
      <w:start w:val="1"/>
      <w:numFmt w:val="bullet"/>
      <w:lvlText w:val=""/>
      <w:lvlJc w:val="left"/>
      <w:pPr>
        <w:ind w:left="4320" w:hanging="360"/>
      </w:pPr>
      <w:rPr>
        <w:rFonts w:ascii="Wingdings" w:hAnsi="Wingdings" w:hint="default"/>
      </w:rPr>
    </w:lvl>
    <w:lvl w:ilvl="6" w:tplc="AB403D02">
      <w:start w:val="1"/>
      <w:numFmt w:val="bullet"/>
      <w:lvlText w:val=""/>
      <w:lvlJc w:val="left"/>
      <w:pPr>
        <w:ind w:left="5040" w:hanging="360"/>
      </w:pPr>
      <w:rPr>
        <w:rFonts w:ascii="Symbol" w:hAnsi="Symbol" w:hint="default"/>
      </w:rPr>
    </w:lvl>
    <w:lvl w:ilvl="7" w:tplc="FA2AAD7E">
      <w:start w:val="1"/>
      <w:numFmt w:val="bullet"/>
      <w:lvlText w:val="o"/>
      <w:lvlJc w:val="left"/>
      <w:pPr>
        <w:ind w:left="5760" w:hanging="360"/>
      </w:pPr>
      <w:rPr>
        <w:rFonts w:ascii="Courier New" w:hAnsi="Courier New" w:hint="default"/>
      </w:rPr>
    </w:lvl>
    <w:lvl w:ilvl="8" w:tplc="497EEE50">
      <w:start w:val="1"/>
      <w:numFmt w:val="bullet"/>
      <w:lvlText w:val=""/>
      <w:lvlJc w:val="left"/>
      <w:pPr>
        <w:ind w:left="6480" w:hanging="360"/>
      </w:pPr>
      <w:rPr>
        <w:rFonts w:ascii="Wingdings" w:hAnsi="Wingdings" w:hint="default"/>
      </w:rPr>
    </w:lvl>
  </w:abstractNum>
  <w:abstractNum w:abstractNumId="46">
    <w:nsid w:val="412159E8"/>
    <w:multiLevelType w:val="hybridMultilevel"/>
    <w:tmpl w:val="C95A31DC"/>
    <w:lvl w:ilvl="0" w:tplc="4D68161A">
      <w:start w:val="1"/>
      <w:numFmt w:val="bullet"/>
      <w:lvlText w:val=""/>
      <w:lvlJc w:val="left"/>
      <w:pPr>
        <w:ind w:left="1428" w:hanging="360"/>
      </w:pPr>
      <w:rPr>
        <w:rFonts w:ascii="Symbol" w:hAnsi="Symbol" w:hint="default"/>
      </w:rPr>
    </w:lvl>
    <w:lvl w:ilvl="1" w:tplc="6956A77C">
      <w:start w:val="1"/>
      <w:numFmt w:val="bullet"/>
      <w:lvlText w:val="o"/>
      <w:lvlJc w:val="left"/>
      <w:pPr>
        <w:ind w:left="2148" w:hanging="360"/>
      </w:pPr>
      <w:rPr>
        <w:rFonts w:ascii="Courier New" w:hAnsi="Courier New" w:hint="default"/>
      </w:rPr>
    </w:lvl>
    <w:lvl w:ilvl="2" w:tplc="D8864592">
      <w:start w:val="1"/>
      <w:numFmt w:val="bullet"/>
      <w:lvlText w:val=""/>
      <w:lvlJc w:val="left"/>
      <w:pPr>
        <w:ind w:left="2868" w:hanging="360"/>
      </w:pPr>
      <w:rPr>
        <w:rFonts w:ascii="Wingdings" w:hAnsi="Wingdings" w:hint="default"/>
      </w:rPr>
    </w:lvl>
    <w:lvl w:ilvl="3" w:tplc="4020765A">
      <w:start w:val="1"/>
      <w:numFmt w:val="bullet"/>
      <w:lvlText w:val=""/>
      <w:lvlJc w:val="left"/>
      <w:pPr>
        <w:ind w:left="3588" w:hanging="360"/>
      </w:pPr>
      <w:rPr>
        <w:rFonts w:ascii="Symbol" w:hAnsi="Symbol" w:hint="default"/>
      </w:rPr>
    </w:lvl>
    <w:lvl w:ilvl="4" w:tplc="C09EE54A">
      <w:start w:val="1"/>
      <w:numFmt w:val="bullet"/>
      <w:lvlText w:val="o"/>
      <w:lvlJc w:val="left"/>
      <w:pPr>
        <w:ind w:left="4308" w:hanging="360"/>
      </w:pPr>
      <w:rPr>
        <w:rFonts w:ascii="Courier New" w:hAnsi="Courier New" w:hint="default"/>
      </w:rPr>
    </w:lvl>
    <w:lvl w:ilvl="5" w:tplc="CFB87248">
      <w:start w:val="1"/>
      <w:numFmt w:val="bullet"/>
      <w:lvlText w:val=""/>
      <w:lvlJc w:val="left"/>
      <w:pPr>
        <w:ind w:left="5028" w:hanging="360"/>
      </w:pPr>
      <w:rPr>
        <w:rFonts w:ascii="Wingdings" w:hAnsi="Wingdings" w:hint="default"/>
      </w:rPr>
    </w:lvl>
    <w:lvl w:ilvl="6" w:tplc="BDBA11D6">
      <w:start w:val="1"/>
      <w:numFmt w:val="bullet"/>
      <w:lvlText w:val=""/>
      <w:lvlJc w:val="left"/>
      <w:pPr>
        <w:ind w:left="5748" w:hanging="360"/>
      </w:pPr>
      <w:rPr>
        <w:rFonts w:ascii="Symbol" w:hAnsi="Symbol" w:hint="default"/>
      </w:rPr>
    </w:lvl>
    <w:lvl w:ilvl="7" w:tplc="B4BE95F0">
      <w:start w:val="1"/>
      <w:numFmt w:val="bullet"/>
      <w:lvlText w:val="o"/>
      <w:lvlJc w:val="left"/>
      <w:pPr>
        <w:ind w:left="6468" w:hanging="360"/>
      </w:pPr>
      <w:rPr>
        <w:rFonts w:ascii="Courier New" w:hAnsi="Courier New" w:hint="default"/>
      </w:rPr>
    </w:lvl>
    <w:lvl w:ilvl="8" w:tplc="A4EEC8CE">
      <w:start w:val="1"/>
      <w:numFmt w:val="bullet"/>
      <w:lvlText w:val=""/>
      <w:lvlJc w:val="left"/>
      <w:pPr>
        <w:ind w:left="7188" w:hanging="360"/>
      </w:pPr>
      <w:rPr>
        <w:rFonts w:ascii="Wingdings" w:hAnsi="Wingdings" w:hint="default"/>
      </w:rPr>
    </w:lvl>
  </w:abstractNum>
  <w:abstractNum w:abstractNumId="47">
    <w:nsid w:val="413E38B0"/>
    <w:multiLevelType w:val="hybridMultilevel"/>
    <w:tmpl w:val="CF10446A"/>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51A2ED7"/>
    <w:multiLevelType w:val="hybridMultilevel"/>
    <w:tmpl w:val="3772915C"/>
    <w:lvl w:ilvl="0" w:tplc="0E36B0D4">
      <w:start w:val="1"/>
      <w:numFmt w:val="bullet"/>
      <w:lvlText w:val=""/>
      <w:lvlJc w:val="left"/>
      <w:pPr>
        <w:ind w:left="720" w:hanging="360"/>
      </w:pPr>
      <w:rPr>
        <w:rFonts w:ascii="Symbol" w:hAnsi="Symbol" w:hint="default"/>
      </w:rPr>
    </w:lvl>
    <w:lvl w:ilvl="1" w:tplc="272AFDEC">
      <w:start w:val="1"/>
      <w:numFmt w:val="bullet"/>
      <w:lvlText w:val="o"/>
      <w:lvlJc w:val="left"/>
      <w:pPr>
        <w:ind w:left="1440" w:hanging="360"/>
      </w:pPr>
      <w:rPr>
        <w:rFonts w:ascii="Courier New" w:hAnsi="Courier New" w:hint="default"/>
      </w:rPr>
    </w:lvl>
    <w:lvl w:ilvl="2" w:tplc="DEE0C506">
      <w:start w:val="1"/>
      <w:numFmt w:val="bullet"/>
      <w:lvlText w:val=""/>
      <w:lvlJc w:val="left"/>
      <w:pPr>
        <w:ind w:left="2160" w:hanging="360"/>
      </w:pPr>
      <w:rPr>
        <w:rFonts w:ascii="Wingdings" w:hAnsi="Wingdings" w:hint="default"/>
      </w:rPr>
    </w:lvl>
    <w:lvl w:ilvl="3" w:tplc="1708E8E2">
      <w:start w:val="1"/>
      <w:numFmt w:val="bullet"/>
      <w:lvlText w:val=""/>
      <w:lvlJc w:val="left"/>
      <w:pPr>
        <w:ind w:left="2880" w:hanging="360"/>
      </w:pPr>
      <w:rPr>
        <w:rFonts w:ascii="Symbol" w:hAnsi="Symbol" w:hint="default"/>
      </w:rPr>
    </w:lvl>
    <w:lvl w:ilvl="4" w:tplc="A5E6F580">
      <w:start w:val="1"/>
      <w:numFmt w:val="bullet"/>
      <w:lvlText w:val="o"/>
      <w:lvlJc w:val="left"/>
      <w:pPr>
        <w:ind w:left="3600" w:hanging="360"/>
      </w:pPr>
      <w:rPr>
        <w:rFonts w:ascii="Courier New" w:hAnsi="Courier New" w:hint="default"/>
      </w:rPr>
    </w:lvl>
    <w:lvl w:ilvl="5" w:tplc="CCD493E8">
      <w:start w:val="1"/>
      <w:numFmt w:val="bullet"/>
      <w:lvlText w:val=""/>
      <w:lvlJc w:val="left"/>
      <w:pPr>
        <w:ind w:left="4320" w:hanging="360"/>
      </w:pPr>
      <w:rPr>
        <w:rFonts w:ascii="Wingdings" w:hAnsi="Wingdings" w:hint="default"/>
      </w:rPr>
    </w:lvl>
    <w:lvl w:ilvl="6" w:tplc="C9566750">
      <w:start w:val="1"/>
      <w:numFmt w:val="bullet"/>
      <w:lvlText w:val=""/>
      <w:lvlJc w:val="left"/>
      <w:pPr>
        <w:ind w:left="5040" w:hanging="360"/>
      </w:pPr>
      <w:rPr>
        <w:rFonts w:ascii="Symbol" w:hAnsi="Symbol" w:hint="default"/>
      </w:rPr>
    </w:lvl>
    <w:lvl w:ilvl="7" w:tplc="C4B87F4C">
      <w:start w:val="1"/>
      <w:numFmt w:val="bullet"/>
      <w:lvlText w:val="o"/>
      <w:lvlJc w:val="left"/>
      <w:pPr>
        <w:ind w:left="5760" w:hanging="360"/>
      </w:pPr>
      <w:rPr>
        <w:rFonts w:ascii="Courier New" w:hAnsi="Courier New" w:hint="default"/>
      </w:rPr>
    </w:lvl>
    <w:lvl w:ilvl="8" w:tplc="1E088412">
      <w:start w:val="1"/>
      <w:numFmt w:val="bullet"/>
      <w:lvlText w:val=""/>
      <w:lvlJc w:val="left"/>
      <w:pPr>
        <w:ind w:left="6480" w:hanging="360"/>
      </w:pPr>
      <w:rPr>
        <w:rFonts w:ascii="Wingdings" w:hAnsi="Wingdings" w:hint="default"/>
      </w:rPr>
    </w:lvl>
  </w:abstractNum>
  <w:abstractNum w:abstractNumId="49">
    <w:nsid w:val="46305EDD"/>
    <w:multiLevelType w:val="hybridMultilevel"/>
    <w:tmpl w:val="18025858"/>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8F827C0"/>
    <w:multiLevelType w:val="hybridMultilevel"/>
    <w:tmpl w:val="496634DC"/>
    <w:lvl w:ilvl="0" w:tplc="56EAE1CC">
      <w:start w:val="1"/>
      <w:numFmt w:val="bullet"/>
      <w:lvlText w:val=""/>
      <w:lvlJc w:val="left"/>
      <w:pPr>
        <w:ind w:left="720" w:hanging="360"/>
      </w:pPr>
      <w:rPr>
        <w:rFonts w:ascii="Symbol" w:hAnsi="Symbol" w:hint="default"/>
      </w:rPr>
    </w:lvl>
    <w:lvl w:ilvl="1" w:tplc="EAEE71B8">
      <w:start w:val="1"/>
      <w:numFmt w:val="bullet"/>
      <w:lvlText w:val="o"/>
      <w:lvlJc w:val="left"/>
      <w:pPr>
        <w:ind w:left="1440" w:hanging="360"/>
      </w:pPr>
      <w:rPr>
        <w:rFonts w:ascii="Courier New" w:hAnsi="Courier New" w:hint="default"/>
      </w:rPr>
    </w:lvl>
    <w:lvl w:ilvl="2" w:tplc="3A52C8E4">
      <w:start w:val="1"/>
      <w:numFmt w:val="bullet"/>
      <w:lvlText w:val=""/>
      <w:lvlJc w:val="left"/>
      <w:pPr>
        <w:ind w:left="2160" w:hanging="360"/>
      </w:pPr>
      <w:rPr>
        <w:rFonts w:ascii="Wingdings" w:hAnsi="Wingdings" w:hint="default"/>
      </w:rPr>
    </w:lvl>
    <w:lvl w:ilvl="3" w:tplc="455C535E">
      <w:start w:val="1"/>
      <w:numFmt w:val="bullet"/>
      <w:lvlText w:val=""/>
      <w:lvlJc w:val="left"/>
      <w:pPr>
        <w:ind w:left="2880" w:hanging="360"/>
      </w:pPr>
      <w:rPr>
        <w:rFonts w:ascii="Symbol" w:hAnsi="Symbol" w:hint="default"/>
      </w:rPr>
    </w:lvl>
    <w:lvl w:ilvl="4" w:tplc="D5DA9ACE">
      <w:start w:val="1"/>
      <w:numFmt w:val="bullet"/>
      <w:lvlText w:val="o"/>
      <w:lvlJc w:val="left"/>
      <w:pPr>
        <w:ind w:left="3600" w:hanging="360"/>
      </w:pPr>
      <w:rPr>
        <w:rFonts w:ascii="Courier New" w:hAnsi="Courier New" w:hint="default"/>
      </w:rPr>
    </w:lvl>
    <w:lvl w:ilvl="5" w:tplc="6D582FB0">
      <w:start w:val="1"/>
      <w:numFmt w:val="bullet"/>
      <w:lvlText w:val=""/>
      <w:lvlJc w:val="left"/>
      <w:pPr>
        <w:ind w:left="4320" w:hanging="360"/>
      </w:pPr>
      <w:rPr>
        <w:rFonts w:ascii="Wingdings" w:hAnsi="Wingdings" w:hint="default"/>
      </w:rPr>
    </w:lvl>
    <w:lvl w:ilvl="6" w:tplc="02FE1AE0">
      <w:start w:val="1"/>
      <w:numFmt w:val="bullet"/>
      <w:lvlText w:val=""/>
      <w:lvlJc w:val="left"/>
      <w:pPr>
        <w:ind w:left="5040" w:hanging="360"/>
      </w:pPr>
      <w:rPr>
        <w:rFonts w:ascii="Symbol" w:hAnsi="Symbol" w:hint="default"/>
      </w:rPr>
    </w:lvl>
    <w:lvl w:ilvl="7" w:tplc="6BD8D5A8">
      <w:start w:val="1"/>
      <w:numFmt w:val="bullet"/>
      <w:lvlText w:val="o"/>
      <w:lvlJc w:val="left"/>
      <w:pPr>
        <w:ind w:left="5760" w:hanging="360"/>
      </w:pPr>
      <w:rPr>
        <w:rFonts w:ascii="Courier New" w:hAnsi="Courier New" w:hint="default"/>
      </w:rPr>
    </w:lvl>
    <w:lvl w:ilvl="8" w:tplc="3418E57A">
      <w:start w:val="1"/>
      <w:numFmt w:val="bullet"/>
      <w:lvlText w:val=""/>
      <w:lvlJc w:val="left"/>
      <w:pPr>
        <w:ind w:left="6480" w:hanging="360"/>
      </w:pPr>
      <w:rPr>
        <w:rFonts w:ascii="Wingdings" w:hAnsi="Wingdings" w:hint="default"/>
      </w:rPr>
    </w:lvl>
  </w:abstractNum>
  <w:abstractNum w:abstractNumId="51">
    <w:nsid w:val="499655CB"/>
    <w:multiLevelType w:val="hybridMultilevel"/>
    <w:tmpl w:val="3AD09E28"/>
    <w:lvl w:ilvl="0" w:tplc="E536DE58">
      <w:start w:val="1"/>
      <w:numFmt w:val="bullet"/>
      <w:lvlText w:val=""/>
      <w:lvlJc w:val="left"/>
      <w:pPr>
        <w:ind w:left="720" w:hanging="360"/>
      </w:pPr>
      <w:rPr>
        <w:rFonts w:ascii="Symbol" w:hAnsi="Symbol" w:hint="default"/>
      </w:rPr>
    </w:lvl>
    <w:lvl w:ilvl="1" w:tplc="9132BC3A">
      <w:start w:val="1"/>
      <w:numFmt w:val="bullet"/>
      <w:lvlText w:val="o"/>
      <w:lvlJc w:val="left"/>
      <w:pPr>
        <w:ind w:left="1440" w:hanging="360"/>
      </w:pPr>
      <w:rPr>
        <w:rFonts w:ascii="Courier New" w:hAnsi="Courier New" w:hint="default"/>
      </w:rPr>
    </w:lvl>
    <w:lvl w:ilvl="2" w:tplc="74E4DAEC">
      <w:start w:val="1"/>
      <w:numFmt w:val="bullet"/>
      <w:lvlText w:val=""/>
      <w:lvlJc w:val="left"/>
      <w:pPr>
        <w:ind w:left="2160" w:hanging="360"/>
      </w:pPr>
      <w:rPr>
        <w:rFonts w:ascii="Wingdings" w:hAnsi="Wingdings" w:hint="default"/>
      </w:rPr>
    </w:lvl>
    <w:lvl w:ilvl="3" w:tplc="11148044">
      <w:start w:val="1"/>
      <w:numFmt w:val="bullet"/>
      <w:lvlText w:val=""/>
      <w:lvlJc w:val="left"/>
      <w:pPr>
        <w:ind w:left="2880" w:hanging="360"/>
      </w:pPr>
      <w:rPr>
        <w:rFonts w:ascii="Symbol" w:hAnsi="Symbol" w:hint="default"/>
      </w:rPr>
    </w:lvl>
    <w:lvl w:ilvl="4" w:tplc="33E65A96">
      <w:start w:val="1"/>
      <w:numFmt w:val="bullet"/>
      <w:lvlText w:val="o"/>
      <w:lvlJc w:val="left"/>
      <w:pPr>
        <w:ind w:left="3600" w:hanging="360"/>
      </w:pPr>
      <w:rPr>
        <w:rFonts w:ascii="Courier New" w:hAnsi="Courier New" w:hint="default"/>
      </w:rPr>
    </w:lvl>
    <w:lvl w:ilvl="5" w:tplc="C3762D3C">
      <w:start w:val="1"/>
      <w:numFmt w:val="bullet"/>
      <w:lvlText w:val=""/>
      <w:lvlJc w:val="left"/>
      <w:pPr>
        <w:ind w:left="4320" w:hanging="360"/>
      </w:pPr>
      <w:rPr>
        <w:rFonts w:ascii="Wingdings" w:hAnsi="Wingdings" w:hint="default"/>
      </w:rPr>
    </w:lvl>
    <w:lvl w:ilvl="6" w:tplc="CC1A9470">
      <w:start w:val="1"/>
      <w:numFmt w:val="bullet"/>
      <w:lvlText w:val=""/>
      <w:lvlJc w:val="left"/>
      <w:pPr>
        <w:ind w:left="5040" w:hanging="360"/>
      </w:pPr>
      <w:rPr>
        <w:rFonts w:ascii="Symbol" w:hAnsi="Symbol" w:hint="default"/>
      </w:rPr>
    </w:lvl>
    <w:lvl w:ilvl="7" w:tplc="2A0EB420">
      <w:start w:val="1"/>
      <w:numFmt w:val="bullet"/>
      <w:lvlText w:val="o"/>
      <w:lvlJc w:val="left"/>
      <w:pPr>
        <w:ind w:left="5760" w:hanging="360"/>
      </w:pPr>
      <w:rPr>
        <w:rFonts w:ascii="Courier New" w:hAnsi="Courier New" w:hint="default"/>
      </w:rPr>
    </w:lvl>
    <w:lvl w:ilvl="8" w:tplc="D878139C">
      <w:start w:val="1"/>
      <w:numFmt w:val="bullet"/>
      <w:lvlText w:val=""/>
      <w:lvlJc w:val="left"/>
      <w:pPr>
        <w:ind w:left="6480" w:hanging="360"/>
      </w:pPr>
      <w:rPr>
        <w:rFonts w:ascii="Wingdings" w:hAnsi="Wingdings" w:hint="default"/>
      </w:rPr>
    </w:lvl>
  </w:abstractNum>
  <w:abstractNum w:abstractNumId="52">
    <w:nsid w:val="4AB12AA1"/>
    <w:multiLevelType w:val="hybridMultilevel"/>
    <w:tmpl w:val="CA26A39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B0D6EC9"/>
    <w:multiLevelType w:val="hybridMultilevel"/>
    <w:tmpl w:val="DFD6B874"/>
    <w:lvl w:ilvl="0" w:tplc="04150017">
      <w:start w:val="1"/>
      <w:numFmt w:val="lowerLetter"/>
      <w:lvlText w:val="%1)"/>
      <w:lvlJc w:val="left"/>
      <w:pPr>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4">
    <w:nsid w:val="4C971527"/>
    <w:multiLevelType w:val="hybridMultilevel"/>
    <w:tmpl w:val="6D4A3496"/>
    <w:lvl w:ilvl="0" w:tplc="FFFFFFFF">
      <w:start w:val="1"/>
      <w:numFmt w:val="bullet"/>
      <w:lvlText w:val=""/>
      <w:lvlJc w:val="left"/>
      <w:pPr>
        <w:ind w:left="644" w:hanging="360"/>
      </w:pPr>
      <w:rPr>
        <w:rFonts w:ascii="Symbol" w:hAnsi="Symbol" w:hint="default"/>
      </w:rPr>
    </w:lvl>
    <w:lvl w:ilvl="1" w:tplc="BC4C6A7C">
      <w:start w:val="1"/>
      <w:numFmt w:val="decimal"/>
      <w:lvlText w:val="%2)"/>
      <w:lvlJc w:val="left"/>
      <w:pPr>
        <w:ind w:left="1514" w:hanging="51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nsid w:val="4F0371D2"/>
    <w:multiLevelType w:val="hybridMultilevel"/>
    <w:tmpl w:val="C09CC0BC"/>
    <w:lvl w:ilvl="0" w:tplc="A3629298">
      <w:start w:val="1"/>
      <w:numFmt w:val="bullet"/>
      <w:lvlText w:val=""/>
      <w:lvlJc w:val="left"/>
      <w:pPr>
        <w:ind w:left="720" w:hanging="360"/>
      </w:pPr>
      <w:rPr>
        <w:rFonts w:ascii="Symbol" w:hAnsi="Symbol" w:hint="default"/>
      </w:rPr>
    </w:lvl>
    <w:lvl w:ilvl="1" w:tplc="4C9A3572">
      <w:start w:val="1"/>
      <w:numFmt w:val="bullet"/>
      <w:lvlText w:val="o"/>
      <w:lvlJc w:val="left"/>
      <w:pPr>
        <w:ind w:left="1440" w:hanging="360"/>
      </w:pPr>
      <w:rPr>
        <w:rFonts w:ascii="Courier New" w:hAnsi="Courier New" w:hint="default"/>
      </w:rPr>
    </w:lvl>
    <w:lvl w:ilvl="2" w:tplc="B8A407B2">
      <w:start w:val="1"/>
      <w:numFmt w:val="bullet"/>
      <w:lvlText w:val=""/>
      <w:lvlJc w:val="left"/>
      <w:pPr>
        <w:ind w:left="2160" w:hanging="360"/>
      </w:pPr>
      <w:rPr>
        <w:rFonts w:ascii="Wingdings" w:hAnsi="Wingdings" w:hint="default"/>
      </w:rPr>
    </w:lvl>
    <w:lvl w:ilvl="3" w:tplc="95C2D63A">
      <w:start w:val="1"/>
      <w:numFmt w:val="bullet"/>
      <w:lvlText w:val=""/>
      <w:lvlJc w:val="left"/>
      <w:pPr>
        <w:ind w:left="2880" w:hanging="360"/>
      </w:pPr>
      <w:rPr>
        <w:rFonts w:ascii="Symbol" w:hAnsi="Symbol" w:hint="default"/>
      </w:rPr>
    </w:lvl>
    <w:lvl w:ilvl="4" w:tplc="FF342428">
      <w:start w:val="1"/>
      <w:numFmt w:val="bullet"/>
      <w:lvlText w:val="o"/>
      <w:lvlJc w:val="left"/>
      <w:pPr>
        <w:ind w:left="3600" w:hanging="360"/>
      </w:pPr>
      <w:rPr>
        <w:rFonts w:ascii="Courier New" w:hAnsi="Courier New" w:hint="default"/>
      </w:rPr>
    </w:lvl>
    <w:lvl w:ilvl="5" w:tplc="6DDC0620">
      <w:start w:val="1"/>
      <w:numFmt w:val="bullet"/>
      <w:lvlText w:val=""/>
      <w:lvlJc w:val="left"/>
      <w:pPr>
        <w:ind w:left="4320" w:hanging="360"/>
      </w:pPr>
      <w:rPr>
        <w:rFonts w:ascii="Wingdings" w:hAnsi="Wingdings" w:hint="default"/>
      </w:rPr>
    </w:lvl>
    <w:lvl w:ilvl="6" w:tplc="48B6BC1E">
      <w:start w:val="1"/>
      <w:numFmt w:val="bullet"/>
      <w:lvlText w:val=""/>
      <w:lvlJc w:val="left"/>
      <w:pPr>
        <w:ind w:left="5040" w:hanging="360"/>
      </w:pPr>
      <w:rPr>
        <w:rFonts w:ascii="Symbol" w:hAnsi="Symbol" w:hint="default"/>
      </w:rPr>
    </w:lvl>
    <w:lvl w:ilvl="7" w:tplc="7B2497B0">
      <w:start w:val="1"/>
      <w:numFmt w:val="bullet"/>
      <w:lvlText w:val="o"/>
      <w:lvlJc w:val="left"/>
      <w:pPr>
        <w:ind w:left="5760" w:hanging="360"/>
      </w:pPr>
      <w:rPr>
        <w:rFonts w:ascii="Courier New" w:hAnsi="Courier New" w:hint="default"/>
      </w:rPr>
    </w:lvl>
    <w:lvl w:ilvl="8" w:tplc="D37E35AC">
      <w:start w:val="1"/>
      <w:numFmt w:val="bullet"/>
      <w:lvlText w:val=""/>
      <w:lvlJc w:val="left"/>
      <w:pPr>
        <w:ind w:left="6480" w:hanging="360"/>
      </w:pPr>
      <w:rPr>
        <w:rFonts w:ascii="Wingdings" w:hAnsi="Wingdings" w:hint="default"/>
      </w:rPr>
    </w:lvl>
  </w:abstractNum>
  <w:abstractNum w:abstractNumId="56">
    <w:nsid w:val="4FDF586F"/>
    <w:multiLevelType w:val="hybridMultilevel"/>
    <w:tmpl w:val="EB8E6C4A"/>
    <w:lvl w:ilvl="0" w:tplc="BAAAA972">
      <w:start w:val="1"/>
      <w:numFmt w:val="bullet"/>
      <w:lvlText w:val=""/>
      <w:lvlJc w:val="left"/>
      <w:pPr>
        <w:ind w:left="720" w:hanging="360"/>
      </w:pPr>
      <w:rPr>
        <w:rFonts w:ascii="Symbol" w:hAnsi="Symbol" w:hint="default"/>
      </w:rPr>
    </w:lvl>
    <w:lvl w:ilvl="1" w:tplc="0AEA214A">
      <w:start w:val="1"/>
      <w:numFmt w:val="bullet"/>
      <w:lvlText w:val="o"/>
      <w:lvlJc w:val="left"/>
      <w:pPr>
        <w:ind w:left="1440" w:hanging="360"/>
      </w:pPr>
      <w:rPr>
        <w:rFonts w:ascii="Courier New" w:hAnsi="Courier New" w:hint="default"/>
      </w:rPr>
    </w:lvl>
    <w:lvl w:ilvl="2" w:tplc="9EEC4250">
      <w:start w:val="1"/>
      <w:numFmt w:val="bullet"/>
      <w:lvlText w:val=""/>
      <w:lvlJc w:val="left"/>
      <w:pPr>
        <w:ind w:left="2160" w:hanging="360"/>
      </w:pPr>
      <w:rPr>
        <w:rFonts w:ascii="Wingdings" w:hAnsi="Wingdings" w:hint="default"/>
      </w:rPr>
    </w:lvl>
    <w:lvl w:ilvl="3" w:tplc="76EA4D04">
      <w:start w:val="1"/>
      <w:numFmt w:val="bullet"/>
      <w:lvlText w:val=""/>
      <w:lvlJc w:val="left"/>
      <w:pPr>
        <w:ind w:left="2880" w:hanging="360"/>
      </w:pPr>
      <w:rPr>
        <w:rFonts w:ascii="Symbol" w:hAnsi="Symbol" w:hint="default"/>
      </w:rPr>
    </w:lvl>
    <w:lvl w:ilvl="4" w:tplc="1A965CC6">
      <w:start w:val="1"/>
      <w:numFmt w:val="bullet"/>
      <w:lvlText w:val="o"/>
      <w:lvlJc w:val="left"/>
      <w:pPr>
        <w:ind w:left="3600" w:hanging="360"/>
      </w:pPr>
      <w:rPr>
        <w:rFonts w:ascii="Courier New" w:hAnsi="Courier New" w:hint="default"/>
      </w:rPr>
    </w:lvl>
    <w:lvl w:ilvl="5" w:tplc="8F7CF9DA">
      <w:start w:val="1"/>
      <w:numFmt w:val="bullet"/>
      <w:lvlText w:val=""/>
      <w:lvlJc w:val="left"/>
      <w:pPr>
        <w:ind w:left="4320" w:hanging="360"/>
      </w:pPr>
      <w:rPr>
        <w:rFonts w:ascii="Wingdings" w:hAnsi="Wingdings" w:hint="default"/>
      </w:rPr>
    </w:lvl>
    <w:lvl w:ilvl="6" w:tplc="AD0E99B8">
      <w:start w:val="1"/>
      <w:numFmt w:val="bullet"/>
      <w:lvlText w:val=""/>
      <w:lvlJc w:val="left"/>
      <w:pPr>
        <w:ind w:left="5040" w:hanging="360"/>
      </w:pPr>
      <w:rPr>
        <w:rFonts w:ascii="Symbol" w:hAnsi="Symbol" w:hint="default"/>
      </w:rPr>
    </w:lvl>
    <w:lvl w:ilvl="7" w:tplc="A18ACECE">
      <w:start w:val="1"/>
      <w:numFmt w:val="bullet"/>
      <w:lvlText w:val="o"/>
      <w:lvlJc w:val="left"/>
      <w:pPr>
        <w:ind w:left="5760" w:hanging="360"/>
      </w:pPr>
      <w:rPr>
        <w:rFonts w:ascii="Courier New" w:hAnsi="Courier New" w:hint="default"/>
      </w:rPr>
    </w:lvl>
    <w:lvl w:ilvl="8" w:tplc="34B21CA2">
      <w:start w:val="1"/>
      <w:numFmt w:val="bullet"/>
      <w:lvlText w:val=""/>
      <w:lvlJc w:val="left"/>
      <w:pPr>
        <w:ind w:left="6480" w:hanging="360"/>
      </w:pPr>
      <w:rPr>
        <w:rFonts w:ascii="Wingdings" w:hAnsi="Wingdings" w:hint="default"/>
      </w:rPr>
    </w:lvl>
  </w:abstractNum>
  <w:abstractNum w:abstractNumId="57">
    <w:nsid w:val="508F3964"/>
    <w:multiLevelType w:val="hybridMultilevel"/>
    <w:tmpl w:val="D0FE415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513936FB"/>
    <w:multiLevelType w:val="hybridMultilevel"/>
    <w:tmpl w:val="DE7CD76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1C131F6"/>
    <w:multiLevelType w:val="hybridMultilevel"/>
    <w:tmpl w:val="A8206176"/>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29902C4"/>
    <w:multiLevelType w:val="hybridMultilevel"/>
    <w:tmpl w:val="A0DA31B6"/>
    <w:lvl w:ilvl="0" w:tplc="5DF8755E">
      <w:start w:val="1"/>
      <w:numFmt w:val="bullet"/>
      <w:lvlText w:val=""/>
      <w:lvlJc w:val="left"/>
      <w:pPr>
        <w:ind w:left="720" w:hanging="360"/>
      </w:pPr>
      <w:rPr>
        <w:rFonts w:ascii="Symbol" w:hAnsi="Symbol" w:hint="default"/>
      </w:rPr>
    </w:lvl>
    <w:lvl w:ilvl="1" w:tplc="FF8C52B2">
      <w:start w:val="1"/>
      <w:numFmt w:val="bullet"/>
      <w:lvlText w:val="o"/>
      <w:lvlJc w:val="left"/>
      <w:pPr>
        <w:ind w:left="1440" w:hanging="360"/>
      </w:pPr>
      <w:rPr>
        <w:rFonts w:ascii="Courier New" w:hAnsi="Courier New" w:hint="default"/>
      </w:rPr>
    </w:lvl>
    <w:lvl w:ilvl="2" w:tplc="D744C996">
      <w:start w:val="1"/>
      <w:numFmt w:val="bullet"/>
      <w:lvlText w:val=""/>
      <w:lvlJc w:val="left"/>
      <w:pPr>
        <w:ind w:left="2160" w:hanging="360"/>
      </w:pPr>
      <w:rPr>
        <w:rFonts w:ascii="Wingdings" w:hAnsi="Wingdings" w:hint="default"/>
      </w:rPr>
    </w:lvl>
    <w:lvl w:ilvl="3" w:tplc="08B8D16E">
      <w:start w:val="1"/>
      <w:numFmt w:val="bullet"/>
      <w:lvlText w:val=""/>
      <w:lvlJc w:val="left"/>
      <w:pPr>
        <w:ind w:left="2880" w:hanging="360"/>
      </w:pPr>
      <w:rPr>
        <w:rFonts w:ascii="Symbol" w:hAnsi="Symbol" w:hint="default"/>
      </w:rPr>
    </w:lvl>
    <w:lvl w:ilvl="4" w:tplc="022CA09E">
      <w:start w:val="1"/>
      <w:numFmt w:val="bullet"/>
      <w:lvlText w:val="o"/>
      <w:lvlJc w:val="left"/>
      <w:pPr>
        <w:ind w:left="3600" w:hanging="360"/>
      </w:pPr>
      <w:rPr>
        <w:rFonts w:ascii="Courier New" w:hAnsi="Courier New" w:hint="default"/>
      </w:rPr>
    </w:lvl>
    <w:lvl w:ilvl="5" w:tplc="43824F1C">
      <w:start w:val="1"/>
      <w:numFmt w:val="bullet"/>
      <w:lvlText w:val=""/>
      <w:lvlJc w:val="left"/>
      <w:pPr>
        <w:ind w:left="4320" w:hanging="360"/>
      </w:pPr>
      <w:rPr>
        <w:rFonts w:ascii="Wingdings" w:hAnsi="Wingdings" w:hint="default"/>
      </w:rPr>
    </w:lvl>
    <w:lvl w:ilvl="6" w:tplc="408A37F2">
      <w:start w:val="1"/>
      <w:numFmt w:val="bullet"/>
      <w:lvlText w:val=""/>
      <w:lvlJc w:val="left"/>
      <w:pPr>
        <w:ind w:left="5040" w:hanging="360"/>
      </w:pPr>
      <w:rPr>
        <w:rFonts w:ascii="Symbol" w:hAnsi="Symbol" w:hint="default"/>
      </w:rPr>
    </w:lvl>
    <w:lvl w:ilvl="7" w:tplc="B2225C50">
      <w:start w:val="1"/>
      <w:numFmt w:val="bullet"/>
      <w:lvlText w:val="o"/>
      <w:lvlJc w:val="left"/>
      <w:pPr>
        <w:ind w:left="5760" w:hanging="360"/>
      </w:pPr>
      <w:rPr>
        <w:rFonts w:ascii="Courier New" w:hAnsi="Courier New" w:hint="default"/>
      </w:rPr>
    </w:lvl>
    <w:lvl w:ilvl="8" w:tplc="015EBB02">
      <w:start w:val="1"/>
      <w:numFmt w:val="bullet"/>
      <w:lvlText w:val=""/>
      <w:lvlJc w:val="left"/>
      <w:pPr>
        <w:ind w:left="6480" w:hanging="360"/>
      </w:pPr>
      <w:rPr>
        <w:rFonts w:ascii="Wingdings" w:hAnsi="Wingdings" w:hint="default"/>
      </w:rPr>
    </w:lvl>
  </w:abstractNum>
  <w:abstractNum w:abstractNumId="61">
    <w:nsid w:val="558230D9"/>
    <w:multiLevelType w:val="hybridMultilevel"/>
    <w:tmpl w:val="5F326E44"/>
    <w:lvl w:ilvl="0" w:tplc="A16E8088">
      <w:start w:val="1"/>
      <w:numFmt w:val="bullet"/>
      <w:lvlText w:val=""/>
      <w:lvlJc w:val="left"/>
      <w:pPr>
        <w:ind w:left="720" w:hanging="360"/>
      </w:pPr>
      <w:rPr>
        <w:rFonts w:ascii="Symbol" w:hAnsi="Symbol" w:hint="default"/>
      </w:rPr>
    </w:lvl>
    <w:lvl w:ilvl="1" w:tplc="785824D6">
      <w:start w:val="1"/>
      <w:numFmt w:val="bullet"/>
      <w:lvlText w:val="o"/>
      <w:lvlJc w:val="left"/>
      <w:pPr>
        <w:ind w:left="1440" w:hanging="360"/>
      </w:pPr>
      <w:rPr>
        <w:rFonts w:ascii="Courier New" w:hAnsi="Courier New" w:hint="default"/>
      </w:rPr>
    </w:lvl>
    <w:lvl w:ilvl="2" w:tplc="7AD24F32">
      <w:start w:val="1"/>
      <w:numFmt w:val="bullet"/>
      <w:lvlText w:val=""/>
      <w:lvlJc w:val="left"/>
      <w:pPr>
        <w:ind w:left="2160" w:hanging="360"/>
      </w:pPr>
      <w:rPr>
        <w:rFonts w:ascii="Wingdings" w:hAnsi="Wingdings" w:hint="default"/>
      </w:rPr>
    </w:lvl>
    <w:lvl w:ilvl="3" w:tplc="857687F6">
      <w:start w:val="1"/>
      <w:numFmt w:val="bullet"/>
      <w:lvlText w:val=""/>
      <w:lvlJc w:val="left"/>
      <w:pPr>
        <w:ind w:left="2880" w:hanging="360"/>
      </w:pPr>
      <w:rPr>
        <w:rFonts w:ascii="Symbol" w:hAnsi="Symbol" w:hint="default"/>
      </w:rPr>
    </w:lvl>
    <w:lvl w:ilvl="4" w:tplc="51FA70DC">
      <w:start w:val="1"/>
      <w:numFmt w:val="bullet"/>
      <w:lvlText w:val="o"/>
      <w:lvlJc w:val="left"/>
      <w:pPr>
        <w:ind w:left="3600" w:hanging="360"/>
      </w:pPr>
      <w:rPr>
        <w:rFonts w:ascii="Courier New" w:hAnsi="Courier New" w:hint="default"/>
      </w:rPr>
    </w:lvl>
    <w:lvl w:ilvl="5" w:tplc="1B04A75E">
      <w:start w:val="1"/>
      <w:numFmt w:val="bullet"/>
      <w:lvlText w:val=""/>
      <w:lvlJc w:val="left"/>
      <w:pPr>
        <w:ind w:left="4320" w:hanging="360"/>
      </w:pPr>
      <w:rPr>
        <w:rFonts w:ascii="Wingdings" w:hAnsi="Wingdings" w:hint="default"/>
      </w:rPr>
    </w:lvl>
    <w:lvl w:ilvl="6" w:tplc="3FAE5754">
      <w:start w:val="1"/>
      <w:numFmt w:val="bullet"/>
      <w:lvlText w:val=""/>
      <w:lvlJc w:val="left"/>
      <w:pPr>
        <w:ind w:left="5040" w:hanging="360"/>
      </w:pPr>
      <w:rPr>
        <w:rFonts w:ascii="Symbol" w:hAnsi="Symbol" w:hint="default"/>
      </w:rPr>
    </w:lvl>
    <w:lvl w:ilvl="7" w:tplc="B9826802">
      <w:start w:val="1"/>
      <w:numFmt w:val="bullet"/>
      <w:lvlText w:val="o"/>
      <w:lvlJc w:val="left"/>
      <w:pPr>
        <w:ind w:left="5760" w:hanging="360"/>
      </w:pPr>
      <w:rPr>
        <w:rFonts w:ascii="Courier New" w:hAnsi="Courier New" w:hint="default"/>
      </w:rPr>
    </w:lvl>
    <w:lvl w:ilvl="8" w:tplc="7F9603E8">
      <w:start w:val="1"/>
      <w:numFmt w:val="bullet"/>
      <w:lvlText w:val=""/>
      <w:lvlJc w:val="left"/>
      <w:pPr>
        <w:ind w:left="6480" w:hanging="360"/>
      </w:pPr>
      <w:rPr>
        <w:rFonts w:ascii="Wingdings" w:hAnsi="Wingdings" w:hint="default"/>
      </w:rPr>
    </w:lvl>
  </w:abstractNum>
  <w:abstractNum w:abstractNumId="62">
    <w:nsid w:val="55B952B7"/>
    <w:multiLevelType w:val="hybridMultilevel"/>
    <w:tmpl w:val="8BBE6EBA"/>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5FA0EAB"/>
    <w:multiLevelType w:val="hybridMultilevel"/>
    <w:tmpl w:val="BFE0A858"/>
    <w:lvl w:ilvl="0" w:tplc="E29AB8E0">
      <w:start w:val="1"/>
      <w:numFmt w:val="bullet"/>
      <w:lvlText w:val=""/>
      <w:lvlJc w:val="left"/>
      <w:pPr>
        <w:ind w:left="720" w:hanging="360"/>
      </w:pPr>
      <w:rPr>
        <w:rFonts w:ascii="Symbol" w:hAnsi="Symbol" w:hint="default"/>
      </w:rPr>
    </w:lvl>
    <w:lvl w:ilvl="1" w:tplc="1332C3BA">
      <w:start w:val="1"/>
      <w:numFmt w:val="bullet"/>
      <w:lvlText w:val="o"/>
      <w:lvlJc w:val="left"/>
      <w:pPr>
        <w:ind w:left="1440" w:hanging="360"/>
      </w:pPr>
      <w:rPr>
        <w:rFonts w:ascii="Courier New" w:hAnsi="Courier New" w:hint="default"/>
      </w:rPr>
    </w:lvl>
    <w:lvl w:ilvl="2" w:tplc="73B0982C">
      <w:start w:val="1"/>
      <w:numFmt w:val="bullet"/>
      <w:lvlText w:val=""/>
      <w:lvlJc w:val="left"/>
      <w:pPr>
        <w:ind w:left="2160" w:hanging="360"/>
      </w:pPr>
      <w:rPr>
        <w:rFonts w:ascii="Wingdings" w:hAnsi="Wingdings" w:hint="default"/>
      </w:rPr>
    </w:lvl>
    <w:lvl w:ilvl="3" w:tplc="49B646E0">
      <w:start w:val="1"/>
      <w:numFmt w:val="bullet"/>
      <w:lvlText w:val=""/>
      <w:lvlJc w:val="left"/>
      <w:pPr>
        <w:ind w:left="2880" w:hanging="360"/>
      </w:pPr>
      <w:rPr>
        <w:rFonts w:ascii="Symbol" w:hAnsi="Symbol" w:hint="default"/>
      </w:rPr>
    </w:lvl>
    <w:lvl w:ilvl="4" w:tplc="752EDB86">
      <w:start w:val="1"/>
      <w:numFmt w:val="bullet"/>
      <w:lvlText w:val="o"/>
      <w:lvlJc w:val="left"/>
      <w:pPr>
        <w:ind w:left="3600" w:hanging="360"/>
      </w:pPr>
      <w:rPr>
        <w:rFonts w:ascii="Courier New" w:hAnsi="Courier New" w:hint="default"/>
      </w:rPr>
    </w:lvl>
    <w:lvl w:ilvl="5" w:tplc="33104852">
      <w:start w:val="1"/>
      <w:numFmt w:val="bullet"/>
      <w:lvlText w:val=""/>
      <w:lvlJc w:val="left"/>
      <w:pPr>
        <w:ind w:left="4320" w:hanging="360"/>
      </w:pPr>
      <w:rPr>
        <w:rFonts w:ascii="Wingdings" w:hAnsi="Wingdings" w:hint="default"/>
      </w:rPr>
    </w:lvl>
    <w:lvl w:ilvl="6" w:tplc="D5B2B820">
      <w:start w:val="1"/>
      <w:numFmt w:val="bullet"/>
      <w:lvlText w:val=""/>
      <w:lvlJc w:val="left"/>
      <w:pPr>
        <w:ind w:left="5040" w:hanging="360"/>
      </w:pPr>
      <w:rPr>
        <w:rFonts w:ascii="Symbol" w:hAnsi="Symbol" w:hint="default"/>
      </w:rPr>
    </w:lvl>
    <w:lvl w:ilvl="7" w:tplc="2EDC085E">
      <w:start w:val="1"/>
      <w:numFmt w:val="bullet"/>
      <w:lvlText w:val="o"/>
      <w:lvlJc w:val="left"/>
      <w:pPr>
        <w:ind w:left="5760" w:hanging="360"/>
      </w:pPr>
      <w:rPr>
        <w:rFonts w:ascii="Courier New" w:hAnsi="Courier New" w:hint="default"/>
      </w:rPr>
    </w:lvl>
    <w:lvl w:ilvl="8" w:tplc="7752ECA8">
      <w:start w:val="1"/>
      <w:numFmt w:val="bullet"/>
      <w:lvlText w:val=""/>
      <w:lvlJc w:val="left"/>
      <w:pPr>
        <w:ind w:left="6480" w:hanging="360"/>
      </w:pPr>
      <w:rPr>
        <w:rFonts w:ascii="Wingdings" w:hAnsi="Wingdings" w:hint="default"/>
      </w:rPr>
    </w:lvl>
  </w:abstractNum>
  <w:abstractNum w:abstractNumId="64">
    <w:nsid w:val="55FE40E0"/>
    <w:multiLevelType w:val="hybridMultilevel"/>
    <w:tmpl w:val="4BB25892"/>
    <w:lvl w:ilvl="0" w:tplc="2BD2690C">
      <w:start w:val="1"/>
      <w:numFmt w:val="bullet"/>
      <w:lvlText w:val=""/>
      <w:lvlJc w:val="left"/>
      <w:pPr>
        <w:ind w:left="720" w:hanging="360"/>
      </w:pPr>
      <w:rPr>
        <w:rFonts w:ascii="Symbol" w:hAnsi="Symbol" w:hint="default"/>
      </w:rPr>
    </w:lvl>
    <w:lvl w:ilvl="1" w:tplc="5FFCE1BE">
      <w:start w:val="1"/>
      <w:numFmt w:val="bullet"/>
      <w:lvlText w:val=""/>
      <w:lvlJc w:val="left"/>
      <w:pPr>
        <w:ind w:left="1440" w:hanging="360"/>
      </w:pPr>
      <w:rPr>
        <w:rFonts w:ascii="Symbol" w:hAnsi="Symbol" w:hint="default"/>
      </w:rPr>
    </w:lvl>
    <w:lvl w:ilvl="2" w:tplc="D6900252">
      <w:start w:val="1"/>
      <w:numFmt w:val="bullet"/>
      <w:lvlText w:val=""/>
      <w:lvlJc w:val="left"/>
      <w:pPr>
        <w:ind w:left="2160" w:hanging="360"/>
      </w:pPr>
      <w:rPr>
        <w:rFonts w:ascii="Wingdings" w:hAnsi="Wingdings" w:hint="default"/>
      </w:rPr>
    </w:lvl>
    <w:lvl w:ilvl="3" w:tplc="4FC6F050">
      <w:start w:val="1"/>
      <w:numFmt w:val="bullet"/>
      <w:lvlText w:val=""/>
      <w:lvlJc w:val="left"/>
      <w:pPr>
        <w:ind w:left="2880" w:hanging="360"/>
      </w:pPr>
      <w:rPr>
        <w:rFonts w:ascii="Symbol" w:hAnsi="Symbol" w:hint="default"/>
      </w:rPr>
    </w:lvl>
    <w:lvl w:ilvl="4" w:tplc="B3729B34">
      <w:start w:val="1"/>
      <w:numFmt w:val="bullet"/>
      <w:lvlText w:val="o"/>
      <w:lvlJc w:val="left"/>
      <w:pPr>
        <w:ind w:left="3600" w:hanging="360"/>
      </w:pPr>
      <w:rPr>
        <w:rFonts w:ascii="Courier New" w:hAnsi="Courier New" w:hint="default"/>
      </w:rPr>
    </w:lvl>
    <w:lvl w:ilvl="5" w:tplc="86AACED2">
      <w:start w:val="1"/>
      <w:numFmt w:val="bullet"/>
      <w:lvlText w:val=""/>
      <w:lvlJc w:val="left"/>
      <w:pPr>
        <w:ind w:left="4320" w:hanging="360"/>
      </w:pPr>
      <w:rPr>
        <w:rFonts w:ascii="Wingdings" w:hAnsi="Wingdings" w:hint="default"/>
      </w:rPr>
    </w:lvl>
    <w:lvl w:ilvl="6" w:tplc="CBD8BA4C">
      <w:start w:val="1"/>
      <w:numFmt w:val="bullet"/>
      <w:lvlText w:val=""/>
      <w:lvlJc w:val="left"/>
      <w:pPr>
        <w:ind w:left="5040" w:hanging="360"/>
      </w:pPr>
      <w:rPr>
        <w:rFonts w:ascii="Symbol" w:hAnsi="Symbol" w:hint="default"/>
      </w:rPr>
    </w:lvl>
    <w:lvl w:ilvl="7" w:tplc="9CC49DE8">
      <w:start w:val="1"/>
      <w:numFmt w:val="bullet"/>
      <w:lvlText w:val="o"/>
      <w:lvlJc w:val="left"/>
      <w:pPr>
        <w:ind w:left="5760" w:hanging="360"/>
      </w:pPr>
      <w:rPr>
        <w:rFonts w:ascii="Courier New" w:hAnsi="Courier New" w:hint="default"/>
      </w:rPr>
    </w:lvl>
    <w:lvl w:ilvl="8" w:tplc="787C9D26">
      <w:start w:val="1"/>
      <w:numFmt w:val="bullet"/>
      <w:lvlText w:val=""/>
      <w:lvlJc w:val="left"/>
      <w:pPr>
        <w:ind w:left="6480" w:hanging="360"/>
      </w:pPr>
      <w:rPr>
        <w:rFonts w:ascii="Wingdings" w:hAnsi="Wingdings" w:hint="default"/>
      </w:rPr>
    </w:lvl>
  </w:abstractNum>
  <w:abstractNum w:abstractNumId="65">
    <w:nsid w:val="56536C80"/>
    <w:multiLevelType w:val="hybridMultilevel"/>
    <w:tmpl w:val="7AB4EAB8"/>
    <w:lvl w:ilvl="0" w:tplc="FFFFFFFF">
      <w:start w:val="1"/>
      <w:numFmt w:val="bullet"/>
      <w:lvlText w:val=""/>
      <w:lvlJc w:val="left"/>
      <w:pPr>
        <w:ind w:left="720" w:hanging="360"/>
      </w:pPr>
      <w:rPr>
        <w:rFonts w:ascii="Symbol" w:hAnsi="Symbol" w:hint="default"/>
      </w:rPr>
    </w:lvl>
    <w:lvl w:ilvl="1" w:tplc="D1E498EC">
      <w:start w:val="1"/>
      <w:numFmt w:val="bullet"/>
      <w:lvlText w:val="o"/>
      <w:lvlJc w:val="left"/>
      <w:pPr>
        <w:ind w:left="1440" w:hanging="360"/>
      </w:pPr>
      <w:rPr>
        <w:rFonts w:ascii="Courier New" w:hAnsi="Courier New" w:hint="default"/>
      </w:rPr>
    </w:lvl>
    <w:lvl w:ilvl="2" w:tplc="3F54C774">
      <w:start w:val="1"/>
      <w:numFmt w:val="bullet"/>
      <w:lvlText w:val=""/>
      <w:lvlJc w:val="left"/>
      <w:pPr>
        <w:ind w:left="2160" w:hanging="360"/>
      </w:pPr>
      <w:rPr>
        <w:rFonts w:ascii="Wingdings" w:hAnsi="Wingdings" w:hint="default"/>
      </w:rPr>
    </w:lvl>
    <w:lvl w:ilvl="3" w:tplc="2B304856">
      <w:start w:val="1"/>
      <w:numFmt w:val="bullet"/>
      <w:lvlText w:val=""/>
      <w:lvlJc w:val="left"/>
      <w:pPr>
        <w:ind w:left="2880" w:hanging="360"/>
      </w:pPr>
      <w:rPr>
        <w:rFonts w:ascii="Symbol" w:hAnsi="Symbol" w:hint="default"/>
      </w:rPr>
    </w:lvl>
    <w:lvl w:ilvl="4" w:tplc="633C8292">
      <w:start w:val="1"/>
      <w:numFmt w:val="bullet"/>
      <w:lvlText w:val="o"/>
      <w:lvlJc w:val="left"/>
      <w:pPr>
        <w:ind w:left="3600" w:hanging="360"/>
      </w:pPr>
      <w:rPr>
        <w:rFonts w:ascii="Courier New" w:hAnsi="Courier New" w:hint="default"/>
      </w:rPr>
    </w:lvl>
    <w:lvl w:ilvl="5" w:tplc="9F9CAE66">
      <w:start w:val="1"/>
      <w:numFmt w:val="bullet"/>
      <w:lvlText w:val=""/>
      <w:lvlJc w:val="left"/>
      <w:pPr>
        <w:ind w:left="4320" w:hanging="360"/>
      </w:pPr>
      <w:rPr>
        <w:rFonts w:ascii="Wingdings" w:hAnsi="Wingdings" w:hint="default"/>
      </w:rPr>
    </w:lvl>
    <w:lvl w:ilvl="6" w:tplc="19D2E922">
      <w:start w:val="1"/>
      <w:numFmt w:val="bullet"/>
      <w:lvlText w:val=""/>
      <w:lvlJc w:val="left"/>
      <w:pPr>
        <w:ind w:left="5040" w:hanging="360"/>
      </w:pPr>
      <w:rPr>
        <w:rFonts w:ascii="Symbol" w:hAnsi="Symbol" w:hint="default"/>
      </w:rPr>
    </w:lvl>
    <w:lvl w:ilvl="7" w:tplc="6B725144">
      <w:start w:val="1"/>
      <w:numFmt w:val="bullet"/>
      <w:lvlText w:val="o"/>
      <w:lvlJc w:val="left"/>
      <w:pPr>
        <w:ind w:left="5760" w:hanging="360"/>
      </w:pPr>
      <w:rPr>
        <w:rFonts w:ascii="Courier New" w:hAnsi="Courier New" w:hint="default"/>
      </w:rPr>
    </w:lvl>
    <w:lvl w:ilvl="8" w:tplc="2E46C10C">
      <w:start w:val="1"/>
      <w:numFmt w:val="bullet"/>
      <w:lvlText w:val=""/>
      <w:lvlJc w:val="left"/>
      <w:pPr>
        <w:ind w:left="6480" w:hanging="360"/>
      </w:pPr>
      <w:rPr>
        <w:rFonts w:ascii="Wingdings" w:hAnsi="Wingdings" w:hint="default"/>
      </w:rPr>
    </w:lvl>
  </w:abstractNum>
  <w:abstractNum w:abstractNumId="66">
    <w:nsid w:val="5E010453"/>
    <w:multiLevelType w:val="hybridMultilevel"/>
    <w:tmpl w:val="3CE81BF6"/>
    <w:lvl w:ilvl="0" w:tplc="FD541220">
      <w:start w:val="1"/>
      <w:numFmt w:val="bullet"/>
      <w:lvlText w:val=""/>
      <w:lvlJc w:val="left"/>
      <w:pPr>
        <w:ind w:left="1428" w:hanging="360"/>
      </w:pPr>
      <w:rPr>
        <w:rFonts w:ascii="Symbol" w:hAnsi="Symbol" w:hint="default"/>
      </w:rPr>
    </w:lvl>
    <w:lvl w:ilvl="1" w:tplc="D3723E68">
      <w:start w:val="1"/>
      <w:numFmt w:val="bullet"/>
      <w:lvlText w:val="o"/>
      <w:lvlJc w:val="left"/>
      <w:pPr>
        <w:ind w:left="2148" w:hanging="360"/>
      </w:pPr>
      <w:rPr>
        <w:rFonts w:ascii="Courier New" w:hAnsi="Courier New" w:hint="default"/>
      </w:rPr>
    </w:lvl>
    <w:lvl w:ilvl="2" w:tplc="667E48D6">
      <w:start w:val="1"/>
      <w:numFmt w:val="bullet"/>
      <w:lvlText w:val=""/>
      <w:lvlJc w:val="left"/>
      <w:pPr>
        <w:ind w:left="2868" w:hanging="360"/>
      </w:pPr>
      <w:rPr>
        <w:rFonts w:ascii="Wingdings" w:hAnsi="Wingdings" w:hint="default"/>
      </w:rPr>
    </w:lvl>
    <w:lvl w:ilvl="3" w:tplc="8E946A70">
      <w:start w:val="1"/>
      <w:numFmt w:val="bullet"/>
      <w:lvlText w:val=""/>
      <w:lvlJc w:val="left"/>
      <w:pPr>
        <w:ind w:left="3588" w:hanging="360"/>
      </w:pPr>
      <w:rPr>
        <w:rFonts w:ascii="Symbol" w:hAnsi="Symbol" w:hint="default"/>
      </w:rPr>
    </w:lvl>
    <w:lvl w:ilvl="4" w:tplc="A84AA05E">
      <w:start w:val="1"/>
      <w:numFmt w:val="bullet"/>
      <w:lvlText w:val="o"/>
      <w:lvlJc w:val="left"/>
      <w:pPr>
        <w:ind w:left="4308" w:hanging="360"/>
      </w:pPr>
      <w:rPr>
        <w:rFonts w:ascii="Courier New" w:hAnsi="Courier New" w:hint="default"/>
      </w:rPr>
    </w:lvl>
    <w:lvl w:ilvl="5" w:tplc="E1FAED26">
      <w:start w:val="1"/>
      <w:numFmt w:val="bullet"/>
      <w:lvlText w:val=""/>
      <w:lvlJc w:val="left"/>
      <w:pPr>
        <w:ind w:left="5028" w:hanging="360"/>
      </w:pPr>
      <w:rPr>
        <w:rFonts w:ascii="Wingdings" w:hAnsi="Wingdings" w:hint="default"/>
      </w:rPr>
    </w:lvl>
    <w:lvl w:ilvl="6" w:tplc="7E8406C2">
      <w:start w:val="1"/>
      <w:numFmt w:val="bullet"/>
      <w:lvlText w:val=""/>
      <w:lvlJc w:val="left"/>
      <w:pPr>
        <w:ind w:left="5748" w:hanging="360"/>
      </w:pPr>
      <w:rPr>
        <w:rFonts w:ascii="Symbol" w:hAnsi="Symbol" w:hint="default"/>
      </w:rPr>
    </w:lvl>
    <w:lvl w:ilvl="7" w:tplc="7B2CC6D6">
      <w:start w:val="1"/>
      <w:numFmt w:val="bullet"/>
      <w:lvlText w:val="o"/>
      <w:lvlJc w:val="left"/>
      <w:pPr>
        <w:ind w:left="6468" w:hanging="360"/>
      </w:pPr>
      <w:rPr>
        <w:rFonts w:ascii="Courier New" w:hAnsi="Courier New" w:hint="default"/>
      </w:rPr>
    </w:lvl>
    <w:lvl w:ilvl="8" w:tplc="B7C213B6">
      <w:start w:val="1"/>
      <w:numFmt w:val="bullet"/>
      <w:lvlText w:val=""/>
      <w:lvlJc w:val="left"/>
      <w:pPr>
        <w:ind w:left="7188" w:hanging="360"/>
      </w:pPr>
      <w:rPr>
        <w:rFonts w:ascii="Wingdings" w:hAnsi="Wingdings" w:hint="default"/>
      </w:rPr>
    </w:lvl>
  </w:abstractNum>
  <w:abstractNum w:abstractNumId="67">
    <w:nsid w:val="611B257D"/>
    <w:multiLevelType w:val="hybridMultilevel"/>
    <w:tmpl w:val="3F1C7A5E"/>
    <w:lvl w:ilvl="0" w:tplc="AC9C7BA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8">
    <w:nsid w:val="62C621EE"/>
    <w:multiLevelType w:val="hybridMultilevel"/>
    <w:tmpl w:val="CCC8976E"/>
    <w:lvl w:ilvl="0" w:tplc="CFE29906">
      <w:start w:val="1"/>
      <w:numFmt w:val="bullet"/>
      <w:lvlText w:val=""/>
      <w:lvlJc w:val="left"/>
      <w:pPr>
        <w:ind w:left="720" w:hanging="360"/>
      </w:pPr>
      <w:rPr>
        <w:rFonts w:ascii="Symbol" w:hAnsi="Symbol" w:hint="default"/>
      </w:rPr>
    </w:lvl>
    <w:lvl w:ilvl="1" w:tplc="17A451A8">
      <w:start w:val="1"/>
      <w:numFmt w:val="bullet"/>
      <w:lvlText w:val="o"/>
      <w:lvlJc w:val="left"/>
      <w:pPr>
        <w:ind w:left="1440" w:hanging="360"/>
      </w:pPr>
      <w:rPr>
        <w:rFonts w:ascii="Courier New" w:hAnsi="Courier New" w:hint="default"/>
      </w:rPr>
    </w:lvl>
    <w:lvl w:ilvl="2" w:tplc="EBC6CBF4">
      <w:start w:val="1"/>
      <w:numFmt w:val="bullet"/>
      <w:lvlText w:val=""/>
      <w:lvlJc w:val="left"/>
      <w:pPr>
        <w:ind w:left="2160" w:hanging="360"/>
      </w:pPr>
      <w:rPr>
        <w:rFonts w:ascii="Wingdings" w:hAnsi="Wingdings" w:hint="default"/>
      </w:rPr>
    </w:lvl>
    <w:lvl w:ilvl="3" w:tplc="F2624DF4">
      <w:start w:val="1"/>
      <w:numFmt w:val="bullet"/>
      <w:lvlText w:val=""/>
      <w:lvlJc w:val="left"/>
      <w:pPr>
        <w:ind w:left="2880" w:hanging="360"/>
      </w:pPr>
      <w:rPr>
        <w:rFonts w:ascii="Symbol" w:hAnsi="Symbol" w:hint="default"/>
      </w:rPr>
    </w:lvl>
    <w:lvl w:ilvl="4" w:tplc="12BE4F24">
      <w:start w:val="1"/>
      <w:numFmt w:val="bullet"/>
      <w:lvlText w:val="o"/>
      <w:lvlJc w:val="left"/>
      <w:pPr>
        <w:ind w:left="3600" w:hanging="360"/>
      </w:pPr>
      <w:rPr>
        <w:rFonts w:ascii="Courier New" w:hAnsi="Courier New" w:hint="default"/>
      </w:rPr>
    </w:lvl>
    <w:lvl w:ilvl="5" w:tplc="7F88F5CA">
      <w:start w:val="1"/>
      <w:numFmt w:val="bullet"/>
      <w:lvlText w:val=""/>
      <w:lvlJc w:val="left"/>
      <w:pPr>
        <w:ind w:left="4320" w:hanging="360"/>
      </w:pPr>
      <w:rPr>
        <w:rFonts w:ascii="Wingdings" w:hAnsi="Wingdings" w:hint="default"/>
      </w:rPr>
    </w:lvl>
    <w:lvl w:ilvl="6" w:tplc="E92CCE66">
      <w:start w:val="1"/>
      <w:numFmt w:val="bullet"/>
      <w:lvlText w:val=""/>
      <w:lvlJc w:val="left"/>
      <w:pPr>
        <w:ind w:left="5040" w:hanging="360"/>
      </w:pPr>
      <w:rPr>
        <w:rFonts w:ascii="Symbol" w:hAnsi="Symbol" w:hint="default"/>
      </w:rPr>
    </w:lvl>
    <w:lvl w:ilvl="7" w:tplc="C9288BBE">
      <w:start w:val="1"/>
      <w:numFmt w:val="bullet"/>
      <w:lvlText w:val="o"/>
      <w:lvlJc w:val="left"/>
      <w:pPr>
        <w:ind w:left="5760" w:hanging="360"/>
      </w:pPr>
      <w:rPr>
        <w:rFonts w:ascii="Courier New" w:hAnsi="Courier New" w:hint="default"/>
      </w:rPr>
    </w:lvl>
    <w:lvl w:ilvl="8" w:tplc="89341108">
      <w:start w:val="1"/>
      <w:numFmt w:val="bullet"/>
      <w:lvlText w:val=""/>
      <w:lvlJc w:val="left"/>
      <w:pPr>
        <w:ind w:left="6480" w:hanging="360"/>
      </w:pPr>
      <w:rPr>
        <w:rFonts w:ascii="Wingdings" w:hAnsi="Wingdings" w:hint="default"/>
      </w:rPr>
    </w:lvl>
  </w:abstractNum>
  <w:abstractNum w:abstractNumId="69">
    <w:nsid w:val="63DF298A"/>
    <w:multiLevelType w:val="hybridMultilevel"/>
    <w:tmpl w:val="7FD22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4E32DF9"/>
    <w:multiLevelType w:val="hybridMultilevel"/>
    <w:tmpl w:val="B8DA074E"/>
    <w:lvl w:ilvl="0" w:tplc="81D41F88">
      <w:start w:val="1"/>
      <w:numFmt w:val="bullet"/>
      <w:lvlText w:val=""/>
      <w:lvlJc w:val="left"/>
      <w:pPr>
        <w:ind w:left="720" w:hanging="360"/>
      </w:pPr>
      <w:rPr>
        <w:rFonts w:ascii="Symbol" w:hAnsi="Symbol" w:hint="default"/>
      </w:rPr>
    </w:lvl>
    <w:lvl w:ilvl="1" w:tplc="ED28B6BC">
      <w:start w:val="1"/>
      <w:numFmt w:val="bullet"/>
      <w:lvlText w:val="o"/>
      <w:lvlJc w:val="left"/>
      <w:pPr>
        <w:ind w:left="1440" w:hanging="360"/>
      </w:pPr>
      <w:rPr>
        <w:rFonts w:ascii="Courier New" w:hAnsi="Courier New" w:hint="default"/>
      </w:rPr>
    </w:lvl>
    <w:lvl w:ilvl="2" w:tplc="ED882ABA">
      <w:start w:val="1"/>
      <w:numFmt w:val="bullet"/>
      <w:lvlText w:val=""/>
      <w:lvlJc w:val="left"/>
      <w:pPr>
        <w:ind w:left="2160" w:hanging="360"/>
      </w:pPr>
      <w:rPr>
        <w:rFonts w:ascii="Wingdings" w:hAnsi="Wingdings" w:hint="default"/>
      </w:rPr>
    </w:lvl>
    <w:lvl w:ilvl="3" w:tplc="65DAEE34">
      <w:start w:val="1"/>
      <w:numFmt w:val="bullet"/>
      <w:lvlText w:val=""/>
      <w:lvlJc w:val="left"/>
      <w:pPr>
        <w:ind w:left="2880" w:hanging="360"/>
      </w:pPr>
      <w:rPr>
        <w:rFonts w:ascii="Symbol" w:hAnsi="Symbol" w:hint="default"/>
      </w:rPr>
    </w:lvl>
    <w:lvl w:ilvl="4" w:tplc="DF9C21FA">
      <w:start w:val="1"/>
      <w:numFmt w:val="bullet"/>
      <w:lvlText w:val="o"/>
      <w:lvlJc w:val="left"/>
      <w:pPr>
        <w:ind w:left="3600" w:hanging="360"/>
      </w:pPr>
      <w:rPr>
        <w:rFonts w:ascii="Courier New" w:hAnsi="Courier New" w:hint="default"/>
      </w:rPr>
    </w:lvl>
    <w:lvl w:ilvl="5" w:tplc="F6500F28">
      <w:start w:val="1"/>
      <w:numFmt w:val="bullet"/>
      <w:lvlText w:val=""/>
      <w:lvlJc w:val="left"/>
      <w:pPr>
        <w:ind w:left="4320" w:hanging="360"/>
      </w:pPr>
      <w:rPr>
        <w:rFonts w:ascii="Wingdings" w:hAnsi="Wingdings" w:hint="default"/>
      </w:rPr>
    </w:lvl>
    <w:lvl w:ilvl="6" w:tplc="BA887154">
      <w:start w:val="1"/>
      <w:numFmt w:val="bullet"/>
      <w:lvlText w:val=""/>
      <w:lvlJc w:val="left"/>
      <w:pPr>
        <w:ind w:left="5040" w:hanging="360"/>
      </w:pPr>
      <w:rPr>
        <w:rFonts w:ascii="Symbol" w:hAnsi="Symbol" w:hint="default"/>
      </w:rPr>
    </w:lvl>
    <w:lvl w:ilvl="7" w:tplc="181A0DA4">
      <w:start w:val="1"/>
      <w:numFmt w:val="bullet"/>
      <w:lvlText w:val="o"/>
      <w:lvlJc w:val="left"/>
      <w:pPr>
        <w:ind w:left="5760" w:hanging="360"/>
      </w:pPr>
      <w:rPr>
        <w:rFonts w:ascii="Courier New" w:hAnsi="Courier New" w:hint="default"/>
      </w:rPr>
    </w:lvl>
    <w:lvl w:ilvl="8" w:tplc="AC84F09C">
      <w:start w:val="1"/>
      <w:numFmt w:val="bullet"/>
      <w:lvlText w:val=""/>
      <w:lvlJc w:val="left"/>
      <w:pPr>
        <w:ind w:left="6480" w:hanging="360"/>
      </w:pPr>
      <w:rPr>
        <w:rFonts w:ascii="Wingdings" w:hAnsi="Wingdings" w:hint="default"/>
      </w:rPr>
    </w:lvl>
  </w:abstractNum>
  <w:abstractNum w:abstractNumId="71">
    <w:nsid w:val="65153367"/>
    <w:multiLevelType w:val="hybridMultilevel"/>
    <w:tmpl w:val="D7F08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5234255"/>
    <w:multiLevelType w:val="hybridMultilevel"/>
    <w:tmpl w:val="0CCA0EA4"/>
    <w:lvl w:ilvl="0" w:tplc="2506DBFC">
      <w:start w:val="1"/>
      <w:numFmt w:val="bullet"/>
      <w:lvlText w:val=""/>
      <w:lvlJc w:val="left"/>
      <w:pPr>
        <w:ind w:left="720" w:hanging="360"/>
      </w:pPr>
      <w:rPr>
        <w:rFonts w:ascii="Symbol" w:hAnsi="Symbol" w:hint="default"/>
      </w:rPr>
    </w:lvl>
    <w:lvl w:ilvl="1" w:tplc="D7E29AE0">
      <w:start w:val="1"/>
      <w:numFmt w:val="bullet"/>
      <w:lvlText w:val="o"/>
      <w:lvlJc w:val="left"/>
      <w:pPr>
        <w:ind w:left="1440" w:hanging="360"/>
      </w:pPr>
      <w:rPr>
        <w:rFonts w:ascii="Courier New" w:hAnsi="Courier New" w:hint="default"/>
      </w:rPr>
    </w:lvl>
    <w:lvl w:ilvl="2" w:tplc="07D24774">
      <w:start w:val="1"/>
      <w:numFmt w:val="bullet"/>
      <w:lvlText w:val=""/>
      <w:lvlJc w:val="left"/>
      <w:pPr>
        <w:ind w:left="2160" w:hanging="360"/>
      </w:pPr>
      <w:rPr>
        <w:rFonts w:ascii="Wingdings" w:hAnsi="Wingdings" w:hint="default"/>
      </w:rPr>
    </w:lvl>
    <w:lvl w:ilvl="3" w:tplc="8AC8A1D4">
      <w:start w:val="1"/>
      <w:numFmt w:val="bullet"/>
      <w:lvlText w:val=""/>
      <w:lvlJc w:val="left"/>
      <w:pPr>
        <w:ind w:left="2880" w:hanging="360"/>
      </w:pPr>
      <w:rPr>
        <w:rFonts w:ascii="Symbol" w:hAnsi="Symbol" w:hint="default"/>
      </w:rPr>
    </w:lvl>
    <w:lvl w:ilvl="4" w:tplc="B3B4A91A">
      <w:start w:val="1"/>
      <w:numFmt w:val="bullet"/>
      <w:lvlText w:val="o"/>
      <w:lvlJc w:val="left"/>
      <w:pPr>
        <w:ind w:left="3600" w:hanging="360"/>
      </w:pPr>
      <w:rPr>
        <w:rFonts w:ascii="Courier New" w:hAnsi="Courier New" w:hint="default"/>
      </w:rPr>
    </w:lvl>
    <w:lvl w:ilvl="5" w:tplc="C328761E">
      <w:start w:val="1"/>
      <w:numFmt w:val="bullet"/>
      <w:lvlText w:val=""/>
      <w:lvlJc w:val="left"/>
      <w:pPr>
        <w:ind w:left="4320" w:hanging="360"/>
      </w:pPr>
      <w:rPr>
        <w:rFonts w:ascii="Wingdings" w:hAnsi="Wingdings" w:hint="default"/>
      </w:rPr>
    </w:lvl>
    <w:lvl w:ilvl="6" w:tplc="E9C857AA">
      <w:start w:val="1"/>
      <w:numFmt w:val="bullet"/>
      <w:lvlText w:val=""/>
      <w:lvlJc w:val="left"/>
      <w:pPr>
        <w:ind w:left="5040" w:hanging="360"/>
      </w:pPr>
      <w:rPr>
        <w:rFonts w:ascii="Symbol" w:hAnsi="Symbol" w:hint="default"/>
      </w:rPr>
    </w:lvl>
    <w:lvl w:ilvl="7" w:tplc="876EF086">
      <w:start w:val="1"/>
      <w:numFmt w:val="bullet"/>
      <w:lvlText w:val="o"/>
      <w:lvlJc w:val="left"/>
      <w:pPr>
        <w:ind w:left="5760" w:hanging="360"/>
      </w:pPr>
      <w:rPr>
        <w:rFonts w:ascii="Courier New" w:hAnsi="Courier New" w:hint="default"/>
      </w:rPr>
    </w:lvl>
    <w:lvl w:ilvl="8" w:tplc="05E6C99E">
      <w:start w:val="1"/>
      <w:numFmt w:val="bullet"/>
      <w:lvlText w:val=""/>
      <w:lvlJc w:val="left"/>
      <w:pPr>
        <w:ind w:left="6480" w:hanging="360"/>
      </w:pPr>
      <w:rPr>
        <w:rFonts w:ascii="Wingdings" w:hAnsi="Wingdings" w:hint="default"/>
      </w:rPr>
    </w:lvl>
  </w:abstractNum>
  <w:abstractNum w:abstractNumId="73">
    <w:nsid w:val="66D13D8C"/>
    <w:multiLevelType w:val="hybridMultilevel"/>
    <w:tmpl w:val="B6EE6B2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672F4279"/>
    <w:multiLevelType w:val="hybridMultilevel"/>
    <w:tmpl w:val="D3D65460"/>
    <w:lvl w:ilvl="0" w:tplc="11403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nsid w:val="68A83A4C"/>
    <w:multiLevelType w:val="hybridMultilevel"/>
    <w:tmpl w:val="294E0276"/>
    <w:lvl w:ilvl="0" w:tplc="11403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nsid w:val="6B267025"/>
    <w:multiLevelType w:val="hybridMultilevel"/>
    <w:tmpl w:val="223017F4"/>
    <w:lvl w:ilvl="0" w:tplc="5E265C22">
      <w:start w:val="1"/>
      <w:numFmt w:val="bullet"/>
      <w:lvlText w:val=""/>
      <w:lvlJc w:val="left"/>
      <w:pPr>
        <w:ind w:left="720" w:hanging="360"/>
      </w:pPr>
      <w:rPr>
        <w:rFonts w:ascii="Symbol" w:hAnsi="Symbol" w:hint="default"/>
      </w:rPr>
    </w:lvl>
    <w:lvl w:ilvl="1" w:tplc="0D7C8C1E">
      <w:start w:val="1"/>
      <w:numFmt w:val="bullet"/>
      <w:lvlText w:val="o"/>
      <w:lvlJc w:val="left"/>
      <w:pPr>
        <w:ind w:left="1440" w:hanging="360"/>
      </w:pPr>
      <w:rPr>
        <w:rFonts w:ascii="Courier New" w:hAnsi="Courier New" w:hint="default"/>
      </w:rPr>
    </w:lvl>
    <w:lvl w:ilvl="2" w:tplc="D85E105C">
      <w:start w:val="1"/>
      <w:numFmt w:val="bullet"/>
      <w:lvlText w:val=""/>
      <w:lvlJc w:val="left"/>
      <w:pPr>
        <w:ind w:left="2160" w:hanging="360"/>
      </w:pPr>
      <w:rPr>
        <w:rFonts w:ascii="Wingdings" w:hAnsi="Wingdings" w:hint="default"/>
      </w:rPr>
    </w:lvl>
    <w:lvl w:ilvl="3" w:tplc="20BAD396">
      <w:start w:val="1"/>
      <w:numFmt w:val="bullet"/>
      <w:lvlText w:val=""/>
      <w:lvlJc w:val="left"/>
      <w:pPr>
        <w:ind w:left="2880" w:hanging="360"/>
      </w:pPr>
      <w:rPr>
        <w:rFonts w:ascii="Symbol" w:hAnsi="Symbol" w:hint="default"/>
      </w:rPr>
    </w:lvl>
    <w:lvl w:ilvl="4" w:tplc="D996E3C2">
      <w:start w:val="1"/>
      <w:numFmt w:val="bullet"/>
      <w:lvlText w:val="o"/>
      <w:lvlJc w:val="left"/>
      <w:pPr>
        <w:ind w:left="3600" w:hanging="360"/>
      </w:pPr>
      <w:rPr>
        <w:rFonts w:ascii="Courier New" w:hAnsi="Courier New" w:hint="default"/>
      </w:rPr>
    </w:lvl>
    <w:lvl w:ilvl="5" w:tplc="1874689A">
      <w:start w:val="1"/>
      <w:numFmt w:val="bullet"/>
      <w:lvlText w:val=""/>
      <w:lvlJc w:val="left"/>
      <w:pPr>
        <w:ind w:left="4320" w:hanging="360"/>
      </w:pPr>
      <w:rPr>
        <w:rFonts w:ascii="Wingdings" w:hAnsi="Wingdings" w:hint="default"/>
      </w:rPr>
    </w:lvl>
    <w:lvl w:ilvl="6" w:tplc="69B0E076">
      <w:start w:val="1"/>
      <w:numFmt w:val="bullet"/>
      <w:lvlText w:val=""/>
      <w:lvlJc w:val="left"/>
      <w:pPr>
        <w:ind w:left="5040" w:hanging="360"/>
      </w:pPr>
      <w:rPr>
        <w:rFonts w:ascii="Symbol" w:hAnsi="Symbol" w:hint="default"/>
      </w:rPr>
    </w:lvl>
    <w:lvl w:ilvl="7" w:tplc="C5E21414">
      <w:start w:val="1"/>
      <w:numFmt w:val="bullet"/>
      <w:lvlText w:val="o"/>
      <w:lvlJc w:val="left"/>
      <w:pPr>
        <w:ind w:left="5760" w:hanging="360"/>
      </w:pPr>
      <w:rPr>
        <w:rFonts w:ascii="Courier New" w:hAnsi="Courier New" w:hint="default"/>
      </w:rPr>
    </w:lvl>
    <w:lvl w:ilvl="8" w:tplc="93D49734">
      <w:start w:val="1"/>
      <w:numFmt w:val="bullet"/>
      <w:lvlText w:val=""/>
      <w:lvlJc w:val="left"/>
      <w:pPr>
        <w:ind w:left="6480" w:hanging="360"/>
      </w:pPr>
      <w:rPr>
        <w:rFonts w:ascii="Wingdings" w:hAnsi="Wingdings" w:hint="default"/>
      </w:rPr>
    </w:lvl>
  </w:abstractNum>
  <w:abstractNum w:abstractNumId="77">
    <w:nsid w:val="6B7F443C"/>
    <w:multiLevelType w:val="hybridMultilevel"/>
    <w:tmpl w:val="E1143F60"/>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D982A1D"/>
    <w:multiLevelType w:val="hybridMultilevel"/>
    <w:tmpl w:val="B91E47E2"/>
    <w:lvl w:ilvl="0" w:tplc="11403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71E2444D"/>
    <w:multiLevelType w:val="hybridMultilevel"/>
    <w:tmpl w:val="E5603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4261F75"/>
    <w:multiLevelType w:val="hybridMultilevel"/>
    <w:tmpl w:val="B7C0E48C"/>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nsid w:val="75697CC6"/>
    <w:multiLevelType w:val="hybridMultilevel"/>
    <w:tmpl w:val="112AF008"/>
    <w:lvl w:ilvl="0" w:tplc="E7DEE230">
      <w:start w:val="1"/>
      <w:numFmt w:val="lowerLetter"/>
      <w:lvlText w:val="%1."/>
      <w:lvlJc w:val="left"/>
      <w:pPr>
        <w:ind w:left="720" w:hanging="360"/>
      </w:pPr>
    </w:lvl>
    <w:lvl w:ilvl="1" w:tplc="0734D516">
      <w:start w:val="1"/>
      <w:numFmt w:val="lowerLetter"/>
      <w:lvlText w:val="%2."/>
      <w:lvlJc w:val="left"/>
      <w:pPr>
        <w:ind w:left="1440" w:hanging="360"/>
      </w:pPr>
    </w:lvl>
    <w:lvl w:ilvl="2" w:tplc="4FA4B6E4">
      <w:start w:val="1"/>
      <w:numFmt w:val="lowerRoman"/>
      <w:lvlText w:val="%3."/>
      <w:lvlJc w:val="right"/>
      <w:pPr>
        <w:ind w:left="2160" w:hanging="180"/>
      </w:pPr>
    </w:lvl>
    <w:lvl w:ilvl="3" w:tplc="C7C2F9DC">
      <w:start w:val="1"/>
      <w:numFmt w:val="decimal"/>
      <w:lvlText w:val="%4."/>
      <w:lvlJc w:val="left"/>
      <w:pPr>
        <w:ind w:left="2880" w:hanging="360"/>
      </w:pPr>
    </w:lvl>
    <w:lvl w:ilvl="4" w:tplc="3946B568">
      <w:start w:val="1"/>
      <w:numFmt w:val="lowerLetter"/>
      <w:lvlText w:val="%5."/>
      <w:lvlJc w:val="left"/>
      <w:pPr>
        <w:ind w:left="3600" w:hanging="360"/>
      </w:pPr>
    </w:lvl>
    <w:lvl w:ilvl="5" w:tplc="0CC6864A">
      <w:start w:val="1"/>
      <w:numFmt w:val="lowerRoman"/>
      <w:lvlText w:val="%6."/>
      <w:lvlJc w:val="right"/>
      <w:pPr>
        <w:ind w:left="4320" w:hanging="180"/>
      </w:pPr>
    </w:lvl>
    <w:lvl w:ilvl="6" w:tplc="4CFE1EC6">
      <w:start w:val="1"/>
      <w:numFmt w:val="decimal"/>
      <w:lvlText w:val="%7."/>
      <w:lvlJc w:val="left"/>
      <w:pPr>
        <w:ind w:left="5040" w:hanging="360"/>
      </w:pPr>
    </w:lvl>
    <w:lvl w:ilvl="7" w:tplc="09B85800">
      <w:start w:val="1"/>
      <w:numFmt w:val="lowerLetter"/>
      <w:lvlText w:val="%8."/>
      <w:lvlJc w:val="left"/>
      <w:pPr>
        <w:ind w:left="5760" w:hanging="360"/>
      </w:pPr>
    </w:lvl>
    <w:lvl w:ilvl="8" w:tplc="736673C0">
      <w:start w:val="1"/>
      <w:numFmt w:val="lowerRoman"/>
      <w:lvlText w:val="%9."/>
      <w:lvlJc w:val="right"/>
      <w:pPr>
        <w:ind w:left="6480" w:hanging="180"/>
      </w:pPr>
    </w:lvl>
  </w:abstractNum>
  <w:abstractNum w:abstractNumId="82">
    <w:nsid w:val="761E1C70"/>
    <w:multiLevelType w:val="hybridMultilevel"/>
    <w:tmpl w:val="9DAC7DB6"/>
    <w:lvl w:ilvl="0" w:tplc="F2C4110E">
      <w:start w:val="1"/>
      <w:numFmt w:val="lowerLetter"/>
      <w:lvlText w:val="%1)"/>
      <w:lvlJc w:val="left"/>
      <w:pPr>
        <w:ind w:left="1068" w:hanging="360"/>
      </w:pPr>
    </w:lvl>
    <w:lvl w:ilvl="1" w:tplc="04150019">
      <w:start w:val="1"/>
      <w:numFmt w:val="decimal"/>
      <w:lvlText w:val="%2."/>
      <w:lvlJc w:val="left"/>
      <w:pPr>
        <w:tabs>
          <w:tab w:val="num" w:pos="-2460"/>
        </w:tabs>
        <w:ind w:left="-2460" w:hanging="360"/>
      </w:pPr>
    </w:lvl>
    <w:lvl w:ilvl="2" w:tplc="0415001B">
      <w:start w:val="1"/>
      <w:numFmt w:val="decimal"/>
      <w:lvlText w:val="%3."/>
      <w:lvlJc w:val="left"/>
      <w:pPr>
        <w:tabs>
          <w:tab w:val="num" w:pos="-1740"/>
        </w:tabs>
        <w:ind w:left="-1740" w:hanging="360"/>
      </w:pPr>
    </w:lvl>
    <w:lvl w:ilvl="3" w:tplc="0415000F">
      <w:start w:val="1"/>
      <w:numFmt w:val="decimal"/>
      <w:lvlText w:val="%4."/>
      <w:lvlJc w:val="left"/>
      <w:pPr>
        <w:tabs>
          <w:tab w:val="num" w:pos="-1020"/>
        </w:tabs>
        <w:ind w:left="-1020" w:hanging="360"/>
      </w:pPr>
    </w:lvl>
    <w:lvl w:ilvl="4" w:tplc="04150019">
      <w:start w:val="1"/>
      <w:numFmt w:val="decimal"/>
      <w:lvlText w:val="%5."/>
      <w:lvlJc w:val="left"/>
      <w:pPr>
        <w:tabs>
          <w:tab w:val="num" w:pos="-300"/>
        </w:tabs>
        <w:ind w:left="-300" w:hanging="360"/>
      </w:pPr>
    </w:lvl>
    <w:lvl w:ilvl="5" w:tplc="0415001B">
      <w:start w:val="1"/>
      <w:numFmt w:val="decimal"/>
      <w:lvlText w:val="%6."/>
      <w:lvlJc w:val="left"/>
      <w:pPr>
        <w:tabs>
          <w:tab w:val="num" w:pos="420"/>
        </w:tabs>
        <w:ind w:left="420" w:hanging="360"/>
      </w:pPr>
    </w:lvl>
    <w:lvl w:ilvl="6" w:tplc="0415000F">
      <w:start w:val="1"/>
      <w:numFmt w:val="decimal"/>
      <w:lvlText w:val="%7."/>
      <w:lvlJc w:val="left"/>
      <w:pPr>
        <w:tabs>
          <w:tab w:val="num" w:pos="1140"/>
        </w:tabs>
        <w:ind w:left="1140" w:hanging="360"/>
      </w:pPr>
    </w:lvl>
    <w:lvl w:ilvl="7" w:tplc="04150019">
      <w:start w:val="1"/>
      <w:numFmt w:val="decimal"/>
      <w:lvlText w:val="%8."/>
      <w:lvlJc w:val="left"/>
      <w:pPr>
        <w:tabs>
          <w:tab w:val="num" w:pos="1860"/>
        </w:tabs>
        <w:ind w:left="1860" w:hanging="360"/>
      </w:pPr>
    </w:lvl>
    <w:lvl w:ilvl="8" w:tplc="0415001B">
      <w:start w:val="1"/>
      <w:numFmt w:val="decimal"/>
      <w:lvlText w:val="%9."/>
      <w:lvlJc w:val="left"/>
      <w:pPr>
        <w:tabs>
          <w:tab w:val="num" w:pos="2580"/>
        </w:tabs>
        <w:ind w:left="2580" w:hanging="360"/>
      </w:pPr>
    </w:lvl>
  </w:abstractNum>
  <w:abstractNum w:abstractNumId="83">
    <w:nsid w:val="786D4F28"/>
    <w:multiLevelType w:val="hybridMultilevel"/>
    <w:tmpl w:val="09184422"/>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787E50D9"/>
    <w:multiLevelType w:val="hybridMultilevel"/>
    <w:tmpl w:val="A392A9B8"/>
    <w:lvl w:ilvl="0" w:tplc="58ECC5C8">
      <w:start w:val="1"/>
      <w:numFmt w:val="bullet"/>
      <w:lvlText w:val=""/>
      <w:lvlJc w:val="left"/>
      <w:pPr>
        <w:ind w:left="1068" w:hanging="360"/>
      </w:pPr>
      <w:rPr>
        <w:rFonts w:ascii="Symbol" w:hAnsi="Symbol" w:hint="default"/>
      </w:rPr>
    </w:lvl>
    <w:lvl w:ilvl="1" w:tplc="25E8A396">
      <w:start w:val="1"/>
      <w:numFmt w:val="bullet"/>
      <w:lvlText w:val="o"/>
      <w:lvlJc w:val="left"/>
      <w:pPr>
        <w:ind w:left="1788" w:hanging="360"/>
      </w:pPr>
      <w:rPr>
        <w:rFonts w:ascii="Courier New" w:hAnsi="Courier New" w:hint="default"/>
      </w:rPr>
    </w:lvl>
    <w:lvl w:ilvl="2" w:tplc="44666068">
      <w:start w:val="1"/>
      <w:numFmt w:val="bullet"/>
      <w:lvlText w:val=""/>
      <w:lvlJc w:val="left"/>
      <w:pPr>
        <w:ind w:left="2508" w:hanging="360"/>
      </w:pPr>
      <w:rPr>
        <w:rFonts w:ascii="Wingdings" w:hAnsi="Wingdings" w:hint="default"/>
      </w:rPr>
    </w:lvl>
    <w:lvl w:ilvl="3" w:tplc="D1F8B9D4">
      <w:start w:val="1"/>
      <w:numFmt w:val="bullet"/>
      <w:lvlText w:val=""/>
      <w:lvlJc w:val="left"/>
      <w:pPr>
        <w:ind w:left="3228" w:hanging="360"/>
      </w:pPr>
      <w:rPr>
        <w:rFonts w:ascii="Symbol" w:hAnsi="Symbol" w:hint="default"/>
      </w:rPr>
    </w:lvl>
    <w:lvl w:ilvl="4" w:tplc="B1E89C04">
      <w:start w:val="1"/>
      <w:numFmt w:val="bullet"/>
      <w:lvlText w:val="o"/>
      <w:lvlJc w:val="left"/>
      <w:pPr>
        <w:ind w:left="3948" w:hanging="360"/>
      </w:pPr>
      <w:rPr>
        <w:rFonts w:ascii="Courier New" w:hAnsi="Courier New" w:hint="default"/>
      </w:rPr>
    </w:lvl>
    <w:lvl w:ilvl="5" w:tplc="DB5A84F6">
      <w:start w:val="1"/>
      <w:numFmt w:val="bullet"/>
      <w:lvlText w:val=""/>
      <w:lvlJc w:val="left"/>
      <w:pPr>
        <w:ind w:left="4668" w:hanging="360"/>
      </w:pPr>
      <w:rPr>
        <w:rFonts w:ascii="Wingdings" w:hAnsi="Wingdings" w:hint="default"/>
      </w:rPr>
    </w:lvl>
    <w:lvl w:ilvl="6" w:tplc="6352C6A8">
      <w:start w:val="1"/>
      <w:numFmt w:val="bullet"/>
      <w:lvlText w:val=""/>
      <w:lvlJc w:val="left"/>
      <w:pPr>
        <w:ind w:left="5388" w:hanging="360"/>
      </w:pPr>
      <w:rPr>
        <w:rFonts w:ascii="Symbol" w:hAnsi="Symbol" w:hint="default"/>
      </w:rPr>
    </w:lvl>
    <w:lvl w:ilvl="7" w:tplc="B434DF80">
      <w:start w:val="1"/>
      <w:numFmt w:val="bullet"/>
      <w:lvlText w:val="o"/>
      <w:lvlJc w:val="left"/>
      <w:pPr>
        <w:ind w:left="6108" w:hanging="360"/>
      </w:pPr>
      <w:rPr>
        <w:rFonts w:ascii="Courier New" w:hAnsi="Courier New" w:hint="default"/>
      </w:rPr>
    </w:lvl>
    <w:lvl w:ilvl="8" w:tplc="C84819D4">
      <w:start w:val="1"/>
      <w:numFmt w:val="bullet"/>
      <w:lvlText w:val=""/>
      <w:lvlJc w:val="left"/>
      <w:pPr>
        <w:ind w:left="6828" w:hanging="360"/>
      </w:pPr>
      <w:rPr>
        <w:rFonts w:ascii="Wingdings" w:hAnsi="Wingdings" w:hint="default"/>
      </w:rPr>
    </w:lvl>
  </w:abstractNum>
  <w:abstractNum w:abstractNumId="85">
    <w:nsid w:val="7A333AEF"/>
    <w:multiLevelType w:val="hybridMultilevel"/>
    <w:tmpl w:val="3FDAFB6E"/>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7CB90B0A"/>
    <w:multiLevelType w:val="hybridMultilevel"/>
    <w:tmpl w:val="5A468CCC"/>
    <w:lvl w:ilvl="0" w:tplc="114035B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7E8349AD"/>
    <w:multiLevelType w:val="hybridMultilevel"/>
    <w:tmpl w:val="59B03400"/>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46"/>
  </w:num>
  <w:num w:numId="4">
    <w:abstractNumId w:val="22"/>
  </w:num>
  <w:num w:numId="5">
    <w:abstractNumId w:val="66"/>
  </w:num>
  <w:num w:numId="6">
    <w:abstractNumId w:val="50"/>
  </w:num>
  <w:num w:numId="7">
    <w:abstractNumId w:val="6"/>
  </w:num>
  <w:num w:numId="8">
    <w:abstractNumId w:val="10"/>
  </w:num>
  <w:num w:numId="9">
    <w:abstractNumId w:val="41"/>
  </w:num>
  <w:num w:numId="10">
    <w:abstractNumId w:val="45"/>
  </w:num>
  <w:num w:numId="11">
    <w:abstractNumId w:val="42"/>
  </w:num>
  <w:num w:numId="12">
    <w:abstractNumId w:val="64"/>
  </w:num>
  <w:num w:numId="13">
    <w:abstractNumId w:val="28"/>
  </w:num>
  <w:num w:numId="14">
    <w:abstractNumId w:val="38"/>
  </w:num>
  <w:num w:numId="15">
    <w:abstractNumId w:val="55"/>
  </w:num>
  <w:num w:numId="16">
    <w:abstractNumId w:val="33"/>
  </w:num>
  <w:num w:numId="17">
    <w:abstractNumId w:val="63"/>
  </w:num>
  <w:num w:numId="18">
    <w:abstractNumId w:val="61"/>
  </w:num>
  <w:num w:numId="19">
    <w:abstractNumId w:val="14"/>
  </w:num>
  <w:num w:numId="20">
    <w:abstractNumId w:val="34"/>
  </w:num>
  <w:num w:numId="21">
    <w:abstractNumId w:val="65"/>
  </w:num>
  <w:num w:numId="22">
    <w:abstractNumId w:val="60"/>
  </w:num>
  <w:num w:numId="23">
    <w:abstractNumId w:val="81"/>
  </w:num>
  <w:num w:numId="24">
    <w:abstractNumId w:val="7"/>
  </w:num>
  <w:num w:numId="25">
    <w:abstractNumId w:val="21"/>
  </w:num>
  <w:num w:numId="2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
  </w:num>
  <w:num w:numId="29">
    <w:abstractNumId w:val="0"/>
  </w:num>
  <w:num w:numId="30">
    <w:abstractNumId w:val="18"/>
  </w:num>
  <w:num w:numId="31">
    <w:abstractNumId w:val="43"/>
  </w:num>
  <w:num w:numId="32">
    <w:abstractNumId w:val="87"/>
  </w:num>
  <w:num w:numId="33">
    <w:abstractNumId w:val="44"/>
  </w:num>
  <w:num w:numId="34">
    <w:abstractNumId w:val="47"/>
  </w:num>
  <w:num w:numId="35">
    <w:abstractNumId w:val="57"/>
  </w:num>
  <w:num w:numId="36">
    <w:abstractNumId w:val="80"/>
  </w:num>
  <w:num w:numId="37">
    <w:abstractNumId w:val="26"/>
  </w:num>
  <w:num w:numId="38">
    <w:abstractNumId w:val="17"/>
  </w:num>
  <w:num w:numId="39">
    <w:abstractNumId w:val="53"/>
  </w:num>
  <w:num w:numId="40">
    <w:abstractNumId w:val="69"/>
  </w:num>
  <w:num w:numId="41">
    <w:abstractNumId w:val="54"/>
  </w:num>
  <w:num w:numId="42">
    <w:abstractNumId w:val="37"/>
  </w:num>
  <w:num w:numId="43">
    <w:abstractNumId w:val="20"/>
  </w:num>
  <w:num w:numId="44">
    <w:abstractNumId w:val="58"/>
  </w:num>
  <w:num w:numId="45">
    <w:abstractNumId w:val="85"/>
  </w:num>
  <w:num w:numId="46">
    <w:abstractNumId w:val="31"/>
  </w:num>
  <w:num w:numId="47">
    <w:abstractNumId w:val="59"/>
  </w:num>
  <w:num w:numId="48">
    <w:abstractNumId w:val="78"/>
  </w:num>
  <w:num w:numId="49">
    <w:abstractNumId w:val="29"/>
  </w:num>
  <w:num w:numId="50">
    <w:abstractNumId w:val="25"/>
  </w:num>
  <w:num w:numId="51">
    <w:abstractNumId w:val="75"/>
  </w:num>
  <w:num w:numId="52">
    <w:abstractNumId w:val="74"/>
  </w:num>
  <w:num w:numId="53">
    <w:abstractNumId w:val="73"/>
  </w:num>
  <w:num w:numId="54">
    <w:abstractNumId w:val="23"/>
  </w:num>
  <w:num w:numId="55">
    <w:abstractNumId w:val="76"/>
  </w:num>
  <w:num w:numId="56">
    <w:abstractNumId w:val="19"/>
  </w:num>
  <w:num w:numId="57">
    <w:abstractNumId w:val="39"/>
  </w:num>
  <w:num w:numId="58">
    <w:abstractNumId w:val="51"/>
  </w:num>
  <w:num w:numId="59">
    <w:abstractNumId w:val="48"/>
  </w:num>
  <w:num w:numId="60">
    <w:abstractNumId w:val="13"/>
  </w:num>
  <w:num w:numId="61">
    <w:abstractNumId w:val="68"/>
  </w:num>
  <w:num w:numId="62">
    <w:abstractNumId w:val="32"/>
  </w:num>
  <w:num w:numId="63">
    <w:abstractNumId w:val="36"/>
  </w:num>
  <w:num w:numId="64">
    <w:abstractNumId w:val="70"/>
  </w:num>
  <w:num w:numId="65">
    <w:abstractNumId w:val="30"/>
  </w:num>
  <w:num w:numId="66">
    <w:abstractNumId w:val="83"/>
  </w:num>
  <w:num w:numId="67">
    <w:abstractNumId w:val="77"/>
  </w:num>
  <w:num w:numId="68">
    <w:abstractNumId w:val="84"/>
  </w:num>
  <w:num w:numId="69">
    <w:abstractNumId w:val="15"/>
  </w:num>
  <w:num w:numId="70">
    <w:abstractNumId w:val="40"/>
  </w:num>
  <w:num w:numId="71">
    <w:abstractNumId w:val="16"/>
  </w:num>
  <w:num w:numId="72">
    <w:abstractNumId w:val="56"/>
  </w:num>
  <w:num w:numId="73">
    <w:abstractNumId w:val="72"/>
  </w:num>
  <w:num w:numId="74">
    <w:abstractNumId w:val="5"/>
  </w:num>
  <w:num w:numId="75">
    <w:abstractNumId w:val="27"/>
  </w:num>
  <w:num w:numId="76">
    <w:abstractNumId w:val="3"/>
  </w:num>
  <w:num w:numId="77">
    <w:abstractNumId w:val="52"/>
  </w:num>
  <w:num w:numId="78">
    <w:abstractNumId w:val="67"/>
  </w:num>
  <w:num w:numId="79">
    <w:abstractNumId w:val="62"/>
  </w:num>
  <w:num w:numId="80">
    <w:abstractNumId w:val="11"/>
  </w:num>
  <w:num w:numId="81">
    <w:abstractNumId w:val="24"/>
  </w:num>
  <w:num w:numId="82">
    <w:abstractNumId w:val="86"/>
  </w:num>
  <w:num w:numId="83">
    <w:abstractNumId w:val="9"/>
  </w:num>
  <w:num w:numId="84">
    <w:abstractNumId w:val="12"/>
  </w:num>
  <w:num w:numId="85">
    <w:abstractNumId w:val="8"/>
  </w:num>
  <w:num w:numId="86">
    <w:abstractNumId w:val="49"/>
  </w:num>
  <w:num w:numId="87">
    <w:abstractNumId w:val="71"/>
  </w:num>
  <w:num w:numId="88">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86E"/>
    <w:rsid w:val="000006C5"/>
    <w:rsid w:val="00001729"/>
    <w:rsid w:val="00002CC4"/>
    <w:rsid w:val="00004021"/>
    <w:rsid w:val="00004065"/>
    <w:rsid w:val="000044EB"/>
    <w:rsid w:val="00004C4C"/>
    <w:rsid w:val="0000510C"/>
    <w:rsid w:val="00006527"/>
    <w:rsid w:val="0000746B"/>
    <w:rsid w:val="000079AA"/>
    <w:rsid w:val="00007A9B"/>
    <w:rsid w:val="0001050E"/>
    <w:rsid w:val="00011438"/>
    <w:rsid w:val="0001231E"/>
    <w:rsid w:val="000127CF"/>
    <w:rsid w:val="00013378"/>
    <w:rsid w:val="0001443D"/>
    <w:rsid w:val="00014CF9"/>
    <w:rsid w:val="000167A2"/>
    <w:rsid w:val="000168D9"/>
    <w:rsid w:val="00020C3A"/>
    <w:rsid w:val="000211DC"/>
    <w:rsid w:val="00021743"/>
    <w:rsid w:val="00021F24"/>
    <w:rsid w:val="000221CF"/>
    <w:rsid w:val="00023A23"/>
    <w:rsid w:val="00023E03"/>
    <w:rsid w:val="00024A2C"/>
    <w:rsid w:val="00024AC7"/>
    <w:rsid w:val="00026532"/>
    <w:rsid w:val="00027531"/>
    <w:rsid w:val="00027C14"/>
    <w:rsid w:val="000306CC"/>
    <w:rsid w:val="000329E0"/>
    <w:rsid w:val="0003381A"/>
    <w:rsid w:val="00033FD5"/>
    <w:rsid w:val="000401B5"/>
    <w:rsid w:val="000408A7"/>
    <w:rsid w:val="0004478F"/>
    <w:rsid w:val="0004715E"/>
    <w:rsid w:val="00051854"/>
    <w:rsid w:val="00051890"/>
    <w:rsid w:val="00051A99"/>
    <w:rsid w:val="00053236"/>
    <w:rsid w:val="0005376A"/>
    <w:rsid w:val="00053BEB"/>
    <w:rsid w:val="0005540B"/>
    <w:rsid w:val="00055E05"/>
    <w:rsid w:val="00056BDA"/>
    <w:rsid w:val="0005778A"/>
    <w:rsid w:val="00057EDB"/>
    <w:rsid w:val="00060834"/>
    <w:rsid w:val="0006107B"/>
    <w:rsid w:val="00061A56"/>
    <w:rsid w:val="000636A6"/>
    <w:rsid w:val="000655B8"/>
    <w:rsid w:val="00065A41"/>
    <w:rsid w:val="00067E0A"/>
    <w:rsid w:val="00070773"/>
    <w:rsid w:val="00073342"/>
    <w:rsid w:val="00073737"/>
    <w:rsid w:val="00074179"/>
    <w:rsid w:val="000746D3"/>
    <w:rsid w:val="00075FE9"/>
    <w:rsid w:val="000766DF"/>
    <w:rsid w:val="000802D2"/>
    <w:rsid w:val="00080A68"/>
    <w:rsid w:val="0008121A"/>
    <w:rsid w:val="00081F63"/>
    <w:rsid w:val="000830F0"/>
    <w:rsid w:val="000855C4"/>
    <w:rsid w:val="00086241"/>
    <w:rsid w:val="00086786"/>
    <w:rsid w:val="00087093"/>
    <w:rsid w:val="000874E9"/>
    <w:rsid w:val="00087ABF"/>
    <w:rsid w:val="00090620"/>
    <w:rsid w:val="00090C1D"/>
    <w:rsid w:val="00091D1D"/>
    <w:rsid w:val="00093AD3"/>
    <w:rsid w:val="00093BAA"/>
    <w:rsid w:val="000949AE"/>
    <w:rsid w:val="000961A9"/>
    <w:rsid w:val="000961D3"/>
    <w:rsid w:val="00096FD6"/>
    <w:rsid w:val="0009751F"/>
    <w:rsid w:val="000975CF"/>
    <w:rsid w:val="000A15FA"/>
    <w:rsid w:val="000A3CC6"/>
    <w:rsid w:val="000A3DC6"/>
    <w:rsid w:val="000A42D1"/>
    <w:rsid w:val="000A43EE"/>
    <w:rsid w:val="000A4E14"/>
    <w:rsid w:val="000A54D5"/>
    <w:rsid w:val="000B07CF"/>
    <w:rsid w:val="000B0EE6"/>
    <w:rsid w:val="000B151E"/>
    <w:rsid w:val="000B25B9"/>
    <w:rsid w:val="000B4120"/>
    <w:rsid w:val="000B4440"/>
    <w:rsid w:val="000B477D"/>
    <w:rsid w:val="000B5313"/>
    <w:rsid w:val="000B794E"/>
    <w:rsid w:val="000B7C66"/>
    <w:rsid w:val="000C4611"/>
    <w:rsid w:val="000C5181"/>
    <w:rsid w:val="000C5588"/>
    <w:rsid w:val="000C69EC"/>
    <w:rsid w:val="000C76CB"/>
    <w:rsid w:val="000C7E4A"/>
    <w:rsid w:val="000D0B7C"/>
    <w:rsid w:val="000D1C9F"/>
    <w:rsid w:val="000D404D"/>
    <w:rsid w:val="000D46A7"/>
    <w:rsid w:val="000D50E3"/>
    <w:rsid w:val="000D5F36"/>
    <w:rsid w:val="000D6A8A"/>
    <w:rsid w:val="000D6D1A"/>
    <w:rsid w:val="000D71FB"/>
    <w:rsid w:val="000D7641"/>
    <w:rsid w:val="000D79A4"/>
    <w:rsid w:val="000E0446"/>
    <w:rsid w:val="000E074B"/>
    <w:rsid w:val="000E1B85"/>
    <w:rsid w:val="000E4178"/>
    <w:rsid w:val="000E4B39"/>
    <w:rsid w:val="000E50AB"/>
    <w:rsid w:val="000E527A"/>
    <w:rsid w:val="000E5680"/>
    <w:rsid w:val="000E6BD7"/>
    <w:rsid w:val="000F19ED"/>
    <w:rsid w:val="000F286A"/>
    <w:rsid w:val="000F496D"/>
    <w:rsid w:val="000F4D20"/>
    <w:rsid w:val="000F5727"/>
    <w:rsid w:val="000F656B"/>
    <w:rsid w:val="000F69DE"/>
    <w:rsid w:val="001003F8"/>
    <w:rsid w:val="00100972"/>
    <w:rsid w:val="0010395A"/>
    <w:rsid w:val="00103B20"/>
    <w:rsid w:val="00107C7A"/>
    <w:rsid w:val="00110166"/>
    <w:rsid w:val="00110F4E"/>
    <w:rsid w:val="001123AC"/>
    <w:rsid w:val="001125B7"/>
    <w:rsid w:val="0011362E"/>
    <w:rsid w:val="00115391"/>
    <w:rsid w:val="00115814"/>
    <w:rsid w:val="00115A6B"/>
    <w:rsid w:val="0011648E"/>
    <w:rsid w:val="001170E6"/>
    <w:rsid w:val="0011723C"/>
    <w:rsid w:val="0012184A"/>
    <w:rsid w:val="00122530"/>
    <w:rsid w:val="00124DEE"/>
    <w:rsid w:val="00125BAC"/>
    <w:rsid w:val="00126EC6"/>
    <w:rsid w:val="00130A35"/>
    <w:rsid w:val="001322F0"/>
    <w:rsid w:val="00134484"/>
    <w:rsid w:val="001351E6"/>
    <w:rsid w:val="00135C0A"/>
    <w:rsid w:val="001377FB"/>
    <w:rsid w:val="0014030D"/>
    <w:rsid w:val="001406F9"/>
    <w:rsid w:val="001410A1"/>
    <w:rsid w:val="001434F4"/>
    <w:rsid w:val="001434FD"/>
    <w:rsid w:val="00145DC4"/>
    <w:rsid w:val="00146D50"/>
    <w:rsid w:val="00146F5E"/>
    <w:rsid w:val="001471CF"/>
    <w:rsid w:val="00150D02"/>
    <w:rsid w:val="001519F9"/>
    <w:rsid w:val="00153233"/>
    <w:rsid w:val="0015385A"/>
    <w:rsid w:val="00153C47"/>
    <w:rsid w:val="00154334"/>
    <w:rsid w:val="0015441D"/>
    <w:rsid w:val="00155E13"/>
    <w:rsid w:val="00156403"/>
    <w:rsid w:val="00157152"/>
    <w:rsid w:val="001609C9"/>
    <w:rsid w:val="00160A4D"/>
    <w:rsid w:val="00160D69"/>
    <w:rsid w:val="001633C4"/>
    <w:rsid w:val="00163DF5"/>
    <w:rsid w:val="00164D1B"/>
    <w:rsid w:val="00172E5C"/>
    <w:rsid w:val="00175C86"/>
    <w:rsid w:val="00176E3F"/>
    <w:rsid w:val="00176F72"/>
    <w:rsid w:val="00176F99"/>
    <w:rsid w:val="00177A02"/>
    <w:rsid w:val="00177FA0"/>
    <w:rsid w:val="00181E05"/>
    <w:rsid w:val="0018248A"/>
    <w:rsid w:val="00182C68"/>
    <w:rsid w:val="00182E2F"/>
    <w:rsid w:val="00182FE3"/>
    <w:rsid w:val="00185D2F"/>
    <w:rsid w:val="00186BFB"/>
    <w:rsid w:val="00190024"/>
    <w:rsid w:val="0019106D"/>
    <w:rsid w:val="001910F2"/>
    <w:rsid w:val="0019178E"/>
    <w:rsid w:val="00191D3A"/>
    <w:rsid w:val="00192BD2"/>
    <w:rsid w:val="001930F5"/>
    <w:rsid w:val="0019350B"/>
    <w:rsid w:val="0019361A"/>
    <w:rsid w:val="00194BBE"/>
    <w:rsid w:val="00195464"/>
    <w:rsid w:val="001955D3"/>
    <w:rsid w:val="00196C8D"/>
    <w:rsid w:val="00197017"/>
    <w:rsid w:val="00197E6F"/>
    <w:rsid w:val="001A032F"/>
    <w:rsid w:val="001A03FB"/>
    <w:rsid w:val="001A0975"/>
    <w:rsid w:val="001A1558"/>
    <w:rsid w:val="001A5C9D"/>
    <w:rsid w:val="001A5F92"/>
    <w:rsid w:val="001A60CB"/>
    <w:rsid w:val="001A681B"/>
    <w:rsid w:val="001A7CDF"/>
    <w:rsid w:val="001B0448"/>
    <w:rsid w:val="001B3FA4"/>
    <w:rsid w:val="001B5B0F"/>
    <w:rsid w:val="001B7777"/>
    <w:rsid w:val="001B7D88"/>
    <w:rsid w:val="001B82CF"/>
    <w:rsid w:val="001C051E"/>
    <w:rsid w:val="001C0591"/>
    <w:rsid w:val="001C16F8"/>
    <w:rsid w:val="001C305E"/>
    <w:rsid w:val="001C310F"/>
    <w:rsid w:val="001C42FE"/>
    <w:rsid w:val="001C51E4"/>
    <w:rsid w:val="001C568C"/>
    <w:rsid w:val="001C5A83"/>
    <w:rsid w:val="001C6AED"/>
    <w:rsid w:val="001C6FF2"/>
    <w:rsid w:val="001C737C"/>
    <w:rsid w:val="001D0ABD"/>
    <w:rsid w:val="001D2650"/>
    <w:rsid w:val="001D2845"/>
    <w:rsid w:val="001D3052"/>
    <w:rsid w:val="001D37B9"/>
    <w:rsid w:val="001D5BFB"/>
    <w:rsid w:val="001E097C"/>
    <w:rsid w:val="001E0AF0"/>
    <w:rsid w:val="001E0F46"/>
    <w:rsid w:val="001E1DFA"/>
    <w:rsid w:val="001E246B"/>
    <w:rsid w:val="001E54A4"/>
    <w:rsid w:val="001E54FC"/>
    <w:rsid w:val="001E642D"/>
    <w:rsid w:val="001E6435"/>
    <w:rsid w:val="001E67DA"/>
    <w:rsid w:val="001F02B3"/>
    <w:rsid w:val="001F02E8"/>
    <w:rsid w:val="001F0D8C"/>
    <w:rsid w:val="001F1843"/>
    <w:rsid w:val="001F1BC4"/>
    <w:rsid w:val="001F21F6"/>
    <w:rsid w:val="001F229D"/>
    <w:rsid w:val="001F41DF"/>
    <w:rsid w:val="001F4207"/>
    <w:rsid w:val="001F560D"/>
    <w:rsid w:val="001F5B88"/>
    <w:rsid w:val="001F6B30"/>
    <w:rsid w:val="001F6D22"/>
    <w:rsid w:val="001F7C8B"/>
    <w:rsid w:val="001FF302"/>
    <w:rsid w:val="00201042"/>
    <w:rsid w:val="002028FA"/>
    <w:rsid w:val="00202D77"/>
    <w:rsid w:val="00203380"/>
    <w:rsid w:val="00203474"/>
    <w:rsid w:val="00203579"/>
    <w:rsid w:val="002050AC"/>
    <w:rsid w:val="00206888"/>
    <w:rsid w:val="00207B96"/>
    <w:rsid w:val="00207C20"/>
    <w:rsid w:val="00211805"/>
    <w:rsid w:val="00211DA7"/>
    <w:rsid w:val="002128EB"/>
    <w:rsid w:val="0021373F"/>
    <w:rsid w:val="002141C5"/>
    <w:rsid w:val="00214917"/>
    <w:rsid w:val="00214B8C"/>
    <w:rsid w:val="00215185"/>
    <w:rsid w:val="002175B5"/>
    <w:rsid w:val="00220638"/>
    <w:rsid w:val="00221330"/>
    <w:rsid w:val="002217D4"/>
    <w:rsid w:val="002239EA"/>
    <w:rsid w:val="00223C04"/>
    <w:rsid w:val="00227261"/>
    <w:rsid w:val="002272EF"/>
    <w:rsid w:val="002285F6"/>
    <w:rsid w:val="0022C0D4"/>
    <w:rsid w:val="00231D04"/>
    <w:rsid w:val="002322B1"/>
    <w:rsid w:val="002334FB"/>
    <w:rsid w:val="00233CB0"/>
    <w:rsid w:val="00234A30"/>
    <w:rsid w:val="00235FE6"/>
    <w:rsid w:val="0024099B"/>
    <w:rsid w:val="00240DB1"/>
    <w:rsid w:val="002419D3"/>
    <w:rsid w:val="00241D14"/>
    <w:rsid w:val="00241DA0"/>
    <w:rsid w:val="0024227A"/>
    <w:rsid w:val="002423F4"/>
    <w:rsid w:val="00242805"/>
    <w:rsid w:val="00244B5C"/>
    <w:rsid w:val="00244E70"/>
    <w:rsid w:val="002455CA"/>
    <w:rsid w:val="002466A6"/>
    <w:rsid w:val="00247B1B"/>
    <w:rsid w:val="00249E35"/>
    <w:rsid w:val="00250CED"/>
    <w:rsid w:val="00256A20"/>
    <w:rsid w:val="002585A0"/>
    <w:rsid w:val="002605A1"/>
    <w:rsid w:val="002618B2"/>
    <w:rsid w:val="00261A01"/>
    <w:rsid w:val="00261D6B"/>
    <w:rsid w:val="00262036"/>
    <w:rsid w:val="00262313"/>
    <w:rsid w:val="00263A79"/>
    <w:rsid w:val="002641B3"/>
    <w:rsid w:val="002641F6"/>
    <w:rsid w:val="00264765"/>
    <w:rsid w:val="002656D2"/>
    <w:rsid w:val="00265BA3"/>
    <w:rsid w:val="00267B4E"/>
    <w:rsid w:val="0026C70B"/>
    <w:rsid w:val="00271009"/>
    <w:rsid w:val="002718AC"/>
    <w:rsid w:val="0027212A"/>
    <w:rsid w:val="00274FEA"/>
    <w:rsid w:val="00280095"/>
    <w:rsid w:val="00281DB6"/>
    <w:rsid w:val="00283140"/>
    <w:rsid w:val="002832D3"/>
    <w:rsid w:val="0028357B"/>
    <w:rsid w:val="00283F91"/>
    <w:rsid w:val="002852AC"/>
    <w:rsid w:val="002863C2"/>
    <w:rsid w:val="00287011"/>
    <w:rsid w:val="002873C7"/>
    <w:rsid w:val="00287563"/>
    <w:rsid w:val="00287890"/>
    <w:rsid w:val="00287F25"/>
    <w:rsid w:val="00290604"/>
    <w:rsid w:val="002935CC"/>
    <w:rsid w:val="00293DBB"/>
    <w:rsid w:val="00294547"/>
    <w:rsid w:val="00294E1B"/>
    <w:rsid w:val="00295524"/>
    <w:rsid w:val="002A043A"/>
    <w:rsid w:val="002A0A6D"/>
    <w:rsid w:val="002A1D8C"/>
    <w:rsid w:val="002A2511"/>
    <w:rsid w:val="002A52DE"/>
    <w:rsid w:val="002A588D"/>
    <w:rsid w:val="002A6712"/>
    <w:rsid w:val="002A71A2"/>
    <w:rsid w:val="002A7969"/>
    <w:rsid w:val="002B02F9"/>
    <w:rsid w:val="002B16EC"/>
    <w:rsid w:val="002B1DFD"/>
    <w:rsid w:val="002B1E8B"/>
    <w:rsid w:val="002B2A7F"/>
    <w:rsid w:val="002B3890"/>
    <w:rsid w:val="002B3EE6"/>
    <w:rsid w:val="002B4794"/>
    <w:rsid w:val="002B601C"/>
    <w:rsid w:val="002B6092"/>
    <w:rsid w:val="002B68AB"/>
    <w:rsid w:val="002B7874"/>
    <w:rsid w:val="002B7999"/>
    <w:rsid w:val="002C00A7"/>
    <w:rsid w:val="002C145C"/>
    <w:rsid w:val="002C19DB"/>
    <w:rsid w:val="002C355B"/>
    <w:rsid w:val="002C3E5A"/>
    <w:rsid w:val="002C64F8"/>
    <w:rsid w:val="002D0CE7"/>
    <w:rsid w:val="002D1C88"/>
    <w:rsid w:val="002D2A86"/>
    <w:rsid w:val="002D2F49"/>
    <w:rsid w:val="002D32F6"/>
    <w:rsid w:val="002D352F"/>
    <w:rsid w:val="002D3CC3"/>
    <w:rsid w:val="002D488F"/>
    <w:rsid w:val="002D4BA3"/>
    <w:rsid w:val="002D512E"/>
    <w:rsid w:val="002D57E1"/>
    <w:rsid w:val="002D5832"/>
    <w:rsid w:val="002D602C"/>
    <w:rsid w:val="002D604C"/>
    <w:rsid w:val="002D6B91"/>
    <w:rsid w:val="002E0D09"/>
    <w:rsid w:val="002E1644"/>
    <w:rsid w:val="002E232D"/>
    <w:rsid w:val="002E334A"/>
    <w:rsid w:val="002E353C"/>
    <w:rsid w:val="002E362E"/>
    <w:rsid w:val="002E5381"/>
    <w:rsid w:val="002E612C"/>
    <w:rsid w:val="002EC6CE"/>
    <w:rsid w:val="002F017D"/>
    <w:rsid w:val="002F0DD5"/>
    <w:rsid w:val="002F1964"/>
    <w:rsid w:val="002F1FF4"/>
    <w:rsid w:val="002F6052"/>
    <w:rsid w:val="002F74F0"/>
    <w:rsid w:val="002F7B5D"/>
    <w:rsid w:val="00302318"/>
    <w:rsid w:val="0030252D"/>
    <w:rsid w:val="003067F6"/>
    <w:rsid w:val="00311410"/>
    <w:rsid w:val="00311B34"/>
    <w:rsid w:val="00312E15"/>
    <w:rsid w:val="0031465E"/>
    <w:rsid w:val="00317414"/>
    <w:rsid w:val="00317516"/>
    <w:rsid w:val="00317614"/>
    <w:rsid w:val="003203FB"/>
    <w:rsid w:val="0032063E"/>
    <w:rsid w:val="0032116D"/>
    <w:rsid w:val="0032137F"/>
    <w:rsid w:val="003218E4"/>
    <w:rsid w:val="00322EA1"/>
    <w:rsid w:val="003247EB"/>
    <w:rsid w:val="00324F13"/>
    <w:rsid w:val="00325FFB"/>
    <w:rsid w:val="003267B3"/>
    <w:rsid w:val="00326C29"/>
    <w:rsid w:val="00327071"/>
    <w:rsid w:val="00332150"/>
    <w:rsid w:val="00332E21"/>
    <w:rsid w:val="00333A9D"/>
    <w:rsid w:val="00334383"/>
    <w:rsid w:val="0033465A"/>
    <w:rsid w:val="00334AB9"/>
    <w:rsid w:val="003357AD"/>
    <w:rsid w:val="0033642B"/>
    <w:rsid w:val="0033710D"/>
    <w:rsid w:val="00337AE5"/>
    <w:rsid w:val="00340477"/>
    <w:rsid w:val="00340573"/>
    <w:rsid w:val="003405EC"/>
    <w:rsid w:val="0034130C"/>
    <w:rsid w:val="00341DEA"/>
    <w:rsid w:val="0034315E"/>
    <w:rsid w:val="003431EC"/>
    <w:rsid w:val="00344C67"/>
    <w:rsid w:val="00344FBE"/>
    <w:rsid w:val="0034502E"/>
    <w:rsid w:val="0034519B"/>
    <w:rsid w:val="003460A0"/>
    <w:rsid w:val="00347521"/>
    <w:rsid w:val="003501C1"/>
    <w:rsid w:val="00350B0F"/>
    <w:rsid w:val="00351B53"/>
    <w:rsid w:val="00352FA3"/>
    <w:rsid w:val="00354C22"/>
    <w:rsid w:val="0035599A"/>
    <w:rsid w:val="003563A2"/>
    <w:rsid w:val="003570D0"/>
    <w:rsid w:val="00357184"/>
    <w:rsid w:val="00360062"/>
    <w:rsid w:val="00361A5C"/>
    <w:rsid w:val="00361F4F"/>
    <w:rsid w:val="00361F99"/>
    <w:rsid w:val="003630AE"/>
    <w:rsid w:val="00363A2F"/>
    <w:rsid w:val="00364483"/>
    <w:rsid w:val="0036469A"/>
    <w:rsid w:val="00365F2B"/>
    <w:rsid w:val="003663A9"/>
    <w:rsid w:val="003667BB"/>
    <w:rsid w:val="00366F9E"/>
    <w:rsid w:val="003676B5"/>
    <w:rsid w:val="00367FD3"/>
    <w:rsid w:val="00370D3E"/>
    <w:rsid w:val="003713E9"/>
    <w:rsid w:val="00372B80"/>
    <w:rsid w:val="00373E57"/>
    <w:rsid w:val="0037430F"/>
    <w:rsid w:val="00374F29"/>
    <w:rsid w:val="003751D3"/>
    <w:rsid w:val="00375E40"/>
    <w:rsid w:val="00376423"/>
    <w:rsid w:val="00377CCB"/>
    <w:rsid w:val="0038001F"/>
    <w:rsid w:val="00380635"/>
    <w:rsid w:val="003815DB"/>
    <w:rsid w:val="00381661"/>
    <w:rsid w:val="00382341"/>
    <w:rsid w:val="003825C8"/>
    <w:rsid w:val="00382752"/>
    <w:rsid w:val="00384801"/>
    <w:rsid w:val="00385757"/>
    <w:rsid w:val="0038729E"/>
    <w:rsid w:val="003928B6"/>
    <w:rsid w:val="0039356C"/>
    <w:rsid w:val="00393980"/>
    <w:rsid w:val="00395574"/>
    <w:rsid w:val="00397982"/>
    <w:rsid w:val="003A3AD5"/>
    <w:rsid w:val="003A3E8F"/>
    <w:rsid w:val="003A42FB"/>
    <w:rsid w:val="003A4E05"/>
    <w:rsid w:val="003A4F82"/>
    <w:rsid w:val="003A601F"/>
    <w:rsid w:val="003A6982"/>
    <w:rsid w:val="003A753A"/>
    <w:rsid w:val="003A78FC"/>
    <w:rsid w:val="003B1A1D"/>
    <w:rsid w:val="003B48E0"/>
    <w:rsid w:val="003B6473"/>
    <w:rsid w:val="003B650C"/>
    <w:rsid w:val="003B6870"/>
    <w:rsid w:val="003B6CD7"/>
    <w:rsid w:val="003B7DCC"/>
    <w:rsid w:val="003C164E"/>
    <w:rsid w:val="003C1840"/>
    <w:rsid w:val="003C2A8D"/>
    <w:rsid w:val="003C3126"/>
    <w:rsid w:val="003C48E9"/>
    <w:rsid w:val="003C4B3C"/>
    <w:rsid w:val="003C5479"/>
    <w:rsid w:val="003C5AFE"/>
    <w:rsid w:val="003C5F3B"/>
    <w:rsid w:val="003C6B4B"/>
    <w:rsid w:val="003C7019"/>
    <w:rsid w:val="003D00A7"/>
    <w:rsid w:val="003D06D8"/>
    <w:rsid w:val="003D110A"/>
    <w:rsid w:val="003D1548"/>
    <w:rsid w:val="003D2296"/>
    <w:rsid w:val="003D5944"/>
    <w:rsid w:val="003D62F0"/>
    <w:rsid w:val="003D6878"/>
    <w:rsid w:val="003D6E8C"/>
    <w:rsid w:val="003D76FC"/>
    <w:rsid w:val="003E0D3C"/>
    <w:rsid w:val="003E1FF8"/>
    <w:rsid w:val="003E2E73"/>
    <w:rsid w:val="003E31B3"/>
    <w:rsid w:val="003E486E"/>
    <w:rsid w:val="003E5F0D"/>
    <w:rsid w:val="003E6A1B"/>
    <w:rsid w:val="003E6FDB"/>
    <w:rsid w:val="003E7809"/>
    <w:rsid w:val="003E7B5D"/>
    <w:rsid w:val="003F2804"/>
    <w:rsid w:val="003F2BE4"/>
    <w:rsid w:val="003F412C"/>
    <w:rsid w:val="003F6484"/>
    <w:rsid w:val="0040057B"/>
    <w:rsid w:val="0040084E"/>
    <w:rsid w:val="00401436"/>
    <w:rsid w:val="004015C0"/>
    <w:rsid w:val="0040164E"/>
    <w:rsid w:val="0040252C"/>
    <w:rsid w:val="0040394D"/>
    <w:rsid w:val="00405342"/>
    <w:rsid w:val="00407368"/>
    <w:rsid w:val="0041025C"/>
    <w:rsid w:val="0041205F"/>
    <w:rsid w:val="00413982"/>
    <w:rsid w:val="00414995"/>
    <w:rsid w:val="00415545"/>
    <w:rsid w:val="00415779"/>
    <w:rsid w:val="00415E51"/>
    <w:rsid w:val="00416CA2"/>
    <w:rsid w:val="00421BE3"/>
    <w:rsid w:val="004233FC"/>
    <w:rsid w:val="00423F47"/>
    <w:rsid w:val="0042484A"/>
    <w:rsid w:val="00425222"/>
    <w:rsid w:val="004270E2"/>
    <w:rsid w:val="00430A1B"/>
    <w:rsid w:val="00433057"/>
    <w:rsid w:val="00433C76"/>
    <w:rsid w:val="00434CDC"/>
    <w:rsid w:val="004369E6"/>
    <w:rsid w:val="00436C3F"/>
    <w:rsid w:val="00440357"/>
    <w:rsid w:val="004403FD"/>
    <w:rsid w:val="00440902"/>
    <w:rsid w:val="0044106E"/>
    <w:rsid w:val="00441117"/>
    <w:rsid w:val="00443A6A"/>
    <w:rsid w:val="0044466A"/>
    <w:rsid w:val="00444EC5"/>
    <w:rsid w:val="004452BF"/>
    <w:rsid w:val="00446FDD"/>
    <w:rsid w:val="0045022D"/>
    <w:rsid w:val="00450310"/>
    <w:rsid w:val="00450A76"/>
    <w:rsid w:val="00450DD2"/>
    <w:rsid w:val="00450EDD"/>
    <w:rsid w:val="00451B10"/>
    <w:rsid w:val="004526F8"/>
    <w:rsid w:val="00453667"/>
    <w:rsid w:val="00453E28"/>
    <w:rsid w:val="00454484"/>
    <w:rsid w:val="00454A53"/>
    <w:rsid w:val="0045592B"/>
    <w:rsid w:val="0045648D"/>
    <w:rsid w:val="00462FCB"/>
    <w:rsid w:val="0046344B"/>
    <w:rsid w:val="00463B81"/>
    <w:rsid w:val="00463ED6"/>
    <w:rsid w:val="004660B9"/>
    <w:rsid w:val="0046748A"/>
    <w:rsid w:val="00467FC8"/>
    <w:rsid w:val="00472713"/>
    <w:rsid w:val="00472E5E"/>
    <w:rsid w:val="004734DF"/>
    <w:rsid w:val="004739FD"/>
    <w:rsid w:val="00474034"/>
    <w:rsid w:val="00474247"/>
    <w:rsid w:val="004746AA"/>
    <w:rsid w:val="00480230"/>
    <w:rsid w:val="00480EC5"/>
    <w:rsid w:val="00481C38"/>
    <w:rsid w:val="004830FA"/>
    <w:rsid w:val="0048381A"/>
    <w:rsid w:val="00483D26"/>
    <w:rsid w:val="00486D7B"/>
    <w:rsid w:val="0048D4CE"/>
    <w:rsid w:val="00491353"/>
    <w:rsid w:val="00492A9F"/>
    <w:rsid w:val="00494530"/>
    <w:rsid w:val="0049727B"/>
    <w:rsid w:val="004A05A6"/>
    <w:rsid w:val="004A25C0"/>
    <w:rsid w:val="004A26CB"/>
    <w:rsid w:val="004A30C6"/>
    <w:rsid w:val="004A44BD"/>
    <w:rsid w:val="004A4730"/>
    <w:rsid w:val="004A5A5F"/>
    <w:rsid w:val="004A69FD"/>
    <w:rsid w:val="004B0068"/>
    <w:rsid w:val="004B432C"/>
    <w:rsid w:val="004B6620"/>
    <w:rsid w:val="004B6D5A"/>
    <w:rsid w:val="004B6E12"/>
    <w:rsid w:val="004B7EC5"/>
    <w:rsid w:val="004C0675"/>
    <w:rsid w:val="004C2843"/>
    <w:rsid w:val="004C2CF3"/>
    <w:rsid w:val="004C2CFC"/>
    <w:rsid w:val="004C33E1"/>
    <w:rsid w:val="004C3959"/>
    <w:rsid w:val="004C46ED"/>
    <w:rsid w:val="004C4BC6"/>
    <w:rsid w:val="004C65FD"/>
    <w:rsid w:val="004C79FC"/>
    <w:rsid w:val="004C7B59"/>
    <w:rsid w:val="004C7F6F"/>
    <w:rsid w:val="004D0161"/>
    <w:rsid w:val="004D1F8F"/>
    <w:rsid w:val="004D42A3"/>
    <w:rsid w:val="004D43C6"/>
    <w:rsid w:val="004D4913"/>
    <w:rsid w:val="004D4ADD"/>
    <w:rsid w:val="004D6447"/>
    <w:rsid w:val="004D68E7"/>
    <w:rsid w:val="004D73F5"/>
    <w:rsid w:val="004D7C2B"/>
    <w:rsid w:val="004E093E"/>
    <w:rsid w:val="004E0B22"/>
    <w:rsid w:val="004E2D2A"/>
    <w:rsid w:val="004E3570"/>
    <w:rsid w:val="004E3C51"/>
    <w:rsid w:val="004E7184"/>
    <w:rsid w:val="004E74D2"/>
    <w:rsid w:val="004E79E8"/>
    <w:rsid w:val="004E7D59"/>
    <w:rsid w:val="004E7F03"/>
    <w:rsid w:val="004F02BA"/>
    <w:rsid w:val="004F0B14"/>
    <w:rsid w:val="004F3FAD"/>
    <w:rsid w:val="004F42D4"/>
    <w:rsid w:val="004F57D0"/>
    <w:rsid w:val="004F6296"/>
    <w:rsid w:val="004F68C3"/>
    <w:rsid w:val="004F7406"/>
    <w:rsid w:val="00500ACB"/>
    <w:rsid w:val="0050142E"/>
    <w:rsid w:val="0050205C"/>
    <w:rsid w:val="00502127"/>
    <w:rsid w:val="00502441"/>
    <w:rsid w:val="0050275B"/>
    <w:rsid w:val="00502E13"/>
    <w:rsid w:val="00502F82"/>
    <w:rsid w:val="00503513"/>
    <w:rsid w:val="005042E8"/>
    <w:rsid w:val="00504D32"/>
    <w:rsid w:val="00504E7E"/>
    <w:rsid w:val="00504FF6"/>
    <w:rsid w:val="00505C86"/>
    <w:rsid w:val="005064B6"/>
    <w:rsid w:val="005066AE"/>
    <w:rsid w:val="00506791"/>
    <w:rsid w:val="005107BA"/>
    <w:rsid w:val="005119EE"/>
    <w:rsid w:val="00512BB5"/>
    <w:rsid w:val="00512CB2"/>
    <w:rsid w:val="00512DEE"/>
    <w:rsid w:val="005133C5"/>
    <w:rsid w:val="00513412"/>
    <w:rsid w:val="005149E1"/>
    <w:rsid w:val="00516C58"/>
    <w:rsid w:val="005179F4"/>
    <w:rsid w:val="00520CF0"/>
    <w:rsid w:val="00520FA5"/>
    <w:rsid w:val="0052113B"/>
    <w:rsid w:val="00522923"/>
    <w:rsid w:val="00525340"/>
    <w:rsid w:val="00525D45"/>
    <w:rsid w:val="00526727"/>
    <w:rsid w:val="00526D4C"/>
    <w:rsid w:val="00527939"/>
    <w:rsid w:val="0052795A"/>
    <w:rsid w:val="005301D0"/>
    <w:rsid w:val="0053048C"/>
    <w:rsid w:val="00530781"/>
    <w:rsid w:val="005308F0"/>
    <w:rsid w:val="00531388"/>
    <w:rsid w:val="005323D1"/>
    <w:rsid w:val="00533CD4"/>
    <w:rsid w:val="00536064"/>
    <w:rsid w:val="00536671"/>
    <w:rsid w:val="00537497"/>
    <w:rsid w:val="005409E1"/>
    <w:rsid w:val="005410D8"/>
    <w:rsid w:val="00541CE4"/>
    <w:rsid w:val="0054225A"/>
    <w:rsid w:val="0054261A"/>
    <w:rsid w:val="005431B6"/>
    <w:rsid w:val="00543DFF"/>
    <w:rsid w:val="0054485A"/>
    <w:rsid w:val="00546378"/>
    <w:rsid w:val="00546470"/>
    <w:rsid w:val="00546611"/>
    <w:rsid w:val="0054710B"/>
    <w:rsid w:val="0054778F"/>
    <w:rsid w:val="00547BDF"/>
    <w:rsid w:val="00550FA4"/>
    <w:rsid w:val="00551C60"/>
    <w:rsid w:val="00555A4B"/>
    <w:rsid w:val="005560A5"/>
    <w:rsid w:val="0055671D"/>
    <w:rsid w:val="005567DB"/>
    <w:rsid w:val="005574A1"/>
    <w:rsid w:val="00560267"/>
    <w:rsid w:val="00560504"/>
    <w:rsid w:val="00561A46"/>
    <w:rsid w:val="00561C9B"/>
    <w:rsid w:val="005622E0"/>
    <w:rsid w:val="00564A45"/>
    <w:rsid w:val="005656F9"/>
    <w:rsid w:val="00565915"/>
    <w:rsid w:val="00566171"/>
    <w:rsid w:val="005661D8"/>
    <w:rsid w:val="005708C7"/>
    <w:rsid w:val="00570D3B"/>
    <w:rsid w:val="00570EC0"/>
    <w:rsid w:val="00571C88"/>
    <w:rsid w:val="00571C8A"/>
    <w:rsid w:val="00571D23"/>
    <w:rsid w:val="00573E59"/>
    <w:rsid w:val="005747C8"/>
    <w:rsid w:val="00575D5A"/>
    <w:rsid w:val="00581545"/>
    <w:rsid w:val="0058175A"/>
    <w:rsid w:val="00583185"/>
    <w:rsid w:val="00583F3D"/>
    <w:rsid w:val="00584B54"/>
    <w:rsid w:val="00584E1F"/>
    <w:rsid w:val="0058787E"/>
    <w:rsid w:val="0058F91B"/>
    <w:rsid w:val="005902FB"/>
    <w:rsid w:val="00590310"/>
    <w:rsid w:val="005903F4"/>
    <w:rsid w:val="00593809"/>
    <w:rsid w:val="00594001"/>
    <w:rsid w:val="005945D3"/>
    <w:rsid w:val="005949F7"/>
    <w:rsid w:val="00594BC6"/>
    <w:rsid w:val="005954FA"/>
    <w:rsid w:val="00595CCA"/>
    <w:rsid w:val="0059717D"/>
    <w:rsid w:val="00597450"/>
    <w:rsid w:val="005A06D0"/>
    <w:rsid w:val="005A1CFE"/>
    <w:rsid w:val="005A2945"/>
    <w:rsid w:val="005A3BDF"/>
    <w:rsid w:val="005A4185"/>
    <w:rsid w:val="005A5348"/>
    <w:rsid w:val="005A5582"/>
    <w:rsid w:val="005A55B3"/>
    <w:rsid w:val="005A58F3"/>
    <w:rsid w:val="005B0CAF"/>
    <w:rsid w:val="005B127B"/>
    <w:rsid w:val="005B1BCF"/>
    <w:rsid w:val="005B2928"/>
    <w:rsid w:val="005B3DF9"/>
    <w:rsid w:val="005B501A"/>
    <w:rsid w:val="005B5055"/>
    <w:rsid w:val="005B5553"/>
    <w:rsid w:val="005B7213"/>
    <w:rsid w:val="005B72BA"/>
    <w:rsid w:val="005C0D0C"/>
    <w:rsid w:val="005C0DB3"/>
    <w:rsid w:val="005C0FAE"/>
    <w:rsid w:val="005C3534"/>
    <w:rsid w:val="005C40F3"/>
    <w:rsid w:val="005C5B25"/>
    <w:rsid w:val="005D036F"/>
    <w:rsid w:val="005D057A"/>
    <w:rsid w:val="005D077C"/>
    <w:rsid w:val="005D0E13"/>
    <w:rsid w:val="005D0F4B"/>
    <w:rsid w:val="005D13BE"/>
    <w:rsid w:val="005D3177"/>
    <w:rsid w:val="005D3582"/>
    <w:rsid w:val="005D4908"/>
    <w:rsid w:val="005D49E2"/>
    <w:rsid w:val="005D4C1B"/>
    <w:rsid w:val="005D5264"/>
    <w:rsid w:val="005D5AE1"/>
    <w:rsid w:val="005D7631"/>
    <w:rsid w:val="005D77B5"/>
    <w:rsid w:val="005E0411"/>
    <w:rsid w:val="005E0CA9"/>
    <w:rsid w:val="005E14B4"/>
    <w:rsid w:val="005E2D89"/>
    <w:rsid w:val="005E4245"/>
    <w:rsid w:val="005E495A"/>
    <w:rsid w:val="005E4FB8"/>
    <w:rsid w:val="005F1682"/>
    <w:rsid w:val="005F4681"/>
    <w:rsid w:val="005F4B70"/>
    <w:rsid w:val="005F5E77"/>
    <w:rsid w:val="005F6468"/>
    <w:rsid w:val="005F6940"/>
    <w:rsid w:val="005F69BF"/>
    <w:rsid w:val="00600A46"/>
    <w:rsid w:val="00600B40"/>
    <w:rsid w:val="006017C7"/>
    <w:rsid w:val="00601E89"/>
    <w:rsid w:val="00602179"/>
    <w:rsid w:val="00602BCA"/>
    <w:rsid w:val="0060316A"/>
    <w:rsid w:val="00603873"/>
    <w:rsid w:val="00603BC3"/>
    <w:rsid w:val="00605B9C"/>
    <w:rsid w:val="00605FA3"/>
    <w:rsid w:val="00607438"/>
    <w:rsid w:val="006101AC"/>
    <w:rsid w:val="006126DB"/>
    <w:rsid w:val="00613411"/>
    <w:rsid w:val="00615253"/>
    <w:rsid w:val="00615B9B"/>
    <w:rsid w:val="00617A07"/>
    <w:rsid w:val="00620AAA"/>
    <w:rsid w:val="00620BD1"/>
    <w:rsid w:val="006239CB"/>
    <w:rsid w:val="0062536E"/>
    <w:rsid w:val="006254D8"/>
    <w:rsid w:val="00630863"/>
    <w:rsid w:val="00632D11"/>
    <w:rsid w:val="00633ADD"/>
    <w:rsid w:val="00634729"/>
    <w:rsid w:val="00634900"/>
    <w:rsid w:val="00634A12"/>
    <w:rsid w:val="00634EDD"/>
    <w:rsid w:val="006351C9"/>
    <w:rsid w:val="00635794"/>
    <w:rsid w:val="00637357"/>
    <w:rsid w:val="00637428"/>
    <w:rsid w:val="00640581"/>
    <w:rsid w:val="00642D34"/>
    <w:rsid w:val="00645BC4"/>
    <w:rsid w:val="0064754F"/>
    <w:rsid w:val="00650B59"/>
    <w:rsid w:val="00653DE5"/>
    <w:rsid w:val="006547EC"/>
    <w:rsid w:val="00654AEC"/>
    <w:rsid w:val="00654D42"/>
    <w:rsid w:val="0065554D"/>
    <w:rsid w:val="00656EAB"/>
    <w:rsid w:val="0065C382"/>
    <w:rsid w:val="00660607"/>
    <w:rsid w:val="0066128E"/>
    <w:rsid w:val="00661796"/>
    <w:rsid w:val="00661C20"/>
    <w:rsid w:val="00662BDE"/>
    <w:rsid w:val="00663847"/>
    <w:rsid w:val="0066481A"/>
    <w:rsid w:val="00666011"/>
    <w:rsid w:val="00666DF9"/>
    <w:rsid w:val="00667B64"/>
    <w:rsid w:val="00667E33"/>
    <w:rsid w:val="00670309"/>
    <w:rsid w:val="00670959"/>
    <w:rsid w:val="00671C00"/>
    <w:rsid w:val="00672785"/>
    <w:rsid w:val="00673879"/>
    <w:rsid w:val="00673A7D"/>
    <w:rsid w:val="00674686"/>
    <w:rsid w:val="00675123"/>
    <w:rsid w:val="00676B22"/>
    <w:rsid w:val="00677E20"/>
    <w:rsid w:val="00677E7F"/>
    <w:rsid w:val="006826BF"/>
    <w:rsid w:val="006828B2"/>
    <w:rsid w:val="00682FC3"/>
    <w:rsid w:val="00684193"/>
    <w:rsid w:val="006855F3"/>
    <w:rsid w:val="006858B4"/>
    <w:rsid w:val="00686BC5"/>
    <w:rsid w:val="0068716A"/>
    <w:rsid w:val="006921A9"/>
    <w:rsid w:val="0069287E"/>
    <w:rsid w:val="00692D0F"/>
    <w:rsid w:val="00694C34"/>
    <w:rsid w:val="0069504A"/>
    <w:rsid w:val="0069524E"/>
    <w:rsid w:val="00696205"/>
    <w:rsid w:val="006970AE"/>
    <w:rsid w:val="00697FA9"/>
    <w:rsid w:val="006A1638"/>
    <w:rsid w:val="006A1E30"/>
    <w:rsid w:val="006A1F1D"/>
    <w:rsid w:val="006A2D5A"/>
    <w:rsid w:val="006A33C7"/>
    <w:rsid w:val="006A3D76"/>
    <w:rsid w:val="006A510B"/>
    <w:rsid w:val="006A650C"/>
    <w:rsid w:val="006A6591"/>
    <w:rsid w:val="006A687F"/>
    <w:rsid w:val="006A73E7"/>
    <w:rsid w:val="006B04D5"/>
    <w:rsid w:val="006B1F33"/>
    <w:rsid w:val="006B3069"/>
    <w:rsid w:val="006B3BB9"/>
    <w:rsid w:val="006B4BE3"/>
    <w:rsid w:val="006B53AC"/>
    <w:rsid w:val="006B61BE"/>
    <w:rsid w:val="006B7EBF"/>
    <w:rsid w:val="006C03C5"/>
    <w:rsid w:val="006C065E"/>
    <w:rsid w:val="006C0F74"/>
    <w:rsid w:val="006C213E"/>
    <w:rsid w:val="006C34F8"/>
    <w:rsid w:val="006C4005"/>
    <w:rsid w:val="006C4477"/>
    <w:rsid w:val="006C4B24"/>
    <w:rsid w:val="006C5D07"/>
    <w:rsid w:val="006C6293"/>
    <w:rsid w:val="006C79BF"/>
    <w:rsid w:val="006D080F"/>
    <w:rsid w:val="006D0F4A"/>
    <w:rsid w:val="006D102E"/>
    <w:rsid w:val="006D1401"/>
    <w:rsid w:val="006D1608"/>
    <w:rsid w:val="006D1D54"/>
    <w:rsid w:val="006D2FB7"/>
    <w:rsid w:val="006D396A"/>
    <w:rsid w:val="006D44DA"/>
    <w:rsid w:val="006D7BD2"/>
    <w:rsid w:val="006DFCEA"/>
    <w:rsid w:val="006E044C"/>
    <w:rsid w:val="006E0790"/>
    <w:rsid w:val="006E198F"/>
    <w:rsid w:val="006E1D06"/>
    <w:rsid w:val="006E29A6"/>
    <w:rsid w:val="006E333F"/>
    <w:rsid w:val="006E3F34"/>
    <w:rsid w:val="006E4C0D"/>
    <w:rsid w:val="006E5912"/>
    <w:rsid w:val="006E5E1A"/>
    <w:rsid w:val="006F174D"/>
    <w:rsid w:val="006F1ADA"/>
    <w:rsid w:val="006F1F97"/>
    <w:rsid w:val="006F36A6"/>
    <w:rsid w:val="006F3DAD"/>
    <w:rsid w:val="006F4370"/>
    <w:rsid w:val="006F56CD"/>
    <w:rsid w:val="006F660C"/>
    <w:rsid w:val="006F76A4"/>
    <w:rsid w:val="00700D5E"/>
    <w:rsid w:val="00701600"/>
    <w:rsid w:val="0070168D"/>
    <w:rsid w:val="00704454"/>
    <w:rsid w:val="00705E3A"/>
    <w:rsid w:val="007062CE"/>
    <w:rsid w:val="00707A39"/>
    <w:rsid w:val="00707B22"/>
    <w:rsid w:val="00711B17"/>
    <w:rsid w:val="00711D35"/>
    <w:rsid w:val="0071228C"/>
    <w:rsid w:val="00712B52"/>
    <w:rsid w:val="0071309B"/>
    <w:rsid w:val="00713205"/>
    <w:rsid w:val="00713683"/>
    <w:rsid w:val="00714143"/>
    <w:rsid w:val="00714B41"/>
    <w:rsid w:val="0071515B"/>
    <w:rsid w:val="0071771A"/>
    <w:rsid w:val="00720DB3"/>
    <w:rsid w:val="00721B44"/>
    <w:rsid w:val="00721B6B"/>
    <w:rsid w:val="0072293E"/>
    <w:rsid w:val="00722AA6"/>
    <w:rsid w:val="00723BFA"/>
    <w:rsid w:val="00725614"/>
    <w:rsid w:val="00726B76"/>
    <w:rsid w:val="00726BCE"/>
    <w:rsid w:val="007272FB"/>
    <w:rsid w:val="00727870"/>
    <w:rsid w:val="00727A6C"/>
    <w:rsid w:val="00730136"/>
    <w:rsid w:val="00730AB0"/>
    <w:rsid w:val="00730D27"/>
    <w:rsid w:val="00731570"/>
    <w:rsid w:val="00731D1F"/>
    <w:rsid w:val="00732327"/>
    <w:rsid w:val="00732DA9"/>
    <w:rsid w:val="007334E0"/>
    <w:rsid w:val="007337F4"/>
    <w:rsid w:val="00734C7A"/>
    <w:rsid w:val="007357A4"/>
    <w:rsid w:val="00736772"/>
    <w:rsid w:val="00737511"/>
    <w:rsid w:val="00740B86"/>
    <w:rsid w:val="00740CA6"/>
    <w:rsid w:val="0074180B"/>
    <w:rsid w:val="007432B4"/>
    <w:rsid w:val="00743689"/>
    <w:rsid w:val="00743F94"/>
    <w:rsid w:val="0074403E"/>
    <w:rsid w:val="00744F7D"/>
    <w:rsid w:val="00745266"/>
    <w:rsid w:val="00747131"/>
    <w:rsid w:val="00747ED7"/>
    <w:rsid w:val="007502A9"/>
    <w:rsid w:val="00752081"/>
    <w:rsid w:val="007554D4"/>
    <w:rsid w:val="00755A0C"/>
    <w:rsid w:val="00757784"/>
    <w:rsid w:val="007611F8"/>
    <w:rsid w:val="00761DB2"/>
    <w:rsid w:val="007647D5"/>
    <w:rsid w:val="0076540C"/>
    <w:rsid w:val="0077135C"/>
    <w:rsid w:val="007739BF"/>
    <w:rsid w:val="00773D55"/>
    <w:rsid w:val="007743EC"/>
    <w:rsid w:val="00774AA6"/>
    <w:rsid w:val="0077549A"/>
    <w:rsid w:val="00776B5B"/>
    <w:rsid w:val="00776D62"/>
    <w:rsid w:val="0077777F"/>
    <w:rsid w:val="007804D7"/>
    <w:rsid w:val="00780AD1"/>
    <w:rsid w:val="00781312"/>
    <w:rsid w:val="00783701"/>
    <w:rsid w:val="00783A01"/>
    <w:rsid w:val="00783F82"/>
    <w:rsid w:val="00784429"/>
    <w:rsid w:val="00785706"/>
    <w:rsid w:val="007864B2"/>
    <w:rsid w:val="00787BBC"/>
    <w:rsid w:val="00791907"/>
    <w:rsid w:val="007919A2"/>
    <w:rsid w:val="007923E9"/>
    <w:rsid w:val="00793DD6"/>
    <w:rsid w:val="0079451C"/>
    <w:rsid w:val="00794A00"/>
    <w:rsid w:val="00795198"/>
    <w:rsid w:val="007952CC"/>
    <w:rsid w:val="00795759"/>
    <w:rsid w:val="00795E06"/>
    <w:rsid w:val="00796933"/>
    <w:rsid w:val="00797D4B"/>
    <w:rsid w:val="007A0266"/>
    <w:rsid w:val="007A3053"/>
    <w:rsid w:val="007A497E"/>
    <w:rsid w:val="007A4B8D"/>
    <w:rsid w:val="007A610D"/>
    <w:rsid w:val="007A6BFA"/>
    <w:rsid w:val="007A78B5"/>
    <w:rsid w:val="007B3AE3"/>
    <w:rsid w:val="007B5696"/>
    <w:rsid w:val="007B596A"/>
    <w:rsid w:val="007B5A76"/>
    <w:rsid w:val="007B7427"/>
    <w:rsid w:val="007B7F95"/>
    <w:rsid w:val="007B8A93"/>
    <w:rsid w:val="007C0706"/>
    <w:rsid w:val="007C2885"/>
    <w:rsid w:val="007C4E78"/>
    <w:rsid w:val="007C4E7F"/>
    <w:rsid w:val="007C5492"/>
    <w:rsid w:val="007C965F"/>
    <w:rsid w:val="007D0643"/>
    <w:rsid w:val="007D1E7E"/>
    <w:rsid w:val="007D36BE"/>
    <w:rsid w:val="007D3F2D"/>
    <w:rsid w:val="007D3F36"/>
    <w:rsid w:val="007D44C3"/>
    <w:rsid w:val="007D543B"/>
    <w:rsid w:val="007D6338"/>
    <w:rsid w:val="007D7CC2"/>
    <w:rsid w:val="007D7FBD"/>
    <w:rsid w:val="007E0C12"/>
    <w:rsid w:val="007E1633"/>
    <w:rsid w:val="007E2272"/>
    <w:rsid w:val="007E420B"/>
    <w:rsid w:val="007E45FA"/>
    <w:rsid w:val="007E466F"/>
    <w:rsid w:val="007E51A5"/>
    <w:rsid w:val="007E5A68"/>
    <w:rsid w:val="007E5C14"/>
    <w:rsid w:val="007E5DAF"/>
    <w:rsid w:val="007E60BE"/>
    <w:rsid w:val="007E653D"/>
    <w:rsid w:val="007E68AF"/>
    <w:rsid w:val="007E6E08"/>
    <w:rsid w:val="007E738D"/>
    <w:rsid w:val="007F0174"/>
    <w:rsid w:val="007F1F0C"/>
    <w:rsid w:val="007F3DCC"/>
    <w:rsid w:val="007F413D"/>
    <w:rsid w:val="007F6BF6"/>
    <w:rsid w:val="00801D96"/>
    <w:rsid w:val="008020F2"/>
    <w:rsid w:val="008025ED"/>
    <w:rsid w:val="008029C4"/>
    <w:rsid w:val="00802C44"/>
    <w:rsid w:val="0080306A"/>
    <w:rsid w:val="0080392B"/>
    <w:rsid w:val="0080392E"/>
    <w:rsid w:val="00803F15"/>
    <w:rsid w:val="00805650"/>
    <w:rsid w:val="00806989"/>
    <w:rsid w:val="008073BA"/>
    <w:rsid w:val="00807BE6"/>
    <w:rsid w:val="008132B2"/>
    <w:rsid w:val="008138FE"/>
    <w:rsid w:val="00814037"/>
    <w:rsid w:val="008142C1"/>
    <w:rsid w:val="00814D38"/>
    <w:rsid w:val="00815A04"/>
    <w:rsid w:val="008163DE"/>
    <w:rsid w:val="00816CBB"/>
    <w:rsid w:val="00816DC9"/>
    <w:rsid w:val="0081742E"/>
    <w:rsid w:val="0081787B"/>
    <w:rsid w:val="00821038"/>
    <w:rsid w:val="00821A15"/>
    <w:rsid w:val="00821B48"/>
    <w:rsid w:val="00822463"/>
    <w:rsid w:val="008235FF"/>
    <w:rsid w:val="00823B7E"/>
    <w:rsid w:val="008242E4"/>
    <w:rsid w:val="0082540E"/>
    <w:rsid w:val="00830A06"/>
    <w:rsid w:val="008319CF"/>
    <w:rsid w:val="00832761"/>
    <w:rsid w:val="00832F4D"/>
    <w:rsid w:val="0083596D"/>
    <w:rsid w:val="008360C5"/>
    <w:rsid w:val="00837B06"/>
    <w:rsid w:val="00840D87"/>
    <w:rsid w:val="00842421"/>
    <w:rsid w:val="0084279C"/>
    <w:rsid w:val="008427B7"/>
    <w:rsid w:val="00844ADE"/>
    <w:rsid w:val="008454A0"/>
    <w:rsid w:val="00846D90"/>
    <w:rsid w:val="008472CB"/>
    <w:rsid w:val="008473CE"/>
    <w:rsid w:val="00850100"/>
    <w:rsid w:val="00850941"/>
    <w:rsid w:val="00850C75"/>
    <w:rsid w:val="008523C2"/>
    <w:rsid w:val="00852A3F"/>
    <w:rsid w:val="00852AC8"/>
    <w:rsid w:val="008539F3"/>
    <w:rsid w:val="00855323"/>
    <w:rsid w:val="0085583F"/>
    <w:rsid w:val="00855964"/>
    <w:rsid w:val="00856AAC"/>
    <w:rsid w:val="008573FC"/>
    <w:rsid w:val="0085761D"/>
    <w:rsid w:val="00860333"/>
    <w:rsid w:val="00860A79"/>
    <w:rsid w:val="00860C75"/>
    <w:rsid w:val="008616CA"/>
    <w:rsid w:val="00861DA9"/>
    <w:rsid w:val="00862AB7"/>
    <w:rsid w:val="00863E0B"/>
    <w:rsid w:val="00864AD6"/>
    <w:rsid w:val="00865AE9"/>
    <w:rsid w:val="008662BA"/>
    <w:rsid w:val="008671DC"/>
    <w:rsid w:val="008706D1"/>
    <w:rsid w:val="00870946"/>
    <w:rsid w:val="00870BC1"/>
    <w:rsid w:val="00870FFD"/>
    <w:rsid w:val="0087287A"/>
    <w:rsid w:val="00876B94"/>
    <w:rsid w:val="00877F54"/>
    <w:rsid w:val="00881F09"/>
    <w:rsid w:val="008821B4"/>
    <w:rsid w:val="0088296C"/>
    <w:rsid w:val="008829F1"/>
    <w:rsid w:val="00883EA6"/>
    <w:rsid w:val="008850CF"/>
    <w:rsid w:val="008865FD"/>
    <w:rsid w:val="00890630"/>
    <w:rsid w:val="008908C9"/>
    <w:rsid w:val="00890CC6"/>
    <w:rsid w:val="00891364"/>
    <w:rsid w:val="008919B7"/>
    <w:rsid w:val="00891C0F"/>
    <w:rsid w:val="00891E42"/>
    <w:rsid w:val="00892047"/>
    <w:rsid w:val="0089256D"/>
    <w:rsid w:val="00894659"/>
    <w:rsid w:val="0089491F"/>
    <w:rsid w:val="00894C34"/>
    <w:rsid w:val="00895B28"/>
    <w:rsid w:val="00895BC6"/>
    <w:rsid w:val="0089626F"/>
    <w:rsid w:val="00896285"/>
    <w:rsid w:val="00896995"/>
    <w:rsid w:val="00896DB8"/>
    <w:rsid w:val="00896EAA"/>
    <w:rsid w:val="00897456"/>
    <w:rsid w:val="008977AC"/>
    <w:rsid w:val="00897857"/>
    <w:rsid w:val="008A0ED6"/>
    <w:rsid w:val="008A1CBD"/>
    <w:rsid w:val="008A2869"/>
    <w:rsid w:val="008A2D17"/>
    <w:rsid w:val="008A2D66"/>
    <w:rsid w:val="008A34CC"/>
    <w:rsid w:val="008A57B0"/>
    <w:rsid w:val="008A6631"/>
    <w:rsid w:val="008A6A91"/>
    <w:rsid w:val="008A71D6"/>
    <w:rsid w:val="008A75FE"/>
    <w:rsid w:val="008B08CD"/>
    <w:rsid w:val="008B2797"/>
    <w:rsid w:val="008B2895"/>
    <w:rsid w:val="008B2EE8"/>
    <w:rsid w:val="008B3A29"/>
    <w:rsid w:val="008B3B23"/>
    <w:rsid w:val="008B4110"/>
    <w:rsid w:val="008B417F"/>
    <w:rsid w:val="008B57F0"/>
    <w:rsid w:val="008B5EBD"/>
    <w:rsid w:val="008B6241"/>
    <w:rsid w:val="008B7B0B"/>
    <w:rsid w:val="008C1440"/>
    <w:rsid w:val="008C1B3B"/>
    <w:rsid w:val="008C24B9"/>
    <w:rsid w:val="008C308C"/>
    <w:rsid w:val="008C3C9F"/>
    <w:rsid w:val="008C43A4"/>
    <w:rsid w:val="008C612F"/>
    <w:rsid w:val="008C6BC6"/>
    <w:rsid w:val="008C6C43"/>
    <w:rsid w:val="008C73AA"/>
    <w:rsid w:val="008C7594"/>
    <w:rsid w:val="008D017B"/>
    <w:rsid w:val="008D0A76"/>
    <w:rsid w:val="008D34F6"/>
    <w:rsid w:val="008D5024"/>
    <w:rsid w:val="008D5A15"/>
    <w:rsid w:val="008D62A4"/>
    <w:rsid w:val="008E114D"/>
    <w:rsid w:val="008E3469"/>
    <w:rsid w:val="008E5640"/>
    <w:rsid w:val="008F4A13"/>
    <w:rsid w:val="008F5077"/>
    <w:rsid w:val="008F5A12"/>
    <w:rsid w:val="008F5B98"/>
    <w:rsid w:val="008F6A58"/>
    <w:rsid w:val="008F7011"/>
    <w:rsid w:val="008F71ED"/>
    <w:rsid w:val="00902A22"/>
    <w:rsid w:val="00902B6B"/>
    <w:rsid w:val="0090308D"/>
    <w:rsid w:val="0090347E"/>
    <w:rsid w:val="00904845"/>
    <w:rsid w:val="00904E11"/>
    <w:rsid w:val="00905691"/>
    <w:rsid w:val="0090629A"/>
    <w:rsid w:val="00906517"/>
    <w:rsid w:val="009098B3"/>
    <w:rsid w:val="0091022A"/>
    <w:rsid w:val="00910AC9"/>
    <w:rsid w:val="0091195E"/>
    <w:rsid w:val="00912324"/>
    <w:rsid w:val="00912401"/>
    <w:rsid w:val="00912746"/>
    <w:rsid w:val="00912B47"/>
    <w:rsid w:val="0091388F"/>
    <w:rsid w:val="00920B3F"/>
    <w:rsid w:val="00920CD4"/>
    <w:rsid w:val="009223B5"/>
    <w:rsid w:val="00922D94"/>
    <w:rsid w:val="00922E6B"/>
    <w:rsid w:val="00923F09"/>
    <w:rsid w:val="0092577F"/>
    <w:rsid w:val="009265F4"/>
    <w:rsid w:val="009314FD"/>
    <w:rsid w:val="009322BD"/>
    <w:rsid w:val="0093262D"/>
    <w:rsid w:val="0093399D"/>
    <w:rsid w:val="00934783"/>
    <w:rsid w:val="009347A4"/>
    <w:rsid w:val="00935151"/>
    <w:rsid w:val="00936570"/>
    <w:rsid w:val="0093679F"/>
    <w:rsid w:val="0094122A"/>
    <w:rsid w:val="00941C32"/>
    <w:rsid w:val="00941ECD"/>
    <w:rsid w:val="00942BED"/>
    <w:rsid w:val="009444B4"/>
    <w:rsid w:val="009457C6"/>
    <w:rsid w:val="00947196"/>
    <w:rsid w:val="009471EA"/>
    <w:rsid w:val="00950185"/>
    <w:rsid w:val="009507D8"/>
    <w:rsid w:val="009521ED"/>
    <w:rsid w:val="009534E0"/>
    <w:rsid w:val="00953AEE"/>
    <w:rsid w:val="00955030"/>
    <w:rsid w:val="00955618"/>
    <w:rsid w:val="00956433"/>
    <w:rsid w:val="0095686E"/>
    <w:rsid w:val="0095739B"/>
    <w:rsid w:val="00957577"/>
    <w:rsid w:val="00957ADC"/>
    <w:rsid w:val="00957B9C"/>
    <w:rsid w:val="0096020D"/>
    <w:rsid w:val="009605A6"/>
    <w:rsid w:val="009605E7"/>
    <w:rsid w:val="009615B1"/>
    <w:rsid w:val="00961FF7"/>
    <w:rsid w:val="00962622"/>
    <w:rsid w:val="0096321B"/>
    <w:rsid w:val="00963B4A"/>
    <w:rsid w:val="00963CAE"/>
    <w:rsid w:val="009640BB"/>
    <w:rsid w:val="00965779"/>
    <w:rsid w:val="00967962"/>
    <w:rsid w:val="00967B1B"/>
    <w:rsid w:val="0097132F"/>
    <w:rsid w:val="009719A9"/>
    <w:rsid w:val="009738A5"/>
    <w:rsid w:val="00974F28"/>
    <w:rsid w:val="00975FD9"/>
    <w:rsid w:val="00977022"/>
    <w:rsid w:val="00977506"/>
    <w:rsid w:val="00977822"/>
    <w:rsid w:val="0097794A"/>
    <w:rsid w:val="00980DE1"/>
    <w:rsid w:val="0098258D"/>
    <w:rsid w:val="00982FB1"/>
    <w:rsid w:val="009831E4"/>
    <w:rsid w:val="0098321C"/>
    <w:rsid w:val="00983602"/>
    <w:rsid w:val="009838F4"/>
    <w:rsid w:val="00986D8D"/>
    <w:rsid w:val="00987933"/>
    <w:rsid w:val="00987B19"/>
    <w:rsid w:val="00990239"/>
    <w:rsid w:val="00990823"/>
    <w:rsid w:val="00990835"/>
    <w:rsid w:val="00990B4D"/>
    <w:rsid w:val="0099172D"/>
    <w:rsid w:val="00991A8D"/>
    <w:rsid w:val="00991C3D"/>
    <w:rsid w:val="00991CB2"/>
    <w:rsid w:val="00992C6E"/>
    <w:rsid w:val="00993FAD"/>
    <w:rsid w:val="00995959"/>
    <w:rsid w:val="00995A65"/>
    <w:rsid w:val="009975DF"/>
    <w:rsid w:val="009A0C4B"/>
    <w:rsid w:val="009A24B0"/>
    <w:rsid w:val="009A2D2A"/>
    <w:rsid w:val="009A6438"/>
    <w:rsid w:val="009A6575"/>
    <w:rsid w:val="009A6C87"/>
    <w:rsid w:val="009A776F"/>
    <w:rsid w:val="009A781D"/>
    <w:rsid w:val="009A794C"/>
    <w:rsid w:val="009B0851"/>
    <w:rsid w:val="009B17D0"/>
    <w:rsid w:val="009B3143"/>
    <w:rsid w:val="009B34F3"/>
    <w:rsid w:val="009B5474"/>
    <w:rsid w:val="009B64F6"/>
    <w:rsid w:val="009B6688"/>
    <w:rsid w:val="009B769A"/>
    <w:rsid w:val="009B7B1A"/>
    <w:rsid w:val="009C0041"/>
    <w:rsid w:val="009C2C2D"/>
    <w:rsid w:val="009C2FCB"/>
    <w:rsid w:val="009C58BD"/>
    <w:rsid w:val="009C5C87"/>
    <w:rsid w:val="009C6CA7"/>
    <w:rsid w:val="009C6F2E"/>
    <w:rsid w:val="009C7531"/>
    <w:rsid w:val="009C79A3"/>
    <w:rsid w:val="009C79FC"/>
    <w:rsid w:val="009D06AD"/>
    <w:rsid w:val="009D1566"/>
    <w:rsid w:val="009D2489"/>
    <w:rsid w:val="009D2584"/>
    <w:rsid w:val="009D2F8F"/>
    <w:rsid w:val="009D3325"/>
    <w:rsid w:val="009D351F"/>
    <w:rsid w:val="009D4B40"/>
    <w:rsid w:val="009D5300"/>
    <w:rsid w:val="009D5DEA"/>
    <w:rsid w:val="009D6508"/>
    <w:rsid w:val="009D67F8"/>
    <w:rsid w:val="009D71C5"/>
    <w:rsid w:val="009D747C"/>
    <w:rsid w:val="009D7F35"/>
    <w:rsid w:val="009D7F4C"/>
    <w:rsid w:val="009E045C"/>
    <w:rsid w:val="009E1396"/>
    <w:rsid w:val="009E2874"/>
    <w:rsid w:val="009E2C6E"/>
    <w:rsid w:val="009E3839"/>
    <w:rsid w:val="009E4CE6"/>
    <w:rsid w:val="009E64B1"/>
    <w:rsid w:val="009E7D3A"/>
    <w:rsid w:val="009F082A"/>
    <w:rsid w:val="009F178C"/>
    <w:rsid w:val="009F180B"/>
    <w:rsid w:val="009F1DF0"/>
    <w:rsid w:val="009F33FE"/>
    <w:rsid w:val="009F4BA3"/>
    <w:rsid w:val="009F6B45"/>
    <w:rsid w:val="009F6CE6"/>
    <w:rsid w:val="009F71F6"/>
    <w:rsid w:val="00A00FCD"/>
    <w:rsid w:val="00A01484"/>
    <w:rsid w:val="00A03997"/>
    <w:rsid w:val="00A040DB"/>
    <w:rsid w:val="00A046A6"/>
    <w:rsid w:val="00A04A33"/>
    <w:rsid w:val="00A04D10"/>
    <w:rsid w:val="00A05B7E"/>
    <w:rsid w:val="00A05E60"/>
    <w:rsid w:val="00A079CB"/>
    <w:rsid w:val="00A1047C"/>
    <w:rsid w:val="00A112F7"/>
    <w:rsid w:val="00A11F34"/>
    <w:rsid w:val="00A14409"/>
    <w:rsid w:val="00A145BC"/>
    <w:rsid w:val="00A16015"/>
    <w:rsid w:val="00A1694F"/>
    <w:rsid w:val="00A16CE6"/>
    <w:rsid w:val="00A208F5"/>
    <w:rsid w:val="00A23D68"/>
    <w:rsid w:val="00A2415D"/>
    <w:rsid w:val="00A245E2"/>
    <w:rsid w:val="00A24D71"/>
    <w:rsid w:val="00A24F18"/>
    <w:rsid w:val="00A263E2"/>
    <w:rsid w:val="00A2669E"/>
    <w:rsid w:val="00A26EFC"/>
    <w:rsid w:val="00A27907"/>
    <w:rsid w:val="00A30901"/>
    <w:rsid w:val="00A30947"/>
    <w:rsid w:val="00A318AA"/>
    <w:rsid w:val="00A31D09"/>
    <w:rsid w:val="00A3221C"/>
    <w:rsid w:val="00A32241"/>
    <w:rsid w:val="00A3233D"/>
    <w:rsid w:val="00A3379B"/>
    <w:rsid w:val="00A34FA2"/>
    <w:rsid w:val="00A35315"/>
    <w:rsid w:val="00A36D59"/>
    <w:rsid w:val="00A37084"/>
    <w:rsid w:val="00A374DB"/>
    <w:rsid w:val="00A39B8A"/>
    <w:rsid w:val="00A41AB5"/>
    <w:rsid w:val="00A42A4D"/>
    <w:rsid w:val="00A42B7B"/>
    <w:rsid w:val="00A42E59"/>
    <w:rsid w:val="00A43797"/>
    <w:rsid w:val="00A440D1"/>
    <w:rsid w:val="00A44CBF"/>
    <w:rsid w:val="00A4578F"/>
    <w:rsid w:val="00A46258"/>
    <w:rsid w:val="00A462CB"/>
    <w:rsid w:val="00A467A5"/>
    <w:rsid w:val="00A4694E"/>
    <w:rsid w:val="00A47296"/>
    <w:rsid w:val="00A50E9C"/>
    <w:rsid w:val="00A5162C"/>
    <w:rsid w:val="00A5279B"/>
    <w:rsid w:val="00A527AF"/>
    <w:rsid w:val="00A52A76"/>
    <w:rsid w:val="00A53196"/>
    <w:rsid w:val="00A53629"/>
    <w:rsid w:val="00A54EE4"/>
    <w:rsid w:val="00A551F0"/>
    <w:rsid w:val="00A55396"/>
    <w:rsid w:val="00A557B2"/>
    <w:rsid w:val="00A572AB"/>
    <w:rsid w:val="00A60775"/>
    <w:rsid w:val="00A60D8A"/>
    <w:rsid w:val="00A6376A"/>
    <w:rsid w:val="00A639CC"/>
    <w:rsid w:val="00A643CD"/>
    <w:rsid w:val="00A66152"/>
    <w:rsid w:val="00A66890"/>
    <w:rsid w:val="00A669CF"/>
    <w:rsid w:val="00A6DEFD"/>
    <w:rsid w:val="00A7158A"/>
    <w:rsid w:val="00A72CC9"/>
    <w:rsid w:val="00A753BE"/>
    <w:rsid w:val="00A7550B"/>
    <w:rsid w:val="00A75946"/>
    <w:rsid w:val="00A76C95"/>
    <w:rsid w:val="00A76FAD"/>
    <w:rsid w:val="00A80135"/>
    <w:rsid w:val="00A809B2"/>
    <w:rsid w:val="00A831A9"/>
    <w:rsid w:val="00A87B79"/>
    <w:rsid w:val="00A909B4"/>
    <w:rsid w:val="00A921A9"/>
    <w:rsid w:val="00A93818"/>
    <w:rsid w:val="00A93E8C"/>
    <w:rsid w:val="00A94D5C"/>
    <w:rsid w:val="00A95006"/>
    <w:rsid w:val="00A95C3E"/>
    <w:rsid w:val="00A96B54"/>
    <w:rsid w:val="00A973A9"/>
    <w:rsid w:val="00A9747D"/>
    <w:rsid w:val="00A97B4B"/>
    <w:rsid w:val="00AA0616"/>
    <w:rsid w:val="00AA1056"/>
    <w:rsid w:val="00AA1A59"/>
    <w:rsid w:val="00AA2F7E"/>
    <w:rsid w:val="00AA36EF"/>
    <w:rsid w:val="00AA371D"/>
    <w:rsid w:val="00AA3A1C"/>
    <w:rsid w:val="00AA44FA"/>
    <w:rsid w:val="00AA5087"/>
    <w:rsid w:val="00AA640E"/>
    <w:rsid w:val="00AA7F21"/>
    <w:rsid w:val="00AB0E29"/>
    <w:rsid w:val="00AB1AE9"/>
    <w:rsid w:val="00AB247E"/>
    <w:rsid w:val="00AB2E81"/>
    <w:rsid w:val="00AB4E94"/>
    <w:rsid w:val="00AB504C"/>
    <w:rsid w:val="00AB5E58"/>
    <w:rsid w:val="00AB5FF6"/>
    <w:rsid w:val="00AB69F0"/>
    <w:rsid w:val="00AB739E"/>
    <w:rsid w:val="00AB7A2F"/>
    <w:rsid w:val="00AC1BB3"/>
    <w:rsid w:val="00AC351C"/>
    <w:rsid w:val="00AC3E4C"/>
    <w:rsid w:val="00AC48E7"/>
    <w:rsid w:val="00AC52F6"/>
    <w:rsid w:val="00AC6D2B"/>
    <w:rsid w:val="00AD0A75"/>
    <w:rsid w:val="00AD1716"/>
    <w:rsid w:val="00AD1DA0"/>
    <w:rsid w:val="00AD2E5B"/>
    <w:rsid w:val="00AD4E47"/>
    <w:rsid w:val="00AD7F7B"/>
    <w:rsid w:val="00AE08A8"/>
    <w:rsid w:val="00AE1406"/>
    <w:rsid w:val="00AE1591"/>
    <w:rsid w:val="00AE1598"/>
    <w:rsid w:val="00AE20B4"/>
    <w:rsid w:val="00AE277D"/>
    <w:rsid w:val="00AE38FA"/>
    <w:rsid w:val="00AE4D44"/>
    <w:rsid w:val="00AE4E8D"/>
    <w:rsid w:val="00AF14BB"/>
    <w:rsid w:val="00AF18A3"/>
    <w:rsid w:val="00AF1BC6"/>
    <w:rsid w:val="00AF1DD7"/>
    <w:rsid w:val="00AF24CD"/>
    <w:rsid w:val="00AF3A4C"/>
    <w:rsid w:val="00AF4C85"/>
    <w:rsid w:val="00AF52AE"/>
    <w:rsid w:val="00AF5B01"/>
    <w:rsid w:val="00AF5FE1"/>
    <w:rsid w:val="00AF68F3"/>
    <w:rsid w:val="00AF7579"/>
    <w:rsid w:val="00B012F1"/>
    <w:rsid w:val="00B01DAE"/>
    <w:rsid w:val="00B038C6"/>
    <w:rsid w:val="00B04245"/>
    <w:rsid w:val="00B048D7"/>
    <w:rsid w:val="00B05BF0"/>
    <w:rsid w:val="00B069C7"/>
    <w:rsid w:val="00B07528"/>
    <w:rsid w:val="00B07D64"/>
    <w:rsid w:val="00B12435"/>
    <w:rsid w:val="00B12889"/>
    <w:rsid w:val="00B13692"/>
    <w:rsid w:val="00B15B64"/>
    <w:rsid w:val="00B169B5"/>
    <w:rsid w:val="00B176D6"/>
    <w:rsid w:val="00B17771"/>
    <w:rsid w:val="00B17D2D"/>
    <w:rsid w:val="00B1F38C"/>
    <w:rsid w:val="00B20C43"/>
    <w:rsid w:val="00B21E39"/>
    <w:rsid w:val="00B226E8"/>
    <w:rsid w:val="00B23973"/>
    <w:rsid w:val="00B23B8F"/>
    <w:rsid w:val="00B24958"/>
    <w:rsid w:val="00B250E7"/>
    <w:rsid w:val="00B252B2"/>
    <w:rsid w:val="00B256AB"/>
    <w:rsid w:val="00B25A6D"/>
    <w:rsid w:val="00B2798C"/>
    <w:rsid w:val="00B30CA9"/>
    <w:rsid w:val="00B30EB8"/>
    <w:rsid w:val="00B310C4"/>
    <w:rsid w:val="00B31383"/>
    <w:rsid w:val="00B31FCF"/>
    <w:rsid w:val="00B3216A"/>
    <w:rsid w:val="00B3311D"/>
    <w:rsid w:val="00B34BF4"/>
    <w:rsid w:val="00B36B93"/>
    <w:rsid w:val="00B37080"/>
    <w:rsid w:val="00B40BD7"/>
    <w:rsid w:val="00B421B0"/>
    <w:rsid w:val="00B4246F"/>
    <w:rsid w:val="00B4252A"/>
    <w:rsid w:val="00B43AF6"/>
    <w:rsid w:val="00B44005"/>
    <w:rsid w:val="00B447D9"/>
    <w:rsid w:val="00B45451"/>
    <w:rsid w:val="00B45E4E"/>
    <w:rsid w:val="00B46A20"/>
    <w:rsid w:val="00B527D3"/>
    <w:rsid w:val="00B52ED4"/>
    <w:rsid w:val="00B53468"/>
    <w:rsid w:val="00B56143"/>
    <w:rsid w:val="00B568FB"/>
    <w:rsid w:val="00B60A99"/>
    <w:rsid w:val="00B621AF"/>
    <w:rsid w:val="00B62763"/>
    <w:rsid w:val="00B64322"/>
    <w:rsid w:val="00B64991"/>
    <w:rsid w:val="00B65799"/>
    <w:rsid w:val="00B6600D"/>
    <w:rsid w:val="00B708B9"/>
    <w:rsid w:val="00B72722"/>
    <w:rsid w:val="00B72AF7"/>
    <w:rsid w:val="00B72B56"/>
    <w:rsid w:val="00B72FB9"/>
    <w:rsid w:val="00B731B3"/>
    <w:rsid w:val="00B74782"/>
    <w:rsid w:val="00B751C7"/>
    <w:rsid w:val="00B759FB"/>
    <w:rsid w:val="00B77EFB"/>
    <w:rsid w:val="00B80855"/>
    <w:rsid w:val="00B80C46"/>
    <w:rsid w:val="00B80C77"/>
    <w:rsid w:val="00B81202"/>
    <w:rsid w:val="00B81608"/>
    <w:rsid w:val="00B81743"/>
    <w:rsid w:val="00B8307A"/>
    <w:rsid w:val="00B83310"/>
    <w:rsid w:val="00B833DB"/>
    <w:rsid w:val="00B8377C"/>
    <w:rsid w:val="00B83853"/>
    <w:rsid w:val="00B83E84"/>
    <w:rsid w:val="00B85A26"/>
    <w:rsid w:val="00B86A45"/>
    <w:rsid w:val="00B86E1E"/>
    <w:rsid w:val="00B879C3"/>
    <w:rsid w:val="00B95880"/>
    <w:rsid w:val="00B96362"/>
    <w:rsid w:val="00B96B60"/>
    <w:rsid w:val="00B97845"/>
    <w:rsid w:val="00B97D30"/>
    <w:rsid w:val="00BA1A16"/>
    <w:rsid w:val="00BA1C01"/>
    <w:rsid w:val="00BA26EB"/>
    <w:rsid w:val="00BA372D"/>
    <w:rsid w:val="00BA3A36"/>
    <w:rsid w:val="00BA3B6D"/>
    <w:rsid w:val="00BA4C1D"/>
    <w:rsid w:val="00BA5744"/>
    <w:rsid w:val="00BA6204"/>
    <w:rsid w:val="00BA70FA"/>
    <w:rsid w:val="00BA7948"/>
    <w:rsid w:val="00BB1275"/>
    <w:rsid w:val="00BB13B7"/>
    <w:rsid w:val="00BB1EBB"/>
    <w:rsid w:val="00BB2DD7"/>
    <w:rsid w:val="00BB3584"/>
    <w:rsid w:val="00BB439D"/>
    <w:rsid w:val="00BB57B2"/>
    <w:rsid w:val="00BB5C0E"/>
    <w:rsid w:val="00BB6A86"/>
    <w:rsid w:val="00BB7AA4"/>
    <w:rsid w:val="00BC0400"/>
    <w:rsid w:val="00BC1797"/>
    <w:rsid w:val="00BC3193"/>
    <w:rsid w:val="00BC3521"/>
    <w:rsid w:val="00BC3734"/>
    <w:rsid w:val="00BC3837"/>
    <w:rsid w:val="00BC3C21"/>
    <w:rsid w:val="00BC3D56"/>
    <w:rsid w:val="00BC652E"/>
    <w:rsid w:val="00BD00AA"/>
    <w:rsid w:val="00BD1EA4"/>
    <w:rsid w:val="00BD3518"/>
    <w:rsid w:val="00BD3E8A"/>
    <w:rsid w:val="00BD4128"/>
    <w:rsid w:val="00BD55A3"/>
    <w:rsid w:val="00BD5A4D"/>
    <w:rsid w:val="00BD60D8"/>
    <w:rsid w:val="00BD6168"/>
    <w:rsid w:val="00BD632A"/>
    <w:rsid w:val="00BD6454"/>
    <w:rsid w:val="00BD7DC2"/>
    <w:rsid w:val="00BE2789"/>
    <w:rsid w:val="00BE337C"/>
    <w:rsid w:val="00BE4892"/>
    <w:rsid w:val="00BE49DF"/>
    <w:rsid w:val="00BE52F8"/>
    <w:rsid w:val="00BE5BCF"/>
    <w:rsid w:val="00BE64D4"/>
    <w:rsid w:val="00BEC9A2"/>
    <w:rsid w:val="00BF1F2E"/>
    <w:rsid w:val="00BF267B"/>
    <w:rsid w:val="00BF3312"/>
    <w:rsid w:val="00BF38E7"/>
    <w:rsid w:val="00BF44A3"/>
    <w:rsid w:val="00BF4A1D"/>
    <w:rsid w:val="00BF4CC5"/>
    <w:rsid w:val="00BF5F80"/>
    <w:rsid w:val="00BF77EE"/>
    <w:rsid w:val="00C015AD"/>
    <w:rsid w:val="00C01CDF"/>
    <w:rsid w:val="00C030EC"/>
    <w:rsid w:val="00C03AA6"/>
    <w:rsid w:val="00C03F50"/>
    <w:rsid w:val="00C04579"/>
    <w:rsid w:val="00C047DF"/>
    <w:rsid w:val="00C05704"/>
    <w:rsid w:val="00C10038"/>
    <w:rsid w:val="00C10DF9"/>
    <w:rsid w:val="00C10E2B"/>
    <w:rsid w:val="00C1393C"/>
    <w:rsid w:val="00C157D3"/>
    <w:rsid w:val="00C1649C"/>
    <w:rsid w:val="00C1659C"/>
    <w:rsid w:val="00C17123"/>
    <w:rsid w:val="00C17D1B"/>
    <w:rsid w:val="00C2034D"/>
    <w:rsid w:val="00C21BBE"/>
    <w:rsid w:val="00C221E7"/>
    <w:rsid w:val="00C22750"/>
    <w:rsid w:val="00C230CC"/>
    <w:rsid w:val="00C23A15"/>
    <w:rsid w:val="00C2400D"/>
    <w:rsid w:val="00C2411D"/>
    <w:rsid w:val="00C24952"/>
    <w:rsid w:val="00C24E03"/>
    <w:rsid w:val="00C25310"/>
    <w:rsid w:val="00C26B10"/>
    <w:rsid w:val="00C26E42"/>
    <w:rsid w:val="00C27BE6"/>
    <w:rsid w:val="00C2B481"/>
    <w:rsid w:val="00C307A7"/>
    <w:rsid w:val="00C30D60"/>
    <w:rsid w:val="00C3226C"/>
    <w:rsid w:val="00C32D9D"/>
    <w:rsid w:val="00C3339F"/>
    <w:rsid w:val="00C35543"/>
    <w:rsid w:val="00C35620"/>
    <w:rsid w:val="00C362B0"/>
    <w:rsid w:val="00C36669"/>
    <w:rsid w:val="00C37B4E"/>
    <w:rsid w:val="00C4189D"/>
    <w:rsid w:val="00C42F1C"/>
    <w:rsid w:val="00C430C9"/>
    <w:rsid w:val="00C43740"/>
    <w:rsid w:val="00C43BC5"/>
    <w:rsid w:val="00C44093"/>
    <w:rsid w:val="00C44113"/>
    <w:rsid w:val="00C44753"/>
    <w:rsid w:val="00C456DC"/>
    <w:rsid w:val="00C45FD0"/>
    <w:rsid w:val="00C4709E"/>
    <w:rsid w:val="00C478D0"/>
    <w:rsid w:val="00C5066A"/>
    <w:rsid w:val="00C51769"/>
    <w:rsid w:val="00C5185F"/>
    <w:rsid w:val="00C51F2B"/>
    <w:rsid w:val="00C528A6"/>
    <w:rsid w:val="00C5299A"/>
    <w:rsid w:val="00C5366C"/>
    <w:rsid w:val="00C5379E"/>
    <w:rsid w:val="00C5392E"/>
    <w:rsid w:val="00C53EAB"/>
    <w:rsid w:val="00C5428A"/>
    <w:rsid w:val="00C55F47"/>
    <w:rsid w:val="00C56652"/>
    <w:rsid w:val="00C5796A"/>
    <w:rsid w:val="00C601B4"/>
    <w:rsid w:val="00C613CF"/>
    <w:rsid w:val="00C61B41"/>
    <w:rsid w:val="00C61F0D"/>
    <w:rsid w:val="00C62317"/>
    <w:rsid w:val="00C633F8"/>
    <w:rsid w:val="00C63C9A"/>
    <w:rsid w:val="00C65066"/>
    <w:rsid w:val="00C650A1"/>
    <w:rsid w:val="00C65186"/>
    <w:rsid w:val="00C65A17"/>
    <w:rsid w:val="00C66BDB"/>
    <w:rsid w:val="00C6758F"/>
    <w:rsid w:val="00C7428D"/>
    <w:rsid w:val="00C75B99"/>
    <w:rsid w:val="00C76511"/>
    <w:rsid w:val="00C77D8A"/>
    <w:rsid w:val="00C8145C"/>
    <w:rsid w:val="00C818D3"/>
    <w:rsid w:val="00C81AA4"/>
    <w:rsid w:val="00C820E4"/>
    <w:rsid w:val="00C82927"/>
    <w:rsid w:val="00C83A1B"/>
    <w:rsid w:val="00C840DF"/>
    <w:rsid w:val="00C856D1"/>
    <w:rsid w:val="00C86FE4"/>
    <w:rsid w:val="00C90BC1"/>
    <w:rsid w:val="00C9120D"/>
    <w:rsid w:val="00C912DE"/>
    <w:rsid w:val="00C94095"/>
    <w:rsid w:val="00C9521A"/>
    <w:rsid w:val="00C9537F"/>
    <w:rsid w:val="00C953E3"/>
    <w:rsid w:val="00C966E5"/>
    <w:rsid w:val="00C96D57"/>
    <w:rsid w:val="00C976CB"/>
    <w:rsid w:val="00C9791C"/>
    <w:rsid w:val="00CA04AA"/>
    <w:rsid w:val="00CA05D7"/>
    <w:rsid w:val="00CA1904"/>
    <w:rsid w:val="00CA3467"/>
    <w:rsid w:val="00CA353D"/>
    <w:rsid w:val="00CA38EB"/>
    <w:rsid w:val="00CA4D65"/>
    <w:rsid w:val="00CA5EDE"/>
    <w:rsid w:val="00CA6A12"/>
    <w:rsid w:val="00CA7217"/>
    <w:rsid w:val="00CB0727"/>
    <w:rsid w:val="00CB28DC"/>
    <w:rsid w:val="00CB2B78"/>
    <w:rsid w:val="00CB30F0"/>
    <w:rsid w:val="00CB38CF"/>
    <w:rsid w:val="00CB51D4"/>
    <w:rsid w:val="00CB66E5"/>
    <w:rsid w:val="00CC14F1"/>
    <w:rsid w:val="00CC1B14"/>
    <w:rsid w:val="00CC2145"/>
    <w:rsid w:val="00CC2B22"/>
    <w:rsid w:val="00CC3626"/>
    <w:rsid w:val="00CC3CFC"/>
    <w:rsid w:val="00CC3D75"/>
    <w:rsid w:val="00CC5781"/>
    <w:rsid w:val="00CC5D25"/>
    <w:rsid w:val="00CC6835"/>
    <w:rsid w:val="00CC6B8B"/>
    <w:rsid w:val="00CC777E"/>
    <w:rsid w:val="00CC7CAF"/>
    <w:rsid w:val="00CD144A"/>
    <w:rsid w:val="00CD1C26"/>
    <w:rsid w:val="00CD369F"/>
    <w:rsid w:val="00CD56CA"/>
    <w:rsid w:val="00CD5889"/>
    <w:rsid w:val="00CE0581"/>
    <w:rsid w:val="00CE34E9"/>
    <w:rsid w:val="00CE3CC7"/>
    <w:rsid w:val="00CE52BD"/>
    <w:rsid w:val="00CE5386"/>
    <w:rsid w:val="00CE71B5"/>
    <w:rsid w:val="00CE727C"/>
    <w:rsid w:val="00CE7EA4"/>
    <w:rsid w:val="00CF059A"/>
    <w:rsid w:val="00CF28A3"/>
    <w:rsid w:val="00CF2F3E"/>
    <w:rsid w:val="00CF3E66"/>
    <w:rsid w:val="00CF4BE4"/>
    <w:rsid w:val="00CF5A71"/>
    <w:rsid w:val="00CF6475"/>
    <w:rsid w:val="00CF6B18"/>
    <w:rsid w:val="00D008A2"/>
    <w:rsid w:val="00D012F4"/>
    <w:rsid w:val="00D03005"/>
    <w:rsid w:val="00D034E6"/>
    <w:rsid w:val="00D04591"/>
    <w:rsid w:val="00D04859"/>
    <w:rsid w:val="00D0640D"/>
    <w:rsid w:val="00D112F9"/>
    <w:rsid w:val="00D1260A"/>
    <w:rsid w:val="00D134B9"/>
    <w:rsid w:val="00D14154"/>
    <w:rsid w:val="00D15855"/>
    <w:rsid w:val="00D169C6"/>
    <w:rsid w:val="00D16BD4"/>
    <w:rsid w:val="00D16DCD"/>
    <w:rsid w:val="00D17BCD"/>
    <w:rsid w:val="00D20170"/>
    <w:rsid w:val="00D21A93"/>
    <w:rsid w:val="00D21D6B"/>
    <w:rsid w:val="00D222AC"/>
    <w:rsid w:val="00D23CC1"/>
    <w:rsid w:val="00D27819"/>
    <w:rsid w:val="00D27B0D"/>
    <w:rsid w:val="00D30869"/>
    <w:rsid w:val="00D30F26"/>
    <w:rsid w:val="00D31EE0"/>
    <w:rsid w:val="00D34BAF"/>
    <w:rsid w:val="00D35329"/>
    <w:rsid w:val="00D35531"/>
    <w:rsid w:val="00D363C6"/>
    <w:rsid w:val="00D368EE"/>
    <w:rsid w:val="00D37720"/>
    <w:rsid w:val="00D4087D"/>
    <w:rsid w:val="00D41F12"/>
    <w:rsid w:val="00D42E5A"/>
    <w:rsid w:val="00D4386C"/>
    <w:rsid w:val="00D449FA"/>
    <w:rsid w:val="00D452DD"/>
    <w:rsid w:val="00D4663C"/>
    <w:rsid w:val="00D475F6"/>
    <w:rsid w:val="00D51037"/>
    <w:rsid w:val="00D51095"/>
    <w:rsid w:val="00D51CBD"/>
    <w:rsid w:val="00D53D9F"/>
    <w:rsid w:val="00D5762E"/>
    <w:rsid w:val="00D57816"/>
    <w:rsid w:val="00D60426"/>
    <w:rsid w:val="00D60597"/>
    <w:rsid w:val="00D6136B"/>
    <w:rsid w:val="00D615ED"/>
    <w:rsid w:val="00D63879"/>
    <w:rsid w:val="00D65B6B"/>
    <w:rsid w:val="00D662DB"/>
    <w:rsid w:val="00D70641"/>
    <w:rsid w:val="00D709E6"/>
    <w:rsid w:val="00D717F4"/>
    <w:rsid w:val="00D71D0E"/>
    <w:rsid w:val="00D71D3D"/>
    <w:rsid w:val="00D72623"/>
    <w:rsid w:val="00D734ED"/>
    <w:rsid w:val="00D737C1"/>
    <w:rsid w:val="00D73BFE"/>
    <w:rsid w:val="00D755CE"/>
    <w:rsid w:val="00D75B07"/>
    <w:rsid w:val="00D75B3E"/>
    <w:rsid w:val="00D767D5"/>
    <w:rsid w:val="00D76CF0"/>
    <w:rsid w:val="00D77440"/>
    <w:rsid w:val="00D77D4A"/>
    <w:rsid w:val="00D78D86"/>
    <w:rsid w:val="00D80663"/>
    <w:rsid w:val="00D81F08"/>
    <w:rsid w:val="00D83692"/>
    <w:rsid w:val="00D83833"/>
    <w:rsid w:val="00D8448A"/>
    <w:rsid w:val="00D85681"/>
    <w:rsid w:val="00D85717"/>
    <w:rsid w:val="00D863DC"/>
    <w:rsid w:val="00D86819"/>
    <w:rsid w:val="00D90338"/>
    <w:rsid w:val="00D91266"/>
    <w:rsid w:val="00D93597"/>
    <w:rsid w:val="00D93DD5"/>
    <w:rsid w:val="00D94671"/>
    <w:rsid w:val="00D94B44"/>
    <w:rsid w:val="00D95BEB"/>
    <w:rsid w:val="00D96536"/>
    <w:rsid w:val="00D97819"/>
    <w:rsid w:val="00D978C5"/>
    <w:rsid w:val="00DA0326"/>
    <w:rsid w:val="00DA0528"/>
    <w:rsid w:val="00DA0D58"/>
    <w:rsid w:val="00DA0F12"/>
    <w:rsid w:val="00DA2964"/>
    <w:rsid w:val="00DA5172"/>
    <w:rsid w:val="00DA5A27"/>
    <w:rsid w:val="00DA66D6"/>
    <w:rsid w:val="00DA6E7A"/>
    <w:rsid w:val="00DA75A8"/>
    <w:rsid w:val="00DB0929"/>
    <w:rsid w:val="00DB0E64"/>
    <w:rsid w:val="00DB17A0"/>
    <w:rsid w:val="00DB3DB1"/>
    <w:rsid w:val="00DB4241"/>
    <w:rsid w:val="00DB46C5"/>
    <w:rsid w:val="00DB47BB"/>
    <w:rsid w:val="00DB4AE2"/>
    <w:rsid w:val="00DB4D63"/>
    <w:rsid w:val="00DB550E"/>
    <w:rsid w:val="00DB7120"/>
    <w:rsid w:val="00DB7390"/>
    <w:rsid w:val="00DB7BF4"/>
    <w:rsid w:val="00DB7F97"/>
    <w:rsid w:val="00DBA958"/>
    <w:rsid w:val="00DC0A03"/>
    <w:rsid w:val="00DC123B"/>
    <w:rsid w:val="00DC48B8"/>
    <w:rsid w:val="00DC4EDB"/>
    <w:rsid w:val="00DD0DA5"/>
    <w:rsid w:val="00DD1A99"/>
    <w:rsid w:val="00DD231D"/>
    <w:rsid w:val="00DD29C4"/>
    <w:rsid w:val="00DD3B4D"/>
    <w:rsid w:val="00DD3DFA"/>
    <w:rsid w:val="00DD4EB4"/>
    <w:rsid w:val="00DD5CC7"/>
    <w:rsid w:val="00DD6F27"/>
    <w:rsid w:val="00DD7790"/>
    <w:rsid w:val="00DE0CB5"/>
    <w:rsid w:val="00DE13CF"/>
    <w:rsid w:val="00DE1418"/>
    <w:rsid w:val="00DE19F2"/>
    <w:rsid w:val="00DE23F0"/>
    <w:rsid w:val="00DE2E29"/>
    <w:rsid w:val="00DE2E9C"/>
    <w:rsid w:val="00DE32D2"/>
    <w:rsid w:val="00DE52E9"/>
    <w:rsid w:val="00DE530D"/>
    <w:rsid w:val="00DE5D40"/>
    <w:rsid w:val="00DE6EE5"/>
    <w:rsid w:val="00DE74E1"/>
    <w:rsid w:val="00DF0305"/>
    <w:rsid w:val="00DF03AE"/>
    <w:rsid w:val="00DF55BD"/>
    <w:rsid w:val="00DF7965"/>
    <w:rsid w:val="00E0072F"/>
    <w:rsid w:val="00E00DDC"/>
    <w:rsid w:val="00E013CA"/>
    <w:rsid w:val="00E0255F"/>
    <w:rsid w:val="00E037DC"/>
    <w:rsid w:val="00E03C33"/>
    <w:rsid w:val="00E04A52"/>
    <w:rsid w:val="00E04B19"/>
    <w:rsid w:val="00E04FF7"/>
    <w:rsid w:val="00E05250"/>
    <w:rsid w:val="00E078E4"/>
    <w:rsid w:val="00E12751"/>
    <w:rsid w:val="00E14265"/>
    <w:rsid w:val="00E142C4"/>
    <w:rsid w:val="00E14853"/>
    <w:rsid w:val="00E14F29"/>
    <w:rsid w:val="00E1519A"/>
    <w:rsid w:val="00E155A9"/>
    <w:rsid w:val="00E15D9F"/>
    <w:rsid w:val="00E2246B"/>
    <w:rsid w:val="00E23353"/>
    <w:rsid w:val="00E23462"/>
    <w:rsid w:val="00E24295"/>
    <w:rsid w:val="00E248DB"/>
    <w:rsid w:val="00E24DE8"/>
    <w:rsid w:val="00E250CE"/>
    <w:rsid w:val="00E25298"/>
    <w:rsid w:val="00E27A80"/>
    <w:rsid w:val="00E302CC"/>
    <w:rsid w:val="00E30BB1"/>
    <w:rsid w:val="00E30D52"/>
    <w:rsid w:val="00E30D88"/>
    <w:rsid w:val="00E30E00"/>
    <w:rsid w:val="00E33959"/>
    <w:rsid w:val="00E33C64"/>
    <w:rsid w:val="00E33F9C"/>
    <w:rsid w:val="00E3404D"/>
    <w:rsid w:val="00E35263"/>
    <w:rsid w:val="00E355FD"/>
    <w:rsid w:val="00E36781"/>
    <w:rsid w:val="00E36BB3"/>
    <w:rsid w:val="00E3733C"/>
    <w:rsid w:val="00E374C9"/>
    <w:rsid w:val="00E378B5"/>
    <w:rsid w:val="00E37ADC"/>
    <w:rsid w:val="00E37FC4"/>
    <w:rsid w:val="00E42735"/>
    <w:rsid w:val="00E42ECA"/>
    <w:rsid w:val="00E439B6"/>
    <w:rsid w:val="00E4443E"/>
    <w:rsid w:val="00E44572"/>
    <w:rsid w:val="00E4569A"/>
    <w:rsid w:val="00E46231"/>
    <w:rsid w:val="00E46BF4"/>
    <w:rsid w:val="00E46F6D"/>
    <w:rsid w:val="00E507A0"/>
    <w:rsid w:val="00E50F68"/>
    <w:rsid w:val="00E51653"/>
    <w:rsid w:val="00E5176E"/>
    <w:rsid w:val="00E52448"/>
    <w:rsid w:val="00E5259B"/>
    <w:rsid w:val="00E5318F"/>
    <w:rsid w:val="00E53B39"/>
    <w:rsid w:val="00E5711D"/>
    <w:rsid w:val="00E57D24"/>
    <w:rsid w:val="00E609DE"/>
    <w:rsid w:val="00E60B7B"/>
    <w:rsid w:val="00E6260F"/>
    <w:rsid w:val="00E62749"/>
    <w:rsid w:val="00E6355D"/>
    <w:rsid w:val="00E64201"/>
    <w:rsid w:val="00E64860"/>
    <w:rsid w:val="00E65782"/>
    <w:rsid w:val="00E67553"/>
    <w:rsid w:val="00E67DF9"/>
    <w:rsid w:val="00E71649"/>
    <w:rsid w:val="00E727ED"/>
    <w:rsid w:val="00E72A20"/>
    <w:rsid w:val="00E72EDF"/>
    <w:rsid w:val="00E73C09"/>
    <w:rsid w:val="00E77547"/>
    <w:rsid w:val="00E77C4F"/>
    <w:rsid w:val="00E800ED"/>
    <w:rsid w:val="00E821C9"/>
    <w:rsid w:val="00E8265A"/>
    <w:rsid w:val="00E835A1"/>
    <w:rsid w:val="00E83F2C"/>
    <w:rsid w:val="00E84A7B"/>
    <w:rsid w:val="00E86635"/>
    <w:rsid w:val="00E8700D"/>
    <w:rsid w:val="00E87CEA"/>
    <w:rsid w:val="00E90539"/>
    <w:rsid w:val="00E91F39"/>
    <w:rsid w:val="00E91FC8"/>
    <w:rsid w:val="00E97BFD"/>
    <w:rsid w:val="00E97D02"/>
    <w:rsid w:val="00E97D0F"/>
    <w:rsid w:val="00EA10F7"/>
    <w:rsid w:val="00EA114B"/>
    <w:rsid w:val="00EA1A71"/>
    <w:rsid w:val="00EA1F84"/>
    <w:rsid w:val="00EA4485"/>
    <w:rsid w:val="00EA588C"/>
    <w:rsid w:val="00EA5AF5"/>
    <w:rsid w:val="00EA67F6"/>
    <w:rsid w:val="00EA77B7"/>
    <w:rsid w:val="00EA7BA8"/>
    <w:rsid w:val="00EB010E"/>
    <w:rsid w:val="00EB01DC"/>
    <w:rsid w:val="00EB1269"/>
    <w:rsid w:val="00EB1A63"/>
    <w:rsid w:val="00EB3762"/>
    <w:rsid w:val="00EB51CF"/>
    <w:rsid w:val="00EB5232"/>
    <w:rsid w:val="00EBBC59"/>
    <w:rsid w:val="00EC04D8"/>
    <w:rsid w:val="00EC12CE"/>
    <w:rsid w:val="00EC137F"/>
    <w:rsid w:val="00EC4545"/>
    <w:rsid w:val="00EC475B"/>
    <w:rsid w:val="00EC4773"/>
    <w:rsid w:val="00EC4B15"/>
    <w:rsid w:val="00EC4E2A"/>
    <w:rsid w:val="00EC58D5"/>
    <w:rsid w:val="00EC5EFF"/>
    <w:rsid w:val="00EC68AE"/>
    <w:rsid w:val="00ED0677"/>
    <w:rsid w:val="00ED0B15"/>
    <w:rsid w:val="00ED20F0"/>
    <w:rsid w:val="00ED2E9A"/>
    <w:rsid w:val="00ED307F"/>
    <w:rsid w:val="00ED31A9"/>
    <w:rsid w:val="00ED3240"/>
    <w:rsid w:val="00ED32FA"/>
    <w:rsid w:val="00ED48A1"/>
    <w:rsid w:val="00ED4E93"/>
    <w:rsid w:val="00ED5025"/>
    <w:rsid w:val="00ED50F1"/>
    <w:rsid w:val="00ED534C"/>
    <w:rsid w:val="00ED571C"/>
    <w:rsid w:val="00ED582C"/>
    <w:rsid w:val="00ED6522"/>
    <w:rsid w:val="00ED6905"/>
    <w:rsid w:val="00ED7253"/>
    <w:rsid w:val="00ED7D7F"/>
    <w:rsid w:val="00ED7F4C"/>
    <w:rsid w:val="00EE1607"/>
    <w:rsid w:val="00EE1C30"/>
    <w:rsid w:val="00EE28D0"/>
    <w:rsid w:val="00EE2A84"/>
    <w:rsid w:val="00EE2ED6"/>
    <w:rsid w:val="00EE32AB"/>
    <w:rsid w:val="00EE5DA5"/>
    <w:rsid w:val="00EE6338"/>
    <w:rsid w:val="00EF2BB9"/>
    <w:rsid w:val="00EF580B"/>
    <w:rsid w:val="00EF7B17"/>
    <w:rsid w:val="00F00CE0"/>
    <w:rsid w:val="00F01158"/>
    <w:rsid w:val="00F02018"/>
    <w:rsid w:val="00F02A4D"/>
    <w:rsid w:val="00F02A7A"/>
    <w:rsid w:val="00F02CE0"/>
    <w:rsid w:val="00F03462"/>
    <w:rsid w:val="00F0555A"/>
    <w:rsid w:val="00F056BC"/>
    <w:rsid w:val="00F05D68"/>
    <w:rsid w:val="00F061B0"/>
    <w:rsid w:val="00F06E00"/>
    <w:rsid w:val="00F07188"/>
    <w:rsid w:val="00F079F6"/>
    <w:rsid w:val="00F07FD5"/>
    <w:rsid w:val="00F0A846"/>
    <w:rsid w:val="00F10D72"/>
    <w:rsid w:val="00F11881"/>
    <w:rsid w:val="00F13920"/>
    <w:rsid w:val="00F148DC"/>
    <w:rsid w:val="00F15EBA"/>
    <w:rsid w:val="00F16F0F"/>
    <w:rsid w:val="00F171CD"/>
    <w:rsid w:val="00F20C12"/>
    <w:rsid w:val="00F20D89"/>
    <w:rsid w:val="00F20F72"/>
    <w:rsid w:val="00F21E75"/>
    <w:rsid w:val="00F23A48"/>
    <w:rsid w:val="00F2402A"/>
    <w:rsid w:val="00F244FE"/>
    <w:rsid w:val="00F31D4C"/>
    <w:rsid w:val="00F345B2"/>
    <w:rsid w:val="00F34C6D"/>
    <w:rsid w:val="00F35274"/>
    <w:rsid w:val="00F35B2B"/>
    <w:rsid w:val="00F36DEC"/>
    <w:rsid w:val="00F3763E"/>
    <w:rsid w:val="00F40B33"/>
    <w:rsid w:val="00F40CFE"/>
    <w:rsid w:val="00F4105F"/>
    <w:rsid w:val="00F44BCA"/>
    <w:rsid w:val="00F45100"/>
    <w:rsid w:val="00F4567C"/>
    <w:rsid w:val="00F46019"/>
    <w:rsid w:val="00F46178"/>
    <w:rsid w:val="00F46C42"/>
    <w:rsid w:val="00F47625"/>
    <w:rsid w:val="00F50834"/>
    <w:rsid w:val="00F52D4D"/>
    <w:rsid w:val="00F53516"/>
    <w:rsid w:val="00F55E17"/>
    <w:rsid w:val="00F57CC0"/>
    <w:rsid w:val="00F57F4E"/>
    <w:rsid w:val="00F607C9"/>
    <w:rsid w:val="00F60802"/>
    <w:rsid w:val="00F60B2E"/>
    <w:rsid w:val="00F61372"/>
    <w:rsid w:val="00F616A3"/>
    <w:rsid w:val="00F6284A"/>
    <w:rsid w:val="00F643AF"/>
    <w:rsid w:val="00F65041"/>
    <w:rsid w:val="00F658ED"/>
    <w:rsid w:val="00F661A2"/>
    <w:rsid w:val="00F664F5"/>
    <w:rsid w:val="00F70349"/>
    <w:rsid w:val="00F7054E"/>
    <w:rsid w:val="00F71510"/>
    <w:rsid w:val="00F7227A"/>
    <w:rsid w:val="00F73625"/>
    <w:rsid w:val="00F73767"/>
    <w:rsid w:val="00F739AD"/>
    <w:rsid w:val="00F777FA"/>
    <w:rsid w:val="00F801E7"/>
    <w:rsid w:val="00F81314"/>
    <w:rsid w:val="00F81DDE"/>
    <w:rsid w:val="00F83C12"/>
    <w:rsid w:val="00F83FB8"/>
    <w:rsid w:val="00F85814"/>
    <w:rsid w:val="00F870B0"/>
    <w:rsid w:val="00F911A1"/>
    <w:rsid w:val="00F94297"/>
    <w:rsid w:val="00F9583A"/>
    <w:rsid w:val="00F9654F"/>
    <w:rsid w:val="00F97B3E"/>
    <w:rsid w:val="00F97D9D"/>
    <w:rsid w:val="00FA15E4"/>
    <w:rsid w:val="00FA1C9C"/>
    <w:rsid w:val="00FA26AE"/>
    <w:rsid w:val="00FA2D97"/>
    <w:rsid w:val="00FA3AFB"/>
    <w:rsid w:val="00FA4E68"/>
    <w:rsid w:val="00FA568E"/>
    <w:rsid w:val="00FA5D2D"/>
    <w:rsid w:val="00FA5ECC"/>
    <w:rsid w:val="00FA77EF"/>
    <w:rsid w:val="00FB04D8"/>
    <w:rsid w:val="00FB16DE"/>
    <w:rsid w:val="00FB2203"/>
    <w:rsid w:val="00FB29C7"/>
    <w:rsid w:val="00FB5B7E"/>
    <w:rsid w:val="00FB6019"/>
    <w:rsid w:val="00FB66B0"/>
    <w:rsid w:val="00FB714D"/>
    <w:rsid w:val="00FC0A8E"/>
    <w:rsid w:val="00FC1749"/>
    <w:rsid w:val="00FC269E"/>
    <w:rsid w:val="00FC2A69"/>
    <w:rsid w:val="00FC31EB"/>
    <w:rsid w:val="00FC35EF"/>
    <w:rsid w:val="00FC3700"/>
    <w:rsid w:val="00FC3E24"/>
    <w:rsid w:val="00FC4379"/>
    <w:rsid w:val="00FC4648"/>
    <w:rsid w:val="00FC47F0"/>
    <w:rsid w:val="00FC606A"/>
    <w:rsid w:val="00FC72AE"/>
    <w:rsid w:val="00FC7346"/>
    <w:rsid w:val="00FD01DD"/>
    <w:rsid w:val="00FD3C0C"/>
    <w:rsid w:val="00FD3F93"/>
    <w:rsid w:val="00FD5E9D"/>
    <w:rsid w:val="00FD6052"/>
    <w:rsid w:val="00FD69F5"/>
    <w:rsid w:val="00FD7339"/>
    <w:rsid w:val="00FD7437"/>
    <w:rsid w:val="00FD7BF5"/>
    <w:rsid w:val="00FE0299"/>
    <w:rsid w:val="00FE2F71"/>
    <w:rsid w:val="00FE3802"/>
    <w:rsid w:val="00FE386D"/>
    <w:rsid w:val="00FE49F1"/>
    <w:rsid w:val="00FE4BFA"/>
    <w:rsid w:val="00FE6948"/>
    <w:rsid w:val="00FE7AE5"/>
    <w:rsid w:val="00FF0005"/>
    <w:rsid w:val="00FF1854"/>
    <w:rsid w:val="00FF186C"/>
    <w:rsid w:val="00FF305C"/>
    <w:rsid w:val="00FF5358"/>
    <w:rsid w:val="00FF5685"/>
    <w:rsid w:val="00FF5FB8"/>
    <w:rsid w:val="00FF684B"/>
    <w:rsid w:val="00FF788A"/>
    <w:rsid w:val="00FF7922"/>
    <w:rsid w:val="00FF7A7A"/>
    <w:rsid w:val="0107B1EB"/>
    <w:rsid w:val="011312AA"/>
    <w:rsid w:val="01162CE7"/>
    <w:rsid w:val="0116A427"/>
    <w:rsid w:val="011C7901"/>
    <w:rsid w:val="01251696"/>
    <w:rsid w:val="0127A02E"/>
    <w:rsid w:val="01292FDA"/>
    <w:rsid w:val="0132D173"/>
    <w:rsid w:val="01371B49"/>
    <w:rsid w:val="013D2473"/>
    <w:rsid w:val="014260BA"/>
    <w:rsid w:val="01484B38"/>
    <w:rsid w:val="014A2FC1"/>
    <w:rsid w:val="014A3A14"/>
    <w:rsid w:val="01522F78"/>
    <w:rsid w:val="01534BAA"/>
    <w:rsid w:val="0154D777"/>
    <w:rsid w:val="015616C4"/>
    <w:rsid w:val="01574B66"/>
    <w:rsid w:val="01576B0B"/>
    <w:rsid w:val="01590F41"/>
    <w:rsid w:val="015BAC49"/>
    <w:rsid w:val="015E47FD"/>
    <w:rsid w:val="015EFF2B"/>
    <w:rsid w:val="01636986"/>
    <w:rsid w:val="01684873"/>
    <w:rsid w:val="0168E496"/>
    <w:rsid w:val="01690562"/>
    <w:rsid w:val="016B49B7"/>
    <w:rsid w:val="016F973F"/>
    <w:rsid w:val="01790BD7"/>
    <w:rsid w:val="0179DA54"/>
    <w:rsid w:val="017B1BCB"/>
    <w:rsid w:val="017ECD7F"/>
    <w:rsid w:val="018243C9"/>
    <w:rsid w:val="0188C429"/>
    <w:rsid w:val="018A71D5"/>
    <w:rsid w:val="018AD4D7"/>
    <w:rsid w:val="0199CF99"/>
    <w:rsid w:val="01A42079"/>
    <w:rsid w:val="01A9C42B"/>
    <w:rsid w:val="01AAAB7E"/>
    <w:rsid w:val="01AE5948"/>
    <w:rsid w:val="01AF4306"/>
    <w:rsid w:val="01B16FFA"/>
    <w:rsid w:val="01B72C9C"/>
    <w:rsid w:val="01BAE47D"/>
    <w:rsid w:val="01BB277F"/>
    <w:rsid w:val="01BDBEB2"/>
    <w:rsid w:val="01C15601"/>
    <w:rsid w:val="01C2AE41"/>
    <w:rsid w:val="01C50E99"/>
    <w:rsid w:val="01C5F97B"/>
    <w:rsid w:val="01C96C5A"/>
    <w:rsid w:val="01CEF742"/>
    <w:rsid w:val="01D0B488"/>
    <w:rsid w:val="01D2CD41"/>
    <w:rsid w:val="01D67272"/>
    <w:rsid w:val="01D9380D"/>
    <w:rsid w:val="01DEB7C0"/>
    <w:rsid w:val="01E919B9"/>
    <w:rsid w:val="01E969D0"/>
    <w:rsid w:val="01EA2694"/>
    <w:rsid w:val="01F8277F"/>
    <w:rsid w:val="0201FABB"/>
    <w:rsid w:val="0202406B"/>
    <w:rsid w:val="020639E4"/>
    <w:rsid w:val="0206CBB4"/>
    <w:rsid w:val="020EB420"/>
    <w:rsid w:val="021E6F92"/>
    <w:rsid w:val="0228708F"/>
    <w:rsid w:val="022B8BD3"/>
    <w:rsid w:val="02354402"/>
    <w:rsid w:val="0236DBED"/>
    <w:rsid w:val="0248A365"/>
    <w:rsid w:val="024CA77A"/>
    <w:rsid w:val="024DFA2E"/>
    <w:rsid w:val="024EF4AA"/>
    <w:rsid w:val="024F39DD"/>
    <w:rsid w:val="0251310A"/>
    <w:rsid w:val="0253ABD8"/>
    <w:rsid w:val="025F6527"/>
    <w:rsid w:val="025FB616"/>
    <w:rsid w:val="026868A2"/>
    <w:rsid w:val="027114C2"/>
    <w:rsid w:val="02733ED3"/>
    <w:rsid w:val="027D6B51"/>
    <w:rsid w:val="02828E97"/>
    <w:rsid w:val="0284BC8D"/>
    <w:rsid w:val="028B19F7"/>
    <w:rsid w:val="028C7578"/>
    <w:rsid w:val="0291433C"/>
    <w:rsid w:val="0299A188"/>
    <w:rsid w:val="029A6878"/>
    <w:rsid w:val="029DB737"/>
    <w:rsid w:val="02A37C5C"/>
    <w:rsid w:val="02A48A82"/>
    <w:rsid w:val="02AA5BE1"/>
    <w:rsid w:val="02B0C16A"/>
    <w:rsid w:val="02B749E8"/>
    <w:rsid w:val="02B8A906"/>
    <w:rsid w:val="02BBF23D"/>
    <w:rsid w:val="02BEE754"/>
    <w:rsid w:val="02C56B1A"/>
    <w:rsid w:val="02C5EF68"/>
    <w:rsid w:val="02D17BDA"/>
    <w:rsid w:val="02D48BBF"/>
    <w:rsid w:val="02D500AB"/>
    <w:rsid w:val="02D5229C"/>
    <w:rsid w:val="02D694DD"/>
    <w:rsid w:val="02D90080"/>
    <w:rsid w:val="02DE8A1B"/>
    <w:rsid w:val="02E195B2"/>
    <w:rsid w:val="02F06089"/>
    <w:rsid w:val="02FA12EE"/>
    <w:rsid w:val="02FC9151"/>
    <w:rsid w:val="03085C79"/>
    <w:rsid w:val="03098FF0"/>
    <w:rsid w:val="030A34D9"/>
    <w:rsid w:val="03120E60"/>
    <w:rsid w:val="0312E2BD"/>
    <w:rsid w:val="03135CC1"/>
    <w:rsid w:val="03170F27"/>
    <w:rsid w:val="0317D8C3"/>
    <w:rsid w:val="03182D30"/>
    <w:rsid w:val="031F1FB2"/>
    <w:rsid w:val="0321C215"/>
    <w:rsid w:val="032D5163"/>
    <w:rsid w:val="03362572"/>
    <w:rsid w:val="0338DC20"/>
    <w:rsid w:val="03462F37"/>
    <w:rsid w:val="034BC0D2"/>
    <w:rsid w:val="03557512"/>
    <w:rsid w:val="035AF6D4"/>
    <w:rsid w:val="035C8062"/>
    <w:rsid w:val="03657806"/>
    <w:rsid w:val="0367F273"/>
    <w:rsid w:val="036AFF9F"/>
    <w:rsid w:val="036DA696"/>
    <w:rsid w:val="037011B6"/>
    <w:rsid w:val="03717486"/>
    <w:rsid w:val="0371DC0B"/>
    <w:rsid w:val="0374AD03"/>
    <w:rsid w:val="0377681B"/>
    <w:rsid w:val="037A78B1"/>
    <w:rsid w:val="037D06D7"/>
    <w:rsid w:val="037EDA12"/>
    <w:rsid w:val="0381E6D6"/>
    <w:rsid w:val="0385E5C6"/>
    <w:rsid w:val="03888E3F"/>
    <w:rsid w:val="039CEDC5"/>
    <w:rsid w:val="03A1C8BE"/>
    <w:rsid w:val="03A51523"/>
    <w:rsid w:val="03A7B613"/>
    <w:rsid w:val="03B04E6A"/>
    <w:rsid w:val="03B11E91"/>
    <w:rsid w:val="03B2BC13"/>
    <w:rsid w:val="03B903A7"/>
    <w:rsid w:val="03C92141"/>
    <w:rsid w:val="03D05283"/>
    <w:rsid w:val="03DC40CA"/>
    <w:rsid w:val="03DC66A5"/>
    <w:rsid w:val="03DD106F"/>
    <w:rsid w:val="03E15A84"/>
    <w:rsid w:val="03E164CD"/>
    <w:rsid w:val="03E98E54"/>
    <w:rsid w:val="03EAB15A"/>
    <w:rsid w:val="03ED2AFA"/>
    <w:rsid w:val="03EDCD0E"/>
    <w:rsid w:val="03F266B4"/>
    <w:rsid w:val="03F44C8A"/>
    <w:rsid w:val="03F74363"/>
    <w:rsid w:val="03F75E59"/>
    <w:rsid w:val="03F9494A"/>
    <w:rsid w:val="04064EEE"/>
    <w:rsid w:val="040FE2A4"/>
    <w:rsid w:val="0415706F"/>
    <w:rsid w:val="04213AFE"/>
    <w:rsid w:val="0425AB9A"/>
    <w:rsid w:val="042C9B89"/>
    <w:rsid w:val="04369D58"/>
    <w:rsid w:val="0436C44F"/>
    <w:rsid w:val="0439F5AC"/>
    <w:rsid w:val="043B384D"/>
    <w:rsid w:val="043C6E5A"/>
    <w:rsid w:val="043FCD4C"/>
    <w:rsid w:val="04441E52"/>
    <w:rsid w:val="044BDE6D"/>
    <w:rsid w:val="04579137"/>
    <w:rsid w:val="0459281C"/>
    <w:rsid w:val="045B0323"/>
    <w:rsid w:val="045E8BA4"/>
    <w:rsid w:val="046C9F04"/>
    <w:rsid w:val="046D52C4"/>
    <w:rsid w:val="0479D466"/>
    <w:rsid w:val="047F0224"/>
    <w:rsid w:val="04845182"/>
    <w:rsid w:val="04927F1A"/>
    <w:rsid w:val="04A599FF"/>
    <w:rsid w:val="04A7E62A"/>
    <w:rsid w:val="04AD1DDB"/>
    <w:rsid w:val="04B00181"/>
    <w:rsid w:val="04B5054C"/>
    <w:rsid w:val="04B7B686"/>
    <w:rsid w:val="04C1642D"/>
    <w:rsid w:val="04C80FBD"/>
    <w:rsid w:val="04C8E7D1"/>
    <w:rsid w:val="04C8F5B2"/>
    <w:rsid w:val="04D2DA2C"/>
    <w:rsid w:val="04D3530D"/>
    <w:rsid w:val="04DF07A3"/>
    <w:rsid w:val="04F2AF81"/>
    <w:rsid w:val="04F5FA38"/>
    <w:rsid w:val="04FBD025"/>
    <w:rsid w:val="04FE30F7"/>
    <w:rsid w:val="04FEA52A"/>
    <w:rsid w:val="0503BD4F"/>
    <w:rsid w:val="050CE7B4"/>
    <w:rsid w:val="051193BA"/>
    <w:rsid w:val="05131314"/>
    <w:rsid w:val="051A5E50"/>
    <w:rsid w:val="05253F74"/>
    <w:rsid w:val="052CB1C6"/>
    <w:rsid w:val="052F4C33"/>
    <w:rsid w:val="05309056"/>
    <w:rsid w:val="0535E9CD"/>
    <w:rsid w:val="053A87F9"/>
    <w:rsid w:val="054469F6"/>
    <w:rsid w:val="0545FDFA"/>
    <w:rsid w:val="0546555A"/>
    <w:rsid w:val="0547B759"/>
    <w:rsid w:val="054821C5"/>
    <w:rsid w:val="054C9E55"/>
    <w:rsid w:val="054DCC3C"/>
    <w:rsid w:val="0550F5B2"/>
    <w:rsid w:val="055129E0"/>
    <w:rsid w:val="05524AE7"/>
    <w:rsid w:val="0553DF67"/>
    <w:rsid w:val="0558368B"/>
    <w:rsid w:val="0558B067"/>
    <w:rsid w:val="055C2CEC"/>
    <w:rsid w:val="0564C11E"/>
    <w:rsid w:val="0566B8D3"/>
    <w:rsid w:val="0567EF0A"/>
    <w:rsid w:val="056B04B7"/>
    <w:rsid w:val="0579C912"/>
    <w:rsid w:val="057DF84E"/>
    <w:rsid w:val="0590B9F0"/>
    <w:rsid w:val="05936C49"/>
    <w:rsid w:val="0596249B"/>
    <w:rsid w:val="0597BA1E"/>
    <w:rsid w:val="059989B8"/>
    <w:rsid w:val="059A3B9F"/>
    <w:rsid w:val="05A067EB"/>
    <w:rsid w:val="05A181D0"/>
    <w:rsid w:val="05A4B36E"/>
    <w:rsid w:val="05A866C5"/>
    <w:rsid w:val="05A870F3"/>
    <w:rsid w:val="05A99EE8"/>
    <w:rsid w:val="05AA2FB3"/>
    <w:rsid w:val="05AC34BF"/>
    <w:rsid w:val="05ACBA42"/>
    <w:rsid w:val="05AE7610"/>
    <w:rsid w:val="05AEC0A8"/>
    <w:rsid w:val="05B15DAF"/>
    <w:rsid w:val="05B75578"/>
    <w:rsid w:val="05B782F5"/>
    <w:rsid w:val="05B82028"/>
    <w:rsid w:val="05B8ED5B"/>
    <w:rsid w:val="05C562E2"/>
    <w:rsid w:val="05C9E390"/>
    <w:rsid w:val="05CA8F55"/>
    <w:rsid w:val="05CF2896"/>
    <w:rsid w:val="05D00A6A"/>
    <w:rsid w:val="05DBDF8A"/>
    <w:rsid w:val="05E330E5"/>
    <w:rsid w:val="05E449F4"/>
    <w:rsid w:val="05E84441"/>
    <w:rsid w:val="05EEF67B"/>
    <w:rsid w:val="05F5FC45"/>
    <w:rsid w:val="05F734C1"/>
    <w:rsid w:val="05FC3F6A"/>
    <w:rsid w:val="0604387E"/>
    <w:rsid w:val="0604B10B"/>
    <w:rsid w:val="060FADE5"/>
    <w:rsid w:val="061101F6"/>
    <w:rsid w:val="0615F0E1"/>
    <w:rsid w:val="06194E25"/>
    <w:rsid w:val="061C1810"/>
    <w:rsid w:val="062287E4"/>
    <w:rsid w:val="06247885"/>
    <w:rsid w:val="06281354"/>
    <w:rsid w:val="06295E25"/>
    <w:rsid w:val="062D3BB4"/>
    <w:rsid w:val="06317D4A"/>
    <w:rsid w:val="06374225"/>
    <w:rsid w:val="063A237E"/>
    <w:rsid w:val="063C0796"/>
    <w:rsid w:val="063D4BD2"/>
    <w:rsid w:val="0641D773"/>
    <w:rsid w:val="0643F0B7"/>
    <w:rsid w:val="06445117"/>
    <w:rsid w:val="06453F84"/>
    <w:rsid w:val="0646EA3A"/>
    <w:rsid w:val="064F20BF"/>
    <w:rsid w:val="064F300A"/>
    <w:rsid w:val="065227BB"/>
    <w:rsid w:val="06584662"/>
    <w:rsid w:val="065C1486"/>
    <w:rsid w:val="065CDCA1"/>
    <w:rsid w:val="065FF2E3"/>
    <w:rsid w:val="06683B15"/>
    <w:rsid w:val="067405A3"/>
    <w:rsid w:val="0676A699"/>
    <w:rsid w:val="0681486D"/>
    <w:rsid w:val="0684C65A"/>
    <w:rsid w:val="0685D26D"/>
    <w:rsid w:val="06908D43"/>
    <w:rsid w:val="0694605C"/>
    <w:rsid w:val="06949FC3"/>
    <w:rsid w:val="0696160B"/>
    <w:rsid w:val="069969E9"/>
    <w:rsid w:val="069E7008"/>
    <w:rsid w:val="06A42BA8"/>
    <w:rsid w:val="06A66040"/>
    <w:rsid w:val="06A6C8D7"/>
    <w:rsid w:val="06A6FF21"/>
    <w:rsid w:val="06A8D5AB"/>
    <w:rsid w:val="06B1A6E9"/>
    <w:rsid w:val="06B61160"/>
    <w:rsid w:val="06BC3314"/>
    <w:rsid w:val="06BC5FEE"/>
    <w:rsid w:val="06BFED84"/>
    <w:rsid w:val="06C4158C"/>
    <w:rsid w:val="06CB7CE0"/>
    <w:rsid w:val="06CD7466"/>
    <w:rsid w:val="06CE390B"/>
    <w:rsid w:val="06D23417"/>
    <w:rsid w:val="06DCFCE5"/>
    <w:rsid w:val="06DEACCD"/>
    <w:rsid w:val="06EE275B"/>
    <w:rsid w:val="06EE696B"/>
    <w:rsid w:val="06F11ADC"/>
    <w:rsid w:val="06F1E7E6"/>
    <w:rsid w:val="06F320C1"/>
    <w:rsid w:val="06F4D583"/>
    <w:rsid w:val="06F625B6"/>
    <w:rsid w:val="07085E10"/>
    <w:rsid w:val="070C128E"/>
    <w:rsid w:val="070C4358"/>
    <w:rsid w:val="070E929B"/>
    <w:rsid w:val="0710771B"/>
    <w:rsid w:val="07135E42"/>
    <w:rsid w:val="07139B09"/>
    <w:rsid w:val="07186782"/>
    <w:rsid w:val="071F1F7F"/>
    <w:rsid w:val="072242B8"/>
    <w:rsid w:val="0727784F"/>
    <w:rsid w:val="07280632"/>
    <w:rsid w:val="072999DD"/>
    <w:rsid w:val="072A954C"/>
    <w:rsid w:val="072E883C"/>
    <w:rsid w:val="072FEC6C"/>
    <w:rsid w:val="073B57AF"/>
    <w:rsid w:val="073DA508"/>
    <w:rsid w:val="07405C34"/>
    <w:rsid w:val="07406047"/>
    <w:rsid w:val="0747DC8B"/>
    <w:rsid w:val="074980CD"/>
    <w:rsid w:val="074AAF41"/>
    <w:rsid w:val="074E54D1"/>
    <w:rsid w:val="07577C44"/>
    <w:rsid w:val="075D5ECE"/>
    <w:rsid w:val="0760078A"/>
    <w:rsid w:val="0761EE75"/>
    <w:rsid w:val="07736546"/>
    <w:rsid w:val="07770B1E"/>
    <w:rsid w:val="07771C6F"/>
    <w:rsid w:val="077A474A"/>
    <w:rsid w:val="077E256D"/>
    <w:rsid w:val="0783A233"/>
    <w:rsid w:val="0784DCA1"/>
    <w:rsid w:val="078556A3"/>
    <w:rsid w:val="078B8593"/>
    <w:rsid w:val="079911D5"/>
    <w:rsid w:val="079EC150"/>
    <w:rsid w:val="07A02B07"/>
    <w:rsid w:val="07A02E74"/>
    <w:rsid w:val="07A10C6F"/>
    <w:rsid w:val="07A5ADFD"/>
    <w:rsid w:val="07AAD780"/>
    <w:rsid w:val="07B28415"/>
    <w:rsid w:val="07B2BCCB"/>
    <w:rsid w:val="07B48368"/>
    <w:rsid w:val="07B75965"/>
    <w:rsid w:val="07BB3A88"/>
    <w:rsid w:val="07BBADD2"/>
    <w:rsid w:val="07CA0BB0"/>
    <w:rsid w:val="07D975A0"/>
    <w:rsid w:val="07DEF271"/>
    <w:rsid w:val="07E4ADA2"/>
    <w:rsid w:val="07EEEE28"/>
    <w:rsid w:val="07F28662"/>
    <w:rsid w:val="07FCC733"/>
    <w:rsid w:val="08026FCF"/>
    <w:rsid w:val="0807FEE9"/>
    <w:rsid w:val="0808F82A"/>
    <w:rsid w:val="080C4ACC"/>
    <w:rsid w:val="080FDE39"/>
    <w:rsid w:val="08106A95"/>
    <w:rsid w:val="0811EA53"/>
    <w:rsid w:val="08130B7D"/>
    <w:rsid w:val="08182461"/>
    <w:rsid w:val="081DCB72"/>
    <w:rsid w:val="081F3FB3"/>
    <w:rsid w:val="081F610C"/>
    <w:rsid w:val="081FB0A4"/>
    <w:rsid w:val="0823B946"/>
    <w:rsid w:val="08271094"/>
    <w:rsid w:val="082A2AD7"/>
    <w:rsid w:val="082AB816"/>
    <w:rsid w:val="0831A070"/>
    <w:rsid w:val="0840AC62"/>
    <w:rsid w:val="08480ABE"/>
    <w:rsid w:val="084CB53A"/>
    <w:rsid w:val="084CDF1F"/>
    <w:rsid w:val="0866AE22"/>
    <w:rsid w:val="08670FCF"/>
    <w:rsid w:val="08671985"/>
    <w:rsid w:val="08679D30"/>
    <w:rsid w:val="08705202"/>
    <w:rsid w:val="0883AE68"/>
    <w:rsid w:val="08856A52"/>
    <w:rsid w:val="08935C44"/>
    <w:rsid w:val="08953B39"/>
    <w:rsid w:val="08965940"/>
    <w:rsid w:val="08997BF8"/>
    <w:rsid w:val="089A6BF1"/>
    <w:rsid w:val="089B0435"/>
    <w:rsid w:val="089CEEA6"/>
    <w:rsid w:val="089E0731"/>
    <w:rsid w:val="08A21A93"/>
    <w:rsid w:val="08A2A980"/>
    <w:rsid w:val="08A54AC4"/>
    <w:rsid w:val="08A6BA93"/>
    <w:rsid w:val="08A71010"/>
    <w:rsid w:val="08A9514D"/>
    <w:rsid w:val="08AA8E59"/>
    <w:rsid w:val="08B7FFA0"/>
    <w:rsid w:val="08B92C71"/>
    <w:rsid w:val="08B93A53"/>
    <w:rsid w:val="08B9B2C7"/>
    <w:rsid w:val="08BBD83B"/>
    <w:rsid w:val="08C528F8"/>
    <w:rsid w:val="08C8FB6E"/>
    <w:rsid w:val="08CC632B"/>
    <w:rsid w:val="08CC8287"/>
    <w:rsid w:val="08D612F1"/>
    <w:rsid w:val="08D7B648"/>
    <w:rsid w:val="08D7EAF9"/>
    <w:rsid w:val="08D992BD"/>
    <w:rsid w:val="08DF5719"/>
    <w:rsid w:val="08E0EBA3"/>
    <w:rsid w:val="08E14DC2"/>
    <w:rsid w:val="08E3C5BA"/>
    <w:rsid w:val="08EC94DF"/>
    <w:rsid w:val="08EF46F2"/>
    <w:rsid w:val="08F24A6A"/>
    <w:rsid w:val="08F6A544"/>
    <w:rsid w:val="08F8D225"/>
    <w:rsid w:val="08F9695F"/>
    <w:rsid w:val="08FBA099"/>
    <w:rsid w:val="08FEA4A6"/>
    <w:rsid w:val="09025E0D"/>
    <w:rsid w:val="0904EEC9"/>
    <w:rsid w:val="09065FA6"/>
    <w:rsid w:val="09086FD6"/>
    <w:rsid w:val="090873EB"/>
    <w:rsid w:val="0909B189"/>
    <w:rsid w:val="0912ECD0"/>
    <w:rsid w:val="0919062F"/>
    <w:rsid w:val="091948D3"/>
    <w:rsid w:val="0919B4C8"/>
    <w:rsid w:val="091A685A"/>
    <w:rsid w:val="091F735D"/>
    <w:rsid w:val="092B51E0"/>
    <w:rsid w:val="0931F6E3"/>
    <w:rsid w:val="0932B17C"/>
    <w:rsid w:val="09394BF3"/>
    <w:rsid w:val="093B1D0F"/>
    <w:rsid w:val="093B26F4"/>
    <w:rsid w:val="093D741F"/>
    <w:rsid w:val="094019C7"/>
    <w:rsid w:val="094EDDAB"/>
    <w:rsid w:val="09567253"/>
    <w:rsid w:val="095A789E"/>
    <w:rsid w:val="09632831"/>
    <w:rsid w:val="0963FD6B"/>
    <w:rsid w:val="096CBFCD"/>
    <w:rsid w:val="096CC34D"/>
    <w:rsid w:val="096D0CB4"/>
    <w:rsid w:val="096E7B6B"/>
    <w:rsid w:val="096F3799"/>
    <w:rsid w:val="09748224"/>
    <w:rsid w:val="097489EB"/>
    <w:rsid w:val="09764CAB"/>
    <w:rsid w:val="09767A8D"/>
    <w:rsid w:val="097ADEB2"/>
    <w:rsid w:val="097EA8A0"/>
    <w:rsid w:val="098268EF"/>
    <w:rsid w:val="0984B867"/>
    <w:rsid w:val="0986351C"/>
    <w:rsid w:val="09891C65"/>
    <w:rsid w:val="098CDF0B"/>
    <w:rsid w:val="098E3B8E"/>
    <w:rsid w:val="09921EE9"/>
    <w:rsid w:val="09929D7F"/>
    <w:rsid w:val="09952B7D"/>
    <w:rsid w:val="09956A9E"/>
    <w:rsid w:val="099572DA"/>
    <w:rsid w:val="099841FE"/>
    <w:rsid w:val="099B8990"/>
    <w:rsid w:val="09A3B7AF"/>
    <w:rsid w:val="09A85DEE"/>
    <w:rsid w:val="09AB6252"/>
    <w:rsid w:val="09AF3D7B"/>
    <w:rsid w:val="09B1971B"/>
    <w:rsid w:val="09B5FB1F"/>
    <w:rsid w:val="09BCCFFA"/>
    <w:rsid w:val="09BE2ACB"/>
    <w:rsid w:val="09BF1F20"/>
    <w:rsid w:val="09BF685F"/>
    <w:rsid w:val="09C043E3"/>
    <w:rsid w:val="09C0C448"/>
    <w:rsid w:val="09C3E6F4"/>
    <w:rsid w:val="09C3E750"/>
    <w:rsid w:val="09C4D9CD"/>
    <w:rsid w:val="09C87879"/>
    <w:rsid w:val="09D11EF3"/>
    <w:rsid w:val="09D6BF9A"/>
    <w:rsid w:val="09DA1D1D"/>
    <w:rsid w:val="09DDA290"/>
    <w:rsid w:val="09E1F4BE"/>
    <w:rsid w:val="09E80990"/>
    <w:rsid w:val="09F0BDB2"/>
    <w:rsid w:val="09F2132E"/>
    <w:rsid w:val="09F223C3"/>
    <w:rsid w:val="09F26413"/>
    <w:rsid w:val="09F4A2AC"/>
    <w:rsid w:val="09F81662"/>
    <w:rsid w:val="09FAA91C"/>
    <w:rsid w:val="09FE058A"/>
    <w:rsid w:val="0A0CD1DF"/>
    <w:rsid w:val="0A0F2ACC"/>
    <w:rsid w:val="0A123A77"/>
    <w:rsid w:val="0A168C2F"/>
    <w:rsid w:val="0A174775"/>
    <w:rsid w:val="0A17746E"/>
    <w:rsid w:val="0A1A1874"/>
    <w:rsid w:val="0A1EB173"/>
    <w:rsid w:val="0A263594"/>
    <w:rsid w:val="0A384AB1"/>
    <w:rsid w:val="0A39D1C1"/>
    <w:rsid w:val="0A42AF10"/>
    <w:rsid w:val="0A457EEF"/>
    <w:rsid w:val="0A4C8468"/>
    <w:rsid w:val="0A4CB1E3"/>
    <w:rsid w:val="0A4E5139"/>
    <w:rsid w:val="0A5144DD"/>
    <w:rsid w:val="0A56AC23"/>
    <w:rsid w:val="0A59C1CC"/>
    <w:rsid w:val="0A5D3157"/>
    <w:rsid w:val="0A61196C"/>
    <w:rsid w:val="0A6309EE"/>
    <w:rsid w:val="0A6625E9"/>
    <w:rsid w:val="0A68D7EB"/>
    <w:rsid w:val="0A729555"/>
    <w:rsid w:val="0A72C1DC"/>
    <w:rsid w:val="0A733637"/>
    <w:rsid w:val="0A791D33"/>
    <w:rsid w:val="0A7B85FE"/>
    <w:rsid w:val="0A7B9C2C"/>
    <w:rsid w:val="0A7DF4F3"/>
    <w:rsid w:val="0A7EBB8C"/>
    <w:rsid w:val="0A7F90DC"/>
    <w:rsid w:val="0A7FF4D4"/>
    <w:rsid w:val="0A80A201"/>
    <w:rsid w:val="0A87C5F5"/>
    <w:rsid w:val="0A89D81F"/>
    <w:rsid w:val="0A95C5A2"/>
    <w:rsid w:val="0A96175F"/>
    <w:rsid w:val="0A9638CC"/>
    <w:rsid w:val="0A998115"/>
    <w:rsid w:val="0A9B5EEE"/>
    <w:rsid w:val="0A9BBFFE"/>
    <w:rsid w:val="0A9FD858"/>
    <w:rsid w:val="0AA207FA"/>
    <w:rsid w:val="0AA2DA60"/>
    <w:rsid w:val="0AA32C75"/>
    <w:rsid w:val="0AA5D964"/>
    <w:rsid w:val="0AA75438"/>
    <w:rsid w:val="0AA85842"/>
    <w:rsid w:val="0AA8A545"/>
    <w:rsid w:val="0AAB4A12"/>
    <w:rsid w:val="0AAB6EF2"/>
    <w:rsid w:val="0AAC2042"/>
    <w:rsid w:val="0AAC2A2A"/>
    <w:rsid w:val="0AAE7D59"/>
    <w:rsid w:val="0ABF18C1"/>
    <w:rsid w:val="0ACB0FEE"/>
    <w:rsid w:val="0ADC47EB"/>
    <w:rsid w:val="0AE089CE"/>
    <w:rsid w:val="0AE7FFFD"/>
    <w:rsid w:val="0AE8EAC3"/>
    <w:rsid w:val="0AE9F0BC"/>
    <w:rsid w:val="0AEF6FBA"/>
    <w:rsid w:val="0AEFF4EF"/>
    <w:rsid w:val="0AFAACF8"/>
    <w:rsid w:val="0B028AB5"/>
    <w:rsid w:val="0B02A59C"/>
    <w:rsid w:val="0B1BF98F"/>
    <w:rsid w:val="0B1C70E3"/>
    <w:rsid w:val="0B1E131E"/>
    <w:rsid w:val="0B20538C"/>
    <w:rsid w:val="0B214E5F"/>
    <w:rsid w:val="0B28C0DE"/>
    <w:rsid w:val="0B33C0D1"/>
    <w:rsid w:val="0B3D3D2B"/>
    <w:rsid w:val="0B3F8C11"/>
    <w:rsid w:val="0B480E02"/>
    <w:rsid w:val="0B4A0B09"/>
    <w:rsid w:val="0B5292FF"/>
    <w:rsid w:val="0B57253A"/>
    <w:rsid w:val="0B597C13"/>
    <w:rsid w:val="0B6043AC"/>
    <w:rsid w:val="0B651A4E"/>
    <w:rsid w:val="0B6709DD"/>
    <w:rsid w:val="0B67DE51"/>
    <w:rsid w:val="0B71D24F"/>
    <w:rsid w:val="0B77172C"/>
    <w:rsid w:val="0B79E2EB"/>
    <w:rsid w:val="0B7BEC6B"/>
    <w:rsid w:val="0B7C7019"/>
    <w:rsid w:val="0B8077F3"/>
    <w:rsid w:val="0B82A3B7"/>
    <w:rsid w:val="0B8C9339"/>
    <w:rsid w:val="0B8F096D"/>
    <w:rsid w:val="0B90730D"/>
    <w:rsid w:val="0B9150D4"/>
    <w:rsid w:val="0B9A2F49"/>
    <w:rsid w:val="0B9FD604"/>
    <w:rsid w:val="0BA35A25"/>
    <w:rsid w:val="0BA6D82E"/>
    <w:rsid w:val="0BA6DFA1"/>
    <w:rsid w:val="0BAAE72A"/>
    <w:rsid w:val="0BC8ADB7"/>
    <w:rsid w:val="0BCBE349"/>
    <w:rsid w:val="0BCCC292"/>
    <w:rsid w:val="0BCE5487"/>
    <w:rsid w:val="0BCFF527"/>
    <w:rsid w:val="0BDF4D4A"/>
    <w:rsid w:val="0BE52817"/>
    <w:rsid w:val="0BEC3DC2"/>
    <w:rsid w:val="0BEFA9B3"/>
    <w:rsid w:val="0BF2E51E"/>
    <w:rsid w:val="0BF35405"/>
    <w:rsid w:val="0BF78A0E"/>
    <w:rsid w:val="0BFACCCB"/>
    <w:rsid w:val="0BFCD80E"/>
    <w:rsid w:val="0BFE64DE"/>
    <w:rsid w:val="0BFFF099"/>
    <w:rsid w:val="0C01C199"/>
    <w:rsid w:val="0C046C6F"/>
    <w:rsid w:val="0C0A039C"/>
    <w:rsid w:val="0C0EE761"/>
    <w:rsid w:val="0C25E92B"/>
    <w:rsid w:val="0C2B0BE5"/>
    <w:rsid w:val="0C2C046A"/>
    <w:rsid w:val="0C2F4CEE"/>
    <w:rsid w:val="0C31C056"/>
    <w:rsid w:val="0C371E66"/>
    <w:rsid w:val="0C391EC7"/>
    <w:rsid w:val="0C3CC5CC"/>
    <w:rsid w:val="0C3CDC90"/>
    <w:rsid w:val="0C41399E"/>
    <w:rsid w:val="0C4A2990"/>
    <w:rsid w:val="0C5570B4"/>
    <w:rsid w:val="0C5B553A"/>
    <w:rsid w:val="0C5F254F"/>
    <w:rsid w:val="0C609AAB"/>
    <w:rsid w:val="0C60D375"/>
    <w:rsid w:val="0C6211B8"/>
    <w:rsid w:val="0C6F7CB7"/>
    <w:rsid w:val="0C722829"/>
    <w:rsid w:val="0C7298C5"/>
    <w:rsid w:val="0C7CC7CF"/>
    <w:rsid w:val="0C7EC843"/>
    <w:rsid w:val="0C860484"/>
    <w:rsid w:val="0C8728F2"/>
    <w:rsid w:val="0C8E823F"/>
    <w:rsid w:val="0C8FB395"/>
    <w:rsid w:val="0C95F758"/>
    <w:rsid w:val="0C9EEB85"/>
    <w:rsid w:val="0CA2EE6A"/>
    <w:rsid w:val="0CA4E6B1"/>
    <w:rsid w:val="0CA64B71"/>
    <w:rsid w:val="0CA791FE"/>
    <w:rsid w:val="0CA8D6A5"/>
    <w:rsid w:val="0CB22A1C"/>
    <w:rsid w:val="0CB697A9"/>
    <w:rsid w:val="0CBCE28A"/>
    <w:rsid w:val="0CC6D840"/>
    <w:rsid w:val="0CCAC126"/>
    <w:rsid w:val="0CCB428E"/>
    <w:rsid w:val="0CCB591E"/>
    <w:rsid w:val="0CCBE5B3"/>
    <w:rsid w:val="0CCEC5DE"/>
    <w:rsid w:val="0CCF27CC"/>
    <w:rsid w:val="0CD7E66B"/>
    <w:rsid w:val="0CE258FD"/>
    <w:rsid w:val="0CE35BEA"/>
    <w:rsid w:val="0CE508A6"/>
    <w:rsid w:val="0CE99E05"/>
    <w:rsid w:val="0CE9E594"/>
    <w:rsid w:val="0CF351C6"/>
    <w:rsid w:val="0CF454FB"/>
    <w:rsid w:val="0CF738B2"/>
    <w:rsid w:val="0CFAA032"/>
    <w:rsid w:val="0CFDB0A7"/>
    <w:rsid w:val="0CFE5AF9"/>
    <w:rsid w:val="0D01A410"/>
    <w:rsid w:val="0D01C7F7"/>
    <w:rsid w:val="0D030DDB"/>
    <w:rsid w:val="0D13C69C"/>
    <w:rsid w:val="0D1687A2"/>
    <w:rsid w:val="0D1901F8"/>
    <w:rsid w:val="0D23C8B4"/>
    <w:rsid w:val="0D2E59E7"/>
    <w:rsid w:val="0D315CD9"/>
    <w:rsid w:val="0D3888A6"/>
    <w:rsid w:val="0D3DAA9A"/>
    <w:rsid w:val="0D3E1240"/>
    <w:rsid w:val="0D419DC6"/>
    <w:rsid w:val="0D45B495"/>
    <w:rsid w:val="0D49D3B1"/>
    <w:rsid w:val="0D4AA737"/>
    <w:rsid w:val="0D4EDB71"/>
    <w:rsid w:val="0D5A88AB"/>
    <w:rsid w:val="0D5A94C3"/>
    <w:rsid w:val="0D5AEAC9"/>
    <w:rsid w:val="0D5D4D4E"/>
    <w:rsid w:val="0D61D17C"/>
    <w:rsid w:val="0D63388D"/>
    <w:rsid w:val="0D641C42"/>
    <w:rsid w:val="0D6C0DA2"/>
    <w:rsid w:val="0D756A61"/>
    <w:rsid w:val="0D7C0444"/>
    <w:rsid w:val="0D7F2576"/>
    <w:rsid w:val="0D7FD24D"/>
    <w:rsid w:val="0D7FF016"/>
    <w:rsid w:val="0D872137"/>
    <w:rsid w:val="0D8A4466"/>
    <w:rsid w:val="0D8A4474"/>
    <w:rsid w:val="0D8BDBD7"/>
    <w:rsid w:val="0D8E0C98"/>
    <w:rsid w:val="0D8E0EB3"/>
    <w:rsid w:val="0D8F9BCF"/>
    <w:rsid w:val="0D9422CD"/>
    <w:rsid w:val="0D95B21F"/>
    <w:rsid w:val="0D96B506"/>
    <w:rsid w:val="0D980333"/>
    <w:rsid w:val="0D9B893B"/>
    <w:rsid w:val="0DB19790"/>
    <w:rsid w:val="0DB794BF"/>
    <w:rsid w:val="0DB9885E"/>
    <w:rsid w:val="0DCAD263"/>
    <w:rsid w:val="0DCF92AA"/>
    <w:rsid w:val="0DD1A83E"/>
    <w:rsid w:val="0DD231C5"/>
    <w:rsid w:val="0DDAFF42"/>
    <w:rsid w:val="0DDB4713"/>
    <w:rsid w:val="0DDFF284"/>
    <w:rsid w:val="0DE56D36"/>
    <w:rsid w:val="0DE7E034"/>
    <w:rsid w:val="0DE9AC84"/>
    <w:rsid w:val="0DEA9105"/>
    <w:rsid w:val="0DF4B6BD"/>
    <w:rsid w:val="0DF9B61E"/>
    <w:rsid w:val="0DFC8FE1"/>
    <w:rsid w:val="0DFE697F"/>
    <w:rsid w:val="0E03D187"/>
    <w:rsid w:val="0E05E2F4"/>
    <w:rsid w:val="0E0AA891"/>
    <w:rsid w:val="0E0ED426"/>
    <w:rsid w:val="0E18DA65"/>
    <w:rsid w:val="0E1DD1EB"/>
    <w:rsid w:val="0E1E7B5D"/>
    <w:rsid w:val="0E20BD4D"/>
    <w:rsid w:val="0E27561E"/>
    <w:rsid w:val="0E29B040"/>
    <w:rsid w:val="0E2A0800"/>
    <w:rsid w:val="0E2BCDDF"/>
    <w:rsid w:val="0E2FDCC2"/>
    <w:rsid w:val="0E332DB6"/>
    <w:rsid w:val="0E33ED0B"/>
    <w:rsid w:val="0E3A8BA6"/>
    <w:rsid w:val="0E3D358B"/>
    <w:rsid w:val="0E3D6AA8"/>
    <w:rsid w:val="0E4000F4"/>
    <w:rsid w:val="0E427DCE"/>
    <w:rsid w:val="0E4423AB"/>
    <w:rsid w:val="0E447643"/>
    <w:rsid w:val="0E44B45A"/>
    <w:rsid w:val="0E4943EE"/>
    <w:rsid w:val="0E4A83AB"/>
    <w:rsid w:val="0E4C2547"/>
    <w:rsid w:val="0E51634A"/>
    <w:rsid w:val="0E55376E"/>
    <w:rsid w:val="0E559ED9"/>
    <w:rsid w:val="0E57894C"/>
    <w:rsid w:val="0E5AFEB7"/>
    <w:rsid w:val="0E6194C6"/>
    <w:rsid w:val="0E6AD025"/>
    <w:rsid w:val="0E7C99B2"/>
    <w:rsid w:val="0E7D93CB"/>
    <w:rsid w:val="0E82EBC8"/>
    <w:rsid w:val="0E852BDC"/>
    <w:rsid w:val="0E85F7D4"/>
    <w:rsid w:val="0E8B13D9"/>
    <w:rsid w:val="0E947B53"/>
    <w:rsid w:val="0EAD5C4F"/>
    <w:rsid w:val="0EAD63B1"/>
    <w:rsid w:val="0EAD81E9"/>
    <w:rsid w:val="0EB0E760"/>
    <w:rsid w:val="0EB13DB5"/>
    <w:rsid w:val="0EB8976E"/>
    <w:rsid w:val="0EBA20A6"/>
    <w:rsid w:val="0EC615DC"/>
    <w:rsid w:val="0ECEB467"/>
    <w:rsid w:val="0ED3F768"/>
    <w:rsid w:val="0ED47093"/>
    <w:rsid w:val="0EDF54BB"/>
    <w:rsid w:val="0EDFDF6D"/>
    <w:rsid w:val="0EE0AEBF"/>
    <w:rsid w:val="0EE2C714"/>
    <w:rsid w:val="0EE4F74C"/>
    <w:rsid w:val="0EE52CFC"/>
    <w:rsid w:val="0EE55826"/>
    <w:rsid w:val="0EF1B200"/>
    <w:rsid w:val="0EF294F3"/>
    <w:rsid w:val="0EF97B50"/>
    <w:rsid w:val="0EFCEAB1"/>
    <w:rsid w:val="0F09AA0A"/>
    <w:rsid w:val="0F0C45B0"/>
    <w:rsid w:val="0F0DF1F3"/>
    <w:rsid w:val="0F112265"/>
    <w:rsid w:val="0F1367A0"/>
    <w:rsid w:val="0F175515"/>
    <w:rsid w:val="0F187E82"/>
    <w:rsid w:val="0F1C810E"/>
    <w:rsid w:val="0F1D877D"/>
    <w:rsid w:val="0F217BAE"/>
    <w:rsid w:val="0F237CEE"/>
    <w:rsid w:val="0F2B87F3"/>
    <w:rsid w:val="0F2FFFFD"/>
    <w:rsid w:val="0F318F45"/>
    <w:rsid w:val="0F319B53"/>
    <w:rsid w:val="0F322AFF"/>
    <w:rsid w:val="0F352B13"/>
    <w:rsid w:val="0F3605A0"/>
    <w:rsid w:val="0F37F08B"/>
    <w:rsid w:val="0F3AA197"/>
    <w:rsid w:val="0F47BFDA"/>
    <w:rsid w:val="0F517EB0"/>
    <w:rsid w:val="0F55EC37"/>
    <w:rsid w:val="0F5B914F"/>
    <w:rsid w:val="0F622F8F"/>
    <w:rsid w:val="0F639664"/>
    <w:rsid w:val="0F69FB8A"/>
    <w:rsid w:val="0F6E331E"/>
    <w:rsid w:val="0F758354"/>
    <w:rsid w:val="0F7A3EAE"/>
    <w:rsid w:val="0F7BB7DB"/>
    <w:rsid w:val="0F7BC200"/>
    <w:rsid w:val="0F7C0C7B"/>
    <w:rsid w:val="0F7CCF3C"/>
    <w:rsid w:val="0F841BF0"/>
    <w:rsid w:val="0F8669E0"/>
    <w:rsid w:val="0F8C1F4C"/>
    <w:rsid w:val="0F8C414B"/>
    <w:rsid w:val="0F8DD780"/>
    <w:rsid w:val="0F944040"/>
    <w:rsid w:val="0F95EC04"/>
    <w:rsid w:val="0F98D6A0"/>
    <w:rsid w:val="0FA091FC"/>
    <w:rsid w:val="0FA1A338"/>
    <w:rsid w:val="0FA1DE8F"/>
    <w:rsid w:val="0FA44C17"/>
    <w:rsid w:val="0FAB14F6"/>
    <w:rsid w:val="0FAF1E73"/>
    <w:rsid w:val="0FB0851E"/>
    <w:rsid w:val="0FB4C4CF"/>
    <w:rsid w:val="0FB660E9"/>
    <w:rsid w:val="0FBA87F5"/>
    <w:rsid w:val="0FBB7D23"/>
    <w:rsid w:val="0FBC95F1"/>
    <w:rsid w:val="0FC4AB3D"/>
    <w:rsid w:val="0FC5234A"/>
    <w:rsid w:val="0FCD8691"/>
    <w:rsid w:val="0FCDF74A"/>
    <w:rsid w:val="0FD85E5F"/>
    <w:rsid w:val="0FDB5168"/>
    <w:rsid w:val="0FDC21D1"/>
    <w:rsid w:val="0FDE0B41"/>
    <w:rsid w:val="0FEADB23"/>
    <w:rsid w:val="0FEC32D0"/>
    <w:rsid w:val="0FEDA0B2"/>
    <w:rsid w:val="0FF1BB98"/>
    <w:rsid w:val="0FF57AE1"/>
    <w:rsid w:val="0FFA47E4"/>
    <w:rsid w:val="10014BCA"/>
    <w:rsid w:val="100D64C8"/>
    <w:rsid w:val="101023BE"/>
    <w:rsid w:val="101249F5"/>
    <w:rsid w:val="101645C4"/>
    <w:rsid w:val="1016FD77"/>
    <w:rsid w:val="10183BB7"/>
    <w:rsid w:val="1018DD5A"/>
    <w:rsid w:val="10196311"/>
    <w:rsid w:val="101C223D"/>
    <w:rsid w:val="101DA6C3"/>
    <w:rsid w:val="101E1096"/>
    <w:rsid w:val="101F36AD"/>
    <w:rsid w:val="1020F925"/>
    <w:rsid w:val="1022B1FE"/>
    <w:rsid w:val="10284AB7"/>
    <w:rsid w:val="10288930"/>
    <w:rsid w:val="102B146C"/>
    <w:rsid w:val="102DC139"/>
    <w:rsid w:val="102E3FBA"/>
    <w:rsid w:val="1030A4C3"/>
    <w:rsid w:val="1035208C"/>
    <w:rsid w:val="10431FEB"/>
    <w:rsid w:val="104768CF"/>
    <w:rsid w:val="1049AADB"/>
    <w:rsid w:val="104EC3A2"/>
    <w:rsid w:val="1058EC95"/>
    <w:rsid w:val="105B6434"/>
    <w:rsid w:val="105BFF43"/>
    <w:rsid w:val="105C134F"/>
    <w:rsid w:val="1069D5DC"/>
    <w:rsid w:val="106ADD43"/>
    <w:rsid w:val="106E43F6"/>
    <w:rsid w:val="10723FB0"/>
    <w:rsid w:val="1076E1A9"/>
    <w:rsid w:val="107B4FF1"/>
    <w:rsid w:val="10900640"/>
    <w:rsid w:val="109C981D"/>
    <w:rsid w:val="109D2084"/>
    <w:rsid w:val="109E64BB"/>
    <w:rsid w:val="10A0F0AE"/>
    <w:rsid w:val="10A4D634"/>
    <w:rsid w:val="10A4FF9D"/>
    <w:rsid w:val="10A88FAA"/>
    <w:rsid w:val="10AA0D04"/>
    <w:rsid w:val="10AE14AA"/>
    <w:rsid w:val="10B5B4EF"/>
    <w:rsid w:val="10B61919"/>
    <w:rsid w:val="10BE087A"/>
    <w:rsid w:val="10BE8CDA"/>
    <w:rsid w:val="10C175AD"/>
    <w:rsid w:val="10C223E7"/>
    <w:rsid w:val="10C53651"/>
    <w:rsid w:val="10C58B18"/>
    <w:rsid w:val="10C86FCB"/>
    <w:rsid w:val="10CC579A"/>
    <w:rsid w:val="10D37087"/>
    <w:rsid w:val="10D3C212"/>
    <w:rsid w:val="10D5E5C3"/>
    <w:rsid w:val="10DB2556"/>
    <w:rsid w:val="10DC5B47"/>
    <w:rsid w:val="10DC6C33"/>
    <w:rsid w:val="10DF72EC"/>
    <w:rsid w:val="10E08DBE"/>
    <w:rsid w:val="10EC263D"/>
    <w:rsid w:val="10F20D54"/>
    <w:rsid w:val="1102F113"/>
    <w:rsid w:val="1105BEFB"/>
    <w:rsid w:val="110700C2"/>
    <w:rsid w:val="11071643"/>
    <w:rsid w:val="110B0FF1"/>
    <w:rsid w:val="110D2ADF"/>
    <w:rsid w:val="110DDC1A"/>
    <w:rsid w:val="11109C64"/>
    <w:rsid w:val="111449BD"/>
    <w:rsid w:val="11145C22"/>
    <w:rsid w:val="11146FAC"/>
    <w:rsid w:val="1114BD91"/>
    <w:rsid w:val="1116BFC6"/>
    <w:rsid w:val="11170715"/>
    <w:rsid w:val="111B8224"/>
    <w:rsid w:val="112FC736"/>
    <w:rsid w:val="11364BDB"/>
    <w:rsid w:val="11370D3A"/>
    <w:rsid w:val="1138577E"/>
    <w:rsid w:val="11387B51"/>
    <w:rsid w:val="11398660"/>
    <w:rsid w:val="113C5B84"/>
    <w:rsid w:val="113D8544"/>
    <w:rsid w:val="1145FD27"/>
    <w:rsid w:val="1147967D"/>
    <w:rsid w:val="1153B9C9"/>
    <w:rsid w:val="11547256"/>
    <w:rsid w:val="11578098"/>
    <w:rsid w:val="1157D360"/>
    <w:rsid w:val="115AE28D"/>
    <w:rsid w:val="115CF907"/>
    <w:rsid w:val="115EEF1C"/>
    <w:rsid w:val="115FA9D9"/>
    <w:rsid w:val="11620195"/>
    <w:rsid w:val="1163118E"/>
    <w:rsid w:val="1166FA5F"/>
    <w:rsid w:val="116E2051"/>
    <w:rsid w:val="116FF2D2"/>
    <w:rsid w:val="1170C55C"/>
    <w:rsid w:val="117159FD"/>
    <w:rsid w:val="1172A04E"/>
    <w:rsid w:val="117C292F"/>
    <w:rsid w:val="117C629F"/>
    <w:rsid w:val="117E4FFE"/>
    <w:rsid w:val="1182F250"/>
    <w:rsid w:val="1188E1C2"/>
    <w:rsid w:val="118A921E"/>
    <w:rsid w:val="118F3DC6"/>
    <w:rsid w:val="119281F9"/>
    <w:rsid w:val="119745CA"/>
    <w:rsid w:val="1199554E"/>
    <w:rsid w:val="119C264A"/>
    <w:rsid w:val="11A05E32"/>
    <w:rsid w:val="11A0D981"/>
    <w:rsid w:val="11A3CF18"/>
    <w:rsid w:val="11A554B4"/>
    <w:rsid w:val="11A980A3"/>
    <w:rsid w:val="11ACEBC5"/>
    <w:rsid w:val="11AF2B0B"/>
    <w:rsid w:val="11B3A2D4"/>
    <w:rsid w:val="11B49024"/>
    <w:rsid w:val="11B576C9"/>
    <w:rsid w:val="11B71E13"/>
    <w:rsid w:val="11C649DD"/>
    <w:rsid w:val="11C90CAD"/>
    <w:rsid w:val="11D4A52C"/>
    <w:rsid w:val="11D5CB54"/>
    <w:rsid w:val="11D6D05E"/>
    <w:rsid w:val="11D6F04D"/>
    <w:rsid w:val="11D842DB"/>
    <w:rsid w:val="11DFFAD6"/>
    <w:rsid w:val="11E333FC"/>
    <w:rsid w:val="11E425DB"/>
    <w:rsid w:val="11E4397A"/>
    <w:rsid w:val="11E43EB2"/>
    <w:rsid w:val="11E4D533"/>
    <w:rsid w:val="11E66B71"/>
    <w:rsid w:val="11F5A316"/>
    <w:rsid w:val="11F6B808"/>
    <w:rsid w:val="11F7A906"/>
    <w:rsid w:val="11FAD018"/>
    <w:rsid w:val="12003523"/>
    <w:rsid w:val="1202673B"/>
    <w:rsid w:val="120A88BF"/>
    <w:rsid w:val="120C2091"/>
    <w:rsid w:val="1210F07C"/>
    <w:rsid w:val="12115E53"/>
    <w:rsid w:val="12182659"/>
    <w:rsid w:val="121F852C"/>
    <w:rsid w:val="1220C22C"/>
    <w:rsid w:val="1228424A"/>
    <w:rsid w:val="122F4DCC"/>
    <w:rsid w:val="1231FBE4"/>
    <w:rsid w:val="12325185"/>
    <w:rsid w:val="1232B504"/>
    <w:rsid w:val="123AA909"/>
    <w:rsid w:val="12483550"/>
    <w:rsid w:val="124BB1C6"/>
    <w:rsid w:val="124CAEBF"/>
    <w:rsid w:val="124DEAE6"/>
    <w:rsid w:val="1250B5EA"/>
    <w:rsid w:val="125D1C4C"/>
    <w:rsid w:val="126176DA"/>
    <w:rsid w:val="1263850D"/>
    <w:rsid w:val="12685B9C"/>
    <w:rsid w:val="126C106D"/>
    <w:rsid w:val="12714BE2"/>
    <w:rsid w:val="12727ED0"/>
    <w:rsid w:val="127B94B8"/>
    <w:rsid w:val="127C9975"/>
    <w:rsid w:val="127FE57E"/>
    <w:rsid w:val="128126D8"/>
    <w:rsid w:val="12821C1A"/>
    <w:rsid w:val="1285E155"/>
    <w:rsid w:val="128BB143"/>
    <w:rsid w:val="12905DB3"/>
    <w:rsid w:val="1293D75F"/>
    <w:rsid w:val="1296F1C1"/>
    <w:rsid w:val="129CE4DB"/>
    <w:rsid w:val="129E0450"/>
    <w:rsid w:val="12A3FDD4"/>
    <w:rsid w:val="12A7E7C5"/>
    <w:rsid w:val="12A8CB6C"/>
    <w:rsid w:val="12ADD4B1"/>
    <w:rsid w:val="12AEB65E"/>
    <w:rsid w:val="12AF0331"/>
    <w:rsid w:val="12B1434A"/>
    <w:rsid w:val="12B1C2E6"/>
    <w:rsid w:val="12B21461"/>
    <w:rsid w:val="12B47022"/>
    <w:rsid w:val="12B87597"/>
    <w:rsid w:val="12B92C1C"/>
    <w:rsid w:val="12BAF157"/>
    <w:rsid w:val="12C1B2DE"/>
    <w:rsid w:val="12C698C0"/>
    <w:rsid w:val="12CB6C0C"/>
    <w:rsid w:val="12D3D58D"/>
    <w:rsid w:val="12DE2223"/>
    <w:rsid w:val="12E27CB4"/>
    <w:rsid w:val="12EC4E07"/>
    <w:rsid w:val="12F15BC5"/>
    <w:rsid w:val="1302CAD7"/>
    <w:rsid w:val="130437CE"/>
    <w:rsid w:val="13095236"/>
    <w:rsid w:val="130B7E17"/>
    <w:rsid w:val="130CCB0D"/>
    <w:rsid w:val="13141AA1"/>
    <w:rsid w:val="131B29E8"/>
    <w:rsid w:val="131E574D"/>
    <w:rsid w:val="131F7D10"/>
    <w:rsid w:val="131F9343"/>
    <w:rsid w:val="132476F5"/>
    <w:rsid w:val="132A9D70"/>
    <w:rsid w:val="132D9F65"/>
    <w:rsid w:val="132FD945"/>
    <w:rsid w:val="1335C308"/>
    <w:rsid w:val="133B1815"/>
    <w:rsid w:val="1342A4B8"/>
    <w:rsid w:val="1342A631"/>
    <w:rsid w:val="1345D67E"/>
    <w:rsid w:val="13479C1A"/>
    <w:rsid w:val="1350A4AA"/>
    <w:rsid w:val="13516CE9"/>
    <w:rsid w:val="1353F468"/>
    <w:rsid w:val="13561BBE"/>
    <w:rsid w:val="135B9F6D"/>
    <w:rsid w:val="135F2BD2"/>
    <w:rsid w:val="1360B126"/>
    <w:rsid w:val="13650B37"/>
    <w:rsid w:val="13666ED2"/>
    <w:rsid w:val="136704E2"/>
    <w:rsid w:val="1369289A"/>
    <w:rsid w:val="137B37B2"/>
    <w:rsid w:val="137CA961"/>
    <w:rsid w:val="1380528F"/>
    <w:rsid w:val="13825A3B"/>
    <w:rsid w:val="1382DC66"/>
    <w:rsid w:val="1388AF1C"/>
    <w:rsid w:val="138AC576"/>
    <w:rsid w:val="138BDF04"/>
    <w:rsid w:val="1391E477"/>
    <w:rsid w:val="13951C60"/>
    <w:rsid w:val="139ED41E"/>
    <w:rsid w:val="13A54381"/>
    <w:rsid w:val="13A561DA"/>
    <w:rsid w:val="13AA9316"/>
    <w:rsid w:val="13AEE45F"/>
    <w:rsid w:val="13AFEFAA"/>
    <w:rsid w:val="13B21719"/>
    <w:rsid w:val="13B69D0B"/>
    <w:rsid w:val="13B72198"/>
    <w:rsid w:val="13B7CCB5"/>
    <w:rsid w:val="13B7DB3B"/>
    <w:rsid w:val="13B7F2EC"/>
    <w:rsid w:val="13B813A2"/>
    <w:rsid w:val="13BF85A4"/>
    <w:rsid w:val="13CF3C51"/>
    <w:rsid w:val="13D01D16"/>
    <w:rsid w:val="13D27BA9"/>
    <w:rsid w:val="13D4FD01"/>
    <w:rsid w:val="13DC8BEB"/>
    <w:rsid w:val="13DF9E96"/>
    <w:rsid w:val="13E33D43"/>
    <w:rsid w:val="13E3C469"/>
    <w:rsid w:val="13E9547E"/>
    <w:rsid w:val="13EB0F4E"/>
    <w:rsid w:val="13EE31A4"/>
    <w:rsid w:val="13F543DF"/>
    <w:rsid w:val="140438AC"/>
    <w:rsid w:val="14045080"/>
    <w:rsid w:val="14071F39"/>
    <w:rsid w:val="14109BEF"/>
    <w:rsid w:val="1412BE38"/>
    <w:rsid w:val="14143F6A"/>
    <w:rsid w:val="14179576"/>
    <w:rsid w:val="1419EC91"/>
    <w:rsid w:val="141B1C1F"/>
    <w:rsid w:val="1425AB99"/>
    <w:rsid w:val="142E5E8B"/>
    <w:rsid w:val="143796B6"/>
    <w:rsid w:val="14407D15"/>
    <w:rsid w:val="14430AB6"/>
    <w:rsid w:val="144B5758"/>
    <w:rsid w:val="144DD204"/>
    <w:rsid w:val="144F3D08"/>
    <w:rsid w:val="1451E00C"/>
    <w:rsid w:val="14562002"/>
    <w:rsid w:val="1456D639"/>
    <w:rsid w:val="14574E38"/>
    <w:rsid w:val="1457DC20"/>
    <w:rsid w:val="145AC114"/>
    <w:rsid w:val="145B23E1"/>
    <w:rsid w:val="145BF37B"/>
    <w:rsid w:val="14659B49"/>
    <w:rsid w:val="146B7384"/>
    <w:rsid w:val="1474BD73"/>
    <w:rsid w:val="147684E3"/>
    <w:rsid w:val="14855A3B"/>
    <w:rsid w:val="14889BAA"/>
    <w:rsid w:val="14891BDC"/>
    <w:rsid w:val="1489DE6E"/>
    <w:rsid w:val="14911360"/>
    <w:rsid w:val="1498F8A4"/>
    <w:rsid w:val="14A0E2B8"/>
    <w:rsid w:val="14A192A9"/>
    <w:rsid w:val="14A74A9B"/>
    <w:rsid w:val="14AE1128"/>
    <w:rsid w:val="14B6C66C"/>
    <w:rsid w:val="14BA4D99"/>
    <w:rsid w:val="14C25AD0"/>
    <w:rsid w:val="14D32358"/>
    <w:rsid w:val="14D66B03"/>
    <w:rsid w:val="14D74D10"/>
    <w:rsid w:val="14D84434"/>
    <w:rsid w:val="14DFFA12"/>
    <w:rsid w:val="14E3456F"/>
    <w:rsid w:val="14E5186C"/>
    <w:rsid w:val="14E816DD"/>
    <w:rsid w:val="14EA8533"/>
    <w:rsid w:val="14EFF439"/>
    <w:rsid w:val="14F4D4FB"/>
    <w:rsid w:val="14F582DB"/>
    <w:rsid w:val="14F82F0F"/>
    <w:rsid w:val="14FA32C3"/>
    <w:rsid w:val="14FA517A"/>
    <w:rsid w:val="14FF4C64"/>
    <w:rsid w:val="150007E7"/>
    <w:rsid w:val="15039FDB"/>
    <w:rsid w:val="15059245"/>
    <w:rsid w:val="1505A3C1"/>
    <w:rsid w:val="15098B84"/>
    <w:rsid w:val="150A5DF0"/>
    <w:rsid w:val="150B2E01"/>
    <w:rsid w:val="150B4DE8"/>
    <w:rsid w:val="150DE96E"/>
    <w:rsid w:val="150E62DB"/>
    <w:rsid w:val="15117110"/>
    <w:rsid w:val="15153CBC"/>
    <w:rsid w:val="151B87CE"/>
    <w:rsid w:val="151DCCD4"/>
    <w:rsid w:val="151F8433"/>
    <w:rsid w:val="1522372E"/>
    <w:rsid w:val="1522AD1D"/>
    <w:rsid w:val="152C8EAE"/>
    <w:rsid w:val="152F44FC"/>
    <w:rsid w:val="1532CF10"/>
    <w:rsid w:val="1532ED94"/>
    <w:rsid w:val="153ED488"/>
    <w:rsid w:val="154A9593"/>
    <w:rsid w:val="1553F1AF"/>
    <w:rsid w:val="155986DF"/>
    <w:rsid w:val="155EBC9E"/>
    <w:rsid w:val="156DD2CA"/>
    <w:rsid w:val="15758248"/>
    <w:rsid w:val="15763951"/>
    <w:rsid w:val="157AA2DE"/>
    <w:rsid w:val="157E0ED0"/>
    <w:rsid w:val="15802C98"/>
    <w:rsid w:val="1581700A"/>
    <w:rsid w:val="1581BDAF"/>
    <w:rsid w:val="15842047"/>
    <w:rsid w:val="158540CD"/>
    <w:rsid w:val="15872EF5"/>
    <w:rsid w:val="158E9D6A"/>
    <w:rsid w:val="15900295"/>
    <w:rsid w:val="1590DD4F"/>
    <w:rsid w:val="1591A130"/>
    <w:rsid w:val="1593A7D9"/>
    <w:rsid w:val="1595D64D"/>
    <w:rsid w:val="159DC07F"/>
    <w:rsid w:val="15A686E4"/>
    <w:rsid w:val="15A8D45E"/>
    <w:rsid w:val="15B5B420"/>
    <w:rsid w:val="15BB7CC7"/>
    <w:rsid w:val="15BB9755"/>
    <w:rsid w:val="15BC5E49"/>
    <w:rsid w:val="15BC9C4A"/>
    <w:rsid w:val="15BCD354"/>
    <w:rsid w:val="15C1BCB4"/>
    <w:rsid w:val="15C2C2AE"/>
    <w:rsid w:val="15C578B6"/>
    <w:rsid w:val="15C80FD5"/>
    <w:rsid w:val="15CA5061"/>
    <w:rsid w:val="15CC106D"/>
    <w:rsid w:val="15CC426A"/>
    <w:rsid w:val="15CCF067"/>
    <w:rsid w:val="15D44D29"/>
    <w:rsid w:val="15DC3ABA"/>
    <w:rsid w:val="15E78D3B"/>
    <w:rsid w:val="15EF2EF1"/>
    <w:rsid w:val="15F34594"/>
    <w:rsid w:val="15FD37F0"/>
    <w:rsid w:val="1605705D"/>
    <w:rsid w:val="160851C0"/>
    <w:rsid w:val="1611AB3C"/>
    <w:rsid w:val="161215D8"/>
    <w:rsid w:val="1615E24E"/>
    <w:rsid w:val="1615F7B8"/>
    <w:rsid w:val="1618FA9A"/>
    <w:rsid w:val="161B4ADC"/>
    <w:rsid w:val="161D5250"/>
    <w:rsid w:val="16206D54"/>
    <w:rsid w:val="1622169E"/>
    <w:rsid w:val="16233EBB"/>
    <w:rsid w:val="16254F57"/>
    <w:rsid w:val="16270977"/>
    <w:rsid w:val="162817FD"/>
    <w:rsid w:val="162B1846"/>
    <w:rsid w:val="162E4C29"/>
    <w:rsid w:val="1634DC4F"/>
    <w:rsid w:val="1634F57A"/>
    <w:rsid w:val="16369F8D"/>
    <w:rsid w:val="16399AEB"/>
    <w:rsid w:val="1644467C"/>
    <w:rsid w:val="1648D649"/>
    <w:rsid w:val="164939B3"/>
    <w:rsid w:val="1649FBC3"/>
    <w:rsid w:val="165F29AE"/>
    <w:rsid w:val="166369B9"/>
    <w:rsid w:val="166913EE"/>
    <w:rsid w:val="166B3E88"/>
    <w:rsid w:val="167086B5"/>
    <w:rsid w:val="16708735"/>
    <w:rsid w:val="1670B52A"/>
    <w:rsid w:val="16730A19"/>
    <w:rsid w:val="1678A93F"/>
    <w:rsid w:val="167CF2DF"/>
    <w:rsid w:val="167DC102"/>
    <w:rsid w:val="16913AD2"/>
    <w:rsid w:val="16937FAA"/>
    <w:rsid w:val="16943792"/>
    <w:rsid w:val="1698B828"/>
    <w:rsid w:val="169A360A"/>
    <w:rsid w:val="16A1A22C"/>
    <w:rsid w:val="16A41FEE"/>
    <w:rsid w:val="16ACC2B8"/>
    <w:rsid w:val="16ADAC3C"/>
    <w:rsid w:val="16B6174D"/>
    <w:rsid w:val="16B904DA"/>
    <w:rsid w:val="16C00E30"/>
    <w:rsid w:val="16C39606"/>
    <w:rsid w:val="16D5B0B1"/>
    <w:rsid w:val="16D80D24"/>
    <w:rsid w:val="16E503FC"/>
    <w:rsid w:val="16E90497"/>
    <w:rsid w:val="16EEE20E"/>
    <w:rsid w:val="16F05191"/>
    <w:rsid w:val="16F40BAD"/>
    <w:rsid w:val="16F601B9"/>
    <w:rsid w:val="16FBA164"/>
    <w:rsid w:val="16FC42F7"/>
    <w:rsid w:val="170CBA89"/>
    <w:rsid w:val="171AC135"/>
    <w:rsid w:val="1721B8A2"/>
    <w:rsid w:val="1724ACDA"/>
    <w:rsid w:val="17286E15"/>
    <w:rsid w:val="1728E759"/>
    <w:rsid w:val="172D5062"/>
    <w:rsid w:val="1730E85F"/>
    <w:rsid w:val="1732A467"/>
    <w:rsid w:val="1737A363"/>
    <w:rsid w:val="173CD2B4"/>
    <w:rsid w:val="17464BDA"/>
    <w:rsid w:val="1746BA59"/>
    <w:rsid w:val="1746FBAD"/>
    <w:rsid w:val="17482CEA"/>
    <w:rsid w:val="174F3791"/>
    <w:rsid w:val="1751D01A"/>
    <w:rsid w:val="175488B8"/>
    <w:rsid w:val="1755CDCB"/>
    <w:rsid w:val="1758E07A"/>
    <w:rsid w:val="175A13A5"/>
    <w:rsid w:val="175BEC70"/>
    <w:rsid w:val="175C41FE"/>
    <w:rsid w:val="175C4538"/>
    <w:rsid w:val="17612618"/>
    <w:rsid w:val="1762B90A"/>
    <w:rsid w:val="176326B1"/>
    <w:rsid w:val="17635F45"/>
    <w:rsid w:val="1767EB1B"/>
    <w:rsid w:val="1769B336"/>
    <w:rsid w:val="176CCE9C"/>
    <w:rsid w:val="176E9A06"/>
    <w:rsid w:val="1772BD0D"/>
    <w:rsid w:val="1773EA5B"/>
    <w:rsid w:val="1790A575"/>
    <w:rsid w:val="1793D7B7"/>
    <w:rsid w:val="1793DB03"/>
    <w:rsid w:val="1796F466"/>
    <w:rsid w:val="179958D1"/>
    <w:rsid w:val="179ED18B"/>
    <w:rsid w:val="17A1C6B8"/>
    <w:rsid w:val="17A34D52"/>
    <w:rsid w:val="17A44030"/>
    <w:rsid w:val="17AA53FF"/>
    <w:rsid w:val="17AB5948"/>
    <w:rsid w:val="17B9E4CB"/>
    <w:rsid w:val="17BE69D0"/>
    <w:rsid w:val="17C14B9F"/>
    <w:rsid w:val="17C31E6B"/>
    <w:rsid w:val="17C4D0DF"/>
    <w:rsid w:val="17C6A778"/>
    <w:rsid w:val="17C9CE92"/>
    <w:rsid w:val="17CAEDFC"/>
    <w:rsid w:val="17CFF17A"/>
    <w:rsid w:val="17DB0F48"/>
    <w:rsid w:val="17E86EE9"/>
    <w:rsid w:val="17F25EDC"/>
    <w:rsid w:val="17F3ED14"/>
    <w:rsid w:val="17FB9604"/>
    <w:rsid w:val="17FFF96E"/>
    <w:rsid w:val="18058349"/>
    <w:rsid w:val="1807DD2C"/>
    <w:rsid w:val="1808250A"/>
    <w:rsid w:val="181462D5"/>
    <w:rsid w:val="1815ECEA"/>
    <w:rsid w:val="181B3B7F"/>
    <w:rsid w:val="181BDDBB"/>
    <w:rsid w:val="181DFB26"/>
    <w:rsid w:val="181F1D43"/>
    <w:rsid w:val="18223B99"/>
    <w:rsid w:val="182BA607"/>
    <w:rsid w:val="182E92D7"/>
    <w:rsid w:val="18348F7B"/>
    <w:rsid w:val="18393E72"/>
    <w:rsid w:val="1840B7D2"/>
    <w:rsid w:val="18417022"/>
    <w:rsid w:val="1843864D"/>
    <w:rsid w:val="18449B31"/>
    <w:rsid w:val="184B1A11"/>
    <w:rsid w:val="184D8894"/>
    <w:rsid w:val="184F1920"/>
    <w:rsid w:val="1850249D"/>
    <w:rsid w:val="185321D4"/>
    <w:rsid w:val="185C04EB"/>
    <w:rsid w:val="185D0965"/>
    <w:rsid w:val="1869A19F"/>
    <w:rsid w:val="1869A745"/>
    <w:rsid w:val="187E89E1"/>
    <w:rsid w:val="18804D92"/>
    <w:rsid w:val="1887895A"/>
    <w:rsid w:val="188AB311"/>
    <w:rsid w:val="188BF503"/>
    <w:rsid w:val="188C2668"/>
    <w:rsid w:val="188CF2DA"/>
    <w:rsid w:val="188E6C9F"/>
    <w:rsid w:val="1895AAFD"/>
    <w:rsid w:val="18965D60"/>
    <w:rsid w:val="189BD429"/>
    <w:rsid w:val="189DFA83"/>
    <w:rsid w:val="189E356B"/>
    <w:rsid w:val="18A1AE20"/>
    <w:rsid w:val="18A41F36"/>
    <w:rsid w:val="18A6CDD5"/>
    <w:rsid w:val="18A8E995"/>
    <w:rsid w:val="18B15BFF"/>
    <w:rsid w:val="18B24585"/>
    <w:rsid w:val="18B9DC0F"/>
    <w:rsid w:val="18C01B87"/>
    <w:rsid w:val="18C6F6AE"/>
    <w:rsid w:val="18CB4DD4"/>
    <w:rsid w:val="18CCC896"/>
    <w:rsid w:val="18CD0FD9"/>
    <w:rsid w:val="18CF034E"/>
    <w:rsid w:val="18D1B9CC"/>
    <w:rsid w:val="18D63AEB"/>
    <w:rsid w:val="18D8A191"/>
    <w:rsid w:val="18DB0EAA"/>
    <w:rsid w:val="18E52CBE"/>
    <w:rsid w:val="18E7C481"/>
    <w:rsid w:val="18E8A9DF"/>
    <w:rsid w:val="18F33CD3"/>
    <w:rsid w:val="18F48E45"/>
    <w:rsid w:val="18F50891"/>
    <w:rsid w:val="18F5B806"/>
    <w:rsid w:val="18F94228"/>
    <w:rsid w:val="18FDB18D"/>
    <w:rsid w:val="19048BB7"/>
    <w:rsid w:val="1904C760"/>
    <w:rsid w:val="19051C28"/>
    <w:rsid w:val="19064365"/>
    <w:rsid w:val="19072FC0"/>
    <w:rsid w:val="190B8B34"/>
    <w:rsid w:val="191274AA"/>
    <w:rsid w:val="1912839F"/>
    <w:rsid w:val="19143D70"/>
    <w:rsid w:val="19170241"/>
    <w:rsid w:val="1918FFCD"/>
    <w:rsid w:val="191932F2"/>
    <w:rsid w:val="1925022C"/>
    <w:rsid w:val="1929F84D"/>
    <w:rsid w:val="192C6061"/>
    <w:rsid w:val="192DCFF6"/>
    <w:rsid w:val="19338BA5"/>
    <w:rsid w:val="19399AD6"/>
    <w:rsid w:val="194152A2"/>
    <w:rsid w:val="1944E86E"/>
    <w:rsid w:val="194CD53F"/>
    <w:rsid w:val="194CEA9F"/>
    <w:rsid w:val="194F1ACF"/>
    <w:rsid w:val="1953C1D3"/>
    <w:rsid w:val="195753D1"/>
    <w:rsid w:val="195BD4BF"/>
    <w:rsid w:val="1960B73C"/>
    <w:rsid w:val="19611488"/>
    <w:rsid w:val="1961ACA7"/>
    <w:rsid w:val="196A3AE1"/>
    <w:rsid w:val="196ADF85"/>
    <w:rsid w:val="196FA487"/>
    <w:rsid w:val="1977D55E"/>
    <w:rsid w:val="1977F669"/>
    <w:rsid w:val="197ECE62"/>
    <w:rsid w:val="197FF906"/>
    <w:rsid w:val="1982B7CC"/>
    <w:rsid w:val="1987BC15"/>
    <w:rsid w:val="198984A5"/>
    <w:rsid w:val="198D3CE0"/>
    <w:rsid w:val="19943285"/>
    <w:rsid w:val="19973751"/>
    <w:rsid w:val="1997558A"/>
    <w:rsid w:val="199EF498"/>
    <w:rsid w:val="19A213D8"/>
    <w:rsid w:val="19A8D56F"/>
    <w:rsid w:val="19AA072D"/>
    <w:rsid w:val="19ABEBB6"/>
    <w:rsid w:val="19AD48E6"/>
    <w:rsid w:val="19AF3065"/>
    <w:rsid w:val="19AF7A11"/>
    <w:rsid w:val="19B20717"/>
    <w:rsid w:val="19B4851D"/>
    <w:rsid w:val="19BF520A"/>
    <w:rsid w:val="19C3497D"/>
    <w:rsid w:val="19C472FF"/>
    <w:rsid w:val="19D08B37"/>
    <w:rsid w:val="19D8B466"/>
    <w:rsid w:val="19E066A3"/>
    <w:rsid w:val="19E24797"/>
    <w:rsid w:val="19EC9F78"/>
    <w:rsid w:val="19ED4424"/>
    <w:rsid w:val="19EDB36D"/>
    <w:rsid w:val="19F942E6"/>
    <w:rsid w:val="19F98227"/>
    <w:rsid w:val="19FABD84"/>
    <w:rsid w:val="1A11A648"/>
    <w:rsid w:val="1A12C7BD"/>
    <w:rsid w:val="1A156BBC"/>
    <w:rsid w:val="1A15BEB1"/>
    <w:rsid w:val="1A1F2DEA"/>
    <w:rsid w:val="1A23F69A"/>
    <w:rsid w:val="1A26C958"/>
    <w:rsid w:val="1A3019A9"/>
    <w:rsid w:val="1A30A10C"/>
    <w:rsid w:val="1A311F31"/>
    <w:rsid w:val="1A327D2D"/>
    <w:rsid w:val="1A32EC63"/>
    <w:rsid w:val="1A343B9B"/>
    <w:rsid w:val="1A39ECF6"/>
    <w:rsid w:val="1A3C2DF7"/>
    <w:rsid w:val="1A3CEF4E"/>
    <w:rsid w:val="1A43751B"/>
    <w:rsid w:val="1A4602CF"/>
    <w:rsid w:val="1A478390"/>
    <w:rsid w:val="1A4898FB"/>
    <w:rsid w:val="1A4BEA50"/>
    <w:rsid w:val="1A4F978D"/>
    <w:rsid w:val="1A5229C9"/>
    <w:rsid w:val="1A52CDFD"/>
    <w:rsid w:val="1A54A2D5"/>
    <w:rsid w:val="1A54E418"/>
    <w:rsid w:val="1A555654"/>
    <w:rsid w:val="1A5894F9"/>
    <w:rsid w:val="1A5AAC66"/>
    <w:rsid w:val="1A5D836C"/>
    <w:rsid w:val="1A65954C"/>
    <w:rsid w:val="1A66292D"/>
    <w:rsid w:val="1A68C11D"/>
    <w:rsid w:val="1A7C105C"/>
    <w:rsid w:val="1A7CC191"/>
    <w:rsid w:val="1A7FE194"/>
    <w:rsid w:val="1A886EC7"/>
    <w:rsid w:val="1A89E684"/>
    <w:rsid w:val="1A8E9A32"/>
    <w:rsid w:val="1A913B97"/>
    <w:rsid w:val="1A99E57B"/>
    <w:rsid w:val="1AA22953"/>
    <w:rsid w:val="1AA41FC0"/>
    <w:rsid w:val="1AA4A602"/>
    <w:rsid w:val="1AA6C261"/>
    <w:rsid w:val="1AAB5549"/>
    <w:rsid w:val="1AB61FB6"/>
    <w:rsid w:val="1AC03762"/>
    <w:rsid w:val="1AC859CB"/>
    <w:rsid w:val="1AD0EE66"/>
    <w:rsid w:val="1AD549B1"/>
    <w:rsid w:val="1AD56046"/>
    <w:rsid w:val="1ADB389C"/>
    <w:rsid w:val="1AE6D9EB"/>
    <w:rsid w:val="1AEBA9C1"/>
    <w:rsid w:val="1AEDA319"/>
    <w:rsid w:val="1AFA7ECF"/>
    <w:rsid w:val="1AFC53D6"/>
    <w:rsid w:val="1B00F0E6"/>
    <w:rsid w:val="1B038917"/>
    <w:rsid w:val="1B04E807"/>
    <w:rsid w:val="1B09B714"/>
    <w:rsid w:val="1B0EF0E7"/>
    <w:rsid w:val="1B19A076"/>
    <w:rsid w:val="1B1F5D9B"/>
    <w:rsid w:val="1B1FFD84"/>
    <w:rsid w:val="1B2D5C32"/>
    <w:rsid w:val="1B32A163"/>
    <w:rsid w:val="1B32E9D9"/>
    <w:rsid w:val="1B39810F"/>
    <w:rsid w:val="1B417D6B"/>
    <w:rsid w:val="1B497BA9"/>
    <w:rsid w:val="1B4D9A0D"/>
    <w:rsid w:val="1B56332C"/>
    <w:rsid w:val="1B5D0BA5"/>
    <w:rsid w:val="1B5D3DC1"/>
    <w:rsid w:val="1B614D63"/>
    <w:rsid w:val="1B62CEB6"/>
    <w:rsid w:val="1B708413"/>
    <w:rsid w:val="1B756165"/>
    <w:rsid w:val="1B7A059E"/>
    <w:rsid w:val="1B7A6783"/>
    <w:rsid w:val="1B8065D4"/>
    <w:rsid w:val="1B8253DA"/>
    <w:rsid w:val="1B8978E9"/>
    <w:rsid w:val="1B8DF456"/>
    <w:rsid w:val="1B94AE17"/>
    <w:rsid w:val="1B99361F"/>
    <w:rsid w:val="1B9E0DBC"/>
    <w:rsid w:val="1BA1C40F"/>
    <w:rsid w:val="1BA67EBA"/>
    <w:rsid w:val="1BA8387E"/>
    <w:rsid w:val="1BA85FC7"/>
    <w:rsid w:val="1BAFDF86"/>
    <w:rsid w:val="1BB0CE60"/>
    <w:rsid w:val="1BBAD7BD"/>
    <w:rsid w:val="1BBEDA01"/>
    <w:rsid w:val="1BC29726"/>
    <w:rsid w:val="1BC4622E"/>
    <w:rsid w:val="1BC97800"/>
    <w:rsid w:val="1BC99B03"/>
    <w:rsid w:val="1BCC3346"/>
    <w:rsid w:val="1BCEA188"/>
    <w:rsid w:val="1BD7A5CA"/>
    <w:rsid w:val="1BD900A0"/>
    <w:rsid w:val="1BE2D841"/>
    <w:rsid w:val="1BE2DC99"/>
    <w:rsid w:val="1BE46CA4"/>
    <w:rsid w:val="1BE576D5"/>
    <w:rsid w:val="1BE86F90"/>
    <w:rsid w:val="1BEA77CF"/>
    <w:rsid w:val="1BEBBFF8"/>
    <w:rsid w:val="1BED7F8A"/>
    <w:rsid w:val="1BEDF0B0"/>
    <w:rsid w:val="1BEEC43F"/>
    <w:rsid w:val="1BF166BC"/>
    <w:rsid w:val="1BF5B3E8"/>
    <w:rsid w:val="1BF61BE8"/>
    <w:rsid w:val="1BF66954"/>
    <w:rsid w:val="1BF6E602"/>
    <w:rsid w:val="1BFCF6FC"/>
    <w:rsid w:val="1C03973F"/>
    <w:rsid w:val="1C057084"/>
    <w:rsid w:val="1C07066D"/>
    <w:rsid w:val="1C0AE82D"/>
    <w:rsid w:val="1C11B3BC"/>
    <w:rsid w:val="1C162FB8"/>
    <w:rsid w:val="1C19A033"/>
    <w:rsid w:val="1C1D51B1"/>
    <w:rsid w:val="1C1E2B78"/>
    <w:rsid w:val="1C1FF9BE"/>
    <w:rsid w:val="1C20BDB2"/>
    <w:rsid w:val="1C248F0C"/>
    <w:rsid w:val="1C2BC1BD"/>
    <w:rsid w:val="1C30ABF3"/>
    <w:rsid w:val="1C342CD8"/>
    <w:rsid w:val="1C36F1BC"/>
    <w:rsid w:val="1C3BC83F"/>
    <w:rsid w:val="1C3DF653"/>
    <w:rsid w:val="1C3E69C1"/>
    <w:rsid w:val="1C3E88F4"/>
    <w:rsid w:val="1C459058"/>
    <w:rsid w:val="1C4B8D37"/>
    <w:rsid w:val="1C4D1B0C"/>
    <w:rsid w:val="1C4DA7FB"/>
    <w:rsid w:val="1C4F4472"/>
    <w:rsid w:val="1C52A6C9"/>
    <w:rsid w:val="1C547038"/>
    <w:rsid w:val="1C55498F"/>
    <w:rsid w:val="1C567FA7"/>
    <w:rsid w:val="1C582549"/>
    <w:rsid w:val="1C586B8F"/>
    <w:rsid w:val="1C587EC4"/>
    <w:rsid w:val="1C5A24C2"/>
    <w:rsid w:val="1C5CBB21"/>
    <w:rsid w:val="1C663EBD"/>
    <w:rsid w:val="1C6AAAC8"/>
    <w:rsid w:val="1C6D590D"/>
    <w:rsid w:val="1C6D8B3F"/>
    <w:rsid w:val="1C6ED975"/>
    <w:rsid w:val="1C712437"/>
    <w:rsid w:val="1C788851"/>
    <w:rsid w:val="1C80102B"/>
    <w:rsid w:val="1C82DF6D"/>
    <w:rsid w:val="1C83D0C4"/>
    <w:rsid w:val="1C88E769"/>
    <w:rsid w:val="1C93D58F"/>
    <w:rsid w:val="1C9652FD"/>
    <w:rsid w:val="1C9DBAFA"/>
    <w:rsid w:val="1C9F92CC"/>
    <w:rsid w:val="1CA2266F"/>
    <w:rsid w:val="1CA6A1A1"/>
    <w:rsid w:val="1CA7B73D"/>
    <w:rsid w:val="1CA7C9F8"/>
    <w:rsid w:val="1CA854B9"/>
    <w:rsid w:val="1CAA7E3A"/>
    <w:rsid w:val="1CAF5467"/>
    <w:rsid w:val="1CB607C6"/>
    <w:rsid w:val="1CB67512"/>
    <w:rsid w:val="1CB8FE46"/>
    <w:rsid w:val="1CBA7E1E"/>
    <w:rsid w:val="1CBE8240"/>
    <w:rsid w:val="1CBF0378"/>
    <w:rsid w:val="1CD0448A"/>
    <w:rsid w:val="1CD5889F"/>
    <w:rsid w:val="1CD5DA02"/>
    <w:rsid w:val="1CD70375"/>
    <w:rsid w:val="1CEAC76C"/>
    <w:rsid w:val="1CEDCEFB"/>
    <w:rsid w:val="1CF9F1DC"/>
    <w:rsid w:val="1CFB0159"/>
    <w:rsid w:val="1D00D212"/>
    <w:rsid w:val="1D08C957"/>
    <w:rsid w:val="1D09C63E"/>
    <w:rsid w:val="1D0FD24F"/>
    <w:rsid w:val="1D124BA0"/>
    <w:rsid w:val="1D154510"/>
    <w:rsid w:val="1D167C95"/>
    <w:rsid w:val="1D1C23FD"/>
    <w:rsid w:val="1D20D32E"/>
    <w:rsid w:val="1D225DAE"/>
    <w:rsid w:val="1D296C83"/>
    <w:rsid w:val="1D2CBAEF"/>
    <w:rsid w:val="1D2DFEE2"/>
    <w:rsid w:val="1D33F1F9"/>
    <w:rsid w:val="1D353381"/>
    <w:rsid w:val="1D44C4A1"/>
    <w:rsid w:val="1D47D661"/>
    <w:rsid w:val="1D49E378"/>
    <w:rsid w:val="1D4E2793"/>
    <w:rsid w:val="1D4EA29D"/>
    <w:rsid w:val="1D548647"/>
    <w:rsid w:val="1D5BAA90"/>
    <w:rsid w:val="1D5DDDA8"/>
    <w:rsid w:val="1D60E940"/>
    <w:rsid w:val="1D710EA9"/>
    <w:rsid w:val="1D725DD3"/>
    <w:rsid w:val="1D730C70"/>
    <w:rsid w:val="1D7564C4"/>
    <w:rsid w:val="1D79F61F"/>
    <w:rsid w:val="1D7CD54D"/>
    <w:rsid w:val="1D7D22A1"/>
    <w:rsid w:val="1D8478C1"/>
    <w:rsid w:val="1D89EC8E"/>
    <w:rsid w:val="1D901D22"/>
    <w:rsid w:val="1D9570F5"/>
    <w:rsid w:val="1D9818A7"/>
    <w:rsid w:val="1D999C92"/>
    <w:rsid w:val="1D9C35CB"/>
    <w:rsid w:val="1D9ED6A3"/>
    <w:rsid w:val="1DA5415D"/>
    <w:rsid w:val="1DA9E48C"/>
    <w:rsid w:val="1DADD752"/>
    <w:rsid w:val="1DB13610"/>
    <w:rsid w:val="1DB75A4A"/>
    <w:rsid w:val="1DB878C1"/>
    <w:rsid w:val="1DC23A39"/>
    <w:rsid w:val="1DC2D464"/>
    <w:rsid w:val="1DC4D45D"/>
    <w:rsid w:val="1DC5461F"/>
    <w:rsid w:val="1DC96CF7"/>
    <w:rsid w:val="1DCC9FD5"/>
    <w:rsid w:val="1DCF80E7"/>
    <w:rsid w:val="1DD10D7E"/>
    <w:rsid w:val="1DD16638"/>
    <w:rsid w:val="1DD1D685"/>
    <w:rsid w:val="1DD37803"/>
    <w:rsid w:val="1DD46006"/>
    <w:rsid w:val="1DDBCA51"/>
    <w:rsid w:val="1DDDE10D"/>
    <w:rsid w:val="1DDF18A5"/>
    <w:rsid w:val="1DE20956"/>
    <w:rsid w:val="1DE618F2"/>
    <w:rsid w:val="1DE6D7E8"/>
    <w:rsid w:val="1DEBE71E"/>
    <w:rsid w:val="1DFA6499"/>
    <w:rsid w:val="1E08E6BE"/>
    <w:rsid w:val="1E0BBD31"/>
    <w:rsid w:val="1E0D0391"/>
    <w:rsid w:val="1E14707C"/>
    <w:rsid w:val="1E14E4AF"/>
    <w:rsid w:val="1E150CF3"/>
    <w:rsid w:val="1E17D6FE"/>
    <w:rsid w:val="1E1B9B33"/>
    <w:rsid w:val="1E206774"/>
    <w:rsid w:val="1E222272"/>
    <w:rsid w:val="1E25710A"/>
    <w:rsid w:val="1E30BDD5"/>
    <w:rsid w:val="1E30C08A"/>
    <w:rsid w:val="1E327B46"/>
    <w:rsid w:val="1E35DF73"/>
    <w:rsid w:val="1E36E0B8"/>
    <w:rsid w:val="1E3B5323"/>
    <w:rsid w:val="1E3CB15E"/>
    <w:rsid w:val="1E3DD472"/>
    <w:rsid w:val="1E43FF43"/>
    <w:rsid w:val="1E44A148"/>
    <w:rsid w:val="1E4B5A3A"/>
    <w:rsid w:val="1E509997"/>
    <w:rsid w:val="1E527B60"/>
    <w:rsid w:val="1E53E904"/>
    <w:rsid w:val="1E5C954A"/>
    <w:rsid w:val="1E5FE159"/>
    <w:rsid w:val="1E6062D1"/>
    <w:rsid w:val="1E61031C"/>
    <w:rsid w:val="1E626465"/>
    <w:rsid w:val="1E65F4D8"/>
    <w:rsid w:val="1E6F7F32"/>
    <w:rsid w:val="1E70A28F"/>
    <w:rsid w:val="1E71CE8C"/>
    <w:rsid w:val="1E74254A"/>
    <w:rsid w:val="1E7515BD"/>
    <w:rsid w:val="1E76E6F3"/>
    <w:rsid w:val="1E7B1329"/>
    <w:rsid w:val="1E7B2350"/>
    <w:rsid w:val="1E7E2FC2"/>
    <w:rsid w:val="1E94A72E"/>
    <w:rsid w:val="1E956A45"/>
    <w:rsid w:val="1E9821B8"/>
    <w:rsid w:val="1E989756"/>
    <w:rsid w:val="1E9EB3D7"/>
    <w:rsid w:val="1EA163B6"/>
    <w:rsid w:val="1EAAF931"/>
    <w:rsid w:val="1EAEA707"/>
    <w:rsid w:val="1EAEF0B7"/>
    <w:rsid w:val="1EBAA265"/>
    <w:rsid w:val="1EC5193D"/>
    <w:rsid w:val="1EC86EA7"/>
    <w:rsid w:val="1ECA9CD7"/>
    <w:rsid w:val="1ED63A52"/>
    <w:rsid w:val="1ED79605"/>
    <w:rsid w:val="1EDBD669"/>
    <w:rsid w:val="1EE46C98"/>
    <w:rsid w:val="1EE8D61E"/>
    <w:rsid w:val="1EEA8103"/>
    <w:rsid w:val="1EF2AC1C"/>
    <w:rsid w:val="1EF63028"/>
    <w:rsid w:val="1EF6425F"/>
    <w:rsid w:val="1EF82614"/>
    <w:rsid w:val="1EF8C411"/>
    <w:rsid w:val="1EFBACB0"/>
    <w:rsid w:val="1EFCF477"/>
    <w:rsid w:val="1F01050E"/>
    <w:rsid w:val="1F027796"/>
    <w:rsid w:val="1F02E509"/>
    <w:rsid w:val="1F09D114"/>
    <w:rsid w:val="1F0BDD64"/>
    <w:rsid w:val="1F0D7113"/>
    <w:rsid w:val="1F1C0D66"/>
    <w:rsid w:val="1F2057DB"/>
    <w:rsid w:val="1F22EC04"/>
    <w:rsid w:val="1F3C941C"/>
    <w:rsid w:val="1F3E9ED8"/>
    <w:rsid w:val="1F3EADAF"/>
    <w:rsid w:val="1F46F632"/>
    <w:rsid w:val="1F49E024"/>
    <w:rsid w:val="1F4D0A7D"/>
    <w:rsid w:val="1F517764"/>
    <w:rsid w:val="1F53D1CF"/>
    <w:rsid w:val="1F559D31"/>
    <w:rsid w:val="1F561781"/>
    <w:rsid w:val="1F5BD202"/>
    <w:rsid w:val="1F5EFE6C"/>
    <w:rsid w:val="1F61E6F5"/>
    <w:rsid w:val="1F651394"/>
    <w:rsid w:val="1F6746AE"/>
    <w:rsid w:val="1F68C452"/>
    <w:rsid w:val="1F6ACBD6"/>
    <w:rsid w:val="1F6BD9D7"/>
    <w:rsid w:val="1F6CB399"/>
    <w:rsid w:val="1F74F370"/>
    <w:rsid w:val="1F7B78FF"/>
    <w:rsid w:val="1F7F3F54"/>
    <w:rsid w:val="1F801F51"/>
    <w:rsid w:val="1F8C008C"/>
    <w:rsid w:val="1F8DEA1D"/>
    <w:rsid w:val="1F8E3207"/>
    <w:rsid w:val="1F8EA346"/>
    <w:rsid w:val="1F92D10D"/>
    <w:rsid w:val="1F943E0C"/>
    <w:rsid w:val="1F9536DA"/>
    <w:rsid w:val="1FA5A047"/>
    <w:rsid w:val="1FABD6F4"/>
    <w:rsid w:val="1FB3035F"/>
    <w:rsid w:val="1FB9BD25"/>
    <w:rsid w:val="1FBB1634"/>
    <w:rsid w:val="1FBBA161"/>
    <w:rsid w:val="1FC196AB"/>
    <w:rsid w:val="1FC583CB"/>
    <w:rsid w:val="1FCAA640"/>
    <w:rsid w:val="1FCB6E2E"/>
    <w:rsid w:val="1FCBA4BC"/>
    <w:rsid w:val="1FCD899F"/>
    <w:rsid w:val="1FCE7DB2"/>
    <w:rsid w:val="1FD8CBF4"/>
    <w:rsid w:val="1FDB0F1A"/>
    <w:rsid w:val="1FDD695F"/>
    <w:rsid w:val="1FDF424E"/>
    <w:rsid w:val="1FE7E954"/>
    <w:rsid w:val="200310B5"/>
    <w:rsid w:val="20075675"/>
    <w:rsid w:val="2007A152"/>
    <w:rsid w:val="200EF84A"/>
    <w:rsid w:val="20141F9D"/>
    <w:rsid w:val="20150A0A"/>
    <w:rsid w:val="201D8189"/>
    <w:rsid w:val="201DCE01"/>
    <w:rsid w:val="202175FE"/>
    <w:rsid w:val="202FE0A0"/>
    <w:rsid w:val="2031530E"/>
    <w:rsid w:val="2033B465"/>
    <w:rsid w:val="20369701"/>
    <w:rsid w:val="203727DB"/>
    <w:rsid w:val="203E0F58"/>
    <w:rsid w:val="203FE311"/>
    <w:rsid w:val="20485B41"/>
    <w:rsid w:val="204923DF"/>
    <w:rsid w:val="204BE60F"/>
    <w:rsid w:val="204DA0BE"/>
    <w:rsid w:val="204DA9A1"/>
    <w:rsid w:val="204F9697"/>
    <w:rsid w:val="205190A4"/>
    <w:rsid w:val="205508FB"/>
    <w:rsid w:val="205BCC1B"/>
    <w:rsid w:val="205C4BA6"/>
    <w:rsid w:val="205D5850"/>
    <w:rsid w:val="205DC809"/>
    <w:rsid w:val="205E3314"/>
    <w:rsid w:val="206F24FE"/>
    <w:rsid w:val="207223EC"/>
    <w:rsid w:val="2072895F"/>
    <w:rsid w:val="2076EDE2"/>
    <w:rsid w:val="207B4707"/>
    <w:rsid w:val="207F791F"/>
    <w:rsid w:val="20831363"/>
    <w:rsid w:val="208985FE"/>
    <w:rsid w:val="208A2FB3"/>
    <w:rsid w:val="208E2FB5"/>
    <w:rsid w:val="208F7A58"/>
    <w:rsid w:val="2091EBD4"/>
    <w:rsid w:val="20961F45"/>
    <w:rsid w:val="20994B89"/>
    <w:rsid w:val="209ACB40"/>
    <w:rsid w:val="209D4CFF"/>
    <w:rsid w:val="209DE616"/>
    <w:rsid w:val="209EB56A"/>
    <w:rsid w:val="20A325FD"/>
    <w:rsid w:val="20A453D9"/>
    <w:rsid w:val="20A68043"/>
    <w:rsid w:val="20A69E02"/>
    <w:rsid w:val="20AB25FE"/>
    <w:rsid w:val="20ADD5D8"/>
    <w:rsid w:val="20B553E0"/>
    <w:rsid w:val="20B7C892"/>
    <w:rsid w:val="20BB603D"/>
    <w:rsid w:val="20C3AF6D"/>
    <w:rsid w:val="20C4C4AA"/>
    <w:rsid w:val="20C69E2E"/>
    <w:rsid w:val="20C94FBD"/>
    <w:rsid w:val="20CB71C8"/>
    <w:rsid w:val="20CDDB9A"/>
    <w:rsid w:val="20D45583"/>
    <w:rsid w:val="20D633B0"/>
    <w:rsid w:val="20D70F40"/>
    <w:rsid w:val="20DBCFD5"/>
    <w:rsid w:val="20E105F8"/>
    <w:rsid w:val="20E4EE31"/>
    <w:rsid w:val="20EEF21A"/>
    <w:rsid w:val="20F4D0F5"/>
    <w:rsid w:val="20FBA6BC"/>
    <w:rsid w:val="20FBB8A7"/>
    <w:rsid w:val="20FBEAA0"/>
    <w:rsid w:val="20FC73BA"/>
    <w:rsid w:val="20FC9BF0"/>
    <w:rsid w:val="2103A663"/>
    <w:rsid w:val="210C4A8D"/>
    <w:rsid w:val="2114E260"/>
    <w:rsid w:val="211B8652"/>
    <w:rsid w:val="212364CB"/>
    <w:rsid w:val="212721BC"/>
    <w:rsid w:val="212B7743"/>
    <w:rsid w:val="2134782B"/>
    <w:rsid w:val="213F3849"/>
    <w:rsid w:val="214CC36B"/>
    <w:rsid w:val="214FE0E2"/>
    <w:rsid w:val="215B053D"/>
    <w:rsid w:val="215E6CBD"/>
    <w:rsid w:val="2165DC71"/>
    <w:rsid w:val="21678081"/>
    <w:rsid w:val="2167ED7B"/>
    <w:rsid w:val="2168807D"/>
    <w:rsid w:val="216AF5F1"/>
    <w:rsid w:val="216BD0C5"/>
    <w:rsid w:val="216E0176"/>
    <w:rsid w:val="216FC0CB"/>
    <w:rsid w:val="217285C6"/>
    <w:rsid w:val="21747FBE"/>
    <w:rsid w:val="217846CE"/>
    <w:rsid w:val="217A0623"/>
    <w:rsid w:val="217A5203"/>
    <w:rsid w:val="217DD67B"/>
    <w:rsid w:val="218014B7"/>
    <w:rsid w:val="21812058"/>
    <w:rsid w:val="2181CA0D"/>
    <w:rsid w:val="2188DD31"/>
    <w:rsid w:val="218AE796"/>
    <w:rsid w:val="218B8A4C"/>
    <w:rsid w:val="2191348F"/>
    <w:rsid w:val="21981781"/>
    <w:rsid w:val="219D848F"/>
    <w:rsid w:val="21A37204"/>
    <w:rsid w:val="21A49753"/>
    <w:rsid w:val="21A52258"/>
    <w:rsid w:val="21A6A0B5"/>
    <w:rsid w:val="21A7CEC7"/>
    <w:rsid w:val="21AAC887"/>
    <w:rsid w:val="21AD4FF8"/>
    <w:rsid w:val="21ADDD75"/>
    <w:rsid w:val="21B2A077"/>
    <w:rsid w:val="21B58ED4"/>
    <w:rsid w:val="21B8559C"/>
    <w:rsid w:val="21B91405"/>
    <w:rsid w:val="21BAD6CB"/>
    <w:rsid w:val="21BD54FB"/>
    <w:rsid w:val="21C396E7"/>
    <w:rsid w:val="21C4F2AE"/>
    <w:rsid w:val="21C71392"/>
    <w:rsid w:val="21C74C05"/>
    <w:rsid w:val="21C9B4C1"/>
    <w:rsid w:val="21CDECFA"/>
    <w:rsid w:val="21D17D47"/>
    <w:rsid w:val="21DA6046"/>
    <w:rsid w:val="21DCC77C"/>
    <w:rsid w:val="21DFE15D"/>
    <w:rsid w:val="21E4814E"/>
    <w:rsid w:val="21E6D8C7"/>
    <w:rsid w:val="21EB5FCA"/>
    <w:rsid w:val="21EB7CAB"/>
    <w:rsid w:val="21EC0B50"/>
    <w:rsid w:val="21F01B56"/>
    <w:rsid w:val="21F24DB3"/>
    <w:rsid w:val="21F651F0"/>
    <w:rsid w:val="22071E7D"/>
    <w:rsid w:val="220F6974"/>
    <w:rsid w:val="221663FC"/>
    <w:rsid w:val="221ACD6C"/>
    <w:rsid w:val="221FE264"/>
    <w:rsid w:val="222D1E5A"/>
    <w:rsid w:val="2239831B"/>
    <w:rsid w:val="223EBF22"/>
    <w:rsid w:val="22402769"/>
    <w:rsid w:val="22437A8E"/>
    <w:rsid w:val="2243B22F"/>
    <w:rsid w:val="224E5623"/>
    <w:rsid w:val="2253C16A"/>
    <w:rsid w:val="22543E2F"/>
    <w:rsid w:val="22580B47"/>
    <w:rsid w:val="225D2D9A"/>
    <w:rsid w:val="225FAC94"/>
    <w:rsid w:val="22624E4F"/>
    <w:rsid w:val="226CD9E0"/>
    <w:rsid w:val="2271AFAC"/>
    <w:rsid w:val="2273972B"/>
    <w:rsid w:val="22753615"/>
    <w:rsid w:val="2278CE5D"/>
    <w:rsid w:val="2279049A"/>
    <w:rsid w:val="228442E7"/>
    <w:rsid w:val="2284D859"/>
    <w:rsid w:val="229C0644"/>
    <w:rsid w:val="22A16924"/>
    <w:rsid w:val="22A73AFA"/>
    <w:rsid w:val="22A8401C"/>
    <w:rsid w:val="22B8C69A"/>
    <w:rsid w:val="22BB6280"/>
    <w:rsid w:val="22BBAA3F"/>
    <w:rsid w:val="22BE54B4"/>
    <w:rsid w:val="22C5C8E3"/>
    <w:rsid w:val="22C97E30"/>
    <w:rsid w:val="22CB0B19"/>
    <w:rsid w:val="22D0F2F1"/>
    <w:rsid w:val="22D2594B"/>
    <w:rsid w:val="22D30B8F"/>
    <w:rsid w:val="22D9AEC5"/>
    <w:rsid w:val="22DAF084"/>
    <w:rsid w:val="22DB934F"/>
    <w:rsid w:val="22DD34EB"/>
    <w:rsid w:val="22E3B14D"/>
    <w:rsid w:val="22E3F932"/>
    <w:rsid w:val="22ECF7D8"/>
    <w:rsid w:val="22EFD684"/>
    <w:rsid w:val="22F514AC"/>
    <w:rsid w:val="22F9D2C2"/>
    <w:rsid w:val="22FA400A"/>
    <w:rsid w:val="22FB2163"/>
    <w:rsid w:val="230A2B50"/>
    <w:rsid w:val="2314FD40"/>
    <w:rsid w:val="23151FF1"/>
    <w:rsid w:val="2318B4FE"/>
    <w:rsid w:val="2319A4AD"/>
    <w:rsid w:val="231D5084"/>
    <w:rsid w:val="231EACF4"/>
    <w:rsid w:val="2325A996"/>
    <w:rsid w:val="232A38FE"/>
    <w:rsid w:val="232AC859"/>
    <w:rsid w:val="2331FBD7"/>
    <w:rsid w:val="2336BD57"/>
    <w:rsid w:val="233CC031"/>
    <w:rsid w:val="233DFD3A"/>
    <w:rsid w:val="233F0CC5"/>
    <w:rsid w:val="2349B02E"/>
    <w:rsid w:val="234A5C2C"/>
    <w:rsid w:val="234CC60A"/>
    <w:rsid w:val="234D8CEC"/>
    <w:rsid w:val="23504938"/>
    <w:rsid w:val="23508804"/>
    <w:rsid w:val="235545EC"/>
    <w:rsid w:val="235C1C17"/>
    <w:rsid w:val="236720F3"/>
    <w:rsid w:val="2367D648"/>
    <w:rsid w:val="236B0E71"/>
    <w:rsid w:val="2370D87D"/>
    <w:rsid w:val="23779208"/>
    <w:rsid w:val="2377E854"/>
    <w:rsid w:val="2378C45F"/>
    <w:rsid w:val="237D1CEF"/>
    <w:rsid w:val="237D8A5B"/>
    <w:rsid w:val="237E3DDD"/>
    <w:rsid w:val="23861578"/>
    <w:rsid w:val="238979C5"/>
    <w:rsid w:val="238D2D83"/>
    <w:rsid w:val="238D6F53"/>
    <w:rsid w:val="238D7416"/>
    <w:rsid w:val="23944B77"/>
    <w:rsid w:val="2394D450"/>
    <w:rsid w:val="239DA4CD"/>
    <w:rsid w:val="23A1F150"/>
    <w:rsid w:val="23A247E8"/>
    <w:rsid w:val="23A50775"/>
    <w:rsid w:val="23ABA763"/>
    <w:rsid w:val="23AEA96D"/>
    <w:rsid w:val="23B2967D"/>
    <w:rsid w:val="23B35B81"/>
    <w:rsid w:val="23B5DBCD"/>
    <w:rsid w:val="23B5DEE9"/>
    <w:rsid w:val="23C24550"/>
    <w:rsid w:val="23C34FB1"/>
    <w:rsid w:val="23C5623D"/>
    <w:rsid w:val="23C5DC26"/>
    <w:rsid w:val="23CF9442"/>
    <w:rsid w:val="23D1C827"/>
    <w:rsid w:val="23D1E99D"/>
    <w:rsid w:val="23D74863"/>
    <w:rsid w:val="23DED142"/>
    <w:rsid w:val="23E10557"/>
    <w:rsid w:val="23E4CE25"/>
    <w:rsid w:val="23E5E14D"/>
    <w:rsid w:val="23E6A1AD"/>
    <w:rsid w:val="23EDB22F"/>
    <w:rsid w:val="23F3AE50"/>
    <w:rsid w:val="23F6CD37"/>
    <w:rsid w:val="23F7FFDF"/>
    <w:rsid w:val="23FA1276"/>
    <w:rsid w:val="23FCC75E"/>
    <w:rsid w:val="23FFE496"/>
    <w:rsid w:val="241599A1"/>
    <w:rsid w:val="241716A0"/>
    <w:rsid w:val="241D0C53"/>
    <w:rsid w:val="2420EA69"/>
    <w:rsid w:val="24224762"/>
    <w:rsid w:val="2428E4A0"/>
    <w:rsid w:val="242BEFB7"/>
    <w:rsid w:val="243A3C79"/>
    <w:rsid w:val="243EEEB4"/>
    <w:rsid w:val="244D1D0E"/>
    <w:rsid w:val="244EB6F6"/>
    <w:rsid w:val="24566D64"/>
    <w:rsid w:val="245A886A"/>
    <w:rsid w:val="245F8CCF"/>
    <w:rsid w:val="246321B2"/>
    <w:rsid w:val="24671706"/>
    <w:rsid w:val="246B4D66"/>
    <w:rsid w:val="246BCB25"/>
    <w:rsid w:val="246C3D60"/>
    <w:rsid w:val="246C9C7F"/>
    <w:rsid w:val="246D246B"/>
    <w:rsid w:val="246E7A1B"/>
    <w:rsid w:val="24706310"/>
    <w:rsid w:val="24709D93"/>
    <w:rsid w:val="2471F9B3"/>
    <w:rsid w:val="24783F0C"/>
    <w:rsid w:val="247E9F8A"/>
    <w:rsid w:val="248231D7"/>
    <w:rsid w:val="2483A3EC"/>
    <w:rsid w:val="2485AB8D"/>
    <w:rsid w:val="248695E5"/>
    <w:rsid w:val="2487C43C"/>
    <w:rsid w:val="2488C58F"/>
    <w:rsid w:val="2489E744"/>
    <w:rsid w:val="248A9CE0"/>
    <w:rsid w:val="248BEDFF"/>
    <w:rsid w:val="248C1A9B"/>
    <w:rsid w:val="248CEC23"/>
    <w:rsid w:val="248E22B3"/>
    <w:rsid w:val="2490280F"/>
    <w:rsid w:val="24918389"/>
    <w:rsid w:val="2493A1E0"/>
    <w:rsid w:val="24959E94"/>
    <w:rsid w:val="2496E1AA"/>
    <w:rsid w:val="249C94B2"/>
    <w:rsid w:val="249D1A32"/>
    <w:rsid w:val="249D87CB"/>
    <w:rsid w:val="24A1444E"/>
    <w:rsid w:val="24A4C9E8"/>
    <w:rsid w:val="24A5FBB1"/>
    <w:rsid w:val="24AAFA5D"/>
    <w:rsid w:val="24AD5F0E"/>
    <w:rsid w:val="24AF9CCB"/>
    <w:rsid w:val="24B80E20"/>
    <w:rsid w:val="24B850F8"/>
    <w:rsid w:val="24C72319"/>
    <w:rsid w:val="24CCD2FA"/>
    <w:rsid w:val="24CD95B9"/>
    <w:rsid w:val="24CF8FCF"/>
    <w:rsid w:val="24D509F4"/>
    <w:rsid w:val="24D830B8"/>
    <w:rsid w:val="24DAEA55"/>
    <w:rsid w:val="24DFB82F"/>
    <w:rsid w:val="24FBFC1F"/>
    <w:rsid w:val="2502748F"/>
    <w:rsid w:val="250B2ADA"/>
    <w:rsid w:val="250D5D39"/>
    <w:rsid w:val="251BC42B"/>
    <w:rsid w:val="251DE2EC"/>
    <w:rsid w:val="25208BB8"/>
    <w:rsid w:val="2534837B"/>
    <w:rsid w:val="2534C55C"/>
    <w:rsid w:val="25350413"/>
    <w:rsid w:val="25350745"/>
    <w:rsid w:val="2544E216"/>
    <w:rsid w:val="254917C1"/>
    <w:rsid w:val="2550133E"/>
    <w:rsid w:val="25581042"/>
    <w:rsid w:val="2559C525"/>
    <w:rsid w:val="255DC45E"/>
    <w:rsid w:val="2561A560"/>
    <w:rsid w:val="2561A7B0"/>
    <w:rsid w:val="25654178"/>
    <w:rsid w:val="25666493"/>
    <w:rsid w:val="256808F4"/>
    <w:rsid w:val="25685886"/>
    <w:rsid w:val="256EED27"/>
    <w:rsid w:val="2576E2C6"/>
    <w:rsid w:val="257DF1E8"/>
    <w:rsid w:val="257EFA1D"/>
    <w:rsid w:val="257FDCC7"/>
    <w:rsid w:val="258786A4"/>
    <w:rsid w:val="2588F935"/>
    <w:rsid w:val="25899865"/>
    <w:rsid w:val="2589C17C"/>
    <w:rsid w:val="259808FB"/>
    <w:rsid w:val="259C0ACA"/>
    <w:rsid w:val="259F838A"/>
    <w:rsid w:val="25ABA04A"/>
    <w:rsid w:val="25AD10B7"/>
    <w:rsid w:val="25B1F7B3"/>
    <w:rsid w:val="25B2E016"/>
    <w:rsid w:val="25B2E612"/>
    <w:rsid w:val="25B60370"/>
    <w:rsid w:val="25B8F839"/>
    <w:rsid w:val="25BA8689"/>
    <w:rsid w:val="25BC1E94"/>
    <w:rsid w:val="25BE9457"/>
    <w:rsid w:val="25C44582"/>
    <w:rsid w:val="25C4BF72"/>
    <w:rsid w:val="25CFC512"/>
    <w:rsid w:val="25D2BC06"/>
    <w:rsid w:val="25D7D263"/>
    <w:rsid w:val="25D7FE87"/>
    <w:rsid w:val="25D8E9D3"/>
    <w:rsid w:val="25DBF45E"/>
    <w:rsid w:val="25DE04F8"/>
    <w:rsid w:val="25DE0779"/>
    <w:rsid w:val="25E00655"/>
    <w:rsid w:val="25E19C74"/>
    <w:rsid w:val="25E50A54"/>
    <w:rsid w:val="25ED0CDA"/>
    <w:rsid w:val="25EF792C"/>
    <w:rsid w:val="25F18C97"/>
    <w:rsid w:val="25F2B688"/>
    <w:rsid w:val="25F390F1"/>
    <w:rsid w:val="25F5534D"/>
    <w:rsid w:val="25F7BB8F"/>
    <w:rsid w:val="25FA3602"/>
    <w:rsid w:val="25FB7843"/>
    <w:rsid w:val="26017D43"/>
    <w:rsid w:val="260D6A96"/>
    <w:rsid w:val="26116FBD"/>
    <w:rsid w:val="261253DD"/>
    <w:rsid w:val="261A6E99"/>
    <w:rsid w:val="261B5CB8"/>
    <w:rsid w:val="2625235D"/>
    <w:rsid w:val="262989B6"/>
    <w:rsid w:val="262C1B82"/>
    <w:rsid w:val="262ECB2C"/>
    <w:rsid w:val="2632FBBD"/>
    <w:rsid w:val="263F9647"/>
    <w:rsid w:val="2645E2F2"/>
    <w:rsid w:val="264A8934"/>
    <w:rsid w:val="264D942F"/>
    <w:rsid w:val="264F4146"/>
    <w:rsid w:val="26503972"/>
    <w:rsid w:val="2655F696"/>
    <w:rsid w:val="2659629A"/>
    <w:rsid w:val="265BFAF2"/>
    <w:rsid w:val="26642318"/>
    <w:rsid w:val="266BFC75"/>
    <w:rsid w:val="266E87C8"/>
    <w:rsid w:val="266EC8CB"/>
    <w:rsid w:val="2673BEC0"/>
    <w:rsid w:val="2675CFB8"/>
    <w:rsid w:val="26790E29"/>
    <w:rsid w:val="267A686E"/>
    <w:rsid w:val="2680421A"/>
    <w:rsid w:val="2680C11C"/>
    <w:rsid w:val="268A43AA"/>
    <w:rsid w:val="268A5E39"/>
    <w:rsid w:val="2695CDE8"/>
    <w:rsid w:val="26973167"/>
    <w:rsid w:val="2699703F"/>
    <w:rsid w:val="2699B388"/>
    <w:rsid w:val="269F019F"/>
    <w:rsid w:val="269F21D5"/>
    <w:rsid w:val="26A3B8B6"/>
    <w:rsid w:val="26A90E87"/>
    <w:rsid w:val="26AB6A7F"/>
    <w:rsid w:val="26AD79A9"/>
    <w:rsid w:val="26AED7C2"/>
    <w:rsid w:val="26B4E4AF"/>
    <w:rsid w:val="26B67E21"/>
    <w:rsid w:val="26B79C12"/>
    <w:rsid w:val="26B8D48B"/>
    <w:rsid w:val="26BEFE4A"/>
    <w:rsid w:val="26BF00DF"/>
    <w:rsid w:val="26C1DEE0"/>
    <w:rsid w:val="26C4920D"/>
    <w:rsid w:val="26C5D25A"/>
    <w:rsid w:val="26C70A78"/>
    <w:rsid w:val="26CCC334"/>
    <w:rsid w:val="26CF9C3F"/>
    <w:rsid w:val="26DC7BFA"/>
    <w:rsid w:val="26DDF9D5"/>
    <w:rsid w:val="26DE7CA1"/>
    <w:rsid w:val="26EE7F85"/>
    <w:rsid w:val="26F421D3"/>
    <w:rsid w:val="26F7D95A"/>
    <w:rsid w:val="26F917FF"/>
    <w:rsid w:val="26FA350C"/>
    <w:rsid w:val="26FBA8AC"/>
    <w:rsid w:val="26FCD054"/>
    <w:rsid w:val="26FFCDA0"/>
    <w:rsid w:val="270461F4"/>
    <w:rsid w:val="270A5D47"/>
    <w:rsid w:val="271119B3"/>
    <w:rsid w:val="27145A26"/>
    <w:rsid w:val="2714FF8F"/>
    <w:rsid w:val="27221DA2"/>
    <w:rsid w:val="2729124D"/>
    <w:rsid w:val="272991B4"/>
    <w:rsid w:val="272BAF68"/>
    <w:rsid w:val="272D78B1"/>
    <w:rsid w:val="2730E79D"/>
    <w:rsid w:val="27339185"/>
    <w:rsid w:val="27339C8F"/>
    <w:rsid w:val="2734B17F"/>
    <w:rsid w:val="27385E2F"/>
    <w:rsid w:val="273E2FB1"/>
    <w:rsid w:val="274314C9"/>
    <w:rsid w:val="2744E8A3"/>
    <w:rsid w:val="274528E1"/>
    <w:rsid w:val="2746DDEF"/>
    <w:rsid w:val="2748EF60"/>
    <w:rsid w:val="274B8FEE"/>
    <w:rsid w:val="27511BD5"/>
    <w:rsid w:val="2753605F"/>
    <w:rsid w:val="2755ABAD"/>
    <w:rsid w:val="275A813E"/>
    <w:rsid w:val="275B0195"/>
    <w:rsid w:val="275C789A"/>
    <w:rsid w:val="2766D4A0"/>
    <w:rsid w:val="2768BE96"/>
    <w:rsid w:val="276AE575"/>
    <w:rsid w:val="27712E4E"/>
    <w:rsid w:val="2772CC6E"/>
    <w:rsid w:val="2772EED1"/>
    <w:rsid w:val="27746FB9"/>
    <w:rsid w:val="27749CE8"/>
    <w:rsid w:val="2774B297"/>
    <w:rsid w:val="2775D1F6"/>
    <w:rsid w:val="277EAFD3"/>
    <w:rsid w:val="278AB50F"/>
    <w:rsid w:val="278B5AD5"/>
    <w:rsid w:val="278E12E1"/>
    <w:rsid w:val="279121D6"/>
    <w:rsid w:val="2791F6B0"/>
    <w:rsid w:val="2794DEFD"/>
    <w:rsid w:val="279533AE"/>
    <w:rsid w:val="27A30118"/>
    <w:rsid w:val="27AC1CC5"/>
    <w:rsid w:val="27B78174"/>
    <w:rsid w:val="27B8E4EE"/>
    <w:rsid w:val="27BE0787"/>
    <w:rsid w:val="27BF7840"/>
    <w:rsid w:val="27C356E0"/>
    <w:rsid w:val="27C4ACAE"/>
    <w:rsid w:val="27C6E706"/>
    <w:rsid w:val="27C885CF"/>
    <w:rsid w:val="27D017C4"/>
    <w:rsid w:val="27D42CB0"/>
    <w:rsid w:val="27D76806"/>
    <w:rsid w:val="27E0F101"/>
    <w:rsid w:val="27E1FE74"/>
    <w:rsid w:val="27E504C3"/>
    <w:rsid w:val="27E56AA7"/>
    <w:rsid w:val="27EBA0D8"/>
    <w:rsid w:val="27EEA3DF"/>
    <w:rsid w:val="280A0F1C"/>
    <w:rsid w:val="280B481E"/>
    <w:rsid w:val="2811CA16"/>
    <w:rsid w:val="281E60A0"/>
    <w:rsid w:val="281F179A"/>
    <w:rsid w:val="282C4E1C"/>
    <w:rsid w:val="283D3360"/>
    <w:rsid w:val="2847E420"/>
    <w:rsid w:val="284BCEDE"/>
    <w:rsid w:val="284C1F61"/>
    <w:rsid w:val="285089AF"/>
    <w:rsid w:val="2853579A"/>
    <w:rsid w:val="2855FE25"/>
    <w:rsid w:val="2859EABC"/>
    <w:rsid w:val="285AB0B9"/>
    <w:rsid w:val="285E8F07"/>
    <w:rsid w:val="285F9206"/>
    <w:rsid w:val="2865B9E4"/>
    <w:rsid w:val="28678988"/>
    <w:rsid w:val="286E674C"/>
    <w:rsid w:val="287433D8"/>
    <w:rsid w:val="2876BE49"/>
    <w:rsid w:val="287EED87"/>
    <w:rsid w:val="287F5CA6"/>
    <w:rsid w:val="2880B672"/>
    <w:rsid w:val="28834088"/>
    <w:rsid w:val="2883C5B6"/>
    <w:rsid w:val="28840927"/>
    <w:rsid w:val="288D65E5"/>
    <w:rsid w:val="288D6E88"/>
    <w:rsid w:val="288F89A0"/>
    <w:rsid w:val="2891BD2E"/>
    <w:rsid w:val="289E92F5"/>
    <w:rsid w:val="289F11BF"/>
    <w:rsid w:val="28A0DBB1"/>
    <w:rsid w:val="28A730FC"/>
    <w:rsid w:val="28AFA501"/>
    <w:rsid w:val="28C3C90D"/>
    <w:rsid w:val="28C7CB77"/>
    <w:rsid w:val="28CF3D1A"/>
    <w:rsid w:val="28D4B346"/>
    <w:rsid w:val="28D54740"/>
    <w:rsid w:val="28D862D3"/>
    <w:rsid w:val="28DD86D1"/>
    <w:rsid w:val="28DE2DE3"/>
    <w:rsid w:val="28E2B418"/>
    <w:rsid w:val="28E632DB"/>
    <w:rsid w:val="28E721A2"/>
    <w:rsid w:val="28EB9C12"/>
    <w:rsid w:val="28EC57CC"/>
    <w:rsid w:val="28ED2753"/>
    <w:rsid w:val="28ED7B3C"/>
    <w:rsid w:val="28EF623F"/>
    <w:rsid w:val="28F0FC94"/>
    <w:rsid w:val="28FB7405"/>
    <w:rsid w:val="28FDAE01"/>
    <w:rsid w:val="2903D5B3"/>
    <w:rsid w:val="2905617D"/>
    <w:rsid w:val="290744BF"/>
    <w:rsid w:val="290B3556"/>
    <w:rsid w:val="2913D901"/>
    <w:rsid w:val="2914FDD6"/>
    <w:rsid w:val="291BF638"/>
    <w:rsid w:val="291CF171"/>
    <w:rsid w:val="291D5B50"/>
    <w:rsid w:val="2920049C"/>
    <w:rsid w:val="292453A2"/>
    <w:rsid w:val="2924B981"/>
    <w:rsid w:val="292862FF"/>
    <w:rsid w:val="2928997E"/>
    <w:rsid w:val="292BC187"/>
    <w:rsid w:val="293000A0"/>
    <w:rsid w:val="29374753"/>
    <w:rsid w:val="293AE538"/>
    <w:rsid w:val="293BE3A7"/>
    <w:rsid w:val="293D3D79"/>
    <w:rsid w:val="2940C685"/>
    <w:rsid w:val="294234DD"/>
    <w:rsid w:val="29423AE0"/>
    <w:rsid w:val="294311B2"/>
    <w:rsid w:val="29461EDE"/>
    <w:rsid w:val="294A8731"/>
    <w:rsid w:val="294AB3A2"/>
    <w:rsid w:val="295565A4"/>
    <w:rsid w:val="29574330"/>
    <w:rsid w:val="2960B5BC"/>
    <w:rsid w:val="2960D6EF"/>
    <w:rsid w:val="29679883"/>
    <w:rsid w:val="296A6059"/>
    <w:rsid w:val="2973E1A7"/>
    <w:rsid w:val="2977DC1C"/>
    <w:rsid w:val="297938F6"/>
    <w:rsid w:val="297B8AF0"/>
    <w:rsid w:val="2990649D"/>
    <w:rsid w:val="2994191B"/>
    <w:rsid w:val="2996166E"/>
    <w:rsid w:val="299BA398"/>
    <w:rsid w:val="299BEDB9"/>
    <w:rsid w:val="299DEAF7"/>
    <w:rsid w:val="29A5D473"/>
    <w:rsid w:val="29A991CA"/>
    <w:rsid w:val="29AD355A"/>
    <w:rsid w:val="29B3B593"/>
    <w:rsid w:val="29B5EFBA"/>
    <w:rsid w:val="29BCE28B"/>
    <w:rsid w:val="29C3DE1A"/>
    <w:rsid w:val="29D10A6C"/>
    <w:rsid w:val="29D1FCC0"/>
    <w:rsid w:val="29D26444"/>
    <w:rsid w:val="29DE7657"/>
    <w:rsid w:val="29E04010"/>
    <w:rsid w:val="29E338FA"/>
    <w:rsid w:val="29E6B6BA"/>
    <w:rsid w:val="29E87C3F"/>
    <w:rsid w:val="29EC0F12"/>
    <w:rsid w:val="29EE3A21"/>
    <w:rsid w:val="29EE6690"/>
    <w:rsid w:val="29EEB539"/>
    <w:rsid w:val="29F9B99B"/>
    <w:rsid w:val="29F9BB5F"/>
    <w:rsid w:val="2A09A10B"/>
    <w:rsid w:val="2A0B8804"/>
    <w:rsid w:val="2A0EB9E4"/>
    <w:rsid w:val="2A0F7663"/>
    <w:rsid w:val="2A10CD65"/>
    <w:rsid w:val="2A130550"/>
    <w:rsid w:val="2A1B0408"/>
    <w:rsid w:val="2A1DBA94"/>
    <w:rsid w:val="2A259852"/>
    <w:rsid w:val="2A2DE47F"/>
    <w:rsid w:val="2A2F6C4B"/>
    <w:rsid w:val="2A300635"/>
    <w:rsid w:val="2A36FBFB"/>
    <w:rsid w:val="2A38DADA"/>
    <w:rsid w:val="2A38ECF6"/>
    <w:rsid w:val="2A436E4F"/>
    <w:rsid w:val="2A46930A"/>
    <w:rsid w:val="2A47EF9B"/>
    <w:rsid w:val="2A4C1DC3"/>
    <w:rsid w:val="2A4EEBFA"/>
    <w:rsid w:val="2A5523DF"/>
    <w:rsid w:val="2A55CBD0"/>
    <w:rsid w:val="2A573FD2"/>
    <w:rsid w:val="2A629CF1"/>
    <w:rsid w:val="2A70DD84"/>
    <w:rsid w:val="2A73A412"/>
    <w:rsid w:val="2A76DC85"/>
    <w:rsid w:val="2A7AA1CB"/>
    <w:rsid w:val="2A7AD2DF"/>
    <w:rsid w:val="2A7BB49D"/>
    <w:rsid w:val="2A844638"/>
    <w:rsid w:val="2A8B13B1"/>
    <w:rsid w:val="2A8B6826"/>
    <w:rsid w:val="2A8CCC6F"/>
    <w:rsid w:val="2A8D188D"/>
    <w:rsid w:val="2A8EF1BF"/>
    <w:rsid w:val="2A96A418"/>
    <w:rsid w:val="2A9839CF"/>
    <w:rsid w:val="2A9935FE"/>
    <w:rsid w:val="2A9CAFEC"/>
    <w:rsid w:val="2A9DA851"/>
    <w:rsid w:val="2A9FE72D"/>
    <w:rsid w:val="2AA2880C"/>
    <w:rsid w:val="2AA33635"/>
    <w:rsid w:val="2AABC56F"/>
    <w:rsid w:val="2AB6FB9B"/>
    <w:rsid w:val="2ABA9451"/>
    <w:rsid w:val="2ABCE70D"/>
    <w:rsid w:val="2ABF9504"/>
    <w:rsid w:val="2AC08EAA"/>
    <w:rsid w:val="2AC28E8A"/>
    <w:rsid w:val="2AC2B06F"/>
    <w:rsid w:val="2AC3D44F"/>
    <w:rsid w:val="2AC7C3B1"/>
    <w:rsid w:val="2ACE743B"/>
    <w:rsid w:val="2AD4B7F2"/>
    <w:rsid w:val="2AD4DBBB"/>
    <w:rsid w:val="2AD57B12"/>
    <w:rsid w:val="2AD6193D"/>
    <w:rsid w:val="2AD7676B"/>
    <w:rsid w:val="2AE31A0F"/>
    <w:rsid w:val="2AE6D6EE"/>
    <w:rsid w:val="2AEEC888"/>
    <w:rsid w:val="2AF393C8"/>
    <w:rsid w:val="2AFD1A72"/>
    <w:rsid w:val="2AFDAFD5"/>
    <w:rsid w:val="2B00458D"/>
    <w:rsid w:val="2B039AA1"/>
    <w:rsid w:val="2B03C99D"/>
    <w:rsid w:val="2B0E0FD8"/>
    <w:rsid w:val="2B15D562"/>
    <w:rsid w:val="2B1A673E"/>
    <w:rsid w:val="2B1C6231"/>
    <w:rsid w:val="2B1D06C1"/>
    <w:rsid w:val="2B1D5FD1"/>
    <w:rsid w:val="2B1E6F2D"/>
    <w:rsid w:val="2B2693E0"/>
    <w:rsid w:val="2B26B8AC"/>
    <w:rsid w:val="2B2BA307"/>
    <w:rsid w:val="2B2ED938"/>
    <w:rsid w:val="2B379592"/>
    <w:rsid w:val="2B38D6E2"/>
    <w:rsid w:val="2B3C2756"/>
    <w:rsid w:val="2B3D3DFE"/>
    <w:rsid w:val="2B3E3015"/>
    <w:rsid w:val="2B3F6B50"/>
    <w:rsid w:val="2B3FC5F7"/>
    <w:rsid w:val="2B4049B8"/>
    <w:rsid w:val="2B40EC56"/>
    <w:rsid w:val="2B458CCB"/>
    <w:rsid w:val="2B478D39"/>
    <w:rsid w:val="2B499CC8"/>
    <w:rsid w:val="2B50018F"/>
    <w:rsid w:val="2B5141C8"/>
    <w:rsid w:val="2B51F3BF"/>
    <w:rsid w:val="2B53D38A"/>
    <w:rsid w:val="2B540D49"/>
    <w:rsid w:val="2B5551C8"/>
    <w:rsid w:val="2B621557"/>
    <w:rsid w:val="2B62B63B"/>
    <w:rsid w:val="2B692088"/>
    <w:rsid w:val="2B6976A7"/>
    <w:rsid w:val="2B6B23CA"/>
    <w:rsid w:val="2B7028CA"/>
    <w:rsid w:val="2B740F77"/>
    <w:rsid w:val="2B7A23A2"/>
    <w:rsid w:val="2B7CE7DA"/>
    <w:rsid w:val="2B7DC53E"/>
    <w:rsid w:val="2B7F75D4"/>
    <w:rsid w:val="2B831E10"/>
    <w:rsid w:val="2B91A96A"/>
    <w:rsid w:val="2B929049"/>
    <w:rsid w:val="2B97B31F"/>
    <w:rsid w:val="2B9DD98B"/>
    <w:rsid w:val="2B9F8D23"/>
    <w:rsid w:val="2B9FC60F"/>
    <w:rsid w:val="2BA138CC"/>
    <w:rsid w:val="2BA36B62"/>
    <w:rsid w:val="2BA785D6"/>
    <w:rsid w:val="2BA888B3"/>
    <w:rsid w:val="2BA9D5FD"/>
    <w:rsid w:val="2BAAC02A"/>
    <w:rsid w:val="2BAB14FF"/>
    <w:rsid w:val="2BAB1F2A"/>
    <w:rsid w:val="2BB2C859"/>
    <w:rsid w:val="2BB521D0"/>
    <w:rsid w:val="2BB5CC6D"/>
    <w:rsid w:val="2BB77047"/>
    <w:rsid w:val="2BBD7AD0"/>
    <w:rsid w:val="2BC56C4D"/>
    <w:rsid w:val="2BC67373"/>
    <w:rsid w:val="2BC6C2FA"/>
    <w:rsid w:val="2BC79DDA"/>
    <w:rsid w:val="2BC7D115"/>
    <w:rsid w:val="2BC92A8B"/>
    <w:rsid w:val="2BC94B13"/>
    <w:rsid w:val="2BCA0510"/>
    <w:rsid w:val="2BD4A435"/>
    <w:rsid w:val="2BD80782"/>
    <w:rsid w:val="2BD8709E"/>
    <w:rsid w:val="2BD93C9B"/>
    <w:rsid w:val="2BDBC166"/>
    <w:rsid w:val="2BDC997F"/>
    <w:rsid w:val="2BDCD2F5"/>
    <w:rsid w:val="2BE242E4"/>
    <w:rsid w:val="2BE36449"/>
    <w:rsid w:val="2BE5F82E"/>
    <w:rsid w:val="2BF4731F"/>
    <w:rsid w:val="2BF51FE0"/>
    <w:rsid w:val="2BFD2DA0"/>
    <w:rsid w:val="2BFD9EB8"/>
    <w:rsid w:val="2BFDD535"/>
    <w:rsid w:val="2BFE052E"/>
    <w:rsid w:val="2C007392"/>
    <w:rsid w:val="2C0315AA"/>
    <w:rsid w:val="2C064C42"/>
    <w:rsid w:val="2C06DE82"/>
    <w:rsid w:val="2C1283B0"/>
    <w:rsid w:val="2C13820A"/>
    <w:rsid w:val="2C14AB56"/>
    <w:rsid w:val="2C14AD4A"/>
    <w:rsid w:val="2C164896"/>
    <w:rsid w:val="2C17C9A5"/>
    <w:rsid w:val="2C189761"/>
    <w:rsid w:val="2C1E4C54"/>
    <w:rsid w:val="2C23535D"/>
    <w:rsid w:val="2C2A992B"/>
    <w:rsid w:val="2C2BB0B7"/>
    <w:rsid w:val="2C3167B4"/>
    <w:rsid w:val="2C338705"/>
    <w:rsid w:val="2C3ED6D6"/>
    <w:rsid w:val="2C4269F2"/>
    <w:rsid w:val="2C4A7136"/>
    <w:rsid w:val="2C4DC595"/>
    <w:rsid w:val="2C53C31A"/>
    <w:rsid w:val="2C592749"/>
    <w:rsid w:val="2C5A429C"/>
    <w:rsid w:val="2C605296"/>
    <w:rsid w:val="2C650429"/>
    <w:rsid w:val="2C6536FA"/>
    <w:rsid w:val="2C6ECB62"/>
    <w:rsid w:val="2C7B0A9F"/>
    <w:rsid w:val="2C80778F"/>
    <w:rsid w:val="2C88FB33"/>
    <w:rsid w:val="2C8D7B33"/>
    <w:rsid w:val="2C8EDA7D"/>
    <w:rsid w:val="2C99EDC6"/>
    <w:rsid w:val="2C9BF6F2"/>
    <w:rsid w:val="2C9E7308"/>
    <w:rsid w:val="2CA0CCF4"/>
    <w:rsid w:val="2CA8957F"/>
    <w:rsid w:val="2CAB57AF"/>
    <w:rsid w:val="2CADCA64"/>
    <w:rsid w:val="2CADCC50"/>
    <w:rsid w:val="2CB2DAB0"/>
    <w:rsid w:val="2CB5AC8C"/>
    <w:rsid w:val="2CBDD60E"/>
    <w:rsid w:val="2CC7E8C2"/>
    <w:rsid w:val="2CCB63BD"/>
    <w:rsid w:val="2CCB6946"/>
    <w:rsid w:val="2CCD0652"/>
    <w:rsid w:val="2CD0A739"/>
    <w:rsid w:val="2CD1975A"/>
    <w:rsid w:val="2CD27192"/>
    <w:rsid w:val="2CD61520"/>
    <w:rsid w:val="2CE43242"/>
    <w:rsid w:val="2CE586A5"/>
    <w:rsid w:val="2CE5A051"/>
    <w:rsid w:val="2CEEB7AC"/>
    <w:rsid w:val="2CF042B4"/>
    <w:rsid w:val="2CF78EFD"/>
    <w:rsid w:val="2CFAD84C"/>
    <w:rsid w:val="2CFE7CE7"/>
    <w:rsid w:val="2D01C97B"/>
    <w:rsid w:val="2D0430FD"/>
    <w:rsid w:val="2D04B9CE"/>
    <w:rsid w:val="2D058D63"/>
    <w:rsid w:val="2D09712C"/>
    <w:rsid w:val="2D0BAE70"/>
    <w:rsid w:val="2D0BB640"/>
    <w:rsid w:val="2D10B6B6"/>
    <w:rsid w:val="2D17170E"/>
    <w:rsid w:val="2D1D7155"/>
    <w:rsid w:val="2D22CF22"/>
    <w:rsid w:val="2D29C340"/>
    <w:rsid w:val="2D2AC605"/>
    <w:rsid w:val="2D2D9356"/>
    <w:rsid w:val="2D30529E"/>
    <w:rsid w:val="2D30AE81"/>
    <w:rsid w:val="2D3BDFD6"/>
    <w:rsid w:val="2D3D0097"/>
    <w:rsid w:val="2D3D5BDC"/>
    <w:rsid w:val="2D3EC87B"/>
    <w:rsid w:val="2D405958"/>
    <w:rsid w:val="2D468BE6"/>
    <w:rsid w:val="2D48F51B"/>
    <w:rsid w:val="2D4BC24D"/>
    <w:rsid w:val="2D4D6740"/>
    <w:rsid w:val="2D5D18E8"/>
    <w:rsid w:val="2D665749"/>
    <w:rsid w:val="2D74994A"/>
    <w:rsid w:val="2D7F31B6"/>
    <w:rsid w:val="2D7FA2E4"/>
    <w:rsid w:val="2D80771D"/>
    <w:rsid w:val="2D82D243"/>
    <w:rsid w:val="2D8AB433"/>
    <w:rsid w:val="2D8B71A7"/>
    <w:rsid w:val="2D97670E"/>
    <w:rsid w:val="2D9CBD17"/>
    <w:rsid w:val="2DA045BC"/>
    <w:rsid w:val="2DA450E0"/>
    <w:rsid w:val="2DA49565"/>
    <w:rsid w:val="2DA549A7"/>
    <w:rsid w:val="2DB632CC"/>
    <w:rsid w:val="2DBD355B"/>
    <w:rsid w:val="2DD48B15"/>
    <w:rsid w:val="2DD4A472"/>
    <w:rsid w:val="2DDB7331"/>
    <w:rsid w:val="2DE51D66"/>
    <w:rsid w:val="2DEC1348"/>
    <w:rsid w:val="2DF743ED"/>
    <w:rsid w:val="2DFBD3F9"/>
    <w:rsid w:val="2DFDA8DA"/>
    <w:rsid w:val="2E01E8D3"/>
    <w:rsid w:val="2E06C1DB"/>
    <w:rsid w:val="2E0E40FA"/>
    <w:rsid w:val="2E0F2597"/>
    <w:rsid w:val="2E196656"/>
    <w:rsid w:val="2E1A1F7F"/>
    <w:rsid w:val="2E1C1228"/>
    <w:rsid w:val="2E1C22C0"/>
    <w:rsid w:val="2E20DD5D"/>
    <w:rsid w:val="2E27AEC3"/>
    <w:rsid w:val="2E2AD0D9"/>
    <w:rsid w:val="2E2AEF61"/>
    <w:rsid w:val="2E3805F3"/>
    <w:rsid w:val="2E3E331C"/>
    <w:rsid w:val="2E40700F"/>
    <w:rsid w:val="2E4275F3"/>
    <w:rsid w:val="2E440E43"/>
    <w:rsid w:val="2E4597EC"/>
    <w:rsid w:val="2E4B4184"/>
    <w:rsid w:val="2E54A8F1"/>
    <w:rsid w:val="2E58258D"/>
    <w:rsid w:val="2E5D6429"/>
    <w:rsid w:val="2E625AC3"/>
    <w:rsid w:val="2E687F64"/>
    <w:rsid w:val="2E695AED"/>
    <w:rsid w:val="2E6FB5F4"/>
    <w:rsid w:val="2E708E6E"/>
    <w:rsid w:val="2E711368"/>
    <w:rsid w:val="2E74E6A6"/>
    <w:rsid w:val="2E7DB576"/>
    <w:rsid w:val="2E80BDE3"/>
    <w:rsid w:val="2E85C5D5"/>
    <w:rsid w:val="2E8E462A"/>
    <w:rsid w:val="2E8F0FF0"/>
    <w:rsid w:val="2E921C9A"/>
    <w:rsid w:val="2E933D0E"/>
    <w:rsid w:val="2E968DD6"/>
    <w:rsid w:val="2E9ABAC2"/>
    <w:rsid w:val="2E9B73FA"/>
    <w:rsid w:val="2E9BE92C"/>
    <w:rsid w:val="2E9CBFFB"/>
    <w:rsid w:val="2EA454BF"/>
    <w:rsid w:val="2EA5DBCC"/>
    <w:rsid w:val="2EAB23EB"/>
    <w:rsid w:val="2EAF74FC"/>
    <w:rsid w:val="2EB37920"/>
    <w:rsid w:val="2EC04B61"/>
    <w:rsid w:val="2EC14DBA"/>
    <w:rsid w:val="2EC30D4B"/>
    <w:rsid w:val="2EC7337C"/>
    <w:rsid w:val="2ECB1CAA"/>
    <w:rsid w:val="2ECDA402"/>
    <w:rsid w:val="2ECED77D"/>
    <w:rsid w:val="2ED048D3"/>
    <w:rsid w:val="2ED0BDF3"/>
    <w:rsid w:val="2ED0CABE"/>
    <w:rsid w:val="2EDD2BFC"/>
    <w:rsid w:val="2EE1B345"/>
    <w:rsid w:val="2EE3783D"/>
    <w:rsid w:val="2EEFDAD0"/>
    <w:rsid w:val="2EF1F020"/>
    <w:rsid w:val="2EFBC1F6"/>
    <w:rsid w:val="2EFEB5EE"/>
    <w:rsid w:val="2F01BAE4"/>
    <w:rsid w:val="2F03BF05"/>
    <w:rsid w:val="2F0A3A6D"/>
    <w:rsid w:val="2F14E2B0"/>
    <w:rsid w:val="2F15E972"/>
    <w:rsid w:val="2F1768B3"/>
    <w:rsid w:val="2F1D78B3"/>
    <w:rsid w:val="2F201402"/>
    <w:rsid w:val="2F24D80A"/>
    <w:rsid w:val="2F32FF80"/>
    <w:rsid w:val="2F3661B9"/>
    <w:rsid w:val="2F3F31AD"/>
    <w:rsid w:val="2F3FFC0C"/>
    <w:rsid w:val="2F460313"/>
    <w:rsid w:val="2F49B07B"/>
    <w:rsid w:val="2F529E1D"/>
    <w:rsid w:val="2F537269"/>
    <w:rsid w:val="2F5C3473"/>
    <w:rsid w:val="2F625C69"/>
    <w:rsid w:val="2F65B494"/>
    <w:rsid w:val="2F68E761"/>
    <w:rsid w:val="2F69594D"/>
    <w:rsid w:val="2F71326C"/>
    <w:rsid w:val="2F759AE4"/>
    <w:rsid w:val="2F76DB55"/>
    <w:rsid w:val="2F7AB70E"/>
    <w:rsid w:val="2F8FEE52"/>
    <w:rsid w:val="2F913797"/>
    <w:rsid w:val="2F92A37F"/>
    <w:rsid w:val="2F95E042"/>
    <w:rsid w:val="2F98D384"/>
    <w:rsid w:val="2F9F2A80"/>
    <w:rsid w:val="2FA12598"/>
    <w:rsid w:val="2FA1CB71"/>
    <w:rsid w:val="2FA62C5C"/>
    <w:rsid w:val="2FAE7A74"/>
    <w:rsid w:val="2FAF4F85"/>
    <w:rsid w:val="2FAFDABA"/>
    <w:rsid w:val="2FAFF8BB"/>
    <w:rsid w:val="2FB3F8DE"/>
    <w:rsid w:val="2FB5A6FD"/>
    <w:rsid w:val="2FB6758D"/>
    <w:rsid w:val="2FB71EE9"/>
    <w:rsid w:val="2FB83B16"/>
    <w:rsid w:val="2FBB7E90"/>
    <w:rsid w:val="2FC041D5"/>
    <w:rsid w:val="2FC194DC"/>
    <w:rsid w:val="2FC82435"/>
    <w:rsid w:val="2FD3C071"/>
    <w:rsid w:val="2FDB0AD5"/>
    <w:rsid w:val="2FDB86B0"/>
    <w:rsid w:val="2FDF1B5F"/>
    <w:rsid w:val="2FED7CB1"/>
    <w:rsid w:val="2FF268E1"/>
    <w:rsid w:val="2FF8ACD0"/>
    <w:rsid w:val="2FFD7EEE"/>
    <w:rsid w:val="300285AE"/>
    <w:rsid w:val="3007EA08"/>
    <w:rsid w:val="301BC170"/>
    <w:rsid w:val="301FF7F3"/>
    <w:rsid w:val="302297F3"/>
    <w:rsid w:val="30291AAF"/>
    <w:rsid w:val="302C307F"/>
    <w:rsid w:val="3034BF95"/>
    <w:rsid w:val="3037106A"/>
    <w:rsid w:val="3038EECE"/>
    <w:rsid w:val="303A3303"/>
    <w:rsid w:val="303BB137"/>
    <w:rsid w:val="303F68BD"/>
    <w:rsid w:val="304315E9"/>
    <w:rsid w:val="3043E90B"/>
    <w:rsid w:val="30447E4C"/>
    <w:rsid w:val="3044BB82"/>
    <w:rsid w:val="304756D3"/>
    <w:rsid w:val="304D3563"/>
    <w:rsid w:val="30588A4E"/>
    <w:rsid w:val="3059D965"/>
    <w:rsid w:val="305D3F21"/>
    <w:rsid w:val="306D8AA2"/>
    <w:rsid w:val="307018A9"/>
    <w:rsid w:val="3072D932"/>
    <w:rsid w:val="30759A63"/>
    <w:rsid w:val="307995CC"/>
    <w:rsid w:val="30819C80"/>
    <w:rsid w:val="308392A8"/>
    <w:rsid w:val="30888873"/>
    <w:rsid w:val="308BF2A5"/>
    <w:rsid w:val="30901D39"/>
    <w:rsid w:val="309C4217"/>
    <w:rsid w:val="309D0706"/>
    <w:rsid w:val="30A60084"/>
    <w:rsid w:val="30A6F5F8"/>
    <w:rsid w:val="30AC6174"/>
    <w:rsid w:val="30B4A17D"/>
    <w:rsid w:val="30B7A696"/>
    <w:rsid w:val="30B83C74"/>
    <w:rsid w:val="30BBC991"/>
    <w:rsid w:val="30BDADED"/>
    <w:rsid w:val="30BE174A"/>
    <w:rsid w:val="30C4D711"/>
    <w:rsid w:val="30CCAF10"/>
    <w:rsid w:val="30D076AB"/>
    <w:rsid w:val="30D5BEFF"/>
    <w:rsid w:val="30D9A4E5"/>
    <w:rsid w:val="30DF76ED"/>
    <w:rsid w:val="30E1810D"/>
    <w:rsid w:val="30E3D180"/>
    <w:rsid w:val="30E4467A"/>
    <w:rsid w:val="30ED6F66"/>
    <w:rsid w:val="30F5FF6D"/>
    <w:rsid w:val="30FA5874"/>
    <w:rsid w:val="3102A426"/>
    <w:rsid w:val="31030B56"/>
    <w:rsid w:val="3104E276"/>
    <w:rsid w:val="310516DA"/>
    <w:rsid w:val="310A597D"/>
    <w:rsid w:val="310F0332"/>
    <w:rsid w:val="3111C990"/>
    <w:rsid w:val="31138815"/>
    <w:rsid w:val="31169F08"/>
    <w:rsid w:val="31186C33"/>
    <w:rsid w:val="311E84AA"/>
    <w:rsid w:val="311EF25D"/>
    <w:rsid w:val="3122EE7F"/>
    <w:rsid w:val="312442D8"/>
    <w:rsid w:val="31244513"/>
    <w:rsid w:val="31284E11"/>
    <w:rsid w:val="312D8B56"/>
    <w:rsid w:val="312EBDE0"/>
    <w:rsid w:val="313123D4"/>
    <w:rsid w:val="3131EAEF"/>
    <w:rsid w:val="31353366"/>
    <w:rsid w:val="3140E313"/>
    <w:rsid w:val="3142AE2F"/>
    <w:rsid w:val="31446AF5"/>
    <w:rsid w:val="3145A9BC"/>
    <w:rsid w:val="31479A46"/>
    <w:rsid w:val="3147B14E"/>
    <w:rsid w:val="314C5402"/>
    <w:rsid w:val="315315D0"/>
    <w:rsid w:val="3153DACE"/>
    <w:rsid w:val="31557896"/>
    <w:rsid w:val="31579D13"/>
    <w:rsid w:val="3157EC35"/>
    <w:rsid w:val="31593442"/>
    <w:rsid w:val="315D285A"/>
    <w:rsid w:val="315EF25B"/>
    <w:rsid w:val="31609DC1"/>
    <w:rsid w:val="31667EFA"/>
    <w:rsid w:val="3168FDF0"/>
    <w:rsid w:val="31769036"/>
    <w:rsid w:val="31790E69"/>
    <w:rsid w:val="317947E3"/>
    <w:rsid w:val="317BF835"/>
    <w:rsid w:val="317D22A4"/>
    <w:rsid w:val="317EF28B"/>
    <w:rsid w:val="3186F96C"/>
    <w:rsid w:val="3189DE38"/>
    <w:rsid w:val="3189E57C"/>
    <w:rsid w:val="318BA2BF"/>
    <w:rsid w:val="318BEFC2"/>
    <w:rsid w:val="318C1D24"/>
    <w:rsid w:val="318DE753"/>
    <w:rsid w:val="31919841"/>
    <w:rsid w:val="3199DBB2"/>
    <w:rsid w:val="319BF2E9"/>
    <w:rsid w:val="31A3B25B"/>
    <w:rsid w:val="31A4F2D1"/>
    <w:rsid w:val="31A59C52"/>
    <w:rsid w:val="31AA14A9"/>
    <w:rsid w:val="31AB10E5"/>
    <w:rsid w:val="31B441DA"/>
    <w:rsid w:val="31B698F1"/>
    <w:rsid w:val="31BAED38"/>
    <w:rsid w:val="31BE1A25"/>
    <w:rsid w:val="31C05A92"/>
    <w:rsid w:val="31C2EA69"/>
    <w:rsid w:val="31C6F213"/>
    <w:rsid w:val="31C821BB"/>
    <w:rsid w:val="31C856EE"/>
    <w:rsid w:val="31CD43FE"/>
    <w:rsid w:val="31CE7532"/>
    <w:rsid w:val="31D2BC6A"/>
    <w:rsid w:val="31DC3670"/>
    <w:rsid w:val="31DF1DC8"/>
    <w:rsid w:val="31E71245"/>
    <w:rsid w:val="31E72E65"/>
    <w:rsid w:val="31E74F95"/>
    <w:rsid w:val="31EC7863"/>
    <w:rsid w:val="31F0832E"/>
    <w:rsid w:val="31F0D3AA"/>
    <w:rsid w:val="31F42272"/>
    <w:rsid w:val="31F554CF"/>
    <w:rsid w:val="31FBD1AD"/>
    <w:rsid w:val="32015940"/>
    <w:rsid w:val="32026732"/>
    <w:rsid w:val="32043EBC"/>
    <w:rsid w:val="32117722"/>
    <w:rsid w:val="32118734"/>
    <w:rsid w:val="32124694"/>
    <w:rsid w:val="321B6C21"/>
    <w:rsid w:val="321D0471"/>
    <w:rsid w:val="32231C7E"/>
    <w:rsid w:val="3226FC22"/>
    <w:rsid w:val="322E483F"/>
    <w:rsid w:val="32324A58"/>
    <w:rsid w:val="3234194D"/>
    <w:rsid w:val="3237B7BD"/>
    <w:rsid w:val="3237C34A"/>
    <w:rsid w:val="323D3B37"/>
    <w:rsid w:val="323F722D"/>
    <w:rsid w:val="324148B3"/>
    <w:rsid w:val="3242F8BE"/>
    <w:rsid w:val="324775F8"/>
    <w:rsid w:val="324F3802"/>
    <w:rsid w:val="3255759F"/>
    <w:rsid w:val="325A2811"/>
    <w:rsid w:val="325FDCF0"/>
    <w:rsid w:val="32663ACF"/>
    <w:rsid w:val="326BA9DD"/>
    <w:rsid w:val="3274BAA2"/>
    <w:rsid w:val="327960EC"/>
    <w:rsid w:val="327D164C"/>
    <w:rsid w:val="3280D060"/>
    <w:rsid w:val="328286E9"/>
    <w:rsid w:val="328EADE4"/>
    <w:rsid w:val="3290F7F8"/>
    <w:rsid w:val="32947194"/>
    <w:rsid w:val="3295586D"/>
    <w:rsid w:val="32960637"/>
    <w:rsid w:val="32968A29"/>
    <w:rsid w:val="3297BDE5"/>
    <w:rsid w:val="32999374"/>
    <w:rsid w:val="329F58F0"/>
    <w:rsid w:val="32A1D7C9"/>
    <w:rsid w:val="32A5AC6B"/>
    <w:rsid w:val="32A5B97E"/>
    <w:rsid w:val="32A7C5B0"/>
    <w:rsid w:val="32A9D5DF"/>
    <w:rsid w:val="32B1DF8F"/>
    <w:rsid w:val="32B2DD70"/>
    <w:rsid w:val="32B66F97"/>
    <w:rsid w:val="32BBF24D"/>
    <w:rsid w:val="32BCA2CE"/>
    <w:rsid w:val="32BFC81F"/>
    <w:rsid w:val="32C0DDAC"/>
    <w:rsid w:val="32C9EAF5"/>
    <w:rsid w:val="32D175E6"/>
    <w:rsid w:val="32D351B1"/>
    <w:rsid w:val="32D4C390"/>
    <w:rsid w:val="32D53B51"/>
    <w:rsid w:val="32D8A9E1"/>
    <w:rsid w:val="32DF41B6"/>
    <w:rsid w:val="32E0CAF3"/>
    <w:rsid w:val="32E2340C"/>
    <w:rsid w:val="3303BB76"/>
    <w:rsid w:val="3304863A"/>
    <w:rsid w:val="3308C6AD"/>
    <w:rsid w:val="3309850A"/>
    <w:rsid w:val="330C36A6"/>
    <w:rsid w:val="330EB506"/>
    <w:rsid w:val="33131DD1"/>
    <w:rsid w:val="33136955"/>
    <w:rsid w:val="3315B679"/>
    <w:rsid w:val="331FB7BC"/>
    <w:rsid w:val="33230BEF"/>
    <w:rsid w:val="3327ECFB"/>
    <w:rsid w:val="3328F3FF"/>
    <w:rsid w:val="332915E1"/>
    <w:rsid w:val="332BE0F8"/>
    <w:rsid w:val="332D63C7"/>
    <w:rsid w:val="3336D4F6"/>
    <w:rsid w:val="333C76F0"/>
    <w:rsid w:val="3340FA48"/>
    <w:rsid w:val="3345DE0D"/>
    <w:rsid w:val="33487D30"/>
    <w:rsid w:val="334C732E"/>
    <w:rsid w:val="334EF618"/>
    <w:rsid w:val="335409D5"/>
    <w:rsid w:val="33654BDE"/>
    <w:rsid w:val="3365EFFF"/>
    <w:rsid w:val="33665A58"/>
    <w:rsid w:val="3367E704"/>
    <w:rsid w:val="337499DF"/>
    <w:rsid w:val="3375A8AB"/>
    <w:rsid w:val="33799C41"/>
    <w:rsid w:val="337AC6A9"/>
    <w:rsid w:val="33838834"/>
    <w:rsid w:val="33922E47"/>
    <w:rsid w:val="339C3DA6"/>
    <w:rsid w:val="339C4FC5"/>
    <w:rsid w:val="339DE9D6"/>
    <w:rsid w:val="339F728F"/>
    <w:rsid w:val="33A52411"/>
    <w:rsid w:val="33A5C171"/>
    <w:rsid w:val="33A5DA97"/>
    <w:rsid w:val="33A732DC"/>
    <w:rsid w:val="33AC56F1"/>
    <w:rsid w:val="33AD6CBC"/>
    <w:rsid w:val="33B32425"/>
    <w:rsid w:val="33BAEC30"/>
    <w:rsid w:val="33BDB67B"/>
    <w:rsid w:val="33BEAC09"/>
    <w:rsid w:val="33CB125C"/>
    <w:rsid w:val="33D07709"/>
    <w:rsid w:val="33D09197"/>
    <w:rsid w:val="33D41150"/>
    <w:rsid w:val="33D483EE"/>
    <w:rsid w:val="33D9201D"/>
    <w:rsid w:val="33D989FC"/>
    <w:rsid w:val="33DA1E63"/>
    <w:rsid w:val="33DA9D5C"/>
    <w:rsid w:val="33E7F930"/>
    <w:rsid w:val="33E9F554"/>
    <w:rsid w:val="33FC62EC"/>
    <w:rsid w:val="3400219B"/>
    <w:rsid w:val="3401A6D7"/>
    <w:rsid w:val="3402117F"/>
    <w:rsid w:val="3402CBA6"/>
    <w:rsid w:val="34041DCA"/>
    <w:rsid w:val="3409570D"/>
    <w:rsid w:val="340EAC46"/>
    <w:rsid w:val="34103E60"/>
    <w:rsid w:val="34123C75"/>
    <w:rsid w:val="34127A16"/>
    <w:rsid w:val="3412AC75"/>
    <w:rsid w:val="3413617B"/>
    <w:rsid w:val="34168306"/>
    <w:rsid w:val="341962F2"/>
    <w:rsid w:val="341FF731"/>
    <w:rsid w:val="3420A7BE"/>
    <w:rsid w:val="3424480E"/>
    <w:rsid w:val="34293843"/>
    <w:rsid w:val="3429E802"/>
    <w:rsid w:val="342A4B3F"/>
    <w:rsid w:val="342BC12F"/>
    <w:rsid w:val="342C479A"/>
    <w:rsid w:val="342CA69F"/>
    <w:rsid w:val="34315DFD"/>
    <w:rsid w:val="34382636"/>
    <w:rsid w:val="3439B171"/>
    <w:rsid w:val="343BF0EF"/>
    <w:rsid w:val="343D9BDA"/>
    <w:rsid w:val="343FFA93"/>
    <w:rsid w:val="34423F8A"/>
    <w:rsid w:val="3445C5D3"/>
    <w:rsid w:val="34484E23"/>
    <w:rsid w:val="344A86C6"/>
    <w:rsid w:val="3457A982"/>
    <w:rsid w:val="3468AE7B"/>
    <w:rsid w:val="34740FBF"/>
    <w:rsid w:val="347439C1"/>
    <w:rsid w:val="3479AA99"/>
    <w:rsid w:val="348703AC"/>
    <w:rsid w:val="34873ECD"/>
    <w:rsid w:val="34878178"/>
    <w:rsid w:val="348D1674"/>
    <w:rsid w:val="34914117"/>
    <w:rsid w:val="349318E3"/>
    <w:rsid w:val="34964645"/>
    <w:rsid w:val="3496B61D"/>
    <w:rsid w:val="34983E83"/>
    <w:rsid w:val="3499733F"/>
    <w:rsid w:val="34A47040"/>
    <w:rsid w:val="34A7CEF5"/>
    <w:rsid w:val="34ADB8B8"/>
    <w:rsid w:val="34AEA7AD"/>
    <w:rsid w:val="34B12F80"/>
    <w:rsid w:val="34B348BF"/>
    <w:rsid w:val="34B38382"/>
    <w:rsid w:val="34B4FE2F"/>
    <w:rsid w:val="34B53E52"/>
    <w:rsid w:val="34B688D1"/>
    <w:rsid w:val="34BE6E90"/>
    <w:rsid w:val="34BF138F"/>
    <w:rsid w:val="34C1EA9B"/>
    <w:rsid w:val="34CA2B7A"/>
    <w:rsid w:val="34CA33F0"/>
    <w:rsid w:val="34CA6548"/>
    <w:rsid w:val="34CCF95B"/>
    <w:rsid w:val="34D373DF"/>
    <w:rsid w:val="34E4A57E"/>
    <w:rsid w:val="34E81733"/>
    <w:rsid w:val="34EEDB76"/>
    <w:rsid w:val="34FA9304"/>
    <w:rsid w:val="34FCF5A8"/>
    <w:rsid w:val="34FE56B2"/>
    <w:rsid w:val="34FFFDBB"/>
    <w:rsid w:val="350520DA"/>
    <w:rsid w:val="350BDE8E"/>
    <w:rsid w:val="350C6778"/>
    <w:rsid w:val="3512EF30"/>
    <w:rsid w:val="351FD9EF"/>
    <w:rsid w:val="3523A48C"/>
    <w:rsid w:val="352E9390"/>
    <w:rsid w:val="3532C54E"/>
    <w:rsid w:val="35393A55"/>
    <w:rsid w:val="353E3E1F"/>
    <w:rsid w:val="353E8426"/>
    <w:rsid w:val="35403D7F"/>
    <w:rsid w:val="3544D354"/>
    <w:rsid w:val="3549A976"/>
    <w:rsid w:val="3549C432"/>
    <w:rsid w:val="354C7290"/>
    <w:rsid w:val="354D255C"/>
    <w:rsid w:val="355329A1"/>
    <w:rsid w:val="35558F5D"/>
    <w:rsid w:val="35583B33"/>
    <w:rsid w:val="355D2EB1"/>
    <w:rsid w:val="35630D1D"/>
    <w:rsid w:val="35644C93"/>
    <w:rsid w:val="35644F24"/>
    <w:rsid w:val="35655798"/>
    <w:rsid w:val="3568C53B"/>
    <w:rsid w:val="3569B19E"/>
    <w:rsid w:val="356FDF77"/>
    <w:rsid w:val="3571D361"/>
    <w:rsid w:val="357AB153"/>
    <w:rsid w:val="357CE43D"/>
    <w:rsid w:val="35894BD1"/>
    <w:rsid w:val="35956733"/>
    <w:rsid w:val="359D20C9"/>
    <w:rsid w:val="35A6FB6D"/>
    <w:rsid w:val="35A7C421"/>
    <w:rsid w:val="35A8EC53"/>
    <w:rsid w:val="35AB672D"/>
    <w:rsid w:val="35B0F49F"/>
    <w:rsid w:val="35B40BF0"/>
    <w:rsid w:val="35B686E6"/>
    <w:rsid w:val="35BC4448"/>
    <w:rsid w:val="35BCEA17"/>
    <w:rsid w:val="35BE3D04"/>
    <w:rsid w:val="35BF15A0"/>
    <w:rsid w:val="35C20F30"/>
    <w:rsid w:val="35C42CD5"/>
    <w:rsid w:val="35C58542"/>
    <w:rsid w:val="35C7CB20"/>
    <w:rsid w:val="35D23974"/>
    <w:rsid w:val="35D6B9B7"/>
    <w:rsid w:val="35D9398D"/>
    <w:rsid w:val="35DD3AC2"/>
    <w:rsid w:val="35E33569"/>
    <w:rsid w:val="35E36E7E"/>
    <w:rsid w:val="35E546F9"/>
    <w:rsid w:val="35E6ECF5"/>
    <w:rsid w:val="35EA9B1D"/>
    <w:rsid w:val="35F2F0E3"/>
    <w:rsid w:val="35FAB603"/>
    <w:rsid w:val="35FBF76E"/>
    <w:rsid w:val="36000FCA"/>
    <w:rsid w:val="3601318F"/>
    <w:rsid w:val="3604295C"/>
    <w:rsid w:val="360583B0"/>
    <w:rsid w:val="36059DC2"/>
    <w:rsid w:val="36096968"/>
    <w:rsid w:val="36097717"/>
    <w:rsid w:val="360C8831"/>
    <w:rsid w:val="360DCC55"/>
    <w:rsid w:val="360FB2FC"/>
    <w:rsid w:val="3618BEB1"/>
    <w:rsid w:val="361999EA"/>
    <w:rsid w:val="361B060A"/>
    <w:rsid w:val="36229FD9"/>
    <w:rsid w:val="36280432"/>
    <w:rsid w:val="3628CF31"/>
    <w:rsid w:val="3632C68E"/>
    <w:rsid w:val="363B3F32"/>
    <w:rsid w:val="363D249D"/>
    <w:rsid w:val="36463F8F"/>
    <w:rsid w:val="3649BB17"/>
    <w:rsid w:val="3652B060"/>
    <w:rsid w:val="3654A6B3"/>
    <w:rsid w:val="3656DBAA"/>
    <w:rsid w:val="3656E614"/>
    <w:rsid w:val="365801D4"/>
    <w:rsid w:val="365C90BD"/>
    <w:rsid w:val="365E1C26"/>
    <w:rsid w:val="365E6493"/>
    <w:rsid w:val="36685B46"/>
    <w:rsid w:val="3668FFDB"/>
    <w:rsid w:val="366A0F8A"/>
    <w:rsid w:val="366EADA9"/>
    <w:rsid w:val="367087A8"/>
    <w:rsid w:val="36745B44"/>
    <w:rsid w:val="3676B6B5"/>
    <w:rsid w:val="367B08C3"/>
    <w:rsid w:val="367BBAFA"/>
    <w:rsid w:val="36834921"/>
    <w:rsid w:val="3687CC81"/>
    <w:rsid w:val="368E2BA6"/>
    <w:rsid w:val="368E531B"/>
    <w:rsid w:val="3691E688"/>
    <w:rsid w:val="36924BB0"/>
    <w:rsid w:val="3694EF79"/>
    <w:rsid w:val="369B2D45"/>
    <w:rsid w:val="369E6F84"/>
    <w:rsid w:val="36A1BB28"/>
    <w:rsid w:val="36B8CAD8"/>
    <w:rsid w:val="36BA2A13"/>
    <w:rsid w:val="36BA347A"/>
    <w:rsid w:val="36BB0F2E"/>
    <w:rsid w:val="36BCE919"/>
    <w:rsid w:val="36C353FB"/>
    <w:rsid w:val="36C6A37B"/>
    <w:rsid w:val="36CF1560"/>
    <w:rsid w:val="36D5183D"/>
    <w:rsid w:val="36D790C7"/>
    <w:rsid w:val="36DE5AC1"/>
    <w:rsid w:val="36E96E77"/>
    <w:rsid w:val="36EB86C5"/>
    <w:rsid w:val="36F1EF19"/>
    <w:rsid w:val="36F233D6"/>
    <w:rsid w:val="36F3DB8B"/>
    <w:rsid w:val="36FE4D62"/>
    <w:rsid w:val="3702FC63"/>
    <w:rsid w:val="3703B185"/>
    <w:rsid w:val="370A44A6"/>
    <w:rsid w:val="370F6717"/>
    <w:rsid w:val="37130525"/>
    <w:rsid w:val="37136213"/>
    <w:rsid w:val="371B7B90"/>
    <w:rsid w:val="371FB5E6"/>
    <w:rsid w:val="37216C44"/>
    <w:rsid w:val="372375BD"/>
    <w:rsid w:val="37270920"/>
    <w:rsid w:val="37272D34"/>
    <w:rsid w:val="37282D6B"/>
    <w:rsid w:val="372BF5D1"/>
    <w:rsid w:val="372C7B91"/>
    <w:rsid w:val="372DFF6D"/>
    <w:rsid w:val="372EB9DE"/>
    <w:rsid w:val="373230D0"/>
    <w:rsid w:val="37369D08"/>
    <w:rsid w:val="3736F60B"/>
    <w:rsid w:val="37383A41"/>
    <w:rsid w:val="373D3B13"/>
    <w:rsid w:val="3748E28E"/>
    <w:rsid w:val="3749015F"/>
    <w:rsid w:val="374DD24A"/>
    <w:rsid w:val="37505D22"/>
    <w:rsid w:val="3753C387"/>
    <w:rsid w:val="375EE947"/>
    <w:rsid w:val="3763C7FD"/>
    <w:rsid w:val="376833D6"/>
    <w:rsid w:val="376877A7"/>
    <w:rsid w:val="376B3D1D"/>
    <w:rsid w:val="3772524C"/>
    <w:rsid w:val="37749124"/>
    <w:rsid w:val="3775369E"/>
    <w:rsid w:val="377FCAB5"/>
    <w:rsid w:val="3781B534"/>
    <w:rsid w:val="3784CD3F"/>
    <w:rsid w:val="378FF16A"/>
    <w:rsid w:val="37991901"/>
    <w:rsid w:val="379B1AB7"/>
    <w:rsid w:val="379CFA73"/>
    <w:rsid w:val="379D8E0A"/>
    <w:rsid w:val="379DF21D"/>
    <w:rsid w:val="37A1DBFC"/>
    <w:rsid w:val="37A2B431"/>
    <w:rsid w:val="37A6EE8B"/>
    <w:rsid w:val="37A8051F"/>
    <w:rsid w:val="37AB5718"/>
    <w:rsid w:val="37B2F25E"/>
    <w:rsid w:val="37B5D03D"/>
    <w:rsid w:val="37B73FB4"/>
    <w:rsid w:val="37C16C25"/>
    <w:rsid w:val="37CB8AC1"/>
    <w:rsid w:val="37CFA44D"/>
    <w:rsid w:val="37D51535"/>
    <w:rsid w:val="37D6AB54"/>
    <w:rsid w:val="37E6F8DA"/>
    <w:rsid w:val="37EA4AAE"/>
    <w:rsid w:val="37ED456D"/>
    <w:rsid w:val="37EE8B68"/>
    <w:rsid w:val="37EF8AA7"/>
    <w:rsid w:val="37F1FC8F"/>
    <w:rsid w:val="37F27ADC"/>
    <w:rsid w:val="37F2F75F"/>
    <w:rsid w:val="37F5010C"/>
    <w:rsid w:val="37F5B609"/>
    <w:rsid w:val="37F6474C"/>
    <w:rsid w:val="37F81531"/>
    <w:rsid w:val="37FF54EC"/>
    <w:rsid w:val="380247A7"/>
    <w:rsid w:val="38043886"/>
    <w:rsid w:val="38056867"/>
    <w:rsid w:val="380875BE"/>
    <w:rsid w:val="3809FB68"/>
    <w:rsid w:val="380BD279"/>
    <w:rsid w:val="38181ECF"/>
    <w:rsid w:val="38182306"/>
    <w:rsid w:val="381DFDD0"/>
    <w:rsid w:val="382316B9"/>
    <w:rsid w:val="3829D642"/>
    <w:rsid w:val="382F5996"/>
    <w:rsid w:val="383202F0"/>
    <w:rsid w:val="38356A95"/>
    <w:rsid w:val="383BDCD0"/>
    <w:rsid w:val="383C4D85"/>
    <w:rsid w:val="3844A36D"/>
    <w:rsid w:val="385256D8"/>
    <w:rsid w:val="38561E11"/>
    <w:rsid w:val="385F2BE9"/>
    <w:rsid w:val="385F935B"/>
    <w:rsid w:val="38694125"/>
    <w:rsid w:val="386B229E"/>
    <w:rsid w:val="3876C1AC"/>
    <w:rsid w:val="38789329"/>
    <w:rsid w:val="3878A9AA"/>
    <w:rsid w:val="3878D3B4"/>
    <w:rsid w:val="387D0B3C"/>
    <w:rsid w:val="387FF157"/>
    <w:rsid w:val="3882509E"/>
    <w:rsid w:val="3882A8ED"/>
    <w:rsid w:val="3888C95E"/>
    <w:rsid w:val="3889C861"/>
    <w:rsid w:val="388C701A"/>
    <w:rsid w:val="389049ED"/>
    <w:rsid w:val="3890BDB5"/>
    <w:rsid w:val="3892C7A8"/>
    <w:rsid w:val="38990F73"/>
    <w:rsid w:val="389BD02E"/>
    <w:rsid w:val="38A7BC10"/>
    <w:rsid w:val="38AAD3BD"/>
    <w:rsid w:val="38B73722"/>
    <w:rsid w:val="38B94377"/>
    <w:rsid w:val="38BB4553"/>
    <w:rsid w:val="38BE1E8E"/>
    <w:rsid w:val="38BF411A"/>
    <w:rsid w:val="38C85622"/>
    <w:rsid w:val="38C8BB3F"/>
    <w:rsid w:val="38C95327"/>
    <w:rsid w:val="38CBA3F5"/>
    <w:rsid w:val="38CF8765"/>
    <w:rsid w:val="38D89CC6"/>
    <w:rsid w:val="38DEF9C2"/>
    <w:rsid w:val="38E39A79"/>
    <w:rsid w:val="38E516E1"/>
    <w:rsid w:val="38F0D746"/>
    <w:rsid w:val="38F176FC"/>
    <w:rsid w:val="38F7491E"/>
    <w:rsid w:val="38F90FD7"/>
    <w:rsid w:val="38FE0A0B"/>
    <w:rsid w:val="391528AA"/>
    <w:rsid w:val="391820AD"/>
    <w:rsid w:val="391982C5"/>
    <w:rsid w:val="3921336F"/>
    <w:rsid w:val="39213CF4"/>
    <w:rsid w:val="39258A66"/>
    <w:rsid w:val="392FE13B"/>
    <w:rsid w:val="3937DA25"/>
    <w:rsid w:val="39381791"/>
    <w:rsid w:val="393895D0"/>
    <w:rsid w:val="3942C2F3"/>
    <w:rsid w:val="3945F313"/>
    <w:rsid w:val="394D1315"/>
    <w:rsid w:val="394F6CA4"/>
    <w:rsid w:val="395C0B8B"/>
    <w:rsid w:val="3962F780"/>
    <w:rsid w:val="396319D8"/>
    <w:rsid w:val="39638A44"/>
    <w:rsid w:val="39651EA8"/>
    <w:rsid w:val="39653391"/>
    <w:rsid w:val="3965E488"/>
    <w:rsid w:val="3968F6D6"/>
    <w:rsid w:val="396BD9F7"/>
    <w:rsid w:val="3972CD47"/>
    <w:rsid w:val="39739D2C"/>
    <w:rsid w:val="3979102C"/>
    <w:rsid w:val="398688ED"/>
    <w:rsid w:val="398ABCE0"/>
    <w:rsid w:val="398C4519"/>
    <w:rsid w:val="398FA3C9"/>
    <w:rsid w:val="3999122C"/>
    <w:rsid w:val="3999D40D"/>
    <w:rsid w:val="3999EF9F"/>
    <w:rsid w:val="399AE570"/>
    <w:rsid w:val="399D9A74"/>
    <w:rsid w:val="399FCBF8"/>
    <w:rsid w:val="39A6DFC1"/>
    <w:rsid w:val="39A75B0C"/>
    <w:rsid w:val="39AD8F94"/>
    <w:rsid w:val="39B1EFCF"/>
    <w:rsid w:val="39B67434"/>
    <w:rsid w:val="39B9A6FD"/>
    <w:rsid w:val="39C0681D"/>
    <w:rsid w:val="39C806CB"/>
    <w:rsid w:val="39C95DE9"/>
    <w:rsid w:val="39CAE514"/>
    <w:rsid w:val="39D357B3"/>
    <w:rsid w:val="39D3BAC0"/>
    <w:rsid w:val="39D77A01"/>
    <w:rsid w:val="39DA94A9"/>
    <w:rsid w:val="39DF4EA5"/>
    <w:rsid w:val="39E18C88"/>
    <w:rsid w:val="39E3101E"/>
    <w:rsid w:val="39E846F9"/>
    <w:rsid w:val="39F00ACA"/>
    <w:rsid w:val="39F3BEC2"/>
    <w:rsid w:val="39F3FC2E"/>
    <w:rsid w:val="39F66C51"/>
    <w:rsid w:val="3A00B0FB"/>
    <w:rsid w:val="3A01086B"/>
    <w:rsid w:val="3A02D6F6"/>
    <w:rsid w:val="3A0D1CCC"/>
    <w:rsid w:val="3A106A45"/>
    <w:rsid w:val="3A1B83F6"/>
    <w:rsid w:val="3A1E0DE6"/>
    <w:rsid w:val="3A1EA019"/>
    <w:rsid w:val="3A212998"/>
    <w:rsid w:val="3A231725"/>
    <w:rsid w:val="3A24E7CE"/>
    <w:rsid w:val="3A2B7E3B"/>
    <w:rsid w:val="3A2CAB59"/>
    <w:rsid w:val="3A368B9E"/>
    <w:rsid w:val="3A3D9FF2"/>
    <w:rsid w:val="3A4724C2"/>
    <w:rsid w:val="3A49CB4F"/>
    <w:rsid w:val="3A4AEB15"/>
    <w:rsid w:val="3A4FA8FD"/>
    <w:rsid w:val="3A552ACC"/>
    <w:rsid w:val="3A5B7EAD"/>
    <w:rsid w:val="3A5E40AE"/>
    <w:rsid w:val="3A616D1E"/>
    <w:rsid w:val="3A61EC67"/>
    <w:rsid w:val="3A6351FF"/>
    <w:rsid w:val="3A6594B5"/>
    <w:rsid w:val="3A6FB6E8"/>
    <w:rsid w:val="3A70641A"/>
    <w:rsid w:val="3A784AAB"/>
    <w:rsid w:val="3A78766D"/>
    <w:rsid w:val="3A7C029B"/>
    <w:rsid w:val="3A82C21C"/>
    <w:rsid w:val="3A890A54"/>
    <w:rsid w:val="3A8C3728"/>
    <w:rsid w:val="3A91C26E"/>
    <w:rsid w:val="3A92CB6D"/>
    <w:rsid w:val="3A945FE3"/>
    <w:rsid w:val="3A96AE66"/>
    <w:rsid w:val="3A9A78CD"/>
    <w:rsid w:val="3A9F8BD1"/>
    <w:rsid w:val="3AA30029"/>
    <w:rsid w:val="3AA5BD52"/>
    <w:rsid w:val="3AA7CE46"/>
    <w:rsid w:val="3AAAFF19"/>
    <w:rsid w:val="3AAB8C69"/>
    <w:rsid w:val="3AAF9DF0"/>
    <w:rsid w:val="3AB0BE50"/>
    <w:rsid w:val="3ABC2909"/>
    <w:rsid w:val="3ABF0C94"/>
    <w:rsid w:val="3ABF5287"/>
    <w:rsid w:val="3AC410AF"/>
    <w:rsid w:val="3AC6C83F"/>
    <w:rsid w:val="3AC8DF4F"/>
    <w:rsid w:val="3ACC0C50"/>
    <w:rsid w:val="3ACD18E0"/>
    <w:rsid w:val="3ACEA707"/>
    <w:rsid w:val="3ACF6C8A"/>
    <w:rsid w:val="3AD90BD7"/>
    <w:rsid w:val="3AE4BACE"/>
    <w:rsid w:val="3AE58CE5"/>
    <w:rsid w:val="3AE82E60"/>
    <w:rsid w:val="3AE9D2DA"/>
    <w:rsid w:val="3AEB01FA"/>
    <w:rsid w:val="3AEB71EA"/>
    <w:rsid w:val="3AF0E2A6"/>
    <w:rsid w:val="3AF2786C"/>
    <w:rsid w:val="3AF70F60"/>
    <w:rsid w:val="3AF780E9"/>
    <w:rsid w:val="3AF9C095"/>
    <w:rsid w:val="3B0C7E58"/>
    <w:rsid w:val="3B13A4EA"/>
    <w:rsid w:val="3B18E610"/>
    <w:rsid w:val="3B205A69"/>
    <w:rsid w:val="3B21DE58"/>
    <w:rsid w:val="3B224B92"/>
    <w:rsid w:val="3B296133"/>
    <w:rsid w:val="3B312029"/>
    <w:rsid w:val="3B3A76A9"/>
    <w:rsid w:val="3B3B5386"/>
    <w:rsid w:val="3B3EFFF1"/>
    <w:rsid w:val="3B41EDA6"/>
    <w:rsid w:val="3B4A171B"/>
    <w:rsid w:val="3B4EB090"/>
    <w:rsid w:val="3B506832"/>
    <w:rsid w:val="3B50FEB2"/>
    <w:rsid w:val="3B55D426"/>
    <w:rsid w:val="3B5B552B"/>
    <w:rsid w:val="3B5E1865"/>
    <w:rsid w:val="3B5F12C2"/>
    <w:rsid w:val="3B5F3FDF"/>
    <w:rsid w:val="3B604567"/>
    <w:rsid w:val="3B64154A"/>
    <w:rsid w:val="3B641B05"/>
    <w:rsid w:val="3B6997F5"/>
    <w:rsid w:val="3B6D0B57"/>
    <w:rsid w:val="3B6D7C17"/>
    <w:rsid w:val="3B6E6DFC"/>
    <w:rsid w:val="3B74227D"/>
    <w:rsid w:val="3B812A47"/>
    <w:rsid w:val="3B89B763"/>
    <w:rsid w:val="3B9067EF"/>
    <w:rsid w:val="3B9A45D7"/>
    <w:rsid w:val="3B9A9DA5"/>
    <w:rsid w:val="3B9C5AA3"/>
    <w:rsid w:val="3BA0007D"/>
    <w:rsid w:val="3BA076F6"/>
    <w:rsid w:val="3BA13803"/>
    <w:rsid w:val="3BA488CD"/>
    <w:rsid w:val="3BA9D582"/>
    <w:rsid w:val="3BAC2260"/>
    <w:rsid w:val="3BB2462B"/>
    <w:rsid w:val="3BB3C2B8"/>
    <w:rsid w:val="3BB434E8"/>
    <w:rsid w:val="3BB9F0B1"/>
    <w:rsid w:val="3BBAAD53"/>
    <w:rsid w:val="3BC23EDC"/>
    <w:rsid w:val="3BC27684"/>
    <w:rsid w:val="3BC29FF9"/>
    <w:rsid w:val="3BC50FDF"/>
    <w:rsid w:val="3BCBB211"/>
    <w:rsid w:val="3BCD056C"/>
    <w:rsid w:val="3BD25D81"/>
    <w:rsid w:val="3BD4807E"/>
    <w:rsid w:val="3BD506E6"/>
    <w:rsid w:val="3BD84339"/>
    <w:rsid w:val="3BDA31A9"/>
    <w:rsid w:val="3BDE0F93"/>
    <w:rsid w:val="3BE23A1A"/>
    <w:rsid w:val="3BE2D1A9"/>
    <w:rsid w:val="3BE66620"/>
    <w:rsid w:val="3BE6E037"/>
    <w:rsid w:val="3BE856A3"/>
    <w:rsid w:val="3BED707A"/>
    <w:rsid w:val="3BF35A06"/>
    <w:rsid w:val="3BF92259"/>
    <w:rsid w:val="3BFF4F47"/>
    <w:rsid w:val="3C070594"/>
    <w:rsid w:val="3C07074D"/>
    <w:rsid w:val="3C07AD7A"/>
    <w:rsid w:val="3C0EE1A4"/>
    <w:rsid w:val="3C14E197"/>
    <w:rsid w:val="3C199510"/>
    <w:rsid w:val="3C19C6E4"/>
    <w:rsid w:val="3C19D034"/>
    <w:rsid w:val="3C1C7CCE"/>
    <w:rsid w:val="3C1F1E68"/>
    <w:rsid w:val="3C23DC59"/>
    <w:rsid w:val="3C2CE700"/>
    <w:rsid w:val="3C30F71B"/>
    <w:rsid w:val="3C32F528"/>
    <w:rsid w:val="3C339333"/>
    <w:rsid w:val="3C3CBF88"/>
    <w:rsid w:val="3C470E07"/>
    <w:rsid w:val="3C4F69C5"/>
    <w:rsid w:val="3C5652AE"/>
    <w:rsid w:val="3C5A39AF"/>
    <w:rsid w:val="3C5CC6F7"/>
    <w:rsid w:val="3C602BD4"/>
    <w:rsid w:val="3C611606"/>
    <w:rsid w:val="3C620E11"/>
    <w:rsid w:val="3C62AAB9"/>
    <w:rsid w:val="3C69ED0F"/>
    <w:rsid w:val="3C745252"/>
    <w:rsid w:val="3C767CB1"/>
    <w:rsid w:val="3C76CA69"/>
    <w:rsid w:val="3C791EAC"/>
    <w:rsid w:val="3C7EA72C"/>
    <w:rsid w:val="3C7EE111"/>
    <w:rsid w:val="3C81133D"/>
    <w:rsid w:val="3C825E3D"/>
    <w:rsid w:val="3C85247E"/>
    <w:rsid w:val="3C8591B1"/>
    <w:rsid w:val="3C8AC23D"/>
    <w:rsid w:val="3C8B1B93"/>
    <w:rsid w:val="3C8C1B65"/>
    <w:rsid w:val="3C994CF8"/>
    <w:rsid w:val="3C9B5A4E"/>
    <w:rsid w:val="3C9C760B"/>
    <w:rsid w:val="3C9DC098"/>
    <w:rsid w:val="3CA045F9"/>
    <w:rsid w:val="3CA1156E"/>
    <w:rsid w:val="3CB438FF"/>
    <w:rsid w:val="3CB46D5D"/>
    <w:rsid w:val="3CB58BAB"/>
    <w:rsid w:val="3CB5B493"/>
    <w:rsid w:val="3CBBB986"/>
    <w:rsid w:val="3CC25C2A"/>
    <w:rsid w:val="3CC6C9F8"/>
    <w:rsid w:val="3CC8F20E"/>
    <w:rsid w:val="3CCFF8F3"/>
    <w:rsid w:val="3CD30D4A"/>
    <w:rsid w:val="3CD4F998"/>
    <w:rsid w:val="3CD9A1B1"/>
    <w:rsid w:val="3CDDFE3E"/>
    <w:rsid w:val="3CE18695"/>
    <w:rsid w:val="3CE328BA"/>
    <w:rsid w:val="3CE4BF82"/>
    <w:rsid w:val="3CE7F165"/>
    <w:rsid w:val="3CEDA309"/>
    <w:rsid w:val="3CF06E7D"/>
    <w:rsid w:val="3CF16D36"/>
    <w:rsid w:val="3CF2230E"/>
    <w:rsid w:val="3CF5A4B4"/>
    <w:rsid w:val="3CFB6215"/>
    <w:rsid w:val="3D03DFB3"/>
    <w:rsid w:val="3D0EBE6C"/>
    <w:rsid w:val="3D0F18A5"/>
    <w:rsid w:val="3D111266"/>
    <w:rsid w:val="3D116F2B"/>
    <w:rsid w:val="3D11E868"/>
    <w:rsid w:val="3D120A59"/>
    <w:rsid w:val="3D138141"/>
    <w:rsid w:val="3D173128"/>
    <w:rsid w:val="3D1A27D0"/>
    <w:rsid w:val="3D20F0AB"/>
    <w:rsid w:val="3D24AB89"/>
    <w:rsid w:val="3D271414"/>
    <w:rsid w:val="3D2FECE7"/>
    <w:rsid w:val="3D32095D"/>
    <w:rsid w:val="3D37E346"/>
    <w:rsid w:val="3D39BA0A"/>
    <w:rsid w:val="3D3A1B4B"/>
    <w:rsid w:val="3D3B1BA1"/>
    <w:rsid w:val="3D49A8E6"/>
    <w:rsid w:val="3D537D16"/>
    <w:rsid w:val="3D53F569"/>
    <w:rsid w:val="3D5A38A1"/>
    <w:rsid w:val="3D5FA106"/>
    <w:rsid w:val="3D6059E0"/>
    <w:rsid w:val="3D6F0C38"/>
    <w:rsid w:val="3D70EBB3"/>
    <w:rsid w:val="3D71DDF3"/>
    <w:rsid w:val="3D733C33"/>
    <w:rsid w:val="3D7C1706"/>
    <w:rsid w:val="3D7FE437"/>
    <w:rsid w:val="3D802465"/>
    <w:rsid w:val="3D806BCE"/>
    <w:rsid w:val="3D81F22C"/>
    <w:rsid w:val="3D85EF3F"/>
    <w:rsid w:val="3D8B8EC7"/>
    <w:rsid w:val="3D8EFE45"/>
    <w:rsid w:val="3D983B4A"/>
    <w:rsid w:val="3D9CF05D"/>
    <w:rsid w:val="3D9D279F"/>
    <w:rsid w:val="3DA6E286"/>
    <w:rsid w:val="3DAF8AB3"/>
    <w:rsid w:val="3DBB3900"/>
    <w:rsid w:val="3DBC8DB5"/>
    <w:rsid w:val="3DC115EC"/>
    <w:rsid w:val="3DC48BFF"/>
    <w:rsid w:val="3DC89EC6"/>
    <w:rsid w:val="3DCDED7C"/>
    <w:rsid w:val="3DD898BD"/>
    <w:rsid w:val="3DD8F108"/>
    <w:rsid w:val="3DDE53E9"/>
    <w:rsid w:val="3DE32E0D"/>
    <w:rsid w:val="3DE3448F"/>
    <w:rsid w:val="3DE94A57"/>
    <w:rsid w:val="3DEE4D83"/>
    <w:rsid w:val="3DFD7CAB"/>
    <w:rsid w:val="3E03CDC1"/>
    <w:rsid w:val="3E05AE47"/>
    <w:rsid w:val="3E064842"/>
    <w:rsid w:val="3E090369"/>
    <w:rsid w:val="3E0964AC"/>
    <w:rsid w:val="3E09C475"/>
    <w:rsid w:val="3E103005"/>
    <w:rsid w:val="3E1734F4"/>
    <w:rsid w:val="3E188747"/>
    <w:rsid w:val="3E23A15C"/>
    <w:rsid w:val="3E2A34E1"/>
    <w:rsid w:val="3E2B55B6"/>
    <w:rsid w:val="3E2EC6AC"/>
    <w:rsid w:val="3E2F8996"/>
    <w:rsid w:val="3E3BC454"/>
    <w:rsid w:val="3E3F8219"/>
    <w:rsid w:val="3E42402F"/>
    <w:rsid w:val="3E43639D"/>
    <w:rsid w:val="3E47770F"/>
    <w:rsid w:val="3E4B5D0D"/>
    <w:rsid w:val="3E4EC341"/>
    <w:rsid w:val="3E4F7DEE"/>
    <w:rsid w:val="3E555248"/>
    <w:rsid w:val="3E565BC3"/>
    <w:rsid w:val="3E56AA3B"/>
    <w:rsid w:val="3E5846CD"/>
    <w:rsid w:val="3E5A184E"/>
    <w:rsid w:val="3E63EA45"/>
    <w:rsid w:val="3E64B552"/>
    <w:rsid w:val="3E69DA9F"/>
    <w:rsid w:val="3E6A3EE3"/>
    <w:rsid w:val="3E6DF6A5"/>
    <w:rsid w:val="3E6EB618"/>
    <w:rsid w:val="3E6FACEF"/>
    <w:rsid w:val="3E6FEEB9"/>
    <w:rsid w:val="3E72A285"/>
    <w:rsid w:val="3E7555A6"/>
    <w:rsid w:val="3E78936B"/>
    <w:rsid w:val="3E7E1D4A"/>
    <w:rsid w:val="3E7FDE59"/>
    <w:rsid w:val="3E808297"/>
    <w:rsid w:val="3E80F2E5"/>
    <w:rsid w:val="3E8BFBB1"/>
    <w:rsid w:val="3E9406C7"/>
    <w:rsid w:val="3E9CA1F3"/>
    <w:rsid w:val="3EA2B191"/>
    <w:rsid w:val="3EA5BDC4"/>
    <w:rsid w:val="3EAD384D"/>
    <w:rsid w:val="3EB20E72"/>
    <w:rsid w:val="3EB2E716"/>
    <w:rsid w:val="3EC223A8"/>
    <w:rsid w:val="3EC61972"/>
    <w:rsid w:val="3EC90300"/>
    <w:rsid w:val="3ECA0378"/>
    <w:rsid w:val="3ED2500A"/>
    <w:rsid w:val="3ED30AA4"/>
    <w:rsid w:val="3EDB9AC3"/>
    <w:rsid w:val="3EDDE0E6"/>
    <w:rsid w:val="3EE0B27C"/>
    <w:rsid w:val="3EE296A9"/>
    <w:rsid w:val="3EEE31BA"/>
    <w:rsid w:val="3EFA2987"/>
    <w:rsid w:val="3EFB66EB"/>
    <w:rsid w:val="3EFD1296"/>
    <w:rsid w:val="3F099A59"/>
    <w:rsid w:val="3F0C0963"/>
    <w:rsid w:val="3F12D81F"/>
    <w:rsid w:val="3F12E120"/>
    <w:rsid w:val="3F225DD8"/>
    <w:rsid w:val="3F2896A4"/>
    <w:rsid w:val="3F2B2C65"/>
    <w:rsid w:val="3F364694"/>
    <w:rsid w:val="3F3A526C"/>
    <w:rsid w:val="3F407A2E"/>
    <w:rsid w:val="3F4235F3"/>
    <w:rsid w:val="3F48A224"/>
    <w:rsid w:val="3F49718A"/>
    <w:rsid w:val="3F51E1E8"/>
    <w:rsid w:val="3F54F8A5"/>
    <w:rsid w:val="3F580048"/>
    <w:rsid w:val="3F5C82A9"/>
    <w:rsid w:val="3F5F5161"/>
    <w:rsid w:val="3F6270CA"/>
    <w:rsid w:val="3F6411C4"/>
    <w:rsid w:val="3F75F271"/>
    <w:rsid w:val="3F7804CA"/>
    <w:rsid w:val="3F78694A"/>
    <w:rsid w:val="3F7B52B0"/>
    <w:rsid w:val="3F7F20CE"/>
    <w:rsid w:val="3F7F46AF"/>
    <w:rsid w:val="3F80828B"/>
    <w:rsid w:val="3F81031C"/>
    <w:rsid w:val="3F8357C4"/>
    <w:rsid w:val="3F933632"/>
    <w:rsid w:val="3F95A151"/>
    <w:rsid w:val="3FA04701"/>
    <w:rsid w:val="3FA6FF89"/>
    <w:rsid w:val="3FAAA7DA"/>
    <w:rsid w:val="3FB76DAD"/>
    <w:rsid w:val="3FB7C437"/>
    <w:rsid w:val="3FBAC39F"/>
    <w:rsid w:val="3FBBC73F"/>
    <w:rsid w:val="3FCFE4F8"/>
    <w:rsid w:val="3FD24F33"/>
    <w:rsid w:val="3FD8186F"/>
    <w:rsid w:val="3FDC57D1"/>
    <w:rsid w:val="3FDD627B"/>
    <w:rsid w:val="3FDEBF1B"/>
    <w:rsid w:val="3FE3D91A"/>
    <w:rsid w:val="3FEAD1B6"/>
    <w:rsid w:val="3FF41C0F"/>
    <w:rsid w:val="3FF689CC"/>
    <w:rsid w:val="3FF9F0D6"/>
    <w:rsid w:val="3FFDB78B"/>
    <w:rsid w:val="3FFFDC5F"/>
    <w:rsid w:val="4001CC70"/>
    <w:rsid w:val="40054ABA"/>
    <w:rsid w:val="400680E8"/>
    <w:rsid w:val="400AD45E"/>
    <w:rsid w:val="400AF3C1"/>
    <w:rsid w:val="400C72AC"/>
    <w:rsid w:val="40134A41"/>
    <w:rsid w:val="40139DB9"/>
    <w:rsid w:val="40161665"/>
    <w:rsid w:val="4019A590"/>
    <w:rsid w:val="401AA1F2"/>
    <w:rsid w:val="401BB519"/>
    <w:rsid w:val="401BF865"/>
    <w:rsid w:val="401CBFB2"/>
    <w:rsid w:val="40207DBE"/>
    <w:rsid w:val="402A9C2A"/>
    <w:rsid w:val="402CDD21"/>
    <w:rsid w:val="402FAAAA"/>
    <w:rsid w:val="40310CC2"/>
    <w:rsid w:val="4036236E"/>
    <w:rsid w:val="403A77E0"/>
    <w:rsid w:val="403CBF6C"/>
    <w:rsid w:val="403EB2D7"/>
    <w:rsid w:val="4042843E"/>
    <w:rsid w:val="4043EA9D"/>
    <w:rsid w:val="404BE61B"/>
    <w:rsid w:val="404D52C4"/>
    <w:rsid w:val="4052FA94"/>
    <w:rsid w:val="405E6750"/>
    <w:rsid w:val="405EF31C"/>
    <w:rsid w:val="40616976"/>
    <w:rsid w:val="4061E5A9"/>
    <w:rsid w:val="4063EC88"/>
    <w:rsid w:val="4070E8A7"/>
    <w:rsid w:val="4075FF2A"/>
    <w:rsid w:val="40778E05"/>
    <w:rsid w:val="4077915B"/>
    <w:rsid w:val="4077B8E3"/>
    <w:rsid w:val="40798869"/>
    <w:rsid w:val="4080B313"/>
    <w:rsid w:val="40820B6F"/>
    <w:rsid w:val="4083856E"/>
    <w:rsid w:val="40888E3E"/>
    <w:rsid w:val="408AB46B"/>
    <w:rsid w:val="409A438D"/>
    <w:rsid w:val="409B831C"/>
    <w:rsid w:val="409E7403"/>
    <w:rsid w:val="40A288A1"/>
    <w:rsid w:val="40A2A8AC"/>
    <w:rsid w:val="40A42314"/>
    <w:rsid w:val="40A8717F"/>
    <w:rsid w:val="40ACA0B8"/>
    <w:rsid w:val="40AD5559"/>
    <w:rsid w:val="40B8C8B3"/>
    <w:rsid w:val="40BB747C"/>
    <w:rsid w:val="40C3B01D"/>
    <w:rsid w:val="40C43249"/>
    <w:rsid w:val="40C5E289"/>
    <w:rsid w:val="40CBBF9B"/>
    <w:rsid w:val="40CFE0B6"/>
    <w:rsid w:val="40D75C79"/>
    <w:rsid w:val="40D7B70F"/>
    <w:rsid w:val="40DAB49E"/>
    <w:rsid w:val="40DBC14F"/>
    <w:rsid w:val="40DDFB72"/>
    <w:rsid w:val="40E0BB87"/>
    <w:rsid w:val="40E35EBA"/>
    <w:rsid w:val="40E5D173"/>
    <w:rsid w:val="40FB25E4"/>
    <w:rsid w:val="40FBFE49"/>
    <w:rsid w:val="41012E3E"/>
    <w:rsid w:val="4105189A"/>
    <w:rsid w:val="410B3E54"/>
    <w:rsid w:val="410B9AF2"/>
    <w:rsid w:val="410D1A05"/>
    <w:rsid w:val="4114EC61"/>
    <w:rsid w:val="411AAECE"/>
    <w:rsid w:val="41227CD0"/>
    <w:rsid w:val="4123B8A1"/>
    <w:rsid w:val="4127C834"/>
    <w:rsid w:val="4129620D"/>
    <w:rsid w:val="41317943"/>
    <w:rsid w:val="41339926"/>
    <w:rsid w:val="413622D2"/>
    <w:rsid w:val="41425428"/>
    <w:rsid w:val="4149425C"/>
    <w:rsid w:val="4149D578"/>
    <w:rsid w:val="4149D6C9"/>
    <w:rsid w:val="4153747D"/>
    <w:rsid w:val="41579FF8"/>
    <w:rsid w:val="4158A36A"/>
    <w:rsid w:val="41592DF1"/>
    <w:rsid w:val="4161537C"/>
    <w:rsid w:val="4161FC15"/>
    <w:rsid w:val="41649C73"/>
    <w:rsid w:val="4165B19F"/>
    <w:rsid w:val="4167189C"/>
    <w:rsid w:val="41679166"/>
    <w:rsid w:val="416838C2"/>
    <w:rsid w:val="4169E3FD"/>
    <w:rsid w:val="416BC50D"/>
    <w:rsid w:val="416DAE9E"/>
    <w:rsid w:val="41709C1B"/>
    <w:rsid w:val="4177CFC6"/>
    <w:rsid w:val="417A95C2"/>
    <w:rsid w:val="41855157"/>
    <w:rsid w:val="418A31F5"/>
    <w:rsid w:val="418B312B"/>
    <w:rsid w:val="418B8DB1"/>
    <w:rsid w:val="418CBB2B"/>
    <w:rsid w:val="4191FD54"/>
    <w:rsid w:val="41927527"/>
    <w:rsid w:val="4192FFEA"/>
    <w:rsid w:val="4194B00E"/>
    <w:rsid w:val="4194C897"/>
    <w:rsid w:val="4197B68D"/>
    <w:rsid w:val="41A0F4CE"/>
    <w:rsid w:val="41A13EEB"/>
    <w:rsid w:val="41A19DDD"/>
    <w:rsid w:val="41A2086D"/>
    <w:rsid w:val="41A47F82"/>
    <w:rsid w:val="41A67524"/>
    <w:rsid w:val="41A6D786"/>
    <w:rsid w:val="41A87FE1"/>
    <w:rsid w:val="41AA4F89"/>
    <w:rsid w:val="41B4F520"/>
    <w:rsid w:val="41BBB49B"/>
    <w:rsid w:val="41D13939"/>
    <w:rsid w:val="41DB5D2C"/>
    <w:rsid w:val="41DDABCF"/>
    <w:rsid w:val="41DE1AA3"/>
    <w:rsid w:val="41DF31D5"/>
    <w:rsid w:val="41E0C22A"/>
    <w:rsid w:val="41E69DEE"/>
    <w:rsid w:val="41EEBC9A"/>
    <w:rsid w:val="41F3A7F9"/>
    <w:rsid w:val="41F40700"/>
    <w:rsid w:val="41F44D06"/>
    <w:rsid w:val="41F45C87"/>
    <w:rsid w:val="41F68F5F"/>
    <w:rsid w:val="41F8B0E7"/>
    <w:rsid w:val="42027FC3"/>
    <w:rsid w:val="42043AF8"/>
    <w:rsid w:val="42047B13"/>
    <w:rsid w:val="420496F3"/>
    <w:rsid w:val="4209AF1D"/>
    <w:rsid w:val="420A698A"/>
    <w:rsid w:val="420AF2FE"/>
    <w:rsid w:val="420CA38F"/>
    <w:rsid w:val="420DC125"/>
    <w:rsid w:val="420F4201"/>
    <w:rsid w:val="4215DBA2"/>
    <w:rsid w:val="42191706"/>
    <w:rsid w:val="421A02C1"/>
    <w:rsid w:val="421B5015"/>
    <w:rsid w:val="421EC219"/>
    <w:rsid w:val="42210446"/>
    <w:rsid w:val="422588BC"/>
    <w:rsid w:val="422AC3A7"/>
    <w:rsid w:val="422BA6EB"/>
    <w:rsid w:val="42344B0E"/>
    <w:rsid w:val="42367A63"/>
    <w:rsid w:val="423A8CD9"/>
    <w:rsid w:val="423AA1AD"/>
    <w:rsid w:val="42426475"/>
    <w:rsid w:val="42449828"/>
    <w:rsid w:val="4245311F"/>
    <w:rsid w:val="42464E26"/>
    <w:rsid w:val="4246AB1B"/>
    <w:rsid w:val="424B08E8"/>
    <w:rsid w:val="424F8205"/>
    <w:rsid w:val="42545A39"/>
    <w:rsid w:val="42576170"/>
    <w:rsid w:val="42624246"/>
    <w:rsid w:val="4263731B"/>
    <w:rsid w:val="426BE1C6"/>
    <w:rsid w:val="426C4264"/>
    <w:rsid w:val="426F12C3"/>
    <w:rsid w:val="4271282D"/>
    <w:rsid w:val="427156BE"/>
    <w:rsid w:val="4272F422"/>
    <w:rsid w:val="4274AB42"/>
    <w:rsid w:val="427ABF5C"/>
    <w:rsid w:val="4281274A"/>
    <w:rsid w:val="4286E05D"/>
    <w:rsid w:val="4288277A"/>
    <w:rsid w:val="428E1D85"/>
    <w:rsid w:val="4294D52F"/>
    <w:rsid w:val="42977127"/>
    <w:rsid w:val="42987589"/>
    <w:rsid w:val="429D59F0"/>
    <w:rsid w:val="429E9CDB"/>
    <w:rsid w:val="42A02EDB"/>
    <w:rsid w:val="42A29DD0"/>
    <w:rsid w:val="42A3884C"/>
    <w:rsid w:val="42AD9333"/>
    <w:rsid w:val="42B45B0F"/>
    <w:rsid w:val="42B9CB1D"/>
    <w:rsid w:val="42C3CDD8"/>
    <w:rsid w:val="42C561C1"/>
    <w:rsid w:val="42CD3CEC"/>
    <w:rsid w:val="42CDF88C"/>
    <w:rsid w:val="42CE166B"/>
    <w:rsid w:val="42D01FF1"/>
    <w:rsid w:val="42D130FD"/>
    <w:rsid w:val="42D3C1B1"/>
    <w:rsid w:val="42D40473"/>
    <w:rsid w:val="42D46EF3"/>
    <w:rsid w:val="42D7898F"/>
    <w:rsid w:val="42DA4A06"/>
    <w:rsid w:val="42DD12F9"/>
    <w:rsid w:val="42E32372"/>
    <w:rsid w:val="42E783CC"/>
    <w:rsid w:val="42E8D0F4"/>
    <w:rsid w:val="42E939A7"/>
    <w:rsid w:val="42E9FE28"/>
    <w:rsid w:val="42EF6138"/>
    <w:rsid w:val="42EFA60F"/>
    <w:rsid w:val="42F20728"/>
    <w:rsid w:val="42F5B001"/>
    <w:rsid w:val="42F81D05"/>
    <w:rsid w:val="42F9FCEA"/>
    <w:rsid w:val="430446CC"/>
    <w:rsid w:val="4306CEF6"/>
    <w:rsid w:val="43083FD3"/>
    <w:rsid w:val="4308C550"/>
    <w:rsid w:val="4311008F"/>
    <w:rsid w:val="43180E70"/>
    <w:rsid w:val="43193A11"/>
    <w:rsid w:val="431B2CE0"/>
    <w:rsid w:val="431B3B02"/>
    <w:rsid w:val="43211A9A"/>
    <w:rsid w:val="43238EA7"/>
    <w:rsid w:val="432DAA4C"/>
    <w:rsid w:val="43303FBD"/>
    <w:rsid w:val="43327880"/>
    <w:rsid w:val="43340E78"/>
    <w:rsid w:val="4338C8CD"/>
    <w:rsid w:val="433A79AC"/>
    <w:rsid w:val="433BD314"/>
    <w:rsid w:val="433F02A4"/>
    <w:rsid w:val="43404BD5"/>
    <w:rsid w:val="434441F3"/>
    <w:rsid w:val="4344EF43"/>
    <w:rsid w:val="43468DA1"/>
    <w:rsid w:val="434788DE"/>
    <w:rsid w:val="434CDB7F"/>
    <w:rsid w:val="434D7D54"/>
    <w:rsid w:val="4350A646"/>
    <w:rsid w:val="435197A6"/>
    <w:rsid w:val="4354F87B"/>
    <w:rsid w:val="4357D7A1"/>
    <w:rsid w:val="43582C0D"/>
    <w:rsid w:val="435A50F2"/>
    <w:rsid w:val="435AC783"/>
    <w:rsid w:val="435E38B7"/>
    <w:rsid w:val="4369F13A"/>
    <w:rsid w:val="436D2206"/>
    <w:rsid w:val="4371DE4D"/>
    <w:rsid w:val="43759A59"/>
    <w:rsid w:val="4379109B"/>
    <w:rsid w:val="437C19D4"/>
    <w:rsid w:val="437CF39C"/>
    <w:rsid w:val="43831E37"/>
    <w:rsid w:val="439644E0"/>
    <w:rsid w:val="4396FF8C"/>
    <w:rsid w:val="43A06CC1"/>
    <w:rsid w:val="43A6ECEF"/>
    <w:rsid w:val="43A7F8EA"/>
    <w:rsid w:val="43AA4C6D"/>
    <w:rsid w:val="43B19A01"/>
    <w:rsid w:val="43B5C837"/>
    <w:rsid w:val="43B60544"/>
    <w:rsid w:val="43B79512"/>
    <w:rsid w:val="43C09135"/>
    <w:rsid w:val="43CA18B5"/>
    <w:rsid w:val="43CB3237"/>
    <w:rsid w:val="43D051B9"/>
    <w:rsid w:val="43DC221B"/>
    <w:rsid w:val="43DE7F83"/>
    <w:rsid w:val="43E5E8DC"/>
    <w:rsid w:val="43E7D8A7"/>
    <w:rsid w:val="43E81324"/>
    <w:rsid w:val="43E98462"/>
    <w:rsid w:val="43EE6F82"/>
    <w:rsid w:val="43F7A5E2"/>
    <w:rsid w:val="43F83F18"/>
    <w:rsid w:val="43FA1A49"/>
    <w:rsid w:val="43FA203B"/>
    <w:rsid w:val="43FB1A82"/>
    <w:rsid w:val="4401AE6D"/>
    <w:rsid w:val="4405D000"/>
    <w:rsid w:val="440B0EB8"/>
    <w:rsid w:val="440B2764"/>
    <w:rsid w:val="440D7A92"/>
    <w:rsid w:val="441128D1"/>
    <w:rsid w:val="44139FCC"/>
    <w:rsid w:val="44171BD2"/>
    <w:rsid w:val="441B50E9"/>
    <w:rsid w:val="4420C75C"/>
    <w:rsid w:val="4420DA0C"/>
    <w:rsid w:val="44220D75"/>
    <w:rsid w:val="442B9CEE"/>
    <w:rsid w:val="442F2CF9"/>
    <w:rsid w:val="443595D0"/>
    <w:rsid w:val="443EAE4A"/>
    <w:rsid w:val="44454D9E"/>
    <w:rsid w:val="44491B3A"/>
    <w:rsid w:val="444F016E"/>
    <w:rsid w:val="4452E362"/>
    <w:rsid w:val="445A3C4C"/>
    <w:rsid w:val="44629997"/>
    <w:rsid w:val="44630866"/>
    <w:rsid w:val="4464E25B"/>
    <w:rsid w:val="446B05B3"/>
    <w:rsid w:val="4473EC47"/>
    <w:rsid w:val="44799C57"/>
    <w:rsid w:val="44809E32"/>
    <w:rsid w:val="448E5FC5"/>
    <w:rsid w:val="44904251"/>
    <w:rsid w:val="44906CC7"/>
    <w:rsid w:val="449C2D43"/>
    <w:rsid w:val="449DF02F"/>
    <w:rsid w:val="449ED5C1"/>
    <w:rsid w:val="44A3F6DC"/>
    <w:rsid w:val="44A5EE78"/>
    <w:rsid w:val="44A6309A"/>
    <w:rsid w:val="44A689B9"/>
    <w:rsid w:val="44B3DBE5"/>
    <w:rsid w:val="44B79C73"/>
    <w:rsid w:val="44B7AE7E"/>
    <w:rsid w:val="44C2651A"/>
    <w:rsid w:val="44C42EE9"/>
    <w:rsid w:val="44C91AD4"/>
    <w:rsid w:val="44CC8019"/>
    <w:rsid w:val="44D6A3CE"/>
    <w:rsid w:val="44D74F05"/>
    <w:rsid w:val="44D90F57"/>
    <w:rsid w:val="44DC12C0"/>
    <w:rsid w:val="44DDFB18"/>
    <w:rsid w:val="44EC987A"/>
    <w:rsid w:val="44EFBD04"/>
    <w:rsid w:val="4500173D"/>
    <w:rsid w:val="45025D04"/>
    <w:rsid w:val="450393FE"/>
    <w:rsid w:val="45079C29"/>
    <w:rsid w:val="4508CC43"/>
    <w:rsid w:val="450ABF09"/>
    <w:rsid w:val="450C867C"/>
    <w:rsid w:val="450CEE08"/>
    <w:rsid w:val="4515DBB6"/>
    <w:rsid w:val="451616AC"/>
    <w:rsid w:val="451C4321"/>
    <w:rsid w:val="451C442A"/>
    <w:rsid w:val="4528686E"/>
    <w:rsid w:val="4529AE26"/>
    <w:rsid w:val="4529F9AA"/>
    <w:rsid w:val="45399D96"/>
    <w:rsid w:val="4539CAB3"/>
    <w:rsid w:val="4547A29B"/>
    <w:rsid w:val="45491859"/>
    <w:rsid w:val="454E1BCC"/>
    <w:rsid w:val="454ED049"/>
    <w:rsid w:val="45523D9D"/>
    <w:rsid w:val="455452C4"/>
    <w:rsid w:val="455C2B41"/>
    <w:rsid w:val="455DDEA7"/>
    <w:rsid w:val="456052C0"/>
    <w:rsid w:val="456606F4"/>
    <w:rsid w:val="45672DB8"/>
    <w:rsid w:val="4569CAB5"/>
    <w:rsid w:val="4571488E"/>
    <w:rsid w:val="45721959"/>
    <w:rsid w:val="4576929D"/>
    <w:rsid w:val="4578C91C"/>
    <w:rsid w:val="457AA922"/>
    <w:rsid w:val="457AD59C"/>
    <w:rsid w:val="457E805C"/>
    <w:rsid w:val="458B9545"/>
    <w:rsid w:val="458D9F20"/>
    <w:rsid w:val="45940CAA"/>
    <w:rsid w:val="459997A1"/>
    <w:rsid w:val="459D9A92"/>
    <w:rsid w:val="45A80537"/>
    <w:rsid w:val="45A90B0D"/>
    <w:rsid w:val="45A9F59A"/>
    <w:rsid w:val="45AC4637"/>
    <w:rsid w:val="45AD7E6F"/>
    <w:rsid w:val="45B138B6"/>
    <w:rsid w:val="45B23D6A"/>
    <w:rsid w:val="45B50564"/>
    <w:rsid w:val="45B61CA9"/>
    <w:rsid w:val="45B93549"/>
    <w:rsid w:val="45C6A26F"/>
    <w:rsid w:val="45C83CE5"/>
    <w:rsid w:val="45C9749E"/>
    <w:rsid w:val="45CC82A6"/>
    <w:rsid w:val="45CE7A1E"/>
    <w:rsid w:val="45D08E5A"/>
    <w:rsid w:val="45D49A26"/>
    <w:rsid w:val="45D77A9E"/>
    <w:rsid w:val="45D9D0EC"/>
    <w:rsid w:val="45DAF547"/>
    <w:rsid w:val="45E13BD6"/>
    <w:rsid w:val="45E9458D"/>
    <w:rsid w:val="45ED7A68"/>
    <w:rsid w:val="45FDD07E"/>
    <w:rsid w:val="460704C8"/>
    <w:rsid w:val="4608604B"/>
    <w:rsid w:val="4610BD9A"/>
    <w:rsid w:val="4612DB00"/>
    <w:rsid w:val="461693F3"/>
    <w:rsid w:val="4619F11B"/>
    <w:rsid w:val="462171BE"/>
    <w:rsid w:val="4623D743"/>
    <w:rsid w:val="4626B442"/>
    <w:rsid w:val="4626C8C9"/>
    <w:rsid w:val="46270022"/>
    <w:rsid w:val="462CCF7A"/>
    <w:rsid w:val="462D9A42"/>
    <w:rsid w:val="462E6B93"/>
    <w:rsid w:val="462FCFEC"/>
    <w:rsid w:val="4630F8D1"/>
    <w:rsid w:val="46390EF5"/>
    <w:rsid w:val="463E8E4A"/>
    <w:rsid w:val="463F6637"/>
    <w:rsid w:val="464CE59E"/>
    <w:rsid w:val="464E94C7"/>
    <w:rsid w:val="465737A0"/>
    <w:rsid w:val="465B122F"/>
    <w:rsid w:val="465C31D6"/>
    <w:rsid w:val="465C6A17"/>
    <w:rsid w:val="465FFDE5"/>
    <w:rsid w:val="4667AF37"/>
    <w:rsid w:val="466AA074"/>
    <w:rsid w:val="466D6491"/>
    <w:rsid w:val="466E0063"/>
    <w:rsid w:val="46746541"/>
    <w:rsid w:val="4675E11E"/>
    <w:rsid w:val="4680E92E"/>
    <w:rsid w:val="468850D5"/>
    <w:rsid w:val="469245F0"/>
    <w:rsid w:val="4694679D"/>
    <w:rsid w:val="4696F1A5"/>
    <w:rsid w:val="469A1675"/>
    <w:rsid w:val="469B821D"/>
    <w:rsid w:val="46A0C9B1"/>
    <w:rsid w:val="46A2A8A2"/>
    <w:rsid w:val="46A3633F"/>
    <w:rsid w:val="46A4591B"/>
    <w:rsid w:val="46A4AED5"/>
    <w:rsid w:val="46B0B895"/>
    <w:rsid w:val="46B3DCEE"/>
    <w:rsid w:val="46B82924"/>
    <w:rsid w:val="46BCC806"/>
    <w:rsid w:val="46CA5422"/>
    <w:rsid w:val="46D40819"/>
    <w:rsid w:val="46DA4ACE"/>
    <w:rsid w:val="46DB3BFA"/>
    <w:rsid w:val="46E733EA"/>
    <w:rsid w:val="46E8F47B"/>
    <w:rsid w:val="46EE4A77"/>
    <w:rsid w:val="47010CD6"/>
    <w:rsid w:val="4704A3C4"/>
    <w:rsid w:val="4709AB6D"/>
    <w:rsid w:val="471DC9ED"/>
    <w:rsid w:val="471FD3B7"/>
    <w:rsid w:val="47217F82"/>
    <w:rsid w:val="472460E9"/>
    <w:rsid w:val="472C706B"/>
    <w:rsid w:val="4730985B"/>
    <w:rsid w:val="4731C1B5"/>
    <w:rsid w:val="4732F0F1"/>
    <w:rsid w:val="4735B7E4"/>
    <w:rsid w:val="473C8EDA"/>
    <w:rsid w:val="473D8B45"/>
    <w:rsid w:val="473E961F"/>
    <w:rsid w:val="473F15A7"/>
    <w:rsid w:val="47404CA0"/>
    <w:rsid w:val="4744723C"/>
    <w:rsid w:val="474610A8"/>
    <w:rsid w:val="4746BDC8"/>
    <w:rsid w:val="474F7132"/>
    <w:rsid w:val="4752F1EB"/>
    <w:rsid w:val="4757100D"/>
    <w:rsid w:val="475786C9"/>
    <w:rsid w:val="475C383E"/>
    <w:rsid w:val="47602593"/>
    <w:rsid w:val="47673F71"/>
    <w:rsid w:val="476EF2FC"/>
    <w:rsid w:val="4777D878"/>
    <w:rsid w:val="477860C9"/>
    <w:rsid w:val="477B3AF7"/>
    <w:rsid w:val="477BAD5C"/>
    <w:rsid w:val="477BE8B8"/>
    <w:rsid w:val="477CBA7C"/>
    <w:rsid w:val="477E0681"/>
    <w:rsid w:val="478B1CD9"/>
    <w:rsid w:val="478DF03F"/>
    <w:rsid w:val="4796FC0F"/>
    <w:rsid w:val="479FD3EA"/>
    <w:rsid w:val="47A2199A"/>
    <w:rsid w:val="47A3C267"/>
    <w:rsid w:val="47A4D844"/>
    <w:rsid w:val="47B6F926"/>
    <w:rsid w:val="47C0B70A"/>
    <w:rsid w:val="47CB5FEF"/>
    <w:rsid w:val="47D595ED"/>
    <w:rsid w:val="47DCBD2F"/>
    <w:rsid w:val="47E9F189"/>
    <w:rsid w:val="47EB2E4E"/>
    <w:rsid w:val="47F953EF"/>
    <w:rsid w:val="47F9A9B2"/>
    <w:rsid w:val="47FD17AD"/>
    <w:rsid w:val="47FD8A83"/>
    <w:rsid w:val="4802621F"/>
    <w:rsid w:val="48059493"/>
    <w:rsid w:val="480596AE"/>
    <w:rsid w:val="480972EF"/>
    <w:rsid w:val="480D24BA"/>
    <w:rsid w:val="4810C54E"/>
    <w:rsid w:val="4812783B"/>
    <w:rsid w:val="481AA5BA"/>
    <w:rsid w:val="482095E8"/>
    <w:rsid w:val="482263A5"/>
    <w:rsid w:val="482A4373"/>
    <w:rsid w:val="482ED97D"/>
    <w:rsid w:val="4830D8BF"/>
    <w:rsid w:val="48359543"/>
    <w:rsid w:val="483F7040"/>
    <w:rsid w:val="484251F6"/>
    <w:rsid w:val="4848BA5C"/>
    <w:rsid w:val="484A179E"/>
    <w:rsid w:val="48581726"/>
    <w:rsid w:val="485F57F9"/>
    <w:rsid w:val="48616A25"/>
    <w:rsid w:val="48629FFC"/>
    <w:rsid w:val="4866113D"/>
    <w:rsid w:val="48676323"/>
    <w:rsid w:val="486A17EE"/>
    <w:rsid w:val="486AC1B2"/>
    <w:rsid w:val="486BAF5A"/>
    <w:rsid w:val="48752C92"/>
    <w:rsid w:val="48760AB9"/>
    <w:rsid w:val="4877C6E0"/>
    <w:rsid w:val="4878679A"/>
    <w:rsid w:val="487EA368"/>
    <w:rsid w:val="487FD916"/>
    <w:rsid w:val="48860E66"/>
    <w:rsid w:val="488CEF22"/>
    <w:rsid w:val="488EF5AA"/>
    <w:rsid w:val="48900689"/>
    <w:rsid w:val="4891D6F0"/>
    <w:rsid w:val="489D62F0"/>
    <w:rsid w:val="48A37993"/>
    <w:rsid w:val="48A6CF74"/>
    <w:rsid w:val="48A76BC6"/>
    <w:rsid w:val="48AB1ED7"/>
    <w:rsid w:val="48B57098"/>
    <w:rsid w:val="48B6B5F8"/>
    <w:rsid w:val="48BCA48D"/>
    <w:rsid w:val="48BD2124"/>
    <w:rsid w:val="48C66C49"/>
    <w:rsid w:val="48C6F222"/>
    <w:rsid w:val="48C80DAF"/>
    <w:rsid w:val="48C90560"/>
    <w:rsid w:val="48CB63C4"/>
    <w:rsid w:val="48D60018"/>
    <w:rsid w:val="48DB3F35"/>
    <w:rsid w:val="48DF2217"/>
    <w:rsid w:val="48E0F546"/>
    <w:rsid w:val="48E46E8D"/>
    <w:rsid w:val="48EA8241"/>
    <w:rsid w:val="48EC78D6"/>
    <w:rsid w:val="48ED6A04"/>
    <w:rsid w:val="48F8A68F"/>
    <w:rsid w:val="48F91189"/>
    <w:rsid w:val="4900A122"/>
    <w:rsid w:val="4904CBC9"/>
    <w:rsid w:val="490507B6"/>
    <w:rsid w:val="49091549"/>
    <w:rsid w:val="491064FD"/>
    <w:rsid w:val="4916648C"/>
    <w:rsid w:val="49167F88"/>
    <w:rsid w:val="491A5546"/>
    <w:rsid w:val="491BECAB"/>
    <w:rsid w:val="492134BA"/>
    <w:rsid w:val="4924B162"/>
    <w:rsid w:val="492888CC"/>
    <w:rsid w:val="49290AA8"/>
    <w:rsid w:val="49297A28"/>
    <w:rsid w:val="492D0134"/>
    <w:rsid w:val="492E877F"/>
    <w:rsid w:val="4934812E"/>
    <w:rsid w:val="493AB453"/>
    <w:rsid w:val="494106E5"/>
    <w:rsid w:val="4943664B"/>
    <w:rsid w:val="4947055C"/>
    <w:rsid w:val="4947A7BD"/>
    <w:rsid w:val="4948A2F5"/>
    <w:rsid w:val="49512913"/>
    <w:rsid w:val="495CE6CB"/>
    <w:rsid w:val="495D9EE1"/>
    <w:rsid w:val="496E2816"/>
    <w:rsid w:val="497033E7"/>
    <w:rsid w:val="4970B38D"/>
    <w:rsid w:val="497FE9C9"/>
    <w:rsid w:val="4982B1DE"/>
    <w:rsid w:val="498DA95F"/>
    <w:rsid w:val="498F4B9A"/>
    <w:rsid w:val="49925F52"/>
    <w:rsid w:val="4993E7DF"/>
    <w:rsid w:val="499B8B76"/>
    <w:rsid w:val="499BEF99"/>
    <w:rsid w:val="499CF650"/>
    <w:rsid w:val="499E32FF"/>
    <w:rsid w:val="49A05F07"/>
    <w:rsid w:val="49A9DC74"/>
    <w:rsid w:val="49AD14FD"/>
    <w:rsid w:val="49AD96C6"/>
    <w:rsid w:val="49AECCEB"/>
    <w:rsid w:val="49B1B856"/>
    <w:rsid w:val="49B2D3B9"/>
    <w:rsid w:val="49BBFB80"/>
    <w:rsid w:val="49C2E412"/>
    <w:rsid w:val="49D3B543"/>
    <w:rsid w:val="49D9B4EC"/>
    <w:rsid w:val="49DA060B"/>
    <w:rsid w:val="49E2A441"/>
    <w:rsid w:val="49E9DE86"/>
    <w:rsid w:val="49EA8400"/>
    <w:rsid w:val="49EB2395"/>
    <w:rsid w:val="49ECF99A"/>
    <w:rsid w:val="49F78072"/>
    <w:rsid w:val="49FBD386"/>
    <w:rsid w:val="49FC07C9"/>
    <w:rsid w:val="4A00D173"/>
    <w:rsid w:val="4A018E68"/>
    <w:rsid w:val="4A08F2B0"/>
    <w:rsid w:val="4A092E73"/>
    <w:rsid w:val="4A0B0B58"/>
    <w:rsid w:val="4A0B3F00"/>
    <w:rsid w:val="4A11BF13"/>
    <w:rsid w:val="4A1A15F1"/>
    <w:rsid w:val="4A1A6F97"/>
    <w:rsid w:val="4A27FBA0"/>
    <w:rsid w:val="4A2A382A"/>
    <w:rsid w:val="4A2AF8A2"/>
    <w:rsid w:val="4A2DA9BD"/>
    <w:rsid w:val="4A2E645E"/>
    <w:rsid w:val="4A30B936"/>
    <w:rsid w:val="4A37FDC0"/>
    <w:rsid w:val="4A3A24AE"/>
    <w:rsid w:val="4A3A9A68"/>
    <w:rsid w:val="4A41B2B0"/>
    <w:rsid w:val="4A41FCB8"/>
    <w:rsid w:val="4A44F4AD"/>
    <w:rsid w:val="4A4D52E2"/>
    <w:rsid w:val="4A4E9FA3"/>
    <w:rsid w:val="4A567526"/>
    <w:rsid w:val="4A56BBF0"/>
    <w:rsid w:val="4A5C958D"/>
    <w:rsid w:val="4A5DB0C3"/>
    <w:rsid w:val="4A607982"/>
    <w:rsid w:val="4A64500F"/>
    <w:rsid w:val="4A64CC57"/>
    <w:rsid w:val="4A671990"/>
    <w:rsid w:val="4A676A8F"/>
    <w:rsid w:val="4A834F34"/>
    <w:rsid w:val="4A8584D0"/>
    <w:rsid w:val="4A907761"/>
    <w:rsid w:val="4A908DFC"/>
    <w:rsid w:val="4A91E55F"/>
    <w:rsid w:val="4A990E6A"/>
    <w:rsid w:val="4A9A1673"/>
    <w:rsid w:val="4A9B3C9E"/>
    <w:rsid w:val="4AA517AE"/>
    <w:rsid w:val="4AA62806"/>
    <w:rsid w:val="4AAD87ED"/>
    <w:rsid w:val="4AAE65E7"/>
    <w:rsid w:val="4AB5AEA3"/>
    <w:rsid w:val="4AC35F7B"/>
    <w:rsid w:val="4AC68B78"/>
    <w:rsid w:val="4ACB4AF9"/>
    <w:rsid w:val="4ACE22B8"/>
    <w:rsid w:val="4AD1F181"/>
    <w:rsid w:val="4AD31E2A"/>
    <w:rsid w:val="4ADB8ABA"/>
    <w:rsid w:val="4AE16E0B"/>
    <w:rsid w:val="4AE3D04B"/>
    <w:rsid w:val="4AE6E75C"/>
    <w:rsid w:val="4AEAAA8D"/>
    <w:rsid w:val="4B03E342"/>
    <w:rsid w:val="4B04DB61"/>
    <w:rsid w:val="4B0884AB"/>
    <w:rsid w:val="4B0C9094"/>
    <w:rsid w:val="4B0E3607"/>
    <w:rsid w:val="4B0FA2A5"/>
    <w:rsid w:val="4B1068DC"/>
    <w:rsid w:val="4B1C9141"/>
    <w:rsid w:val="4B1E14C8"/>
    <w:rsid w:val="4B24DAC2"/>
    <w:rsid w:val="4B2801C3"/>
    <w:rsid w:val="4B2C64C1"/>
    <w:rsid w:val="4B3366F0"/>
    <w:rsid w:val="4B337E49"/>
    <w:rsid w:val="4B3C8A40"/>
    <w:rsid w:val="4B3F3843"/>
    <w:rsid w:val="4B403B3A"/>
    <w:rsid w:val="4B4BC67E"/>
    <w:rsid w:val="4B5B0FE2"/>
    <w:rsid w:val="4B6D5815"/>
    <w:rsid w:val="4B76191C"/>
    <w:rsid w:val="4B782246"/>
    <w:rsid w:val="4B7A47A5"/>
    <w:rsid w:val="4B7B0CE4"/>
    <w:rsid w:val="4B86164D"/>
    <w:rsid w:val="4B869392"/>
    <w:rsid w:val="4B8764EC"/>
    <w:rsid w:val="4B897512"/>
    <w:rsid w:val="4B8AE86E"/>
    <w:rsid w:val="4B8B2666"/>
    <w:rsid w:val="4BA1DFCA"/>
    <w:rsid w:val="4BA79519"/>
    <w:rsid w:val="4BAE6DB1"/>
    <w:rsid w:val="4BB07458"/>
    <w:rsid w:val="4BB1A3FB"/>
    <w:rsid w:val="4BBF58FE"/>
    <w:rsid w:val="4BC183E0"/>
    <w:rsid w:val="4BCA6E48"/>
    <w:rsid w:val="4BCAAFD4"/>
    <w:rsid w:val="4BCF1199"/>
    <w:rsid w:val="4BCFB161"/>
    <w:rsid w:val="4BD0C894"/>
    <w:rsid w:val="4BD70F64"/>
    <w:rsid w:val="4BDB440C"/>
    <w:rsid w:val="4BDC04AD"/>
    <w:rsid w:val="4BE2DAA7"/>
    <w:rsid w:val="4BE3C054"/>
    <w:rsid w:val="4BE524A0"/>
    <w:rsid w:val="4BE7328B"/>
    <w:rsid w:val="4BE976B6"/>
    <w:rsid w:val="4BEAE554"/>
    <w:rsid w:val="4BF2151D"/>
    <w:rsid w:val="4BF76781"/>
    <w:rsid w:val="4BF7A426"/>
    <w:rsid w:val="4BFACADF"/>
    <w:rsid w:val="4BFBD82C"/>
    <w:rsid w:val="4C056019"/>
    <w:rsid w:val="4C111FE3"/>
    <w:rsid w:val="4C122094"/>
    <w:rsid w:val="4C210ECA"/>
    <w:rsid w:val="4C217926"/>
    <w:rsid w:val="4C281673"/>
    <w:rsid w:val="4C2E7A83"/>
    <w:rsid w:val="4C39251E"/>
    <w:rsid w:val="4C3942DE"/>
    <w:rsid w:val="4C3D87F1"/>
    <w:rsid w:val="4C3D9F7F"/>
    <w:rsid w:val="4C3F2719"/>
    <w:rsid w:val="4C46128B"/>
    <w:rsid w:val="4C4738B9"/>
    <w:rsid w:val="4C48502B"/>
    <w:rsid w:val="4C4A6889"/>
    <w:rsid w:val="4C4BD7CC"/>
    <w:rsid w:val="4C577B31"/>
    <w:rsid w:val="4C581F8A"/>
    <w:rsid w:val="4C5BC457"/>
    <w:rsid w:val="4C643D5A"/>
    <w:rsid w:val="4C676217"/>
    <w:rsid w:val="4C67EF2F"/>
    <w:rsid w:val="4C6FE003"/>
    <w:rsid w:val="4C71D811"/>
    <w:rsid w:val="4C7353AB"/>
    <w:rsid w:val="4C7E94F3"/>
    <w:rsid w:val="4C801631"/>
    <w:rsid w:val="4C8EC956"/>
    <w:rsid w:val="4C909D56"/>
    <w:rsid w:val="4C92ACC6"/>
    <w:rsid w:val="4C936C31"/>
    <w:rsid w:val="4CA08BF8"/>
    <w:rsid w:val="4CA237CB"/>
    <w:rsid w:val="4CA23B23"/>
    <w:rsid w:val="4CA46A56"/>
    <w:rsid w:val="4CA888CF"/>
    <w:rsid w:val="4CB4208F"/>
    <w:rsid w:val="4CB9B3ED"/>
    <w:rsid w:val="4CBFA3E9"/>
    <w:rsid w:val="4CC53E6A"/>
    <w:rsid w:val="4CCDDD48"/>
    <w:rsid w:val="4CCFE2E1"/>
    <w:rsid w:val="4CDDDBA5"/>
    <w:rsid w:val="4CE2B526"/>
    <w:rsid w:val="4CE5E9E3"/>
    <w:rsid w:val="4CEB2F17"/>
    <w:rsid w:val="4CEC3340"/>
    <w:rsid w:val="4CF0B718"/>
    <w:rsid w:val="4CF51539"/>
    <w:rsid w:val="4CF8B0A6"/>
    <w:rsid w:val="4CFD6B0F"/>
    <w:rsid w:val="4D06F300"/>
    <w:rsid w:val="4D124BAF"/>
    <w:rsid w:val="4D141525"/>
    <w:rsid w:val="4D1AC63A"/>
    <w:rsid w:val="4D2195F9"/>
    <w:rsid w:val="4D279C49"/>
    <w:rsid w:val="4D29EB38"/>
    <w:rsid w:val="4D2F49A1"/>
    <w:rsid w:val="4D32D63C"/>
    <w:rsid w:val="4D33621C"/>
    <w:rsid w:val="4D36972A"/>
    <w:rsid w:val="4D3770C4"/>
    <w:rsid w:val="4D37A88C"/>
    <w:rsid w:val="4D3D5147"/>
    <w:rsid w:val="4D413932"/>
    <w:rsid w:val="4D43B5A4"/>
    <w:rsid w:val="4D45F682"/>
    <w:rsid w:val="4D48E39B"/>
    <w:rsid w:val="4D4EA1D9"/>
    <w:rsid w:val="4D4EED84"/>
    <w:rsid w:val="4D4F2C5B"/>
    <w:rsid w:val="4D53863A"/>
    <w:rsid w:val="4D58344F"/>
    <w:rsid w:val="4D5B2FA0"/>
    <w:rsid w:val="4D673140"/>
    <w:rsid w:val="4D6BBB3B"/>
    <w:rsid w:val="4D709B15"/>
    <w:rsid w:val="4D72E17F"/>
    <w:rsid w:val="4D74D6F9"/>
    <w:rsid w:val="4D799434"/>
    <w:rsid w:val="4D7B736D"/>
    <w:rsid w:val="4D7E5490"/>
    <w:rsid w:val="4D7F8E17"/>
    <w:rsid w:val="4D81AB7B"/>
    <w:rsid w:val="4D87A14A"/>
    <w:rsid w:val="4D8AAAAA"/>
    <w:rsid w:val="4D8EB2E5"/>
    <w:rsid w:val="4D91BE10"/>
    <w:rsid w:val="4D94277E"/>
    <w:rsid w:val="4D95885F"/>
    <w:rsid w:val="4D9D3672"/>
    <w:rsid w:val="4DA19253"/>
    <w:rsid w:val="4DA3468A"/>
    <w:rsid w:val="4DA48419"/>
    <w:rsid w:val="4DA6BC19"/>
    <w:rsid w:val="4DA93296"/>
    <w:rsid w:val="4DA99631"/>
    <w:rsid w:val="4DB18595"/>
    <w:rsid w:val="4DB3DFFD"/>
    <w:rsid w:val="4DB46C11"/>
    <w:rsid w:val="4DB4C285"/>
    <w:rsid w:val="4DB65CAD"/>
    <w:rsid w:val="4DB6CDB9"/>
    <w:rsid w:val="4DB92F6F"/>
    <w:rsid w:val="4DBAF9C0"/>
    <w:rsid w:val="4DC076AA"/>
    <w:rsid w:val="4DC5722C"/>
    <w:rsid w:val="4DC66EE6"/>
    <w:rsid w:val="4DCADD2E"/>
    <w:rsid w:val="4DCDA164"/>
    <w:rsid w:val="4DD12BD4"/>
    <w:rsid w:val="4DD38052"/>
    <w:rsid w:val="4DE224B3"/>
    <w:rsid w:val="4DE2B26A"/>
    <w:rsid w:val="4DEEBA7F"/>
    <w:rsid w:val="4DFA54CB"/>
    <w:rsid w:val="4DFDD0E1"/>
    <w:rsid w:val="4DFE6E75"/>
    <w:rsid w:val="4E122254"/>
    <w:rsid w:val="4E1A3A5F"/>
    <w:rsid w:val="4E2652AD"/>
    <w:rsid w:val="4E26DAB5"/>
    <w:rsid w:val="4E2796B9"/>
    <w:rsid w:val="4E2864C3"/>
    <w:rsid w:val="4E297A4F"/>
    <w:rsid w:val="4E30537F"/>
    <w:rsid w:val="4E364B3C"/>
    <w:rsid w:val="4E3B42B4"/>
    <w:rsid w:val="4E3E60E1"/>
    <w:rsid w:val="4E424ACA"/>
    <w:rsid w:val="4E46BC50"/>
    <w:rsid w:val="4E477093"/>
    <w:rsid w:val="4E478DAA"/>
    <w:rsid w:val="4E4BADE3"/>
    <w:rsid w:val="4E5AB694"/>
    <w:rsid w:val="4E5AB96B"/>
    <w:rsid w:val="4E6684C2"/>
    <w:rsid w:val="4E6BB32D"/>
    <w:rsid w:val="4E6C27BD"/>
    <w:rsid w:val="4E718269"/>
    <w:rsid w:val="4E73581B"/>
    <w:rsid w:val="4E758560"/>
    <w:rsid w:val="4E763D75"/>
    <w:rsid w:val="4E88AAB9"/>
    <w:rsid w:val="4E892220"/>
    <w:rsid w:val="4E90ABD2"/>
    <w:rsid w:val="4E94F6DA"/>
    <w:rsid w:val="4E98EE2A"/>
    <w:rsid w:val="4E9B6638"/>
    <w:rsid w:val="4EA44AC6"/>
    <w:rsid w:val="4EA62AC2"/>
    <w:rsid w:val="4EA7A941"/>
    <w:rsid w:val="4EA8BAEE"/>
    <w:rsid w:val="4EAB85F8"/>
    <w:rsid w:val="4EB1A582"/>
    <w:rsid w:val="4EB6D0F7"/>
    <w:rsid w:val="4EB9CE42"/>
    <w:rsid w:val="4EBB80EB"/>
    <w:rsid w:val="4EBE3D3D"/>
    <w:rsid w:val="4EC11EF2"/>
    <w:rsid w:val="4EC15124"/>
    <w:rsid w:val="4EC84407"/>
    <w:rsid w:val="4ECC8E31"/>
    <w:rsid w:val="4ED28C17"/>
    <w:rsid w:val="4ED62164"/>
    <w:rsid w:val="4ED954BC"/>
    <w:rsid w:val="4ED9B17C"/>
    <w:rsid w:val="4EDA2BA1"/>
    <w:rsid w:val="4EDB6AEA"/>
    <w:rsid w:val="4EDF51BE"/>
    <w:rsid w:val="4EE5ADBD"/>
    <w:rsid w:val="4EECA867"/>
    <w:rsid w:val="4EEF133A"/>
    <w:rsid w:val="4EF25F67"/>
    <w:rsid w:val="4EF29153"/>
    <w:rsid w:val="4EF2CFA3"/>
    <w:rsid w:val="4EF8BF88"/>
    <w:rsid w:val="4EFA75E7"/>
    <w:rsid w:val="4F09447B"/>
    <w:rsid w:val="4F0BAA06"/>
    <w:rsid w:val="4F0EBE70"/>
    <w:rsid w:val="4F10840C"/>
    <w:rsid w:val="4F1324A0"/>
    <w:rsid w:val="4F13D65C"/>
    <w:rsid w:val="4F14DEF6"/>
    <w:rsid w:val="4F15C54F"/>
    <w:rsid w:val="4F172826"/>
    <w:rsid w:val="4F1CA87D"/>
    <w:rsid w:val="4F1D1C78"/>
    <w:rsid w:val="4F1F3DA2"/>
    <w:rsid w:val="4F2032E4"/>
    <w:rsid w:val="4F22FCAA"/>
    <w:rsid w:val="4F263C10"/>
    <w:rsid w:val="4F276AD6"/>
    <w:rsid w:val="4F284D6D"/>
    <w:rsid w:val="4F290D22"/>
    <w:rsid w:val="4F2CDBD1"/>
    <w:rsid w:val="4F2E2099"/>
    <w:rsid w:val="4F2F0B88"/>
    <w:rsid w:val="4F2F2D59"/>
    <w:rsid w:val="4F31FA2E"/>
    <w:rsid w:val="4F33A9C8"/>
    <w:rsid w:val="4F3C2E4D"/>
    <w:rsid w:val="4F419855"/>
    <w:rsid w:val="4F484B98"/>
    <w:rsid w:val="4F4922A2"/>
    <w:rsid w:val="4F4FC1E3"/>
    <w:rsid w:val="4F5303AC"/>
    <w:rsid w:val="4F56A7BA"/>
    <w:rsid w:val="4F576651"/>
    <w:rsid w:val="4F5AE9B9"/>
    <w:rsid w:val="4F5DE133"/>
    <w:rsid w:val="4F7019C1"/>
    <w:rsid w:val="4F7C4C36"/>
    <w:rsid w:val="4F7E5CAD"/>
    <w:rsid w:val="4F85076D"/>
    <w:rsid w:val="4F9544E1"/>
    <w:rsid w:val="4F959243"/>
    <w:rsid w:val="4F99F751"/>
    <w:rsid w:val="4FA3A96C"/>
    <w:rsid w:val="4FA67099"/>
    <w:rsid w:val="4FA9B47C"/>
    <w:rsid w:val="4FAA6A37"/>
    <w:rsid w:val="4FAB4A09"/>
    <w:rsid w:val="4FB16293"/>
    <w:rsid w:val="4FB64EAF"/>
    <w:rsid w:val="4FBCD04B"/>
    <w:rsid w:val="4FBE5C60"/>
    <w:rsid w:val="4FBF1F73"/>
    <w:rsid w:val="4FC3246F"/>
    <w:rsid w:val="4FC92EB3"/>
    <w:rsid w:val="4FCB3B75"/>
    <w:rsid w:val="4FCCCB1F"/>
    <w:rsid w:val="4FD0C7DD"/>
    <w:rsid w:val="4FD2EF62"/>
    <w:rsid w:val="4FD35BB3"/>
    <w:rsid w:val="4FD7CBAA"/>
    <w:rsid w:val="4FDBADDE"/>
    <w:rsid w:val="4FDBFB3A"/>
    <w:rsid w:val="4FDD48A8"/>
    <w:rsid w:val="4FDEDC82"/>
    <w:rsid w:val="4FE05370"/>
    <w:rsid w:val="4FE152F3"/>
    <w:rsid w:val="4FE16AFA"/>
    <w:rsid w:val="4FE57EDB"/>
    <w:rsid w:val="4FE70F46"/>
    <w:rsid w:val="4FFA5C30"/>
    <w:rsid w:val="5000B5C5"/>
    <w:rsid w:val="5007692B"/>
    <w:rsid w:val="5009FD0A"/>
    <w:rsid w:val="500A8F90"/>
    <w:rsid w:val="50136B01"/>
    <w:rsid w:val="50155A57"/>
    <w:rsid w:val="5017CF91"/>
    <w:rsid w:val="50205B50"/>
    <w:rsid w:val="5020F9BE"/>
    <w:rsid w:val="5029FDB1"/>
    <w:rsid w:val="502CE8B1"/>
    <w:rsid w:val="502CF5AA"/>
    <w:rsid w:val="502EC204"/>
    <w:rsid w:val="502F0C3F"/>
    <w:rsid w:val="503704AE"/>
    <w:rsid w:val="503ACAAE"/>
    <w:rsid w:val="504E6373"/>
    <w:rsid w:val="50533347"/>
    <w:rsid w:val="50545C88"/>
    <w:rsid w:val="50570842"/>
    <w:rsid w:val="505BECD2"/>
    <w:rsid w:val="505F05C9"/>
    <w:rsid w:val="505F67DB"/>
    <w:rsid w:val="5062441A"/>
    <w:rsid w:val="50672DF1"/>
    <w:rsid w:val="506DB1EE"/>
    <w:rsid w:val="506EDEE7"/>
    <w:rsid w:val="50730644"/>
    <w:rsid w:val="5078B49F"/>
    <w:rsid w:val="507B23AB"/>
    <w:rsid w:val="507BA012"/>
    <w:rsid w:val="5083B61B"/>
    <w:rsid w:val="508636E4"/>
    <w:rsid w:val="508829E2"/>
    <w:rsid w:val="508CDF8F"/>
    <w:rsid w:val="50909BF9"/>
    <w:rsid w:val="5092871F"/>
    <w:rsid w:val="5092AAF0"/>
    <w:rsid w:val="50967B0C"/>
    <w:rsid w:val="509D7D3D"/>
    <w:rsid w:val="50A230EB"/>
    <w:rsid w:val="50A307FC"/>
    <w:rsid w:val="50A845CD"/>
    <w:rsid w:val="50ACFB0A"/>
    <w:rsid w:val="50B3093C"/>
    <w:rsid w:val="50B32D35"/>
    <w:rsid w:val="50B625F2"/>
    <w:rsid w:val="50BC5EEC"/>
    <w:rsid w:val="50C4B36E"/>
    <w:rsid w:val="50C53E66"/>
    <w:rsid w:val="50C98A2A"/>
    <w:rsid w:val="50CC7B92"/>
    <w:rsid w:val="50CD326E"/>
    <w:rsid w:val="50CFD2E7"/>
    <w:rsid w:val="50D0EC7E"/>
    <w:rsid w:val="50D73C45"/>
    <w:rsid w:val="50DA2E03"/>
    <w:rsid w:val="50DFB062"/>
    <w:rsid w:val="50E943FB"/>
    <w:rsid w:val="50E9940E"/>
    <w:rsid w:val="50EA3ADD"/>
    <w:rsid w:val="50EFD82F"/>
    <w:rsid w:val="50F061AF"/>
    <w:rsid w:val="50F3CEC7"/>
    <w:rsid w:val="50F8C486"/>
    <w:rsid w:val="51014085"/>
    <w:rsid w:val="51038BC8"/>
    <w:rsid w:val="510637CD"/>
    <w:rsid w:val="5107995C"/>
    <w:rsid w:val="510F71BB"/>
    <w:rsid w:val="5111A955"/>
    <w:rsid w:val="51150934"/>
    <w:rsid w:val="51153152"/>
    <w:rsid w:val="51161B91"/>
    <w:rsid w:val="511785E3"/>
    <w:rsid w:val="511C9EB1"/>
    <w:rsid w:val="511CCEF3"/>
    <w:rsid w:val="511D604D"/>
    <w:rsid w:val="511E62B4"/>
    <w:rsid w:val="5129ACEE"/>
    <w:rsid w:val="512D83D7"/>
    <w:rsid w:val="512DC65A"/>
    <w:rsid w:val="512F0C05"/>
    <w:rsid w:val="51305415"/>
    <w:rsid w:val="5134DDD8"/>
    <w:rsid w:val="513614F1"/>
    <w:rsid w:val="5139EFAC"/>
    <w:rsid w:val="513F677C"/>
    <w:rsid w:val="51485496"/>
    <w:rsid w:val="514B16E7"/>
    <w:rsid w:val="514B1E2F"/>
    <w:rsid w:val="514B1EEE"/>
    <w:rsid w:val="514C5891"/>
    <w:rsid w:val="5159A685"/>
    <w:rsid w:val="515E2842"/>
    <w:rsid w:val="516240B1"/>
    <w:rsid w:val="516654F0"/>
    <w:rsid w:val="5168643E"/>
    <w:rsid w:val="516BFC67"/>
    <w:rsid w:val="516C5666"/>
    <w:rsid w:val="516E30D3"/>
    <w:rsid w:val="51723831"/>
    <w:rsid w:val="5172FCA7"/>
    <w:rsid w:val="51732460"/>
    <w:rsid w:val="5173A6FC"/>
    <w:rsid w:val="5176C941"/>
    <w:rsid w:val="517745DB"/>
    <w:rsid w:val="517F25C6"/>
    <w:rsid w:val="51819CF3"/>
    <w:rsid w:val="51843C0D"/>
    <w:rsid w:val="518507D8"/>
    <w:rsid w:val="51884250"/>
    <w:rsid w:val="518E4B0D"/>
    <w:rsid w:val="51908EDC"/>
    <w:rsid w:val="519653ED"/>
    <w:rsid w:val="519B0B8F"/>
    <w:rsid w:val="519B59A3"/>
    <w:rsid w:val="519D5BA4"/>
    <w:rsid w:val="51A0F6C3"/>
    <w:rsid w:val="51A2C0D4"/>
    <w:rsid w:val="51A5858B"/>
    <w:rsid w:val="51A65B78"/>
    <w:rsid w:val="51B0830B"/>
    <w:rsid w:val="51B18EA5"/>
    <w:rsid w:val="51B3C166"/>
    <w:rsid w:val="51B84C11"/>
    <w:rsid w:val="51BDBD24"/>
    <w:rsid w:val="51C2D91F"/>
    <w:rsid w:val="51C7942A"/>
    <w:rsid w:val="51CB8605"/>
    <w:rsid w:val="51CD22E9"/>
    <w:rsid w:val="51CF1F2C"/>
    <w:rsid w:val="51CFC776"/>
    <w:rsid w:val="51D6441F"/>
    <w:rsid w:val="51DBDB76"/>
    <w:rsid w:val="51DF8134"/>
    <w:rsid w:val="51E0AA8E"/>
    <w:rsid w:val="51E11F1D"/>
    <w:rsid w:val="51EA24ED"/>
    <w:rsid w:val="51EE6AE8"/>
    <w:rsid w:val="51EF119C"/>
    <w:rsid w:val="51EF5841"/>
    <w:rsid w:val="51F1E21F"/>
    <w:rsid w:val="51F68A01"/>
    <w:rsid w:val="51FA41B2"/>
    <w:rsid w:val="51FD25C8"/>
    <w:rsid w:val="51FDB216"/>
    <w:rsid w:val="52046A24"/>
    <w:rsid w:val="520C1094"/>
    <w:rsid w:val="520F4365"/>
    <w:rsid w:val="52132718"/>
    <w:rsid w:val="52159E21"/>
    <w:rsid w:val="521AF135"/>
    <w:rsid w:val="52236830"/>
    <w:rsid w:val="52290066"/>
    <w:rsid w:val="52320AEF"/>
    <w:rsid w:val="5234C173"/>
    <w:rsid w:val="52393A53"/>
    <w:rsid w:val="523FD9FE"/>
    <w:rsid w:val="5245DC00"/>
    <w:rsid w:val="5248C16F"/>
    <w:rsid w:val="524C049F"/>
    <w:rsid w:val="525385CD"/>
    <w:rsid w:val="525446CD"/>
    <w:rsid w:val="525A38E6"/>
    <w:rsid w:val="525FAFAA"/>
    <w:rsid w:val="5260FCC8"/>
    <w:rsid w:val="5261FF5D"/>
    <w:rsid w:val="52640C95"/>
    <w:rsid w:val="5267358C"/>
    <w:rsid w:val="5267D660"/>
    <w:rsid w:val="526BF024"/>
    <w:rsid w:val="526D395C"/>
    <w:rsid w:val="526EB396"/>
    <w:rsid w:val="526F9F2D"/>
    <w:rsid w:val="52701986"/>
    <w:rsid w:val="52719F13"/>
    <w:rsid w:val="527C7505"/>
    <w:rsid w:val="527D95A7"/>
    <w:rsid w:val="527DB5AA"/>
    <w:rsid w:val="528441AE"/>
    <w:rsid w:val="52857300"/>
    <w:rsid w:val="528833DC"/>
    <w:rsid w:val="528EA880"/>
    <w:rsid w:val="5294CF29"/>
    <w:rsid w:val="529610DA"/>
    <w:rsid w:val="529A76D2"/>
    <w:rsid w:val="529BFD8E"/>
    <w:rsid w:val="52A19378"/>
    <w:rsid w:val="52B89B50"/>
    <w:rsid w:val="52BC7149"/>
    <w:rsid w:val="52C27809"/>
    <w:rsid w:val="52C7B368"/>
    <w:rsid w:val="52C8B8A6"/>
    <w:rsid w:val="52CE0A9A"/>
    <w:rsid w:val="52D07613"/>
    <w:rsid w:val="52D37D4A"/>
    <w:rsid w:val="52D3C3B0"/>
    <w:rsid w:val="52D6C224"/>
    <w:rsid w:val="52D9E70A"/>
    <w:rsid w:val="52E4F0DB"/>
    <w:rsid w:val="52E8F29F"/>
    <w:rsid w:val="52F75AA2"/>
    <w:rsid w:val="52F82885"/>
    <w:rsid w:val="52FB938A"/>
    <w:rsid w:val="52FC0EB9"/>
    <w:rsid w:val="52FC3483"/>
    <w:rsid w:val="52FF9F4E"/>
    <w:rsid w:val="530832AB"/>
    <w:rsid w:val="530E17D0"/>
    <w:rsid w:val="530EFA3D"/>
    <w:rsid w:val="5322C0BD"/>
    <w:rsid w:val="5322E1A3"/>
    <w:rsid w:val="53267E0D"/>
    <w:rsid w:val="532D0335"/>
    <w:rsid w:val="532DDE3C"/>
    <w:rsid w:val="53383EC0"/>
    <w:rsid w:val="533A8F2D"/>
    <w:rsid w:val="533B83CB"/>
    <w:rsid w:val="533CBF9D"/>
    <w:rsid w:val="53411B97"/>
    <w:rsid w:val="53460C7E"/>
    <w:rsid w:val="534E00AC"/>
    <w:rsid w:val="53513A28"/>
    <w:rsid w:val="5351C031"/>
    <w:rsid w:val="5355DF58"/>
    <w:rsid w:val="535E4BCB"/>
    <w:rsid w:val="535F7271"/>
    <w:rsid w:val="535F8F13"/>
    <w:rsid w:val="5363E493"/>
    <w:rsid w:val="53650622"/>
    <w:rsid w:val="53663458"/>
    <w:rsid w:val="536D9627"/>
    <w:rsid w:val="536F33CC"/>
    <w:rsid w:val="53724FC3"/>
    <w:rsid w:val="5372851C"/>
    <w:rsid w:val="5373EF51"/>
    <w:rsid w:val="5384BAB4"/>
    <w:rsid w:val="5388B2C9"/>
    <w:rsid w:val="538BD6B6"/>
    <w:rsid w:val="539111BF"/>
    <w:rsid w:val="53919AF2"/>
    <w:rsid w:val="539408EA"/>
    <w:rsid w:val="53943D8E"/>
    <w:rsid w:val="53A3067C"/>
    <w:rsid w:val="53A571A9"/>
    <w:rsid w:val="53A62A17"/>
    <w:rsid w:val="53AF0F2A"/>
    <w:rsid w:val="53B75405"/>
    <w:rsid w:val="53C1E793"/>
    <w:rsid w:val="53C43B00"/>
    <w:rsid w:val="53C6AE0E"/>
    <w:rsid w:val="53C7186D"/>
    <w:rsid w:val="53CB2BF7"/>
    <w:rsid w:val="53CCEF75"/>
    <w:rsid w:val="53CD0CEA"/>
    <w:rsid w:val="53D335C4"/>
    <w:rsid w:val="53D70C27"/>
    <w:rsid w:val="53DBA1E0"/>
    <w:rsid w:val="53E29E4C"/>
    <w:rsid w:val="53EAB60C"/>
    <w:rsid w:val="53FB721F"/>
    <w:rsid w:val="53FBBB6F"/>
    <w:rsid w:val="53FD234D"/>
    <w:rsid w:val="5401326E"/>
    <w:rsid w:val="54027152"/>
    <w:rsid w:val="54035850"/>
    <w:rsid w:val="5407FBD3"/>
    <w:rsid w:val="54081843"/>
    <w:rsid w:val="540F8267"/>
    <w:rsid w:val="54204933"/>
    <w:rsid w:val="542295E6"/>
    <w:rsid w:val="54255F79"/>
    <w:rsid w:val="5427448B"/>
    <w:rsid w:val="54335E34"/>
    <w:rsid w:val="54379806"/>
    <w:rsid w:val="54396168"/>
    <w:rsid w:val="5441D168"/>
    <w:rsid w:val="544AEA76"/>
    <w:rsid w:val="544D8C90"/>
    <w:rsid w:val="544ED815"/>
    <w:rsid w:val="545623B5"/>
    <w:rsid w:val="545B731F"/>
    <w:rsid w:val="5462EAA6"/>
    <w:rsid w:val="54656A82"/>
    <w:rsid w:val="546D9B07"/>
    <w:rsid w:val="546EB20D"/>
    <w:rsid w:val="54715281"/>
    <w:rsid w:val="547356AA"/>
    <w:rsid w:val="5477DBE9"/>
    <w:rsid w:val="547B9DAB"/>
    <w:rsid w:val="547ECE9A"/>
    <w:rsid w:val="54854E78"/>
    <w:rsid w:val="5491B351"/>
    <w:rsid w:val="5498D33D"/>
    <w:rsid w:val="549D80A3"/>
    <w:rsid w:val="549FA784"/>
    <w:rsid w:val="54A16524"/>
    <w:rsid w:val="54A1DF89"/>
    <w:rsid w:val="54B0DAE6"/>
    <w:rsid w:val="54BD6280"/>
    <w:rsid w:val="54C4DD82"/>
    <w:rsid w:val="54C58ED2"/>
    <w:rsid w:val="54C61D5E"/>
    <w:rsid w:val="54C83980"/>
    <w:rsid w:val="54C86C14"/>
    <w:rsid w:val="54C8BEA0"/>
    <w:rsid w:val="54CE06AE"/>
    <w:rsid w:val="54D7D1A2"/>
    <w:rsid w:val="54D930FF"/>
    <w:rsid w:val="54DCA9F7"/>
    <w:rsid w:val="54DFA548"/>
    <w:rsid w:val="54E3698B"/>
    <w:rsid w:val="54E62E03"/>
    <w:rsid w:val="54E86845"/>
    <w:rsid w:val="54EDC8E6"/>
    <w:rsid w:val="54F2AA4F"/>
    <w:rsid w:val="54F58A26"/>
    <w:rsid w:val="54F7B967"/>
    <w:rsid w:val="54FDBA2B"/>
    <w:rsid w:val="550C1CF2"/>
    <w:rsid w:val="550EA7A6"/>
    <w:rsid w:val="550F774E"/>
    <w:rsid w:val="55271037"/>
    <w:rsid w:val="552A6637"/>
    <w:rsid w:val="552B0F8B"/>
    <w:rsid w:val="55305EFD"/>
    <w:rsid w:val="5531E75D"/>
    <w:rsid w:val="55331C12"/>
    <w:rsid w:val="55348414"/>
    <w:rsid w:val="5534C910"/>
    <w:rsid w:val="553C7AAD"/>
    <w:rsid w:val="553C9735"/>
    <w:rsid w:val="553FF92F"/>
    <w:rsid w:val="55464F97"/>
    <w:rsid w:val="554B7445"/>
    <w:rsid w:val="554C408C"/>
    <w:rsid w:val="554E794F"/>
    <w:rsid w:val="5550D03D"/>
    <w:rsid w:val="5552A21E"/>
    <w:rsid w:val="55578155"/>
    <w:rsid w:val="555F52A9"/>
    <w:rsid w:val="5561578F"/>
    <w:rsid w:val="55651FD3"/>
    <w:rsid w:val="557317E2"/>
    <w:rsid w:val="557AC099"/>
    <w:rsid w:val="558EBF73"/>
    <w:rsid w:val="5596C590"/>
    <w:rsid w:val="559BA26D"/>
    <w:rsid w:val="55A8433F"/>
    <w:rsid w:val="55B01125"/>
    <w:rsid w:val="55B4FB25"/>
    <w:rsid w:val="55C7A0C0"/>
    <w:rsid w:val="55D2EB0D"/>
    <w:rsid w:val="55D702C8"/>
    <w:rsid w:val="55E2EA57"/>
    <w:rsid w:val="55E47E54"/>
    <w:rsid w:val="55E8E347"/>
    <w:rsid w:val="55EACB8E"/>
    <w:rsid w:val="55EE3BBC"/>
    <w:rsid w:val="55EEDDDF"/>
    <w:rsid w:val="55F30D9D"/>
    <w:rsid w:val="55F420B5"/>
    <w:rsid w:val="55F63B54"/>
    <w:rsid w:val="55F714FE"/>
    <w:rsid w:val="55FA1888"/>
    <w:rsid w:val="56001EA9"/>
    <w:rsid w:val="560036D9"/>
    <w:rsid w:val="56028FE2"/>
    <w:rsid w:val="5604393E"/>
    <w:rsid w:val="56069F78"/>
    <w:rsid w:val="5609B9D3"/>
    <w:rsid w:val="560AE22D"/>
    <w:rsid w:val="560AFD43"/>
    <w:rsid w:val="5610A5D6"/>
    <w:rsid w:val="561143EB"/>
    <w:rsid w:val="56133DA2"/>
    <w:rsid w:val="5619C699"/>
    <w:rsid w:val="561FC2F6"/>
    <w:rsid w:val="5622B7B5"/>
    <w:rsid w:val="56240AF8"/>
    <w:rsid w:val="5626664C"/>
    <w:rsid w:val="56269ECC"/>
    <w:rsid w:val="5628DB04"/>
    <w:rsid w:val="5629097B"/>
    <w:rsid w:val="562D7023"/>
    <w:rsid w:val="562F1E45"/>
    <w:rsid w:val="562F73C1"/>
    <w:rsid w:val="5633409C"/>
    <w:rsid w:val="563382C1"/>
    <w:rsid w:val="5636BEDF"/>
    <w:rsid w:val="5636C1AA"/>
    <w:rsid w:val="563DF9B3"/>
    <w:rsid w:val="563E399B"/>
    <w:rsid w:val="56413E44"/>
    <w:rsid w:val="564150B0"/>
    <w:rsid w:val="56415CDF"/>
    <w:rsid w:val="5642DACD"/>
    <w:rsid w:val="56486842"/>
    <w:rsid w:val="5652C53E"/>
    <w:rsid w:val="565540D0"/>
    <w:rsid w:val="56575168"/>
    <w:rsid w:val="5657B695"/>
    <w:rsid w:val="5659777B"/>
    <w:rsid w:val="565CBB4F"/>
    <w:rsid w:val="56621B78"/>
    <w:rsid w:val="56641EEE"/>
    <w:rsid w:val="56672FA5"/>
    <w:rsid w:val="5667C754"/>
    <w:rsid w:val="56697732"/>
    <w:rsid w:val="566A4FED"/>
    <w:rsid w:val="566B2894"/>
    <w:rsid w:val="566C1156"/>
    <w:rsid w:val="566E7B4F"/>
    <w:rsid w:val="566EAACD"/>
    <w:rsid w:val="5672053C"/>
    <w:rsid w:val="56740EE5"/>
    <w:rsid w:val="56757F6F"/>
    <w:rsid w:val="56764B10"/>
    <w:rsid w:val="56821D07"/>
    <w:rsid w:val="568814ED"/>
    <w:rsid w:val="56886AB3"/>
    <w:rsid w:val="56890336"/>
    <w:rsid w:val="568EC042"/>
    <w:rsid w:val="5691807C"/>
    <w:rsid w:val="56926B88"/>
    <w:rsid w:val="5694A43D"/>
    <w:rsid w:val="5698F2C8"/>
    <w:rsid w:val="5698FAEF"/>
    <w:rsid w:val="569A7836"/>
    <w:rsid w:val="56A1D17E"/>
    <w:rsid w:val="56A63B77"/>
    <w:rsid w:val="56A71548"/>
    <w:rsid w:val="56A8FF99"/>
    <w:rsid w:val="56AAE6AC"/>
    <w:rsid w:val="56B38DC6"/>
    <w:rsid w:val="56B3D44D"/>
    <w:rsid w:val="56B70B3B"/>
    <w:rsid w:val="56B7E47A"/>
    <w:rsid w:val="56CC6471"/>
    <w:rsid w:val="56CD4A1E"/>
    <w:rsid w:val="56CFA7C2"/>
    <w:rsid w:val="56CFCC32"/>
    <w:rsid w:val="56DC58D4"/>
    <w:rsid w:val="56E0F331"/>
    <w:rsid w:val="56E79C17"/>
    <w:rsid w:val="56EB12A0"/>
    <w:rsid w:val="56FF428F"/>
    <w:rsid w:val="57042B23"/>
    <w:rsid w:val="5704FFC2"/>
    <w:rsid w:val="5707726F"/>
    <w:rsid w:val="5707A3B4"/>
    <w:rsid w:val="5707B28C"/>
    <w:rsid w:val="570BB81A"/>
    <w:rsid w:val="570E1321"/>
    <w:rsid w:val="570ED279"/>
    <w:rsid w:val="5714CD82"/>
    <w:rsid w:val="571841D1"/>
    <w:rsid w:val="571A7D7E"/>
    <w:rsid w:val="5723E3B6"/>
    <w:rsid w:val="5724492C"/>
    <w:rsid w:val="5729389A"/>
    <w:rsid w:val="572D671E"/>
    <w:rsid w:val="57390463"/>
    <w:rsid w:val="573AB1CE"/>
    <w:rsid w:val="573C3B95"/>
    <w:rsid w:val="573FF863"/>
    <w:rsid w:val="57412B4A"/>
    <w:rsid w:val="57428613"/>
    <w:rsid w:val="574682A2"/>
    <w:rsid w:val="574727DB"/>
    <w:rsid w:val="5747B993"/>
    <w:rsid w:val="574A1274"/>
    <w:rsid w:val="574A3E12"/>
    <w:rsid w:val="574E4DAE"/>
    <w:rsid w:val="57577E36"/>
    <w:rsid w:val="575BD1F8"/>
    <w:rsid w:val="575DD269"/>
    <w:rsid w:val="57638B92"/>
    <w:rsid w:val="576B54A8"/>
    <w:rsid w:val="576BEF2E"/>
    <w:rsid w:val="576E50FC"/>
    <w:rsid w:val="57863C0B"/>
    <w:rsid w:val="5786FA94"/>
    <w:rsid w:val="57891692"/>
    <w:rsid w:val="5790AABC"/>
    <w:rsid w:val="57975CB6"/>
    <w:rsid w:val="57985FA6"/>
    <w:rsid w:val="57A5CBBA"/>
    <w:rsid w:val="57AB6A49"/>
    <w:rsid w:val="57AE386D"/>
    <w:rsid w:val="57AF4C5E"/>
    <w:rsid w:val="57AFD0F5"/>
    <w:rsid w:val="57B53F73"/>
    <w:rsid w:val="57B83108"/>
    <w:rsid w:val="57BB5AAA"/>
    <w:rsid w:val="57BF038E"/>
    <w:rsid w:val="57C03A4A"/>
    <w:rsid w:val="57C74176"/>
    <w:rsid w:val="57CABA1B"/>
    <w:rsid w:val="57CBDF4B"/>
    <w:rsid w:val="57CC4034"/>
    <w:rsid w:val="57D251E4"/>
    <w:rsid w:val="57D6516C"/>
    <w:rsid w:val="57E04462"/>
    <w:rsid w:val="57E17B32"/>
    <w:rsid w:val="57EDA4AD"/>
    <w:rsid w:val="57EE781D"/>
    <w:rsid w:val="57EEAAAD"/>
    <w:rsid w:val="57F49F57"/>
    <w:rsid w:val="57F89188"/>
    <w:rsid w:val="57F9192A"/>
    <w:rsid w:val="57FDBE7E"/>
    <w:rsid w:val="57FE28D2"/>
    <w:rsid w:val="5802E695"/>
    <w:rsid w:val="58038E56"/>
    <w:rsid w:val="580E69CE"/>
    <w:rsid w:val="58103C7E"/>
    <w:rsid w:val="5815375C"/>
    <w:rsid w:val="58169A9B"/>
    <w:rsid w:val="581A5BB7"/>
    <w:rsid w:val="581AC2D9"/>
    <w:rsid w:val="581E33AC"/>
    <w:rsid w:val="581F0349"/>
    <w:rsid w:val="582AFFF6"/>
    <w:rsid w:val="582D0E26"/>
    <w:rsid w:val="582EEA82"/>
    <w:rsid w:val="5834F9C7"/>
    <w:rsid w:val="58352690"/>
    <w:rsid w:val="583A1AC5"/>
    <w:rsid w:val="583DA1A0"/>
    <w:rsid w:val="5846BBE4"/>
    <w:rsid w:val="58495CEA"/>
    <w:rsid w:val="584CC5D2"/>
    <w:rsid w:val="584D3715"/>
    <w:rsid w:val="58514FC9"/>
    <w:rsid w:val="58525630"/>
    <w:rsid w:val="585F22A3"/>
    <w:rsid w:val="5860DD37"/>
    <w:rsid w:val="586487C2"/>
    <w:rsid w:val="586AC2F9"/>
    <w:rsid w:val="586C932A"/>
    <w:rsid w:val="586FB9D5"/>
    <w:rsid w:val="58752F49"/>
    <w:rsid w:val="58798E24"/>
    <w:rsid w:val="587CE3B0"/>
    <w:rsid w:val="587F7FA9"/>
    <w:rsid w:val="588015CF"/>
    <w:rsid w:val="5880C622"/>
    <w:rsid w:val="58811A87"/>
    <w:rsid w:val="58858E84"/>
    <w:rsid w:val="588A0414"/>
    <w:rsid w:val="588D24C5"/>
    <w:rsid w:val="588E4807"/>
    <w:rsid w:val="5891D656"/>
    <w:rsid w:val="58931F05"/>
    <w:rsid w:val="589A5EB9"/>
    <w:rsid w:val="589D483B"/>
    <w:rsid w:val="589D739B"/>
    <w:rsid w:val="589EDCE1"/>
    <w:rsid w:val="58A66C65"/>
    <w:rsid w:val="58AFFC40"/>
    <w:rsid w:val="58B09353"/>
    <w:rsid w:val="58B23435"/>
    <w:rsid w:val="58BD522B"/>
    <w:rsid w:val="58C1E20D"/>
    <w:rsid w:val="58C35098"/>
    <w:rsid w:val="58CD51F3"/>
    <w:rsid w:val="58CF808D"/>
    <w:rsid w:val="58D69434"/>
    <w:rsid w:val="58D98669"/>
    <w:rsid w:val="58DC4853"/>
    <w:rsid w:val="58E402C3"/>
    <w:rsid w:val="58E95078"/>
    <w:rsid w:val="58EB8515"/>
    <w:rsid w:val="58ED6B85"/>
    <w:rsid w:val="58F31DC6"/>
    <w:rsid w:val="58F58827"/>
    <w:rsid w:val="58F8ECBE"/>
    <w:rsid w:val="58FBE41F"/>
    <w:rsid w:val="58FF796C"/>
    <w:rsid w:val="5900DA44"/>
    <w:rsid w:val="59042DA4"/>
    <w:rsid w:val="59069610"/>
    <w:rsid w:val="59084BDD"/>
    <w:rsid w:val="590DA62F"/>
    <w:rsid w:val="590DD636"/>
    <w:rsid w:val="590F7ECE"/>
    <w:rsid w:val="591090D8"/>
    <w:rsid w:val="59194E80"/>
    <w:rsid w:val="591F999F"/>
    <w:rsid w:val="5924456C"/>
    <w:rsid w:val="59276D59"/>
    <w:rsid w:val="59303AE4"/>
    <w:rsid w:val="5930DB20"/>
    <w:rsid w:val="5935B3D5"/>
    <w:rsid w:val="5935E9E9"/>
    <w:rsid w:val="5935F818"/>
    <w:rsid w:val="5936EBC5"/>
    <w:rsid w:val="593C784F"/>
    <w:rsid w:val="59402203"/>
    <w:rsid w:val="59416FDB"/>
    <w:rsid w:val="59423A4E"/>
    <w:rsid w:val="5949F140"/>
    <w:rsid w:val="594B38B9"/>
    <w:rsid w:val="594BE951"/>
    <w:rsid w:val="594CCC37"/>
    <w:rsid w:val="594EA688"/>
    <w:rsid w:val="59532D2A"/>
    <w:rsid w:val="59542401"/>
    <w:rsid w:val="59548931"/>
    <w:rsid w:val="5956E26B"/>
    <w:rsid w:val="5957AD12"/>
    <w:rsid w:val="595C3479"/>
    <w:rsid w:val="595FA678"/>
    <w:rsid w:val="59627FDB"/>
    <w:rsid w:val="5964CE94"/>
    <w:rsid w:val="59664580"/>
    <w:rsid w:val="5969249B"/>
    <w:rsid w:val="59728CB5"/>
    <w:rsid w:val="597AFCC6"/>
    <w:rsid w:val="59804D18"/>
    <w:rsid w:val="598432F2"/>
    <w:rsid w:val="5984C627"/>
    <w:rsid w:val="59853879"/>
    <w:rsid w:val="5985C7C2"/>
    <w:rsid w:val="59963C59"/>
    <w:rsid w:val="5999F193"/>
    <w:rsid w:val="59A11A12"/>
    <w:rsid w:val="59A4C7CF"/>
    <w:rsid w:val="59A64A7D"/>
    <w:rsid w:val="59A831E2"/>
    <w:rsid w:val="59AA08C5"/>
    <w:rsid w:val="59AA9EC0"/>
    <w:rsid w:val="59BEE422"/>
    <w:rsid w:val="59C2100F"/>
    <w:rsid w:val="59C28824"/>
    <w:rsid w:val="59C31A81"/>
    <w:rsid w:val="59C9F1EF"/>
    <w:rsid w:val="59CE97D2"/>
    <w:rsid w:val="59CED39D"/>
    <w:rsid w:val="59CF0393"/>
    <w:rsid w:val="59D40BFA"/>
    <w:rsid w:val="59D7FC06"/>
    <w:rsid w:val="59D99876"/>
    <w:rsid w:val="59DCF137"/>
    <w:rsid w:val="59E8D71B"/>
    <w:rsid w:val="59EC3A5E"/>
    <w:rsid w:val="59EE81D3"/>
    <w:rsid w:val="59F0EA90"/>
    <w:rsid w:val="59F3E430"/>
    <w:rsid w:val="59F91551"/>
    <w:rsid w:val="59FB74D4"/>
    <w:rsid w:val="59FE1500"/>
    <w:rsid w:val="5A02A807"/>
    <w:rsid w:val="5A07553B"/>
    <w:rsid w:val="5A0C32C1"/>
    <w:rsid w:val="5A0DD41C"/>
    <w:rsid w:val="5A1581B2"/>
    <w:rsid w:val="5A1C0888"/>
    <w:rsid w:val="5A1DCCA6"/>
    <w:rsid w:val="5A217160"/>
    <w:rsid w:val="5A24CBE3"/>
    <w:rsid w:val="5A25FAA2"/>
    <w:rsid w:val="5A28B494"/>
    <w:rsid w:val="5A2E215C"/>
    <w:rsid w:val="5A2EE7F0"/>
    <w:rsid w:val="5A2FEE69"/>
    <w:rsid w:val="5A36CE75"/>
    <w:rsid w:val="5A3A8B7B"/>
    <w:rsid w:val="5A47748E"/>
    <w:rsid w:val="5A4BB361"/>
    <w:rsid w:val="5A527763"/>
    <w:rsid w:val="5A551816"/>
    <w:rsid w:val="5A64BED0"/>
    <w:rsid w:val="5A64D4CC"/>
    <w:rsid w:val="5A666FB7"/>
    <w:rsid w:val="5A671553"/>
    <w:rsid w:val="5A6D1E55"/>
    <w:rsid w:val="5A6D4FAC"/>
    <w:rsid w:val="5A6FD9CD"/>
    <w:rsid w:val="5A722FE0"/>
    <w:rsid w:val="5A83D681"/>
    <w:rsid w:val="5A864440"/>
    <w:rsid w:val="5A89CD7D"/>
    <w:rsid w:val="5A8B5F44"/>
    <w:rsid w:val="5A8F8792"/>
    <w:rsid w:val="5A9A030F"/>
    <w:rsid w:val="5A9C2AAA"/>
    <w:rsid w:val="5A9CC540"/>
    <w:rsid w:val="5A9E5378"/>
    <w:rsid w:val="5A9F9EDB"/>
    <w:rsid w:val="5AA8A2EF"/>
    <w:rsid w:val="5ABB4FF9"/>
    <w:rsid w:val="5AC3DE0D"/>
    <w:rsid w:val="5AC623CC"/>
    <w:rsid w:val="5AC8FA38"/>
    <w:rsid w:val="5AD28788"/>
    <w:rsid w:val="5AD2DCF2"/>
    <w:rsid w:val="5AD46134"/>
    <w:rsid w:val="5AD81D20"/>
    <w:rsid w:val="5AD86CA3"/>
    <w:rsid w:val="5ADC7A91"/>
    <w:rsid w:val="5AE45B96"/>
    <w:rsid w:val="5AE4EABE"/>
    <w:rsid w:val="5AE650E7"/>
    <w:rsid w:val="5AEAC6B9"/>
    <w:rsid w:val="5AEDCFD1"/>
    <w:rsid w:val="5AF01528"/>
    <w:rsid w:val="5AF0BD2B"/>
    <w:rsid w:val="5B060AF3"/>
    <w:rsid w:val="5B1E720D"/>
    <w:rsid w:val="5B239E07"/>
    <w:rsid w:val="5B246C8F"/>
    <w:rsid w:val="5B272C91"/>
    <w:rsid w:val="5B301E3C"/>
    <w:rsid w:val="5B3738FB"/>
    <w:rsid w:val="5B3DA791"/>
    <w:rsid w:val="5B48E16E"/>
    <w:rsid w:val="5B4E49E0"/>
    <w:rsid w:val="5B535A31"/>
    <w:rsid w:val="5B574128"/>
    <w:rsid w:val="5B575E90"/>
    <w:rsid w:val="5B586C61"/>
    <w:rsid w:val="5B59D0F8"/>
    <w:rsid w:val="5B5DC31C"/>
    <w:rsid w:val="5B65A5EB"/>
    <w:rsid w:val="5B6A8B2A"/>
    <w:rsid w:val="5B6F3113"/>
    <w:rsid w:val="5B71A84F"/>
    <w:rsid w:val="5B77366A"/>
    <w:rsid w:val="5B7832E8"/>
    <w:rsid w:val="5B89968F"/>
    <w:rsid w:val="5B904317"/>
    <w:rsid w:val="5B952ACC"/>
    <w:rsid w:val="5B95D736"/>
    <w:rsid w:val="5B97AB04"/>
    <w:rsid w:val="5BA10AC9"/>
    <w:rsid w:val="5BA21566"/>
    <w:rsid w:val="5BA33AB4"/>
    <w:rsid w:val="5BA47697"/>
    <w:rsid w:val="5BA6B45C"/>
    <w:rsid w:val="5BAB6C51"/>
    <w:rsid w:val="5BACA858"/>
    <w:rsid w:val="5BAFDAC6"/>
    <w:rsid w:val="5BB1E3BD"/>
    <w:rsid w:val="5BB1F6CF"/>
    <w:rsid w:val="5BB351EB"/>
    <w:rsid w:val="5BB456E0"/>
    <w:rsid w:val="5BB5590D"/>
    <w:rsid w:val="5BB8F600"/>
    <w:rsid w:val="5BC0FC15"/>
    <w:rsid w:val="5BC15B15"/>
    <w:rsid w:val="5BC2B0B2"/>
    <w:rsid w:val="5BC60EA7"/>
    <w:rsid w:val="5BC63612"/>
    <w:rsid w:val="5BCC5E95"/>
    <w:rsid w:val="5BCC7464"/>
    <w:rsid w:val="5BCDB7EA"/>
    <w:rsid w:val="5BCFB11E"/>
    <w:rsid w:val="5BDE6E37"/>
    <w:rsid w:val="5BEC5100"/>
    <w:rsid w:val="5BEF39D3"/>
    <w:rsid w:val="5BF237B8"/>
    <w:rsid w:val="5BF46A0B"/>
    <w:rsid w:val="5BF51A57"/>
    <w:rsid w:val="5BF7372A"/>
    <w:rsid w:val="5BFF64D1"/>
    <w:rsid w:val="5BFF9332"/>
    <w:rsid w:val="5C05BEFD"/>
    <w:rsid w:val="5C0EEF4E"/>
    <w:rsid w:val="5C0FFB20"/>
    <w:rsid w:val="5C11F3A4"/>
    <w:rsid w:val="5C123E02"/>
    <w:rsid w:val="5C15C1CB"/>
    <w:rsid w:val="5C173B79"/>
    <w:rsid w:val="5C18FB74"/>
    <w:rsid w:val="5C1DFD1A"/>
    <w:rsid w:val="5C22E2F7"/>
    <w:rsid w:val="5C2609F5"/>
    <w:rsid w:val="5C2DE0FD"/>
    <w:rsid w:val="5C3883BB"/>
    <w:rsid w:val="5C3E0431"/>
    <w:rsid w:val="5C3F43F1"/>
    <w:rsid w:val="5C45A469"/>
    <w:rsid w:val="5C4DBEF8"/>
    <w:rsid w:val="5C4DC16F"/>
    <w:rsid w:val="5C4F0E25"/>
    <w:rsid w:val="5C5274EB"/>
    <w:rsid w:val="5C55F3EC"/>
    <w:rsid w:val="5C575AD2"/>
    <w:rsid w:val="5C5BD1A9"/>
    <w:rsid w:val="5C5E0FFF"/>
    <w:rsid w:val="5C66FC58"/>
    <w:rsid w:val="5C670237"/>
    <w:rsid w:val="5C6A7840"/>
    <w:rsid w:val="5C6D087C"/>
    <w:rsid w:val="5C71B0B6"/>
    <w:rsid w:val="5C72508B"/>
    <w:rsid w:val="5C7275A5"/>
    <w:rsid w:val="5C751F5B"/>
    <w:rsid w:val="5C764B1F"/>
    <w:rsid w:val="5C7D5D89"/>
    <w:rsid w:val="5C7D6139"/>
    <w:rsid w:val="5C7F7835"/>
    <w:rsid w:val="5C804C63"/>
    <w:rsid w:val="5C8157B5"/>
    <w:rsid w:val="5C8320DB"/>
    <w:rsid w:val="5C84D721"/>
    <w:rsid w:val="5C8590F2"/>
    <w:rsid w:val="5C87A781"/>
    <w:rsid w:val="5C907953"/>
    <w:rsid w:val="5C92DE18"/>
    <w:rsid w:val="5C956CC5"/>
    <w:rsid w:val="5C98D423"/>
    <w:rsid w:val="5C9D5FB9"/>
    <w:rsid w:val="5CA2A2E4"/>
    <w:rsid w:val="5CAA658F"/>
    <w:rsid w:val="5CAF9343"/>
    <w:rsid w:val="5CBF4E9D"/>
    <w:rsid w:val="5CC11BB9"/>
    <w:rsid w:val="5CC35A0C"/>
    <w:rsid w:val="5CC6A554"/>
    <w:rsid w:val="5CC7CAB8"/>
    <w:rsid w:val="5CCA11DA"/>
    <w:rsid w:val="5CCB6DE1"/>
    <w:rsid w:val="5CCE8E1E"/>
    <w:rsid w:val="5CD06575"/>
    <w:rsid w:val="5CD1DFE7"/>
    <w:rsid w:val="5CD5DACD"/>
    <w:rsid w:val="5CD6E3C5"/>
    <w:rsid w:val="5CDA8FBB"/>
    <w:rsid w:val="5CE59617"/>
    <w:rsid w:val="5CE7F2E9"/>
    <w:rsid w:val="5CEB8B15"/>
    <w:rsid w:val="5D006212"/>
    <w:rsid w:val="5D054134"/>
    <w:rsid w:val="5D07A6C8"/>
    <w:rsid w:val="5D0986CF"/>
    <w:rsid w:val="5D184151"/>
    <w:rsid w:val="5D1D4B2E"/>
    <w:rsid w:val="5D231E05"/>
    <w:rsid w:val="5D2C8088"/>
    <w:rsid w:val="5D35C797"/>
    <w:rsid w:val="5D3837EF"/>
    <w:rsid w:val="5D3C5F78"/>
    <w:rsid w:val="5D48A64F"/>
    <w:rsid w:val="5D4A9F52"/>
    <w:rsid w:val="5D4DB76C"/>
    <w:rsid w:val="5D56F866"/>
    <w:rsid w:val="5D62556E"/>
    <w:rsid w:val="5D64D633"/>
    <w:rsid w:val="5D65758A"/>
    <w:rsid w:val="5D664EE5"/>
    <w:rsid w:val="5D672585"/>
    <w:rsid w:val="5D675B34"/>
    <w:rsid w:val="5D68197B"/>
    <w:rsid w:val="5D6AA6F5"/>
    <w:rsid w:val="5D6B228D"/>
    <w:rsid w:val="5D6E1598"/>
    <w:rsid w:val="5D6F781F"/>
    <w:rsid w:val="5D6FB091"/>
    <w:rsid w:val="5D700701"/>
    <w:rsid w:val="5D713A1E"/>
    <w:rsid w:val="5D73E498"/>
    <w:rsid w:val="5D7520E1"/>
    <w:rsid w:val="5D78A353"/>
    <w:rsid w:val="5D79EAC1"/>
    <w:rsid w:val="5D7D373C"/>
    <w:rsid w:val="5D7D5831"/>
    <w:rsid w:val="5D95B8BC"/>
    <w:rsid w:val="5D95ED4C"/>
    <w:rsid w:val="5D982D31"/>
    <w:rsid w:val="5D9AD3AC"/>
    <w:rsid w:val="5D9CED65"/>
    <w:rsid w:val="5D9D88CB"/>
    <w:rsid w:val="5DA2765B"/>
    <w:rsid w:val="5DA61BF5"/>
    <w:rsid w:val="5DB63613"/>
    <w:rsid w:val="5DB67AE2"/>
    <w:rsid w:val="5DBC1650"/>
    <w:rsid w:val="5DC05FB8"/>
    <w:rsid w:val="5DC3D5C1"/>
    <w:rsid w:val="5DC801F2"/>
    <w:rsid w:val="5DC80BCF"/>
    <w:rsid w:val="5DC9DBE6"/>
    <w:rsid w:val="5DCD38A0"/>
    <w:rsid w:val="5DCE96C6"/>
    <w:rsid w:val="5DD1005E"/>
    <w:rsid w:val="5DD1458E"/>
    <w:rsid w:val="5DDC755B"/>
    <w:rsid w:val="5DDE3323"/>
    <w:rsid w:val="5DDE8A0E"/>
    <w:rsid w:val="5DE462E1"/>
    <w:rsid w:val="5DE513A0"/>
    <w:rsid w:val="5DE52D4B"/>
    <w:rsid w:val="5DFF24F4"/>
    <w:rsid w:val="5DFF7596"/>
    <w:rsid w:val="5E098884"/>
    <w:rsid w:val="5E0C3E4B"/>
    <w:rsid w:val="5E1313AE"/>
    <w:rsid w:val="5E13CA54"/>
    <w:rsid w:val="5E15985E"/>
    <w:rsid w:val="5E199C09"/>
    <w:rsid w:val="5E19FFB8"/>
    <w:rsid w:val="5E2016E5"/>
    <w:rsid w:val="5E203ECC"/>
    <w:rsid w:val="5E215F54"/>
    <w:rsid w:val="5E2BDB7E"/>
    <w:rsid w:val="5E2EE7A7"/>
    <w:rsid w:val="5E2FCA52"/>
    <w:rsid w:val="5E350AAD"/>
    <w:rsid w:val="5E426B07"/>
    <w:rsid w:val="5E448461"/>
    <w:rsid w:val="5E46E53C"/>
    <w:rsid w:val="5E47E380"/>
    <w:rsid w:val="5E49C7D3"/>
    <w:rsid w:val="5E53394E"/>
    <w:rsid w:val="5E5E7E32"/>
    <w:rsid w:val="5E605B80"/>
    <w:rsid w:val="5E633DCA"/>
    <w:rsid w:val="5E63C9F4"/>
    <w:rsid w:val="5E64E00F"/>
    <w:rsid w:val="5E65A046"/>
    <w:rsid w:val="5E6E9E5C"/>
    <w:rsid w:val="5E6F2137"/>
    <w:rsid w:val="5E727DF5"/>
    <w:rsid w:val="5E72DD89"/>
    <w:rsid w:val="5E7B0792"/>
    <w:rsid w:val="5E7C46B6"/>
    <w:rsid w:val="5E829F1E"/>
    <w:rsid w:val="5E83D528"/>
    <w:rsid w:val="5E8AFFC4"/>
    <w:rsid w:val="5E8C9A24"/>
    <w:rsid w:val="5E9804A2"/>
    <w:rsid w:val="5EA48F02"/>
    <w:rsid w:val="5EA5C427"/>
    <w:rsid w:val="5EA69C75"/>
    <w:rsid w:val="5EA772AF"/>
    <w:rsid w:val="5EA8EDFC"/>
    <w:rsid w:val="5EAE3272"/>
    <w:rsid w:val="5EB04EA6"/>
    <w:rsid w:val="5EB8D23C"/>
    <w:rsid w:val="5EB91E5A"/>
    <w:rsid w:val="5EBC0272"/>
    <w:rsid w:val="5EBCB978"/>
    <w:rsid w:val="5EBF495B"/>
    <w:rsid w:val="5EC14F01"/>
    <w:rsid w:val="5EC2B437"/>
    <w:rsid w:val="5ECFB36A"/>
    <w:rsid w:val="5ED88415"/>
    <w:rsid w:val="5EEC8DA6"/>
    <w:rsid w:val="5EECBF71"/>
    <w:rsid w:val="5EFDB84E"/>
    <w:rsid w:val="5F0AB413"/>
    <w:rsid w:val="5F0D35CD"/>
    <w:rsid w:val="5F10DD38"/>
    <w:rsid w:val="5F129182"/>
    <w:rsid w:val="5F133A96"/>
    <w:rsid w:val="5F14F7B6"/>
    <w:rsid w:val="5F1CD795"/>
    <w:rsid w:val="5F1D328F"/>
    <w:rsid w:val="5F1E46B7"/>
    <w:rsid w:val="5F24F7EE"/>
    <w:rsid w:val="5F26BE9E"/>
    <w:rsid w:val="5F274183"/>
    <w:rsid w:val="5F2A5C25"/>
    <w:rsid w:val="5F2A9977"/>
    <w:rsid w:val="5F2D26D2"/>
    <w:rsid w:val="5F33CD36"/>
    <w:rsid w:val="5F3AF6C1"/>
    <w:rsid w:val="5F3F972B"/>
    <w:rsid w:val="5F3F99B5"/>
    <w:rsid w:val="5F4362B0"/>
    <w:rsid w:val="5F462BBD"/>
    <w:rsid w:val="5F4AD578"/>
    <w:rsid w:val="5F4AD8D1"/>
    <w:rsid w:val="5F4FE546"/>
    <w:rsid w:val="5F54ED6B"/>
    <w:rsid w:val="5F574F10"/>
    <w:rsid w:val="5F590B22"/>
    <w:rsid w:val="5F5B6219"/>
    <w:rsid w:val="5F617CF1"/>
    <w:rsid w:val="5F646869"/>
    <w:rsid w:val="5F67CCD8"/>
    <w:rsid w:val="5F705013"/>
    <w:rsid w:val="5F70D00D"/>
    <w:rsid w:val="5F74275A"/>
    <w:rsid w:val="5F7BDD2C"/>
    <w:rsid w:val="5F7CE577"/>
    <w:rsid w:val="5F7D2CFD"/>
    <w:rsid w:val="5F7D420D"/>
    <w:rsid w:val="5F84DF07"/>
    <w:rsid w:val="5F8DCC83"/>
    <w:rsid w:val="5F942C0E"/>
    <w:rsid w:val="5F96B7C0"/>
    <w:rsid w:val="5F98AD87"/>
    <w:rsid w:val="5F9A5A2D"/>
    <w:rsid w:val="5F9B1817"/>
    <w:rsid w:val="5F9ED28F"/>
    <w:rsid w:val="5F9FDCED"/>
    <w:rsid w:val="5FA2108B"/>
    <w:rsid w:val="5FA40F68"/>
    <w:rsid w:val="5FA4ECDE"/>
    <w:rsid w:val="5FA50980"/>
    <w:rsid w:val="5FA61881"/>
    <w:rsid w:val="5FA6CF05"/>
    <w:rsid w:val="5FA90009"/>
    <w:rsid w:val="5FAAB264"/>
    <w:rsid w:val="5FB1E710"/>
    <w:rsid w:val="5FBB4D29"/>
    <w:rsid w:val="5FC3194E"/>
    <w:rsid w:val="5FC63E67"/>
    <w:rsid w:val="5FC7984F"/>
    <w:rsid w:val="5FCAE40A"/>
    <w:rsid w:val="5FCB0436"/>
    <w:rsid w:val="5FCF3E50"/>
    <w:rsid w:val="5FD293D0"/>
    <w:rsid w:val="5FD88E1A"/>
    <w:rsid w:val="5FDD6533"/>
    <w:rsid w:val="5FE266D8"/>
    <w:rsid w:val="5FE483C5"/>
    <w:rsid w:val="5FE73405"/>
    <w:rsid w:val="5FF9E8E0"/>
    <w:rsid w:val="6007E69E"/>
    <w:rsid w:val="600A6D11"/>
    <w:rsid w:val="600B2D99"/>
    <w:rsid w:val="600B9D18"/>
    <w:rsid w:val="600C5232"/>
    <w:rsid w:val="60133A3D"/>
    <w:rsid w:val="6015DD3A"/>
    <w:rsid w:val="6017354F"/>
    <w:rsid w:val="60179903"/>
    <w:rsid w:val="60188801"/>
    <w:rsid w:val="6018F462"/>
    <w:rsid w:val="60239D09"/>
    <w:rsid w:val="60251EEB"/>
    <w:rsid w:val="602E91D7"/>
    <w:rsid w:val="60384AC1"/>
    <w:rsid w:val="6038A45E"/>
    <w:rsid w:val="603AF82A"/>
    <w:rsid w:val="603BEB96"/>
    <w:rsid w:val="6041BF1E"/>
    <w:rsid w:val="60469D7F"/>
    <w:rsid w:val="604AABC6"/>
    <w:rsid w:val="604EC1F0"/>
    <w:rsid w:val="605436DC"/>
    <w:rsid w:val="605E6E4E"/>
    <w:rsid w:val="6067CFBA"/>
    <w:rsid w:val="606958C0"/>
    <w:rsid w:val="606A987C"/>
    <w:rsid w:val="606B5624"/>
    <w:rsid w:val="60720413"/>
    <w:rsid w:val="607591DA"/>
    <w:rsid w:val="60779F07"/>
    <w:rsid w:val="607C87B4"/>
    <w:rsid w:val="60864330"/>
    <w:rsid w:val="608DCB55"/>
    <w:rsid w:val="60A0545C"/>
    <w:rsid w:val="60A6DD5A"/>
    <w:rsid w:val="60A7450B"/>
    <w:rsid w:val="60AC2926"/>
    <w:rsid w:val="60AD5F5D"/>
    <w:rsid w:val="60AE6CA5"/>
    <w:rsid w:val="60AEA4A2"/>
    <w:rsid w:val="60AF852A"/>
    <w:rsid w:val="60B89095"/>
    <w:rsid w:val="60BA7677"/>
    <w:rsid w:val="60BAC2EE"/>
    <w:rsid w:val="60BF4779"/>
    <w:rsid w:val="60C04B7A"/>
    <w:rsid w:val="60C158AD"/>
    <w:rsid w:val="60C61F06"/>
    <w:rsid w:val="60C8846E"/>
    <w:rsid w:val="60CC20FF"/>
    <w:rsid w:val="60D36E39"/>
    <w:rsid w:val="60D760C3"/>
    <w:rsid w:val="60D7D2DB"/>
    <w:rsid w:val="60EA041F"/>
    <w:rsid w:val="60EFC67C"/>
    <w:rsid w:val="60F29AB6"/>
    <w:rsid w:val="60F33B5B"/>
    <w:rsid w:val="60F7DC32"/>
    <w:rsid w:val="60F8C432"/>
    <w:rsid w:val="60F9AB75"/>
    <w:rsid w:val="60FCC136"/>
    <w:rsid w:val="610228CD"/>
    <w:rsid w:val="610DCFD1"/>
    <w:rsid w:val="6112CD28"/>
    <w:rsid w:val="611E74D8"/>
    <w:rsid w:val="6122BBA5"/>
    <w:rsid w:val="612803BE"/>
    <w:rsid w:val="613A60BB"/>
    <w:rsid w:val="613B512A"/>
    <w:rsid w:val="613D66D8"/>
    <w:rsid w:val="61402E97"/>
    <w:rsid w:val="61405585"/>
    <w:rsid w:val="6141F69C"/>
    <w:rsid w:val="6142F518"/>
    <w:rsid w:val="614CC62D"/>
    <w:rsid w:val="61514E9F"/>
    <w:rsid w:val="6159A308"/>
    <w:rsid w:val="615D0452"/>
    <w:rsid w:val="6166F194"/>
    <w:rsid w:val="61689D2C"/>
    <w:rsid w:val="616B9B73"/>
    <w:rsid w:val="61764510"/>
    <w:rsid w:val="617AAB64"/>
    <w:rsid w:val="617BF334"/>
    <w:rsid w:val="617E22EE"/>
    <w:rsid w:val="618CC90B"/>
    <w:rsid w:val="619B22AC"/>
    <w:rsid w:val="619DBD5D"/>
    <w:rsid w:val="619F7309"/>
    <w:rsid w:val="61A48A76"/>
    <w:rsid w:val="61A63FCB"/>
    <w:rsid w:val="61A8AE49"/>
    <w:rsid w:val="61A98940"/>
    <w:rsid w:val="61A9C947"/>
    <w:rsid w:val="61AAE057"/>
    <w:rsid w:val="61B4E48A"/>
    <w:rsid w:val="61B64B01"/>
    <w:rsid w:val="61B894D5"/>
    <w:rsid w:val="61BD5EA8"/>
    <w:rsid w:val="61C3458F"/>
    <w:rsid w:val="61D6AAAA"/>
    <w:rsid w:val="61E2243C"/>
    <w:rsid w:val="61E7B67A"/>
    <w:rsid w:val="61F25DA7"/>
    <w:rsid w:val="61F55CCE"/>
    <w:rsid w:val="61F73E44"/>
    <w:rsid w:val="61F8E6E4"/>
    <w:rsid w:val="61FEAAAF"/>
    <w:rsid w:val="61FF1827"/>
    <w:rsid w:val="620736BA"/>
    <w:rsid w:val="62101A0C"/>
    <w:rsid w:val="62132DEA"/>
    <w:rsid w:val="6215DEFE"/>
    <w:rsid w:val="622E644C"/>
    <w:rsid w:val="622E7217"/>
    <w:rsid w:val="62301D6A"/>
    <w:rsid w:val="623352EE"/>
    <w:rsid w:val="6235AD75"/>
    <w:rsid w:val="623A500A"/>
    <w:rsid w:val="623C76B1"/>
    <w:rsid w:val="6241DA6B"/>
    <w:rsid w:val="62448AF6"/>
    <w:rsid w:val="6245610B"/>
    <w:rsid w:val="62473525"/>
    <w:rsid w:val="624F9816"/>
    <w:rsid w:val="6250628F"/>
    <w:rsid w:val="62539118"/>
    <w:rsid w:val="6258C456"/>
    <w:rsid w:val="625EF956"/>
    <w:rsid w:val="6267DD53"/>
    <w:rsid w:val="6276D0E2"/>
    <w:rsid w:val="627731CB"/>
    <w:rsid w:val="627C55CF"/>
    <w:rsid w:val="6281317B"/>
    <w:rsid w:val="62856EC7"/>
    <w:rsid w:val="628C288B"/>
    <w:rsid w:val="628C6C72"/>
    <w:rsid w:val="628C95B7"/>
    <w:rsid w:val="629113D8"/>
    <w:rsid w:val="62977133"/>
    <w:rsid w:val="629A60D6"/>
    <w:rsid w:val="629B3125"/>
    <w:rsid w:val="629CCCE5"/>
    <w:rsid w:val="62AE2AE0"/>
    <w:rsid w:val="62B67DDC"/>
    <w:rsid w:val="62B8BBA9"/>
    <w:rsid w:val="62BD5F58"/>
    <w:rsid w:val="62BDF6B1"/>
    <w:rsid w:val="62C0E055"/>
    <w:rsid w:val="62C12811"/>
    <w:rsid w:val="62D6A7FF"/>
    <w:rsid w:val="62E08874"/>
    <w:rsid w:val="62E24F66"/>
    <w:rsid w:val="62E96733"/>
    <w:rsid w:val="62F1AA75"/>
    <w:rsid w:val="62F69B66"/>
    <w:rsid w:val="62F81908"/>
    <w:rsid w:val="62FD56D8"/>
    <w:rsid w:val="62FFF6B8"/>
    <w:rsid w:val="63009527"/>
    <w:rsid w:val="6307A5B9"/>
    <w:rsid w:val="6307B350"/>
    <w:rsid w:val="6309B628"/>
    <w:rsid w:val="630C9412"/>
    <w:rsid w:val="631004AC"/>
    <w:rsid w:val="6311AFE1"/>
    <w:rsid w:val="63176A3D"/>
    <w:rsid w:val="6321AFF8"/>
    <w:rsid w:val="6323562F"/>
    <w:rsid w:val="63265481"/>
    <w:rsid w:val="632EB647"/>
    <w:rsid w:val="632F97CD"/>
    <w:rsid w:val="63337DF9"/>
    <w:rsid w:val="63342976"/>
    <w:rsid w:val="63383A46"/>
    <w:rsid w:val="63387AD0"/>
    <w:rsid w:val="63407B3D"/>
    <w:rsid w:val="6343C6F3"/>
    <w:rsid w:val="63470F31"/>
    <w:rsid w:val="634A2257"/>
    <w:rsid w:val="634B4D3B"/>
    <w:rsid w:val="634E9E86"/>
    <w:rsid w:val="6353208D"/>
    <w:rsid w:val="6353B2C0"/>
    <w:rsid w:val="635767E2"/>
    <w:rsid w:val="636215ED"/>
    <w:rsid w:val="6362D5C9"/>
    <w:rsid w:val="636382D0"/>
    <w:rsid w:val="636BC5EC"/>
    <w:rsid w:val="636CF3A0"/>
    <w:rsid w:val="636F9A64"/>
    <w:rsid w:val="6373B05C"/>
    <w:rsid w:val="6376CBFC"/>
    <w:rsid w:val="6378AB47"/>
    <w:rsid w:val="637E096E"/>
    <w:rsid w:val="6382C6D4"/>
    <w:rsid w:val="63835BF2"/>
    <w:rsid w:val="6384A9F9"/>
    <w:rsid w:val="6386CF3A"/>
    <w:rsid w:val="63898EF3"/>
    <w:rsid w:val="6389D009"/>
    <w:rsid w:val="638D91CF"/>
    <w:rsid w:val="638EBD2A"/>
    <w:rsid w:val="639B0BF9"/>
    <w:rsid w:val="639DF1C1"/>
    <w:rsid w:val="63A3BA97"/>
    <w:rsid w:val="63A5156E"/>
    <w:rsid w:val="63A53C82"/>
    <w:rsid w:val="63AB6F1A"/>
    <w:rsid w:val="63ABD41F"/>
    <w:rsid w:val="63ABF375"/>
    <w:rsid w:val="63AEE7FC"/>
    <w:rsid w:val="63AF0361"/>
    <w:rsid w:val="63B39692"/>
    <w:rsid w:val="63B40178"/>
    <w:rsid w:val="63B56B47"/>
    <w:rsid w:val="63B9F17C"/>
    <w:rsid w:val="63BA3137"/>
    <w:rsid w:val="63BF1D48"/>
    <w:rsid w:val="63BF5366"/>
    <w:rsid w:val="63C44BD7"/>
    <w:rsid w:val="63C4584A"/>
    <w:rsid w:val="63C62028"/>
    <w:rsid w:val="63C935D0"/>
    <w:rsid w:val="63CA21A6"/>
    <w:rsid w:val="63CA4CED"/>
    <w:rsid w:val="63CC95FB"/>
    <w:rsid w:val="63CF40BA"/>
    <w:rsid w:val="63D2CC0A"/>
    <w:rsid w:val="63D9EB11"/>
    <w:rsid w:val="63DD69F0"/>
    <w:rsid w:val="63E4E3D5"/>
    <w:rsid w:val="63E50506"/>
    <w:rsid w:val="63EB2A9B"/>
    <w:rsid w:val="63EBFE63"/>
    <w:rsid w:val="63ED64BF"/>
    <w:rsid w:val="63F1C5AA"/>
    <w:rsid w:val="63F34668"/>
    <w:rsid w:val="63F47A9A"/>
    <w:rsid w:val="63F6295A"/>
    <w:rsid w:val="63FF8F4D"/>
    <w:rsid w:val="640064C3"/>
    <w:rsid w:val="64022E57"/>
    <w:rsid w:val="6402F38B"/>
    <w:rsid w:val="64060285"/>
    <w:rsid w:val="640C7A19"/>
    <w:rsid w:val="6411AB32"/>
    <w:rsid w:val="6418BBF4"/>
    <w:rsid w:val="641B8170"/>
    <w:rsid w:val="641C5E55"/>
    <w:rsid w:val="641C9B54"/>
    <w:rsid w:val="641D0AEE"/>
    <w:rsid w:val="64223313"/>
    <w:rsid w:val="64259DFA"/>
    <w:rsid w:val="6426BB04"/>
    <w:rsid w:val="6426C28B"/>
    <w:rsid w:val="6432985E"/>
    <w:rsid w:val="64368270"/>
    <w:rsid w:val="6437DA86"/>
    <w:rsid w:val="643AD077"/>
    <w:rsid w:val="643E3E89"/>
    <w:rsid w:val="64426D92"/>
    <w:rsid w:val="644317F8"/>
    <w:rsid w:val="64442963"/>
    <w:rsid w:val="644BF729"/>
    <w:rsid w:val="644C8212"/>
    <w:rsid w:val="644FBF04"/>
    <w:rsid w:val="645CF1B6"/>
    <w:rsid w:val="645D3CB1"/>
    <w:rsid w:val="645F0128"/>
    <w:rsid w:val="645F1CC5"/>
    <w:rsid w:val="6464E815"/>
    <w:rsid w:val="646C308C"/>
    <w:rsid w:val="6476AC73"/>
    <w:rsid w:val="6480AC7F"/>
    <w:rsid w:val="648260C9"/>
    <w:rsid w:val="6491F8A6"/>
    <w:rsid w:val="649A1338"/>
    <w:rsid w:val="649E78E5"/>
    <w:rsid w:val="649FF41D"/>
    <w:rsid w:val="64A235DE"/>
    <w:rsid w:val="64A2DF52"/>
    <w:rsid w:val="64A2EA62"/>
    <w:rsid w:val="64A3C6F7"/>
    <w:rsid w:val="64A8BEB4"/>
    <w:rsid w:val="64AC1377"/>
    <w:rsid w:val="64B4AE40"/>
    <w:rsid w:val="64B63B2C"/>
    <w:rsid w:val="64BD874C"/>
    <w:rsid w:val="64C1D2F1"/>
    <w:rsid w:val="64C31108"/>
    <w:rsid w:val="64C6A2E0"/>
    <w:rsid w:val="64C6AE15"/>
    <w:rsid w:val="64D183EC"/>
    <w:rsid w:val="64D236C4"/>
    <w:rsid w:val="64D2EE4F"/>
    <w:rsid w:val="64DBB0AE"/>
    <w:rsid w:val="64E764C0"/>
    <w:rsid w:val="64EFFD00"/>
    <w:rsid w:val="64F36961"/>
    <w:rsid w:val="64F5A4FD"/>
    <w:rsid w:val="64FB21CC"/>
    <w:rsid w:val="64FD0C1E"/>
    <w:rsid w:val="65004D71"/>
    <w:rsid w:val="650157E9"/>
    <w:rsid w:val="6503A999"/>
    <w:rsid w:val="65056C4A"/>
    <w:rsid w:val="65069519"/>
    <w:rsid w:val="650AAB86"/>
    <w:rsid w:val="650B4C94"/>
    <w:rsid w:val="65130BE2"/>
    <w:rsid w:val="651A81B8"/>
    <w:rsid w:val="651D5096"/>
    <w:rsid w:val="651DA56B"/>
    <w:rsid w:val="6520D7A8"/>
    <w:rsid w:val="652D9C1F"/>
    <w:rsid w:val="653B7A75"/>
    <w:rsid w:val="653D216B"/>
    <w:rsid w:val="65409D2F"/>
    <w:rsid w:val="6547B46C"/>
    <w:rsid w:val="6547C3D6"/>
    <w:rsid w:val="654C1522"/>
    <w:rsid w:val="654C868E"/>
    <w:rsid w:val="654CBEB1"/>
    <w:rsid w:val="65513FDF"/>
    <w:rsid w:val="655466D0"/>
    <w:rsid w:val="6554F320"/>
    <w:rsid w:val="6557882C"/>
    <w:rsid w:val="6557D6D7"/>
    <w:rsid w:val="65617EA7"/>
    <w:rsid w:val="656616B8"/>
    <w:rsid w:val="65662B96"/>
    <w:rsid w:val="6566CF14"/>
    <w:rsid w:val="65721F2A"/>
    <w:rsid w:val="6575092C"/>
    <w:rsid w:val="657D5538"/>
    <w:rsid w:val="657E505D"/>
    <w:rsid w:val="657F98A3"/>
    <w:rsid w:val="6581F331"/>
    <w:rsid w:val="65855D06"/>
    <w:rsid w:val="6589E3B2"/>
    <w:rsid w:val="658DDCD3"/>
    <w:rsid w:val="6592583B"/>
    <w:rsid w:val="6597BAF7"/>
    <w:rsid w:val="659F7E15"/>
    <w:rsid w:val="65A0E404"/>
    <w:rsid w:val="65A17932"/>
    <w:rsid w:val="65A7DD9E"/>
    <w:rsid w:val="65AACCE4"/>
    <w:rsid w:val="65AF3ED1"/>
    <w:rsid w:val="65BA8BEF"/>
    <w:rsid w:val="65C0C9F9"/>
    <w:rsid w:val="65C1662C"/>
    <w:rsid w:val="65C5F1A7"/>
    <w:rsid w:val="65C6BD56"/>
    <w:rsid w:val="65CA3A1E"/>
    <w:rsid w:val="65CD74CF"/>
    <w:rsid w:val="65E06DA0"/>
    <w:rsid w:val="65E07070"/>
    <w:rsid w:val="65E1D094"/>
    <w:rsid w:val="65E2D336"/>
    <w:rsid w:val="65E2EB66"/>
    <w:rsid w:val="65E821F5"/>
    <w:rsid w:val="65EB51BC"/>
    <w:rsid w:val="65F8C217"/>
    <w:rsid w:val="65F9951D"/>
    <w:rsid w:val="65FA4548"/>
    <w:rsid w:val="65FEE3C6"/>
    <w:rsid w:val="66017594"/>
    <w:rsid w:val="6601ABCF"/>
    <w:rsid w:val="66031490"/>
    <w:rsid w:val="66049253"/>
    <w:rsid w:val="6604B5AA"/>
    <w:rsid w:val="66079B8D"/>
    <w:rsid w:val="660BE80C"/>
    <w:rsid w:val="660C7CDD"/>
    <w:rsid w:val="660D657E"/>
    <w:rsid w:val="66112A27"/>
    <w:rsid w:val="661282D2"/>
    <w:rsid w:val="661B209A"/>
    <w:rsid w:val="6621BCC4"/>
    <w:rsid w:val="6629C840"/>
    <w:rsid w:val="66314863"/>
    <w:rsid w:val="6633F728"/>
    <w:rsid w:val="663C6E0F"/>
    <w:rsid w:val="663CFFD2"/>
    <w:rsid w:val="663F2B74"/>
    <w:rsid w:val="663F7A29"/>
    <w:rsid w:val="6641BED8"/>
    <w:rsid w:val="6644D5F8"/>
    <w:rsid w:val="6650D097"/>
    <w:rsid w:val="665B9880"/>
    <w:rsid w:val="665C9C2F"/>
    <w:rsid w:val="6660A075"/>
    <w:rsid w:val="66660CC2"/>
    <w:rsid w:val="66666C83"/>
    <w:rsid w:val="6666EE53"/>
    <w:rsid w:val="666A227A"/>
    <w:rsid w:val="6671E8A9"/>
    <w:rsid w:val="667A6132"/>
    <w:rsid w:val="6681E2DE"/>
    <w:rsid w:val="668800E0"/>
    <w:rsid w:val="66896F48"/>
    <w:rsid w:val="668D74A9"/>
    <w:rsid w:val="6694013A"/>
    <w:rsid w:val="6695701B"/>
    <w:rsid w:val="669DAB18"/>
    <w:rsid w:val="669F6778"/>
    <w:rsid w:val="66A14719"/>
    <w:rsid w:val="66A49EA9"/>
    <w:rsid w:val="66AFC63B"/>
    <w:rsid w:val="66B05F37"/>
    <w:rsid w:val="66B067A8"/>
    <w:rsid w:val="66B894A5"/>
    <w:rsid w:val="66BE3860"/>
    <w:rsid w:val="66C2E9C6"/>
    <w:rsid w:val="66CD4DEF"/>
    <w:rsid w:val="66D21C3D"/>
    <w:rsid w:val="66D37300"/>
    <w:rsid w:val="66D8212A"/>
    <w:rsid w:val="66DD2165"/>
    <w:rsid w:val="66E1D7F6"/>
    <w:rsid w:val="66E39F98"/>
    <w:rsid w:val="66E92E14"/>
    <w:rsid w:val="66EC722B"/>
    <w:rsid w:val="66EDBE90"/>
    <w:rsid w:val="66F0CEB8"/>
    <w:rsid w:val="66F837D8"/>
    <w:rsid w:val="66FE6EBD"/>
    <w:rsid w:val="67063120"/>
    <w:rsid w:val="670B7220"/>
    <w:rsid w:val="670E92BA"/>
    <w:rsid w:val="67134C9D"/>
    <w:rsid w:val="671A9CA3"/>
    <w:rsid w:val="671FD43C"/>
    <w:rsid w:val="672970CB"/>
    <w:rsid w:val="672F0D4E"/>
    <w:rsid w:val="6737E0A7"/>
    <w:rsid w:val="673871BD"/>
    <w:rsid w:val="673C55F9"/>
    <w:rsid w:val="673F0724"/>
    <w:rsid w:val="6743A98B"/>
    <w:rsid w:val="6743F76F"/>
    <w:rsid w:val="6747941F"/>
    <w:rsid w:val="674B79D1"/>
    <w:rsid w:val="675289C7"/>
    <w:rsid w:val="675CD7CE"/>
    <w:rsid w:val="675EA57F"/>
    <w:rsid w:val="675F036B"/>
    <w:rsid w:val="6761C301"/>
    <w:rsid w:val="6761D3A1"/>
    <w:rsid w:val="676A9DBF"/>
    <w:rsid w:val="676B29A4"/>
    <w:rsid w:val="676B7CCB"/>
    <w:rsid w:val="676DC4DD"/>
    <w:rsid w:val="676F19B3"/>
    <w:rsid w:val="677170E7"/>
    <w:rsid w:val="677220BD"/>
    <w:rsid w:val="6774F097"/>
    <w:rsid w:val="67764D90"/>
    <w:rsid w:val="677B4756"/>
    <w:rsid w:val="677DFE51"/>
    <w:rsid w:val="6782760A"/>
    <w:rsid w:val="678597E3"/>
    <w:rsid w:val="678AA40D"/>
    <w:rsid w:val="67903460"/>
    <w:rsid w:val="6790AD30"/>
    <w:rsid w:val="6797D71A"/>
    <w:rsid w:val="679BAF60"/>
    <w:rsid w:val="679E9EB5"/>
    <w:rsid w:val="679F41E3"/>
    <w:rsid w:val="67A00EAF"/>
    <w:rsid w:val="67A2E748"/>
    <w:rsid w:val="67A78693"/>
    <w:rsid w:val="67A7889C"/>
    <w:rsid w:val="67A9FDAB"/>
    <w:rsid w:val="67B14CFF"/>
    <w:rsid w:val="67B58837"/>
    <w:rsid w:val="67B9FECD"/>
    <w:rsid w:val="67BA08CC"/>
    <w:rsid w:val="67BEF5AC"/>
    <w:rsid w:val="67C34D19"/>
    <w:rsid w:val="67C65920"/>
    <w:rsid w:val="67C72CB0"/>
    <w:rsid w:val="67CB6F68"/>
    <w:rsid w:val="67CD451F"/>
    <w:rsid w:val="67CFAF06"/>
    <w:rsid w:val="67D451B8"/>
    <w:rsid w:val="67DB1061"/>
    <w:rsid w:val="67DB67B6"/>
    <w:rsid w:val="67DC719C"/>
    <w:rsid w:val="67DD6A50"/>
    <w:rsid w:val="67E472E7"/>
    <w:rsid w:val="67E47998"/>
    <w:rsid w:val="67EA57A0"/>
    <w:rsid w:val="67EE1614"/>
    <w:rsid w:val="67F5BCD2"/>
    <w:rsid w:val="67FD8938"/>
    <w:rsid w:val="680035EA"/>
    <w:rsid w:val="68083614"/>
    <w:rsid w:val="6808FFBD"/>
    <w:rsid w:val="680BA750"/>
    <w:rsid w:val="680F4537"/>
    <w:rsid w:val="680F4784"/>
    <w:rsid w:val="6813BE6D"/>
    <w:rsid w:val="68168D5D"/>
    <w:rsid w:val="681A97F8"/>
    <w:rsid w:val="681BE711"/>
    <w:rsid w:val="681C4E5F"/>
    <w:rsid w:val="68227A8D"/>
    <w:rsid w:val="682974F8"/>
    <w:rsid w:val="6834C6A3"/>
    <w:rsid w:val="683716D1"/>
    <w:rsid w:val="683FF198"/>
    <w:rsid w:val="684D6075"/>
    <w:rsid w:val="684D8B48"/>
    <w:rsid w:val="684ECFAB"/>
    <w:rsid w:val="6855A0BF"/>
    <w:rsid w:val="68570843"/>
    <w:rsid w:val="685BB14A"/>
    <w:rsid w:val="686238D7"/>
    <w:rsid w:val="68674E72"/>
    <w:rsid w:val="68685C02"/>
    <w:rsid w:val="6868B7ED"/>
    <w:rsid w:val="68691CBA"/>
    <w:rsid w:val="686B23FC"/>
    <w:rsid w:val="686DCBB4"/>
    <w:rsid w:val="686EF9F8"/>
    <w:rsid w:val="686EFA3F"/>
    <w:rsid w:val="68750445"/>
    <w:rsid w:val="6877DB09"/>
    <w:rsid w:val="6879007A"/>
    <w:rsid w:val="687EA48E"/>
    <w:rsid w:val="68812315"/>
    <w:rsid w:val="6883136B"/>
    <w:rsid w:val="6883196F"/>
    <w:rsid w:val="68843A8C"/>
    <w:rsid w:val="688589E0"/>
    <w:rsid w:val="688E41CA"/>
    <w:rsid w:val="688E5C33"/>
    <w:rsid w:val="6892C400"/>
    <w:rsid w:val="68942820"/>
    <w:rsid w:val="6899DAFA"/>
    <w:rsid w:val="68A868CE"/>
    <w:rsid w:val="68AFAB6E"/>
    <w:rsid w:val="68AFDD3C"/>
    <w:rsid w:val="68B63E63"/>
    <w:rsid w:val="68BB2A25"/>
    <w:rsid w:val="68C8CC17"/>
    <w:rsid w:val="68CC69BA"/>
    <w:rsid w:val="68E0F706"/>
    <w:rsid w:val="68E1C71F"/>
    <w:rsid w:val="68E608DD"/>
    <w:rsid w:val="68ED65E9"/>
    <w:rsid w:val="68F1C619"/>
    <w:rsid w:val="68F46AF1"/>
    <w:rsid w:val="68FA419F"/>
    <w:rsid w:val="68FCB35D"/>
    <w:rsid w:val="68FCC4E4"/>
    <w:rsid w:val="68FF9C00"/>
    <w:rsid w:val="69004D3B"/>
    <w:rsid w:val="69024FE0"/>
    <w:rsid w:val="690AB415"/>
    <w:rsid w:val="6913FFBC"/>
    <w:rsid w:val="6914E62F"/>
    <w:rsid w:val="6915C374"/>
    <w:rsid w:val="6919D596"/>
    <w:rsid w:val="691DD5DD"/>
    <w:rsid w:val="69215C86"/>
    <w:rsid w:val="69243DCF"/>
    <w:rsid w:val="692891E8"/>
    <w:rsid w:val="692937A5"/>
    <w:rsid w:val="692E6D52"/>
    <w:rsid w:val="692EDAF3"/>
    <w:rsid w:val="6935A15F"/>
    <w:rsid w:val="6936C5FB"/>
    <w:rsid w:val="6937EDA1"/>
    <w:rsid w:val="693F7CB5"/>
    <w:rsid w:val="69468F63"/>
    <w:rsid w:val="6950D893"/>
    <w:rsid w:val="6958B43A"/>
    <w:rsid w:val="695C60A5"/>
    <w:rsid w:val="695E0E3E"/>
    <w:rsid w:val="69637C5B"/>
    <w:rsid w:val="69661F8F"/>
    <w:rsid w:val="6966587E"/>
    <w:rsid w:val="696CCD59"/>
    <w:rsid w:val="6974CF7E"/>
    <w:rsid w:val="69805134"/>
    <w:rsid w:val="6980879F"/>
    <w:rsid w:val="69862801"/>
    <w:rsid w:val="698CDE35"/>
    <w:rsid w:val="699043AF"/>
    <w:rsid w:val="69914EE3"/>
    <w:rsid w:val="699158CD"/>
    <w:rsid w:val="699235D5"/>
    <w:rsid w:val="699639B3"/>
    <w:rsid w:val="69964EE3"/>
    <w:rsid w:val="69A37418"/>
    <w:rsid w:val="69A5C1FF"/>
    <w:rsid w:val="69A7DB06"/>
    <w:rsid w:val="69A9D0FC"/>
    <w:rsid w:val="69AF32FC"/>
    <w:rsid w:val="69AF9052"/>
    <w:rsid w:val="69B20101"/>
    <w:rsid w:val="69BA27B7"/>
    <w:rsid w:val="69BCBC5F"/>
    <w:rsid w:val="69BE5695"/>
    <w:rsid w:val="69C2B2A2"/>
    <w:rsid w:val="69C4DCA5"/>
    <w:rsid w:val="69C7AF28"/>
    <w:rsid w:val="69C9B51C"/>
    <w:rsid w:val="69D13B5A"/>
    <w:rsid w:val="69D664FE"/>
    <w:rsid w:val="69D7DE97"/>
    <w:rsid w:val="69D7E688"/>
    <w:rsid w:val="69DAA55F"/>
    <w:rsid w:val="69DABF67"/>
    <w:rsid w:val="69E8F732"/>
    <w:rsid w:val="69EF85AF"/>
    <w:rsid w:val="69F5412B"/>
    <w:rsid w:val="69F610BE"/>
    <w:rsid w:val="69F624E7"/>
    <w:rsid w:val="69F7466C"/>
    <w:rsid w:val="6A01F554"/>
    <w:rsid w:val="6A0608AB"/>
    <w:rsid w:val="6A0EFC7F"/>
    <w:rsid w:val="6A0FBBB5"/>
    <w:rsid w:val="6A113636"/>
    <w:rsid w:val="6A15B25B"/>
    <w:rsid w:val="6A186DE8"/>
    <w:rsid w:val="6A1B9CA0"/>
    <w:rsid w:val="6A1CA6C1"/>
    <w:rsid w:val="6A1D1830"/>
    <w:rsid w:val="6A2043A7"/>
    <w:rsid w:val="6A21AE5C"/>
    <w:rsid w:val="6A2F949F"/>
    <w:rsid w:val="6A374EE8"/>
    <w:rsid w:val="6A387B1B"/>
    <w:rsid w:val="6A3DF05F"/>
    <w:rsid w:val="6A461FB6"/>
    <w:rsid w:val="6A512F7B"/>
    <w:rsid w:val="6A56A094"/>
    <w:rsid w:val="6A56F71B"/>
    <w:rsid w:val="6A57B521"/>
    <w:rsid w:val="6A597BF3"/>
    <w:rsid w:val="6A66C4B8"/>
    <w:rsid w:val="6A67C1CE"/>
    <w:rsid w:val="6A795778"/>
    <w:rsid w:val="6A7A8D47"/>
    <w:rsid w:val="6A7C5E47"/>
    <w:rsid w:val="6A812A4C"/>
    <w:rsid w:val="6A81A57C"/>
    <w:rsid w:val="6A846B09"/>
    <w:rsid w:val="6A85DF89"/>
    <w:rsid w:val="6A8C9B97"/>
    <w:rsid w:val="6A8D0666"/>
    <w:rsid w:val="6A8FD90E"/>
    <w:rsid w:val="6A92DCAC"/>
    <w:rsid w:val="6A9406A3"/>
    <w:rsid w:val="6A95834B"/>
    <w:rsid w:val="6A95FC23"/>
    <w:rsid w:val="6A97A8AB"/>
    <w:rsid w:val="6A9F8CA0"/>
    <w:rsid w:val="6AA0A216"/>
    <w:rsid w:val="6AA93865"/>
    <w:rsid w:val="6AAAB712"/>
    <w:rsid w:val="6AADAE09"/>
    <w:rsid w:val="6AB05320"/>
    <w:rsid w:val="6AB2CE6F"/>
    <w:rsid w:val="6AB4A7EA"/>
    <w:rsid w:val="6AB4E880"/>
    <w:rsid w:val="6AB591EC"/>
    <w:rsid w:val="6AB776E4"/>
    <w:rsid w:val="6AB95775"/>
    <w:rsid w:val="6AB9C041"/>
    <w:rsid w:val="6ABA934B"/>
    <w:rsid w:val="6AC1F1C0"/>
    <w:rsid w:val="6AC2B803"/>
    <w:rsid w:val="6AC5180D"/>
    <w:rsid w:val="6AC59646"/>
    <w:rsid w:val="6AC6B1D8"/>
    <w:rsid w:val="6AC6E23E"/>
    <w:rsid w:val="6ADA9734"/>
    <w:rsid w:val="6ADACCE9"/>
    <w:rsid w:val="6AE3A4C6"/>
    <w:rsid w:val="6AE78C28"/>
    <w:rsid w:val="6AE7F668"/>
    <w:rsid w:val="6AE94F11"/>
    <w:rsid w:val="6AEB1ACE"/>
    <w:rsid w:val="6AF1DA70"/>
    <w:rsid w:val="6AF34CA2"/>
    <w:rsid w:val="6AF425B9"/>
    <w:rsid w:val="6AF77E15"/>
    <w:rsid w:val="6AF8B015"/>
    <w:rsid w:val="6AFDFF8F"/>
    <w:rsid w:val="6AFF00F0"/>
    <w:rsid w:val="6B09DBD1"/>
    <w:rsid w:val="6B10321B"/>
    <w:rsid w:val="6B159D4D"/>
    <w:rsid w:val="6B1B5B87"/>
    <w:rsid w:val="6B20011B"/>
    <w:rsid w:val="6B23BD82"/>
    <w:rsid w:val="6B24EB14"/>
    <w:rsid w:val="6B2D0541"/>
    <w:rsid w:val="6B369706"/>
    <w:rsid w:val="6B37D648"/>
    <w:rsid w:val="6B39CC42"/>
    <w:rsid w:val="6B39F66F"/>
    <w:rsid w:val="6B3A56F6"/>
    <w:rsid w:val="6B3C71C1"/>
    <w:rsid w:val="6B3D1834"/>
    <w:rsid w:val="6B46C40D"/>
    <w:rsid w:val="6B498DD8"/>
    <w:rsid w:val="6B49AB89"/>
    <w:rsid w:val="6B4ADAD1"/>
    <w:rsid w:val="6B542838"/>
    <w:rsid w:val="6B5B8052"/>
    <w:rsid w:val="6B5F5139"/>
    <w:rsid w:val="6B67E85E"/>
    <w:rsid w:val="6B6A0B19"/>
    <w:rsid w:val="6B6FADCF"/>
    <w:rsid w:val="6B704D31"/>
    <w:rsid w:val="6B761858"/>
    <w:rsid w:val="6B77DE45"/>
    <w:rsid w:val="6B7DF8B6"/>
    <w:rsid w:val="6B83CEDE"/>
    <w:rsid w:val="6B8AB764"/>
    <w:rsid w:val="6B8C7A0F"/>
    <w:rsid w:val="6B8F7A68"/>
    <w:rsid w:val="6B90F926"/>
    <w:rsid w:val="6B92CAD9"/>
    <w:rsid w:val="6B936724"/>
    <w:rsid w:val="6B98C293"/>
    <w:rsid w:val="6B9ACC40"/>
    <w:rsid w:val="6B9AF201"/>
    <w:rsid w:val="6B9CC86E"/>
    <w:rsid w:val="6BA15C66"/>
    <w:rsid w:val="6BA2E161"/>
    <w:rsid w:val="6BA3D0CB"/>
    <w:rsid w:val="6BA4A7AC"/>
    <w:rsid w:val="6BA5514D"/>
    <w:rsid w:val="6BA7CC8A"/>
    <w:rsid w:val="6BAA9CF4"/>
    <w:rsid w:val="6BAF4A5C"/>
    <w:rsid w:val="6BAFE2A6"/>
    <w:rsid w:val="6BB0BE5E"/>
    <w:rsid w:val="6BB4BBAE"/>
    <w:rsid w:val="6BB6E547"/>
    <w:rsid w:val="6BB7107C"/>
    <w:rsid w:val="6BB7CE74"/>
    <w:rsid w:val="6BB91C5D"/>
    <w:rsid w:val="6BBC2833"/>
    <w:rsid w:val="6BBCC167"/>
    <w:rsid w:val="6BBDF0D6"/>
    <w:rsid w:val="6BC08178"/>
    <w:rsid w:val="6BCCADC9"/>
    <w:rsid w:val="6BCDE497"/>
    <w:rsid w:val="6BD318B3"/>
    <w:rsid w:val="6BD58BB9"/>
    <w:rsid w:val="6BD83325"/>
    <w:rsid w:val="6BD97704"/>
    <w:rsid w:val="6BDA52E6"/>
    <w:rsid w:val="6BDD0278"/>
    <w:rsid w:val="6BE1AF4B"/>
    <w:rsid w:val="6BE5195C"/>
    <w:rsid w:val="6BE98506"/>
    <w:rsid w:val="6BEADE18"/>
    <w:rsid w:val="6BF10455"/>
    <w:rsid w:val="6BF92FDD"/>
    <w:rsid w:val="6BFB132E"/>
    <w:rsid w:val="6BFC6321"/>
    <w:rsid w:val="6BFF325E"/>
    <w:rsid w:val="6BFFCC22"/>
    <w:rsid w:val="6C0107FD"/>
    <w:rsid w:val="6C0193F3"/>
    <w:rsid w:val="6C07DEAB"/>
    <w:rsid w:val="6C088C76"/>
    <w:rsid w:val="6C093BF6"/>
    <w:rsid w:val="6C0CC796"/>
    <w:rsid w:val="6C0DE509"/>
    <w:rsid w:val="6C100844"/>
    <w:rsid w:val="6C1225E5"/>
    <w:rsid w:val="6C14FA0C"/>
    <w:rsid w:val="6C1577B6"/>
    <w:rsid w:val="6C168D09"/>
    <w:rsid w:val="6C1B38AA"/>
    <w:rsid w:val="6C1D8436"/>
    <w:rsid w:val="6C1D98AB"/>
    <w:rsid w:val="6C2D3312"/>
    <w:rsid w:val="6C30E8F5"/>
    <w:rsid w:val="6C36F430"/>
    <w:rsid w:val="6C397FB9"/>
    <w:rsid w:val="6C3A9155"/>
    <w:rsid w:val="6C3D8FF3"/>
    <w:rsid w:val="6C4482A4"/>
    <w:rsid w:val="6C464D99"/>
    <w:rsid w:val="6C4DE75B"/>
    <w:rsid w:val="6C4E9ED0"/>
    <w:rsid w:val="6C55211D"/>
    <w:rsid w:val="6C57BEFA"/>
    <w:rsid w:val="6C676851"/>
    <w:rsid w:val="6C68A37F"/>
    <w:rsid w:val="6C6C64F0"/>
    <w:rsid w:val="6C6F03C1"/>
    <w:rsid w:val="6C6F0C9B"/>
    <w:rsid w:val="6C6F377E"/>
    <w:rsid w:val="6C71EEDE"/>
    <w:rsid w:val="6C736602"/>
    <w:rsid w:val="6C738721"/>
    <w:rsid w:val="6C7471E7"/>
    <w:rsid w:val="6C7667F4"/>
    <w:rsid w:val="6C7A58E2"/>
    <w:rsid w:val="6C7AC0F6"/>
    <w:rsid w:val="6C7C7474"/>
    <w:rsid w:val="6C7CF6DF"/>
    <w:rsid w:val="6C7EE929"/>
    <w:rsid w:val="6C85768B"/>
    <w:rsid w:val="6C862886"/>
    <w:rsid w:val="6C8ADE06"/>
    <w:rsid w:val="6C8AE4C7"/>
    <w:rsid w:val="6C8E2368"/>
    <w:rsid w:val="6C8EA473"/>
    <w:rsid w:val="6C92B18C"/>
    <w:rsid w:val="6C94841F"/>
    <w:rsid w:val="6C94BE39"/>
    <w:rsid w:val="6C9BB26B"/>
    <w:rsid w:val="6C9D293E"/>
    <w:rsid w:val="6C9FEF92"/>
    <w:rsid w:val="6CA10878"/>
    <w:rsid w:val="6CA1EDFC"/>
    <w:rsid w:val="6CA26B44"/>
    <w:rsid w:val="6CA584AD"/>
    <w:rsid w:val="6CA8A0E8"/>
    <w:rsid w:val="6CB0696B"/>
    <w:rsid w:val="6CB4DC7D"/>
    <w:rsid w:val="6CB66E84"/>
    <w:rsid w:val="6CBA72FB"/>
    <w:rsid w:val="6CBB66EE"/>
    <w:rsid w:val="6CBED45D"/>
    <w:rsid w:val="6CC0B285"/>
    <w:rsid w:val="6CC3E0E1"/>
    <w:rsid w:val="6CC43809"/>
    <w:rsid w:val="6CC5C029"/>
    <w:rsid w:val="6CC82094"/>
    <w:rsid w:val="6CCD25FB"/>
    <w:rsid w:val="6CE8FC8F"/>
    <w:rsid w:val="6CEAAC76"/>
    <w:rsid w:val="6CF0D292"/>
    <w:rsid w:val="6CF24C7B"/>
    <w:rsid w:val="6CF36E78"/>
    <w:rsid w:val="6CF42103"/>
    <w:rsid w:val="6CF4AC79"/>
    <w:rsid w:val="6CF7BC27"/>
    <w:rsid w:val="6CF990C1"/>
    <w:rsid w:val="6CFBFFCD"/>
    <w:rsid w:val="6CFDA28B"/>
    <w:rsid w:val="6D0190C2"/>
    <w:rsid w:val="6D132E0D"/>
    <w:rsid w:val="6D155ADF"/>
    <w:rsid w:val="6D1B44C1"/>
    <w:rsid w:val="6D1E21F7"/>
    <w:rsid w:val="6D2242CE"/>
    <w:rsid w:val="6D22E882"/>
    <w:rsid w:val="6D2B1514"/>
    <w:rsid w:val="6D2D66F3"/>
    <w:rsid w:val="6D2FF136"/>
    <w:rsid w:val="6D348AFE"/>
    <w:rsid w:val="6D34E45D"/>
    <w:rsid w:val="6D43090E"/>
    <w:rsid w:val="6D4A07DD"/>
    <w:rsid w:val="6D4BC722"/>
    <w:rsid w:val="6D5332C9"/>
    <w:rsid w:val="6D5649B5"/>
    <w:rsid w:val="6D60F57D"/>
    <w:rsid w:val="6D62625D"/>
    <w:rsid w:val="6D64DEF8"/>
    <w:rsid w:val="6D6C3F5B"/>
    <w:rsid w:val="6D6FEEC1"/>
    <w:rsid w:val="6D7423EC"/>
    <w:rsid w:val="6D769341"/>
    <w:rsid w:val="6D78C846"/>
    <w:rsid w:val="6D79D5F8"/>
    <w:rsid w:val="6D7AD24C"/>
    <w:rsid w:val="6D7FDE00"/>
    <w:rsid w:val="6D8B7D62"/>
    <w:rsid w:val="6D92CBB4"/>
    <w:rsid w:val="6D97FC11"/>
    <w:rsid w:val="6D9D87D2"/>
    <w:rsid w:val="6D9EA63B"/>
    <w:rsid w:val="6DA2CB1B"/>
    <w:rsid w:val="6DA38D99"/>
    <w:rsid w:val="6DA7AA06"/>
    <w:rsid w:val="6DACAB02"/>
    <w:rsid w:val="6DAFCB86"/>
    <w:rsid w:val="6DB32827"/>
    <w:rsid w:val="6DB8234E"/>
    <w:rsid w:val="6DBE061E"/>
    <w:rsid w:val="6DC18ABB"/>
    <w:rsid w:val="6DC2708E"/>
    <w:rsid w:val="6DC29D36"/>
    <w:rsid w:val="6DCEA99F"/>
    <w:rsid w:val="6DCEFCCA"/>
    <w:rsid w:val="6DD39B85"/>
    <w:rsid w:val="6DD41610"/>
    <w:rsid w:val="6DD81EC3"/>
    <w:rsid w:val="6DDE2BBC"/>
    <w:rsid w:val="6DDF62DB"/>
    <w:rsid w:val="6DE0B864"/>
    <w:rsid w:val="6DE9891D"/>
    <w:rsid w:val="6DEB5780"/>
    <w:rsid w:val="6DF3B53E"/>
    <w:rsid w:val="6DF57A2A"/>
    <w:rsid w:val="6DF6742C"/>
    <w:rsid w:val="6DF878AF"/>
    <w:rsid w:val="6DFC3787"/>
    <w:rsid w:val="6DFD6D30"/>
    <w:rsid w:val="6DFF40C5"/>
    <w:rsid w:val="6E011E26"/>
    <w:rsid w:val="6E0806FD"/>
    <w:rsid w:val="6E0C6695"/>
    <w:rsid w:val="6E159E13"/>
    <w:rsid w:val="6E188874"/>
    <w:rsid w:val="6E1971EF"/>
    <w:rsid w:val="6E1B555E"/>
    <w:rsid w:val="6E1E899F"/>
    <w:rsid w:val="6E237544"/>
    <w:rsid w:val="6E2459D8"/>
    <w:rsid w:val="6E269E1D"/>
    <w:rsid w:val="6E284A51"/>
    <w:rsid w:val="6E2B8DDF"/>
    <w:rsid w:val="6E353C8E"/>
    <w:rsid w:val="6E375A4B"/>
    <w:rsid w:val="6E37BBC2"/>
    <w:rsid w:val="6E407423"/>
    <w:rsid w:val="6E47AA71"/>
    <w:rsid w:val="6E49F7DF"/>
    <w:rsid w:val="6E4B6E70"/>
    <w:rsid w:val="6E4B8A77"/>
    <w:rsid w:val="6E4C111D"/>
    <w:rsid w:val="6E4EBB74"/>
    <w:rsid w:val="6E4FD3E0"/>
    <w:rsid w:val="6E529D68"/>
    <w:rsid w:val="6E542125"/>
    <w:rsid w:val="6E604269"/>
    <w:rsid w:val="6E689102"/>
    <w:rsid w:val="6E6974F4"/>
    <w:rsid w:val="6E699376"/>
    <w:rsid w:val="6E6AF2D0"/>
    <w:rsid w:val="6E6B7B7A"/>
    <w:rsid w:val="6E6D5A05"/>
    <w:rsid w:val="6E6DE0CD"/>
    <w:rsid w:val="6E772FE0"/>
    <w:rsid w:val="6E7EA979"/>
    <w:rsid w:val="6E8423B0"/>
    <w:rsid w:val="6E88A3EA"/>
    <w:rsid w:val="6E92EB43"/>
    <w:rsid w:val="6E9A9BCF"/>
    <w:rsid w:val="6EA1E5AC"/>
    <w:rsid w:val="6EA1F302"/>
    <w:rsid w:val="6EA301D9"/>
    <w:rsid w:val="6EA8D640"/>
    <w:rsid w:val="6EAD7CBA"/>
    <w:rsid w:val="6EB2294B"/>
    <w:rsid w:val="6EB244FB"/>
    <w:rsid w:val="6EBCA414"/>
    <w:rsid w:val="6EBF164F"/>
    <w:rsid w:val="6EC1E011"/>
    <w:rsid w:val="6EC2D6E8"/>
    <w:rsid w:val="6EC53DA4"/>
    <w:rsid w:val="6EC66FA4"/>
    <w:rsid w:val="6ECA1017"/>
    <w:rsid w:val="6ECAAC71"/>
    <w:rsid w:val="6EE2C69E"/>
    <w:rsid w:val="6EE31FFF"/>
    <w:rsid w:val="6EE3CA0C"/>
    <w:rsid w:val="6EE6443F"/>
    <w:rsid w:val="6EE82264"/>
    <w:rsid w:val="6EEA5A82"/>
    <w:rsid w:val="6EEAD60A"/>
    <w:rsid w:val="6EEADCC7"/>
    <w:rsid w:val="6EF5E910"/>
    <w:rsid w:val="6EF80E4D"/>
    <w:rsid w:val="6EFCFAF6"/>
    <w:rsid w:val="6EFE6FEC"/>
    <w:rsid w:val="6F01610D"/>
    <w:rsid w:val="6F05C73E"/>
    <w:rsid w:val="6F0CE8EB"/>
    <w:rsid w:val="6F1162BD"/>
    <w:rsid w:val="6F166A72"/>
    <w:rsid w:val="6F1B9EE2"/>
    <w:rsid w:val="6F1F8D32"/>
    <w:rsid w:val="6F1FB18C"/>
    <w:rsid w:val="6F207FD9"/>
    <w:rsid w:val="6F225919"/>
    <w:rsid w:val="6F2C4634"/>
    <w:rsid w:val="6F37AFED"/>
    <w:rsid w:val="6F3AC3A4"/>
    <w:rsid w:val="6F3DE016"/>
    <w:rsid w:val="6F412A00"/>
    <w:rsid w:val="6F4923F3"/>
    <w:rsid w:val="6F4C83A0"/>
    <w:rsid w:val="6F50BF07"/>
    <w:rsid w:val="6F5B7774"/>
    <w:rsid w:val="6F5D0AAA"/>
    <w:rsid w:val="6F5DA9F1"/>
    <w:rsid w:val="6F6136FB"/>
    <w:rsid w:val="6F62703B"/>
    <w:rsid w:val="6F667828"/>
    <w:rsid w:val="6F667EF5"/>
    <w:rsid w:val="6F677238"/>
    <w:rsid w:val="6F68AB02"/>
    <w:rsid w:val="6F6D1760"/>
    <w:rsid w:val="6F77B22D"/>
    <w:rsid w:val="6F7BBA03"/>
    <w:rsid w:val="6F80BE8A"/>
    <w:rsid w:val="6F8B21A0"/>
    <w:rsid w:val="6F8C079F"/>
    <w:rsid w:val="6F8CB685"/>
    <w:rsid w:val="6F911AFA"/>
    <w:rsid w:val="6F959C7A"/>
    <w:rsid w:val="6F961901"/>
    <w:rsid w:val="6F9D75E8"/>
    <w:rsid w:val="6FA7D6C0"/>
    <w:rsid w:val="6FB46BA5"/>
    <w:rsid w:val="6FBD5192"/>
    <w:rsid w:val="6FC10132"/>
    <w:rsid w:val="6FC3EEBB"/>
    <w:rsid w:val="6FCAAB6F"/>
    <w:rsid w:val="6FCB687C"/>
    <w:rsid w:val="6FCB8955"/>
    <w:rsid w:val="6FD5ECED"/>
    <w:rsid w:val="6FD77106"/>
    <w:rsid w:val="6FE6F6CE"/>
    <w:rsid w:val="6FEC7E75"/>
    <w:rsid w:val="6FEDA5DB"/>
    <w:rsid w:val="6FF2714E"/>
    <w:rsid w:val="6FF43F35"/>
    <w:rsid w:val="6FF8A6AC"/>
    <w:rsid w:val="6FF9D64F"/>
    <w:rsid w:val="6FFACAD6"/>
    <w:rsid w:val="7001828A"/>
    <w:rsid w:val="70070285"/>
    <w:rsid w:val="70073C41"/>
    <w:rsid w:val="700BE61D"/>
    <w:rsid w:val="700FB313"/>
    <w:rsid w:val="7014C81F"/>
    <w:rsid w:val="7016B558"/>
    <w:rsid w:val="70186CFA"/>
    <w:rsid w:val="701946DF"/>
    <w:rsid w:val="701B0228"/>
    <w:rsid w:val="70200D24"/>
    <w:rsid w:val="7020DEBD"/>
    <w:rsid w:val="703EC5F7"/>
    <w:rsid w:val="7044619D"/>
    <w:rsid w:val="704E1341"/>
    <w:rsid w:val="70566C44"/>
    <w:rsid w:val="705721EC"/>
    <w:rsid w:val="70582F27"/>
    <w:rsid w:val="705C9EF3"/>
    <w:rsid w:val="706034C3"/>
    <w:rsid w:val="70638C64"/>
    <w:rsid w:val="706585A1"/>
    <w:rsid w:val="706D2F09"/>
    <w:rsid w:val="706E4C83"/>
    <w:rsid w:val="706EE8B6"/>
    <w:rsid w:val="706FFCD0"/>
    <w:rsid w:val="707F8811"/>
    <w:rsid w:val="70811500"/>
    <w:rsid w:val="7081F252"/>
    <w:rsid w:val="70854349"/>
    <w:rsid w:val="708F2F51"/>
    <w:rsid w:val="7091CA17"/>
    <w:rsid w:val="70994379"/>
    <w:rsid w:val="7099B89E"/>
    <w:rsid w:val="70A57530"/>
    <w:rsid w:val="70A9DFFA"/>
    <w:rsid w:val="70AD1F06"/>
    <w:rsid w:val="70AF0226"/>
    <w:rsid w:val="70B47CFE"/>
    <w:rsid w:val="70B4FFE3"/>
    <w:rsid w:val="70B669A2"/>
    <w:rsid w:val="70BC7E72"/>
    <w:rsid w:val="70C25E17"/>
    <w:rsid w:val="70CE9B6F"/>
    <w:rsid w:val="70CEF99B"/>
    <w:rsid w:val="70DAA945"/>
    <w:rsid w:val="70DC29DE"/>
    <w:rsid w:val="70DD0A5F"/>
    <w:rsid w:val="70DEFB5A"/>
    <w:rsid w:val="70DF22AE"/>
    <w:rsid w:val="70E83172"/>
    <w:rsid w:val="70EA04D7"/>
    <w:rsid w:val="70EB7458"/>
    <w:rsid w:val="70EDC746"/>
    <w:rsid w:val="70F234BB"/>
    <w:rsid w:val="70F2AE2B"/>
    <w:rsid w:val="70F69E68"/>
    <w:rsid w:val="70FDDDEF"/>
    <w:rsid w:val="7110DEA9"/>
    <w:rsid w:val="711195A7"/>
    <w:rsid w:val="7118938F"/>
    <w:rsid w:val="711B5130"/>
    <w:rsid w:val="71253615"/>
    <w:rsid w:val="7125A84E"/>
    <w:rsid w:val="7125C07B"/>
    <w:rsid w:val="71272588"/>
    <w:rsid w:val="712A634C"/>
    <w:rsid w:val="712BCFA1"/>
    <w:rsid w:val="712CCAEE"/>
    <w:rsid w:val="71334ACA"/>
    <w:rsid w:val="71409549"/>
    <w:rsid w:val="71428BF8"/>
    <w:rsid w:val="7146FE0C"/>
    <w:rsid w:val="7147A389"/>
    <w:rsid w:val="71496BAD"/>
    <w:rsid w:val="714B0C8B"/>
    <w:rsid w:val="714DC2F7"/>
    <w:rsid w:val="7155D449"/>
    <w:rsid w:val="715DEFAE"/>
    <w:rsid w:val="7164FE59"/>
    <w:rsid w:val="7168D84C"/>
    <w:rsid w:val="716F30D4"/>
    <w:rsid w:val="7175A6FC"/>
    <w:rsid w:val="717C02BB"/>
    <w:rsid w:val="717D4736"/>
    <w:rsid w:val="717EBA66"/>
    <w:rsid w:val="718615F4"/>
    <w:rsid w:val="718CF742"/>
    <w:rsid w:val="718D2541"/>
    <w:rsid w:val="71915B6F"/>
    <w:rsid w:val="7193AEB2"/>
    <w:rsid w:val="71965A05"/>
    <w:rsid w:val="71969C54"/>
    <w:rsid w:val="7198B3B6"/>
    <w:rsid w:val="719BEEC1"/>
    <w:rsid w:val="719CE5E0"/>
    <w:rsid w:val="71A48BCC"/>
    <w:rsid w:val="71A49548"/>
    <w:rsid w:val="71A7D60B"/>
    <w:rsid w:val="71B2ECEB"/>
    <w:rsid w:val="71BA6BE0"/>
    <w:rsid w:val="71BCE408"/>
    <w:rsid w:val="71BD399F"/>
    <w:rsid w:val="71BD9F0E"/>
    <w:rsid w:val="71BE4C6E"/>
    <w:rsid w:val="71C04563"/>
    <w:rsid w:val="71D532EF"/>
    <w:rsid w:val="71D6087E"/>
    <w:rsid w:val="71D6D79E"/>
    <w:rsid w:val="71DB3C25"/>
    <w:rsid w:val="71DDE2BA"/>
    <w:rsid w:val="71EA3D6B"/>
    <w:rsid w:val="71EB0169"/>
    <w:rsid w:val="71EF5F25"/>
    <w:rsid w:val="71EFBFFA"/>
    <w:rsid w:val="71F59AF5"/>
    <w:rsid w:val="71FB6DDA"/>
    <w:rsid w:val="71FD5237"/>
    <w:rsid w:val="71FDD5F6"/>
    <w:rsid w:val="71FF2AC1"/>
    <w:rsid w:val="720147CF"/>
    <w:rsid w:val="7204113A"/>
    <w:rsid w:val="7206BEFC"/>
    <w:rsid w:val="7206ECA1"/>
    <w:rsid w:val="72078623"/>
    <w:rsid w:val="720DA39E"/>
    <w:rsid w:val="720F8210"/>
    <w:rsid w:val="721443EF"/>
    <w:rsid w:val="72163370"/>
    <w:rsid w:val="72195169"/>
    <w:rsid w:val="721AB63B"/>
    <w:rsid w:val="7222D4C8"/>
    <w:rsid w:val="7222D9BE"/>
    <w:rsid w:val="7222FE3A"/>
    <w:rsid w:val="72260DEB"/>
    <w:rsid w:val="7229D2F9"/>
    <w:rsid w:val="722C49CC"/>
    <w:rsid w:val="722D342C"/>
    <w:rsid w:val="7240063B"/>
    <w:rsid w:val="724131E8"/>
    <w:rsid w:val="7245C346"/>
    <w:rsid w:val="724A0C07"/>
    <w:rsid w:val="724F8B58"/>
    <w:rsid w:val="72561DDB"/>
    <w:rsid w:val="725CEE0A"/>
    <w:rsid w:val="725ECDBF"/>
    <w:rsid w:val="725F39D7"/>
    <w:rsid w:val="7264FAAB"/>
    <w:rsid w:val="7266EA50"/>
    <w:rsid w:val="726912BB"/>
    <w:rsid w:val="726AB6CB"/>
    <w:rsid w:val="72705F2A"/>
    <w:rsid w:val="727301E1"/>
    <w:rsid w:val="7276399E"/>
    <w:rsid w:val="72780CB4"/>
    <w:rsid w:val="7278E1F6"/>
    <w:rsid w:val="727A9A8A"/>
    <w:rsid w:val="727CC5F4"/>
    <w:rsid w:val="727FDC33"/>
    <w:rsid w:val="72811709"/>
    <w:rsid w:val="72813CC7"/>
    <w:rsid w:val="72850BC4"/>
    <w:rsid w:val="7288997E"/>
    <w:rsid w:val="72892D5C"/>
    <w:rsid w:val="728A4F80"/>
    <w:rsid w:val="72962342"/>
    <w:rsid w:val="729B4792"/>
    <w:rsid w:val="729C0BD1"/>
    <w:rsid w:val="72A0DE8C"/>
    <w:rsid w:val="72AC3B7B"/>
    <w:rsid w:val="72BA0971"/>
    <w:rsid w:val="72BD3605"/>
    <w:rsid w:val="72BE7045"/>
    <w:rsid w:val="72CF1034"/>
    <w:rsid w:val="72D5161A"/>
    <w:rsid w:val="72D587B4"/>
    <w:rsid w:val="72D5D340"/>
    <w:rsid w:val="72D673A5"/>
    <w:rsid w:val="72D6D5BB"/>
    <w:rsid w:val="72DD5144"/>
    <w:rsid w:val="72E4CEE2"/>
    <w:rsid w:val="72E7459B"/>
    <w:rsid w:val="72F1DC2F"/>
    <w:rsid w:val="72F55111"/>
    <w:rsid w:val="72F93DCF"/>
    <w:rsid w:val="72FBF4E7"/>
    <w:rsid w:val="7301040E"/>
    <w:rsid w:val="73083D34"/>
    <w:rsid w:val="730E530D"/>
    <w:rsid w:val="730E6DB5"/>
    <w:rsid w:val="7312F38A"/>
    <w:rsid w:val="731E7E99"/>
    <w:rsid w:val="731F8DE4"/>
    <w:rsid w:val="73217437"/>
    <w:rsid w:val="7321C0BE"/>
    <w:rsid w:val="7323D8B3"/>
    <w:rsid w:val="7325319D"/>
    <w:rsid w:val="73260FAD"/>
    <w:rsid w:val="732770BC"/>
    <w:rsid w:val="7327766B"/>
    <w:rsid w:val="7327B8BD"/>
    <w:rsid w:val="732D5976"/>
    <w:rsid w:val="73389948"/>
    <w:rsid w:val="73390637"/>
    <w:rsid w:val="733B1DC8"/>
    <w:rsid w:val="7341D4A3"/>
    <w:rsid w:val="73463F4C"/>
    <w:rsid w:val="734659C0"/>
    <w:rsid w:val="73482898"/>
    <w:rsid w:val="734C2636"/>
    <w:rsid w:val="734C31E0"/>
    <w:rsid w:val="734E6072"/>
    <w:rsid w:val="73526927"/>
    <w:rsid w:val="7354FA23"/>
    <w:rsid w:val="735A9622"/>
    <w:rsid w:val="735B1A5D"/>
    <w:rsid w:val="736A0583"/>
    <w:rsid w:val="736CDA21"/>
    <w:rsid w:val="7373ACD9"/>
    <w:rsid w:val="73749D92"/>
    <w:rsid w:val="7376621C"/>
    <w:rsid w:val="7378B697"/>
    <w:rsid w:val="737B5439"/>
    <w:rsid w:val="737DF8AF"/>
    <w:rsid w:val="737F74CC"/>
    <w:rsid w:val="7380BD4E"/>
    <w:rsid w:val="738A97E5"/>
    <w:rsid w:val="7390AC6E"/>
    <w:rsid w:val="739C867C"/>
    <w:rsid w:val="739EC3D4"/>
    <w:rsid w:val="73A6D048"/>
    <w:rsid w:val="73AE1C23"/>
    <w:rsid w:val="73B25580"/>
    <w:rsid w:val="73B6607B"/>
    <w:rsid w:val="73BD66C4"/>
    <w:rsid w:val="73CAE671"/>
    <w:rsid w:val="73CF3770"/>
    <w:rsid w:val="73D5CFD0"/>
    <w:rsid w:val="73D62217"/>
    <w:rsid w:val="73D91373"/>
    <w:rsid w:val="73DA4E08"/>
    <w:rsid w:val="73DC4610"/>
    <w:rsid w:val="73DF3B83"/>
    <w:rsid w:val="73DF9C11"/>
    <w:rsid w:val="73E43178"/>
    <w:rsid w:val="73EB2DAA"/>
    <w:rsid w:val="73F04047"/>
    <w:rsid w:val="73F2C178"/>
    <w:rsid w:val="73F4906D"/>
    <w:rsid w:val="73F83E63"/>
    <w:rsid w:val="73FA0A12"/>
    <w:rsid w:val="7400C15E"/>
    <w:rsid w:val="74014AB7"/>
    <w:rsid w:val="7401A3B9"/>
    <w:rsid w:val="74113A62"/>
    <w:rsid w:val="74129574"/>
    <w:rsid w:val="7412A88B"/>
    <w:rsid w:val="7412BBB5"/>
    <w:rsid w:val="741403A6"/>
    <w:rsid w:val="74140D10"/>
    <w:rsid w:val="741EAD41"/>
    <w:rsid w:val="7420ECA5"/>
    <w:rsid w:val="74221E9A"/>
    <w:rsid w:val="742C9F0A"/>
    <w:rsid w:val="74394CCD"/>
    <w:rsid w:val="743AB56B"/>
    <w:rsid w:val="74425EF6"/>
    <w:rsid w:val="7442FE4C"/>
    <w:rsid w:val="7447150D"/>
    <w:rsid w:val="744EA674"/>
    <w:rsid w:val="745E01FE"/>
    <w:rsid w:val="745E2FAA"/>
    <w:rsid w:val="74600D4F"/>
    <w:rsid w:val="746D61AD"/>
    <w:rsid w:val="746DA444"/>
    <w:rsid w:val="7476B985"/>
    <w:rsid w:val="74773033"/>
    <w:rsid w:val="747E30ED"/>
    <w:rsid w:val="747ED669"/>
    <w:rsid w:val="747FD8DE"/>
    <w:rsid w:val="7483951F"/>
    <w:rsid w:val="7484901E"/>
    <w:rsid w:val="7485371E"/>
    <w:rsid w:val="748D5FD8"/>
    <w:rsid w:val="7490496F"/>
    <w:rsid w:val="7492B0F1"/>
    <w:rsid w:val="74949302"/>
    <w:rsid w:val="749BCF35"/>
    <w:rsid w:val="749E20D9"/>
    <w:rsid w:val="749E64F9"/>
    <w:rsid w:val="74A3F94D"/>
    <w:rsid w:val="74A82CC9"/>
    <w:rsid w:val="74ABEADC"/>
    <w:rsid w:val="74AFDCF3"/>
    <w:rsid w:val="74B2AE8B"/>
    <w:rsid w:val="74B329A3"/>
    <w:rsid w:val="74B50339"/>
    <w:rsid w:val="74B55118"/>
    <w:rsid w:val="74BB9268"/>
    <w:rsid w:val="74C22C35"/>
    <w:rsid w:val="74C2C06C"/>
    <w:rsid w:val="74C2C1B5"/>
    <w:rsid w:val="74DD2D1C"/>
    <w:rsid w:val="74E0FE93"/>
    <w:rsid w:val="74E2E9C0"/>
    <w:rsid w:val="74E3FABA"/>
    <w:rsid w:val="74E8EE19"/>
    <w:rsid w:val="74E94259"/>
    <w:rsid w:val="74EA4EC3"/>
    <w:rsid w:val="74F60D45"/>
    <w:rsid w:val="750036A2"/>
    <w:rsid w:val="75025F67"/>
    <w:rsid w:val="7504B00E"/>
    <w:rsid w:val="7507F290"/>
    <w:rsid w:val="750ACBC7"/>
    <w:rsid w:val="750BE041"/>
    <w:rsid w:val="750D9B2C"/>
    <w:rsid w:val="750E9732"/>
    <w:rsid w:val="75154537"/>
    <w:rsid w:val="751B1125"/>
    <w:rsid w:val="751EFBCF"/>
    <w:rsid w:val="7521F901"/>
    <w:rsid w:val="7523713E"/>
    <w:rsid w:val="7525C274"/>
    <w:rsid w:val="752A4457"/>
    <w:rsid w:val="752B9084"/>
    <w:rsid w:val="7530AB66"/>
    <w:rsid w:val="753190A7"/>
    <w:rsid w:val="75377F85"/>
    <w:rsid w:val="753A0FD9"/>
    <w:rsid w:val="753B53A1"/>
    <w:rsid w:val="753BA51B"/>
    <w:rsid w:val="753C9CF0"/>
    <w:rsid w:val="753E9128"/>
    <w:rsid w:val="754121AA"/>
    <w:rsid w:val="7542D8FD"/>
    <w:rsid w:val="7542F233"/>
    <w:rsid w:val="75459522"/>
    <w:rsid w:val="7548DFC2"/>
    <w:rsid w:val="7555D002"/>
    <w:rsid w:val="75566D7B"/>
    <w:rsid w:val="755C8000"/>
    <w:rsid w:val="755EBD5A"/>
    <w:rsid w:val="75663AFE"/>
    <w:rsid w:val="75664D06"/>
    <w:rsid w:val="7568C7D8"/>
    <w:rsid w:val="756E6BD1"/>
    <w:rsid w:val="7570DA55"/>
    <w:rsid w:val="75721C3E"/>
    <w:rsid w:val="7574ACB2"/>
    <w:rsid w:val="75765231"/>
    <w:rsid w:val="757B48EC"/>
    <w:rsid w:val="757B5756"/>
    <w:rsid w:val="757CED74"/>
    <w:rsid w:val="7589118E"/>
    <w:rsid w:val="758B4736"/>
    <w:rsid w:val="758DC7E6"/>
    <w:rsid w:val="7593F4C2"/>
    <w:rsid w:val="75A2A6E5"/>
    <w:rsid w:val="75A5D570"/>
    <w:rsid w:val="75A73D66"/>
    <w:rsid w:val="75B31DA1"/>
    <w:rsid w:val="75BDE69E"/>
    <w:rsid w:val="75C43E0C"/>
    <w:rsid w:val="75C4FED4"/>
    <w:rsid w:val="75CE30AA"/>
    <w:rsid w:val="75D2F8A7"/>
    <w:rsid w:val="75D6E934"/>
    <w:rsid w:val="75E32B39"/>
    <w:rsid w:val="75E78071"/>
    <w:rsid w:val="75EA883F"/>
    <w:rsid w:val="75EB0FF3"/>
    <w:rsid w:val="75EB6832"/>
    <w:rsid w:val="75EF4D1E"/>
    <w:rsid w:val="75F1F241"/>
    <w:rsid w:val="75F4BCD0"/>
    <w:rsid w:val="75F7AA6C"/>
    <w:rsid w:val="75F9990C"/>
    <w:rsid w:val="75FFCCD0"/>
    <w:rsid w:val="75FFED03"/>
    <w:rsid w:val="7601E505"/>
    <w:rsid w:val="76026F94"/>
    <w:rsid w:val="76032D74"/>
    <w:rsid w:val="76047A86"/>
    <w:rsid w:val="7604C248"/>
    <w:rsid w:val="76055868"/>
    <w:rsid w:val="76079738"/>
    <w:rsid w:val="761EBE5A"/>
    <w:rsid w:val="762C8658"/>
    <w:rsid w:val="762EC425"/>
    <w:rsid w:val="7633F715"/>
    <w:rsid w:val="76340BAE"/>
    <w:rsid w:val="76370861"/>
    <w:rsid w:val="7639C228"/>
    <w:rsid w:val="763B0D6C"/>
    <w:rsid w:val="763F2378"/>
    <w:rsid w:val="7640D70D"/>
    <w:rsid w:val="7641A6AD"/>
    <w:rsid w:val="7646A73A"/>
    <w:rsid w:val="764BF2F8"/>
    <w:rsid w:val="7652DA76"/>
    <w:rsid w:val="76537A04"/>
    <w:rsid w:val="7655E429"/>
    <w:rsid w:val="7657E403"/>
    <w:rsid w:val="7657F539"/>
    <w:rsid w:val="7665D272"/>
    <w:rsid w:val="766EF5E1"/>
    <w:rsid w:val="76753099"/>
    <w:rsid w:val="7675F24C"/>
    <w:rsid w:val="76778EFB"/>
    <w:rsid w:val="767BD657"/>
    <w:rsid w:val="767C8572"/>
    <w:rsid w:val="767DF279"/>
    <w:rsid w:val="768577A8"/>
    <w:rsid w:val="768EF40D"/>
    <w:rsid w:val="769582AF"/>
    <w:rsid w:val="769631E7"/>
    <w:rsid w:val="769E82AC"/>
    <w:rsid w:val="76A02DEA"/>
    <w:rsid w:val="76A6828F"/>
    <w:rsid w:val="76A6A1C5"/>
    <w:rsid w:val="76B3EFB7"/>
    <w:rsid w:val="76B6B969"/>
    <w:rsid w:val="76BB23AB"/>
    <w:rsid w:val="76C356D1"/>
    <w:rsid w:val="76C8EC85"/>
    <w:rsid w:val="76C98833"/>
    <w:rsid w:val="76CAE465"/>
    <w:rsid w:val="76CB2B8E"/>
    <w:rsid w:val="76CCBD17"/>
    <w:rsid w:val="76D2C4DE"/>
    <w:rsid w:val="76D44C08"/>
    <w:rsid w:val="76D59F4F"/>
    <w:rsid w:val="76D59F92"/>
    <w:rsid w:val="76D6E239"/>
    <w:rsid w:val="76DC123C"/>
    <w:rsid w:val="76DF237A"/>
    <w:rsid w:val="76E41183"/>
    <w:rsid w:val="76E424AB"/>
    <w:rsid w:val="76E5E44F"/>
    <w:rsid w:val="76E7A566"/>
    <w:rsid w:val="76E84E02"/>
    <w:rsid w:val="76ED349B"/>
    <w:rsid w:val="76EF48CE"/>
    <w:rsid w:val="76F11EDD"/>
    <w:rsid w:val="76F14EBF"/>
    <w:rsid w:val="76F5D6C0"/>
    <w:rsid w:val="76F8AB5F"/>
    <w:rsid w:val="77078E87"/>
    <w:rsid w:val="7707D7C3"/>
    <w:rsid w:val="77126E4E"/>
    <w:rsid w:val="7717654C"/>
    <w:rsid w:val="7728B857"/>
    <w:rsid w:val="7730C54E"/>
    <w:rsid w:val="7737964B"/>
    <w:rsid w:val="7737E7A4"/>
    <w:rsid w:val="7738DFA4"/>
    <w:rsid w:val="773B3D90"/>
    <w:rsid w:val="7742CD57"/>
    <w:rsid w:val="774D1EFD"/>
    <w:rsid w:val="774D3C06"/>
    <w:rsid w:val="775140EB"/>
    <w:rsid w:val="77527804"/>
    <w:rsid w:val="77582797"/>
    <w:rsid w:val="775836C8"/>
    <w:rsid w:val="7759EA83"/>
    <w:rsid w:val="775BF3D9"/>
    <w:rsid w:val="776102CC"/>
    <w:rsid w:val="7761EAB4"/>
    <w:rsid w:val="776668C2"/>
    <w:rsid w:val="776DF331"/>
    <w:rsid w:val="776E348B"/>
    <w:rsid w:val="77749601"/>
    <w:rsid w:val="77787F92"/>
    <w:rsid w:val="77793200"/>
    <w:rsid w:val="777CA755"/>
    <w:rsid w:val="777F7328"/>
    <w:rsid w:val="778620D6"/>
    <w:rsid w:val="778B4DAF"/>
    <w:rsid w:val="77937394"/>
    <w:rsid w:val="77990459"/>
    <w:rsid w:val="779FFB2C"/>
    <w:rsid w:val="77A2D022"/>
    <w:rsid w:val="77A2DEBD"/>
    <w:rsid w:val="77A73D6E"/>
    <w:rsid w:val="77A97D59"/>
    <w:rsid w:val="77A9CC71"/>
    <w:rsid w:val="77AA29D7"/>
    <w:rsid w:val="77ABC499"/>
    <w:rsid w:val="77AC97E8"/>
    <w:rsid w:val="77AF3708"/>
    <w:rsid w:val="77B49B60"/>
    <w:rsid w:val="77B50514"/>
    <w:rsid w:val="77B69BB2"/>
    <w:rsid w:val="77B91CE7"/>
    <w:rsid w:val="77BCC372"/>
    <w:rsid w:val="77C53537"/>
    <w:rsid w:val="77CCDE92"/>
    <w:rsid w:val="77D2B1E6"/>
    <w:rsid w:val="77D684BD"/>
    <w:rsid w:val="77D6BA89"/>
    <w:rsid w:val="77D734E7"/>
    <w:rsid w:val="77D933D7"/>
    <w:rsid w:val="77DA551B"/>
    <w:rsid w:val="77E3BB62"/>
    <w:rsid w:val="77E582C0"/>
    <w:rsid w:val="77E70431"/>
    <w:rsid w:val="77EC58AE"/>
    <w:rsid w:val="77EC6015"/>
    <w:rsid w:val="77EF0BA5"/>
    <w:rsid w:val="77F466F3"/>
    <w:rsid w:val="77F7F801"/>
    <w:rsid w:val="77F89675"/>
    <w:rsid w:val="77F9A09E"/>
    <w:rsid w:val="77F9EC22"/>
    <w:rsid w:val="7800B852"/>
    <w:rsid w:val="7800CCF7"/>
    <w:rsid w:val="78052631"/>
    <w:rsid w:val="780BD831"/>
    <w:rsid w:val="78104936"/>
    <w:rsid w:val="7813A4AD"/>
    <w:rsid w:val="7818874E"/>
    <w:rsid w:val="78189A28"/>
    <w:rsid w:val="7821CB1A"/>
    <w:rsid w:val="7826C733"/>
    <w:rsid w:val="7827678A"/>
    <w:rsid w:val="7828480B"/>
    <w:rsid w:val="782B9002"/>
    <w:rsid w:val="782D5911"/>
    <w:rsid w:val="782EC1DE"/>
    <w:rsid w:val="78353C5E"/>
    <w:rsid w:val="784F1FC4"/>
    <w:rsid w:val="7851FC0A"/>
    <w:rsid w:val="78538841"/>
    <w:rsid w:val="785AB652"/>
    <w:rsid w:val="785C2DB5"/>
    <w:rsid w:val="785FCE3E"/>
    <w:rsid w:val="7863F432"/>
    <w:rsid w:val="7865C291"/>
    <w:rsid w:val="7866E66C"/>
    <w:rsid w:val="786FF7C5"/>
    <w:rsid w:val="7871EFDD"/>
    <w:rsid w:val="787E953F"/>
    <w:rsid w:val="787EB4DF"/>
    <w:rsid w:val="787FF852"/>
    <w:rsid w:val="787FFB1A"/>
    <w:rsid w:val="788291E0"/>
    <w:rsid w:val="78865A82"/>
    <w:rsid w:val="78874D4B"/>
    <w:rsid w:val="788AF254"/>
    <w:rsid w:val="788B1D34"/>
    <w:rsid w:val="788C1C28"/>
    <w:rsid w:val="788D5E0F"/>
    <w:rsid w:val="788D9FF4"/>
    <w:rsid w:val="78901DE2"/>
    <w:rsid w:val="78929A04"/>
    <w:rsid w:val="789C0695"/>
    <w:rsid w:val="78A1D8E6"/>
    <w:rsid w:val="78B015C5"/>
    <w:rsid w:val="78B57E17"/>
    <w:rsid w:val="78B70215"/>
    <w:rsid w:val="78BB64F1"/>
    <w:rsid w:val="78BC2C39"/>
    <w:rsid w:val="78BD61FB"/>
    <w:rsid w:val="78BDBF38"/>
    <w:rsid w:val="78BEA0D1"/>
    <w:rsid w:val="78BF25F0"/>
    <w:rsid w:val="78C09CDC"/>
    <w:rsid w:val="78C8ECB3"/>
    <w:rsid w:val="78CE293E"/>
    <w:rsid w:val="78D0CA46"/>
    <w:rsid w:val="78D1B982"/>
    <w:rsid w:val="78E0F8E7"/>
    <w:rsid w:val="78E4AC99"/>
    <w:rsid w:val="78E8E508"/>
    <w:rsid w:val="78EE2107"/>
    <w:rsid w:val="78EEC3BD"/>
    <w:rsid w:val="78F15E22"/>
    <w:rsid w:val="78F8587D"/>
    <w:rsid w:val="78F8ADE9"/>
    <w:rsid w:val="78FA50CC"/>
    <w:rsid w:val="78FACE40"/>
    <w:rsid w:val="78FF2593"/>
    <w:rsid w:val="79015307"/>
    <w:rsid w:val="7903CF05"/>
    <w:rsid w:val="790A383D"/>
    <w:rsid w:val="790AA5D9"/>
    <w:rsid w:val="790CB981"/>
    <w:rsid w:val="790E23EC"/>
    <w:rsid w:val="790EFCCB"/>
    <w:rsid w:val="790F8CCB"/>
    <w:rsid w:val="790FC826"/>
    <w:rsid w:val="791139D8"/>
    <w:rsid w:val="79125511"/>
    <w:rsid w:val="7913458F"/>
    <w:rsid w:val="792225AA"/>
    <w:rsid w:val="7923E72C"/>
    <w:rsid w:val="7924B268"/>
    <w:rsid w:val="7924FBBB"/>
    <w:rsid w:val="7926DD5E"/>
    <w:rsid w:val="792B9DDF"/>
    <w:rsid w:val="792CC806"/>
    <w:rsid w:val="792E54F5"/>
    <w:rsid w:val="79344F67"/>
    <w:rsid w:val="793853F5"/>
    <w:rsid w:val="793CF388"/>
    <w:rsid w:val="793D3CE6"/>
    <w:rsid w:val="7945F652"/>
    <w:rsid w:val="794635B3"/>
    <w:rsid w:val="79494FA5"/>
    <w:rsid w:val="7956C32C"/>
    <w:rsid w:val="79593814"/>
    <w:rsid w:val="7959AD48"/>
    <w:rsid w:val="795A5BBB"/>
    <w:rsid w:val="79613B7D"/>
    <w:rsid w:val="7962F856"/>
    <w:rsid w:val="79696DDD"/>
    <w:rsid w:val="796BD9B4"/>
    <w:rsid w:val="796D4D10"/>
    <w:rsid w:val="79819259"/>
    <w:rsid w:val="798901EC"/>
    <w:rsid w:val="798A1502"/>
    <w:rsid w:val="798FFF33"/>
    <w:rsid w:val="79954A3F"/>
    <w:rsid w:val="79974572"/>
    <w:rsid w:val="7999BAC3"/>
    <w:rsid w:val="799C6BC2"/>
    <w:rsid w:val="799CA11B"/>
    <w:rsid w:val="799DA54D"/>
    <w:rsid w:val="79A38841"/>
    <w:rsid w:val="79A45BBA"/>
    <w:rsid w:val="79ADFC4D"/>
    <w:rsid w:val="79AE7428"/>
    <w:rsid w:val="79B182F1"/>
    <w:rsid w:val="79B3D783"/>
    <w:rsid w:val="79B60F5E"/>
    <w:rsid w:val="79BB62B2"/>
    <w:rsid w:val="79BCCAF7"/>
    <w:rsid w:val="79BD31C6"/>
    <w:rsid w:val="79BF81EB"/>
    <w:rsid w:val="79BF82F7"/>
    <w:rsid w:val="79C49384"/>
    <w:rsid w:val="79C83069"/>
    <w:rsid w:val="79CD1195"/>
    <w:rsid w:val="79CFBA2B"/>
    <w:rsid w:val="79D5DC8D"/>
    <w:rsid w:val="79DB3AB4"/>
    <w:rsid w:val="79E42AD4"/>
    <w:rsid w:val="79E91857"/>
    <w:rsid w:val="79EB1062"/>
    <w:rsid w:val="79ECB190"/>
    <w:rsid w:val="79EF666A"/>
    <w:rsid w:val="79F840B8"/>
    <w:rsid w:val="79F8D8E0"/>
    <w:rsid w:val="79FC6BB9"/>
    <w:rsid w:val="79FDA750"/>
    <w:rsid w:val="7A00164F"/>
    <w:rsid w:val="7A01C095"/>
    <w:rsid w:val="7A0652CF"/>
    <w:rsid w:val="7A0D0966"/>
    <w:rsid w:val="7A110AB9"/>
    <w:rsid w:val="7A1ABA40"/>
    <w:rsid w:val="7A1F659B"/>
    <w:rsid w:val="7A22330E"/>
    <w:rsid w:val="7A228149"/>
    <w:rsid w:val="7A25256E"/>
    <w:rsid w:val="7A296683"/>
    <w:rsid w:val="7A2B01BB"/>
    <w:rsid w:val="7A2B1CA9"/>
    <w:rsid w:val="7A2DED9B"/>
    <w:rsid w:val="7A31F207"/>
    <w:rsid w:val="7A3DA7A7"/>
    <w:rsid w:val="7A3E7100"/>
    <w:rsid w:val="7A3FB670"/>
    <w:rsid w:val="7A41063A"/>
    <w:rsid w:val="7A417A93"/>
    <w:rsid w:val="7A48ABF5"/>
    <w:rsid w:val="7A48B18F"/>
    <w:rsid w:val="7A4BB675"/>
    <w:rsid w:val="7A4C35CF"/>
    <w:rsid w:val="7A4E444A"/>
    <w:rsid w:val="7A4F381C"/>
    <w:rsid w:val="7A4F56E5"/>
    <w:rsid w:val="7A5C001A"/>
    <w:rsid w:val="7A610918"/>
    <w:rsid w:val="7A66215D"/>
    <w:rsid w:val="7A68C85A"/>
    <w:rsid w:val="7A6FCF68"/>
    <w:rsid w:val="7A7E5EAF"/>
    <w:rsid w:val="7A7F8777"/>
    <w:rsid w:val="7A80138A"/>
    <w:rsid w:val="7A8106EA"/>
    <w:rsid w:val="7A83F5C5"/>
    <w:rsid w:val="7A85751F"/>
    <w:rsid w:val="7A876B58"/>
    <w:rsid w:val="7A8B8467"/>
    <w:rsid w:val="7A92321C"/>
    <w:rsid w:val="7A99F8F3"/>
    <w:rsid w:val="7A9D26CC"/>
    <w:rsid w:val="7AA11463"/>
    <w:rsid w:val="7AA69AAA"/>
    <w:rsid w:val="7AABFABF"/>
    <w:rsid w:val="7AAC81FD"/>
    <w:rsid w:val="7ABB15A5"/>
    <w:rsid w:val="7ABF0561"/>
    <w:rsid w:val="7AC44573"/>
    <w:rsid w:val="7AC81D4D"/>
    <w:rsid w:val="7ACC1372"/>
    <w:rsid w:val="7ACD4DED"/>
    <w:rsid w:val="7ACDA854"/>
    <w:rsid w:val="7AD06AB0"/>
    <w:rsid w:val="7AD28D26"/>
    <w:rsid w:val="7AD40624"/>
    <w:rsid w:val="7AD909B3"/>
    <w:rsid w:val="7ADC9D19"/>
    <w:rsid w:val="7AE3FDB8"/>
    <w:rsid w:val="7AEDEBE6"/>
    <w:rsid w:val="7AF03AB3"/>
    <w:rsid w:val="7AF53F90"/>
    <w:rsid w:val="7AFEA88B"/>
    <w:rsid w:val="7B018BD8"/>
    <w:rsid w:val="7B02E055"/>
    <w:rsid w:val="7B096C4F"/>
    <w:rsid w:val="7B0DA67D"/>
    <w:rsid w:val="7B0EE18E"/>
    <w:rsid w:val="7B1147A6"/>
    <w:rsid w:val="7B159DE5"/>
    <w:rsid w:val="7B161118"/>
    <w:rsid w:val="7B196EAC"/>
    <w:rsid w:val="7B1C741B"/>
    <w:rsid w:val="7B227D58"/>
    <w:rsid w:val="7B259D8C"/>
    <w:rsid w:val="7B2A2A95"/>
    <w:rsid w:val="7B2D4C6B"/>
    <w:rsid w:val="7B2E0C89"/>
    <w:rsid w:val="7B3693FE"/>
    <w:rsid w:val="7B3A1CBD"/>
    <w:rsid w:val="7B48A4A4"/>
    <w:rsid w:val="7B48E54D"/>
    <w:rsid w:val="7B4AD79D"/>
    <w:rsid w:val="7B504A1F"/>
    <w:rsid w:val="7B529488"/>
    <w:rsid w:val="7B5496CC"/>
    <w:rsid w:val="7B5C7CDF"/>
    <w:rsid w:val="7B5EB01B"/>
    <w:rsid w:val="7B634432"/>
    <w:rsid w:val="7B64931F"/>
    <w:rsid w:val="7B655AEE"/>
    <w:rsid w:val="7B686093"/>
    <w:rsid w:val="7B6CB855"/>
    <w:rsid w:val="7B76F223"/>
    <w:rsid w:val="7B7776B0"/>
    <w:rsid w:val="7B785BA4"/>
    <w:rsid w:val="7B855784"/>
    <w:rsid w:val="7B8A099C"/>
    <w:rsid w:val="7B8D9FF7"/>
    <w:rsid w:val="7B8F2EE7"/>
    <w:rsid w:val="7B9109CD"/>
    <w:rsid w:val="7B9E4A9C"/>
    <w:rsid w:val="7B9F04C2"/>
    <w:rsid w:val="7BA18299"/>
    <w:rsid w:val="7BAFF26F"/>
    <w:rsid w:val="7BB176B1"/>
    <w:rsid w:val="7BB693CA"/>
    <w:rsid w:val="7BB873B2"/>
    <w:rsid w:val="7BBCA43D"/>
    <w:rsid w:val="7BC52A1E"/>
    <w:rsid w:val="7BD2B127"/>
    <w:rsid w:val="7BD5E521"/>
    <w:rsid w:val="7BD76266"/>
    <w:rsid w:val="7BDBA489"/>
    <w:rsid w:val="7BE2FCAB"/>
    <w:rsid w:val="7BE72B08"/>
    <w:rsid w:val="7BE96A74"/>
    <w:rsid w:val="7BEFF84A"/>
    <w:rsid w:val="7BF14E28"/>
    <w:rsid w:val="7BF3B578"/>
    <w:rsid w:val="7BF445D0"/>
    <w:rsid w:val="7BF73E62"/>
    <w:rsid w:val="7BF865DF"/>
    <w:rsid w:val="7BF9401D"/>
    <w:rsid w:val="7BFA157D"/>
    <w:rsid w:val="7BFF0A81"/>
    <w:rsid w:val="7BFF4C89"/>
    <w:rsid w:val="7C00B223"/>
    <w:rsid w:val="7C00EDBD"/>
    <w:rsid w:val="7C04D1B4"/>
    <w:rsid w:val="7C060356"/>
    <w:rsid w:val="7C0978D9"/>
    <w:rsid w:val="7C0AB099"/>
    <w:rsid w:val="7C111FEE"/>
    <w:rsid w:val="7C1684D1"/>
    <w:rsid w:val="7C16F5B4"/>
    <w:rsid w:val="7C1A7A07"/>
    <w:rsid w:val="7C1AE499"/>
    <w:rsid w:val="7C1C9012"/>
    <w:rsid w:val="7C1EA8EB"/>
    <w:rsid w:val="7C22C66F"/>
    <w:rsid w:val="7C274088"/>
    <w:rsid w:val="7C27B5AE"/>
    <w:rsid w:val="7C2AB4CF"/>
    <w:rsid w:val="7C2B22DB"/>
    <w:rsid w:val="7C32C82D"/>
    <w:rsid w:val="7C41368E"/>
    <w:rsid w:val="7C42B352"/>
    <w:rsid w:val="7C4A2B9C"/>
    <w:rsid w:val="7C4C7983"/>
    <w:rsid w:val="7C52C22E"/>
    <w:rsid w:val="7C5B3E6C"/>
    <w:rsid w:val="7C5DB699"/>
    <w:rsid w:val="7C63AE4B"/>
    <w:rsid w:val="7C64F6B6"/>
    <w:rsid w:val="7C66D32B"/>
    <w:rsid w:val="7C6CEC8E"/>
    <w:rsid w:val="7C6E572B"/>
    <w:rsid w:val="7C6FD427"/>
    <w:rsid w:val="7C74A8D5"/>
    <w:rsid w:val="7C75C4B8"/>
    <w:rsid w:val="7C7E29E8"/>
    <w:rsid w:val="7C83391A"/>
    <w:rsid w:val="7C8F7A72"/>
    <w:rsid w:val="7C92D351"/>
    <w:rsid w:val="7C94F565"/>
    <w:rsid w:val="7C9833DE"/>
    <w:rsid w:val="7C9B82BC"/>
    <w:rsid w:val="7CA168AB"/>
    <w:rsid w:val="7CA34122"/>
    <w:rsid w:val="7CA5E3AC"/>
    <w:rsid w:val="7CA75FEF"/>
    <w:rsid w:val="7CA9417F"/>
    <w:rsid w:val="7CA947AC"/>
    <w:rsid w:val="7CB6F2CC"/>
    <w:rsid w:val="7CB9AC27"/>
    <w:rsid w:val="7CB9D9C3"/>
    <w:rsid w:val="7CC3D10A"/>
    <w:rsid w:val="7CC42FD3"/>
    <w:rsid w:val="7CCC0E9B"/>
    <w:rsid w:val="7CCCA03A"/>
    <w:rsid w:val="7CD09384"/>
    <w:rsid w:val="7CD7703C"/>
    <w:rsid w:val="7CD7AB01"/>
    <w:rsid w:val="7CD9F03A"/>
    <w:rsid w:val="7CDA21AD"/>
    <w:rsid w:val="7CDB83EF"/>
    <w:rsid w:val="7CDD8017"/>
    <w:rsid w:val="7CDDDB0C"/>
    <w:rsid w:val="7CDEC87A"/>
    <w:rsid w:val="7CE643BB"/>
    <w:rsid w:val="7CF1E3A2"/>
    <w:rsid w:val="7CF52DC3"/>
    <w:rsid w:val="7CFD5614"/>
    <w:rsid w:val="7CFED2B1"/>
    <w:rsid w:val="7D009DAD"/>
    <w:rsid w:val="7D039EF3"/>
    <w:rsid w:val="7D05745C"/>
    <w:rsid w:val="7D06BA85"/>
    <w:rsid w:val="7D071441"/>
    <w:rsid w:val="7D10B8D0"/>
    <w:rsid w:val="7D135365"/>
    <w:rsid w:val="7D165D94"/>
    <w:rsid w:val="7D194896"/>
    <w:rsid w:val="7D1D2A83"/>
    <w:rsid w:val="7D21FDD2"/>
    <w:rsid w:val="7D2295C3"/>
    <w:rsid w:val="7D2362F6"/>
    <w:rsid w:val="7D269764"/>
    <w:rsid w:val="7D27C078"/>
    <w:rsid w:val="7D2F7F8C"/>
    <w:rsid w:val="7D357093"/>
    <w:rsid w:val="7D35CE68"/>
    <w:rsid w:val="7D3F89FC"/>
    <w:rsid w:val="7D3FEF1B"/>
    <w:rsid w:val="7D4EC48F"/>
    <w:rsid w:val="7D53FE84"/>
    <w:rsid w:val="7D54C81D"/>
    <w:rsid w:val="7D572A4D"/>
    <w:rsid w:val="7D5775F8"/>
    <w:rsid w:val="7D5B459D"/>
    <w:rsid w:val="7D5D43B9"/>
    <w:rsid w:val="7D5EC2A7"/>
    <w:rsid w:val="7D5ED950"/>
    <w:rsid w:val="7D5EF3E3"/>
    <w:rsid w:val="7D5FAB67"/>
    <w:rsid w:val="7D60DD3A"/>
    <w:rsid w:val="7D646770"/>
    <w:rsid w:val="7D64CD72"/>
    <w:rsid w:val="7D6B6838"/>
    <w:rsid w:val="7D6BF057"/>
    <w:rsid w:val="7D6CE772"/>
    <w:rsid w:val="7D6E74AA"/>
    <w:rsid w:val="7D733B01"/>
    <w:rsid w:val="7D737702"/>
    <w:rsid w:val="7D743552"/>
    <w:rsid w:val="7D7601E5"/>
    <w:rsid w:val="7D7BC201"/>
    <w:rsid w:val="7D7D9E35"/>
    <w:rsid w:val="7D7EFF1A"/>
    <w:rsid w:val="7D7F99EC"/>
    <w:rsid w:val="7D82C552"/>
    <w:rsid w:val="7D85323A"/>
    <w:rsid w:val="7D85691E"/>
    <w:rsid w:val="7D86B796"/>
    <w:rsid w:val="7D87945C"/>
    <w:rsid w:val="7D8D737B"/>
    <w:rsid w:val="7D9082CE"/>
    <w:rsid w:val="7D9660A5"/>
    <w:rsid w:val="7D9A2EE4"/>
    <w:rsid w:val="7D9C30E3"/>
    <w:rsid w:val="7D9D986A"/>
    <w:rsid w:val="7D9F8FFE"/>
    <w:rsid w:val="7D9FDEA3"/>
    <w:rsid w:val="7DA3F9E0"/>
    <w:rsid w:val="7DA4097A"/>
    <w:rsid w:val="7DA67CA0"/>
    <w:rsid w:val="7DA9C24E"/>
    <w:rsid w:val="7DAB8AA7"/>
    <w:rsid w:val="7DADD418"/>
    <w:rsid w:val="7DB0752E"/>
    <w:rsid w:val="7DB1ECDD"/>
    <w:rsid w:val="7DB386DB"/>
    <w:rsid w:val="7DB75733"/>
    <w:rsid w:val="7DB83BD5"/>
    <w:rsid w:val="7DBFAB75"/>
    <w:rsid w:val="7DC2B4DD"/>
    <w:rsid w:val="7DCAD06E"/>
    <w:rsid w:val="7DCEE2C4"/>
    <w:rsid w:val="7DD7ACFA"/>
    <w:rsid w:val="7DDB04EA"/>
    <w:rsid w:val="7DDB7B89"/>
    <w:rsid w:val="7DDD3B42"/>
    <w:rsid w:val="7DE039A9"/>
    <w:rsid w:val="7DE1EDFC"/>
    <w:rsid w:val="7DE3DC84"/>
    <w:rsid w:val="7DF9D4FE"/>
    <w:rsid w:val="7DFC71B5"/>
    <w:rsid w:val="7DFC87A3"/>
    <w:rsid w:val="7E003430"/>
    <w:rsid w:val="7E0DA885"/>
    <w:rsid w:val="7E0E8E63"/>
    <w:rsid w:val="7E0F40D6"/>
    <w:rsid w:val="7E11F919"/>
    <w:rsid w:val="7E16C25F"/>
    <w:rsid w:val="7E16C7EF"/>
    <w:rsid w:val="7E1CF02F"/>
    <w:rsid w:val="7E1F2EA7"/>
    <w:rsid w:val="7E2376E7"/>
    <w:rsid w:val="7E26B447"/>
    <w:rsid w:val="7E3193E9"/>
    <w:rsid w:val="7E33E398"/>
    <w:rsid w:val="7E3B5A87"/>
    <w:rsid w:val="7E3B708C"/>
    <w:rsid w:val="7E3B83A6"/>
    <w:rsid w:val="7E3D136A"/>
    <w:rsid w:val="7E411567"/>
    <w:rsid w:val="7E4649A6"/>
    <w:rsid w:val="7E47A134"/>
    <w:rsid w:val="7E55AB33"/>
    <w:rsid w:val="7E57CF7C"/>
    <w:rsid w:val="7E585B6D"/>
    <w:rsid w:val="7E5BB583"/>
    <w:rsid w:val="7E636F1B"/>
    <w:rsid w:val="7E6F0C35"/>
    <w:rsid w:val="7E782ADC"/>
    <w:rsid w:val="7E81CE09"/>
    <w:rsid w:val="7E8865CB"/>
    <w:rsid w:val="7E88B7E9"/>
    <w:rsid w:val="7E96DD6B"/>
    <w:rsid w:val="7EA56BFF"/>
    <w:rsid w:val="7EA6F6A7"/>
    <w:rsid w:val="7EB9C63A"/>
    <w:rsid w:val="7EBAB831"/>
    <w:rsid w:val="7EBE52D6"/>
    <w:rsid w:val="7EBEA29B"/>
    <w:rsid w:val="7EC2A91B"/>
    <w:rsid w:val="7EC8794E"/>
    <w:rsid w:val="7ED4547B"/>
    <w:rsid w:val="7ED72C48"/>
    <w:rsid w:val="7ED7CEAC"/>
    <w:rsid w:val="7ED83E91"/>
    <w:rsid w:val="7ED9D82F"/>
    <w:rsid w:val="7EDD436E"/>
    <w:rsid w:val="7EDFCD45"/>
    <w:rsid w:val="7EE335E2"/>
    <w:rsid w:val="7EEACDB6"/>
    <w:rsid w:val="7EF00686"/>
    <w:rsid w:val="7EF5AE8B"/>
    <w:rsid w:val="7EF830C2"/>
    <w:rsid w:val="7EFF33AF"/>
    <w:rsid w:val="7EFF9425"/>
    <w:rsid w:val="7F08F167"/>
    <w:rsid w:val="7F0C4941"/>
    <w:rsid w:val="7F1079F8"/>
    <w:rsid w:val="7F18E6D1"/>
    <w:rsid w:val="7F1FCD74"/>
    <w:rsid w:val="7F21CEAC"/>
    <w:rsid w:val="7F251256"/>
    <w:rsid w:val="7F27DF35"/>
    <w:rsid w:val="7F27F65B"/>
    <w:rsid w:val="7F285E21"/>
    <w:rsid w:val="7F287474"/>
    <w:rsid w:val="7F296669"/>
    <w:rsid w:val="7F2BDD79"/>
    <w:rsid w:val="7F2EFACC"/>
    <w:rsid w:val="7F3493D4"/>
    <w:rsid w:val="7F37F142"/>
    <w:rsid w:val="7F37F1E3"/>
    <w:rsid w:val="7F3840F2"/>
    <w:rsid w:val="7F3C7180"/>
    <w:rsid w:val="7F3FCD90"/>
    <w:rsid w:val="7F403B55"/>
    <w:rsid w:val="7F44159D"/>
    <w:rsid w:val="7F46B32E"/>
    <w:rsid w:val="7F4A6D0D"/>
    <w:rsid w:val="7F4B7763"/>
    <w:rsid w:val="7F4D1991"/>
    <w:rsid w:val="7F4E4819"/>
    <w:rsid w:val="7F515016"/>
    <w:rsid w:val="7F516D79"/>
    <w:rsid w:val="7F52541A"/>
    <w:rsid w:val="7F558391"/>
    <w:rsid w:val="7F5B4CF6"/>
    <w:rsid w:val="7F5B7CE0"/>
    <w:rsid w:val="7F5ED226"/>
    <w:rsid w:val="7F64D361"/>
    <w:rsid w:val="7F68C3C3"/>
    <w:rsid w:val="7F6B8F42"/>
    <w:rsid w:val="7F6DEFDC"/>
    <w:rsid w:val="7F6E5833"/>
    <w:rsid w:val="7F70DC57"/>
    <w:rsid w:val="7F73440F"/>
    <w:rsid w:val="7F75C599"/>
    <w:rsid w:val="7F763FD9"/>
    <w:rsid w:val="7F76CE31"/>
    <w:rsid w:val="7F8000E4"/>
    <w:rsid w:val="7F81E80E"/>
    <w:rsid w:val="7F822CA8"/>
    <w:rsid w:val="7F8F914E"/>
    <w:rsid w:val="7F93B38A"/>
    <w:rsid w:val="7F99FCEE"/>
    <w:rsid w:val="7F9A5804"/>
    <w:rsid w:val="7FA28D8B"/>
    <w:rsid w:val="7FA46750"/>
    <w:rsid w:val="7FAC7AD6"/>
    <w:rsid w:val="7FAE17F9"/>
    <w:rsid w:val="7FAF4398"/>
    <w:rsid w:val="7FBABFF6"/>
    <w:rsid w:val="7FBB875E"/>
    <w:rsid w:val="7FC00638"/>
    <w:rsid w:val="7FC0567B"/>
    <w:rsid w:val="7FC06FAF"/>
    <w:rsid w:val="7FC1DFA8"/>
    <w:rsid w:val="7FC65127"/>
    <w:rsid w:val="7FC68432"/>
    <w:rsid w:val="7FC7490B"/>
    <w:rsid w:val="7FC9E2C5"/>
    <w:rsid w:val="7FCE6AB7"/>
    <w:rsid w:val="7FD44958"/>
    <w:rsid w:val="7FD4BCC4"/>
    <w:rsid w:val="7FD4EF20"/>
    <w:rsid w:val="7FD523A6"/>
    <w:rsid w:val="7FD9B5B3"/>
    <w:rsid w:val="7FDF233C"/>
    <w:rsid w:val="7FE18E9D"/>
    <w:rsid w:val="7FE80591"/>
    <w:rsid w:val="7FECF5E5"/>
    <w:rsid w:val="7FEDE16D"/>
    <w:rsid w:val="7FFB9917"/>
    <w:rsid w:val="7FFD89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9C7D6"/>
  <w15:chartTrackingRefBased/>
  <w15:docId w15:val="{86ED4CDF-CB57-4C0E-9150-3D264DF9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1A09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C96D5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F40CFE"/>
    <w:rPr>
      <w:sz w:val="16"/>
      <w:szCs w:val="16"/>
    </w:rPr>
  </w:style>
  <w:style w:type="paragraph" w:styleId="Tekstkomentarza">
    <w:name w:val="annotation text"/>
    <w:basedOn w:val="Normalny"/>
    <w:link w:val="TekstkomentarzaZnak"/>
    <w:uiPriority w:val="99"/>
    <w:unhideWhenUsed/>
    <w:qFormat/>
    <w:rsid w:val="00F40CF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F40CFE"/>
    <w:rPr>
      <w:sz w:val="20"/>
      <w:szCs w:val="20"/>
    </w:rPr>
  </w:style>
  <w:style w:type="paragraph" w:styleId="Tematkomentarza">
    <w:name w:val="annotation subject"/>
    <w:basedOn w:val="Tekstkomentarza"/>
    <w:next w:val="Tekstkomentarza"/>
    <w:link w:val="TematkomentarzaZnak"/>
    <w:uiPriority w:val="99"/>
    <w:semiHidden/>
    <w:unhideWhenUsed/>
    <w:rsid w:val="00F40CFE"/>
    <w:rPr>
      <w:b/>
      <w:bCs/>
    </w:rPr>
  </w:style>
  <w:style w:type="character" w:customStyle="1" w:styleId="TematkomentarzaZnak">
    <w:name w:val="Temat komentarza Znak"/>
    <w:basedOn w:val="TekstkomentarzaZnak"/>
    <w:link w:val="Tematkomentarza"/>
    <w:uiPriority w:val="99"/>
    <w:semiHidden/>
    <w:rsid w:val="00F40CFE"/>
    <w:rPr>
      <w:b/>
      <w:bCs/>
      <w:sz w:val="20"/>
      <w:szCs w:val="20"/>
    </w:rPr>
  </w:style>
  <w:style w:type="paragraph" w:styleId="Tekstdymka">
    <w:name w:val="Balloon Text"/>
    <w:basedOn w:val="Normalny"/>
    <w:link w:val="TekstdymkaZnak"/>
    <w:uiPriority w:val="99"/>
    <w:semiHidden/>
    <w:unhideWhenUsed/>
    <w:rsid w:val="00F40C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0CFE"/>
    <w:rPr>
      <w:rFonts w:ascii="Segoe UI" w:hAnsi="Segoe UI" w:cs="Segoe UI"/>
      <w:sz w:val="18"/>
      <w:szCs w:val="18"/>
    </w:rPr>
  </w:style>
  <w:style w:type="character" w:customStyle="1" w:styleId="articletitle">
    <w:name w:val="articletitle"/>
    <w:basedOn w:val="Domylnaczcionkaakapitu"/>
    <w:rsid w:val="0089491F"/>
  </w:style>
  <w:style w:type="paragraph" w:customStyle="1" w:styleId="h1chapter">
    <w:name w:val="h1.chapter"/>
    <w:uiPriority w:val="99"/>
    <w:rsid w:val="005C0DB3"/>
    <w:pPr>
      <w:widowControl w:val="0"/>
      <w:autoSpaceDE w:val="0"/>
      <w:autoSpaceDN w:val="0"/>
      <w:adjustRightInd w:val="0"/>
      <w:spacing w:before="180" w:after="0" w:line="180" w:lineRule="atLeast"/>
      <w:jc w:val="center"/>
    </w:pPr>
    <w:rPr>
      <w:rFonts w:ascii="Helvetica" w:eastAsiaTheme="minorEastAsia" w:hAnsi="Helvetica" w:cs="Helvetica"/>
      <w:b/>
      <w:bCs/>
      <w:color w:val="000000"/>
      <w:sz w:val="18"/>
      <w:szCs w:val="18"/>
      <w:lang w:eastAsia="pl-PL"/>
    </w:rPr>
  </w:style>
  <w:style w:type="character" w:styleId="Hipercze">
    <w:name w:val="Hyperlink"/>
    <w:basedOn w:val="Domylnaczcionkaakapitu"/>
    <w:unhideWhenUsed/>
    <w:rsid w:val="00DE52E9"/>
    <w:rPr>
      <w:color w:val="0000FF"/>
      <w:u w:val="single"/>
    </w:rPr>
  </w:style>
  <w:style w:type="paragraph" w:customStyle="1" w:styleId="divpoint">
    <w:name w:val="div.point"/>
    <w:uiPriority w:val="99"/>
    <w:rsid w:val="00633ADD"/>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styleId="Tekstprzypisudolnego">
    <w:name w:val="footnote text"/>
    <w:basedOn w:val="Normalny"/>
    <w:link w:val="TekstprzypisudolnegoZnak"/>
    <w:uiPriority w:val="99"/>
    <w:semiHidden/>
    <w:unhideWhenUsed/>
    <w:rsid w:val="004E718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7184"/>
    <w:rPr>
      <w:sz w:val="20"/>
      <w:szCs w:val="20"/>
    </w:rPr>
  </w:style>
  <w:style w:type="character" w:styleId="Odwoanieprzypisudolnego">
    <w:name w:val="footnote reference"/>
    <w:basedOn w:val="Domylnaczcionkaakapitu"/>
    <w:uiPriority w:val="99"/>
    <w:semiHidden/>
    <w:unhideWhenUsed/>
    <w:rsid w:val="004E7184"/>
    <w:rPr>
      <w:vertAlign w:val="superscript"/>
    </w:rPr>
  </w:style>
  <w:style w:type="paragraph" w:styleId="Akapitzlist">
    <w:name w:val="List Paragraph"/>
    <w:basedOn w:val="Normalny"/>
    <w:uiPriority w:val="34"/>
    <w:qFormat/>
    <w:rsid w:val="00C51F2B"/>
    <w:pPr>
      <w:ind w:left="720"/>
      <w:contextualSpacing/>
    </w:pPr>
  </w:style>
  <w:style w:type="character" w:customStyle="1" w:styleId="highlight-disabled">
    <w:name w:val="highlight-disabled"/>
    <w:basedOn w:val="Domylnaczcionkaakapitu"/>
    <w:rsid w:val="00491353"/>
  </w:style>
  <w:style w:type="paragraph" w:customStyle="1" w:styleId="USTustnpkodeksu">
    <w:name w:val="UST(§) – ust. (§ np. kodeksu)"/>
    <w:basedOn w:val="Normalny"/>
    <w:uiPriority w:val="12"/>
    <w:qFormat/>
    <w:rsid w:val="008B2797"/>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81742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Akapitzlist1">
    <w:name w:val="Akapit z listą1"/>
    <w:basedOn w:val="Normalny"/>
    <w:rsid w:val="00AA0616"/>
    <w:pPr>
      <w:spacing w:line="257" w:lineRule="auto"/>
      <w:ind w:left="720"/>
    </w:pPr>
    <w:rPr>
      <w:rFonts w:ascii="Calibri" w:eastAsia="Calibri" w:hAnsi="Calibri" w:cs="Times New Roman"/>
    </w:rPr>
  </w:style>
  <w:style w:type="paragraph" w:customStyle="1" w:styleId="CZWSPPKTczwsplnapunktw">
    <w:name w:val="CZ_WSP_PKT – część wspólna punktów"/>
    <w:basedOn w:val="Normalny"/>
    <w:next w:val="USTustnpkodeksu"/>
    <w:uiPriority w:val="16"/>
    <w:qFormat/>
    <w:rsid w:val="003A4E05"/>
    <w:pPr>
      <w:spacing w:after="0" w:line="240" w:lineRule="auto"/>
      <w:jc w:val="both"/>
    </w:pPr>
    <w:rPr>
      <w:rFonts w:ascii="Times New Roman" w:eastAsia="SimSun" w:hAnsi="Times New Roman" w:cs="Arial"/>
      <w:bCs/>
      <w:sz w:val="20"/>
      <w:szCs w:val="20"/>
      <w:lang w:eastAsia="pl-PL"/>
    </w:rPr>
  </w:style>
  <w:style w:type="paragraph" w:styleId="Nagwek">
    <w:name w:val="header"/>
    <w:basedOn w:val="Normalny"/>
    <w:link w:val="NagwekZnak"/>
    <w:uiPriority w:val="99"/>
    <w:unhideWhenUsed/>
    <w:rsid w:val="00720D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0DB3"/>
  </w:style>
  <w:style w:type="paragraph" w:styleId="Stopka">
    <w:name w:val="footer"/>
    <w:basedOn w:val="Normalny"/>
    <w:link w:val="StopkaZnak"/>
    <w:uiPriority w:val="99"/>
    <w:unhideWhenUsed/>
    <w:rsid w:val="00720D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0DB3"/>
  </w:style>
  <w:style w:type="paragraph" w:customStyle="1" w:styleId="ROZDZODDZPRZEDMprzedmiotregulacjirozdziauluboddziau">
    <w:name w:val="ROZDZ(ODDZ)_PRZEDM – przedmiot regulacji rozdziału lub oddziału"/>
    <w:next w:val="ARTartustawynprozporzdzenia"/>
    <w:uiPriority w:val="10"/>
    <w:qFormat/>
    <w:rsid w:val="0034315E"/>
    <w:pPr>
      <w:keepNext/>
      <w:suppressAutoHyphens/>
      <w:spacing w:before="120" w:after="0" w:line="360" w:lineRule="auto"/>
      <w:jc w:val="center"/>
    </w:pPr>
    <w:rPr>
      <w:rFonts w:ascii="Times" w:eastAsiaTheme="minorEastAsia" w:hAnsi="Times" w:cs="Times New Roman"/>
      <w:b/>
      <w:bCs/>
      <w:sz w:val="24"/>
      <w:szCs w:val="24"/>
      <w:lang w:eastAsia="pl-PL"/>
    </w:rPr>
  </w:style>
  <w:style w:type="paragraph" w:customStyle="1" w:styleId="TYTDZPRZEDMprzedmiotregulacjitytuulubdziau">
    <w:name w:val="TYT(DZ)_PRZEDM – przedmiot regulacji tytułu lub działu"/>
    <w:next w:val="ARTartustawynprozporzdzenia"/>
    <w:uiPriority w:val="9"/>
    <w:qFormat/>
    <w:rsid w:val="0066128E"/>
    <w:pPr>
      <w:keepNext/>
      <w:suppressAutoHyphens/>
      <w:spacing w:before="120" w:after="0" w:line="360" w:lineRule="auto"/>
      <w:jc w:val="center"/>
    </w:pPr>
    <w:rPr>
      <w:rFonts w:ascii="Times" w:eastAsia="Times New Roman" w:hAnsi="Times" w:cs="Times New Roman"/>
      <w:b/>
      <w:sz w:val="24"/>
      <w:szCs w:val="26"/>
      <w:lang w:eastAsia="pl-PL"/>
    </w:rPr>
  </w:style>
  <w:style w:type="paragraph" w:styleId="Tekstprzypisukocowego">
    <w:name w:val="endnote text"/>
    <w:basedOn w:val="Normalny"/>
    <w:link w:val="TekstprzypisukocowegoZnak"/>
    <w:uiPriority w:val="99"/>
    <w:semiHidden/>
    <w:unhideWhenUsed/>
    <w:rsid w:val="00BB2D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B2DD7"/>
    <w:rPr>
      <w:sz w:val="20"/>
      <w:szCs w:val="20"/>
    </w:rPr>
  </w:style>
  <w:style w:type="character" w:styleId="Odwoanieprzypisukocowego">
    <w:name w:val="endnote reference"/>
    <w:basedOn w:val="Domylnaczcionkaakapitu"/>
    <w:uiPriority w:val="99"/>
    <w:semiHidden/>
    <w:unhideWhenUsed/>
    <w:rsid w:val="00BB2DD7"/>
    <w:rPr>
      <w:vertAlign w:val="superscript"/>
    </w:rPr>
  </w:style>
  <w:style w:type="paragraph" w:customStyle="1" w:styleId="ROZDZODDZOZNoznaczenierozdziauluboddziau">
    <w:name w:val="ROZDZ(ODDZ)_OZN – oznaczenie rozdziału lub oddziału"/>
    <w:next w:val="ARTartustawynprozporzdzenia"/>
    <w:uiPriority w:val="10"/>
    <w:qFormat/>
    <w:rsid w:val="00E37FC4"/>
    <w:pPr>
      <w:keepNext/>
      <w:suppressAutoHyphens/>
      <w:spacing w:before="120" w:after="0" w:line="360" w:lineRule="auto"/>
      <w:jc w:val="center"/>
    </w:pPr>
    <w:rPr>
      <w:rFonts w:ascii="Times" w:eastAsiaTheme="minorEastAsia" w:hAnsi="Times" w:cs="Arial"/>
      <w:bCs/>
      <w:kern w:val="24"/>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965779"/>
    <w:rPr>
      <w:bCs/>
    </w:rPr>
  </w:style>
  <w:style w:type="character" w:customStyle="1" w:styleId="IGindeksgrny">
    <w:name w:val="_IG_ – indeks górny"/>
    <w:basedOn w:val="Domylnaczcionkaakapitu"/>
    <w:uiPriority w:val="2"/>
    <w:qFormat/>
    <w:rsid w:val="00965779"/>
    <w:rPr>
      <w:b w:val="0"/>
      <w:i w:val="0"/>
      <w:vanish w:val="0"/>
      <w:spacing w:val="0"/>
      <w:vertAlign w:val="superscript"/>
    </w:rPr>
  </w:style>
  <w:style w:type="character" w:customStyle="1" w:styleId="Ppogrubienie">
    <w:name w:val="_P_ – pogrubienie"/>
    <w:basedOn w:val="Domylnaczcionkaakapitu"/>
    <w:uiPriority w:val="1"/>
    <w:qFormat/>
    <w:rsid w:val="00965779"/>
    <w:rPr>
      <w:b/>
    </w:rPr>
  </w:style>
  <w:style w:type="paragraph" w:styleId="Tekstpodstawowy2">
    <w:name w:val="Body Text 2"/>
    <w:basedOn w:val="Normalny"/>
    <w:link w:val="Tekstpodstawowy2Znak"/>
    <w:rsid w:val="00D03005"/>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D03005"/>
    <w:rPr>
      <w:rFonts w:ascii="Times New Roman" w:eastAsia="Times New Roman" w:hAnsi="Times New Roman" w:cs="Times New Roman"/>
      <w:sz w:val="24"/>
      <w:szCs w:val="24"/>
      <w:lang w:eastAsia="pl-PL"/>
    </w:rPr>
  </w:style>
  <w:style w:type="paragraph" w:customStyle="1" w:styleId="BodyText21">
    <w:name w:val="Body Text 21"/>
    <w:basedOn w:val="Normalny"/>
    <w:rsid w:val="00D0300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semiHidden/>
    <w:unhideWhenUsed/>
    <w:rsid w:val="00D03005"/>
    <w:pPr>
      <w:spacing w:after="120"/>
    </w:pPr>
  </w:style>
  <w:style w:type="character" w:customStyle="1" w:styleId="TekstpodstawowyZnak">
    <w:name w:val="Tekst podstawowy Znak"/>
    <w:basedOn w:val="Domylnaczcionkaakapitu"/>
    <w:link w:val="Tekstpodstawowy"/>
    <w:uiPriority w:val="99"/>
    <w:semiHidden/>
    <w:rsid w:val="00D03005"/>
  </w:style>
  <w:style w:type="paragraph" w:customStyle="1" w:styleId="ZROZDZODDZOZNzmoznrozdzoddzartykuempunktem">
    <w:name w:val="Z/ROZDZ(ODDZ)_OZN – zm. ozn. rozdz. (oddz.) artykułem (punktem)"/>
    <w:next w:val="Normalny"/>
    <w:uiPriority w:val="29"/>
    <w:qFormat/>
    <w:rsid w:val="00941C32"/>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WMATFIZCHEMwzrmatfizlubchem">
    <w:name w:val="W_MAT(FIZ|CHEM) – wzór mat. (fiz. lub chem.)"/>
    <w:uiPriority w:val="18"/>
    <w:qFormat/>
    <w:rsid w:val="00FB5B7E"/>
    <w:pPr>
      <w:spacing w:after="0" w:line="360" w:lineRule="auto"/>
      <w:jc w:val="center"/>
    </w:pPr>
    <w:rPr>
      <w:rFonts w:ascii="Times New Roman" w:eastAsiaTheme="minorEastAsia" w:hAnsi="Times New Roman" w:cs="Arial"/>
      <w:sz w:val="24"/>
      <w:szCs w:val="20"/>
      <w:lang w:eastAsia="pl-PL"/>
    </w:rPr>
  </w:style>
  <w:style w:type="paragraph" w:customStyle="1" w:styleId="PKTpunkt">
    <w:name w:val="PKT – punkt"/>
    <w:uiPriority w:val="13"/>
    <w:qFormat/>
    <w:rsid w:val="003431EC"/>
    <w:pPr>
      <w:spacing w:after="0" w:line="360" w:lineRule="auto"/>
      <w:ind w:left="510" w:hanging="510"/>
      <w:jc w:val="both"/>
    </w:pPr>
    <w:rPr>
      <w:rFonts w:ascii="Times" w:eastAsiaTheme="minorEastAsia" w:hAnsi="Times" w:cs="Arial"/>
      <w:bCs/>
      <w:sz w:val="24"/>
      <w:szCs w:val="20"/>
      <w:lang w:eastAsia="pl-PL"/>
    </w:rPr>
  </w:style>
  <w:style w:type="character" w:styleId="Pogrubienie">
    <w:name w:val="Strong"/>
    <w:basedOn w:val="Domylnaczcionkaakapitu"/>
    <w:uiPriority w:val="22"/>
    <w:qFormat/>
    <w:rsid w:val="003405EC"/>
    <w:rPr>
      <w:b/>
      <w:bCs/>
    </w:rPr>
  </w:style>
  <w:style w:type="character" w:customStyle="1" w:styleId="Nagwek1Znak">
    <w:name w:val="Nagłówek 1 Znak"/>
    <w:basedOn w:val="Domylnaczcionkaakapitu"/>
    <w:link w:val="Nagwek1"/>
    <w:uiPriority w:val="9"/>
    <w:rsid w:val="001A0975"/>
    <w:rPr>
      <w:rFonts w:asciiTheme="majorHAnsi" w:eastAsiaTheme="majorEastAsia" w:hAnsiTheme="majorHAnsi" w:cstheme="majorBidi"/>
      <w:color w:val="2E74B5" w:themeColor="accent1" w:themeShade="BF"/>
      <w:sz w:val="32"/>
      <w:szCs w:val="32"/>
    </w:rPr>
  </w:style>
  <w:style w:type="paragraph" w:styleId="Poprawka">
    <w:name w:val="Revision"/>
    <w:hidden/>
    <w:uiPriority w:val="99"/>
    <w:semiHidden/>
    <w:rsid w:val="00B17D2D"/>
    <w:pPr>
      <w:spacing w:after="0" w:line="240" w:lineRule="auto"/>
    </w:pPr>
  </w:style>
  <w:style w:type="character" w:customStyle="1" w:styleId="normaltextrun">
    <w:name w:val="normaltextrun"/>
    <w:basedOn w:val="Domylnaczcionkaakapitu"/>
    <w:rsid w:val="003A753A"/>
  </w:style>
  <w:style w:type="character" w:customStyle="1" w:styleId="spellingerror">
    <w:name w:val="spellingerror"/>
    <w:basedOn w:val="Domylnaczcionkaakapitu"/>
    <w:rsid w:val="0052113B"/>
  </w:style>
  <w:style w:type="character" w:customStyle="1" w:styleId="Nagwek2Znak">
    <w:name w:val="Nagłówek 2 Znak"/>
    <w:basedOn w:val="Domylnaczcionkaakapitu"/>
    <w:link w:val="Nagwek2"/>
    <w:uiPriority w:val="9"/>
    <w:rsid w:val="00C96D57"/>
    <w:rPr>
      <w:rFonts w:ascii="Times New Roman" w:eastAsia="Times New Roman" w:hAnsi="Times New Roman" w:cs="Times New Roman"/>
      <w:b/>
      <w:bCs/>
      <w:sz w:val="36"/>
      <w:szCs w:val="36"/>
      <w:lang w:eastAsia="pl-PL"/>
    </w:rPr>
  </w:style>
  <w:style w:type="character" w:customStyle="1" w:styleId="contextualspellingandgrammarerror">
    <w:name w:val="contextualspellingandgrammarerror"/>
    <w:basedOn w:val="Domylnaczcionkaakapitu"/>
    <w:rsid w:val="006D396A"/>
  </w:style>
  <w:style w:type="paragraph" w:customStyle="1" w:styleId="TIRtiret">
    <w:name w:val="TIR – tiret"/>
    <w:qFormat/>
    <w:rsid w:val="0615F0E1"/>
    <w:pPr>
      <w:spacing w:line="360" w:lineRule="auto"/>
      <w:ind w:left="1384" w:hanging="397"/>
      <w:jc w:val="both"/>
    </w:pPr>
    <w:rPr>
      <w:rFonts w:ascii="Times" w:eastAsiaTheme="minorEastAsia" w:hAnsi="Times" w:cs="Arial"/>
    </w:rPr>
  </w:style>
  <w:style w:type="table" w:styleId="Tabela-Siatka">
    <w:name w:val="Table Grid"/>
    <w:basedOn w:val="Standardowy"/>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796">
      <w:bodyDiv w:val="1"/>
      <w:marLeft w:val="0"/>
      <w:marRight w:val="0"/>
      <w:marTop w:val="0"/>
      <w:marBottom w:val="0"/>
      <w:divBdr>
        <w:top w:val="none" w:sz="0" w:space="0" w:color="auto"/>
        <w:left w:val="none" w:sz="0" w:space="0" w:color="auto"/>
        <w:bottom w:val="none" w:sz="0" w:space="0" w:color="auto"/>
        <w:right w:val="none" w:sz="0" w:space="0" w:color="auto"/>
      </w:divBdr>
    </w:div>
    <w:div w:id="129250115">
      <w:bodyDiv w:val="1"/>
      <w:marLeft w:val="0"/>
      <w:marRight w:val="0"/>
      <w:marTop w:val="0"/>
      <w:marBottom w:val="0"/>
      <w:divBdr>
        <w:top w:val="none" w:sz="0" w:space="0" w:color="auto"/>
        <w:left w:val="none" w:sz="0" w:space="0" w:color="auto"/>
        <w:bottom w:val="none" w:sz="0" w:space="0" w:color="auto"/>
        <w:right w:val="none" w:sz="0" w:space="0" w:color="auto"/>
      </w:divBdr>
      <w:divsChild>
        <w:div w:id="1835411095">
          <w:marLeft w:val="0"/>
          <w:marRight w:val="0"/>
          <w:marTop w:val="0"/>
          <w:marBottom w:val="0"/>
          <w:divBdr>
            <w:top w:val="none" w:sz="0" w:space="0" w:color="auto"/>
            <w:left w:val="none" w:sz="0" w:space="0" w:color="auto"/>
            <w:bottom w:val="none" w:sz="0" w:space="0" w:color="auto"/>
            <w:right w:val="none" w:sz="0" w:space="0" w:color="auto"/>
          </w:divBdr>
          <w:divsChild>
            <w:div w:id="1538396190">
              <w:marLeft w:val="0"/>
              <w:marRight w:val="0"/>
              <w:marTop w:val="0"/>
              <w:marBottom w:val="0"/>
              <w:divBdr>
                <w:top w:val="none" w:sz="0" w:space="0" w:color="auto"/>
                <w:left w:val="none" w:sz="0" w:space="0" w:color="auto"/>
                <w:bottom w:val="none" w:sz="0" w:space="0" w:color="auto"/>
                <w:right w:val="none" w:sz="0" w:space="0" w:color="auto"/>
              </w:divBdr>
              <w:divsChild>
                <w:div w:id="1516916420">
                  <w:marLeft w:val="0"/>
                  <w:marRight w:val="0"/>
                  <w:marTop w:val="0"/>
                  <w:marBottom w:val="0"/>
                  <w:divBdr>
                    <w:top w:val="none" w:sz="0" w:space="0" w:color="auto"/>
                    <w:left w:val="none" w:sz="0" w:space="0" w:color="auto"/>
                    <w:bottom w:val="none" w:sz="0" w:space="0" w:color="auto"/>
                    <w:right w:val="none" w:sz="0" w:space="0" w:color="auto"/>
                  </w:divBdr>
                  <w:divsChild>
                    <w:div w:id="737895537">
                      <w:marLeft w:val="0"/>
                      <w:marRight w:val="0"/>
                      <w:marTop w:val="0"/>
                      <w:marBottom w:val="0"/>
                      <w:divBdr>
                        <w:top w:val="none" w:sz="0" w:space="0" w:color="auto"/>
                        <w:left w:val="none" w:sz="0" w:space="0" w:color="auto"/>
                        <w:bottom w:val="none" w:sz="0" w:space="0" w:color="auto"/>
                        <w:right w:val="none" w:sz="0" w:space="0" w:color="auto"/>
                      </w:divBdr>
                      <w:divsChild>
                        <w:div w:id="743263228">
                          <w:marLeft w:val="0"/>
                          <w:marRight w:val="0"/>
                          <w:marTop w:val="0"/>
                          <w:marBottom w:val="0"/>
                          <w:divBdr>
                            <w:top w:val="none" w:sz="0" w:space="0" w:color="auto"/>
                            <w:left w:val="none" w:sz="0" w:space="0" w:color="auto"/>
                            <w:bottom w:val="none" w:sz="0" w:space="0" w:color="auto"/>
                            <w:right w:val="none" w:sz="0" w:space="0" w:color="auto"/>
                          </w:divBdr>
                          <w:divsChild>
                            <w:div w:id="1519151586">
                              <w:marLeft w:val="0"/>
                              <w:marRight w:val="0"/>
                              <w:marTop w:val="0"/>
                              <w:marBottom w:val="0"/>
                              <w:divBdr>
                                <w:top w:val="none" w:sz="0" w:space="0" w:color="auto"/>
                                <w:left w:val="none" w:sz="0" w:space="0" w:color="auto"/>
                                <w:bottom w:val="none" w:sz="0" w:space="0" w:color="auto"/>
                                <w:right w:val="none" w:sz="0" w:space="0" w:color="auto"/>
                              </w:divBdr>
                              <w:divsChild>
                                <w:div w:id="1705329621">
                                  <w:marLeft w:val="0"/>
                                  <w:marRight w:val="0"/>
                                  <w:marTop w:val="0"/>
                                  <w:marBottom w:val="0"/>
                                  <w:divBdr>
                                    <w:top w:val="none" w:sz="0" w:space="0" w:color="auto"/>
                                    <w:left w:val="none" w:sz="0" w:space="0" w:color="auto"/>
                                    <w:bottom w:val="none" w:sz="0" w:space="0" w:color="auto"/>
                                    <w:right w:val="none" w:sz="0" w:space="0" w:color="auto"/>
                                  </w:divBdr>
                                  <w:divsChild>
                                    <w:div w:id="2027636103">
                                      <w:marLeft w:val="0"/>
                                      <w:marRight w:val="0"/>
                                      <w:marTop w:val="0"/>
                                      <w:marBottom w:val="0"/>
                                      <w:divBdr>
                                        <w:top w:val="none" w:sz="0" w:space="0" w:color="auto"/>
                                        <w:left w:val="none" w:sz="0" w:space="0" w:color="auto"/>
                                        <w:bottom w:val="none" w:sz="0" w:space="0" w:color="auto"/>
                                        <w:right w:val="none" w:sz="0" w:space="0" w:color="auto"/>
                                      </w:divBdr>
                                      <w:divsChild>
                                        <w:div w:id="2108915307">
                                          <w:marLeft w:val="0"/>
                                          <w:marRight w:val="0"/>
                                          <w:marTop w:val="0"/>
                                          <w:marBottom w:val="0"/>
                                          <w:divBdr>
                                            <w:top w:val="none" w:sz="0" w:space="0" w:color="auto"/>
                                            <w:left w:val="none" w:sz="0" w:space="0" w:color="auto"/>
                                            <w:bottom w:val="none" w:sz="0" w:space="0" w:color="auto"/>
                                            <w:right w:val="none" w:sz="0" w:space="0" w:color="auto"/>
                                          </w:divBdr>
                                          <w:divsChild>
                                            <w:div w:id="12315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43695">
      <w:bodyDiv w:val="1"/>
      <w:marLeft w:val="0"/>
      <w:marRight w:val="0"/>
      <w:marTop w:val="0"/>
      <w:marBottom w:val="0"/>
      <w:divBdr>
        <w:top w:val="none" w:sz="0" w:space="0" w:color="auto"/>
        <w:left w:val="none" w:sz="0" w:space="0" w:color="auto"/>
        <w:bottom w:val="none" w:sz="0" w:space="0" w:color="auto"/>
        <w:right w:val="none" w:sz="0" w:space="0" w:color="auto"/>
      </w:divBdr>
    </w:div>
    <w:div w:id="285545591">
      <w:bodyDiv w:val="1"/>
      <w:marLeft w:val="0"/>
      <w:marRight w:val="0"/>
      <w:marTop w:val="0"/>
      <w:marBottom w:val="0"/>
      <w:divBdr>
        <w:top w:val="none" w:sz="0" w:space="0" w:color="auto"/>
        <w:left w:val="none" w:sz="0" w:space="0" w:color="auto"/>
        <w:bottom w:val="none" w:sz="0" w:space="0" w:color="auto"/>
        <w:right w:val="none" w:sz="0" w:space="0" w:color="auto"/>
      </w:divBdr>
    </w:div>
    <w:div w:id="290788714">
      <w:bodyDiv w:val="1"/>
      <w:marLeft w:val="0"/>
      <w:marRight w:val="0"/>
      <w:marTop w:val="0"/>
      <w:marBottom w:val="0"/>
      <w:divBdr>
        <w:top w:val="none" w:sz="0" w:space="0" w:color="auto"/>
        <w:left w:val="none" w:sz="0" w:space="0" w:color="auto"/>
        <w:bottom w:val="none" w:sz="0" w:space="0" w:color="auto"/>
        <w:right w:val="none" w:sz="0" w:space="0" w:color="auto"/>
      </w:divBdr>
    </w:div>
    <w:div w:id="405962349">
      <w:bodyDiv w:val="1"/>
      <w:marLeft w:val="0"/>
      <w:marRight w:val="0"/>
      <w:marTop w:val="0"/>
      <w:marBottom w:val="0"/>
      <w:divBdr>
        <w:top w:val="none" w:sz="0" w:space="0" w:color="auto"/>
        <w:left w:val="none" w:sz="0" w:space="0" w:color="auto"/>
        <w:bottom w:val="none" w:sz="0" w:space="0" w:color="auto"/>
        <w:right w:val="none" w:sz="0" w:space="0" w:color="auto"/>
      </w:divBdr>
    </w:div>
    <w:div w:id="422381463">
      <w:bodyDiv w:val="1"/>
      <w:marLeft w:val="0"/>
      <w:marRight w:val="0"/>
      <w:marTop w:val="0"/>
      <w:marBottom w:val="0"/>
      <w:divBdr>
        <w:top w:val="none" w:sz="0" w:space="0" w:color="auto"/>
        <w:left w:val="none" w:sz="0" w:space="0" w:color="auto"/>
        <w:bottom w:val="none" w:sz="0" w:space="0" w:color="auto"/>
        <w:right w:val="none" w:sz="0" w:space="0" w:color="auto"/>
      </w:divBdr>
      <w:divsChild>
        <w:div w:id="1597442439">
          <w:marLeft w:val="600"/>
          <w:marRight w:val="0"/>
          <w:marTop w:val="0"/>
          <w:marBottom w:val="0"/>
          <w:divBdr>
            <w:top w:val="none" w:sz="0" w:space="0" w:color="auto"/>
            <w:left w:val="none" w:sz="0" w:space="0" w:color="auto"/>
            <w:bottom w:val="none" w:sz="0" w:space="0" w:color="auto"/>
            <w:right w:val="none" w:sz="0" w:space="0" w:color="auto"/>
          </w:divBdr>
        </w:div>
        <w:div w:id="1602029081">
          <w:marLeft w:val="0"/>
          <w:marRight w:val="0"/>
          <w:marTop w:val="105"/>
          <w:marBottom w:val="0"/>
          <w:divBdr>
            <w:top w:val="none" w:sz="0" w:space="0" w:color="auto"/>
            <w:left w:val="none" w:sz="0" w:space="0" w:color="auto"/>
            <w:bottom w:val="none" w:sz="0" w:space="0" w:color="auto"/>
            <w:right w:val="none" w:sz="0" w:space="0" w:color="auto"/>
          </w:divBdr>
        </w:div>
        <w:div w:id="1826774041">
          <w:marLeft w:val="600"/>
          <w:marRight w:val="0"/>
          <w:marTop w:val="0"/>
          <w:marBottom w:val="0"/>
          <w:divBdr>
            <w:top w:val="none" w:sz="0" w:space="0" w:color="auto"/>
            <w:left w:val="none" w:sz="0" w:space="0" w:color="auto"/>
            <w:bottom w:val="none" w:sz="0" w:space="0" w:color="auto"/>
            <w:right w:val="none" w:sz="0" w:space="0" w:color="auto"/>
          </w:divBdr>
        </w:div>
      </w:divsChild>
    </w:div>
    <w:div w:id="436676876">
      <w:bodyDiv w:val="1"/>
      <w:marLeft w:val="0"/>
      <w:marRight w:val="0"/>
      <w:marTop w:val="0"/>
      <w:marBottom w:val="0"/>
      <w:divBdr>
        <w:top w:val="none" w:sz="0" w:space="0" w:color="auto"/>
        <w:left w:val="none" w:sz="0" w:space="0" w:color="auto"/>
        <w:bottom w:val="none" w:sz="0" w:space="0" w:color="auto"/>
        <w:right w:val="none" w:sz="0" w:space="0" w:color="auto"/>
      </w:divBdr>
    </w:div>
    <w:div w:id="621813659">
      <w:bodyDiv w:val="1"/>
      <w:marLeft w:val="0"/>
      <w:marRight w:val="0"/>
      <w:marTop w:val="0"/>
      <w:marBottom w:val="0"/>
      <w:divBdr>
        <w:top w:val="none" w:sz="0" w:space="0" w:color="auto"/>
        <w:left w:val="none" w:sz="0" w:space="0" w:color="auto"/>
        <w:bottom w:val="none" w:sz="0" w:space="0" w:color="auto"/>
        <w:right w:val="none" w:sz="0" w:space="0" w:color="auto"/>
      </w:divBdr>
    </w:div>
    <w:div w:id="753084725">
      <w:bodyDiv w:val="1"/>
      <w:marLeft w:val="0"/>
      <w:marRight w:val="0"/>
      <w:marTop w:val="0"/>
      <w:marBottom w:val="0"/>
      <w:divBdr>
        <w:top w:val="none" w:sz="0" w:space="0" w:color="auto"/>
        <w:left w:val="none" w:sz="0" w:space="0" w:color="auto"/>
        <w:bottom w:val="none" w:sz="0" w:space="0" w:color="auto"/>
        <w:right w:val="none" w:sz="0" w:space="0" w:color="auto"/>
      </w:divBdr>
    </w:div>
    <w:div w:id="764427086">
      <w:bodyDiv w:val="1"/>
      <w:marLeft w:val="0"/>
      <w:marRight w:val="0"/>
      <w:marTop w:val="0"/>
      <w:marBottom w:val="0"/>
      <w:divBdr>
        <w:top w:val="none" w:sz="0" w:space="0" w:color="auto"/>
        <w:left w:val="none" w:sz="0" w:space="0" w:color="auto"/>
        <w:bottom w:val="none" w:sz="0" w:space="0" w:color="auto"/>
        <w:right w:val="none" w:sz="0" w:space="0" w:color="auto"/>
      </w:divBdr>
      <w:divsChild>
        <w:div w:id="1076822474">
          <w:marLeft w:val="0"/>
          <w:marRight w:val="0"/>
          <w:marTop w:val="0"/>
          <w:marBottom w:val="0"/>
          <w:divBdr>
            <w:top w:val="none" w:sz="0" w:space="0" w:color="auto"/>
            <w:left w:val="none" w:sz="0" w:space="0" w:color="auto"/>
            <w:bottom w:val="none" w:sz="0" w:space="0" w:color="auto"/>
            <w:right w:val="none" w:sz="0" w:space="0" w:color="auto"/>
          </w:divBdr>
          <w:divsChild>
            <w:div w:id="87966650">
              <w:marLeft w:val="0"/>
              <w:marRight w:val="0"/>
              <w:marTop w:val="0"/>
              <w:marBottom w:val="0"/>
              <w:divBdr>
                <w:top w:val="none" w:sz="0" w:space="0" w:color="auto"/>
                <w:left w:val="none" w:sz="0" w:space="0" w:color="auto"/>
                <w:bottom w:val="none" w:sz="0" w:space="0" w:color="auto"/>
                <w:right w:val="none" w:sz="0" w:space="0" w:color="auto"/>
              </w:divBdr>
              <w:divsChild>
                <w:div w:id="64038905">
                  <w:marLeft w:val="0"/>
                  <w:marRight w:val="0"/>
                  <w:marTop w:val="0"/>
                  <w:marBottom w:val="0"/>
                  <w:divBdr>
                    <w:top w:val="none" w:sz="0" w:space="0" w:color="auto"/>
                    <w:left w:val="none" w:sz="0" w:space="0" w:color="auto"/>
                    <w:bottom w:val="none" w:sz="0" w:space="0" w:color="auto"/>
                    <w:right w:val="none" w:sz="0" w:space="0" w:color="auto"/>
                  </w:divBdr>
                  <w:divsChild>
                    <w:div w:id="97604414">
                      <w:marLeft w:val="0"/>
                      <w:marRight w:val="0"/>
                      <w:marTop w:val="0"/>
                      <w:marBottom w:val="0"/>
                      <w:divBdr>
                        <w:top w:val="none" w:sz="0" w:space="0" w:color="auto"/>
                        <w:left w:val="none" w:sz="0" w:space="0" w:color="auto"/>
                        <w:bottom w:val="none" w:sz="0" w:space="0" w:color="auto"/>
                        <w:right w:val="none" w:sz="0" w:space="0" w:color="auto"/>
                      </w:divBdr>
                      <w:divsChild>
                        <w:div w:id="933173290">
                          <w:marLeft w:val="0"/>
                          <w:marRight w:val="0"/>
                          <w:marTop w:val="0"/>
                          <w:marBottom w:val="0"/>
                          <w:divBdr>
                            <w:top w:val="none" w:sz="0" w:space="0" w:color="auto"/>
                            <w:left w:val="none" w:sz="0" w:space="0" w:color="auto"/>
                            <w:bottom w:val="none" w:sz="0" w:space="0" w:color="auto"/>
                            <w:right w:val="none" w:sz="0" w:space="0" w:color="auto"/>
                          </w:divBdr>
                          <w:divsChild>
                            <w:div w:id="1006518942">
                              <w:marLeft w:val="0"/>
                              <w:marRight w:val="0"/>
                              <w:marTop w:val="0"/>
                              <w:marBottom w:val="0"/>
                              <w:divBdr>
                                <w:top w:val="none" w:sz="0" w:space="0" w:color="auto"/>
                                <w:left w:val="none" w:sz="0" w:space="0" w:color="auto"/>
                                <w:bottom w:val="none" w:sz="0" w:space="0" w:color="auto"/>
                                <w:right w:val="none" w:sz="0" w:space="0" w:color="auto"/>
                              </w:divBdr>
                              <w:divsChild>
                                <w:div w:id="474026207">
                                  <w:marLeft w:val="0"/>
                                  <w:marRight w:val="0"/>
                                  <w:marTop w:val="0"/>
                                  <w:marBottom w:val="0"/>
                                  <w:divBdr>
                                    <w:top w:val="none" w:sz="0" w:space="0" w:color="auto"/>
                                    <w:left w:val="none" w:sz="0" w:space="0" w:color="auto"/>
                                    <w:bottom w:val="none" w:sz="0" w:space="0" w:color="auto"/>
                                    <w:right w:val="none" w:sz="0" w:space="0" w:color="auto"/>
                                  </w:divBdr>
                                  <w:divsChild>
                                    <w:div w:id="254245403">
                                      <w:marLeft w:val="0"/>
                                      <w:marRight w:val="0"/>
                                      <w:marTop w:val="0"/>
                                      <w:marBottom w:val="0"/>
                                      <w:divBdr>
                                        <w:top w:val="none" w:sz="0" w:space="0" w:color="auto"/>
                                        <w:left w:val="none" w:sz="0" w:space="0" w:color="auto"/>
                                        <w:bottom w:val="none" w:sz="0" w:space="0" w:color="auto"/>
                                        <w:right w:val="none" w:sz="0" w:space="0" w:color="auto"/>
                                      </w:divBdr>
                                      <w:divsChild>
                                        <w:div w:id="135888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290024">
      <w:bodyDiv w:val="1"/>
      <w:marLeft w:val="0"/>
      <w:marRight w:val="0"/>
      <w:marTop w:val="0"/>
      <w:marBottom w:val="0"/>
      <w:divBdr>
        <w:top w:val="none" w:sz="0" w:space="0" w:color="auto"/>
        <w:left w:val="none" w:sz="0" w:space="0" w:color="auto"/>
        <w:bottom w:val="none" w:sz="0" w:space="0" w:color="auto"/>
        <w:right w:val="none" w:sz="0" w:space="0" w:color="auto"/>
      </w:divBdr>
    </w:div>
    <w:div w:id="855658478">
      <w:bodyDiv w:val="1"/>
      <w:marLeft w:val="0"/>
      <w:marRight w:val="0"/>
      <w:marTop w:val="0"/>
      <w:marBottom w:val="0"/>
      <w:divBdr>
        <w:top w:val="none" w:sz="0" w:space="0" w:color="auto"/>
        <w:left w:val="none" w:sz="0" w:space="0" w:color="auto"/>
        <w:bottom w:val="none" w:sz="0" w:space="0" w:color="auto"/>
        <w:right w:val="none" w:sz="0" w:space="0" w:color="auto"/>
      </w:divBdr>
      <w:divsChild>
        <w:div w:id="1179932729">
          <w:marLeft w:val="0"/>
          <w:marRight w:val="0"/>
          <w:marTop w:val="0"/>
          <w:marBottom w:val="0"/>
          <w:divBdr>
            <w:top w:val="none" w:sz="0" w:space="0" w:color="auto"/>
            <w:left w:val="none" w:sz="0" w:space="0" w:color="auto"/>
            <w:bottom w:val="none" w:sz="0" w:space="0" w:color="auto"/>
            <w:right w:val="none" w:sz="0" w:space="0" w:color="auto"/>
          </w:divBdr>
          <w:divsChild>
            <w:div w:id="1196432147">
              <w:marLeft w:val="0"/>
              <w:marRight w:val="0"/>
              <w:marTop w:val="0"/>
              <w:marBottom w:val="0"/>
              <w:divBdr>
                <w:top w:val="none" w:sz="0" w:space="0" w:color="auto"/>
                <w:left w:val="none" w:sz="0" w:space="0" w:color="auto"/>
                <w:bottom w:val="none" w:sz="0" w:space="0" w:color="auto"/>
                <w:right w:val="none" w:sz="0" w:space="0" w:color="auto"/>
              </w:divBdr>
              <w:divsChild>
                <w:div w:id="2128816633">
                  <w:marLeft w:val="0"/>
                  <w:marRight w:val="0"/>
                  <w:marTop w:val="0"/>
                  <w:marBottom w:val="0"/>
                  <w:divBdr>
                    <w:top w:val="none" w:sz="0" w:space="0" w:color="auto"/>
                    <w:left w:val="none" w:sz="0" w:space="0" w:color="auto"/>
                    <w:bottom w:val="none" w:sz="0" w:space="0" w:color="auto"/>
                    <w:right w:val="none" w:sz="0" w:space="0" w:color="auto"/>
                  </w:divBdr>
                  <w:divsChild>
                    <w:div w:id="675114972">
                      <w:marLeft w:val="0"/>
                      <w:marRight w:val="0"/>
                      <w:marTop w:val="0"/>
                      <w:marBottom w:val="0"/>
                      <w:divBdr>
                        <w:top w:val="none" w:sz="0" w:space="0" w:color="auto"/>
                        <w:left w:val="none" w:sz="0" w:space="0" w:color="auto"/>
                        <w:bottom w:val="none" w:sz="0" w:space="0" w:color="auto"/>
                        <w:right w:val="none" w:sz="0" w:space="0" w:color="auto"/>
                      </w:divBdr>
                      <w:divsChild>
                        <w:div w:id="1242372352">
                          <w:marLeft w:val="0"/>
                          <w:marRight w:val="0"/>
                          <w:marTop w:val="0"/>
                          <w:marBottom w:val="0"/>
                          <w:divBdr>
                            <w:top w:val="none" w:sz="0" w:space="0" w:color="auto"/>
                            <w:left w:val="none" w:sz="0" w:space="0" w:color="auto"/>
                            <w:bottom w:val="none" w:sz="0" w:space="0" w:color="auto"/>
                            <w:right w:val="none" w:sz="0" w:space="0" w:color="auto"/>
                          </w:divBdr>
                          <w:divsChild>
                            <w:div w:id="1179583640">
                              <w:marLeft w:val="0"/>
                              <w:marRight w:val="0"/>
                              <w:marTop w:val="0"/>
                              <w:marBottom w:val="0"/>
                              <w:divBdr>
                                <w:top w:val="none" w:sz="0" w:space="0" w:color="auto"/>
                                <w:left w:val="none" w:sz="0" w:space="0" w:color="auto"/>
                                <w:bottom w:val="none" w:sz="0" w:space="0" w:color="auto"/>
                                <w:right w:val="none" w:sz="0" w:space="0" w:color="auto"/>
                              </w:divBdr>
                              <w:divsChild>
                                <w:div w:id="207646773">
                                  <w:marLeft w:val="0"/>
                                  <w:marRight w:val="0"/>
                                  <w:marTop w:val="0"/>
                                  <w:marBottom w:val="0"/>
                                  <w:divBdr>
                                    <w:top w:val="none" w:sz="0" w:space="0" w:color="auto"/>
                                    <w:left w:val="none" w:sz="0" w:space="0" w:color="auto"/>
                                    <w:bottom w:val="none" w:sz="0" w:space="0" w:color="auto"/>
                                    <w:right w:val="none" w:sz="0" w:space="0" w:color="auto"/>
                                  </w:divBdr>
                                  <w:divsChild>
                                    <w:div w:id="1559317479">
                                      <w:marLeft w:val="0"/>
                                      <w:marRight w:val="0"/>
                                      <w:marTop w:val="0"/>
                                      <w:marBottom w:val="0"/>
                                      <w:divBdr>
                                        <w:top w:val="none" w:sz="0" w:space="0" w:color="auto"/>
                                        <w:left w:val="none" w:sz="0" w:space="0" w:color="auto"/>
                                        <w:bottom w:val="none" w:sz="0" w:space="0" w:color="auto"/>
                                        <w:right w:val="none" w:sz="0" w:space="0" w:color="auto"/>
                                      </w:divBdr>
                                      <w:divsChild>
                                        <w:div w:id="2138719870">
                                          <w:marLeft w:val="0"/>
                                          <w:marRight w:val="0"/>
                                          <w:marTop w:val="0"/>
                                          <w:marBottom w:val="0"/>
                                          <w:divBdr>
                                            <w:top w:val="none" w:sz="0" w:space="0" w:color="auto"/>
                                            <w:left w:val="none" w:sz="0" w:space="0" w:color="auto"/>
                                            <w:bottom w:val="none" w:sz="0" w:space="0" w:color="auto"/>
                                            <w:right w:val="none" w:sz="0" w:space="0" w:color="auto"/>
                                          </w:divBdr>
                                          <w:divsChild>
                                            <w:div w:id="76345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6737455">
      <w:bodyDiv w:val="1"/>
      <w:marLeft w:val="0"/>
      <w:marRight w:val="0"/>
      <w:marTop w:val="0"/>
      <w:marBottom w:val="0"/>
      <w:divBdr>
        <w:top w:val="none" w:sz="0" w:space="0" w:color="auto"/>
        <w:left w:val="none" w:sz="0" w:space="0" w:color="auto"/>
        <w:bottom w:val="none" w:sz="0" w:space="0" w:color="auto"/>
        <w:right w:val="none" w:sz="0" w:space="0" w:color="auto"/>
      </w:divBdr>
    </w:div>
    <w:div w:id="1051656892">
      <w:bodyDiv w:val="1"/>
      <w:marLeft w:val="0"/>
      <w:marRight w:val="0"/>
      <w:marTop w:val="0"/>
      <w:marBottom w:val="0"/>
      <w:divBdr>
        <w:top w:val="none" w:sz="0" w:space="0" w:color="auto"/>
        <w:left w:val="none" w:sz="0" w:space="0" w:color="auto"/>
        <w:bottom w:val="none" w:sz="0" w:space="0" w:color="auto"/>
        <w:right w:val="none" w:sz="0" w:space="0" w:color="auto"/>
      </w:divBdr>
    </w:div>
    <w:div w:id="1216508907">
      <w:bodyDiv w:val="1"/>
      <w:marLeft w:val="0"/>
      <w:marRight w:val="0"/>
      <w:marTop w:val="0"/>
      <w:marBottom w:val="0"/>
      <w:divBdr>
        <w:top w:val="none" w:sz="0" w:space="0" w:color="auto"/>
        <w:left w:val="none" w:sz="0" w:space="0" w:color="auto"/>
        <w:bottom w:val="none" w:sz="0" w:space="0" w:color="auto"/>
        <w:right w:val="none" w:sz="0" w:space="0" w:color="auto"/>
      </w:divBdr>
      <w:divsChild>
        <w:div w:id="224268311">
          <w:marLeft w:val="0"/>
          <w:marRight w:val="0"/>
          <w:marTop w:val="0"/>
          <w:marBottom w:val="0"/>
          <w:divBdr>
            <w:top w:val="none" w:sz="0" w:space="0" w:color="auto"/>
            <w:left w:val="none" w:sz="0" w:space="0" w:color="auto"/>
            <w:bottom w:val="none" w:sz="0" w:space="0" w:color="auto"/>
            <w:right w:val="none" w:sz="0" w:space="0" w:color="auto"/>
          </w:divBdr>
          <w:divsChild>
            <w:div w:id="191915886">
              <w:marLeft w:val="0"/>
              <w:marRight w:val="0"/>
              <w:marTop w:val="0"/>
              <w:marBottom w:val="0"/>
              <w:divBdr>
                <w:top w:val="none" w:sz="0" w:space="0" w:color="auto"/>
                <w:left w:val="none" w:sz="0" w:space="0" w:color="auto"/>
                <w:bottom w:val="none" w:sz="0" w:space="0" w:color="auto"/>
                <w:right w:val="none" w:sz="0" w:space="0" w:color="auto"/>
              </w:divBdr>
              <w:divsChild>
                <w:div w:id="1747648589">
                  <w:marLeft w:val="0"/>
                  <w:marRight w:val="0"/>
                  <w:marTop w:val="0"/>
                  <w:marBottom w:val="0"/>
                  <w:divBdr>
                    <w:top w:val="none" w:sz="0" w:space="0" w:color="auto"/>
                    <w:left w:val="none" w:sz="0" w:space="0" w:color="auto"/>
                    <w:bottom w:val="none" w:sz="0" w:space="0" w:color="auto"/>
                    <w:right w:val="none" w:sz="0" w:space="0" w:color="auto"/>
                  </w:divBdr>
                  <w:divsChild>
                    <w:div w:id="190459520">
                      <w:marLeft w:val="0"/>
                      <w:marRight w:val="0"/>
                      <w:marTop w:val="420"/>
                      <w:marBottom w:val="0"/>
                      <w:divBdr>
                        <w:top w:val="none" w:sz="0" w:space="0" w:color="auto"/>
                        <w:left w:val="none" w:sz="0" w:space="0" w:color="auto"/>
                        <w:bottom w:val="none" w:sz="0" w:space="0" w:color="auto"/>
                        <w:right w:val="none" w:sz="0" w:space="0" w:color="auto"/>
                      </w:divBdr>
                      <w:divsChild>
                        <w:div w:id="762922236">
                          <w:marLeft w:val="0"/>
                          <w:marRight w:val="0"/>
                          <w:marTop w:val="0"/>
                          <w:marBottom w:val="0"/>
                          <w:divBdr>
                            <w:top w:val="none" w:sz="0" w:space="0" w:color="auto"/>
                            <w:left w:val="none" w:sz="0" w:space="0" w:color="auto"/>
                            <w:bottom w:val="none" w:sz="0" w:space="0" w:color="auto"/>
                            <w:right w:val="none" w:sz="0" w:space="0" w:color="auto"/>
                          </w:divBdr>
                          <w:divsChild>
                            <w:div w:id="594751993">
                              <w:marLeft w:val="0"/>
                              <w:marRight w:val="0"/>
                              <w:marTop w:val="0"/>
                              <w:marBottom w:val="0"/>
                              <w:divBdr>
                                <w:top w:val="none" w:sz="0" w:space="0" w:color="auto"/>
                                <w:left w:val="none" w:sz="0" w:space="0" w:color="auto"/>
                                <w:bottom w:val="none" w:sz="0" w:space="0" w:color="auto"/>
                                <w:right w:val="none" w:sz="0" w:space="0" w:color="auto"/>
                              </w:divBdr>
                              <w:divsChild>
                                <w:div w:id="294263490">
                                  <w:marLeft w:val="0"/>
                                  <w:marRight w:val="0"/>
                                  <w:marTop w:val="0"/>
                                  <w:marBottom w:val="0"/>
                                  <w:divBdr>
                                    <w:top w:val="none" w:sz="0" w:space="0" w:color="auto"/>
                                    <w:left w:val="none" w:sz="0" w:space="0" w:color="auto"/>
                                    <w:bottom w:val="none" w:sz="0" w:space="0" w:color="auto"/>
                                    <w:right w:val="none" w:sz="0" w:space="0" w:color="auto"/>
                                  </w:divBdr>
                                  <w:divsChild>
                                    <w:div w:id="1251426956">
                                      <w:marLeft w:val="0"/>
                                      <w:marRight w:val="0"/>
                                      <w:marTop w:val="0"/>
                                      <w:marBottom w:val="0"/>
                                      <w:divBdr>
                                        <w:top w:val="none" w:sz="0" w:space="0" w:color="auto"/>
                                        <w:left w:val="none" w:sz="0" w:space="0" w:color="auto"/>
                                        <w:bottom w:val="none" w:sz="0" w:space="0" w:color="auto"/>
                                        <w:right w:val="none" w:sz="0" w:space="0" w:color="auto"/>
                                      </w:divBdr>
                                      <w:divsChild>
                                        <w:div w:id="550075936">
                                          <w:marLeft w:val="0"/>
                                          <w:marRight w:val="0"/>
                                          <w:marTop w:val="0"/>
                                          <w:marBottom w:val="0"/>
                                          <w:divBdr>
                                            <w:top w:val="none" w:sz="0" w:space="0" w:color="auto"/>
                                            <w:left w:val="none" w:sz="0" w:space="0" w:color="auto"/>
                                            <w:bottom w:val="none" w:sz="0" w:space="0" w:color="auto"/>
                                            <w:right w:val="none" w:sz="0" w:space="0" w:color="auto"/>
                                          </w:divBdr>
                                          <w:divsChild>
                                            <w:div w:id="2004963908">
                                              <w:marLeft w:val="0"/>
                                              <w:marRight w:val="0"/>
                                              <w:marTop w:val="0"/>
                                              <w:marBottom w:val="0"/>
                                              <w:divBdr>
                                                <w:top w:val="none" w:sz="0" w:space="0" w:color="auto"/>
                                                <w:left w:val="none" w:sz="0" w:space="0" w:color="auto"/>
                                                <w:bottom w:val="none" w:sz="0" w:space="0" w:color="auto"/>
                                                <w:right w:val="none" w:sz="0" w:space="0" w:color="auto"/>
                                              </w:divBdr>
                                              <w:divsChild>
                                                <w:div w:id="731346678">
                                                  <w:marLeft w:val="0"/>
                                                  <w:marRight w:val="0"/>
                                                  <w:marTop w:val="0"/>
                                                  <w:marBottom w:val="0"/>
                                                  <w:divBdr>
                                                    <w:top w:val="none" w:sz="0" w:space="0" w:color="auto"/>
                                                    <w:left w:val="none" w:sz="0" w:space="0" w:color="auto"/>
                                                    <w:bottom w:val="none" w:sz="0" w:space="0" w:color="auto"/>
                                                    <w:right w:val="none" w:sz="0" w:space="0" w:color="auto"/>
                                                  </w:divBdr>
                                                  <w:divsChild>
                                                    <w:div w:id="68309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384830">
      <w:bodyDiv w:val="1"/>
      <w:marLeft w:val="0"/>
      <w:marRight w:val="0"/>
      <w:marTop w:val="0"/>
      <w:marBottom w:val="0"/>
      <w:divBdr>
        <w:top w:val="none" w:sz="0" w:space="0" w:color="auto"/>
        <w:left w:val="none" w:sz="0" w:space="0" w:color="auto"/>
        <w:bottom w:val="none" w:sz="0" w:space="0" w:color="auto"/>
        <w:right w:val="none" w:sz="0" w:space="0" w:color="auto"/>
      </w:divBdr>
      <w:divsChild>
        <w:div w:id="126944050">
          <w:marLeft w:val="600"/>
          <w:marRight w:val="0"/>
          <w:marTop w:val="0"/>
          <w:marBottom w:val="0"/>
          <w:divBdr>
            <w:top w:val="none" w:sz="0" w:space="0" w:color="auto"/>
            <w:left w:val="none" w:sz="0" w:space="0" w:color="auto"/>
            <w:bottom w:val="none" w:sz="0" w:space="0" w:color="auto"/>
            <w:right w:val="none" w:sz="0" w:space="0" w:color="auto"/>
          </w:divBdr>
        </w:div>
        <w:div w:id="618295289">
          <w:marLeft w:val="600"/>
          <w:marRight w:val="0"/>
          <w:marTop w:val="0"/>
          <w:marBottom w:val="0"/>
          <w:divBdr>
            <w:top w:val="none" w:sz="0" w:space="0" w:color="auto"/>
            <w:left w:val="none" w:sz="0" w:space="0" w:color="auto"/>
            <w:bottom w:val="none" w:sz="0" w:space="0" w:color="auto"/>
            <w:right w:val="none" w:sz="0" w:space="0" w:color="auto"/>
          </w:divBdr>
        </w:div>
        <w:div w:id="836847044">
          <w:marLeft w:val="0"/>
          <w:marRight w:val="0"/>
          <w:marTop w:val="105"/>
          <w:marBottom w:val="0"/>
          <w:divBdr>
            <w:top w:val="none" w:sz="0" w:space="0" w:color="auto"/>
            <w:left w:val="none" w:sz="0" w:space="0" w:color="auto"/>
            <w:bottom w:val="none" w:sz="0" w:space="0" w:color="auto"/>
            <w:right w:val="none" w:sz="0" w:space="0" w:color="auto"/>
          </w:divBdr>
        </w:div>
        <w:div w:id="1450320555">
          <w:marLeft w:val="600"/>
          <w:marRight w:val="0"/>
          <w:marTop w:val="0"/>
          <w:marBottom w:val="0"/>
          <w:divBdr>
            <w:top w:val="none" w:sz="0" w:space="0" w:color="auto"/>
            <w:left w:val="none" w:sz="0" w:space="0" w:color="auto"/>
            <w:bottom w:val="none" w:sz="0" w:space="0" w:color="auto"/>
            <w:right w:val="none" w:sz="0" w:space="0" w:color="auto"/>
          </w:divBdr>
        </w:div>
        <w:div w:id="2076658102">
          <w:marLeft w:val="600"/>
          <w:marRight w:val="0"/>
          <w:marTop w:val="0"/>
          <w:marBottom w:val="0"/>
          <w:divBdr>
            <w:top w:val="none" w:sz="0" w:space="0" w:color="auto"/>
            <w:left w:val="none" w:sz="0" w:space="0" w:color="auto"/>
            <w:bottom w:val="none" w:sz="0" w:space="0" w:color="auto"/>
            <w:right w:val="none" w:sz="0" w:space="0" w:color="auto"/>
          </w:divBdr>
        </w:div>
      </w:divsChild>
    </w:div>
    <w:div w:id="1264654193">
      <w:bodyDiv w:val="1"/>
      <w:marLeft w:val="0"/>
      <w:marRight w:val="0"/>
      <w:marTop w:val="0"/>
      <w:marBottom w:val="0"/>
      <w:divBdr>
        <w:top w:val="none" w:sz="0" w:space="0" w:color="auto"/>
        <w:left w:val="none" w:sz="0" w:space="0" w:color="auto"/>
        <w:bottom w:val="none" w:sz="0" w:space="0" w:color="auto"/>
        <w:right w:val="none" w:sz="0" w:space="0" w:color="auto"/>
      </w:divBdr>
      <w:divsChild>
        <w:div w:id="775099472">
          <w:marLeft w:val="0"/>
          <w:marRight w:val="0"/>
          <w:marTop w:val="0"/>
          <w:marBottom w:val="0"/>
          <w:divBdr>
            <w:top w:val="none" w:sz="0" w:space="0" w:color="auto"/>
            <w:left w:val="none" w:sz="0" w:space="0" w:color="auto"/>
            <w:bottom w:val="none" w:sz="0" w:space="0" w:color="auto"/>
            <w:right w:val="none" w:sz="0" w:space="0" w:color="auto"/>
          </w:divBdr>
          <w:divsChild>
            <w:div w:id="1961566688">
              <w:marLeft w:val="0"/>
              <w:marRight w:val="0"/>
              <w:marTop w:val="0"/>
              <w:marBottom w:val="0"/>
              <w:divBdr>
                <w:top w:val="none" w:sz="0" w:space="0" w:color="auto"/>
                <w:left w:val="none" w:sz="0" w:space="0" w:color="auto"/>
                <w:bottom w:val="none" w:sz="0" w:space="0" w:color="auto"/>
                <w:right w:val="none" w:sz="0" w:space="0" w:color="auto"/>
              </w:divBdr>
              <w:divsChild>
                <w:div w:id="1491603323">
                  <w:marLeft w:val="0"/>
                  <w:marRight w:val="0"/>
                  <w:marTop w:val="0"/>
                  <w:marBottom w:val="0"/>
                  <w:divBdr>
                    <w:top w:val="none" w:sz="0" w:space="0" w:color="auto"/>
                    <w:left w:val="none" w:sz="0" w:space="0" w:color="auto"/>
                    <w:bottom w:val="none" w:sz="0" w:space="0" w:color="auto"/>
                    <w:right w:val="none" w:sz="0" w:space="0" w:color="auto"/>
                  </w:divBdr>
                  <w:divsChild>
                    <w:div w:id="611402429">
                      <w:marLeft w:val="0"/>
                      <w:marRight w:val="0"/>
                      <w:marTop w:val="0"/>
                      <w:marBottom w:val="0"/>
                      <w:divBdr>
                        <w:top w:val="none" w:sz="0" w:space="0" w:color="auto"/>
                        <w:left w:val="none" w:sz="0" w:space="0" w:color="auto"/>
                        <w:bottom w:val="none" w:sz="0" w:space="0" w:color="auto"/>
                        <w:right w:val="none" w:sz="0" w:space="0" w:color="auto"/>
                      </w:divBdr>
                      <w:divsChild>
                        <w:div w:id="1065222508">
                          <w:marLeft w:val="0"/>
                          <w:marRight w:val="0"/>
                          <w:marTop w:val="0"/>
                          <w:marBottom w:val="0"/>
                          <w:divBdr>
                            <w:top w:val="none" w:sz="0" w:space="0" w:color="auto"/>
                            <w:left w:val="none" w:sz="0" w:space="0" w:color="auto"/>
                            <w:bottom w:val="none" w:sz="0" w:space="0" w:color="auto"/>
                            <w:right w:val="none" w:sz="0" w:space="0" w:color="auto"/>
                          </w:divBdr>
                          <w:divsChild>
                            <w:div w:id="1648238706">
                              <w:marLeft w:val="0"/>
                              <w:marRight w:val="0"/>
                              <w:marTop w:val="0"/>
                              <w:marBottom w:val="0"/>
                              <w:divBdr>
                                <w:top w:val="none" w:sz="0" w:space="0" w:color="auto"/>
                                <w:left w:val="none" w:sz="0" w:space="0" w:color="auto"/>
                                <w:bottom w:val="none" w:sz="0" w:space="0" w:color="auto"/>
                                <w:right w:val="none" w:sz="0" w:space="0" w:color="auto"/>
                              </w:divBdr>
                              <w:divsChild>
                                <w:div w:id="519046257">
                                  <w:marLeft w:val="0"/>
                                  <w:marRight w:val="0"/>
                                  <w:marTop w:val="0"/>
                                  <w:marBottom w:val="0"/>
                                  <w:divBdr>
                                    <w:top w:val="none" w:sz="0" w:space="0" w:color="auto"/>
                                    <w:left w:val="none" w:sz="0" w:space="0" w:color="auto"/>
                                    <w:bottom w:val="none" w:sz="0" w:space="0" w:color="auto"/>
                                    <w:right w:val="none" w:sz="0" w:space="0" w:color="auto"/>
                                  </w:divBdr>
                                  <w:divsChild>
                                    <w:div w:id="613051577">
                                      <w:marLeft w:val="0"/>
                                      <w:marRight w:val="0"/>
                                      <w:marTop w:val="0"/>
                                      <w:marBottom w:val="0"/>
                                      <w:divBdr>
                                        <w:top w:val="none" w:sz="0" w:space="0" w:color="auto"/>
                                        <w:left w:val="none" w:sz="0" w:space="0" w:color="auto"/>
                                        <w:bottom w:val="none" w:sz="0" w:space="0" w:color="auto"/>
                                        <w:right w:val="none" w:sz="0" w:space="0" w:color="auto"/>
                                      </w:divBdr>
                                      <w:divsChild>
                                        <w:div w:id="1909607647">
                                          <w:marLeft w:val="0"/>
                                          <w:marRight w:val="0"/>
                                          <w:marTop w:val="0"/>
                                          <w:marBottom w:val="0"/>
                                          <w:divBdr>
                                            <w:top w:val="none" w:sz="0" w:space="0" w:color="auto"/>
                                            <w:left w:val="none" w:sz="0" w:space="0" w:color="auto"/>
                                            <w:bottom w:val="none" w:sz="0" w:space="0" w:color="auto"/>
                                            <w:right w:val="none" w:sz="0" w:space="0" w:color="auto"/>
                                          </w:divBdr>
                                          <w:divsChild>
                                            <w:div w:id="1319577642">
                                              <w:marLeft w:val="0"/>
                                              <w:marRight w:val="0"/>
                                              <w:marTop w:val="0"/>
                                              <w:marBottom w:val="0"/>
                                              <w:divBdr>
                                                <w:top w:val="none" w:sz="0" w:space="0" w:color="auto"/>
                                                <w:left w:val="none" w:sz="0" w:space="0" w:color="auto"/>
                                                <w:bottom w:val="none" w:sz="0" w:space="0" w:color="auto"/>
                                                <w:right w:val="none" w:sz="0" w:space="0" w:color="auto"/>
                                              </w:divBdr>
                                              <w:divsChild>
                                                <w:div w:id="517277745">
                                                  <w:marLeft w:val="0"/>
                                                  <w:marRight w:val="0"/>
                                                  <w:marTop w:val="0"/>
                                                  <w:marBottom w:val="0"/>
                                                  <w:divBdr>
                                                    <w:top w:val="none" w:sz="0" w:space="0" w:color="auto"/>
                                                    <w:left w:val="none" w:sz="0" w:space="0" w:color="auto"/>
                                                    <w:bottom w:val="none" w:sz="0" w:space="0" w:color="auto"/>
                                                    <w:right w:val="none" w:sz="0" w:space="0" w:color="auto"/>
                                                  </w:divBdr>
                                                  <w:divsChild>
                                                    <w:div w:id="149009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5248513">
      <w:bodyDiv w:val="1"/>
      <w:marLeft w:val="0"/>
      <w:marRight w:val="0"/>
      <w:marTop w:val="0"/>
      <w:marBottom w:val="0"/>
      <w:divBdr>
        <w:top w:val="none" w:sz="0" w:space="0" w:color="auto"/>
        <w:left w:val="none" w:sz="0" w:space="0" w:color="auto"/>
        <w:bottom w:val="none" w:sz="0" w:space="0" w:color="auto"/>
        <w:right w:val="none" w:sz="0" w:space="0" w:color="auto"/>
      </w:divBdr>
    </w:div>
    <w:div w:id="1573662047">
      <w:bodyDiv w:val="1"/>
      <w:marLeft w:val="0"/>
      <w:marRight w:val="0"/>
      <w:marTop w:val="0"/>
      <w:marBottom w:val="0"/>
      <w:divBdr>
        <w:top w:val="none" w:sz="0" w:space="0" w:color="auto"/>
        <w:left w:val="none" w:sz="0" w:space="0" w:color="auto"/>
        <w:bottom w:val="none" w:sz="0" w:space="0" w:color="auto"/>
        <w:right w:val="none" w:sz="0" w:space="0" w:color="auto"/>
      </w:divBdr>
      <w:divsChild>
        <w:div w:id="362295110">
          <w:marLeft w:val="600"/>
          <w:marRight w:val="0"/>
          <w:marTop w:val="0"/>
          <w:marBottom w:val="0"/>
          <w:divBdr>
            <w:top w:val="none" w:sz="0" w:space="0" w:color="auto"/>
            <w:left w:val="none" w:sz="0" w:space="0" w:color="auto"/>
            <w:bottom w:val="none" w:sz="0" w:space="0" w:color="auto"/>
            <w:right w:val="none" w:sz="0" w:space="0" w:color="auto"/>
          </w:divBdr>
        </w:div>
        <w:div w:id="545337913">
          <w:marLeft w:val="600"/>
          <w:marRight w:val="0"/>
          <w:marTop w:val="0"/>
          <w:marBottom w:val="0"/>
          <w:divBdr>
            <w:top w:val="none" w:sz="0" w:space="0" w:color="auto"/>
            <w:left w:val="none" w:sz="0" w:space="0" w:color="auto"/>
            <w:bottom w:val="none" w:sz="0" w:space="0" w:color="auto"/>
            <w:right w:val="none" w:sz="0" w:space="0" w:color="auto"/>
          </w:divBdr>
        </w:div>
        <w:div w:id="593628720">
          <w:marLeft w:val="0"/>
          <w:marRight w:val="0"/>
          <w:marTop w:val="105"/>
          <w:marBottom w:val="0"/>
          <w:divBdr>
            <w:top w:val="none" w:sz="0" w:space="0" w:color="auto"/>
            <w:left w:val="none" w:sz="0" w:space="0" w:color="auto"/>
            <w:bottom w:val="none" w:sz="0" w:space="0" w:color="auto"/>
            <w:right w:val="none" w:sz="0" w:space="0" w:color="auto"/>
          </w:divBdr>
        </w:div>
        <w:div w:id="1291940708">
          <w:marLeft w:val="600"/>
          <w:marRight w:val="0"/>
          <w:marTop w:val="0"/>
          <w:marBottom w:val="0"/>
          <w:divBdr>
            <w:top w:val="none" w:sz="0" w:space="0" w:color="auto"/>
            <w:left w:val="none" w:sz="0" w:space="0" w:color="auto"/>
            <w:bottom w:val="none" w:sz="0" w:space="0" w:color="auto"/>
            <w:right w:val="none" w:sz="0" w:space="0" w:color="auto"/>
          </w:divBdr>
        </w:div>
        <w:div w:id="2081245970">
          <w:marLeft w:val="600"/>
          <w:marRight w:val="0"/>
          <w:marTop w:val="0"/>
          <w:marBottom w:val="0"/>
          <w:divBdr>
            <w:top w:val="none" w:sz="0" w:space="0" w:color="auto"/>
            <w:left w:val="none" w:sz="0" w:space="0" w:color="auto"/>
            <w:bottom w:val="none" w:sz="0" w:space="0" w:color="auto"/>
            <w:right w:val="none" w:sz="0" w:space="0" w:color="auto"/>
          </w:divBdr>
        </w:div>
      </w:divsChild>
    </w:div>
    <w:div w:id="1659721898">
      <w:bodyDiv w:val="1"/>
      <w:marLeft w:val="0"/>
      <w:marRight w:val="0"/>
      <w:marTop w:val="0"/>
      <w:marBottom w:val="0"/>
      <w:divBdr>
        <w:top w:val="none" w:sz="0" w:space="0" w:color="auto"/>
        <w:left w:val="none" w:sz="0" w:space="0" w:color="auto"/>
        <w:bottom w:val="none" w:sz="0" w:space="0" w:color="auto"/>
        <w:right w:val="none" w:sz="0" w:space="0" w:color="auto"/>
      </w:divBdr>
    </w:div>
    <w:div w:id="1701125751">
      <w:bodyDiv w:val="1"/>
      <w:marLeft w:val="0"/>
      <w:marRight w:val="0"/>
      <w:marTop w:val="0"/>
      <w:marBottom w:val="0"/>
      <w:divBdr>
        <w:top w:val="none" w:sz="0" w:space="0" w:color="auto"/>
        <w:left w:val="none" w:sz="0" w:space="0" w:color="auto"/>
        <w:bottom w:val="none" w:sz="0" w:space="0" w:color="auto"/>
        <w:right w:val="none" w:sz="0" w:space="0" w:color="auto"/>
      </w:divBdr>
    </w:div>
    <w:div w:id="1790583608">
      <w:bodyDiv w:val="1"/>
      <w:marLeft w:val="0"/>
      <w:marRight w:val="0"/>
      <w:marTop w:val="0"/>
      <w:marBottom w:val="0"/>
      <w:divBdr>
        <w:top w:val="none" w:sz="0" w:space="0" w:color="auto"/>
        <w:left w:val="none" w:sz="0" w:space="0" w:color="auto"/>
        <w:bottom w:val="none" w:sz="0" w:space="0" w:color="auto"/>
        <w:right w:val="none" w:sz="0" w:space="0" w:color="auto"/>
      </w:divBdr>
    </w:div>
    <w:div w:id="1827746481">
      <w:bodyDiv w:val="1"/>
      <w:marLeft w:val="0"/>
      <w:marRight w:val="0"/>
      <w:marTop w:val="0"/>
      <w:marBottom w:val="0"/>
      <w:divBdr>
        <w:top w:val="none" w:sz="0" w:space="0" w:color="auto"/>
        <w:left w:val="none" w:sz="0" w:space="0" w:color="auto"/>
        <w:bottom w:val="none" w:sz="0" w:space="0" w:color="auto"/>
        <w:right w:val="none" w:sz="0" w:space="0" w:color="auto"/>
      </w:divBdr>
      <w:divsChild>
        <w:div w:id="214708975">
          <w:marLeft w:val="0"/>
          <w:marRight w:val="0"/>
          <w:marTop w:val="0"/>
          <w:marBottom w:val="0"/>
          <w:divBdr>
            <w:top w:val="none" w:sz="0" w:space="0" w:color="auto"/>
            <w:left w:val="none" w:sz="0" w:space="0" w:color="auto"/>
            <w:bottom w:val="none" w:sz="0" w:space="0" w:color="auto"/>
            <w:right w:val="none" w:sz="0" w:space="0" w:color="auto"/>
          </w:divBdr>
        </w:div>
        <w:div w:id="229777733">
          <w:marLeft w:val="0"/>
          <w:marRight w:val="0"/>
          <w:marTop w:val="0"/>
          <w:marBottom w:val="0"/>
          <w:divBdr>
            <w:top w:val="none" w:sz="0" w:space="0" w:color="auto"/>
            <w:left w:val="none" w:sz="0" w:space="0" w:color="auto"/>
            <w:bottom w:val="none" w:sz="0" w:space="0" w:color="auto"/>
            <w:right w:val="none" w:sz="0" w:space="0" w:color="auto"/>
          </w:divBdr>
        </w:div>
        <w:div w:id="384531084">
          <w:marLeft w:val="0"/>
          <w:marRight w:val="0"/>
          <w:marTop w:val="0"/>
          <w:marBottom w:val="0"/>
          <w:divBdr>
            <w:top w:val="none" w:sz="0" w:space="0" w:color="auto"/>
            <w:left w:val="none" w:sz="0" w:space="0" w:color="auto"/>
            <w:bottom w:val="none" w:sz="0" w:space="0" w:color="auto"/>
            <w:right w:val="none" w:sz="0" w:space="0" w:color="auto"/>
          </w:divBdr>
        </w:div>
        <w:div w:id="555242648">
          <w:marLeft w:val="0"/>
          <w:marRight w:val="0"/>
          <w:marTop w:val="0"/>
          <w:marBottom w:val="0"/>
          <w:divBdr>
            <w:top w:val="none" w:sz="0" w:space="0" w:color="auto"/>
            <w:left w:val="none" w:sz="0" w:space="0" w:color="auto"/>
            <w:bottom w:val="none" w:sz="0" w:space="0" w:color="auto"/>
            <w:right w:val="none" w:sz="0" w:space="0" w:color="auto"/>
          </w:divBdr>
        </w:div>
        <w:div w:id="566572771">
          <w:marLeft w:val="0"/>
          <w:marRight w:val="0"/>
          <w:marTop w:val="0"/>
          <w:marBottom w:val="0"/>
          <w:divBdr>
            <w:top w:val="none" w:sz="0" w:space="0" w:color="auto"/>
            <w:left w:val="none" w:sz="0" w:space="0" w:color="auto"/>
            <w:bottom w:val="none" w:sz="0" w:space="0" w:color="auto"/>
            <w:right w:val="none" w:sz="0" w:space="0" w:color="auto"/>
          </w:divBdr>
        </w:div>
        <w:div w:id="742485514">
          <w:marLeft w:val="0"/>
          <w:marRight w:val="0"/>
          <w:marTop w:val="0"/>
          <w:marBottom w:val="0"/>
          <w:divBdr>
            <w:top w:val="none" w:sz="0" w:space="0" w:color="auto"/>
            <w:left w:val="none" w:sz="0" w:space="0" w:color="auto"/>
            <w:bottom w:val="none" w:sz="0" w:space="0" w:color="auto"/>
            <w:right w:val="none" w:sz="0" w:space="0" w:color="auto"/>
          </w:divBdr>
        </w:div>
        <w:div w:id="829489920">
          <w:marLeft w:val="0"/>
          <w:marRight w:val="0"/>
          <w:marTop w:val="0"/>
          <w:marBottom w:val="0"/>
          <w:divBdr>
            <w:top w:val="none" w:sz="0" w:space="0" w:color="auto"/>
            <w:left w:val="none" w:sz="0" w:space="0" w:color="auto"/>
            <w:bottom w:val="none" w:sz="0" w:space="0" w:color="auto"/>
            <w:right w:val="none" w:sz="0" w:space="0" w:color="auto"/>
          </w:divBdr>
        </w:div>
        <w:div w:id="1101686048">
          <w:marLeft w:val="0"/>
          <w:marRight w:val="0"/>
          <w:marTop w:val="0"/>
          <w:marBottom w:val="0"/>
          <w:divBdr>
            <w:top w:val="none" w:sz="0" w:space="0" w:color="auto"/>
            <w:left w:val="none" w:sz="0" w:space="0" w:color="auto"/>
            <w:bottom w:val="none" w:sz="0" w:space="0" w:color="auto"/>
            <w:right w:val="none" w:sz="0" w:space="0" w:color="auto"/>
          </w:divBdr>
        </w:div>
        <w:div w:id="1238126039">
          <w:marLeft w:val="0"/>
          <w:marRight w:val="0"/>
          <w:marTop w:val="0"/>
          <w:marBottom w:val="0"/>
          <w:divBdr>
            <w:top w:val="none" w:sz="0" w:space="0" w:color="auto"/>
            <w:left w:val="none" w:sz="0" w:space="0" w:color="auto"/>
            <w:bottom w:val="none" w:sz="0" w:space="0" w:color="auto"/>
            <w:right w:val="none" w:sz="0" w:space="0" w:color="auto"/>
          </w:divBdr>
        </w:div>
        <w:div w:id="1264604591">
          <w:marLeft w:val="0"/>
          <w:marRight w:val="0"/>
          <w:marTop w:val="0"/>
          <w:marBottom w:val="0"/>
          <w:divBdr>
            <w:top w:val="none" w:sz="0" w:space="0" w:color="auto"/>
            <w:left w:val="none" w:sz="0" w:space="0" w:color="auto"/>
            <w:bottom w:val="none" w:sz="0" w:space="0" w:color="auto"/>
            <w:right w:val="none" w:sz="0" w:space="0" w:color="auto"/>
          </w:divBdr>
        </w:div>
        <w:div w:id="1312372709">
          <w:marLeft w:val="0"/>
          <w:marRight w:val="0"/>
          <w:marTop w:val="0"/>
          <w:marBottom w:val="0"/>
          <w:divBdr>
            <w:top w:val="none" w:sz="0" w:space="0" w:color="auto"/>
            <w:left w:val="none" w:sz="0" w:space="0" w:color="auto"/>
            <w:bottom w:val="none" w:sz="0" w:space="0" w:color="auto"/>
            <w:right w:val="none" w:sz="0" w:space="0" w:color="auto"/>
          </w:divBdr>
        </w:div>
        <w:div w:id="1334452216">
          <w:marLeft w:val="0"/>
          <w:marRight w:val="0"/>
          <w:marTop w:val="0"/>
          <w:marBottom w:val="0"/>
          <w:divBdr>
            <w:top w:val="none" w:sz="0" w:space="0" w:color="auto"/>
            <w:left w:val="none" w:sz="0" w:space="0" w:color="auto"/>
            <w:bottom w:val="none" w:sz="0" w:space="0" w:color="auto"/>
            <w:right w:val="none" w:sz="0" w:space="0" w:color="auto"/>
          </w:divBdr>
        </w:div>
        <w:div w:id="1544096963">
          <w:marLeft w:val="0"/>
          <w:marRight w:val="0"/>
          <w:marTop w:val="0"/>
          <w:marBottom w:val="0"/>
          <w:divBdr>
            <w:top w:val="none" w:sz="0" w:space="0" w:color="auto"/>
            <w:left w:val="none" w:sz="0" w:space="0" w:color="auto"/>
            <w:bottom w:val="none" w:sz="0" w:space="0" w:color="auto"/>
            <w:right w:val="none" w:sz="0" w:space="0" w:color="auto"/>
          </w:divBdr>
        </w:div>
        <w:div w:id="1556772596">
          <w:marLeft w:val="0"/>
          <w:marRight w:val="0"/>
          <w:marTop w:val="0"/>
          <w:marBottom w:val="0"/>
          <w:divBdr>
            <w:top w:val="none" w:sz="0" w:space="0" w:color="auto"/>
            <w:left w:val="none" w:sz="0" w:space="0" w:color="auto"/>
            <w:bottom w:val="none" w:sz="0" w:space="0" w:color="auto"/>
            <w:right w:val="none" w:sz="0" w:space="0" w:color="auto"/>
          </w:divBdr>
        </w:div>
        <w:div w:id="1601987266">
          <w:marLeft w:val="0"/>
          <w:marRight w:val="0"/>
          <w:marTop w:val="0"/>
          <w:marBottom w:val="0"/>
          <w:divBdr>
            <w:top w:val="none" w:sz="0" w:space="0" w:color="auto"/>
            <w:left w:val="none" w:sz="0" w:space="0" w:color="auto"/>
            <w:bottom w:val="none" w:sz="0" w:space="0" w:color="auto"/>
            <w:right w:val="none" w:sz="0" w:space="0" w:color="auto"/>
          </w:divBdr>
        </w:div>
        <w:div w:id="1604220648">
          <w:marLeft w:val="0"/>
          <w:marRight w:val="0"/>
          <w:marTop w:val="0"/>
          <w:marBottom w:val="0"/>
          <w:divBdr>
            <w:top w:val="none" w:sz="0" w:space="0" w:color="auto"/>
            <w:left w:val="none" w:sz="0" w:space="0" w:color="auto"/>
            <w:bottom w:val="none" w:sz="0" w:space="0" w:color="auto"/>
            <w:right w:val="none" w:sz="0" w:space="0" w:color="auto"/>
          </w:divBdr>
        </w:div>
        <w:div w:id="1646159691">
          <w:marLeft w:val="0"/>
          <w:marRight w:val="0"/>
          <w:marTop w:val="0"/>
          <w:marBottom w:val="0"/>
          <w:divBdr>
            <w:top w:val="none" w:sz="0" w:space="0" w:color="auto"/>
            <w:left w:val="none" w:sz="0" w:space="0" w:color="auto"/>
            <w:bottom w:val="none" w:sz="0" w:space="0" w:color="auto"/>
            <w:right w:val="none" w:sz="0" w:space="0" w:color="auto"/>
          </w:divBdr>
        </w:div>
        <w:div w:id="1811553397">
          <w:marLeft w:val="0"/>
          <w:marRight w:val="0"/>
          <w:marTop w:val="0"/>
          <w:marBottom w:val="0"/>
          <w:divBdr>
            <w:top w:val="none" w:sz="0" w:space="0" w:color="auto"/>
            <w:left w:val="none" w:sz="0" w:space="0" w:color="auto"/>
            <w:bottom w:val="none" w:sz="0" w:space="0" w:color="auto"/>
            <w:right w:val="none" w:sz="0" w:space="0" w:color="auto"/>
          </w:divBdr>
        </w:div>
        <w:div w:id="1866289658">
          <w:marLeft w:val="0"/>
          <w:marRight w:val="0"/>
          <w:marTop w:val="0"/>
          <w:marBottom w:val="0"/>
          <w:divBdr>
            <w:top w:val="none" w:sz="0" w:space="0" w:color="auto"/>
            <w:left w:val="none" w:sz="0" w:space="0" w:color="auto"/>
            <w:bottom w:val="none" w:sz="0" w:space="0" w:color="auto"/>
            <w:right w:val="none" w:sz="0" w:space="0" w:color="auto"/>
          </w:divBdr>
        </w:div>
        <w:div w:id="1937789030">
          <w:marLeft w:val="0"/>
          <w:marRight w:val="0"/>
          <w:marTop w:val="0"/>
          <w:marBottom w:val="0"/>
          <w:divBdr>
            <w:top w:val="none" w:sz="0" w:space="0" w:color="auto"/>
            <w:left w:val="none" w:sz="0" w:space="0" w:color="auto"/>
            <w:bottom w:val="none" w:sz="0" w:space="0" w:color="auto"/>
            <w:right w:val="none" w:sz="0" w:space="0" w:color="auto"/>
          </w:divBdr>
        </w:div>
        <w:div w:id="2056733870">
          <w:marLeft w:val="0"/>
          <w:marRight w:val="0"/>
          <w:marTop w:val="0"/>
          <w:marBottom w:val="0"/>
          <w:divBdr>
            <w:top w:val="none" w:sz="0" w:space="0" w:color="auto"/>
            <w:left w:val="none" w:sz="0" w:space="0" w:color="auto"/>
            <w:bottom w:val="none" w:sz="0" w:space="0" w:color="auto"/>
            <w:right w:val="none" w:sz="0" w:space="0" w:color="auto"/>
          </w:divBdr>
        </w:div>
      </w:divsChild>
    </w:div>
    <w:div w:id="1929077980">
      <w:bodyDiv w:val="1"/>
      <w:marLeft w:val="0"/>
      <w:marRight w:val="0"/>
      <w:marTop w:val="0"/>
      <w:marBottom w:val="0"/>
      <w:divBdr>
        <w:top w:val="none" w:sz="0" w:space="0" w:color="auto"/>
        <w:left w:val="none" w:sz="0" w:space="0" w:color="auto"/>
        <w:bottom w:val="none" w:sz="0" w:space="0" w:color="auto"/>
        <w:right w:val="none" w:sz="0" w:space="0" w:color="auto"/>
      </w:divBdr>
    </w:div>
    <w:div w:id="212627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erec.europa.eu/eng/document_register/subject_matter/berec/regulatory_best_practices/guidelines/9439-berec-guidelines-on-very-high-capacity-networks" TargetMode="External"/><Relationship Id="rId18" Type="http://schemas.openxmlformats.org/officeDocument/2006/relationships/hyperlink" Target="https://pl.wikipedia.org/wiki/Ziemia" TargetMode="External"/><Relationship Id="rId26" Type="http://schemas.openxmlformats.org/officeDocument/2006/relationships/hyperlink" Target="https://eur-lex.europa.eu/legal-content/PL/AUTO/?uri=celex:32002L0065"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xgazdgobzgqzq"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tg4ytembqgmzdcltqmfyc4nbrha4tgnbxga" TargetMode="External"/><Relationship Id="rId17" Type="http://schemas.openxmlformats.org/officeDocument/2006/relationships/hyperlink" Target="https://pl.wikipedia.org/wiki/R%C3%B3wnik" TargetMode="External"/><Relationship Id="rId25" Type="http://schemas.openxmlformats.org/officeDocument/2006/relationships/hyperlink" Target="https://sip.legalis.pl/document-view.seam?documentId=mfrxilrtg4ytinbwgy2t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wikipedia.org/wiki/Satelita" TargetMode="External"/><Relationship Id="rId20" Type="http://schemas.openxmlformats.org/officeDocument/2006/relationships/hyperlink" Target="https://sip.legalis.pl/document-view.seam?documentId=mfrxilrtg4ytgojvgazdoltqmfyc4njqgeydknbrgm" TargetMode="External"/><Relationship Id="rId29" Type="http://schemas.openxmlformats.org/officeDocument/2006/relationships/hyperlink" Target="http://sip.legalis.pl/document-view.seam?documentId=mfrxilrxgazdmnrrgayc44dboaxdcmjyg4ydoob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ksiazkiewicz/Downloads/www.gov.pl/web/5G" TargetMode="External"/><Relationship Id="rId24" Type="http://schemas.openxmlformats.org/officeDocument/2006/relationships/hyperlink" Target="https://sip.legalis.pl/document-view.seam?documentId=mfrxilrrgu2timjwgezte" TargetMode="External"/><Relationship Id="rId32" Type="http://schemas.openxmlformats.org/officeDocument/2006/relationships/footer" Target="footer1.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pl.wikipedia.org/wiki/Orbita" TargetMode="External"/><Relationship Id="rId23" Type="http://schemas.openxmlformats.org/officeDocument/2006/relationships/hyperlink" Target="https://sip.legalis.pl/document-view.seam?documentId=mfrxilrtg4yteobxge3doltqmfyc4nbvgy2taobwgq" TargetMode="External"/><Relationship Id="rId28" Type="http://schemas.openxmlformats.org/officeDocument/2006/relationships/hyperlink" Target="https://sip.legalis.pl/document-view.seam?documentId=mfrxilrvgaytgmzqgiya" TargetMode="Externa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pl.wikipedia.org/wiki/Ko%C5%82o"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vgaytgmzqgiyc44dboaxdcmjxgmydanzq" TargetMode="External"/><Relationship Id="rId22" Type="http://schemas.openxmlformats.org/officeDocument/2006/relationships/hyperlink" Target="https://sip.legalis.pl/document-view.seam?documentId=mfrxilrtg4ytenzyha3toltqmfyc4nbug42tqnbugm" TargetMode="External"/><Relationship Id="rId27" Type="http://schemas.openxmlformats.org/officeDocument/2006/relationships/hyperlink" Target="https://sip.legalis.pl/document-view.seam?documentId=mfrxilrsgu2tmnbrhezto" TargetMode="External"/><Relationship Id="rId30" Type="http://schemas.openxmlformats.org/officeDocument/2006/relationships/hyperlink" Target="https://sip.legalis.pl/document-view.seam?documentId=mfrxilrsgu2tmnbrheztoltqmfyc4mrugyytmnzrg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rswglrrg44ts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CC801-6273-412B-9529-3A73DACE214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21e96d53-3bd9-4529-ac11-b7be00f7cca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7AD3EE7-0656-4087-99E1-54566707A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DB8135-60BF-41F7-AC40-81696FAF861D}">
  <ds:schemaRefs>
    <ds:schemaRef ds:uri="http://schemas.microsoft.com/sharepoint/v3/contenttype/forms"/>
  </ds:schemaRefs>
</ds:datastoreItem>
</file>

<file path=customXml/itemProps4.xml><?xml version="1.0" encoding="utf-8"?>
<ds:datastoreItem xmlns:ds="http://schemas.openxmlformats.org/officeDocument/2006/customXml" ds:itemID="{96B8F05B-0A39-4241-9904-7650F0AD1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190</Pages>
  <Words>94999</Words>
  <Characters>569998</Characters>
  <Application>Microsoft Office Word</Application>
  <DocSecurity>0</DocSecurity>
  <Lines>4749</Lines>
  <Paragraphs>1327</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663670</CharactersWithSpaces>
  <SharedDoc>false</SharedDoc>
  <HLinks>
    <vt:vector size="126" baseType="variant">
      <vt:variant>
        <vt:i4>6750330</vt:i4>
      </vt:variant>
      <vt:variant>
        <vt:i4>57</vt:i4>
      </vt:variant>
      <vt:variant>
        <vt:i4>0</vt:i4>
      </vt:variant>
      <vt:variant>
        <vt:i4>5</vt:i4>
      </vt:variant>
      <vt:variant>
        <vt:lpwstr>https://sip.legalis.pl/document-view.seam?documentId=mfrxilrsgu2tmnbrheztoltqmfyc4mrugyytmnzrgy</vt:lpwstr>
      </vt:variant>
      <vt:variant>
        <vt:lpwstr/>
      </vt:variant>
      <vt:variant>
        <vt:i4>1245265</vt:i4>
      </vt:variant>
      <vt:variant>
        <vt:i4>54</vt:i4>
      </vt:variant>
      <vt:variant>
        <vt:i4>0</vt:i4>
      </vt:variant>
      <vt:variant>
        <vt:i4>5</vt:i4>
      </vt:variant>
      <vt:variant>
        <vt:lpwstr>http://sip.legalis.pl/document-view.seam?documentId=mfrxilrxgazdmnrrgayc44dboaxdcmjyg4ydoobw</vt:lpwstr>
      </vt:variant>
      <vt:variant>
        <vt:lpwstr/>
      </vt:variant>
      <vt:variant>
        <vt:i4>1376258</vt:i4>
      </vt:variant>
      <vt:variant>
        <vt:i4>51</vt:i4>
      </vt:variant>
      <vt:variant>
        <vt:i4>0</vt:i4>
      </vt:variant>
      <vt:variant>
        <vt:i4>5</vt:i4>
      </vt:variant>
      <vt:variant>
        <vt:lpwstr>https://sip.legalis.pl/document-view.seam?documentId=mfrxilrvgaytgmzqgiya</vt:lpwstr>
      </vt:variant>
      <vt:variant>
        <vt:lpwstr/>
      </vt:variant>
      <vt:variant>
        <vt:i4>3080299</vt:i4>
      </vt:variant>
      <vt:variant>
        <vt:i4>48</vt:i4>
      </vt:variant>
      <vt:variant>
        <vt:i4>0</vt:i4>
      </vt:variant>
      <vt:variant>
        <vt:i4>5</vt:i4>
      </vt:variant>
      <vt:variant>
        <vt:lpwstr>https://sip.legalis.pl/document-view.seam?documentId=mfrxilrsgu2tmnbrhezto</vt:lpwstr>
      </vt:variant>
      <vt:variant>
        <vt:lpwstr/>
      </vt:variant>
      <vt:variant>
        <vt:i4>4849749</vt:i4>
      </vt:variant>
      <vt:variant>
        <vt:i4>45</vt:i4>
      </vt:variant>
      <vt:variant>
        <vt:i4>0</vt:i4>
      </vt:variant>
      <vt:variant>
        <vt:i4>5</vt:i4>
      </vt:variant>
      <vt:variant>
        <vt:lpwstr>https://eur-lex.europa.eu/legal-content/PL/AUTO/?uri=celex:32002L0065</vt:lpwstr>
      </vt:variant>
      <vt:variant>
        <vt:lpwstr/>
      </vt:variant>
      <vt:variant>
        <vt:i4>3866676</vt:i4>
      </vt:variant>
      <vt:variant>
        <vt:i4>42</vt:i4>
      </vt:variant>
      <vt:variant>
        <vt:i4>0</vt:i4>
      </vt:variant>
      <vt:variant>
        <vt:i4>5</vt:i4>
      </vt:variant>
      <vt:variant>
        <vt:lpwstr>https://sip.legalis.pl/document-view.seam?documentId=mfrxilrtg4ytinbwgy2ts</vt:lpwstr>
      </vt:variant>
      <vt:variant>
        <vt:lpwstr/>
      </vt:variant>
      <vt:variant>
        <vt:i4>2490476</vt:i4>
      </vt:variant>
      <vt:variant>
        <vt:i4>39</vt:i4>
      </vt:variant>
      <vt:variant>
        <vt:i4>0</vt:i4>
      </vt:variant>
      <vt:variant>
        <vt:i4>5</vt:i4>
      </vt:variant>
      <vt:variant>
        <vt:lpwstr>https://sip.legalis.pl/document-view.seam?documentId=mfrxilrrgu2timjwgezte</vt:lpwstr>
      </vt:variant>
      <vt:variant>
        <vt:lpwstr/>
      </vt:variant>
      <vt:variant>
        <vt:i4>2949155</vt:i4>
      </vt:variant>
      <vt:variant>
        <vt:i4>36</vt:i4>
      </vt:variant>
      <vt:variant>
        <vt:i4>0</vt:i4>
      </vt:variant>
      <vt:variant>
        <vt:i4>5</vt:i4>
      </vt:variant>
      <vt:variant>
        <vt:lpwstr>https://sip.legalis.pl/document-view.seam?documentId=mfrxilrtg4yteobxge3doltqmfyc4nbvgy2taobwgq</vt:lpwstr>
      </vt:variant>
      <vt:variant>
        <vt:lpwstr/>
      </vt:variant>
      <vt:variant>
        <vt:i4>2752634</vt:i4>
      </vt:variant>
      <vt:variant>
        <vt:i4>33</vt:i4>
      </vt:variant>
      <vt:variant>
        <vt:i4>0</vt:i4>
      </vt:variant>
      <vt:variant>
        <vt:i4>5</vt:i4>
      </vt:variant>
      <vt:variant>
        <vt:lpwstr>https://sip.legalis.pl/document-view.seam?documentId=mfrxilrtg4ytenzyha3toltqmfyc4nbug42tqnbugm</vt:lpwstr>
      </vt:variant>
      <vt:variant>
        <vt:lpwstr/>
      </vt:variant>
      <vt:variant>
        <vt:i4>851981</vt:i4>
      </vt:variant>
      <vt:variant>
        <vt:i4>30</vt:i4>
      </vt:variant>
      <vt:variant>
        <vt:i4>0</vt:i4>
      </vt:variant>
      <vt:variant>
        <vt:i4>5</vt:i4>
      </vt:variant>
      <vt:variant>
        <vt:lpwstr>https://sip.legalis.pl/document-view.seam?documentId=mfrxilrxgazdgobzgqzq</vt:lpwstr>
      </vt:variant>
      <vt:variant>
        <vt:lpwstr/>
      </vt:variant>
      <vt:variant>
        <vt:i4>2555942</vt:i4>
      </vt:variant>
      <vt:variant>
        <vt:i4>27</vt:i4>
      </vt:variant>
      <vt:variant>
        <vt:i4>0</vt:i4>
      </vt:variant>
      <vt:variant>
        <vt:i4>5</vt:i4>
      </vt:variant>
      <vt:variant>
        <vt:lpwstr>https://sip.legalis.pl/document-view.seam?documentId=mfrxilrtg4ytgojvgazdoltqmfyc4njqgeydknbrgm</vt:lpwstr>
      </vt:variant>
      <vt:variant>
        <vt:lpwstr/>
      </vt:variant>
      <vt:variant>
        <vt:i4>3407906</vt:i4>
      </vt:variant>
      <vt:variant>
        <vt:i4>24</vt:i4>
      </vt:variant>
      <vt:variant>
        <vt:i4>0</vt:i4>
      </vt:variant>
      <vt:variant>
        <vt:i4>5</vt:i4>
      </vt:variant>
      <vt:variant>
        <vt:lpwstr>https://pl.wikipedia.org/wiki/Ko%C5%82o</vt:lpwstr>
      </vt:variant>
      <vt:variant>
        <vt:lpwstr/>
      </vt:variant>
      <vt:variant>
        <vt:i4>4849687</vt:i4>
      </vt:variant>
      <vt:variant>
        <vt:i4>21</vt:i4>
      </vt:variant>
      <vt:variant>
        <vt:i4>0</vt:i4>
      </vt:variant>
      <vt:variant>
        <vt:i4>5</vt:i4>
      </vt:variant>
      <vt:variant>
        <vt:lpwstr>https://pl.wikipedia.org/wiki/Ziemia</vt:lpwstr>
      </vt:variant>
      <vt:variant>
        <vt:lpwstr/>
      </vt:variant>
      <vt:variant>
        <vt:i4>4521992</vt:i4>
      </vt:variant>
      <vt:variant>
        <vt:i4>18</vt:i4>
      </vt:variant>
      <vt:variant>
        <vt:i4>0</vt:i4>
      </vt:variant>
      <vt:variant>
        <vt:i4>5</vt:i4>
      </vt:variant>
      <vt:variant>
        <vt:lpwstr>https://pl.wikipedia.org/wiki/R%C3%B3wnik</vt:lpwstr>
      </vt:variant>
      <vt:variant>
        <vt:lpwstr/>
      </vt:variant>
      <vt:variant>
        <vt:i4>2293886</vt:i4>
      </vt:variant>
      <vt:variant>
        <vt:i4>15</vt:i4>
      </vt:variant>
      <vt:variant>
        <vt:i4>0</vt:i4>
      </vt:variant>
      <vt:variant>
        <vt:i4>5</vt:i4>
      </vt:variant>
      <vt:variant>
        <vt:lpwstr>https://pl.wikipedia.org/wiki/Satelita</vt:lpwstr>
      </vt:variant>
      <vt:variant>
        <vt:lpwstr/>
      </vt:variant>
      <vt:variant>
        <vt:i4>5570584</vt:i4>
      </vt:variant>
      <vt:variant>
        <vt:i4>12</vt:i4>
      </vt:variant>
      <vt:variant>
        <vt:i4>0</vt:i4>
      </vt:variant>
      <vt:variant>
        <vt:i4>5</vt:i4>
      </vt:variant>
      <vt:variant>
        <vt:lpwstr>https://pl.wikipedia.org/wiki/Orbita</vt:lpwstr>
      </vt:variant>
      <vt:variant>
        <vt:lpwstr/>
      </vt:variant>
      <vt:variant>
        <vt:i4>6160448</vt:i4>
      </vt:variant>
      <vt:variant>
        <vt:i4>9</vt:i4>
      </vt:variant>
      <vt:variant>
        <vt:i4>0</vt:i4>
      </vt:variant>
      <vt:variant>
        <vt:i4>5</vt:i4>
      </vt:variant>
      <vt:variant>
        <vt:lpwstr>https://sip.legalis.pl/document-view.seam?documentId=mfrxilrvgaytgmzqgiyc44dboaxdcmjxgmydanzq</vt:lpwstr>
      </vt:variant>
      <vt:variant>
        <vt:lpwstr/>
      </vt:variant>
      <vt:variant>
        <vt:i4>1769539</vt:i4>
      </vt:variant>
      <vt:variant>
        <vt:i4>6</vt:i4>
      </vt:variant>
      <vt:variant>
        <vt:i4>0</vt:i4>
      </vt:variant>
      <vt:variant>
        <vt:i4>5</vt:i4>
      </vt:variant>
      <vt:variant>
        <vt:lpwstr>https://berec.europa.eu/eng/document_register/subject_matter/berec/regulatory_best_practices/guidelines/9439-berec-guidelines-on-very-high-capacity-networks</vt:lpwstr>
      </vt:variant>
      <vt:variant>
        <vt:lpwstr/>
      </vt:variant>
      <vt:variant>
        <vt:i4>6750258</vt:i4>
      </vt:variant>
      <vt:variant>
        <vt:i4>3</vt:i4>
      </vt:variant>
      <vt:variant>
        <vt:i4>0</vt:i4>
      </vt:variant>
      <vt:variant>
        <vt:i4>5</vt:i4>
      </vt:variant>
      <vt:variant>
        <vt:lpwstr>https://sip.legalis.pl/document-view.seam?documentId=mfrxilrtg4ytembqgmzdcltqmfyc4nbrha4tgnbxga</vt:lpwstr>
      </vt:variant>
      <vt:variant>
        <vt:lpwstr/>
      </vt:variant>
      <vt:variant>
        <vt:i4>6488106</vt:i4>
      </vt:variant>
      <vt:variant>
        <vt:i4>0</vt:i4>
      </vt:variant>
      <vt:variant>
        <vt:i4>0</vt:i4>
      </vt:variant>
      <vt:variant>
        <vt:i4>5</vt:i4>
      </vt:variant>
      <vt:variant>
        <vt:lpwstr>C:\Users\a.ksiazkiewicz\Downloads\www.gov.pl\web\5G</vt:lpwstr>
      </vt:variant>
      <vt:variant>
        <vt:lpwstr/>
      </vt:variant>
      <vt:variant>
        <vt:i4>4587603</vt:i4>
      </vt:variant>
      <vt:variant>
        <vt:i4>0</vt:i4>
      </vt:variant>
      <vt:variant>
        <vt:i4>0</vt:i4>
      </vt:variant>
      <vt:variant>
        <vt:i4>5</vt:i4>
      </vt:variant>
      <vt:variant>
        <vt:lpwstr>https://sip.legalis.pl/document-view.seam?documentId=mrswglrrg44tsna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Książkiewicz Agnieszka</dc:creator>
  <cp:keywords/>
  <dc:description/>
  <cp:lastModifiedBy>Gapska-Szczygieł Małgorzata</cp:lastModifiedBy>
  <cp:revision>2</cp:revision>
  <dcterms:created xsi:type="dcterms:W3CDTF">2021-02-15T09:44:00Z</dcterms:created>
  <dcterms:modified xsi:type="dcterms:W3CDTF">2021-02-15T09:44:00Z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