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eastAsiaTheme="majorEastAsia" w:hAnsi="Calibri" w:cstheme="majorBidi"/>
          <w:b/>
          <w:color w:val="FF0000"/>
          <w:spacing w:val="-10"/>
          <w:kern w:val="28"/>
          <w:sz w:val="72"/>
          <w:szCs w:val="144"/>
        </w:rPr>
        <w:id w:val="-1029263781"/>
        <w:docPartObj>
          <w:docPartGallery w:val="Cover Pages"/>
          <w:docPartUnique/>
        </w:docPartObj>
      </w:sdtPr>
      <w:sdtEndPr/>
      <w:sdtContent>
        <w:p w14:paraId="34D124EC" w14:textId="472E5E88" w:rsidR="00A61FE8" w:rsidRDefault="00A52CEE" w:rsidP="00C6117F"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84B746" wp14:editId="2639D9BE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758099</wp:posOffset>
                    </wp:positionV>
                    <wp:extent cx="2460172" cy="217715"/>
                    <wp:effectExtent l="0" t="0" r="0" b="0"/>
                    <wp:wrapNone/>
                    <wp:docPr id="2" name="Prostoką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60172" cy="2177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554D7CD" id="Prostokąt 2" o:spid="_x0000_s1026" style="position:absolute;margin-left:1.35pt;margin-top:59.7pt;width:193.7pt;height:1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" fillcolor="white [3212]" stroked="f" strokeweight="1pt"/>
                </w:pict>
              </mc:Fallback>
            </mc:AlternateContent>
          </w:r>
          <w:r w:rsidR="00C81B5B">
            <w:rPr>
              <w:noProof/>
              <w:lang w:eastAsia="pl-PL"/>
            </w:rPr>
            <w:drawing>
              <wp:inline distT="0" distB="0" distL="0" distR="0" wp14:anchorId="707693F5" wp14:editId="10170808">
                <wp:extent cx="5218430" cy="1884045"/>
                <wp:effectExtent l="0" t="0" r="1270" b="190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8430" cy="188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page" w:tblpX="2630" w:tblpY="5641"/>
            <w:tblW w:w="4743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797"/>
          </w:tblGrid>
          <w:tr w:rsidR="00EF2B9D" w:rsidRPr="00EF2B9D" w14:paraId="5B47755D" w14:textId="77777777" w:rsidTr="001117F5">
            <w:tc>
              <w:tcPr>
                <w:tcW w:w="779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6822EBA" w14:textId="78826D87" w:rsidR="00E26FC7" w:rsidRPr="001117F5" w:rsidRDefault="00221963" w:rsidP="0047101A">
                <w:pPr>
                  <w:pStyle w:val="Tytu"/>
                  <w:framePr w:hSpace="0" w:wrap="auto" w:vAnchor="margin" w:hAnchor="text" w:xAlign="left" w:yAlign="inline"/>
                </w:pPr>
                <w:r>
                  <w:t xml:space="preserve">Kierunki polityki </w:t>
                </w:r>
                <w:r w:rsidR="00DC7A93">
                  <w:br/>
                </w:r>
                <w:r w:rsidR="0047101A">
                  <w:t xml:space="preserve">właścicielskiej </w:t>
                </w:r>
                <w:r>
                  <w:t xml:space="preserve">w zakresie zbywania akcji/udziałów należących do Skarbu Państwa </w:t>
                </w:r>
              </w:p>
            </w:tc>
          </w:tr>
          <w:tr w:rsidR="00A61FE8" w14:paraId="2961DD8F" w14:textId="77777777" w:rsidTr="001117F5">
            <w:tc>
              <w:tcPr>
                <w:tcW w:w="7797" w:type="dxa"/>
              </w:tcPr>
              <w:p w14:paraId="5F6E6692" w14:textId="150A190E" w:rsidR="00A61FE8" w:rsidRPr="001117F5" w:rsidRDefault="00537583" w:rsidP="00CC47A3">
                <w:pPr>
                  <w:pStyle w:val="Podtytu"/>
                  <w:framePr w:hSpace="0" w:wrap="auto" w:vAnchor="margin" w:hAnchor="text" w:xAlign="left" w:yAlign="inline"/>
                </w:pPr>
                <w:r>
                  <w:rPr>
                    <w:noProof/>
                    <w:lang w:eastAsia="pl-PL"/>
                  </w:rPr>
                  <mc:AlternateContent>
                    <mc:Choice Requires="wps">
                      <w:drawing>
                        <wp:anchor distT="45720" distB="45720" distL="114300" distR="114300" simplePos="0" relativeHeight="251661312" behindDoc="0" locked="0" layoutInCell="1" allowOverlap="1" wp14:anchorId="39D17077" wp14:editId="0EAEADC4">
                          <wp:simplePos x="0" y="0"/>
                          <wp:positionH relativeFrom="column">
                            <wp:posOffset>2299970</wp:posOffset>
                          </wp:positionH>
                          <wp:positionV relativeFrom="paragraph">
                            <wp:posOffset>310515</wp:posOffset>
                          </wp:positionV>
                          <wp:extent cx="2360930" cy="1404620"/>
                          <wp:effectExtent l="0" t="0" r="7620" b="4445"/>
                          <wp:wrapSquare wrapText="bothSides"/>
                          <wp:docPr id="217" name="Pole tekstow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60930" cy="14046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E6E5E86" w14:textId="29CFEC0E" w:rsidR="0029011A" w:rsidRDefault="0029011A" w:rsidP="0029011A">
                                      <w:pPr>
                                        <w:jc w:val="center"/>
                                      </w:pPr>
                                      <w:r>
                                        <w:t>AKCEPTUJĘ</w:t>
                                      </w:r>
                                    </w:p>
                                    <w:p w14:paraId="12E3627B" w14:textId="77777777" w:rsidR="0029011A" w:rsidRDefault="0029011A" w:rsidP="0029011A">
                                      <w:pPr>
                                        <w:jc w:val="center"/>
                                      </w:pPr>
                                    </w:p>
                                    <w:p w14:paraId="3845C706" w14:textId="77777777" w:rsidR="0029011A" w:rsidRDefault="0029011A" w:rsidP="0029011A">
                                      <w:pPr>
                                        <w:jc w:val="center"/>
                                      </w:pPr>
                                    </w:p>
                                    <w:p w14:paraId="1D238AE1" w14:textId="20D8D3C6" w:rsidR="0029011A" w:rsidRDefault="0029011A" w:rsidP="0029011A">
                                      <w:pPr>
                                        <w:jc w:val="center"/>
                                      </w:pPr>
                                      <w:r>
                                        <w:t>Beata Szydło</w:t>
                                      </w:r>
                                    </w:p>
                                    <w:p w14:paraId="72722A97" w14:textId="414167DF" w:rsidR="0029011A" w:rsidRDefault="0029011A" w:rsidP="0029011A">
                                      <w:pPr>
                                        <w:jc w:val="center"/>
                                      </w:pPr>
                                      <w:r>
                                        <w:t>Prezes Rady Ministrów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40000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9D17077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le tekstowe 2" o:spid="_x0000_s1026" type="#_x0000_t202" style="position:absolute;margin-left:181.1pt;margin-top:24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" stroked="f">
                          <v:textbox style="mso-fit-shape-to-text:t">
                            <w:txbxContent>
                              <w:p w14:paraId="3E6E5E86" w14:textId="29CFEC0E" w:rsidR="0029011A" w:rsidRDefault="0029011A" w:rsidP="0029011A">
                                <w:pPr>
                                  <w:jc w:val="center"/>
                                </w:pPr>
                                <w:r>
                                  <w:t>AKCEPTUJĘ</w:t>
                                </w:r>
                              </w:p>
                              <w:p w14:paraId="12E3627B" w14:textId="77777777" w:rsidR="0029011A" w:rsidRDefault="0029011A" w:rsidP="0029011A">
                                <w:pPr>
                                  <w:jc w:val="center"/>
                                </w:pPr>
                              </w:p>
                              <w:p w14:paraId="3845C706" w14:textId="77777777" w:rsidR="0029011A" w:rsidRDefault="0029011A" w:rsidP="0029011A">
                                <w:pPr>
                                  <w:jc w:val="center"/>
                                </w:pPr>
                              </w:p>
                              <w:p w14:paraId="1D238AE1" w14:textId="20D8D3C6" w:rsidR="0029011A" w:rsidRDefault="0029011A" w:rsidP="0029011A">
                                <w:pPr>
                                  <w:jc w:val="center"/>
                                </w:pPr>
                                <w:r>
                                  <w:t>Beata Szydło</w:t>
                                </w:r>
                              </w:p>
                              <w:p w14:paraId="72722A97" w14:textId="414167DF" w:rsidR="0029011A" w:rsidRDefault="0029011A" w:rsidP="0029011A">
                                <w:pPr>
                                  <w:jc w:val="center"/>
                                </w:pPr>
                                <w:r>
                                  <w:t>Prezes Rady Ministrów</w:t>
                                </w:r>
                              </w:p>
                            </w:txbxContent>
                          </v:textbox>
                          <w10:wrap type="square"/>
                        </v:shape>
                      </w:pict>
                    </mc:Fallback>
                  </mc:AlternateContent>
                </w:r>
              </w:p>
            </w:tc>
          </w:tr>
          <w:tr w:rsidR="00A61FE8" w14:paraId="2DB28C5C" w14:textId="77777777" w:rsidTr="001117F5">
            <w:tc>
              <w:tcPr>
                <w:tcW w:w="779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A7D8DB8" w14:textId="6F4DC1A0" w:rsidR="00A61FE8" w:rsidRDefault="00A61FE8" w:rsidP="002540A6">
                <w:pPr>
                  <w:pStyle w:val="Bezodstpw"/>
                  <w:rPr>
                    <w:color w:val="2E74B5" w:themeColor="accent1" w:themeShade="BF"/>
                    <w:sz w:val="24"/>
                  </w:rPr>
                </w:pPr>
              </w:p>
            </w:tc>
          </w:tr>
        </w:tbl>
        <w:p w14:paraId="35BF67F6" w14:textId="77777777" w:rsidR="00A61FE8" w:rsidRDefault="00A61FE8" w:rsidP="00CC47A3">
          <w:pPr>
            <w:pStyle w:val="Tytu"/>
            <w:framePr w:wrap="around"/>
          </w:pPr>
          <w:r>
            <w:br w:type="page"/>
          </w:r>
        </w:p>
      </w:sdtContent>
    </w:sdt>
    <w:p w14:paraId="0B04073C" w14:textId="4FEE325D" w:rsidR="00E12162" w:rsidRDefault="00E12162" w:rsidP="006E0387">
      <w:pPr>
        <w:pStyle w:val="Nagwek1"/>
        <w:sectPr w:rsidR="00E12162" w:rsidSect="00E26FC7">
          <w:headerReference w:type="default" r:id="rId9"/>
          <w:footerReference w:type="default" r:id="rId10"/>
          <w:footerReference w:type="first" r:id="rId11"/>
          <w:pgSz w:w="11906" w:h="16838"/>
          <w:pgMar w:top="1531" w:right="851" w:bottom="1531" w:left="2835" w:header="709" w:footer="709" w:gutter="0"/>
          <w:pgNumType w:start="0"/>
          <w:cols w:space="708"/>
          <w:titlePg/>
          <w:docGrid w:linePitch="360"/>
        </w:sectPr>
      </w:pPr>
    </w:p>
    <w:p w14:paraId="34964B7C" w14:textId="77777777" w:rsidR="001117F5" w:rsidRDefault="00C36773" w:rsidP="006E0387">
      <w:pPr>
        <w:pStyle w:val="Nagwek1"/>
      </w:pPr>
      <w:bookmarkStart w:id="0" w:name="_Toc488140329"/>
      <w:r>
        <w:lastRenderedPageBreak/>
        <w:t>Wprowadzenie</w:t>
      </w:r>
      <w:bookmarkEnd w:id="0"/>
      <w:r>
        <w:t xml:space="preserve"> </w:t>
      </w:r>
      <w:r w:rsidR="001117F5" w:rsidRPr="001117F5">
        <w:t xml:space="preserve"> </w:t>
      </w:r>
    </w:p>
    <w:p w14:paraId="04DAA0DA" w14:textId="4E8314DC" w:rsidR="00FD2F5A" w:rsidRDefault="00FD2F5A" w:rsidP="00FF069B">
      <w:pPr>
        <w:pStyle w:val="Tekstwaciwy"/>
        <w:spacing w:after="280"/>
        <w:jc w:val="both"/>
        <w:rPr>
          <w:rFonts w:asciiTheme="minorHAnsi" w:hAnsiTheme="minorHAnsi" w:cstheme="minorHAnsi"/>
        </w:rPr>
      </w:pPr>
      <w:r w:rsidRPr="00D34343">
        <w:rPr>
          <w:rFonts w:asciiTheme="minorHAnsi" w:hAnsiTheme="minorHAnsi" w:cstheme="minorHAnsi"/>
        </w:rPr>
        <w:t>Okres transformacji, jaki Polska przechodziła w ostatnim ćwierćwieczu, nie był ograniczony wyłącznie do sfery ustrojowej i politycznej, ale dotyczył w znaczącej części – sfer</w:t>
      </w:r>
      <w:r>
        <w:rPr>
          <w:rFonts w:asciiTheme="minorHAnsi" w:hAnsiTheme="minorHAnsi" w:cstheme="minorHAnsi"/>
        </w:rPr>
        <w:t>y gospodarczej i własnościowej. Po ponad dwóch dekadach realizacji procesów przekształceń własnościowych istotnie zmieniła się struktura portfela Skarbu Państwa, a liczba podmiotów</w:t>
      </w:r>
      <w:r w:rsidR="00FF06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udziałem Skarbu Państwa uległa zmniejszeniu. Okres transformacji własnościowej dobiegł końca </w:t>
      </w:r>
      <w:r w:rsidR="00FF069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a priorytetem Państwa stało się wzmocnienie nadzoru nad posiadanym majątkiem, </w:t>
      </w:r>
      <w:r>
        <w:rPr>
          <w:rFonts w:asciiTheme="minorHAnsi" w:hAnsiTheme="minorHAnsi" w:cstheme="minorHAnsi"/>
        </w:rPr>
        <w:br/>
        <w:t>a nie jego prywatyzacja. Tym samym obowiązujące dotychczas przepisy</w:t>
      </w:r>
      <w:r w:rsidR="00FF069B">
        <w:rPr>
          <w:rFonts w:asciiTheme="minorHAnsi" w:hAnsiTheme="minorHAnsi" w:cstheme="minorHAnsi"/>
        </w:rPr>
        <w:t xml:space="preserve"> w zakresie </w:t>
      </w:r>
      <w:r w:rsidR="00FF069B" w:rsidRPr="00950FC1">
        <w:rPr>
          <w:rFonts w:cstheme="minorHAnsi"/>
        </w:rPr>
        <w:t>wykonywania uprawnień właścicielskich Skarbu Państwa</w:t>
      </w:r>
      <w:r w:rsidR="00FF069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FF069B" w:rsidRPr="00FF069B">
        <w:rPr>
          <w:rFonts w:asciiTheme="minorHAnsi" w:hAnsiTheme="minorHAnsi" w:cstheme="minorHAnsi"/>
        </w:rPr>
        <w:t xml:space="preserve">takie jak </w:t>
      </w:r>
      <w:r w:rsidR="00FF069B" w:rsidRPr="00FF069B">
        <w:rPr>
          <w:rFonts w:asciiTheme="minorHAnsi" w:hAnsiTheme="minorHAnsi" w:cstheme="minorHAnsi"/>
          <w:i/>
        </w:rPr>
        <w:t xml:space="preserve">ustawa z dnia 8 sierpnia 1996 r. </w:t>
      </w:r>
      <w:r w:rsidR="00FF069B">
        <w:rPr>
          <w:rFonts w:asciiTheme="minorHAnsi" w:hAnsiTheme="minorHAnsi" w:cstheme="minorHAnsi"/>
          <w:i/>
        </w:rPr>
        <w:br/>
      </w:r>
      <w:r w:rsidR="00FF069B" w:rsidRPr="00FF069B">
        <w:rPr>
          <w:rFonts w:asciiTheme="minorHAnsi" w:hAnsiTheme="minorHAnsi" w:cstheme="minorHAnsi"/>
          <w:i/>
        </w:rPr>
        <w:t>o zasadach wykonywania uprawnień przysługujących Skarbowi Państwa</w:t>
      </w:r>
      <w:r w:rsidR="00FF069B" w:rsidRPr="00FF069B">
        <w:rPr>
          <w:rFonts w:asciiTheme="minorHAnsi" w:hAnsiTheme="minorHAnsi" w:cstheme="minorHAnsi"/>
        </w:rPr>
        <w:t xml:space="preserve">, czy też </w:t>
      </w:r>
      <w:r w:rsidR="00FF069B" w:rsidRPr="00FF069B">
        <w:rPr>
          <w:rFonts w:asciiTheme="minorHAnsi" w:hAnsiTheme="minorHAnsi" w:cstheme="minorHAnsi"/>
          <w:i/>
        </w:rPr>
        <w:t xml:space="preserve">ustawa </w:t>
      </w:r>
      <w:r w:rsidR="00FF069B">
        <w:rPr>
          <w:rFonts w:asciiTheme="minorHAnsi" w:hAnsiTheme="minorHAnsi" w:cstheme="minorHAnsi"/>
          <w:i/>
        </w:rPr>
        <w:br/>
      </w:r>
      <w:r w:rsidR="00FF069B" w:rsidRPr="00FF069B">
        <w:rPr>
          <w:rFonts w:asciiTheme="minorHAnsi" w:hAnsiTheme="minorHAnsi" w:cstheme="minorHAnsi"/>
          <w:i/>
        </w:rPr>
        <w:t xml:space="preserve">z dnia z dnia 30 sierpnia 1996 r. o komercjalizacji i prywatyzacji </w:t>
      </w:r>
      <w:r>
        <w:rPr>
          <w:rFonts w:asciiTheme="minorHAnsi" w:hAnsiTheme="minorHAnsi" w:cstheme="minorHAnsi"/>
        </w:rPr>
        <w:t xml:space="preserve">przestały korelować z </w:t>
      </w:r>
      <w:r w:rsidRPr="00D34343">
        <w:rPr>
          <w:rFonts w:asciiTheme="minorHAnsi" w:hAnsiTheme="minorHAnsi" w:cstheme="minorHAnsi"/>
        </w:rPr>
        <w:t>obecny</w:t>
      </w:r>
      <w:r>
        <w:rPr>
          <w:rFonts w:asciiTheme="minorHAnsi" w:hAnsiTheme="minorHAnsi" w:cstheme="minorHAnsi"/>
        </w:rPr>
        <w:t>mi</w:t>
      </w:r>
      <w:r w:rsidRPr="00D34343">
        <w:rPr>
          <w:rFonts w:asciiTheme="minorHAnsi" w:hAnsiTheme="minorHAnsi" w:cstheme="minorHAnsi"/>
        </w:rPr>
        <w:t xml:space="preserve"> reali</w:t>
      </w:r>
      <w:r>
        <w:rPr>
          <w:rFonts w:asciiTheme="minorHAnsi" w:hAnsiTheme="minorHAnsi" w:cstheme="minorHAnsi"/>
        </w:rPr>
        <w:t>ami</w:t>
      </w:r>
      <w:r w:rsidRPr="00D34343">
        <w:rPr>
          <w:rFonts w:asciiTheme="minorHAnsi" w:hAnsiTheme="minorHAnsi" w:cstheme="minorHAnsi"/>
        </w:rPr>
        <w:t xml:space="preserve"> rynkowy</w:t>
      </w:r>
      <w:r>
        <w:rPr>
          <w:rFonts w:asciiTheme="minorHAnsi" w:hAnsiTheme="minorHAnsi" w:cstheme="minorHAnsi"/>
        </w:rPr>
        <w:t>mi</w:t>
      </w:r>
      <w:r w:rsidRPr="00D34343">
        <w:rPr>
          <w:rFonts w:asciiTheme="minorHAnsi" w:hAnsiTheme="minorHAnsi" w:cstheme="minorHAnsi"/>
        </w:rPr>
        <w:t xml:space="preserve"> i wymagały głębokich zmian systemowych</w:t>
      </w:r>
      <w:r>
        <w:rPr>
          <w:rFonts w:asciiTheme="minorHAnsi" w:hAnsiTheme="minorHAnsi" w:cstheme="minorHAnsi"/>
        </w:rPr>
        <w:t>, w tym również organizacyjnych</w:t>
      </w:r>
      <w:r w:rsidRPr="00D34343">
        <w:rPr>
          <w:rFonts w:asciiTheme="minorHAnsi" w:hAnsiTheme="minorHAnsi" w:cstheme="minorHAnsi"/>
        </w:rPr>
        <w:t>.</w:t>
      </w:r>
    </w:p>
    <w:p w14:paraId="525985A3" w14:textId="149EC40E" w:rsidR="0047433D" w:rsidRDefault="006F3608" w:rsidP="0047433D">
      <w:r w:rsidRPr="00867265">
        <w:rPr>
          <w:rFonts w:cstheme="minorHAnsi"/>
        </w:rPr>
        <w:t>Obowiązująca od 1 stycznia 2017 r. ustawa z dnia 16 grudnia 2016 r. o zasadach zarządzania mieniem państwowym (Dz. U. z 2016 r. poz. 2259</w:t>
      </w:r>
      <w:r w:rsidR="005368D2">
        <w:rPr>
          <w:rFonts w:cstheme="minorHAnsi"/>
        </w:rPr>
        <w:t xml:space="preserve"> </w:t>
      </w:r>
      <w:r w:rsidR="009D0CA6">
        <w:rPr>
          <w:rFonts w:cstheme="minorHAnsi"/>
        </w:rPr>
        <w:t xml:space="preserve">z </w:t>
      </w:r>
      <w:proofErr w:type="spellStart"/>
      <w:r w:rsidR="005368D2">
        <w:rPr>
          <w:rFonts w:cstheme="minorHAnsi"/>
        </w:rPr>
        <w:t>późn</w:t>
      </w:r>
      <w:proofErr w:type="spellEnd"/>
      <w:r w:rsidR="005368D2">
        <w:rPr>
          <w:rFonts w:cstheme="minorHAnsi"/>
        </w:rPr>
        <w:t>. zm.</w:t>
      </w:r>
      <w:r w:rsidRPr="00867265">
        <w:rPr>
          <w:rFonts w:cstheme="minorHAnsi"/>
        </w:rPr>
        <w:t xml:space="preserve">) </w:t>
      </w:r>
      <w:r w:rsidR="007E17B7">
        <w:rPr>
          <w:rFonts w:cstheme="minorHAnsi"/>
        </w:rPr>
        <w:t xml:space="preserve">wraz z przepisami wprowadzającymi (Dz. U. z 2016 r. poz. 2260) </w:t>
      </w:r>
      <w:r w:rsidR="00E77AB4">
        <w:rPr>
          <w:rFonts w:cstheme="minorHAnsi"/>
        </w:rPr>
        <w:t>określa</w:t>
      </w:r>
      <w:r w:rsidRPr="00867265">
        <w:rPr>
          <w:rFonts w:cstheme="minorHAnsi"/>
        </w:rPr>
        <w:t xml:space="preserve"> nowy model wykonywania uprawnień</w:t>
      </w:r>
      <w:r>
        <w:rPr>
          <w:rFonts w:cstheme="minorHAnsi"/>
        </w:rPr>
        <w:t xml:space="preserve"> właścicielskich Skarbu Państwa - </w:t>
      </w:r>
      <w:r w:rsidRPr="00E56594">
        <w:rPr>
          <w:rFonts w:cstheme="minorHAnsi"/>
        </w:rPr>
        <w:t>bardziej efektywny, skoncentrowany na profesjonalizacji i aktywizacji nadzoru właścicielskiego</w:t>
      </w:r>
      <w:r>
        <w:rPr>
          <w:rFonts w:cstheme="minorHAnsi"/>
        </w:rPr>
        <w:t xml:space="preserve"> oraz trwałym budowaniu wartości</w:t>
      </w:r>
      <w:r w:rsidR="0047433D">
        <w:rPr>
          <w:rFonts w:cstheme="minorHAnsi"/>
        </w:rPr>
        <w:t xml:space="preserve"> posiadanego majątku</w:t>
      </w:r>
      <w:r>
        <w:rPr>
          <w:rFonts w:cstheme="minorHAnsi"/>
        </w:rPr>
        <w:t xml:space="preserve">, </w:t>
      </w:r>
      <w:r w:rsidR="005368D2">
        <w:rPr>
          <w:rFonts w:cstheme="minorHAnsi"/>
        </w:rPr>
        <w:br/>
      </w:r>
      <w:r w:rsidRPr="009F7B60">
        <w:rPr>
          <w:rFonts w:cstheme="minorHAnsi"/>
        </w:rPr>
        <w:t>a także zabezpieczeniu przed ewentualnymi nadużyciami</w:t>
      </w:r>
      <w:r>
        <w:rPr>
          <w:rFonts w:cstheme="minorHAnsi"/>
        </w:rPr>
        <w:t>.</w:t>
      </w:r>
      <w:r w:rsidR="0047433D">
        <w:rPr>
          <w:rFonts w:cstheme="minorHAnsi"/>
        </w:rPr>
        <w:t xml:space="preserve"> </w:t>
      </w:r>
      <w:r w:rsidR="0047433D">
        <w:t>Jednocześnie prywatyzacja, czy też zbywanie poszczególnych części mienia państwowego</w:t>
      </w:r>
      <w:r w:rsidR="00072EBC">
        <w:t>,</w:t>
      </w:r>
      <w:r w:rsidR="0047433D">
        <w:t xml:space="preserve"> przesta</w:t>
      </w:r>
      <w:r w:rsidR="00072EBC">
        <w:t>ło</w:t>
      </w:r>
      <w:r w:rsidR="0047433D">
        <w:t xml:space="preserve"> być celem </w:t>
      </w:r>
      <w:r w:rsidR="0047433D">
        <w:rPr>
          <w:rFonts w:cstheme="minorHAnsi"/>
        </w:rPr>
        <w:t>polityki właścicielskiej Państwa</w:t>
      </w:r>
      <w:r w:rsidR="0047433D">
        <w:t xml:space="preserve">, które koncentruje się na odpowiedzialnym tworzeniu fundamentu dla budowania stałego wzrostu wartości polskiego kapitału. </w:t>
      </w:r>
    </w:p>
    <w:p w14:paraId="4F68B221" w14:textId="77777777" w:rsidR="00FF069B" w:rsidRPr="00BF534F" w:rsidRDefault="00FF069B" w:rsidP="00FF069B">
      <w:pPr>
        <w:pStyle w:val="Tekstwaciwy"/>
        <w:spacing w:after="28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n</w:t>
      </w:r>
      <w:r w:rsidRPr="00B57DA4">
        <w:rPr>
          <w:rFonts w:asciiTheme="minorHAnsi" w:hAnsiTheme="minorHAnsi" w:cstheme="minorHAnsi"/>
        </w:rPr>
        <w:t>owy</w:t>
      </w:r>
      <w:r>
        <w:rPr>
          <w:rFonts w:asciiTheme="minorHAnsi" w:hAnsiTheme="minorHAnsi" w:cstheme="minorHAnsi"/>
        </w:rPr>
        <w:t>m</w:t>
      </w:r>
      <w:r w:rsidRPr="00B57DA4">
        <w:rPr>
          <w:rFonts w:asciiTheme="minorHAnsi" w:hAnsiTheme="minorHAnsi" w:cstheme="minorHAnsi"/>
        </w:rPr>
        <w:t xml:space="preserve"> system</w:t>
      </w:r>
      <w:r>
        <w:rPr>
          <w:rFonts w:asciiTheme="minorHAnsi" w:hAnsiTheme="minorHAnsi" w:cstheme="minorHAnsi"/>
        </w:rPr>
        <w:t>em</w:t>
      </w:r>
      <w:r w:rsidRPr="00B57DA4">
        <w:rPr>
          <w:rFonts w:asciiTheme="minorHAnsi" w:hAnsiTheme="minorHAnsi" w:cstheme="minorHAnsi"/>
        </w:rPr>
        <w:t xml:space="preserve"> zarządzania </w:t>
      </w:r>
      <w:r>
        <w:rPr>
          <w:rFonts w:asciiTheme="minorHAnsi" w:hAnsiTheme="minorHAnsi" w:cstheme="minorHAnsi"/>
        </w:rPr>
        <w:t>majątkiem</w:t>
      </w:r>
      <w:r w:rsidRPr="00B57DA4">
        <w:rPr>
          <w:rFonts w:asciiTheme="minorHAnsi" w:hAnsiTheme="minorHAnsi" w:cstheme="minorHAnsi"/>
        </w:rPr>
        <w:t xml:space="preserve"> państwowym </w:t>
      </w:r>
      <w:r>
        <w:rPr>
          <w:rFonts w:asciiTheme="minorHAnsi" w:hAnsiTheme="minorHAnsi" w:cstheme="minorHAnsi"/>
        </w:rPr>
        <w:t xml:space="preserve">Prezes Rady Ministrów koordynuje politykę właścicielską realizowaną w stosunku do spółek z udziałem Skarbu </w:t>
      </w:r>
      <w:r w:rsidR="00E16CD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Państwa. Natomiast </w:t>
      </w:r>
      <w:r w:rsidRPr="00BF534F">
        <w:rPr>
          <w:rFonts w:asciiTheme="minorHAnsi" w:hAnsiTheme="minorHAnsi" w:cstheme="minorHAnsi"/>
        </w:rPr>
        <w:t xml:space="preserve">uprawnienia właścicielskie </w:t>
      </w:r>
      <w:r>
        <w:rPr>
          <w:rFonts w:asciiTheme="minorHAnsi" w:hAnsiTheme="minorHAnsi" w:cstheme="minorHAnsi"/>
        </w:rPr>
        <w:t>względem</w:t>
      </w:r>
      <w:r w:rsidRPr="00BF534F">
        <w:rPr>
          <w:rFonts w:asciiTheme="minorHAnsi" w:hAnsiTheme="minorHAnsi" w:cstheme="minorHAnsi"/>
        </w:rPr>
        <w:t xml:space="preserve"> tych podmiotów wykonują ministrowie, pełnomocnicy rządu lub państwowe osoby prawne, na podstawie </w:t>
      </w:r>
      <w:r>
        <w:rPr>
          <w:rFonts w:asciiTheme="minorHAnsi" w:hAnsiTheme="minorHAnsi" w:cstheme="minorHAnsi"/>
        </w:rPr>
        <w:t xml:space="preserve">przekazanych </w:t>
      </w:r>
      <w:r w:rsidRPr="00BF534F">
        <w:rPr>
          <w:rFonts w:asciiTheme="minorHAnsi" w:hAnsiTheme="minorHAnsi" w:cstheme="minorHAnsi"/>
        </w:rPr>
        <w:t xml:space="preserve">przez Prezesa Rady Ministrów </w:t>
      </w:r>
      <w:r>
        <w:rPr>
          <w:rFonts w:asciiTheme="minorHAnsi" w:hAnsiTheme="minorHAnsi" w:cstheme="minorHAnsi"/>
        </w:rPr>
        <w:t>uprawnień.</w:t>
      </w:r>
    </w:p>
    <w:p w14:paraId="7E8675C0" w14:textId="42C7A40F" w:rsidR="00FF069B" w:rsidRDefault="00FF069B" w:rsidP="0047433D">
      <w:r>
        <w:t>Mając powyższe na uwadze, realizując kompetencję ustawową</w:t>
      </w:r>
      <w:r w:rsidR="0008548D">
        <w:t xml:space="preserve"> Prezes</w:t>
      </w:r>
      <w:r w:rsidR="00F83126">
        <w:t>a</w:t>
      </w:r>
      <w:r w:rsidR="0008548D">
        <w:t xml:space="preserve"> Rady Ministrów</w:t>
      </w:r>
      <w:r w:rsidR="00E16CD7">
        <w:t>,</w:t>
      </w:r>
      <w:r w:rsidR="0008548D">
        <w:t xml:space="preserve"> </w:t>
      </w:r>
      <w:r w:rsidR="00E16CD7">
        <w:br/>
      </w:r>
      <w:r w:rsidR="0008548D">
        <w:t xml:space="preserve">dotyczącą </w:t>
      </w:r>
      <w:r w:rsidR="00F83126">
        <w:t xml:space="preserve">zapewnienia jednolitego </w:t>
      </w:r>
      <w:r w:rsidR="0008548D">
        <w:t>sposobu wykonywania praw z akcji</w:t>
      </w:r>
      <w:r w:rsidR="00345B81">
        <w:t>/udziałów</w:t>
      </w:r>
      <w:r w:rsidR="0008548D">
        <w:t xml:space="preserve"> należących do Skarbu Państwa </w:t>
      </w:r>
      <w:r w:rsidR="008829F5">
        <w:t>przez podmioty uprawnione</w:t>
      </w:r>
      <w:r w:rsidR="00E16CD7">
        <w:t>,</w:t>
      </w:r>
      <w:r w:rsidR="008829F5">
        <w:t xml:space="preserve"> </w:t>
      </w:r>
      <w:r w:rsidR="0008548D">
        <w:t>opracowano dokument wskazujący k</w:t>
      </w:r>
      <w:r w:rsidR="003C124D">
        <w:t xml:space="preserve">ierunki polityki </w:t>
      </w:r>
      <w:r w:rsidR="0047101A">
        <w:t xml:space="preserve">właścicielskiej </w:t>
      </w:r>
      <w:r w:rsidR="0008548D">
        <w:t>w zakresie zbywania akcji/udziałów należących do Skarbu Państwa.</w:t>
      </w:r>
    </w:p>
    <w:p w14:paraId="076037D2" w14:textId="1EFC6615" w:rsidR="00345B81" w:rsidRPr="00E75069" w:rsidRDefault="00345B81" w:rsidP="00345B81">
      <w:r>
        <w:t xml:space="preserve">Dokument kierowany jest </w:t>
      </w:r>
      <w:r w:rsidRPr="00E75069">
        <w:t xml:space="preserve">do </w:t>
      </w:r>
      <w:r w:rsidR="000207DC">
        <w:t>c</w:t>
      </w:r>
      <w:r w:rsidR="00E75069" w:rsidRPr="00E75069">
        <w:t xml:space="preserve">złonków Rady Ministrów, </w:t>
      </w:r>
      <w:r w:rsidRPr="00E75069">
        <w:t>pełnomocników Rządu</w:t>
      </w:r>
      <w:r w:rsidR="001E1302" w:rsidRPr="00E75069">
        <w:t xml:space="preserve"> oraz </w:t>
      </w:r>
      <w:r w:rsidRPr="00E75069">
        <w:t>państwowych osób prawnych, którym Prezes Rady Ministrów przekazał wykonywanie uprawnień dot. praw z akc</w:t>
      </w:r>
      <w:r w:rsidR="001E1302" w:rsidRPr="00E75069">
        <w:t>ji</w:t>
      </w:r>
      <w:r w:rsidR="005809EC" w:rsidRPr="00E75069">
        <w:t>/udziałów</w:t>
      </w:r>
      <w:r w:rsidR="001E1302" w:rsidRPr="00E75069">
        <w:t xml:space="preserve"> należących do Skarbu Państwa.</w:t>
      </w:r>
    </w:p>
    <w:p w14:paraId="114A2A84" w14:textId="77777777" w:rsidR="00345B81" w:rsidRDefault="00345B81" w:rsidP="00345B81"/>
    <w:p w14:paraId="654DB868" w14:textId="77777777" w:rsidR="001117F5" w:rsidRDefault="004F0630" w:rsidP="00345B81">
      <w:pPr>
        <w:pStyle w:val="Nagwek1"/>
      </w:pPr>
      <w:r>
        <w:lastRenderedPageBreak/>
        <w:t>Ramy prawne</w:t>
      </w:r>
    </w:p>
    <w:p w14:paraId="71A85F4B" w14:textId="77777777" w:rsidR="00FA0F92" w:rsidRPr="00FA0F92" w:rsidRDefault="007E17B7" w:rsidP="00FA0F92">
      <w:pPr>
        <w:rPr>
          <w:rFonts w:cstheme="minorHAnsi"/>
        </w:rPr>
      </w:pPr>
      <w:r>
        <w:rPr>
          <w:rFonts w:cstheme="minorHAnsi"/>
        </w:rPr>
        <w:t>Ramy prawne</w:t>
      </w:r>
      <w:r w:rsidR="00C375C1">
        <w:rPr>
          <w:rFonts w:cstheme="minorHAnsi"/>
        </w:rPr>
        <w:t xml:space="preserve"> dotyczące sposobu </w:t>
      </w:r>
      <w:r w:rsidR="00FA0F92" w:rsidRPr="00FA0F92">
        <w:rPr>
          <w:rFonts w:cstheme="minorHAnsi"/>
        </w:rPr>
        <w:t xml:space="preserve">wykonywania praw w stosunku do mienia państwowego </w:t>
      </w:r>
      <w:r>
        <w:rPr>
          <w:rFonts w:cstheme="minorHAnsi"/>
        </w:rPr>
        <w:br/>
      </w:r>
      <w:r w:rsidR="00FA0F92" w:rsidRPr="00FA0F92">
        <w:rPr>
          <w:rFonts w:cstheme="minorHAnsi"/>
        </w:rPr>
        <w:t>w zakresie zbywania akcji/udziałów nale</w:t>
      </w:r>
      <w:r w:rsidR="00C375C1">
        <w:rPr>
          <w:rFonts w:cstheme="minorHAnsi"/>
        </w:rPr>
        <w:t>żących do Skarbu Państwa został</w:t>
      </w:r>
      <w:r w:rsidR="007F7641">
        <w:rPr>
          <w:rFonts w:cstheme="minorHAnsi"/>
        </w:rPr>
        <w:t xml:space="preserve">y </w:t>
      </w:r>
      <w:r w:rsidR="00FA0F92" w:rsidRPr="00FA0F92">
        <w:rPr>
          <w:rFonts w:cstheme="minorHAnsi"/>
        </w:rPr>
        <w:t xml:space="preserve">sformułowane </w:t>
      </w:r>
      <w:r>
        <w:rPr>
          <w:rFonts w:cstheme="minorHAnsi"/>
        </w:rPr>
        <w:br/>
      </w:r>
      <w:r w:rsidR="00FA0F92" w:rsidRPr="00FA0F92">
        <w:rPr>
          <w:rFonts w:cstheme="minorHAnsi"/>
        </w:rPr>
        <w:t xml:space="preserve">w zapisach </w:t>
      </w:r>
      <w:r w:rsidR="007A513C">
        <w:rPr>
          <w:rFonts w:cstheme="minorHAnsi"/>
        </w:rPr>
        <w:t>następujących</w:t>
      </w:r>
      <w:r w:rsidR="00FA0F92" w:rsidRPr="00FA0F92">
        <w:rPr>
          <w:rFonts w:cstheme="minorHAnsi"/>
        </w:rPr>
        <w:t xml:space="preserve"> ustaw:</w:t>
      </w:r>
    </w:p>
    <w:p w14:paraId="635CC791" w14:textId="36F943EC" w:rsidR="00FA0F92" w:rsidRDefault="00FA0F92" w:rsidP="00FA0F92">
      <w:pPr>
        <w:pStyle w:val="punktory"/>
        <w:rPr>
          <w:rFonts w:cstheme="minorHAnsi"/>
        </w:rPr>
      </w:pPr>
      <w:r w:rsidRPr="00FA0F92">
        <w:t>Ustawie</w:t>
      </w:r>
      <w:r w:rsidRPr="00FA0F92">
        <w:rPr>
          <w:rFonts w:cstheme="minorHAnsi"/>
        </w:rPr>
        <w:t xml:space="preserve"> z dnia 16 grudnia 2016 r. o zasadach zarządzania mieniem państwowym </w:t>
      </w:r>
      <w:r w:rsidR="005368D2">
        <w:rPr>
          <w:rFonts w:cstheme="minorHAnsi"/>
        </w:rPr>
        <w:br/>
      </w:r>
      <w:r w:rsidRPr="00FA0F92">
        <w:rPr>
          <w:rFonts w:cstheme="minorHAnsi"/>
        </w:rPr>
        <w:t xml:space="preserve">(Dz. U. poz. 2259 </w:t>
      </w:r>
      <w:r w:rsidR="005368D2">
        <w:rPr>
          <w:rFonts w:cstheme="minorHAnsi"/>
        </w:rPr>
        <w:t xml:space="preserve">z </w:t>
      </w:r>
      <w:proofErr w:type="spellStart"/>
      <w:r w:rsidR="005368D2">
        <w:rPr>
          <w:rFonts w:cstheme="minorHAnsi"/>
        </w:rPr>
        <w:t>późn</w:t>
      </w:r>
      <w:proofErr w:type="spellEnd"/>
      <w:r w:rsidR="005368D2">
        <w:rPr>
          <w:rFonts w:cstheme="minorHAnsi"/>
        </w:rPr>
        <w:t>. zm.</w:t>
      </w:r>
      <w:r w:rsidRPr="00FA0F92">
        <w:rPr>
          <w:rFonts w:cstheme="minorHAnsi"/>
        </w:rPr>
        <w:t>) (dalej: „Ustawa o zasadach zarządzania mieniem państwowym”).</w:t>
      </w:r>
    </w:p>
    <w:p w14:paraId="7960E14F" w14:textId="77777777" w:rsidR="00B83421" w:rsidRDefault="00B83421" w:rsidP="00B83421">
      <w:pPr>
        <w:pStyle w:val="punktory"/>
        <w:numPr>
          <w:ilvl w:val="0"/>
          <w:numId w:val="0"/>
        </w:numPr>
        <w:rPr>
          <w:rFonts w:cstheme="minorHAnsi"/>
        </w:rPr>
      </w:pPr>
      <w:r>
        <w:t xml:space="preserve">oraz </w:t>
      </w:r>
    </w:p>
    <w:p w14:paraId="14B09986" w14:textId="77777777" w:rsidR="00B83421" w:rsidRDefault="00B83421" w:rsidP="00B83421">
      <w:pPr>
        <w:pStyle w:val="punktory"/>
      </w:pPr>
      <w:r w:rsidRPr="00FA0F92">
        <w:t>Ustawie z dnia 16 grudnia 2016 r. Przepisy wprowadzające ustawę o zasadach zarządzania mieniem państwowym (Dz.U. z 2016 r. poz. 2260)  (dalej: „Ustawa – przepisy wprowadzające”)</w:t>
      </w:r>
    </w:p>
    <w:p w14:paraId="55FE6D0A" w14:textId="4F364039" w:rsidR="00F84550" w:rsidRPr="00237EAD" w:rsidRDefault="00161C38" w:rsidP="00237EAD">
      <w:pPr>
        <w:spacing w:before="0"/>
        <w:rPr>
          <w:rFonts w:cstheme="minorHAnsi"/>
        </w:rPr>
      </w:pPr>
      <w:r>
        <w:rPr>
          <w:rFonts w:cstheme="minorHAnsi"/>
        </w:rPr>
        <w:t xml:space="preserve">Wymienione akty prawne są kluczowymi elementami wieloaspektowej reformy sfery wykonywania uprawnień właścicielskich Skarbu Państwa, tj. </w:t>
      </w:r>
      <w:r w:rsidR="00C93B36">
        <w:rPr>
          <w:rFonts w:cstheme="minorHAnsi"/>
        </w:rPr>
        <w:t>obszaru, w którym</w:t>
      </w:r>
      <w:r>
        <w:rPr>
          <w:rFonts w:cstheme="minorHAnsi"/>
        </w:rPr>
        <w:t xml:space="preserve"> państwo </w:t>
      </w:r>
      <w:r w:rsidR="00C93B36">
        <w:rPr>
          <w:rFonts w:cstheme="minorHAnsi"/>
        </w:rPr>
        <w:t>występuje, jako</w:t>
      </w:r>
      <w:r>
        <w:rPr>
          <w:rFonts w:cstheme="minorHAnsi"/>
        </w:rPr>
        <w:t xml:space="preserve"> właściciel mienia. </w:t>
      </w:r>
      <w:r w:rsidR="003948F8">
        <w:rPr>
          <w:rFonts w:cstheme="minorHAnsi"/>
        </w:rPr>
        <w:t xml:space="preserve">W sposób zasadniczy </w:t>
      </w:r>
      <w:r w:rsidR="003948F8" w:rsidRPr="00237EAD">
        <w:rPr>
          <w:rFonts w:cstheme="minorHAnsi"/>
        </w:rPr>
        <w:t>zmieniają model zbywania akcji i udziałów należących do Skarbu Państwa</w:t>
      </w:r>
      <w:r w:rsidR="004C6E3E" w:rsidRPr="00237EAD">
        <w:rPr>
          <w:rFonts w:cstheme="minorHAnsi"/>
        </w:rPr>
        <w:t xml:space="preserve"> </w:t>
      </w:r>
      <w:r w:rsidR="00E4378E" w:rsidRPr="00237EAD">
        <w:rPr>
          <w:rFonts w:cstheme="minorHAnsi"/>
        </w:rPr>
        <w:t>(rezygnacja z pojęcia „prywatyzacja”),</w:t>
      </w:r>
      <w:r w:rsidR="00237EAD" w:rsidRPr="00237EAD">
        <w:rPr>
          <w:rFonts w:cstheme="minorHAnsi"/>
        </w:rPr>
        <w:t xml:space="preserve"> w szczególności </w:t>
      </w:r>
      <w:r w:rsidR="003948F8" w:rsidRPr="004C6E3E">
        <w:rPr>
          <w:rFonts w:cstheme="minorHAnsi"/>
        </w:rPr>
        <w:t>odchodząc</w:t>
      </w:r>
      <w:r w:rsidR="003948F8" w:rsidRPr="00237EAD">
        <w:rPr>
          <w:rFonts w:cstheme="minorHAnsi"/>
        </w:rPr>
        <w:t xml:space="preserve"> od prywatyzacji bezpośredniej i enumeratywnego wyliczenia dopuszczalnych trybów prywatyzacji</w:t>
      </w:r>
      <w:r w:rsidR="00237EAD" w:rsidRPr="00237EAD">
        <w:rPr>
          <w:rFonts w:cstheme="minorHAnsi"/>
        </w:rPr>
        <w:t xml:space="preserve"> </w:t>
      </w:r>
      <w:r w:rsidR="00086C96">
        <w:rPr>
          <w:rFonts w:cstheme="minorHAnsi"/>
        </w:rPr>
        <w:t>–</w:t>
      </w:r>
      <w:r w:rsidR="00237EAD" w:rsidRPr="00237EAD">
        <w:rPr>
          <w:rFonts w:cstheme="minorHAnsi"/>
        </w:rPr>
        <w:t xml:space="preserve"> </w:t>
      </w:r>
      <w:r w:rsidR="00086C96">
        <w:rPr>
          <w:rFonts w:cstheme="minorHAnsi"/>
        </w:rPr>
        <w:t xml:space="preserve">tym samym </w:t>
      </w:r>
      <w:r w:rsidR="00F84550" w:rsidRPr="003948F8">
        <w:rPr>
          <w:rFonts w:cstheme="minorHAnsi"/>
        </w:rPr>
        <w:t>zbliżają</w:t>
      </w:r>
      <w:r w:rsidR="00237EAD">
        <w:rPr>
          <w:rFonts w:cstheme="minorHAnsi"/>
        </w:rPr>
        <w:t>c</w:t>
      </w:r>
      <w:r w:rsidR="00F84550" w:rsidRPr="003948F8">
        <w:rPr>
          <w:rFonts w:cstheme="minorHAnsi"/>
        </w:rPr>
        <w:t xml:space="preserve"> </w:t>
      </w:r>
      <w:r w:rsidR="00DD3919">
        <w:rPr>
          <w:rFonts w:cstheme="minorHAnsi"/>
        </w:rPr>
        <w:t xml:space="preserve">ten model </w:t>
      </w:r>
      <w:r w:rsidR="00F84550" w:rsidRPr="003948F8">
        <w:rPr>
          <w:rFonts w:cstheme="minorHAnsi"/>
        </w:rPr>
        <w:t>do standardów rynkowych.</w:t>
      </w:r>
    </w:p>
    <w:p w14:paraId="1CA9FDCA" w14:textId="77777777" w:rsidR="00FD2F5A" w:rsidRDefault="00E26E68" w:rsidP="00FD2F5A">
      <w:pPr>
        <w:pStyle w:val="Nagwek1"/>
      </w:pPr>
      <w:r>
        <w:t xml:space="preserve">Główne założenia </w:t>
      </w:r>
    </w:p>
    <w:p w14:paraId="4079EA1A" w14:textId="0D3BE9C0" w:rsidR="005375EC" w:rsidRDefault="005375EC" w:rsidP="00867265">
      <w:r>
        <w:t xml:space="preserve">Jak wskazano </w:t>
      </w:r>
      <w:r w:rsidR="003948F8">
        <w:t>powyżej</w:t>
      </w:r>
      <w:r>
        <w:t>, jednym z głównych założeń n</w:t>
      </w:r>
      <w:r w:rsidR="00867265">
        <w:t>ow</w:t>
      </w:r>
      <w:r>
        <w:t>ego system</w:t>
      </w:r>
      <w:r w:rsidR="00867265">
        <w:t xml:space="preserve"> zarządz</w:t>
      </w:r>
      <w:r>
        <w:t>ania mieniem państwowym jest zmiana podejścia do procesu zbywania akcji</w:t>
      </w:r>
      <w:r w:rsidR="00EC28CB">
        <w:t>/</w:t>
      </w:r>
      <w:r>
        <w:t>udziałów należących do Skarbu Państwa, który stał się jednym z elementów gospodarowania majątkiem państwowy</w:t>
      </w:r>
      <w:r w:rsidR="000207DC">
        <w:t>m</w:t>
      </w:r>
      <w:r>
        <w:t xml:space="preserve"> a</w:t>
      </w:r>
      <w:r w:rsidR="00BD3EE4">
        <w:t xml:space="preserve"> nie</w:t>
      </w:r>
      <w:r>
        <w:t xml:space="preserve"> jego</w:t>
      </w:r>
      <w:r w:rsidR="00EC28CB">
        <w:t xml:space="preserve"> głównym celem i</w:t>
      </w:r>
      <w:r>
        <w:t xml:space="preserve"> </w:t>
      </w:r>
      <w:r w:rsidR="00BD3EE4">
        <w:t>fundamentem</w:t>
      </w:r>
      <w:r>
        <w:t>.</w:t>
      </w:r>
      <w:r w:rsidR="00BB1F70">
        <w:t xml:space="preserve"> </w:t>
      </w:r>
    </w:p>
    <w:p w14:paraId="2016B85F" w14:textId="77777777" w:rsidR="00DC2037" w:rsidRDefault="00921B44" w:rsidP="00867265">
      <w:r>
        <w:t xml:space="preserve">Obecny model </w:t>
      </w:r>
      <w:r w:rsidR="00EC28CB">
        <w:t>zbywania akcji/</w:t>
      </w:r>
      <w:r>
        <w:t>udziałów należących do Skarbu Państwa opiera się na następujących założeniach:</w:t>
      </w:r>
    </w:p>
    <w:p w14:paraId="22ABCE95" w14:textId="77777777" w:rsidR="00F10332" w:rsidRDefault="00BB1F70" w:rsidP="006F0B72">
      <w:pPr>
        <w:pStyle w:val="punktory"/>
      </w:pPr>
      <w:r w:rsidRPr="00AB037F">
        <w:t xml:space="preserve">Mieniem państwowym </w:t>
      </w:r>
      <w:r w:rsidR="00921B44" w:rsidRPr="00E16CD7">
        <w:rPr>
          <w:b/>
        </w:rPr>
        <w:t>gospodaruje się</w:t>
      </w:r>
      <w:r w:rsidRPr="00E16CD7">
        <w:rPr>
          <w:b/>
        </w:rPr>
        <w:t xml:space="preserve"> na zasadach prawidłowej gospodarki</w:t>
      </w:r>
      <w:r w:rsidRPr="00AB037F">
        <w:t xml:space="preserve"> </w:t>
      </w:r>
      <w:r w:rsidRPr="00FE34A0">
        <w:t xml:space="preserve">z zachowaniem szczególnej staranności, </w:t>
      </w:r>
      <w:r w:rsidRPr="00E16CD7">
        <w:rPr>
          <w:b/>
        </w:rPr>
        <w:t>w celu osi</w:t>
      </w:r>
      <w:r w:rsidR="00921B44" w:rsidRPr="00E16CD7">
        <w:rPr>
          <w:b/>
        </w:rPr>
        <w:t>ągnięcia wzrostu jego wa</w:t>
      </w:r>
      <w:r w:rsidR="00F10332" w:rsidRPr="00E16CD7">
        <w:rPr>
          <w:b/>
        </w:rPr>
        <w:t>rtości.</w:t>
      </w:r>
      <w:r w:rsidR="00F10332">
        <w:t xml:space="preserve"> </w:t>
      </w:r>
    </w:p>
    <w:p w14:paraId="3420FB34" w14:textId="77777777" w:rsidR="005B6C08" w:rsidRDefault="005B6C08" w:rsidP="005B6C08">
      <w:pPr>
        <w:pStyle w:val="punktory"/>
        <w:numPr>
          <w:ilvl w:val="0"/>
          <w:numId w:val="0"/>
        </w:numPr>
        <w:ind w:left="360"/>
      </w:pPr>
    </w:p>
    <w:p w14:paraId="7051C1E5" w14:textId="649FE60B" w:rsidR="005B6C08" w:rsidRPr="00C56085" w:rsidRDefault="00F10332" w:rsidP="00C56085">
      <w:pPr>
        <w:pStyle w:val="punktory"/>
        <w:rPr>
          <w:color w:val="FF0000"/>
        </w:rPr>
      </w:pPr>
      <w:r>
        <w:t>Z</w:t>
      </w:r>
      <w:r w:rsidR="00921B44">
        <w:t xml:space="preserve">bywanie </w:t>
      </w:r>
      <w:r>
        <w:t xml:space="preserve">akcji/udziałów należących do Skarbu Państwa </w:t>
      </w:r>
      <w:r w:rsidR="004252CE" w:rsidRPr="00FE34A0">
        <w:t>powinno</w:t>
      </w:r>
      <w:r w:rsidR="00921B44" w:rsidRPr="00FE34A0">
        <w:t xml:space="preserve"> </w:t>
      </w:r>
      <w:r w:rsidR="00921B44">
        <w:t xml:space="preserve">odbywać się </w:t>
      </w:r>
      <w:r w:rsidR="00A44570" w:rsidRPr="00A44570">
        <w:rPr>
          <w:b/>
        </w:rPr>
        <w:t>tylko</w:t>
      </w:r>
      <w:r w:rsidR="00A44570">
        <w:t xml:space="preserve"> </w:t>
      </w:r>
      <w:r w:rsidR="006B0B45">
        <w:br/>
      </w:r>
      <w:r w:rsidR="00921B44" w:rsidRPr="00C56085">
        <w:rPr>
          <w:b/>
        </w:rPr>
        <w:t>w uzasadnionych przypadkach</w:t>
      </w:r>
      <w:r w:rsidR="00512886" w:rsidRPr="00C56085">
        <w:rPr>
          <w:b/>
        </w:rPr>
        <w:t>,</w:t>
      </w:r>
      <w:r w:rsidR="00A509F0" w:rsidRPr="00C56085">
        <w:rPr>
          <w:b/>
        </w:rPr>
        <w:t xml:space="preserve"> </w:t>
      </w:r>
      <w:r w:rsidR="00BB1F70" w:rsidRPr="00512886">
        <w:t>zgodnie z ogólnymi zasadami</w:t>
      </w:r>
      <w:r w:rsidR="00512886" w:rsidRPr="00512886">
        <w:t xml:space="preserve"> zarządzania mieniem państwowym</w:t>
      </w:r>
      <w:r w:rsidR="00512886" w:rsidRPr="00C56085">
        <w:rPr>
          <w:b/>
        </w:rPr>
        <w:t xml:space="preserve"> oraz z uwzględnieniem ochrony interesów Skarbu Państwa.  </w:t>
      </w:r>
    </w:p>
    <w:p w14:paraId="0B885D63" w14:textId="77777777" w:rsidR="005B6C08" w:rsidRDefault="005B6C08" w:rsidP="005B6C08">
      <w:pPr>
        <w:pStyle w:val="punktory"/>
        <w:numPr>
          <w:ilvl w:val="0"/>
          <w:numId w:val="0"/>
        </w:numPr>
        <w:ind w:left="360"/>
        <w:rPr>
          <w:b/>
        </w:rPr>
      </w:pPr>
    </w:p>
    <w:p w14:paraId="097367B9" w14:textId="07D2CAC5" w:rsidR="00C94097" w:rsidRPr="005B6C08" w:rsidRDefault="00004E06" w:rsidP="00345B81">
      <w:pPr>
        <w:pStyle w:val="punktory"/>
        <w:rPr>
          <w:color w:val="FF0000"/>
        </w:rPr>
      </w:pPr>
      <w:r w:rsidRPr="005B6C08">
        <w:rPr>
          <w:b/>
        </w:rPr>
        <w:t>Akcje</w:t>
      </w:r>
      <w:r w:rsidR="00EC28CB" w:rsidRPr="005B6C08">
        <w:rPr>
          <w:b/>
        </w:rPr>
        <w:t>/</w:t>
      </w:r>
      <w:r w:rsidR="00A447E3" w:rsidRPr="005B6C08">
        <w:rPr>
          <w:b/>
        </w:rPr>
        <w:t>udziały</w:t>
      </w:r>
      <w:r w:rsidRPr="005B6C08">
        <w:rPr>
          <w:b/>
        </w:rPr>
        <w:t xml:space="preserve"> </w:t>
      </w:r>
      <w:r w:rsidRPr="00E6785F">
        <w:t>należące do Skarbu Państwa</w:t>
      </w:r>
      <w:r w:rsidR="00E6785F" w:rsidRPr="00E6785F">
        <w:t xml:space="preserve"> </w:t>
      </w:r>
      <w:r w:rsidR="004252CE" w:rsidRPr="005B6C08">
        <w:rPr>
          <w:b/>
        </w:rPr>
        <w:t>mogą</w:t>
      </w:r>
      <w:r w:rsidRPr="005B6C08">
        <w:rPr>
          <w:b/>
        </w:rPr>
        <w:t xml:space="preserve"> być zbywane</w:t>
      </w:r>
      <w:r>
        <w:t xml:space="preserve"> przez podmiot uprawniony do wykonywania prawa z tych akcji/udziałów</w:t>
      </w:r>
      <w:r w:rsidR="00345B81" w:rsidRPr="00345B81">
        <w:t xml:space="preserve"> </w:t>
      </w:r>
      <w:r w:rsidR="00A44570" w:rsidRPr="00A44570">
        <w:rPr>
          <w:b/>
        </w:rPr>
        <w:t>wyłącznie</w:t>
      </w:r>
      <w:r w:rsidR="00A44570">
        <w:t xml:space="preserve"> </w:t>
      </w:r>
      <w:r w:rsidRPr="005B6C08">
        <w:rPr>
          <w:b/>
        </w:rPr>
        <w:t>za zgodą Ra</w:t>
      </w:r>
      <w:r w:rsidR="000A7363">
        <w:rPr>
          <w:b/>
        </w:rPr>
        <w:t xml:space="preserve">dy Ministrów, </w:t>
      </w:r>
      <w:r w:rsidR="001944B7" w:rsidRPr="001944B7">
        <w:t>która</w:t>
      </w:r>
      <w:r w:rsidR="001A57FC">
        <w:t xml:space="preserve"> </w:t>
      </w:r>
      <w:r w:rsidR="001944B7" w:rsidRPr="001A57FC">
        <w:t>określa</w:t>
      </w:r>
      <w:r w:rsidR="001944B7" w:rsidRPr="001A57FC">
        <w:rPr>
          <w:b/>
        </w:rPr>
        <w:t xml:space="preserve"> </w:t>
      </w:r>
      <w:r w:rsidR="001A57FC">
        <w:t>również</w:t>
      </w:r>
      <w:r w:rsidR="001A57FC" w:rsidRPr="005B6C08">
        <w:rPr>
          <w:b/>
        </w:rPr>
        <w:t xml:space="preserve"> </w:t>
      </w:r>
      <w:r w:rsidR="001944B7" w:rsidRPr="001A57FC">
        <w:rPr>
          <w:b/>
        </w:rPr>
        <w:t xml:space="preserve">tryb </w:t>
      </w:r>
      <w:r w:rsidR="00E6785F" w:rsidRPr="001A57FC">
        <w:rPr>
          <w:b/>
        </w:rPr>
        <w:t xml:space="preserve">ich </w:t>
      </w:r>
      <w:r w:rsidR="001944B7" w:rsidRPr="001A57FC">
        <w:rPr>
          <w:b/>
        </w:rPr>
        <w:t>zbycia</w:t>
      </w:r>
      <w:r w:rsidR="00A447E3" w:rsidRPr="001944B7">
        <w:t>.</w:t>
      </w:r>
      <w:r w:rsidR="00C94097" w:rsidRPr="00C94097">
        <w:t xml:space="preserve"> </w:t>
      </w:r>
    </w:p>
    <w:p w14:paraId="2B5EE5FF" w14:textId="77777777" w:rsidR="005B6C08" w:rsidRDefault="005B6C08" w:rsidP="005B6C08">
      <w:pPr>
        <w:pStyle w:val="punktory"/>
        <w:numPr>
          <w:ilvl w:val="0"/>
          <w:numId w:val="0"/>
        </w:numPr>
        <w:ind w:left="360"/>
        <w:rPr>
          <w:color w:val="FF0000"/>
        </w:rPr>
      </w:pPr>
    </w:p>
    <w:p w14:paraId="72AA2D8B" w14:textId="6F4AAEBC" w:rsidR="00E6785F" w:rsidRDefault="00A447E3" w:rsidP="00E6785F">
      <w:pPr>
        <w:pStyle w:val="punktory"/>
      </w:pPr>
      <w:r w:rsidRPr="00E16CD7">
        <w:rPr>
          <w:b/>
        </w:rPr>
        <w:lastRenderedPageBreak/>
        <w:t>Podmiot uprawniony do wykonywania praw z akcji/udziałów</w:t>
      </w:r>
      <w:r>
        <w:t xml:space="preserve">, przed podjęciem decyzji </w:t>
      </w:r>
      <w:r w:rsidR="001944B7">
        <w:br/>
      </w:r>
      <w:r w:rsidR="006E2935">
        <w:t xml:space="preserve">o konieczności </w:t>
      </w:r>
      <w:r w:rsidR="00E6785F">
        <w:t xml:space="preserve">ich </w:t>
      </w:r>
      <w:r w:rsidR="006E2935">
        <w:t xml:space="preserve">zbycia i </w:t>
      </w:r>
      <w:r>
        <w:t>wystąpieniem o zgodę do Rady Ministrów</w:t>
      </w:r>
      <w:r w:rsidR="006E2935">
        <w:t>,</w:t>
      </w:r>
      <w:r>
        <w:t xml:space="preserve"> </w:t>
      </w:r>
      <w:r w:rsidRPr="00E16CD7">
        <w:rPr>
          <w:b/>
        </w:rPr>
        <w:t>dokonuje</w:t>
      </w:r>
      <w:r>
        <w:t xml:space="preserve"> </w:t>
      </w:r>
      <w:r w:rsidRPr="007874B0">
        <w:rPr>
          <w:b/>
        </w:rPr>
        <w:t>analizy czynników istotnych zarówno dla konkretnej spółki jak i Skarbu Państwa</w:t>
      </w:r>
      <w:r>
        <w:t>, w szczególności: potencjału spółki; sytuacji ekonomiczno</w:t>
      </w:r>
      <w:r w:rsidR="00C202BC">
        <w:t>-</w:t>
      </w:r>
      <w:r>
        <w:t>finansowej; skali zatrudnienia; znaczeni</w:t>
      </w:r>
      <w:r w:rsidR="00D83698">
        <w:t>a</w:t>
      </w:r>
      <w:r>
        <w:t xml:space="preserve"> spółki dla lokalnego rynku pracy; zainteresowania potencjalnych inwestorów; ram czasowych procesu oraz kosztów nadzoru właścicielskiego.</w:t>
      </w:r>
    </w:p>
    <w:p w14:paraId="05A21966" w14:textId="77777777" w:rsidR="00E6785F" w:rsidRDefault="00E6785F" w:rsidP="00E6785F">
      <w:pPr>
        <w:pStyle w:val="punktory"/>
        <w:numPr>
          <w:ilvl w:val="0"/>
          <w:numId w:val="0"/>
        </w:numPr>
        <w:ind w:left="360"/>
      </w:pPr>
    </w:p>
    <w:p w14:paraId="4FF5B390" w14:textId="1BC93FEE" w:rsidR="005651EC" w:rsidRPr="005651EC" w:rsidRDefault="00E6785F" w:rsidP="005651EC">
      <w:pPr>
        <w:pStyle w:val="punktory"/>
        <w:rPr>
          <w:b/>
        </w:rPr>
      </w:pPr>
      <w:r w:rsidRPr="009E3E92">
        <w:t>Dokonana analiza powinna brać</w:t>
      </w:r>
      <w:r>
        <w:t xml:space="preserve"> pod uwagę</w:t>
      </w:r>
      <w:r w:rsidR="00DE7FC1">
        <w:t xml:space="preserve"> także</w:t>
      </w:r>
      <w:r>
        <w:t xml:space="preserve"> </w:t>
      </w:r>
      <w:r w:rsidRPr="009E3E92">
        <w:rPr>
          <w:b/>
        </w:rPr>
        <w:t>szczegółowe rozwiązania dotyczące poszczególnych spółek przyjęte w obowiązujących aktach normatywnych, strategiach</w:t>
      </w:r>
      <w:r w:rsidR="009C7E61">
        <w:rPr>
          <w:b/>
        </w:rPr>
        <w:t xml:space="preserve"> rządowych i innych dokumentach.</w:t>
      </w:r>
      <w:r w:rsidRPr="009E3E92">
        <w:rPr>
          <w:b/>
        </w:rPr>
        <w:t xml:space="preserve"> </w:t>
      </w:r>
    </w:p>
    <w:p w14:paraId="696B2EF7" w14:textId="77777777" w:rsidR="005651EC" w:rsidRPr="005651EC" w:rsidRDefault="005651EC" w:rsidP="005651EC">
      <w:pPr>
        <w:pStyle w:val="punktory"/>
        <w:numPr>
          <w:ilvl w:val="0"/>
          <w:numId w:val="0"/>
        </w:numPr>
        <w:rPr>
          <w:b/>
        </w:rPr>
      </w:pPr>
    </w:p>
    <w:p w14:paraId="36CC1126" w14:textId="77777777" w:rsidR="00390740" w:rsidRPr="00390740" w:rsidRDefault="00FE34A0" w:rsidP="00390740">
      <w:pPr>
        <w:pStyle w:val="punktory"/>
      </w:pPr>
      <w:r w:rsidRPr="00A447E3">
        <w:rPr>
          <w:b/>
        </w:rPr>
        <w:t xml:space="preserve">Rada Ministrów </w:t>
      </w:r>
      <w:r w:rsidR="0089572D" w:rsidRPr="00A447E3">
        <w:rPr>
          <w:b/>
        </w:rPr>
        <w:t xml:space="preserve">dokonuje oceny zasadności zbycia akcji/udziałów </w:t>
      </w:r>
      <w:r w:rsidR="00E6785F" w:rsidRPr="00E6785F">
        <w:t xml:space="preserve">należących do </w:t>
      </w:r>
      <w:r w:rsidR="0089572D" w:rsidRPr="00E6785F">
        <w:t>Skarbu Państwa</w:t>
      </w:r>
      <w:r w:rsidR="0089572D" w:rsidRPr="00A447E3">
        <w:rPr>
          <w:b/>
        </w:rPr>
        <w:t xml:space="preserve"> </w:t>
      </w:r>
      <w:r w:rsidR="0089572D" w:rsidRPr="0089572D">
        <w:t>w</w:t>
      </w:r>
      <w:r w:rsidR="0089572D">
        <w:t xml:space="preserve"> o</w:t>
      </w:r>
      <w:r w:rsidR="0089572D" w:rsidRPr="0089572D">
        <w:t xml:space="preserve">parciu o </w:t>
      </w:r>
      <w:r w:rsidR="0089572D" w:rsidRPr="007874B0">
        <w:rPr>
          <w:b/>
        </w:rPr>
        <w:t>wniosek dotyczący konkretnej spółki</w:t>
      </w:r>
      <w:r w:rsidR="00390740">
        <w:rPr>
          <w:b/>
        </w:rPr>
        <w:t>.</w:t>
      </w:r>
    </w:p>
    <w:p w14:paraId="4DBAA5D6" w14:textId="77777777" w:rsidR="00390740" w:rsidRDefault="00390740" w:rsidP="00390740">
      <w:pPr>
        <w:pStyle w:val="punktory"/>
        <w:numPr>
          <w:ilvl w:val="0"/>
          <w:numId w:val="0"/>
        </w:numPr>
        <w:ind w:left="360"/>
      </w:pPr>
    </w:p>
    <w:p w14:paraId="0C78E414" w14:textId="69C09242" w:rsidR="00FE34A0" w:rsidRPr="00D66A7A" w:rsidRDefault="00390740" w:rsidP="00D34991">
      <w:pPr>
        <w:pStyle w:val="punktory"/>
        <w:rPr>
          <w:b/>
        </w:rPr>
      </w:pPr>
      <w:r w:rsidRPr="00D66A7A">
        <w:t xml:space="preserve">Wniosek do Rady Ministrów </w:t>
      </w:r>
      <w:r w:rsidR="00D368B6" w:rsidRPr="00D66A7A">
        <w:t>wymaga przedstawienia dokumentów</w:t>
      </w:r>
      <w:r w:rsidR="007874B0" w:rsidRPr="00D66A7A">
        <w:t xml:space="preserve"> określając</w:t>
      </w:r>
      <w:r w:rsidR="00D368B6" w:rsidRPr="00D66A7A">
        <w:t>ych</w:t>
      </w:r>
      <w:r w:rsidR="007874B0" w:rsidRPr="00D66A7A">
        <w:t xml:space="preserve">: proponowany </w:t>
      </w:r>
      <w:r w:rsidR="007874B0" w:rsidRPr="002615FB">
        <w:rPr>
          <w:b/>
        </w:rPr>
        <w:t>tryb zbycia</w:t>
      </w:r>
      <w:r w:rsidR="007874B0" w:rsidRPr="00D66A7A">
        <w:rPr>
          <w:b/>
        </w:rPr>
        <w:t xml:space="preserve">, </w:t>
      </w:r>
      <w:r w:rsidR="007874B0" w:rsidRPr="00D66A7A">
        <w:t>w tym opis</w:t>
      </w:r>
      <w:r w:rsidR="007874B0" w:rsidRPr="00D66A7A">
        <w:rPr>
          <w:b/>
        </w:rPr>
        <w:t xml:space="preserve"> </w:t>
      </w:r>
      <w:r w:rsidR="007874B0" w:rsidRPr="002615FB">
        <w:rPr>
          <w:b/>
        </w:rPr>
        <w:t>procedury wyłaniania nabywcy</w:t>
      </w:r>
      <w:r w:rsidR="007874B0" w:rsidRPr="00D66A7A">
        <w:t xml:space="preserve">; </w:t>
      </w:r>
      <w:r w:rsidR="007874B0" w:rsidRPr="002615FB">
        <w:rPr>
          <w:b/>
        </w:rPr>
        <w:t>wycenę</w:t>
      </w:r>
      <w:r w:rsidR="00A44570">
        <w:rPr>
          <w:b/>
        </w:rPr>
        <w:t xml:space="preserve"> sporządzoną </w:t>
      </w:r>
      <w:r w:rsidR="00B81AE3">
        <w:rPr>
          <w:b/>
        </w:rPr>
        <w:t xml:space="preserve">co najmniej </w:t>
      </w:r>
      <w:r w:rsidR="0027069E">
        <w:rPr>
          <w:b/>
        </w:rPr>
        <w:t>dwiema</w:t>
      </w:r>
      <w:r w:rsidR="00A44570">
        <w:rPr>
          <w:b/>
        </w:rPr>
        <w:t xml:space="preserve"> metodami</w:t>
      </w:r>
      <w:r w:rsidR="007874B0" w:rsidRPr="002615FB">
        <w:rPr>
          <w:b/>
        </w:rPr>
        <w:t xml:space="preserve">; cenę sprzedaży </w:t>
      </w:r>
      <w:r w:rsidR="007874B0" w:rsidRPr="002615FB">
        <w:t>lub</w:t>
      </w:r>
      <w:r w:rsidR="007874B0" w:rsidRPr="002615FB">
        <w:rPr>
          <w:b/>
        </w:rPr>
        <w:t xml:space="preserve"> sposób jej ustalenia i sposób </w:t>
      </w:r>
      <w:r w:rsidR="00B81AE3">
        <w:rPr>
          <w:b/>
        </w:rPr>
        <w:br/>
      </w:r>
      <w:bookmarkStart w:id="1" w:name="_GoBack"/>
      <w:bookmarkEnd w:id="1"/>
      <w:r w:rsidR="007874B0" w:rsidRPr="002615FB">
        <w:rPr>
          <w:b/>
        </w:rPr>
        <w:t>zapłaty; projekt umowy zbycia;</w:t>
      </w:r>
      <w:r w:rsidR="007874B0">
        <w:t xml:space="preserve"> </w:t>
      </w:r>
      <w:r w:rsidR="007874B0" w:rsidRPr="001F2B5B">
        <w:rPr>
          <w:b/>
        </w:rPr>
        <w:t>uzasadnienie, odnoszące się do skutków ekonomicznych i społecznych zbycia, w tym zawierające omówienie jego wpływu na ochronę interesów Skarbu Państwa oraz ochronę interesu pracowników i innych osób związanych ze spółką</w:t>
      </w:r>
      <w:r w:rsidR="007874B0" w:rsidRPr="00D66A7A">
        <w:rPr>
          <w:b/>
        </w:rPr>
        <w:t>.</w:t>
      </w:r>
    </w:p>
    <w:p w14:paraId="14D284DF" w14:textId="77777777" w:rsidR="00D368B6" w:rsidRDefault="00D368B6" w:rsidP="00D368B6">
      <w:pPr>
        <w:pStyle w:val="punktory"/>
        <w:numPr>
          <w:ilvl w:val="0"/>
          <w:numId w:val="0"/>
        </w:numPr>
        <w:ind w:left="360"/>
      </w:pPr>
    </w:p>
    <w:p w14:paraId="6B401BED" w14:textId="05830DDE" w:rsidR="00D368B6" w:rsidRDefault="00D368B6" w:rsidP="002615FB">
      <w:pPr>
        <w:pStyle w:val="punktory"/>
      </w:pPr>
      <w:r>
        <w:t xml:space="preserve">W </w:t>
      </w:r>
      <w:r w:rsidRPr="00D368B6">
        <w:t xml:space="preserve">przypadku ubiegania się o zgodę Rady Ministrów na zbycie akcji w obrocie zorganizowanym, w rozumieniu ustawy z dnia 29 lipca 2005 r. o obrocie instrumentami finansowymi </w:t>
      </w:r>
      <w:r w:rsidR="002615FB">
        <w:t>(</w:t>
      </w:r>
      <w:r w:rsidR="002615FB" w:rsidRPr="002615FB">
        <w:t>Dz.U. 2005 nr 183 poz. 1538</w:t>
      </w:r>
      <w:r w:rsidR="002615FB">
        <w:t xml:space="preserve"> z </w:t>
      </w:r>
      <w:proofErr w:type="spellStart"/>
      <w:r w:rsidR="002615FB">
        <w:t>póź</w:t>
      </w:r>
      <w:proofErr w:type="spellEnd"/>
      <w:r w:rsidR="002615FB">
        <w:t xml:space="preserve">. zm.) </w:t>
      </w:r>
      <w:r w:rsidRPr="00D368B6">
        <w:t xml:space="preserve">organ lub podmiot uprawniony do wykonywania praw </w:t>
      </w:r>
      <w:r w:rsidR="00317233">
        <w:t xml:space="preserve">z </w:t>
      </w:r>
      <w:r w:rsidRPr="00D368B6">
        <w:t>akcji będzie zobowiązany do dołączenia dokumentów dotyczących proponowanego trybu zbycia akcji oraz uzasadnienia, obejmującego wskazane wyżej elementy</w:t>
      </w:r>
      <w:r w:rsidR="00317233">
        <w:t>.</w:t>
      </w:r>
    </w:p>
    <w:p w14:paraId="157C46CA" w14:textId="77777777" w:rsidR="005B6C08" w:rsidRDefault="005B6C08" w:rsidP="005B6C08">
      <w:pPr>
        <w:pStyle w:val="punktory"/>
        <w:numPr>
          <w:ilvl w:val="0"/>
          <w:numId w:val="0"/>
        </w:numPr>
        <w:ind w:left="360"/>
      </w:pPr>
    </w:p>
    <w:p w14:paraId="123EC0B1" w14:textId="45CA80CF" w:rsidR="005651EC" w:rsidRDefault="00523DB3" w:rsidP="00A44570">
      <w:pPr>
        <w:pStyle w:val="punktory"/>
      </w:pPr>
      <w:r>
        <w:t xml:space="preserve">Zgoda Rady Ministrów nie jest wymagana </w:t>
      </w:r>
      <w:r w:rsidR="00A44570">
        <w:t xml:space="preserve">w przypadkach, o których mowa w art. 11 </w:t>
      </w:r>
      <w:r w:rsidR="002D40AC">
        <w:br/>
      </w:r>
      <w:r w:rsidR="006B0B45">
        <w:t xml:space="preserve">ust. 3 </w:t>
      </w:r>
      <w:r w:rsidR="00A44570">
        <w:t xml:space="preserve">Ustawy </w:t>
      </w:r>
      <w:r w:rsidR="00A44570" w:rsidRPr="00A44570">
        <w:t>o zasadach zarządzania mieniem państwowym</w:t>
      </w:r>
      <w:r w:rsidR="00A44570">
        <w:t xml:space="preserve"> oraz </w:t>
      </w:r>
      <w:r w:rsidR="002D40AC">
        <w:t xml:space="preserve">w </w:t>
      </w:r>
      <w:r w:rsidR="00A44570">
        <w:t xml:space="preserve">art. 108 </w:t>
      </w:r>
      <w:r w:rsidR="002D40AC">
        <w:br/>
      </w:r>
      <w:r w:rsidR="00A44570">
        <w:t>Ustawy</w:t>
      </w:r>
      <w:r w:rsidR="00A44570" w:rsidRPr="00FA0F92">
        <w:t xml:space="preserve"> – przepisy wprowadzające</w:t>
      </w:r>
      <w:r w:rsidR="00A44570">
        <w:t>.</w:t>
      </w:r>
    </w:p>
    <w:p w14:paraId="3575B997" w14:textId="77777777" w:rsidR="000D6B08" w:rsidRDefault="000D6B08" w:rsidP="000D6B08">
      <w:pPr>
        <w:pStyle w:val="punktory"/>
        <w:numPr>
          <w:ilvl w:val="0"/>
          <w:numId w:val="0"/>
        </w:numPr>
        <w:ind w:left="360"/>
      </w:pPr>
    </w:p>
    <w:p w14:paraId="005DB23F" w14:textId="3C104BAB" w:rsidR="00E22541" w:rsidRDefault="002615FB" w:rsidP="00EE0900">
      <w:pPr>
        <w:pStyle w:val="punktory"/>
      </w:pPr>
      <w:r w:rsidRPr="002615FB">
        <w:rPr>
          <w:b/>
        </w:rPr>
        <w:t>Z</w:t>
      </w:r>
      <w:r w:rsidR="000D6B08" w:rsidRPr="002615FB">
        <w:rPr>
          <w:b/>
        </w:rPr>
        <w:t>akazowi zbycia</w:t>
      </w:r>
      <w:r w:rsidR="000D6B08" w:rsidRPr="00AD2FD3">
        <w:t xml:space="preserve"> podlegają </w:t>
      </w:r>
      <w:r w:rsidR="00FD2D84" w:rsidRPr="00AD2FD3">
        <w:t>akcje</w:t>
      </w:r>
      <w:r w:rsidR="00A44570">
        <w:t>/udziały</w:t>
      </w:r>
      <w:r w:rsidR="00FD2D84" w:rsidRPr="00AD2FD3">
        <w:t xml:space="preserve"> należące do Skarbu Państwa </w:t>
      </w:r>
      <w:r w:rsidR="00FD2D84" w:rsidRPr="002615FB">
        <w:rPr>
          <w:b/>
        </w:rPr>
        <w:t xml:space="preserve">w </w:t>
      </w:r>
      <w:r w:rsidR="000D6B08" w:rsidRPr="002615FB">
        <w:rPr>
          <w:b/>
        </w:rPr>
        <w:t>spółk</w:t>
      </w:r>
      <w:r w:rsidR="00FD2D84" w:rsidRPr="002615FB">
        <w:rPr>
          <w:b/>
        </w:rPr>
        <w:t>ach</w:t>
      </w:r>
      <w:r w:rsidR="000D6B08" w:rsidRPr="002615FB">
        <w:rPr>
          <w:b/>
        </w:rPr>
        <w:t xml:space="preserve"> </w:t>
      </w:r>
      <w:r w:rsidR="006B0B45">
        <w:rPr>
          <w:b/>
        </w:rPr>
        <w:br/>
      </w:r>
      <w:r w:rsidR="000D6B08" w:rsidRPr="002615FB">
        <w:rPr>
          <w:b/>
        </w:rPr>
        <w:t>wymienion</w:t>
      </w:r>
      <w:r w:rsidR="00FD2D84" w:rsidRPr="002615FB">
        <w:rPr>
          <w:b/>
        </w:rPr>
        <w:t xml:space="preserve">ych w </w:t>
      </w:r>
      <w:r w:rsidR="000A7363">
        <w:rPr>
          <w:b/>
        </w:rPr>
        <w:t xml:space="preserve">art. 13 </w:t>
      </w:r>
      <w:r w:rsidR="00FD2D84" w:rsidRPr="002615FB">
        <w:rPr>
          <w:b/>
        </w:rPr>
        <w:t>U</w:t>
      </w:r>
      <w:r w:rsidR="000D6B08" w:rsidRPr="002615FB">
        <w:rPr>
          <w:b/>
        </w:rPr>
        <w:t>staw</w:t>
      </w:r>
      <w:r w:rsidR="000A7363">
        <w:rPr>
          <w:b/>
        </w:rPr>
        <w:t>y</w:t>
      </w:r>
      <w:r w:rsidR="000D6B08" w:rsidRPr="002615FB">
        <w:rPr>
          <w:b/>
        </w:rPr>
        <w:t xml:space="preserve"> </w:t>
      </w:r>
      <w:r w:rsidR="00FD2D84" w:rsidRPr="002615FB">
        <w:rPr>
          <w:b/>
        </w:rPr>
        <w:t>o zasadach zarządzania mieniem państwowym</w:t>
      </w:r>
      <w:r w:rsidR="00FF1A8A">
        <w:t xml:space="preserve">, </w:t>
      </w:r>
      <w:r w:rsidR="006B0B45">
        <w:br/>
      </w:r>
      <w:r w:rsidR="00FF1A8A">
        <w:t xml:space="preserve">w tym </w:t>
      </w:r>
      <w:r w:rsidR="00C202BC">
        <w:t xml:space="preserve">w </w:t>
      </w:r>
      <w:r w:rsidR="00FF1A8A">
        <w:t xml:space="preserve">spółkach o istotnym znaczeniu dla gospodarki państwa </w:t>
      </w:r>
      <w:r w:rsidR="00EF21A9" w:rsidRPr="00AD2FD3">
        <w:t xml:space="preserve">oraz </w:t>
      </w:r>
      <w:r w:rsidR="00D56EA4" w:rsidRPr="002615FB">
        <w:rPr>
          <w:b/>
        </w:rPr>
        <w:t>akcje/udziały należące do Skarbu</w:t>
      </w:r>
      <w:r w:rsidR="00D56EA4" w:rsidRPr="00AD2FD3">
        <w:t xml:space="preserve"> </w:t>
      </w:r>
      <w:r w:rsidR="00D56EA4" w:rsidRPr="002615FB">
        <w:rPr>
          <w:b/>
        </w:rPr>
        <w:t>Państ</w:t>
      </w:r>
      <w:r w:rsidR="006453A0" w:rsidRPr="002615FB">
        <w:rPr>
          <w:b/>
        </w:rPr>
        <w:t>wa</w:t>
      </w:r>
      <w:r w:rsidR="006453A0" w:rsidRPr="00AD2FD3">
        <w:t xml:space="preserve">, </w:t>
      </w:r>
      <w:r w:rsidR="00EF21A9" w:rsidRPr="002615FB">
        <w:rPr>
          <w:b/>
        </w:rPr>
        <w:t>na które ograniczenia w tym zakresie nakładają przepisy szczególne</w:t>
      </w:r>
      <w:r w:rsidR="00EF21A9" w:rsidRPr="00AD2FD3">
        <w:t xml:space="preserve"> (np. obowiązek działania w formie jednoosobowej spółki Skarbu Państwa).</w:t>
      </w:r>
    </w:p>
    <w:p w14:paraId="6BCA67B8" w14:textId="77777777" w:rsidR="006B0B45" w:rsidRDefault="006B0B45" w:rsidP="00D56EA4">
      <w:pPr>
        <w:pStyle w:val="punktory"/>
        <w:numPr>
          <w:ilvl w:val="0"/>
          <w:numId w:val="0"/>
        </w:numPr>
        <w:rPr>
          <w:b/>
        </w:rPr>
      </w:pPr>
    </w:p>
    <w:p w14:paraId="7F41F9EA" w14:textId="77777777" w:rsidR="00867265" w:rsidRPr="00867265" w:rsidRDefault="002615FB" w:rsidP="00D56EA4">
      <w:pPr>
        <w:pStyle w:val="punktory"/>
        <w:numPr>
          <w:ilvl w:val="0"/>
          <w:numId w:val="0"/>
        </w:numPr>
      </w:pPr>
      <w:r w:rsidRPr="00D372CD">
        <w:rPr>
          <w:b/>
        </w:rPr>
        <w:t>Powyższe zasady stosuje się odpowiednio do zbywania akcji/udziałów należących</w:t>
      </w:r>
      <w:r w:rsidRPr="00C56085">
        <w:t xml:space="preserve"> </w:t>
      </w:r>
      <w:r w:rsidRPr="00D372CD">
        <w:rPr>
          <w:b/>
        </w:rPr>
        <w:t>do państwowej osoby prawnej.</w:t>
      </w:r>
      <w:r w:rsidRPr="00C56085">
        <w:t xml:space="preserve"> </w:t>
      </w:r>
      <w:r w:rsidRPr="002615FB">
        <w:t>Natomiast p</w:t>
      </w:r>
      <w:r w:rsidR="00E6785F" w:rsidRPr="00D368B6">
        <w:t xml:space="preserve">rzyjęty model indywidualnego rozpatrywania przez Radę Ministrów zasadności zbycia akcji/udziałów </w:t>
      </w:r>
      <w:r w:rsidR="006C380A">
        <w:t xml:space="preserve">należących do </w:t>
      </w:r>
      <w:r w:rsidR="00E6785F" w:rsidRPr="00D368B6">
        <w:t>Skarbu Państwa</w:t>
      </w:r>
      <w:r w:rsidR="006C380A">
        <w:t xml:space="preserve"> lub pań</w:t>
      </w:r>
      <w:r w:rsidR="006C380A">
        <w:lastRenderedPageBreak/>
        <w:t xml:space="preserve">stwowej osoby prawnej </w:t>
      </w:r>
      <w:r w:rsidR="00E6785F" w:rsidRPr="00D368B6">
        <w:t>wyklucza możliwość odgórnego kształtowania założeń na wzór w</w:t>
      </w:r>
      <w:r w:rsidR="006C380A">
        <w:t xml:space="preserve">cześniej obowiązujących planów </w:t>
      </w:r>
      <w:r w:rsidR="00E6785F" w:rsidRPr="00D368B6">
        <w:t>bądź kierunków prywatyzacji wskazujących konkretne spółki, które przeznaczone były do sprzedaży</w:t>
      </w:r>
      <w:r w:rsidR="00AF2EA0" w:rsidRPr="00AF2EA0">
        <w:t xml:space="preserve"> </w:t>
      </w:r>
      <w:r w:rsidR="00AF2EA0" w:rsidRPr="00D368B6">
        <w:t>i tryby</w:t>
      </w:r>
      <w:r w:rsidR="00AF2EA0">
        <w:t xml:space="preserve"> ich zbycia</w:t>
      </w:r>
      <w:r w:rsidR="00E6785F" w:rsidRPr="00D368B6">
        <w:t>.</w:t>
      </w:r>
    </w:p>
    <w:p w14:paraId="211D6F5C" w14:textId="77777777" w:rsidR="00FD2F5A" w:rsidRDefault="00FD2F5A" w:rsidP="00867265">
      <w:pPr>
        <w:pStyle w:val="Nagwek1"/>
        <w:ind w:left="709" w:hanging="709"/>
      </w:pPr>
      <w:r>
        <w:t>Podsumowanie</w:t>
      </w:r>
    </w:p>
    <w:p w14:paraId="0145DEE3" w14:textId="6981903C" w:rsidR="00A95487" w:rsidRDefault="00FF1A8A" w:rsidP="006F0B72">
      <w:r>
        <w:t xml:space="preserve">Nowe zasady zarządzania mieniem państwowym kładą duży nacisk </w:t>
      </w:r>
      <w:r>
        <w:rPr>
          <w:rFonts w:cstheme="minorHAnsi"/>
        </w:rPr>
        <w:t xml:space="preserve">na efektywne gospodarowanie </w:t>
      </w:r>
      <w:r>
        <w:t xml:space="preserve">majątkiem Skarbu Państwa </w:t>
      </w:r>
      <w:r>
        <w:rPr>
          <w:rFonts w:cstheme="minorHAnsi"/>
        </w:rPr>
        <w:t>w celu budowania jego trwałej wartości</w:t>
      </w:r>
      <w:r w:rsidR="00F314E6">
        <w:rPr>
          <w:rFonts w:cstheme="minorHAnsi"/>
        </w:rPr>
        <w:t>. M</w:t>
      </w:r>
      <w:r w:rsidR="008A08E1">
        <w:rPr>
          <w:rFonts w:cstheme="minorHAnsi"/>
        </w:rPr>
        <w:t>odel z</w:t>
      </w:r>
      <w:r w:rsidR="00AC4AA5">
        <w:rPr>
          <w:rFonts w:cstheme="minorHAnsi"/>
        </w:rPr>
        <w:t>bywania</w:t>
      </w:r>
      <w:r w:rsidR="00A95487">
        <w:rPr>
          <w:rFonts w:cstheme="minorHAnsi"/>
        </w:rPr>
        <w:t xml:space="preserve"> akcji/udziałów należących do Skarbu Państwa </w:t>
      </w:r>
      <w:r w:rsidR="008A08E1">
        <w:rPr>
          <w:rFonts w:cstheme="minorHAnsi"/>
        </w:rPr>
        <w:t xml:space="preserve">oparty </w:t>
      </w:r>
      <w:r w:rsidR="00A40C30">
        <w:rPr>
          <w:rFonts w:cstheme="minorHAnsi"/>
        </w:rPr>
        <w:t>został</w:t>
      </w:r>
      <w:r w:rsidR="008A08E1">
        <w:rPr>
          <w:rFonts w:cstheme="minorHAnsi"/>
        </w:rPr>
        <w:t xml:space="preserve"> na założeniu, iż zbycie majątku państwowego może nastąpić </w:t>
      </w:r>
      <w:r w:rsidR="008A08E1" w:rsidRPr="000C38D0">
        <w:rPr>
          <w:rFonts w:cstheme="minorHAnsi"/>
        </w:rPr>
        <w:t>jedynie</w:t>
      </w:r>
      <w:r w:rsidR="008A08E1" w:rsidRPr="00D372CD">
        <w:rPr>
          <w:rFonts w:cstheme="minorHAnsi"/>
          <w:color w:val="FF0000"/>
        </w:rPr>
        <w:t xml:space="preserve"> </w:t>
      </w:r>
      <w:r w:rsidR="008A08E1">
        <w:rPr>
          <w:rFonts w:cstheme="minorHAnsi"/>
        </w:rPr>
        <w:t xml:space="preserve">w uzasadnionych </w:t>
      </w:r>
      <w:r w:rsidR="00FA032C">
        <w:rPr>
          <w:rFonts w:cstheme="minorHAnsi"/>
        </w:rPr>
        <w:t xml:space="preserve">sytuacjach i </w:t>
      </w:r>
      <w:r w:rsidR="00A40C30">
        <w:rPr>
          <w:rFonts w:cstheme="minorHAnsi"/>
        </w:rPr>
        <w:t xml:space="preserve">przy </w:t>
      </w:r>
      <w:r w:rsidR="00824E35">
        <w:rPr>
          <w:rFonts w:cstheme="minorHAnsi"/>
        </w:rPr>
        <w:t>zabezpieczeniu</w:t>
      </w:r>
      <w:r w:rsidR="00A40C30">
        <w:rPr>
          <w:rFonts w:cstheme="minorHAnsi"/>
        </w:rPr>
        <w:t xml:space="preserve"> interesów Skarbu Państwa.</w:t>
      </w:r>
      <w:r w:rsidR="008A08E1">
        <w:rPr>
          <w:rFonts w:cstheme="minorHAnsi"/>
        </w:rPr>
        <w:t xml:space="preserve"> </w:t>
      </w:r>
    </w:p>
    <w:p w14:paraId="7084625C" w14:textId="334F3A83" w:rsidR="006F0B72" w:rsidRPr="00317233" w:rsidRDefault="006F0B72" w:rsidP="006F0B72">
      <w:r>
        <w:t xml:space="preserve">Mając na uwadze, iż wśród kilkuset spółek z udziałem Skarbu Państwa </w:t>
      </w:r>
      <w:r w:rsidR="00A40C30">
        <w:t xml:space="preserve">lub państwowej osoby prawnej </w:t>
      </w:r>
      <w:r>
        <w:t xml:space="preserve">znajdują się zarówno te o </w:t>
      </w:r>
      <w:r w:rsidR="00A40C30">
        <w:t>istotnym</w:t>
      </w:r>
      <w:r>
        <w:t xml:space="preserve"> znaczeniu dla realizacji założonyc</w:t>
      </w:r>
      <w:r w:rsidR="00A40C30">
        <w:t>h przez Rząd celów gospodarczo-</w:t>
      </w:r>
      <w:r>
        <w:t xml:space="preserve">społecznych, których akcje nie mogą być zbyte, jak również spółki </w:t>
      </w:r>
      <w:r w:rsidR="00A40C30">
        <w:br/>
      </w:r>
      <w:r>
        <w:t xml:space="preserve">z mniejszościowym, bądź wręcz śladowym udziałem </w:t>
      </w:r>
      <w:r w:rsidR="00A40C30">
        <w:t>Skarbu Państwa,</w:t>
      </w:r>
      <w:r>
        <w:t xml:space="preserve"> w których koszty związane z zaangażowaniem w nadzór właścicielski mogą być niewspółmierne w</w:t>
      </w:r>
      <w:r w:rsidR="00A40C30">
        <w:t xml:space="preserve"> stosunku </w:t>
      </w:r>
      <w:r w:rsidR="00C86D97">
        <w:br/>
      </w:r>
      <w:r w:rsidR="00A40C30">
        <w:t xml:space="preserve">do osiąganych korzyści, decyzje o zbyciu akcji/udziałów </w:t>
      </w:r>
      <w:r w:rsidR="00FA032C">
        <w:t>powinny</w:t>
      </w:r>
      <w:r w:rsidR="00A40C30">
        <w:t xml:space="preserve"> być podejmowane </w:t>
      </w:r>
      <w:r w:rsidR="00FA032C">
        <w:t xml:space="preserve">każdorazowo </w:t>
      </w:r>
      <w:r w:rsidR="00A40C30">
        <w:t xml:space="preserve">po </w:t>
      </w:r>
      <w:r w:rsidR="00A40C30" w:rsidRPr="00317233">
        <w:t>analizie zasadności realizacji tego procesu.</w:t>
      </w:r>
    </w:p>
    <w:p w14:paraId="21BE5099" w14:textId="4D6BCFE1" w:rsidR="008A08E1" w:rsidRDefault="00317233" w:rsidP="008A08E1">
      <w:r>
        <w:t>P</w:t>
      </w:r>
      <w:r w:rsidR="006F0B72" w:rsidRPr="00317233">
        <w:t>odmioty uprawnione do wykonywania praw akcji</w:t>
      </w:r>
      <w:r w:rsidR="00FA032C" w:rsidRPr="00317233">
        <w:t>/</w:t>
      </w:r>
      <w:r w:rsidR="006F0B72" w:rsidRPr="00317233">
        <w:t xml:space="preserve">udziałów należących do Skarbu Państwa </w:t>
      </w:r>
      <w:r>
        <w:t xml:space="preserve">powinny </w:t>
      </w:r>
      <w:r w:rsidR="00FA032C" w:rsidRPr="00317233">
        <w:t>dokona</w:t>
      </w:r>
      <w:r>
        <w:t>ć</w:t>
      </w:r>
      <w:r w:rsidR="00FA032C" w:rsidRPr="00317233">
        <w:t xml:space="preserve"> </w:t>
      </w:r>
      <w:r w:rsidR="00D372CD" w:rsidRPr="00317233">
        <w:t xml:space="preserve">przeglądu </w:t>
      </w:r>
      <w:r w:rsidR="006F0B72" w:rsidRPr="00317233">
        <w:t xml:space="preserve">nadzorowanych </w:t>
      </w:r>
      <w:r w:rsidR="003565E4" w:rsidRPr="00317233">
        <w:t>spółek</w:t>
      </w:r>
      <w:r w:rsidR="006F0B72" w:rsidRPr="00317233">
        <w:t xml:space="preserve"> pod kątem zasadności utrzymywania </w:t>
      </w:r>
      <w:r>
        <w:br/>
      </w:r>
      <w:r w:rsidR="00824E35" w:rsidRPr="00317233">
        <w:t xml:space="preserve">w nich </w:t>
      </w:r>
      <w:r w:rsidR="006F0B72" w:rsidRPr="00317233">
        <w:t xml:space="preserve">stanu posiadania </w:t>
      </w:r>
      <w:r w:rsidR="00FA032C" w:rsidRPr="00317233">
        <w:t>udziału</w:t>
      </w:r>
      <w:r w:rsidR="00F82B94" w:rsidRPr="00317233">
        <w:t xml:space="preserve"> Skarbu Państwa</w:t>
      </w:r>
      <w:r w:rsidR="006F0B72" w:rsidRPr="00317233">
        <w:t>.</w:t>
      </w:r>
      <w:r w:rsidR="00824E35" w:rsidRPr="00317233">
        <w:t xml:space="preserve"> </w:t>
      </w:r>
      <w:r w:rsidR="00D372CD" w:rsidRPr="00317233">
        <w:t>Decyzja o zbyci</w:t>
      </w:r>
      <w:r>
        <w:t>u</w:t>
      </w:r>
      <w:r w:rsidR="00D372CD">
        <w:t xml:space="preserve"> akcji/udziałów konkretnego podmiotu każdorazowo powinna być poprzedzona analizą, która</w:t>
      </w:r>
      <w:r w:rsidR="00F314E6">
        <w:t xml:space="preserve"> znajduje</w:t>
      </w:r>
      <w:r w:rsidR="00D372CD">
        <w:t xml:space="preserve"> swoje odzwierciedlenie w dokumentach załączonych do wniosku skierowanego do Rady Ministrów. Szczególna rola, </w:t>
      </w:r>
      <w:r w:rsidR="006F0B72">
        <w:t>oprócz rzetelnej wyceny</w:t>
      </w:r>
      <w:r w:rsidR="00D372CD">
        <w:t xml:space="preserve">, przypada </w:t>
      </w:r>
      <w:r w:rsidR="00365623">
        <w:t>uzasadnieniu</w:t>
      </w:r>
      <w:r w:rsidR="006F0B72">
        <w:t>, odnoszące</w:t>
      </w:r>
      <w:r w:rsidR="00365623">
        <w:t>mu</w:t>
      </w:r>
      <w:r w:rsidR="006F0B72">
        <w:t xml:space="preserve"> się do skutków ekon</w:t>
      </w:r>
      <w:r w:rsidR="00D21EDB">
        <w:t xml:space="preserve">omicznych i społecznych zbycia oraz jego </w:t>
      </w:r>
      <w:r w:rsidR="006F0B72">
        <w:t>wpływu na o</w:t>
      </w:r>
      <w:r w:rsidR="00D21EDB">
        <w:t xml:space="preserve">chronę interesów Skarbu Państwa, </w:t>
      </w:r>
      <w:r w:rsidR="006F0B72">
        <w:t xml:space="preserve">pracowników i innych osób związanych ze spółką, a także sposobu ustalenia ceny sprzedaży oraz </w:t>
      </w:r>
      <w:r w:rsidR="00D21EDB">
        <w:t>trybu</w:t>
      </w:r>
      <w:r w:rsidR="006F0B72">
        <w:t xml:space="preserve"> zapłaty.</w:t>
      </w:r>
      <w:r w:rsidR="008A08E1" w:rsidRPr="008A08E1">
        <w:t xml:space="preserve"> </w:t>
      </w:r>
    </w:p>
    <w:p w14:paraId="1D26AF43" w14:textId="2E51C823" w:rsidR="006F0B72" w:rsidRDefault="00F314E6" w:rsidP="006F0B72">
      <w:r>
        <w:t>Z</w:t>
      </w:r>
      <w:r w:rsidR="006F0B72">
        <w:t xml:space="preserve">godnie z obowiązującymi uregulowaniami prawnymi ostateczna decyzja w kwestii zbycia </w:t>
      </w:r>
      <w:r>
        <w:t xml:space="preserve">akcji/udziałów </w:t>
      </w:r>
      <w:r w:rsidR="006F0B72">
        <w:t xml:space="preserve">konkretnego podmiotu będzie podejmowana </w:t>
      </w:r>
      <w:r w:rsidR="00AF2EA0">
        <w:t>przez</w:t>
      </w:r>
      <w:r w:rsidR="006F0B72">
        <w:t xml:space="preserve"> Rad</w:t>
      </w:r>
      <w:r w:rsidR="00AF2EA0">
        <w:t>ę</w:t>
      </w:r>
      <w:r w:rsidR="006F0B72">
        <w:t xml:space="preserve"> Ministrów.</w:t>
      </w:r>
    </w:p>
    <w:p w14:paraId="701E6139" w14:textId="77777777" w:rsidR="00512886" w:rsidRDefault="00512886" w:rsidP="006F0B72"/>
    <w:sectPr w:rsidR="00512886" w:rsidSect="00DE6C43">
      <w:footerReference w:type="first" r:id="rId12"/>
      <w:pgSz w:w="11906" w:h="16838"/>
      <w:pgMar w:top="1531" w:right="851" w:bottom="153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471B4" w14:textId="77777777" w:rsidR="001117F5" w:rsidRDefault="001117F5" w:rsidP="00C6117F">
      <w:r>
        <w:separator/>
      </w:r>
    </w:p>
  </w:endnote>
  <w:endnote w:type="continuationSeparator" w:id="0">
    <w:p w14:paraId="3FFDD63E" w14:textId="77777777" w:rsidR="001117F5" w:rsidRDefault="001117F5" w:rsidP="00C6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448557"/>
      <w:docPartObj>
        <w:docPartGallery w:val="Page Numbers (Bottom of Page)"/>
        <w:docPartUnique/>
      </w:docPartObj>
    </w:sdtPr>
    <w:sdtEndPr/>
    <w:sdtContent>
      <w:p w14:paraId="5030BF78" w14:textId="77777777" w:rsidR="001117F5" w:rsidRDefault="00AB2436" w:rsidP="00C6117F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BD7A77" wp14:editId="69101DE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20" name="Grup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1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A588F6C" w14:textId="77777777" w:rsidR="00AB2436" w:rsidRPr="007231CA" w:rsidRDefault="00AB2436">
                                <w:pPr>
                                  <w:pStyle w:val="Stopka"/>
                                  <w:jc w:val="center"/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</w:pP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fldChar w:fldCharType="begin"/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instrText>PAGE    \* MERGEFORMAT</w:instrText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fldChar w:fldCharType="separate"/>
                                </w:r>
                                <w:r w:rsidR="00B81AE3" w:rsidRPr="00B81AE3">
                                  <w:rPr>
                                    <w:b/>
                                    <w:noProof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  <w:t>4</w:t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BD7A77" id="Grupa 20" o:spid="_x0000_s1027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2ancIAAADbAAAADwAAAGRycy9kb3ducmV2LnhtbESPQWvCQBSE74L/YXmCN90oUiR1DSLU&#10;5tKDsfT8yL5uYrJv0+w2pv/eLQgeh5n5htllo23FQL2vHStYLRMQxKXTNRsFn5e3xRaED8gaW8ek&#10;4I88ZPvpZIepdjc+01AEIyKEfYoKqhC6VEpfVmTRL11HHL1v11sMUfZG6h5vEW5buU6SF2mx5rhQ&#10;YUfHisqm+LUKrieyP1fDOX6869PQGme+mo1S89l4eAURaAzP8KOdawXrFfx/iT9A7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2ancIAAADbAAAADwAAAAAAAAAAAAAA&#10;AAChAgAAZHJzL2Rvd25yZXYueG1sUEsFBgAAAAAEAAQA+QAAAJADAAAAAA==&#10;" strokecolor="#7f7f7f [1612]" strokeweight="1pt"/>
                  <v:rect id="Rectangle 78" o:spid="_x0000_s1029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dssQA&#10;AADbAAAADwAAAGRycy9kb3ducmV2LnhtbESPQWvCQBSE7wX/w/IEb3VjBCmpayglQiPtoerB42v2&#10;mQSzb8PuNon/vlso9DjMzDfMNp9MJwZyvrWsYLVMQBBXVrdcKzif9o9PIHxA1thZJgV38pDvZg9b&#10;zLQd+ZOGY6hFhLDPUEETQp9J6auGDPql7Ymjd7XOYIjS1VI7HCPcdDJNko002HJcaLCn14aq2/Hb&#10;KKg2Tr+7g/5Iv066GN3lXJZcKLWYTy/PIAJN4T/8137TCtI1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3bLEAAAA2wAAAA8AAAAAAAAAAAAAAAAAmAIAAGRycy9k&#10;b3ducmV2LnhtbFBLBQYAAAAABAAEAPUAAACJAwAAAAA=&#10;" filled="f" strokecolor="#7f7f7f [1612]" strokeweight="1pt">
                    <v:textbox>
                      <w:txbxContent>
                        <w:p w14:paraId="2A588F6C" w14:textId="77777777" w:rsidR="00AB2436" w:rsidRPr="007231CA" w:rsidRDefault="00AB2436">
                          <w:pPr>
                            <w:pStyle w:val="Stopka"/>
                            <w:jc w:val="center"/>
                            <w:rPr>
                              <w:b/>
                              <w:color w:val="808080" w:themeColor="background1" w:themeShade="80"/>
                              <w:sz w:val="24"/>
                              <w:szCs w:val="16"/>
                            </w:rPr>
                          </w:pP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fldChar w:fldCharType="begin"/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instrText>PAGE    \* MERGEFORMAT</w:instrText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fldChar w:fldCharType="separate"/>
                          </w:r>
                          <w:r w:rsidR="00B81AE3" w:rsidRPr="00B81AE3">
                            <w:rPr>
                              <w:b/>
                              <w:noProof/>
                              <w:color w:val="808080" w:themeColor="background1" w:themeShade="80"/>
                              <w:sz w:val="24"/>
                              <w:szCs w:val="16"/>
                            </w:rPr>
                            <w:t>4</w:t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24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60A3F" w14:textId="4850971E" w:rsidR="001117F5" w:rsidRDefault="0010513A" w:rsidP="00C6117F">
    <w:pPr>
      <w:pStyle w:val="Stopka"/>
    </w:pPr>
    <w:r>
      <w:t xml:space="preserve">Warszawa, </w:t>
    </w:r>
    <w:r w:rsidR="005368D2">
      <w:t>wrzesień</w:t>
    </w:r>
    <w:r w:rsidR="001117F5">
      <w:t xml:space="preserve"> 2017 r.</w:t>
    </w:r>
  </w:p>
  <w:p w14:paraId="4E63C490" w14:textId="77777777" w:rsidR="001117F5" w:rsidRDefault="001117F5" w:rsidP="00C611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715E8" w14:textId="77777777" w:rsidR="001117F5" w:rsidRDefault="001117F5" w:rsidP="00C6117F">
    <w:pPr>
      <w:pStyle w:val="Stopka"/>
    </w:pPr>
    <w:r>
      <w:t>Warszawa, 26 maja 2017 r.</w:t>
    </w:r>
  </w:p>
  <w:p w14:paraId="5EC025B8" w14:textId="77777777" w:rsidR="001117F5" w:rsidRDefault="001117F5" w:rsidP="00C611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64A1F" w14:textId="77777777" w:rsidR="001117F5" w:rsidRDefault="001117F5" w:rsidP="00C6117F">
      <w:r>
        <w:separator/>
      </w:r>
    </w:p>
  </w:footnote>
  <w:footnote w:type="continuationSeparator" w:id="0">
    <w:p w14:paraId="6C9274D7" w14:textId="77777777" w:rsidR="001117F5" w:rsidRDefault="001117F5" w:rsidP="00C6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3DDD" w14:textId="77777777" w:rsidR="001117F5" w:rsidRPr="000F6A41" w:rsidRDefault="001117F5" w:rsidP="00CC47A3">
    <w:pPr>
      <w:pStyle w:val="Nagwek"/>
      <w:jc w:val="right"/>
      <w:rPr>
        <w:color w:val="808080" w:themeColor="background1" w:themeShade="80"/>
        <w:sz w:val="20"/>
      </w:rPr>
    </w:pPr>
  </w:p>
  <w:p w14:paraId="416DE9FA" w14:textId="77777777" w:rsidR="001117F5" w:rsidRDefault="001117F5" w:rsidP="00C611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68A"/>
    <w:multiLevelType w:val="hybridMultilevel"/>
    <w:tmpl w:val="4D820D64"/>
    <w:lvl w:ilvl="0" w:tplc="E49CD89C">
      <w:start w:val="1"/>
      <w:numFmt w:val="bullet"/>
      <w:pStyle w:val="punktory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F97CA3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F97CA3A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75D67"/>
    <w:multiLevelType w:val="hybridMultilevel"/>
    <w:tmpl w:val="E1481812"/>
    <w:lvl w:ilvl="0" w:tplc="BEDCB77E">
      <w:start w:val="1"/>
      <w:numFmt w:val="decimal"/>
      <w:pStyle w:val="Wypunktowaniepoziom1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pStyle w:val="Wypunktowaniepoziom3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993863"/>
    <w:multiLevelType w:val="hybridMultilevel"/>
    <w:tmpl w:val="9484221E"/>
    <w:lvl w:ilvl="0" w:tplc="52340580">
      <w:start w:val="1"/>
      <w:numFmt w:val="decimal"/>
      <w:pStyle w:val="Wypunktowaniepoziom2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1623E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F2CEC"/>
    <w:multiLevelType w:val="hybridMultilevel"/>
    <w:tmpl w:val="846CB83E"/>
    <w:lvl w:ilvl="0" w:tplc="C4604D4E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D09E2"/>
    <w:multiLevelType w:val="hybridMultilevel"/>
    <w:tmpl w:val="C5200928"/>
    <w:lvl w:ilvl="0" w:tplc="DBD880F2">
      <w:start w:val="1"/>
      <w:numFmt w:val="decimal"/>
      <w:pStyle w:val="Wypunktowaniepoziom0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595882"/>
    <w:multiLevelType w:val="hybridMultilevel"/>
    <w:tmpl w:val="7EA85DEC"/>
    <w:lvl w:ilvl="0" w:tplc="AF7257A8">
      <w:start w:val="1"/>
      <w:numFmt w:val="bullet"/>
      <w:pStyle w:val="Punktorywciete"/>
      <w:lvlText w:val=""/>
      <w:lvlJc w:val="left"/>
      <w:pPr>
        <w:ind w:left="360" w:hanging="360"/>
      </w:pPr>
      <w:rPr>
        <w:rFonts w:ascii="Symbol" w:hAnsi="Symbol" w:hint="default"/>
        <w:b/>
        <w:i w:val="0"/>
        <w:color w:val="FF0000"/>
        <w:sz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97CA3A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0"/>
  </w:num>
  <w:num w:numId="7">
    <w:abstractNumId w:val="4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E8"/>
    <w:rsid w:val="00003CB5"/>
    <w:rsid w:val="00004E06"/>
    <w:rsid w:val="000207DC"/>
    <w:rsid w:val="0002125C"/>
    <w:rsid w:val="00072EBC"/>
    <w:rsid w:val="00074378"/>
    <w:rsid w:val="00083C0A"/>
    <w:rsid w:val="0008548D"/>
    <w:rsid w:val="00086C96"/>
    <w:rsid w:val="000A7363"/>
    <w:rsid w:val="000A7B23"/>
    <w:rsid w:val="000C38D0"/>
    <w:rsid w:val="000D3E6F"/>
    <w:rsid w:val="000D6B08"/>
    <w:rsid w:val="000E0AC5"/>
    <w:rsid w:val="000E3277"/>
    <w:rsid w:val="000F6A41"/>
    <w:rsid w:val="0010513A"/>
    <w:rsid w:val="001117F5"/>
    <w:rsid w:val="00133A74"/>
    <w:rsid w:val="001525AA"/>
    <w:rsid w:val="00161C38"/>
    <w:rsid w:val="00174C72"/>
    <w:rsid w:val="0019324D"/>
    <w:rsid w:val="001944B7"/>
    <w:rsid w:val="001A57FC"/>
    <w:rsid w:val="001D2ABA"/>
    <w:rsid w:val="001E1302"/>
    <w:rsid w:val="001F2B5B"/>
    <w:rsid w:val="001F7AE9"/>
    <w:rsid w:val="002033C0"/>
    <w:rsid w:val="00221963"/>
    <w:rsid w:val="002227CA"/>
    <w:rsid w:val="00237EAD"/>
    <w:rsid w:val="002540A6"/>
    <w:rsid w:val="002615FB"/>
    <w:rsid w:val="0027069E"/>
    <w:rsid w:val="0029011A"/>
    <w:rsid w:val="002B2E9A"/>
    <w:rsid w:val="002C24C6"/>
    <w:rsid w:val="002D40AC"/>
    <w:rsid w:val="00317233"/>
    <w:rsid w:val="0032547B"/>
    <w:rsid w:val="00327BE2"/>
    <w:rsid w:val="00345B81"/>
    <w:rsid w:val="003565E4"/>
    <w:rsid w:val="00365623"/>
    <w:rsid w:val="00365890"/>
    <w:rsid w:val="00390740"/>
    <w:rsid w:val="00393B67"/>
    <w:rsid w:val="003948F8"/>
    <w:rsid w:val="003A79F6"/>
    <w:rsid w:val="003C124D"/>
    <w:rsid w:val="003E280F"/>
    <w:rsid w:val="00401A80"/>
    <w:rsid w:val="00414CA1"/>
    <w:rsid w:val="004252CE"/>
    <w:rsid w:val="004435AC"/>
    <w:rsid w:val="00443AE0"/>
    <w:rsid w:val="0046094B"/>
    <w:rsid w:val="00462990"/>
    <w:rsid w:val="0047086E"/>
    <w:rsid w:val="0047101A"/>
    <w:rsid w:val="00473216"/>
    <w:rsid w:val="0047433D"/>
    <w:rsid w:val="00490770"/>
    <w:rsid w:val="004B4CA7"/>
    <w:rsid w:val="004C4061"/>
    <w:rsid w:val="004C4390"/>
    <w:rsid w:val="004C6E3E"/>
    <w:rsid w:val="004D6F07"/>
    <w:rsid w:val="004F0630"/>
    <w:rsid w:val="005017CE"/>
    <w:rsid w:val="00512886"/>
    <w:rsid w:val="00523DB3"/>
    <w:rsid w:val="005368D2"/>
    <w:rsid w:val="00537583"/>
    <w:rsid w:val="005375EC"/>
    <w:rsid w:val="005651EC"/>
    <w:rsid w:val="0057106F"/>
    <w:rsid w:val="0057629F"/>
    <w:rsid w:val="00577B4D"/>
    <w:rsid w:val="005809EC"/>
    <w:rsid w:val="005824E3"/>
    <w:rsid w:val="005A42F5"/>
    <w:rsid w:val="005B6C08"/>
    <w:rsid w:val="005F78DA"/>
    <w:rsid w:val="00620E96"/>
    <w:rsid w:val="00621062"/>
    <w:rsid w:val="00625CF3"/>
    <w:rsid w:val="006453A0"/>
    <w:rsid w:val="00682693"/>
    <w:rsid w:val="006B0B45"/>
    <w:rsid w:val="006B26DD"/>
    <w:rsid w:val="006C1E4F"/>
    <w:rsid w:val="006C380A"/>
    <w:rsid w:val="006E0387"/>
    <w:rsid w:val="006E2935"/>
    <w:rsid w:val="006F0B72"/>
    <w:rsid w:val="006F3608"/>
    <w:rsid w:val="007231CA"/>
    <w:rsid w:val="00785760"/>
    <w:rsid w:val="00785BB4"/>
    <w:rsid w:val="007874B0"/>
    <w:rsid w:val="00793E0A"/>
    <w:rsid w:val="007A513C"/>
    <w:rsid w:val="007E17B7"/>
    <w:rsid w:val="007F7641"/>
    <w:rsid w:val="00812157"/>
    <w:rsid w:val="00824E35"/>
    <w:rsid w:val="00836EFA"/>
    <w:rsid w:val="0085312C"/>
    <w:rsid w:val="00867265"/>
    <w:rsid w:val="008829F5"/>
    <w:rsid w:val="0089572D"/>
    <w:rsid w:val="008A08E1"/>
    <w:rsid w:val="008E3697"/>
    <w:rsid w:val="008E6CCF"/>
    <w:rsid w:val="00903180"/>
    <w:rsid w:val="009060AF"/>
    <w:rsid w:val="00921B44"/>
    <w:rsid w:val="00926344"/>
    <w:rsid w:val="009506E7"/>
    <w:rsid w:val="009618C1"/>
    <w:rsid w:val="00965427"/>
    <w:rsid w:val="009732F9"/>
    <w:rsid w:val="009B30AA"/>
    <w:rsid w:val="009C7E61"/>
    <w:rsid w:val="009D0CA6"/>
    <w:rsid w:val="009D44B3"/>
    <w:rsid w:val="009D752B"/>
    <w:rsid w:val="009E3E92"/>
    <w:rsid w:val="009F5D07"/>
    <w:rsid w:val="00A0735C"/>
    <w:rsid w:val="00A13B09"/>
    <w:rsid w:val="00A40C30"/>
    <w:rsid w:val="00A44570"/>
    <w:rsid w:val="00A447E3"/>
    <w:rsid w:val="00A509F0"/>
    <w:rsid w:val="00A52CEE"/>
    <w:rsid w:val="00A55B99"/>
    <w:rsid w:val="00A61FE8"/>
    <w:rsid w:val="00A81102"/>
    <w:rsid w:val="00A83F51"/>
    <w:rsid w:val="00A846AD"/>
    <w:rsid w:val="00A95487"/>
    <w:rsid w:val="00AA5D0E"/>
    <w:rsid w:val="00AB2436"/>
    <w:rsid w:val="00AC4AA5"/>
    <w:rsid w:val="00AD2FD3"/>
    <w:rsid w:val="00AF1A5B"/>
    <w:rsid w:val="00AF2EA0"/>
    <w:rsid w:val="00B4196F"/>
    <w:rsid w:val="00B45D3B"/>
    <w:rsid w:val="00B5659B"/>
    <w:rsid w:val="00B6389D"/>
    <w:rsid w:val="00B63CFE"/>
    <w:rsid w:val="00B81AE3"/>
    <w:rsid w:val="00B83421"/>
    <w:rsid w:val="00B85E70"/>
    <w:rsid w:val="00B961E0"/>
    <w:rsid w:val="00BB1F70"/>
    <w:rsid w:val="00BD3EE4"/>
    <w:rsid w:val="00BD7E0F"/>
    <w:rsid w:val="00BE5CBE"/>
    <w:rsid w:val="00C202BC"/>
    <w:rsid w:val="00C27AFB"/>
    <w:rsid w:val="00C36773"/>
    <w:rsid w:val="00C375C1"/>
    <w:rsid w:val="00C44374"/>
    <w:rsid w:val="00C56085"/>
    <w:rsid w:val="00C6117F"/>
    <w:rsid w:val="00C6263C"/>
    <w:rsid w:val="00C65758"/>
    <w:rsid w:val="00C81B5B"/>
    <w:rsid w:val="00C86D97"/>
    <w:rsid w:val="00C93B36"/>
    <w:rsid w:val="00C94097"/>
    <w:rsid w:val="00CC264A"/>
    <w:rsid w:val="00CC47A3"/>
    <w:rsid w:val="00CF45AA"/>
    <w:rsid w:val="00D21EDB"/>
    <w:rsid w:val="00D368B6"/>
    <w:rsid w:val="00D372CD"/>
    <w:rsid w:val="00D468AD"/>
    <w:rsid w:val="00D56EA4"/>
    <w:rsid w:val="00D66A7A"/>
    <w:rsid w:val="00D83698"/>
    <w:rsid w:val="00DB4352"/>
    <w:rsid w:val="00DC2037"/>
    <w:rsid w:val="00DC7A93"/>
    <w:rsid w:val="00DD3919"/>
    <w:rsid w:val="00DE6C43"/>
    <w:rsid w:val="00DE7FC1"/>
    <w:rsid w:val="00E0341E"/>
    <w:rsid w:val="00E12162"/>
    <w:rsid w:val="00E16CD7"/>
    <w:rsid w:val="00E22541"/>
    <w:rsid w:val="00E25477"/>
    <w:rsid w:val="00E26E68"/>
    <w:rsid w:val="00E26FC7"/>
    <w:rsid w:val="00E33320"/>
    <w:rsid w:val="00E4182B"/>
    <w:rsid w:val="00E41C9F"/>
    <w:rsid w:val="00E4378E"/>
    <w:rsid w:val="00E6785F"/>
    <w:rsid w:val="00E75069"/>
    <w:rsid w:val="00E77AB4"/>
    <w:rsid w:val="00EB1558"/>
    <w:rsid w:val="00EC28CB"/>
    <w:rsid w:val="00ED3BA6"/>
    <w:rsid w:val="00EE47EB"/>
    <w:rsid w:val="00EF21A9"/>
    <w:rsid w:val="00EF2B9D"/>
    <w:rsid w:val="00F0352E"/>
    <w:rsid w:val="00F038E7"/>
    <w:rsid w:val="00F10332"/>
    <w:rsid w:val="00F117E5"/>
    <w:rsid w:val="00F314E6"/>
    <w:rsid w:val="00F659A0"/>
    <w:rsid w:val="00F82B94"/>
    <w:rsid w:val="00F83126"/>
    <w:rsid w:val="00F84550"/>
    <w:rsid w:val="00F856F1"/>
    <w:rsid w:val="00F8585D"/>
    <w:rsid w:val="00FA032C"/>
    <w:rsid w:val="00FA0F92"/>
    <w:rsid w:val="00FD2D84"/>
    <w:rsid w:val="00FD2F5A"/>
    <w:rsid w:val="00FE34A0"/>
    <w:rsid w:val="00FF069B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FCC9A7"/>
  <w15:chartTrackingRefBased/>
  <w15:docId w15:val="{8679CAC9-7020-437C-9510-E94AB61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17F"/>
    <w:pPr>
      <w:spacing w:before="12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0387"/>
    <w:pPr>
      <w:keepNext/>
      <w:keepLines/>
      <w:numPr>
        <w:numId w:val="2"/>
      </w:numPr>
      <w:pBdr>
        <w:bottom w:val="single" w:sz="8" w:space="1" w:color="FF0000"/>
      </w:pBdr>
      <w:spacing w:before="480" w:after="360" w:line="400" w:lineRule="exact"/>
      <w:jc w:val="left"/>
      <w:outlineLvl w:val="0"/>
    </w:pPr>
    <w:rPr>
      <w:rFonts w:ascii="Calibri" w:eastAsiaTheme="majorEastAsia" w:hAnsi="Calibri" w:cstheme="majorBidi"/>
      <w:b/>
      <w:color w:val="FF0000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4374"/>
    <w:pPr>
      <w:keepNext/>
      <w:keepLines/>
      <w:spacing w:before="4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FE8"/>
  </w:style>
  <w:style w:type="paragraph" w:styleId="Stopka">
    <w:name w:val="footer"/>
    <w:basedOn w:val="Normalny"/>
    <w:link w:val="StopkaZnak"/>
    <w:uiPriority w:val="99"/>
    <w:unhideWhenUsed/>
    <w:rsid w:val="00A6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FE8"/>
  </w:style>
  <w:style w:type="paragraph" w:styleId="Bezodstpw">
    <w:name w:val="No Spacing"/>
    <w:link w:val="BezodstpwZnak"/>
    <w:uiPriority w:val="1"/>
    <w:qFormat/>
    <w:rsid w:val="00A61FE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1FE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2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E0387"/>
    <w:rPr>
      <w:rFonts w:ascii="Calibri" w:eastAsiaTheme="majorEastAsia" w:hAnsi="Calibri" w:cstheme="majorBidi"/>
      <w:b/>
      <w:color w:val="FF0000"/>
      <w:sz w:val="4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52CEE"/>
    <w:pPr>
      <w:tabs>
        <w:tab w:val="left" w:pos="426"/>
        <w:tab w:val="right" w:leader="dot" w:pos="8210"/>
      </w:tabs>
      <w:spacing w:after="100"/>
      <w:ind w:left="426" w:hanging="426"/>
    </w:pPr>
  </w:style>
  <w:style w:type="character" w:customStyle="1" w:styleId="Nagwek2Znak">
    <w:name w:val="Nagłówek 2 Znak"/>
    <w:basedOn w:val="Domylnaczcionkaakapitu"/>
    <w:link w:val="Nagwek2"/>
    <w:uiPriority w:val="9"/>
    <w:rsid w:val="00C44374"/>
    <w:rPr>
      <w:rFonts w:ascii="Calibri" w:eastAsiaTheme="majorEastAsia" w:hAnsi="Calibri" w:cstheme="majorBidi"/>
      <w:b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7A3"/>
    <w:pPr>
      <w:framePr w:hSpace="187" w:wrap="around" w:vAnchor="page" w:hAnchor="page" w:x="2630" w:y="5641"/>
      <w:numPr>
        <w:ilvl w:val="1"/>
      </w:numPr>
      <w:jc w:val="left"/>
    </w:pPr>
    <w:rPr>
      <w:rFonts w:ascii="Calibri" w:eastAsiaTheme="minorEastAsia" w:hAnsi="Calibri"/>
      <w:b/>
      <w:color w:val="000000" w:themeColor="text1"/>
      <w:spacing w:val="15"/>
      <w:sz w:val="36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47A3"/>
    <w:rPr>
      <w:rFonts w:ascii="Calibri" w:eastAsiaTheme="minorEastAsia" w:hAnsi="Calibri"/>
      <w:b/>
      <w:color w:val="000000" w:themeColor="text1"/>
      <w:spacing w:val="15"/>
      <w:sz w:val="36"/>
      <w:szCs w:val="28"/>
    </w:rPr>
  </w:style>
  <w:style w:type="paragraph" w:customStyle="1" w:styleId="Wypunktowaniepoziom3">
    <w:name w:val="Wypunktowanie poziom 3"/>
    <w:basedOn w:val="Normalny"/>
    <w:qFormat/>
    <w:rsid w:val="0019324D"/>
    <w:pPr>
      <w:numPr>
        <w:ilvl w:val="1"/>
        <w:numId w:val="4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E12162"/>
    <w:rPr>
      <w:color w:val="0563C1" w:themeColor="hyperlink"/>
      <w:u w:val="single"/>
    </w:rPr>
  </w:style>
  <w:style w:type="paragraph" w:customStyle="1" w:styleId="Cytat1">
    <w:name w:val="Cytat1"/>
    <w:basedOn w:val="Normalny"/>
    <w:next w:val="Normalny"/>
    <w:link w:val="Cytatznak"/>
    <w:uiPriority w:val="1"/>
    <w:unhideWhenUsed/>
    <w:qFormat/>
    <w:rsid w:val="00C44374"/>
    <w:pPr>
      <w:spacing w:before="240" w:after="240" w:line="288" w:lineRule="auto"/>
    </w:pPr>
    <w:rPr>
      <w:rFonts w:ascii="Calibri" w:hAnsi="Calibri"/>
      <w:i/>
      <w:iCs/>
      <w:color w:val="5B9BD5" w:themeColor="accent1"/>
      <w:kern w:val="20"/>
      <w:sz w:val="24"/>
      <w:lang w:eastAsia="pl-PL"/>
    </w:rPr>
  </w:style>
  <w:style w:type="character" w:customStyle="1" w:styleId="Cytatznak">
    <w:name w:val="Cytat (znak)"/>
    <w:basedOn w:val="Domylnaczcionkaakapitu"/>
    <w:link w:val="Cytat1"/>
    <w:uiPriority w:val="1"/>
    <w:rsid w:val="00C44374"/>
    <w:rPr>
      <w:rFonts w:ascii="Calibri" w:hAnsi="Calibri"/>
      <w:i/>
      <w:iCs/>
      <w:color w:val="5B9BD5" w:themeColor="accent1"/>
      <w:kern w:val="2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44374"/>
    <w:pPr>
      <w:spacing w:after="120"/>
      <w:ind w:left="720"/>
      <w:contextualSpacing/>
    </w:pPr>
    <w:rPr>
      <w:rFonts w:ascii="Calibri" w:hAnsi="Calibr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44374"/>
    <w:pPr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CC47A3"/>
    <w:pPr>
      <w:framePr w:hSpace="187" w:wrap="around" w:vAnchor="page" w:hAnchor="page" w:x="2630" w:y="5641"/>
      <w:spacing w:before="0" w:after="0" w:line="240" w:lineRule="auto"/>
      <w:contextualSpacing/>
      <w:jc w:val="left"/>
    </w:pPr>
    <w:rPr>
      <w:rFonts w:ascii="Calibri" w:eastAsiaTheme="majorEastAsia" w:hAnsi="Calibri" w:cstheme="majorBidi"/>
      <w:b/>
      <w:color w:val="FF0000"/>
      <w:spacing w:val="-10"/>
      <w:kern w:val="28"/>
      <w:sz w:val="72"/>
      <w:szCs w:val="144"/>
    </w:rPr>
  </w:style>
  <w:style w:type="character" w:customStyle="1" w:styleId="TytuZnak">
    <w:name w:val="Tytuł Znak"/>
    <w:basedOn w:val="Domylnaczcionkaakapitu"/>
    <w:link w:val="Tytu"/>
    <w:uiPriority w:val="10"/>
    <w:rsid w:val="00CC47A3"/>
    <w:rPr>
      <w:rFonts w:ascii="Calibri" w:eastAsiaTheme="majorEastAsia" w:hAnsi="Calibri" w:cstheme="majorBidi"/>
      <w:b/>
      <w:color w:val="FF0000"/>
      <w:spacing w:val="-10"/>
      <w:kern w:val="28"/>
      <w:sz w:val="72"/>
      <w:szCs w:val="144"/>
    </w:rPr>
  </w:style>
  <w:style w:type="character" w:styleId="Pogrubienie">
    <w:name w:val="Strong"/>
    <w:basedOn w:val="Domylnaczcionkaakapitu"/>
    <w:uiPriority w:val="22"/>
    <w:qFormat/>
    <w:rsid w:val="00DE6C43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DE6C4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DE6C43"/>
    <w:rPr>
      <w:b/>
      <w:bCs/>
      <w:color w:val="FF0000"/>
      <w:spacing w:val="5"/>
      <w:sz w:val="24"/>
    </w:rPr>
  </w:style>
  <w:style w:type="table" w:styleId="Tabelalisty6kolorowaakcent1">
    <w:name w:val="List Table 6 Colorful Accent 1"/>
    <w:basedOn w:val="Standardowy"/>
    <w:uiPriority w:val="51"/>
    <w:rsid w:val="006B26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9B30A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30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30AA"/>
    <w:rPr>
      <w:vertAlign w:val="superscript"/>
    </w:rPr>
  </w:style>
  <w:style w:type="paragraph" w:customStyle="1" w:styleId="TytuTabeli">
    <w:name w:val="Tytuł Tabeli"/>
    <w:basedOn w:val="Normalny"/>
    <w:qFormat/>
    <w:rsid w:val="00E41C9F"/>
  </w:style>
  <w:style w:type="paragraph" w:styleId="Tekstdymka">
    <w:name w:val="Balloon Text"/>
    <w:basedOn w:val="Normalny"/>
    <w:link w:val="TekstdymkaZnak"/>
    <w:uiPriority w:val="99"/>
    <w:semiHidden/>
    <w:unhideWhenUsed/>
    <w:rsid w:val="00C81B5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B5B"/>
    <w:rPr>
      <w:rFonts w:ascii="Segoe UI" w:hAnsi="Segoe UI" w:cs="Segoe UI"/>
      <w:sz w:val="18"/>
      <w:szCs w:val="18"/>
    </w:rPr>
  </w:style>
  <w:style w:type="paragraph" w:customStyle="1" w:styleId="Wypunktowaniepoziom2">
    <w:name w:val="Wypunktowanie poziom 2"/>
    <w:basedOn w:val="Wypunktowaniepoziom3"/>
    <w:qFormat/>
    <w:rsid w:val="0010513A"/>
    <w:pPr>
      <w:numPr>
        <w:ilvl w:val="0"/>
        <w:numId w:val="3"/>
      </w:numPr>
      <w:spacing w:after="120"/>
      <w:ind w:left="714" w:hanging="357"/>
    </w:pPr>
  </w:style>
  <w:style w:type="paragraph" w:customStyle="1" w:styleId="Wypunktowaniepoziom1">
    <w:name w:val="Wypunktowanie poziom 1"/>
    <w:basedOn w:val="Wypunktowaniepoziom3"/>
    <w:qFormat/>
    <w:rsid w:val="0057629F"/>
    <w:pPr>
      <w:numPr>
        <w:ilvl w:val="0"/>
        <w:numId w:val="5"/>
      </w:numPr>
      <w:spacing w:before="240"/>
      <w:ind w:left="426" w:hanging="426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6117F"/>
    <w:pPr>
      <w:tabs>
        <w:tab w:val="left" w:pos="567"/>
        <w:tab w:val="right" w:pos="1134"/>
      </w:tabs>
      <w:spacing w:before="0" w:after="120" w:line="240" w:lineRule="exact"/>
      <w:ind w:left="283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117F"/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customStyle="1" w:styleId="Style3">
    <w:name w:val="Style 3"/>
    <w:basedOn w:val="Normalny"/>
    <w:uiPriority w:val="99"/>
    <w:rsid w:val="00C6117F"/>
    <w:pPr>
      <w:widowControl w:val="0"/>
      <w:autoSpaceDE w:val="0"/>
      <w:autoSpaceDN w:val="0"/>
      <w:spacing w:before="252" w:after="0" w:line="240" w:lineRule="auto"/>
      <w:ind w:right="1440" w:firstLine="720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Normalnypogrubiony">
    <w:name w:val="Normalny pogrubiony"/>
    <w:basedOn w:val="Normalny"/>
    <w:qFormat/>
    <w:rsid w:val="00CF45AA"/>
    <w:rPr>
      <w:b/>
    </w:rPr>
  </w:style>
  <w:style w:type="paragraph" w:customStyle="1" w:styleId="punktory">
    <w:name w:val="punktory"/>
    <w:basedOn w:val="Wypunktowaniepoziom1"/>
    <w:qFormat/>
    <w:rsid w:val="00B961E0"/>
    <w:pPr>
      <w:numPr>
        <w:numId w:val="6"/>
      </w:numPr>
    </w:pPr>
  </w:style>
  <w:style w:type="paragraph" w:customStyle="1" w:styleId="Punktorywciete">
    <w:name w:val="Punktory wciete"/>
    <w:basedOn w:val="punktory"/>
    <w:qFormat/>
    <w:rsid w:val="0019324D"/>
    <w:pPr>
      <w:numPr>
        <w:numId w:val="1"/>
      </w:numPr>
    </w:pPr>
  </w:style>
  <w:style w:type="paragraph" w:customStyle="1" w:styleId="podpis">
    <w:name w:val="podpis"/>
    <w:basedOn w:val="Normalny"/>
    <w:qFormat/>
    <w:rsid w:val="0010513A"/>
    <w:pPr>
      <w:tabs>
        <w:tab w:val="left" w:pos="5245"/>
      </w:tabs>
      <w:ind w:left="4820" w:right="1132"/>
      <w:jc w:val="center"/>
    </w:pPr>
  </w:style>
  <w:style w:type="paragraph" w:customStyle="1" w:styleId="Normalnywciety">
    <w:name w:val="Normalny wciety"/>
    <w:basedOn w:val="Normalny"/>
    <w:qFormat/>
    <w:rsid w:val="00F659A0"/>
    <w:pPr>
      <w:ind w:left="426"/>
    </w:pPr>
  </w:style>
  <w:style w:type="paragraph" w:customStyle="1" w:styleId="Normalnywciety1">
    <w:name w:val="Normalny wciety 1"/>
    <w:basedOn w:val="Normalnywciety"/>
    <w:qFormat/>
    <w:rsid w:val="0057629F"/>
    <w:pPr>
      <w:ind w:left="709"/>
    </w:pPr>
  </w:style>
  <w:style w:type="paragraph" w:customStyle="1" w:styleId="wcietepunktory">
    <w:name w:val="wciete punktory"/>
    <w:basedOn w:val="Punktorywciete"/>
    <w:qFormat/>
    <w:rsid w:val="004C4390"/>
    <w:pPr>
      <w:ind w:left="1434" w:hanging="357"/>
    </w:pPr>
  </w:style>
  <w:style w:type="character" w:customStyle="1" w:styleId="TekstwaciwyZnak">
    <w:name w:val="Tekst właściwy Znak"/>
    <w:link w:val="Tekstwaciwy"/>
    <w:locked/>
    <w:rsid w:val="00414CA1"/>
    <w:rPr>
      <w:rFonts w:ascii="Calibri" w:eastAsia="Calibri" w:hAnsi="Calibri"/>
    </w:rPr>
  </w:style>
  <w:style w:type="paragraph" w:customStyle="1" w:styleId="Tekstwaciwy">
    <w:name w:val="Tekst właściwy"/>
    <w:basedOn w:val="Normalny"/>
    <w:link w:val="TekstwaciwyZnak"/>
    <w:qFormat/>
    <w:rsid w:val="00414CA1"/>
    <w:pPr>
      <w:spacing w:before="0" w:after="320" w:line="320" w:lineRule="exact"/>
      <w:jc w:val="left"/>
    </w:pPr>
    <w:rPr>
      <w:rFonts w:ascii="Calibri" w:eastAsia="Calibri" w:hAnsi="Calibri"/>
    </w:rPr>
  </w:style>
  <w:style w:type="paragraph" w:customStyle="1" w:styleId="Wypunktowaniepoziom0">
    <w:name w:val="Wypunktowanie poziom 0"/>
    <w:basedOn w:val="Normalny"/>
    <w:rsid w:val="009D44B3"/>
    <w:pPr>
      <w:numPr>
        <w:numId w:val="7"/>
      </w:numPr>
    </w:pPr>
  </w:style>
  <w:style w:type="paragraph" w:customStyle="1" w:styleId="ZUSTzmustartykuempunktem">
    <w:name w:val="Z/UST(§) – zm. ust. (§) artykułem (punktem)"/>
    <w:basedOn w:val="Normalny"/>
    <w:qFormat/>
    <w:rsid w:val="009D44B3"/>
    <w:pPr>
      <w:suppressAutoHyphens/>
      <w:autoSpaceDE w:val="0"/>
      <w:autoSpaceDN w:val="0"/>
      <w:adjustRightInd w:val="0"/>
      <w:spacing w:before="0"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E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9FECB-34E5-45E1-A2BF-6B2908BC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1354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wykonywania praw z akcji lub udziałów Skarbu Państwa</vt:lpstr>
    </vt:vector>
  </TitlesOfParts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wykonywania praw z akcji lub udziałów Skarbu Państwa</dc:title>
  <dc:subject/>
  <dc:creator>Rybicka Małgorzata</dc:creator>
  <cp:keywords/>
  <dc:description/>
  <cp:lastModifiedBy>Rybicka Małgorzata</cp:lastModifiedBy>
  <cp:revision>7</cp:revision>
  <cp:lastPrinted>2017-09-26T11:35:00Z</cp:lastPrinted>
  <dcterms:created xsi:type="dcterms:W3CDTF">2017-09-26T06:49:00Z</dcterms:created>
  <dcterms:modified xsi:type="dcterms:W3CDTF">2017-09-26T11:55:00Z</dcterms:modified>
</cp:coreProperties>
</file>