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BFB45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39136680" w14:textId="77777777"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8500D93" w14:textId="77777777"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2258868" w14:textId="77777777"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14:paraId="24EEECFA" w14:textId="77777777"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14:paraId="7D05FB93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9911E8D" w14:textId="77777777"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588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E4880">
        <w:rPr>
          <w:rFonts w:ascii="Arial" w:hAnsi="Arial" w:cs="Arial"/>
          <w:b/>
          <w:color w:val="auto"/>
          <w:sz w:val="24"/>
          <w:szCs w:val="24"/>
        </w:rPr>
        <w:t>1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F4DF3A4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1CAA930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88D46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9A778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5B43280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D6D3E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8CEBEA" w14:textId="77777777" w:rsidR="00CA516B" w:rsidRPr="00F53AF2" w:rsidRDefault="00AF64C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64CB">
              <w:rPr>
                <w:rFonts w:ascii="Arial" w:hAnsi="Arial" w:cs="Arial"/>
                <w:sz w:val="18"/>
                <w:szCs w:val="18"/>
              </w:rPr>
              <w:t>Minister Edukacji i Nauki</w:t>
            </w:r>
          </w:p>
        </w:tc>
      </w:tr>
      <w:tr w:rsidR="00CA516B" w:rsidRPr="0030196F" w14:paraId="6A98E96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6475D5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93090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359408C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3E7C7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8D019" w14:textId="77777777"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5128BE8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218EE5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38E15" w14:textId="77777777"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14:paraId="691E7984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3700F8F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2136E1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C430B5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15D108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57C1324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B5D275A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B83EE" w14:textId="77777777"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14:paraId="666B922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B3A31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B849181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EEE22" w14:textId="77777777" w:rsidR="00F2008A" w:rsidRPr="008169CB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</w:t>
            </w:r>
            <w:r w:rsidR="004B2CEE" w:rsidRPr="008169CB">
              <w:rPr>
                <w:rFonts w:ascii="Arial" w:hAnsi="Arial" w:cs="Arial"/>
                <w:sz w:val="18"/>
                <w:szCs w:val="18"/>
              </w:rPr>
              <w:t>-09-2019</w:t>
            </w:r>
          </w:p>
          <w:p w14:paraId="503A6858" w14:textId="0871AC0B" w:rsidR="008169CB" w:rsidRPr="008169CB" w:rsidRDefault="008169CB" w:rsidP="008169CB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9CB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92D98" w:rsidRPr="008169CB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8169CB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8169C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8169CB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8169CB">
              <w:rPr>
                <w:rFonts w:ascii="Arial" w:hAnsi="Arial" w:cs="Arial"/>
                <w:sz w:val="18"/>
                <w:szCs w:val="18"/>
              </w:rPr>
              <w:t>20-12-2021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(pismem z dnia 22.02.2021 o sygnaturze CPPC-DEA.63.22.12.80.2018/MB Ośrodek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69CB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 xml:space="preserve">ozwoju </w:t>
            </w:r>
            <w:r w:rsidRPr="008169CB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dukacji w Warszawie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otrzymało zgodę na wydłużenie 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okres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u </w:t>
            </w:r>
            <w:r w:rsidRPr="008169CB">
              <w:rPr>
                <w:rFonts w:ascii="Arial" w:hAnsi="Arial" w:cs="Arial"/>
                <w:sz w:val="18"/>
                <w:szCs w:val="18"/>
              </w:rPr>
              <w:t>realizacji projektu o 90 dni na podstawie art. 5 ustawy z dnia 10 grudnia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69CB">
              <w:rPr>
                <w:rFonts w:ascii="Arial" w:hAnsi="Arial" w:cs="Arial"/>
                <w:sz w:val="18"/>
                <w:szCs w:val="18"/>
              </w:rPr>
              <w:t>2020 r. (Dz. U. z 2020 r., poz. 2327) o zmianie ustawy o szczególnych rozwiązaniach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69CB">
              <w:rPr>
                <w:rFonts w:ascii="Arial" w:hAnsi="Arial" w:cs="Arial"/>
                <w:sz w:val="18"/>
                <w:szCs w:val="18"/>
              </w:rPr>
              <w:t>wspierających realizację programów operacyjnych w związku z wystąpieniem COVID-19 w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69CB">
              <w:rPr>
                <w:rFonts w:ascii="Arial" w:hAnsi="Arial" w:cs="Arial"/>
                <w:sz w:val="18"/>
                <w:szCs w:val="18"/>
              </w:rPr>
              <w:t>2020 r. oraz niektórych innych ustaw, tj. do dnia 20.03.2022 r. Jednocześnie, wydłużeniu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69CB">
              <w:rPr>
                <w:rFonts w:ascii="Arial" w:hAnsi="Arial" w:cs="Arial"/>
                <w:sz w:val="18"/>
                <w:szCs w:val="18"/>
              </w:rPr>
              <w:t>ulegnie termin zakończenia okresu kwalifikowalności wydatków o 90 dni, tj. 31.03.2022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8169CB">
              <w:rPr>
                <w:rFonts w:ascii="Arial" w:hAnsi="Arial" w:cs="Arial"/>
                <w:sz w:val="18"/>
                <w:szCs w:val="18"/>
              </w:rPr>
              <w:t>o opracowaniu HRF</w:t>
            </w:r>
            <w:r>
              <w:rPr>
                <w:rFonts w:ascii="Arial" w:hAnsi="Arial" w:cs="Arial"/>
                <w:sz w:val="18"/>
                <w:szCs w:val="18"/>
              </w:rPr>
              <w:t>-u</w:t>
            </w:r>
            <w:r w:rsidRPr="008169CB">
              <w:rPr>
                <w:rFonts w:ascii="Arial" w:hAnsi="Arial" w:cs="Arial"/>
                <w:sz w:val="18"/>
                <w:szCs w:val="18"/>
              </w:rPr>
              <w:t xml:space="preserve"> uwzgledniającego takie wydłużenie wykażemy wynikające z niego zmiany w następnym raporcie do KRMC</w:t>
            </w:r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38927A53" w14:textId="1DE15FFA" w:rsidR="00CA516B" w:rsidRPr="008169CB" w:rsidRDefault="00CA516B" w:rsidP="008169C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47D3A1E3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CF65DA1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3272AD0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39E4BE30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463A5B9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DD9AA6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126B4FE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0C0D5288" w14:textId="77777777" w:rsidTr="00647A7F">
        <w:tc>
          <w:tcPr>
            <w:tcW w:w="2972" w:type="dxa"/>
          </w:tcPr>
          <w:p w14:paraId="1761018B" w14:textId="77777777" w:rsidR="00907F6D" w:rsidRPr="00F53AF2" w:rsidRDefault="00895812" w:rsidP="008958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  <w:r w:rsidR="00D35C38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67</w:t>
            </w:r>
            <w:r w:rsidR="00CE70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7F84FD9F" w14:textId="77777777" w:rsidR="002D433F" w:rsidRPr="00315E53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95812">
              <w:rPr>
                <w:rFonts w:ascii="Arial" w:hAnsi="Arial" w:cs="Arial"/>
                <w:sz w:val="18"/>
                <w:szCs w:val="18"/>
              </w:rPr>
              <w:t>35</w:t>
            </w:r>
            <w:r w:rsidR="00D35C38">
              <w:rPr>
                <w:rFonts w:ascii="Arial" w:hAnsi="Arial" w:cs="Arial"/>
                <w:sz w:val="18"/>
                <w:szCs w:val="18"/>
              </w:rPr>
              <w:t>,</w:t>
            </w:r>
            <w:r w:rsidR="00895812">
              <w:rPr>
                <w:rFonts w:ascii="Arial" w:hAnsi="Arial" w:cs="Arial"/>
                <w:sz w:val="18"/>
                <w:szCs w:val="18"/>
              </w:rPr>
              <w:t>9</w:t>
            </w:r>
            <w:r w:rsidR="00D35C38">
              <w:rPr>
                <w:rFonts w:ascii="Arial" w:hAnsi="Arial" w:cs="Arial"/>
                <w:sz w:val="18"/>
                <w:szCs w:val="18"/>
              </w:rPr>
              <w:t>4</w:t>
            </w:r>
            <w:r w:rsidR="00315E53" w:rsidRPr="00315E53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2C02AB95" w14:textId="77777777" w:rsidR="003B5F80" w:rsidRPr="00315E53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7D3F7A" w14:textId="77777777" w:rsidR="002D433F" w:rsidRPr="00315E53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315E53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315E5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F92F0B" w14:textId="77777777" w:rsidR="002D433F" w:rsidRPr="00315E53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8E9F6D" w14:textId="77777777" w:rsidR="002D433F" w:rsidRPr="00315E53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 w:rsidRPr="00315E53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14:paraId="6C86D7AF" w14:textId="77777777" w:rsidR="00907F6D" w:rsidRPr="00315E53" w:rsidRDefault="00895812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895812">
              <w:rPr>
                <w:rFonts w:ascii="Arial" w:hAnsi="Arial" w:cs="Arial"/>
                <w:sz w:val="18"/>
                <w:szCs w:val="18"/>
              </w:rPr>
              <w:t>35,94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% - wartość środków zaangażowanych w projekcie, wynikających z uruchomionych postepowań o udzielenie zamówień publicznych, wartość środków zaangażowanych w projekcie na wynagrodzenia,</w:t>
            </w:r>
            <w:r w:rsidR="00862C53" w:rsidRPr="00315E53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wartość środków zaangażowanych w projekcie w umowy z wykonawcami, itp.</w:t>
            </w:r>
          </w:p>
        </w:tc>
      </w:tr>
    </w:tbl>
    <w:p w14:paraId="7623EBEB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B1E7F4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3C055F4C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14:paraId="6A180D7D" w14:textId="77777777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14:paraId="3525A94C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0DC956A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95CBDF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5F0073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14:paraId="4450C81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23D8AC5B" w14:textId="77777777" w:rsidTr="008E1103">
        <w:trPr>
          <w:trHeight w:val="851"/>
        </w:trPr>
        <w:tc>
          <w:tcPr>
            <w:tcW w:w="2084" w:type="dxa"/>
          </w:tcPr>
          <w:p w14:paraId="37CA6208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9CC7" w14:textId="77777777"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9CE7042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14:paraId="5FB57861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14:paraId="4FD80A5D" w14:textId="77777777"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14:paraId="2E12658E" w14:textId="77777777"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CED546" w14:textId="77777777"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14:paraId="1E1B3178" w14:textId="77777777" w:rsidTr="008E1103">
        <w:trPr>
          <w:trHeight w:val="701"/>
        </w:trPr>
        <w:tc>
          <w:tcPr>
            <w:tcW w:w="2084" w:type="dxa"/>
          </w:tcPr>
          <w:p w14:paraId="4A58F54D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676F" w14:textId="77777777"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9D7ECB5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14:paraId="1BA0BE5D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14:paraId="00B3AAC3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7AABE6E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582F4B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14:paraId="31409FD3" w14:textId="77777777" w:rsidTr="008E1103">
        <w:trPr>
          <w:trHeight w:val="726"/>
        </w:trPr>
        <w:tc>
          <w:tcPr>
            <w:tcW w:w="2084" w:type="dxa"/>
          </w:tcPr>
          <w:p w14:paraId="144582E4" w14:textId="77777777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B2471" w14:textId="77777777"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B71E50F" w14:textId="77777777"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14:paraId="4B6D3A67" w14:textId="77777777"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386665F9" w14:textId="77777777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4B62D228" w14:textId="77777777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251410" w14:textId="77777777" w:rsidR="008E1103" w:rsidRDefault="00760AEB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W związku z dokonaną przez Beneficjenta we współpracy z Partnerem, analizą szacowania wartości zadań (w szczególności </w:t>
            </w:r>
            <w:r>
              <w:rPr>
                <w:rFonts w:ascii="Arial" w:hAnsi="Arial" w:cs="Arial"/>
                <w:i/>
                <w:sz w:val="18"/>
                <w:szCs w:val="18"/>
              </w:rPr>
              <w:t>zamówień publicznych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) w kontekście optymalizacji rozwiązań dotyczących zakupu i wdrażania systemów informatycznych z uwzględnieniem zachowania odpowiedniej jakości wszystkich zaplanowanych produktów, osiągnięcia KM i wskaźników projektowych, jak też celem minimalizacji wzrastającego ryzyka niedoszacowania nakładów inwestycyjnych (o czym  Beneficjent sygnalizował w raporcie za II kw. 2020)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lastRenderedPageBreak/>
              <w:t>pojawiła się konieczność dokonania mody</w:t>
            </w:r>
            <w:r>
              <w:rPr>
                <w:rFonts w:ascii="Arial" w:hAnsi="Arial" w:cs="Arial"/>
                <w:i/>
                <w:sz w:val="18"/>
                <w:szCs w:val="18"/>
              </w:rPr>
              <w:t>fikacji wniosku o dofinansowanie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w zakresie HRF, budżetu projektu 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harmonogramu wyznaczającego KM,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z uwagi na brak możliwości realizowania zadań (w tym zamówień publicznych)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 dotyczących</w:t>
            </w:r>
            <w:r w:rsidR="00F72821">
              <w:rPr>
                <w:rFonts w:ascii="Arial" w:hAnsi="Arial" w:cs="Arial"/>
                <w:i/>
                <w:sz w:val="18"/>
                <w:szCs w:val="18"/>
              </w:rPr>
              <w:t xml:space="preserve"> modernizacji 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sieci LAN i systemu finansowo – kadrowo- płacowego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 w obecnym kształcie z racji zmian technologicznych, jakie nastąpiły na rynku od czasu pierwotnego szacowania, które przełożyły się również na wzrost oczekiwań finansowych u dostawców. Biorąc pod uwagę powyższe, jak też obecną sytuację związaną z COVID – 19 niezbędnym jest przedłużenie terminu osiągnięcia KM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. Beneficjent zawnioskował o wydłużenie realizacji projektu o kwartał, zgodnie z zapisami specustawy oczekuje na decyzję w tej spra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 xml:space="preserve">wie. W zależności od decyzji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Beneficjent będzie wnioskował do IP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 xml:space="preserve"> o aktualizację kamieni milowych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 xml:space="preserve"> Niemniej, w IV kwartale 2020 udało się przeprowadzić część postępowań, w tym kluczowe – na dostawę licencji systemu finansowo-kadrowo-płacowego.</w:t>
            </w:r>
          </w:p>
          <w:p w14:paraId="0E7F60E3" w14:textId="77777777" w:rsidR="00760AEB" w:rsidRDefault="00760AEB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7B4AB59" w14:textId="77777777" w:rsidR="00895812" w:rsidRDefault="00895812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Beneficjent uruchomił procedury szacowania i w oparciu o nie w bieżącym kwartale zamierza uruchomić wszystkie pozostałe postępowania przetargowe.</w:t>
            </w:r>
          </w:p>
          <w:p w14:paraId="791E48B9" w14:textId="77777777" w:rsidR="00895812" w:rsidRPr="008E1103" w:rsidRDefault="00895812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D8E7C8" w14:textId="77777777"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14:paraId="290CF6B6" w14:textId="77777777" w:rsidTr="008E1103">
        <w:trPr>
          <w:trHeight w:val="1139"/>
        </w:trPr>
        <w:tc>
          <w:tcPr>
            <w:tcW w:w="2084" w:type="dxa"/>
          </w:tcPr>
          <w:p w14:paraId="17403606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54BE4" w14:textId="77777777"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A1D16C8" w14:textId="77777777"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14:paraId="78FFF642" w14:textId="77777777" w:rsidR="0001599B" w:rsidRPr="00756179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0E9728A2" w14:textId="77777777" w:rsidR="003B6C7D" w:rsidRPr="008E1103" w:rsidRDefault="003B6C7D" w:rsidP="003B6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57FE7CA2" w14:textId="77777777" w:rsidR="0091154A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9002C04" w14:textId="77777777" w:rsidR="003B6C7D" w:rsidRPr="00756179" w:rsidRDefault="003B6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Beneficjent zawnioskował o wydłużenie realizacji projektu o kwartał, zgodnie z zapisami specustawy oczekuje na decyzję w tej sprawie. W zależności od decyzji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Beneficjent będzie wnioskował do IP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o aktualizację kamieni milowych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Niemniej, w IV kwartale 2020 udało się przeprowadzić część postępowań, w tym kluczowe – na dostawę licencji systemu finansowo-kadrowo-płacowego.</w:t>
            </w:r>
          </w:p>
          <w:p w14:paraId="76A57522" w14:textId="77777777" w:rsidR="003B6C7D" w:rsidRDefault="003B6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48B97D5" w14:textId="77777777" w:rsidR="00895812" w:rsidRDefault="00895812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95812">
              <w:rPr>
                <w:rFonts w:ascii="Arial" w:hAnsi="Arial" w:cs="Arial"/>
                <w:i/>
                <w:sz w:val="18"/>
                <w:szCs w:val="18"/>
              </w:rPr>
              <w:t xml:space="preserve">Beneficjent uruchomił procedury szacowania i w oparciu o nie w bieżącym kwartale zamierza uruchomić wszystkie pozostałe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dwa </w:t>
            </w:r>
            <w:r w:rsidRPr="00895812">
              <w:rPr>
                <w:rFonts w:ascii="Arial" w:hAnsi="Arial" w:cs="Arial"/>
                <w:i/>
                <w:sz w:val="18"/>
                <w:szCs w:val="18"/>
              </w:rPr>
              <w:lastRenderedPageBreak/>
              <w:t>postępowania przetargowe</w:t>
            </w:r>
            <w:r>
              <w:rPr>
                <w:rFonts w:ascii="Arial" w:hAnsi="Arial" w:cs="Arial"/>
                <w:i/>
                <w:sz w:val="18"/>
                <w:szCs w:val="18"/>
              </w:rPr>
              <w:t>, z których przypadku jednego spodziewamy się zakończenia w II kwartale 2021, a drugiego najpóźniej na początku III kwartały 2021</w:t>
            </w:r>
            <w:r w:rsidRPr="0089581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  <w:p w14:paraId="3A4C913C" w14:textId="77777777" w:rsidR="00895812" w:rsidRDefault="00895812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6C6FE2" w14:textId="77777777"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wskaźnika dotyczącego liczby uruchomionych systemów teleinformatycznych</w:t>
            </w:r>
          </w:p>
        </w:tc>
      </w:tr>
      <w:tr w:rsidR="0001599B" w:rsidRPr="002B50C0" w14:paraId="53AEE37C" w14:textId="77777777" w:rsidTr="008E1103">
        <w:trPr>
          <w:trHeight w:val="601"/>
        </w:trPr>
        <w:tc>
          <w:tcPr>
            <w:tcW w:w="2084" w:type="dxa"/>
          </w:tcPr>
          <w:p w14:paraId="71617423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629E" w14:textId="77777777"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A2123A3" w14:textId="77777777"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14:paraId="5460EEB1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25B1EB46" w14:textId="77777777"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359B9048" w14:textId="77777777"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BFAE84F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7FC48251" w14:textId="77777777" w:rsidTr="008E1103">
        <w:trPr>
          <w:trHeight w:val="421"/>
        </w:trPr>
        <w:tc>
          <w:tcPr>
            <w:tcW w:w="2084" w:type="dxa"/>
          </w:tcPr>
          <w:p w14:paraId="7759DC24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57F3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BDDD51" w14:textId="77777777"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14:paraId="57E056AC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14:paraId="5469F40D" w14:textId="77777777"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751DC248" w14:textId="77777777" w:rsidTr="008E1103">
        <w:trPr>
          <w:trHeight w:val="1125"/>
        </w:trPr>
        <w:tc>
          <w:tcPr>
            <w:tcW w:w="2084" w:type="dxa"/>
          </w:tcPr>
          <w:p w14:paraId="30C85756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461A" w14:textId="77777777"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14:paraId="614D0E56" w14:textId="77777777"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14:paraId="642BF09A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04BA2B5A" w14:textId="77777777"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2EA24A2E" w14:textId="77777777" w:rsidTr="008E1103">
        <w:trPr>
          <w:trHeight w:val="1332"/>
        </w:trPr>
        <w:tc>
          <w:tcPr>
            <w:tcW w:w="2084" w:type="dxa"/>
          </w:tcPr>
          <w:p w14:paraId="11B332E7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stacjonarnych i 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8D61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03A08454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400145EF" w14:textId="77777777"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14:paraId="0BE4BD3E" w14:textId="77777777"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14:paraId="613C97B6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6C95170D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3F42AB48" w14:textId="77777777" w:rsidTr="008E1103">
        <w:trPr>
          <w:trHeight w:val="838"/>
        </w:trPr>
        <w:tc>
          <w:tcPr>
            <w:tcW w:w="2084" w:type="dxa"/>
          </w:tcPr>
          <w:p w14:paraId="23049550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E64C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2BEFA8FC" w14:textId="77777777"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14:paraId="243287F2" w14:textId="77777777"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14:paraId="41960277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14:paraId="32E967DF" w14:textId="77777777"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7BB1B7C1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14:paraId="3CA3623A" w14:textId="77777777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BE355B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B5BDE7E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E73443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70DC86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6CDF50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63CFC2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493610D3" w14:textId="77777777" w:rsidTr="00647A7F">
        <w:trPr>
          <w:trHeight w:val="889"/>
        </w:trPr>
        <w:tc>
          <w:tcPr>
            <w:tcW w:w="2545" w:type="dxa"/>
          </w:tcPr>
          <w:p w14:paraId="62FC2C07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F31E407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3805D86E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34CBF6A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14:paraId="42581BFA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14:paraId="3895D12B" w14:textId="77777777" w:rsidTr="00647A7F">
        <w:trPr>
          <w:trHeight w:val="138"/>
        </w:trPr>
        <w:tc>
          <w:tcPr>
            <w:tcW w:w="2545" w:type="dxa"/>
          </w:tcPr>
          <w:p w14:paraId="3A3041AC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68544736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43CD9C2" w14:textId="77777777"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D7A939C" w14:textId="77777777"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527DA0FC" w14:textId="77777777" w:rsidR="008D4B4A" w:rsidRDefault="0079649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BA574F">
              <w:rPr>
                <w:rFonts w:ascii="Arial" w:hAnsi="Arial" w:cs="Arial"/>
                <w:sz w:val="18"/>
                <w:szCs w:val="20"/>
              </w:rPr>
              <w:t xml:space="preserve"> osób</w:t>
            </w:r>
          </w:p>
        </w:tc>
      </w:tr>
      <w:tr w:rsidR="00BA574F" w:rsidRPr="002B50C0" w14:paraId="12281FB1" w14:textId="77777777" w:rsidTr="00647A7F">
        <w:trPr>
          <w:trHeight w:val="1302"/>
        </w:trPr>
        <w:tc>
          <w:tcPr>
            <w:tcW w:w="2545" w:type="dxa"/>
          </w:tcPr>
          <w:p w14:paraId="66862E7E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44B289BD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05AFC11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D84DAF1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3CCFFCF5" w14:textId="77777777" w:rsidR="00BA574F" w:rsidRDefault="0079649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A574F">
              <w:rPr>
                <w:rFonts w:ascii="Arial" w:hAnsi="Arial" w:cs="Arial"/>
                <w:sz w:val="18"/>
                <w:szCs w:val="20"/>
              </w:rPr>
              <w:t xml:space="preserve"> osób</w:t>
            </w:r>
          </w:p>
        </w:tc>
      </w:tr>
      <w:tr w:rsidR="00BA574F" w:rsidRPr="002B50C0" w14:paraId="6A7CBF14" w14:textId="77777777" w:rsidTr="00647A7F">
        <w:trPr>
          <w:trHeight w:val="134"/>
        </w:trPr>
        <w:tc>
          <w:tcPr>
            <w:tcW w:w="2545" w:type="dxa"/>
          </w:tcPr>
          <w:p w14:paraId="2854973A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503A6250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ADA7386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98EBB10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53AB377E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14:paraId="398CB754" w14:textId="77777777" w:rsidTr="00647A7F">
        <w:trPr>
          <w:trHeight w:val="1327"/>
        </w:trPr>
        <w:tc>
          <w:tcPr>
            <w:tcW w:w="2545" w:type="dxa"/>
          </w:tcPr>
          <w:p w14:paraId="4EBB4818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01C994CB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5DDB95" w14:textId="77777777"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4BDA094" w14:textId="77777777"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127" w:type="dxa"/>
          </w:tcPr>
          <w:p w14:paraId="79C5EFC8" w14:textId="77777777" w:rsidR="001E6412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14:paraId="6661EC1A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75B24950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55AB927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321DA93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36F20E6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7F1F7AAD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2389FE6D" w14:textId="77777777" w:rsidTr="00647A7F">
        <w:tc>
          <w:tcPr>
            <w:tcW w:w="2547" w:type="dxa"/>
          </w:tcPr>
          <w:p w14:paraId="53B375AD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26B6522E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3B7B6A81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14:paraId="08B1AEC2" w14:textId="77777777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7FF26D0B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7B0C4893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24E29D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BA81E3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B9BAFD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EB4D996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549DF0E2" w14:textId="77777777" w:rsidTr="00C6751B">
        <w:tc>
          <w:tcPr>
            <w:tcW w:w="2937" w:type="dxa"/>
          </w:tcPr>
          <w:p w14:paraId="21491DA0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0D023E19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2A14F6B0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01487ADC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4A2EF953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66B904D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1FC7B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93C58F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B2D03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8F0BE1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279FB3D6" w14:textId="77777777" w:rsidTr="00B60A3C">
        <w:trPr>
          <w:trHeight w:val="676"/>
        </w:trPr>
        <w:tc>
          <w:tcPr>
            <w:tcW w:w="2547" w:type="dxa"/>
          </w:tcPr>
          <w:p w14:paraId="62FC9F4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107820F8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B959552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48E52B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14:paraId="43080DEC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270AEF9A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6996AAC1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14:paraId="542196B6" w14:textId="77777777" w:rsidR="00726D20" w:rsidRPr="0001599B" w:rsidRDefault="00155D11" w:rsidP="00DF1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 xml:space="preserve">race </w:t>
            </w:r>
            <w:r>
              <w:rPr>
                <w:rFonts w:ascii="Arial" w:hAnsi="Arial" w:cs="Arial"/>
                <w:sz w:val="18"/>
                <w:szCs w:val="18"/>
              </w:rPr>
              <w:t>analityczno-organizacyjne,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uruchomiona została testowa wersja systemu EZD PUW</w:t>
            </w:r>
            <w:r w:rsidR="00895812">
              <w:rPr>
                <w:rFonts w:ascii="Arial" w:hAnsi="Arial" w:cs="Arial"/>
                <w:sz w:val="18"/>
                <w:szCs w:val="18"/>
              </w:rPr>
              <w:t>, zbierane sa uwagi z pracy testowej w celu ich uwzględnienia w wersji produkcyjnej</w:t>
            </w:r>
            <w:r w:rsidR="00726D20" w:rsidRPr="0001599B">
              <w:rPr>
                <w:rFonts w:ascii="Arial" w:hAnsi="Arial" w:cs="Arial"/>
                <w:sz w:val="18"/>
                <w:szCs w:val="18"/>
              </w:rPr>
              <w:t>.</w:t>
            </w:r>
            <w:r w:rsidR="0089581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0A3C" w:rsidRPr="002B50C0" w14:paraId="6A4B6D80" w14:textId="77777777" w:rsidTr="00B60A3C">
        <w:trPr>
          <w:trHeight w:val="563"/>
        </w:trPr>
        <w:tc>
          <w:tcPr>
            <w:tcW w:w="2547" w:type="dxa"/>
          </w:tcPr>
          <w:p w14:paraId="34C2EBEA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14:paraId="34E13B50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3FAD3498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2C77E76" w14:textId="77777777"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5D11"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iteracyjne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>race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nad stworzeniem systemu.</w:t>
            </w:r>
          </w:p>
        </w:tc>
      </w:tr>
      <w:tr w:rsidR="00B60A3C" w:rsidRPr="002B50C0" w14:paraId="0846CD38" w14:textId="77777777" w:rsidTr="00B60A3C">
        <w:trPr>
          <w:trHeight w:val="526"/>
        </w:trPr>
        <w:tc>
          <w:tcPr>
            <w:tcW w:w="2547" w:type="dxa"/>
          </w:tcPr>
          <w:p w14:paraId="6AB4B26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312DBACB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4263C441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86CC889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Jeżeli będzie to możliwe (system finansowo-kadrowo-płacowy będzie gotowym rozwiązaniem dostępnym na rynku, które choć parametryzowane i konfigurowane pod potrzeby ORE, nie gwarantuje pełnej komplementarności) wdrożone zostanie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oprogramowanie oraz wytworzone API zapewniające współpracę z pozostałymi komponentami projektu oraz umożliwiające pobieranie danych.</w:t>
            </w:r>
          </w:p>
          <w:p w14:paraId="5055D7DB" w14:textId="77777777" w:rsidR="00726D20" w:rsidRPr="0001599B" w:rsidRDefault="00DF183B" w:rsidP="00155D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</w:t>
            </w:r>
            <w:r w:rsidR="00155D11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race analityczno-organizacyjne, </w:t>
            </w:r>
            <w:r>
              <w:rPr>
                <w:rFonts w:ascii="Arial" w:hAnsi="Arial" w:cs="Arial"/>
                <w:sz w:val="18"/>
                <w:szCs w:val="18"/>
              </w:rPr>
              <w:t>zakupiona  została licencja dla systemu</w:t>
            </w:r>
            <w:r w:rsidR="00895812">
              <w:rPr>
                <w:rFonts w:ascii="Arial" w:hAnsi="Arial" w:cs="Arial"/>
                <w:sz w:val="18"/>
                <w:szCs w:val="18"/>
              </w:rPr>
              <w:t>, uruchamiane jest postępowanie na wdrożenie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14:paraId="174D9644" w14:textId="77777777" w:rsidTr="00B60A3C">
        <w:trPr>
          <w:trHeight w:val="500"/>
        </w:trPr>
        <w:tc>
          <w:tcPr>
            <w:tcW w:w="2547" w:type="dxa"/>
          </w:tcPr>
          <w:p w14:paraId="1F3B9CF6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Zarządzania Uprawnieniami </w:t>
            </w:r>
          </w:p>
        </w:tc>
        <w:tc>
          <w:tcPr>
            <w:tcW w:w="1701" w:type="dxa"/>
          </w:tcPr>
          <w:p w14:paraId="4D014502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44C14E0B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6DBE08D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14:paraId="7C4251EB" w14:textId="77777777" w:rsidR="00726D20" w:rsidRPr="0001599B" w:rsidRDefault="00726D20" w:rsidP="00DF183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Prace analityczno-organizacyjne, </w:t>
            </w:r>
            <w:r w:rsidR="00DF183B">
              <w:rPr>
                <w:rFonts w:ascii="Arial" w:hAnsi="Arial" w:cs="Arial"/>
                <w:sz w:val="18"/>
                <w:szCs w:val="18"/>
              </w:rPr>
              <w:t>projekcie powiązaniu z działaniami związanymi z produktem Wirtualnej Przestrzeni Roboczej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14:paraId="58032D19" w14:textId="77777777" w:rsidTr="002D433F">
        <w:trPr>
          <w:trHeight w:val="789"/>
        </w:trPr>
        <w:tc>
          <w:tcPr>
            <w:tcW w:w="2547" w:type="dxa"/>
          </w:tcPr>
          <w:p w14:paraId="168A65C7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wsparcie Elearningu</w:t>
            </w:r>
          </w:p>
        </w:tc>
        <w:tc>
          <w:tcPr>
            <w:tcW w:w="1701" w:type="dxa"/>
          </w:tcPr>
          <w:p w14:paraId="566F4A2D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67D73BF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15CE203C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eLearningowych w zakresie m.in. zarządzania użytkownikami kursu, zasobami edukacyjnymi, postępami w nauce oraz funkcjami rejestracji i raportowania.</w:t>
            </w:r>
          </w:p>
          <w:p w14:paraId="1FB759F7" w14:textId="77777777" w:rsidR="00B60A3C" w:rsidRPr="0001599B" w:rsidRDefault="00726D20" w:rsidP="0089581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Prace analityczno-organizacyjne, rozpoczęły się </w:t>
            </w:r>
            <w:r w:rsidR="00895812">
              <w:rPr>
                <w:rFonts w:ascii="Arial" w:hAnsi="Arial" w:cs="Arial"/>
                <w:sz w:val="18"/>
                <w:szCs w:val="18"/>
              </w:rPr>
              <w:t xml:space="preserve">też </w:t>
            </w:r>
            <w:r w:rsidRPr="0001599B">
              <w:rPr>
                <w:rFonts w:ascii="Arial" w:hAnsi="Arial" w:cs="Arial"/>
                <w:sz w:val="18"/>
                <w:szCs w:val="18"/>
              </w:rPr>
              <w:t>realne działania w</w:t>
            </w:r>
            <w:r w:rsidR="00895812">
              <w:rPr>
                <w:rFonts w:ascii="Arial" w:hAnsi="Arial" w:cs="Arial"/>
                <w:sz w:val="18"/>
                <w:szCs w:val="18"/>
              </w:rPr>
              <w:t>e współpracy z zewnętrznym wykonawcą tej części projektu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F0CC5" w:rsidRPr="002B50C0" w14:paraId="7D8AC9DE" w14:textId="77777777" w:rsidTr="002D433F">
        <w:trPr>
          <w:trHeight w:val="789"/>
        </w:trPr>
        <w:tc>
          <w:tcPr>
            <w:tcW w:w="2547" w:type="dxa"/>
          </w:tcPr>
          <w:p w14:paraId="0CE60628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6F86D97C" w14:textId="77777777"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235269A7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2BABEC08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14:paraId="506F371E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5A26246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1F16FAD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1A0F23E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67A140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4604DA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D8EEC9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41B5769F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4FA163AB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7D7969FD" w14:textId="77777777"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35E40B11" w14:textId="77777777" w:rsidR="00322614" w:rsidRPr="00756179" w:rsidRDefault="00D3498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8896445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19D85D6C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C84AE1C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291832A7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05BF947" w14:textId="77777777"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14:paraId="0376CCA6" w14:textId="77777777"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95A417" w14:textId="77777777"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14:paraId="2AC4F181" w14:textId="77777777"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071B21C" w14:textId="77777777" w:rsidR="004D5C13" w:rsidRDefault="00D34986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otrzymanym wynikiem po przeprowadzeniu przez Beneficjenta we współpracy z Partnerem, szczegółowej analizy szacowania wartości zadań (w szczególności związanych z zamówieniami publicznymi) w celu minimalizacji wzrastającego ryzyka, Partnerstwo zintensyfikowało wspólne prace określające plan działań eliminujących powstałe ryzyko, który zawiera modyfikację wniosku o dofinansowanie w zakresie HRF, budżetu projektu, harmonogramu wyznaczającego KM, przede wszystkim w odniesieni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takich zadań jak: modernizacja sieci LAN i system finansowo – kadrowo- płacowy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04CACA9F" w14:textId="77777777" w:rsidR="00DF183B" w:rsidRDefault="00DF183B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2CBDF32" w14:textId="77777777" w:rsidR="00DF183B" w:rsidRDefault="00DF183B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efekcie powyższych działań udało się uzyskać znacząco niższą cenę w przetargu na 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finansowo – kadrowo- płacowy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wciąż trwają prace nad doprowadzeniem  do analogicznej sytuacji w pozostałych obszarach.</w:t>
            </w:r>
          </w:p>
          <w:p w14:paraId="123E6C2A" w14:textId="77777777" w:rsidR="00895812" w:rsidRDefault="0089581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C8496A" w14:textId="77777777" w:rsidR="00895812" w:rsidRPr="003B5F80" w:rsidRDefault="0089581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14:paraId="2E5676EB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6994893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026068C2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79F9E49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1883F1F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72EA689E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BC65DE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479CC1DA" w14:textId="77777777"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C5979E" w14:textId="77777777"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14:paraId="0134EE8D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461CEC2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5E9BE197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1D2A46C2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9E93F57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042FD5A9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245AFC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1FC33DEE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B98C6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43909814" w14:textId="77777777"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D27214B" w14:textId="77777777"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14:paraId="33B4DC9D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66B04274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12F254EE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5B0E5E8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E70DF02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6B280E97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7AC49FE7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6437543B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A74A41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61D86BE3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AFE038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Efekty: Zastosowanie powyższych procedur powinno wpłynąć na minimalizację ryzyka lub co najmniej utrzymać stopień ryzyka na tym samym poziomie.</w:t>
            </w:r>
          </w:p>
          <w:p w14:paraId="6439AEBD" w14:textId="77777777"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3F1862B" w14:textId="77777777"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14:paraId="6663B841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3C804754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203D489F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6A17ACD6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94E8CF9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4582F044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48494D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2F30FEB1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5A79F7A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0A9DB043" w14:textId="77777777"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E7FC2DE" w14:textId="77777777"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4D3477" w:rsidRPr="002B50C0" w14:paraId="1A8C0304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1AA08E40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14:paraId="1C7DF1A9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26ACB404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A82CC34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16E0BD10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C1BDF1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1A0AA0F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BA8BD51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7373AB48" w14:textId="77777777"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EE7B6" w14:textId="77777777"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</w:tbl>
    <w:p w14:paraId="085C7863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</w:t>
      </w:r>
      <w:r w:rsidR="00DF183B">
        <w:rPr>
          <w:rFonts w:ascii="Arial" w:hAnsi="Arial" w:cs="Arial"/>
          <w:b/>
          <w:sz w:val="20"/>
          <w:szCs w:val="20"/>
        </w:rPr>
        <w:t>niżej wymienionych</w:t>
      </w:r>
      <w:r>
        <w:rPr>
          <w:rFonts w:ascii="Arial" w:hAnsi="Arial" w:cs="Arial"/>
          <w:b/>
          <w:sz w:val="20"/>
          <w:szCs w:val="20"/>
        </w:rPr>
        <w:t xml:space="preserve">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5E832FD3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61D114BA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9CEA4E4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98A69B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63C51BC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31899CE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0C88FF0A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2D1519D0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D8BFCCF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E6E462D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786EFF0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14:paraId="5EAF7784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518D315E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7EACCE50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73CF4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3E45061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48EC74CD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3249B4F7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50B02F10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120A4FA8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14:paraId="309EA784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375CE16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30ABC8C1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9415347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A24A95A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1B81C461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5C57792E" w14:textId="77777777" w:rsidR="001E6412" w:rsidRPr="003C7F19" w:rsidRDefault="001E6412" w:rsidP="008A03BB">
            <w:pPr>
              <w:rPr>
                <w:lang w:eastAsia="pl-PL"/>
              </w:rPr>
            </w:pPr>
          </w:p>
          <w:p w14:paraId="22D0BF8A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Wykorzystanie modularnej architektury, otwarcie kodu oraz unikanie vendor locking zminimalizuje ryzyko</w:t>
            </w:r>
          </w:p>
          <w:p w14:paraId="3D50E534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14:paraId="397005CC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99B3ADA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732D8B91" w14:textId="77777777"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</w:t>
      </w:r>
      <w:r w:rsidR="00DF183B">
        <w:rPr>
          <w:rFonts w:ascii="Arial" w:hAnsi="Arial" w:cs="Arial"/>
          <w:sz w:val="18"/>
          <w:szCs w:val="18"/>
        </w:rPr>
        <w:t>401.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D3747" w14:textId="77777777" w:rsidR="00B32639" w:rsidRDefault="00B32639" w:rsidP="00BB2420">
      <w:pPr>
        <w:spacing w:after="0" w:line="240" w:lineRule="auto"/>
      </w:pPr>
      <w:r>
        <w:separator/>
      </w:r>
    </w:p>
  </w:endnote>
  <w:endnote w:type="continuationSeparator" w:id="0">
    <w:p w14:paraId="112CD1B1" w14:textId="77777777" w:rsidR="00B32639" w:rsidRDefault="00B3263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68FA03" w14:textId="53178A26" w:rsidR="00895812" w:rsidRDefault="008958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9C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14C2393" w14:textId="77777777" w:rsidR="00895812" w:rsidRDefault="00895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ED4EE" w14:textId="77777777" w:rsidR="00B32639" w:rsidRDefault="00B32639" w:rsidP="00BB2420">
      <w:pPr>
        <w:spacing w:after="0" w:line="240" w:lineRule="auto"/>
      </w:pPr>
      <w:r>
        <w:separator/>
      </w:r>
    </w:p>
  </w:footnote>
  <w:footnote w:type="continuationSeparator" w:id="0">
    <w:p w14:paraId="461B2D4A" w14:textId="77777777" w:rsidR="00B32639" w:rsidRDefault="00B32639" w:rsidP="00BB2420">
      <w:pPr>
        <w:spacing w:after="0" w:line="240" w:lineRule="auto"/>
      </w:pPr>
      <w:r>
        <w:continuationSeparator/>
      </w:r>
    </w:p>
  </w:footnote>
  <w:footnote w:id="1">
    <w:p w14:paraId="077932D3" w14:textId="77777777" w:rsidR="00895812" w:rsidRDefault="00895812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F9F79E1" w14:textId="77777777" w:rsidR="00895812" w:rsidRDefault="0089581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B65C8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55D11"/>
    <w:rsid w:val="0016164C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4880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6C7D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5CA"/>
    <w:rsid w:val="004E2241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1EFA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A4DEC"/>
    <w:rsid w:val="005B1A32"/>
    <w:rsid w:val="005B38EF"/>
    <w:rsid w:val="005B6365"/>
    <w:rsid w:val="005C0469"/>
    <w:rsid w:val="005C0D37"/>
    <w:rsid w:val="005C57DC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2269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418F"/>
    <w:rsid w:val="007759B7"/>
    <w:rsid w:val="00775C44"/>
    <w:rsid w:val="00776802"/>
    <w:rsid w:val="007866A9"/>
    <w:rsid w:val="007902F8"/>
    <w:rsid w:val="007924CE"/>
    <w:rsid w:val="00793BEF"/>
    <w:rsid w:val="00795AFA"/>
    <w:rsid w:val="00796498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169CB"/>
    <w:rsid w:val="00821C33"/>
    <w:rsid w:val="00830B70"/>
    <w:rsid w:val="00840749"/>
    <w:rsid w:val="00862C53"/>
    <w:rsid w:val="00870F3F"/>
    <w:rsid w:val="008719AD"/>
    <w:rsid w:val="00872149"/>
    <w:rsid w:val="0087452F"/>
    <w:rsid w:val="00875528"/>
    <w:rsid w:val="00884686"/>
    <w:rsid w:val="00886383"/>
    <w:rsid w:val="00895812"/>
    <w:rsid w:val="008A03BB"/>
    <w:rsid w:val="008A332F"/>
    <w:rsid w:val="008A52F6"/>
    <w:rsid w:val="008A7C46"/>
    <w:rsid w:val="008B1F00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E5402"/>
    <w:rsid w:val="009F09BF"/>
    <w:rsid w:val="009F1DC8"/>
    <w:rsid w:val="009F437E"/>
    <w:rsid w:val="00A11788"/>
    <w:rsid w:val="00A23CF0"/>
    <w:rsid w:val="00A26103"/>
    <w:rsid w:val="00A30847"/>
    <w:rsid w:val="00A308C2"/>
    <w:rsid w:val="00A30E6F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64CB"/>
    <w:rsid w:val="00AF71B9"/>
    <w:rsid w:val="00AF7FB2"/>
    <w:rsid w:val="00B10EE2"/>
    <w:rsid w:val="00B15110"/>
    <w:rsid w:val="00B17709"/>
    <w:rsid w:val="00B23828"/>
    <w:rsid w:val="00B242B9"/>
    <w:rsid w:val="00B3263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43FEB"/>
    <w:rsid w:val="00C51C03"/>
    <w:rsid w:val="00C55313"/>
    <w:rsid w:val="00C57985"/>
    <w:rsid w:val="00C6751B"/>
    <w:rsid w:val="00C76452"/>
    <w:rsid w:val="00C82738"/>
    <w:rsid w:val="00CA516B"/>
    <w:rsid w:val="00CA72FF"/>
    <w:rsid w:val="00CB3368"/>
    <w:rsid w:val="00CB70DA"/>
    <w:rsid w:val="00CC49E1"/>
    <w:rsid w:val="00CC7E21"/>
    <w:rsid w:val="00CE1190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4566"/>
    <w:rsid w:val="00D34986"/>
    <w:rsid w:val="00D35C38"/>
    <w:rsid w:val="00D4607F"/>
    <w:rsid w:val="00D53202"/>
    <w:rsid w:val="00D57025"/>
    <w:rsid w:val="00D57765"/>
    <w:rsid w:val="00D60FE0"/>
    <w:rsid w:val="00D77F50"/>
    <w:rsid w:val="00D859F4"/>
    <w:rsid w:val="00D85A52"/>
    <w:rsid w:val="00D86FEC"/>
    <w:rsid w:val="00D875AE"/>
    <w:rsid w:val="00D942D8"/>
    <w:rsid w:val="00DA34DF"/>
    <w:rsid w:val="00DA446D"/>
    <w:rsid w:val="00DB0D54"/>
    <w:rsid w:val="00DB657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DF183B"/>
    <w:rsid w:val="00E0076D"/>
    <w:rsid w:val="00E111E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EF1E97"/>
    <w:rsid w:val="00F138F7"/>
    <w:rsid w:val="00F14A54"/>
    <w:rsid w:val="00F15018"/>
    <w:rsid w:val="00F2008A"/>
    <w:rsid w:val="00F21D9E"/>
    <w:rsid w:val="00F25348"/>
    <w:rsid w:val="00F45506"/>
    <w:rsid w:val="00F466CA"/>
    <w:rsid w:val="00F53AF2"/>
    <w:rsid w:val="00F541B5"/>
    <w:rsid w:val="00F60062"/>
    <w:rsid w:val="00F613CC"/>
    <w:rsid w:val="00F62CF5"/>
    <w:rsid w:val="00F72821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204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D9845-F2CC-45A7-8B8E-61B8BDF0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2302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2021-04-12T17:50:00Z</dcterms:created>
  <dcterms:modified xsi:type="dcterms:W3CDTF">2021-04-12T17:54:00Z</dcterms:modified>
</cp:coreProperties>
</file>