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AA" w:rsidRPr="00AD509F" w:rsidRDefault="004610AA" w:rsidP="00C1620F">
      <w:pPr>
        <w:tabs>
          <w:tab w:val="left" w:pos="1134"/>
        </w:tabs>
        <w:spacing w:before="120" w:after="120" w:line="260" w:lineRule="exact"/>
        <w:jc w:val="both"/>
        <w:rPr>
          <w:rFonts w:ascii="Verdana" w:hAnsi="Verdana" w:cstheme="minorHAnsi"/>
          <w:b/>
          <w:sz w:val="18"/>
          <w:szCs w:val="18"/>
        </w:rPr>
      </w:pPr>
      <w:r w:rsidRPr="00AD509F">
        <w:rPr>
          <w:rFonts w:ascii="Verdana" w:hAnsi="Verdana" w:cstheme="minorHAnsi"/>
          <w:b/>
          <w:sz w:val="18"/>
          <w:szCs w:val="18"/>
        </w:rPr>
        <w:t xml:space="preserve">Do: </w:t>
      </w:r>
      <w:r w:rsidRPr="00AD509F">
        <w:rPr>
          <w:rFonts w:ascii="Verdana" w:hAnsi="Verdana" w:cstheme="minorHAnsi"/>
          <w:b/>
          <w:sz w:val="18"/>
          <w:szCs w:val="18"/>
        </w:rPr>
        <w:tab/>
        <w:t>Ministerstwo Finansów</w:t>
      </w:r>
    </w:p>
    <w:p w:rsidR="004610AA" w:rsidRPr="00AD509F" w:rsidRDefault="004610AA" w:rsidP="00C1620F">
      <w:pPr>
        <w:tabs>
          <w:tab w:val="left" w:pos="1134"/>
        </w:tabs>
        <w:spacing w:before="120" w:after="120" w:line="260" w:lineRule="exact"/>
        <w:jc w:val="both"/>
        <w:rPr>
          <w:rFonts w:ascii="Verdana" w:hAnsi="Verdana" w:cstheme="minorHAnsi"/>
          <w:b/>
          <w:sz w:val="18"/>
          <w:szCs w:val="18"/>
        </w:rPr>
      </w:pPr>
      <w:r w:rsidRPr="00AD509F">
        <w:rPr>
          <w:rFonts w:ascii="Verdana" w:hAnsi="Verdana" w:cstheme="minorHAnsi"/>
          <w:b/>
          <w:sz w:val="18"/>
          <w:szCs w:val="18"/>
        </w:rPr>
        <w:t xml:space="preserve">Od: </w:t>
      </w:r>
      <w:r w:rsidRPr="00AD509F">
        <w:rPr>
          <w:rFonts w:ascii="Verdana" w:hAnsi="Verdana" w:cstheme="minorHAnsi"/>
          <w:b/>
          <w:sz w:val="18"/>
          <w:szCs w:val="18"/>
        </w:rPr>
        <w:tab/>
        <w:t xml:space="preserve">MDDP Michalik Dłuska Dziedzic i Partnerzy, </w:t>
      </w:r>
    </w:p>
    <w:p w:rsidR="004610AA" w:rsidRPr="00AD509F" w:rsidRDefault="004610AA" w:rsidP="00C1620F">
      <w:pPr>
        <w:tabs>
          <w:tab w:val="left" w:pos="1134"/>
        </w:tabs>
        <w:spacing w:before="120" w:after="120" w:line="260" w:lineRule="exact"/>
        <w:jc w:val="both"/>
        <w:rPr>
          <w:rFonts w:ascii="Verdana" w:hAnsi="Verdana" w:cstheme="minorHAnsi"/>
          <w:b/>
          <w:sz w:val="18"/>
          <w:szCs w:val="18"/>
        </w:rPr>
      </w:pPr>
      <w:r w:rsidRPr="00AD509F">
        <w:rPr>
          <w:rFonts w:ascii="Verdana" w:hAnsi="Verdana" w:cstheme="minorHAnsi"/>
          <w:b/>
          <w:sz w:val="18"/>
          <w:szCs w:val="18"/>
        </w:rPr>
        <w:tab/>
        <w:t>Spółka doradztwa podatkowego spółka akcyjna</w:t>
      </w:r>
    </w:p>
    <w:p w:rsidR="004610AA" w:rsidRPr="00AD509F" w:rsidRDefault="004610AA" w:rsidP="00C1620F">
      <w:pPr>
        <w:tabs>
          <w:tab w:val="left" w:pos="1134"/>
        </w:tabs>
        <w:spacing w:before="120" w:after="120" w:line="260" w:lineRule="exact"/>
        <w:jc w:val="both"/>
        <w:rPr>
          <w:rFonts w:ascii="Verdana" w:hAnsi="Verdana" w:cstheme="minorHAnsi"/>
          <w:b/>
          <w:sz w:val="18"/>
          <w:szCs w:val="18"/>
        </w:rPr>
      </w:pPr>
      <w:r w:rsidRPr="00AD509F">
        <w:rPr>
          <w:rFonts w:ascii="Verdana" w:hAnsi="Verdana" w:cstheme="minorHAnsi"/>
          <w:b/>
          <w:sz w:val="18"/>
          <w:szCs w:val="18"/>
        </w:rPr>
        <w:t>Data:</w:t>
      </w:r>
      <w:r w:rsidRPr="00AD509F">
        <w:rPr>
          <w:rFonts w:ascii="Verdana" w:hAnsi="Verdana" w:cstheme="minorHAnsi"/>
          <w:b/>
          <w:sz w:val="18"/>
          <w:szCs w:val="18"/>
        </w:rPr>
        <w:tab/>
        <w:t>21 października 2019 r.</w:t>
      </w:r>
    </w:p>
    <w:p w:rsidR="004610AA" w:rsidRPr="00AD509F" w:rsidRDefault="004610AA" w:rsidP="00C1620F">
      <w:pPr>
        <w:tabs>
          <w:tab w:val="left" w:pos="1134"/>
        </w:tabs>
        <w:spacing w:before="120" w:after="120" w:line="260" w:lineRule="exact"/>
        <w:ind w:left="1134" w:hanging="1134"/>
        <w:jc w:val="both"/>
        <w:rPr>
          <w:rFonts w:ascii="Verdana" w:hAnsi="Verdana" w:cstheme="minorHAnsi"/>
          <w:b/>
          <w:sz w:val="18"/>
          <w:szCs w:val="18"/>
        </w:rPr>
      </w:pPr>
      <w:r w:rsidRPr="00AD509F">
        <w:rPr>
          <w:rFonts w:ascii="Verdana" w:hAnsi="Verdana" w:cstheme="minorHAnsi"/>
          <w:b/>
          <w:sz w:val="18"/>
          <w:szCs w:val="18"/>
        </w:rPr>
        <w:t>Dotyczy:</w:t>
      </w:r>
      <w:r w:rsidRPr="00AD509F">
        <w:rPr>
          <w:rFonts w:ascii="Verdana" w:hAnsi="Verdana" w:cstheme="minorHAnsi"/>
          <w:b/>
          <w:sz w:val="18"/>
          <w:szCs w:val="18"/>
        </w:rPr>
        <w:tab/>
        <w:t>Konsultacji podatkowych w zakresie interaktywnego formularza informacji o cenach transferowych (TPR – C)</w:t>
      </w:r>
    </w:p>
    <w:p w:rsidR="004610AA" w:rsidRPr="00AD509F" w:rsidRDefault="004610AA">
      <w:pPr>
        <w:pBdr>
          <w:bottom w:val="single" w:sz="6" w:space="1" w:color="auto"/>
        </w:pBdr>
        <w:rPr>
          <w:rFonts w:ascii="Verdana" w:hAnsi="Verdana" w:cstheme="minorHAnsi"/>
          <w:sz w:val="18"/>
          <w:szCs w:val="18"/>
        </w:rPr>
      </w:pPr>
    </w:p>
    <w:p w:rsidR="004610AA" w:rsidRPr="00AD509F" w:rsidRDefault="004610AA">
      <w:pPr>
        <w:rPr>
          <w:rFonts w:ascii="Verdana" w:hAnsi="Verdana" w:cstheme="minorHAnsi"/>
          <w:sz w:val="18"/>
          <w:szCs w:val="18"/>
        </w:rPr>
      </w:pPr>
    </w:p>
    <w:p w:rsidR="001C53FB" w:rsidRPr="00AD509F" w:rsidRDefault="001C53FB" w:rsidP="00F63E15">
      <w:pPr>
        <w:spacing w:before="120" w:after="120" w:line="260" w:lineRule="exact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>Szanowni Państwo,</w:t>
      </w:r>
    </w:p>
    <w:p w:rsidR="001C53FB" w:rsidRPr="00AD509F" w:rsidRDefault="004610AA" w:rsidP="00F63E15">
      <w:pPr>
        <w:spacing w:before="120" w:after="120" w:line="260" w:lineRule="exact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>W nawiązaniu do ogłoszonych konsultacji podatkowych dotyczących formularza interaktywnego informacji o cenach transferowych, p</w:t>
      </w:r>
      <w:r w:rsidR="001C53FB" w:rsidRPr="00AD509F">
        <w:rPr>
          <w:rFonts w:ascii="Verdana" w:hAnsi="Verdana" w:cstheme="minorHAnsi"/>
          <w:sz w:val="18"/>
          <w:szCs w:val="18"/>
        </w:rPr>
        <w:t>oniżej zamieszczamy swoje uwagi dotyczące testowej wersji formularza TPR</w:t>
      </w:r>
      <w:r w:rsidR="00983D75">
        <w:rPr>
          <w:rFonts w:ascii="Verdana" w:hAnsi="Verdana" w:cstheme="minorHAnsi"/>
          <w:sz w:val="18"/>
          <w:szCs w:val="18"/>
        </w:rPr>
        <w:t>-</w:t>
      </w:r>
      <w:r w:rsidRPr="00AD509F">
        <w:rPr>
          <w:rFonts w:ascii="Verdana" w:hAnsi="Verdana" w:cstheme="minorHAnsi"/>
          <w:sz w:val="18"/>
          <w:szCs w:val="18"/>
        </w:rPr>
        <w:t>C</w:t>
      </w:r>
      <w:r w:rsidR="001C53FB" w:rsidRPr="00AD509F">
        <w:rPr>
          <w:rFonts w:ascii="Verdana" w:hAnsi="Verdana" w:cstheme="minorHAnsi"/>
          <w:sz w:val="18"/>
          <w:szCs w:val="18"/>
        </w:rPr>
        <w:t xml:space="preserve"> udostępnionego na stronie Ministerstwa Finansów.</w:t>
      </w:r>
    </w:p>
    <w:p w:rsidR="00F63E15" w:rsidRPr="00AD509F" w:rsidRDefault="00F63E15" w:rsidP="00F63E15">
      <w:pPr>
        <w:pStyle w:val="Akapitzlist"/>
        <w:numPr>
          <w:ilvl w:val="0"/>
          <w:numId w:val="1"/>
        </w:numPr>
        <w:spacing w:before="120" w:after="120" w:line="260" w:lineRule="exact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>Brak możliwości dodania więcej niż jednego kontrahenta.</w:t>
      </w:r>
    </w:p>
    <w:p w:rsidR="004610AA" w:rsidRPr="00AD509F" w:rsidRDefault="004610AA" w:rsidP="00C1620F">
      <w:pPr>
        <w:spacing w:before="120" w:after="120" w:line="260" w:lineRule="exact"/>
        <w:ind w:left="708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 xml:space="preserve">Zgodnie treścią pkt 4.3. Objaśnień co do sposobu sporządzenia informacji o cenach transferowych [dalej: </w:t>
      </w:r>
      <w:r w:rsidRPr="00AD509F">
        <w:rPr>
          <w:rFonts w:ascii="Verdana" w:hAnsi="Verdana" w:cstheme="minorHAnsi"/>
          <w:b/>
          <w:sz w:val="18"/>
          <w:szCs w:val="18"/>
        </w:rPr>
        <w:t>Objaśnienia</w:t>
      </w:r>
      <w:r w:rsidRPr="00AD509F">
        <w:rPr>
          <w:rFonts w:ascii="Verdana" w:hAnsi="Verdana" w:cstheme="minorHAnsi"/>
          <w:sz w:val="18"/>
          <w:szCs w:val="18"/>
        </w:rPr>
        <w:t xml:space="preserve">], w przypadku gdy dana transakcja kontrolowana jest zawierana z więcej niż jednym kontrahentem, należy wskazać odpowiednie informacje dla każdego z nich. </w:t>
      </w:r>
    </w:p>
    <w:p w:rsidR="00306E57" w:rsidRPr="00AD509F" w:rsidRDefault="00306E57" w:rsidP="00C1620F">
      <w:pPr>
        <w:spacing w:before="120" w:after="120" w:line="260" w:lineRule="exact"/>
        <w:ind w:left="708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>Niemniej, w ramach testowanego formularza TPR</w:t>
      </w:r>
      <w:r w:rsidR="00983D75">
        <w:rPr>
          <w:rFonts w:ascii="Verdana" w:hAnsi="Verdana" w:cstheme="minorHAnsi"/>
          <w:sz w:val="18"/>
          <w:szCs w:val="18"/>
        </w:rPr>
        <w:t>-</w:t>
      </w:r>
      <w:r w:rsidRPr="00AD509F">
        <w:rPr>
          <w:rFonts w:ascii="Verdana" w:hAnsi="Verdana" w:cstheme="minorHAnsi"/>
          <w:sz w:val="18"/>
          <w:szCs w:val="18"/>
        </w:rPr>
        <w:t xml:space="preserve">C nie zidentyfikowaliśmy możliwości wprowadzenia danych dotyczących więcej niż jednego kontrahenta w przypadku danej transakcji kontrolowanej. </w:t>
      </w:r>
    </w:p>
    <w:p w:rsidR="004610AA" w:rsidRPr="00AD509F" w:rsidRDefault="00306E57" w:rsidP="00C1620F">
      <w:pPr>
        <w:spacing w:before="120" w:after="120" w:line="260" w:lineRule="exact"/>
        <w:ind w:left="708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>W związku z tym, w ramach formularza powinna zostać wprowadzona możliwość wyboru czy dana transakcja kontrolowana dotyczy tylko jednego kontrahenta czy też kilku kontrahentów.</w:t>
      </w:r>
    </w:p>
    <w:p w:rsidR="00067129" w:rsidRPr="00AD509F" w:rsidRDefault="00F63E15" w:rsidP="0030395F">
      <w:pPr>
        <w:pStyle w:val="Akapitzlist"/>
        <w:numPr>
          <w:ilvl w:val="0"/>
          <w:numId w:val="1"/>
        </w:numPr>
        <w:spacing w:before="120" w:after="120" w:line="260" w:lineRule="exact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>Brak możliwości dodania więcej niż jednej siedziby kontrahenta.</w:t>
      </w:r>
    </w:p>
    <w:p w:rsidR="00306E57" w:rsidRPr="00AD509F" w:rsidRDefault="00306E57" w:rsidP="00C1620F">
      <w:pPr>
        <w:pStyle w:val="Akapitzlist"/>
        <w:spacing w:before="120" w:after="120" w:line="260" w:lineRule="exact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>Wskazana kwestia, łączy się bezpośrednio z problemem zidentyfikowanym w ramach pkt 1. powyżej, tj. koniecznością podania danych dotyczących każdego z kontrahentów występujących w ramach danej transakcji kontrolowanej (zgodnie z pkt. 4.3. Objaśnień).</w:t>
      </w:r>
    </w:p>
    <w:p w:rsidR="00306E57" w:rsidRPr="00AD509F" w:rsidRDefault="00306E57" w:rsidP="00C1620F">
      <w:pPr>
        <w:pStyle w:val="Akapitzlist"/>
        <w:spacing w:before="120" w:after="120" w:line="260" w:lineRule="exact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>W przypadku występowania więcej niż jed</w:t>
      </w:r>
      <w:r w:rsidR="00983D75">
        <w:rPr>
          <w:rFonts w:ascii="Verdana" w:hAnsi="Verdana" w:cstheme="minorHAnsi"/>
          <w:sz w:val="18"/>
          <w:szCs w:val="18"/>
        </w:rPr>
        <w:t>nego</w:t>
      </w:r>
      <w:r w:rsidRPr="00AD509F">
        <w:rPr>
          <w:rFonts w:ascii="Verdana" w:hAnsi="Verdana" w:cstheme="minorHAnsi"/>
          <w:sz w:val="18"/>
          <w:szCs w:val="18"/>
        </w:rPr>
        <w:t xml:space="preserve"> kontrahent</w:t>
      </w:r>
      <w:r w:rsidR="00983D75">
        <w:rPr>
          <w:rFonts w:ascii="Verdana" w:hAnsi="Verdana" w:cstheme="minorHAnsi"/>
          <w:sz w:val="18"/>
          <w:szCs w:val="18"/>
        </w:rPr>
        <w:t>a</w:t>
      </w:r>
      <w:r w:rsidRPr="00AD509F">
        <w:rPr>
          <w:rFonts w:ascii="Verdana" w:hAnsi="Verdana" w:cstheme="minorHAnsi"/>
          <w:sz w:val="18"/>
          <w:szCs w:val="18"/>
        </w:rPr>
        <w:t xml:space="preserve"> w ramach danej kontrolowanej transakcji, w formularzu TPR-C powinna występować możliwość wprowadzenia informacji o kraju siedziby lub zarządu dla kilku kontrahentów.  </w:t>
      </w:r>
    </w:p>
    <w:p w:rsidR="00067129" w:rsidRPr="00AD509F" w:rsidRDefault="0076685E" w:rsidP="00F63E15">
      <w:pPr>
        <w:pStyle w:val="Akapitzlist"/>
        <w:numPr>
          <w:ilvl w:val="0"/>
          <w:numId w:val="1"/>
        </w:numPr>
        <w:spacing w:before="120" w:after="120" w:line="260" w:lineRule="exact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 xml:space="preserve">W ramach sekcji C „Dane podmiotu, dla którego jest składana informacja”, po dokonaniu </w:t>
      </w:r>
      <w:r w:rsidR="00067129" w:rsidRPr="00AD509F">
        <w:rPr>
          <w:rFonts w:ascii="Verdana" w:hAnsi="Verdana" w:cstheme="minorHAnsi"/>
          <w:sz w:val="18"/>
          <w:szCs w:val="18"/>
        </w:rPr>
        <w:t>wyboru podmiotu zwolnionego z obowiązku dokumentacji</w:t>
      </w:r>
      <w:r w:rsidRPr="00AD509F">
        <w:rPr>
          <w:rFonts w:ascii="Verdana" w:hAnsi="Verdana" w:cstheme="minorHAnsi"/>
          <w:sz w:val="18"/>
          <w:szCs w:val="18"/>
        </w:rPr>
        <w:t>,</w:t>
      </w:r>
      <w:r w:rsidR="00067129" w:rsidRPr="00AD509F">
        <w:rPr>
          <w:rFonts w:ascii="Verdana" w:hAnsi="Verdana" w:cstheme="minorHAnsi"/>
          <w:sz w:val="18"/>
          <w:szCs w:val="18"/>
        </w:rPr>
        <w:t xml:space="preserve"> w </w:t>
      </w:r>
      <w:r w:rsidRPr="00AD509F">
        <w:rPr>
          <w:rFonts w:ascii="Verdana" w:hAnsi="Verdana" w:cstheme="minorHAnsi"/>
          <w:sz w:val="18"/>
          <w:szCs w:val="18"/>
        </w:rPr>
        <w:t xml:space="preserve">ramach </w:t>
      </w:r>
      <w:r w:rsidR="00067129" w:rsidRPr="00AD509F">
        <w:rPr>
          <w:rFonts w:ascii="Verdana" w:hAnsi="Verdana" w:cstheme="minorHAnsi"/>
          <w:sz w:val="18"/>
          <w:szCs w:val="18"/>
        </w:rPr>
        <w:t>sekcji „Parametry dodawanej transakcji</w:t>
      </w:r>
      <w:r w:rsidRPr="00AD509F">
        <w:rPr>
          <w:rFonts w:ascii="Verdana" w:hAnsi="Verdana" w:cstheme="minorHAnsi"/>
          <w:sz w:val="18"/>
          <w:szCs w:val="18"/>
        </w:rPr>
        <w:t xml:space="preserve">”, </w:t>
      </w:r>
      <w:r w:rsidR="005505D4" w:rsidRPr="00AD509F">
        <w:rPr>
          <w:rFonts w:ascii="Verdana" w:hAnsi="Verdana" w:cstheme="minorHAnsi"/>
          <w:sz w:val="18"/>
          <w:szCs w:val="18"/>
        </w:rPr>
        <w:t>„</w:t>
      </w:r>
      <w:r w:rsidR="00067129" w:rsidRPr="00AD509F">
        <w:rPr>
          <w:rFonts w:ascii="Verdana" w:hAnsi="Verdana" w:cstheme="minorHAnsi"/>
          <w:sz w:val="18"/>
          <w:szCs w:val="18"/>
        </w:rPr>
        <w:t>znika</w:t>
      </w:r>
      <w:r w:rsidR="005505D4" w:rsidRPr="00AD509F">
        <w:rPr>
          <w:rFonts w:ascii="Verdana" w:hAnsi="Verdana" w:cstheme="minorHAnsi"/>
          <w:sz w:val="18"/>
          <w:szCs w:val="18"/>
        </w:rPr>
        <w:t>”</w:t>
      </w:r>
      <w:r w:rsidR="00067129" w:rsidRPr="00AD509F">
        <w:rPr>
          <w:rFonts w:ascii="Verdana" w:hAnsi="Verdana" w:cstheme="minorHAnsi"/>
          <w:sz w:val="18"/>
          <w:szCs w:val="18"/>
        </w:rPr>
        <w:t xml:space="preserve"> </w:t>
      </w:r>
      <w:r w:rsidRPr="00AD509F">
        <w:rPr>
          <w:rFonts w:ascii="Verdana" w:hAnsi="Verdana" w:cstheme="minorHAnsi"/>
          <w:sz w:val="18"/>
          <w:szCs w:val="18"/>
        </w:rPr>
        <w:t>pod</w:t>
      </w:r>
      <w:r w:rsidR="00067129" w:rsidRPr="00AD509F">
        <w:rPr>
          <w:rFonts w:ascii="Verdana" w:hAnsi="Verdana" w:cstheme="minorHAnsi"/>
          <w:sz w:val="18"/>
          <w:szCs w:val="18"/>
        </w:rPr>
        <w:t>punkt D dot. transakcji finansowych korzystających z uproszczenia safe harbour.</w:t>
      </w:r>
    </w:p>
    <w:p w:rsidR="0076685E" w:rsidRPr="00AD509F" w:rsidRDefault="0076685E" w:rsidP="00C1620F">
      <w:pPr>
        <w:spacing w:before="120" w:after="120" w:line="260" w:lineRule="exact"/>
        <w:ind w:left="720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>Zgodnie z pkt. 3. Objaśnień, w przypadku podmiotu</w:t>
      </w:r>
      <w:r w:rsidR="00983D75">
        <w:rPr>
          <w:rFonts w:ascii="Verdana" w:hAnsi="Verdana" w:cstheme="minorHAnsi"/>
          <w:sz w:val="18"/>
          <w:szCs w:val="18"/>
        </w:rPr>
        <w:t>,</w:t>
      </w:r>
      <w:r w:rsidRPr="00AD509F">
        <w:rPr>
          <w:rFonts w:ascii="Verdana" w:hAnsi="Verdana" w:cstheme="minorHAnsi"/>
          <w:sz w:val="18"/>
          <w:szCs w:val="18"/>
        </w:rPr>
        <w:t xml:space="preserve"> który zawierała wyłącznie transakcje kontrolowane zwolnione z obowiązku sporządzenia lokalnej dokumentacji cen transferowych na podstawie art. 11n pkt 1 ustawy (kod ZK02), nie ma konieczności podawania dodatkowych danych finansowych dotyczących podmiotu, dla którego składana jest informacja (czyli nie ma konieczności podawania danych przedstawionych w sekcji „D”). </w:t>
      </w:r>
    </w:p>
    <w:p w:rsidR="0076685E" w:rsidRPr="00AD509F" w:rsidRDefault="0076685E" w:rsidP="00C1620F">
      <w:pPr>
        <w:spacing w:before="120" w:after="120" w:line="260" w:lineRule="exact"/>
        <w:ind w:left="720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 xml:space="preserve">Niemniej jednak, z treści objaśnień nie </w:t>
      </w:r>
      <w:r w:rsidR="00C1620F" w:rsidRPr="00AD509F">
        <w:rPr>
          <w:rFonts w:ascii="Verdana" w:hAnsi="Verdana" w:cstheme="minorHAnsi"/>
          <w:sz w:val="18"/>
          <w:szCs w:val="18"/>
        </w:rPr>
        <w:t>wynika, że</w:t>
      </w:r>
      <w:r w:rsidRPr="00AD509F">
        <w:rPr>
          <w:rFonts w:ascii="Verdana" w:hAnsi="Verdana" w:cstheme="minorHAnsi"/>
          <w:sz w:val="18"/>
          <w:szCs w:val="18"/>
        </w:rPr>
        <w:t xml:space="preserve"> wybór kodu ZK02 ogranicza podatnikowi możliwości wprowadzenia danych o transakcjach finansowych oznaczonych kodami 1201 lub 2201 korzystających z oznaczenia safe harbour. </w:t>
      </w:r>
    </w:p>
    <w:p w:rsidR="0076685E" w:rsidRPr="00AD509F" w:rsidRDefault="0076685E" w:rsidP="00C1620F">
      <w:pPr>
        <w:spacing w:before="120" w:after="120" w:line="260" w:lineRule="exact"/>
        <w:ind w:left="720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lastRenderedPageBreak/>
        <w:t>W związku z tym, w ramach formularza powinna być możliwość wprowadzenia danych o każdej transakcji, niezależnie od tego czy w ramach kategorii danego podmiotu wybrano kod „ZK01” czy też „ZK02”</w:t>
      </w:r>
    </w:p>
    <w:p w:rsidR="00F63E15" w:rsidRPr="00AD509F" w:rsidRDefault="00F63E15" w:rsidP="00F63E15">
      <w:pPr>
        <w:pStyle w:val="Akapitzlist"/>
        <w:numPr>
          <w:ilvl w:val="0"/>
          <w:numId w:val="1"/>
        </w:numPr>
        <w:spacing w:before="120" w:after="120" w:line="260" w:lineRule="exact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>Brak możliwości wskazania więcej niż jednego wyniku na transakcji.</w:t>
      </w:r>
    </w:p>
    <w:p w:rsidR="0076685E" w:rsidRPr="00AD509F" w:rsidRDefault="0076685E" w:rsidP="00C1620F">
      <w:pPr>
        <w:pStyle w:val="Akapitzlist"/>
        <w:spacing w:before="120" w:after="120" w:line="260" w:lineRule="exact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 xml:space="preserve">Zidentyfikowana kwestia wiąże się pośrednio z </w:t>
      </w:r>
      <w:r w:rsidR="00D129B1" w:rsidRPr="00AD509F">
        <w:rPr>
          <w:rFonts w:ascii="Verdana" w:hAnsi="Verdana" w:cstheme="minorHAnsi"/>
          <w:sz w:val="18"/>
          <w:szCs w:val="18"/>
        </w:rPr>
        <w:t xml:space="preserve">kwestiami wskazany mi w ramach pkt. 1 oraz pkt. 2 wskazanymi powyżej. W przypadku, gdy dana transakcja kontrolowana jest realizowana z kilkoma kontrahentami, w ramach formularza </w:t>
      </w:r>
      <w:r w:rsidR="00A12F48" w:rsidRPr="00AD509F">
        <w:rPr>
          <w:rFonts w:ascii="Verdana" w:hAnsi="Verdana" w:cstheme="minorHAnsi"/>
          <w:sz w:val="18"/>
          <w:szCs w:val="18"/>
        </w:rPr>
        <w:t xml:space="preserve">TPR-C </w:t>
      </w:r>
      <w:r w:rsidR="00D129B1" w:rsidRPr="00AD509F">
        <w:rPr>
          <w:rFonts w:ascii="Verdana" w:hAnsi="Verdana" w:cstheme="minorHAnsi"/>
          <w:sz w:val="18"/>
          <w:szCs w:val="18"/>
        </w:rPr>
        <w:t xml:space="preserve">nie ma możliwości przedstawienia </w:t>
      </w:r>
      <w:r w:rsidR="00A12F48" w:rsidRPr="00AD509F">
        <w:rPr>
          <w:rFonts w:ascii="Verdana" w:hAnsi="Verdana" w:cstheme="minorHAnsi"/>
          <w:sz w:val="18"/>
          <w:szCs w:val="18"/>
        </w:rPr>
        <w:t xml:space="preserve">kilku wyników na transakcji, tj. wyników </w:t>
      </w:r>
      <w:r w:rsidR="00D129B1" w:rsidRPr="00AD509F">
        <w:rPr>
          <w:rFonts w:ascii="Verdana" w:hAnsi="Verdana" w:cstheme="minorHAnsi"/>
          <w:sz w:val="18"/>
          <w:szCs w:val="18"/>
        </w:rPr>
        <w:t xml:space="preserve">realizowanych z każdym kontrahentem. </w:t>
      </w:r>
    </w:p>
    <w:p w:rsidR="00D129B1" w:rsidRPr="00AD509F" w:rsidRDefault="00D129B1" w:rsidP="00C1620F">
      <w:pPr>
        <w:pStyle w:val="Akapitzlist"/>
        <w:spacing w:before="120" w:after="120" w:line="260" w:lineRule="exact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 xml:space="preserve">Co więcej, kwestia ta nie została też opisana w ramach Objaśnień. Mając to na uwadze, z perspektywy podatnika, który realizuje daną transakcję z kilkoma kontrahentami (przykładowo świadczy jednorodne usługi na rzecz kilku kontrahentów powiązanych) nie ma możliwości przedstawienia wyniku na transakcji w przypadku każdego podmiotu. </w:t>
      </w:r>
    </w:p>
    <w:p w:rsidR="00D129B1" w:rsidRPr="00AD509F" w:rsidRDefault="00D129B1" w:rsidP="00C1620F">
      <w:pPr>
        <w:pStyle w:val="Akapitzlist"/>
        <w:spacing w:before="120" w:after="120" w:line="260" w:lineRule="exact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>Sugerujemy uzupełnienie Objaśnień o wskazaną kwestię</w:t>
      </w:r>
      <w:r w:rsidR="00A12F48" w:rsidRPr="00AD509F">
        <w:rPr>
          <w:rFonts w:ascii="Verdana" w:hAnsi="Verdana" w:cstheme="minorHAnsi"/>
          <w:sz w:val="18"/>
          <w:szCs w:val="18"/>
        </w:rPr>
        <w:t xml:space="preserve"> (tj. przedstawienia odpowiedz</w:t>
      </w:r>
      <w:r w:rsidR="00983D75">
        <w:rPr>
          <w:rFonts w:ascii="Verdana" w:hAnsi="Verdana" w:cstheme="minorHAnsi"/>
          <w:sz w:val="18"/>
          <w:szCs w:val="18"/>
        </w:rPr>
        <w:t>i</w:t>
      </w:r>
      <w:r w:rsidR="00A12F48" w:rsidRPr="00AD509F">
        <w:rPr>
          <w:rFonts w:ascii="Verdana" w:hAnsi="Verdana" w:cstheme="minorHAnsi"/>
          <w:sz w:val="18"/>
          <w:szCs w:val="18"/>
        </w:rPr>
        <w:t xml:space="preserve"> na pytanie czy podatnik powinien przedstawiać wynik na transakcji łącznie, czy też wynik na transakcji w rozbiciu per kontrahent)</w:t>
      </w:r>
      <w:r w:rsidRPr="00AD509F">
        <w:rPr>
          <w:rFonts w:ascii="Verdana" w:hAnsi="Verdana" w:cstheme="minorHAnsi"/>
          <w:sz w:val="18"/>
          <w:szCs w:val="18"/>
        </w:rPr>
        <w:t xml:space="preserve">, lub zaadresowanie jej w ramach finalnej wersji formularza poprzez dodanie krótkiej instrukcji </w:t>
      </w:r>
      <w:r w:rsidR="00A12F48" w:rsidRPr="00AD509F">
        <w:rPr>
          <w:rFonts w:ascii="Verdana" w:hAnsi="Verdana" w:cstheme="minorHAnsi"/>
          <w:sz w:val="18"/>
          <w:szCs w:val="18"/>
        </w:rPr>
        <w:t xml:space="preserve">wypełniania </w:t>
      </w:r>
      <w:r w:rsidRPr="00AD509F">
        <w:rPr>
          <w:rFonts w:ascii="Verdana" w:hAnsi="Verdana" w:cstheme="minorHAnsi"/>
          <w:sz w:val="18"/>
          <w:szCs w:val="18"/>
        </w:rPr>
        <w:t>pol</w:t>
      </w:r>
      <w:r w:rsidR="00A12F48" w:rsidRPr="00AD509F">
        <w:rPr>
          <w:rFonts w:ascii="Verdana" w:hAnsi="Verdana" w:cstheme="minorHAnsi"/>
          <w:sz w:val="18"/>
          <w:szCs w:val="18"/>
        </w:rPr>
        <w:t>a „Wynik na transakcji”.</w:t>
      </w:r>
    </w:p>
    <w:p w:rsidR="00F63E15" w:rsidRPr="00AD509F" w:rsidRDefault="00F63E15" w:rsidP="00F63E15">
      <w:pPr>
        <w:pStyle w:val="Akapitzlist"/>
        <w:numPr>
          <w:ilvl w:val="0"/>
          <w:numId w:val="1"/>
        </w:numPr>
        <w:spacing w:before="120" w:after="120" w:line="260" w:lineRule="exact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>Brak możliwości wskazania braku danych w przypadku wyniku na transakcji.</w:t>
      </w:r>
    </w:p>
    <w:p w:rsidR="00A12F48" w:rsidRPr="00AD509F" w:rsidRDefault="00A12F48" w:rsidP="00C1620F">
      <w:pPr>
        <w:spacing w:before="120" w:after="120" w:line="260" w:lineRule="exact"/>
        <w:ind w:left="720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 xml:space="preserve">Wskazana kwestia łączy się z sugestią opisywaną w ramach pkt. 4 powyżej. W przypadku gdy podatnik jest nabywcą (towarów lub usług), może nie dysponować pełną informacją jaki wynik na transakcji jest realizowanych przez drugą stronę transakcji. </w:t>
      </w:r>
      <w:r w:rsidR="00F5681A" w:rsidRPr="00AD509F">
        <w:rPr>
          <w:rFonts w:ascii="Verdana" w:hAnsi="Verdana" w:cstheme="minorHAnsi"/>
          <w:sz w:val="18"/>
          <w:szCs w:val="18"/>
        </w:rPr>
        <w:t>Ponadto, zgodnie z wątpliwościami opisanymi w ramach pkt 4. Podatnik nie ma informacji, czy w takim przypadku podać tylko wynik na transakcji per kontrahent, czy też wynik na całej transakcji.</w:t>
      </w:r>
    </w:p>
    <w:p w:rsidR="00A12F48" w:rsidRPr="00AD509F" w:rsidRDefault="00A12F48" w:rsidP="00C1620F">
      <w:pPr>
        <w:spacing w:before="120" w:after="120" w:line="260" w:lineRule="exact"/>
        <w:ind w:left="720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>Kwestia ta nie została również opisana w ramach przygotowanych Objaśnień. Sugerujemy dodanie odpowiedniego wyjaśnienia do objaśnień</w:t>
      </w:r>
      <w:r w:rsidR="00983D75">
        <w:rPr>
          <w:rFonts w:ascii="Verdana" w:hAnsi="Verdana" w:cstheme="minorHAnsi"/>
          <w:sz w:val="18"/>
          <w:szCs w:val="18"/>
        </w:rPr>
        <w:t>,</w:t>
      </w:r>
      <w:r w:rsidRPr="00AD509F">
        <w:rPr>
          <w:rFonts w:ascii="Verdana" w:hAnsi="Verdana" w:cstheme="minorHAnsi"/>
          <w:sz w:val="18"/>
          <w:szCs w:val="18"/>
        </w:rPr>
        <w:t xml:space="preserve"> w jaki sposób podatnik powinien uzupełnić formularz</w:t>
      </w:r>
      <w:r w:rsidR="00F5681A" w:rsidRPr="00AD509F">
        <w:rPr>
          <w:rFonts w:ascii="Verdana" w:hAnsi="Verdana" w:cstheme="minorHAnsi"/>
          <w:sz w:val="18"/>
          <w:szCs w:val="18"/>
        </w:rPr>
        <w:t xml:space="preserve"> w ramach pola „wynik na transakcji”</w:t>
      </w:r>
      <w:r w:rsidRPr="00AD509F">
        <w:rPr>
          <w:rFonts w:ascii="Verdana" w:hAnsi="Verdana" w:cstheme="minorHAnsi"/>
          <w:sz w:val="18"/>
          <w:szCs w:val="18"/>
        </w:rPr>
        <w:t xml:space="preserve">, jeżeli nie dysponuje </w:t>
      </w:r>
      <w:r w:rsidR="00F5681A" w:rsidRPr="00AD509F">
        <w:rPr>
          <w:rFonts w:ascii="Verdana" w:hAnsi="Verdana" w:cstheme="minorHAnsi"/>
          <w:sz w:val="18"/>
          <w:szCs w:val="18"/>
        </w:rPr>
        <w:t xml:space="preserve">odpowiednimi danymi </w:t>
      </w:r>
      <w:r w:rsidRPr="00AD509F">
        <w:rPr>
          <w:rFonts w:ascii="Verdana" w:hAnsi="Verdana" w:cstheme="minorHAnsi"/>
          <w:sz w:val="18"/>
          <w:szCs w:val="18"/>
        </w:rPr>
        <w:t>(przykładowo spółka z grupy</w:t>
      </w:r>
      <w:r w:rsidR="0021181F" w:rsidRPr="00AD509F">
        <w:rPr>
          <w:rFonts w:ascii="Verdana" w:hAnsi="Verdana" w:cstheme="minorHAnsi"/>
          <w:sz w:val="18"/>
          <w:szCs w:val="18"/>
        </w:rPr>
        <w:t xml:space="preserve"> podmiotów powiązanych</w:t>
      </w:r>
      <w:r w:rsidRPr="00AD509F">
        <w:rPr>
          <w:rFonts w:ascii="Verdana" w:hAnsi="Verdana" w:cstheme="minorHAnsi"/>
          <w:sz w:val="18"/>
          <w:szCs w:val="18"/>
        </w:rPr>
        <w:t xml:space="preserve"> świadcząca jednorodne usługi na rzecz kilku kontrahentów </w:t>
      </w:r>
      <w:r w:rsidR="0021181F" w:rsidRPr="00AD509F">
        <w:rPr>
          <w:rFonts w:ascii="Verdana" w:hAnsi="Verdana" w:cstheme="minorHAnsi"/>
          <w:sz w:val="18"/>
          <w:szCs w:val="18"/>
        </w:rPr>
        <w:t xml:space="preserve">z grupy, nie może lub nie chce przekazać podatnikowi odpowiednich danych umożliwiających </w:t>
      </w:r>
      <w:r w:rsidR="00F5681A" w:rsidRPr="00AD509F">
        <w:rPr>
          <w:rFonts w:ascii="Verdana" w:hAnsi="Verdana" w:cstheme="minorHAnsi"/>
          <w:sz w:val="18"/>
          <w:szCs w:val="18"/>
        </w:rPr>
        <w:t xml:space="preserve">policzenie wyniku na transakcji zarówno w całości jak też w ujęciu per kontrahent). </w:t>
      </w:r>
    </w:p>
    <w:p w:rsidR="00F5681A" w:rsidRPr="00AD509F" w:rsidRDefault="00F5681A" w:rsidP="00C1620F">
      <w:pPr>
        <w:spacing w:before="120" w:after="120" w:line="260" w:lineRule="exact"/>
        <w:ind w:left="720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>Dodatkowo sugerujemy dodanie do formularza możliwości wskazania opcji „brak danych” w ramach pola wynik na transakcji.</w:t>
      </w:r>
    </w:p>
    <w:p w:rsidR="001C53FB" w:rsidRPr="00AD509F" w:rsidRDefault="001C53FB" w:rsidP="00F63E15">
      <w:pPr>
        <w:pStyle w:val="Akapitzlist"/>
        <w:numPr>
          <w:ilvl w:val="0"/>
          <w:numId w:val="1"/>
        </w:numPr>
        <w:spacing w:before="120" w:after="120" w:line="260" w:lineRule="exact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 xml:space="preserve">Brak możliwości </w:t>
      </w:r>
      <w:r w:rsidR="0030395F" w:rsidRPr="00AD509F">
        <w:rPr>
          <w:rFonts w:ascii="Verdana" w:hAnsi="Verdana" w:cstheme="minorHAnsi"/>
          <w:sz w:val="18"/>
          <w:szCs w:val="18"/>
        </w:rPr>
        <w:t>odwołania</w:t>
      </w:r>
      <w:r w:rsidRPr="00AD509F">
        <w:rPr>
          <w:rFonts w:ascii="Verdana" w:hAnsi="Verdana" w:cstheme="minorHAnsi"/>
          <w:sz w:val="18"/>
          <w:szCs w:val="18"/>
        </w:rPr>
        <w:t xml:space="preserve"> się do </w:t>
      </w:r>
      <w:r w:rsidR="0030395F" w:rsidRPr="00AD509F">
        <w:rPr>
          <w:rFonts w:ascii="Verdana" w:hAnsi="Verdana" w:cstheme="minorHAnsi"/>
          <w:sz w:val="18"/>
          <w:szCs w:val="18"/>
        </w:rPr>
        <w:t>opisu zgodności</w:t>
      </w:r>
      <w:r w:rsidRPr="00AD509F">
        <w:rPr>
          <w:rFonts w:ascii="Verdana" w:hAnsi="Verdana" w:cstheme="minorHAnsi"/>
          <w:sz w:val="18"/>
          <w:szCs w:val="18"/>
        </w:rPr>
        <w:t>.</w:t>
      </w:r>
    </w:p>
    <w:p w:rsidR="00F5681A" w:rsidRPr="00AD509F" w:rsidRDefault="00F5681A" w:rsidP="00C1620F">
      <w:pPr>
        <w:pStyle w:val="Akapitzlist"/>
        <w:spacing w:before="120" w:after="120" w:line="260" w:lineRule="exact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 xml:space="preserve">W ramach metody weryfikacji ceny, nie przewidziano możliwości odwołania się do opisu zgodności (przygotowywanego, gdy nie jest możliwe przeprowadzenie analizy w oparciu o dane wewnętrzne lub zewnętrzne). </w:t>
      </w:r>
    </w:p>
    <w:p w:rsidR="00F5681A" w:rsidRPr="00AD509F" w:rsidRDefault="00F5681A" w:rsidP="00C1620F">
      <w:pPr>
        <w:pStyle w:val="Akapitzlist"/>
        <w:spacing w:before="120" w:after="120" w:line="260" w:lineRule="exact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>Zgodnie z treścią Objaśnień oraz testową wersją formularza co prawda występuje możliwość wyboru opcji „inna metoda – pozostałe” niemniej jednak, w ramach formularza (oraz zgodnie z Objaśnieniami) do uzupełnienia pozostają analogiczne pole jak ma to miejsce w przypadku weryfikacji w oparciu o metodę porównywalnej ceny niekontrolowanej</w:t>
      </w:r>
      <w:r w:rsidR="00CE7316" w:rsidRPr="00AD509F">
        <w:rPr>
          <w:rFonts w:ascii="Verdana" w:hAnsi="Verdana" w:cstheme="minorHAnsi"/>
          <w:sz w:val="18"/>
          <w:szCs w:val="18"/>
        </w:rPr>
        <w:t xml:space="preserve"> (m.in. do uzupełninia pozostają pola dotyczące ceny minimalnej i maksymalnej)</w:t>
      </w:r>
      <w:r w:rsidRPr="00AD509F">
        <w:rPr>
          <w:rFonts w:ascii="Verdana" w:hAnsi="Verdana" w:cstheme="minorHAnsi"/>
          <w:sz w:val="18"/>
          <w:szCs w:val="18"/>
        </w:rPr>
        <w:t xml:space="preserve">. Niemniej jednak, w przypadku przygotowania </w:t>
      </w:r>
      <w:r w:rsidR="00CE7316" w:rsidRPr="00AD509F">
        <w:rPr>
          <w:rFonts w:ascii="Verdana" w:hAnsi="Verdana" w:cstheme="minorHAnsi"/>
          <w:sz w:val="18"/>
          <w:szCs w:val="18"/>
        </w:rPr>
        <w:t xml:space="preserve">opisu zgodności, tego typu dane są w większości przypadków niemożliwe do zidentyfikowania. </w:t>
      </w:r>
    </w:p>
    <w:p w:rsidR="00F5681A" w:rsidRPr="00AD509F" w:rsidRDefault="00F5681A" w:rsidP="00C1620F">
      <w:pPr>
        <w:pStyle w:val="Akapitzlist"/>
        <w:spacing w:before="120" w:after="120" w:line="260" w:lineRule="exact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lastRenderedPageBreak/>
        <w:t>Sugerujemy dodanie do Objaśnień opisu możliwości skorzystania z opcji weryfikacji ceny za pomocą opisu zgodności oraz dodanie takiej możliwości w ramach formularza TPR</w:t>
      </w:r>
      <w:r w:rsidR="00983D75">
        <w:rPr>
          <w:rFonts w:ascii="Verdana" w:hAnsi="Verdana" w:cstheme="minorHAnsi"/>
          <w:sz w:val="18"/>
          <w:szCs w:val="18"/>
        </w:rPr>
        <w:t>-</w:t>
      </w:r>
      <w:r w:rsidRPr="00AD509F">
        <w:rPr>
          <w:rFonts w:ascii="Verdana" w:hAnsi="Verdana" w:cstheme="minorHAnsi"/>
          <w:sz w:val="18"/>
          <w:szCs w:val="18"/>
        </w:rPr>
        <w:t>C.</w:t>
      </w:r>
    </w:p>
    <w:p w:rsidR="00FA305B" w:rsidRPr="00AD509F" w:rsidRDefault="00FA305B" w:rsidP="00F63E15">
      <w:pPr>
        <w:pStyle w:val="Akapitzlist"/>
        <w:numPr>
          <w:ilvl w:val="0"/>
          <w:numId w:val="1"/>
        </w:numPr>
        <w:spacing w:before="120" w:after="120" w:line="260" w:lineRule="exact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>W przypadku:</w:t>
      </w:r>
    </w:p>
    <w:p w:rsidR="00FA305B" w:rsidRPr="00AD509F" w:rsidRDefault="00FA305B" w:rsidP="00C1620F">
      <w:pPr>
        <w:pStyle w:val="Akapitzlist"/>
        <w:numPr>
          <w:ilvl w:val="1"/>
          <w:numId w:val="1"/>
        </w:numPr>
        <w:spacing w:before="120" w:after="120" w:line="260" w:lineRule="exact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 xml:space="preserve">wyboru w sekcji E metody weryfikacji ceny jako: </w:t>
      </w:r>
    </w:p>
    <w:p w:rsidR="00FA305B" w:rsidRPr="00AD509F" w:rsidRDefault="00FA305B" w:rsidP="00C1620F">
      <w:pPr>
        <w:pStyle w:val="Akapitzlist"/>
        <w:numPr>
          <w:ilvl w:val="2"/>
          <w:numId w:val="1"/>
        </w:numPr>
        <w:spacing w:before="120" w:after="120" w:line="260" w:lineRule="exact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 xml:space="preserve">metoda porównywalnej ceny niekontrolowanej, </w:t>
      </w:r>
    </w:p>
    <w:p w:rsidR="00FA305B" w:rsidRPr="00AD509F" w:rsidRDefault="00FA305B" w:rsidP="00C1620F">
      <w:pPr>
        <w:pStyle w:val="Akapitzlist"/>
        <w:numPr>
          <w:ilvl w:val="2"/>
          <w:numId w:val="1"/>
        </w:numPr>
        <w:spacing w:before="120" w:after="120" w:line="260" w:lineRule="exact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 xml:space="preserve">inna metoda – wycena niezależnego specjalisty, </w:t>
      </w:r>
    </w:p>
    <w:p w:rsidR="00FA305B" w:rsidRPr="00AD509F" w:rsidRDefault="00FA305B" w:rsidP="00C1620F">
      <w:pPr>
        <w:pStyle w:val="Akapitzlist"/>
        <w:numPr>
          <w:ilvl w:val="2"/>
          <w:numId w:val="1"/>
        </w:numPr>
        <w:spacing w:before="120" w:after="120" w:line="260" w:lineRule="exact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>inna metoda - pozostałe, lub</w:t>
      </w:r>
    </w:p>
    <w:p w:rsidR="00FA305B" w:rsidRPr="00AD509F" w:rsidRDefault="00FA305B" w:rsidP="00C1620F">
      <w:pPr>
        <w:pStyle w:val="Akapitzlist"/>
        <w:numPr>
          <w:ilvl w:val="1"/>
          <w:numId w:val="1"/>
        </w:numPr>
        <w:spacing w:before="120" w:after="120" w:line="260" w:lineRule="exact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 xml:space="preserve">wyboru </w:t>
      </w:r>
      <w:r w:rsidR="00067129" w:rsidRPr="00AD509F">
        <w:rPr>
          <w:rFonts w:ascii="Verdana" w:hAnsi="Verdana" w:cstheme="minorHAnsi"/>
          <w:sz w:val="18"/>
          <w:szCs w:val="18"/>
        </w:rPr>
        <w:t>punktu B</w:t>
      </w:r>
      <w:r w:rsidRPr="00AD509F">
        <w:rPr>
          <w:rFonts w:ascii="Verdana" w:hAnsi="Verdana" w:cstheme="minorHAnsi"/>
          <w:sz w:val="18"/>
          <w:szCs w:val="18"/>
        </w:rPr>
        <w:t xml:space="preserve"> - „</w:t>
      </w:r>
      <w:r w:rsidR="0008400C" w:rsidRPr="00AD509F">
        <w:rPr>
          <w:rFonts w:ascii="Verdana" w:hAnsi="Verdana" w:cstheme="minorHAnsi"/>
          <w:sz w:val="18"/>
          <w:szCs w:val="18"/>
        </w:rPr>
        <w:t xml:space="preserve">usługi o niskiej wartości dodanej oznaczone kodami 1101 lub 2101 korzystające z uproszczenia safe harbour, </w:t>
      </w:r>
      <w:r w:rsidR="00067129" w:rsidRPr="00AD509F">
        <w:rPr>
          <w:rFonts w:ascii="Verdana" w:hAnsi="Verdana" w:cstheme="minorHAnsi"/>
          <w:sz w:val="18"/>
          <w:szCs w:val="18"/>
        </w:rPr>
        <w:t xml:space="preserve">w sekcji „Parametry dodawanej transakcji” </w:t>
      </w:r>
    </w:p>
    <w:p w:rsidR="00067129" w:rsidRPr="00AD509F" w:rsidRDefault="00067129" w:rsidP="00C1620F">
      <w:pPr>
        <w:pStyle w:val="Akapitzlist"/>
        <w:spacing w:before="120" w:after="120" w:line="260" w:lineRule="exact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 xml:space="preserve">nie jest możliwe wpisanie </w:t>
      </w:r>
      <w:r w:rsidR="00FA305B" w:rsidRPr="00AD509F">
        <w:rPr>
          <w:rFonts w:ascii="Verdana" w:hAnsi="Verdana" w:cstheme="minorHAnsi"/>
          <w:sz w:val="18"/>
          <w:szCs w:val="18"/>
        </w:rPr>
        <w:t xml:space="preserve">do formularza </w:t>
      </w:r>
      <w:r w:rsidRPr="00AD509F">
        <w:rPr>
          <w:rFonts w:ascii="Verdana" w:hAnsi="Verdana" w:cstheme="minorHAnsi"/>
          <w:sz w:val="18"/>
          <w:szCs w:val="18"/>
        </w:rPr>
        <w:t>korekty cen transferowych.</w:t>
      </w:r>
    </w:p>
    <w:p w:rsidR="00FA305B" w:rsidRPr="00AD509F" w:rsidRDefault="00FA305B" w:rsidP="00C1620F">
      <w:pPr>
        <w:pStyle w:val="Akapitzlist"/>
        <w:spacing w:before="120" w:after="120" w:line="260" w:lineRule="exact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>Sugerujemy wprowadzenie pola korekta cen transferowych z odpowiedzią „tak” lub „nie” w przypadku każdego typu transakcji, również w przypadku dokonania wyborów opisanych w ramach niniejszego pkt. 7.</w:t>
      </w:r>
    </w:p>
    <w:p w:rsidR="00FA305B" w:rsidRPr="00AD509F" w:rsidRDefault="001C53FB" w:rsidP="00F63E15">
      <w:pPr>
        <w:pStyle w:val="Akapitzlist"/>
        <w:numPr>
          <w:ilvl w:val="0"/>
          <w:numId w:val="1"/>
        </w:numPr>
        <w:spacing w:before="120" w:after="120" w:line="260" w:lineRule="exact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>W przypadku wyboru usług o niskiej wartości dodanej</w:t>
      </w:r>
      <w:r w:rsidR="00983D75">
        <w:rPr>
          <w:rFonts w:ascii="Verdana" w:hAnsi="Verdana" w:cstheme="minorHAnsi"/>
          <w:sz w:val="18"/>
          <w:szCs w:val="18"/>
        </w:rPr>
        <w:t>,</w:t>
      </w:r>
      <w:r w:rsidRPr="00AD509F">
        <w:rPr>
          <w:rFonts w:ascii="Verdana" w:hAnsi="Verdana" w:cstheme="minorHAnsi"/>
          <w:sz w:val="18"/>
          <w:szCs w:val="18"/>
        </w:rPr>
        <w:t xml:space="preserve"> korzystających z uproszczenia safe harbour</w:t>
      </w:r>
      <w:r w:rsidR="005505D4" w:rsidRPr="00AD509F">
        <w:rPr>
          <w:rFonts w:ascii="Verdana" w:hAnsi="Verdana" w:cstheme="minorHAnsi"/>
          <w:sz w:val="18"/>
          <w:szCs w:val="18"/>
        </w:rPr>
        <w:t>,</w:t>
      </w:r>
      <w:r w:rsidRPr="00AD509F">
        <w:rPr>
          <w:rFonts w:ascii="Verdana" w:hAnsi="Verdana" w:cstheme="minorHAnsi"/>
          <w:sz w:val="18"/>
          <w:szCs w:val="18"/>
        </w:rPr>
        <w:t xml:space="preserve"> metody </w:t>
      </w:r>
      <w:r w:rsidR="00EF3A75" w:rsidRPr="00AD509F">
        <w:rPr>
          <w:rFonts w:ascii="Verdana" w:hAnsi="Verdana" w:cstheme="minorHAnsi"/>
          <w:sz w:val="18"/>
          <w:szCs w:val="18"/>
        </w:rPr>
        <w:t xml:space="preserve">weryfikacji ceny </w:t>
      </w:r>
      <w:r w:rsidRPr="00AD509F">
        <w:rPr>
          <w:rFonts w:ascii="Verdana" w:hAnsi="Verdana" w:cstheme="minorHAnsi"/>
          <w:sz w:val="18"/>
          <w:szCs w:val="18"/>
        </w:rPr>
        <w:t>ograniczone są do metody koszt plus oraz metody marży transakcyjnej netto</w:t>
      </w:r>
      <w:r w:rsidR="00FA305B" w:rsidRPr="00AD509F">
        <w:rPr>
          <w:rFonts w:ascii="Verdana" w:hAnsi="Verdana" w:cstheme="minorHAnsi"/>
          <w:sz w:val="18"/>
          <w:szCs w:val="18"/>
        </w:rPr>
        <w:t xml:space="preserve">. </w:t>
      </w:r>
    </w:p>
    <w:p w:rsidR="00EF3A75" w:rsidRPr="00AD509F" w:rsidRDefault="00FA305B" w:rsidP="00C1620F">
      <w:pPr>
        <w:pStyle w:val="Akapitzlist"/>
        <w:spacing w:before="120" w:after="120" w:line="260" w:lineRule="exact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 xml:space="preserve">Niemniej, w treści Objaśnień nie wskazano, że w przypadku wyboru kodu SH02 lub SH03 tj. w przypadku wyboru transakcji, w </w:t>
      </w:r>
      <w:r w:rsidR="00C1620F" w:rsidRPr="00AD509F">
        <w:rPr>
          <w:rFonts w:ascii="Verdana" w:hAnsi="Verdana" w:cstheme="minorHAnsi"/>
          <w:sz w:val="18"/>
          <w:szCs w:val="18"/>
        </w:rPr>
        <w:t>ramach, której</w:t>
      </w:r>
      <w:r w:rsidRPr="00AD509F">
        <w:rPr>
          <w:rFonts w:ascii="Verdana" w:hAnsi="Verdana" w:cstheme="minorHAnsi"/>
          <w:sz w:val="18"/>
          <w:szCs w:val="18"/>
        </w:rPr>
        <w:t xml:space="preserve"> zastosowano mechanizm</w:t>
      </w:r>
      <w:r w:rsidR="00EF3A75" w:rsidRPr="00AD509F">
        <w:rPr>
          <w:rFonts w:ascii="Verdana" w:hAnsi="Verdana" w:cstheme="minorHAnsi"/>
          <w:sz w:val="18"/>
          <w:szCs w:val="18"/>
        </w:rPr>
        <w:t xml:space="preserve"> safe harbour</w:t>
      </w:r>
      <w:r w:rsidRPr="00AD509F">
        <w:rPr>
          <w:rFonts w:ascii="Verdana" w:hAnsi="Verdana" w:cstheme="minorHAnsi"/>
          <w:sz w:val="18"/>
          <w:szCs w:val="18"/>
        </w:rPr>
        <w:t xml:space="preserve"> opisany w ramach art. 11f lub art. 11g ustawy</w:t>
      </w:r>
      <w:r w:rsidR="00EF3A75" w:rsidRPr="00AD509F">
        <w:rPr>
          <w:rFonts w:ascii="Verdana" w:hAnsi="Verdana" w:cstheme="minorHAnsi"/>
          <w:sz w:val="18"/>
          <w:szCs w:val="18"/>
        </w:rPr>
        <w:t xml:space="preserve"> można skorzystać tylko z dwóch zaproponowanych metod. </w:t>
      </w:r>
    </w:p>
    <w:p w:rsidR="00FA305B" w:rsidRPr="00AD509F" w:rsidRDefault="00EF3A75" w:rsidP="00C1620F">
      <w:pPr>
        <w:pStyle w:val="Akapitzlist"/>
        <w:spacing w:before="120" w:after="120" w:line="260" w:lineRule="exact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>Ponadto, zgodnie z treścią pkt. 5.1. Objaśnień, w pierwszej kolejności należy wskazać metodę weryfikacji ceny, a dopiero następnie należy określić czy zastosowano mechanizm safe harbour. Mając to na uwadze, wprowadzenie odwrotnej kolejności wprowadzania poszczególnych danych może się okazać dla podatników mylące.</w:t>
      </w:r>
    </w:p>
    <w:p w:rsidR="003A6F9B" w:rsidRPr="00AD509F" w:rsidRDefault="00EF3A75" w:rsidP="00C1620F">
      <w:pPr>
        <w:pStyle w:val="Akapitzlist"/>
        <w:spacing w:before="120" w:after="120" w:line="260" w:lineRule="exact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>Sugerujemy modyfikację Objaśnień, tak aby odwzorowywały kolejność wprowadzania danych zgodnie z formularzem lub ewentualnie zmianę kolejności wprowadzania danych w ramach formularza. Ponadto, sugerujemy możliwość wyboru dowolnej metody weryfikacji ceny.</w:t>
      </w:r>
    </w:p>
    <w:p w:rsidR="00EC0FCC" w:rsidRPr="00AD509F" w:rsidRDefault="005644B2" w:rsidP="00C1620F">
      <w:pPr>
        <w:pStyle w:val="Akapitzlist"/>
        <w:numPr>
          <w:ilvl w:val="0"/>
          <w:numId w:val="1"/>
        </w:numPr>
        <w:spacing w:before="120" w:after="120" w:line="260" w:lineRule="exact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>W przypadku transakcji</w:t>
      </w:r>
      <w:r w:rsidR="00E03B3E" w:rsidRPr="00AD509F">
        <w:rPr>
          <w:rFonts w:ascii="Verdana" w:hAnsi="Verdana" w:cstheme="minorHAnsi"/>
          <w:sz w:val="18"/>
          <w:szCs w:val="18"/>
        </w:rPr>
        <w:t xml:space="preserve"> finansowych w ramach formularza nie występują specjalistyczne pola dotyczące różnych typów transakcji finansowych. Poszczególne pola</w:t>
      </w:r>
      <w:r w:rsidR="00983D75">
        <w:rPr>
          <w:rFonts w:ascii="Verdana" w:hAnsi="Verdana" w:cstheme="minorHAnsi"/>
          <w:sz w:val="18"/>
          <w:szCs w:val="18"/>
        </w:rPr>
        <w:t>,</w:t>
      </w:r>
      <w:r w:rsidR="00E03B3E" w:rsidRPr="00AD509F">
        <w:rPr>
          <w:rFonts w:ascii="Verdana" w:hAnsi="Verdana" w:cstheme="minorHAnsi"/>
          <w:sz w:val="18"/>
          <w:szCs w:val="18"/>
        </w:rPr>
        <w:t xml:space="preserve"> niezbędne do uzupełnienia w ramach formularza w przypadku transakcji finansowych, są stałe niezależnie od typu danej transakcji kontrolowanej. Takie rozwiązanie może być mylące z perspektywy podatnika, zwłaszcza w przypadku transakcji finansowych innych niż pożyczka (np. w przypadku poręczenia lub </w:t>
      </w:r>
      <w:r w:rsidR="00EC0FCC" w:rsidRPr="00AD509F">
        <w:rPr>
          <w:rFonts w:ascii="Verdana" w:hAnsi="Verdana" w:cstheme="minorHAnsi"/>
          <w:sz w:val="18"/>
          <w:szCs w:val="18"/>
        </w:rPr>
        <w:t>gwarancji, przy których w obecnej formie metoda weryfikacji ceny sprowadza się do uzupełninia danych o sposobie oprocentowania, stopie bazowej, terminie stopy bazowej itp.)</w:t>
      </w:r>
    </w:p>
    <w:p w:rsidR="00E03B3E" w:rsidRPr="00AD509F" w:rsidRDefault="00EC0FCC" w:rsidP="00C1620F">
      <w:pPr>
        <w:pStyle w:val="Akapitzlist"/>
        <w:spacing w:before="120" w:after="120" w:line="260" w:lineRule="exact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 xml:space="preserve">Ponadto, </w:t>
      </w:r>
      <w:r w:rsidR="00E03B3E" w:rsidRPr="00AD509F">
        <w:rPr>
          <w:rFonts w:ascii="Verdana" w:hAnsi="Verdana" w:cstheme="minorHAnsi"/>
          <w:sz w:val="18"/>
          <w:szCs w:val="18"/>
        </w:rPr>
        <w:t>w ramach formularza nie ma możliwości wprowadzenia danych dotyczących</w:t>
      </w:r>
      <w:r w:rsidRPr="00AD509F">
        <w:rPr>
          <w:rFonts w:ascii="Verdana" w:hAnsi="Verdana" w:cstheme="minorHAnsi"/>
          <w:sz w:val="18"/>
          <w:szCs w:val="18"/>
        </w:rPr>
        <w:t xml:space="preserve"> innych specjalistycznych transakcji finansowych (</w:t>
      </w:r>
      <w:r w:rsidR="00E03B3E" w:rsidRPr="00AD509F">
        <w:rPr>
          <w:rFonts w:ascii="Verdana" w:hAnsi="Verdana" w:cstheme="minorHAnsi"/>
          <w:sz w:val="18"/>
          <w:szCs w:val="18"/>
        </w:rPr>
        <w:t>min.:</w:t>
      </w:r>
      <w:r w:rsidRPr="00AD509F">
        <w:rPr>
          <w:rFonts w:ascii="Verdana" w:hAnsi="Verdana" w:cstheme="minorHAnsi"/>
          <w:sz w:val="18"/>
          <w:szCs w:val="18"/>
        </w:rPr>
        <w:t xml:space="preserve"> koordynowania przepływów pieniężnych), przykładowo w ramach formularza nie występuje</w:t>
      </w:r>
      <w:r w:rsidR="00E03B3E" w:rsidRPr="00AD509F">
        <w:rPr>
          <w:rFonts w:ascii="Verdana" w:hAnsi="Verdana" w:cstheme="minorHAnsi"/>
          <w:sz w:val="18"/>
          <w:szCs w:val="18"/>
        </w:rPr>
        <w:t xml:space="preserve"> możliwości wprowadzenia informacji </w:t>
      </w:r>
      <w:r w:rsidR="00F63E15" w:rsidRPr="00AD509F">
        <w:rPr>
          <w:rFonts w:ascii="Verdana" w:hAnsi="Verdana" w:cstheme="minorHAnsi"/>
          <w:sz w:val="18"/>
          <w:szCs w:val="18"/>
        </w:rPr>
        <w:t xml:space="preserve">uwzględniającej </w:t>
      </w:r>
      <w:r w:rsidR="00E03B3E" w:rsidRPr="00AD509F">
        <w:rPr>
          <w:rFonts w:ascii="Verdana" w:hAnsi="Verdana" w:cstheme="minorHAnsi"/>
          <w:sz w:val="18"/>
          <w:szCs w:val="18"/>
        </w:rPr>
        <w:t xml:space="preserve">wartość </w:t>
      </w:r>
      <w:r w:rsidR="005644B2" w:rsidRPr="00AD509F">
        <w:rPr>
          <w:rFonts w:ascii="Verdana" w:hAnsi="Verdana" w:cstheme="minorHAnsi"/>
          <w:sz w:val="18"/>
          <w:szCs w:val="18"/>
        </w:rPr>
        <w:t>opłaty za pośrednictwo (</w:t>
      </w:r>
      <w:r w:rsidR="00F63E15" w:rsidRPr="00AD509F">
        <w:rPr>
          <w:rFonts w:ascii="Verdana" w:hAnsi="Verdana" w:cstheme="minorHAnsi"/>
          <w:sz w:val="18"/>
          <w:szCs w:val="18"/>
        </w:rPr>
        <w:t>handling fee</w:t>
      </w:r>
      <w:r w:rsidR="005644B2" w:rsidRPr="00AD509F">
        <w:rPr>
          <w:rFonts w:ascii="Verdana" w:hAnsi="Verdana" w:cstheme="minorHAnsi"/>
          <w:sz w:val="18"/>
          <w:szCs w:val="18"/>
        </w:rPr>
        <w:t>)</w:t>
      </w:r>
      <w:r w:rsidR="00E03B3E" w:rsidRPr="00AD509F">
        <w:rPr>
          <w:rFonts w:ascii="Verdana" w:hAnsi="Verdana" w:cstheme="minorHAnsi"/>
          <w:sz w:val="18"/>
          <w:szCs w:val="18"/>
        </w:rPr>
        <w:t>.</w:t>
      </w:r>
    </w:p>
    <w:p w:rsidR="00EC0FCC" w:rsidRPr="00AD509F" w:rsidRDefault="00EC0FCC" w:rsidP="00C1620F">
      <w:pPr>
        <w:pStyle w:val="Akapitzlist"/>
        <w:spacing w:before="120" w:after="120" w:line="260" w:lineRule="exact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 xml:space="preserve">Sugerujemy rozbudowanie formularza w przypadku wybrania specjalistycznych transakcji finansowych, lub proponujemy dodanie odpowiednich objaśnień w ramach Objaśnień, tak </w:t>
      </w:r>
      <w:r w:rsidRPr="00AD509F">
        <w:rPr>
          <w:rFonts w:ascii="Verdana" w:hAnsi="Verdana" w:cstheme="minorHAnsi"/>
          <w:sz w:val="18"/>
          <w:szCs w:val="18"/>
        </w:rPr>
        <w:lastRenderedPageBreak/>
        <w:t>poszczególne pola dotyczące metody weryfikacji ceny zmieniały się w zależności od konkretnego wyboru opisywanej w ramach formularza transakcji finansowej.</w:t>
      </w:r>
    </w:p>
    <w:p w:rsidR="00EC0FCC" w:rsidRPr="00AD509F" w:rsidRDefault="00F63E15" w:rsidP="00F63E15">
      <w:pPr>
        <w:pStyle w:val="Akapitzlist"/>
        <w:numPr>
          <w:ilvl w:val="0"/>
          <w:numId w:val="1"/>
        </w:numPr>
        <w:spacing w:before="120" w:after="120" w:line="260" w:lineRule="exact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>Pole „Rodzaj jednostki miary” w transakcji udostępnienia wartości intelektualnych jest niejasno sprecyzowane</w:t>
      </w:r>
      <w:r w:rsidR="00EC0FCC" w:rsidRPr="00AD509F">
        <w:rPr>
          <w:rFonts w:ascii="Verdana" w:hAnsi="Verdana" w:cstheme="minorHAnsi"/>
          <w:sz w:val="18"/>
          <w:szCs w:val="18"/>
        </w:rPr>
        <w:t xml:space="preserve">. W obecnej wersji formularza, wskazane pole nie ma żadnych ograniczeń odnośnie wpisywanych w nim informacji. </w:t>
      </w:r>
    </w:p>
    <w:p w:rsidR="003A6F9B" w:rsidRPr="00AD509F" w:rsidRDefault="00EC0FCC" w:rsidP="00C1620F">
      <w:pPr>
        <w:pStyle w:val="Akapitzlist"/>
        <w:spacing w:before="120" w:after="120" w:line="260" w:lineRule="exact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 xml:space="preserve">Sugerujemy uwzględnienie </w:t>
      </w:r>
      <w:r w:rsidR="005644B2" w:rsidRPr="00AD509F">
        <w:rPr>
          <w:rFonts w:ascii="Verdana" w:hAnsi="Verdana" w:cstheme="minorHAnsi"/>
          <w:sz w:val="18"/>
          <w:szCs w:val="18"/>
        </w:rPr>
        <w:t xml:space="preserve">dodatkowych wyjaśnień zawartych w </w:t>
      </w:r>
      <w:r w:rsidRPr="00AD509F">
        <w:rPr>
          <w:rFonts w:ascii="Verdana" w:hAnsi="Verdana" w:cstheme="minorHAnsi"/>
          <w:sz w:val="18"/>
          <w:szCs w:val="18"/>
        </w:rPr>
        <w:t>O</w:t>
      </w:r>
      <w:r w:rsidR="00911728" w:rsidRPr="00AD509F">
        <w:rPr>
          <w:rFonts w:ascii="Verdana" w:hAnsi="Verdana" w:cstheme="minorHAnsi"/>
          <w:sz w:val="18"/>
          <w:szCs w:val="18"/>
        </w:rPr>
        <w:t>bjaśnieniach</w:t>
      </w:r>
      <w:r w:rsidR="00983D75">
        <w:rPr>
          <w:rFonts w:ascii="Verdana" w:hAnsi="Verdana" w:cstheme="minorHAnsi"/>
          <w:sz w:val="18"/>
          <w:szCs w:val="18"/>
        </w:rPr>
        <w:t>,</w:t>
      </w:r>
      <w:r w:rsidRPr="00AD509F">
        <w:rPr>
          <w:rFonts w:ascii="Verdana" w:hAnsi="Verdana" w:cstheme="minorHAnsi"/>
          <w:sz w:val="18"/>
          <w:szCs w:val="18"/>
        </w:rPr>
        <w:t xml:space="preserve"> w jaki sposób pole to powinno być uzupełniane lub dodanie ograniczeń w ramach formularza, które naprowadzi podatnika w jaki sposób powinno być uzupełnione dane pole</w:t>
      </w:r>
      <w:r w:rsidR="00F63E15" w:rsidRPr="00AD509F">
        <w:rPr>
          <w:rFonts w:ascii="Verdana" w:hAnsi="Verdana" w:cstheme="minorHAnsi"/>
          <w:sz w:val="18"/>
          <w:szCs w:val="18"/>
        </w:rPr>
        <w:t>.</w:t>
      </w:r>
    </w:p>
    <w:p w:rsidR="00911728" w:rsidRPr="00AD509F" w:rsidRDefault="00911728" w:rsidP="00F63E15">
      <w:pPr>
        <w:pStyle w:val="Akapitzlist"/>
        <w:numPr>
          <w:ilvl w:val="0"/>
          <w:numId w:val="1"/>
        </w:numPr>
        <w:spacing w:before="120" w:after="120" w:line="260" w:lineRule="exact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 xml:space="preserve">Pola dotyczące wartości transakcji w ramach transakcji finansowych (przede wszystkim w ramach transakcji cash pool), są niejasno sprecyzowane oraz wymagają dodatkowych wyjaśnień zawartych w objaśnieniach do rozporządzenia. </w:t>
      </w:r>
    </w:p>
    <w:p w:rsidR="00C1620F" w:rsidRPr="00AD509F" w:rsidRDefault="00EC0FCC" w:rsidP="00C1620F">
      <w:pPr>
        <w:pStyle w:val="Akapitzlist"/>
        <w:spacing w:before="120" w:after="120" w:line="260" w:lineRule="exact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>W ramach Objaśnień</w:t>
      </w:r>
      <w:r w:rsidR="00C1620F" w:rsidRPr="00AD509F">
        <w:rPr>
          <w:rFonts w:ascii="Verdana" w:hAnsi="Verdana" w:cstheme="minorHAnsi"/>
          <w:sz w:val="18"/>
          <w:szCs w:val="18"/>
        </w:rPr>
        <w:t xml:space="preserve"> w pkt 4.2. przedstawiono w jaki sposób należy definiować „kwotę kapitału” „wartość zadłużenia” oraz „kwotę odsetek”. Zgodnie z treścią Objaśnień, w przypadku transakcji cash pool jako kwotę kapitału należy podać limit zadłużenia (jeżeli został ustalony). Jeżeli nie został ustalony, komórkę tę należy zostawić pustą. Niemniej jednak w ramach Objaśnień nie przedstawiono informacji</w:t>
      </w:r>
      <w:r w:rsidR="00983D75">
        <w:rPr>
          <w:rFonts w:ascii="Verdana" w:hAnsi="Verdana" w:cstheme="minorHAnsi"/>
          <w:sz w:val="18"/>
          <w:szCs w:val="18"/>
        </w:rPr>
        <w:t>,</w:t>
      </w:r>
      <w:r w:rsidR="00C1620F" w:rsidRPr="00AD509F">
        <w:rPr>
          <w:rFonts w:ascii="Verdana" w:hAnsi="Verdana" w:cstheme="minorHAnsi"/>
          <w:sz w:val="18"/>
          <w:szCs w:val="18"/>
        </w:rPr>
        <w:t xml:space="preserve"> w jaki sposób odnieść się do ustawowego progu 10 mln PLN netto w przypadku transakcji finansowych, określającego obowiązek dokumentacyjny z perspektywy cen transferowych. </w:t>
      </w:r>
    </w:p>
    <w:p w:rsidR="00EC0FCC" w:rsidRPr="00AD509F" w:rsidRDefault="00C1620F" w:rsidP="00C1620F">
      <w:pPr>
        <w:pStyle w:val="Akapitzlist"/>
        <w:spacing w:before="120" w:after="120" w:line="260" w:lineRule="exact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 xml:space="preserve">W przypadku „wartości zadłużenia” dla transakcji cash poolingu uzupełnia się średnią z dziennych sald pozycji ujemnych lub dodatnich. Niemniej jednak nie ma przedstawionych dokładnych wyjaśnień w jaki sposób policzyć, a następnie przedstawić taką średnią. </w:t>
      </w:r>
    </w:p>
    <w:p w:rsidR="00C1620F" w:rsidRPr="00AD509F" w:rsidRDefault="00C1620F" w:rsidP="00C1620F">
      <w:pPr>
        <w:pStyle w:val="Akapitzlist"/>
        <w:spacing w:before="120" w:after="120" w:line="260" w:lineRule="exact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 xml:space="preserve">Sugerujemy dodanie bardziej rozbudowanych opisów w ramach Objaśnień w jakiś sposób powinny być policzone, a następnie przedstawione poszczególne dane finansowe wymagane do wprowadzenia do formularza. </w:t>
      </w:r>
    </w:p>
    <w:p w:rsidR="00A43458" w:rsidRPr="00AD509F" w:rsidRDefault="00A43458" w:rsidP="00A43458">
      <w:pPr>
        <w:pStyle w:val="Akapitzlist"/>
        <w:spacing w:before="120" w:after="120" w:line="260" w:lineRule="exact"/>
        <w:ind w:left="0"/>
        <w:contextualSpacing w:val="0"/>
        <w:jc w:val="both"/>
        <w:rPr>
          <w:rFonts w:ascii="Verdana" w:hAnsi="Verdana" w:cstheme="minorHAnsi"/>
          <w:sz w:val="18"/>
          <w:szCs w:val="18"/>
        </w:rPr>
      </w:pPr>
    </w:p>
    <w:p w:rsidR="00A43458" w:rsidRPr="00AD509F" w:rsidRDefault="00A43458" w:rsidP="00A43458">
      <w:pPr>
        <w:pStyle w:val="Akapitzlist"/>
        <w:spacing w:before="120" w:after="120" w:line="260" w:lineRule="exact"/>
        <w:ind w:left="0"/>
        <w:contextualSpacing w:val="0"/>
        <w:jc w:val="center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>***</w:t>
      </w:r>
    </w:p>
    <w:p w:rsidR="00A43458" w:rsidRPr="00AD509F" w:rsidRDefault="00A43458" w:rsidP="00A43458">
      <w:pPr>
        <w:pStyle w:val="Akapitzlist"/>
        <w:spacing w:before="120" w:after="120" w:line="260" w:lineRule="exact"/>
        <w:ind w:left="0"/>
        <w:contextualSpacing w:val="0"/>
        <w:jc w:val="center"/>
        <w:rPr>
          <w:rFonts w:ascii="Verdana" w:hAnsi="Verdana" w:cstheme="minorHAnsi"/>
          <w:sz w:val="18"/>
          <w:szCs w:val="18"/>
        </w:rPr>
      </w:pPr>
    </w:p>
    <w:p w:rsidR="00A43458" w:rsidRPr="00AD509F" w:rsidRDefault="00A43458" w:rsidP="00A43458">
      <w:pPr>
        <w:pStyle w:val="Akapitzlist"/>
        <w:spacing w:before="120" w:after="120" w:line="260" w:lineRule="exact"/>
        <w:ind w:left="0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AD509F">
        <w:rPr>
          <w:rFonts w:ascii="Verdana" w:hAnsi="Verdana" w:cstheme="minorHAnsi"/>
          <w:sz w:val="18"/>
          <w:szCs w:val="18"/>
        </w:rPr>
        <w:t>Liczymy na uwzględnienie naszych propozycji i sugestii w ramach ostatecznej wersji formularza TPR-C oraz Objaśnień.</w:t>
      </w:r>
      <w:bookmarkStart w:id="0" w:name="_GoBack"/>
      <w:bookmarkEnd w:id="0"/>
    </w:p>
    <w:sectPr w:rsidR="00A43458" w:rsidRPr="00AD509F" w:rsidSect="00C1620F">
      <w:headerReference w:type="default" r:id="rId7"/>
      <w:footerReference w:type="default" r:id="rId8"/>
      <w:pgSz w:w="11906" w:h="16838"/>
      <w:pgMar w:top="2388" w:right="1417" w:bottom="1417" w:left="1417" w:header="1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4BE" w:rsidRDefault="000E54BE" w:rsidP="001C53FB">
      <w:pPr>
        <w:spacing w:after="0" w:line="240" w:lineRule="auto"/>
      </w:pPr>
      <w:r>
        <w:separator/>
      </w:r>
    </w:p>
  </w:endnote>
  <w:endnote w:type="continuationSeparator" w:id="0">
    <w:p w:rsidR="000E54BE" w:rsidRDefault="000E54BE" w:rsidP="001C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3FB" w:rsidRDefault="001C53FB">
    <w:pPr>
      <w:pStyle w:val="Stopka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782A17F1" wp14:editId="01E57755">
          <wp:simplePos x="0" y="0"/>
          <wp:positionH relativeFrom="page">
            <wp:posOffset>17201</wp:posOffset>
          </wp:positionH>
          <wp:positionV relativeFrom="paragraph">
            <wp:posOffset>-288069</wp:posOffset>
          </wp:positionV>
          <wp:extent cx="6058535" cy="77851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8535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4BE" w:rsidRDefault="000E54BE" w:rsidP="001C53FB">
      <w:pPr>
        <w:spacing w:after="0" w:line="240" w:lineRule="auto"/>
      </w:pPr>
      <w:r>
        <w:separator/>
      </w:r>
    </w:p>
  </w:footnote>
  <w:footnote w:type="continuationSeparator" w:id="0">
    <w:p w:rsidR="000E54BE" w:rsidRDefault="000E54BE" w:rsidP="001C5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3FB" w:rsidRDefault="001C53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95A7A52" wp14:editId="0F1372DC">
          <wp:simplePos x="0" y="0"/>
          <wp:positionH relativeFrom="page">
            <wp:align>left</wp:align>
          </wp:positionH>
          <wp:positionV relativeFrom="paragraph">
            <wp:posOffset>-902970</wp:posOffset>
          </wp:positionV>
          <wp:extent cx="7633335" cy="1450975"/>
          <wp:effectExtent l="0" t="0" r="5715" b="0"/>
          <wp:wrapNone/>
          <wp:docPr id="18" name="Obraz 18" descr="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3335" cy="145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53FB" w:rsidRDefault="001C53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C4532"/>
    <w:multiLevelType w:val="hybridMultilevel"/>
    <w:tmpl w:val="A080D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FB"/>
    <w:rsid w:val="00067129"/>
    <w:rsid w:val="0008400C"/>
    <w:rsid w:val="000E54BE"/>
    <w:rsid w:val="00140451"/>
    <w:rsid w:val="001C53FB"/>
    <w:rsid w:val="0021181F"/>
    <w:rsid w:val="0030395F"/>
    <w:rsid w:val="00306E57"/>
    <w:rsid w:val="003A6F9B"/>
    <w:rsid w:val="004610AA"/>
    <w:rsid w:val="00484C2F"/>
    <w:rsid w:val="005505D4"/>
    <w:rsid w:val="005644B2"/>
    <w:rsid w:val="005C3487"/>
    <w:rsid w:val="005D5AFB"/>
    <w:rsid w:val="00624521"/>
    <w:rsid w:val="0076685E"/>
    <w:rsid w:val="008622CD"/>
    <w:rsid w:val="00911728"/>
    <w:rsid w:val="00983D75"/>
    <w:rsid w:val="00A12F48"/>
    <w:rsid w:val="00A21139"/>
    <w:rsid w:val="00A365EB"/>
    <w:rsid w:val="00A43458"/>
    <w:rsid w:val="00AD509F"/>
    <w:rsid w:val="00B247B3"/>
    <w:rsid w:val="00C11EBE"/>
    <w:rsid w:val="00C1620F"/>
    <w:rsid w:val="00C7307D"/>
    <w:rsid w:val="00CE428F"/>
    <w:rsid w:val="00CE4B8B"/>
    <w:rsid w:val="00CE7316"/>
    <w:rsid w:val="00D129B1"/>
    <w:rsid w:val="00D350AC"/>
    <w:rsid w:val="00E03B3E"/>
    <w:rsid w:val="00EC0FCC"/>
    <w:rsid w:val="00EC4E9B"/>
    <w:rsid w:val="00EF3A75"/>
    <w:rsid w:val="00F5681A"/>
    <w:rsid w:val="00F63E15"/>
    <w:rsid w:val="00FA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EA0227-3C77-4160-8B98-1487C373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3FB"/>
  </w:style>
  <w:style w:type="paragraph" w:styleId="Stopka">
    <w:name w:val="footer"/>
    <w:basedOn w:val="Normalny"/>
    <w:link w:val="StopkaZnak"/>
    <w:uiPriority w:val="99"/>
    <w:unhideWhenUsed/>
    <w:rsid w:val="001C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3FB"/>
  </w:style>
  <w:style w:type="paragraph" w:styleId="Akapitzlist">
    <w:name w:val="List Paragraph"/>
    <w:basedOn w:val="Normalny"/>
    <w:uiPriority w:val="34"/>
    <w:qFormat/>
    <w:rsid w:val="001C53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44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4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4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1555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MDDP Michalik Dłuska Dziedzic i Partnerzy</Company>
  <LinksUpToDate>false</LinksUpToDate>
  <CharactersWithSpaces>10864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MDDP_TP</dc:creator>
  <cp:keywords/>
  <dc:description/>
  <cp:lastModifiedBy>Magdalena Marciniak</cp:lastModifiedBy>
  <cp:revision>6</cp:revision>
  <dcterms:created xsi:type="dcterms:W3CDTF">2019-10-21T16:27:00Z</dcterms:created>
  <dcterms:modified xsi:type="dcterms:W3CDTF">2019-10-21T18:24:00Z</dcterms:modified>
</cp:coreProperties>
</file>